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5358D4" w:rsidRDefault="00BD0143" w:rsidP="00BD0143">
      <w:pPr>
        <w:jc w:val="center"/>
        <w:rPr>
          <w:b/>
          <w:sz w:val="32"/>
          <w:szCs w:val="32"/>
        </w:rPr>
      </w:pPr>
      <w:r w:rsidRPr="005358D4">
        <w:rPr>
          <w:b/>
          <w:sz w:val="32"/>
          <w:szCs w:val="32"/>
        </w:rPr>
        <w:t xml:space="preserve">Narrative of </w:t>
      </w:r>
      <w:r w:rsidR="005B3D80" w:rsidRPr="005358D4">
        <w:rPr>
          <w:b/>
          <w:sz w:val="32"/>
          <w:szCs w:val="32"/>
        </w:rPr>
        <w:t>Change</w:t>
      </w:r>
      <w:r w:rsidRPr="005358D4">
        <w:rPr>
          <w:b/>
          <w:sz w:val="32"/>
          <w:szCs w:val="32"/>
        </w:rPr>
        <w:t>s</w:t>
      </w:r>
    </w:p>
    <w:p w:rsidR="00BD0143" w:rsidRPr="005358D4" w:rsidRDefault="00BD0143" w:rsidP="00BD0143">
      <w:pPr>
        <w:jc w:val="center"/>
      </w:pPr>
      <w:r w:rsidRPr="005358D4">
        <w:rPr>
          <w:i/>
          <w:sz w:val="20"/>
          <w:szCs w:val="20"/>
        </w:rPr>
        <w:t xml:space="preserve">The purpose of the Narrative of </w:t>
      </w:r>
      <w:r w:rsidR="009619C6" w:rsidRPr="005358D4">
        <w:rPr>
          <w:i/>
          <w:sz w:val="20"/>
          <w:szCs w:val="20"/>
        </w:rPr>
        <w:t>Changes</w:t>
      </w:r>
      <w:r w:rsidRPr="005358D4">
        <w:rPr>
          <w:i/>
          <w:sz w:val="20"/>
          <w:szCs w:val="20"/>
        </w:rPr>
        <w:t xml:space="preserve"> is to clearly indicate </w:t>
      </w:r>
      <w:r w:rsidR="009619C6" w:rsidRPr="005358D4">
        <w:rPr>
          <w:i/>
          <w:sz w:val="20"/>
          <w:szCs w:val="20"/>
        </w:rPr>
        <w:t>changes</w:t>
      </w:r>
      <w:r w:rsidRPr="005358D4">
        <w:rPr>
          <w:i/>
          <w:sz w:val="20"/>
          <w:szCs w:val="20"/>
        </w:rPr>
        <w:t xml:space="preserve"> to a collection since the previous approval</w:t>
      </w:r>
      <w:r w:rsidR="004B5421" w:rsidRPr="005358D4">
        <w:rPr>
          <w:i/>
          <w:sz w:val="20"/>
          <w:szCs w:val="20"/>
        </w:rPr>
        <w:t>.</w:t>
      </w:r>
    </w:p>
    <w:p w:rsidR="00BD0143" w:rsidRPr="005358D4" w:rsidRDefault="00BD0143" w:rsidP="00BD0143">
      <w:pPr>
        <w:jc w:val="center"/>
      </w:pPr>
    </w:p>
    <w:p w:rsidR="003C782D" w:rsidRPr="005358D4" w:rsidRDefault="007A3831" w:rsidP="00BD0143">
      <w:pPr>
        <w:jc w:val="center"/>
      </w:pPr>
      <w:r w:rsidRPr="005358D4">
        <w:t>Collection Title:</w:t>
      </w:r>
      <w:r w:rsidR="00643FAF" w:rsidRPr="005358D4">
        <w:t xml:space="preserve"> </w:t>
      </w:r>
      <w:r w:rsidR="0015300C" w:rsidRPr="0015300C">
        <w:t>Debt Collection Financial Statement</w:t>
      </w:r>
    </w:p>
    <w:p w:rsidR="00BD0143" w:rsidRPr="005358D4" w:rsidRDefault="00BD0143" w:rsidP="00BD0143">
      <w:pPr>
        <w:jc w:val="center"/>
      </w:pPr>
      <w:r w:rsidRPr="005358D4">
        <w:t xml:space="preserve">OMB </w:t>
      </w:r>
      <w:r w:rsidR="004B5421" w:rsidRPr="005358D4">
        <w:t>Control No.: 1660</w:t>
      </w:r>
      <w:r w:rsidR="004B5421" w:rsidRPr="004E14A8">
        <w:t>-</w:t>
      </w:r>
      <w:r w:rsidR="003376D8" w:rsidRPr="004E14A8">
        <w:t>0011</w:t>
      </w:r>
    </w:p>
    <w:p w:rsidR="00BD0143" w:rsidRPr="005358D4" w:rsidRDefault="00BD0143" w:rsidP="00BD0143">
      <w:pPr>
        <w:jc w:val="center"/>
      </w:pPr>
      <w:r w:rsidRPr="005358D4">
        <w:t xml:space="preserve">Current Expiration Date: </w:t>
      </w:r>
      <w:r w:rsidR="003376D8" w:rsidRPr="005358D4">
        <w:t>6/30/</w:t>
      </w:r>
      <w:r w:rsidR="0015300C">
        <w:t>20</w:t>
      </w:r>
      <w:r w:rsidR="003376D8" w:rsidRPr="005358D4">
        <w:t>14</w:t>
      </w:r>
    </w:p>
    <w:p w:rsidR="00B11616" w:rsidRPr="0015300C" w:rsidRDefault="00B11616" w:rsidP="00B11616">
      <w:pPr>
        <w:tabs>
          <w:tab w:val="left" w:pos="-720"/>
        </w:tabs>
        <w:suppressAutoHyphens/>
        <w:rPr>
          <w:sz w:val="28"/>
        </w:rPr>
      </w:pPr>
      <w:r w:rsidRPr="005358D4">
        <w:tab/>
      </w:r>
      <w:r w:rsidRPr="005358D4">
        <w:tab/>
      </w:r>
      <w:r w:rsidRPr="005358D4">
        <w:tab/>
      </w:r>
      <w:r w:rsidRPr="005358D4">
        <w:tab/>
      </w:r>
      <w:r w:rsidR="00BD0143" w:rsidRPr="005358D4">
        <w:t xml:space="preserve">Collection Instruments: </w:t>
      </w:r>
      <w:r w:rsidR="003376D8" w:rsidRPr="0015300C">
        <w:t>FEMA Form 127-0-1</w:t>
      </w:r>
    </w:p>
    <w:p w:rsidR="00B11616" w:rsidRPr="005358D4" w:rsidRDefault="00B11616" w:rsidP="00B11616">
      <w:pPr>
        <w:tabs>
          <w:tab w:val="left" w:pos="-720"/>
        </w:tabs>
        <w:suppressAutoHyphens/>
      </w:pPr>
    </w:p>
    <w:p w:rsidR="00BD0143" w:rsidRPr="005358D4" w:rsidRDefault="00BD0143" w:rsidP="00BD0143">
      <w:r w:rsidRPr="005358D4">
        <w:t>The following are</w:t>
      </w:r>
      <w:r w:rsidR="004E547A" w:rsidRPr="005358D4">
        <w:t xml:space="preserve"> the</w:t>
      </w:r>
      <w:r w:rsidRPr="005358D4">
        <w:t xml:space="preserve"> </w:t>
      </w:r>
      <w:r w:rsidR="009619C6" w:rsidRPr="005358D4">
        <w:t>changes</w:t>
      </w:r>
      <w:r w:rsidRPr="005358D4">
        <w:t xml:space="preserve"> to the collection:</w:t>
      </w:r>
    </w:p>
    <w:p w:rsidR="004B5421" w:rsidRPr="005358D4" w:rsidRDefault="004B5421" w:rsidP="00287348"/>
    <w:p w:rsidR="004A5C77" w:rsidRPr="005358D4" w:rsidRDefault="00A402B9">
      <w:r w:rsidRPr="005358D4">
        <w:t>Supporting Statement:</w:t>
      </w:r>
    </w:p>
    <w:p w:rsidR="00A402B9" w:rsidRPr="005358D4" w:rsidRDefault="00A402B9"/>
    <w:p w:rsidR="00BB3769" w:rsidRDefault="00BB3769" w:rsidP="00BB3769">
      <w:r w:rsidRPr="005358D4">
        <w:t>Question 1</w:t>
      </w:r>
      <w:r w:rsidR="003E0891">
        <w:t xml:space="preserve"> –</w:t>
      </w:r>
      <w:r w:rsidRPr="005358D4">
        <w:t xml:space="preserve"> </w:t>
      </w:r>
      <w:r w:rsidR="003E0891">
        <w:t>U</w:t>
      </w:r>
      <w:r w:rsidR="004A7D9C">
        <w:t>pdat</w:t>
      </w:r>
      <w:r w:rsidR="004A7D9C" w:rsidRPr="005358D4">
        <w:t xml:space="preserve">ed </w:t>
      </w:r>
      <w:r w:rsidRPr="005358D4">
        <w:t>Legal Authorities</w:t>
      </w:r>
    </w:p>
    <w:p w:rsidR="005358D4" w:rsidRPr="005358D4" w:rsidRDefault="005358D4" w:rsidP="00BB3769"/>
    <w:p w:rsidR="00643FAF" w:rsidRDefault="003E0891" w:rsidP="00BB3769">
      <w:r>
        <w:t>Question 8a – U</w:t>
      </w:r>
      <w:r w:rsidR="00643FAF" w:rsidRPr="005358D4">
        <w:t>pdated to reflect FRN publication information</w:t>
      </w:r>
      <w:r w:rsidR="004B5421" w:rsidRPr="005358D4">
        <w:t>.</w:t>
      </w:r>
    </w:p>
    <w:p w:rsidR="005358D4" w:rsidRPr="005358D4" w:rsidRDefault="005358D4" w:rsidP="00BB3769"/>
    <w:p w:rsidR="007A3831" w:rsidRDefault="00C557B8">
      <w:r w:rsidRPr="005358D4">
        <w:t>Question 10 – Updated to reflect current privacy information</w:t>
      </w:r>
      <w:r w:rsidR="004B5421" w:rsidRPr="005358D4">
        <w:t>.</w:t>
      </w:r>
    </w:p>
    <w:p w:rsidR="005358D4" w:rsidRPr="005358D4" w:rsidRDefault="005358D4"/>
    <w:p w:rsidR="00A402B9" w:rsidRPr="005358D4" w:rsidRDefault="00A402B9">
      <w:r w:rsidRPr="005358D4">
        <w:t xml:space="preserve">Question 12 – </w:t>
      </w:r>
      <w:r w:rsidR="00643FAF" w:rsidRPr="005358D4">
        <w:t xml:space="preserve">Number of </w:t>
      </w:r>
      <w:r w:rsidR="00BB3769" w:rsidRPr="005358D4">
        <w:t>burden hours and</w:t>
      </w:r>
      <w:r w:rsidR="0015300C">
        <w:t xml:space="preserve"> </w:t>
      </w:r>
      <w:r w:rsidR="007A3831" w:rsidRPr="005358D4">
        <w:t xml:space="preserve">respondents </w:t>
      </w:r>
      <w:r w:rsidR="003E0891">
        <w:t xml:space="preserve">has </w:t>
      </w:r>
      <w:r w:rsidR="004B5421" w:rsidRPr="004E14A8">
        <w:t>increased</w:t>
      </w:r>
      <w:r w:rsidR="00643FAF" w:rsidRPr="005358D4">
        <w:t>.</w:t>
      </w:r>
      <w:r w:rsidRPr="005358D4">
        <w:t xml:space="preserve">  See</w:t>
      </w:r>
      <w:r w:rsidR="004D1610">
        <w:t xml:space="preserve"> </w:t>
      </w:r>
      <w:r w:rsidRPr="005358D4">
        <w:t>Question 15 for explanation.</w:t>
      </w:r>
      <w:r w:rsidR="00C51063" w:rsidRPr="005358D4">
        <w:t xml:space="preserve">  </w:t>
      </w:r>
    </w:p>
    <w:p w:rsidR="001927FD" w:rsidRPr="004E14A8" w:rsidRDefault="001927FD"/>
    <w:p w:rsidR="00643FAF" w:rsidRPr="004E14A8" w:rsidRDefault="00643FAF">
      <w:r w:rsidRPr="004E14A8">
        <w:t xml:space="preserve">Question 14 </w:t>
      </w:r>
      <w:r w:rsidR="0015300C">
        <w:t>– C</w:t>
      </w:r>
      <w:r w:rsidRPr="004E14A8">
        <w:t>osts to the Federal Government</w:t>
      </w:r>
      <w:r w:rsidR="0015300C">
        <w:t xml:space="preserve"> updated.</w:t>
      </w:r>
    </w:p>
    <w:p w:rsidR="00643FAF" w:rsidRPr="004E14A8" w:rsidRDefault="00643FAF"/>
    <w:tbl>
      <w:tblPr>
        <w:tblW w:w="10260" w:type="dxa"/>
        <w:tblInd w:w="-80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080"/>
        <w:gridCol w:w="900"/>
        <w:gridCol w:w="1170"/>
        <w:gridCol w:w="1350"/>
        <w:gridCol w:w="1440"/>
        <w:gridCol w:w="900"/>
        <w:gridCol w:w="810"/>
        <w:gridCol w:w="1260"/>
      </w:tblGrid>
      <w:tr w:rsidR="0015300C" w:rsidRPr="00562915" w:rsidTr="009715FE">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5300C" w:rsidRPr="00562915" w:rsidRDefault="0015300C" w:rsidP="009715FE">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15300C" w:rsidRPr="00562915" w:rsidTr="009715FE">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08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No. of Respon-dents</w:t>
            </w:r>
          </w:p>
        </w:tc>
        <w:tc>
          <w:tcPr>
            <w:tcW w:w="117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No. of Respon-ses per Respon-dent</w:t>
            </w:r>
          </w:p>
        </w:tc>
        <w:tc>
          <w:tcPr>
            <w:tcW w:w="135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44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15300C" w:rsidRPr="00562915" w:rsidTr="009715FE">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15300C" w:rsidRPr="00A43273" w:rsidRDefault="0015300C" w:rsidP="009715FE">
            <w:pPr>
              <w:rPr>
                <w:color w:val="000000"/>
                <w:sz w:val="18"/>
                <w:szCs w:val="18"/>
              </w:rPr>
            </w:pPr>
            <w:r w:rsidRPr="00A43273">
              <w:rPr>
                <w:color w:val="000000"/>
                <w:sz w:val="18"/>
                <w:szCs w:val="18"/>
              </w:rPr>
              <w:t>Individuals or Households</w:t>
            </w:r>
          </w:p>
        </w:tc>
        <w:tc>
          <w:tcPr>
            <w:tcW w:w="108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rPr>
                <w:color w:val="000000"/>
                <w:sz w:val="18"/>
                <w:szCs w:val="18"/>
              </w:rPr>
            </w:pPr>
            <w:r w:rsidRPr="00A43273">
              <w:rPr>
                <w:color w:val="000000"/>
                <w:sz w:val="18"/>
                <w:szCs w:val="18"/>
              </w:rPr>
              <w:t>Debt Collection Financial Statement / FEMA Form 127-0-1</w:t>
            </w:r>
          </w:p>
        </w:tc>
        <w:tc>
          <w:tcPr>
            <w:tcW w:w="90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2,000</w:t>
            </w:r>
          </w:p>
        </w:tc>
        <w:tc>
          <w:tcPr>
            <w:tcW w:w="117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1</w:t>
            </w:r>
          </w:p>
        </w:tc>
        <w:tc>
          <w:tcPr>
            <w:tcW w:w="135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2,000</w:t>
            </w:r>
          </w:p>
        </w:tc>
        <w:tc>
          <w:tcPr>
            <w:tcW w:w="144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45</w:t>
            </w:r>
            <w:r>
              <w:rPr>
                <w:color w:val="000000"/>
                <w:sz w:val="18"/>
                <w:szCs w:val="18"/>
              </w:rPr>
              <w:t xml:space="preserve"> m</w:t>
            </w:r>
            <w:r w:rsidRPr="00A43273">
              <w:rPr>
                <w:color w:val="000000"/>
                <w:sz w:val="18"/>
                <w:szCs w:val="18"/>
              </w:rPr>
              <w:t>inutes</w:t>
            </w:r>
          </w:p>
        </w:tc>
        <w:tc>
          <w:tcPr>
            <w:tcW w:w="90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1,500</w:t>
            </w:r>
          </w:p>
        </w:tc>
        <w:tc>
          <w:tcPr>
            <w:tcW w:w="81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$33.74</w:t>
            </w:r>
          </w:p>
        </w:tc>
        <w:tc>
          <w:tcPr>
            <w:tcW w:w="1260" w:type="dxa"/>
            <w:tcBorders>
              <w:top w:val="nil"/>
              <w:left w:val="nil"/>
              <w:bottom w:val="single" w:sz="8" w:space="0" w:color="auto"/>
              <w:right w:val="single" w:sz="8" w:space="0" w:color="auto"/>
            </w:tcBorders>
            <w:shd w:val="clear" w:color="auto" w:fill="auto"/>
            <w:vAlign w:val="bottom"/>
            <w:hideMark/>
          </w:tcPr>
          <w:p w:rsidR="0015300C" w:rsidRPr="00A43273" w:rsidRDefault="0015300C" w:rsidP="009715FE">
            <w:pPr>
              <w:jc w:val="center"/>
              <w:rPr>
                <w:color w:val="000000"/>
                <w:sz w:val="18"/>
                <w:szCs w:val="18"/>
              </w:rPr>
            </w:pPr>
            <w:r w:rsidRPr="00A43273">
              <w:rPr>
                <w:color w:val="000000"/>
                <w:sz w:val="18"/>
                <w:szCs w:val="18"/>
              </w:rPr>
              <w:t>$50,610.00</w:t>
            </w:r>
          </w:p>
        </w:tc>
      </w:tr>
      <w:tr w:rsidR="0015300C" w:rsidRPr="00562915" w:rsidTr="009715F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15300C" w:rsidRPr="00562915" w:rsidRDefault="0015300C" w:rsidP="009715FE">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080" w:type="dxa"/>
            <w:tcBorders>
              <w:top w:val="nil"/>
              <w:left w:val="nil"/>
              <w:bottom w:val="single" w:sz="8" w:space="0" w:color="auto"/>
              <w:right w:val="single" w:sz="8" w:space="0" w:color="auto"/>
            </w:tcBorders>
            <w:shd w:val="clear" w:color="auto" w:fill="000000" w:themeFill="text1"/>
            <w:vAlign w:val="center"/>
            <w:hideMark/>
          </w:tcPr>
          <w:p w:rsidR="0015300C" w:rsidRPr="00562915" w:rsidRDefault="0015300C" w:rsidP="009715FE">
            <w:pPr>
              <w:jc w:val="center"/>
              <w:rPr>
                <w:rFonts w:ascii="Arial" w:hAnsi="Arial" w:cs="Arial"/>
                <w:color w:val="000000"/>
                <w:sz w:val="18"/>
                <w:szCs w:val="18"/>
              </w:rPr>
            </w:pPr>
            <w:r w:rsidRPr="00562915">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15300C" w:rsidRPr="00A43273" w:rsidRDefault="0015300C" w:rsidP="009715FE">
            <w:pPr>
              <w:jc w:val="center"/>
              <w:rPr>
                <w:b/>
                <w:bCs/>
                <w:color w:val="000000"/>
                <w:sz w:val="18"/>
                <w:szCs w:val="18"/>
              </w:rPr>
            </w:pPr>
            <w:r w:rsidRPr="00A43273">
              <w:rPr>
                <w:b/>
                <w:bCs/>
                <w:color w:val="000000"/>
                <w:sz w:val="18"/>
                <w:szCs w:val="18"/>
              </w:rPr>
              <w:t>2,000 </w:t>
            </w:r>
          </w:p>
        </w:tc>
        <w:tc>
          <w:tcPr>
            <w:tcW w:w="1170" w:type="dxa"/>
            <w:tcBorders>
              <w:top w:val="nil"/>
              <w:left w:val="nil"/>
              <w:bottom w:val="single" w:sz="8" w:space="0" w:color="auto"/>
              <w:right w:val="single" w:sz="8" w:space="0" w:color="auto"/>
            </w:tcBorders>
            <w:shd w:val="clear" w:color="000000" w:fill="000000"/>
            <w:vAlign w:val="center"/>
            <w:hideMark/>
          </w:tcPr>
          <w:p w:rsidR="0015300C" w:rsidRPr="00A43273" w:rsidRDefault="0015300C" w:rsidP="009715FE">
            <w:pPr>
              <w:jc w:val="center"/>
              <w:rPr>
                <w:b/>
                <w:color w:val="000000"/>
                <w:sz w:val="18"/>
                <w:szCs w:val="18"/>
              </w:rPr>
            </w:pPr>
            <w:r w:rsidRPr="00A43273">
              <w:rPr>
                <w:b/>
                <w:color w:val="000000"/>
                <w:sz w:val="18"/>
                <w:szCs w:val="18"/>
              </w:rPr>
              <w:t> </w:t>
            </w:r>
          </w:p>
        </w:tc>
        <w:tc>
          <w:tcPr>
            <w:tcW w:w="1350" w:type="dxa"/>
            <w:tcBorders>
              <w:top w:val="nil"/>
              <w:left w:val="nil"/>
              <w:bottom w:val="single" w:sz="8" w:space="0" w:color="auto"/>
              <w:right w:val="single" w:sz="8" w:space="0" w:color="auto"/>
            </w:tcBorders>
            <w:shd w:val="clear" w:color="000000" w:fill="FFFFFF"/>
            <w:vAlign w:val="center"/>
            <w:hideMark/>
          </w:tcPr>
          <w:p w:rsidR="0015300C" w:rsidRPr="00A43273" w:rsidRDefault="0015300C" w:rsidP="009715FE">
            <w:pPr>
              <w:jc w:val="center"/>
              <w:rPr>
                <w:b/>
                <w:color w:val="000000"/>
                <w:sz w:val="18"/>
                <w:szCs w:val="18"/>
              </w:rPr>
            </w:pPr>
            <w:r w:rsidRPr="00A43273">
              <w:rPr>
                <w:b/>
                <w:color w:val="000000"/>
                <w:sz w:val="18"/>
                <w:szCs w:val="18"/>
              </w:rPr>
              <w:t>2,000 </w:t>
            </w:r>
          </w:p>
        </w:tc>
        <w:tc>
          <w:tcPr>
            <w:tcW w:w="1440" w:type="dxa"/>
            <w:tcBorders>
              <w:top w:val="nil"/>
              <w:left w:val="nil"/>
              <w:bottom w:val="single" w:sz="8" w:space="0" w:color="auto"/>
              <w:right w:val="single" w:sz="8" w:space="0" w:color="auto"/>
            </w:tcBorders>
            <w:shd w:val="clear" w:color="000000" w:fill="000000"/>
            <w:vAlign w:val="center"/>
            <w:hideMark/>
          </w:tcPr>
          <w:p w:rsidR="0015300C" w:rsidRPr="00562915" w:rsidRDefault="0015300C" w:rsidP="009715FE">
            <w:pPr>
              <w:jc w:val="center"/>
              <w:rPr>
                <w:rFonts w:ascii="Arial" w:hAnsi="Arial" w:cs="Arial"/>
                <w:color w:val="000000"/>
                <w:sz w:val="18"/>
                <w:szCs w:val="18"/>
              </w:rPr>
            </w:pPr>
            <w:r w:rsidRPr="00562915">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15300C" w:rsidRPr="00A43273" w:rsidRDefault="0015300C" w:rsidP="009715FE">
            <w:pPr>
              <w:jc w:val="center"/>
              <w:rPr>
                <w:b/>
                <w:bCs/>
                <w:color w:val="000000"/>
                <w:sz w:val="18"/>
                <w:szCs w:val="18"/>
              </w:rPr>
            </w:pPr>
            <w:r w:rsidRPr="00A43273">
              <w:rPr>
                <w:b/>
                <w:bCs/>
                <w:color w:val="000000"/>
                <w:sz w:val="18"/>
                <w:szCs w:val="18"/>
              </w:rPr>
              <w:t>1,500 </w:t>
            </w:r>
          </w:p>
        </w:tc>
        <w:tc>
          <w:tcPr>
            <w:tcW w:w="810" w:type="dxa"/>
            <w:tcBorders>
              <w:top w:val="nil"/>
              <w:left w:val="nil"/>
              <w:bottom w:val="single" w:sz="8" w:space="0" w:color="auto"/>
              <w:right w:val="single" w:sz="8" w:space="0" w:color="auto"/>
            </w:tcBorders>
            <w:shd w:val="clear" w:color="000000" w:fill="000000"/>
            <w:vAlign w:val="center"/>
            <w:hideMark/>
          </w:tcPr>
          <w:p w:rsidR="0015300C" w:rsidRPr="00562915" w:rsidRDefault="0015300C" w:rsidP="009715FE">
            <w:pPr>
              <w:jc w:val="center"/>
              <w:rPr>
                <w:rFonts w:ascii="Arial" w:hAnsi="Arial" w:cs="Arial"/>
                <w:color w:val="000000"/>
                <w:sz w:val="18"/>
                <w:szCs w:val="18"/>
              </w:rPr>
            </w:pPr>
            <w:r w:rsidRPr="00562915">
              <w:rPr>
                <w:rFonts w:ascii="Arial"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15300C" w:rsidRPr="00A43273" w:rsidRDefault="0015300C" w:rsidP="009715FE">
            <w:pPr>
              <w:jc w:val="center"/>
              <w:rPr>
                <w:rFonts w:ascii="Arial" w:hAnsi="Arial" w:cs="Arial"/>
                <w:b/>
                <w:bCs/>
                <w:color w:val="000000"/>
                <w:sz w:val="18"/>
                <w:szCs w:val="18"/>
              </w:rPr>
            </w:pPr>
            <w:r w:rsidRPr="00A43273">
              <w:rPr>
                <w:color w:val="000000"/>
                <w:sz w:val="18"/>
                <w:szCs w:val="18"/>
              </w:rPr>
              <w:t> </w:t>
            </w:r>
            <w:r w:rsidRPr="00A43273">
              <w:rPr>
                <w:b/>
                <w:color w:val="000000"/>
                <w:sz w:val="18"/>
                <w:szCs w:val="18"/>
              </w:rPr>
              <w:t>$50,610.00</w:t>
            </w:r>
            <w:r w:rsidRPr="00A43273">
              <w:rPr>
                <w:rFonts w:ascii="Arial" w:hAnsi="Arial" w:cs="Arial"/>
                <w:b/>
                <w:bCs/>
                <w:color w:val="000000"/>
                <w:sz w:val="18"/>
                <w:szCs w:val="18"/>
              </w:rPr>
              <w:t> </w:t>
            </w:r>
          </w:p>
        </w:tc>
      </w:tr>
    </w:tbl>
    <w:p w:rsidR="0015300C" w:rsidRDefault="0015300C" w:rsidP="0015300C">
      <w:pPr>
        <w:numPr>
          <w:ilvl w:val="0"/>
          <w:numId w:val="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15300C" w:rsidRDefault="0015300C" w:rsidP="0015300C">
      <w:pPr>
        <w:tabs>
          <w:tab w:val="left" w:pos="-720"/>
        </w:tabs>
        <w:suppressAutoHyphens/>
        <w:rPr>
          <w:sz w:val="16"/>
          <w:szCs w:val="16"/>
        </w:rPr>
      </w:pPr>
    </w:p>
    <w:p w:rsidR="00594259" w:rsidRPr="004E14A8" w:rsidRDefault="00594259" w:rsidP="00B11616">
      <w:pPr>
        <w:pStyle w:val="NormalWeb"/>
        <w:spacing w:before="0" w:beforeAutospacing="0" w:after="0" w:afterAutospacing="0"/>
        <w:jc w:val="center"/>
        <w:rPr>
          <w:b/>
        </w:rPr>
      </w:pPr>
    </w:p>
    <w:p w:rsidR="00594259" w:rsidRPr="004E14A8" w:rsidRDefault="00594259" w:rsidP="00B11616">
      <w:pPr>
        <w:pStyle w:val="NormalWeb"/>
        <w:spacing w:before="0" w:beforeAutospacing="0" w:after="0" w:afterAutospacing="0"/>
        <w:jc w:val="center"/>
        <w:rPr>
          <w:b/>
        </w:rPr>
      </w:pPr>
    </w:p>
    <w:p w:rsidR="00594259" w:rsidRDefault="00594259"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Default="0015300C" w:rsidP="00B11616">
      <w:pPr>
        <w:pStyle w:val="NormalWeb"/>
        <w:spacing w:before="0" w:beforeAutospacing="0" w:after="0" w:afterAutospacing="0"/>
        <w:jc w:val="center"/>
        <w:rPr>
          <w:b/>
        </w:rPr>
      </w:pPr>
    </w:p>
    <w:p w:rsidR="0015300C" w:rsidRPr="004E14A8" w:rsidRDefault="0015300C" w:rsidP="00B11616">
      <w:pPr>
        <w:pStyle w:val="NormalWeb"/>
        <w:spacing w:before="0" w:beforeAutospacing="0" w:after="0" w:afterAutospacing="0"/>
        <w:jc w:val="center"/>
        <w:rPr>
          <w:b/>
        </w:rPr>
      </w:pPr>
    </w:p>
    <w:p w:rsidR="0015300C" w:rsidRPr="004E14A8" w:rsidRDefault="0015300C" w:rsidP="0015300C">
      <w:r w:rsidRPr="004E14A8">
        <w:lastRenderedPageBreak/>
        <w:t>Question 15 – Burden hour increase explained.</w:t>
      </w:r>
    </w:p>
    <w:p w:rsidR="0015300C" w:rsidRPr="004E14A8" w:rsidRDefault="0015300C" w:rsidP="0015300C"/>
    <w:p w:rsidR="0015300C" w:rsidRPr="004E14A8" w:rsidRDefault="0015300C" w:rsidP="0015300C">
      <w:pPr>
        <w:rPr>
          <w:b/>
          <w:bCs/>
          <w:i/>
        </w:rPr>
      </w:pPr>
      <w:r w:rsidRPr="004E14A8">
        <w:rPr>
          <w:b/>
          <w:bCs/>
          <w:i/>
          <w:u w:val="single"/>
        </w:rPr>
        <w:t xml:space="preserve">Insert full explanation and chart from </w:t>
      </w:r>
      <w:r>
        <w:rPr>
          <w:b/>
          <w:bCs/>
          <w:i/>
          <w:u w:val="single"/>
        </w:rPr>
        <w:t xml:space="preserve">question </w:t>
      </w:r>
      <w:r w:rsidRPr="004E14A8">
        <w:rPr>
          <w:b/>
          <w:bCs/>
          <w:i/>
          <w:u w:val="single"/>
        </w:rPr>
        <w:t>15</w:t>
      </w:r>
      <w:r>
        <w:rPr>
          <w:b/>
          <w:bCs/>
          <w:i/>
          <w:u w:val="single"/>
        </w:rPr>
        <w:t xml:space="preserve"> </w:t>
      </w:r>
      <w:r w:rsidRPr="004E14A8">
        <w:rPr>
          <w:b/>
          <w:bCs/>
          <w:i/>
          <w:u w:val="single"/>
        </w:rPr>
        <w:t>below</w:t>
      </w:r>
      <w:r w:rsidRPr="004E14A8">
        <w:rPr>
          <w:b/>
          <w:bCs/>
          <w:i/>
        </w:rPr>
        <w:t>.</w:t>
      </w:r>
    </w:p>
    <w:p w:rsidR="0015300C" w:rsidRDefault="0015300C" w:rsidP="0015300C">
      <w:pPr>
        <w:rPr>
          <w:b/>
          <w:bCs/>
        </w:rPr>
      </w:pPr>
    </w:p>
    <w:p w:rsidR="00F45537" w:rsidRDefault="00F45537" w:rsidP="0015300C">
      <w:pPr>
        <w:rPr>
          <w:b/>
          <w:bCs/>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15300C" w:rsidTr="009715F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5300C" w:rsidRDefault="0015300C" w:rsidP="009715FE">
            <w:pPr>
              <w:jc w:val="center"/>
              <w:rPr>
                <w:b/>
                <w:bCs/>
                <w:sz w:val="18"/>
                <w:szCs w:val="18"/>
              </w:rPr>
            </w:pPr>
            <w:r>
              <w:rPr>
                <w:b/>
                <w:bCs/>
                <w:sz w:val="18"/>
                <w:szCs w:val="18"/>
              </w:rPr>
              <w:t>Itemized Changes in Annual Burden Hours</w:t>
            </w:r>
          </w:p>
        </w:tc>
      </w:tr>
      <w:tr w:rsidR="0015300C" w:rsidTr="009715FE">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15300C" w:rsidRPr="00757122" w:rsidRDefault="0015300C" w:rsidP="009715FE">
            <w:pPr>
              <w:jc w:val="center"/>
              <w:rPr>
                <w:b/>
                <w:bCs/>
                <w:sz w:val="18"/>
                <w:szCs w:val="18"/>
              </w:rPr>
            </w:pPr>
            <w:r w:rsidRPr="00757122">
              <w:rPr>
                <w:b/>
                <w:bCs/>
                <w:sz w:val="18"/>
                <w:szCs w:val="18"/>
              </w:rPr>
              <w:t>Difference</w:t>
            </w:r>
          </w:p>
        </w:tc>
      </w:tr>
      <w:tr w:rsidR="0015300C" w:rsidTr="009715F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5300C" w:rsidRPr="00757122" w:rsidRDefault="0015300C" w:rsidP="009715FE">
            <w:pPr>
              <w:rPr>
                <w:sz w:val="18"/>
                <w:szCs w:val="18"/>
              </w:rPr>
            </w:pPr>
            <w:r w:rsidRPr="00A43273">
              <w:rPr>
                <w:color w:val="000000"/>
                <w:sz w:val="18"/>
                <w:szCs w:val="18"/>
              </w:rPr>
              <w:t>Debt Collection Financial Statement / FEMA Form 127-0-1</w:t>
            </w:r>
            <w:r w:rsidRPr="00757122">
              <w:rPr>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sz w:val="18"/>
                <w:szCs w:val="18"/>
              </w:rPr>
            </w:pPr>
            <w:r>
              <w:rPr>
                <w:sz w:val="18"/>
                <w:szCs w:val="18"/>
              </w:rPr>
              <w:t>1,200</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sz w:val="18"/>
                <w:szCs w:val="18"/>
              </w:rPr>
            </w:pPr>
            <w:r w:rsidRPr="00757122">
              <w:rPr>
                <w:sz w:val="18"/>
                <w:szCs w:val="18"/>
              </w:rPr>
              <w:t> </w:t>
            </w:r>
            <w:r>
              <w:rPr>
                <w:sz w:val="18"/>
                <w:szCs w:val="18"/>
              </w:rPr>
              <w:t>1,500</w:t>
            </w:r>
          </w:p>
        </w:tc>
        <w:tc>
          <w:tcPr>
            <w:tcW w:w="1740" w:type="dxa"/>
            <w:tcBorders>
              <w:top w:val="nil"/>
              <w:left w:val="nil"/>
              <w:bottom w:val="single" w:sz="8" w:space="0" w:color="auto"/>
              <w:right w:val="single" w:sz="8" w:space="0" w:color="auto"/>
            </w:tcBorders>
            <w:shd w:val="clear" w:color="auto" w:fill="auto"/>
            <w:vAlign w:val="bottom"/>
          </w:tcPr>
          <w:p w:rsidR="0015300C" w:rsidRPr="00757122" w:rsidRDefault="00CF7E8E" w:rsidP="00CF7E8E">
            <w:pPr>
              <w:jc w:val="center"/>
              <w:rPr>
                <w:sz w:val="18"/>
                <w:szCs w:val="18"/>
              </w:rPr>
            </w:pPr>
            <w:r>
              <w:rPr>
                <w:sz w:val="18"/>
                <w:szCs w:val="18"/>
              </w:rPr>
              <w:t>+</w:t>
            </w:r>
            <w:r w:rsidR="0015300C">
              <w:rPr>
                <w:sz w:val="18"/>
                <w:szCs w:val="18"/>
              </w:rPr>
              <w:t>300</w:t>
            </w:r>
          </w:p>
        </w:tc>
      </w:tr>
      <w:tr w:rsidR="0015300C" w:rsidTr="009715F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5300C" w:rsidRPr="00757122" w:rsidRDefault="0015300C" w:rsidP="009715FE">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5300C" w:rsidRPr="00757122" w:rsidRDefault="0015300C" w:rsidP="009715FE">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5300C" w:rsidRPr="0015300C" w:rsidRDefault="0015300C" w:rsidP="009715FE">
            <w:pPr>
              <w:jc w:val="center"/>
              <w:rPr>
                <w:b/>
                <w:sz w:val="18"/>
                <w:szCs w:val="18"/>
              </w:rPr>
            </w:pPr>
            <w:r w:rsidRPr="0015300C">
              <w:rPr>
                <w:b/>
                <w:sz w:val="18"/>
                <w:szCs w:val="18"/>
              </w:rPr>
              <w:t>1,200 </w:t>
            </w:r>
          </w:p>
        </w:tc>
        <w:tc>
          <w:tcPr>
            <w:tcW w:w="1420" w:type="dxa"/>
            <w:tcBorders>
              <w:top w:val="nil"/>
              <w:left w:val="nil"/>
              <w:bottom w:val="single" w:sz="8" w:space="0" w:color="auto"/>
              <w:right w:val="single" w:sz="8" w:space="0" w:color="auto"/>
            </w:tcBorders>
            <w:shd w:val="clear" w:color="auto" w:fill="auto"/>
            <w:vAlign w:val="bottom"/>
          </w:tcPr>
          <w:p w:rsidR="0015300C" w:rsidRPr="0015300C" w:rsidRDefault="0015300C" w:rsidP="009715FE">
            <w:pPr>
              <w:jc w:val="center"/>
              <w:rPr>
                <w:b/>
                <w:sz w:val="18"/>
                <w:szCs w:val="18"/>
              </w:rPr>
            </w:pPr>
            <w:r w:rsidRPr="0015300C">
              <w:rPr>
                <w:b/>
                <w:sz w:val="18"/>
                <w:szCs w:val="18"/>
              </w:rPr>
              <w:t> 1,500</w:t>
            </w:r>
          </w:p>
        </w:tc>
        <w:tc>
          <w:tcPr>
            <w:tcW w:w="1740" w:type="dxa"/>
            <w:tcBorders>
              <w:top w:val="nil"/>
              <w:left w:val="nil"/>
              <w:bottom w:val="single" w:sz="8" w:space="0" w:color="auto"/>
              <w:right w:val="single" w:sz="8" w:space="0" w:color="auto"/>
            </w:tcBorders>
            <w:shd w:val="clear" w:color="auto" w:fill="auto"/>
            <w:vAlign w:val="bottom"/>
          </w:tcPr>
          <w:p w:rsidR="0015300C" w:rsidRPr="0015300C" w:rsidRDefault="00CF7E8E" w:rsidP="00CF7E8E">
            <w:pPr>
              <w:jc w:val="center"/>
              <w:rPr>
                <w:b/>
                <w:sz w:val="18"/>
                <w:szCs w:val="18"/>
              </w:rPr>
            </w:pPr>
            <w:r>
              <w:rPr>
                <w:b/>
                <w:sz w:val="18"/>
                <w:szCs w:val="18"/>
              </w:rPr>
              <w:t>+</w:t>
            </w:r>
            <w:r w:rsidR="0015300C" w:rsidRPr="0015300C">
              <w:rPr>
                <w:b/>
                <w:sz w:val="18"/>
                <w:szCs w:val="18"/>
              </w:rPr>
              <w:t>300</w:t>
            </w:r>
          </w:p>
        </w:tc>
      </w:tr>
    </w:tbl>
    <w:p w:rsidR="0015300C" w:rsidRDefault="0015300C" w:rsidP="0015300C">
      <w:pPr>
        <w:rPr>
          <w:b/>
          <w:bCs/>
          <w:i/>
        </w:rPr>
      </w:pPr>
    </w:p>
    <w:p w:rsidR="0015300C" w:rsidRDefault="0015300C" w:rsidP="0015300C">
      <w:pPr>
        <w:rPr>
          <w:b/>
          <w:bCs/>
          <w:i/>
        </w:rPr>
      </w:pPr>
      <w:r w:rsidRPr="006625E7">
        <w:rPr>
          <w:b/>
          <w:bCs/>
          <w:i/>
        </w:rPr>
        <w:t>Explain:</w:t>
      </w:r>
    </w:p>
    <w:p w:rsidR="0015300C" w:rsidRDefault="0015300C" w:rsidP="0015300C">
      <w:pPr>
        <w:rPr>
          <w:b/>
          <w:bCs/>
          <w:i/>
        </w:rPr>
      </w:pPr>
    </w:p>
    <w:p w:rsidR="0015300C" w:rsidRDefault="0015300C" w:rsidP="0015300C">
      <w:pPr>
        <w:rPr>
          <w:rFonts w:eastAsia="Calibri"/>
          <w:b/>
          <w:bCs/>
          <w:i/>
        </w:rPr>
      </w:pPr>
      <w:r w:rsidRPr="00075120">
        <w:rPr>
          <w:bCs/>
        </w:rPr>
        <w:t>There has been an increase in the annual hour burden from 1,200 to 1,500; an increase of 300 hours.  This increase is due to the expected number of recipients of disaster assistance and the more intensive efforts by FEMA to collect overpayments to those disaster assistance recipients that were provided assistance funds exceeding allowable levels. FEMA is making more effort to provide installment agreements to those with debts to the agency.</w:t>
      </w:r>
      <w:r w:rsidRPr="00075120">
        <w:t xml:space="preserve"> </w:t>
      </w:r>
      <w:bookmarkStart w:id="0" w:name="_GoBack"/>
      <w:bookmarkEnd w:id="0"/>
    </w:p>
    <w:p w:rsidR="00E37F23" w:rsidRPr="004E14A8" w:rsidRDefault="00E37F23" w:rsidP="00E37F23">
      <w:pPr>
        <w:rPr>
          <w:bCs/>
        </w:rPr>
      </w:pPr>
    </w:p>
    <w:p w:rsidR="004B5421" w:rsidRPr="004E14A8" w:rsidRDefault="004B5421" w:rsidP="00E37F23">
      <w:pPr>
        <w:rPr>
          <w:bCs/>
        </w:rPr>
      </w:pPr>
    </w:p>
    <w:p w:rsidR="004B5421" w:rsidRPr="004E14A8" w:rsidRDefault="004B5421" w:rsidP="00E37F23">
      <w:pPr>
        <w:rPr>
          <w:bCs/>
        </w:rPr>
      </w:pPr>
    </w:p>
    <w:p w:rsidR="004B5421" w:rsidRPr="004E14A8" w:rsidRDefault="004B5421" w:rsidP="00E37F23">
      <w:pPr>
        <w:rPr>
          <w:bCs/>
          <w:u w:val="single"/>
        </w:rPr>
      </w:pPr>
    </w:p>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A9E"/>
    <w:multiLevelType w:val="hybridMultilevel"/>
    <w:tmpl w:val="C14AB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02AAE"/>
    <w:rsid w:val="00140471"/>
    <w:rsid w:val="0015300C"/>
    <w:rsid w:val="001567A0"/>
    <w:rsid w:val="001927FD"/>
    <w:rsid w:val="001B5711"/>
    <w:rsid w:val="001D32C1"/>
    <w:rsid w:val="00201F20"/>
    <w:rsid w:val="00287348"/>
    <w:rsid w:val="00315CC4"/>
    <w:rsid w:val="00325DE8"/>
    <w:rsid w:val="003376D8"/>
    <w:rsid w:val="00356095"/>
    <w:rsid w:val="003811EC"/>
    <w:rsid w:val="003C782D"/>
    <w:rsid w:val="003E0891"/>
    <w:rsid w:val="00425814"/>
    <w:rsid w:val="00461A94"/>
    <w:rsid w:val="004A3609"/>
    <w:rsid w:val="004A5C77"/>
    <w:rsid w:val="004A7D9C"/>
    <w:rsid w:val="004B5421"/>
    <w:rsid w:val="004D1610"/>
    <w:rsid w:val="004E14A8"/>
    <w:rsid w:val="004E547A"/>
    <w:rsid w:val="005358D4"/>
    <w:rsid w:val="005629F5"/>
    <w:rsid w:val="00590D48"/>
    <w:rsid w:val="00594259"/>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E7A98"/>
    <w:rsid w:val="00B11616"/>
    <w:rsid w:val="00B96CCF"/>
    <w:rsid w:val="00BB3769"/>
    <w:rsid w:val="00BC4A3D"/>
    <w:rsid w:val="00BD0143"/>
    <w:rsid w:val="00BF0EB5"/>
    <w:rsid w:val="00BF527D"/>
    <w:rsid w:val="00C51063"/>
    <w:rsid w:val="00C557B8"/>
    <w:rsid w:val="00CF7E8E"/>
    <w:rsid w:val="00D068CF"/>
    <w:rsid w:val="00D13036"/>
    <w:rsid w:val="00D20FD6"/>
    <w:rsid w:val="00D43E73"/>
    <w:rsid w:val="00D7452B"/>
    <w:rsid w:val="00D82232"/>
    <w:rsid w:val="00E37F23"/>
    <w:rsid w:val="00E6056C"/>
    <w:rsid w:val="00E93260"/>
    <w:rsid w:val="00E941B7"/>
    <w:rsid w:val="00EC2D3A"/>
    <w:rsid w:val="00F045DD"/>
    <w:rsid w:val="00F45537"/>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3376D8"/>
    <w:pPr>
      <w:ind w:left="720"/>
      <w:contextualSpacing/>
    </w:pPr>
  </w:style>
  <w:style w:type="paragraph" w:styleId="BalloonText">
    <w:name w:val="Balloon Text"/>
    <w:basedOn w:val="Normal"/>
    <w:link w:val="BalloonTextChar"/>
    <w:uiPriority w:val="99"/>
    <w:semiHidden/>
    <w:unhideWhenUsed/>
    <w:rsid w:val="003376D8"/>
    <w:rPr>
      <w:rFonts w:ascii="Tahoma" w:hAnsi="Tahoma" w:cs="Tahoma"/>
      <w:sz w:val="16"/>
      <w:szCs w:val="16"/>
    </w:rPr>
  </w:style>
  <w:style w:type="character" w:customStyle="1" w:styleId="BalloonTextChar">
    <w:name w:val="Balloon Text Char"/>
    <w:basedOn w:val="DefaultParagraphFont"/>
    <w:link w:val="BalloonText"/>
    <w:uiPriority w:val="99"/>
    <w:semiHidden/>
    <w:rsid w:val="003376D8"/>
    <w:rPr>
      <w:rFonts w:ascii="Tahoma" w:eastAsia="Times New Roman" w:hAnsi="Tahoma" w:cs="Tahoma"/>
      <w:sz w:val="16"/>
      <w:szCs w:val="16"/>
    </w:rPr>
  </w:style>
  <w:style w:type="character" w:styleId="Hyperlink">
    <w:name w:val="Hyperlink"/>
    <w:rsid w:val="00C510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3376D8"/>
    <w:pPr>
      <w:ind w:left="720"/>
      <w:contextualSpacing/>
    </w:pPr>
  </w:style>
  <w:style w:type="paragraph" w:styleId="BalloonText">
    <w:name w:val="Balloon Text"/>
    <w:basedOn w:val="Normal"/>
    <w:link w:val="BalloonTextChar"/>
    <w:uiPriority w:val="99"/>
    <w:semiHidden/>
    <w:unhideWhenUsed/>
    <w:rsid w:val="003376D8"/>
    <w:rPr>
      <w:rFonts w:ascii="Tahoma" w:hAnsi="Tahoma" w:cs="Tahoma"/>
      <w:sz w:val="16"/>
      <w:szCs w:val="16"/>
    </w:rPr>
  </w:style>
  <w:style w:type="character" w:customStyle="1" w:styleId="BalloonTextChar">
    <w:name w:val="Balloon Text Char"/>
    <w:basedOn w:val="DefaultParagraphFont"/>
    <w:link w:val="BalloonText"/>
    <w:uiPriority w:val="99"/>
    <w:semiHidden/>
    <w:rsid w:val="003376D8"/>
    <w:rPr>
      <w:rFonts w:ascii="Tahoma" w:eastAsia="Times New Roman" w:hAnsi="Tahoma" w:cs="Tahoma"/>
      <w:sz w:val="16"/>
      <w:szCs w:val="16"/>
    </w:rPr>
  </w:style>
  <w:style w:type="character" w:styleId="Hyperlink">
    <w:name w:val="Hyperlink"/>
    <w:rsid w:val="00C51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8922-F2AB-44A1-BE0A-A85D32D3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6</cp:revision>
  <dcterms:created xsi:type="dcterms:W3CDTF">2014-01-23T18:46:00Z</dcterms:created>
  <dcterms:modified xsi:type="dcterms:W3CDTF">2014-05-13T20:06:00Z</dcterms:modified>
</cp:coreProperties>
</file>