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3A51"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4AEE3A52" w14:textId="478F0B47" w:rsidR="00FD66F1" w:rsidRDefault="00BD4243"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FERC-521</w:t>
      </w:r>
      <w:r w:rsidR="00410D66">
        <w:rPr>
          <w:rFonts w:ascii="Times New Roman" w:hAnsi="Times New Roman" w:cs="Times New Roman"/>
          <w:b/>
          <w:sz w:val="24"/>
          <w:szCs w:val="24"/>
        </w:rPr>
        <w:t>,</w:t>
      </w:r>
      <w:r>
        <w:rPr>
          <w:rFonts w:ascii="Times New Roman" w:hAnsi="Times New Roman" w:cs="Times New Roman"/>
          <w:b/>
          <w:sz w:val="24"/>
          <w:szCs w:val="24"/>
        </w:rPr>
        <w:t xml:space="preserve"> </w:t>
      </w:r>
      <w:r w:rsidR="0024756A" w:rsidRPr="0024756A">
        <w:rPr>
          <w:rFonts w:ascii="Times New Roman" w:hAnsi="Times New Roman" w:cs="Times New Roman"/>
          <w:b/>
          <w:sz w:val="24"/>
          <w:szCs w:val="24"/>
        </w:rPr>
        <w:t>Payments for Benefits from Headwater Improvements</w:t>
      </w:r>
    </w:p>
    <w:p w14:paraId="4AEE3A53" w14:textId="2E1AE106" w:rsidR="00A96B65" w:rsidRPr="00035845" w:rsidRDefault="00BD4243" w:rsidP="00A96B65">
      <w:pPr>
        <w:spacing w:after="0"/>
        <w:jc w:val="center"/>
        <w:rPr>
          <w:rFonts w:ascii="Times New Roman" w:hAnsi="Times New Roman" w:cs="Times New Roman"/>
          <w:b/>
          <w:sz w:val="24"/>
          <w:szCs w:val="24"/>
        </w:rPr>
      </w:pPr>
      <w:r>
        <w:rPr>
          <w:rFonts w:ascii="Times New Roman" w:hAnsi="Times New Roman" w:cs="Times New Roman"/>
          <w:b/>
          <w:sz w:val="24"/>
          <w:szCs w:val="24"/>
        </w:rPr>
        <w:t>Three-year approval for extension requested</w:t>
      </w:r>
    </w:p>
    <w:p w14:paraId="4AEE3A54" w14:textId="77777777" w:rsidR="00FD66F1" w:rsidRDefault="00FD66F1" w:rsidP="00FD66F1">
      <w:pPr>
        <w:spacing w:after="0"/>
        <w:jc w:val="center"/>
        <w:rPr>
          <w:rFonts w:ascii="Times New Roman" w:hAnsi="Times New Roman" w:cs="Times New Roman"/>
          <w:sz w:val="24"/>
          <w:szCs w:val="24"/>
        </w:rPr>
      </w:pPr>
    </w:p>
    <w:p w14:paraId="4AEE3A56" w14:textId="0883FC6A" w:rsidR="007F6B50" w:rsidRDefault="00BD4243" w:rsidP="00FD66F1">
      <w:pPr>
        <w:spacing w:after="0"/>
        <w:rPr>
          <w:rFonts w:ascii="Times New Roman" w:hAnsi="Times New Roman" w:cs="Times New Roman"/>
          <w:sz w:val="24"/>
          <w:szCs w:val="24"/>
        </w:rPr>
      </w:pPr>
      <w:r w:rsidRPr="00BD4243">
        <w:rPr>
          <w:rFonts w:ascii="Times New Roman" w:hAnsi="Times New Roman" w:cs="Times New Roman"/>
          <w:sz w:val="24"/>
          <w:szCs w:val="24"/>
        </w:rPr>
        <w:t>The Federal Energy Regulatory Com</w:t>
      </w:r>
      <w:bookmarkStart w:id="0" w:name="_GoBack"/>
      <w:bookmarkEnd w:id="0"/>
      <w:r w:rsidRPr="00BD4243">
        <w:rPr>
          <w:rFonts w:ascii="Times New Roman" w:hAnsi="Times New Roman" w:cs="Times New Roman"/>
          <w:sz w:val="24"/>
          <w:szCs w:val="24"/>
        </w:rPr>
        <w:t>mission (FERC or Commission) requests that the Office of Management and Budget (OMB) revie</w:t>
      </w:r>
      <w:r>
        <w:rPr>
          <w:rFonts w:ascii="Times New Roman" w:hAnsi="Times New Roman" w:cs="Times New Roman"/>
          <w:sz w:val="24"/>
          <w:szCs w:val="24"/>
        </w:rPr>
        <w:t>w and approve the FERC-521</w:t>
      </w:r>
      <w:r w:rsidRPr="00BD4243">
        <w:rPr>
          <w:rFonts w:ascii="Times New Roman" w:hAnsi="Times New Roman" w:cs="Times New Roman"/>
          <w:sz w:val="24"/>
          <w:szCs w:val="24"/>
        </w:rPr>
        <w:t xml:space="preserve"> (</w:t>
      </w:r>
      <w:r w:rsidR="0024756A">
        <w:rPr>
          <w:rFonts w:ascii="Times New Roman" w:hAnsi="Times New Roman" w:cs="Times New Roman"/>
          <w:sz w:val="24"/>
          <w:szCs w:val="24"/>
        </w:rPr>
        <w:t>Payments for Benefits from Headwater Improvements</w:t>
      </w:r>
      <w:r w:rsidRPr="00BD4243">
        <w:rPr>
          <w:rFonts w:ascii="Times New Roman" w:hAnsi="Times New Roman" w:cs="Times New Roman"/>
          <w:sz w:val="24"/>
          <w:szCs w:val="24"/>
        </w:rPr>
        <w:t>) information collection for a three-year period un</w:t>
      </w:r>
      <w:r>
        <w:rPr>
          <w:rFonts w:ascii="Times New Roman" w:hAnsi="Times New Roman" w:cs="Times New Roman"/>
          <w:sz w:val="24"/>
          <w:szCs w:val="24"/>
        </w:rPr>
        <w:t>der OMB Control Number 1902-0087</w:t>
      </w:r>
      <w:r w:rsidRPr="00BD4243">
        <w:rPr>
          <w:rFonts w:ascii="Times New Roman" w:hAnsi="Times New Roman" w:cs="Times New Roman"/>
          <w:sz w:val="24"/>
          <w:szCs w:val="24"/>
        </w:rPr>
        <w:t>.</w:t>
      </w:r>
    </w:p>
    <w:p w14:paraId="4AEE3A5D" w14:textId="77777777" w:rsidR="00A72E7B" w:rsidRDefault="00A72E7B" w:rsidP="00FD66F1">
      <w:pPr>
        <w:spacing w:after="0"/>
        <w:rPr>
          <w:rFonts w:ascii="Times New Roman" w:hAnsi="Times New Roman" w:cs="Times New Roman"/>
          <w:sz w:val="24"/>
          <w:szCs w:val="24"/>
        </w:rPr>
      </w:pPr>
    </w:p>
    <w:p w14:paraId="4AEE3A5E"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4AEE3A5F" w14:textId="77777777" w:rsidR="00A72E7B" w:rsidRDefault="00A72E7B" w:rsidP="00EB3E6F">
      <w:pPr>
        <w:spacing w:after="0"/>
        <w:rPr>
          <w:rFonts w:ascii="Times New Roman" w:hAnsi="Times New Roman" w:cs="Times New Roman"/>
          <w:sz w:val="24"/>
          <w:szCs w:val="24"/>
        </w:rPr>
      </w:pPr>
    </w:p>
    <w:p w14:paraId="085EA1AF" w14:textId="5680413A"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 xml:space="preserve">Headwater benefits are the additional energy production possible at downstream hydropower projects resulting from the regulation of river flows by an upstream storage reservoir.  </w:t>
      </w:r>
      <w:r w:rsidR="007D0724">
        <w:rPr>
          <w:rFonts w:ascii="Times New Roman" w:hAnsi="Times New Roman" w:cs="Times New Roman"/>
          <w:sz w:val="24"/>
          <w:szCs w:val="24"/>
        </w:rPr>
        <w:t>The Commission has a</w:t>
      </w:r>
      <w:r w:rsidRPr="00383CFD">
        <w:rPr>
          <w:rFonts w:ascii="Times New Roman" w:hAnsi="Times New Roman" w:cs="Times New Roman"/>
          <w:sz w:val="24"/>
          <w:szCs w:val="24"/>
        </w:rPr>
        <w:t>uthority for the filing of headwater benefits information as mandated by Pa</w:t>
      </w:r>
      <w:r w:rsidR="00835883">
        <w:rPr>
          <w:rFonts w:ascii="Times New Roman" w:hAnsi="Times New Roman" w:cs="Times New Roman"/>
          <w:sz w:val="24"/>
          <w:szCs w:val="24"/>
        </w:rPr>
        <w:t>rt 1</w:t>
      </w:r>
      <w:r>
        <w:rPr>
          <w:rFonts w:ascii="Times New Roman" w:hAnsi="Times New Roman" w:cs="Times New Roman"/>
          <w:sz w:val="24"/>
          <w:szCs w:val="24"/>
        </w:rPr>
        <w:t xml:space="preserve"> of the Federal Power Act</w:t>
      </w:r>
      <w:r w:rsidRPr="00383CFD">
        <w:rPr>
          <w:rFonts w:ascii="Times New Roman" w:eastAsia="Times New Roman" w:hAnsi="Times New Roman" w:cs="Times New Roman"/>
          <w:b/>
          <w:sz w:val="26"/>
          <w:szCs w:val="26"/>
          <w:vertAlign w:val="superscript"/>
        </w:rPr>
        <w:footnoteReference w:id="2"/>
      </w:r>
      <w:r>
        <w:rPr>
          <w:rFonts w:ascii="Times New Roman" w:hAnsi="Times New Roman" w:cs="Times New Roman"/>
          <w:sz w:val="24"/>
          <w:szCs w:val="24"/>
        </w:rPr>
        <w:t xml:space="preserve"> </w:t>
      </w:r>
      <w:r w:rsidRPr="00383CFD">
        <w:rPr>
          <w:rFonts w:ascii="Times New Roman" w:hAnsi="Times New Roman" w:cs="Times New Roman"/>
          <w:sz w:val="24"/>
          <w:szCs w:val="24"/>
        </w:rPr>
        <w:t>(FPA), Section 10(f).  Under Sectio</w:t>
      </w:r>
      <w:r w:rsidR="007D0724">
        <w:rPr>
          <w:rFonts w:ascii="Times New Roman" w:hAnsi="Times New Roman" w:cs="Times New Roman"/>
          <w:sz w:val="24"/>
          <w:szCs w:val="24"/>
        </w:rPr>
        <w:t>n 10(f)</w:t>
      </w:r>
      <w:r w:rsidRPr="00383CFD">
        <w:rPr>
          <w:rFonts w:ascii="Times New Roman" w:hAnsi="Times New Roman" w:cs="Times New Roman"/>
          <w:sz w:val="24"/>
          <w:szCs w:val="24"/>
        </w:rPr>
        <w:t xml:space="preserve">, an owner of a hydropower project is required to reimburse upstream headwater project owners for an equitable part of the benefits it receives.  This includes paying equitable portions of the annual charges for interest, maintenance, and depreciation of the headwater project to the U.S. Treasury.  </w:t>
      </w:r>
      <w:r w:rsidR="006F5535">
        <w:rPr>
          <w:rFonts w:ascii="Times New Roman" w:hAnsi="Times New Roman" w:cs="Times New Roman"/>
          <w:sz w:val="24"/>
          <w:szCs w:val="24"/>
        </w:rPr>
        <w:t>The Commission collects about $7.8</w:t>
      </w:r>
      <w:r w:rsidRPr="00383CFD">
        <w:rPr>
          <w:rFonts w:ascii="Times New Roman" w:hAnsi="Times New Roman" w:cs="Times New Roman"/>
          <w:sz w:val="24"/>
          <w:szCs w:val="24"/>
        </w:rPr>
        <w:t xml:space="preserve"> million annually, which it returns to the U.S. Treasury.  The Commission’s regulations provide for apportionment of these costs between the headwater project and downstream projects based on downstream energy gains and propose an equitable apportionment methodology that can be applied to all river basins in which headwater improvements are built.</w:t>
      </w:r>
    </w:p>
    <w:p w14:paraId="316D6795" w14:textId="77777777" w:rsidR="00383CFD" w:rsidRPr="00383CFD" w:rsidRDefault="00383CFD" w:rsidP="00383CFD">
      <w:pPr>
        <w:spacing w:after="0"/>
        <w:rPr>
          <w:rFonts w:ascii="Times New Roman" w:hAnsi="Times New Roman" w:cs="Times New Roman"/>
          <w:sz w:val="24"/>
          <w:szCs w:val="24"/>
        </w:rPr>
      </w:pPr>
    </w:p>
    <w:p w14:paraId="5CED7112" w14:textId="7E4EC416" w:rsidR="00BD4243"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The Commission focuses its efforts on assessing headwater benefits derived from upstream federal storage projects constructed and operated by the U.S. Army Corps of Engineers and the Bureau of Reclamation.  The purpose of determining the headwater benefits is to assess the downstream beneficiaries for a portion of the annual charges of the headwater project.  The Commission implements these requirement</w:t>
      </w:r>
      <w:r w:rsidR="004C54E4">
        <w:rPr>
          <w:rFonts w:ascii="Times New Roman" w:hAnsi="Times New Roman" w:cs="Times New Roman"/>
          <w:sz w:val="24"/>
          <w:szCs w:val="24"/>
        </w:rPr>
        <w:t>s in the 18 CFR</w:t>
      </w:r>
      <w:r w:rsidRPr="00383CFD">
        <w:rPr>
          <w:rFonts w:ascii="Times New Roman" w:hAnsi="Times New Roman" w:cs="Times New Roman"/>
          <w:sz w:val="24"/>
          <w:szCs w:val="24"/>
        </w:rPr>
        <w:t xml:space="preserve"> Part 11.</w:t>
      </w:r>
    </w:p>
    <w:p w14:paraId="1919E004" w14:textId="77777777" w:rsidR="00383CFD" w:rsidRPr="00EB3E6F" w:rsidRDefault="00383CFD" w:rsidP="00383CFD">
      <w:pPr>
        <w:spacing w:after="0"/>
        <w:rPr>
          <w:rFonts w:ascii="Times New Roman" w:hAnsi="Times New Roman" w:cs="Times New Roman"/>
          <w:sz w:val="24"/>
          <w:szCs w:val="24"/>
        </w:rPr>
      </w:pPr>
    </w:p>
    <w:p w14:paraId="4AEE3A62"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4AEE3A63" w14:textId="77777777" w:rsidR="00EB3E6F" w:rsidRDefault="00EB3E6F" w:rsidP="00EB3E6F">
      <w:pPr>
        <w:spacing w:after="0"/>
        <w:rPr>
          <w:rFonts w:ascii="Times New Roman" w:hAnsi="Times New Roman" w:cs="Times New Roman"/>
          <w:sz w:val="24"/>
          <w:szCs w:val="24"/>
        </w:rPr>
      </w:pPr>
    </w:p>
    <w:p w14:paraId="7190F9A1" w14:textId="0412321F" w:rsid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FERC-521 implements the existing regulations and is necessary for the determination of headwater benefits derived by downstream parties.  The regulations set forth a formula</w:t>
      </w:r>
      <w:r w:rsidR="00C30564" w:rsidRPr="00C30564">
        <w:rPr>
          <w:rStyle w:val="FootnoteReference"/>
          <w:rFonts w:ascii="Times New Roman" w:hAnsi="Times New Roman" w:cs="Times New Roman"/>
          <w:sz w:val="24"/>
          <w:szCs w:val="24"/>
          <w:vertAlign w:val="superscript"/>
        </w:rPr>
        <w:footnoteReference w:id="3"/>
      </w:r>
      <w:r w:rsidRPr="00C30564">
        <w:rPr>
          <w:rFonts w:ascii="Times New Roman" w:hAnsi="Times New Roman" w:cs="Times New Roman"/>
          <w:sz w:val="24"/>
          <w:szCs w:val="24"/>
          <w:vertAlign w:val="superscript"/>
        </w:rPr>
        <w:t xml:space="preserve"> </w:t>
      </w:r>
      <w:r w:rsidRPr="00383CFD">
        <w:rPr>
          <w:rFonts w:ascii="Times New Roman" w:hAnsi="Times New Roman" w:cs="Times New Roman"/>
          <w:sz w:val="24"/>
          <w:szCs w:val="24"/>
        </w:rPr>
        <w:t xml:space="preserve">for </w:t>
      </w:r>
      <w:r w:rsidRPr="00383CFD">
        <w:rPr>
          <w:rFonts w:ascii="Times New Roman" w:hAnsi="Times New Roman" w:cs="Times New Roman"/>
          <w:sz w:val="24"/>
          <w:szCs w:val="24"/>
        </w:rPr>
        <w:lastRenderedPageBreak/>
        <w:t>determining an equitable apportionment of the annual charges for interest, maintenance, and depreciation for a storage reservoir or other headwater improvement owned by the United States, a licensee, or a pre-1920 permittee.  Energy gains are determined by FERC using various analytical methods.  The method chosen depends upon the complexity of the river basin and the potential headwater benefits.  Complex river basins that include a large number of headwater and downstream projects often require a detailed computer analysis using FERC’s computer modeling simulation program Headwater Benefits Energy Gain Model (HWBEG).  For river basins that are not complex or in which the headwater benefits are expected to be small, the Commission relies on a flow duration methodology to determine energy gains.  Investigations are based on the determination of the average energy gains of a project.  To determine how much annual energy is produced, it is necessary to calculate how much energy the downstream project would have produced if the upstream projects did not exist.  The amount of energy that a hydropower project produces depends primarily on the following factors:</w:t>
      </w:r>
    </w:p>
    <w:p w14:paraId="54FFBD78" w14:textId="77777777" w:rsidR="00344902" w:rsidRPr="00383CFD" w:rsidRDefault="00344902" w:rsidP="00383CFD">
      <w:pPr>
        <w:spacing w:after="0"/>
        <w:rPr>
          <w:rFonts w:ascii="Times New Roman" w:hAnsi="Times New Roman" w:cs="Times New Roman"/>
          <w:sz w:val="24"/>
          <w:szCs w:val="24"/>
        </w:rPr>
      </w:pPr>
    </w:p>
    <w:p w14:paraId="61C58A13" w14:textId="77777777"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w:t>
      </w:r>
      <w:r w:rsidRPr="00383CFD">
        <w:rPr>
          <w:rFonts w:ascii="Times New Roman" w:hAnsi="Times New Roman" w:cs="Times New Roman"/>
          <w:sz w:val="24"/>
          <w:szCs w:val="24"/>
        </w:rPr>
        <w:tab/>
        <w:t>Stream flow;</w:t>
      </w:r>
    </w:p>
    <w:p w14:paraId="724EED04" w14:textId="77777777"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w:t>
      </w:r>
      <w:r w:rsidRPr="00383CFD">
        <w:rPr>
          <w:rFonts w:ascii="Times New Roman" w:hAnsi="Times New Roman" w:cs="Times New Roman"/>
          <w:sz w:val="24"/>
          <w:szCs w:val="24"/>
        </w:rPr>
        <w:tab/>
        <w:t>Reservoir storage;</w:t>
      </w:r>
    </w:p>
    <w:p w14:paraId="58E7A4CB" w14:textId="77777777"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w:t>
      </w:r>
      <w:r w:rsidRPr="00383CFD">
        <w:rPr>
          <w:rFonts w:ascii="Times New Roman" w:hAnsi="Times New Roman" w:cs="Times New Roman"/>
          <w:sz w:val="24"/>
          <w:szCs w:val="24"/>
        </w:rPr>
        <w:tab/>
        <w:t>Head;</w:t>
      </w:r>
    </w:p>
    <w:p w14:paraId="49A9E0C7" w14:textId="77777777"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w:t>
      </w:r>
      <w:r w:rsidRPr="00383CFD">
        <w:rPr>
          <w:rFonts w:ascii="Times New Roman" w:hAnsi="Times New Roman" w:cs="Times New Roman"/>
          <w:sz w:val="24"/>
          <w:szCs w:val="24"/>
        </w:rPr>
        <w:tab/>
        <w:t>Size and efficiency of the turbines and generators;</w:t>
      </w:r>
    </w:p>
    <w:p w14:paraId="3125D727" w14:textId="6A386B75" w:rsid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w:t>
      </w:r>
      <w:r w:rsidRPr="00383CFD">
        <w:rPr>
          <w:rFonts w:ascii="Times New Roman" w:hAnsi="Times New Roman" w:cs="Times New Roman"/>
          <w:sz w:val="24"/>
          <w:szCs w:val="24"/>
        </w:rPr>
        <w:tab/>
        <w:t>Load to be served.</w:t>
      </w:r>
    </w:p>
    <w:p w14:paraId="117F580D" w14:textId="77777777" w:rsidR="004C54E4" w:rsidRPr="00383CFD" w:rsidRDefault="004C54E4" w:rsidP="00383CFD">
      <w:pPr>
        <w:spacing w:after="0"/>
        <w:rPr>
          <w:rFonts w:ascii="Times New Roman" w:hAnsi="Times New Roman" w:cs="Times New Roman"/>
          <w:sz w:val="24"/>
          <w:szCs w:val="24"/>
        </w:rPr>
      </w:pPr>
    </w:p>
    <w:p w14:paraId="13BBBF00" w14:textId="77777777"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In determining energy gains, the size and efficiency of the turbines and the generators, and the load to be served will remain constant, while stream flow, reservoir storage, and head will vary depending on the operation conditions of the upstream reservoirs.  Because head and stream flow determine the amount of energy produced at the hydropower project, a relationship of generation as a function of the head and stream flow can be developed.  Commission experience has shown that the relationship between generation and stream flow is an adequate tool for estimating generation in calculating gains.</w:t>
      </w:r>
    </w:p>
    <w:p w14:paraId="249B0F96" w14:textId="77777777" w:rsidR="00383CFD" w:rsidRPr="00383CFD" w:rsidRDefault="00383CFD" w:rsidP="00383CFD">
      <w:pPr>
        <w:spacing w:after="0"/>
        <w:rPr>
          <w:rFonts w:ascii="Times New Roman" w:hAnsi="Times New Roman" w:cs="Times New Roman"/>
          <w:sz w:val="24"/>
          <w:szCs w:val="24"/>
        </w:rPr>
      </w:pPr>
    </w:p>
    <w:p w14:paraId="4AEE3A64" w14:textId="6BB1A3E3" w:rsidR="00EB3E6F"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If the information were not collected, there would be no data available to determine the benefits received from downstream parties from the operation of storage reservoirs, or other headwater improvements.</w:t>
      </w:r>
    </w:p>
    <w:p w14:paraId="4AEE3A65" w14:textId="77777777" w:rsidR="00EB3E6F" w:rsidRPr="00EB3E6F" w:rsidRDefault="00EB3E6F" w:rsidP="00EB3E6F">
      <w:pPr>
        <w:spacing w:after="0"/>
        <w:rPr>
          <w:rFonts w:ascii="Times New Roman" w:hAnsi="Times New Roman" w:cs="Times New Roman"/>
          <w:sz w:val="24"/>
          <w:szCs w:val="24"/>
        </w:rPr>
      </w:pPr>
    </w:p>
    <w:p w14:paraId="4AEE3A66"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4AEE3A67" w14:textId="77777777" w:rsidR="00EB3E6F" w:rsidRDefault="00EB3E6F" w:rsidP="00EB3E6F">
      <w:pPr>
        <w:spacing w:after="0"/>
        <w:rPr>
          <w:rFonts w:ascii="Times New Roman" w:hAnsi="Times New Roman" w:cs="Times New Roman"/>
          <w:sz w:val="24"/>
          <w:szCs w:val="24"/>
        </w:rPr>
      </w:pPr>
    </w:p>
    <w:p w14:paraId="4AEE3A68" w14:textId="23F19B17" w:rsidR="00EB3E6F" w:rsidRDefault="00173E30" w:rsidP="004F697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FERC continually considers </w:t>
      </w:r>
      <w:r w:rsidR="00383CFD" w:rsidRPr="00383CFD">
        <w:rPr>
          <w:rFonts w:ascii="Times New Roman" w:hAnsi="Times New Roman" w:cs="Times New Roman"/>
          <w:sz w:val="24"/>
          <w:szCs w:val="24"/>
        </w:rPr>
        <w:t>the use of improved information technology to reduce burden in the filing requirements for submission of information concerning headwater benefits</w:t>
      </w:r>
      <w:r>
        <w:rPr>
          <w:rFonts w:ascii="Times New Roman" w:hAnsi="Times New Roman" w:cs="Times New Roman"/>
          <w:sz w:val="24"/>
          <w:szCs w:val="24"/>
        </w:rPr>
        <w:t>.</w:t>
      </w:r>
    </w:p>
    <w:p w14:paraId="4AEE3A69" w14:textId="77777777" w:rsidR="00EB3E6F" w:rsidRPr="00EB3E6F" w:rsidRDefault="00EB3E6F" w:rsidP="00EB3E6F">
      <w:pPr>
        <w:spacing w:after="0"/>
        <w:rPr>
          <w:rFonts w:ascii="Times New Roman" w:hAnsi="Times New Roman" w:cs="Times New Roman"/>
          <w:sz w:val="24"/>
          <w:szCs w:val="24"/>
        </w:rPr>
      </w:pPr>
    </w:p>
    <w:p w14:paraId="4AEE3A6A"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912E0D">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4AEE3A6B" w14:textId="77777777" w:rsidR="00EB3E6F" w:rsidRDefault="00EB3E6F" w:rsidP="00EB3E6F">
      <w:pPr>
        <w:spacing w:after="0"/>
        <w:rPr>
          <w:rFonts w:ascii="Times New Roman" w:hAnsi="Times New Roman" w:cs="Times New Roman"/>
          <w:sz w:val="24"/>
          <w:szCs w:val="24"/>
        </w:rPr>
      </w:pPr>
    </w:p>
    <w:p w14:paraId="6BADA7D8" w14:textId="4D7244AF" w:rsidR="00383CFD" w:rsidRPr="00383CF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In an effort to alleviate duplication, filing requirements are periodically reviewed as OMB review dates arise, or as the Commission may deem necessary in carrying out its regulatory responsibilities under the FPA.  All Commission information collections are subject to a systematic validation review of all information collections imposed on regulated industry.</w:t>
      </w:r>
    </w:p>
    <w:p w14:paraId="000CE8EE" w14:textId="77777777" w:rsidR="00383CFD" w:rsidRPr="00383CFD" w:rsidRDefault="00383CFD" w:rsidP="00383CFD">
      <w:pPr>
        <w:spacing w:after="0"/>
        <w:rPr>
          <w:rFonts w:ascii="Times New Roman" w:hAnsi="Times New Roman" w:cs="Times New Roman"/>
          <w:sz w:val="24"/>
          <w:szCs w:val="24"/>
        </w:rPr>
      </w:pPr>
    </w:p>
    <w:p w14:paraId="4AEE3A6C" w14:textId="373EAB22" w:rsidR="00EB3E6F"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The reporting requirements associated with FERC-521 are basic filing requirements pertaining to headwater benefits.  There are no similar sources of information available</w:t>
      </w:r>
      <w:r w:rsidR="00835883">
        <w:rPr>
          <w:rFonts w:ascii="Times New Roman" w:hAnsi="Times New Roman" w:cs="Times New Roman"/>
          <w:sz w:val="24"/>
          <w:szCs w:val="24"/>
        </w:rPr>
        <w:t>.</w:t>
      </w:r>
    </w:p>
    <w:p w14:paraId="4AEE3A6D" w14:textId="77777777" w:rsidR="00EB3E6F" w:rsidRPr="00EB3E6F" w:rsidRDefault="00EB3E6F" w:rsidP="00EB3E6F">
      <w:pPr>
        <w:spacing w:after="0"/>
        <w:rPr>
          <w:rFonts w:ascii="Times New Roman" w:hAnsi="Times New Roman" w:cs="Times New Roman"/>
          <w:sz w:val="24"/>
          <w:szCs w:val="24"/>
        </w:rPr>
      </w:pPr>
    </w:p>
    <w:p w14:paraId="4AEE3A6E"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4AEE3A6F" w14:textId="77777777" w:rsidR="00EB3E6F" w:rsidRDefault="00EB3E6F" w:rsidP="00EB3E6F">
      <w:pPr>
        <w:spacing w:after="0"/>
        <w:rPr>
          <w:rFonts w:ascii="Times New Roman" w:hAnsi="Times New Roman" w:cs="Times New Roman"/>
          <w:sz w:val="24"/>
          <w:szCs w:val="24"/>
        </w:rPr>
      </w:pPr>
    </w:p>
    <w:p w14:paraId="4AEE3A71" w14:textId="39747D35" w:rsidR="00EB3E6F" w:rsidRDefault="00383CFD" w:rsidP="00EB3E6F">
      <w:pPr>
        <w:spacing w:after="0"/>
        <w:rPr>
          <w:rFonts w:ascii="Times New Roman" w:hAnsi="Times New Roman" w:cs="Times New Roman"/>
          <w:sz w:val="24"/>
          <w:szCs w:val="24"/>
        </w:rPr>
      </w:pPr>
      <w:r w:rsidRPr="00383CFD">
        <w:rPr>
          <w:rFonts w:ascii="Times New Roman" w:hAnsi="Times New Roman" w:cs="Times New Roman"/>
          <w:sz w:val="24"/>
          <w:szCs w:val="24"/>
        </w:rPr>
        <w:t>The filing requirements are imposed on both large and small entities.  Specific efforts have been made to minimize the burden imposed on small entities who file the data.  For example, only those hydropower projects with an installed generating capacity greater than 1.5 MW are subject to headwater benefits charges.  No final charge assessed may exceed 85 percent of the value of the energy gains for the assessment period.  The data required</w:t>
      </w:r>
      <w:r w:rsidR="00835883">
        <w:rPr>
          <w:rFonts w:ascii="Times New Roman" w:hAnsi="Times New Roman" w:cs="Times New Roman"/>
          <w:sz w:val="24"/>
          <w:szCs w:val="24"/>
        </w:rPr>
        <w:t xml:space="preserve"> is specific to each respondent. T</w:t>
      </w:r>
      <w:r w:rsidRPr="00383CFD">
        <w:rPr>
          <w:rFonts w:ascii="Times New Roman" w:hAnsi="Times New Roman" w:cs="Times New Roman"/>
          <w:sz w:val="24"/>
          <w:szCs w:val="24"/>
        </w:rPr>
        <w:t>herefore, the reporting burden varies between each respondent.</w:t>
      </w:r>
    </w:p>
    <w:p w14:paraId="2C263D68" w14:textId="77777777" w:rsidR="00383CFD" w:rsidRPr="00EB3E6F" w:rsidRDefault="00383CFD" w:rsidP="00EB3E6F">
      <w:pPr>
        <w:spacing w:after="0"/>
        <w:rPr>
          <w:rFonts w:ascii="Times New Roman" w:hAnsi="Times New Roman" w:cs="Times New Roman"/>
          <w:sz w:val="24"/>
          <w:szCs w:val="24"/>
        </w:rPr>
      </w:pPr>
    </w:p>
    <w:p w14:paraId="4AEE3A72"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4AEE3A73" w14:textId="77777777" w:rsidR="00EB3E6F" w:rsidRDefault="00EB3E6F" w:rsidP="00EB3E6F">
      <w:pPr>
        <w:spacing w:after="0"/>
        <w:rPr>
          <w:rFonts w:ascii="Times New Roman" w:hAnsi="Times New Roman" w:cs="Times New Roman"/>
          <w:sz w:val="24"/>
          <w:szCs w:val="24"/>
        </w:rPr>
      </w:pPr>
    </w:p>
    <w:p w14:paraId="4AEE3A75" w14:textId="67628FAF" w:rsidR="00EB3E6F" w:rsidRDefault="00383CFD" w:rsidP="00EB3E6F">
      <w:pPr>
        <w:spacing w:after="0"/>
        <w:rPr>
          <w:rFonts w:ascii="Times New Roman" w:hAnsi="Times New Roman" w:cs="Times New Roman"/>
          <w:sz w:val="24"/>
          <w:szCs w:val="24"/>
        </w:rPr>
      </w:pPr>
      <w:r w:rsidRPr="00383CFD">
        <w:rPr>
          <w:rFonts w:ascii="Times New Roman" w:hAnsi="Times New Roman" w:cs="Times New Roman"/>
          <w:sz w:val="24"/>
          <w:szCs w:val="24"/>
        </w:rPr>
        <w:t>If the information were collected less frequently, the Commission woul</w:t>
      </w:r>
      <w:r w:rsidR="00835883">
        <w:rPr>
          <w:rFonts w:ascii="Times New Roman" w:hAnsi="Times New Roman" w:cs="Times New Roman"/>
          <w:sz w:val="24"/>
          <w:szCs w:val="24"/>
        </w:rPr>
        <w:t>d be placed at a disadvantage due to</w:t>
      </w:r>
      <w:r w:rsidRPr="00383CFD">
        <w:rPr>
          <w:rFonts w:ascii="Times New Roman" w:hAnsi="Times New Roman" w:cs="Times New Roman"/>
          <w:sz w:val="24"/>
          <w:szCs w:val="24"/>
        </w:rPr>
        <w:t xml:space="preserve"> not having available data for determining the benefits from headwater improvements.</w:t>
      </w:r>
    </w:p>
    <w:p w14:paraId="2317DC60" w14:textId="77777777" w:rsidR="00383CFD" w:rsidRPr="00EB3E6F" w:rsidRDefault="00383CFD" w:rsidP="00EB3E6F">
      <w:pPr>
        <w:spacing w:after="0"/>
        <w:rPr>
          <w:rFonts w:ascii="Times New Roman" w:hAnsi="Times New Roman" w:cs="Times New Roman"/>
          <w:sz w:val="24"/>
          <w:szCs w:val="24"/>
        </w:rPr>
      </w:pPr>
    </w:p>
    <w:p w14:paraId="4AEE3A7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4AEE3A77" w14:textId="77777777" w:rsidR="00EB3E6F" w:rsidRDefault="00EB3E6F" w:rsidP="00EB3E6F">
      <w:pPr>
        <w:spacing w:after="0"/>
        <w:rPr>
          <w:rFonts w:ascii="Times New Roman" w:hAnsi="Times New Roman" w:cs="Times New Roman"/>
          <w:sz w:val="24"/>
          <w:szCs w:val="24"/>
        </w:rPr>
      </w:pPr>
    </w:p>
    <w:p w14:paraId="4AEE3A84" w14:textId="68F30174" w:rsidR="00912E0D" w:rsidRPr="00912E0D" w:rsidRDefault="00383CFD" w:rsidP="00383CFD">
      <w:pPr>
        <w:spacing w:after="0"/>
        <w:rPr>
          <w:rFonts w:ascii="Times New Roman" w:hAnsi="Times New Roman" w:cs="Times New Roman"/>
          <w:sz w:val="24"/>
          <w:szCs w:val="24"/>
        </w:rPr>
      </w:pPr>
      <w:r w:rsidRPr="00383CFD">
        <w:rPr>
          <w:rFonts w:ascii="Times New Roman" w:hAnsi="Times New Roman" w:cs="Times New Roman"/>
          <w:sz w:val="24"/>
          <w:szCs w:val="24"/>
        </w:rPr>
        <w:t>There are no special circumstances relating to this information collection.</w:t>
      </w:r>
    </w:p>
    <w:p w14:paraId="4AEE3A85" w14:textId="77777777" w:rsidR="00EB3E6F" w:rsidRPr="00EB3E6F" w:rsidRDefault="00EB3E6F" w:rsidP="00EB3E6F">
      <w:pPr>
        <w:spacing w:after="0"/>
        <w:rPr>
          <w:rFonts w:ascii="Times New Roman" w:hAnsi="Times New Roman" w:cs="Times New Roman"/>
          <w:sz w:val="24"/>
          <w:szCs w:val="24"/>
        </w:rPr>
      </w:pPr>
    </w:p>
    <w:p w14:paraId="4AEE3A8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AEE3A87" w14:textId="77777777" w:rsidR="00EB3E6F" w:rsidRDefault="00EB3E6F" w:rsidP="00EB3E6F">
      <w:pPr>
        <w:spacing w:after="0"/>
        <w:rPr>
          <w:rFonts w:ascii="Times New Roman" w:hAnsi="Times New Roman" w:cs="Times New Roman"/>
          <w:sz w:val="24"/>
          <w:szCs w:val="24"/>
        </w:rPr>
      </w:pPr>
    </w:p>
    <w:p w14:paraId="4AEE3A8D" w14:textId="051EEAA2" w:rsidR="00EB3E6F" w:rsidRDefault="006601E3" w:rsidP="006601E3">
      <w:pPr>
        <w:spacing w:after="0"/>
        <w:rPr>
          <w:rFonts w:ascii="Times New Roman" w:hAnsi="Times New Roman" w:cs="Times New Roman"/>
          <w:sz w:val="24"/>
          <w:szCs w:val="24"/>
        </w:rPr>
      </w:pPr>
      <w:r w:rsidRPr="006601E3">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sidRPr="006C385D">
        <w:rPr>
          <w:rStyle w:val="FootnoteReference"/>
          <w:rFonts w:ascii="Times New Roman" w:hAnsi="Times New Roman" w:cs="Times New Roman"/>
          <w:sz w:val="24"/>
          <w:szCs w:val="24"/>
          <w:vertAlign w:val="superscript"/>
        </w:rPr>
        <w:footnoteReference w:id="4"/>
      </w:r>
      <w:r w:rsidR="00706C07">
        <w:rPr>
          <w:rFonts w:ascii="Times New Roman" w:hAnsi="Times New Roman" w:cs="Times New Roman"/>
          <w:sz w:val="24"/>
          <w:szCs w:val="24"/>
        </w:rPr>
        <w:t xml:space="preserve"> and a 30-day notice</w:t>
      </w:r>
      <w:r w:rsidR="006C385D" w:rsidRPr="006C385D">
        <w:rPr>
          <w:rStyle w:val="FootnoteReference"/>
          <w:rFonts w:ascii="Times New Roman" w:hAnsi="Times New Roman" w:cs="Times New Roman"/>
          <w:sz w:val="24"/>
          <w:szCs w:val="24"/>
          <w:vertAlign w:val="superscript"/>
        </w:rPr>
        <w:footnoteReference w:id="5"/>
      </w:r>
      <w:r w:rsidRPr="006601E3">
        <w:rPr>
          <w:rFonts w:ascii="Times New Roman" w:hAnsi="Times New Roman" w:cs="Times New Roman"/>
          <w:sz w:val="24"/>
          <w:szCs w:val="24"/>
        </w:rPr>
        <w:t xml:space="preserve"> to the public regarding t</w:t>
      </w:r>
      <w:r>
        <w:rPr>
          <w:rFonts w:ascii="Times New Roman" w:hAnsi="Times New Roman" w:cs="Times New Roman"/>
          <w:sz w:val="24"/>
          <w:szCs w:val="24"/>
        </w:rPr>
        <w:t xml:space="preserve">his information collection on 2/14/2014 </w:t>
      </w:r>
      <w:r w:rsidRPr="00565AE9">
        <w:rPr>
          <w:rFonts w:ascii="Times New Roman" w:hAnsi="Times New Roman" w:cs="Times New Roman"/>
          <w:sz w:val="24"/>
          <w:szCs w:val="24"/>
        </w:rPr>
        <w:t xml:space="preserve">and </w:t>
      </w:r>
      <w:r w:rsidR="00951BD7">
        <w:rPr>
          <w:rFonts w:ascii="Times New Roman" w:hAnsi="Times New Roman" w:cs="Times New Roman"/>
          <w:sz w:val="24"/>
          <w:szCs w:val="24"/>
        </w:rPr>
        <w:t>4</w:t>
      </w:r>
      <w:r w:rsidR="00565AE9" w:rsidRPr="00565AE9">
        <w:rPr>
          <w:rFonts w:ascii="Times New Roman" w:hAnsi="Times New Roman" w:cs="Times New Roman"/>
          <w:sz w:val="24"/>
          <w:szCs w:val="24"/>
        </w:rPr>
        <w:t>/29</w:t>
      </w:r>
      <w:r w:rsidRPr="00565AE9">
        <w:rPr>
          <w:rFonts w:ascii="Times New Roman" w:hAnsi="Times New Roman" w:cs="Times New Roman"/>
          <w:sz w:val="24"/>
          <w:szCs w:val="24"/>
        </w:rPr>
        <w:t xml:space="preserve">/2014 </w:t>
      </w:r>
      <w:r w:rsidRPr="006601E3">
        <w:rPr>
          <w:rFonts w:ascii="Times New Roman" w:hAnsi="Times New Roman" w:cs="Times New Roman"/>
          <w:sz w:val="24"/>
          <w:szCs w:val="24"/>
        </w:rPr>
        <w:t>respectively.  Within the public notices, the Commission noted that it would be requesting a three-year extension of the public reporting burden.  The Commission received no comments from the public regarding this information collection.</w:t>
      </w:r>
    </w:p>
    <w:p w14:paraId="6F1A168A" w14:textId="77777777" w:rsidR="006601E3" w:rsidRPr="00EB3E6F" w:rsidRDefault="006601E3" w:rsidP="006601E3">
      <w:pPr>
        <w:spacing w:after="0"/>
        <w:rPr>
          <w:rFonts w:ascii="Times New Roman" w:hAnsi="Times New Roman" w:cs="Times New Roman"/>
          <w:sz w:val="24"/>
          <w:szCs w:val="24"/>
        </w:rPr>
      </w:pPr>
    </w:p>
    <w:p w14:paraId="4AEE3A8E"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4AEE3A8F" w14:textId="77777777" w:rsidR="00D80FBD" w:rsidRDefault="00D80FBD" w:rsidP="00D80FBD">
      <w:pPr>
        <w:spacing w:after="0"/>
        <w:rPr>
          <w:rFonts w:ascii="Times New Roman" w:hAnsi="Times New Roman" w:cs="Times New Roman"/>
          <w:sz w:val="24"/>
          <w:szCs w:val="24"/>
        </w:rPr>
      </w:pPr>
    </w:p>
    <w:p w14:paraId="4AEE3A92" w14:textId="05F728D3" w:rsidR="00B31749" w:rsidRDefault="006601E3" w:rsidP="00D80FBD">
      <w:pPr>
        <w:spacing w:after="0"/>
        <w:rPr>
          <w:rFonts w:ascii="Times New Roman" w:hAnsi="Times New Roman" w:cs="Times New Roman"/>
          <w:sz w:val="24"/>
          <w:szCs w:val="24"/>
        </w:rPr>
      </w:pPr>
      <w:r w:rsidRPr="006601E3">
        <w:rPr>
          <w:rFonts w:ascii="Times New Roman" w:hAnsi="Times New Roman" w:cs="Times New Roman"/>
          <w:sz w:val="24"/>
          <w:szCs w:val="24"/>
        </w:rPr>
        <w:t>There are no payments or gifts to r</w:t>
      </w:r>
      <w:r w:rsidR="006C4704">
        <w:rPr>
          <w:rFonts w:ascii="Times New Roman" w:hAnsi="Times New Roman" w:cs="Times New Roman"/>
          <w:sz w:val="24"/>
          <w:szCs w:val="24"/>
        </w:rPr>
        <w:t>espondents in the FERC-521</w:t>
      </w:r>
      <w:r w:rsidRPr="006601E3">
        <w:rPr>
          <w:rFonts w:ascii="Times New Roman" w:hAnsi="Times New Roman" w:cs="Times New Roman"/>
          <w:sz w:val="24"/>
          <w:szCs w:val="24"/>
        </w:rPr>
        <w:t xml:space="preserve"> requirements.</w:t>
      </w:r>
    </w:p>
    <w:p w14:paraId="4AEE3A93" w14:textId="77777777" w:rsidR="00B31749" w:rsidRPr="00D80FBD" w:rsidRDefault="00B31749" w:rsidP="00D80FBD">
      <w:pPr>
        <w:spacing w:after="0"/>
        <w:rPr>
          <w:rFonts w:ascii="Times New Roman" w:hAnsi="Times New Roman" w:cs="Times New Roman"/>
          <w:sz w:val="24"/>
          <w:szCs w:val="24"/>
        </w:rPr>
      </w:pPr>
    </w:p>
    <w:p w14:paraId="4AEE3A9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4AEE3A95" w14:textId="77777777" w:rsidR="00D80FBD" w:rsidRDefault="00D80FBD" w:rsidP="00D80FBD">
      <w:pPr>
        <w:spacing w:after="0"/>
        <w:rPr>
          <w:rFonts w:ascii="Times New Roman" w:hAnsi="Times New Roman" w:cs="Times New Roman"/>
          <w:sz w:val="24"/>
          <w:szCs w:val="24"/>
        </w:rPr>
      </w:pPr>
    </w:p>
    <w:p w14:paraId="4AEE3A98" w14:textId="4109C190" w:rsidR="00B31749" w:rsidRDefault="006601E3" w:rsidP="00D80FBD">
      <w:pPr>
        <w:spacing w:after="0"/>
        <w:rPr>
          <w:rFonts w:ascii="Times New Roman" w:hAnsi="Times New Roman" w:cs="Times New Roman"/>
          <w:sz w:val="24"/>
          <w:szCs w:val="24"/>
        </w:rPr>
      </w:pPr>
      <w:r w:rsidRPr="006601E3">
        <w:rPr>
          <w:rFonts w:ascii="Times New Roman" w:hAnsi="Times New Roman" w:cs="Times New Roman"/>
          <w:sz w:val="24"/>
          <w:szCs w:val="24"/>
        </w:rPr>
        <w:t xml:space="preserve">All data </w:t>
      </w:r>
      <w:r w:rsidR="006C4704">
        <w:rPr>
          <w:rFonts w:ascii="Times New Roman" w:hAnsi="Times New Roman" w:cs="Times New Roman"/>
          <w:sz w:val="24"/>
          <w:szCs w:val="24"/>
        </w:rPr>
        <w:t xml:space="preserve">are </w:t>
      </w:r>
      <w:r w:rsidR="00835883">
        <w:rPr>
          <w:rFonts w:ascii="Times New Roman" w:hAnsi="Times New Roman" w:cs="Times New Roman"/>
          <w:sz w:val="24"/>
          <w:szCs w:val="24"/>
        </w:rPr>
        <w:t>public information</w:t>
      </w:r>
      <w:r w:rsidRPr="006601E3">
        <w:rPr>
          <w:rFonts w:ascii="Times New Roman" w:hAnsi="Times New Roman" w:cs="Times New Roman"/>
          <w:sz w:val="24"/>
          <w:szCs w:val="24"/>
        </w:rPr>
        <w:t xml:space="preserve"> and</w:t>
      </w:r>
      <w:r w:rsidR="00835883">
        <w:rPr>
          <w:rFonts w:ascii="Times New Roman" w:hAnsi="Times New Roman" w:cs="Times New Roman"/>
          <w:sz w:val="24"/>
          <w:szCs w:val="24"/>
        </w:rPr>
        <w:t>,</w:t>
      </w:r>
      <w:r w:rsidRPr="006601E3">
        <w:rPr>
          <w:rFonts w:ascii="Times New Roman" w:hAnsi="Times New Roman" w:cs="Times New Roman"/>
          <w:sz w:val="24"/>
          <w:szCs w:val="24"/>
        </w:rPr>
        <w:t xml:space="preserve"> therefore</w:t>
      </w:r>
      <w:r w:rsidR="00835883">
        <w:rPr>
          <w:rFonts w:ascii="Times New Roman" w:hAnsi="Times New Roman" w:cs="Times New Roman"/>
          <w:sz w:val="24"/>
          <w:szCs w:val="24"/>
        </w:rPr>
        <w:t>,</w:t>
      </w:r>
      <w:r w:rsidRPr="006601E3">
        <w:rPr>
          <w:rFonts w:ascii="Times New Roman" w:hAnsi="Times New Roman" w:cs="Times New Roman"/>
          <w:sz w:val="24"/>
          <w:szCs w:val="24"/>
        </w:rPr>
        <w:t xml:space="preserve"> not </w:t>
      </w:r>
      <w:r w:rsidR="00835883">
        <w:rPr>
          <w:rFonts w:ascii="Times New Roman" w:hAnsi="Times New Roman" w:cs="Times New Roman"/>
          <w:sz w:val="24"/>
          <w:szCs w:val="24"/>
        </w:rPr>
        <w:t>confidential.  A filer</w:t>
      </w:r>
      <w:r w:rsidRPr="006601E3">
        <w:rPr>
          <w:rFonts w:ascii="Times New Roman" w:hAnsi="Times New Roman" w:cs="Times New Roman"/>
          <w:sz w:val="24"/>
          <w:szCs w:val="24"/>
        </w:rPr>
        <w:t xml:space="preserve"> ma</w:t>
      </w:r>
      <w:r w:rsidR="00835883">
        <w:rPr>
          <w:rFonts w:ascii="Times New Roman" w:hAnsi="Times New Roman" w:cs="Times New Roman"/>
          <w:sz w:val="24"/>
          <w:szCs w:val="24"/>
        </w:rPr>
        <w:t>y request (</w:t>
      </w:r>
      <w:r w:rsidR="00173E30">
        <w:rPr>
          <w:rFonts w:ascii="Times New Roman" w:hAnsi="Times New Roman" w:cs="Times New Roman"/>
          <w:sz w:val="24"/>
          <w:szCs w:val="24"/>
        </w:rPr>
        <w:t>as allowed under the</w:t>
      </w:r>
      <w:r w:rsidR="00F27BB2">
        <w:rPr>
          <w:rFonts w:ascii="Times New Roman" w:hAnsi="Times New Roman" w:cs="Times New Roman"/>
          <w:sz w:val="24"/>
          <w:szCs w:val="24"/>
        </w:rPr>
        <w:t xml:space="preserve"> </w:t>
      </w:r>
      <w:r w:rsidRPr="006601E3">
        <w:rPr>
          <w:rFonts w:ascii="Times New Roman" w:hAnsi="Times New Roman" w:cs="Times New Roman"/>
          <w:sz w:val="24"/>
          <w:szCs w:val="24"/>
        </w:rPr>
        <w:t>Commission’s r</w:t>
      </w:r>
      <w:r w:rsidR="00835883">
        <w:rPr>
          <w:rFonts w:ascii="Times New Roman" w:hAnsi="Times New Roman" w:cs="Times New Roman"/>
          <w:sz w:val="24"/>
          <w:szCs w:val="24"/>
        </w:rPr>
        <w:t>egulations at 18 CFR 388.112) confidential treatment of some</w:t>
      </w:r>
      <w:r w:rsidRPr="006601E3">
        <w:rPr>
          <w:rFonts w:ascii="Times New Roman" w:hAnsi="Times New Roman" w:cs="Times New Roman"/>
          <w:sz w:val="24"/>
          <w:szCs w:val="24"/>
        </w:rPr>
        <w:t xml:space="preserve"> or all of the FERC-521 filing.  Each request for confidential treatment will be reviewed on a case-by-case basis.</w:t>
      </w:r>
    </w:p>
    <w:p w14:paraId="4AEE3A99" w14:textId="77777777" w:rsidR="00B31749" w:rsidRPr="00D80FBD" w:rsidRDefault="00B31749" w:rsidP="00D80FBD">
      <w:pPr>
        <w:spacing w:after="0"/>
        <w:rPr>
          <w:rFonts w:ascii="Times New Roman" w:hAnsi="Times New Roman" w:cs="Times New Roman"/>
          <w:sz w:val="24"/>
          <w:szCs w:val="24"/>
        </w:rPr>
      </w:pPr>
    </w:p>
    <w:p w14:paraId="4AEE3A9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14:paraId="4AEE3A9B" w14:textId="77777777" w:rsidR="00D80FBD" w:rsidRDefault="00D80FBD" w:rsidP="00D80FBD">
      <w:pPr>
        <w:spacing w:after="0"/>
        <w:rPr>
          <w:rFonts w:ascii="Times New Roman" w:hAnsi="Times New Roman" w:cs="Times New Roman"/>
          <w:sz w:val="24"/>
          <w:szCs w:val="24"/>
        </w:rPr>
      </w:pPr>
    </w:p>
    <w:p w14:paraId="4AEE3A9D" w14:textId="1218B71C" w:rsidR="00D80FBD" w:rsidRDefault="006601E3" w:rsidP="00D80FBD">
      <w:pPr>
        <w:spacing w:after="0"/>
        <w:rPr>
          <w:rFonts w:ascii="Times New Roman" w:hAnsi="Times New Roman" w:cs="Times New Roman"/>
          <w:sz w:val="24"/>
          <w:szCs w:val="24"/>
        </w:rPr>
      </w:pPr>
      <w:r w:rsidRPr="006601E3">
        <w:rPr>
          <w:rFonts w:ascii="Times New Roman" w:hAnsi="Times New Roman" w:cs="Times New Roman"/>
          <w:sz w:val="24"/>
          <w:szCs w:val="24"/>
        </w:rPr>
        <w:t>There are no questions of a sensitive nature as</w:t>
      </w:r>
      <w:r>
        <w:rPr>
          <w:rFonts w:ascii="Times New Roman" w:hAnsi="Times New Roman" w:cs="Times New Roman"/>
          <w:sz w:val="24"/>
          <w:szCs w:val="24"/>
        </w:rPr>
        <w:t>sociated with the FERC-521</w:t>
      </w:r>
      <w:r w:rsidRPr="006601E3">
        <w:rPr>
          <w:rFonts w:ascii="Times New Roman" w:hAnsi="Times New Roman" w:cs="Times New Roman"/>
          <w:sz w:val="24"/>
          <w:szCs w:val="24"/>
        </w:rPr>
        <w:t xml:space="preserve"> reporting requirements.</w:t>
      </w:r>
    </w:p>
    <w:p w14:paraId="4AEE3A9F" w14:textId="77777777" w:rsidR="00B31749" w:rsidRPr="00D80FBD" w:rsidRDefault="00B31749" w:rsidP="00D80FBD">
      <w:pPr>
        <w:spacing w:after="0"/>
        <w:rPr>
          <w:rFonts w:ascii="Times New Roman" w:hAnsi="Times New Roman" w:cs="Times New Roman"/>
          <w:sz w:val="24"/>
          <w:szCs w:val="24"/>
        </w:rPr>
      </w:pPr>
    </w:p>
    <w:p w14:paraId="4AEE3AA0"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4AEE3AA1" w14:textId="77777777" w:rsidR="00D80FBD" w:rsidRDefault="00D80FBD" w:rsidP="00D80FBD">
      <w:pPr>
        <w:spacing w:after="0"/>
        <w:rPr>
          <w:rFonts w:ascii="Times New Roman" w:hAnsi="Times New Roman" w:cs="Times New Roman"/>
          <w:sz w:val="24"/>
          <w:szCs w:val="24"/>
        </w:rPr>
      </w:pPr>
    </w:p>
    <w:p w14:paraId="4AEE3AAD" w14:textId="22D8E5DB" w:rsidR="00D80FBD" w:rsidRDefault="006601E3" w:rsidP="006601E3">
      <w:pPr>
        <w:spacing w:after="0"/>
        <w:rPr>
          <w:rFonts w:ascii="Times New Roman" w:hAnsi="Times New Roman" w:cs="Times New Roman"/>
          <w:sz w:val="24"/>
          <w:szCs w:val="24"/>
        </w:rPr>
      </w:pPr>
      <w:r w:rsidRPr="006601E3">
        <w:rPr>
          <w:rFonts w:ascii="Times New Roman" w:hAnsi="Times New Roman" w:cs="Times New Roman"/>
          <w:sz w:val="24"/>
          <w:szCs w:val="24"/>
        </w:rPr>
        <w:t>The Commission estimates the Public Reporting burden f</w:t>
      </w:r>
      <w:r w:rsidR="006C385D">
        <w:rPr>
          <w:rFonts w:ascii="Times New Roman" w:hAnsi="Times New Roman" w:cs="Times New Roman"/>
          <w:sz w:val="24"/>
          <w:szCs w:val="24"/>
        </w:rPr>
        <w:t>or the FERC-</w:t>
      </w:r>
      <w:r w:rsidR="00706C07">
        <w:rPr>
          <w:rFonts w:ascii="Times New Roman" w:hAnsi="Times New Roman" w:cs="Times New Roman"/>
          <w:sz w:val="24"/>
          <w:szCs w:val="24"/>
        </w:rPr>
        <w:t>521</w:t>
      </w:r>
      <w:r w:rsidRPr="006601E3">
        <w:rPr>
          <w:rFonts w:ascii="Times New Roman" w:hAnsi="Times New Roman" w:cs="Times New Roman"/>
          <w:sz w:val="24"/>
          <w:szCs w:val="24"/>
        </w:rPr>
        <w:t xml:space="preserve"> information collection as follows:</w:t>
      </w:r>
    </w:p>
    <w:p w14:paraId="61BAD129" w14:textId="77777777" w:rsidR="00533384" w:rsidRDefault="00533384" w:rsidP="00D80FBD">
      <w:pPr>
        <w:spacing w:after="0"/>
        <w:rPr>
          <w:rFonts w:ascii="Times New Roman" w:hAnsi="Times New Roman" w:cs="Times New Roman"/>
          <w:sz w:val="24"/>
          <w:szCs w:val="24"/>
        </w:rPr>
      </w:pPr>
    </w:p>
    <w:tbl>
      <w:tblPr>
        <w:tblpPr w:leftFromText="180" w:rightFromText="180" w:vertAnchor="text" w:horzAnchor="margin" w:tblpX="108" w:tblpY="229"/>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638"/>
        <w:gridCol w:w="1422"/>
        <w:gridCol w:w="1368"/>
      </w:tblGrid>
      <w:tr w:rsidR="006601E3" w:rsidRPr="00344902" w14:paraId="54BD2034" w14:textId="77777777" w:rsidTr="004C54E4">
        <w:trPr>
          <w:trHeight w:val="347"/>
        </w:trPr>
        <w:tc>
          <w:tcPr>
            <w:tcW w:w="7848" w:type="dxa"/>
            <w:gridSpan w:val="5"/>
            <w:shd w:val="clear" w:color="auto" w:fill="D9D9D9"/>
            <w:vAlign w:val="center"/>
          </w:tcPr>
          <w:p w14:paraId="1BEFAC99"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FERC-521: Payments for Benefits from Headwater Benefits</w:t>
            </w:r>
          </w:p>
        </w:tc>
      </w:tr>
      <w:tr w:rsidR="006601E3" w:rsidRPr="00344902" w14:paraId="6F7587F3" w14:textId="77777777" w:rsidTr="004C54E4">
        <w:trPr>
          <w:trHeight w:val="1250"/>
        </w:trPr>
        <w:tc>
          <w:tcPr>
            <w:tcW w:w="1800" w:type="dxa"/>
            <w:shd w:val="clear" w:color="auto" w:fill="D9D9D9"/>
            <w:vAlign w:val="bottom"/>
          </w:tcPr>
          <w:p w14:paraId="768954B0"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Number of Respondents</w:t>
            </w:r>
          </w:p>
          <w:p w14:paraId="0D82D010"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(A)</w:t>
            </w:r>
          </w:p>
        </w:tc>
        <w:tc>
          <w:tcPr>
            <w:tcW w:w="1620" w:type="dxa"/>
            <w:shd w:val="clear" w:color="auto" w:fill="D9D9D9"/>
            <w:vAlign w:val="bottom"/>
          </w:tcPr>
          <w:p w14:paraId="6E74AD7B"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Number of Responses Per Respondent</w:t>
            </w:r>
          </w:p>
          <w:p w14:paraId="0D304651"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(B)</w:t>
            </w:r>
          </w:p>
        </w:tc>
        <w:tc>
          <w:tcPr>
            <w:tcW w:w="1638" w:type="dxa"/>
            <w:shd w:val="clear" w:color="auto" w:fill="D9D9D9"/>
            <w:vAlign w:val="bottom"/>
          </w:tcPr>
          <w:p w14:paraId="10064401"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Total Number of Responses</w:t>
            </w:r>
          </w:p>
          <w:p w14:paraId="5B6BA524"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(A)x(B)=(C)</w:t>
            </w:r>
          </w:p>
        </w:tc>
        <w:tc>
          <w:tcPr>
            <w:tcW w:w="1422" w:type="dxa"/>
            <w:shd w:val="clear" w:color="auto" w:fill="D9D9D9"/>
            <w:vAlign w:val="bottom"/>
          </w:tcPr>
          <w:p w14:paraId="4BAB3A8E"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Average Burden Hours per Response</w:t>
            </w:r>
          </w:p>
          <w:p w14:paraId="02F249AF"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(D)</w:t>
            </w:r>
          </w:p>
        </w:tc>
        <w:tc>
          <w:tcPr>
            <w:tcW w:w="1368" w:type="dxa"/>
            <w:shd w:val="clear" w:color="auto" w:fill="D9D9D9"/>
            <w:vAlign w:val="bottom"/>
          </w:tcPr>
          <w:p w14:paraId="240167DD"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Estimated Total Annual Burden</w:t>
            </w:r>
          </w:p>
          <w:p w14:paraId="64FA3FFC" w14:textId="77777777" w:rsidR="006601E3" w:rsidRPr="00344902" w:rsidRDefault="006601E3" w:rsidP="006601E3">
            <w:pPr>
              <w:spacing w:after="0" w:line="240" w:lineRule="auto"/>
              <w:jc w:val="center"/>
              <w:rPr>
                <w:rFonts w:ascii="Times New Roman" w:eastAsia="Times New Roman" w:hAnsi="Times New Roman" w:cs="Times New Roman"/>
                <w:b/>
                <w:sz w:val="24"/>
                <w:szCs w:val="24"/>
              </w:rPr>
            </w:pPr>
            <w:r w:rsidRPr="00344902">
              <w:rPr>
                <w:rFonts w:ascii="Times New Roman" w:eastAsia="Times New Roman" w:hAnsi="Times New Roman" w:cs="Times New Roman"/>
                <w:b/>
                <w:sz w:val="24"/>
                <w:szCs w:val="24"/>
              </w:rPr>
              <w:t>(C)x(D)</w:t>
            </w:r>
          </w:p>
        </w:tc>
      </w:tr>
      <w:tr w:rsidR="006601E3" w:rsidRPr="00344902" w14:paraId="33DCA8E2" w14:textId="77777777" w:rsidTr="004C54E4">
        <w:tc>
          <w:tcPr>
            <w:tcW w:w="1800" w:type="dxa"/>
            <w:vAlign w:val="bottom"/>
          </w:tcPr>
          <w:p w14:paraId="0AED7A94" w14:textId="77777777" w:rsidR="006601E3" w:rsidRPr="00344902" w:rsidRDefault="006601E3" w:rsidP="006601E3">
            <w:pPr>
              <w:spacing w:after="0" w:line="240" w:lineRule="auto"/>
              <w:jc w:val="right"/>
              <w:rPr>
                <w:rFonts w:ascii="Times New Roman" w:eastAsia="Times New Roman" w:hAnsi="Times New Roman" w:cs="Times New Roman"/>
                <w:sz w:val="24"/>
                <w:szCs w:val="24"/>
              </w:rPr>
            </w:pPr>
            <w:r w:rsidRPr="00344902">
              <w:rPr>
                <w:rFonts w:ascii="Times New Roman" w:eastAsia="Times New Roman" w:hAnsi="Times New Roman" w:cs="Times New Roman"/>
                <w:sz w:val="24"/>
                <w:szCs w:val="24"/>
              </w:rPr>
              <w:t>3</w:t>
            </w:r>
          </w:p>
        </w:tc>
        <w:tc>
          <w:tcPr>
            <w:tcW w:w="1620" w:type="dxa"/>
            <w:vAlign w:val="bottom"/>
          </w:tcPr>
          <w:p w14:paraId="538438A3" w14:textId="77777777" w:rsidR="006601E3" w:rsidRPr="00344902" w:rsidRDefault="006601E3" w:rsidP="006601E3">
            <w:pPr>
              <w:spacing w:after="0" w:line="240" w:lineRule="auto"/>
              <w:jc w:val="right"/>
              <w:rPr>
                <w:rFonts w:ascii="Times New Roman" w:eastAsia="Times New Roman" w:hAnsi="Times New Roman" w:cs="Times New Roman"/>
                <w:sz w:val="24"/>
                <w:szCs w:val="24"/>
              </w:rPr>
            </w:pPr>
            <w:r w:rsidRPr="00344902">
              <w:rPr>
                <w:rFonts w:ascii="Times New Roman" w:eastAsia="Times New Roman" w:hAnsi="Times New Roman" w:cs="Times New Roman"/>
                <w:sz w:val="24"/>
                <w:szCs w:val="24"/>
              </w:rPr>
              <w:t>1</w:t>
            </w:r>
          </w:p>
        </w:tc>
        <w:tc>
          <w:tcPr>
            <w:tcW w:w="1638" w:type="dxa"/>
            <w:vAlign w:val="bottom"/>
          </w:tcPr>
          <w:p w14:paraId="127D99E3" w14:textId="77777777" w:rsidR="006601E3" w:rsidRPr="00344902" w:rsidRDefault="006601E3" w:rsidP="006601E3">
            <w:pPr>
              <w:spacing w:after="0" w:line="240" w:lineRule="auto"/>
              <w:jc w:val="right"/>
              <w:rPr>
                <w:rFonts w:ascii="Times New Roman" w:eastAsia="Times New Roman" w:hAnsi="Times New Roman" w:cs="Times New Roman"/>
                <w:sz w:val="24"/>
                <w:szCs w:val="24"/>
              </w:rPr>
            </w:pPr>
            <w:r w:rsidRPr="00344902">
              <w:rPr>
                <w:rFonts w:ascii="Times New Roman" w:eastAsia="Times New Roman" w:hAnsi="Times New Roman" w:cs="Times New Roman"/>
                <w:sz w:val="24"/>
                <w:szCs w:val="24"/>
              </w:rPr>
              <w:t>3</w:t>
            </w:r>
          </w:p>
        </w:tc>
        <w:tc>
          <w:tcPr>
            <w:tcW w:w="1422" w:type="dxa"/>
            <w:vAlign w:val="bottom"/>
          </w:tcPr>
          <w:p w14:paraId="778556AE" w14:textId="77777777" w:rsidR="006601E3" w:rsidRPr="00344902" w:rsidRDefault="006601E3" w:rsidP="006601E3">
            <w:pPr>
              <w:spacing w:after="0" w:line="240" w:lineRule="auto"/>
              <w:jc w:val="right"/>
              <w:rPr>
                <w:rFonts w:ascii="Times New Roman" w:eastAsia="Times New Roman" w:hAnsi="Times New Roman" w:cs="Times New Roman"/>
                <w:sz w:val="24"/>
                <w:szCs w:val="24"/>
              </w:rPr>
            </w:pPr>
            <w:r w:rsidRPr="00344902">
              <w:rPr>
                <w:rFonts w:ascii="Times New Roman" w:eastAsia="Times New Roman" w:hAnsi="Times New Roman" w:cs="Times New Roman"/>
                <w:sz w:val="24"/>
                <w:szCs w:val="24"/>
              </w:rPr>
              <w:t>40</w:t>
            </w:r>
          </w:p>
        </w:tc>
        <w:tc>
          <w:tcPr>
            <w:tcW w:w="1368" w:type="dxa"/>
            <w:vAlign w:val="bottom"/>
          </w:tcPr>
          <w:p w14:paraId="515B3A69" w14:textId="77777777" w:rsidR="006601E3" w:rsidRPr="00344902" w:rsidRDefault="006601E3" w:rsidP="006601E3">
            <w:pPr>
              <w:spacing w:after="0" w:line="240" w:lineRule="auto"/>
              <w:jc w:val="right"/>
              <w:rPr>
                <w:rFonts w:ascii="Times New Roman" w:eastAsia="Times New Roman" w:hAnsi="Times New Roman" w:cs="Times New Roman"/>
                <w:sz w:val="24"/>
                <w:szCs w:val="24"/>
              </w:rPr>
            </w:pPr>
            <w:r w:rsidRPr="00344902">
              <w:rPr>
                <w:rFonts w:ascii="Times New Roman" w:eastAsia="Times New Roman" w:hAnsi="Times New Roman" w:cs="Times New Roman"/>
                <w:sz w:val="24"/>
                <w:szCs w:val="24"/>
              </w:rPr>
              <w:t>120</w:t>
            </w:r>
          </w:p>
        </w:tc>
      </w:tr>
    </w:tbl>
    <w:p w14:paraId="4AEE3AC3" w14:textId="77777777" w:rsidR="00D80FBD" w:rsidRDefault="00D80FBD" w:rsidP="00D80FBD">
      <w:pPr>
        <w:spacing w:after="0"/>
        <w:rPr>
          <w:rFonts w:ascii="Times New Roman" w:hAnsi="Times New Roman" w:cs="Times New Roman"/>
          <w:sz w:val="24"/>
          <w:szCs w:val="24"/>
        </w:rPr>
      </w:pPr>
    </w:p>
    <w:p w14:paraId="3347BEAB" w14:textId="77777777" w:rsidR="006601E3" w:rsidRDefault="006601E3" w:rsidP="00D80FBD">
      <w:pPr>
        <w:spacing w:after="0"/>
        <w:rPr>
          <w:rFonts w:ascii="Times New Roman" w:hAnsi="Times New Roman" w:cs="Times New Roman"/>
          <w:sz w:val="24"/>
          <w:szCs w:val="24"/>
        </w:rPr>
      </w:pPr>
    </w:p>
    <w:p w14:paraId="626A746B" w14:textId="77777777" w:rsidR="006601E3" w:rsidRDefault="006601E3" w:rsidP="00D80FBD">
      <w:pPr>
        <w:spacing w:after="0"/>
        <w:rPr>
          <w:rFonts w:ascii="Times New Roman" w:hAnsi="Times New Roman" w:cs="Times New Roman"/>
          <w:sz w:val="24"/>
          <w:szCs w:val="24"/>
        </w:rPr>
      </w:pPr>
    </w:p>
    <w:p w14:paraId="290125F5" w14:textId="77777777" w:rsidR="006601E3" w:rsidRDefault="006601E3" w:rsidP="00D80FBD">
      <w:pPr>
        <w:spacing w:after="0"/>
        <w:rPr>
          <w:rFonts w:ascii="Times New Roman" w:hAnsi="Times New Roman" w:cs="Times New Roman"/>
          <w:sz w:val="24"/>
          <w:szCs w:val="24"/>
        </w:rPr>
      </w:pPr>
    </w:p>
    <w:p w14:paraId="2C19EFDD" w14:textId="77777777" w:rsidR="006601E3" w:rsidRDefault="006601E3" w:rsidP="00D80FBD">
      <w:pPr>
        <w:spacing w:after="0"/>
        <w:rPr>
          <w:rFonts w:ascii="Times New Roman" w:hAnsi="Times New Roman" w:cs="Times New Roman"/>
          <w:sz w:val="24"/>
          <w:szCs w:val="24"/>
        </w:rPr>
      </w:pPr>
    </w:p>
    <w:p w14:paraId="7A13AC2D" w14:textId="77777777" w:rsidR="006601E3" w:rsidRDefault="006601E3" w:rsidP="00D80FBD">
      <w:pPr>
        <w:spacing w:after="0"/>
        <w:rPr>
          <w:rFonts w:ascii="Times New Roman" w:hAnsi="Times New Roman" w:cs="Times New Roman"/>
          <w:sz w:val="24"/>
          <w:szCs w:val="24"/>
        </w:rPr>
      </w:pPr>
    </w:p>
    <w:p w14:paraId="4886AF5A" w14:textId="77777777" w:rsidR="006601E3" w:rsidRDefault="006601E3" w:rsidP="00D80FBD">
      <w:pPr>
        <w:spacing w:after="0"/>
        <w:rPr>
          <w:rFonts w:ascii="Times New Roman" w:hAnsi="Times New Roman" w:cs="Times New Roman"/>
          <w:sz w:val="24"/>
          <w:szCs w:val="24"/>
        </w:rPr>
      </w:pPr>
    </w:p>
    <w:p w14:paraId="232F0E27" w14:textId="15350616" w:rsidR="006601E3" w:rsidRDefault="006601E3" w:rsidP="00D80FBD">
      <w:pPr>
        <w:spacing w:after="0"/>
        <w:rPr>
          <w:rFonts w:ascii="Times New Roman" w:hAnsi="Times New Roman" w:cs="Times New Roman"/>
          <w:sz w:val="24"/>
          <w:szCs w:val="24"/>
        </w:rPr>
      </w:pPr>
      <w:r w:rsidRPr="006601E3">
        <w:rPr>
          <w:rFonts w:ascii="Times New Roman" w:hAnsi="Times New Roman" w:cs="Times New Roman"/>
          <w:sz w:val="24"/>
          <w:szCs w:val="24"/>
        </w:rPr>
        <w:lastRenderedPageBreak/>
        <w:t>The total estimated annual cost burden to respondents is $</w:t>
      </w:r>
      <w:r>
        <w:rPr>
          <w:rFonts w:ascii="Times New Roman" w:hAnsi="Times New Roman" w:cs="Times New Roman"/>
          <w:sz w:val="24"/>
          <w:szCs w:val="24"/>
        </w:rPr>
        <w:t xml:space="preserve">8,460 [120 hours * $70.50/hour </w:t>
      </w:r>
      <w:r w:rsidRPr="006601E3">
        <w:rPr>
          <w:rFonts w:ascii="Times New Roman" w:hAnsi="Times New Roman" w:cs="Times New Roman"/>
          <w:sz w:val="24"/>
          <w:szCs w:val="24"/>
        </w:rPr>
        <w:t>= $8,460]</w:t>
      </w:r>
      <w:r>
        <w:rPr>
          <w:rFonts w:ascii="Times New Roman" w:hAnsi="Times New Roman" w:cs="Times New Roman"/>
          <w:sz w:val="24"/>
          <w:szCs w:val="24"/>
        </w:rPr>
        <w:t>.</w:t>
      </w:r>
    </w:p>
    <w:p w14:paraId="5F3EB473" w14:textId="77777777" w:rsidR="006601E3" w:rsidRPr="00D80FBD" w:rsidRDefault="006601E3" w:rsidP="00D80FBD">
      <w:pPr>
        <w:spacing w:after="0"/>
        <w:rPr>
          <w:rFonts w:ascii="Times New Roman" w:hAnsi="Times New Roman" w:cs="Times New Roman"/>
          <w:sz w:val="24"/>
          <w:szCs w:val="24"/>
        </w:rPr>
      </w:pPr>
    </w:p>
    <w:p w14:paraId="4AEE3AC4"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4AEE3AC5" w14:textId="77777777" w:rsidR="00E636D7" w:rsidRDefault="00E636D7" w:rsidP="00E636D7">
      <w:pPr>
        <w:spacing w:after="0"/>
        <w:rPr>
          <w:rFonts w:ascii="Times New Roman" w:hAnsi="Times New Roman" w:cs="Times New Roman"/>
          <w:sz w:val="24"/>
          <w:szCs w:val="24"/>
        </w:rPr>
      </w:pPr>
    </w:p>
    <w:p w14:paraId="4AEE3AD0" w14:textId="38E7B5F4" w:rsidR="00E636D7" w:rsidRDefault="006601E3" w:rsidP="00E636D7">
      <w:pPr>
        <w:spacing w:after="0"/>
        <w:rPr>
          <w:rFonts w:ascii="Times New Roman" w:hAnsi="Times New Roman" w:cs="Times New Roman"/>
          <w:sz w:val="24"/>
          <w:szCs w:val="24"/>
        </w:rPr>
      </w:pPr>
      <w:r w:rsidRPr="006601E3">
        <w:rPr>
          <w:rFonts w:ascii="Times New Roman" w:hAnsi="Times New Roman" w:cs="Times New Roman"/>
          <w:sz w:val="24"/>
          <w:szCs w:val="24"/>
        </w:rPr>
        <w:t>There are no capital or start-up costs associated with this collection.  All of the costs are associated with the burden hours and accounted for in Question #12.</w:t>
      </w:r>
    </w:p>
    <w:p w14:paraId="2C3C3453" w14:textId="77777777" w:rsidR="006601E3" w:rsidRPr="00E636D7" w:rsidRDefault="006601E3" w:rsidP="00E636D7">
      <w:pPr>
        <w:spacing w:after="0"/>
        <w:rPr>
          <w:rFonts w:ascii="Times New Roman" w:hAnsi="Times New Roman" w:cs="Times New Roman"/>
          <w:sz w:val="24"/>
          <w:szCs w:val="24"/>
        </w:rPr>
      </w:pPr>
    </w:p>
    <w:p w14:paraId="4AEE3AD1"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4AEE3AD8" w14:textId="77777777"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14:paraId="4AEE3ADC" w14:textId="77777777" w:rsidTr="005F1C3C">
        <w:tc>
          <w:tcPr>
            <w:tcW w:w="3182" w:type="dxa"/>
            <w:shd w:val="clear" w:color="auto" w:fill="CCCCCC"/>
          </w:tcPr>
          <w:p w14:paraId="4AEE3AD9" w14:textId="77777777"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14:paraId="4AEE3ADA" w14:textId="28BB60D6" w:rsidR="00A276F5" w:rsidRPr="00A276F5" w:rsidRDefault="006601E3" w:rsidP="00A276F5">
            <w:pPr>
              <w:spacing w:after="0" w:line="240" w:lineRule="auto"/>
              <w:rPr>
                <w:rFonts w:ascii="Times New Roman" w:hAnsi="Times New Roman" w:cs="Times New Roman"/>
                <w:b/>
                <w:sz w:val="24"/>
                <w:szCs w:val="24"/>
              </w:rPr>
            </w:pPr>
            <w:r>
              <w:rPr>
                <w:rFonts w:ascii="Times New Roman" w:hAnsi="Times New Roman" w:cs="Times New Roman"/>
                <w:b/>
                <w:sz w:val="24"/>
                <w:szCs w:val="24"/>
              </w:rPr>
              <w:t>Number of Employees (FTEs)</w:t>
            </w:r>
          </w:p>
        </w:tc>
        <w:tc>
          <w:tcPr>
            <w:tcW w:w="2995" w:type="dxa"/>
            <w:shd w:val="clear" w:color="auto" w:fill="CCCCCC"/>
          </w:tcPr>
          <w:p w14:paraId="4AEE3ADB" w14:textId="77777777"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14:paraId="4AEE3AE0" w14:textId="77777777" w:rsidTr="005F1C3C">
        <w:tc>
          <w:tcPr>
            <w:tcW w:w="3182" w:type="dxa"/>
            <w:shd w:val="clear" w:color="auto" w:fill="auto"/>
          </w:tcPr>
          <w:p w14:paraId="4AEE3ADD" w14:textId="77777777"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Pr="00A276F5">
              <w:rPr>
                <w:rStyle w:val="FootnoteReference"/>
                <w:rFonts w:ascii="Times New Roman" w:hAnsi="Times New Roman" w:cs="Times New Roman"/>
                <w:sz w:val="24"/>
                <w:szCs w:val="24"/>
                <w:vertAlign w:val="superscript"/>
              </w:rPr>
              <w:footnoteReference w:id="6"/>
            </w:r>
          </w:p>
        </w:tc>
        <w:tc>
          <w:tcPr>
            <w:tcW w:w="3201" w:type="dxa"/>
            <w:tcBorders>
              <w:bottom w:val="single" w:sz="4" w:space="0" w:color="auto"/>
            </w:tcBorders>
            <w:shd w:val="clear" w:color="auto" w:fill="auto"/>
            <w:vAlign w:val="center"/>
          </w:tcPr>
          <w:p w14:paraId="4AEE3ADE" w14:textId="1604686D" w:rsidR="00A276F5" w:rsidRPr="00A276F5" w:rsidRDefault="006601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2995" w:type="dxa"/>
            <w:shd w:val="clear" w:color="auto" w:fill="auto"/>
            <w:vAlign w:val="center"/>
          </w:tcPr>
          <w:p w14:paraId="4AEE3ADF" w14:textId="6629D7D5" w:rsidR="00A276F5" w:rsidRPr="00A276F5" w:rsidRDefault="006601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$17,591</w:t>
            </w:r>
          </w:p>
        </w:tc>
      </w:tr>
      <w:tr w:rsidR="005F1C3C" w:rsidRPr="00A276F5" w14:paraId="4AEE3AE4" w14:textId="77777777" w:rsidTr="005F1C3C">
        <w:tc>
          <w:tcPr>
            <w:tcW w:w="3182" w:type="dxa"/>
            <w:shd w:val="clear" w:color="auto" w:fill="auto"/>
          </w:tcPr>
          <w:p w14:paraId="4AEE3AE1" w14:textId="0A5493BD" w:rsidR="005F1C3C" w:rsidRPr="003112F3" w:rsidRDefault="00F400D7" w:rsidP="003112F3">
            <w:pPr>
              <w:rPr>
                <w:rFonts w:ascii="Times New Roman" w:hAnsi="Times New Roman"/>
              </w:rPr>
            </w:pPr>
            <w:r>
              <w:rPr>
                <w:rFonts w:ascii="Times New Roman" w:hAnsi="Times New Roman" w:cs="Times New Roman"/>
                <w:sz w:val="24"/>
                <w:szCs w:val="24"/>
              </w:rPr>
              <w:t>P</w:t>
            </w:r>
            <w:r w:rsidR="00173E30">
              <w:rPr>
                <w:rFonts w:ascii="Times New Roman" w:hAnsi="Times New Roman" w:cs="Times New Roman"/>
                <w:sz w:val="24"/>
                <w:szCs w:val="24"/>
              </w:rPr>
              <w:t>RA</w:t>
            </w:r>
            <w:r w:rsidR="00173E30" w:rsidRPr="00F27BB2">
              <w:rPr>
                <w:rStyle w:val="FootnoteReference"/>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Administrative Cost</w:t>
            </w:r>
            <w:r w:rsidR="00173E30">
              <w:rPr>
                <w:rFonts w:ascii="Times New Roman" w:hAnsi="Times New Roman"/>
                <w:sz w:val="26"/>
                <w:szCs w:val="26"/>
                <w:vertAlign w:val="superscript"/>
              </w:rPr>
              <w:footnoteReference w:id="8"/>
            </w:r>
            <w:r w:rsidR="00173E30">
              <w:rPr>
                <w:rFonts w:ascii="Times New Roman" w:hAnsi="Times New Roman"/>
              </w:rPr>
              <w:t xml:space="preserve"> </w:t>
            </w:r>
          </w:p>
        </w:tc>
        <w:tc>
          <w:tcPr>
            <w:tcW w:w="3201" w:type="dxa"/>
            <w:vMerge w:val="restart"/>
            <w:shd w:val="clear" w:color="auto" w:fill="D9D9D9" w:themeFill="background1" w:themeFillShade="D9"/>
            <w:vAlign w:val="center"/>
          </w:tcPr>
          <w:p w14:paraId="4AEE3AE2" w14:textId="77777777"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4AEE3AE3" w14:textId="24568891" w:rsidR="005F1C3C" w:rsidRPr="00A276F5" w:rsidRDefault="006601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$5,092</w:t>
            </w:r>
          </w:p>
        </w:tc>
      </w:tr>
      <w:tr w:rsidR="005F1C3C" w:rsidRPr="00A276F5" w14:paraId="4AEE3AE8" w14:textId="77777777" w:rsidTr="005F1C3C">
        <w:tc>
          <w:tcPr>
            <w:tcW w:w="3182" w:type="dxa"/>
            <w:shd w:val="clear" w:color="auto" w:fill="auto"/>
          </w:tcPr>
          <w:p w14:paraId="4AEE3AE5" w14:textId="77777777"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4AEE3AE6" w14:textId="77777777"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4AEE3AE7" w14:textId="79F8B185" w:rsidR="005F1C3C" w:rsidRPr="00A276F5" w:rsidRDefault="006601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$22,683</w:t>
            </w:r>
          </w:p>
        </w:tc>
      </w:tr>
    </w:tbl>
    <w:p w14:paraId="4AEE3AE9" w14:textId="77777777" w:rsidR="00A276F5" w:rsidRDefault="00A276F5" w:rsidP="00A276F5">
      <w:pPr>
        <w:spacing w:after="0"/>
        <w:rPr>
          <w:rFonts w:ascii="Times New Roman" w:hAnsi="Times New Roman" w:cs="Times New Roman"/>
          <w:sz w:val="24"/>
          <w:szCs w:val="24"/>
        </w:rPr>
      </w:pPr>
    </w:p>
    <w:p w14:paraId="4AEE3AEA" w14:textId="77777777" w:rsidR="00A276F5" w:rsidRDefault="00A276F5" w:rsidP="00A276F5">
      <w:pPr>
        <w:spacing w:after="0"/>
        <w:rPr>
          <w:rFonts w:ascii="Times New Roman" w:hAnsi="Times New Roman" w:cs="Times New Roman"/>
          <w:sz w:val="24"/>
          <w:szCs w:val="24"/>
        </w:rPr>
      </w:pPr>
      <w:r>
        <w:rPr>
          <w:rFonts w:ascii="Times New Roman" w:hAnsi="Times New Roman" w:cs="Times New Roman"/>
          <w:sz w:val="24"/>
          <w:szCs w:val="24"/>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4AEE3AEB" w14:textId="77777777" w:rsidR="00A276F5" w:rsidRPr="00A276F5" w:rsidRDefault="00A276F5" w:rsidP="00A276F5">
      <w:pPr>
        <w:spacing w:after="0"/>
        <w:rPr>
          <w:rFonts w:ascii="Times New Roman" w:hAnsi="Times New Roman" w:cs="Times New Roman"/>
          <w:sz w:val="24"/>
          <w:szCs w:val="24"/>
        </w:rPr>
      </w:pPr>
    </w:p>
    <w:p w14:paraId="4AEE3AEC"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4AEE3AED" w14:textId="77777777" w:rsidR="00A276F5" w:rsidRDefault="00A276F5" w:rsidP="00A276F5">
      <w:pPr>
        <w:spacing w:after="0"/>
        <w:rPr>
          <w:rFonts w:ascii="Times New Roman" w:hAnsi="Times New Roman" w:cs="Times New Roman"/>
          <w:sz w:val="24"/>
          <w:szCs w:val="24"/>
        </w:rPr>
      </w:pPr>
    </w:p>
    <w:p w14:paraId="4AEE3AF1" w14:textId="6DDC33BF" w:rsidR="00A276F5" w:rsidRDefault="002A5AC8" w:rsidP="00A276F5">
      <w:pPr>
        <w:spacing w:after="0"/>
        <w:rPr>
          <w:rFonts w:ascii="Times New Roman" w:hAnsi="Times New Roman" w:cs="Times New Roman"/>
          <w:sz w:val="24"/>
          <w:szCs w:val="24"/>
        </w:rPr>
      </w:pPr>
      <w:r>
        <w:rPr>
          <w:rFonts w:ascii="Times New Roman" w:hAnsi="Times New Roman" w:cs="Times New Roman"/>
          <w:sz w:val="24"/>
          <w:szCs w:val="24"/>
        </w:rPr>
        <w:t xml:space="preserve">There are no changes to reporting requirements. </w:t>
      </w:r>
      <w:r w:rsidR="00AC743E">
        <w:rPr>
          <w:rFonts w:ascii="Times New Roman" w:hAnsi="Times New Roman" w:cs="Times New Roman"/>
          <w:sz w:val="24"/>
          <w:szCs w:val="24"/>
        </w:rPr>
        <w:t xml:space="preserve"> Moreover, there is no foreseeable change in </w:t>
      </w:r>
      <w:r w:rsidR="00F27BB2">
        <w:rPr>
          <w:rFonts w:ascii="Times New Roman" w:hAnsi="Times New Roman" w:cs="Times New Roman"/>
          <w:sz w:val="24"/>
          <w:szCs w:val="24"/>
        </w:rPr>
        <w:t>either the number of respondents or</w:t>
      </w:r>
      <w:r w:rsidR="00AC743E">
        <w:rPr>
          <w:rFonts w:ascii="Times New Roman" w:hAnsi="Times New Roman" w:cs="Times New Roman"/>
          <w:sz w:val="24"/>
          <w:szCs w:val="24"/>
        </w:rPr>
        <w:t xml:space="preserve"> the frequency with which they must respond. </w:t>
      </w:r>
      <w:r>
        <w:rPr>
          <w:rFonts w:ascii="Times New Roman" w:hAnsi="Times New Roman" w:cs="Times New Roman"/>
          <w:sz w:val="24"/>
          <w:szCs w:val="24"/>
        </w:rPr>
        <w:t>Therefore, there is no change to the estimated reporting burden.</w:t>
      </w:r>
    </w:p>
    <w:p w14:paraId="640BFCFD" w14:textId="77777777" w:rsidR="002A5AC8" w:rsidRDefault="002A5AC8"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14:paraId="4AEE3AF7" w14:textId="77777777" w:rsidTr="005F1C3C">
        <w:trPr>
          <w:trHeight w:val="870"/>
        </w:trPr>
        <w:tc>
          <w:tcPr>
            <w:tcW w:w="2679" w:type="dxa"/>
            <w:shd w:val="clear" w:color="auto" w:fill="D9D9D9"/>
            <w:vAlign w:val="bottom"/>
          </w:tcPr>
          <w:p w14:paraId="4AEE3AF2" w14:textId="5C74AD04"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706C07">
              <w:rPr>
                <w:rFonts w:ascii="Times New Roman" w:hAnsi="Times New Roman" w:cs="Times New Roman"/>
                <w:b/>
                <w:sz w:val="24"/>
                <w:szCs w:val="24"/>
              </w:rPr>
              <w:t>521</w:t>
            </w:r>
          </w:p>
        </w:tc>
        <w:tc>
          <w:tcPr>
            <w:tcW w:w="1461" w:type="dxa"/>
            <w:shd w:val="clear" w:color="auto" w:fill="D9D9D9"/>
            <w:vAlign w:val="bottom"/>
          </w:tcPr>
          <w:p w14:paraId="4AEE3AF3"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4AEE3AF4"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4AEE3AF5"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4AEE3AF6"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14:paraId="4AEE3AFD" w14:textId="77777777" w:rsidTr="005F1C3C">
        <w:trPr>
          <w:trHeight w:val="591"/>
        </w:trPr>
        <w:tc>
          <w:tcPr>
            <w:tcW w:w="2679" w:type="dxa"/>
            <w:shd w:val="clear" w:color="auto" w:fill="auto"/>
          </w:tcPr>
          <w:p w14:paraId="4AEE3AF8"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4AEE3AF9" w14:textId="25D50481"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620" w:type="dxa"/>
            <w:shd w:val="clear" w:color="auto" w:fill="auto"/>
            <w:vAlign w:val="center"/>
          </w:tcPr>
          <w:p w14:paraId="4AEE3AFA" w14:textId="44374EA7" w:rsidR="00C01698" w:rsidRPr="00D80FBD" w:rsidRDefault="00AE073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800" w:type="dxa"/>
            <w:shd w:val="clear" w:color="auto" w:fill="auto"/>
            <w:vAlign w:val="center"/>
          </w:tcPr>
          <w:p w14:paraId="4AEE3AFB" w14:textId="15878298"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4AEE3AFC" w14:textId="2F978EB5" w:rsidR="00C01698" w:rsidRPr="00D80FBD" w:rsidRDefault="00AE073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C01698" w:rsidRPr="00D80FBD" w14:paraId="4AEE3B03" w14:textId="77777777" w:rsidTr="005F1C3C">
        <w:trPr>
          <w:trHeight w:val="575"/>
        </w:trPr>
        <w:tc>
          <w:tcPr>
            <w:tcW w:w="2679" w:type="dxa"/>
            <w:shd w:val="clear" w:color="auto" w:fill="auto"/>
          </w:tcPr>
          <w:p w14:paraId="4AEE3AFE"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14:paraId="4AEE3AFF" w14:textId="781A9476"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1620" w:type="dxa"/>
            <w:shd w:val="clear" w:color="auto" w:fill="auto"/>
            <w:vAlign w:val="center"/>
          </w:tcPr>
          <w:p w14:paraId="4AEE3B00" w14:textId="76478345" w:rsidR="00C01698" w:rsidRPr="00D80FBD" w:rsidRDefault="00AE073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1800" w:type="dxa"/>
            <w:shd w:val="clear" w:color="auto" w:fill="auto"/>
            <w:vAlign w:val="center"/>
          </w:tcPr>
          <w:p w14:paraId="4AEE3B01" w14:textId="0AA9B78C"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4AEE3B02" w14:textId="4DC09C9D" w:rsidR="00C01698" w:rsidRPr="00D80FBD" w:rsidRDefault="00AE073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C01698" w:rsidRPr="00D80FBD" w14:paraId="4AEE3B09" w14:textId="77777777" w:rsidTr="005F1C3C">
        <w:trPr>
          <w:trHeight w:val="295"/>
        </w:trPr>
        <w:tc>
          <w:tcPr>
            <w:tcW w:w="2679" w:type="dxa"/>
            <w:tcBorders>
              <w:bottom w:val="single" w:sz="4" w:space="0" w:color="auto"/>
            </w:tcBorders>
            <w:shd w:val="clear" w:color="auto" w:fill="auto"/>
          </w:tcPr>
          <w:p w14:paraId="4AEE3B04"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lastRenderedPageBreak/>
              <w:t>Annual Cost Burden ($)</w:t>
            </w:r>
          </w:p>
        </w:tc>
        <w:tc>
          <w:tcPr>
            <w:tcW w:w="1461" w:type="dxa"/>
            <w:tcBorders>
              <w:bottom w:val="single" w:sz="4" w:space="0" w:color="auto"/>
            </w:tcBorders>
            <w:shd w:val="clear" w:color="auto" w:fill="auto"/>
            <w:vAlign w:val="center"/>
          </w:tcPr>
          <w:p w14:paraId="4AEE3B05" w14:textId="64B2BAC8"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c>
          <w:tcPr>
            <w:tcW w:w="1620" w:type="dxa"/>
            <w:tcBorders>
              <w:bottom w:val="single" w:sz="4" w:space="0" w:color="auto"/>
            </w:tcBorders>
            <w:shd w:val="clear" w:color="auto" w:fill="auto"/>
            <w:vAlign w:val="center"/>
          </w:tcPr>
          <w:p w14:paraId="4AEE3B06" w14:textId="640B99A7"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c>
          <w:tcPr>
            <w:tcW w:w="1800" w:type="dxa"/>
            <w:tcBorders>
              <w:bottom w:val="single" w:sz="4" w:space="0" w:color="auto"/>
            </w:tcBorders>
            <w:shd w:val="clear" w:color="auto" w:fill="auto"/>
            <w:vAlign w:val="center"/>
          </w:tcPr>
          <w:p w14:paraId="4AEE3B07" w14:textId="2C129414"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c>
          <w:tcPr>
            <w:tcW w:w="1800" w:type="dxa"/>
            <w:tcBorders>
              <w:bottom w:val="single" w:sz="4" w:space="0" w:color="auto"/>
            </w:tcBorders>
            <w:shd w:val="clear" w:color="auto" w:fill="auto"/>
            <w:vAlign w:val="center"/>
          </w:tcPr>
          <w:p w14:paraId="4AEE3B08" w14:textId="5FC79922" w:rsidR="00C01698" w:rsidRPr="00D80FBD" w:rsidRDefault="003E1B8A"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$ 0</w:t>
            </w:r>
          </w:p>
        </w:tc>
      </w:tr>
    </w:tbl>
    <w:p w14:paraId="4AEE3B0A" w14:textId="77777777" w:rsidR="00C01698" w:rsidRDefault="00C01698" w:rsidP="00A276F5">
      <w:pPr>
        <w:spacing w:after="0"/>
        <w:rPr>
          <w:rFonts w:ascii="Times New Roman" w:hAnsi="Times New Roman" w:cs="Times New Roman"/>
          <w:sz w:val="24"/>
          <w:szCs w:val="24"/>
        </w:rPr>
      </w:pPr>
    </w:p>
    <w:p w14:paraId="4AEE3B0B" w14:textId="77777777"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14:paraId="4AEE3B0C" w14:textId="77777777" w:rsidR="00970FE4" w:rsidRPr="00A276F5" w:rsidRDefault="00970FE4" w:rsidP="00A276F5">
      <w:pPr>
        <w:spacing w:after="0"/>
        <w:rPr>
          <w:rFonts w:ascii="Times New Roman" w:hAnsi="Times New Roman" w:cs="Times New Roman"/>
          <w:sz w:val="24"/>
          <w:szCs w:val="24"/>
        </w:rPr>
      </w:pPr>
    </w:p>
    <w:p w14:paraId="4AEE3B0D"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4AEE3B0E" w14:textId="77777777" w:rsidR="00414F32" w:rsidRDefault="00414F32" w:rsidP="00414F32">
      <w:pPr>
        <w:spacing w:after="0"/>
        <w:rPr>
          <w:rFonts w:ascii="Times New Roman" w:hAnsi="Times New Roman" w:cs="Times New Roman"/>
          <w:sz w:val="24"/>
          <w:szCs w:val="24"/>
        </w:rPr>
      </w:pPr>
    </w:p>
    <w:p w14:paraId="4AEE3B0F" w14:textId="714BFBD1" w:rsidR="0057700F" w:rsidRDefault="002A5AC8" w:rsidP="0057700F">
      <w:pPr>
        <w:spacing w:after="0"/>
        <w:rPr>
          <w:rFonts w:ascii="Times New Roman" w:hAnsi="Times New Roman" w:cs="Times New Roman"/>
          <w:sz w:val="24"/>
          <w:szCs w:val="24"/>
        </w:rPr>
      </w:pPr>
      <w:r w:rsidRPr="002A5AC8">
        <w:rPr>
          <w:rFonts w:ascii="Times New Roman" w:hAnsi="Times New Roman" w:cs="Times New Roman"/>
          <w:sz w:val="24"/>
          <w:szCs w:val="24"/>
        </w:rPr>
        <w:t>There are no tabulations, statistical analysis, or publications of informatio</w:t>
      </w:r>
      <w:r w:rsidR="00706C07">
        <w:rPr>
          <w:rFonts w:ascii="Times New Roman" w:hAnsi="Times New Roman" w:cs="Times New Roman"/>
          <w:sz w:val="24"/>
          <w:szCs w:val="24"/>
        </w:rPr>
        <w:t>n planned for the FERC-521</w:t>
      </w:r>
      <w:r w:rsidRPr="002A5AC8">
        <w:rPr>
          <w:rFonts w:ascii="Times New Roman" w:hAnsi="Times New Roman" w:cs="Times New Roman"/>
          <w:sz w:val="24"/>
          <w:szCs w:val="24"/>
        </w:rPr>
        <w:t xml:space="preserve"> information collection.  The Commission intends to use the data for regulatory purposes only.</w:t>
      </w:r>
    </w:p>
    <w:p w14:paraId="4AEE3B12" w14:textId="77777777" w:rsidR="00414F32" w:rsidRPr="00414F32" w:rsidRDefault="00414F32" w:rsidP="00414F32">
      <w:pPr>
        <w:spacing w:after="0"/>
        <w:rPr>
          <w:rFonts w:ascii="Times New Roman" w:hAnsi="Times New Roman" w:cs="Times New Roman"/>
          <w:sz w:val="24"/>
          <w:szCs w:val="24"/>
        </w:rPr>
      </w:pPr>
    </w:p>
    <w:p w14:paraId="4AEE3B13"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6130981D" w14:textId="77777777" w:rsidR="00E84A39" w:rsidRDefault="00E84A39" w:rsidP="0057700F">
      <w:pPr>
        <w:spacing w:after="0"/>
        <w:rPr>
          <w:rFonts w:ascii="Times New Roman" w:hAnsi="Times New Roman" w:cs="Times New Roman"/>
          <w:sz w:val="24"/>
          <w:szCs w:val="24"/>
        </w:rPr>
      </w:pPr>
    </w:p>
    <w:p w14:paraId="2048704C" w14:textId="771E3E28" w:rsidR="00E84A39" w:rsidRDefault="00E84A39" w:rsidP="0057700F">
      <w:pPr>
        <w:spacing w:after="0"/>
        <w:rPr>
          <w:rFonts w:ascii="Times New Roman" w:hAnsi="Times New Roman" w:cs="Times New Roman"/>
          <w:sz w:val="24"/>
          <w:szCs w:val="24"/>
        </w:rPr>
      </w:pPr>
      <w:r>
        <w:rPr>
          <w:rFonts w:ascii="Times New Roman" w:hAnsi="Times New Roman" w:cs="Times New Roman"/>
          <w:sz w:val="24"/>
          <w:szCs w:val="24"/>
        </w:rPr>
        <w:t>The expiration date</w:t>
      </w:r>
      <w:r w:rsidRPr="00E84A39">
        <w:rPr>
          <w:rFonts w:ascii="Times New Roman" w:hAnsi="Times New Roman" w:cs="Times New Roman"/>
          <w:sz w:val="24"/>
          <w:szCs w:val="24"/>
        </w:rPr>
        <w:t xml:space="preserve"> </w:t>
      </w:r>
      <w:r>
        <w:rPr>
          <w:rFonts w:ascii="Times New Roman" w:hAnsi="Times New Roman" w:cs="Times New Roman"/>
          <w:sz w:val="24"/>
          <w:szCs w:val="24"/>
        </w:rPr>
        <w:t>is</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2"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p>
    <w:p w14:paraId="4AEE3B16" w14:textId="77777777" w:rsidR="00414F32" w:rsidRPr="00414F32" w:rsidRDefault="00414F32" w:rsidP="00414F32">
      <w:pPr>
        <w:spacing w:after="0"/>
        <w:rPr>
          <w:rFonts w:ascii="Times New Roman" w:hAnsi="Times New Roman" w:cs="Times New Roman"/>
          <w:sz w:val="24"/>
          <w:szCs w:val="24"/>
        </w:rPr>
      </w:pPr>
    </w:p>
    <w:p w14:paraId="4AEE3B17"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4AEE3B18" w14:textId="77777777" w:rsidR="0057700F" w:rsidRDefault="0057700F" w:rsidP="0057700F">
      <w:pPr>
        <w:spacing w:after="0"/>
        <w:rPr>
          <w:rFonts w:ascii="Times New Roman" w:hAnsi="Times New Roman" w:cs="Times New Roman"/>
          <w:b/>
          <w:sz w:val="24"/>
          <w:szCs w:val="24"/>
        </w:rPr>
      </w:pPr>
    </w:p>
    <w:p w14:paraId="4AEE3B19" w14:textId="298BB662" w:rsidR="00414F32" w:rsidRPr="007A2F92" w:rsidRDefault="002A5AC8" w:rsidP="002A5AC8">
      <w:pPr>
        <w:spacing w:after="0"/>
        <w:rPr>
          <w:rFonts w:ascii="Times New Roman" w:hAnsi="Times New Roman" w:cs="Times New Roman"/>
          <w:sz w:val="24"/>
          <w:szCs w:val="24"/>
        </w:rPr>
      </w:pPr>
      <w:r w:rsidRPr="002A5AC8">
        <w:rPr>
          <w:rFonts w:ascii="Times New Roman" w:hAnsi="Times New Roman" w:cs="Times New Roman"/>
          <w:sz w:val="24"/>
          <w:szCs w:val="24"/>
        </w:rPr>
        <w:t>The Commission will not be using statistical survey methodology for this information collection.</w:t>
      </w:r>
    </w:p>
    <w:sectPr w:rsidR="00414F32" w:rsidRPr="007A2F9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FDEF" w14:textId="77777777" w:rsidR="00EF2ABA" w:rsidRDefault="00EF2ABA" w:rsidP="00FD66F1">
      <w:pPr>
        <w:spacing w:after="0" w:line="240" w:lineRule="auto"/>
      </w:pPr>
      <w:r>
        <w:separator/>
      </w:r>
    </w:p>
  </w:endnote>
  <w:endnote w:type="continuationSeparator" w:id="0">
    <w:p w14:paraId="15B49DBE" w14:textId="77777777" w:rsidR="00EF2ABA" w:rsidRDefault="00EF2ABA" w:rsidP="00FD66F1">
      <w:pPr>
        <w:spacing w:after="0" w:line="240" w:lineRule="auto"/>
      </w:pPr>
      <w:r>
        <w:continuationSeparator/>
      </w:r>
    </w:p>
  </w:endnote>
  <w:endnote w:type="continuationNotice" w:id="1">
    <w:p w14:paraId="1A35CE1B" w14:textId="77777777" w:rsidR="00EF2ABA" w:rsidRDefault="00EF2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646847"/>
      <w:docPartObj>
        <w:docPartGallery w:val="Page Numbers (Bottom of Page)"/>
        <w:docPartUnique/>
      </w:docPartObj>
    </w:sdtPr>
    <w:sdtEndPr>
      <w:rPr>
        <w:noProof/>
      </w:rPr>
    </w:sdtEndPr>
    <w:sdtContent>
      <w:p w14:paraId="4AEE3B22" w14:textId="77777777" w:rsidR="00EF2ABA" w:rsidRDefault="00EF2ABA">
        <w:pPr>
          <w:pStyle w:val="Footer"/>
          <w:jc w:val="right"/>
        </w:pPr>
        <w:r>
          <w:fldChar w:fldCharType="begin"/>
        </w:r>
        <w:r>
          <w:instrText xml:space="preserve"> PAGE   \* MERGEFORMAT </w:instrText>
        </w:r>
        <w:r>
          <w:fldChar w:fldCharType="separate"/>
        </w:r>
        <w:r w:rsidR="00A851C6">
          <w:rPr>
            <w:noProof/>
          </w:rPr>
          <w:t>6</w:t>
        </w:r>
        <w:r>
          <w:rPr>
            <w:noProof/>
          </w:rPr>
          <w:fldChar w:fldCharType="end"/>
        </w:r>
      </w:p>
    </w:sdtContent>
  </w:sdt>
  <w:p w14:paraId="4AEE3B23" w14:textId="77777777" w:rsidR="00EF2ABA" w:rsidRDefault="00EF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B766D" w14:textId="77777777" w:rsidR="00EF2ABA" w:rsidRDefault="00EF2ABA" w:rsidP="00FD66F1">
      <w:pPr>
        <w:spacing w:after="0" w:line="240" w:lineRule="auto"/>
      </w:pPr>
      <w:r>
        <w:separator/>
      </w:r>
    </w:p>
  </w:footnote>
  <w:footnote w:type="continuationSeparator" w:id="0">
    <w:p w14:paraId="4E1342B1" w14:textId="77777777" w:rsidR="00EF2ABA" w:rsidRDefault="00EF2ABA" w:rsidP="00FD66F1">
      <w:pPr>
        <w:spacing w:after="0" w:line="240" w:lineRule="auto"/>
      </w:pPr>
      <w:r>
        <w:continuationSeparator/>
      </w:r>
    </w:p>
  </w:footnote>
  <w:footnote w:type="continuationNotice" w:id="1">
    <w:p w14:paraId="15395494" w14:textId="77777777" w:rsidR="00EF2ABA" w:rsidRDefault="00EF2ABA">
      <w:pPr>
        <w:spacing w:after="0" w:line="240" w:lineRule="auto"/>
      </w:pPr>
    </w:p>
  </w:footnote>
  <w:footnote w:id="2">
    <w:p w14:paraId="513A063A" w14:textId="2E509406" w:rsidR="00EF2ABA" w:rsidRDefault="00EF2ABA" w:rsidP="00173E30">
      <w:pPr>
        <w:pStyle w:val="FootnoteText"/>
      </w:pPr>
      <w:r w:rsidRPr="00101D2E">
        <w:rPr>
          <w:rStyle w:val="FootnoteReference"/>
          <w:sz w:val="22"/>
          <w:szCs w:val="22"/>
        </w:rPr>
        <w:footnoteRef/>
      </w:r>
      <w:r>
        <w:t xml:space="preserve"> </w:t>
      </w:r>
      <w:r>
        <w:rPr>
          <w:sz w:val="22"/>
          <w:szCs w:val="22"/>
        </w:rPr>
        <w:t>16 USC</w:t>
      </w:r>
      <w:r w:rsidRPr="00101D2E">
        <w:rPr>
          <w:sz w:val="22"/>
          <w:szCs w:val="22"/>
        </w:rPr>
        <w:t xml:space="preserve"> Sect</w:t>
      </w:r>
      <w:r>
        <w:rPr>
          <w:sz w:val="22"/>
          <w:szCs w:val="22"/>
        </w:rPr>
        <w:t>ion 803</w:t>
      </w:r>
    </w:p>
  </w:footnote>
  <w:footnote w:id="3">
    <w:p w14:paraId="491971BA" w14:textId="33084CA0" w:rsidR="00EF2ABA" w:rsidRDefault="00EF2ABA" w:rsidP="00173E30">
      <w:pPr>
        <w:pStyle w:val="FootnoteText"/>
      </w:pPr>
      <w:r>
        <w:rPr>
          <w:rStyle w:val="FootnoteReference"/>
        </w:rPr>
        <w:footnoteRef/>
      </w:r>
      <w:r>
        <w:t xml:space="preserve"> </w:t>
      </w:r>
      <m:oMath>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n</m:t>
                </m:r>
              </m:sub>
            </m:sSub>
          </m:num>
          <m:den>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den>
        </m:f>
      </m:oMath>
      <w:r>
        <w:t xml:space="preserve"> ; In this formula the following applies:</w:t>
      </w:r>
    </w:p>
    <w:p w14:paraId="09B29A01" w14:textId="2FDDC922" w:rsidR="00EF2ABA" w:rsidRDefault="00EF2ABA" w:rsidP="003112F3">
      <w:pPr>
        <w:pStyle w:val="FootnoteText"/>
        <w:numPr>
          <w:ilvl w:val="0"/>
          <w:numId w:val="5"/>
        </w:numPr>
        <w:ind w:left="0" w:firstLine="0"/>
      </w:pPr>
      <w:r w:rsidRPr="00C30564">
        <w:rPr>
          <w:b/>
        </w:rPr>
        <w:t>P</w:t>
      </w:r>
      <w:r>
        <w:t xml:space="preserve"> = annual payment to be made for headwater benefits received by downstream project</w:t>
      </w:r>
    </w:p>
    <w:p w14:paraId="3D4511BB" w14:textId="2BB0CF8C" w:rsidR="00EF2ABA" w:rsidRDefault="00EF2ABA" w:rsidP="00410D66">
      <w:pPr>
        <w:pStyle w:val="FootnoteText"/>
        <w:numPr>
          <w:ilvl w:val="0"/>
          <w:numId w:val="5"/>
        </w:numPr>
        <w:ind w:left="0" w:firstLine="0"/>
      </w:pPr>
      <w:r w:rsidRPr="00C30564">
        <w:rPr>
          <w:b/>
        </w:rPr>
        <w:t>C</w:t>
      </w:r>
      <w:r w:rsidRPr="00C30564">
        <w:rPr>
          <w:b/>
          <w:vertAlign w:val="subscript"/>
        </w:rPr>
        <w:t>p</w:t>
      </w:r>
      <w:r>
        <w:t xml:space="preserve"> = </w:t>
      </w:r>
      <w:r w:rsidRPr="00C30564">
        <w:t>Annual</w:t>
      </w:r>
      <w:r>
        <w:t xml:space="preserve"> Section 10(f) cost of headwater project</w:t>
      </w:r>
    </w:p>
    <w:p w14:paraId="31B7AAE7" w14:textId="7F46435C" w:rsidR="00EF2ABA" w:rsidRDefault="00EF2ABA" w:rsidP="00410D66">
      <w:pPr>
        <w:pStyle w:val="FootnoteText"/>
        <w:numPr>
          <w:ilvl w:val="0"/>
          <w:numId w:val="5"/>
        </w:numPr>
        <w:ind w:left="0" w:firstLine="0"/>
      </w:pPr>
      <w:r w:rsidRPr="00C30564">
        <w:rPr>
          <w:b/>
        </w:rPr>
        <w:t>E</w:t>
      </w:r>
      <w:r w:rsidRPr="00C30564">
        <w:rPr>
          <w:b/>
          <w:vertAlign w:val="subscript"/>
        </w:rPr>
        <w:t>n</w:t>
      </w:r>
      <w:r>
        <w:rPr>
          <w:vertAlign w:val="subscript"/>
        </w:rPr>
        <w:t xml:space="preserve"> </w:t>
      </w:r>
      <w:r>
        <w:t xml:space="preserve">= </w:t>
      </w:r>
      <w:r w:rsidRPr="00C30564">
        <w:rPr>
          <w:vertAlign w:val="subscript"/>
        </w:rPr>
        <w:t>Annual</w:t>
      </w:r>
      <w:r>
        <w:t xml:space="preserve"> energy gains received at a downstream project (or group of projects)</w:t>
      </w:r>
    </w:p>
    <w:p w14:paraId="2FA6636A" w14:textId="63F695AC" w:rsidR="00EF2ABA" w:rsidRDefault="00EF2ABA" w:rsidP="00410D66">
      <w:pPr>
        <w:pStyle w:val="FootnoteText"/>
        <w:numPr>
          <w:ilvl w:val="0"/>
          <w:numId w:val="5"/>
        </w:numPr>
        <w:ind w:left="0" w:firstLine="0"/>
      </w:pPr>
      <w:r w:rsidRPr="00C30564">
        <w:rPr>
          <w:b/>
        </w:rPr>
        <w:t>E</w:t>
      </w:r>
      <w:r w:rsidRPr="00C30564">
        <w:rPr>
          <w:b/>
          <w:vertAlign w:val="subscript"/>
        </w:rPr>
        <w:t>j</w:t>
      </w:r>
      <w:r>
        <w:t xml:space="preserve"> = portion of annual energy generated at the headwater project assigned to the joint-use power cost</w:t>
      </w:r>
    </w:p>
    <w:p w14:paraId="05D8DC4D" w14:textId="0A24452C" w:rsidR="00EF2ABA" w:rsidRDefault="00EF2ABA" w:rsidP="00410D66">
      <w:pPr>
        <w:pStyle w:val="FootnoteText"/>
        <w:numPr>
          <w:ilvl w:val="0"/>
          <w:numId w:val="5"/>
        </w:numPr>
        <w:ind w:left="0" w:firstLine="0"/>
      </w:pPr>
      <w:r>
        <w:rPr>
          <w:b/>
        </w:rPr>
        <w:t>E</w:t>
      </w:r>
      <w:r w:rsidRPr="00C30564">
        <w:rPr>
          <w:b/>
          <w:vertAlign w:val="subscript"/>
        </w:rPr>
        <w:t>d</w:t>
      </w:r>
      <w:r>
        <w:rPr>
          <w:b/>
        </w:rPr>
        <w:t xml:space="preserve"> = </w:t>
      </w:r>
      <w:r>
        <w:t>annual energy gains received at all downstream projects (except ones specified in 18 CFR 11.10(b)</w:t>
      </w:r>
    </w:p>
  </w:footnote>
  <w:footnote w:id="4">
    <w:p w14:paraId="786EC136" w14:textId="4710E553" w:rsidR="00EF2ABA" w:rsidRDefault="00EF2ABA" w:rsidP="00173E30">
      <w:pPr>
        <w:pStyle w:val="FootnoteText"/>
      </w:pPr>
      <w:r>
        <w:rPr>
          <w:rStyle w:val="FootnoteReference"/>
        </w:rPr>
        <w:footnoteRef/>
      </w:r>
      <w:r>
        <w:t xml:space="preserve"> 79 FR 8949</w:t>
      </w:r>
    </w:p>
  </w:footnote>
  <w:footnote w:id="5">
    <w:p w14:paraId="649CF8E5" w14:textId="33BA18F4" w:rsidR="00EF2ABA" w:rsidRDefault="00EF2ABA" w:rsidP="00173E30">
      <w:pPr>
        <w:pStyle w:val="FootnoteText"/>
      </w:pPr>
      <w:r>
        <w:rPr>
          <w:rStyle w:val="FootnoteReference"/>
        </w:rPr>
        <w:footnoteRef/>
      </w:r>
      <w:r>
        <w:t xml:space="preserve"> 79 </w:t>
      </w:r>
      <w:r w:rsidRPr="00173E30">
        <w:t xml:space="preserve">FR </w:t>
      </w:r>
      <w:r w:rsidRPr="003112F3">
        <w:t>23968</w:t>
      </w:r>
    </w:p>
  </w:footnote>
  <w:footnote w:id="6">
    <w:p w14:paraId="4AEE3B26" w14:textId="081A6195" w:rsidR="00EF2ABA" w:rsidRPr="00BD4243" w:rsidRDefault="00EF2ABA" w:rsidP="00173E30">
      <w:pPr>
        <w:pStyle w:val="FootnoteText"/>
      </w:pPr>
      <w:r w:rsidRPr="00BD4243">
        <w:rPr>
          <w:rStyle w:val="FootnoteReference"/>
        </w:rPr>
        <w:footnoteRef/>
      </w:r>
      <w:r w:rsidRPr="00BD4243">
        <w:t xml:space="preserve"> Based upon 20</w:t>
      </w:r>
      <w:r>
        <w:t>14</w:t>
      </w:r>
      <w:r w:rsidRPr="00BD4243">
        <w:t xml:space="preserve"> FTE average salary</w:t>
      </w:r>
      <w:r>
        <w:t xml:space="preserve"> plus benefits</w:t>
      </w:r>
      <w:r w:rsidRPr="00BD4243">
        <w:t xml:space="preserve"> ($</w:t>
      </w:r>
      <w:r>
        <w:t>146,591</w:t>
      </w:r>
      <w:r w:rsidRPr="00BD4243">
        <w:t>)</w:t>
      </w:r>
    </w:p>
  </w:footnote>
  <w:footnote w:id="7">
    <w:p w14:paraId="5D2180DA" w14:textId="31677621" w:rsidR="00EF2ABA" w:rsidRDefault="00EF2ABA">
      <w:pPr>
        <w:pStyle w:val="FootnoteText"/>
      </w:pPr>
      <w:r>
        <w:rPr>
          <w:rStyle w:val="FootnoteReference"/>
        </w:rPr>
        <w:footnoteRef/>
      </w:r>
      <w:r>
        <w:t xml:space="preserve"> Paperwork Reduction Act of 1995</w:t>
      </w:r>
    </w:p>
  </w:footnote>
  <w:footnote w:id="8">
    <w:p w14:paraId="58A0D9FD" w14:textId="77777777" w:rsidR="00EF2ABA" w:rsidRDefault="00EF2ABA" w:rsidP="003112F3">
      <w:pPr>
        <w:pStyle w:val="FootnoteText"/>
      </w:pPr>
      <w:r w:rsidRPr="003112F3">
        <w:rPr>
          <w:rStyle w:val="FootnoteReference"/>
          <w:b/>
        </w:rPr>
        <w:footnoteRef/>
      </w:r>
      <w:r>
        <w:t xml:space="preserve"> 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3B20" w14:textId="0045FA12" w:rsidR="00EF2ABA" w:rsidRDefault="00EF2ABA">
    <w:pPr>
      <w:pStyle w:val="Header"/>
      <w:rPr>
        <w:rFonts w:ascii="Times New Roman" w:hAnsi="Times New Roman" w:cs="Times New Roman"/>
        <w:sz w:val="24"/>
        <w:szCs w:val="24"/>
      </w:rPr>
    </w:pPr>
    <w:r>
      <w:rPr>
        <w:rFonts w:ascii="Times New Roman" w:hAnsi="Times New Roman" w:cs="Times New Roman"/>
        <w:sz w:val="24"/>
        <w:szCs w:val="24"/>
      </w:rPr>
      <w:t>FERC-521</w:t>
    </w:r>
    <w:r w:rsidR="00A851C6">
      <w:rPr>
        <w:rFonts w:ascii="Times New Roman" w:hAnsi="Times New Roman" w:cs="Times New Roman"/>
        <w:sz w:val="24"/>
        <w:szCs w:val="24"/>
      </w:rPr>
      <w:t>,</w:t>
    </w:r>
    <w:r>
      <w:rPr>
        <w:rFonts w:ascii="Times New Roman" w:hAnsi="Times New Roman" w:cs="Times New Roman"/>
        <w:sz w:val="24"/>
        <w:szCs w:val="24"/>
      </w:rPr>
      <w:t xml:space="preserve"> Payments for Benefits from Headwater Improvements</w:t>
    </w:r>
  </w:p>
  <w:p w14:paraId="40323892" w14:textId="612573CC" w:rsidR="00EF2ABA" w:rsidRDefault="00EF2ABA">
    <w:pPr>
      <w:pStyle w:val="Header"/>
    </w:pPr>
    <w:r>
      <w:rPr>
        <w:rFonts w:ascii="Times New Roman" w:hAnsi="Times New Roman" w:cs="Times New Roman"/>
        <w:sz w:val="24"/>
        <w:szCs w:val="24"/>
      </w:rPr>
      <w:t>OMB Control No: 1902-0087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37F15317"/>
    <w:multiLevelType w:val="hybridMultilevel"/>
    <w:tmpl w:val="9F84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27841"/>
    <w:rsid w:val="00035845"/>
    <w:rsid w:val="00035DF1"/>
    <w:rsid w:val="00035FAA"/>
    <w:rsid w:val="0004326A"/>
    <w:rsid w:val="000755D3"/>
    <w:rsid w:val="00086B9E"/>
    <w:rsid w:val="000B0C37"/>
    <w:rsid w:val="000B2C78"/>
    <w:rsid w:val="000E5003"/>
    <w:rsid w:val="0010531D"/>
    <w:rsid w:val="00143103"/>
    <w:rsid w:val="00173E30"/>
    <w:rsid w:val="00175B09"/>
    <w:rsid w:val="00181727"/>
    <w:rsid w:val="0018278D"/>
    <w:rsid w:val="00185730"/>
    <w:rsid w:val="00195372"/>
    <w:rsid w:val="0024756A"/>
    <w:rsid w:val="0025072D"/>
    <w:rsid w:val="0026674D"/>
    <w:rsid w:val="002A5AC8"/>
    <w:rsid w:val="003112F3"/>
    <w:rsid w:val="00344902"/>
    <w:rsid w:val="00383CFD"/>
    <w:rsid w:val="00396932"/>
    <w:rsid w:val="003C2ED2"/>
    <w:rsid w:val="003E1B8A"/>
    <w:rsid w:val="00410D66"/>
    <w:rsid w:val="00414F32"/>
    <w:rsid w:val="0042156F"/>
    <w:rsid w:val="00457AFD"/>
    <w:rsid w:val="004C4C89"/>
    <w:rsid w:val="004C54E4"/>
    <w:rsid w:val="004E6401"/>
    <w:rsid w:val="004F6977"/>
    <w:rsid w:val="00522F69"/>
    <w:rsid w:val="0053287C"/>
    <w:rsid w:val="00533384"/>
    <w:rsid w:val="0053401F"/>
    <w:rsid w:val="00565AE9"/>
    <w:rsid w:val="00571C5E"/>
    <w:rsid w:val="0057700F"/>
    <w:rsid w:val="005A2792"/>
    <w:rsid w:val="005B77CE"/>
    <w:rsid w:val="005D0E7F"/>
    <w:rsid w:val="005F1C3C"/>
    <w:rsid w:val="006003FC"/>
    <w:rsid w:val="006166FA"/>
    <w:rsid w:val="006511E3"/>
    <w:rsid w:val="00654550"/>
    <w:rsid w:val="006601E3"/>
    <w:rsid w:val="00664BC0"/>
    <w:rsid w:val="00690136"/>
    <w:rsid w:val="006C385D"/>
    <w:rsid w:val="006C4704"/>
    <w:rsid w:val="006C61FA"/>
    <w:rsid w:val="006F5535"/>
    <w:rsid w:val="00706C07"/>
    <w:rsid w:val="00754AEA"/>
    <w:rsid w:val="00773AEB"/>
    <w:rsid w:val="00787670"/>
    <w:rsid w:val="007A2F92"/>
    <w:rsid w:val="007D0724"/>
    <w:rsid w:val="007E7C0F"/>
    <w:rsid w:val="007F6B50"/>
    <w:rsid w:val="00835883"/>
    <w:rsid w:val="008435CF"/>
    <w:rsid w:val="008619E1"/>
    <w:rsid w:val="0087322D"/>
    <w:rsid w:val="00876F75"/>
    <w:rsid w:val="008A21A4"/>
    <w:rsid w:val="008C288D"/>
    <w:rsid w:val="008E70CD"/>
    <w:rsid w:val="008E7DAB"/>
    <w:rsid w:val="00912E0D"/>
    <w:rsid w:val="00913A8B"/>
    <w:rsid w:val="009407B5"/>
    <w:rsid w:val="00951BD7"/>
    <w:rsid w:val="00962926"/>
    <w:rsid w:val="00970FE4"/>
    <w:rsid w:val="009C3DFC"/>
    <w:rsid w:val="009E1190"/>
    <w:rsid w:val="00A014C6"/>
    <w:rsid w:val="00A276F5"/>
    <w:rsid w:val="00A3627B"/>
    <w:rsid w:val="00A72E7B"/>
    <w:rsid w:val="00A76F30"/>
    <w:rsid w:val="00A851C6"/>
    <w:rsid w:val="00A96B65"/>
    <w:rsid w:val="00AA1AAD"/>
    <w:rsid w:val="00AB5BA8"/>
    <w:rsid w:val="00AC743E"/>
    <w:rsid w:val="00AD3DE5"/>
    <w:rsid w:val="00AE0730"/>
    <w:rsid w:val="00B31749"/>
    <w:rsid w:val="00B525FF"/>
    <w:rsid w:val="00B94AB6"/>
    <w:rsid w:val="00BA0B99"/>
    <w:rsid w:val="00BA1C7D"/>
    <w:rsid w:val="00BA7C56"/>
    <w:rsid w:val="00BC14B0"/>
    <w:rsid w:val="00BD4243"/>
    <w:rsid w:val="00C01698"/>
    <w:rsid w:val="00C30564"/>
    <w:rsid w:val="00C510DD"/>
    <w:rsid w:val="00CA59C3"/>
    <w:rsid w:val="00CB313D"/>
    <w:rsid w:val="00CE4C25"/>
    <w:rsid w:val="00CF54D6"/>
    <w:rsid w:val="00CF56C7"/>
    <w:rsid w:val="00D358AE"/>
    <w:rsid w:val="00D5186A"/>
    <w:rsid w:val="00D608BF"/>
    <w:rsid w:val="00D67D28"/>
    <w:rsid w:val="00D67F42"/>
    <w:rsid w:val="00D80FBD"/>
    <w:rsid w:val="00DC4E36"/>
    <w:rsid w:val="00DD6006"/>
    <w:rsid w:val="00E00A12"/>
    <w:rsid w:val="00E11CA6"/>
    <w:rsid w:val="00E14565"/>
    <w:rsid w:val="00E20612"/>
    <w:rsid w:val="00E6012A"/>
    <w:rsid w:val="00E636D7"/>
    <w:rsid w:val="00E66973"/>
    <w:rsid w:val="00E84A39"/>
    <w:rsid w:val="00E87A4F"/>
    <w:rsid w:val="00EA1CE8"/>
    <w:rsid w:val="00EB3E6F"/>
    <w:rsid w:val="00ED5560"/>
    <w:rsid w:val="00EE5934"/>
    <w:rsid w:val="00EF2ABA"/>
    <w:rsid w:val="00F12DC2"/>
    <w:rsid w:val="00F152DF"/>
    <w:rsid w:val="00F27BB2"/>
    <w:rsid w:val="00F400D7"/>
    <w:rsid w:val="00F5711B"/>
    <w:rsid w:val="00F94257"/>
    <w:rsid w:val="00FD66F1"/>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EE3A51"/>
  <w15:docId w15:val="{106B938D-9425-453D-A390-AF2CD18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E6012A"/>
    <w:rPr>
      <w:color w:val="800080" w:themeColor="followedHyperlink"/>
      <w:u w:val="single"/>
    </w:rPr>
  </w:style>
  <w:style w:type="character" w:styleId="PlaceholderText">
    <w:name w:val="Placeholder Text"/>
    <w:basedOn w:val="DefaultParagraphFont"/>
    <w:uiPriority w:val="99"/>
    <w:semiHidden/>
    <w:rsid w:val="00C30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24351">
      <w:bodyDiv w:val="1"/>
      <w:marLeft w:val="0"/>
      <w:marRight w:val="0"/>
      <w:marTop w:val="0"/>
      <w:marBottom w:val="0"/>
      <w:divBdr>
        <w:top w:val="none" w:sz="0" w:space="0" w:color="auto"/>
        <w:left w:val="none" w:sz="0" w:space="0" w:color="auto"/>
        <w:bottom w:val="none" w:sz="0" w:space="0" w:color="auto"/>
        <w:right w:val="none" w:sz="0" w:space="0" w:color="auto"/>
      </w:divBdr>
    </w:div>
    <w:div w:id="6677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 xmlns="d6eefc7d-9817-4fa6-84d5-3bc009be21b8">2014-05-07T04:00:00+00:00</Date>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521</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IC14-8</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7CF2-8675-40A1-A7C7-73CCE51469E8}"/>
</file>

<file path=customXml/itemProps2.xml><?xml version="1.0" encoding="utf-8"?>
<ds:datastoreItem xmlns:ds="http://schemas.openxmlformats.org/officeDocument/2006/customXml" ds:itemID="{F98116AB-9D7F-4D71-8589-44D962B97750}"/>
</file>

<file path=customXml/itemProps3.xml><?xml version="1.0" encoding="utf-8"?>
<ds:datastoreItem xmlns:ds="http://schemas.openxmlformats.org/officeDocument/2006/customXml" ds:itemID="{16CB6098-B2F7-491C-A530-773DF6BAD83B}"/>
</file>

<file path=customXml/itemProps4.xml><?xml version="1.0" encoding="utf-8"?>
<ds:datastoreItem xmlns:ds="http://schemas.openxmlformats.org/officeDocument/2006/customXml" ds:itemID="{0C4FF0CF-D513-41B7-9A97-87A9515A81BE}"/>
</file>

<file path=customXml/itemProps5.xml><?xml version="1.0" encoding="utf-8"?>
<ds:datastoreItem xmlns:ds="http://schemas.openxmlformats.org/officeDocument/2006/customXml" ds:itemID="{B44B9918-7F21-464B-9A93-2CB5CFD8EC38}"/>
</file>

<file path=docProps/app.xml><?xml version="1.0" encoding="utf-8"?>
<Properties xmlns="http://schemas.openxmlformats.org/officeDocument/2006/extended-properties" xmlns:vt="http://schemas.openxmlformats.org/officeDocument/2006/docPropsVTypes">
  <Template>Normal</Template>
  <TotalTime>76</TotalTime>
  <Pages>6</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10</cp:revision>
  <cp:lastPrinted>2012-08-28T12:27:00Z</cp:lastPrinted>
  <dcterms:created xsi:type="dcterms:W3CDTF">2014-05-06T18:50:00Z</dcterms:created>
  <dcterms:modified xsi:type="dcterms:W3CDTF">2014-05-07T18:40:00Z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