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B2" w:rsidRDefault="004D09B2">
      <w:pPr>
        <w:pStyle w:val="OmniPage1"/>
        <w:tabs>
          <w:tab w:val="right" w:pos="6745"/>
        </w:tabs>
        <w:ind w:left="2220" w:right="2025"/>
        <w:jc w:val="center"/>
        <w:rPr>
          <w:b/>
          <w:sz w:val="24"/>
        </w:rPr>
      </w:pPr>
      <w:r>
        <w:rPr>
          <w:b/>
          <w:sz w:val="24"/>
        </w:rPr>
        <w:t>Department of Transportation</w:t>
      </w:r>
    </w:p>
    <w:p w:rsidR="004D09B2" w:rsidRDefault="004D09B2">
      <w:pPr>
        <w:pStyle w:val="OmniPage1"/>
        <w:tabs>
          <w:tab w:val="right" w:pos="6745"/>
        </w:tabs>
        <w:ind w:left="2220" w:right="2025"/>
        <w:jc w:val="center"/>
        <w:rPr>
          <w:b/>
          <w:sz w:val="24"/>
        </w:rPr>
      </w:pPr>
      <w:bookmarkStart w:id="0" w:name="_GoBack"/>
      <w:bookmarkEnd w:id="0"/>
      <w:r>
        <w:rPr>
          <w:b/>
          <w:sz w:val="24"/>
        </w:rPr>
        <w:t>Office of the Chief Information Officer</w:t>
      </w:r>
    </w:p>
    <w:p w:rsidR="004D09B2" w:rsidRDefault="004D09B2">
      <w:pPr>
        <w:pStyle w:val="OmniPage1"/>
        <w:tabs>
          <w:tab w:val="right" w:pos="6745"/>
        </w:tabs>
        <w:ind w:left="2220" w:right="2025"/>
        <w:jc w:val="center"/>
        <w:rPr>
          <w:b/>
          <w:sz w:val="24"/>
        </w:rPr>
      </w:pPr>
    </w:p>
    <w:p w:rsidR="004D09B2" w:rsidRDefault="004D09B2">
      <w:pPr>
        <w:pStyle w:val="OmniPage1"/>
        <w:tabs>
          <w:tab w:val="right" w:pos="6745"/>
        </w:tabs>
        <w:ind w:left="2220" w:right="2025"/>
        <w:jc w:val="center"/>
        <w:rPr>
          <w:b/>
          <w:sz w:val="24"/>
        </w:rPr>
      </w:pPr>
      <w:r>
        <w:rPr>
          <w:b/>
          <w:sz w:val="24"/>
        </w:rPr>
        <w:t>SUPPORTING STATEMENT</w:t>
      </w:r>
    </w:p>
    <w:p w:rsidR="00103C84" w:rsidRPr="00B71BC3" w:rsidRDefault="00103C84" w:rsidP="00103C84">
      <w:pPr>
        <w:pStyle w:val="OmniPage1"/>
        <w:ind w:right="12"/>
        <w:jc w:val="center"/>
        <w:rPr>
          <w:b/>
          <w:sz w:val="24"/>
        </w:rPr>
      </w:pPr>
      <w:r w:rsidRPr="00B71BC3">
        <w:rPr>
          <w:b/>
          <w:sz w:val="24"/>
        </w:rPr>
        <w:t>Motorcoach Passenger Survey: Motorcoach Safety and Pre-Trip Safety Awareness and Emergency Preparedness Information</w:t>
      </w:r>
    </w:p>
    <w:p w:rsidR="004D09B2" w:rsidRPr="00FF50A9" w:rsidRDefault="004D09B2" w:rsidP="00FF50A9">
      <w:pPr>
        <w:rPr>
          <w:szCs w:val="20"/>
        </w:rPr>
      </w:pPr>
    </w:p>
    <w:p w:rsidR="009B6A2E" w:rsidRPr="00582B18" w:rsidRDefault="004D09B2" w:rsidP="009B6A2E">
      <w:pPr>
        <w:spacing w:line="300" w:lineRule="atLeast"/>
      </w:pPr>
      <w:r w:rsidRPr="00FF50A9">
        <w:t xml:space="preserve">This is to request </w:t>
      </w:r>
      <w:r>
        <w:t>the Office of Management and Budget’s (</w:t>
      </w:r>
      <w:r w:rsidRPr="00FF50A9">
        <w:t>OMB</w:t>
      </w:r>
      <w:r>
        <w:t>)</w:t>
      </w:r>
      <w:r w:rsidRPr="00FF50A9">
        <w:t xml:space="preserve"> review and approval for a new information collection titled, “Motorcoach Passenger</w:t>
      </w:r>
      <w:r w:rsidR="000D7848">
        <w:t xml:space="preserve"> </w:t>
      </w:r>
      <w:r w:rsidRPr="00FF50A9">
        <w:t xml:space="preserve">Survey: Motorcoach Safety and Pre-Trip Safety Awareness and Emergency Preparedness Information.” </w:t>
      </w:r>
      <w:r w:rsidR="00F21E51">
        <w:t>Due to several recent fatal motorcoach crashes the Federal Motor Carrier Safety Administration (FMCSA) is currently working</w:t>
      </w:r>
      <w:r w:rsidR="00E16603">
        <w:t xml:space="preserve"> on</w:t>
      </w:r>
      <w:r w:rsidR="00F21E51">
        <w:t xml:space="preserve"> several initiatives to improve motorcoach safety in the United States, including implementation of recommendations received from the National Transportation Safety Board (NTSB).  All initiatives feed into the Department of Transportation’s (DOT) update of its Motorcoach Safety Action Plan, released in December 2012.  </w:t>
      </w:r>
      <w:r w:rsidR="00C570F8" w:rsidRPr="00C570F8">
        <w:t xml:space="preserve">The goals and objectives of this survey are to assess the current levels of voluntary compliance by motorcoach operators and to obtain passenger opinions of the implementation of pre-trip safety awareness and emergency preparedness information. </w:t>
      </w:r>
      <w:r w:rsidR="009B6A2E" w:rsidRPr="00582B18">
        <w:t xml:space="preserve">This information, along with its conclusions, will not serve as a national </w:t>
      </w:r>
      <w:r w:rsidR="00965A2B">
        <w:t>estimate, but will provide the A</w:t>
      </w:r>
      <w:r w:rsidR="009B6A2E" w:rsidRPr="00582B18">
        <w:t>gency a general sense of voluntary compliance and suggestions for improvement.  FMCSA will use</w:t>
      </w:r>
      <w:r w:rsidR="00965A2B">
        <w:t xml:space="preserve"> the information to determine whether</w:t>
      </w:r>
      <w:r w:rsidR="009B6A2E" w:rsidRPr="00582B18">
        <w:t xml:space="preserve"> further evaluation is needed to support future program, policy, and regulatory initiatives.  As appropriate, the information will be presented to NTSB and Congress, while also contributing to the general literature regarding practices for improving motorcoach safety in the United States.</w:t>
      </w:r>
    </w:p>
    <w:p w:rsidR="00616A6C" w:rsidRDefault="00616A6C" w:rsidP="009B6A2E">
      <w:pPr>
        <w:spacing w:line="300" w:lineRule="atLeast"/>
        <w:rPr>
          <w:b/>
          <w:bCs/>
        </w:rPr>
      </w:pPr>
    </w:p>
    <w:p w:rsidR="004D09B2" w:rsidRPr="00616A6C" w:rsidRDefault="004D09B2" w:rsidP="00616A6C">
      <w:pPr>
        <w:pStyle w:val="OmniPage1"/>
        <w:ind w:right="12"/>
        <w:rPr>
          <w:rStyle w:val="Strong"/>
          <w:sz w:val="24"/>
          <w:szCs w:val="24"/>
        </w:rPr>
      </w:pPr>
      <w:r w:rsidRPr="00616A6C">
        <w:rPr>
          <w:rStyle w:val="Strong"/>
          <w:bCs w:val="0"/>
          <w:sz w:val="24"/>
          <w:szCs w:val="24"/>
        </w:rPr>
        <w:t>Part A. Justification:</w:t>
      </w:r>
    </w:p>
    <w:p w:rsidR="004D09B2" w:rsidRDefault="004D09B2">
      <w:pPr>
        <w:pStyle w:val="NormalWeb"/>
      </w:pPr>
      <w:r>
        <w:rPr>
          <w:b/>
          <w:bCs/>
        </w:rPr>
        <w:t>1.  Circumstances that make collection of information necessary.</w:t>
      </w:r>
    </w:p>
    <w:p w:rsidR="003F41D5" w:rsidRDefault="003F41D5" w:rsidP="003F41D5">
      <w:pPr>
        <w:autoSpaceDE w:val="0"/>
        <w:autoSpaceDN w:val="0"/>
        <w:adjustRightInd w:val="0"/>
        <w:rPr>
          <w:color w:val="000000"/>
        </w:rPr>
      </w:pPr>
      <w:r w:rsidRPr="00F36125">
        <w:rPr>
          <w:color w:val="000000"/>
        </w:rPr>
        <w:t xml:space="preserve">Of continuing concern </w:t>
      </w:r>
      <w:r>
        <w:rPr>
          <w:color w:val="000000"/>
        </w:rPr>
        <w:t xml:space="preserve">for the FMCSA </w:t>
      </w:r>
      <w:r w:rsidRPr="00F36125">
        <w:rPr>
          <w:color w:val="000000"/>
        </w:rPr>
        <w:t xml:space="preserve">is whether or not passengers </w:t>
      </w:r>
      <w:r>
        <w:rPr>
          <w:color w:val="000000"/>
        </w:rPr>
        <w:t xml:space="preserve">are </w:t>
      </w:r>
      <w:r w:rsidRPr="00F36125">
        <w:rPr>
          <w:color w:val="000000"/>
        </w:rPr>
        <w:t>receiv</w:t>
      </w:r>
      <w:r>
        <w:rPr>
          <w:color w:val="000000"/>
        </w:rPr>
        <w:t xml:space="preserve">ing </w:t>
      </w:r>
      <w:r w:rsidRPr="00F36125">
        <w:rPr>
          <w:color w:val="000000"/>
        </w:rPr>
        <w:t xml:space="preserve">pre-trip safety-awareness and emergency preparedness information.  </w:t>
      </w:r>
      <w:r>
        <w:rPr>
          <w:color w:val="000000"/>
        </w:rPr>
        <w:t xml:space="preserve">This concern was elevated after </w:t>
      </w:r>
      <w:r>
        <w:t>several fatal motorcoach crashes</w:t>
      </w:r>
      <w:r w:rsidR="009D1062">
        <w:t xml:space="preserve">, including a </w:t>
      </w:r>
      <w:r>
        <w:t xml:space="preserve">crash </w:t>
      </w:r>
      <w:r w:rsidR="009D1062">
        <w:t xml:space="preserve">in </w:t>
      </w:r>
      <w:r>
        <w:t xml:space="preserve">New York City </w:t>
      </w:r>
      <w:r w:rsidR="009D1062">
        <w:t xml:space="preserve">in March 2011 </w:t>
      </w:r>
      <w:r>
        <w:t xml:space="preserve">that claimed 15 lives and resulted in 18 injuries. The FMCSA needs to better understand the current level of motorcoach passenger safety awareness and emergency preparedness </w:t>
      </w:r>
      <w:r w:rsidR="003E1590">
        <w:t xml:space="preserve">among motorcoach passengers </w:t>
      </w:r>
      <w:r>
        <w:t xml:space="preserve">and the motorcoach industry’s level of voluntary </w:t>
      </w:r>
      <w:r w:rsidR="00FE775B">
        <w:t>adoption</w:t>
      </w:r>
      <w:r>
        <w:t xml:space="preserve"> in providing this information</w:t>
      </w:r>
      <w:r w:rsidR="003E1590">
        <w:t>.</w:t>
      </w:r>
    </w:p>
    <w:p w:rsidR="003F41D5" w:rsidRDefault="003F41D5" w:rsidP="00DC16F4">
      <w:pPr>
        <w:autoSpaceDE w:val="0"/>
        <w:autoSpaceDN w:val="0"/>
        <w:adjustRightInd w:val="0"/>
        <w:rPr>
          <w:color w:val="000000"/>
        </w:rPr>
      </w:pPr>
    </w:p>
    <w:p w:rsidR="004D09B2" w:rsidRDefault="004D09B2" w:rsidP="00DC16F4">
      <w:pPr>
        <w:autoSpaceDE w:val="0"/>
        <w:autoSpaceDN w:val="0"/>
        <w:adjustRightInd w:val="0"/>
        <w:rPr>
          <w:color w:val="000000"/>
        </w:rPr>
      </w:pPr>
      <w:r w:rsidRPr="00F36125">
        <w:rPr>
          <w:color w:val="000000"/>
        </w:rPr>
        <w:t>In the late 1990s, the NTSB investigated several motorcoach crashes which revealed that</w:t>
      </w:r>
      <w:r w:rsidR="0083666A">
        <w:rPr>
          <w:color w:val="000000"/>
        </w:rPr>
        <w:t xml:space="preserve"> </w:t>
      </w:r>
      <w:r w:rsidRPr="00F36125">
        <w:rPr>
          <w:color w:val="000000"/>
        </w:rPr>
        <w:t>passengers felt a general sense of panic</w:t>
      </w:r>
      <w:r w:rsidR="00E16603">
        <w:rPr>
          <w:color w:val="000000"/>
        </w:rPr>
        <w:t>,</w:t>
      </w:r>
      <w:r w:rsidRPr="00F36125">
        <w:rPr>
          <w:color w:val="000000"/>
        </w:rPr>
        <w:t xml:space="preserve"> not knowing what to do or how to get out of a motorcoach</w:t>
      </w:r>
      <w:r w:rsidR="0006664F">
        <w:rPr>
          <w:color w:val="000000"/>
        </w:rPr>
        <w:t xml:space="preserve"> in the case of an emergency</w:t>
      </w:r>
      <w:r w:rsidRPr="00F36125">
        <w:rPr>
          <w:color w:val="000000"/>
        </w:rPr>
        <w:t xml:space="preserve">.  </w:t>
      </w:r>
      <w:r w:rsidR="003F41D5">
        <w:rPr>
          <w:color w:val="000000"/>
        </w:rPr>
        <w:t>O</w:t>
      </w:r>
      <w:r w:rsidRPr="00F36125">
        <w:rPr>
          <w:color w:val="000000"/>
        </w:rPr>
        <w:t>n February 26, 1999, NTSB issued recommendations to the Secretary of Transportation directed specifically at FMCSA concerning safety briefing materials for motorcoach operators and pre-trip safety informati</w:t>
      </w:r>
      <w:r w:rsidR="00EA6A43">
        <w:rPr>
          <w:color w:val="000000"/>
        </w:rPr>
        <w:t xml:space="preserve">on for passengers. The specific </w:t>
      </w:r>
      <w:r w:rsidRPr="00F36125">
        <w:rPr>
          <w:color w:val="000000"/>
        </w:rPr>
        <w:t>recommendations are provided below.</w:t>
      </w:r>
    </w:p>
    <w:p w:rsidR="004D09B2" w:rsidRDefault="004D09B2" w:rsidP="00DC16F4">
      <w:pPr>
        <w:autoSpaceDE w:val="0"/>
        <w:autoSpaceDN w:val="0"/>
        <w:adjustRightInd w:val="0"/>
        <w:rPr>
          <w:color w:val="000000"/>
        </w:rPr>
      </w:pPr>
    </w:p>
    <w:p w:rsidR="004D09B2" w:rsidRPr="00F36125" w:rsidRDefault="004D09B2" w:rsidP="00DC16F4">
      <w:pPr>
        <w:pStyle w:val="ListParagraph"/>
        <w:numPr>
          <w:ilvl w:val="0"/>
          <w:numId w:val="24"/>
        </w:numPr>
        <w:autoSpaceDE w:val="0"/>
        <w:autoSpaceDN w:val="0"/>
        <w:adjustRightInd w:val="0"/>
        <w:spacing w:after="0"/>
        <w:rPr>
          <w:rFonts w:ascii="Times New Roman" w:hAnsi="Times New Roman"/>
          <w:color w:val="000000"/>
          <w:szCs w:val="24"/>
        </w:rPr>
      </w:pPr>
      <w:r w:rsidRPr="00F36125">
        <w:rPr>
          <w:rFonts w:ascii="Times New Roman" w:hAnsi="Times New Roman"/>
          <w:color w:val="000000"/>
          <w:szCs w:val="24"/>
        </w:rPr>
        <w:t>H–99–</w:t>
      </w:r>
      <w:r w:rsidR="0006664F">
        <w:rPr>
          <w:rFonts w:ascii="Times New Roman" w:hAnsi="Times New Roman"/>
          <w:color w:val="000000"/>
          <w:szCs w:val="24"/>
        </w:rPr>
        <w:t>00</w:t>
      </w:r>
      <w:r w:rsidRPr="00F36125">
        <w:rPr>
          <w:rFonts w:ascii="Times New Roman" w:hAnsi="Times New Roman"/>
          <w:color w:val="000000"/>
          <w:szCs w:val="24"/>
        </w:rPr>
        <w:t>7 – Provide guidance on the minimum information to be included in safety briefing materials for motorcoach operators.</w:t>
      </w:r>
    </w:p>
    <w:p w:rsidR="004D09B2" w:rsidRDefault="004D09B2" w:rsidP="00FA5D2B">
      <w:pPr>
        <w:pStyle w:val="ListParagraph"/>
        <w:numPr>
          <w:ilvl w:val="0"/>
          <w:numId w:val="24"/>
        </w:numPr>
        <w:autoSpaceDE w:val="0"/>
        <w:autoSpaceDN w:val="0"/>
        <w:adjustRightInd w:val="0"/>
        <w:spacing w:after="0" w:line="240" w:lineRule="auto"/>
        <w:rPr>
          <w:rFonts w:ascii="Times New Roman" w:hAnsi="Times New Roman"/>
          <w:color w:val="000000"/>
          <w:szCs w:val="24"/>
        </w:rPr>
      </w:pPr>
      <w:r w:rsidRPr="005C039C">
        <w:rPr>
          <w:rFonts w:ascii="Times New Roman" w:hAnsi="Times New Roman"/>
          <w:color w:val="000000"/>
          <w:szCs w:val="24"/>
        </w:rPr>
        <w:lastRenderedPageBreak/>
        <w:t>H–99–</w:t>
      </w:r>
      <w:r w:rsidR="0006664F">
        <w:rPr>
          <w:rFonts w:ascii="Times New Roman" w:hAnsi="Times New Roman"/>
          <w:color w:val="000000"/>
          <w:szCs w:val="24"/>
        </w:rPr>
        <w:t>00</w:t>
      </w:r>
      <w:r w:rsidRPr="005C039C">
        <w:rPr>
          <w:rFonts w:ascii="Times New Roman" w:hAnsi="Times New Roman"/>
          <w:color w:val="000000"/>
          <w:szCs w:val="24"/>
        </w:rPr>
        <w:t>8 - Require motorcoach operators to provide passengers with pre-trip safety information.</w:t>
      </w:r>
    </w:p>
    <w:p w:rsidR="009B6A2E" w:rsidRDefault="009B6A2E" w:rsidP="009B6A2E">
      <w:pPr>
        <w:pStyle w:val="ListParagraph"/>
        <w:autoSpaceDE w:val="0"/>
        <w:autoSpaceDN w:val="0"/>
        <w:adjustRightInd w:val="0"/>
        <w:spacing w:after="0" w:line="240" w:lineRule="auto"/>
        <w:rPr>
          <w:rFonts w:ascii="Times New Roman" w:hAnsi="Times New Roman"/>
          <w:color w:val="000000"/>
          <w:szCs w:val="24"/>
        </w:rPr>
      </w:pPr>
    </w:p>
    <w:p w:rsidR="004D09B2" w:rsidRPr="00F36125" w:rsidRDefault="004D09B2" w:rsidP="001F269C">
      <w:pPr>
        <w:autoSpaceDE w:val="0"/>
        <w:autoSpaceDN w:val="0"/>
        <w:adjustRightInd w:val="0"/>
      </w:pPr>
      <w:r w:rsidRPr="00F36125">
        <w:rPr>
          <w:color w:val="000000"/>
        </w:rPr>
        <w:t>To address the recommendations</w:t>
      </w:r>
      <w:r>
        <w:rPr>
          <w:color w:val="000000"/>
        </w:rPr>
        <w:t xml:space="preserve"> issued by NTSB</w:t>
      </w:r>
      <w:r w:rsidRPr="00F36125">
        <w:rPr>
          <w:color w:val="000000"/>
        </w:rPr>
        <w:t>, the FMCSA formed a work group that included</w:t>
      </w:r>
      <w:r>
        <w:rPr>
          <w:color w:val="000000"/>
        </w:rPr>
        <w:t xml:space="preserve"> representatives</w:t>
      </w:r>
      <w:r w:rsidRPr="00F36125">
        <w:rPr>
          <w:color w:val="000000"/>
        </w:rPr>
        <w:t xml:space="preserve"> from the motorcoach industry, motorcoach manufacturers, insurance industry, safety consulting</w:t>
      </w:r>
      <w:r w:rsidR="007C7A80">
        <w:rPr>
          <w:color w:val="000000"/>
        </w:rPr>
        <w:t>,</w:t>
      </w:r>
      <w:r w:rsidRPr="00F36125">
        <w:rPr>
          <w:color w:val="000000"/>
        </w:rPr>
        <w:t xml:space="preserve"> industry, trade associations, State agencies, and other Federal regulatory agencies.  </w:t>
      </w:r>
      <w:r>
        <w:rPr>
          <w:color w:val="000000"/>
        </w:rPr>
        <w:t xml:space="preserve">Due to the </w:t>
      </w:r>
      <w:r w:rsidRPr="00F36125">
        <w:rPr>
          <w:color w:val="000000"/>
        </w:rPr>
        <w:t xml:space="preserve">large operational variances within the motorcoach industry, industry officials asserted that it would be impossible to develop a uniform safety awareness regulation flexible enough for industry-wide application. </w:t>
      </w:r>
      <w:r>
        <w:rPr>
          <w:color w:val="000000"/>
        </w:rPr>
        <w:t xml:space="preserve">Therefore, </w:t>
      </w:r>
      <w:r w:rsidRPr="00F36125">
        <w:rPr>
          <w:color w:val="000000"/>
        </w:rPr>
        <w:t xml:space="preserve">the FMCSA and work group concluded it would be best to initially encourage the motorcoach industry to take voluntary action to improve pre-trip safety awareness and emergency preparedness for passengers.  The group </w:t>
      </w:r>
      <w:r w:rsidR="003F41D5">
        <w:rPr>
          <w:color w:val="000000"/>
        </w:rPr>
        <w:t>found</w:t>
      </w:r>
      <w:r w:rsidR="003F41D5" w:rsidRPr="00F36125">
        <w:rPr>
          <w:color w:val="000000"/>
        </w:rPr>
        <w:t xml:space="preserve"> </w:t>
      </w:r>
      <w:r w:rsidRPr="00F36125">
        <w:rPr>
          <w:color w:val="000000"/>
        </w:rPr>
        <w:t xml:space="preserve">that the development and promotion of best practices is an effective and realistic alternative to regulation to ensure motorcoach passengers receive such safety information.   </w:t>
      </w:r>
      <w:r w:rsidR="003F41D5">
        <w:rPr>
          <w:color w:val="000000"/>
        </w:rPr>
        <w:t>The group also</w:t>
      </w:r>
      <w:r w:rsidRPr="00F36125">
        <w:rPr>
          <w:color w:val="000000"/>
        </w:rPr>
        <w:t xml:space="preserve"> concluded that if the initial approach was found to be ineffective and an unacceptable portion of the motorcoach industry did not voluntarily implement a safety-awareness program for passengers,</w:t>
      </w:r>
      <w:r>
        <w:rPr>
          <w:color w:val="000000"/>
        </w:rPr>
        <w:t xml:space="preserve"> </w:t>
      </w:r>
      <w:r w:rsidRPr="00F36125">
        <w:rPr>
          <w:color w:val="000000"/>
        </w:rPr>
        <w:t xml:space="preserve">FMCSA would consider whether regulatory action was needed to correct the problem. </w:t>
      </w:r>
    </w:p>
    <w:p w:rsidR="004D09B2" w:rsidRPr="00F36125" w:rsidRDefault="004D09B2" w:rsidP="001F269C">
      <w:pPr>
        <w:autoSpaceDE w:val="0"/>
        <w:autoSpaceDN w:val="0"/>
        <w:adjustRightInd w:val="0"/>
        <w:rPr>
          <w:color w:val="000000"/>
        </w:rPr>
      </w:pPr>
    </w:p>
    <w:p w:rsidR="004D09B2" w:rsidRPr="00F36125" w:rsidRDefault="004D09B2" w:rsidP="001F269C">
      <w:pPr>
        <w:autoSpaceDE w:val="0"/>
        <w:autoSpaceDN w:val="0"/>
        <w:adjustRightInd w:val="0"/>
      </w:pPr>
      <w:r w:rsidRPr="00F36125">
        <w:rPr>
          <w:color w:val="000000"/>
        </w:rPr>
        <w:t>On Septem</w:t>
      </w:r>
      <w:r>
        <w:rPr>
          <w:color w:val="000000"/>
        </w:rPr>
        <w:t>ber 13, 2007, FMCSA issued</w:t>
      </w:r>
      <w:r w:rsidRPr="00F36125">
        <w:rPr>
          <w:color w:val="000000"/>
        </w:rPr>
        <w:t xml:space="preserve"> </w:t>
      </w:r>
      <w:r>
        <w:rPr>
          <w:color w:val="000000"/>
        </w:rPr>
        <w:t xml:space="preserve">a </w:t>
      </w:r>
      <w:r w:rsidRPr="00F36125">
        <w:rPr>
          <w:color w:val="000000"/>
        </w:rPr>
        <w:t>Federal Register Notice</w:t>
      </w:r>
      <w:r w:rsidR="002E332B">
        <w:rPr>
          <w:color w:val="000000"/>
        </w:rPr>
        <w:t xml:space="preserve"> </w:t>
      </w:r>
      <w:r>
        <w:rPr>
          <w:rStyle w:val="FootnoteReference"/>
          <w:color w:val="000000"/>
        </w:rPr>
        <w:t xml:space="preserve"> </w:t>
      </w:r>
      <w:r>
        <w:t>(</w:t>
      </w:r>
      <w:r w:rsidR="005D40F3">
        <w:t>72 FR 52424</w:t>
      </w:r>
      <w:r>
        <w:t>)</w:t>
      </w:r>
      <w:r w:rsidRPr="00F36125">
        <w:rPr>
          <w:color w:val="000000"/>
        </w:rPr>
        <w:t xml:space="preserve"> detailing how it arrived at its conclusions and issuing a </w:t>
      </w:r>
      <w:r>
        <w:rPr>
          <w:color w:val="000000"/>
        </w:rPr>
        <w:t>B</w:t>
      </w:r>
      <w:r w:rsidRPr="00F36125">
        <w:rPr>
          <w:color w:val="000000"/>
        </w:rPr>
        <w:t xml:space="preserve">asic </w:t>
      </w:r>
      <w:r>
        <w:rPr>
          <w:color w:val="000000"/>
        </w:rPr>
        <w:t>P</w:t>
      </w:r>
      <w:r w:rsidRPr="00F36125">
        <w:rPr>
          <w:color w:val="000000"/>
        </w:rPr>
        <w:t xml:space="preserve">lan for </w:t>
      </w:r>
      <w:r>
        <w:rPr>
          <w:color w:val="000000"/>
        </w:rPr>
        <w:t>M</w:t>
      </w:r>
      <w:r w:rsidRPr="00F36125">
        <w:rPr>
          <w:color w:val="000000"/>
        </w:rPr>
        <w:t xml:space="preserve">otorcoach </w:t>
      </w:r>
      <w:r>
        <w:rPr>
          <w:color w:val="000000"/>
        </w:rPr>
        <w:t>P</w:t>
      </w:r>
      <w:r w:rsidRPr="00F36125">
        <w:rPr>
          <w:color w:val="000000"/>
        </w:rPr>
        <w:t xml:space="preserve">assenger </w:t>
      </w:r>
      <w:r>
        <w:rPr>
          <w:color w:val="000000"/>
        </w:rPr>
        <w:t>S</w:t>
      </w:r>
      <w:r w:rsidRPr="00F36125">
        <w:rPr>
          <w:color w:val="000000"/>
        </w:rPr>
        <w:t xml:space="preserve">afety </w:t>
      </w:r>
      <w:r>
        <w:rPr>
          <w:color w:val="000000"/>
        </w:rPr>
        <w:t>A</w:t>
      </w:r>
      <w:r w:rsidR="00854FDA">
        <w:rPr>
          <w:color w:val="000000"/>
        </w:rPr>
        <w:t>wareness</w:t>
      </w:r>
      <w:r w:rsidR="002E332B">
        <w:rPr>
          <w:color w:val="000000"/>
        </w:rPr>
        <w:t xml:space="preserve"> </w:t>
      </w:r>
      <w:r w:rsidR="00C06CA3">
        <w:rPr>
          <w:color w:val="000000"/>
        </w:rPr>
        <w:t>(</w:t>
      </w:r>
      <w:hyperlink r:id="rId9" w:history="1">
        <w:r w:rsidR="00C06CA3" w:rsidRPr="00860EDB">
          <w:rPr>
            <w:rStyle w:val="Hyperlink"/>
          </w:rPr>
          <w:t>http://www.gpo.gov/fdsys/pkg/FR-2007-09-13/pdf/E7-18088.pdf</w:t>
        </w:r>
      </w:hyperlink>
      <w:r w:rsidR="00C06CA3">
        <w:t>)</w:t>
      </w:r>
      <w:r>
        <w:rPr>
          <w:color w:val="000000"/>
        </w:rPr>
        <w:t xml:space="preserve"> </w:t>
      </w:r>
      <w:r w:rsidRPr="00F36125">
        <w:rPr>
          <w:color w:val="000000"/>
        </w:rPr>
        <w:t>that includes such topics as emergency exits, fire extinguishers, and slips and falls.  It also detailed various methods that motorcoach companies could use to present the safety-awareness and emergency preparedness information</w:t>
      </w:r>
      <w:r>
        <w:rPr>
          <w:color w:val="000000"/>
        </w:rPr>
        <w:t>.</w:t>
      </w:r>
    </w:p>
    <w:p w:rsidR="004D09B2" w:rsidRPr="00F36125" w:rsidRDefault="004D09B2" w:rsidP="001F269C">
      <w:pPr>
        <w:autoSpaceDE w:val="0"/>
        <w:autoSpaceDN w:val="0"/>
        <w:adjustRightInd w:val="0"/>
        <w:rPr>
          <w:color w:val="000000"/>
        </w:rPr>
      </w:pPr>
    </w:p>
    <w:p w:rsidR="004D09B2" w:rsidRDefault="004D09B2" w:rsidP="00F52462">
      <w:pPr>
        <w:autoSpaceDE w:val="0"/>
        <w:autoSpaceDN w:val="0"/>
        <w:adjustRightInd w:val="0"/>
      </w:pPr>
      <w:r w:rsidRPr="00F36125">
        <w:rPr>
          <w:color w:val="000000"/>
        </w:rPr>
        <w:t xml:space="preserve">The FMCSA and its safety partners have been monitoring crashes and complaints to ensure that motorcoach companies are presenting pre-trip safety-awareness and emergency preparedness information to their passengers.  </w:t>
      </w:r>
      <w:r w:rsidR="00483617">
        <w:t>Currently, voluntary adoption levels are measured during FMCSA’s National Pa</w:t>
      </w:r>
      <w:r w:rsidR="00F52462">
        <w:t xml:space="preserve">ssenger Carrier Strike Forces.  </w:t>
      </w:r>
      <w:r w:rsidR="003F41D5">
        <w:t xml:space="preserve">Although the </w:t>
      </w:r>
      <w:r w:rsidR="00616A6C">
        <w:t xml:space="preserve">Strike Force data </w:t>
      </w:r>
      <w:r w:rsidR="003F41D5">
        <w:t xml:space="preserve">has shown increased </w:t>
      </w:r>
      <w:r w:rsidR="003F41D5">
        <w:rPr>
          <w:color w:val="000000"/>
        </w:rPr>
        <w:t xml:space="preserve">levels, </w:t>
      </w:r>
      <w:r w:rsidR="003F41D5" w:rsidRPr="006F1E33">
        <w:rPr>
          <w:color w:val="000000"/>
        </w:rPr>
        <w:t xml:space="preserve">this data </w:t>
      </w:r>
      <w:r w:rsidR="00616A6C">
        <w:rPr>
          <w:color w:val="000000"/>
        </w:rPr>
        <w:t>was solely based</w:t>
      </w:r>
      <w:r w:rsidR="003F41D5" w:rsidRPr="006F1E33">
        <w:rPr>
          <w:color w:val="000000"/>
        </w:rPr>
        <w:t xml:space="preserve"> on input from the motorcoach companies and not actual passengers. FMCSA would</w:t>
      </w:r>
      <w:r w:rsidR="00DA36C9">
        <w:rPr>
          <w:color w:val="000000"/>
        </w:rPr>
        <w:t xml:space="preserve"> like to verify that voluntary adoption</w:t>
      </w:r>
      <w:r w:rsidR="003F41D5" w:rsidRPr="006F1E33">
        <w:rPr>
          <w:color w:val="000000"/>
        </w:rPr>
        <w:t xml:space="preserve"> continues to increase</w:t>
      </w:r>
      <w:r w:rsidR="00F52462">
        <w:rPr>
          <w:color w:val="000000"/>
        </w:rPr>
        <w:t xml:space="preserve"> by surveying passengers </w:t>
      </w:r>
      <w:r w:rsidR="00F52462">
        <w:t>and provide this data to Congress and NTSB to support this conclusion.  This will help eliminate any self-reporting biases by the motorcoach companies; and determine if the pre-trip safety information is being provided and if it is effective.</w:t>
      </w:r>
    </w:p>
    <w:p w:rsidR="00F52462" w:rsidRPr="00F52462" w:rsidRDefault="00F52462" w:rsidP="00F52462">
      <w:pPr>
        <w:autoSpaceDE w:val="0"/>
        <w:autoSpaceDN w:val="0"/>
        <w:adjustRightInd w:val="0"/>
        <w:rPr>
          <w:color w:val="000000"/>
        </w:rPr>
      </w:pPr>
    </w:p>
    <w:p w:rsidR="004D09B2" w:rsidRPr="00290FB5" w:rsidRDefault="004D09B2" w:rsidP="00290FB5">
      <w:pPr>
        <w:pStyle w:val="NoSpacing"/>
        <w:rPr>
          <w:rFonts w:ascii="Times New Roman" w:hAnsi="Times New Roman"/>
          <w:sz w:val="24"/>
          <w:szCs w:val="24"/>
        </w:rPr>
      </w:pPr>
      <w:r w:rsidRPr="00290FB5">
        <w:rPr>
          <w:rFonts w:ascii="Times New Roman" w:hAnsi="Times New Roman"/>
          <w:sz w:val="24"/>
          <w:szCs w:val="24"/>
        </w:rPr>
        <w:t xml:space="preserve">Thus, the goals and objectives of this survey </w:t>
      </w:r>
      <w:r w:rsidR="00290FB5">
        <w:rPr>
          <w:rFonts w:ascii="Times New Roman" w:hAnsi="Times New Roman"/>
          <w:sz w:val="24"/>
          <w:szCs w:val="24"/>
        </w:rPr>
        <w:t>are</w:t>
      </w:r>
      <w:r w:rsidR="00290FB5" w:rsidRPr="00290FB5">
        <w:rPr>
          <w:rFonts w:ascii="Times New Roman" w:hAnsi="Times New Roman"/>
          <w:sz w:val="24"/>
          <w:szCs w:val="24"/>
        </w:rPr>
        <w:t xml:space="preserve"> </w:t>
      </w:r>
      <w:r w:rsidRPr="00290FB5">
        <w:rPr>
          <w:rFonts w:ascii="Times New Roman" w:hAnsi="Times New Roman"/>
          <w:sz w:val="24"/>
          <w:szCs w:val="24"/>
        </w:rPr>
        <w:t xml:space="preserve">to assess current levels of voluntary </w:t>
      </w:r>
      <w:r w:rsidR="00DA36C9">
        <w:rPr>
          <w:rFonts w:ascii="Times New Roman" w:hAnsi="Times New Roman"/>
          <w:sz w:val="24"/>
          <w:szCs w:val="24"/>
        </w:rPr>
        <w:t xml:space="preserve">compliance </w:t>
      </w:r>
      <w:r w:rsidRPr="00290FB5">
        <w:rPr>
          <w:rFonts w:ascii="Times New Roman" w:hAnsi="Times New Roman"/>
          <w:sz w:val="24"/>
          <w:szCs w:val="24"/>
        </w:rPr>
        <w:t xml:space="preserve">and </w:t>
      </w:r>
      <w:r w:rsidRPr="005D40F3">
        <w:rPr>
          <w:rFonts w:ascii="Times New Roman" w:hAnsi="Times New Roman"/>
          <w:sz w:val="24"/>
          <w:szCs w:val="24"/>
        </w:rPr>
        <w:t xml:space="preserve">obtain motorcoach passenger opinions on the Basic Plan issued by FMCSA.  Data for this project will be collected from a </w:t>
      </w:r>
      <w:r w:rsidR="00BD414F" w:rsidRPr="005D40F3">
        <w:rPr>
          <w:rFonts w:ascii="Times New Roman" w:hAnsi="Times New Roman"/>
          <w:sz w:val="24"/>
          <w:szCs w:val="24"/>
        </w:rPr>
        <w:t>single incident</w:t>
      </w:r>
      <w:r w:rsidRPr="005D40F3">
        <w:rPr>
          <w:rFonts w:ascii="Times New Roman" w:hAnsi="Times New Roman"/>
          <w:sz w:val="24"/>
          <w:szCs w:val="24"/>
        </w:rPr>
        <w:t xml:space="preserve"> survey of events</w:t>
      </w:r>
      <w:r w:rsidRPr="00290FB5">
        <w:rPr>
          <w:rFonts w:ascii="Times New Roman" w:hAnsi="Times New Roman"/>
          <w:sz w:val="24"/>
          <w:szCs w:val="24"/>
        </w:rPr>
        <w:t xml:space="preserve"> in five distinct locations across the United States.  Passengers will provide information regarding the receipt of information from trip-to-trip, its usefulness in addressing any concerns </w:t>
      </w:r>
      <w:r w:rsidR="0006664F">
        <w:rPr>
          <w:rFonts w:ascii="Times New Roman" w:hAnsi="Times New Roman"/>
          <w:sz w:val="24"/>
          <w:szCs w:val="24"/>
        </w:rPr>
        <w:t xml:space="preserve">of </w:t>
      </w:r>
      <w:r w:rsidR="0006664F" w:rsidRPr="00290FB5">
        <w:rPr>
          <w:rFonts w:ascii="Times New Roman" w:hAnsi="Times New Roman"/>
          <w:sz w:val="24"/>
          <w:szCs w:val="24"/>
        </w:rPr>
        <w:t>motorcoach</w:t>
      </w:r>
      <w:r w:rsidRPr="00290FB5">
        <w:rPr>
          <w:rFonts w:ascii="Times New Roman" w:hAnsi="Times New Roman"/>
          <w:sz w:val="24"/>
          <w:szCs w:val="24"/>
        </w:rPr>
        <w:t xml:space="preserve"> passenger</w:t>
      </w:r>
      <w:r w:rsidR="0006664F">
        <w:rPr>
          <w:rFonts w:ascii="Times New Roman" w:hAnsi="Times New Roman"/>
          <w:sz w:val="24"/>
          <w:szCs w:val="24"/>
        </w:rPr>
        <w:t>s</w:t>
      </w:r>
      <w:r w:rsidRPr="00290FB5">
        <w:rPr>
          <w:rFonts w:ascii="Times New Roman" w:hAnsi="Times New Roman"/>
          <w:sz w:val="24"/>
          <w:szCs w:val="24"/>
        </w:rPr>
        <w:t>, and recommendations for improvement in either the information itself and/or its method of delivery.</w:t>
      </w:r>
    </w:p>
    <w:p w:rsidR="004D09B2" w:rsidRDefault="004D09B2"/>
    <w:p w:rsidR="004D09B2" w:rsidRDefault="004D09B2">
      <w:r>
        <w:t xml:space="preserve">Statutory authority for regulating motorcoach passenger safety is derived from 49 U.S.C. </w:t>
      </w:r>
      <w:r w:rsidR="00F35B69">
        <w:t>Chapter 311,</w:t>
      </w:r>
      <w:r w:rsidR="003A7B3D">
        <w:t xml:space="preserve"> Subchapter III: </w:t>
      </w:r>
      <w:r>
        <w:t>Safety Regulation</w:t>
      </w:r>
      <w:r w:rsidR="003A7B3D">
        <w:t xml:space="preserve">, codified at 49 U.S.C. 31131; </w:t>
      </w:r>
      <w:r>
        <w:t xml:space="preserve">and Chapter 313:  Commercial Motor Vehicle </w:t>
      </w:r>
      <w:r w:rsidR="005D40F3">
        <w:t>Operators</w:t>
      </w:r>
      <w:r w:rsidR="003A7B3D">
        <w:t>, codified at 49 U.S.C. 31136</w:t>
      </w:r>
      <w:r w:rsidR="005D40F3">
        <w:t xml:space="preserve">.  49 CFR Part 374 </w:t>
      </w:r>
      <w:r>
        <w:t xml:space="preserve">of the Federal Motor Carrier Safety Regulations (FMCSRs) contains the passenger carrier regulations.    </w:t>
      </w:r>
    </w:p>
    <w:p w:rsidR="004D09B2" w:rsidRDefault="004D09B2"/>
    <w:p w:rsidR="004D09B2" w:rsidRDefault="004D09B2">
      <w:r>
        <w:t xml:space="preserve">In addition, this information collection request supports the DOT’s Strategic Goal of Safety because the information helps the </w:t>
      </w:r>
      <w:r w:rsidR="007940BB">
        <w:t>A</w:t>
      </w:r>
      <w:r>
        <w:t>gency improve the operations of companies and drivers transport</w:t>
      </w:r>
      <w:r w:rsidR="0006664F">
        <w:t>ing</w:t>
      </w:r>
      <w:r>
        <w:t xml:space="preserve"> passengers on our </w:t>
      </w:r>
      <w:r w:rsidR="007940BB">
        <w:t>N</w:t>
      </w:r>
      <w:r>
        <w:t xml:space="preserve">ation’s roadways </w:t>
      </w:r>
      <w:r w:rsidR="006172E5">
        <w:t>to</w:t>
      </w:r>
      <w:r>
        <w:t xml:space="preserve"> further</w:t>
      </w:r>
      <w:r w:rsidR="006172E5">
        <w:t xml:space="preserve"> </w:t>
      </w:r>
      <w:r>
        <w:t xml:space="preserve">the Department’s large truck and bus fatality rate </w:t>
      </w:r>
      <w:r w:rsidR="006172E5">
        <w:t xml:space="preserve">reduction </w:t>
      </w:r>
      <w:r>
        <w:t xml:space="preserve">goal.    </w:t>
      </w:r>
    </w:p>
    <w:p w:rsidR="004D09B2" w:rsidRDefault="004D09B2">
      <w:pPr>
        <w:pStyle w:val="NormalWeb"/>
      </w:pPr>
      <w:r>
        <w:rPr>
          <w:b/>
          <w:bCs/>
        </w:rPr>
        <w:t xml:space="preserve">2.   How, by whom, how frequently, and for what purpose is the information used. </w:t>
      </w:r>
      <w:r>
        <w:t xml:space="preserve"> </w:t>
      </w:r>
    </w:p>
    <w:p w:rsidR="0006664F" w:rsidRDefault="004D09B2" w:rsidP="00EC2B2F">
      <w:r>
        <w:t xml:space="preserve">This </w:t>
      </w:r>
      <w:r w:rsidR="00BD414F">
        <w:t>single incident</w:t>
      </w:r>
      <w:r w:rsidR="007C7A80">
        <w:t xml:space="preserve"> survey </w:t>
      </w:r>
      <w:r>
        <w:t xml:space="preserve">is intended to help obtain a better understanding of </w:t>
      </w:r>
      <w:r w:rsidR="006172E5">
        <w:t xml:space="preserve">motorcoach carriers’ </w:t>
      </w:r>
      <w:r>
        <w:t>voluntary adoption and compliance levels with the FMCSA’s Basic Plan for motorcoach passenger safety awareness and emergency preparedness</w:t>
      </w:r>
      <w:r w:rsidR="006172E5">
        <w:t xml:space="preserve">, as well as the </w:t>
      </w:r>
      <w:r w:rsidR="006172E5" w:rsidRPr="00CD1EE8">
        <w:t xml:space="preserve">effectiveness of the </w:t>
      </w:r>
      <w:r w:rsidR="006172E5">
        <w:t xml:space="preserve">means by which the </w:t>
      </w:r>
      <w:r w:rsidR="006172E5" w:rsidRPr="00CD1EE8">
        <w:t xml:space="preserve">information </w:t>
      </w:r>
      <w:r w:rsidR="006172E5">
        <w:t xml:space="preserve">is </w:t>
      </w:r>
      <w:r w:rsidR="006172E5" w:rsidRPr="00CD1EE8">
        <w:t>being provided</w:t>
      </w:r>
      <w:r w:rsidR="006172E5">
        <w:t xml:space="preserve"> to passengers</w:t>
      </w:r>
      <w:r w:rsidR="006172E5" w:rsidRPr="00CD1EE8">
        <w:t xml:space="preserve">.  </w:t>
      </w:r>
    </w:p>
    <w:p w:rsidR="0006664F" w:rsidRDefault="0006664F" w:rsidP="00EC2B2F"/>
    <w:p w:rsidR="004D09B2" w:rsidRDefault="003E1590" w:rsidP="0006664F">
      <w:r>
        <w:rPr>
          <w:iCs/>
        </w:rPr>
        <w:t>T</w:t>
      </w:r>
      <w:r w:rsidR="004D09B2">
        <w:rPr>
          <w:iCs/>
        </w:rPr>
        <w:t xml:space="preserve">he information gathered will be used with other initiatives and efforts sponsored by the agency to develop recommendations for improving motorcoach </w:t>
      </w:r>
      <w:r w:rsidR="0006664F">
        <w:rPr>
          <w:iCs/>
        </w:rPr>
        <w:t xml:space="preserve">safety in the United States.  </w:t>
      </w:r>
      <w:r w:rsidR="004D09B2">
        <w:t xml:space="preserve">The results of the information collection will be summarized, </w:t>
      </w:r>
      <w:r w:rsidR="0006664F">
        <w:t>through</w:t>
      </w:r>
      <w:r w:rsidR="004D09B2">
        <w:t xml:space="preserve"> an aggregation of all respon</w:t>
      </w:r>
      <w:r w:rsidR="0006664F">
        <w:t>ses</w:t>
      </w:r>
      <w:r w:rsidR="004D09B2">
        <w:t xml:space="preserve"> from </w:t>
      </w:r>
      <w:r w:rsidR="00D25977">
        <w:t xml:space="preserve">the </w:t>
      </w:r>
      <w:r w:rsidR="004D09B2">
        <w:t xml:space="preserve">population being surveyed – </w:t>
      </w:r>
      <w:r w:rsidR="00E33A48">
        <w:t>1,</w:t>
      </w:r>
      <w:r w:rsidR="00C06CA3">
        <w:t xml:space="preserve">600 </w:t>
      </w:r>
      <w:r w:rsidR="00A61A4A">
        <w:t xml:space="preserve">motorcoach </w:t>
      </w:r>
      <w:r w:rsidR="00FE775B">
        <w:t>trips</w:t>
      </w:r>
      <w:r w:rsidR="004D09B2" w:rsidRPr="007C7A80">
        <w:t>.</w:t>
      </w:r>
      <w:r w:rsidR="004D09B2">
        <w:t xml:space="preserve">  These results will be made available to the public.  This information</w:t>
      </w:r>
      <w:r w:rsidR="006172E5">
        <w:t xml:space="preserve">, along with </w:t>
      </w:r>
      <w:r w:rsidR="003008BD">
        <w:t xml:space="preserve">its </w:t>
      </w:r>
      <w:r w:rsidR="006172E5">
        <w:t xml:space="preserve">conclusions, </w:t>
      </w:r>
      <w:r w:rsidR="004D09B2">
        <w:t xml:space="preserve">will be used </w:t>
      </w:r>
      <w:r w:rsidR="002E332B">
        <w:t>to determine whether</w:t>
      </w:r>
      <w:r w:rsidR="002E332B" w:rsidRPr="00582B18">
        <w:t xml:space="preserve"> further evaluation is needed to support future program, pol</w:t>
      </w:r>
      <w:r w:rsidR="002E332B">
        <w:t>icy, and regulatory initiatives;</w:t>
      </w:r>
      <w:r w:rsidR="002E332B" w:rsidRPr="00582B18">
        <w:t xml:space="preserve">  </w:t>
      </w:r>
      <w:r w:rsidR="006172E5">
        <w:t>will be</w:t>
      </w:r>
      <w:r w:rsidR="004D09B2">
        <w:t xml:space="preserve"> </w:t>
      </w:r>
      <w:r w:rsidR="006172E5">
        <w:rPr>
          <w:color w:val="000000"/>
        </w:rPr>
        <w:t>presented to</w:t>
      </w:r>
      <w:r w:rsidR="006172E5" w:rsidRPr="006F1E33">
        <w:rPr>
          <w:color w:val="000000"/>
        </w:rPr>
        <w:t xml:space="preserve"> NTSB and Congress</w:t>
      </w:r>
      <w:r w:rsidR="006172E5">
        <w:rPr>
          <w:color w:val="000000"/>
        </w:rPr>
        <w:t xml:space="preserve">; </w:t>
      </w:r>
      <w:r w:rsidR="004D09B2">
        <w:t xml:space="preserve">and </w:t>
      </w:r>
      <w:r>
        <w:t xml:space="preserve">will </w:t>
      </w:r>
      <w:r w:rsidR="004D09B2">
        <w:t>contribute to the general literature regarding practices for improving motorcoach safety in the United States.</w:t>
      </w:r>
    </w:p>
    <w:p w:rsidR="004D09B2" w:rsidRPr="009F575C" w:rsidRDefault="0083666A" w:rsidP="0083666A">
      <w:pPr>
        <w:tabs>
          <w:tab w:val="left" w:pos="5325"/>
        </w:tabs>
      </w:pPr>
      <w:r>
        <w:tab/>
      </w:r>
    </w:p>
    <w:p w:rsidR="004D09B2" w:rsidRPr="000E645B" w:rsidRDefault="00AF738F" w:rsidP="009F575C">
      <w:pPr>
        <w:spacing w:line="480" w:lineRule="auto"/>
      </w:pPr>
      <w:r w:rsidRPr="000E645B">
        <w:t>This ICR contains the following information collection (IC) form:</w:t>
      </w:r>
    </w:p>
    <w:p w:rsidR="004D09B2" w:rsidRDefault="00AF738F" w:rsidP="0083666A">
      <w:pPr>
        <w:widowControl w:val="0"/>
        <w:numPr>
          <w:ilvl w:val="0"/>
          <w:numId w:val="25"/>
        </w:numPr>
        <w:autoSpaceDE w:val="0"/>
        <w:autoSpaceDN w:val="0"/>
        <w:adjustRightInd w:val="0"/>
      </w:pPr>
      <w:r w:rsidRPr="000E645B">
        <w:t xml:space="preserve">Form </w:t>
      </w:r>
      <w:r w:rsidR="00103C84">
        <w:t>MCSA-5868, Motorcoach Passenger</w:t>
      </w:r>
      <w:r w:rsidR="007C7E0F">
        <w:t xml:space="preserve"> </w:t>
      </w:r>
      <w:r w:rsidRPr="000E645B">
        <w:t>Survey:  Pre-Trip Safety Awareness and Emergency Preparedness Informatio</w:t>
      </w:r>
      <w:r w:rsidR="0083666A">
        <w:t xml:space="preserve">n – To collect motorcoach passengers’ responses during </w:t>
      </w:r>
      <w:r w:rsidR="0006664F">
        <w:t xml:space="preserve">a total of </w:t>
      </w:r>
      <w:r w:rsidR="007940BB">
        <w:t>five in-person</w:t>
      </w:r>
      <w:r w:rsidR="0083666A">
        <w:t xml:space="preserve"> survey events.</w:t>
      </w:r>
    </w:p>
    <w:p w:rsidR="004D09B2" w:rsidRDefault="004D09B2">
      <w:pPr>
        <w:pStyle w:val="NormalWeb"/>
      </w:pPr>
      <w:r>
        <w:rPr>
          <w:b/>
          <w:bCs/>
        </w:rPr>
        <w:t>3.  Extent of automated information collection.</w:t>
      </w:r>
      <w:r>
        <w:t xml:space="preserve"> </w:t>
      </w:r>
    </w:p>
    <w:p w:rsidR="00336668" w:rsidRDefault="004D09B2" w:rsidP="00336668">
      <w:pPr>
        <w:autoSpaceDE w:val="0"/>
        <w:autoSpaceDN w:val="0"/>
        <w:adjustRightInd w:val="0"/>
        <w:rPr>
          <w:iCs/>
        </w:rPr>
      </w:pPr>
      <w:r>
        <w:t xml:space="preserve">This information collection will offer participating motorcoach passengers the option to respond during </w:t>
      </w:r>
      <w:r w:rsidR="00F35B69">
        <w:t xml:space="preserve">a total of </w:t>
      </w:r>
      <w:r>
        <w:t>five in-person survey</w:t>
      </w:r>
      <w:r w:rsidR="0006664F">
        <w:t>s conducted at diverse</w:t>
      </w:r>
      <w:r>
        <w:t xml:space="preserve"> locations.</w:t>
      </w:r>
      <w:r w:rsidR="00D25977">
        <w:t xml:space="preserve">  </w:t>
      </w:r>
      <w:r w:rsidR="00D25977" w:rsidRPr="0054739F">
        <w:t xml:space="preserve">FMCSA selected the locations based </w:t>
      </w:r>
      <w:r w:rsidR="00517BE1">
        <w:t>on</w:t>
      </w:r>
      <w:r w:rsidR="00D25977" w:rsidRPr="0054739F">
        <w:t xml:space="preserve"> the United States three main motorcoach travel corridors on the East Coast, West Coast, and Central United States.</w:t>
      </w:r>
      <w:r w:rsidR="00D25977" w:rsidRPr="0054739F">
        <w:rPr>
          <w:b/>
          <w:bCs/>
        </w:rPr>
        <w:t xml:space="preserve">  </w:t>
      </w:r>
      <w:r w:rsidR="00336668" w:rsidRPr="00B71BC3">
        <w:rPr>
          <w:iCs/>
        </w:rPr>
        <w:t>Motorcoach</w:t>
      </w:r>
      <w:r w:rsidR="00523AC5">
        <w:rPr>
          <w:iCs/>
        </w:rPr>
        <w:t>es</w:t>
      </w:r>
      <w:r w:rsidR="00336668" w:rsidRPr="00B71BC3">
        <w:rPr>
          <w:iCs/>
        </w:rPr>
        <w:t xml:space="preserve"> for the </w:t>
      </w:r>
      <w:r w:rsidR="00336668">
        <w:rPr>
          <w:iCs/>
        </w:rPr>
        <w:t xml:space="preserve">proposed </w:t>
      </w:r>
      <w:r w:rsidR="00336668" w:rsidRPr="00B71BC3">
        <w:rPr>
          <w:iCs/>
        </w:rPr>
        <w:t xml:space="preserve">survey will be identified by visiting locations in these </w:t>
      </w:r>
      <w:r w:rsidR="00336668">
        <w:rPr>
          <w:iCs/>
        </w:rPr>
        <w:t>corridors</w:t>
      </w:r>
      <w:r w:rsidR="00336668" w:rsidRPr="00B71BC3">
        <w:rPr>
          <w:iCs/>
        </w:rPr>
        <w:t xml:space="preserve"> where motorcoach operators regularly conduct drop-offs. The passengers identified to participate in the survey w</w:t>
      </w:r>
      <w:r w:rsidR="00336668">
        <w:rPr>
          <w:iCs/>
        </w:rPr>
        <w:t xml:space="preserve">ill </w:t>
      </w:r>
      <w:r w:rsidR="00336668" w:rsidRPr="00B71BC3">
        <w:rPr>
          <w:iCs/>
        </w:rPr>
        <w:t>be selected by approaching them as they disembark the motorcoach,</w:t>
      </w:r>
      <w:r w:rsidR="00517BE1">
        <w:rPr>
          <w:iCs/>
        </w:rPr>
        <w:t xml:space="preserve"> via in-person surveys by FMCSA-</w:t>
      </w:r>
      <w:r w:rsidR="00336668" w:rsidRPr="00B71BC3">
        <w:rPr>
          <w:iCs/>
        </w:rPr>
        <w:t>designated personnel</w:t>
      </w:r>
      <w:r w:rsidR="00336668">
        <w:rPr>
          <w:iCs/>
        </w:rPr>
        <w:t xml:space="preserve"> trained for this work</w:t>
      </w:r>
      <w:r w:rsidR="00336668" w:rsidRPr="00B71BC3">
        <w:rPr>
          <w:iCs/>
        </w:rPr>
        <w:t xml:space="preserve">. </w:t>
      </w:r>
    </w:p>
    <w:p w:rsidR="004D09B2" w:rsidRDefault="002E332B">
      <w:pPr>
        <w:pStyle w:val="NormalWeb"/>
      </w:pPr>
      <w:r>
        <w:rPr>
          <w:b/>
          <w:bCs/>
        </w:rPr>
        <w:br w:type="page"/>
      </w:r>
      <w:r w:rsidR="004D09B2">
        <w:rPr>
          <w:b/>
          <w:bCs/>
        </w:rPr>
        <w:lastRenderedPageBreak/>
        <w:t>4.  Efforts to identify duplication.</w:t>
      </w:r>
      <w:r w:rsidR="004D09B2">
        <w:t xml:space="preserve"> </w:t>
      </w:r>
    </w:p>
    <w:p w:rsidR="00336668" w:rsidRDefault="004D09B2" w:rsidP="00336668">
      <w:pPr>
        <w:autoSpaceDE w:val="0"/>
        <w:autoSpaceDN w:val="0"/>
        <w:adjustRightInd w:val="0"/>
        <w:rPr>
          <w:b/>
          <w:bCs/>
        </w:rPr>
      </w:pPr>
      <w:r w:rsidRPr="007C7A80">
        <w:rPr>
          <w:color w:val="000000"/>
        </w:rPr>
        <w:t>Beginning in 2008, the FMCSA began measuring compliance during its National Passenger Carrier Strike Forces, which ha</w:t>
      </w:r>
      <w:r w:rsidR="00517BE1" w:rsidRPr="007C7A80">
        <w:rPr>
          <w:color w:val="000000"/>
        </w:rPr>
        <w:t>ve</w:t>
      </w:r>
      <w:r w:rsidRPr="007C7A80">
        <w:rPr>
          <w:color w:val="000000"/>
        </w:rPr>
        <w:t xml:space="preserve"> shown increased adoption levels each year</w:t>
      </w:r>
      <w:r w:rsidR="00517BE1" w:rsidRPr="007C7A80">
        <w:rPr>
          <w:color w:val="000000"/>
        </w:rPr>
        <w:t xml:space="preserve">. The 2010 adoption level was 76 percent, a significant rise from the </w:t>
      </w:r>
      <w:r w:rsidRPr="007C7A80">
        <w:rPr>
          <w:color w:val="000000"/>
        </w:rPr>
        <w:t xml:space="preserve">2008 </w:t>
      </w:r>
      <w:r w:rsidR="00517BE1" w:rsidRPr="007C7A80">
        <w:rPr>
          <w:color w:val="000000"/>
        </w:rPr>
        <w:t xml:space="preserve">baseline collection year level of </w:t>
      </w:r>
      <w:r w:rsidRPr="007C7A80">
        <w:rPr>
          <w:color w:val="000000"/>
        </w:rPr>
        <w:t>23 percent.</w:t>
      </w:r>
      <w:r>
        <w:rPr>
          <w:color w:val="000000"/>
        </w:rPr>
        <w:t xml:space="preserve">  </w:t>
      </w:r>
      <w:r w:rsidR="00A6227F">
        <w:rPr>
          <w:color w:val="000000"/>
        </w:rPr>
        <w:t>Although the</w:t>
      </w:r>
      <w:r w:rsidRPr="00F36125">
        <w:rPr>
          <w:color w:val="000000"/>
        </w:rPr>
        <w:t xml:space="preserve"> data has shown increased adoption levels, </w:t>
      </w:r>
      <w:r w:rsidR="00A6227F">
        <w:rPr>
          <w:color w:val="000000"/>
        </w:rPr>
        <w:t>it</w:t>
      </w:r>
      <w:r w:rsidRPr="00F36125">
        <w:rPr>
          <w:color w:val="000000"/>
        </w:rPr>
        <w:t xml:space="preserve"> is based solely on input from the motorcoach companies and not actual passengers. </w:t>
      </w:r>
      <w:r>
        <w:rPr>
          <w:color w:val="000000"/>
        </w:rPr>
        <w:t xml:space="preserve">The </w:t>
      </w:r>
      <w:r w:rsidRPr="00F36125">
        <w:rPr>
          <w:color w:val="000000"/>
        </w:rPr>
        <w:t xml:space="preserve">FMCSA wants to </w:t>
      </w:r>
      <w:r w:rsidR="006172E5">
        <w:rPr>
          <w:color w:val="000000"/>
        </w:rPr>
        <w:t>verify</w:t>
      </w:r>
      <w:r w:rsidRPr="00F36125">
        <w:rPr>
          <w:color w:val="000000"/>
        </w:rPr>
        <w:t xml:space="preserve"> that </w:t>
      </w:r>
      <w:r w:rsidR="00FE775B">
        <w:rPr>
          <w:color w:val="000000"/>
        </w:rPr>
        <w:t xml:space="preserve">voluntary </w:t>
      </w:r>
      <w:r w:rsidR="00DA36C9">
        <w:rPr>
          <w:color w:val="000000"/>
        </w:rPr>
        <w:t>compliance</w:t>
      </w:r>
      <w:r w:rsidR="00FE775B">
        <w:rPr>
          <w:color w:val="000000"/>
        </w:rPr>
        <w:t xml:space="preserve"> </w:t>
      </w:r>
      <w:r>
        <w:rPr>
          <w:color w:val="000000"/>
        </w:rPr>
        <w:t>continues to increase</w:t>
      </w:r>
      <w:r w:rsidR="006172E5">
        <w:rPr>
          <w:color w:val="000000"/>
        </w:rPr>
        <w:t>,</w:t>
      </w:r>
      <w:r>
        <w:rPr>
          <w:color w:val="000000"/>
        </w:rPr>
        <w:t xml:space="preserve"> and </w:t>
      </w:r>
      <w:r w:rsidR="006172E5">
        <w:rPr>
          <w:color w:val="000000"/>
        </w:rPr>
        <w:t xml:space="preserve">that the information provided </w:t>
      </w:r>
      <w:r w:rsidR="003008BD">
        <w:rPr>
          <w:color w:val="000000"/>
        </w:rPr>
        <w:t>is</w:t>
      </w:r>
      <w:r w:rsidR="006172E5">
        <w:rPr>
          <w:color w:val="000000"/>
        </w:rPr>
        <w:t xml:space="preserve"> effective</w:t>
      </w:r>
      <w:r w:rsidR="003008BD">
        <w:rPr>
          <w:color w:val="000000"/>
        </w:rPr>
        <w:t>,</w:t>
      </w:r>
      <w:r>
        <w:rPr>
          <w:color w:val="000000"/>
        </w:rPr>
        <w:t xml:space="preserve"> through the collection and analysis of passenger survey data.</w:t>
      </w:r>
      <w:r>
        <w:t xml:space="preserve"> </w:t>
      </w:r>
    </w:p>
    <w:p w:rsidR="00336668" w:rsidRDefault="00336668" w:rsidP="00336668">
      <w:pPr>
        <w:autoSpaceDE w:val="0"/>
        <w:autoSpaceDN w:val="0"/>
        <w:adjustRightInd w:val="0"/>
        <w:rPr>
          <w:b/>
          <w:bCs/>
        </w:rPr>
      </w:pPr>
    </w:p>
    <w:p w:rsidR="004D09B2" w:rsidRDefault="004D09B2" w:rsidP="00336668">
      <w:pPr>
        <w:autoSpaceDE w:val="0"/>
        <w:autoSpaceDN w:val="0"/>
        <w:adjustRightInd w:val="0"/>
        <w:rPr>
          <w:b/>
          <w:bCs/>
        </w:rPr>
      </w:pPr>
      <w:r>
        <w:rPr>
          <w:b/>
          <w:bCs/>
        </w:rPr>
        <w:t>5.  Efforts to minimize burden on small businesses.</w:t>
      </w:r>
    </w:p>
    <w:p w:rsidR="00336668" w:rsidRPr="00336668" w:rsidRDefault="00336668" w:rsidP="00336668">
      <w:pPr>
        <w:autoSpaceDE w:val="0"/>
        <w:autoSpaceDN w:val="0"/>
        <w:adjustRightInd w:val="0"/>
      </w:pPr>
    </w:p>
    <w:p w:rsidR="004D09B2" w:rsidRDefault="004D09B2">
      <w:r>
        <w:t xml:space="preserve">The intended response population for this information collection is </w:t>
      </w:r>
      <w:r w:rsidR="00FE775B">
        <w:t xml:space="preserve">motorcoach </w:t>
      </w:r>
      <w:r w:rsidR="00137E62">
        <w:t>passenger trips</w:t>
      </w:r>
      <w:r>
        <w:t xml:space="preserve">. </w:t>
      </w:r>
      <w:r w:rsidR="00826AF5" w:rsidRPr="007C7A80">
        <w:t>Participation in</w:t>
      </w:r>
      <w:r w:rsidRPr="007C7A80">
        <w:t xml:space="preserve"> the information collection is voluntary, only</w:t>
      </w:r>
      <w:r w:rsidR="00D25977" w:rsidRPr="007C7A80">
        <w:t xml:space="preserve"> willing passengers will</w:t>
      </w:r>
      <w:r w:rsidRPr="007C7A80">
        <w:t xml:space="preserve"> participate in this activity.</w:t>
      </w:r>
      <w:r>
        <w:t xml:space="preserve">  Additionally, because the response time for the survey instrument is estimated at approximately 10 minutes maximum, </w:t>
      </w:r>
      <w:r w:rsidR="00336668">
        <w:t xml:space="preserve">with an average of 5 minutes for most respondents, </w:t>
      </w:r>
      <w:r>
        <w:t>this one-time data collection is not considered to be burdensome on small businesses.  Every effort has been made in the design of the survey instrument to limit questions to those that are absolutely necessary.</w:t>
      </w:r>
    </w:p>
    <w:p w:rsidR="004D09B2" w:rsidRDefault="004D09B2">
      <w:pPr>
        <w:pStyle w:val="NormalWeb"/>
        <w:rPr>
          <w:b/>
          <w:bCs/>
        </w:rPr>
      </w:pPr>
      <w:r>
        <w:rPr>
          <w:b/>
          <w:bCs/>
        </w:rPr>
        <w:t>6.  Impact of less frequent collection of information.</w:t>
      </w:r>
    </w:p>
    <w:p w:rsidR="004D09B2" w:rsidRDefault="00103C84">
      <w:r>
        <w:t>Without the</w:t>
      </w:r>
      <w:r w:rsidR="007C7E0F">
        <w:t xml:space="preserve"> </w:t>
      </w:r>
      <w:r w:rsidR="004D09B2">
        <w:t xml:space="preserve">survey, FMCSA will be </w:t>
      </w:r>
      <w:r w:rsidR="003008BD">
        <w:t>limited in its ability to</w:t>
      </w:r>
      <w:r w:rsidR="004D09B2">
        <w:t xml:space="preserve"> assess the </w:t>
      </w:r>
      <w:r w:rsidR="00FE775B">
        <w:t xml:space="preserve">voluntary </w:t>
      </w:r>
      <w:r w:rsidR="004D09B2">
        <w:t>compliance levels wi</w:t>
      </w:r>
      <w:r w:rsidR="00854FDA">
        <w:t xml:space="preserve">th the FMCSA’s 2007 Basic Plan </w:t>
      </w:r>
      <w:r w:rsidR="003A7B3D">
        <w:t>(included in 72 FR 52424)</w:t>
      </w:r>
      <w:r w:rsidR="00854FDA">
        <w:t xml:space="preserve"> </w:t>
      </w:r>
      <w:r w:rsidR="004D09B2" w:rsidRPr="00B22B75">
        <w:t xml:space="preserve">for motorcoach companies to implement a safety-awareness </w:t>
      </w:r>
      <w:r w:rsidR="004D09B2">
        <w:t xml:space="preserve">and emergency preparedness </w:t>
      </w:r>
      <w:r w:rsidR="004D09B2" w:rsidRPr="00B22B75">
        <w:t>program</w:t>
      </w:r>
      <w:r w:rsidR="004D09B2">
        <w:t xml:space="preserve"> </w:t>
      </w:r>
      <w:r w:rsidR="004D09B2" w:rsidRPr="00B22B75">
        <w:t>for passenger</w:t>
      </w:r>
      <w:r w:rsidR="004D09B2">
        <w:t>s</w:t>
      </w:r>
      <w:r w:rsidR="00A6227F">
        <w:t>.  FMCSA does not have any other way to measure</w:t>
      </w:r>
      <w:r w:rsidR="003008BD">
        <w:t xml:space="preserve"> the </w:t>
      </w:r>
      <w:r w:rsidR="003008BD" w:rsidRPr="00CD1EE8">
        <w:t xml:space="preserve">effectiveness of the </w:t>
      </w:r>
      <w:r w:rsidR="003008BD">
        <w:t xml:space="preserve">means by which the </w:t>
      </w:r>
      <w:r w:rsidR="003008BD" w:rsidRPr="00CD1EE8">
        <w:t xml:space="preserve">information </w:t>
      </w:r>
      <w:r w:rsidR="003008BD">
        <w:t>is being provided.</w:t>
      </w:r>
    </w:p>
    <w:p w:rsidR="004D09B2" w:rsidRDefault="004D09B2">
      <w:pPr>
        <w:pStyle w:val="NormalWeb"/>
      </w:pPr>
      <w:r>
        <w:rPr>
          <w:b/>
          <w:bCs/>
        </w:rPr>
        <w:t>7.  Special circumstances.</w:t>
      </w:r>
      <w:r>
        <w:t xml:space="preserve"> </w:t>
      </w:r>
    </w:p>
    <w:p w:rsidR="00A6227F" w:rsidRPr="00CF35C9" w:rsidRDefault="00A6227F" w:rsidP="00A6227F">
      <w:r>
        <w:t>The information collection is essential to FMCSA’s safety mission</w:t>
      </w:r>
      <w:r w:rsidRPr="00CF35C9">
        <w:t>: to reduce crashes, injuries</w:t>
      </w:r>
      <w:r w:rsidR="00103C84">
        <w:t>,</w:t>
      </w:r>
      <w:r w:rsidRPr="00CF35C9">
        <w:t xml:space="preserve"> and fatalities involving large trucks and buses.  </w:t>
      </w:r>
      <w:r w:rsidR="00527980">
        <w:t>The agency plans to</w:t>
      </w:r>
      <w:r>
        <w:t xml:space="preserve"> use the results to further inform Departmental and Agency efforts currently underway to improve passenger </w:t>
      </w:r>
      <w:r w:rsidR="00336668">
        <w:t xml:space="preserve">carrier </w:t>
      </w:r>
      <w:r>
        <w:t xml:space="preserve">safety.  </w:t>
      </w:r>
    </w:p>
    <w:p w:rsidR="004D09B2" w:rsidRDefault="004D09B2">
      <w:pPr>
        <w:pStyle w:val="NormalWeb"/>
        <w:rPr>
          <w:b/>
          <w:bCs/>
        </w:rPr>
      </w:pPr>
      <w:r>
        <w:rPr>
          <w:b/>
          <w:bCs/>
        </w:rPr>
        <w:t>8.  Compliance with 5 CFR 1320.8.</w:t>
      </w:r>
    </w:p>
    <w:p w:rsidR="004D09B2" w:rsidRDefault="004D09B2" w:rsidP="004846FD">
      <w:pPr>
        <w:autoSpaceDE w:val="0"/>
        <w:autoSpaceDN w:val="0"/>
        <w:adjustRightInd w:val="0"/>
      </w:pPr>
      <w:r w:rsidRPr="00286FE1">
        <w:t xml:space="preserve">The FMCSA </w:t>
      </w:r>
      <w:r>
        <w:t>consulted with passenger carrier companies and other stakeholders through</w:t>
      </w:r>
      <w:r w:rsidRPr="00286FE1">
        <w:t xml:space="preserve"> a notice in the Federal Register </w:t>
      </w:r>
      <w:r>
        <w:t>(71 FR 50971) dated August 28, 2006</w:t>
      </w:r>
      <w:r w:rsidR="00523AC5">
        <w:t>,</w:t>
      </w:r>
      <w:r>
        <w:t xml:space="preserve"> requesting</w:t>
      </w:r>
      <w:r w:rsidRPr="00286FE1">
        <w:t xml:space="preserve"> comments on the Agency’s proposed plan to implement NTSB recommendations H–99–</w:t>
      </w:r>
      <w:r w:rsidR="00C4545F">
        <w:t>00</w:t>
      </w:r>
      <w:r w:rsidRPr="00286FE1">
        <w:t>7 and H– 99–</w:t>
      </w:r>
      <w:r w:rsidR="00C4545F">
        <w:t>00</w:t>
      </w:r>
      <w:r w:rsidRPr="00286FE1">
        <w:t xml:space="preserve">8.  The </w:t>
      </w:r>
      <w:r>
        <w:t xml:space="preserve">comments received were addressed and published in the Federal </w:t>
      </w:r>
      <w:r w:rsidR="00C4545F">
        <w:t>Register notice</w:t>
      </w:r>
      <w:r>
        <w:t xml:space="preserve"> (72 FR 52424) </w:t>
      </w:r>
      <w:r w:rsidR="00C4545F">
        <w:t>of</w:t>
      </w:r>
      <w:r w:rsidR="005D40F3">
        <w:t xml:space="preserve"> September 13, 2007.</w:t>
      </w:r>
      <w:r>
        <w:t xml:space="preserve"> </w:t>
      </w:r>
    </w:p>
    <w:p w:rsidR="004D09B2" w:rsidRDefault="004D09B2">
      <w:pPr>
        <w:pStyle w:val="BodyText"/>
        <w:rPr>
          <w:i w:val="0"/>
          <w:iCs w:val="0"/>
        </w:rPr>
      </w:pPr>
    </w:p>
    <w:p w:rsidR="00336668" w:rsidRDefault="00336668" w:rsidP="00C30E56">
      <w:pPr>
        <w:autoSpaceDE w:val="0"/>
        <w:autoSpaceDN w:val="0"/>
        <w:adjustRightInd w:val="0"/>
      </w:pPr>
      <w:r>
        <w:t>O</w:t>
      </w:r>
      <w:r w:rsidR="00DC2B8B">
        <w:t xml:space="preserve">n October 18, 2011, </w:t>
      </w:r>
      <w:r>
        <w:t>FMCSA published a</w:t>
      </w:r>
      <w:r w:rsidR="00C30E56">
        <w:t>n initial</w:t>
      </w:r>
      <w:r>
        <w:t xml:space="preserve"> </w:t>
      </w:r>
      <w:r w:rsidR="00C30E56" w:rsidRPr="00C30E56">
        <w:t xml:space="preserve">emergency request and 30-day notice to </w:t>
      </w:r>
      <w:r w:rsidR="00C30E56">
        <w:t>announce</w:t>
      </w:r>
      <w:r>
        <w:t xml:space="preserve"> this new information collection would be submitted to OMB for approval</w:t>
      </w:r>
      <w:r w:rsidR="00C4545F">
        <w:t xml:space="preserve"> (76 FR 64423)</w:t>
      </w:r>
      <w:r>
        <w:t xml:space="preserve">.  The agency received no comments in response to this </w:t>
      </w:r>
      <w:r w:rsidR="00C30E56">
        <w:t xml:space="preserve">initial </w:t>
      </w:r>
      <w:r>
        <w:t>notice.</w:t>
      </w:r>
    </w:p>
    <w:p w:rsidR="00336668" w:rsidRDefault="00336668" w:rsidP="00336668"/>
    <w:p w:rsidR="00336668" w:rsidRDefault="00DC2B8B" w:rsidP="003366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t>On May 15, 2013</w:t>
      </w:r>
      <w:r w:rsidR="00336668">
        <w:t>, FMCSA published a</w:t>
      </w:r>
      <w:r w:rsidR="00C30E56">
        <w:t>n updated</w:t>
      </w:r>
      <w:r w:rsidR="00336668">
        <w:t xml:space="preserve"> notice with a 60-day comment period in the Federal Register requesting public comments on this information collection</w:t>
      </w:r>
      <w:r w:rsidR="00C4545F">
        <w:t xml:space="preserve"> (78 FR 28699)</w:t>
      </w:r>
      <w:r w:rsidR="00336668">
        <w:t>.  The agency received no comments in response to this notice.</w:t>
      </w:r>
    </w:p>
    <w:p w:rsidR="00C30E56" w:rsidRDefault="00C30E56" w:rsidP="003366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73639F" w:rsidRDefault="00C30E56" w:rsidP="00C30E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D033C1">
        <w:t xml:space="preserve">On </w:t>
      </w:r>
      <w:r w:rsidR="003A7B3D">
        <w:t>April 18</w:t>
      </w:r>
      <w:r w:rsidR="00DC2B8B" w:rsidRPr="00D033C1">
        <w:t>, 2014</w:t>
      </w:r>
      <w:r w:rsidRPr="00D033C1">
        <w:t>, FMCSA published a thi</w:t>
      </w:r>
      <w:r w:rsidR="00DC2B8B" w:rsidRPr="00D033C1">
        <w:t xml:space="preserve">rd and final notice </w:t>
      </w:r>
      <w:r w:rsidRPr="00D033C1">
        <w:t>with a 30-day comment period that announced this information collection was being submitted to OMB for approval</w:t>
      </w:r>
      <w:r w:rsidR="00C4545F" w:rsidRPr="00D033C1">
        <w:t xml:space="preserve"> (7</w:t>
      </w:r>
      <w:r w:rsidR="00D033C1">
        <w:t>9</w:t>
      </w:r>
      <w:r w:rsidR="00C4545F" w:rsidRPr="00D033C1">
        <w:t xml:space="preserve"> FR </w:t>
      </w:r>
      <w:r w:rsidR="003A7B3D">
        <w:t>21994</w:t>
      </w:r>
      <w:r w:rsidR="00C4545F" w:rsidRPr="00D033C1">
        <w:t>)</w:t>
      </w:r>
      <w:r w:rsidRPr="00D033C1">
        <w:t>.</w:t>
      </w:r>
    </w:p>
    <w:p w:rsidR="004D09B2" w:rsidRDefault="004D09B2" w:rsidP="00EA6A43">
      <w:pPr>
        <w:pStyle w:val="NormalWeb"/>
        <w:rPr>
          <w:b/>
          <w:bCs/>
        </w:rPr>
      </w:pPr>
      <w:r>
        <w:rPr>
          <w:b/>
          <w:bCs/>
        </w:rPr>
        <w:t>9.  Payment or gifts to respondents.</w:t>
      </w:r>
    </w:p>
    <w:p w:rsidR="004D09B2" w:rsidRDefault="0073639F">
      <w:r>
        <w:t>None.</w:t>
      </w:r>
    </w:p>
    <w:p w:rsidR="004D09B2" w:rsidRDefault="004D09B2" w:rsidP="0051118F">
      <w:pPr>
        <w:pStyle w:val="NormalWeb"/>
        <w:keepNext/>
        <w:rPr>
          <w:b/>
          <w:bCs/>
        </w:rPr>
      </w:pPr>
      <w:r>
        <w:rPr>
          <w:b/>
          <w:bCs/>
        </w:rPr>
        <w:t>10.  Assurances of Confidentiality.</w:t>
      </w:r>
    </w:p>
    <w:p w:rsidR="004D09B2" w:rsidRPr="00866F44" w:rsidRDefault="004D09B2">
      <w:pPr>
        <w:pStyle w:val="NormalWeb"/>
        <w:rPr>
          <w:bCs/>
        </w:rPr>
      </w:pPr>
      <w:r w:rsidRPr="00866F44">
        <w:rPr>
          <w:bCs/>
        </w:rPr>
        <w:t xml:space="preserve">This collection will be kept private to the extent </w:t>
      </w:r>
      <w:r w:rsidR="00C4545F">
        <w:rPr>
          <w:bCs/>
        </w:rPr>
        <w:t>protected by</w:t>
      </w:r>
      <w:r w:rsidRPr="00866F44">
        <w:rPr>
          <w:bCs/>
        </w:rPr>
        <w:t xml:space="preserve"> law.</w:t>
      </w:r>
    </w:p>
    <w:p w:rsidR="004D09B2" w:rsidRDefault="004D09B2">
      <w:pPr>
        <w:pStyle w:val="NormalWeb"/>
        <w:rPr>
          <w:b/>
          <w:bCs/>
        </w:rPr>
      </w:pPr>
      <w:r>
        <w:rPr>
          <w:b/>
          <w:bCs/>
        </w:rPr>
        <w:t>11.  Justification for collection of sensitive information.</w:t>
      </w:r>
    </w:p>
    <w:p w:rsidR="004D09B2" w:rsidRDefault="00114DC8" w:rsidP="00F16427">
      <w:pPr>
        <w:tabs>
          <w:tab w:val="left" w:pos="360"/>
        </w:tabs>
      </w:pPr>
      <w:r>
        <w:t>The survey instrument</w:t>
      </w:r>
      <w:r w:rsidR="004D09B2">
        <w:t xml:space="preserve"> contain</w:t>
      </w:r>
      <w:r>
        <w:t>s</w:t>
      </w:r>
      <w:r w:rsidR="004D09B2">
        <w:t xml:space="preserve"> questions regarding motorcoach company and driver compliance with voluntary adoption guidelines in providing passengers pre-trip safety awareness and emergency preparedness information and passengers’ receipt of such information.  The FMCSA is interested in gathering this information only to assess the levels of voluntary compliance and obtain recommendations for improvement in the information itself and how to increase </w:t>
      </w:r>
      <w:r w:rsidR="00FE775B">
        <w:t>adoption</w:t>
      </w:r>
      <w:r w:rsidR="004D09B2">
        <w:t xml:space="preserve"> levels; the questions are not intended to result in any enforcement action for noncompliance. </w:t>
      </w:r>
      <w:r w:rsidR="00C4545F">
        <w:t>N</w:t>
      </w:r>
      <w:r w:rsidR="004D09B2">
        <w:t>o personally identifying information from motorcoach passengers</w:t>
      </w:r>
      <w:r>
        <w:t xml:space="preserve"> will be collected.  The survey</w:t>
      </w:r>
      <w:r w:rsidR="004D09B2">
        <w:t xml:space="preserve"> do</w:t>
      </w:r>
      <w:r>
        <w:t>es</w:t>
      </w:r>
      <w:r w:rsidR="004D09B2">
        <w:t xml:space="preserve"> request specific information regarding the date of the trip</w:t>
      </w:r>
      <w:r w:rsidR="00B6388D">
        <w:t xml:space="preserve">, </w:t>
      </w:r>
      <w:r w:rsidR="007940BB">
        <w:t xml:space="preserve">the name of the </w:t>
      </w:r>
      <w:r w:rsidR="00B6388D">
        <w:t>motorcoach company</w:t>
      </w:r>
      <w:r w:rsidR="007940BB">
        <w:t xml:space="preserve"> traveled on</w:t>
      </w:r>
      <w:r w:rsidR="00B6388D">
        <w:t>,</w:t>
      </w:r>
      <w:r w:rsidR="004D09B2">
        <w:t xml:space="preserve"> and </w:t>
      </w:r>
      <w:r w:rsidR="007940BB">
        <w:t xml:space="preserve">the </w:t>
      </w:r>
      <w:r w:rsidR="004D09B2">
        <w:t xml:space="preserve">fleet vehicle number.    </w:t>
      </w:r>
    </w:p>
    <w:p w:rsidR="004D09B2" w:rsidRDefault="004D09B2">
      <w:pPr>
        <w:pStyle w:val="NormalWeb"/>
        <w:rPr>
          <w:b/>
          <w:bCs/>
        </w:rPr>
      </w:pPr>
      <w:r>
        <w:rPr>
          <w:b/>
          <w:bCs/>
        </w:rPr>
        <w:t>12.  Estimates of burden hours for information requested.</w:t>
      </w:r>
    </w:p>
    <w:p w:rsidR="00A965A0" w:rsidRDefault="00A965A0" w:rsidP="00A965A0">
      <w:r w:rsidRPr="00B71BC3">
        <w:t xml:space="preserve">The information collection burden was estimated through a </w:t>
      </w:r>
      <w:r>
        <w:t xml:space="preserve">pilot test of the survey process and the survey instrument on June 26, 2013, at Union Station in Washington, DC.  The test team attempted to collect information from </w:t>
      </w:r>
      <w:r w:rsidR="00C4545F">
        <w:t>9</w:t>
      </w:r>
      <w:r>
        <w:t xml:space="preserve"> respondents over the course of the day, with </w:t>
      </w:r>
      <w:r w:rsidR="00C4545F">
        <w:t>3</w:t>
      </w:r>
      <w:r>
        <w:t xml:space="preserve"> in the morning, 3 at midday, and 3 in the afternoon.  Non-response was about 20 percent</w:t>
      </w:r>
      <w:r w:rsidR="00523AC5">
        <w:t xml:space="preserve"> (2 out of the 9 passengers approached to take part in the pilot survey declined to participate)</w:t>
      </w:r>
      <w:r>
        <w:t xml:space="preserve">. About 20 percent who provided </w:t>
      </w:r>
      <w:r w:rsidR="00E33A48">
        <w:t xml:space="preserve">a </w:t>
      </w:r>
      <w:r>
        <w:t>response failed to complete all of the survey questions, but all of them responded to the key question about receiving pre-trip safety information.  On average, the respondents completed the survey in 5 minutes. The respondents arrived on trips from 6 different points of origin, and were transported by 6 different motorcoach companies. The survey team tracked overall arrival of motorcoaches at this location</w:t>
      </w:r>
      <w:r w:rsidR="00E33A48">
        <w:t xml:space="preserve"> and</w:t>
      </w:r>
      <w:r w:rsidR="00C4545F">
        <w:t xml:space="preserve">, </w:t>
      </w:r>
      <w:r>
        <w:t xml:space="preserve">on </w:t>
      </w:r>
      <w:proofErr w:type="gramStart"/>
      <w:r>
        <w:t>average</w:t>
      </w:r>
      <w:r w:rsidR="00E33A48">
        <w:t>,</w:t>
      </w:r>
      <w:proofErr w:type="gramEnd"/>
      <w:r>
        <w:t xml:space="preserve"> there were 6 arrivals per hour throughout the day.</w:t>
      </w:r>
    </w:p>
    <w:p w:rsidR="00A965A0" w:rsidRDefault="00A965A0" w:rsidP="00A965A0"/>
    <w:p w:rsidR="00A965A0" w:rsidRPr="00B71BC3" w:rsidRDefault="00A965A0" w:rsidP="00A965A0">
      <w:r>
        <w:t xml:space="preserve">Based on the results of this limited test, the team was able to effectively execute the process, achieve an acceptable response rate, and </w:t>
      </w:r>
      <w:r w:rsidR="00C4545F">
        <w:t>recommend</w:t>
      </w:r>
      <w:r>
        <w:t xml:space="preserve"> some minor changes to the survey instrument to improve the ease and accuracy of information collection</w:t>
      </w:r>
      <w:r w:rsidR="00C4545F">
        <w:t>. T</w:t>
      </w:r>
      <w:r>
        <w:t xml:space="preserve">hese changes have been </w:t>
      </w:r>
      <w:r>
        <w:lastRenderedPageBreak/>
        <w:t xml:space="preserve">incorporated.  The team also determined that respondents could easily complete the survey within the expected 10 minutes, with most completing the questions in half that time.  </w:t>
      </w:r>
    </w:p>
    <w:p w:rsidR="00826AF5" w:rsidRDefault="00826AF5" w:rsidP="00424122"/>
    <w:p w:rsidR="007D4A47" w:rsidRDefault="007D4A47" w:rsidP="007D4A47">
      <w:pPr>
        <w:rPr>
          <w:iCs/>
        </w:rPr>
      </w:pPr>
      <w:r w:rsidRPr="00B71BC3">
        <w:rPr>
          <w:iCs/>
        </w:rPr>
        <w:t xml:space="preserve">FMCSA </w:t>
      </w:r>
      <w:r>
        <w:rPr>
          <w:iCs/>
        </w:rPr>
        <w:t>expects</w:t>
      </w:r>
      <w:r w:rsidRPr="00B71BC3">
        <w:rPr>
          <w:iCs/>
        </w:rPr>
        <w:t xml:space="preserve"> that</w:t>
      </w:r>
      <w:r>
        <w:rPr>
          <w:iCs/>
        </w:rPr>
        <w:t>, given the nature of this survey</w:t>
      </w:r>
      <w:r w:rsidR="00102926">
        <w:rPr>
          <w:iCs/>
        </w:rPr>
        <w:t>,</w:t>
      </w:r>
      <w:r>
        <w:rPr>
          <w:iCs/>
        </w:rPr>
        <w:t xml:space="preserve"> its briefness</w:t>
      </w:r>
      <w:r w:rsidR="00102926">
        <w:rPr>
          <w:iCs/>
        </w:rPr>
        <w:t xml:space="preserve"> and the pilot test results</w:t>
      </w:r>
      <w:r>
        <w:rPr>
          <w:iCs/>
        </w:rPr>
        <w:t>,</w:t>
      </w:r>
      <w:r w:rsidRPr="00B71BC3">
        <w:rPr>
          <w:iCs/>
        </w:rPr>
        <w:t xml:space="preserve"> the </w:t>
      </w:r>
      <w:r>
        <w:rPr>
          <w:iCs/>
        </w:rPr>
        <w:t xml:space="preserve">motorcoach </w:t>
      </w:r>
      <w:r w:rsidRPr="00B71BC3">
        <w:rPr>
          <w:iCs/>
        </w:rPr>
        <w:t xml:space="preserve">participation rate in the proposed survey will be </w:t>
      </w:r>
      <w:r w:rsidR="00102926">
        <w:rPr>
          <w:iCs/>
        </w:rPr>
        <w:t xml:space="preserve">at least 80 </w:t>
      </w:r>
      <w:r w:rsidR="00137E62">
        <w:rPr>
          <w:iCs/>
        </w:rPr>
        <w:t>percent.</w:t>
      </w:r>
      <w:r w:rsidR="00137E62" w:rsidRPr="00B71BC3">
        <w:rPr>
          <w:iCs/>
        </w:rPr>
        <w:t xml:space="preserve"> Therefore</w:t>
      </w:r>
      <w:r w:rsidRPr="00B71BC3">
        <w:rPr>
          <w:iCs/>
        </w:rPr>
        <w:t xml:space="preserve">, the survey team will </w:t>
      </w:r>
      <w:r>
        <w:rPr>
          <w:iCs/>
        </w:rPr>
        <w:t xml:space="preserve">contact </w:t>
      </w:r>
      <w:r w:rsidR="007D1A39">
        <w:rPr>
          <w:iCs/>
        </w:rPr>
        <w:t xml:space="preserve">passengers from </w:t>
      </w:r>
      <w:r w:rsidR="00102926">
        <w:rPr>
          <w:iCs/>
        </w:rPr>
        <w:t xml:space="preserve">1,600 </w:t>
      </w:r>
      <w:r w:rsidR="007D1A39">
        <w:rPr>
          <w:iCs/>
        </w:rPr>
        <w:t>motorcoach</w:t>
      </w:r>
      <w:r w:rsidR="00102926">
        <w:rPr>
          <w:iCs/>
        </w:rPr>
        <w:t xml:space="preserve"> </w:t>
      </w:r>
      <w:r w:rsidR="00000A8B">
        <w:rPr>
          <w:iCs/>
        </w:rPr>
        <w:t>trips as</w:t>
      </w:r>
      <w:r>
        <w:rPr>
          <w:iCs/>
        </w:rPr>
        <w:t xml:space="preserve"> </w:t>
      </w:r>
      <w:r w:rsidRPr="00B71BC3">
        <w:rPr>
          <w:iCs/>
        </w:rPr>
        <w:t>survey responde</w:t>
      </w:r>
      <w:r>
        <w:rPr>
          <w:iCs/>
        </w:rPr>
        <w:t>nts</w:t>
      </w:r>
      <w:r w:rsidRPr="00B71BC3">
        <w:rPr>
          <w:iCs/>
        </w:rPr>
        <w:t xml:space="preserve"> in order to obtain </w:t>
      </w:r>
      <w:r>
        <w:rPr>
          <w:iCs/>
        </w:rPr>
        <w:t xml:space="preserve">at least </w:t>
      </w:r>
      <w:r w:rsidR="00102926">
        <w:rPr>
          <w:iCs/>
        </w:rPr>
        <w:t>1,280</w:t>
      </w:r>
      <w:r w:rsidRPr="00B71BC3">
        <w:rPr>
          <w:iCs/>
        </w:rPr>
        <w:t xml:space="preserve"> completed questionnaires/surveys.  </w:t>
      </w:r>
      <w:r>
        <w:rPr>
          <w:iCs/>
        </w:rPr>
        <w:t xml:space="preserve"> </w:t>
      </w:r>
    </w:p>
    <w:p w:rsidR="00263F53" w:rsidRPr="00761FA5" w:rsidRDefault="00263F53" w:rsidP="007D4A47">
      <w:pPr>
        <w:rPr>
          <w:iCs/>
        </w:rPr>
      </w:pPr>
    </w:p>
    <w:p w:rsidR="004D09B2" w:rsidRDefault="004D09B2" w:rsidP="00424122">
      <w:pPr>
        <w:rPr>
          <w:b/>
        </w:rPr>
      </w:pPr>
      <w:r>
        <w:t xml:space="preserve">The response burden is estimated at 10 minutes </w:t>
      </w:r>
      <w:r w:rsidR="00A965A0">
        <w:t xml:space="preserve">maximum </w:t>
      </w:r>
      <w:r>
        <w:t>per respondent</w:t>
      </w:r>
      <w:r w:rsidR="00C30E56">
        <w:t xml:space="preserve"> to answer the survey questions</w:t>
      </w:r>
      <w:r w:rsidR="003C5A3D">
        <w:t>,</w:t>
      </w:r>
      <w:r w:rsidR="00C30E56">
        <w:t xml:space="preserve"> with an average of 5 minutes for most respondents. </w:t>
      </w:r>
      <w:r w:rsidR="002B37DA" w:rsidRPr="002B37DA">
        <w:t xml:space="preserve">Because of the possibility that the </w:t>
      </w:r>
      <w:r w:rsidR="002B37DA">
        <w:t>passenger</w:t>
      </w:r>
      <w:r w:rsidR="002B37DA" w:rsidRPr="002B37DA">
        <w:t xml:space="preserve"> questioned may have been distracted or otherwise did not note the safety briefing being given, if the response is in the negative, one additional passenger will be interviewed very briefly to confirm that a pre-trip briefing did not occur for the trip.</w:t>
      </w:r>
      <w:r w:rsidR="00C30E56">
        <w:t xml:space="preserve"> </w:t>
      </w:r>
      <w:r>
        <w:t xml:space="preserve"> </w:t>
      </w:r>
      <w:r w:rsidR="002B37DA">
        <w:t>Accordingly, the maximum estimate of 10 minutes per interview is used in the calculation of the burden hours.</w:t>
      </w:r>
      <w:r>
        <w:t xml:space="preserve"> </w:t>
      </w:r>
    </w:p>
    <w:p w:rsidR="00F12244" w:rsidRDefault="00F12244" w:rsidP="0076543A">
      <w:pPr>
        <w:jc w:val="center"/>
        <w:rPr>
          <w:b/>
        </w:rPr>
      </w:pPr>
    </w:p>
    <w:p w:rsidR="004D09B2" w:rsidRDefault="00F12244" w:rsidP="00F12244">
      <w:pPr>
        <w:rPr>
          <w:b/>
        </w:rPr>
      </w:pPr>
      <w:r>
        <w:rPr>
          <w:b/>
        </w:rPr>
        <w:t xml:space="preserve">Table-1: </w:t>
      </w:r>
      <w:r w:rsidR="00EA6A43">
        <w:rPr>
          <w:b/>
        </w:rPr>
        <w:t>MOTORCOACH PASSENGE</w:t>
      </w:r>
      <w:r>
        <w:rPr>
          <w:b/>
        </w:rPr>
        <w:t xml:space="preserve">R SURVEY ANNUAL BURDEN HOUR </w:t>
      </w:r>
      <w:r w:rsidR="00EA6A43">
        <w:rPr>
          <w:b/>
        </w:rPr>
        <w:t>CALCULATIONS</w:t>
      </w:r>
    </w:p>
    <w:p w:rsidR="00F12244" w:rsidRPr="004D09B2" w:rsidRDefault="00F12244" w:rsidP="0076543A">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
        <w:gridCol w:w="3874"/>
        <w:gridCol w:w="999"/>
        <w:gridCol w:w="1415"/>
        <w:gridCol w:w="1255"/>
        <w:gridCol w:w="926"/>
      </w:tblGrid>
      <w:tr w:rsidR="004D09B2" w:rsidRPr="004D09B2" w:rsidTr="00826AF5">
        <w:tc>
          <w:tcPr>
            <w:tcW w:w="899" w:type="dxa"/>
            <w:vAlign w:val="center"/>
          </w:tcPr>
          <w:p w:rsidR="004D09B2" w:rsidRPr="004D09B2" w:rsidRDefault="00AF738F" w:rsidP="0076543A">
            <w:pPr>
              <w:jc w:val="center"/>
              <w:rPr>
                <w:b/>
              </w:rPr>
            </w:pPr>
            <w:r w:rsidRPr="00AF738F">
              <w:rPr>
                <w:b/>
                <w:sz w:val="22"/>
                <w:szCs w:val="22"/>
              </w:rPr>
              <w:t>IC</w:t>
            </w:r>
          </w:p>
          <w:p w:rsidR="004D09B2" w:rsidRPr="004D09B2" w:rsidRDefault="00AF738F" w:rsidP="0076543A">
            <w:pPr>
              <w:jc w:val="center"/>
              <w:rPr>
                <w:b/>
              </w:rPr>
            </w:pPr>
            <w:r w:rsidRPr="00AF738F">
              <w:rPr>
                <w:b/>
                <w:sz w:val="22"/>
                <w:szCs w:val="22"/>
              </w:rPr>
              <w:t>Number</w:t>
            </w:r>
          </w:p>
        </w:tc>
        <w:tc>
          <w:tcPr>
            <w:tcW w:w="3971" w:type="dxa"/>
            <w:vAlign w:val="center"/>
          </w:tcPr>
          <w:p w:rsidR="004D09B2" w:rsidRPr="004D09B2" w:rsidRDefault="00AF738F" w:rsidP="0076543A">
            <w:pPr>
              <w:jc w:val="center"/>
              <w:rPr>
                <w:b/>
              </w:rPr>
            </w:pPr>
            <w:r w:rsidRPr="00AF738F">
              <w:rPr>
                <w:b/>
                <w:sz w:val="22"/>
                <w:szCs w:val="22"/>
              </w:rPr>
              <w:t>Title</w:t>
            </w:r>
          </w:p>
        </w:tc>
        <w:tc>
          <w:tcPr>
            <w:tcW w:w="999" w:type="dxa"/>
            <w:vAlign w:val="center"/>
          </w:tcPr>
          <w:p w:rsidR="004D09B2" w:rsidRPr="004D09B2" w:rsidRDefault="00AF738F" w:rsidP="0076543A">
            <w:pPr>
              <w:jc w:val="center"/>
              <w:rPr>
                <w:b/>
              </w:rPr>
            </w:pPr>
            <w:r w:rsidRPr="00AF738F">
              <w:rPr>
                <w:b/>
                <w:sz w:val="22"/>
                <w:szCs w:val="22"/>
              </w:rPr>
              <w:t>Form</w:t>
            </w:r>
          </w:p>
          <w:p w:rsidR="004D09B2" w:rsidRPr="004D09B2" w:rsidRDefault="00AF738F" w:rsidP="0076543A">
            <w:pPr>
              <w:jc w:val="center"/>
              <w:rPr>
                <w:b/>
              </w:rPr>
            </w:pPr>
            <w:r w:rsidRPr="00AF738F">
              <w:rPr>
                <w:b/>
                <w:sz w:val="22"/>
                <w:szCs w:val="22"/>
              </w:rPr>
              <w:t>Number</w:t>
            </w:r>
          </w:p>
        </w:tc>
        <w:tc>
          <w:tcPr>
            <w:tcW w:w="1415" w:type="dxa"/>
            <w:vAlign w:val="center"/>
          </w:tcPr>
          <w:p w:rsidR="004D09B2" w:rsidRPr="004D09B2" w:rsidRDefault="00AF738F" w:rsidP="0076543A">
            <w:pPr>
              <w:jc w:val="center"/>
              <w:rPr>
                <w:b/>
              </w:rPr>
            </w:pPr>
            <w:r w:rsidRPr="00AF738F">
              <w:rPr>
                <w:b/>
                <w:sz w:val="22"/>
                <w:szCs w:val="22"/>
              </w:rPr>
              <w:t>Number of</w:t>
            </w:r>
          </w:p>
          <w:p w:rsidR="004D09B2" w:rsidRPr="004D09B2" w:rsidRDefault="00AF738F" w:rsidP="0076543A">
            <w:pPr>
              <w:jc w:val="center"/>
              <w:rPr>
                <w:b/>
              </w:rPr>
            </w:pPr>
            <w:r w:rsidRPr="00AF738F">
              <w:rPr>
                <w:b/>
                <w:sz w:val="22"/>
                <w:szCs w:val="22"/>
              </w:rPr>
              <w:t>Respondents</w:t>
            </w:r>
          </w:p>
        </w:tc>
        <w:tc>
          <w:tcPr>
            <w:tcW w:w="1258" w:type="dxa"/>
            <w:vAlign w:val="center"/>
          </w:tcPr>
          <w:p w:rsidR="004D09B2" w:rsidRPr="004D09B2" w:rsidRDefault="00AF738F" w:rsidP="0076543A">
            <w:pPr>
              <w:jc w:val="center"/>
              <w:rPr>
                <w:b/>
              </w:rPr>
            </w:pPr>
            <w:r w:rsidRPr="00AF738F">
              <w:rPr>
                <w:b/>
                <w:sz w:val="22"/>
                <w:szCs w:val="22"/>
              </w:rPr>
              <w:t>Number of</w:t>
            </w:r>
          </w:p>
          <w:p w:rsidR="004D09B2" w:rsidRPr="004D09B2" w:rsidRDefault="00AF738F" w:rsidP="0076543A">
            <w:pPr>
              <w:jc w:val="center"/>
              <w:rPr>
                <w:b/>
              </w:rPr>
            </w:pPr>
            <w:r w:rsidRPr="00AF738F">
              <w:rPr>
                <w:b/>
                <w:sz w:val="22"/>
                <w:szCs w:val="22"/>
              </w:rPr>
              <w:t>Responses</w:t>
            </w:r>
          </w:p>
        </w:tc>
        <w:tc>
          <w:tcPr>
            <w:tcW w:w="926" w:type="dxa"/>
            <w:vAlign w:val="center"/>
          </w:tcPr>
          <w:p w:rsidR="004D09B2" w:rsidRPr="004D09B2" w:rsidRDefault="00AF738F" w:rsidP="0076543A">
            <w:pPr>
              <w:jc w:val="center"/>
              <w:rPr>
                <w:b/>
              </w:rPr>
            </w:pPr>
            <w:r w:rsidRPr="00AF738F">
              <w:rPr>
                <w:b/>
                <w:sz w:val="22"/>
                <w:szCs w:val="22"/>
              </w:rPr>
              <w:t>Burden</w:t>
            </w:r>
          </w:p>
          <w:p w:rsidR="004D09B2" w:rsidRPr="004D09B2" w:rsidRDefault="00AF738F" w:rsidP="0076543A">
            <w:pPr>
              <w:jc w:val="center"/>
              <w:rPr>
                <w:b/>
              </w:rPr>
            </w:pPr>
            <w:r w:rsidRPr="00AF738F">
              <w:rPr>
                <w:b/>
                <w:sz w:val="22"/>
                <w:szCs w:val="22"/>
              </w:rPr>
              <w:t>Hours</w:t>
            </w:r>
          </w:p>
        </w:tc>
      </w:tr>
      <w:tr w:rsidR="004D09B2" w:rsidRPr="004D09B2" w:rsidTr="00826AF5">
        <w:tc>
          <w:tcPr>
            <w:tcW w:w="899" w:type="dxa"/>
          </w:tcPr>
          <w:p w:rsidR="004D09B2" w:rsidRPr="004D09B2" w:rsidRDefault="00AF738F" w:rsidP="0076543A">
            <w:pPr>
              <w:jc w:val="center"/>
            </w:pPr>
            <w:r w:rsidRPr="00AF738F">
              <w:rPr>
                <w:sz w:val="22"/>
                <w:szCs w:val="22"/>
              </w:rPr>
              <w:t>1</w:t>
            </w:r>
          </w:p>
        </w:tc>
        <w:tc>
          <w:tcPr>
            <w:tcW w:w="3971" w:type="dxa"/>
          </w:tcPr>
          <w:p w:rsidR="004D09B2" w:rsidRPr="004D09B2" w:rsidRDefault="00AF738F" w:rsidP="0076543A">
            <w:r w:rsidRPr="00AF738F">
              <w:t xml:space="preserve">Motorcoach </w:t>
            </w:r>
            <w:r w:rsidR="00103C84">
              <w:t xml:space="preserve">Passenger </w:t>
            </w:r>
            <w:r w:rsidRPr="00AF738F">
              <w:t>Survey:  Pre-Trip Safety Awareness and Emergency Preparedness Information</w:t>
            </w:r>
          </w:p>
        </w:tc>
        <w:tc>
          <w:tcPr>
            <w:tcW w:w="999" w:type="dxa"/>
          </w:tcPr>
          <w:p w:rsidR="004D09B2" w:rsidRPr="004D09B2" w:rsidRDefault="00AF738F" w:rsidP="0076543A">
            <w:pPr>
              <w:jc w:val="center"/>
            </w:pPr>
            <w:r w:rsidRPr="00AF738F">
              <w:rPr>
                <w:sz w:val="22"/>
                <w:szCs w:val="22"/>
              </w:rPr>
              <w:t>MCSA-5868</w:t>
            </w:r>
          </w:p>
        </w:tc>
        <w:tc>
          <w:tcPr>
            <w:tcW w:w="1415" w:type="dxa"/>
          </w:tcPr>
          <w:p w:rsidR="004D09B2" w:rsidRPr="004D09B2" w:rsidRDefault="00102926" w:rsidP="0076543A">
            <w:pPr>
              <w:jc w:val="center"/>
            </w:pPr>
            <w:r>
              <w:rPr>
                <w:sz w:val="22"/>
                <w:szCs w:val="22"/>
              </w:rPr>
              <w:t>1,600</w:t>
            </w:r>
          </w:p>
        </w:tc>
        <w:tc>
          <w:tcPr>
            <w:tcW w:w="1258" w:type="dxa"/>
          </w:tcPr>
          <w:p w:rsidR="004D09B2" w:rsidRPr="004D09B2" w:rsidRDefault="00102926" w:rsidP="0076543A">
            <w:pPr>
              <w:jc w:val="center"/>
            </w:pPr>
            <w:r>
              <w:rPr>
                <w:sz w:val="22"/>
                <w:szCs w:val="22"/>
              </w:rPr>
              <w:t>1,280</w:t>
            </w:r>
          </w:p>
        </w:tc>
        <w:tc>
          <w:tcPr>
            <w:tcW w:w="926" w:type="dxa"/>
          </w:tcPr>
          <w:p w:rsidR="004D09B2" w:rsidRPr="004D09B2" w:rsidRDefault="007D4A47" w:rsidP="0076543A">
            <w:pPr>
              <w:jc w:val="center"/>
            </w:pPr>
            <w:r>
              <w:rPr>
                <w:sz w:val="22"/>
                <w:szCs w:val="22"/>
              </w:rPr>
              <w:t>5</w:t>
            </w:r>
            <w:r w:rsidR="0054739F">
              <w:rPr>
                <w:sz w:val="22"/>
                <w:szCs w:val="22"/>
              </w:rPr>
              <w:t>33</w:t>
            </w:r>
          </w:p>
        </w:tc>
      </w:tr>
      <w:tr w:rsidR="004D09B2" w:rsidRPr="00F4030E" w:rsidTr="00826AF5">
        <w:tc>
          <w:tcPr>
            <w:tcW w:w="899" w:type="dxa"/>
          </w:tcPr>
          <w:p w:rsidR="004D09B2" w:rsidRPr="001A4007" w:rsidRDefault="00AF738F" w:rsidP="0076543A">
            <w:pPr>
              <w:jc w:val="center"/>
              <w:rPr>
                <w:b/>
              </w:rPr>
            </w:pPr>
            <w:r w:rsidRPr="00AF738F">
              <w:rPr>
                <w:b/>
                <w:sz w:val="22"/>
                <w:szCs w:val="22"/>
              </w:rPr>
              <w:t>Total</w:t>
            </w:r>
          </w:p>
        </w:tc>
        <w:tc>
          <w:tcPr>
            <w:tcW w:w="3971" w:type="dxa"/>
          </w:tcPr>
          <w:p w:rsidR="004D09B2" w:rsidRPr="001A4007" w:rsidRDefault="004D09B2" w:rsidP="0076543A">
            <w:pPr>
              <w:jc w:val="center"/>
              <w:rPr>
                <w:b/>
              </w:rPr>
            </w:pPr>
          </w:p>
        </w:tc>
        <w:tc>
          <w:tcPr>
            <w:tcW w:w="999" w:type="dxa"/>
          </w:tcPr>
          <w:p w:rsidR="004D09B2" w:rsidRPr="001A4007" w:rsidRDefault="004D09B2" w:rsidP="0076543A">
            <w:pPr>
              <w:jc w:val="center"/>
              <w:rPr>
                <w:b/>
              </w:rPr>
            </w:pPr>
          </w:p>
        </w:tc>
        <w:tc>
          <w:tcPr>
            <w:tcW w:w="1415" w:type="dxa"/>
          </w:tcPr>
          <w:p w:rsidR="004D09B2" w:rsidRPr="001A4007" w:rsidRDefault="00102926" w:rsidP="0076543A">
            <w:pPr>
              <w:jc w:val="center"/>
              <w:rPr>
                <w:b/>
              </w:rPr>
            </w:pPr>
            <w:r>
              <w:rPr>
                <w:b/>
                <w:sz w:val="22"/>
                <w:szCs w:val="22"/>
              </w:rPr>
              <w:t>1,600</w:t>
            </w:r>
          </w:p>
        </w:tc>
        <w:tc>
          <w:tcPr>
            <w:tcW w:w="1258" w:type="dxa"/>
          </w:tcPr>
          <w:p w:rsidR="004D09B2" w:rsidRPr="001A4007" w:rsidRDefault="00102926" w:rsidP="0076543A">
            <w:pPr>
              <w:jc w:val="center"/>
              <w:rPr>
                <w:b/>
              </w:rPr>
            </w:pPr>
            <w:r>
              <w:rPr>
                <w:b/>
                <w:sz w:val="22"/>
                <w:szCs w:val="22"/>
              </w:rPr>
              <w:t>1,280</w:t>
            </w:r>
          </w:p>
        </w:tc>
        <w:tc>
          <w:tcPr>
            <w:tcW w:w="926" w:type="dxa"/>
          </w:tcPr>
          <w:p w:rsidR="004D09B2" w:rsidRPr="00802D32" w:rsidRDefault="00102926" w:rsidP="0076543A">
            <w:pPr>
              <w:jc w:val="center"/>
              <w:rPr>
                <w:b/>
              </w:rPr>
            </w:pPr>
            <w:r>
              <w:rPr>
                <w:b/>
                <w:sz w:val="22"/>
                <w:szCs w:val="22"/>
              </w:rPr>
              <w:t>214</w:t>
            </w:r>
          </w:p>
        </w:tc>
      </w:tr>
    </w:tbl>
    <w:p w:rsidR="004D09B2" w:rsidRDefault="004D09B2" w:rsidP="00424122">
      <w:pPr>
        <w:rPr>
          <w:b/>
        </w:rPr>
      </w:pPr>
    </w:p>
    <w:p w:rsidR="004D09B2" w:rsidRDefault="004D09B2" w:rsidP="008D4602">
      <w:r>
        <w:rPr>
          <w:b/>
        </w:rPr>
        <w:t>Estimated Total Hours:</w:t>
      </w:r>
      <w:r>
        <w:t xml:space="preserve">  </w:t>
      </w:r>
      <w:r w:rsidR="00102926">
        <w:rPr>
          <w:b/>
        </w:rPr>
        <w:t xml:space="preserve">214 </w:t>
      </w:r>
      <w:r>
        <w:rPr>
          <w:b/>
        </w:rPr>
        <w:t>hours</w:t>
      </w:r>
      <w:r w:rsidR="00D81839">
        <w:t xml:space="preserve"> [(</w:t>
      </w:r>
      <w:r w:rsidR="00102926">
        <w:t>1,280</w:t>
      </w:r>
      <w:r>
        <w:t xml:space="preserve"> Motorcoach </w:t>
      </w:r>
      <w:r w:rsidR="0006664F">
        <w:t xml:space="preserve">Passenger </w:t>
      </w:r>
      <w:r w:rsidR="00FE775B">
        <w:t>Trips</w:t>
      </w:r>
      <w:r>
        <w:t xml:space="preserve"> x 10 minutes</w:t>
      </w:r>
      <w:r w:rsidR="00D81839">
        <w:t>)</w:t>
      </w:r>
      <w:r>
        <w:t xml:space="preserve">/60 minutes to complete survey = </w:t>
      </w:r>
      <w:r w:rsidR="00102926">
        <w:t>214</w:t>
      </w:r>
      <w:r w:rsidR="00102926">
        <w:rPr>
          <w:b/>
        </w:rPr>
        <w:t xml:space="preserve"> </w:t>
      </w:r>
      <w:r>
        <w:t>hours</w:t>
      </w:r>
      <w:r w:rsidR="00D81839">
        <w:t>]</w:t>
      </w:r>
    </w:p>
    <w:p w:rsidR="004D09B2" w:rsidRDefault="004D09B2" w:rsidP="008D4602"/>
    <w:p w:rsidR="004D09B2" w:rsidRPr="00802D32" w:rsidRDefault="004D09B2" w:rsidP="008D4602">
      <w:r>
        <w:rPr>
          <w:b/>
        </w:rPr>
        <w:t xml:space="preserve">Estimated Number of Respondents:  </w:t>
      </w:r>
      <w:r w:rsidR="00102926">
        <w:rPr>
          <w:b/>
        </w:rPr>
        <w:t>1,600</w:t>
      </w:r>
      <w:r>
        <w:rPr>
          <w:b/>
        </w:rPr>
        <w:t xml:space="preserve"> respondents </w:t>
      </w:r>
      <w:r>
        <w:t>[</w:t>
      </w:r>
      <w:r w:rsidR="00102926">
        <w:t>1,600</w:t>
      </w:r>
      <w:r w:rsidRPr="00802D32">
        <w:t xml:space="preserve"> </w:t>
      </w:r>
      <w:r w:rsidR="00FE775B">
        <w:t xml:space="preserve">Motorcoach </w:t>
      </w:r>
      <w:r w:rsidR="00DA36C9">
        <w:t>Passenger</w:t>
      </w:r>
      <w:r w:rsidR="0006664F">
        <w:t xml:space="preserve"> </w:t>
      </w:r>
      <w:r w:rsidR="00FE775B">
        <w:t>Trips</w:t>
      </w:r>
      <w:r w:rsidR="0054739F">
        <w:t>]</w:t>
      </w:r>
    </w:p>
    <w:p w:rsidR="004D09B2" w:rsidRDefault="004D09B2" w:rsidP="008D4602"/>
    <w:p w:rsidR="004D09B2" w:rsidRPr="00802D32" w:rsidRDefault="004D09B2" w:rsidP="008D4602">
      <w:r>
        <w:rPr>
          <w:b/>
        </w:rPr>
        <w:t>Estimated Number of Responses:</w:t>
      </w:r>
      <w:r>
        <w:t xml:space="preserve">  </w:t>
      </w:r>
      <w:r w:rsidR="00102926">
        <w:rPr>
          <w:b/>
        </w:rPr>
        <w:t>1,280</w:t>
      </w:r>
      <w:r>
        <w:rPr>
          <w:b/>
        </w:rPr>
        <w:t xml:space="preserve"> responses </w:t>
      </w:r>
      <w:r>
        <w:t>[(</w:t>
      </w:r>
      <w:r w:rsidR="00102926">
        <w:t>1,600</w:t>
      </w:r>
      <w:r w:rsidRPr="00802D32">
        <w:t xml:space="preserve"> Motorcoach </w:t>
      </w:r>
      <w:r w:rsidR="00DA36C9">
        <w:t>Passenger</w:t>
      </w:r>
      <w:r w:rsidR="0006664F">
        <w:t xml:space="preserve"> </w:t>
      </w:r>
      <w:r w:rsidR="00FE775B">
        <w:t>Trips x</w:t>
      </w:r>
      <w:r>
        <w:t xml:space="preserve"> </w:t>
      </w:r>
      <w:r w:rsidR="00BD414F">
        <w:t>1 single incident</w:t>
      </w:r>
      <w:r w:rsidR="00BD414F" w:rsidRPr="00290FB5">
        <w:t xml:space="preserve"> survey</w:t>
      </w:r>
      <w:r w:rsidR="00102926">
        <w:t xml:space="preserve"> x 80% response rate</w:t>
      </w:r>
      <w:r>
        <w:t xml:space="preserve">) = </w:t>
      </w:r>
      <w:r w:rsidR="00102926">
        <w:t>1,280</w:t>
      </w:r>
      <w:r>
        <w:t>].</w:t>
      </w:r>
    </w:p>
    <w:p w:rsidR="004D09B2" w:rsidRDefault="004D09B2"/>
    <w:p w:rsidR="004D09B2" w:rsidRDefault="004D09B2" w:rsidP="0054739F">
      <w:pPr>
        <w:rPr>
          <w:b/>
          <w:bCs/>
        </w:rPr>
      </w:pPr>
      <w:r>
        <w:rPr>
          <w:b/>
          <w:bCs/>
        </w:rPr>
        <w:t xml:space="preserve">13. Estimates of total annual costs to respondents.  </w:t>
      </w:r>
    </w:p>
    <w:p w:rsidR="0054739F" w:rsidRDefault="0054739F"/>
    <w:p w:rsidR="004D09B2" w:rsidRDefault="004D09B2">
      <w:r>
        <w:t>None except reported in Item 12 above.</w:t>
      </w:r>
    </w:p>
    <w:p w:rsidR="004D09B2" w:rsidRDefault="004D09B2">
      <w:pPr>
        <w:pStyle w:val="NormalWeb"/>
        <w:rPr>
          <w:b/>
          <w:bCs/>
        </w:rPr>
      </w:pPr>
      <w:r>
        <w:rPr>
          <w:b/>
          <w:bCs/>
        </w:rPr>
        <w:t>14.  Estimate of cost to the Federal government.</w:t>
      </w:r>
    </w:p>
    <w:p w:rsidR="0076543A" w:rsidRDefault="00F35B69" w:rsidP="0076543A">
      <w:r w:rsidRPr="007C7A80">
        <w:t xml:space="preserve">The </w:t>
      </w:r>
      <w:r w:rsidR="00014BE8" w:rsidRPr="007C7A80">
        <w:t xml:space="preserve">FMCSA </w:t>
      </w:r>
      <w:r w:rsidRPr="007C7A80">
        <w:t xml:space="preserve">survey team consists of </w:t>
      </w:r>
      <w:r w:rsidR="00864E38" w:rsidRPr="007C7A80">
        <w:t xml:space="preserve">3 teams of 2 Federal employees </w:t>
      </w:r>
      <w:r w:rsidR="00014BE8" w:rsidRPr="007C7A80">
        <w:t xml:space="preserve">each </w:t>
      </w:r>
      <w:r w:rsidR="00864E38" w:rsidRPr="007C7A80">
        <w:t xml:space="preserve">for a total of </w:t>
      </w:r>
      <w:r w:rsidR="00533AFD">
        <w:t>6</w:t>
      </w:r>
      <w:r w:rsidR="00533AFD" w:rsidRPr="007C7A80">
        <w:t xml:space="preserve"> </w:t>
      </w:r>
      <w:r w:rsidRPr="007C7A80">
        <w:t xml:space="preserve">Federal employees. </w:t>
      </w:r>
      <w:r w:rsidR="00D81839" w:rsidRPr="007C7A80">
        <w:t xml:space="preserve">The surveys will be conducted at </w:t>
      </w:r>
      <w:r w:rsidR="00AC44F8" w:rsidRPr="007C7A80">
        <w:t>5</w:t>
      </w:r>
      <w:r w:rsidR="00D81839" w:rsidRPr="007C7A80">
        <w:t xml:space="preserve"> locations. </w:t>
      </w:r>
      <w:r w:rsidR="00AC44F8" w:rsidRPr="007C7A80">
        <w:t>Four</w:t>
      </w:r>
      <w:r w:rsidR="00D81839" w:rsidRPr="007C7A80">
        <w:t xml:space="preserve"> locations require travel and 1 location </w:t>
      </w:r>
      <w:r w:rsidR="00533AFD">
        <w:t>does not</w:t>
      </w:r>
      <w:r w:rsidR="00D81839" w:rsidRPr="007C7A80">
        <w:t>.</w:t>
      </w:r>
      <w:r w:rsidR="00D81839">
        <w:t xml:space="preserve"> </w:t>
      </w:r>
      <w:r w:rsidR="004D09B2">
        <w:t xml:space="preserve">The total Federal government budget for this information collection is </w:t>
      </w:r>
      <w:r w:rsidR="007D4A47">
        <w:t xml:space="preserve">estimated at </w:t>
      </w:r>
      <w:r w:rsidR="004D09B2">
        <w:t>$</w:t>
      </w:r>
      <w:r w:rsidR="00F86C17">
        <w:t>110,473</w:t>
      </w:r>
      <w:r w:rsidR="004D09B2">
        <w:t xml:space="preserve"> </w:t>
      </w:r>
      <w:r w:rsidR="007D4A47">
        <w:t xml:space="preserve">and is </w:t>
      </w:r>
      <w:r w:rsidR="004D09B2">
        <w:t>itemized as follows:</w:t>
      </w:r>
    </w:p>
    <w:p w:rsidR="0076543A" w:rsidRDefault="0076543A" w:rsidP="0076543A">
      <w:pPr>
        <w:jc w:val="center"/>
      </w:pPr>
    </w:p>
    <w:p w:rsidR="00533AFD" w:rsidRDefault="00533AFD">
      <w:pPr>
        <w:rPr>
          <w:b/>
        </w:rPr>
      </w:pPr>
      <w:r>
        <w:rPr>
          <w:b/>
        </w:rPr>
        <w:br w:type="page"/>
      </w:r>
    </w:p>
    <w:p w:rsidR="004D09B2" w:rsidRDefault="00F12244" w:rsidP="00F12244">
      <w:pPr>
        <w:tabs>
          <w:tab w:val="left" w:pos="90"/>
        </w:tabs>
        <w:rPr>
          <w:b/>
        </w:rPr>
      </w:pPr>
      <w:r>
        <w:rPr>
          <w:b/>
        </w:rPr>
        <w:lastRenderedPageBreak/>
        <w:t xml:space="preserve">Table -2: </w:t>
      </w:r>
      <w:r w:rsidR="004D09B2">
        <w:rPr>
          <w:b/>
        </w:rPr>
        <w:t>COST TO FEDERAL GOVERNMENT</w:t>
      </w:r>
    </w:p>
    <w:p w:rsidR="00F12244" w:rsidRPr="0076543A" w:rsidRDefault="00F12244" w:rsidP="0076543A">
      <w:pPr>
        <w:jc w:val="cente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92"/>
        <w:gridCol w:w="3258"/>
      </w:tblGrid>
      <w:tr w:rsidR="0076543A" w:rsidRPr="000629E7" w:rsidTr="00826AF5">
        <w:trPr>
          <w:trHeight w:val="255"/>
          <w:tblHeader/>
        </w:trPr>
        <w:tc>
          <w:tcPr>
            <w:tcW w:w="6192" w:type="dxa"/>
            <w:noWrap/>
            <w:tcMar>
              <w:top w:w="0" w:type="dxa"/>
              <w:left w:w="108" w:type="dxa"/>
              <w:bottom w:w="0" w:type="dxa"/>
              <w:right w:w="108" w:type="dxa"/>
            </w:tcMar>
            <w:vAlign w:val="center"/>
          </w:tcPr>
          <w:p w:rsidR="0076543A" w:rsidRPr="000629E7" w:rsidRDefault="0076543A" w:rsidP="0076543A">
            <w:pPr>
              <w:jc w:val="center"/>
            </w:pPr>
            <w:r w:rsidRPr="000629E7">
              <w:rPr>
                <w:b/>
                <w:bCs/>
              </w:rPr>
              <w:t>Tasks</w:t>
            </w:r>
          </w:p>
        </w:tc>
        <w:tc>
          <w:tcPr>
            <w:tcW w:w="3258" w:type="dxa"/>
            <w:noWrap/>
            <w:tcMar>
              <w:top w:w="0" w:type="dxa"/>
              <w:left w:w="108" w:type="dxa"/>
              <w:bottom w:w="0" w:type="dxa"/>
              <w:right w:w="108" w:type="dxa"/>
            </w:tcMar>
            <w:vAlign w:val="center"/>
          </w:tcPr>
          <w:p w:rsidR="0076543A" w:rsidRPr="000629E7" w:rsidRDefault="0076543A" w:rsidP="0076543A">
            <w:pPr>
              <w:jc w:val="center"/>
            </w:pPr>
            <w:r w:rsidRPr="000629E7">
              <w:rPr>
                <w:b/>
                <w:bCs/>
              </w:rPr>
              <w:t>Total costs, by task</w:t>
            </w:r>
          </w:p>
        </w:tc>
      </w:tr>
      <w:tr w:rsidR="0076543A" w:rsidRPr="000629E7" w:rsidTr="00826AF5">
        <w:trPr>
          <w:trHeight w:val="255"/>
          <w:tblHeader/>
        </w:trPr>
        <w:tc>
          <w:tcPr>
            <w:tcW w:w="6192" w:type="dxa"/>
            <w:noWrap/>
            <w:tcMar>
              <w:top w:w="0" w:type="dxa"/>
              <w:left w:w="108" w:type="dxa"/>
              <w:bottom w:w="0" w:type="dxa"/>
              <w:right w:w="108" w:type="dxa"/>
            </w:tcMar>
            <w:vAlign w:val="bottom"/>
          </w:tcPr>
          <w:p w:rsidR="0076543A" w:rsidRPr="000629E7" w:rsidRDefault="0076543A" w:rsidP="0076543A">
            <w:r>
              <w:t xml:space="preserve">Federal </w:t>
            </w:r>
            <w:r w:rsidRPr="000629E7">
              <w:t>Travel</w:t>
            </w:r>
            <w:r>
              <w:t xml:space="preserve"> to</w:t>
            </w:r>
            <w:r w:rsidRPr="000629E7">
              <w:t xml:space="preserve"> </w:t>
            </w:r>
            <w:r>
              <w:t xml:space="preserve">Survey </w:t>
            </w:r>
            <w:r w:rsidRPr="000629E7">
              <w:t>Event Sites</w:t>
            </w:r>
          </w:p>
        </w:tc>
        <w:tc>
          <w:tcPr>
            <w:tcW w:w="3258" w:type="dxa"/>
            <w:noWrap/>
            <w:tcMar>
              <w:top w:w="0" w:type="dxa"/>
              <w:left w:w="108" w:type="dxa"/>
              <w:bottom w:w="0" w:type="dxa"/>
              <w:right w:w="108" w:type="dxa"/>
            </w:tcMar>
            <w:vAlign w:val="bottom"/>
          </w:tcPr>
          <w:p w:rsidR="0076543A" w:rsidRPr="000629E7" w:rsidRDefault="0076543A" w:rsidP="003F33D7">
            <w:pPr>
              <w:jc w:val="center"/>
            </w:pPr>
            <w:r w:rsidRPr="000629E7">
              <w:t>$</w:t>
            </w:r>
            <w:r w:rsidR="00C06CA3">
              <w:t>42</w:t>
            </w:r>
            <w:r w:rsidR="008C6162">
              <w:t>,</w:t>
            </w:r>
            <w:r w:rsidR="003F33D7">
              <w:t>191</w:t>
            </w:r>
          </w:p>
        </w:tc>
      </w:tr>
      <w:tr w:rsidR="0076543A" w:rsidRPr="000629E7" w:rsidTr="00826AF5">
        <w:trPr>
          <w:trHeight w:val="255"/>
        </w:trPr>
        <w:tc>
          <w:tcPr>
            <w:tcW w:w="6192" w:type="dxa"/>
            <w:noWrap/>
            <w:tcMar>
              <w:top w:w="0" w:type="dxa"/>
              <w:left w:w="108" w:type="dxa"/>
              <w:bottom w:w="0" w:type="dxa"/>
              <w:right w:w="108" w:type="dxa"/>
            </w:tcMar>
            <w:vAlign w:val="bottom"/>
          </w:tcPr>
          <w:p w:rsidR="0076543A" w:rsidRPr="000629E7" w:rsidRDefault="0076543A" w:rsidP="0076543A">
            <w:r w:rsidRPr="000629E7">
              <w:t>Fed</w:t>
            </w:r>
            <w:r>
              <w:t xml:space="preserve">eral Salaries for Conduction of </w:t>
            </w:r>
            <w:r w:rsidRPr="000629E7">
              <w:t>Survey</w:t>
            </w:r>
            <w:r>
              <w:t xml:space="preserve"> Events</w:t>
            </w:r>
          </w:p>
        </w:tc>
        <w:tc>
          <w:tcPr>
            <w:tcW w:w="3258" w:type="dxa"/>
            <w:noWrap/>
            <w:tcMar>
              <w:top w:w="0" w:type="dxa"/>
              <w:left w:w="108" w:type="dxa"/>
              <w:bottom w:w="0" w:type="dxa"/>
              <w:right w:w="108" w:type="dxa"/>
            </w:tcMar>
            <w:vAlign w:val="bottom"/>
          </w:tcPr>
          <w:p w:rsidR="0076543A" w:rsidRPr="000629E7" w:rsidRDefault="0076543A" w:rsidP="003F33D7">
            <w:pPr>
              <w:jc w:val="center"/>
            </w:pPr>
            <w:r w:rsidRPr="000629E7">
              <w:t>$</w:t>
            </w:r>
            <w:r w:rsidR="003F33D7">
              <w:t>68,282</w:t>
            </w:r>
          </w:p>
        </w:tc>
      </w:tr>
      <w:tr w:rsidR="0076543A" w:rsidRPr="000629E7" w:rsidTr="00826AF5">
        <w:trPr>
          <w:trHeight w:val="255"/>
        </w:trPr>
        <w:tc>
          <w:tcPr>
            <w:tcW w:w="6192" w:type="dxa"/>
            <w:noWrap/>
            <w:tcMar>
              <w:top w:w="0" w:type="dxa"/>
              <w:left w:w="108" w:type="dxa"/>
              <w:bottom w:w="0" w:type="dxa"/>
              <w:right w:w="108" w:type="dxa"/>
            </w:tcMar>
            <w:vAlign w:val="bottom"/>
          </w:tcPr>
          <w:p w:rsidR="0076543A" w:rsidRPr="000629E7" w:rsidRDefault="0076543A" w:rsidP="0076543A">
            <w:r w:rsidRPr="000629E7">
              <w:rPr>
                <w:b/>
              </w:rPr>
              <w:t>Total costs, all tasks</w:t>
            </w:r>
          </w:p>
        </w:tc>
        <w:tc>
          <w:tcPr>
            <w:tcW w:w="3258" w:type="dxa"/>
            <w:noWrap/>
            <w:tcMar>
              <w:top w:w="0" w:type="dxa"/>
              <w:left w:w="108" w:type="dxa"/>
              <w:bottom w:w="0" w:type="dxa"/>
              <w:right w:w="108" w:type="dxa"/>
            </w:tcMar>
            <w:vAlign w:val="bottom"/>
          </w:tcPr>
          <w:p w:rsidR="0076543A" w:rsidRPr="000629E7" w:rsidRDefault="0076543A" w:rsidP="003F33D7">
            <w:pPr>
              <w:jc w:val="center"/>
            </w:pPr>
            <w:r>
              <w:rPr>
                <w:b/>
              </w:rPr>
              <w:t>$</w:t>
            </w:r>
            <w:r w:rsidR="003F33D7">
              <w:rPr>
                <w:b/>
              </w:rPr>
              <w:t>110,473</w:t>
            </w:r>
          </w:p>
        </w:tc>
      </w:tr>
    </w:tbl>
    <w:p w:rsidR="007D4A47" w:rsidRPr="002E332B" w:rsidRDefault="00F12244" w:rsidP="007D4A47">
      <w:pPr>
        <w:pStyle w:val="NormalWeb"/>
        <w:tabs>
          <w:tab w:val="left" w:pos="90"/>
        </w:tabs>
      </w:pPr>
      <w:r w:rsidRPr="007C7A80">
        <w:rPr>
          <w:b/>
        </w:rPr>
        <w:t xml:space="preserve"> </w:t>
      </w:r>
      <w:r w:rsidRPr="002E332B">
        <w:t>The costs for each task are broken out in tables 2a and 2b.</w:t>
      </w:r>
    </w:p>
    <w:p w:rsidR="00F12244" w:rsidRPr="007D4A47" w:rsidRDefault="00F12244" w:rsidP="007D4A47">
      <w:pPr>
        <w:pStyle w:val="NormalWeb"/>
        <w:tabs>
          <w:tab w:val="left" w:pos="90"/>
        </w:tabs>
        <w:rPr>
          <w:b/>
        </w:rPr>
      </w:pPr>
      <w:r w:rsidRPr="007C7A80">
        <w:rPr>
          <w:b/>
        </w:rPr>
        <w:t xml:space="preserve"> Table-2a: </w:t>
      </w:r>
      <w:r w:rsidR="00F35B69" w:rsidRPr="007C7A80">
        <w:rPr>
          <w:b/>
        </w:rPr>
        <w:t>Federal Travel to Survey Event Sites: $</w:t>
      </w:r>
      <w:r w:rsidR="003F33D7">
        <w:rPr>
          <w:b/>
        </w:rPr>
        <w:t>42,191</w:t>
      </w:r>
      <w:r w:rsidR="003F33D7" w:rsidRPr="007C7A80">
        <w:rPr>
          <w:b/>
        </w:rPr>
        <w:t xml:space="preserve"> </w:t>
      </w:r>
    </w:p>
    <w:p w:rsidR="00F35B69" w:rsidRDefault="00F12244" w:rsidP="00F12244">
      <w:pPr>
        <w:pStyle w:val="NormalWeb"/>
        <w:spacing w:before="0" w:beforeAutospacing="0" w:after="0" w:afterAutospacing="0"/>
        <w:ind w:left="90"/>
      </w:pPr>
      <w:r w:rsidRPr="007C7A80">
        <w:t>The t</w:t>
      </w:r>
      <w:r w:rsidR="00CE1242" w:rsidRPr="007C7A80">
        <w:t xml:space="preserve">otal </w:t>
      </w:r>
      <w:r w:rsidRPr="007C7A80">
        <w:t xml:space="preserve">cost </w:t>
      </w:r>
      <w:r w:rsidR="00CE1242" w:rsidRPr="007C7A80">
        <w:t xml:space="preserve">for each category is for </w:t>
      </w:r>
      <w:r w:rsidR="00C750B0">
        <w:t>6</w:t>
      </w:r>
      <w:r w:rsidR="00C750B0" w:rsidRPr="007C7A80">
        <w:t xml:space="preserve"> </w:t>
      </w:r>
      <w:r w:rsidR="00CE1242" w:rsidRPr="007C7A80">
        <w:t>employees collectively</w:t>
      </w:r>
      <w:r w:rsidRPr="007C7A80">
        <w:t xml:space="preserve">. All costs have been calculated   using the GSA per diem rates for the specified locations found at </w:t>
      </w:r>
      <w:hyperlink r:id="rId10" w:history="1">
        <w:r w:rsidRPr="007C7A80">
          <w:rPr>
            <w:rStyle w:val="Hyperlink"/>
          </w:rPr>
          <w:t>http://www.gsa.gov/portal/category/100120</w:t>
        </w:r>
      </w:hyperlink>
      <w:r w:rsidRPr="007C7A80">
        <w:t xml:space="preserve">. </w:t>
      </w:r>
      <w:r w:rsidR="00D266D4">
        <w:t xml:space="preserve">The number of days listed includes 2 travel days.  MI&amp;E is calculated at 75% on travel days and only 1 extra day of lodging is added.  </w:t>
      </w:r>
      <w:r w:rsidRPr="007C7A80">
        <w:t xml:space="preserve">Flight/mileage costs were determined using </w:t>
      </w:r>
      <w:proofErr w:type="spellStart"/>
      <w:r w:rsidRPr="007C7A80">
        <w:t>GovTrip</w:t>
      </w:r>
      <w:proofErr w:type="spellEnd"/>
      <w:r w:rsidRPr="007C7A80">
        <w:t>.</w:t>
      </w:r>
      <w:r w:rsidR="00533AFD">
        <w:t xml:space="preserve"> Train, subway and taxi costs were obtained from the location’s public transit website.</w:t>
      </w:r>
      <w:r w:rsidR="003F33D7">
        <w:t xml:space="preserve"> Costs are rounded to the nearest dollar.</w:t>
      </w:r>
    </w:p>
    <w:p w:rsidR="00F12244" w:rsidRPr="00F12244" w:rsidRDefault="00F12244" w:rsidP="00F12244">
      <w:pPr>
        <w:pStyle w:val="NormalWeb"/>
        <w:spacing w:before="0" w:beforeAutospacing="0" w:after="0" w:afterAutospacing="0"/>
        <w:rPr>
          <w:highlight w:val="yellow"/>
        </w:rPr>
      </w:pPr>
    </w:p>
    <w:tbl>
      <w:tblPr>
        <w:tblW w:w="990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260"/>
        <w:gridCol w:w="1160"/>
        <w:gridCol w:w="867"/>
        <w:gridCol w:w="1303"/>
        <w:gridCol w:w="1440"/>
        <w:gridCol w:w="1260"/>
        <w:gridCol w:w="1080"/>
      </w:tblGrid>
      <w:tr w:rsidR="00BA31A4" w:rsidRPr="000629E7" w:rsidTr="00BA31A4">
        <w:trPr>
          <w:cantSplit/>
          <w:trHeight w:val="255"/>
          <w:jc w:val="center"/>
        </w:trPr>
        <w:tc>
          <w:tcPr>
            <w:tcW w:w="1530" w:type="dxa"/>
            <w:shd w:val="clear" w:color="auto" w:fill="D9D9D9"/>
            <w:noWrap/>
            <w:tcMar>
              <w:top w:w="0" w:type="dxa"/>
              <w:left w:w="108" w:type="dxa"/>
              <w:bottom w:w="0" w:type="dxa"/>
              <w:right w:w="108" w:type="dxa"/>
            </w:tcMar>
            <w:vAlign w:val="center"/>
          </w:tcPr>
          <w:p w:rsidR="00C06CA3" w:rsidRPr="000629E7" w:rsidRDefault="00C06CA3" w:rsidP="003C2ACC">
            <w:pPr>
              <w:jc w:val="center"/>
            </w:pPr>
            <w:r>
              <w:rPr>
                <w:b/>
                <w:bCs/>
              </w:rPr>
              <w:t>Location (5)</w:t>
            </w:r>
          </w:p>
        </w:tc>
        <w:tc>
          <w:tcPr>
            <w:tcW w:w="1260" w:type="dxa"/>
            <w:shd w:val="clear" w:color="auto" w:fill="D9D9D9"/>
          </w:tcPr>
          <w:p w:rsidR="00BA31A4" w:rsidRDefault="00C06CA3" w:rsidP="003C2ACC">
            <w:pPr>
              <w:jc w:val="center"/>
              <w:rPr>
                <w:b/>
              </w:rPr>
            </w:pPr>
            <w:r>
              <w:rPr>
                <w:b/>
              </w:rPr>
              <w:t># Of Teams/</w:t>
            </w:r>
          </w:p>
          <w:p w:rsidR="00C06CA3" w:rsidRPr="001C202A" w:rsidRDefault="00C06CA3" w:rsidP="003C2ACC">
            <w:pPr>
              <w:jc w:val="center"/>
              <w:rPr>
                <w:b/>
              </w:rPr>
            </w:pPr>
            <w:r>
              <w:rPr>
                <w:b/>
              </w:rPr>
              <w:t>Days</w:t>
            </w:r>
          </w:p>
        </w:tc>
        <w:tc>
          <w:tcPr>
            <w:tcW w:w="1160" w:type="dxa"/>
            <w:shd w:val="clear" w:color="auto" w:fill="D9D9D9"/>
            <w:vAlign w:val="center"/>
          </w:tcPr>
          <w:p w:rsidR="00C06CA3" w:rsidRPr="001C202A" w:rsidRDefault="00C06CA3" w:rsidP="003C2ACC">
            <w:pPr>
              <w:jc w:val="center"/>
              <w:rPr>
                <w:b/>
              </w:rPr>
            </w:pPr>
            <w:r w:rsidRPr="001C202A">
              <w:rPr>
                <w:b/>
              </w:rPr>
              <w:t>Lodging</w:t>
            </w:r>
          </w:p>
        </w:tc>
        <w:tc>
          <w:tcPr>
            <w:tcW w:w="867" w:type="dxa"/>
            <w:shd w:val="clear" w:color="auto" w:fill="D9D9D9"/>
            <w:vAlign w:val="center"/>
          </w:tcPr>
          <w:p w:rsidR="00C06CA3" w:rsidRPr="001C202A" w:rsidRDefault="00C06CA3" w:rsidP="003C2ACC">
            <w:pPr>
              <w:jc w:val="center"/>
              <w:rPr>
                <w:b/>
              </w:rPr>
            </w:pPr>
            <w:r w:rsidRPr="001C202A">
              <w:rPr>
                <w:b/>
              </w:rPr>
              <w:t>MI&amp;E</w:t>
            </w:r>
          </w:p>
        </w:tc>
        <w:tc>
          <w:tcPr>
            <w:tcW w:w="1303" w:type="dxa"/>
            <w:shd w:val="clear" w:color="auto" w:fill="D9D9D9"/>
            <w:noWrap/>
            <w:tcMar>
              <w:top w:w="0" w:type="dxa"/>
              <w:left w:w="108" w:type="dxa"/>
              <w:bottom w:w="0" w:type="dxa"/>
              <w:right w:w="108" w:type="dxa"/>
            </w:tcMar>
            <w:vAlign w:val="center"/>
          </w:tcPr>
          <w:p w:rsidR="00C06CA3" w:rsidRDefault="00C06CA3" w:rsidP="003C2ACC">
            <w:pPr>
              <w:jc w:val="center"/>
              <w:rPr>
                <w:b/>
              </w:rPr>
            </w:pPr>
            <w:r w:rsidRPr="001C202A">
              <w:rPr>
                <w:b/>
              </w:rPr>
              <w:t>Airfare/</w:t>
            </w:r>
          </w:p>
          <w:p w:rsidR="00C06CA3" w:rsidRDefault="00C06CA3" w:rsidP="003C2ACC">
            <w:pPr>
              <w:jc w:val="center"/>
              <w:rPr>
                <w:b/>
              </w:rPr>
            </w:pPr>
            <w:r>
              <w:rPr>
                <w:b/>
              </w:rPr>
              <w:t>Train</w:t>
            </w:r>
          </w:p>
          <w:p w:rsidR="00C06CA3" w:rsidRPr="001C202A" w:rsidRDefault="00C06CA3" w:rsidP="003C2ACC">
            <w:pPr>
              <w:jc w:val="center"/>
              <w:rPr>
                <w:b/>
              </w:rPr>
            </w:pPr>
            <w:r>
              <w:rPr>
                <w:b/>
              </w:rPr>
              <w:t>/</w:t>
            </w:r>
            <w:r w:rsidRPr="001C202A">
              <w:rPr>
                <w:b/>
              </w:rPr>
              <w:t>Mileage</w:t>
            </w:r>
          </w:p>
        </w:tc>
        <w:tc>
          <w:tcPr>
            <w:tcW w:w="1440" w:type="dxa"/>
            <w:shd w:val="clear" w:color="auto" w:fill="D9D9D9"/>
          </w:tcPr>
          <w:p w:rsidR="00C06CA3" w:rsidRDefault="00C06CA3" w:rsidP="003C2ACC">
            <w:pPr>
              <w:jc w:val="center"/>
              <w:rPr>
                <w:b/>
              </w:rPr>
            </w:pPr>
            <w:r>
              <w:rPr>
                <w:b/>
              </w:rPr>
              <w:t>Car Rental/</w:t>
            </w:r>
          </w:p>
          <w:p w:rsidR="00C06CA3" w:rsidRDefault="00C06CA3" w:rsidP="003C2ACC">
            <w:pPr>
              <w:jc w:val="center"/>
              <w:rPr>
                <w:b/>
              </w:rPr>
            </w:pPr>
            <w:r>
              <w:rPr>
                <w:b/>
              </w:rPr>
              <w:t>Subway/</w:t>
            </w:r>
          </w:p>
          <w:p w:rsidR="00C06CA3" w:rsidRPr="00AC44F8" w:rsidRDefault="00C06CA3" w:rsidP="003C2ACC">
            <w:pPr>
              <w:jc w:val="center"/>
              <w:rPr>
                <w:b/>
              </w:rPr>
            </w:pPr>
            <w:r>
              <w:rPr>
                <w:b/>
              </w:rPr>
              <w:t>Taxi</w:t>
            </w:r>
          </w:p>
        </w:tc>
        <w:tc>
          <w:tcPr>
            <w:tcW w:w="1260" w:type="dxa"/>
            <w:shd w:val="clear" w:color="auto" w:fill="D9D9D9"/>
            <w:vAlign w:val="center"/>
          </w:tcPr>
          <w:p w:rsidR="00C06CA3" w:rsidRPr="00AC44F8" w:rsidRDefault="00C06CA3" w:rsidP="003C2ACC">
            <w:pPr>
              <w:jc w:val="center"/>
              <w:rPr>
                <w:b/>
              </w:rPr>
            </w:pPr>
            <w:r w:rsidRPr="00AC44F8">
              <w:rPr>
                <w:b/>
              </w:rPr>
              <w:t>Tax (10%)</w:t>
            </w:r>
          </w:p>
        </w:tc>
        <w:tc>
          <w:tcPr>
            <w:tcW w:w="1080" w:type="dxa"/>
            <w:shd w:val="clear" w:color="auto" w:fill="D9D9D9"/>
            <w:vAlign w:val="center"/>
          </w:tcPr>
          <w:p w:rsidR="00C06CA3" w:rsidRPr="000629E7" w:rsidRDefault="00C06CA3" w:rsidP="00F12244">
            <w:pPr>
              <w:jc w:val="center"/>
            </w:pPr>
            <w:r w:rsidRPr="000629E7">
              <w:rPr>
                <w:b/>
                <w:bCs/>
              </w:rPr>
              <w:t xml:space="preserve">Total </w:t>
            </w:r>
            <w:r>
              <w:rPr>
                <w:b/>
                <w:bCs/>
              </w:rPr>
              <w:t>C</w:t>
            </w:r>
            <w:r w:rsidRPr="000629E7">
              <w:rPr>
                <w:b/>
                <w:bCs/>
              </w:rPr>
              <w:t>osts</w:t>
            </w:r>
            <w:r>
              <w:rPr>
                <w:b/>
                <w:bCs/>
              </w:rPr>
              <w:t xml:space="preserve"> Per Location</w:t>
            </w:r>
          </w:p>
        </w:tc>
      </w:tr>
      <w:tr w:rsidR="00BA31A4" w:rsidRPr="000629E7" w:rsidTr="00BA31A4">
        <w:trPr>
          <w:trHeight w:val="255"/>
          <w:jc w:val="center"/>
        </w:trPr>
        <w:tc>
          <w:tcPr>
            <w:tcW w:w="1530" w:type="dxa"/>
            <w:noWrap/>
            <w:tcMar>
              <w:top w:w="0" w:type="dxa"/>
              <w:left w:w="108" w:type="dxa"/>
              <w:bottom w:w="0" w:type="dxa"/>
              <w:right w:w="108" w:type="dxa"/>
            </w:tcMar>
            <w:vAlign w:val="center"/>
          </w:tcPr>
          <w:p w:rsidR="00C06CA3" w:rsidRPr="00F12244" w:rsidRDefault="00C06CA3" w:rsidP="003C2ACC">
            <w:pPr>
              <w:rPr>
                <w:b/>
              </w:rPr>
            </w:pPr>
            <w:r w:rsidRPr="00F12244">
              <w:rPr>
                <w:b/>
              </w:rPr>
              <w:t>Atlantic City, NJ</w:t>
            </w:r>
          </w:p>
        </w:tc>
        <w:tc>
          <w:tcPr>
            <w:tcW w:w="1260" w:type="dxa"/>
            <w:vAlign w:val="center"/>
          </w:tcPr>
          <w:p w:rsidR="00C06CA3" w:rsidRPr="00F12244" w:rsidRDefault="00C06CA3" w:rsidP="00D266D4">
            <w:pPr>
              <w:jc w:val="center"/>
              <w:rPr>
                <w:b/>
              </w:rPr>
            </w:pPr>
            <w:r>
              <w:rPr>
                <w:b/>
              </w:rPr>
              <w:t>3/</w:t>
            </w:r>
            <w:r w:rsidR="00D266D4">
              <w:rPr>
                <w:b/>
              </w:rPr>
              <w:t>3</w:t>
            </w:r>
          </w:p>
        </w:tc>
        <w:tc>
          <w:tcPr>
            <w:tcW w:w="1160" w:type="dxa"/>
            <w:vAlign w:val="center"/>
          </w:tcPr>
          <w:p w:rsidR="00C06CA3" w:rsidRPr="00F12244" w:rsidRDefault="00C06CA3" w:rsidP="00C750B0">
            <w:pPr>
              <w:jc w:val="center"/>
              <w:rPr>
                <w:b/>
              </w:rPr>
            </w:pPr>
            <w:r w:rsidRPr="00F12244">
              <w:rPr>
                <w:b/>
              </w:rPr>
              <w:t>$</w:t>
            </w:r>
            <w:r>
              <w:rPr>
                <w:b/>
              </w:rPr>
              <w:t>1,128</w:t>
            </w:r>
          </w:p>
        </w:tc>
        <w:tc>
          <w:tcPr>
            <w:tcW w:w="867" w:type="dxa"/>
            <w:vAlign w:val="center"/>
          </w:tcPr>
          <w:p w:rsidR="00C06CA3" w:rsidRPr="00F12244" w:rsidRDefault="00C06CA3" w:rsidP="00C750B0">
            <w:pPr>
              <w:jc w:val="center"/>
              <w:rPr>
                <w:b/>
              </w:rPr>
            </w:pPr>
            <w:r w:rsidRPr="00F12244">
              <w:rPr>
                <w:b/>
              </w:rPr>
              <w:t>$</w:t>
            </w:r>
            <w:r>
              <w:rPr>
                <w:b/>
              </w:rPr>
              <w:t>990</w:t>
            </w:r>
          </w:p>
        </w:tc>
        <w:tc>
          <w:tcPr>
            <w:tcW w:w="1303" w:type="dxa"/>
            <w:noWrap/>
            <w:tcMar>
              <w:top w:w="0" w:type="dxa"/>
              <w:left w:w="108" w:type="dxa"/>
              <w:bottom w:w="0" w:type="dxa"/>
              <w:right w:w="108" w:type="dxa"/>
            </w:tcMar>
            <w:vAlign w:val="center"/>
          </w:tcPr>
          <w:p w:rsidR="00C06CA3" w:rsidRPr="00F12244" w:rsidRDefault="00C06CA3" w:rsidP="00C750B0">
            <w:pPr>
              <w:jc w:val="center"/>
              <w:rPr>
                <w:b/>
              </w:rPr>
            </w:pPr>
            <w:r w:rsidRPr="00F12244">
              <w:rPr>
                <w:b/>
              </w:rPr>
              <w:t>$</w:t>
            </w:r>
            <w:r>
              <w:rPr>
                <w:b/>
              </w:rPr>
              <w:t>607</w:t>
            </w:r>
          </w:p>
        </w:tc>
        <w:tc>
          <w:tcPr>
            <w:tcW w:w="1440" w:type="dxa"/>
            <w:vAlign w:val="center"/>
          </w:tcPr>
          <w:p w:rsidR="00C06CA3" w:rsidRPr="00BA31A4" w:rsidRDefault="00C06CA3" w:rsidP="00C750B0">
            <w:pPr>
              <w:jc w:val="center"/>
              <w:rPr>
                <w:b/>
              </w:rPr>
            </w:pPr>
            <w:r w:rsidRPr="00BA31A4">
              <w:rPr>
                <w:b/>
              </w:rPr>
              <w:t>$120</w:t>
            </w:r>
          </w:p>
        </w:tc>
        <w:tc>
          <w:tcPr>
            <w:tcW w:w="1260" w:type="dxa"/>
            <w:vAlign w:val="center"/>
          </w:tcPr>
          <w:p w:rsidR="00C06CA3" w:rsidRPr="000629E7" w:rsidRDefault="00C06CA3" w:rsidP="00000A8B">
            <w:pPr>
              <w:jc w:val="center"/>
            </w:pPr>
            <w:r>
              <w:t>10% of $2,</w:t>
            </w:r>
            <w:r w:rsidR="00000A8B">
              <w:t>845</w:t>
            </w:r>
            <w:r>
              <w:t xml:space="preserve">= </w:t>
            </w:r>
            <w:r w:rsidRPr="00F36F0B">
              <w:rPr>
                <w:b/>
              </w:rPr>
              <w:t>$</w:t>
            </w:r>
            <w:r w:rsidR="00000A8B">
              <w:rPr>
                <w:b/>
              </w:rPr>
              <w:t>285</w:t>
            </w:r>
          </w:p>
        </w:tc>
        <w:tc>
          <w:tcPr>
            <w:tcW w:w="1080" w:type="dxa"/>
            <w:shd w:val="clear" w:color="auto" w:fill="D9D9D9"/>
            <w:vAlign w:val="center"/>
          </w:tcPr>
          <w:p w:rsidR="00C06CA3" w:rsidRPr="00F12244" w:rsidRDefault="00C06CA3" w:rsidP="00000A8B">
            <w:pPr>
              <w:jc w:val="center"/>
              <w:rPr>
                <w:b/>
              </w:rPr>
            </w:pPr>
            <w:r w:rsidRPr="00F12244">
              <w:rPr>
                <w:b/>
              </w:rPr>
              <w:t>$</w:t>
            </w:r>
            <w:r w:rsidR="00000A8B">
              <w:rPr>
                <w:b/>
              </w:rPr>
              <w:t>3,130</w:t>
            </w:r>
          </w:p>
        </w:tc>
      </w:tr>
      <w:tr w:rsidR="00BA31A4" w:rsidRPr="000629E7" w:rsidTr="00BA31A4">
        <w:trPr>
          <w:trHeight w:val="255"/>
          <w:jc w:val="center"/>
        </w:trPr>
        <w:tc>
          <w:tcPr>
            <w:tcW w:w="1530" w:type="dxa"/>
            <w:noWrap/>
            <w:tcMar>
              <w:top w:w="0" w:type="dxa"/>
              <w:left w:w="108" w:type="dxa"/>
              <w:bottom w:w="0" w:type="dxa"/>
              <w:right w:w="108" w:type="dxa"/>
            </w:tcMar>
            <w:vAlign w:val="center"/>
          </w:tcPr>
          <w:p w:rsidR="00C06CA3" w:rsidRPr="00F12244" w:rsidRDefault="00C06CA3" w:rsidP="003C2ACC">
            <w:pPr>
              <w:rPr>
                <w:b/>
              </w:rPr>
            </w:pPr>
            <w:r w:rsidRPr="00F12244">
              <w:rPr>
                <w:b/>
              </w:rPr>
              <w:t>NYC, NY</w:t>
            </w:r>
          </w:p>
        </w:tc>
        <w:tc>
          <w:tcPr>
            <w:tcW w:w="1260" w:type="dxa"/>
            <w:vAlign w:val="center"/>
          </w:tcPr>
          <w:p w:rsidR="00C06CA3" w:rsidRPr="00F12244" w:rsidRDefault="00C06CA3" w:rsidP="00D266D4">
            <w:pPr>
              <w:jc w:val="center"/>
              <w:rPr>
                <w:b/>
              </w:rPr>
            </w:pPr>
            <w:r>
              <w:rPr>
                <w:b/>
              </w:rPr>
              <w:t>3/</w:t>
            </w:r>
            <w:r w:rsidR="00D266D4">
              <w:rPr>
                <w:b/>
              </w:rPr>
              <w:t>8</w:t>
            </w:r>
          </w:p>
        </w:tc>
        <w:tc>
          <w:tcPr>
            <w:tcW w:w="1160" w:type="dxa"/>
            <w:vAlign w:val="center"/>
          </w:tcPr>
          <w:p w:rsidR="00C06CA3" w:rsidRPr="00F12244" w:rsidRDefault="00C06CA3" w:rsidP="00C750B0">
            <w:pPr>
              <w:jc w:val="center"/>
              <w:rPr>
                <w:b/>
              </w:rPr>
            </w:pPr>
            <w:r w:rsidRPr="00F12244">
              <w:rPr>
                <w:b/>
              </w:rPr>
              <w:t>$</w:t>
            </w:r>
            <w:r>
              <w:rPr>
                <w:b/>
              </w:rPr>
              <w:t>12,768</w:t>
            </w:r>
          </w:p>
        </w:tc>
        <w:tc>
          <w:tcPr>
            <w:tcW w:w="867" w:type="dxa"/>
            <w:vAlign w:val="center"/>
          </w:tcPr>
          <w:p w:rsidR="00C06CA3" w:rsidRPr="00F12244" w:rsidRDefault="00C06CA3" w:rsidP="00C750B0">
            <w:pPr>
              <w:jc w:val="center"/>
              <w:rPr>
                <w:b/>
              </w:rPr>
            </w:pPr>
            <w:r w:rsidRPr="00F12244">
              <w:rPr>
                <w:b/>
              </w:rPr>
              <w:t>$</w:t>
            </w:r>
            <w:r>
              <w:rPr>
                <w:b/>
              </w:rPr>
              <w:t>3,195</w:t>
            </w:r>
          </w:p>
        </w:tc>
        <w:tc>
          <w:tcPr>
            <w:tcW w:w="1303" w:type="dxa"/>
            <w:noWrap/>
            <w:tcMar>
              <w:top w:w="0" w:type="dxa"/>
              <w:left w:w="108" w:type="dxa"/>
              <w:bottom w:w="0" w:type="dxa"/>
              <w:right w:w="108" w:type="dxa"/>
            </w:tcMar>
            <w:vAlign w:val="center"/>
          </w:tcPr>
          <w:p w:rsidR="00C06CA3" w:rsidRPr="00F12244" w:rsidRDefault="00C06CA3" w:rsidP="00000A8B">
            <w:pPr>
              <w:jc w:val="center"/>
              <w:rPr>
                <w:b/>
              </w:rPr>
            </w:pPr>
            <w:r w:rsidRPr="00F12244">
              <w:rPr>
                <w:b/>
              </w:rPr>
              <w:t>$</w:t>
            </w:r>
            <w:r w:rsidR="00000A8B">
              <w:rPr>
                <w:b/>
              </w:rPr>
              <w:t>2,028</w:t>
            </w:r>
          </w:p>
        </w:tc>
        <w:tc>
          <w:tcPr>
            <w:tcW w:w="1440" w:type="dxa"/>
            <w:vAlign w:val="center"/>
          </w:tcPr>
          <w:p w:rsidR="00C06CA3" w:rsidRPr="00BA31A4" w:rsidRDefault="00C06CA3" w:rsidP="00000A8B">
            <w:pPr>
              <w:jc w:val="center"/>
              <w:rPr>
                <w:b/>
              </w:rPr>
            </w:pPr>
            <w:r w:rsidRPr="00BA31A4">
              <w:rPr>
                <w:b/>
              </w:rPr>
              <w:t>$</w:t>
            </w:r>
            <w:r w:rsidR="00000A8B">
              <w:rPr>
                <w:b/>
              </w:rPr>
              <w:t>174</w:t>
            </w:r>
          </w:p>
        </w:tc>
        <w:tc>
          <w:tcPr>
            <w:tcW w:w="1260" w:type="dxa"/>
            <w:vAlign w:val="center"/>
          </w:tcPr>
          <w:p w:rsidR="00C06CA3" w:rsidRPr="000629E7" w:rsidRDefault="00C06CA3" w:rsidP="00000A8B">
            <w:pPr>
              <w:jc w:val="center"/>
            </w:pPr>
            <w:r>
              <w:t>10% of $</w:t>
            </w:r>
            <w:r w:rsidR="00000A8B">
              <w:t>18,165</w:t>
            </w:r>
            <w:r>
              <w:t xml:space="preserve">= </w:t>
            </w:r>
            <w:r w:rsidRPr="00F36F0B">
              <w:rPr>
                <w:b/>
              </w:rPr>
              <w:t>$1,</w:t>
            </w:r>
            <w:r w:rsidR="00000A8B">
              <w:rPr>
                <w:b/>
              </w:rPr>
              <w:t>817</w:t>
            </w:r>
          </w:p>
        </w:tc>
        <w:tc>
          <w:tcPr>
            <w:tcW w:w="1080" w:type="dxa"/>
            <w:shd w:val="clear" w:color="auto" w:fill="D9D9D9"/>
            <w:vAlign w:val="center"/>
          </w:tcPr>
          <w:p w:rsidR="00C06CA3" w:rsidRPr="00F12244" w:rsidRDefault="00C06CA3" w:rsidP="00000A8B">
            <w:pPr>
              <w:jc w:val="center"/>
              <w:rPr>
                <w:b/>
              </w:rPr>
            </w:pPr>
            <w:r w:rsidRPr="00F12244">
              <w:rPr>
                <w:b/>
              </w:rPr>
              <w:t>$</w:t>
            </w:r>
            <w:r w:rsidR="00000A8B">
              <w:rPr>
                <w:b/>
              </w:rPr>
              <w:t>19,982</w:t>
            </w:r>
          </w:p>
        </w:tc>
      </w:tr>
      <w:tr w:rsidR="00BA31A4" w:rsidRPr="000629E7" w:rsidTr="00BA31A4">
        <w:trPr>
          <w:trHeight w:val="255"/>
          <w:jc w:val="center"/>
        </w:trPr>
        <w:tc>
          <w:tcPr>
            <w:tcW w:w="1530" w:type="dxa"/>
            <w:noWrap/>
            <w:tcMar>
              <w:top w:w="0" w:type="dxa"/>
              <w:left w:w="108" w:type="dxa"/>
              <w:bottom w:w="0" w:type="dxa"/>
              <w:right w:w="108" w:type="dxa"/>
            </w:tcMar>
            <w:vAlign w:val="center"/>
          </w:tcPr>
          <w:p w:rsidR="00C06CA3" w:rsidRPr="00F12244" w:rsidRDefault="00C06CA3" w:rsidP="003C2ACC">
            <w:pPr>
              <w:rPr>
                <w:b/>
              </w:rPr>
            </w:pPr>
            <w:r w:rsidRPr="00F12244">
              <w:rPr>
                <w:b/>
              </w:rPr>
              <w:t>San Diego, CA</w:t>
            </w:r>
          </w:p>
        </w:tc>
        <w:tc>
          <w:tcPr>
            <w:tcW w:w="1260" w:type="dxa"/>
            <w:vAlign w:val="center"/>
          </w:tcPr>
          <w:p w:rsidR="00C06CA3" w:rsidRPr="00F12244" w:rsidRDefault="00C06CA3" w:rsidP="00D266D4">
            <w:pPr>
              <w:jc w:val="center"/>
              <w:rPr>
                <w:b/>
              </w:rPr>
            </w:pPr>
            <w:r>
              <w:rPr>
                <w:b/>
              </w:rPr>
              <w:t>3/</w:t>
            </w:r>
            <w:r w:rsidR="00D266D4">
              <w:rPr>
                <w:b/>
              </w:rPr>
              <w:t>3</w:t>
            </w:r>
          </w:p>
        </w:tc>
        <w:tc>
          <w:tcPr>
            <w:tcW w:w="1160" w:type="dxa"/>
            <w:vAlign w:val="center"/>
          </w:tcPr>
          <w:p w:rsidR="00C06CA3" w:rsidRPr="00F12244" w:rsidRDefault="00C06CA3" w:rsidP="00C750B0">
            <w:pPr>
              <w:jc w:val="center"/>
              <w:rPr>
                <w:b/>
              </w:rPr>
            </w:pPr>
            <w:r w:rsidRPr="00F12244">
              <w:rPr>
                <w:b/>
              </w:rPr>
              <w:t>$</w:t>
            </w:r>
            <w:r>
              <w:rPr>
                <w:b/>
              </w:rPr>
              <w:t>1,704</w:t>
            </w:r>
          </w:p>
        </w:tc>
        <w:tc>
          <w:tcPr>
            <w:tcW w:w="867" w:type="dxa"/>
            <w:vAlign w:val="center"/>
          </w:tcPr>
          <w:p w:rsidR="00C06CA3" w:rsidRPr="00F12244" w:rsidRDefault="00C06CA3" w:rsidP="00C750B0">
            <w:pPr>
              <w:jc w:val="center"/>
              <w:rPr>
                <w:b/>
              </w:rPr>
            </w:pPr>
            <w:r w:rsidRPr="00F12244">
              <w:rPr>
                <w:b/>
              </w:rPr>
              <w:t>$</w:t>
            </w:r>
            <w:r>
              <w:rPr>
                <w:b/>
              </w:rPr>
              <w:t>1,065</w:t>
            </w:r>
          </w:p>
        </w:tc>
        <w:tc>
          <w:tcPr>
            <w:tcW w:w="1303" w:type="dxa"/>
            <w:noWrap/>
            <w:tcMar>
              <w:top w:w="0" w:type="dxa"/>
              <w:left w:w="108" w:type="dxa"/>
              <w:bottom w:w="0" w:type="dxa"/>
              <w:right w:w="108" w:type="dxa"/>
            </w:tcMar>
            <w:vAlign w:val="center"/>
          </w:tcPr>
          <w:p w:rsidR="00C06CA3" w:rsidRPr="00F12244" w:rsidRDefault="00C06CA3" w:rsidP="00C750B0">
            <w:pPr>
              <w:jc w:val="center"/>
              <w:rPr>
                <w:b/>
              </w:rPr>
            </w:pPr>
            <w:r w:rsidRPr="00F12244">
              <w:rPr>
                <w:b/>
              </w:rPr>
              <w:t>$</w:t>
            </w:r>
            <w:r>
              <w:rPr>
                <w:b/>
              </w:rPr>
              <w:t>5,208</w:t>
            </w:r>
          </w:p>
        </w:tc>
        <w:tc>
          <w:tcPr>
            <w:tcW w:w="1440" w:type="dxa"/>
            <w:vAlign w:val="center"/>
          </w:tcPr>
          <w:p w:rsidR="00C06CA3" w:rsidRPr="00BA31A4" w:rsidRDefault="00C06CA3" w:rsidP="00000A8B">
            <w:pPr>
              <w:jc w:val="center"/>
              <w:rPr>
                <w:b/>
              </w:rPr>
            </w:pPr>
            <w:r w:rsidRPr="00BA31A4">
              <w:rPr>
                <w:b/>
              </w:rPr>
              <w:t>$</w:t>
            </w:r>
            <w:r w:rsidR="00000A8B">
              <w:rPr>
                <w:b/>
              </w:rPr>
              <w:t>200</w:t>
            </w:r>
          </w:p>
        </w:tc>
        <w:tc>
          <w:tcPr>
            <w:tcW w:w="1260" w:type="dxa"/>
            <w:vAlign w:val="center"/>
          </w:tcPr>
          <w:p w:rsidR="00C06CA3" w:rsidRPr="000629E7" w:rsidRDefault="00C06CA3" w:rsidP="00000A8B">
            <w:pPr>
              <w:jc w:val="center"/>
            </w:pPr>
            <w:r>
              <w:t>10% of $</w:t>
            </w:r>
            <w:r w:rsidR="00000A8B">
              <w:t>8,177</w:t>
            </w:r>
            <w:r>
              <w:t xml:space="preserve">= </w:t>
            </w:r>
            <w:r w:rsidRPr="00F36F0B">
              <w:rPr>
                <w:b/>
              </w:rPr>
              <w:t>$</w:t>
            </w:r>
            <w:r w:rsidR="00000A8B">
              <w:rPr>
                <w:b/>
              </w:rPr>
              <w:t>818</w:t>
            </w:r>
          </w:p>
        </w:tc>
        <w:tc>
          <w:tcPr>
            <w:tcW w:w="1080" w:type="dxa"/>
            <w:shd w:val="clear" w:color="auto" w:fill="D9D9D9"/>
            <w:vAlign w:val="center"/>
          </w:tcPr>
          <w:p w:rsidR="00C06CA3" w:rsidRPr="00F12244" w:rsidRDefault="00C06CA3" w:rsidP="00000A8B">
            <w:pPr>
              <w:jc w:val="center"/>
              <w:rPr>
                <w:b/>
              </w:rPr>
            </w:pPr>
            <w:r w:rsidRPr="00F12244">
              <w:rPr>
                <w:b/>
              </w:rPr>
              <w:t>$</w:t>
            </w:r>
            <w:r w:rsidR="00000A8B">
              <w:rPr>
                <w:b/>
              </w:rPr>
              <w:t>8,995</w:t>
            </w:r>
          </w:p>
        </w:tc>
      </w:tr>
      <w:tr w:rsidR="00BA31A4" w:rsidRPr="000629E7" w:rsidTr="00BA31A4">
        <w:trPr>
          <w:trHeight w:val="255"/>
          <w:jc w:val="center"/>
        </w:trPr>
        <w:tc>
          <w:tcPr>
            <w:tcW w:w="1530" w:type="dxa"/>
            <w:noWrap/>
            <w:tcMar>
              <w:top w:w="0" w:type="dxa"/>
              <w:left w:w="108" w:type="dxa"/>
              <w:bottom w:w="0" w:type="dxa"/>
              <w:right w:w="108" w:type="dxa"/>
            </w:tcMar>
            <w:vAlign w:val="center"/>
          </w:tcPr>
          <w:p w:rsidR="00C06CA3" w:rsidRPr="00F12244" w:rsidRDefault="00C06CA3" w:rsidP="003C2ACC">
            <w:pPr>
              <w:rPr>
                <w:b/>
              </w:rPr>
            </w:pPr>
            <w:r w:rsidRPr="00F12244">
              <w:rPr>
                <w:b/>
              </w:rPr>
              <w:t>Chicago, IL</w:t>
            </w:r>
          </w:p>
        </w:tc>
        <w:tc>
          <w:tcPr>
            <w:tcW w:w="1260" w:type="dxa"/>
            <w:vAlign w:val="center"/>
          </w:tcPr>
          <w:p w:rsidR="00C06CA3" w:rsidRPr="00F12244" w:rsidRDefault="00C06CA3" w:rsidP="00D266D4">
            <w:pPr>
              <w:jc w:val="center"/>
              <w:rPr>
                <w:b/>
              </w:rPr>
            </w:pPr>
            <w:r>
              <w:rPr>
                <w:b/>
              </w:rPr>
              <w:t>3/</w:t>
            </w:r>
            <w:r w:rsidR="00D266D4">
              <w:rPr>
                <w:b/>
              </w:rPr>
              <w:t>5</w:t>
            </w:r>
          </w:p>
        </w:tc>
        <w:tc>
          <w:tcPr>
            <w:tcW w:w="1160" w:type="dxa"/>
            <w:vAlign w:val="center"/>
          </w:tcPr>
          <w:p w:rsidR="00C06CA3" w:rsidRPr="00F12244" w:rsidRDefault="00C06CA3" w:rsidP="00C750B0">
            <w:pPr>
              <w:jc w:val="center"/>
              <w:rPr>
                <w:b/>
              </w:rPr>
            </w:pPr>
            <w:r w:rsidRPr="00F12244">
              <w:rPr>
                <w:b/>
              </w:rPr>
              <w:t>$</w:t>
            </w:r>
            <w:r>
              <w:rPr>
                <w:b/>
              </w:rPr>
              <w:t>4,608</w:t>
            </w:r>
          </w:p>
        </w:tc>
        <w:tc>
          <w:tcPr>
            <w:tcW w:w="867" w:type="dxa"/>
            <w:vAlign w:val="center"/>
          </w:tcPr>
          <w:p w:rsidR="00C06CA3" w:rsidRPr="00F12244" w:rsidRDefault="00C06CA3" w:rsidP="00C750B0">
            <w:pPr>
              <w:jc w:val="center"/>
              <w:rPr>
                <w:b/>
              </w:rPr>
            </w:pPr>
            <w:r w:rsidRPr="00F12244">
              <w:rPr>
                <w:b/>
              </w:rPr>
              <w:t>$</w:t>
            </w:r>
            <w:r>
              <w:rPr>
                <w:b/>
              </w:rPr>
              <w:t>1,917</w:t>
            </w:r>
          </w:p>
        </w:tc>
        <w:tc>
          <w:tcPr>
            <w:tcW w:w="1303" w:type="dxa"/>
            <w:noWrap/>
            <w:tcMar>
              <w:top w:w="0" w:type="dxa"/>
              <w:left w:w="108" w:type="dxa"/>
              <w:bottom w:w="0" w:type="dxa"/>
              <w:right w:w="108" w:type="dxa"/>
            </w:tcMar>
            <w:vAlign w:val="center"/>
          </w:tcPr>
          <w:p w:rsidR="00C06CA3" w:rsidRPr="00F12244" w:rsidRDefault="00C06CA3" w:rsidP="00C750B0">
            <w:pPr>
              <w:jc w:val="center"/>
              <w:rPr>
                <w:b/>
              </w:rPr>
            </w:pPr>
            <w:r w:rsidRPr="00F12244">
              <w:rPr>
                <w:b/>
              </w:rPr>
              <w:t>$</w:t>
            </w:r>
            <w:r>
              <w:rPr>
                <w:b/>
              </w:rPr>
              <w:t>2,500</w:t>
            </w:r>
          </w:p>
        </w:tc>
        <w:tc>
          <w:tcPr>
            <w:tcW w:w="1440" w:type="dxa"/>
            <w:vAlign w:val="center"/>
          </w:tcPr>
          <w:p w:rsidR="00C06CA3" w:rsidRPr="00BA31A4" w:rsidRDefault="00C06CA3" w:rsidP="00000A8B">
            <w:pPr>
              <w:jc w:val="center"/>
              <w:rPr>
                <w:b/>
              </w:rPr>
            </w:pPr>
            <w:r w:rsidRPr="00BA31A4">
              <w:rPr>
                <w:b/>
              </w:rPr>
              <w:t>$</w:t>
            </w:r>
            <w:r w:rsidR="00000A8B">
              <w:rPr>
                <w:b/>
              </w:rPr>
              <w:t>120</w:t>
            </w:r>
          </w:p>
        </w:tc>
        <w:tc>
          <w:tcPr>
            <w:tcW w:w="1260" w:type="dxa"/>
            <w:vAlign w:val="center"/>
          </w:tcPr>
          <w:p w:rsidR="00C06CA3" w:rsidRPr="000629E7" w:rsidRDefault="00C06CA3" w:rsidP="00000A8B">
            <w:pPr>
              <w:jc w:val="center"/>
            </w:pPr>
            <w:r>
              <w:t>10% of $</w:t>
            </w:r>
            <w:r w:rsidR="00000A8B">
              <w:t>9,145</w:t>
            </w:r>
            <w:r>
              <w:t xml:space="preserve">= </w:t>
            </w:r>
            <w:r w:rsidRPr="00F36F0B">
              <w:rPr>
                <w:b/>
              </w:rPr>
              <w:t>$</w:t>
            </w:r>
            <w:r w:rsidR="00000A8B">
              <w:rPr>
                <w:b/>
              </w:rPr>
              <w:t>915</w:t>
            </w:r>
          </w:p>
        </w:tc>
        <w:tc>
          <w:tcPr>
            <w:tcW w:w="1080" w:type="dxa"/>
            <w:shd w:val="clear" w:color="auto" w:fill="D9D9D9"/>
            <w:vAlign w:val="center"/>
          </w:tcPr>
          <w:p w:rsidR="00C06CA3" w:rsidRPr="00F12244" w:rsidRDefault="00C06CA3" w:rsidP="00000A8B">
            <w:pPr>
              <w:jc w:val="center"/>
              <w:rPr>
                <w:b/>
              </w:rPr>
            </w:pPr>
            <w:r w:rsidRPr="00F12244">
              <w:rPr>
                <w:b/>
              </w:rPr>
              <w:t>$</w:t>
            </w:r>
            <w:r w:rsidR="00000A8B">
              <w:rPr>
                <w:b/>
              </w:rPr>
              <w:t>10,060</w:t>
            </w:r>
          </w:p>
        </w:tc>
      </w:tr>
      <w:tr w:rsidR="00BA31A4" w:rsidRPr="000629E7" w:rsidTr="00BA31A4">
        <w:trPr>
          <w:trHeight w:val="255"/>
          <w:jc w:val="center"/>
        </w:trPr>
        <w:tc>
          <w:tcPr>
            <w:tcW w:w="1530" w:type="dxa"/>
            <w:noWrap/>
            <w:tcMar>
              <w:top w:w="0" w:type="dxa"/>
              <w:left w:w="108" w:type="dxa"/>
              <w:bottom w:w="0" w:type="dxa"/>
              <w:right w:w="108" w:type="dxa"/>
            </w:tcMar>
            <w:vAlign w:val="center"/>
          </w:tcPr>
          <w:p w:rsidR="00C06CA3" w:rsidRPr="00F12244" w:rsidRDefault="00C06CA3" w:rsidP="003C2ACC">
            <w:pPr>
              <w:rPr>
                <w:b/>
              </w:rPr>
            </w:pPr>
            <w:r w:rsidRPr="00F12244">
              <w:rPr>
                <w:b/>
              </w:rPr>
              <w:t>Washington, D.C.</w:t>
            </w:r>
          </w:p>
        </w:tc>
        <w:tc>
          <w:tcPr>
            <w:tcW w:w="1260" w:type="dxa"/>
            <w:vAlign w:val="center"/>
          </w:tcPr>
          <w:p w:rsidR="00C06CA3" w:rsidRPr="00F12244" w:rsidRDefault="00C06CA3" w:rsidP="00F36F0B">
            <w:pPr>
              <w:jc w:val="center"/>
              <w:rPr>
                <w:b/>
              </w:rPr>
            </w:pPr>
            <w:r>
              <w:rPr>
                <w:b/>
              </w:rPr>
              <w:t>3/2</w:t>
            </w:r>
          </w:p>
        </w:tc>
        <w:tc>
          <w:tcPr>
            <w:tcW w:w="1160" w:type="dxa"/>
            <w:vAlign w:val="center"/>
          </w:tcPr>
          <w:p w:rsidR="00C06CA3" w:rsidRPr="00F12244" w:rsidRDefault="00C06CA3" w:rsidP="00F36F0B">
            <w:pPr>
              <w:jc w:val="center"/>
              <w:rPr>
                <w:b/>
              </w:rPr>
            </w:pPr>
            <w:r w:rsidRPr="00F12244">
              <w:rPr>
                <w:b/>
              </w:rPr>
              <w:t>$0</w:t>
            </w:r>
          </w:p>
        </w:tc>
        <w:tc>
          <w:tcPr>
            <w:tcW w:w="867" w:type="dxa"/>
            <w:vAlign w:val="center"/>
          </w:tcPr>
          <w:p w:rsidR="00C06CA3" w:rsidRPr="00F12244" w:rsidRDefault="00C06CA3" w:rsidP="00F36F0B">
            <w:pPr>
              <w:jc w:val="center"/>
              <w:rPr>
                <w:b/>
              </w:rPr>
            </w:pPr>
            <w:r w:rsidRPr="00F12244">
              <w:rPr>
                <w:b/>
              </w:rPr>
              <w:t>$0</w:t>
            </w:r>
          </w:p>
        </w:tc>
        <w:tc>
          <w:tcPr>
            <w:tcW w:w="1303" w:type="dxa"/>
            <w:noWrap/>
            <w:tcMar>
              <w:top w:w="0" w:type="dxa"/>
              <w:left w:w="108" w:type="dxa"/>
              <w:bottom w:w="0" w:type="dxa"/>
              <w:right w:w="108" w:type="dxa"/>
            </w:tcMar>
            <w:vAlign w:val="center"/>
          </w:tcPr>
          <w:p w:rsidR="00C06CA3" w:rsidRPr="00F12244" w:rsidRDefault="00C06CA3" w:rsidP="00F36F0B">
            <w:pPr>
              <w:jc w:val="center"/>
              <w:rPr>
                <w:b/>
              </w:rPr>
            </w:pPr>
            <w:r w:rsidRPr="00F12244">
              <w:rPr>
                <w:b/>
              </w:rPr>
              <w:t>$0</w:t>
            </w:r>
          </w:p>
        </w:tc>
        <w:tc>
          <w:tcPr>
            <w:tcW w:w="1440" w:type="dxa"/>
            <w:vAlign w:val="center"/>
          </w:tcPr>
          <w:p w:rsidR="00C06CA3" w:rsidRPr="00BA31A4" w:rsidRDefault="00C06CA3" w:rsidP="00F36F0B">
            <w:pPr>
              <w:jc w:val="center"/>
              <w:rPr>
                <w:b/>
              </w:rPr>
            </w:pPr>
            <w:r w:rsidRPr="00BA31A4">
              <w:rPr>
                <w:b/>
              </w:rPr>
              <w:t>$24</w:t>
            </w:r>
          </w:p>
        </w:tc>
        <w:tc>
          <w:tcPr>
            <w:tcW w:w="1260" w:type="dxa"/>
            <w:vAlign w:val="center"/>
          </w:tcPr>
          <w:p w:rsidR="00C06CA3" w:rsidRPr="00F36F0B" w:rsidRDefault="00C06CA3" w:rsidP="00F36F0B">
            <w:pPr>
              <w:jc w:val="center"/>
              <w:rPr>
                <w:b/>
              </w:rPr>
            </w:pPr>
            <w:r w:rsidRPr="00F12244">
              <w:t>10% of $0=</w:t>
            </w:r>
            <w:r>
              <w:rPr>
                <w:b/>
              </w:rPr>
              <w:t xml:space="preserve"> </w:t>
            </w:r>
            <w:r w:rsidRPr="00F36F0B">
              <w:rPr>
                <w:b/>
              </w:rPr>
              <w:t>$0</w:t>
            </w:r>
          </w:p>
        </w:tc>
        <w:tc>
          <w:tcPr>
            <w:tcW w:w="1080" w:type="dxa"/>
            <w:shd w:val="clear" w:color="auto" w:fill="D9D9D9"/>
            <w:vAlign w:val="center"/>
          </w:tcPr>
          <w:p w:rsidR="00C06CA3" w:rsidRPr="00F12244" w:rsidRDefault="00C06CA3" w:rsidP="00000A8B">
            <w:pPr>
              <w:jc w:val="center"/>
              <w:rPr>
                <w:b/>
              </w:rPr>
            </w:pPr>
            <w:r w:rsidRPr="00F12244">
              <w:rPr>
                <w:b/>
              </w:rPr>
              <w:t>$</w:t>
            </w:r>
            <w:r w:rsidR="00000A8B">
              <w:rPr>
                <w:b/>
              </w:rPr>
              <w:t>24</w:t>
            </w:r>
          </w:p>
        </w:tc>
      </w:tr>
      <w:tr w:rsidR="00BA31A4" w:rsidRPr="000629E7" w:rsidTr="00BA31A4">
        <w:trPr>
          <w:trHeight w:val="255"/>
          <w:jc w:val="center"/>
        </w:trPr>
        <w:tc>
          <w:tcPr>
            <w:tcW w:w="1530" w:type="dxa"/>
            <w:shd w:val="clear" w:color="auto" w:fill="A6A6A6"/>
            <w:noWrap/>
            <w:tcMar>
              <w:top w:w="0" w:type="dxa"/>
              <w:left w:w="108" w:type="dxa"/>
              <w:bottom w:w="0" w:type="dxa"/>
              <w:right w:w="108" w:type="dxa"/>
            </w:tcMar>
            <w:vAlign w:val="bottom"/>
          </w:tcPr>
          <w:p w:rsidR="00C06CA3" w:rsidRDefault="00C06CA3" w:rsidP="00AC44F8">
            <w:pPr>
              <w:rPr>
                <w:b/>
              </w:rPr>
            </w:pPr>
            <w:r>
              <w:rPr>
                <w:b/>
              </w:rPr>
              <w:t>Total, Per Category</w:t>
            </w:r>
          </w:p>
        </w:tc>
        <w:tc>
          <w:tcPr>
            <w:tcW w:w="1260" w:type="dxa"/>
            <w:shd w:val="clear" w:color="auto" w:fill="A6A6A6"/>
            <w:vAlign w:val="center"/>
          </w:tcPr>
          <w:p w:rsidR="00C06CA3" w:rsidRDefault="00C06CA3" w:rsidP="00D266D4">
            <w:pPr>
              <w:jc w:val="center"/>
              <w:rPr>
                <w:b/>
              </w:rPr>
            </w:pPr>
            <w:r>
              <w:rPr>
                <w:b/>
              </w:rPr>
              <w:t>3/</w:t>
            </w:r>
            <w:r w:rsidR="00D266D4">
              <w:rPr>
                <w:b/>
              </w:rPr>
              <w:t>21</w:t>
            </w:r>
          </w:p>
        </w:tc>
        <w:tc>
          <w:tcPr>
            <w:tcW w:w="1160" w:type="dxa"/>
            <w:shd w:val="clear" w:color="auto" w:fill="A6A6A6"/>
            <w:vAlign w:val="center"/>
          </w:tcPr>
          <w:p w:rsidR="00C06CA3" w:rsidRPr="00F36F0B" w:rsidRDefault="00C06CA3" w:rsidP="00C750B0">
            <w:pPr>
              <w:jc w:val="center"/>
              <w:rPr>
                <w:b/>
              </w:rPr>
            </w:pPr>
            <w:r>
              <w:rPr>
                <w:b/>
              </w:rPr>
              <w:t>$</w:t>
            </w:r>
            <w:r w:rsidRPr="00F36F0B">
              <w:rPr>
                <w:b/>
              </w:rPr>
              <w:t>20,</w:t>
            </w:r>
            <w:r>
              <w:rPr>
                <w:b/>
              </w:rPr>
              <w:t>208</w:t>
            </w:r>
          </w:p>
        </w:tc>
        <w:tc>
          <w:tcPr>
            <w:tcW w:w="867" w:type="dxa"/>
            <w:shd w:val="clear" w:color="auto" w:fill="A6A6A6"/>
            <w:vAlign w:val="center"/>
          </w:tcPr>
          <w:p w:rsidR="00C06CA3" w:rsidRPr="00F36F0B" w:rsidRDefault="00C06CA3" w:rsidP="00C750B0">
            <w:pPr>
              <w:jc w:val="center"/>
              <w:rPr>
                <w:b/>
              </w:rPr>
            </w:pPr>
            <w:r>
              <w:rPr>
                <w:b/>
              </w:rPr>
              <w:t>$7,167</w:t>
            </w:r>
          </w:p>
        </w:tc>
        <w:tc>
          <w:tcPr>
            <w:tcW w:w="1303" w:type="dxa"/>
            <w:shd w:val="clear" w:color="auto" w:fill="A6A6A6"/>
            <w:noWrap/>
            <w:tcMar>
              <w:top w:w="0" w:type="dxa"/>
              <w:left w:w="108" w:type="dxa"/>
              <w:bottom w:w="0" w:type="dxa"/>
              <w:right w:w="108" w:type="dxa"/>
            </w:tcMar>
            <w:vAlign w:val="center"/>
          </w:tcPr>
          <w:p w:rsidR="00C06CA3" w:rsidRPr="00F36F0B" w:rsidRDefault="00C06CA3" w:rsidP="00000A8B">
            <w:pPr>
              <w:jc w:val="center"/>
              <w:rPr>
                <w:b/>
              </w:rPr>
            </w:pPr>
            <w:r>
              <w:rPr>
                <w:b/>
              </w:rPr>
              <w:t>$</w:t>
            </w:r>
            <w:r w:rsidR="00000A8B">
              <w:rPr>
                <w:b/>
              </w:rPr>
              <w:t>10,343</w:t>
            </w:r>
          </w:p>
        </w:tc>
        <w:tc>
          <w:tcPr>
            <w:tcW w:w="1440" w:type="dxa"/>
            <w:shd w:val="clear" w:color="auto" w:fill="A6A6A6"/>
            <w:vAlign w:val="center"/>
          </w:tcPr>
          <w:p w:rsidR="00C06CA3" w:rsidRDefault="00BA31A4" w:rsidP="003F33D7">
            <w:pPr>
              <w:jc w:val="center"/>
              <w:rPr>
                <w:b/>
              </w:rPr>
            </w:pPr>
            <w:r>
              <w:rPr>
                <w:b/>
              </w:rPr>
              <w:t>$</w:t>
            </w:r>
            <w:r w:rsidR="003F33D7">
              <w:rPr>
                <w:b/>
              </w:rPr>
              <w:t>638</w:t>
            </w:r>
          </w:p>
        </w:tc>
        <w:tc>
          <w:tcPr>
            <w:tcW w:w="1260" w:type="dxa"/>
            <w:shd w:val="clear" w:color="auto" w:fill="A6A6A6"/>
            <w:vAlign w:val="center"/>
          </w:tcPr>
          <w:p w:rsidR="00C06CA3" w:rsidRPr="00F36F0B" w:rsidRDefault="00C06CA3" w:rsidP="003F33D7">
            <w:pPr>
              <w:jc w:val="center"/>
              <w:rPr>
                <w:b/>
              </w:rPr>
            </w:pPr>
            <w:r>
              <w:rPr>
                <w:b/>
              </w:rPr>
              <w:t>$</w:t>
            </w:r>
            <w:r w:rsidR="003F33D7">
              <w:rPr>
                <w:b/>
              </w:rPr>
              <w:t>3,835</w:t>
            </w:r>
          </w:p>
        </w:tc>
        <w:tc>
          <w:tcPr>
            <w:tcW w:w="1080" w:type="dxa"/>
            <w:shd w:val="clear" w:color="auto" w:fill="A6A6A6"/>
            <w:vAlign w:val="center"/>
          </w:tcPr>
          <w:p w:rsidR="00C06CA3" w:rsidRDefault="00C06CA3" w:rsidP="003F33D7">
            <w:pPr>
              <w:jc w:val="center"/>
              <w:rPr>
                <w:b/>
              </w:rPr>
            </w:pPr>
            <w:r>
              <w:rPr>
                <w:b/>
              </w:rPr>
              <w:t>$</w:t>
            </w:r>
            <w:r w:rsidR="00000A8B">
              <w:rPr>
                <w:b/>
              </w:rPr>
              <w:t>42</w:t>
            </w:r>
            <w:r>
              <w:rPr>
                <w:b/>
              </w:rPr>
              <w:t>,</w:t>
            </w:r>
            <w:r w:rsidR="003F33D7">
              <w:rPr>
                <w:b/>
              </w:rPr>
              <w:t>191</w:t>
            </w:r>
          </w:p>
        </w:tc>
      </w:tr>
    </w:tbl>
    <w:p w:rsidR="00F12244" w:rsidRDefault="00F12244" w:rsidP="00F417AF">
      <w:pPr>
        <w:rPr>
          <w:b/>
          <w:highlight w:val="yellow"/>
        </w:rPr>
      </w:pPr>
    </w:p>
    <w:p w:rsidR="008C6162" w:rsidRDefault="008C6162" w:rsidP="00F417AF">
      <w:pPr>
        <w:rPr>
          <w:b/>
        </w:rPr>
      </w:pPr>
      <w:r>
        <w:rPr>
          <w:b/>
        </w:rPr>
        <w:br w:type="page"/>
      </w:r>
    </w:p>
    <w:p w:rsidR="00F35B69" w:rsidRPr="007C7A80" w:rsidRDefault="00F12244" w:rsidP="00F417AF">
      <w:pPr>
        <w:rPr>
          <w:b/>
        </w:rPr>
      </w:pPr>
      <w:r w:rsidRPr="007C7A80">
        <w:rPr>
          <w:b/>
        </w:rPr>
        <w:lastRenderedPageBreak/>
        <w:t xml:space="preserve">Table-2b: </w:t>
      </w:r>
      <w:r w:rsidR="00F35B69" w:rsidRPr="007C7A80">
        <w:rPr>
          <w:b/>
        </w:rPr>
        <w:t>Federal Salaries for Conduction of Survey Events: $</w:t>
      </w:r>
      <w:r w:rsidR="003F33D7">
        <w:rPr>
          <w:b/>
        </w:rPr>
        <w:t>68,282</w:t>
      </w:r>
      <w:r w:rsidR="00D81839" w:rsidRPr="007C7A80">
        <w:rPr>
          <w:b/>
        </w:rPr>
        <w:t xml:space="preserve"> </w:t>
      </w:r>
    </w:p>
    <w:p w:rsidR="0057372A" w:rsidRPr="007C7A80" w:rsidRDefault="0057372A" w:rsidP="00F417AF">
      <w:pPr>
        <w:rPr>
          <w:b/>
        </w:rPr>
      </w:pPr>
    </w:p>
    <w:p w:rsidR="002E332B" w:rsidRDefault="0057372A" w:rsidP="00D266D4">
      <w:pPr>
        <w:tabs>
          <w:tab w:val="left" w:pos="90"/>
        </w:tabs>
        <w:ind w:left="90"/>
      </w:pPr>
      <w:r w:rsidRPr="007C7A80">
        <w:t>The total cost for each grade is calculated using OPM’s 201</w:t>
      </w:r>
      <w:r w:rsidR="00B94145">
        <w:t>5</w:t>
      </w:r>
      <w:r w:rsidRPr="007C7A80">
        <w:t xml:space="preserve"> General Schedule Locality Pay Tables (See </w:t>
      </w:r>
      <w:hyperlink r:id="rId11" w:history="1">
        <w:r w:rsidR="00ED2C69" w:rsidRPr="00EE7081">
          <w:rPr>
            <w:rStyle w:val="Hyperlink"/>
          </w:rPr>
          <w:t>http://www.opm.gov/policy-data-oversight/pay-leave/salaries-wages/salary-tables/pdf/2015/DCB.pdf</w:t>
        </w:r>
      </w:hyperlink>
      <w:r w:rsidR="00ED2C69">
        <w:t xml:space="preserve"> </w:t>
      </w:r>
      <w:r w:rsidRPr="007C7A80">
        <w:t>). All employees participating in the survey receive Washingt</w:t>
      </w:r>
      <w:r w:rsidR="007D4A47">
        <w:t>on, D.C. locality pay.  Salary</w:t>
      </w:r>
      <w:r w:rsidRPr="007C7A80">
        <w:t xml:space="preserve"> estimates are set at the Step 5 level for each grade.</w:t>
      </w:r>
      <w:r w:rsidR="00D266D4">
        <w:t xml:space="preserve"> Estimates are rounded to the nearest dollar.</w:t>
      </w:r>
    </w:p>
    <w:p w:rsidR="00F12244" w:rsidRDefault="00F12244" w:rsidP="00F417AF">
      <w:pPr>
        <w:rPr>
          <w:b/>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33"/>
        <w:gridCol w:w="1150"/>
        <w:gridCol w:w="601"/>
        <w:gridCol w:w="1344"/>
        <w:gridCol w:w="1810"/>
        <w:gridCol w:w="1822"/>
      </w:tblGrid>
      <w:tr w:rsidR="002326C7" w:rsidRPr="000629E7" w:rsidTr="008C6162">
        <w:trPr>
          <w:cantSplit/>
          <w:trHeight w:val="255"/>
        </w:trPr>
        <w:tc>
          <w:tcPr>
            <w:tcW w:w="2633" w:type="dxa"/>
            <w:shd w:val="clear" w:color="auto" w:fill="D9D9D9"/>
            <w:noWrap/>
            <w:tcMar>
              <w:top w:w="0" w:type="dxa"/>
              <w:left w:w="108" w:type="dxa"/>
              <w:bottom w:w="0" w:type="dxa"/>
              <w:right w:w="108" w:type="dxa"/>
            </w:tcMar>
            <w:vAlign w:val="center"/>
          </w:tcPr>
          <w:p w:rsidR="00F12244" w:rsidRPr="002326C7" w:rsidRDefault="002326C7" w:rsidP="003C2ACC">
            <w:pPr>
              <w:jc w:val="center"/>
              <w:rPr>
                <w:b/>
              </w:rPr>
            </w:pPr>
            <w:r w:rsidRPr="002326C7">
              <w:rPr>
                <w:b/>
              </w:rPr>
              <w:t>GS-Scale</w:t>
            </w:r>
          </w:p>
        </w:tc>
        <w:tc>
          <w:tcPr>
            <w:tcW w:w="1150" w:type="dxa"/>
            <w:shd w:val="clear" w:color="auto" w:fill="D9D9D9"/>
            <w:vAlign w:val="center"/>
          </w:tcPr>
          <w:p w:rsidR="00F12244" w:rsidRPr="001C202A" w:rsidRDefault="002326C7" w:rsidP="003C2ACC">
            <w:pPr>
              <w:jc w:val="center"/>
              <w:rPr>
                <w:b/>
              </w:rPr>
            </w:pPr>
            <w:r>
              <w:rPr>
                <w:b/>
              </w:rPr>
              <w:t>Employees</w:t>
            </w:r>
          </w:p>
        </w:tc>
        <w:tc>
          <w:tcPr>
            <w:tcW w:w="601" w:type="dxa"/>
            <w:shd w:val="clear" w:color="auto" w:fill="D9D9D9"/>
            <w:vAlign w:val="center"/>
          </w:tcPr>
          <w:p w:rsidR="00F12244" w:rsidRPr="001C202A" w:rsidRDefault="002326C7" w:rsidP="003C2ACC">
            <w:pPr>
              <w:jc w:val="center"/>
              <w:rPr>
                <w:b/>
              </w:rPr>
            </w:pPr>
            <w:r>
              <w:rPr>
                <w:b/>
              </w:rPr>
              <w:t>Days</w:t>
            </w:r>
          </w:p>
        </w:tc>
        <w:tc>
          <w:tcPr>
            <w:tcW w:w="1344" w:type="dxa"/>
            <w:shd w:val="clear" w:color="auto" w:fill="D9D9D9"/>
            <w:noWrap/>
            <w:tcMar>
              <w:top w:w="0" w:type="dxa"/>
              <w:left w:w="108" w:type="dxa"/>
              <w:bottom w:w="0" w:type="dxa"/>
              <w:right w:w="108" w:type="dxa"/>
            </w:tcMar>
            <w:vAlign w:val="center"/>
          </w:tcPr>
          <w:p w:rsidR="00F12244" w:rsidRPr="001C202A" w:rsidRDefault="002326C7" w:rsidP="003C2ACC">
            <w:pPr>
              <w:jc w:val="center"/>
              <w:rPr>
                <w:b/>
              </w:rPr>
            </w:pPr>
            <w:r>
              <w:rPr>
                <w:b/>
              </w:rPr>
              <w:t>Hours per Day</w:t>
            </w:r>
          </w:p>
        </w:tc>
        <w:tc>
          <w:tcPr>
            <w:tcW w:w="1810" w:type="dxa"/>
            <w:shd w:val="clear" w:color="auto" w:fill="D9D9D9"/>
            <w:vAlign w:val="center"/>
          </w:tcPr>
          <w:p w:rsidR="00F12244" w:rsidRPr="00AC44F8" w:rsidRDefault="002326C7" w:rsidP="0057372A">
            <w:pPr>
              <w:jc w:val="center"/>
              <w:rPr>
                <w:b/>
              </w:rPr>
            </w:pPr>
            <w:r>
              <w:rPr>
                <w:b/>
              </w:rPr>
              <w:t>Cost per Grad</w:t>
            </w:r>
            <w:r w:rsidR="0057372A">
              <w:rPr>
                <w:b/>
              </w:rPr>
              <w:t>e,</w:t>
            </w:r>
            <w:r>
              <w:rPr>
                <w:b/>
              </w:rPr>
              <w:t xml:space="preserve"> </w:t>
            </w:r>
            <w:r w:rsidR="0057372A">
              <w:rPr>
                <w:b/>
              </w:rPr>
              <w:t>per</w:t>
            </w:r>
            <w:r>
              <w:rPr>
                <w:b/>
              </w:rPr>
              <w:t xml:space="preserve"> Location</w:t>
            </w:r>
          </w:p>
        </w:tc>
        <w:tc>
          <w:tcPr>
            <w:tcW w:w="1822" w:type="dxa"/>
            <w:shd w:val="clear" w:color="auto" w:fill="D9D9D9"/>
            <w:vAlign w:val="center"/>
          </w:tcPr>
          <w:p w:rsidR="00F12244" w:rsidRPr="000629E7" w:rsidRDefault="00F12244" w:rsidP="0050174B">
            <w:pPr>
              <w:jc w:val="center"/>
            </w:pPr>
            <w:r w:rsidRPr="000629E7">
              <w:rPr>
                <w:b/>
                <w:bCs/>
              </w:rPr>
              <w:t xml:space="preserve">Total </w:t>
            </w:r>
            <w:r w:rsidR="002326C7">
              <w:rPr>
                <w:b/>
                <w:bCs/>
              </w:rPr>
              <w:t xml:space="preserve">Salary </w:t>
            </w:r>
            <w:r>
              <w:rPr>
                <w:b/>
                <w:bCs/>
              </w:rPr>
              <w:t>C</w:t>
            </w:r>
            <w:r w:rsidRPr="000629E7">
              <w:rPr>
                <w:b/>
                <w:bCs/>
              </w:rPr>
              <w:t>osts</w:t>
            </w:r>
            <w:r w:rsidR="002326C7">
              <w:rPr>
                <w:b/>
                <w:bCs/>
              </w:rPr>
              <w:t xml:space="preserve"> per Grade</w:t>
            </w:r>
            <w:r>
              <w:rPr>
                <w:b/>
                <w:bCs/>
              </w:rPr>
              <w:t xml:space="preserve"> </w:t>
            </w:r>
          </w:p>
        </w:tc>
      </w:tr>
      <w:tr w:rsidR="002326C7" w:rsidRPr="00F12244" w:rsidTr="008C6162">
        <w:trPr>
          <w:trHeight w:val="255"/>
        </w:trPr>
        <w:tc>
          <w:tcPr>
            <w:tcW w:w="2633" w:type="dxa"/>
            <w:noWrap/>
            <w:tcMar>
              <w:top w:w="0" w:type="dxa"/>
              <w:left w:w="108" w:type="dxa"/>
              <w:bottom w:w="0" w:type="dxa"/>
              <w:right w:w="108" w:type="dxa"/>
            </w:tcMar>
            <w:vAlign w:val="bottom"/>
          </w:tcPr>
          <w:p w:rsidR="00F12244" w:rsidRDefault="002326C7" w:rsidP="003C2ACC">
            <w:pPr>
              <w:rPr>
                <w:b/>
              </w:rPr>
            </w:pPr>
            <w:r>
              <w:rPr>
                <w:b/>
              </w:rPr>
              <w:t>GS-15, Step 5</w:t>
            </w:r>
          </w:p>
          <w:p w:rsidR="002326C7" w:rsidRPr="002326C7" w:rsidRDefault="002326C7" w:rsidP="008C6162">
            <w:pPr>
              <w:rPr>
                <w:sz w:val="20"/>
                <w:szCs w:val="20"/>
              </w:rPr>
            </w:pPr>
            <w:r w:rsidRPr="002326C7">
              <w:rPr>
                <w:sz w:val="20"/>
                <w:szCs w:val="20"/>
              </w:rPr>
              <w:t>($</w:t>
            </w:r>
            <w:r w:rsidR="008C6162">
              <w:rPr>
                <w:sz w:val="20"/>
                <w:szCs w:val="20"/>
              </w:rPr>
              <w:t>143,079</w:t>
            </w:r>
            <w:r w:rsidRPr="002326C7">
              <w:rPr>
                <w:sz w:val="20"/>
                <w:szCs w:val="20"/>
              </w:rPr>
              <w:t>,$6</w:t>
            </w:r>
            <w:r w:rsidR="008C6162">
              <w:rPr>
                <w:sz w:val="20"/>
                <w:szCs w:val="20"/>
              </w:rPr>
              <w:t>8.56</w:t>
            </w:r>
            <w:r w:rsidRPr="002326C7">
              <w:rPr>
                <w:sz w:val="20"/>
                <w:szCs w:val="20"/>
              </w:rPr>
              <w:t xml:space="preserve"> </w:t>
            </w:r>
            <w:r>
              <w:rPr>
                <w:sz w:val="20"/>
                <w:szCs w:val="20"/>
              </w:rPr>
              <w:t>h</w:t>
            </w:r>
            <w:r w:rsidRPr="002326C7">
              <w:rPr>
                <w:sz w:val="20"/>
                <w:szCs w:val="20"/>
              </w:rPr>
              <w:t>our)</w:t>
            </w:r>
          </w:p>
        </w:tc>
        <w:tc>
          <w:tcPr>
            <w:tcW w:w="1150" w:type="dxa"/>
            <w:vAlign w:val="center"/>
          </w:tcPr>
          <w:p w:rsidR="00F12244" w:rsidRPr="00F12244" w:rsidRDefault="002326C7" w:rsidP="003C2ACC">
            <w:pPr>
              <w:jc w:val="center"/>
              <w:rPr>
                <w:b/>
              </w:rPr>
            </w:pPr>
            <w:r>
              <w:rPr>
                <w:b/>
              </w:rPr>
              <w:t>2</w:t>
            </w:r>
          </w:p>
        </w:tc>
        <w:tc>
          <w:tcPr>
            <w:tcW w:w="601" w:type="dxa"/>
            <w:vAlign w:val="center"/>
          </w:tcPr>
          <w:p w:rsidR="00F12244" w:rsidRPr="00F12244" w:rsidRDefault="00D266D4" w:rsidP="00D266D4">
            <w:pPr>
              <w:jc w:val="center"/>
              <w:rPr>
                <w:b/>
              </w:rPr>
            </w:pPr>
            <w:r>
              <w:rPr>
                <w:b/>
              </w:rPr>
              <w:t>21</w:t>
            </w:r>
          </w:p>
        </w:tc>
        <w:tc>
          <w:tcPr>
            <w:tcW w:w="1344" w:type="dxa"/>
            <w:noWrap/>
            <w:tcMar>
              <w:top w:w="0" w:type="dxa"/>
              <w:left w:w="108" w:type="dxa"/>
              <w:bottom w:w="0" w:type="dxa"/>
              <w:right w:w="108" w:type="dxa"/>
            </w:tcMar>
            <w:vAlign w:val="center"/>
          </w:tcPr>
          <w:p w:rsidR="00F12244" w:rsidRPr="00F12244" w:rsidRDefault="00000A8B" w:rsidP="003C2ACC">
            <w:pPr>
              <w:jc w:val="center"/>
              <w:rPr>
                <w:b/>
              </w:rPr>
            </w:pPr>
            <w:r>
              <w:rPr>
                <w:b/>
              </w:rPr>
              <w:t>9</w:t>
            </w:r>
          </w:p>
        </w:tc>
        <w:tc>
          <w:tcPr>
            <w:tcW w:w="1810" w:type="dxa"/>
            <w:vAlign w:val="center"/>
          </w:tcPr>
          <w:p w:rsidR="00F12244" w:rsidRPr="002326C7" w:rsidRDefault="002326C7" w:rsidP="00D266D4">
            <w:pPr>
              <w:jc w:val="center"/>
              <w:rPr>
                <w:b/>
              </w:rPr>
            </w:pPr>
            <w:r w:rsidRPr="002326C7">
              <w:rPr>
                <w:b/>
              </w:rPr>
              <w:t>$</w:t>
            </w:r>
            <w:r w:rsidR="00D266D4">
              <w:rPr>
                <w:b/>
              </w:rPr>
              <w:t>12,958</w:t>
            </w:r>
          </w:p>
        </w:tc>
        <w:tc>
          <w:tcPr>
            <w:tcW w:w="1822" w:type="dxa"/>
            <w:shd w:val="clear" w:color="auto" w:fill="D9D9D9"/>
            <w:vAlign w:val="center"/>
          </w:tcPr>
          <w:p w:rsidR="00F12244" w:rsidRPr="00F12244" w:rsidRDefault="002326C7" w:rsidP="00D266D4">
            <w:pPr>
              <w:jc w:val="center"/>
              <w:rPr>
                <w:b/>
              </w:rPr>
            </w:pPr>
            <w:r>
              <w:rPr>
                <w:b/>
              </w:rPr>
              <w:t>$</w:t>
            </w:r>
            <w:r w:rsidR="00D266D4">
              <w:rPr>
                <w:b/>
              </w:rPr>
              <w:t>25,916</w:t>
            </w:r>
          </w:p>
        </w:tc>
      </w:tr>
      <w:tr w:rsidR="002326C7" w:rsidRPr="00F12244" w:rsidTr="008C6162">
        <w:trPr>
          <w:trHeight w:val="255"/>
        </w:trPr>
        <w:tc>
          <w:tcPr>
            <w:tcW w:w="2633" w:type="dxa"/>
            <w:noWrap/>
            <w:tcMar>
              <w:top w:w="0" w:type="dxa"/>
              <w:left w:w="108" w:type="dxa"/>
              <w:bottom w:w="0" w:type="dxa"/>
              <w:right w:w="108" w:type="dxa"/>
            </w:tcMar>
            <w:vAlign w:val="bottom"/>
          </w:tcPr>
          <w:p w:rsidR="00F12244" w:rsidRDefault="002326C7" w:rsidP="003C2ACC">
            <w:pPr>
              <w:rPr>
                <w:b/>
              </w:rPr>
            </w:pPr>
            <w:r>
              <w:rPr>
                <w:b/>
              </w:rPr>
              <w:t>GS-14, Step 5</w:t>
            </w:r>
          </w:p>
          <w:p w:rsidR="002326C7" w:rsidRPr="002326C7" w:rsidRDefault="0057372A" w:rsidP="008C6162">
            <w:pPr>
              <w:rPr>
                <w:sz w:val="20"/>
                <w:szCs w:val="20"/>
              </w:rPr>
            </w:pPr>
            <w:r>
              <w:rPr>
                <w:sz w:val="20"/>
                <w:szCs w:val="20"/>
              </w:rPr>
              <w:t>($</w:t>
            </w:r>
            <w:r w:rsidR="008C6162">
              <w:rPr>
                <w:sz w:val="20"/>
                <w:szCs w:val="20"/>
              </w:rPr>
              <w:t>121,635</w:t>
            </w:r>
            <w:r>
              <w:rPr>
                <w:sz w:val="20"/>
                <w:szCs w:val="20"/>
              </w:rPr>
              <w:t>,</w:t>
            </w:r>
            <w:r w:rsidR="002326C7" w:rsidRPr="002326C7">
              <w:rPr>
                <w:sz w:val="20"/>
                <w:szCs w:val="20"/>
              </w:rPr>
              <w:t>$5</w:t>
            </w:r>
            <w:r w:rsidR="008C6162">
              <w:rPr>
                <w:sz w:val="20"/>
                <w:szCs w:val="20"/>
              </w:rPr>
              <w:t>8.28</w:t>
            </w:r>
            <w:r w:rsidR="002326C7" w:rsidRPr="002326C7">
              <w:rPr>
                <w:sz w:val="20"/>
                <w:szCs w:val="20"/>
              </w:rPr>
              <w:t xml:space="preserve"> </w:t>
            </w:r>
            <w:r>
              <w:rPr>
                <w:sz w:val="20"/>
                <w:szCs w:val="20"/>
              </w:rPr>
              <w:t>h</w:t>
            </w:r>
            <w:r w:rsidR="002326C7" w:rsidRPr="002326C7">
              <w:rPr>
                <w:sz w:val="20"/>
                <w:szCs w:val="20"/>
              </w:rPr>
              <w:t>our)</w:t>
            </w:r>
          </w:p>
        </w:tc>
        <w:tc>
          <w:tcPr>
            <w:tcW w:w="1150" w:type="dxa"/>
            <w:vAlign w:val="center"/>
          </w:tcPr>
          <w:p w:rsidR="00F12244" w:rsidRPr="00F12244" w:rsidRDefault="002326C7" w:rsidP="003C2ACC">
            <w:pPr>
              <w:jc w:val="center"/>
              <w:rPr>
                <w:b/>
              </w:rPr>
            </w:pPr>
            <w:r>
              <w:rPr>
                <w:b/>
              </w:rPr>
              <w:t>3</w:t>
            </w:r>
          </w:p>
        </w:tc>
        <w:tc>
          <w:tcPr>
            <w:tcW w:w="601" w:type="dxa"/>
            <w:vAlign w:val="center"/>
          </w:tcPr>
          <w:p w:rsidR="00F12244" w:rsidRPr="00F12244" w:rsidRDefault="00D266D4" w:rsidP="003C2ACC">
            <w:pPr>
              <w:jc w:val="center"/>
              <w:rPr>
                <w:b/>
              </w:rPr>
            </w:pPr>
            <w:r>
              <w:rPr>
                <w:b/>
              </w:rPr>
              <w:t>21</w:t>
            </w:r>
          </w:p>
        </w:tc>
        <w:tc>
          <w:tcPr>
            <w:tcW w:w="1344" w:type="dxa"/>
            <w:noWrap/>
            <w:tcMar>
              <w:top w:w="0" w:type="dxa"/>
              <w:left w:w="108" w:type="dxa"/>
              <w:bottom w:w="0" w:type="dxa"/>
              <w:right w:w="108" w:type="dxa"/>
            </w:tcMar>
            <w:vAlign w:val="center"/>
          </w:tcPr>
          <w:p w:rsidR="00F12244" w:rsidRPr="00F12244" w:rsidRDefault="00000A8B" w:rsidP="003C2ACC">
            <w:pPr>
              <w:jc w:val="center"/>
              <w:rPr>
                <w:b/>
              </w:rPr>
            </w:pPr>
            <w:r>
              <w:rPr>
                <w:b/>
              </w:rPr>
              <w:t>9</w:t>
            </w:r>
          </w:p>
        </w:tc>
        <w:tc>
          <w:tcPr>
            <w:tcW w:w="1810" w:type="dxa"/>
            <w:vAlign w:val="center"/>
          </w:tcPr>
          <w:p w:rsidR="00F12244" w:rsidRPr="0057372A" w:rsidRDefault="002326C7" w:rsidP="001D732F">
            <w:pPr>
              <w:jc w:val="center"/>
              <w:rPr>
                <w:b/>
              </w:rPr>
            </w:pPr>
            <w:r w:rsidRPr="0057372A">
              <w:rPr>
                <w:b/>
              </w:rPr>
              <w:t>$</w:t>
            </w:r>
            <w:r w:rsidR="001D732F">
              <w:rPr>
                <w:b/>
              </w:rPr>
              <w:t>11,015</w:t>
            </w:r>
          </w:p>
        </w:tc>
        <w:tc>
          <w:tcPr>
            <w:tcW w:w="1822" w:type="dxa"/>
            <w:shd w:val="clear" w:color="auto" w:fill="D9D9D9"/>
            <w:vAlign w:val="center"/>
          </w:tcPr>
          <w:p w:rsidR="00F12244" w:rsidRPr="00F12244" w:rsidRDefault="002326C7" w:rsidP="001D732F">
            <w:pPr>
              <w:jc w:val="center"/>
              <w:rPr>
                <w:b/>
              </w:rPr>
            </w:pPr>
            <w:r>
              <w:rPr>
                <w:b/>
              </w:rPr>
              <w:t>$</w:t>
            </w:r>
            <w:r w:rsidR="001D732F">
              <w:rPr>
                <w:b/>
              </w:rPr>
              <w:t>33,045</w:t>
            </w:r>
          </w:p>
        </w:tc>
      </w:tr>
      <w:tr w:rsidR="002326C7" w:rsidRPr="00F12244" w:rsidTr="008C6162">
        <w:trPr>
          <w:trHeight w:val="255"/>
        </w:trPr>
        <w:tc>
          <w:tcPr>
            <w:tcW w:w="2633" w:type="dxa"/>
            <w:noWrap/>
            <w:tcMar>
              <w:top w:w="0" w:type="dxa"/>
              <w:left w:w="108" w:type="dxa"/>
              <w:bottom w:w="0" w:type="dxa"/>
              <w:right w:w="108" w:type="dxa"/>
            </w:tcMar>
            <w:vAlign w:val="bottom"/>
          </w:tcPr>
          <w:p w:rsidR="00F12244" w:rsidRDefault="002326C7" w:rsidP="003C2ACC">
            <w:pPr>
              <w:rPr>
                <w:b/>
              </w:rPr>
            </w:pPr>
            <w:r>
              <w:rPr>
                <w:b/>
              </w:rPr>
              <w:t>GS-13, Step 5</w:t>
            </w:r>
          </w:p>
          <w:p w:rsidR="002326C7" w:rsidRPr="0057372A" w:rsidRDefault="0057372A" w:rsidP="003C2ACC">
            <w:pPr>
              <w:rPr>
                <w:sz w:val="20"/>
                <w:szCs w:val="20"/>
              </w:rPr>
            </w:pPr>
            <w:r w:rsidRPr="0057372A">
              <w:rPr>
                <w:sz w:val="20"/>
                <w:szCs w:val="20"/>
              </w:rPr>
              <w:t>($10</w:t>
            </w:r>
            <w:r w:rsidR="008C6162">
              <w:rPr>
                <w:sz w:val="20"/>
                <w:szCs w:val="20"/>
              </w:rPr>
              <w:t>2,932</w:t>
            </w:r>
            <w:r w:rsidRPr="0057372A">
              <w:rPr>
                <w:sz w:val="20"/>
                <w:szCs w:val="20"/>
              </w:rPr>
              <w:t>,</w:t>
            </w:r>
            <w:r w:rsidR="002326C7" w:rsidRPr="0057372A">
              <w:rPr>
                <w:sz w:val="20"/>
                <w:szCs w:val="20"/>
              </w:rPr>
              <w:t>$4</w:t>
            </w:r>
            <w:r w:rsidR="008C6162">
              <w:rPr>
                <w:sz w:val="20"/>
                <w:szCs w:val="20"/>
              </w:rPr>
              <w:t>9.32</w:t>
            </w:r>
            <w:r w:rsidR="002326C7" w:rsidRPr="0057372A">
              <w:rPr>
                <w:sz w:val="20"/>
                <w:szCs w:val="20"/>
              </w:rPr>
              <w:t xml:space="preserve"> hour)</w:t>
            </w:r>
          </w:p>
        </w:tc>
        <w:tc>
          <w:tcPr>
            <w:tcW w:w="1150" w:type="dxa"/>
            <w:vAlign w:val="center"/>
          </w:tcPr>
          <w:p w:rsidR="00F12244" w:rsidRPr="00F12244" w:rsidRDefault="002326C7" w:rsidP="003C2ACC">
            <w:pPr>
              <w:jc w:val="center"/>
              <w:rPr>
                <w:b/>
              </w:rPr>
            </w:pPr>
            <w:r>
              <w:rPr>
                <w:b/>
              </w:rPr>
              <w:t>1</w:t>
            </w:r>
          </w:p>
        </w:tc>
        <w:tc>
          <w:tcPr>
            <w:tcW w:w="601" w:type="dxa"/>
            <w:vAlign w:val="center"/>
          </w:tcPr>
          <w:p w:rsidR="00F12244" w:rsidRPr="00F12244" w:rsidRDefault="00D266D4" w:rsidP="003C2ACC">
            <w:pPr>
              <w:jc w:val="center"/>
              <w:rPr>
                <w:b/>
              </w:rPr>
            </w:pPr>
            <w:r>
              <w:rPr>
                <w:b/>
              </w:rPr>
              <w:t>21</w:t>
            </w:r>
          </w:p>
        </w:tc>
        <w:tc>
          <w:tcPr>
            <w:tcW w:w="1344" w:type="dxa"/>
            <w:noWrap/>
            <w:tcMar>
              <w:top w:w="0" w:type="dxa"/>
              <w:left w:w="108" w:type="dxa"/>
              <w:bottom w:w="0" w:type="dxa"/>
              <w:right w:w="108" w:type="dxa"/>
            </w:tcMar>
            <w:vAlign w:val="center"/>
          </w:tcPr>
          <w:p w:rsidR="00F12244" w:rsidRPr="00F12244" w:rsidRDefault="00000A8B" w:rsidP="003C2ACC">
            <w:pPr>
              <w:jc w:val="center"/>
              <w:rPr>
                <w:b/>
              </w:rPr>
            </w:pPr>
            <w:r>
              <w:rPr>
                <w:b/>
              </w:rPr>
              <w:t>9</w:t>
            </w:r>
          </w:p>
        </w:tc>
        <w:tc>
          <w:tcPr>
            <w:tcW w:w="1810" w:type="dxa"/>
            <w:vAlign w:val="center"/>
          </w:tcPr>
          <w:p w:rsidR="00F12244" w:rsidRPr="0057372A" w:rsidRDefault="002326C7" w:rsidP="001D732F">
            <w:pPr>
              <w:jc w:val="center"/>
              <w:rPr>
                <w:b/>
              </w:rPr>
            </w:pPr>
            <w:r w:rsidRPr="0057372A">
              <w:rPr>
                <w:b/>
              </w:rPr>
              <w:t>$</w:t>
            </w:r>
            <w:r w:rsidR="001D732F">
              <w:rPr>
                <w:b/>
              </w:rPr>
              <w:t>9,321</w:t>
            </w:r>
          </w:p>
        </w:tc>
        <w:tc>
          <w:tcPr>
            <w:tcW w:w="1822" w:type="dxa"/>
            <w:shd w:val="clear" w:color="auto" w:fill="D9D9D9"/>
            <w:vAlign w:val="center"/>
          </w:tcPr>
          <w:p w:rsidR="00F12244" w:rsidRPr="00F12244" w:rsidRDefault="002326C7" w:rsidP="001D732F">
            <w:pPr>
              <w:jc w:val="center"/>
              <w:rPr>
                <w:b/>
              </w:rPr>
            </w:pPr>
            <w:r>
              <w:rPr>
                <w:b/>
              </w:rPr>
              <w:t>$</w:t>
            </w:r>
            <w:r w:rsidR="001D732F">
              <w:rPr>
                <w:b/>
              </w:rPr>
              <w:t>9,321</w:t>
            </w:r>
          </w:p>
        </w:tc>
      </w:tr>
      <w:tr w:rsidR="002326C7" w:rsidTr="008C6162">
        <w:trPr>
          <w:trHeight w:val="350"/>
        </w:trPr>
        <w:tc>
          <w:tcPr>
            <w:tcW w:w="7538" w:type="dxa"/>
            <w:gridSpan w:val="5"/>
            <w:shd w:val="clear" w:color="auto" w:fill="A6A6A6"/>
            <w:noWrap/>
            <w:tcMar>
              <w:top w:w="0" w:type="dxa"/>
              <w:left w:w="108" w:type="dxa"/>
              <w:bottom w:w="0" w:type="dxa"/>
              <w:right w:w="108" w:type="dxa"/>
            </w:tcMar>
            <w:vAlign w:val="bottom"/>
          </w:tcPr>
          <w:p w:rsidR="002326C7" w:rsidRPr="00F36F0B" w:rsidRDefault="002326C7" w:rsidP="00533AFD">
            <w:pPr>
              <w:jc w:val="center"/>
              <w:rPr>
                <w:b/>
              </w:rPr>
            </w:pPr>
            <w:r>
              <w:rPr>
                <w:b/>
              </w:rPr>
              <w:t>Overall Salary Cost</w:t>
            </w:r>
          </w:p>
        </w:tc>
        <w:tc>
          <w:tcPr>
            <w:tcW w:w="1822" w:type="dxa"/>
            <w:shd w:val="clear" w:color="auto" w:fill="A6A6A6"/>
            <w:vAlign w:val="center"/>
          </w:tcPr>
          <w:p w:rsidR="002326C7" w:rsidRDefault="002326C7" w:rsidP="001D732F">
            <w:pPr>
              <w:jc w:val="center"/>
              <w:rPr>
                <w:b/>
              </w:rPr>
            </w:pPr>
            <w:r>
              <w:rPr>
                <w:b/>
              </w:rPr>
              <w:t>$</w:t>
            </w:r>
            <w:r w:rsidR="001D732F">
              <w:rPr>
                <w:b/>
              </w:rPr>
              <w:t>68,282</w:t>
            </w:r>
          </w:p>
        </w:tc>
      </w:tr>
    </w:tbl>
    <w:p w:rsidR="00F12244" w:rsidRPr="00973D0A" w:rsidRDefault="00F12244" w:rsidP="00F417AF">
      <w:pPr>
        <w:rPr>
          <w:b/>
          <w:bCs/>
          <w:highlight w:val="yellow"/>
        </w:rPr>
      </w:pPr>
    </w:p>
    <w:p w:rsidR="004D09B2" w:rsidRDefault="004D09B2">
      <w:pPr>
        <w:pStyle w:val="NormalWeb"/>
        <w:rPr>
          <w:b/>
          <w:bCs/>
        </w:rPr>
      </w:pPr>
      <w:r>
        <w:rPr>
          <w:b/>
          <w:bCs/>
        </w:rPr>
        <w:t>15.  Explanation of program changes or adjustments.</w:t>
      </w:r>
    </w:p>
    <w:p w:rsidR="00EA6A43" w:rsidRDefault="004D09B2">
      <w:pPr>
        <w:pStyle w:val="NormalWeb"/>
        <w:rPr>
          <w:b/>
        </w:rPr>
      </w:pPr>
      <w:r>
        <w:t xml:space="preserve">The program change </w:t>
      </w:r>
      <w:r w:rsidR="000E645B">
        <w:t xml:space="preserve">increase </w:t>
      </w:r>
      <w:r>
        <w:t xml:space="preserve">of </w:t>
      </w:r>
      <w:r w:rsidR="002B37DA">
        <w:t xml:space="preserve">214 </w:t>
      </w:r>
      <w:r>
        <w:t>burden hours is due t</w:t>
      </w:r>
      <w:r w:rsidR="00EA6A43">
        <w:t>o a new information collection.</w:t>
      </w:r>
    </w:p>
    <w:p w:rsidR="00EA6A43" w:rsidRDefault="004D09B2" w:rsidP="00EA6A43">
      <w:pPr>
        <w:pStyle w:val="NormalWeb"/>
        <w:rPr>
          <w:b/>
          <w:bCs/>
        </w:rPr>
      </w:pPr>
      <w:r w:rsidRPr="00405960">
        <w:rPr>
          <w:b/>
        </w:rPr>
        <w:t>1</w:t>
      </w:r>
      <w:r>
        <w:rPr>
          <w:b/>
          <w:bCs/>
        </w:rPr>
        <w:t>6.  Publication of results of data collection.</w:t>
      </w:r>
    </w:p>
    <w:p w:rsidR="004D09B2" w:rsidRDefault="004D09B2" w:rsidP="00EA6A43">
      <w:pPr>
        <w:pStyle w:val="NormalWeb"/>
      </w:pPr>
      <w:r w:rsidRPr="007C7A80">
        <w:t>Survey data will be quantified using standard statistical methods that flow from the straightforward design of the survey.  The results will be aggregated</w:t>
      </w:r>
      <w:r w:rsidR="0054739F" w:rsidRPr="007C7A80">
        <w:t xml:space="preserve">.  </w:t>
      </w:r>
      <w:r w:rsidRPr="007C7A80">
        <w:t>Survey results will be available to the public at both the DOT’s and the FMCSA’s web site</w:t>
      </w:r>
      <w:r w:rsidR="003008BD" w:rsidRPr="007C7A80">
        <w:t>s</w:t>
      </w:r>
      <w:r w:rsidRPr="007C7A80">
        <w:t xml:space="preserve"> respectively at </w:t>
      </w:r>
      <w:hyperlink r:id="rId12" w:history="1">
        <w:r w:rsidRPr="007C7A80">
          <w:rPr>
            <w:rStyle w:val="Hyperlink"/>
          </w:rPr>
          <w:t>www.dot.gov</w:t>
        </w:r>
      </w:hyperlink>
      <w:r w:rsidRPr="007C7A80">
        <w:t xml:space="preserve"> and </w:t>
      </w:r>
      <w:hyperlink r:id="rId13" w:history="1">
        <w:r w:rsidRPr="007C7A80">
          <w:rPr>
            <w:rStyle w:val="Hyperlink"/>
          </w:rPr>
          <w:t>www.fmcsa.dot.gov</w:t>
        </w:r>
      </w:hyperlink>
      <w:r w:rsidRPr="007C7A80">
        <w:t>.</w:t>
      </w:r>
    </w:p>
    <w:p w:rsidR="004D09B2" w:rsidRDefault="004D09B2">
      <w:pPr>
        <w:pStyle w:val="NormalWeb"/>
        <w:rPr>
          <w:b/>
          <w:bCs/>
        </w:rPr>
      </w:pPr>
      <w:r>
        <w:rPr>
          <w:b/>
          <w:bCs/>
        </w:rPr>
        <w:t>17.  Approval for not displaying the expiration date of OMB Approval.</w:t>
      </w:r>
    </w:p>
    <w:p w:rsidR="004D09B2" w:rsidRDefault="004D09B2">
      <w:r>
        <w:t>FMCSA is not seeking an exemption from displaying the expiration date on the information collection questionnaires.</w:t>
      </w:r>
    </w:p>
    <w:p w:rsidR="004D09B2" w:rsidRDefault="004D09B2">
      <w:pPr>
        <w:pStyle w:val="NormalWeb"/>
        <w:rPr>
          <w:b/>
          <w:bCs/>
        </w:rPr>
      </w:pPr>
      <w:r>
        <w:rPr>
          <w:b/>
          <w:bCs/>
        </w:rPr>
        <w:t>18.  Exceptions to certification statement.</w:t>
      </w:r>
    </w:p>
    <w:p w:rsidR="004D09B2" w:rsidRDefault="004D09B2">
      <w:pPr>
        <w:pStyle w:val="NormalWeb"/>
      </w:pPr>
      <w:r>
        <w:t>None</w:t>
      </w:r>
    </w:p>
    <w:sectPr w:rsidR="004D09B2" w:rsidSect="00D80FEF">
      <w:headerReference w:type="even" r:id="rId14"/>
      <w:headerReference w:type="default" r:id="rId15"/>
      <w:footerReference w:type="even" r:id="rId16"/>
      <w:footerReference w:type="defaul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3B4" w:rsidRDefault="004C43B4">
      <w:r>
        <w:separator/>
      </w:r>
    </w:p>
  </w:endnote>
  <w:endnote w:type="continuationSeparator" w:id="0">
    <w:p w:rsidR="004C43B4" w:rsidRDefault="004C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6A3823">
    <w:pPr>
      <w:pStyle w:val="Footer"/>
      <w:framePr w:wrap="around" w:vAnchor="text" w:hAnchor="margin" w:xAlign="center" w:y="1"/>
      <w:rPr>
        <w:rStyle w:val="PageNumber"/>
      </w:rPr>
    </w:pPr>
    <w:r>
      <w:rPr>
        <w:rStyle w:val="PageNumber"/>
      </w:rPr>
      <w:fldChar w:fldCharType="begin"/>
    </w:r>
    <w:r w:rsidR="004D09B2">
      <w:rPr>
        <w:rStyle w:val="PageNumber"/>
      </w:rPr>
      <w:instrText xml:space="preserve">PAGE  </w:instrText>
    </w:r>
    <w:r>
      <w:rPr>
        <w:rStyle w:val="PageNumber"/>
      </w:rPr>
      <w:fldChar w:fldCharType="end"/>
    </w:r>
  </w:p>
  <w:p w:rsidR="004D09B2" w:rsidRDefault="004D0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212703"/>
      <w:docPartObj>
        <w:docPartGallery w:val="Page Numbers (Bottom of Page)"/>
        <w:docPartUnique/>
      </w:docPartObj>
    </w:sdtPr>
    <w:sdtEndPr>
      <w:rPr>
        <w:noProof/>
      </w:rPr>
    </w:sdtEndPr>
    <w:sdtContent>
      <w:p w:rsidR="006C2E21" w:rsidRDefault="006C2E2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D09B2" w:rsidRDefault="004D09B2">
    <w:pPr>
      <w:pStyle w:val="OmniPage1"/>
      <w:spacing w:line="240" w:lineRule="auto"/>
      <w:ind w:right="12"/>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4D09B2">
    <w:pPr>
      <w:pStyle w:val="OmniPage1"/>
      <w:spacing w:line="240" w:lineRule="auto"/>
      <w:ind w:right="12"/>
      <w:jc w:val="center"/>
      <w:rPr>
        <w:i/>
        <w:sz w:val="18"/>
        <w:szCs w:val="18"/>
      </w:rPr>
    </w:pPr>
    <w:r>
      <w:rPr>
        <w:i/>
        <w:sz w:val="18"/>
        <w:szCs w:val="18"/>
      </w:rPr>
      <w:t>OMB Supporting Statement - DRAFT</w:t>
    </w:r>
  </w:p>
  <w:p w:rsidR="004D09B2" w:rsidRDefault="004D09B2">
    <w:pPr>
      <w:pStyle w:val="OmniPage1"/>
      <w:spacing w:line="240" w:lineRule="auto"/>
      <w:ind w:right="12"/>
      <w:jc w:val="center"/>
      <w:rPr>
        <w:i/>
        <w:sz w:val="18"/>
        <w:szCs w:val="18"/>
      </w:rPr>
    </w:pPr>
    <w:r>
      <w:rPr>
        <w:i/>
        <w:sz w:val="18"/>
        <w:szCs w:val="18"/>
      </w:rPr>
      <w:t>Annual Commercial Vehicle Driver Survey: Truck Driver Hours of Service &amp; Fatigue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3B4" w:rsidRDefault="004C43B4">
      <w:r>
        <w:separator/>
      </w:r>
    </w:p>
  </w:footnote>
  <w:footnote w:type="continuationSeparator" w:id="0">
    <w:p w:rsidR="004C43B4" w:rsidRDefault="004C4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6A3823">
    <w:pPr>
      <w:pStyle w:val="Header"/>
      <w:framePr w:wrap="around" w:vAnchor="text" w:hAnchor="margin" w:xAlign="center" w:y="1"/>
      <w:rPr>
        <w:rStyle w:val="PageNumber"/>
      </w:rPr>
    </w:pPr>
    <w:r>
      <w:rPr>
        <w:rStyle w:val="PageNumber"/>
      </w:rPr>
      <w:fldChar w:fldCharType="begin"/>
    </w:r>
    <w:r w:rsidR="004D09B2">
      <w:rPr>
        <w:rStyle w:val="PageNumber"/>
      </w:rPr>
      <w:instrText xml:space="preserve">PAGE  </w:instrText>
    </w:r>
    <w:r>
      <w:rPr>
        <w:rStyle w:val="PageNumber"/>
      </w:rPr>
      <w:fldChar w:fldCharType="end"/>
    </w:r>
  </w:p>
  <w:p w:rsidR="004D09B2" w:rsidRDefault="004D09B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4D09B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F634E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100A74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A2A01B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7EAE87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8781C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AEA9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B003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7445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8441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10D06C"/>
    <w:lvl w:ilvl="0">
      <w:start w:val="1"/>
      <w:numFmt w:val="bullet"/>
      <w:lvlText w:val=""/>
      <w:lvlJc w:val="left"/>
      <w:pPr>
        <w:tabs>
          <w:tab w:val="num" w:pos="360"/>
        </w:tabs>
        <w:ind w:left="360" w:hanging="360"/>
      </w:pPr>
      <w:rPr>
        <w:rFonts w:ascii="Symbol" w:hAnsi="Symbol" w:hint="default"/>
      </w:rPr>
    </w:lvl>
  </w:abstractNum>
  <w:abstractNum w:abstractNumId="10">
    <w:nsid w:val="08C069CE"/>
    <w:multiLevelType w:val="hybridMultilevel"/>
    <w:tmpl w:val="BECAC69C"/>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BD10DB9"/>
    <w:multiLevelType w:val="hybridMultilevel"/>
    <w:tmpl w:val="91C48906"/>
    <w:lvl w:ilvl="0" w:tplc="87F661E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3096DC2"/>
    <w:multiLevelType w:val="hybridMultilevel"/>
    <w:tmpl w:val="AB8A3ABA"/>
    <w:lvl w:ilvl="0" w:tplc="4AB8CF8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902DF5"/>
    <w:multiLevelType w:val="hybridMultilevel"/>
    <w:tmpl w:val="560429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D70C5C"/>
    <w:multiLevelType w:val="multilevel"/>
    <w:tmpl w:val="B5949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C5240"/>
    <w:multiLevelType w:val="hybridMultilevel"/>
    <w:tmpl w:val="189A3C4C"/>
    <w:lvl w:ilvl="0" w:tplc="4E348126">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EB493C"/>
    <w:multiLevelType w:val="hybridMultilevel"/>
    <w:tmpl w:val="A20E791A"/>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732607"/>
    <w:multiLevelType w:val="hybridMultilevel"/>
    <w:tmpl w:val="A072A03A"/>
    <w:lvl w:ilvl="0" w:tplc="B25C023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ECB2CF1"/>
    <w:multiLevelType w:val="hybridMultilevel"/>
    <w:tmpl w:val="08561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C1628F"/>
    <w:multiLevelType w:val="hybridMultilevel"/>
    <w:tmpl w:val="C5780326"/>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000F08"/>
    <w:multiLevelType w:val="hybridMultilevel"/>
    <w:tmpl w:val="7756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A06555"/>
    <w:multiLevelType w:val="hybridMultilevel"/>
    <w:tmpl w:val="5F689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E9603E"/>
    <w:multiLevelType w:val="hybridMultilevel"/>
    <w:tmpl w:val="92FEB8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6F14516"/>
    <w:multiLevelType w:val="hybridMultilevel"/>
    <w:tmpl w:val="F81866BE"/>
    <w:lvl w:ilvl="0" w:tplc="18D29DFA">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9B44666"/>
    <w:multiLevelType w:val="hybridMultilevel"/>
    <w:tmpl w:val="D2302D58"/>
    <w:lvl w:ilvl="0" w:tplc="05722DC8">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915130"/>
    <w:multiLevelType w:val="multilevel"/>
    <w:tmpl w:val="DB7E1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4"/>
  </w:num>
  <w:num w:numId="3">
    <w:abstractNumId w:val="22"/>
  </w:num>
  <w:num w:numId="4">
    <w:abstractNumId w:val="21"/>
  </w:num>
  <w:num w:numId="5">
    <w:abstractNumId w:val="16"/>
  </w:num>
  <w:num w:numId="6">
    <w:abstractNumId w:val="19"/>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23"/>
  </w:num>
  <w:num w:numId="20">
    <w:abstractNumId w:val="11"/>
  </w:num>
  <w:num w:numId="21">
    <w:abstractNumId w:val="12"/>
  </w:num>
  <w:num w:numId="22">
    <w:abstractNumId w:val="17"/>
  </w:num>
  <w:num w:numId="23">
    <w:abstractNumId w:val="15"/>
  </w:num>
  <w:num w:numId="24">
    <w:abstractNumId w:val="20"/>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AA"/>
    <w:rsid w:val="0000010F"/>
    <w:rsid w:val="00000A8B"/>
    <w:rsid w:val="0000266D"/>
    <w:rsid w:val="00007B7F"/>
    <w:rsid w:val="00014BE8"/>
    <w:rsid w:val="000232BE"/>
    <w:rsid w:val="000236A8"/>
    <w:rsid w:val="00034157"/>
    <w:rsid w:val="000462A6"/>
    <w:rsid w:val="000562EC"/>
    <w:rsid w:val="0006133F"/>
    <w:rsid w:val="000629E7"/>
    <w:rsid w:val="00062EC8"/>
    <w:rsid w:val="00063F5F"/>
    <w:rsid w:val="00065538"/>
    <w:rsid w:val="0006664F"/>
    <w:rsid w:val="000671F9"/>
    <w:rsid w:val="00086602"/>
    <w:rsid w:val="00096628"/>
    <w:rsid w:val="000B439C"/>
    <w:rsid w:val="000C1169"/>
    <w:rsid w:val="000D607A"/>
    <w:rsid w:val="000D6F1B"/>
    <w:rsid w:val="000D7848"/>
    <w:rsid w:val="000E2D02"/>
    <w:rsid w:val="000E4C08"/>
    <w:rsid w:val="000E645B"/>
    <w:rsid w:val="000F1868"/>
    <w:rsid w:val="001028CF"/>
    <w:rsid w:val="00102926"/>
    <w:rsid w:val="00103C84"/>
    <w:rsid w:val="00114DC8"/>
    <w:rsid w:val="00114F4E"/>
    <w:rsid w:val="00116D77"/>
    <w:rsid w:val="00121FF0"/>
    <w:rsid w:val="0012388D"/>
    <w:rsid w:val="0012400F"/>
    <w:rsid w:val="00127E67"/>
    <w:rsid w:val="00134D68"/>
    <w:rsid w:val="00135751"/>
    <w:rsid w:val="001364FC"/>
    <w:rsid w:val="00137E62"/>
    <w:rsid w:val="00142BB4"/>
    <w:rsid w:val="00180456"/>
    <w:rsid w:val="00186D4A"/>
    <w:rsid w:val="001979C1"/>
    <w:rsid w:val="001A0352"/>
    <w:rsid w:val="001A240A"/>
    <w:rsid w:val="001A4007"/>
    <w:rsid w:val="001B4546"/>
    <w:rsid w:val="001B6F86"/>
    <w:rsid w:val="001C202A"/>
    <w:rsid w:val="001D732F"/>
    <w:rsid w:val="001E2BE1"/>
    <w:rsid w:val="001F269C"/>
    <w:rsid w:val="001F64C8"/>
    <w:rsid w:val="001F768A"/>
    <w:rsid w:val="00200A46"/>
    <w:rsid w:val="00210696"/>
    <w:rsid w:val="00215393"/>
    <w:rsid w:val="00217F75"/>
    <w:rsid w:val="002326C7"/>
    <w:rsid w:val="002334DB"/>
    <w:rsid w:val="00234C91"/>
    <w:rsid w:val="00252EA4"/>
    <w:rsid w:val="00254BC0"/>
    <w:rsid w:val="00263F53"/>
    <w:rsid w:val="00265DCE"/>
    <w:rsid w:val="00275B14"/>
    <w:rsid w:val="00280292"/>
    <w:rsid w:val="002804D2"/>
    <w:rsid w:val="00286FE1"/>
    <w:rsid w:val="00290FB5"/>
    <w:rsid w:val="0029677A"/>
    <w:rsid w:val="0029725A"/>
    <w:rsid w:val="002A101F"/>
    <w:rsid w:val="002A3A5D"/>
    <w:rsid w:val="002B0631"/>
    <w:rsid w:val="002B37DA"/>
    <w:rsid w:val="002D27C0"/>
    <w:rsid w:val="002D29F7"/>
    <w:rsid w:val="002D4452"/>
    <w:rsid w:val="002E332B"/>
    <w:rsid w:val="002E6EF6"/>
    <w:rsid w:val="002F293A"/>
    <w:rsid w:val="002F4C85"/>
    <w:rsid w:val="003008BD"/>
    <w:rsid w:val="00301315"/>
    <w:rsid w:val="00303AC1"/>
    <w:rsid w:val="00304E1C"/>
    <w:rsid w:val="00306887"/>
    <w:rsid w:val="003126D2"/>
    <w:rsid w:val="00314DF3"/>
    <w:rsid w:val="00330AAB"/>
    <w:rsid w:val="00330AB9"/>
    <w:rsid w:val="00336668"/>
    <w:rsid w:val="003508A3"/>
    <w:rsid w:val="00357F2E"/>
    <w:rsid w:val="003719C1"/>
    <w:rsid w:val="00373E12"/>
    <w:rsid w:val="003747C5"/>
    <w:rsid w:val="0037499D"/>
    <w:rsid w:val="00383CE7"/>
    <w:rsid w:val="00392791"/>
    <w:rsid w:val="00392CDC"/>
    <w:rsid w:val="003A3977"/>
    <w:rsid w:val="003A7B3D"/>
    <w:rsid w:val="003B3E67"/>
    <w:rsid w:val="003B65B9"/>
    <w:rsid w:val="003C18AE"/>
    <w:rsid w:val="003C2310"/>
    <w:rsid w:val="003C27F6"/>
    <w:rsid w:val="003C2ACC"/>
    <w:rsid w:val="003C5A3D"/>
    <w:rsid w:val="003C7B25"/>
    <w:rsid w:val="003D33B3"/>
    <w:rsid w:val="003D37E7"/>
    <w:rsid w:val="003D6DD1"/>
    <w:rsid w:val="003E1590"/>
    <w:rsid w:val="003E26AB"/>
    <w:rsid w:val="003E4935"/>
    <w:rsid w:val="003F1C60"/>
    <w:rsid w:val="003F33D7"/>
    <w:rsid w:val="003F41D5"/>
    <w:rsid w:val="00403DE3"/>
    <w:rsid w:val="0040405D"/>
    <w:rsid w:val="00405960"/>
    <w:rsid w:val="00406C09"/>
    <w:rsid w:val="0041005F"/>
    <w:rsid w:val="00412D66"/>
    <w:rsid w:val="00414BEF"/>
    <w:rsid w:val="00416620"/>
    <w:rsid w:val="00422108"/>
    <w:rsid w:val="00424122"/>
    <w:rsid w:val="00450C54"/>
    <w:rsid w:val="00453B20"/>
    <w:rsid w:val="00470092"/>
    <w:rsid w:val="00480F83"/>
    <w:rsid w:val="00483617"/>
    <w:rsid w:val="004846FD"/>
    <w:rsid w:val="004952B2"/>
    <w:rsid w:val="004A301B"/>
    <w:rsid w:val="004A567F"/>
    <w:rsid w:val="004A6F4E"/>
    <w:rsid w:val="004A75BE"/>
    <w:rsid w:val="004B39A2"/>
    <w:rsid w:val="004B7543"/>
    <w:rsid w:val="004C3F60"/>
    <w:rsid w:val="004C43B4"/>
    <w:rsid w:val="004D09B2"/>
    <w:rsid w:val="004D4864"/>
    <w:rsid w:val="004D5159"/>
    <w:rsid w:val="004D58E4"/>
    <w:rsid w:val="004D59E6"/>
    <w:rsid w:val="004E134D"/>
    <w:rsid w:val="004E28FE"/>
    <w:rsid w:val="0050174B"/>
    <w:rsid w:val="0050663B"/>
    <w:rsid w:val="00507413"/>
    <w:rsid w:val="00507893"/>
    <w:rsid w:val="0051118F"/>
    <w:rsid w:val="00517BDD"/>
    <w:rsid w:val="00517BE1"/>
    <w:rsid w:val="00523AC5"/>
    <w:rsid w:val="00527980"/>
    <w:rsid w:val="00533AFD"/>
    <w:rsid w:val="0054739F"/>
    <w:rsid w:val="005608A8"/>
    <w:rsid w:val="0057372A"/>
    <w:rsid w:val="0057554E"/>
    <w:rsid w:val="005841DE"/>
    <w:rsid w:val="00584463"/>
    <w:rsid w:val="005A5EEA"/>
    <w:rsid w:val="005A7590"/>
    <w:rsid w:val="005B3461"/>
    <w:rsid w:val="005B69FB"/>
    <w:rsid w:val="005C039C"/>
    <w:rsid w:val="005C279E"/>
    <w:rsid w:val="005C402C"/>
    <w:rsid w:val="005D2188"/>
    <w:rsid w:val="005D40F3"/>
    <w:rsid w:val="005D67CE"/>
    <w:rsid w:val="005E0B44"/>
    <w:rsid w:val="005E2834"/>
    <w:rsid w:val="005F2697"/>
    <w:rsid w:val="00616A6C"/>
    <w:rsid w:val="006172E5"/>
    <w:rsid w:val="0062116E"/>
    <w:rsid w:val="006214D9"/>
    <w:rsid w:val="006231FF"/>
    <w:rsid w:val="006264C0"/>
    <w:rsid w:val="00626AB0"/>
    <w:rsid w:val="0064641E"/>
    <w:rsid w:val="00663106"/>
    <w:rsid w:val="0067037F"/>
    <w:rsid w:val="00674D0A"/>
    <w:rsid w:val="006954E9"/>
    <w:rsid w:val="006968DB"/>
    <w:rsid w:val="006A3823"/>
    <w:rsid w:val="006A3F67"/>
    <w:rsid w:val="006B29C3"/>
    <w:rsid w:val="006C2E21"/>
    <w:rsid w:val="006C7CB3"/>
    <w:rsid w:val="006D09AE"/>
    <w:rsid w:val="006E6ADC"/>
    <w:rsid w:val="006F00F6"/>
    <w:rsid w:val="006F0235"/>
    <w:rsid w:val="006F27B5"/>
    <w:rsid w:val="00702C94"/>
    <w:rsid w:val="00703300"/>
    <w:rsid w:val="00705625"/>
    <w:rsid w:val="00707DE2"/>
    <w:rsid w:val="007123EE"/>
    <w:rsid w:val="00724CDB"/>
    <w:rsid w:val="00730878"/>
    <w:rsid w:val="00733EDC"/>
    <w:rsid w:val="0073639F"/>
    <w:rsid w:val="007467BA"/>
    <w:rsid w:val="007476CD"/>
    <w:rsid w:val="007636D3"/>
    <w:rsid w:val="00764A20"/>
    <w:rsid w:val="0076543A"/>
    <w:rsid w:val="00781756"/>
    <w:rsid w:val="00784FB6"/>
    <w:rsid w:val="0078553C"/>
    <w:rsid w:val="00792D51"/>
    <w:rsid w:val="007940BB"/>
    <w:rsid w:val="007A38C7"/>
    <w:rsid w:val="007C0A85"/>
    <w:rsid w:val="007C7A80"/>
    <w:rsid w:val="007C7E0F"/>
    <w:rsid w:val="007D1A39"/>
    <w:rsid w:val="007D3F87"/>
    <w:rsid w:val="007D4A47"/>
    <w:rsid w:val="007E2834"/>
    <w:rsid w:val="007F0E27"/>
    <w:rsid w:val="007F15E4"/>
    <w:rsid w:val="007F22FC"/>
    <w:rsid w:val="0080270A"/>
    <w:rsid w:val="00802D32"/>
    <w:rsid w:val="00805DD1"/>
    <w:rsid w:val="0080776D"/>
    <w:rsid w:val="00826AF5"/>
    <w:rsid w:val="008300AB"/>
    <w:rsid w:val="0083666A"/>
    <w:rsid w:val="0084542E"/>
    <w:rsid w:val="00854FDA"/>
    <w:rsid w:val="00864E38"/>
    <w:rsid w:val="00866F44"/>
    <w:rsid w:val="008773F4"/>
    <w:rsid w:val="00880C44"/>
    <w:rsid w:val="008866E9"/>
    <w:rsid w:val="00894736"/>
    <w:rsid w:val="008A745D"/>
    <w:rsid w:val="008B6DF8"/>
    <w:rsid w:val="008C3362"/>
    <w:rsid w:val="008C3D1E"/>
    <w:rsid w:val="008C6162"/>
    <w:rsid w:val="008C6663"/>
    <w:rsid w:val="008C78C4"/>
    <w:rsid w:val="008D4602"/>
    <w:rsid w:val="008D4BB1"/>
    <w:rsid w:val="008F0411"/>
    <w:rsid w:val="008F7F79"/>
    <w:rsid w:val="009046E1"/>
    <w:rsid w:val="00906FAE"/>
    <w:rsid w:val="00915A50"/>
    <w:rsid w:val="0091669F"/>
    <w:rsid w:val="00916FBC"/>
    <w:rsid w:val="00924782"/>
    <w:rsid w:val="00930A83"/>
    <w:rsid w:val="00931FE6"/>
    <w:rsid w:val="00936357"/>
    <w:rsid w:val="00936E11"/>
    <w:rsid w:val="00942D9C"/>
    <w:rsid w:val="00942E58"/>
    <w:rsid w:val="00944AF9"/>
    <w:rsid w:val="009514B6"/>
    <w:rsid w:val="009545B6"/>
    <w:rsid w:val="00965A2B"/>
    <w:rsid w:val="0096781D"/>
    <w:rsid w:val="00973094"/>
    <w:rsid w:val="00973D0A"/>
    <w:rsid w:val="009743F1"/>
    <w:rsid w:val="009760CD"/>
    <w:rsid w:val="0098358C"/>
    <w:rsid w:val="00997782"/>
    <w:rsid w:val="009A16AA"/>
    <w:rsid w:val="009A2E1C"/>
    <w:rsid w:val="009A311D"/>
    <w:rsid w:val="009A43A3"/>
    <w:rsid w:val="009B6A2E"/>
    <w:rsid w:val="009B793E"/>
    <w:rsid w:val="009C056B"/>
    <w:rsid w:val="009C0F7C"/>
    <w:rsid w:val="009C7199"/>
    <w:rsid w:val="009D1062"/>
    <w:rsid w:val="009F4941"/>
    <w:rsid w:val="009F575C"/>
    <w:rsid w:val="00A002F5"/>
    <w:rsid w:val="00A02466"/>
    <w:rsid w:val="00A10ABB"/>
    <w:rsid w:val="00A24000"/>
    <w:rsid w:val="00A322C7"/>
    <w:rsid w:val="00A3540C"/>
    <w:rsid w:val="00A35A28"/>
    <w:rsid w:val="00A434B2"/>
    <w:rsid w:val="00A52E45"/>
    <w:rsid w:val="00A554A8"/>
    <w:rsid w:val="00A61A4A"/>
    <w:rsid w:val="00A6227F"/>
    <w:rsid w:val="00A7430B"/>
    <w:rsid w:val="00A82B6F"/>
    <w:rsid w:val="00A92D9F"/>
    <w:rsid w:val="00A965A0"/>
    <w:rsid w:val="00AA207C"/>
    <w:rsid w:val="00AA4B5A"/>
    <w:rsid w:val="00AB2330"/>
    <w:rsid w:val="00AC0875"/>
    <w:rsid w:val="00AC2563"/>
    <w:rsid w:val="00AC44F8"/>
    <w:rsid w:val="00AD2D65"/>
    <w:rsid w:val="00AE02BA"/>
    <w:rsid w:val="00AE310E"/>
    <w:rsid w:val="00AF39C2"/>
    <w:rsid w:val="00AF4C6F"/>
    <w:rsid w:val="00AF738F"/>
    <w:rsid w:val="00B071F1"/>
    <w:rsid w:val="00B07AF3"/>
    <w:rsid w:val="00B22B75"/>
    <w:rsid w:val="00B26F19"/>
    <w:rsid w:val="00B271E8"/>
    <w:rsid w:val="00B42CBA"/>
    <w:rsid w:val="00B43623"/>
    <w:rsid w:val="00B57B3B"/>
    <w:rsid w:val="00B6388D"/>
    <w:rsid w:val="00B70E67"/>
    <w:rsid w:val="00B721E2"/>
    <w:rsid w:val="00B7309B"/>
    <w:rsid w:val="00B83113"/>
    <w:rsid w:val="00B8461C"/>
    <w:rsid w:val="00B94145"/>
    <w:rsid w:val="00BA31A4"/>
    <w:rsid w:val="00BB35CC"/>
    <w:rsid w:val="00BB4E7C"/>
    <w:rsid w:val="00BB63E9"/>
    <w:rsid w:val="00BC087A"/>
    <w:rsid w:val="00BD414F"/>
    <w:rsid w:val="00BE4FC5"/>
    <w:rsid w:val="00BF264C"/>
    <w:rsid w:val="00C06CA3"/>
    <w:rsid w:val="00C110BA"/>
    <w:rsid w:val="00C11634"/>
    <w:rsid w:val="00C12C53"/>
    <w:rsid w:val="00C13EB9"/>
    <w:rsid w:val="00C14F78"/>
    <w:rsid w:val="00C30E56"/>
    <w:rsid w:val="00C320B2"/>
    <w:rsid w:val="00C35A39"/>
    <w:rsid w:val="00C40019"/>
    <w:rsid w:val="00C4545F"/>
    <w:rsid w:val="00C51A88"/>
    <w:rsid w:val="00C532AA"/>
    <w:rsid w:val="00C56B57"/>
    <w:rsid w:val="00C570F8"/>
    <w:rsid w:val="00C750B0"/>
    <w:rsid w:val="00C75FFE"/>
    <w:rsid w:val="00C77928"/>
    <w:rsid w:val="00C87431"/>
    <w:rsid w:val="00C90378"/>
    <w:rsid w:val="00C921D8"/>
    <w:rsid w:val="00CD1E7F"/>
    <w:rsid w:val="00CD3034"/>
    <w:rsid w:val="00CD4CB0"/>
    <w:rsid w:val="00CD5BC1"/>
    <w:rsid w:val="00CD6E92"/>
    <w:rsid w:val="00CE1242"/>
    <w:rsid w:val="00CE4AED"/>
    <w:rsid w:val="00D033C1"/>
    <w:rsid w:val="00D10E16"/>
    <w:rsid w:val="00D16E96"/>
    <w:rsid w:val="00D25977"/>
    <w:rsid w:val="00D266D4"/>
    <w:rsid w:val="00D339FC"/>
    <w:rsid w:val="00D4107B"/>
    <w:rsid w:val="00D42AB3"/>
    <w:rsid w:val="00D5504D"/>
    <w:rsid w:val="00D66278"/>
    <w:rsid w:val="00D675B4"/>
    <w:rsid w:val="00D73ADB"/>
    <w:rsid w:val="00D80FEF"/>
    <w:rsid w:val="00D81839"/>
    <w:rsid w:val="00D8775E"/>
    <w:rsid w:val="00D96702"/>
    <w:rsid w:val="00DA0AD3"/>
    <w:rsid w:val="00DA2F0A"/>
    <w:rsid w:val="00DA36C9"/>
    <w:rsid w:val="00DA37F9"/>
    <w:rsid w:val="00DA4BD8"/>
    <w:rsid w:val="00DA7AD0"/>
    <w:rsid w:val="00DB108F"/>
    <w:rsid w:val="00DB6167"/>
    <w:rsid w:val="00DC16F4"/>
    <w:rsid w:val="00DC2A59"/>
    <w:rsid w:val="00DC2B8B"/>
    <w:rsid w:val="00DE1063"/>
    <w:rsid w:val="00DF1146"/>
    <w:rsid w:val="00E16603"/>
    <w:rsid w:val="00E20FC5"/>
    <w:rsid w:val="00E3128B"/>
    <w:rsid w:val="00E31C45"/>
    <w:rsid w:val="00E32286"/>
    <w:rsid w:val="00E33A48"/>
    <w:rsid w:val="00E36825"/>
    <w:rsid w:val="00E37A17"/>
    <w:rsid w:val="00E40033"/>
    <w:rsid w:val="00E40687"/>
    <w:rsid w:val="00E50288"/>
    <w:rsid w:val="00E51F40"/>
    <w:rsid w:val="00E56912"/>
    <w:rsid w:val="00E70E8A"/>
    <w:rsid w:val="00E75DE3"/>
    <w:rsid w:val="00E77F37"/>
    <w:rsid w:val="00E94930"/>
    <w:rsid w:val="00E9679C"/>
    <w:rsid w:val="00E971B1"/>
    <w:rsid w:val="00EA083B"/>
    <w:rsid w:val="00EA1583"/>
    <w:rsid w:val="00EA18CE"/>
    <w:rsid w:val="00EA53CA"/>
    <w:rsid w:val="00EA6A43"/>
    <w:rsid w:val="00EC168A"/>
    <w:rsid w:val="00EC2B2F"/>
    <w:rsid w:val="00ED2C69"/>
    <w:rsid w:val="00ED750A"/>
    <w:rsid w:val="00EE15B2"/>
    <w:rsid w:val="00EE241C"/>
    <w:rsid w:val="00EE7210"/>
    <w:rsid w:val="00EF037E"/>
    <w:rsid w:val="00EF0C59"/>
    <w:rsid w:val="00EF0FE3"/>
    <w:rsid w:val="00EF7137"/>
    <w:rsid w:val="00EF7D2A"/>
    <w:rsid w:val="00EF7FD6"/>
    <w:rsid w:val="00F10877"/>
    <w:rsid w:val="00F12244"/>
    <w:rsid w:val="00F1490E"/>
    <w:rsid w:val="00F16427"/>
    <w:rsid w:val="00F17DA4"/>
    <w:rsid w:val="00F21E51"/>
    <w:rsid w:val="00F2266C"/>
    <w:rsid w:val="00F23498"/>
    <w:rsid w:val="00F23BB4"/>
    <w:rsid w:val="00F3104D"/>
    <w:rsid w:val="00F35B69"/>
    <w:rsid w:val="00F36125"/>
    <w:rsid w:val="00F36F0B"/>
    <w:rsid w:val="00F4030E"/>
    <w:rsid w:val="00F417AF"/>
    <w:rsid w:val="00F42226"/>
    <w:rsid w:val="00F52462"/>
    <w:rsid w:val="00F52F56"/>
    <w:rsid w:val="00F57606"/>
    <w:rsid w:val="00F627DF"/>
    <w:rsid w:val="00F72651"/>
    <w:rsid w:val="00F86C17"/>
    <w:rsid w:val="00FA05AF"/>
    <w:rsid w:val="00FA5D2B"/>
    <w:rsid w:val="00FC5B34"/>
    <w:rsid w:val="00FC614B"/>
    <w:rsid w:val="00FE7043"/>
    <w:rsid w:val="00FE775B"/>
    <w:rsid w:val="00FF0F4C"/>
    <w:rsid w:val="00FF1328"/>
    <w:rsid w:val="00FF1E20"/>
    <w:rsid w:val="00FF50A9"/>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EF"/>
    <w:rPr>
      <w:sz w:val="24"/>
      <w:szCs w:val="24"/>
    </w:rPr>
  </w:style>
  <w:style w:type="paragraph" w:styleId="Heading4">
    <w:name w:val="heading 4"/>
    <w:basedOn w:val="Normal"/>
    <w:link w:val="Heading4Char"/>
    <w:uiPriority w:val="99"/>
    <w:qFormat/>
    <w:rsid w:val="00D80FE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7E67A1"/>
    <w:rPr>
      <w:rFonts w:ascii="Calibri" w:eastAsia="Times New Roman" w:hAnsi="Calibri" w:cs="Times New Roman"/>
      <w:b/>
      <w:bCs/>
      <w:sz w:val="28"/>
      <w:szCs w:val="28"/>
    </w:rPr>
  </w:style>
  <w:style w:type="paragraph" w:styleId="NormalWeb">
    <w:name w:val="Normal (Web)"/>
    <w:basedOn w:val="Normal"/>
    <w:uiPriority w:val="99"/>
    <w:rsid w:val="00D80FEF"/>
    <w:pPr>
      <w:spacing w:before="100" w:beforeAutospacing="1" w:after="100" w:afterAutospacing="1"/>
    </w:pPr>
  </w:style>
  <w:style w:type="character" w:styleId="Hyperlink">
    <w:name w:val="Hyperlink"/>
    <w:uiPriority w:val="99"/>
    <w:rsid w:val="00D80FEF"/>
    <w:rPr>
      <w:rFonts w:cs="Times New Roman"/>
      <w:color w:val="0000FF"/>
      <w:u w:val="single"/>
    </w:rPr>
  </w:style>
  <w:style w:type="character" w:styleId="Strong">
    <w:name w:val="Strong"/>
    <w:qFormat/>
    <w:rsid w:val="00D80FEF"/>
    <w:rPr>
      <w:rFonts w:cs="Times New Roman"/>
      <w:b/>
      <w:bCs/>
    </w:rPr>
  </w:style>
  <w:style w:type="character" w:styleId="Emphasis">
    <w:name w:val="Emphasis"/>
    <w:uiPriority w:val="99"/>
    <w:qFormat/>
    <w:rsid w:val="00D80FEF"/>
    <w:rPr>
      <w:rFonts w:cs="Times New Roman"/>
      <w:i/>
      <w:iCs/>
    </w:rPr>
  </w:style>
  <w:style w:type="paragraph" w:customStyle="1" w:styleId="OmniPage1">
    <w:name w:val="OmniPage #1"/>
    <w:basedOn w:val="Normal"/>
    <w:rsid w:val="00D80FEF"/>
    <w:pPr>
      <w:spacing w:line="260" w:lineRule="exact"/>
    </w:pPr>
    <w:rPr>
      <w:sz w:val="20"/>
      <w:szCs w:val="20"/>
    </w:rPr>
  </w:style>
  <w:style w:type="paragraph" w:customStyle="1" w:styleId="OmniPage2">
    <w:name w:val="OmniPage #2"/>
    <w:basedOn w:val="Normal"/>
    <w:uiPriority w:val="99"/>
    <w:rsid w:val="00D80FEF"/>
    <w:pPr>
      <w:spacing w:line="260" w:lineRule="exact"/>
    </w:pPr>
    <w:rPr>
      <w:sz w:val="20"/>
      <w:szCs w:val="20"/>
    </w:rPr>
  </w:style>
  <w:style w:type="paragraph" w:customStyle="1" w:styleId="OmniPage3">
    <w:name w:val="OmniPage #3"/>
    <w:basedOn w:val="Normal"/>
    <w:uiPriority w:val="99"/>
    <w:rsid w:val="00D80FEF"/>
    <w:pPr>
      <w:spacing w:line="280" w:lineRule="exact"/>
    </w:pPr>
    <w:rPr>
      <w:sz w:val="20"/>
      <w:szCs w:val="20"/>
    </w:rPr>
  </w:style>
  <w:style w:type="paragraph" w:styleId="BodyText">
    <w:name w:val="Body Text"/>
    <w:basedOn w:val="Normal"/>
    <w:link w:val="BodyTextChar"/>
    <w:uiPriority w:val="99"/>
    <w:rsid w:val="00D80FEF"/>
    <w:pPr>
      <w:tabs>
        <w:tab w:val="left" w:pos="360"/>
      </w:tabs>
    </w:pPr>
    <w:rPr>
      <w:i/>
      <w:iCs/>
    </w:rPr>
  </w:style>
  <w:style w:type="character" w:customStyle="1" w:styleId="BodyTextChar">
    <w:name w:val="Body Text Char"/>
    <w:link w:val="BodyText"/>
    <w:uiPriority w:val="99"/>
    <w:semiHidden/>
    <w:rsid w:val="007E67A1"/>
    <w:rPr>
      <w:sz w:val="24"/>
      <w:szCs w:val="24"/>
    </w:rPr>
  </w:style>
  <w:style w:type="paragraph" w:customStyle="1" w:styleId="BodyText1">
    <w:name w:val="Body Text1"/>
    <w:basedOn w:val="Normal"/>
    <w:uiPriority w:val="99"/>
    <w:rsid w:val="00D80FEF"/>
    <w:pPr>
      <w:spacing w:before="120" w:after="120"/>
      <w:jc w:val="both"/>
    </w:pPr>
  </w:style>
  <w:style w:type="paragraph" w:styleId="Header">
    <w:name w:val="header"/>
    <w:basedOn w:val="Normal"/>
    <w:link w:val="HeaderChar"/>
    <w:uiPriority w:val="99"/>
    <w:rsid w:val="00D80FEF"/>
    <w:pPr>
      <w:tabs>
        <w:tab w:val="center" w:pos="4320"/>
        <w:tab w:val="right" w:pos="8640"/>
      </w:tabs>
    </w:pPr>
  </w:style>
  <w:style w:type="character" w:customStyle="1" w:styleId="HeaderChar">
    <w:name w:val="Header Char"/>
    <w:link w:val="Header"/>
    <w:uiPriority w:val="99"/>
    <w:semiHidden/>
    <w:rsid w:val="007E67A1"/>
    <w:rPr>
      <w:sz w:val="24"/>
      <w:szCs w:val="24"/>
    </w:rPr>
  </w:style>
  <w:style w:type="paragraph" w:styleId="Footer">
    <w:name w:val="footer"/>
    <w:basedOn w:val="Normal"/>
    <w:link w:val="FooterChar"/>
    <w:uiPriority w:val="99"/>
    <w:rsid w:val="00D80FEF"/>
    <w:pPr>
      <w:tabs>
        <w:tab w:val="center" w:pos="4320"/>
        <w:tab w:val="right" w:pos="8640"/>
      </w:tabs>
    </w:pPr>
  </w:style>
  <w:style w:type="character" w:customStyle="1" w:styleId="FooterChar">
    <w:name w:val="Footer Char"/>
    <w:link w:val="Footer"/>
    <w:uiPriority w:val="99"/>
    <w:rsid w:val="007E67A1"/>
    <w:rPr>
      <w:sz w:val="24"/>
      <w:szCs w:val="24"/>
    </w:rPr>
  </w:style>
  <w:style w:type="character" w:styleId="PageNumber">
    <w:name w:val="page number"/>
    <w:uiPriority w:val="99"/>
    <w:rsid w:val="00D80FEF"/>
    <w:rPr>
      <w:rFonts w:cs="Times New Roman"/>
    </w:rPr>
  </w:style>
  <w:style w:type="paragraph" w:styleId="FootnoteText">
    <w:name w:val="footnote text"/>
    <w:basedOn w:val="Normal"/>
    <w:link w:val="FootnoteTextChar"/>
    <w:uiPriority w:val="99"/>
    <w:semiHidden/>
    <w:rsid w:val="00D80FEF"/>
    <w:rPr>
      <w:sz w:val="20"/>
      <w:szCs w:val="20"/>
    </w:rPr>
  </w:style>
  <w:style w:type="character" w:customStyle="1" w:styleId="FootnoteTextChar">
    <w:name w:val="Footnote Text Char"/>
    <w:link w:val="FootnoteText"/>
    <w:uiPriority w:val="99"/>
    <w:semiHidden/>
    <w:locked/>
    <w:rsid w:val="001F269C"/>
    <w:rPr>
      <w:rFonts w:cs="Times New Roman"/>
    </w:rPr>
  </w:style>
  <w:style w:type="character" w:styleId="FootnoteReference">
    <w:name w:val="footnote reference"/>
    <w:uiPriority w:val="99"/>
    <w:semiHidden/>
    <w:rsid w:val="00D80FEF"/>
    <w:rPr>
      <w:rFonts w:cs="Times New Roman"/>
      <w:vertAlign w:val="superscript"/>
    </w:rPr>
  </w:style>
  <w:style w:type="paragraph" w:styleId="BalloonText">
    <w:name w:val="Balloon Text"/>
    <w:basedOn w:val="Normal"/>
    <w:link w:val="BalloonTextChar"/>
    <w:uiPriority w:val="99"/>
    <w:semiHidden/>
    <w:rsid w:val="00D80FEF"/>
    <w:rPr>
      <w:rFonts w:ascii="Tahoma" w:hAnsi="Tahoma" w:cs="Tahoma"/>
      <w:sz w:val="16"/>
      <w:szCs w:val="16"/>
    </w:rPr>
  </w:style>
  <w:style w:type="character" w:customStyle="1" w:styleId="BalloonTextChar">
    <w:name w:val="Balloon Text Char"/>
    <w:link w:val="BalloonText"/>
    <w:uiPriority w:val="99"/>
    <w:semiHidden/>
    <w:rsid w:val="007E67A1"/>
    <w:rPr>
      <w:sz w:val="0"/>
      <w:szCs w:val="0"/>
    </w:rPr>
  </w:style>
  <w:style w:type="character" w:styleId="CommentReference">
    <w:name w:val="annotation reference"/>
    <w:uiPriority w:val="99"/>
    <w:semiHidden/>
    <w:rsid w:val="00D80FEF"/>
    <w:rPr>
      <w:rFonts w:cs="Times New Roman"/>
      <w:sz w:val="16"/>
      <w:szCs w:val="16"/>
    </w:rPr>
  </w:style>
  <w:style w:type="character" w:styleId="FollowedHyperlink">
    <w:name w:val="FollowedHyperlink"/>
    <w:uiPriority w:val="99"/>
    <w:rsid w:val="00D80FEF"/>
    <w:rPr>
      <w:rFonts w:cs="Times New Roman"/>
      <w:color w:val="800080"/>
      <w:u w:val="single"/>
    </w:rPr>
  </w:style>
  <w:style w:type="paragraph" w:styleId="CommentText">
    <w:name w:val="annotation text"/>
    <w:basedOn w:val="Normal"/>
    <w:link w:val="CommentTextChar1"/>
    <w:uiPriority w:val="99"/>
    <w:semiHidden/>
    <w:rsid w:val="00D80FEF"/>
    <w:rPr>
      <w:sz w:val="20"/>
      <w:szCs w:val="20"/>
    </w:rPr>
  </w:style>
  <w:style w:type="character" w:customStyle="1" w:styleId="CommentTextChar">
    <w:name w:val="Comment Text Char"/>
    <w:uiPriority w:val="99"/>
    <w:semiHidden/>
    <w:rsid w:val="007E67A1"/>
    <w:rPr>
      <w:sz w:val="20"/>
      <w:szCs w:val="20"/>
    </w:rPr>
  </w:style>
  <w:style w:type="paragraph" w:styleId="CommentSubject">
    <w:name w:val="annotation subject"/>
    <w:basedOn w:val="CommentText"/>
    <w:next w:val="CommentText"/>
    <w:link w:val="CommentSubjectChar"/>
    <w:uiPriority w:val="99"/>
    <w:semiHidden/>
    <w:rsid w:val="00D80FEF"/>
    <w:rPr>
      <w:b/>
      <w:bCs/>
    </w:rPr>
  </w:style>
  <w:style w:type="character" w:customStyle="1" w:styleId="CommentSubjectChar">
    <w:name w:val="Comment Subject Char"/>
    <w:link w:val="CommentSubject"/>
    <w:uiPriority w:val="99"/>
    <w:semiHidden/>
    <w:rsid w:val="007E67A1"/>
    <w:rPr>
      <w:b/>
      <w:bCs/>
      <w:sz w:val="20"/>
      <w:szCs w:val="20"/>
    </w:rPr>
  </w:style>
  <w:style w:type="paragraph" w:styleId="ListParagraph">
    <w:name w:val="List Paragraph"/>
    <w:basedOn w:val="Normal"/>
    <w:uiPriority w:val="99"/>
    <w:qFormat/>
    <w:rsid w:val="001F269C"/>
    <w:pPr>
      <w:spacing w:after="200" w:line="276" w:lineRule="auto"/>
      <w:ind w:left="720"/>
      <w:contextualSpacing/>
    </w:pPr>
    <w:rPr>
      <w:rFonts w:ascii="Arial" w:hAnsi="Arial"/>
      <w:szCs w:val="22"/>
    </w:rPr>
  </w:style>
  <w:style w:type="paragraph" w:styleId="NoSpacing">
    <w:name w:val="No Spacing"/>
    <w:uiPriority w:val="99"/>
    <w:qFormat/>
    <w:rsid w:val="001F269C"/>
    <w:rPr>
      <w:rFonts w:ascii="Calibri" w:hAnsi="Calibri"/>
      <w:sz w:val="22"/>
      <w:szCs w:val="22"/>
    </w:rPr>
  </w:style>
  <w:style w:type="character" w:customStyle="1" w:styleId="tabletitle1">
    <w:name w:val="tabletitle1"/>
    <w:uiPriority w:val="99"/>
    <w:rsid w:val="00373E12"/>
    <w:rPr>
      <w:rFonts w:cs="Times New Roman"/>
      <w:b/>
      <w:bCs/>
      <w:sz w:val="27"/>
      <w:szCs w:val="27"/>
    </w:rPr>
  </w:style>
  <w:style w:type="paragraph" w:customStyle="1" w:styleId="sub01">
    <w:name w:val="sub01"/>
    <w:basedOn w:val="Normal"/>
    <w:uiPriority w:val="99"/>
    <w:rsid w:val="00373E12"/>
    <w:rPr>
      <w:rFonts w:ascii="Tahoma" w:hAnsi="Tahoma" w:cs="Tahoma"/>
      <w:color w:val="333333"/>
    </w:rPr>
  </w:style>
  <w:style w:type="character" w:customStyle="1" w:styleId="datavalue1">
    <w:name w:val="datavalue1"/>
    <w:uiPriority w:val="99"/>
    <w:rsid w:val="00373E12"/>
    <w:rPr>
      <w:rFonts w:cs="Times New Roman"/>
    </w:rPr>
  </w:style>
  <w:style w:type="character" w:customStyle="1" w:styleId="CommentTextChar1">
    <w:name w:val="Comment Text Char1"/>
    <w:link w:val="CommentText"/>
    <w:uiPriority w:val="99"/>
    <w:locked/>
    <w:rsid w:val="009F575C"/>
    <w:rPr>
      <w:rFonts w:cs="Times New Rom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EF"/>
    <w:rPr>
      <w:sz w:val="24"/>
      <w:szCs w:val="24"/>
    </w:rPr>
  </w:style>
  <w:style w:type="paragraph" w:styleId="Heading4">
    <w:name w:val="heading 4"/>
    <w:basedOn w:val="Normal"/>
    <w:link w:val="Heading4Char"/>
    <w:uiPriority w:val="99"/>
    <w:qFormat/>
    <w:rsid w:val="00D80FE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7E67A1"/>
    <w:rPr>
      <w:rFonts w:ascii="Calibri" w:eastAsia="Times New Roman" w:hAnsi="Calibri" w:cs="Times New Roman"/>
      <w:b/>
      <w:bCs/>
      <w:sz w:val="28"/>
      <w:szCs w:val="28"/>
    </w:rPr>
  </w:style>
  <w:style w:type="paragraph" w:styleId="NormalWeb">
    <w:name w:val="Normal (Web)"/>
    <w:basedOn w:val="Normal"/>
    <w:uiPriority w:val="99"/>
    <w:rsid w:val="00D80FEF"/>
    <w:pPr>
      <w:spacing w:before="100" w:beforeAutospacing="1" w:after="100" w:afterAutospacing="1"/>
    </w:pPr>
  </w:style>
  <w:style w:type="character" w:styleId="Hyperlink">
    <w:name w:val="Hyperlink"/>
    <w:uiPriority w:val="99"/>
    <w:rsid w:val="00D80FEF"/>
    <w:rPr>
      <w:rFonts w:cs="Times New Roman"/>
      <w:color w:val="0000FF"/>
      <w:u w:val="single"/>
    </w:rPr>
  </w:style>
  <w:style w:type="character" w:styleId="Strong">
    <w:name w:val="Strong"/>
    <w:qFormat/>
    <w:rsid w:val="00D80FEF"/>
    <w:rPr>
      <w:rFonts w:cs="Times New Roman"/>
      <w:b/>
      <w:bCs/>
    </w:rPr>
  </w:style>
  <w:style w:type="character" w:styleId="Emphasis">
    <w:name w:val="Emphasis"/>
    <w:uiPriority w:val="99"/>
    <w:qFormat/>
    <w:rsid w:val="00D80FEF"/>
    <w:rPr>
      <w:rFonts w:cs="Times New Roman"/>
      <w:i/>
      <w:iCs/>
    </w:rPr>
  </w:style>
  <w:style w:type="paragraph" w:customStyle="1" w:styleId="OmniPage1">
    <w:name w:val="OmniPage #1"/>
    <w:basedOn w:val="Normal"/>
    <w:rsid w:val="00D80FEF"/>
    <w:pPr>
      <w:spacing w:line="260" w:lineRule="exact"/>
    </w:pPr>
    <w:rPr>
      <w:sz w:val="20"/>
      <w:szCs w:val="20"/>
    </w:rPr>
  </w:style>
  <w:style w:type="paragraph" w:customStyle="1" w:styleId="OmniPage2">
    <w:name w:val="OmniPage #2"/>
    <w:basedOn w:val="Normal"/>
    <w:uiPriority w:val="99"/>
    <w:rsid w:val="00D80FEF"/>
    <w:pPr>
      <w:spacing w:line="260" w:lineRule="exact"/>
    </w:pPr>
    <w:rPr>
      <w:sz w:val="20"/>
      <w:szCs w:val="20"/>
    </w:rPr>
  </w:style>
  <w:style w:type="paragraph" w:customStyle="1" w:styleId="OmniPage3">
    <w:name w:val="OmniPage #3"/>
    <w:basedOn w:val="Normal"/>
    <w:uiPriority w:val="99"/>
    <w:rsid w:val="00D80FEF"/>
    <w:pPr>
      <w:spacing w:line="280" w:lineRule="exact"/>
    </w:pPr>
    <w:rPr>
      <w:sz w:val="20"/>
      <w:szCs w:val="20"/>
    </w:rPr>
  </w:style>
  <w:style w:type="paragraph" w:styleId="BodyText">
    <w:name w:val="Body Text"/>
    <w:basedOn w:val="Normal"/>
    <w:link w:val="BodyTextChar"/>
    <w:uiPriority w:val="99"/>
    <w:rsid w:val="00D80FEF"/>
    <w:pPr>
      <w:tabs>
        <w:tab w:val="left" w:pos="360"/>
      </w:tabs>
    </w:pPr>
    <w:rPr>
      <w:i/>
      <w:iCs/>
    </w:rPr>
  </w:style>
  <w:style w:type="character" w:customStyle="1" w:styleId="BodyTextChar">
    <w:name w:val="Body Text Char"/>
    <w:link w:val="BodyText"/>
    <w:uiPriority w:val="99"/>
    <w:semiHidden/>
    <w:rsid w:val="007E67A1"/>
    <w:rPr>
      <w:sz w:val="24"/>
      <w:szCs w:val="24"/>
    </w:rPr>
  </w:style>
  <w:style w:type="paragraph" w:customStyle="1" w:styleId="BodyText1">
    <w:name w:val="Body Text1"/>
    <w:basedOn w:val="Normal"/>
    <w:uiPriority w:val="99"/>
    <w:rsid w:val="00D80FEF"/>
    <w:pPr>
      <w:spacing w:before="120" w:after="120"/>
      <w:jc w:val="both"/>
    </w:pPr>
  </w:style>
  <w:style w:type="paragraph" w:styleId="Header">
    <w:name w:val="header"/>
    <w:basedOn w:val="Normal"/>
    <w:link w:val="HeaderChar"/>
    <w:uiPriority w:val="99"/>
    <w:rsid w:val="00D80FEF"/>
    <w:pPr>
      <w:tabs>
        <w:tab w:val="center" w:pos="4320"/>
        <w:tab w:val="right" w:pos="8640"/>
      </w:tabs>
    </w:pPr>
  </w:style>
  <w:style w:type="character" w:customStyle="1" w:styleId="HeaderChar">
    <w:name w:val="Header Char"/>
    <w:link w:val="Header"/>
    <w:uiPriority w:val="99"/>
    <w:semiHidden/>
    <w:rsid w:val="007E67A1"/>
    <w:rPr>
      <w:sz w:val="24"/>
      <w:szCs w:val="24"/>
    </w:rPr>
  </w:style>
  <w:style w:type="paragraph" w:styleId="Footer">
    <w:name w:val="footer"/>
    <w:basedOn w:val="Normal"/>
    <w:link w:val="FooterChar"/>
    <w:uiPriority w:val="99"/>
    <w:rsid w:val="00D80FEF"/>
    <w:pPr>
      <w:tabs>
        <w:tab w:val="center" w:pos="4320"/>
        <w:tab w:val="right" w:pos="8640"/>
      </w:tabs>
    </w:pPr>
  </w:style>
  <w:style w:type="character" w:customStyle="1" w:styleId="FooterChar">
    <w:name w:val="Footer Char"/>
    <w:link w:val="Footer"/>
    <w:uiPriority w:val="99"/>
    <w:rsid w:val="007E67A1"/>
    <w:rPr>
      <w:sz w:val="24"/>
      <w:szCs w:val="24"/>
    </w:rPr>
  </w:style>
  <w:style w:type="character" w:styleId="PageNumber">
    <w:name w:val="page number"/>
    <w:uiPriority w:val="99"/>
    <w:rsid w:val="00D80FEF"/>
    <w:rPr>
      <w:rFonts w:cs="Times New Roman"/>
    </w:rPr>
  </w:style>
  <w:style w:type="paragraph" w:styleId="FootnoteText">
    <w:name w:val="footnote text"/>
    <w:basedOn w:val="Normal"/>
    <w:link w:val="FootnoteTextChar"/>
    <w:uiPriority w:val="99"/>
    <w:semiHidden/>
    <w:rsid w:val="00D80FEF"/>
    <w:rPr>
      <w:sz w:val="20"/>
      <w:szCs w:val="20"/>
    </w:rPr>
  </w:style>
  <w:style w:type="character" w:customStyle="1" w:styleId="FootnoteTextChar">
    <w:name w:val="Footnote Text Char"/>
    <w:link w:val="FootnoteText"/>
    <w:uiPriority w:val="99"/>
    <w:semiHidden/>
    <w:locked/>
    <w:rsid w:val="001F269C"/>
    <w:rPr>
      <w:rFonts w:cs="Times New Roman"/>
    </w:rPr>
  </w:style>
  <w:style w:type="character" w:styleId="FootnoteReference">
    <w:name w:val="footnote reference"/>
    <w:uiPriority w:val="99"/>
    <w:semiHidden/>
    <w:rsid w:val="00D80FEF"/>
    <w:rPr>
      <w:rFonts w:cs="Times New Roman"/>
      <w:vertAlign w:val="superscript"/>
    </w:rPr>
  </w:style>
  <w:style w:type="paragraph" w:styleId="BalloonText">
    <w:name w:val="Balloon Text"/>
    <w:basedOn w:val="Normal"/>
    <w:link w:val="BalloonTextChar"/>
    <w:uiPriority w:val="99"/>
    <w:semiHidden/>
    <w:rsid w:val="00D80FEF"/>
    <w:rPr>
      <w:rFonts w:ascii="Tahoma" w:hAnsi="Tahoma" w:cs="Tahoma"/>
      <w:sz w:val="16"/>
      <w:szCs w:val="16"/>
    </w:rPr>
  </w:style>
  <w:style w:type="character" w:customStyle="1" w:styleId="BalloonTextChar">
    <w:name w:val="Balloon Text Char"/>
    <w:link w:val="BalloonText"/>
    <w:uiPriority w:val="99"/>
    <w:semiHidden/>
    <w:rsid w:val="007E67A1"/>
    <w:rPr>
      <w:sz w:val="0"/>
      <w:szCs w:val="0"/>
    </w:rPr>
  </w:style>
  <w:style w:type="character" w:styleId="CommentReference">
    <w:name w:val="annotation reference"/>
    <w:uiPriority w:val="99"/>
    <w:semiHidden/>
    <w:rsid w:val="00D80FEF"/>
    <w:rPr>
      <w:rFonts w:cs="Times New Roman"/>
      <w:sz w:val="16"/>
      <w:szCs w:val="16"/>
    </w:rPr>
  </w:style>
  <w:style w:type="character" w:styleId="FollowedHyperlink">
    <w:name w:val="FollowedHyperlink"/>
    <w:uiPriority w:val="99"/>
    <w:rsid w:val="00D80FEF"/>
    <w:rPr>
      <w:rFonts w:cs="Times New Roman"/>
      <w:color w:val="800080"/>
      <w:u w:val="single"/>
    </w:rPr>
  </w:style>
  <w:style w:type="paragraph" w:styleId="CommentText">
    <w:name w:val="annotation text"/>
    <w:basedOn w:val="Normal"/>
    <w:link w:val="CommentTextChar1"/>
    <w:uiPriority w:val="99"/>
    <w:semiHidden/>
    <w:rsid w:val="00D80FEF"/>
    <w:rPr>
      <w:sz w:val="20"/>
      <w:szCs w:val="20"/>
    </w:rPr>
  </w:style>
  <w:style w:type="character" w:customStyle="1" w:styleId="CommentTextChar">
    <w:name w:val="Comment Text Char"/>
    <w:uiPriority w:val="99"/>
    <w:semiHidden/>
    <w:rsid w:val="007E67A1"/>
    <w:rPr>
      <w:sz w:val="20"/>
      <w:szCs w:val="20"/>
    </w:rPr>
  </w:style>
  <w:style w:type="paragraph" w:styleId="CommentSubject">
    <w:name w:val="annotation subject"/>
    <w:basedOn w:val="CommentText"/>
    <w:next w:val="CommentText"/>
    <w:link w:val="CommentSubjectChar"/>
    <w:uiPriority w:val="99"/>
    <w:semiHidden/>
    <w:rsid w:val="00D80FEF"/>
    <w:rPr>
      <w:b/>
      <w:bCs/>
    </w:rPr>
  </w:style>
  <w:style w:type="character" w:customStyle="1" w:styleId="CommentSubjectChar">
    <w:name w:val="Comment Subject Char"/>
    <w:link w:val="CommentSubject"/>
    <w:uiPriority w:val="99"/>
    <w:semiHidden/>
    <w:rsid w:val="007E67A1"/>
    <w:rPr>
      <w:b/>
      <w:bCs/>
      <w:sz w:val="20"/>
      <w:szCs w:val="20"/>
    </w:rPr>
  </w:style>
  <w:style w:type="paragraph" w:styleId="ListParagraph">
    <w:name w:val="List Paragraph"/>
    <w:basedOn w:val="Normal"/>
    <w:uiPriority w:val="99"/>
    <w:qFormat/>
    <w:rsid w:val="001F269C"/>
    <w:pPr>
      <w:spacing w:after="200" w:line="276" w:lineRule="auto"/>
      <w:ind w:left="720"/>
      <w:contextualSpacing/>
    </w:pPr>
    <w:rPr>
      <w:rFonts w:ascii="Arial" w:hAnsi="Arial"/>
      <w:szCs w:val="22"/>
    </w:rPr>
  </w:style>
  <w:style w:type="paragraph" w:styleId="NoSpacing">
    <w:name w:val="No Spacing"/>
    <w:uiPriority w:val="99"/>
    <w:qFormat/>
    <w:rsid w:val="001F269C"/>
    <w:rPr>
      <w:rFonts w:ascii="Calibri" w:hAnsi="Calibri"/>
      <w:sz w:val="22"/>
      <w:szCs w:val="22"/>
    </w:rPr>
  </w:style>
  <w:style w:type="character" w:customStyle="1" w:styleId="tabletitle1">
    <w:name w:val="tabletitle1"/>
    <w:uiPriority w:val="99"/>
    <w:rsid w:val="00373E12"/>
    <w:rPr>
      <w:rFonts w:cs="Times New Roman"/>
      <w:b/>
      <w:bCs/>
      <w:sz w:val="27"/>
      <w:szCs w:val="27"/>
    </w:rPr>
  </w:style>
  <w:style w:type="paragraph" w:customStyle="1" w:styleId="sub01">
    <w:name w:val="sub01"/>
    <w:basedOn w:val="Normal"/>
    <w:uiPriority w:val="99"/>
    <w:rsid w:val="00373E12"/>
    <w:rPr>
      <w:rFonts w:ascii="Tahoma" w:hAnsi="Tahoma" w:cs="Tahoma"/>
      <w:color w:val="333333"/>
    </w:rPr>
  </w:style>
  <w:style w:type="character" w:customStyle="1" w:styleId="datavalue1">
    <w:name w:val="datavalue1"/>
    <w:uiPriority w:val="99"/>
    <w:rsid w:val="00373E12"/>
    <w:rPr>
      <w:rFonts w:cs="Times New Roman"/>
    </w:rPr>
  </w:style>
  <w:style w:type="character" w:customStyle="1" w:styleId="CommentTextChar1">
    <w:name w:val="Comment Text Char1"/>
    <w:link w:val="CommentText"/>
    <w:uiPriority w:val="99"/>
    <w:locked/>
    <w:rsid w:val="009F575C"/>
    <w:rPr>
      <w:rFonts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73219">
      <w:bodyDiv w:val="1"/>
      <w:marLeft w:val="0"/>
      <w:marRight w:val="0"/>
      <w:marTop w:val="0"/>
      <w:marBottom w:val="0"/>
      <w:divBdr>
        <w:top w:val="none" w:sz="0" w:space="0" w:color="auto"/>
        <w:left w:val="none" w:sz="0" w:space="0" w:color="auto"/>
        <w:bottom w:val="none" w:sz="0" w:space="0" w:color="auto"/>
        <w:right w:val="none" w:sz="0" w:space="0" w:color="auto"/>
      </w:divBdr>
    </w:div>
    <w:div w:id="518856086">
      <w:bodyDiv w:val="1"/>
      <w:marLeft w:val="0"/>
      <w:marRight w:val="0"/>
      <w:marTop w:val="0"/>
      <w:marBottom w:val="0"/>
      <w:divBdr>
        <w:top w:val="none" w:sz="0" w:space="0" w:color="auto"/>
        <w:left w:val="none" w:sz="0" w:space="0" w:color="auto"/>
        <w:bottom w:val="none" w:sz="0" w:space="0" w:color="auto"/>
        <w:right w:val="none" w:sz="0" w:space="0" w:color="auto"/>
      </w:divBdr>
    </w:div>
    <w:div w:id="868836318">
      <w:bodyDiv w:val="1"/>
      <w:marLeft w:val="0"/>
      <w:marRight w:val="0"/>
      <w:marTop w:val="0"/>
      <w:marBottom w:val="0"/>
      <w:divBdr>
        <w:top w:val="none" w:sz="0" w:space="0" w:color="auto"/>
        <w:left w:val="none" w:sz="0" w:space="0" w:color="auto"/>
        <w:bottom w:val="none" w:sz="0" w:space="0" w:color="auto"/>
        <w:right w:val="none" w:sz="0" w:space="0" w:color="auto"/>
      </w:divBdr>
      <w:divsChild>
        <w:div w:id="1048529743">
          <w:marLeft w:val="0"/>
          <w:marRight w:val="0"/>
          <w:marTop w:val="0"/>
          <w:marBottom w:val="0"/>
          <w:divBdr>
            <w:top w:val="none" w:sz="0" w:space="0" w:color="auto"/>
            <w:left w:val="none" w:sz="0" w:space="0" w:color="auto"/>
            <w:bottom w:val="none" w:sz="0" w:space="0" w:color="auto"/>
            <w:right w:val="none" w:sz="0" w:space="0" w:color="auto"/>
          </w:divBdr>
          <w:divsChild>
            <w:div w:id="920068543">
              <w:marLeft w:val="0"/>
              <w:marRight w:val="0"/>
              <w:marTop w:val="0"/>
              <w:marBottom w:val="0"/>
              <w:divBdr>
                <w:top w:val="none" w:sz="0" w:space="0" w:color="auto"/>
                <w:left w:val="none" w:sz="0" w:space="0" w:color="auto"/>
                <w:bottom w:val="none" w:sz="0" w:space="0" w:color="auto"/>
                <w:right w:val="none" w:sz="0" w:space="0" w:color="auto"/>
              </w:divBdr>
              <w:divsChild>
                <w:div w:id="267396770">
                  <w:marLeft w:val="0"/>
                  <w:marRight w:val="0"/>
                  <w:marTop w:val="0"/>
                  <w:marBottom w:val="0"/>
                  <w:divBdr>
                    <w:top w:val="none" w:sz="0" w:space="0" w:color="auto"/>
                    <w:left w:val="none" w:sz="0" w:space="0" w:color="auto"/>
                    <w:bottom w:val="none" w:sz="0" w:space="0" w:color="auto"/>
                    <w:right w:val="none" w:sz="0" w:space="0" w:color="auto"/>
                  </w:divBdr>
                  <w:divsChild>
                    <w:div w:id="1982691350">
                      <w:marLeft w:val="0"/>
                      <w:marRight w:val="0"/>
                      <w:marTop w:val="0"/>
                      <w:marBottom w:val="0"/>
                      <w:divBdr>
                        <w:top w:val="none" w:sz="0" w:space="0" w:color="auto"/>
                        <w:left w:val="none" w:sz="0" w:space="0" w:color="auto"/>
                        <w:bottom w:val="none" w:sz="0" w:space="0" w:color="auto"/>
                        <w:right w:val="none" w:sz="0" w:space="0" w:color="auto"/>
                      </w:divBdr>
                      <w:divsChild>
                        <w:div w:id="1653409635">
                          <w:marLeft w:val="0"/>
                          <w:marRight w:val="0"/>
                          <w:marTop w:val="0"/>
                          <w:marBottom w:val="0"/>
                          <w:divBdr>
                            <w:top w:val="none" w:sz="0" w:space="0" w:color="auto"/>
                            <w:left w:val="none" w:sz="0" w:space="0" w:color="auto"/>
                            <w:bottom w:val="none" w:sz="0" w:space="0" w:color="auto"/>
                            <w:right w:val="none" w:sz="0" w:space="0" w:color="auto"/>
                          </w:divBdr>
                          <w:divsChild>
                            <w:div w:id="2146506724">
                              <w:marLeft w:val="0"/>
                              <w:marRight w:val="0"/>
                              <w:marTop w:val="0"/>
                              <w:marBottom w:val="0"/>
                              <w:divBdr>
                                <w:top w:val="none" w:sz="0" w:space="0" w:color="auto"/>
                                <w:left w:val="none" w:sz="0" w:space="0" w:color="auto"/>
                                <w:bottom w:val="none" w:sz="0" w:space="0" w:color="auto"/>
                                <w:right w:val="none" w:sz="0" w:space="0" w:color="auto"/>
                              </w:divBdr>
                              <w:divsChild>
                                <w:div w:id="1655060143">
                                  <w:marLeft w:val="0"/>
                                  <w:marRight w:val="0"/>
                                  <w:marTop w:val="0"/>
                                  <w:marBottom w:val="0"/>
                                  <w:divBdr>
                                    <w:top w:val="none" w:sz="0" w:space="0" w:color="auto"/>
                                    <w:left w:val="none" w:sz="0" w:space="0" w:color="auto"/>
                                    <w:bottom w:val="none" w:sz="0" w:space="0" w:color="auto"/>
                                    <w:right w:val="none" w:sz="0" w:space="0" w:color="auto"/>
                                  </w:divBdr>
                                  <w:divsChild>
                                    <w:div w:id="1138644163">
                                      <w:marLeft w:val="0"/>
                                      <w:marRight w:val="0"/>
                                      <w:marTop w:val="0"/>
                                      <w:marBottom w:val="0"/>
                                      <w:divBdr>
                                        <w:top w:val="none" w:sz="0" w:space="0" w:color="auto"/>
                                        <w:left w:val="none" w:sz="0" w:space="0" w:color="auto"/>
                                        <w:bottom w:val="none" w:sz="0" w:space="0" w:color="auto"/>
                                        <w:right w:val="none" w:sz="0" w:space="0" w:color="auto"/>
                                      </w:divBdr>
                                      <w:divsChild>
                                        <w:div w:id="956839051">
                                          <w:marLeft w:val="0"/>
                                          <w:marRight w:val="0"/>
                                          <w:marTop w:val="0"/>
                                          <w:marBottom w:val="0"/>
                                          <w:divBdr>
                                            <w:top w:val="none" w:sz="0" w:space="0" w:color="auto"/>
                                            <w:left w:val="none" w:sz="0" w:space="0" w:color="auto"/>
                                            <w:bottom w:val="none" w:sz="0" w:space="0" w:color="auto"/>
                                            <w:right w:val="none" w:sz="0" w:space="0" w:color="auto"/>
                                          </w:divBdr>
                                          <w:divsChild>
                                            <w:div w:id="16835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910030">
      <w:bodyDiv w:val="1"/>
      <w:marLeft w:val="0"/>
      <w:marRight w:val="0"/>
      <w:marTop w:val="0"/>
      <w:marBottom w:val="0"/>
      <w:divBdr>
        <w:top w:val="none" w:sz="0" w:space="0" w:color="auto"/>
        <w:left w:val="none" w:sz="0" w:space="0" w:color="auto"/>
        <w:bottom w:val="none" w:sz="0" w:space="0" w:color="auto"/>
        <w:right w:val="none" w:sz="0" w:space="0" w:color="auto"/>
      </w:divBdr>
    </w:div>
    <w:div w:id="1423143700">
      <w:marLeft w:val="0"/>
      <w:marRight w:val="0"/>
      <w:marTop w:val="0"/>
      <w:marBottom w:val="0"/>
      <w:divBdr>
        <w:top w:val="none" w:sz="0" w:space="0" w:color="auto"/>
        <w:left w:val="none" w:sz="0" w:space="0" w:color="auto"/>
        <w:bottom w:val="none" w:sz="0" w:space="0" w:color="auto"/>
        <w:right w:val="none" w:sz="0" w:space="0" w:color="auto"/>
      </w:divBdr>
      <w:divsChild>
        <w:div w:id="1423143699">
          <w:marLeft w:val="0"/>
          <w:marRight w:val="0"/>
          <w:marTop w:val="0"/>
          <w:marBottom w:val="0"/>
          <w:divBdr>
            <w:top w:val="none" w:sz="0" w:space="0" w:color="auto"/>
            <w:left w:val="none" w:sz="0" w:space="0" w:color="auto"/>
            <w:bottom w:val="none" w:sz="0" w:space="0" w:color="auto"/>
            <w:right w:val="none" w:sz="0" w:space="0" w:color="auto"/>
          </w:divBdr>
          <w:divsChild>
            <w:div w:id="1423143696">
              <w:marLeft w:val="0"/>
              <w:marRight w:val="0"/>
              <w:marTop w:val="0"/>
              <w:marBottom w:val="0"/>
              <w:divBdr>
                <w:top w:val="none" w:sz="0" w:space="0" w:color="auto"/>
                <w:left w:val="none" w:sz="0" w:space="0" w:color="auto"/>
                <w:bottom w:val="none" w:sz="0" w:space="0" w:color="auto"/>
                <w:right w:val="none" w:sz="0" w:space="0" w:color="auto"/>
              </w:divBdr>
              <w:divsChild>
                <w:div w:id="1423143697">
                  <w:marLeft w:val="0"/>
                  <w:marRight w:val="0"/>
                  <w:marTop w:val="0"/>
                  <w:marBottom w:val="0"/>
                  <w:divBdr>
                    <w:top w:val="none" w:sz="0" w:space="0" w:color="auto"/>
                    <w:left w:val="none" w:sz="0" w:space="0" w:color="auto"/>
                    <w:bottom w:val="none" w:sz="0" w:space="0" w:color="auto"/>
                    <w:right w:val="none" w:sz="0" w:space="0" w:color="auto"/>
                  </w:divBdr>
                  <w:divsChild>
                    <w:div w:id="14231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43703">
      <w:marLeft w:val="0"/>
      <w:marRight w:val="0"/>
      <w:marTop w:val="0"/>
      <w:marBottom w:val="0"/>
      <w:divBdr>
        <w:top w:val="none" w:sz="0" w:space="0" w:color="auto"/>
        <w:left w:val="none" w:sz="0" w:space="0" w:color="auto"/>
        <w:bottom w:val="none" w:sz="0" w:space="0" w:color="auto"/>
        <w:right w:val="none" w:sz="0" w:space="0" w:color="auto"/>
      </w:divBdr>
      <w:divsChild>
        <w:div w:id="1423143694">
          <w:marLeft w:val="0"/>
          <w:marRight w:val="0"/>
          <w:marTop w:val="0"/>
          <w:marBottom w:val="0"/>
          <w:divBdr>
            <w:top w:val="none" w:sz="0" w:space="0" w:color="auto"/>
            <w:left w:val="none" w:sz="0" w:space="0" w:color="auto"/>
            <w:bottom w:val="none" w:sz="0" w:space="0" w:color="auto"/>
            <w:right w:val="none" w:sz="0" w:space="0" w:color="auto"/>
          </w:divBdr>
          <w:divsChild>
            <w:div w:id="1423143698">
              <w:marLeft w:val="0"/>
              <w:marRight w:val="0"/>
              <w:marTop w:val="0"/>
              <w:marBottom w:val="0"/>
              <w:divBdr>
                <w:top w:val="none" w:sz="0" w:space="0" w:color="auto"/>
                <w:left w:val="none" w:sz="0" w:space="0" w:color="auto"/>
                <w:bottom w:val="none" w:sz="0" w:space="0" w:color="auto"/>
                <w:right w:val="none" w:sz="0" w:space="0" w:color="auto"/>
              </w:divBdr>
              <w:divsChild>
                <w:div w:id="1423143701">
                  <w:marLeft w:val="0"/>
                  <w:marRight w:val="0"/>
                  <w:marTop w:val="0"/>
                  <w:marBottom w:val="0"/>
                  <w:divBdr>
                    <w:top w:val="none" w:sz="0" w:space="0" w:color="auto"/>
                    <w:left w:val="none" w:sz="0" w:space="0" w:color="auto"/>
                    <w:bottom w:val="none" w:sz="0" w:space="0" w:color="auto"/>
                    <w:right w:val="none" w:sz="0" w:space="0" w:color="auto"/>
                  </w:divBdr>
                  <w:divsChild>
                    <w:div w:id="14231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2340">
      <w:bodyDiv w:val="1"/>
      <w:marLeft w:val="0"/>
      <w:marRight w:val="0"/>
      <w:marTop w:val="0"/>
      <w:marBottom w:val="0"/>
      <w:divBdr>
        <w:top w:val="none" w:sz="0" w:space="0" w:color="auto"/>
        <w:left w:val="none" w:sz="0" w:space="0" w:color="auto"/>
        <w:bottom w:val="none" w:sz="0" w:space="0" w:color="auto"/>
        <w:right w:val="none" w:sz="0" w:space="0" w:color="auto"/>
      </w:divBdr>
    </w:div>
    <w:div w:id="17619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mcsa.dot.go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t.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5/DCB.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sa.gov/portal/category/1001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po.gov/fdsys/pkg/FR-2007-09-13/pdf/E7-18088.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5117F-1CE4-4ADD-8037-5717E934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2870</Words>
  <Characters>16980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SECTION A</vt:lpstr>
    </vt:vector>
  </TitlesOfParts>
  <Company>FMCSA</Company>
  <LinksUpToDate>false</LinksUpToDate>
  <CharactersWithSpaces>19811</CharactersWithSpaces>
  <SharedDoc>false</SharedDoc>
  <HLinks>
    <vt:vector size="42" baseType="variant">
      <vt:variant>
        <vt:i4>5111886</vt:i4>
      </vt:variant>
      <vt:variant>
        <vt:i4>18</vt:i4>
      </vt:variant>
      <vt:variant>
        <vt:i4>0</vt:i4>
      </vt:variant>
      <vt:variant>
        <vt:i4>5</vt:i4>
      </vt:variant>
      <vt:variant>
        <vt:lpwstr>http://www.fmcsa.dot.gov/</vt:lpwstr>
      </vt:variant>
      <vt:variant>
        <vt:lpwstr/>
      </vt:variant>
      <vt:variant>
        <vt:i4>2752638</vt:i4>
      </vt:variant>
      <vt:variant>
        <vt:i4>15</vt:i4>
      </vt:variant>
      <vt:variant>
        <vt:i4>0</vt:i4>
      </vt:variant>
      <vt:variant>
        <vt:i4>5</vt:i4>
      </vt:variant>
      <vt:variant>
        <vt:lpwstr>http://www.dot.gov/</vt:lpwstr>
      </vt:variant>
      <vt:variant>
        <vt:lpwstr/>
      </vt:variant>
      <vt:variant>
        <vt:i4>7209007</vt:i4>
      </vt:variant>
      <vt:variant>
        <vt:i4>12</vt:i4>
      </vt:variant>
      <vt:variant>
        <vt:i4>0</vt:i4>
      </vt:variant>
      <vt:variant>
        <vt:i4>5</vt:i4>
      </vt:variant>
      <vt:variant>
        <vt:lpwstr>http://www.opm.gov/policy-data-oversight/pay-leave/salaries-wages/2013/general-schedule/dcb.pdf</vt:lpwstr>
      </vt:variant>
      <vt:variant>
        <vt:lpwstr/>
      </vt:variant>
      <vt:variant>
        <vt:i4>5308438</vt:i4>
      </vt:variant>
      <vt:variant>
        <vt:i4>9</vt:i4>
      </vt:variant>
      <vt:variant>
        <vt:i4>0</vt:i4>
      </vt:variant>
      <vt:variant>
        <vt:i4>5</vt:i4>
      </vt:variant>
      <vt:variant>
        <vt:lpwstr>http://www.gsa.gov/portal/category/100120</vt:lpwstr>
      </vt:variant>
      <vt:variant>
        <vt:lpwstr/>
      </vt:variant>
      <vt:variant>
        <vt:i4>5111872</vt:i4>
      </vt:variant>
      <vt:variant>
        <vt:i4>6</vt:i4>
      </vt:variant>
      <vt:variant>
        <vt:i4>0</vt:i4>
      </vt:variant>
      <vt:variant>
        <vt:i4>5</vt:i4>
      </vt:variant>
      <vt:variant>
        <vt:lpwstr>http://www.fmcsa.dot.gov/about/outreach/bus/bus-safety-awareness-plan.htm?lang=en&amp;&amp;&amp;printer=true</vt:lpwstr>
      </vt:variant>
      <vt:variant>
        <vt:lpwstr/>
      </vt:variant>
      <vt:variant>
        <vt:i4>5111872</vt:i4>
      </vt:variant>
      <vt:variant>
        <vt:i4>3</vt:i4>
      </vt:variant>
      <vt:variant>
        <vt:i4>0</vt:i4>
      </vt:variant>
      <vt:variant>
        <vt:i4>5</vt:i4>
      </vt:variant>
      <vt:variant>
        <vt:lpwstr>http://www.fmcsa.dot.gov/about/outreach/bus/bus-safety-awareness-plan.htm?lang=en&amp;&amp;&amp;printer=true</vt:lpwstr>
      </vt:variant>
      <vt:variant>
        <vt:lpwstr/>
      </vt:variant>
      <vt:variant>
        <vt:i4>5111872</vt:i4>
      </vt:variant>
      <vt:variant>
        <vt:i4>0</vt:i4>
      </vt:variant>
      <vt:variant>
        <vt:i4>0</vt:i4>
      </vt:variant>
      <vt:variant>
        <vt:i4>5</vt:i4>
      </vt:variant>
      <vt:variant>
        <vt:lpwstr>http://www.fmcsa.dot.gov/about/outreach/bus/bus-safety-awareness-plan.htm?lang=en&amp;&amp;&amp;printer=true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creator>herman.dogan</dc:creator>
  <cp:lastModifiedBy>herman.dogan</cp:lastModifiedBy>
  <cp:revision>2</cp:revision>
  <cp:lastPrinted>2014-04-25T19:00:00Z</cp:lastPrinted>
  <dcterms:created xsi:type="dcterms:W3CDTF">2015-05-04T12:29:00Z</dcterms:created>
  <dcterms:modified xsi:type="dcterms:W3CDTF">2015-05-04T12:29:00Z</dcterms:modified>
</cp:coreProperties>
</file>