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D6" w:rsidRPr="00B10464" w:rsidRDefault="00ED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B10464">
        <w:rPr>
          <w:b/>
          <w:sz w:val="24"/>
          <w:szCs w:val="24"/>
        </w:rPr>
        <w:t>Supporting Statement for Paperwork Reduction Act Submissions</w:t>
      </w:r>
    </w:p>
    <w:p w:rsidR="00ED45D6" w:rsidRPr="00B10464"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F33646" w:rsidRPr="00B10464" w:rsidRDefault="00F33646" w:rsidP="00F33646">
      <w:pPr>
        <w:pStyle w:val="Heading4"/>
        <w:spacing w:before="0" w:after="0"/>
        <w:jc w:val="center"/>
        <w:rPr>
          <w:sz w:val="24"/>
          <w:szCs w:val="24"/>
        </w:rPr>
      </w:pPr>
      <w:r w:rsidRPr="00B10464">
        <w:rPr>
          <w:sz w:val="24"/>
          <w:szCs w:val="24"/>
        </w:rPr>
        <w:t xml:space="preserve">FHA Lender Approval, Annual Renewal, Periodic Updates and </w:t>
      </w:r>
      <w:r w:rsidR="003F524F" w:rsidRPr="00B10464">
        <w:rPr>
          <w:sz w:val="24"/>
          <w:szCs w:val="24"/>
        </w:rPr>
        <w:t xml:space="preserve">Required </w:t>
      </w:r>
      <w:r w:rsidRPr="00B10464">
        <w:rPr>
          <w:sz w:val="24"/>
          <w:szCs w:val="24"/>
        </w:rPr>
        <w:t>Reports</w:t>
      </w:r>
    </w:p>
    <w:p w:rsidR="00F33646" w:rsidRPr="00B10464" w:rsidRDefault="00A66D32" w:rsidP="00F33646">
      <w:pPr>
        <w:pStyle w:val="Heading4"/>
        <w:spacing w:before="0" w:after="0"/>
        <w:jc w:val="center"/>
        <w:rPr>
          <w:sz w:val="24"/>
          <w:szCs w:val="24"/>
        </w:rPr>
      </w:pPr>
      <w:r w:rsidRPr="00B10464">
        <w:rPr>
          <w:sz w:val="24"/>
          <w:szCs w:val="24"/>
        </w:rPr>
        <w:t>By</w:t>
      </w:r>
      <w:r w:rsidR="00F33646" w:rsidRPr="00B10464">
        <w:rPr>
          <w:sz w:val="24"/>
          <w:szCs w:val="24"/>
        </w:rPr>
        <w:t xml:space="preserve"> FHA Approved Lenders</w:t>
      </w:r>
    </w:p>
    <w:p w:rsidR="00ED45D6" w:rsidRPr="00B10464" w:rsidRDefault="00ED45D6">
      <w:pPr>
        <w:pStyle w:val="Heading1"/>
        <w:rPr>
          <w:rFonts w:ascii="Times New Roman" w:hAnsi="Times New Roman"/>
          <w:szCs w:val="24"/>
        </w:rPr>
      </w:pPr>
      <w:r w:rsidRPr="00B10464">
        <w:rPr>
          <w:rFonts w:ascii="Times New Roman" w:hAnsi="Times New Roman"/>
          <w:szCs w:val="24"/>
        </w:rPr>
        <w:t>OMB Control Number 2502-0005</w:t>
      </w:r>
    </w:p>
    <w:p w:rsidR="00F95F11" w:rsidRPr="00B10464" w:rsidRDefault="00F95F11" w:rsidP="00F95F11"/>
    <w:p w:rsidR="00ED45D6" w:rsidRPr="00B10464"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B10464">
        <w:rPr>
          <w:b/>
          <w:bCs/>
          <w:sz w:val="24"/>
          <w:szCs w:val="24"/>
        </w:rPr>
        <w:t>(</w:t>
      </w:r>
      <w:r w:rsidR="00A66D32" w:rsidRPr="00B10464">
        <w:rPr>
          <w:b/>
          <w:bCs/>
          <w:sz w:val="24"/>
          <w:szCs w:val="24"/>
        </w:rPr>
        <w:t>Forms HUD</w:t>
      </w:r>
      <w:r w:rsidR="00F33646" w:rsidRPr="00B10464">
        <w:rPr>
          <w:b/>
          <w:sz w:val="24"/>
          <w:szCs w:val="24"/>
        </w:rPr>
        <w:t>-92001-A, HUD-92001-B</w:t>
      </w:r>
      <w:r w:rsidR="00577D1F" w:rsidRPr="00B10464">
        <w:rPr>
          <w:b/>
          <w:sz w:val="24"/>
          <w:szCs w:val="24"/>
        </w:rPr>
        <w:t xml:space="preserve">, </w:t>
      </w:r>
      <w:r w:rsidR="00720ECB" w:rsidRPr="00B10464">
        <w:rPr>
          <w:b/>
          <w:sz w:val="24"/>
          <w:szCs w:val="24"/>
        </w:rPr>
        <w:t xml:space="preserve">and </w:t>
      </w:r>
      <w:r w:rsidR="00F33646" w:rsidRPr="00B10464">
        <w:rPr>
          <w:b/>
          <w:sz w:val="24"/>
          <w:szCs w:val="24"/>
        </w:rPr>
        <w:t>HUD-92001-C</w:t>
      </w:r>
      <w:r w:rsidR="00720ECB" w:rsidRPr="00B10464">
        <w:rPr>
          <w:b/>
          <w:sz w:val="24"/>
          <w:szCs w:val="24"/>
        </w:rPr>
        <w:t>)</w:t>
      </w:r>
    </w:p>
    <w:p w:rsidR="00ED45D6" w:rsidRPr="00B10464" w:rsidRDefault="00ED45D6">
      <w:pPr>
        <w:pStyle w:val="Heading1"/>
        <w:rPr>
          <w:rFonts w:ascii="Times New Roman" w:hAnsi="Times New Roman"/>
          <w:szCs w:val="24"/>
        </w:rPr>
      </w:pPr>
    </w:p>
    <w:p w:rsidR="00ED45D6" w:rsidRPr="00B10464"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B10464">
        <w:rPr>
          <w:b/>
          <w:sz w:val="24"/>
          <w:szCs w:val="24"/>
        </w:rPr>
        <w:t xml:space="preserve">A. </w:t>
      </w:r>
      <w:r w:rsidRPr="00B10464">
        <w:rPr>
          <w:b/>
          <w:sz w:val="24"/>
          <w:szCs w:val="24"/>
        </w:rPr>
        <w:tab/>
        <w:t>Justification</w:t>
      </w:r>
    </w:p>
    <w:p w:rsidR="00ED45D6" w:rsidRPr="00B10464" w:rsidRDefault="00ED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664270" w:rsidRPr="00B10464" w:rsidRDefault="00ED45D6"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1.</w:t>
      </w:r>
      <w:r w:rsidRPr="00B10464">
        <w:rPr>
          <w:sz w:val="24"/>
          <w:szCs w:val="24"/>
        </w:rPr>
        <w:tab/>
      </w:r>
      <w:r w:rsidR="00664270" w:rsidRPr="00B10464">
        <w:rPr>
          <w:sz w:val="24"/>
          <w:szCs w:val="24"/>
        </w:rPr>
        <w:t xml:space="preserve">This information collection clearance package seeks to a revision of OMB clearance approval of 2502-0005 that expires </w:t>
      </w:r>
      <w:r w:rsidR="00577D1F" w:rsidRPr="00B10464">
        <w:rPr>
          <w:sz w:val="24"/>
          <w:szCs w:val="24"/>
        </w:rPr>
        <w:t>10</w:t>
      </w:r>
      <w:r w:rsidR="00664270" w:rsidRPr="00B10464">
        <w:rPr>
          <w:sz w:val="24"/>
          <w:szCs w:val="24"/>
        </w:rPr>
        <w:t>/31/201</w:t>
      </w:r>
      <w:r w:rsidR="00577D1F" w:rsidRPr="00B10464">
        <w:rPr>
          <w:sz w:val="24"/>
          <w:szCs w:val="24"/>
        </w:rPr>
        <w:t>4</w:t>
      </w:r>
      <w:r w:rsidR="00664270" w:rsidRPr="00B10464">
        <w:rPr>
          <w:sz w:val="24"/>
          <w:szCs w:val="24"/>
        </w:rPr>
        <w:t xml:space="preserve">.  The Federal Housing Administration (FHA) of the Department of Housing and Urban Development approves entities to participate as Title I and/or Title II lenders.  Specific information must be obtained and reviewed to determine if an entity meets the criteria to obtain the requested approval.  In addition, this submission covers subsequent information required by FHA in order for entities to renew and maintain their approval, make periodic updates to their approval, submit required reports to FHA and submit requests to voluntarily terminate their FHA approval.  </w:t>
      </w:r>
    </w:p>
    <w:p w:rsidR="009525A6" w:rsidRPr="00B10464" w:rsidRDefault="009525A6"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r w:rsidRPr="00B10464">
        <w:rPr>
          <w:sz w:val="24"/>
          <w:szCs w:val="24"/>
        </w:rPr>
        <w:t>Title II of the National Housing Act, as amended, 12 U.S.C. 1703, 1709, and 1715b and 42 U.S.C. 3535(d), authorizes the Secretary of the Department of Housing and Urban Development to prescribe terms and conditions with respect to mortgage insurance under the above act.  Criteria for approval to become a Title I and/or Title II lender mortgagee are specified in 24 CFR 202</w:t>
      </w:r>
      <w:r w:rsidR="004617FC" w:rsidRPr="00B10464">
        <w:rPr>
          <w:sz w:val="24"/>
          <w:szCs w:val="24"/>
        </w:rPr>
        <w:t>, HUD Handbooks 4700.2 &amp; 4060.1 and various Title I letters and Mortgagee Letters</w:t>
      </w:r>
      <w:r w:rsidRPr="00B10464">
        <w:rPr>
          <w:sz w:val="24"/>
          <w:szCs w:val="24"/>
        </w:rPr>
        <w:t>.  Once approved, FHA lenders must provide additional information to maintain their approval</w:t>
      </w:r>
      <w:r w:rsidR="004617FC" w:rsidRPr="00B10464">
        <w:rPr>
          <w:sz w:val="24"/>
          <w:szCs w:val="24"/>
        </w:rPr>
        <w:t>.</w:t>
      </w:r>
    </w:p>
    <w:p w:rsidR="00C0591D" w:rsidRPr="00B10464" w:rsidRDefault="00C0591D"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p>
    <w:p w:rsidR="00A06A29" w:rsidRPr="00B10464" w:rsidRDefault="00CD7C64" w:rsidP="00DC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sz w:val="24"/>
          <w:szCs w:val="24"/>
        </w:rPr>
      </w:pPr>
      <w:r w:rsidRPr="00B10464">
        <w:rPr>
          <w:sz w:val="24"/>
          <w:szCs w:val="24"/>
        </w:rPr>
        <w:t xml:space="preserve">Changes to Existing </w:t>
      </w:r>
      <w:r w:rsidR="004617FC" w:rsidRPr="00B10464">
        <w:rPr>
          <w:sz w:val="24"/>
          <w:szCs w:val="24"/>
        </w:rPr>
        <w:t>Collections</w:t>
      </w:r>
    </w:p>
    <w:p w:rsidR="00A06A29" w:rsidRPr="00B10464" w:rsidRDefault="00A06A29"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p>
    <w:p w:rsidR="00E30CCC" w:rsidRPr="00B10464" w:rsidRDefault="00BA1DFE"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proofErr w:type="gramStart"/>
      <w:r w:rsidRPr="00B10464">
        <w:rPr>
          <w:sz w:val="24"/>
          <w:szCs w:val="24"/>
        </w:rPr>
        <w:t>a.</w:t>
      </w:r>
      <w:r w:rsidR="00A06A29" w:rsidRPr="00B10464">
        <w:rPr>
          <w:sz w:val="24"/>
          <w:szCs w:val="24"/>
        </w:rPr>
        <w:t xml:space="preserve">  </w:t>
      </w:r>
      <w:r w:rsidR="00CD7C64" w:rsidRPr="00B10464">
        <w:rPr>
          <w:sz w:val="24"/>
          <w:szCs w:val="24"/>
        </w:rPr>
        <w:t>The</w:t>
      </w:r>
      <w:proofErr w:type="gramEnd"/>
      <w:r w:rsidR="00E30CCC" w:rsidRPr="00B10464">
        <w:rPr>
          <w:sz w:val="24"/>
          <w:szCs w:val="24"/>
        </w:rPr>
        <w:t xml:space="preserve"> </w:t>
      </w:r>
      <w:r w:rsidR="00CD7C64" w:rsidRPr="00B10464">
        <w:rPr>
          <w:sz w:val="24"/>
          <w:szCs w:val="24"/>
        </w:rPr>
        <w:t>online application for FHA Lender Approval system became mandatory on June 20, 2012.  This online system uses the HUD Lender Electronic Assessment Portal (LEAP) and the final versions of its screens are attached</w:t>
      </w:r>
      <w:r w:rsidR="00380C3E" w:rsidRPr="00B10464">
        <w:rPr>
          <w:sz w:val="24"/>
          <w:szCs w:val="24"/>
        </w:rPr>
        <w:t>.</w:t>
      </w:r>
    </w:p>
    <w:p w:rsidR="000F3293" w:rsidRPr="00B10464" w:rsidRDefault="000F3293"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p>
    <w:p w:rsidR="004617FC" w:rsidRPr="00B10464" w:rsidRDefault="00DF1B09" w:rsidP="00461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sz w:val="24"/>
          <w:szCs w:val="24"/>
        </w:rPr>
      </w:pPr>
      <w:r w:rsidRPr="00B10464">
        <w:rPr>
          <w:sz w:val="24"/>
          <w:szCs w:val="24"/>
        </w:rPr>
        <w:t xml:space="preserve">Estimated </w:t>
      </w:r>
      <w:r w:rsidR="004617FC" w:rsidRPr="00B10464">
        <w:rPr>
          <w:sz w:val="24"/>
          <w:szCs w:val="24"/>
        </w:rPr>
        <w:t>Number of Responses and Burden Hours</w:t>
      </w:r>
    </w:p>
    <w:p w:rsidR="004617FC" w:rsidRPr="00B10464" w:rsidRDefault="004617FC"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p>
    <w:p w:rsidR="004617FC" w:rsidRPr="00B10464" w:rsidRDefault="009A3D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r w:rsidRPr="00B10464">
        <w:rPr>
          <w:sz w:val="24"/>
          <w:szCs w:val="24"/>
        </w:rPr>
        <w:t xml:space="preserve">There has been a decline in the number of FHA lenders and the burden hour estimates have been revised </w:t>
      </w:r>
      <w:r w:rsidR="00BA1DFE" w:rsidRPr="00B10464">
        <w:rPr>
          <w:sz w:val="24"/>
          <w:szCs w:val="24"/>
        </w:rPr>
        <w:t>accordingly.</w:t>
      </w:r>
    </w:p>
    <w:p w:rsidR="004617FC" w:rsidRPr="00B10464" w:rsidRDefault="004617FC"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sz w:val="24"/>
          <w:szCs w:val="24"/>
        </w:rPr>
      </w:pPr>
    </w:p>
    <w:p w:rsidR="00664270" w:rsidRPr="00B10464" w:rsidRDefault="00664270" w:rsidP="00A27DD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r w:rsidRPr="00B10464">
        <w:rPr>
          <w:sz w:val="24"/>
          <w:szCs w:val="24"/>
        </w:rPr>
        <w:t>2.</w:t>
      </w:r>
      <w:r w:rsidRPr="00B10464">
        <w:rPr>
          <w:sz w:val="24"/>
          <w:szCs w:val="24"/>
        </w:rPr>
        <w:tab/>
      </w:r>
      <w:r w:rsidR="00A27DD0" w:rsidRPr="00B10464">
        <w:rPr>
          <w:sz w:val="24"/>
          <w:szCs w:val="24"/>
        </w:rPr>
        <w:t>a</w:t>
      </w:r>
      <w:r w:rsidRPr="00B10464">
        <w:rPr>
          <w:sz w:val="24"/>
          <w:szCs w:val="24"/>
        </w:rPr>
        <w:t>.</w:t>
      </w:r>
      <w:r w:rsidRPr="00B10464">
        <w:rPr>
          <w:sz w:val="24"/>
          <w:szCs w:val="24"/>
        </w:rPr>
        <w:tab/>
      </w:r>
      <w:r w:rsidRPr="00B10464">
        <w:rPr>
          <w:b/>
          <w:sz w:val="24"/>
          <w:szCs w:val="24"/>
        </w:rPr>
        <w:t>Online Application for Lender Approval</w:t>
      </w:r>
      <w:r w:rsidRPr="00B10464">
        <w:rPr>
          <w:sz w:val="24"/>
          <w:szCs w:val="24"/>
        </w:rPr>
        <w:t xml:space="preserve">:  </w:t>
      </w:r>
      <w:r w:rsidR="00E30CCC" w:rsidRPr="00B10464">
        <w:rPr>
          <w:sz w:val="24"/>
          <w:szCs w:val="24"/>
        </w:rPr>
        <w:t xml:space="preserve">The online application for FHA Lender Approval system was implemented on June 20, 2012.  The web site is at:  </w:t>
      </w:r>
      <w:hyperlink r:id="rId8" w:history="1">
        <w:r w:rsidR="00E30CCC" w:rsidRPr="00B10464">
          <w:rPr>
            <w:rStyle w:val="Hyperlink"/>
            <w:color w:val="auto"/>
            <w:sz w:val="24"/>
            <w:szCs w:val="24"/>
          </w:rPr>
          <w:t>https://www5.hud.gov/FHALender/</w:t>
        </w:r>
      </w:hyperlink>
      <w:r w:rsidR="00E30CCC" w:rsidRPr="00B10464">
        <w:rPr>
          <w:sz w:val="24"/>
          <w:szCs w:val="24"/>
        </w:rPr>
        <w:t xml:space="preserve">. </w:t>
      </w:r>
      <w:r w:rsidR="00C75D89" w:rsidRPr="00B10464">
        <w:rPr>
          <w:sz w:val="24"/>
          <w:szCs w:val="24"/>
        </w:rPr>
        <w:t>This online system uses the HUD Lender Electronic Asses</w:t>
      </w:r>
      <w:r w:rsidR="00A27DD0" w:rsidRPr="00B10464">
        <w:rPr>
          <w:sz w:val="24"/>
          <w:szCs w:val="24"/>
        </w:rPr>
        <w:t>s</w:t>
      </w:r>
      <w:r w:rsidR="00C75D89" w:rsidRPr="00B10464">
        <w:rPr>
          <w:sz w:val="24"/>
          <w:szCs w:val="24"/>
        </w:rPr>
        <w:t>ment Portal (LEAP)</w:t>
      </w:r>
      <w:r w:rsidR="00A27DD0" w:rsidRPr="00B10464">
        <w:rPr>
          <w:sz w:val="24"/>
          <w:szCs w:val="24"/>
        </w:rPr>
        <w:t xml:space="preserve">. </w:t>
      </w:r>
      <w:r w:rsidR="00C75D89" w:rsidRPr="00B10464">
        <w:rPr>
          <w:sz w:val="24"/>
          <w:szCs w:val="24"/>
        </w:rPr>
        <w:t xml:space="preserve"> The applicants fill in a series of screen templates and then must attach various documents depending on what type of lender approval they are seeking.  These various business documents include:  (1) State license or registration</w:t>
      </w:r>
      <w:r w:rsidR="009B5C42" w:rsidRPr="00B10464">
        <w:rPr>
          <w:sz w:val="24"/>
          <w:szCs w:val="24"/>
        </w:rPr>
        <w:t>;</w:t>
      </w:r>
      <w:r w:rsidR="00C75D89" w:rsidRPr="00B10464">
        <w:rPr>
          <w:sz w:val="24"/>
          <w:szCs w:val="24"/>
        </w:rPr>
        <w:t xml:space="preserve"> (2) DBA approvals</w:t>
      </w:r>
      <w:r w:rsidR="009B5C42" w:rsidRPr="00B10464">
        <w:rPr>
          <w:sz w:val="24"/>
          <w:szCs w:val="24"/>
        </w:rPr>
        <w:t>;</w:t>
      </w:r>
      <w:r w:rsidR="00C75D89" w:rsidRPr="00B10464">
        <w:rPr>
          <w:sz w:val="24"/>
          <w:szCs w:val="24"/>
        </w:rPr>
        <w:t xml:space="preserve"> (3) credit report on applicant</w:t>
      </w:r>
      <w:r w:rsidR="009B5C42" w:rsidRPr="00B10464">
        <w:rPr>
          <w:sz w:val="24"/>
          <w:szCs w:val="24"/>
        </w:rPr>
        <w:t>;</w:t>
      </w:r>
      <w:r w:rsidR="00C75D89" w:rsidRPr="00B10464">
        <w:rPr>
          <w:sz w:val="24"/>
          <w:szCs w:val="24"/>
        </w:rPr>
        <w:t xml:space="preserve"> (4) credit reports on owners and officers</w:t>
      </w:r>
      <w:r w:rsidR="009B5C42" w:rsidRPr="00B10464">
        <w:rPr>
          <w:sz w:val="24"/>
          <w:szCs w:val="24"/>
        </w:rPr>
        <w:t>;</w:t>
      </w:r>
      <w:r w:rsidR="00C75D89" w:rsidRPr="00B10464">
        <w:rPr>
          <w:sz w:val="24"/>
          <w:szCs w:val="24"/>
        </w:rPr>
        <w:t xml:space="preserve"> (</w:t>
      </w:r>
      <w:r w:rsidR="009B5C42" w:rsidRPr="00B10464">
        <w:rPr>
          <w:sz w:val="24"/>
          <w:szCs w:val="24"/>
        </w:rPr>
        <w:t>5</w:t>
      </w:r>
      <w:r w:rsidR="00C75D89" w:rsidRPr="00B10464">
        <w:rPr>
          <w:sz w:val="24"/>
          <w:szCs w:val="24"/>
        </w:rPr>
        <w:t xml:space="preserve">) financial reports on applicants (audited financial reports, regulatory financial reports and/or </w:t>
      </w:r>
      <w:r w:rsidR="00720ECB" w:rsidRPr="00B10464">
        <w:rPr>
          <w:sz w:val="24"/>
          <w:szCs w:val="24"/>
        </w:rPr>
        <w:t>c</w:t>
      </w:r>
      <w:r w:rsidR="00C75D89" w:rsidRPr="00B10464">
        <w:rPr>
          <w:sz w:val="24"/>
          <w:szCs w:val="24"/>
        </w:rPr>
        <w:t xml:space="preserve">orporate </w:t>
      </w:r>
      <w:r w:rsidR="00720ECB" w:rsidRPr="00B10464">
        <w:rPr>
          <w:sz w:val="24"/>
          <w:szCs w:val="24"/>
        </w:rPr>
        <w:t>g</w:t>
      </w:r>
      <w:r w:rsidR="00C75D89" w:rsidRPr="00B10464">
        <w:rPr>
          <w:sz w:val="24"/>
          <w:szCs w:val="24"/>
        </w:rPr>
        <w:t>uarant</w:t>
      </w:r>
      <w:r w:rsidR="0066584A" w:rsidRPr="00B10464">
        <w:rPr>
          <w:sz w:val="24"/>
          <w:szCs w:val="24"/>
        </w:rPr>
        <w:t xml:space="preserve">y </w:t>
      </w:r>
      <w:r w:rsidR="00720ECB" w:rsidRPr="00B10464">
        <w:rPr>
          <w:sz w:val="24"/>
          <w:szCs w:val="24"/>
        </w:rPr>
        <w:t>a</w:t>
      </w:r>
      <w:r w:rsidR="0066584A" w:rsidRPr="00B10464">
        <w:rPr>
          <w:sz w:val="24"/>
          <w:szCs w:val="24"/>
        </w:rPr>
        <w:t>greement</w:t>
      </w:r>
      <w:r w:rsidR="00380C3E" w:rsidRPr="00B10464">
        <w:rPr>
          <w:sz w:val="24"/>
          <w:szCs w:val="24"/>
        </w:rPr>
        <w:t>)</w:t>
      </w:r>
      <w:r w:rsidR="009B5C42" w:rsidRPr="00B10464">
        <w:rPr>
          <w:sz w:val="24"/>
          <w:szCs w:val="24"/>
        </w:rPr>
        <w:t>;</w:t>
      </w:r>
      <w:r w:rsidR="00C75D89" w:rsidRPr="00B10464">
        <w:rPr>
          <w:sz w:val="24"/>
          <w:szCs w:val="24"/>
        </w:rPr>
        <w:t xml:space="preserve"> (</w:t>
      </w:r>
      <w:r w:rsidR="009B5C42" w:rsidRPr="00B10464">
        <w:rPr>
          <w:sz w:val="24"/>
          <w:szCs w:val="24"/>
        </w:rPr>
        <w:t>6</w:t>
      </w:r>
      <w:r w:rsidR="00C75D89" w:rsidRPr="00B10464">
        <w:rPr>
          <w:sz w:val="24"/>
          <w:szCs w:val="24"/>
        </w:rPr>
        <w:t>) LLC documents</w:t>
      </w:r>
      <w:r w:rsidR="009B5C42" w:rsidRPr="00B10464">
        <w:rPr>
          <w:sz w:val="24"/>
          <w:szCs w:val="24"/>
        </w:rPr>
        <w:t>;</w:t>
      </w:r>
      <w:r w:rsidR="00C75D89" w:rsidRPr="00B10464">
        <w:rPr>
          <w:sz w:val="24"/>
          <w:szCs w:val="24"/>
        </w:rPr>
        <w:t xml:space="preserve"> (</w:t>
      </w:r>
      <w:r w:rsidR="009B5C42" w:rsidRPr="00B10464">
        <w:rPr>
          <w:sz w:val="24"/>
          <w:szCs w:val="24"/>
        </w:rPr>
        <w:t>7</w:t>
      </w:r>
      <w:r w:rsidR="00C75D89" w:rsidRPr="00B10464">
        <w:rPr>
          <w:sz w:val="24"/>
          <w:szCs w:val="24"/>
        </w:rPr>
        <w:t xml:space="preserve">) </w:t>
      </w:r>
      <w:r w:rsidR="00380C3E" w:rsidRPr="00B10464">
        <w:rPr>
          <w:sz w:val="24"/>
          <w:szCs w:val="24"/>
        </w:rPr>
        <w:t>p</w:t>
      </w:r>
      <w:r w:rsidR="00C75D89" w:rsidRPr="00B10464">
        <w:rPr>
          <w:sz w:val="24"/>
          <w:szCs w:val="24"/>
        </w:rPr>
        <w:t>artnership documents</w:t>
      </w:r>
      <w:r w:rsidR="009B5C42" w:rsidRPr="00B10464">
        <w:rPr>
          <w:sz w:val="24"/>
          <w:szCs w:val="24"/>
        </w:rPr>
        <w:t>;</w:t>
      </w:r>
      <w:r w:rsidR="00C75D89" w:rsidRPr="00B10464">
        <w:rPr>
          <w:sz w:val="24"/>
          <w:szCs w:val="24"/>
        </w:rPr>
        <w:t xml:space="preserve"> (</w:t>
      </w:r>
      <w:r w:rsidR="009B5C42" w:rsidRPr="00B10464">
        <w:rPr>
          <w:sz w:val="24"/>
          <w:szCs w:val="24"/>
        </w:rPr>
        <w:t>8</w:t>
      </w:r>
      <w:r w:rsidR="00C75D89" w:rsidRPr="00B10464">
        <w:rPr>
          <w:sz w:val="24"/>
          <w:szCs w:val="24"/>
        </w:rPr>
        <w:t>) evidence of funding program</w:t>
      </w:r>
      <w:r w:rsidR="009B5C42" w:rsidRPr="00B10464">
        <w:rPr>
          <w:sz w:val="24"/>
          <w:szCs w:val="24"/>
        </w:rPr>
        <w:t>; (9</w:t>
      </w:r>
      <w:r w:rsidR="00C75D89" w:rsidRPr="00B10464">
        <w:rPr>
          <w:sz w:val="24"/>
          <w:szCs w:val="24"/>
        </w:rPr>
        <w:t>) quality control plan</w:t>
      </w:r>
      <w:r w:rsidR="009B5C42" w:rsidRPr="00B10464">
        <w:rPr>
          <w:sz w:val="24"/>
          <w:szCs w:val="24"/>
        </w:rPr>
        <w:t>;</w:t>
      </w:r>
      <w:r w:rsidR="00C75D89" w:rsidRPr="00B10464">
        <w:rPr>
          <w:sz w:val="24"/>
          <w:szCs w:val="24"/>
        </w:rPr>
        <w:t xml:space="preserve"> (</w:t>
      </w:r>
      <w:r w:rsidR="009B5C42" w:rsidRPr="00B10464">
        <w:rPr>
          <w:sz w:val="24"/>
          <w:szCs w:val="24"/>
        </w:rPr>
        <w:t>10</w:t>
      </w:r>
      <w:r w:rsidR="00C75D89" w:rsidRPr="00B10464">
        <w:rPr>
          <w:sz w:val="24"/>
          <w:szCs w:val="24"/>
        </w:rPr>
        <w:t>) fidelity bond</w:t>
      </w:r>
      <w:r w:rsidR="009B5C42" w:rsidRPr="00B10464">
        <w:rPr>
          <w:sz w:val="24"/>
          <w:szCs w:val="24"/>
        </w:rPr>
        <w:t>; (11</w:t>
      </w:r>
      <w:r w:rsidR="00C75D89" w:rsidRPr="00B10464">
        <w:rPr>
          <w:sz w:val="24"/>
          <w:szCs w:val="24"/>
        </w:rPr>
        <w:t>) errors &amp; omissions policy</w:t>
      </w:r>
      <w:r w:rsidR="009B5C42" w:rsidRPr="00B10464">
        <w:rPr>
          <w:sz w:val="24"/>
          <w:szCs w:val="24"/>
        </w:rPr>
        <w:t>; (12</w:t>
      </w:r>
      <w:r w:rsidR="00C75D89" w:rsidRPr="00B10464">
        <w:rPr>
          <w:sz w:val="24"/>
          <w:szCs w:val="24"/>
        </w:rPr>
        <w:t>) resumes</w:t>
      </w:r>
      <w:r w:rsidR="009B5C42" w:rsidRPr="00B10464">
        <w:rPr>
          <w:sz w:val="24"/>
          <w:szCs w:val="24"/>
        </w:rPr>
        <w:t>;</w:t>
      </w:r>
      <w:r w:rsidR="00C75D89" w:rsidRPr="00B10464">
        <w:rPr>
          <w:sz w:val="24"/>
          <w:szCs w:val="24"/>
        </w:rPr>
        <w:t xml:space="preserve"> and (1</w:t>
      </w:r>
      <w:r w:rsidR="009B5C42" w:rsidRPr="00B10464">
        <w:rPr>
          <w:sz w:val="24"/>
          <w:szCs w:val="24"/>
        </w:rPr>
        <w:t>3</w:t>
      </w:r>
      <w:r w:rsidR="00C75D89" w:rsidRPr="00B10464">
        <w:rPr>
          <w:sz w:val="24"/>
          <w:szCs w:val="24"/>
        </w:rPr>
        <w:t>) other documents the applicant wishes to include to supplement their application.  Copies of its screens are attached.</w:t>
      </w:r>
    </w:p>
    <w:p w:rsidR="00F7695C" w:rsidRPr="00B10464" w:rsidRDefault="00F7695C" w:rsidP="00A27DD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00F7695C" w:rsidRPr="00B10464" w:rsidRDefault="00F7695C" w:rsidP="00A27DD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r w:rsidRPr="00B10464">
        <w:rPr>
          <w:sz w:val="24"/>
          <w:szCs w:val="24"/>
        </w:rPr>
        <w:tab/>
      </w:r>
      <w:r w:rsidRPr="00B10464">
        <w:rPr>
          <w:sz w:val="24"/>
          <w:szCs w:val="24"/>
        </w:rPr>
        <w:tab/>
      </w:r>
      <w:r w:rsidR="001E2C02" w:rsidRPr="00B10464">
        <w:rPr>
          <w:sz w:val="24"/>
          <w:szCs w:val="24"/>
        </w:rPr>
        <w:t xml:space="preserve">The online application will now require the applicant to enter its unique </w:t>
      </w:r>
      <w:r w:rsidRPr="00B10464">
        <w:rPr>
          <w:sz w:val="24"/>
          <w:szCs w:val="24"/>
        </w:rPr>
        <w:t xml:space="preserve">Nationwide Mortgage Licensing System and Registry (NMLS) </w:t>
      </w:r>
      <w:r w:rsidR="001E2C02" w:rsidRPr="00B10464">
        <w:rPr>
          <w:sz w:val="24"/>
          <w:szCs w:val="24"/>
        </w:rPr>
        <w:t>Unique Identifier (NMLS ID)</w:t>
      </w:r>
      <w:r w:rsidR="002A0690" w:rsidRPr="00B10464">
        <w:rPr>
          <w:sz w:val="24"/>
          <w:szCs w:val="24"/>
        </w:rPr>
        <w:t xml:space="preserve">, previously this information was optional.  The Secure and Fair Enforcement for Mortgage Licensing Act of 2008 (SAFE Act) provided for the establishment of a Nationwide Mortgage Licensing System and Registry and mandated that states adopt NMLS for licensing and registration of individual mortgage loan originators.  Section 203 of the </w:t>
      </w:r>
      <w:r w:rsidR="002A0690" w:rsidRPr="00B10464">
        <w:rPr>
          <w:sz w:val="24"/>
          <w:szCs w:val="24"/>
        </w:rPr>
        <w:lastRenderedPageBreak/>
        <w:t xml:space="preserve">Helping Families Save Their Homes Act of 2009 made compliance with the SAFE Act a condition of eligibility for approval or authorization to participate in FHA programs. </w:t>
      </w:r>
      <w:r w:rsidR="00AC61B8" w:rsidRPr="00B10464">
        <w:rPr>
          <w:sz w:val="24"/>
          <w:szCs w:val="24"/>
        </w:rPr>
        <w:t xml:space="preserve"> Currently all FHA-approved lenders are required to provide FHA with accurate information regarding their NMLS IDs in FHA Connection</w:t>
      </w:r>
      <w:r w:rsidR="009E41B6" w:rsidRPr="00B10464">
        <w:rPr>
          <w:sz w:val="24"/>
          <w:szCs w:val="24"/>
        </w:rPr>
        <w:t xml:space="preserve"> in order to obtain case numbers and enter third party originators into FHA Connection’s Sponsored Originator Registry</w:t>
      </w:r>
      <w:r w:rsidR="00AC61B8" w:rsidRPr="00B10464">
        <w:rPr>
          <w:sz w:val="24"/>
          <w:szCs w:val="24"/>
        </w:rPr>
        <w:t xml:space="preserve">. The addition of this requirement to the application for approval would alleviate the burden upon the lender to update this information </w:t>
      </w:r>
      <w:r w:rsidR="009E41B6" w:rsidRPr="00B10464">
        <w:rPr>
          <w:sz w:val="24"/>
          <w:szCs w:val="24"/>
        </w:rPr>
        <w:t>post approval</w:t>
      </w:r>
      <w:r w:rsidR="00AC61B8" w:rsidRPr="00B10464">
        <w:rPr>
          <w:sz w:val="24"/>
          <w:szCs w:val="24"/>
        </w:rPr>
        <w:t xml:space="preserve">. </w:t>
      </w:r>
    </w:p>
    <w:p w:rsidR="00A27DD0" w:rsidRPr="00B10464" w:rsidRDefault="00A27DD0" w:rsidP="00A27DD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00A27DD0" w:rsidRPr="00B10464" w:rsidRDefault="00A27DD0" w:rsidP="00A27D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roofErr w:type="gramStart"/>
      <w:r w:rsidRPr="00B10464">
        <w:rPr>
          <w:sz w:val="24"/>
          <w:szCs w:val="24"/>
        </w:rPr>
        <w:t>b.</w:t>
      </w:r>
      <w:r w:rsidRPr="00B10464">
        <w:rPr>
          <w:sz w:val="24"/>
          <w:szCs w:val="24"/>
        </w:rPr>
        <w:tab/>
      </w:r>
      <w:r w:rsidR="00BA1DFE" w:rsidRPr="00B10464">
        <w:rPr>
          <w:b/>
          <w:sz w:val="24"/>
          <w:szCs w:val="24"/>
        </w:rPr>
        <w:t>Non-online</w:t>
      </w:r>
      <w:proofErr w:type="gramEnd"/>
      <w:r w:rsidR="00BA1DFE" w:rsidRPr="00B10464">
        <w:rPr>
          <w:sz w:val="24"/>
          <w:szCs w:val="24"/>
        </w:rPr>
        <w:t xml:space="preserve"> </w:t>
      </w:r>
      <w:r w:rsidRPr="00B10464">
        <w:rPr>
          <w:b/>
          <w:sz w:val="24"/>
          <w:szCs w:val="24"/>
        </w:rPr>
        <w:t xml:space="preserve">Application for FHA Lender Approval: Form </w:t>
      </w:r>
      <w:r w:rsidRPr="00B10464">
        <w:rPr>
          <w:b/>
          <w:bCs/>
          <w:sz w:val="24"/>
          <w:szCs w:val="24"/>
        </w:rPr>
        <w:t>HUD-92001-A.</w:t>
      </w:r>
      <w:r w:rsidRPr="00B10464">
        <w:rPr>
          <w:sz w:val="24"/>
          <w:szCs w:val="24"/>
        </w:rPr>
        <w:t xml:space="preserve">  This form and its attachments are only used for applicants seeking approval as a FHA lender as a back up to the new online application process described in item 2.</w:t>
      </w:r>
      <w:r w:rsidR="00BD76AE" w:rsidRPr="00B10464">
        <w:rPr>
          <w:sz w:val="24"/>
          <w:szCs w:val="24"/>
        </w:rPr>
        <w:t>a above.</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c</w:t>
      </w:r>
      <w:r w:rsidR="00664270" w:rsidRPr="00B10464">
        <w:rPr>
          <w:sz w:val="24"/>
          <w:szCs w:val="24"/>
        </w:rPr>
        <w:t>.</w:t>
      </w:r>
      <w:r w:rsidR="00664270" w:rsidRPr="00B10464">
        <w:rPr>
          <w:sz w:val="24"/>
          <w:szCs w:val="24"/>
        </w:rPr>
        <w:tab/>
      </w:r>
      <w:r w:rsidR="00664270" w:rsidRPr="00B10464">
        <w:rPr>
          <w:b/>
          <w:sz w:val="24"/>
          <w:szCs w:val="24"/>
        </w:rPr>
        <w:t xml:space="preserve">Online Branch Registration:  </w:t>
      </w:r>
      <w:r w:rsidR="00664270" w:rsidRPr="00B10464">
        <w:rPr>
          <w:sz w:val="24"/>
          <w:szCs w:val="24"/>
        </w:rPr>
        <w:t xml:space="preserve">The information on Form HUD </w:t>
      </w:r>
      <w:r w:rsidR="00664270" w:rsidRPr="00B10464">
        <w:rPr>
          <w:b/>
          <w:bCs/>
          <w:sz w:val="24"/>
          <w:szCs w:val="24"/>
        </w:rPr>
        <w:t>92001-B</w:t>
      </w:r>
      <w:r w:rsidR="00664270" w:rsidRPr="00B10464">
        <w:rPr>
          <w:sz w:val="24"/>
          <w:szCs w:val="24"/>
        </w:rPr>
        <w:t xml:space="preserve"> is submitted electronically via FHA Connection by FHA lenders to register branches</w:t>
      </w:r>
      <w:r w:rsidR="00E57716" w:rsidRPr="00B10464">
        <w:rPr>
          <w:sz w:val="24"/>
          <w:szCs w:val="24"/>
        </w:rPr>
        <w:t>.</w:t>
      </w:r>
    </w:p>
    <w:p w:rsidR="00E57716" w:rsidRPr="00B10464" w:rsidRDefault="00E57716"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E57716"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d.</w:t>
      </w:r>
      <w:r w:rsidR="00664270" w:rsidRPr="00B10464">
        <w:rPr>
          <w:sz w:val="24"/>
          <w:szCs w:val="24"/>
        </w:rPr>
        <w:tab/>
      </w:r>
      <w:r w:rsidRPr="00B10464">
        <w:rPr>
          <w:b/>
          <w:sz w:val="24"/>
          <w:szCs w:val="24"/>
        </w:rPr>
        <w:t xml:space="preserve">Non-online Branch Registration: </w:t>
      </w:r>
      <w:r w:rsidRPr="00B10464">
        <w:rPr>
          <w:sz w:val="24"/>
          <w:szCs w:val="24"/>
        </w:rPr>
        <w:t xml:space="preserve"> Form HUD-</w:t>
      </w:r>
      <w:r w:rsidRPr="00B10464">
        <w:rPr>
          <w:b/>
          <w:bCs/>
          <w:sz w:val="24"/>
          <w:szCs w:val="24"/>
        </w:rPr>
        <w:t>92001-B</w:t>
      </w:r>
      <w:r w:rsidRPr="00B10464">
        <w:rPr>
          <w:sz w:val="24"/>
          <w:szCs w:val="24"/>
        </w:rPr>
        <w:t xml:space="preserve"> is used by FHA lenders to register a Branch as a back-up to the online registration process described in Item 2.</w:t>
      </w:r>
      <w:r w:rsidR="009E41B6" w:rsidRPr="00B10464">
        <w:rPr>
          <w:sz w:val="24"/>
          <w:szCs w:val="24"/>
        </w:rPr>
        <w:t>c</w:t>
      </w:r>
      <w:r w:rsidRPr="00B10464">
        <w:rPr>
          <w:sz w:val="24"/>
          <w:szCs w:val="24"/>
        </w:rPr>
        <w:t xml:space="preserve"> above</w:t>
      </w:r>
      <w:r w:rsidR="00BA1DFE" w:rsidRPr="00B10464">
        <w:rPr>
          <w:sz w:val="24"/>
          <w:szCs w:val="24"/>
        </w:rPr>
        <w:t xml:space="preserve"> </w:t>
      </w:r>
    </w:p>
    <w:p w:rsidR="00E57716" w:rsidRPr="00B10464" w:rsidRDefault="00E57716"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e</w:t>
      </w:r>
      <w:r w:rsidR="00664270" w:rsidRPr="00B10464">
        <w:rPr>
          <w:sz w:val="24"/>
          <w:szCs w:val="24"/>
        </w:rPr>
        <w:t>.</w:t>
      </w:r>
      <w:r w:rsidR="00664270" w:rsidRPr="00B10464">
        <w:rPr>
          <w:sz w:val="24"/>
          <w:szCs w:val="24"/>
        </w:rPr>
        <w:tab/>
      </w:r>
      <w:r w:rsidR="00720ECB" w:rsidRPr="00B10464">
        <w:rPr>
          <w:b/>
          <w:sz w:val="24"/>
          <w:szCs w:val="24"/>
        </w:rPr>
        <w:t>Online Payment of Lender Approval Application Fee:</w:t>
      </w:r>
      <w:r w:rsidR="00720ECB" w:rsidRPr="00B10464">
        <w:rPr>
          <w:sz w:val="24"/>
          <w:szCs w:val="24"/>
        </w:rPr>
        <w:t xml:space="preserve">  Applicants who file their lender approval application online using the Lender Electronic Assessment Portal (LEAP) system pay the application fee as part of that process via of an electronic interface with the Department of Treasury’s pay.gov system. If an applicant files a paper lender approval application form HUD 92001-A, the applicant pays the application fee directly in the Department of Treasury’s pay.gov system.</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f</w:t>
      </w:r>
      <w:r w:rsidR="00664270" w:rsidRPr="00B10464">
        <w:rPr>
          <w:sz w:val="24"/>
          <w:szCs w:val="24"/>
        </w:rPr>
        <w:t>.</w:t>
      </w:r>
      <w:r w:rsidR="00664270" w:rsidRPr="00B10464">
        <w:rPr>
          <w:sz w:val="24"/>
          <w:szCs w:val="24"/>
        </w:rPr>
        <w:tab/>
      </w:r>
      <w:r w:rsidR="00720ECB" w:rsidRPr="00B10464">
        <w:rPr>
          <w:b/>
          <w:sz w:val="24"/>
          <w:szCs w:val="24"/>
        </w:rPr>
        <w:t>Online Payment of Branch Fee:</w:t>
      </w:r>
      <w:r w:rsidR="00720ECB" w:rsidRPr="00B10464">
        <w:rPr>
          <w:sz w:val="24"/>
          <w:szCs w:val="24"/>
        </w:rPr>
        <w:t xml:space="preserve">  Lenders who register a branch using their FHA Connection Account pay the branch fee via of an electronic interface with the Department of Treasury’s pay.gov system.  Lenders who submit a branch form 92001-B to FHA to register a branch pay the branch fee directly in the Department of Treasury’s pay.gov system.</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g</w:t>
      </w:r>
      <w:r w:rsidR="00664270" w:rsidRPr="00B10464">
        <w:rPr>
          <w:sz w:val="24"/>
          <w:szCs w:val="24"/>
        </w:rPr>
        <w:t>.</w:t>
      </w:r>
      <w:r w:rsidR="00664270" w:rsidRPr="00B10464">
        <w:rPr>
          <w:sz w:val="24"/>
          <w:szCs w:val="24"/>
        </w:rPr>
        <w:tab/>
      </w:r>
      <w:r w:rsidR="00720ECB" w:rsidRPr="00B10464">
        <w:rPr>
          <w:b/>
          <w:sz w:val="24"/>
          <w:szCs w:val="24"/>
        </w:rPr>
        <w:t>Online Annual Certification Report/Unable to Certify Report:</w:t>
      </w:r>
      <w:r w:rsidR="00720ECB" w:rsidRPr="00B10464">
        <w:rPr>
          <w:sz w:val="24"/>
          <w:szCs w:val="24"/>
        </w:rPr>
        <w:t xml:space="preserve">  Each lender submits it annual Certification Report via of its FHA Connection account.  If they can’t certify compliance with all of with all the requirements on its annual renewal certification report they must submit an explanation of the reasons why they can’t certify in an unable to certify report via of its FHA Connection account.</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720ECB" w:rsidRPr="00B10464" w:rsidRDefault="009A3D70"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h.</w:t>
      </w:r>
      <w:r w:rsidR="00664270" w:rsidRPr="00B10464">
        <w:rPr>
          <w:sz w:val="24"/>
          <w:szCs w:val="24"/>
        </w:rPr>
        <w:tab/>
      </w:r>
      <w:r w:rsidR="00720ECB" w:rsidRPr="00B10464">
        <w:rPr>
          <w:b/>
          <w:sz w:val="24"/>
          <w:szCs w:val="24"/>
        </w:rPr>
        <w:t xml:space="preserve">Online Annual Financial Statements and Reports:  </w:t>
      </w:r>
      <w:r w:rsidR="00720ECB" w:rsidRPr="00B10464">
        <w:rPr>
          <w:sz w:val="24"/>
          <w:szCs w:val="24"/>
        </w:rPr>
        <w:t xml:space="preserve">All lenders, except Government lenders, must submit required financial statements and reports via of the Lender Assessment SubSystem (LASS) to renew their FHA lender approval.  </w:t>
      </w: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B10464">
        <w:rPr>
          <w:sz w:val="24"/>
          <w:szCs w:val="24"/>
        </w:rPr>
        <w:t xml:space="preserve">Audited financial statements with supplemental reports must be prepared by a CPA in compliance with HUD IG Consolidated Audit Guide for Audits of HUD Programs (HB 2000.04) and the GAO Auditing Standards (The Yellow Book).  </w:t>
      </w: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B10464">
        <w:rPr>
          <w:sz w:val="24"/>
          <w:szCs w:val="24"/>
        </w:rPr>
        <w:t xml:space="preserve">Banks are allowed to submit a corporate guaranty agreement from their parent entity along with the parent’s audited financial statements in lieu of audited financial reports on the applicant.  The guarantee will provide that the parent entity of the applicant will guarantee that its subsidiary will meet the minimum net worth and liquidity requirements for FHA lender approval at all times.  </w:t>
      </w: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iCs/>
          <w:sz w:val="24"/>
          <w:szCs w:val="24"/>
        </w:rPr>
      </w:pPr>
      <w:r w:rsidRPr="00B10464">
        <w:rPr>
          <w:sz w:val="24"/>
          <w:szCs w:val="24"/>
        </w:rPr>
        <w:t xml:space="preserve">Banks, Savings and Loans and Credit Unions who are not required to submit audited financial statements to their respective regulatory agency (Federal Deposit Insurance Corporation, Office of Thrift Supervision, or National Credit Union Administration) are allowed to submit </w:t>
      </w:r>
      <w:r w:rsidRPr="00B10464">
        <w:rPr>
          <w:iCs/>
          <w:sz w:val="24"/>
          <w:szCs w:val="24"/>
        </w:rPr>
        <w:t xml:space="preserve">a copy of their unaudited regulatory report (e.g., consolidated or quarterly Call Report or Report of Condition and Income, Office of Thrift Supervision Report, consolidated or quarterly Thrift Financial Report, Form 10-K, NCUA Supervisory Committee Audit, etc.) in lieu of audited financial statements.  </w:t>
      </w: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B10464">
        <w:rPr>
          <w:sz w:val="24"/>
          <w:szCs w:val="24"/>
        </w:rPr>
        <w:lastRenderedPageBreak/>
        <w:t>Most lenders must also submit compliance reports on their internal controls and compliance with FHA’s lender approval requirements.  These reports are prepared by third parties and submitted via of the LASS system.</w:t>
      </w: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B10464">
        <w:rPr>
          <w:iCs/>
          <w:sz w:val="24"/>
          <w:szCs w:val="24"/>
        </w:rPr>
        <w:t xml:space="preserve">Loan Fees Reports for Multifamily Lenders:  FHA approved lenders participating in FHA’s Multifamily programs are required to report multifamily loan fees earned that </w:t>
      </w:r>
      <w:r w:rsidRPr="00B10464">
        <w:rPr>
          <w:b/>
          <w:bCs/>
          <w:iCs/>
          <w:sz w:val="24"/>
          <w:szCs w:val="24"/>
        </w:rPr>
        <w:t>exceed five percent</w:t>
      </w:r>
      <w:r w:rsidRPr="00B10464">
        <w:rPr>
          <w:iCs/>
          <w:sz w:val="24"/>
          <w:szCs w:val="24"/>
        </w:rPr>
        <w:t xml:space="preserve"> (5%) of the insured loan amount on each FHA-insured loan over $2,000,000 endorsed during the lender’s fiscal year.</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4E6ECF"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i</w:t>
      </w:r>
      <w:r w:rsidR="00664270" w:rsidRPr="00B10464">
        <w:rPr>
          <w:sz w:val="24"/>
          <w:szCs w:val="24"/>
        </w:rPr>
        <w:t>.</w:t>
      </w:r>
      <w:r w:rsidR="00664270" w:rsidRPr="00B10464">
        <w:rPr>
          <w:sz w:val="24"/>
          <w:szCs w:val="24"/>
        </w:rPr>
        <w:tab/>
      </w:r>
      <w:r w:rsidR="00720ECB" w:rsidRPr="00B10464">
        <w:rPr>
          <w:b/>
          <w:sz w:val="24"/>
          <w:szCs w:val="24"/>
        </w:rPr>
        <w:t>Online Payment of Annual Renewal Fee:</w:t>
      </w:r>
      <w:r w:rsidR="00720ECB" w:rsidRPr="00B10464">
        <w:rPr>
          <w:sz w:val="24"/>
          <w:szCs w:val="24"/>
        </w:rPr>
        <w:t xml:space="preserve">  All lenders, except Government lenders, are required to pay an annual renewal fee of their FHA lender approval via of their FHA Connection account.</w:t>
      </w:r>
    </w:p>
    <w:p w:rsidR="004E6ECF" w:rsidRPr="00B10464" w:rsidRDefault="004E6ECF"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903C01" w:rsidRPr="00B10464" w:rsidRDefault="00C0591D"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j</w:t>
      </w:r>
      <w:r w:rsidR="00664270" w:rsidRPr="00B10464">
        <w:rPr>
          <w:sz w:val="24"/>
          <w:szCs w:val="24"/>
        </w:rPr>
        <w:t>.</w:t>
      </w:r>
      <w:r w:rsidR="00664270" w:rsidRPr="00B10464">
        <w:rPr>
          <w:sz w:val="24"/>
          <w:szCs w:val="24"/>
        </w:rPr>
        <w:tab/>
      </w:r>
      <w:r w:rsidR="00720ECB" w:rsidRPr="00B10464">
        <w:rPr>
          <w:b/>
          <w:sz w:val="24"/>
          <w:szCs w:val="24"/>
        </w:rPr>
        <w:t>Online Termination of a Branch:</w:t>
      </w:r>
      <w:r w:rsidR="00720ECB" w:rsidRPr="00B10464">
        <w:rPr>
          <w:sz w:val="24"/>
          <w:szCs w:val="24"/>
        </w:rPr>
        <w:t xml:space="preserve">  Lenders are required to terminate any of its registered branches that cease operations via of its FHA Connection account.</w:t>
      </w:r>
    </w:p>
    <w:p w:rsidR="00BD6E6F" w:rsidRPr="00B10464" w:rsidRDefault="00BD6E6F"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k</w:t>
      </w:r>
      <w:r w:rsidR="00664270" w:rsidRPr="00B10464">
        <w:rPr>
          <w:sz w:val="24"/>
          <w:szCs w:val="24"/>
        </w:rPr>
        <w:t>.</w:t>
      </w:r>
      <w:r w:rsidR="00664270" w:rsidRPr="00B10464">
        <w:rPr>
          <w:sz w:val="24"/>
          <w:szCs w:val="24"/>
        </w:rPr>
        <w:tab/>
      </w:r>
      <w:r w:rsidR="00720ECB" w:rsidRPr="00B10464">
        <w:rPr>
          <w:b/>
          <w:sz w:val="24"/>
          <w:szCs w:val="24"/>
        </w:rPr>
        <w:t>Online Business Changes of a Lender:</w:t>
      </w:r>
      <w:r w:rsidR="00720ECB" w:rsidRPr="00B10464">
        <w:rPr>
          <w:sz w:val="24"/>
          <w:szCs w:val="24"/>
        </w:rPr>
        <w:t xml:space="preserve">  </w:t>
      </w:r>
      <w:r w:rsidR="00720ECB" w:rsidRPr="00B10464">
        <w:rPr>
          <w:bCs/>
          <w:iCs/>
          <w:sz w:val="24"/>
          <w:szCs w:val="24"/>
        </w:rPr>
        <w:t xml:space="preserve">Lenders </w:t>
      </w:r>
      <w:r w:rsidR="00720ECB" w:rsidRPr="00B10464">
        <w:rPr>
          <w:sz w:val="24"/>
          <w:szCs w:val="24"/>
        </w:rPr>
        <w:t>can make some business changes online via of their FHA Connection account.  These include changes and updates to addresses, phone numbers, Fax numbers, email addresses, NMLS ID and dba (doing business as) name of their home office or any registered branches.  They must also update the manager for each of their branch offices.  If an update is not accepted in the online system, the lender must submit the request to FHA for manual review and updating.</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720ECB" w:rsidRPr="00B10464" w:rsidRDefault="00C0591D"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roofErr w:type="gramStart"/>
      <w:r w:rsidRPr="00B10464">
        <w:rPr>
          <w:sz w:val="24"/>
          <w:szCs w:val="24"/>
        </w:rPr>
        <w:t>l</w:t>
      </w:r>
      <w:r w:rsidR="00664270" w:rsidRPr="00B10464">
        <w:rPr>
          <w:sz w:val="24"/>
          <w:szCs w:val="24"/>
        </w:rPr>
        <w:t>.</w:t>
      </w:r>
      <w:r w:rsidR="00664270" w:rsidRPr="00B10464">
        <w:rPr>
          <w:sz w:val="24"/>
          <w:szCs w:val="24"/>
        </w:rPr>
        <w:tab/>
      </w:r>
      <w:r w:rsidR="00720ECB" w:rsidRPr="00B10464">
        <w:rPr>
          <w:b/>
          <w:sz w:val="24"/>
          <w:szCs w:val="24"/>
        </w:rPr>
        <w:t>Non-online</w:t>
      </w:r>
      <w:proofErr w:type="gramEnd"/>
      <w:r w:rsidR="00720ECB" w:rsidRPr="00B10464">
        <w:rPr>
          <w:b/>
          <w:sz w:val="24"/>
          <w:szCs w:val="24"/>
        </w:rPr>
        <w:t xml:space="preserve"> Business Changes of a Lender</w:t>
      </w:r>
      <w:r w:rsidR="00720ECB" w:rsidRPr="00B10464">
        <w:rPr>
          <w:sz w:val="24"/>
          <w:szCs w:val="24"/>
        </w:rPr>
        <w:t>:  Lenders are required to report certain business changes to FHA.  These change include:  (1)  changes in its owners and officers</w:t>
      </w:r>
      <w:r w:rsidR="00065F8C" w:rsidRPr="00B10464">
        <w:rPr>
          <w:sz w:val="24"/>
          <w:szCs w:val="24"/>
        </w:rPr>
        <w:t>;</w:t>
      </w:r>
      <w:r w:rsidR="00720ECB" w:rsidRPr="00B10464">
        <w:rPr>
          <w:sz w:val="24"/>
          <w:szCs w:val="24"/>
        </w:rPr>
        <w:t xml:space="preserve"> (2)  restructuring, mergers or acquisitions</w:t>
      </w:r>
      <w:r w:rsidR="00065F8C" w:rsidRPr="00B10464">
        <w:rPr>
          <w:sz w:val="24"/>
          <w:szCs w:val="24"/>
        </w:rPr>
        <w:t>;</w:t>
      </w:r>
      <w:r w:rsidR="00720ECB" w:rsidRPr="00B10464">
        <w:rPr>
          <w:sz w:val="24"/>
          <w:szCs w:val="24"/>
        </w:rPr>
        <w:t xml:space="preserve"> (3) change in name</w:t>
      </w:r>
      <w:r w:rsidR="00065F8C" w:rsidRPr="00B10464">
        <w:rPr>
          <w:sz w:val="24"/>
          <w:szCs w:val="24"/>
        </w:rPr>
        <w:t>;</w:t>
      </w:r>
      <w:r w:rsidR="00720ECB" w:rsidRPr="00B10464">
        <w:rPr>
          <w:sz w:val="24"/>
          <w:szCs w:val="24"/>
        </w:rPr>
        <w:t xml:space="preserve"> (4) change in fiscal year end date</w:t>
      </w:r>
      <w:r w:rsidR="00065F8C" w:rsidRPr="00B10464">
        <w:rPr>
          <w:sz w:val="24"/>
          <w:szCs w:val="24"/>
        </w:rPr>
        <w:t>;</w:t>
      </w:r>
      <w:r w:rsidR="00720ECB" w:rsidRPr="00B10464">
        <w:rPr>
          <w:sz w:val="24"/>
          <w:szCs w:val="24"/>
        </w:rPr>
        <w:t xml:space="preserve"> (5) loss of fidelity bond and/or errors and omissions insurance</w:t>
      </w:r>
      <w:r w:rsidR="00065F8C" w:rsidRPr="00B10464">
        <w:rPr>
          <w:sz w:val="24"/>
          <w:szCs w:val="24"/>
        </w:rPr>
        <w:t>;</w:t>
      </w:r>
      <w:r w:rsidR="00720ECB" w:rsidRPr="00B10464">
        <w:rPr>
          <w:sz w:val="24"/>
          <w:szCs w:val="24"/>
        </w:rPr>
        <w:t xml:space="preserve"> (6) termination or change in supervisory agency</w:t>
      </w:r>
      <w:r w:rsidR="00065F8C" w:rsidRPr="00B10464">
        <w:rPr>
          <w:sz w:val="24"/>
          <w:szCs w:val="24"/>
        </w:rPr>
        <w:t>;</w:t>
      </w:r>
      <w:r w:rsidR="00720ECB" w:rsidRPr="00B10464">
        <w:rPr>
          <w:sz w:val="24"/>
          <w:szCs w:val="24"/>
        </w:rPr>
        <w:t xml:space="preserve"> (7) net worth deficiency, liquid assets deficiency and operating loss</w:t>
      </w:r>
      <w:r w:rsidR="00065F8C" w:rsidRPr="00B10464">
        <w:rPr>
          <w:sz w:val="24"/>
          <w:szCs w:val="24"/>
        </w:rPr>
        <w:t>;</w:t>
      </w:r>
      <w:r w:rsidR="00720ECB" w:rsidRPr="00B10464">
        <w:rPr>
          <w:sz w:val="24"/>
          <w:szCs w:val="24"/>
        </w:rPr>
        <w:t xml:space="preserve"> (8) bankruptcy or liquidation</w:t>
      </w:r>
      <w:r w:rsidR="00065F8C" w:rsidRPr="00B10464">
        <w:rPr>
          <w:sz w:val="24"/>
          <w:szCs w:val="24"/>
        </w:rPr>
        <w:t>;</w:t>
      </w:r>
      <w:r w:rsidR="00720ECB" w:rsidRPr="00B10464">
        <w:rPr>
          <w:sz w:val="24"/>
          <w:szCs w:val="24"/>
        </w:rPr>
        <w:t xml:space="preserve"> (9) requests to voluntarily withdraw its FHA approval</w:t>
      </w:r>
      <w:r w:rsidR="00065F8C" w:rsidRPr="00B10464">
        <w:rPr>
          <w:sz w:val="24"/>
          <w:szCs w:val="24"/>
        </w:rPr>
        <w:t>;</w:t>
      </w:r>
      <w:r w:rsidR="00720ECB" w:rsidRPr="00B10464">
        <w:rPr>
          <w:sz w:val="24"/>
          <w:szCs w:val="24"/>
        </w:rPr>
        <w:t xml:space="preserve"> (10) any allowable online business change that was rejected</w:t>
      </w:r>
      <w:r w:rsidR="00065F8C" w:rsidRPr="00B10464">
        <w:rPr>
          <w:sz w:val="24"/>
          <w:szCs w:val="24"/>
        </w:rPr>
        <w:t>;</w:t>
      </w:r>
      <w:r w:rsidR="00720ECB" w:rsidRPr="00B10464">
        <w:rPr>
          <w:sz w:val="24"/>
          <w:szCs w:val="24"/>
        </w:rPr>
        <w:t xml:space="preserve"> (11) if individual employees of the lender are subject to any sanction or any other administrative action, including if there is a revocation of a State-issued mortgage loan originator license issued pursuant to the S.A.F.E. Act</w:t>
      </w:r>
      <w:r w:rsidR="00065F8C" w:rsidRPr="00B10464">
        <w:rPr>
          <w:sz w:val="24"/>
          <w:szCs w:val="24"/>
        </w:rPr>
        <w:t>;</w:t>
      </w:r>
      <w:r w:rsidR="00720ECB" w:rsidRPr="00B10464">
        <w:rPr>
          <w:sz w:val="24"/>
          <w:szCs w:val="24"/>
        </w:rPr>
        <w:t xml:space="preserve"> (12) if the lender or any officer, partner, director, principal, manager, supervisor, loan processor, loan underwriter, or loan originator is no longer eligible to participate pursuant to the expanded list of ineligible participants in Section 203 of the “Helping Families Save Their Homes Act of 2009” (Public Law 111-22)</w:t>
      </w:r>
      <w:r w:rsidR="00065F8C" w:rsidRPr="00B10464">
        <w:rPr>
          <w:sz w:val="24"/>
          <w:szCs w:val="24"/>
        </w:rPr>
        <w:t xml:space="preserve">; </w:t>
      </w:r>
      <w:r w:rsidR="00720ECB" w:rsidRPr="00B10464">
        <w:rPr>
          <w:sz w:val="24"/>
          <w:szCs w:val="24"/>
        </w:rPr>
        <w:t>and (13) other business changes effecting its ability to be a FHA approved lender.</w:t>
      </w: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720ECB" w:rsidRPr="00B10464" w:rsidRDefault="00720ECB"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B10464">
        <w:rPr>
          <w:sz w:val="24"/>
          <w:szCs w:val="24"/>
        </w:rPr>
        <w:t xml:space="preserve">These changes are reported by letter and the actual documents that must be submitted will vary.  Details instructions on what must be submitted with each request and deadlines for submissions are in the Title I Lender Approval Handbook 4700.2, the Title II Mortgagee Approval Handbook 4060.1 and subsequent Mortgagee Letters and Title </w:t>
      </w:r>
      <w:proofErr w:type="gramStart"/>
      <w:r w:rsidRPr="00B10464">
        <w:rPr>
          <w:sz w:val="24"/>
          <w:szCs w:val="24"/>
        </w:rPr>
        <w:t>I</w:t>
      </w:r>
      <w:proofErr w:type="gramEnd"/>
      <w:r w:rsidRPr="00B10464">
        <w:rPr>
          <w:sz w:val="24"/>
          <w:szCs w:val="24"/>
        </w:rPr>
        <w:t xml:space="preserve"> letters.  For example, if the company has been re-structured, amendments to the articles of incorporation or organization must be provided.  In the case of mergers and acquisitions, copies of the documents reflecting the change are required.  </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m</w:t>
      </w:r>
      <w:r w:rsidR="00664270" w:rsidRPr="00B10464">
        <w:rPr>
          <w:sz w:val="24"/>
          <w:szCs w:val="24"/>
        </w:rPr>
        <w:t>.</w:t>
      </w:r>
      <w:r w:rsidR="00664270" w:rsidRPr="00B10464">
        <w:rPr>
          <w:sz w:val="24"/>
          <w:szCs w:val="24"/>
        </w:rPr>
        <w:tab/>
      </w:r>
      <w:r w:rsidR="00720ECB" w:rsidRPr="00B10464">
        <w:rPr>
          <w:b/>
          <w:sz w:val="24"/>
          <w:szCs w:val="24"/>
        </w:rPr>
        <w:t>Declarations of Trusts:</w:t>
      </w:r>
      <w:r w:rsidR="00720ECB" w:rsidRPr="00B10464">
        <w:rPr>
          <w:sz w:val="24"/>
          <w:szCs w:val="24"/>
        </w:rPr>
        <w:t xml:space="preserve">  Declarations of Trusts:  FHA approved Title II lenders participating in the creation and operation of a Declarations of Trust (DOT) for the non-Ginnie Mae Securitization of FHA insured loans must submit the DOT documents to FHA for approval.  The approval criteria and approval requirement are in HUD regulations 24 CFR 203.433 and .434.  FHA has received an average of three requests per year over the past five years.</w:t>
      </w:r>
    </w:p>
    <w:p w:rsidR="00664270" w:rsidRPr="00B10464"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C0591D" w:rsidP="00720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n</w:t>
      </w:r>
      <w:r w:rsidR="00664270" w:rsidRPr="00B10464">
        <w:rPr>
          <w:sz w:val="24"/>
          <w:szCs w:val="24"/>
        </w:rPr>
        <w:t>.</w:t>
      </w:r>
      <w:r w:rsidR="00664270" w:rsidRPr="00B10464">
        <w:rPr>
          <w:sz w:val="24"/>
          <w:szCs w:val="24"/>
        </w:rPr>
        <w:tab/>
      </w:r>
      <w:r w:rsidR="00720ECB" w:rsidRPr="00B10464">
        <w:rPr>
          <w:b/>
          <w:sz w:val="24"/>
          <w:szCs w:val="24"/>
        </w:rPr>
        <w:t xml:space="preserve">Non-online reporting of Title I Loan </w:t>
      </w:r>
      <w:proofErr w:type="spellStart"/>
      <w:r w:rsidR="00720ECB" w:rsidRPr="00B10464">
        <w:rPr>
          <w:b/>
          <w:sz w:val="24"/>
          <w:szCs w:val="24"/>
        </w:rPr>
        <w:t>Noncompliances</w:t>
      </w:r>
      <w:proofErr w:type="spellEnd"/>
      <w:r w:rsidR="00720ECB" w:rsidRPr="00B10464">
        <w:rPr>
          <w:b/>
          <w:sz w:val="24"/>
          <w:szCs w:val="24"/>
        </w:rPr>
        <w:t xml:space="preserve">: </w:t>
      </w:r>
      <w:r w:rsidR="00720ECB" w:rsidRPr="00B10464">
        <w:rPr>
          <w:sz w:val="24"/>
          <w:szCs w:val="24"/>
        </w:rPr>
        <w:t xml:space="preserve"> Form </w:t>
      </w:r>
      <w:r w:rsidR="00720ECB" w:rsidRPr="00B10464">
        <w:rPr>
          <w:b/>
          <w:bCs/>
          <w:sz w:val="24"/>
          <w:szCs w:val="24"/>
        </w:rPr>
        <w:t>HUD 92001-</w:t>
      </w:r>
      <w:proofErr w:type="gramStart"/>
      <w:r w:rsidR="00720ECB" w:rsidRPr="00B10464">
        <w:rPr>
          <w:b/>
          <w:bCs/>
          <w:sz w:val="24"/>
          <w:szCs w:val="24"/>
        </w:rPr>
        <w:t xml:space="preserve">C </w:t>
      </w:r>
      <w:r w:rsidR="00720ECB" w:rsidRPr="00B10464">
        <w:rPr>
          <w:sz w:val="24"/>
          <w:szCs w:val="24"/>
        </w:rPr>
        <w:t xml:space="preserve"> Reporting</w:t>
      </w:r>
      <w:proofErr w:type="gramEnd"/>
      <w:r w:rsidR="00720ECB" w:rsidRPr="00B10464">
        <w:rPr>
          <w:sz w:val="24"/>
          <w:szCs w:val="24"/>
        </w:rPr>
        <w:t xml:space="preserve"> </w:t>
      </w:r>
      <w:proofErr w:type="spellStart"/>
      <w:r w:rsidR="00720ECB" w:rsidRPr="00B10464">
        <w:rPr>
          <w:sz w:val="24"/>
          <w:szCs w:val="24"/>
        </w:rPr>
        <w:t>Noncompliances</w:t>
      </w:r>
      <w:proofErr w:type="spellEnd"/>
      <w:r w:rsidR="00720ECB" w:rsidRPr="00B10464">
        <w:rPr>
          <w:sz w:val="24"/>
          <w:szCs w:val="24"/>
        </w:rPr>
        <w:t xml:space="preserve"> for FHA Insured Title I Loans.  This form is used by Title I lenders to report noncompliance information identified by the lenders themselves pursuant to Quality Control Plan  reviews.  Title I Lenders are required by Title 1 Letter 447, Reporting </w:t>
      </w:r>
      <w:proofErr w:type="spellStart"/>
      <w:r w:rsidR="00720ECB" w:rsidRPr="00B10464">
        <w:rPr>
          <w:sz w:val="24"/>
          <w:szCs w:val="24"/>
        </w:rPr>
        <w:t>Noncompliances</w:t>
      </w:r>
      <w:proofErr w:type="spellEnd"/>
      <w:r w:rsidR="00720ECB" w:rsidRPr="00B10464">
        <w:rPr>
          <w:sz w:val="24"/>
          <w:szCs w:val="24"/>
        </w:rPr>
        <w:t xml:space="preserve"> for FHA Insured </w:t>
      </w:r>
      <w:r w:rsidR="00720ECB" w:rsidRPr="00B10464">
        <w:rPr>
          <w:sz w:val="24"/>
          <w:szCs w:val="24"/>
        </w:rPr>
        <w:lastRenderedPageBreak/>
        <w:t>Title I Loans, to promptly report to HUD the discovery of any material misstatements of fact, borrower misuse of loan proceeds, dealer noncompliance or other significant violations in the Title I Program.</w:t>
      </w:r>
    </w:p>
    <w:p w:rsidR="00C750FC" w:rsidRPr="00B10464" w:rsidRDefault="00C750FC"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9A3D70"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o</w:t>
      </w:r>
      <w:r w:rsidR="00664270" w:rsidRPr="00B10464">
        <w:rPr>
          <w:sz w:val="24"/>
          <w:szCs w:val="24"/>
        </w:rPr>
        <w:t>.</w:t>
      </w:r>
      <w:r w:rsidR="00664270" w:rsidRPr="00B10464">
        <w:rPr>
          <w:sz w:val="24"/>
          <w:szCs w:val="24"/>
        </w:rPr>
        <w:tab/>
      </w:r>
      <w:r w:rsidR="00720ECB" w:rsidRPr="00B10464">
        <w:rPr>
          <w:b/>
          <w:sz w:val="24"/>
          <w:szCs w:val="24"/>
        </w:rPr>
        <w:t xml:space="preserve">Online Reporting of Title II Loan </w:t>
      </w:r>
      <w:proofErr w:type="spellStart"/>
      <w:r w:rsidR="00720ECB" w:rsidRPr="00B10464">
        <w:rPr>
          <w:b/>
          <w:sz w:val="24"/>
          <w:szCs w:val="24"/>
        </w:rPr>
        <w:t>Noncompliances</w:t>
      </w:r>
      <w:proofErr w:type="spellEnd"/>
      <w:r w:rsidR="00720ECB" w:rsidRPr="00B10464">
        <w:rPr>
          <w:b/>
          <w:sz w:val="24"/>
          <w:szCs w:val="24"/>
        </w:rPr>
        <w:t>:</w:t>
      </w:r>
      <w:r w:rsidR="00720ECB" w:rsidRPr="00B10464">
        <w:rPr>
          <w:sz w:val="24"/>
          <w:szCs w:val="24"/>
        </w:rPr>
        <w:t xml:space="preserve">  Electronic submission via of the Neighborhood Watch Early Warning System of each Title II lender to report noncompliance information identified by the lenders themselves pursuant to Quality Control Plan reviews.  This is commonly referred to as “self reporting.”  In order to reduce duplication of information already on file with FHA, the automated system automatically populates loan information on file with FHA for each loan number the lender enters into the system.  The lender only needs to comment on this automatic data if is in error.  The lender then fills in the remaining boxes with specific information about the non-compliance identified in their Quality Control Review.</w:t>
      </w:r>
    </w:p>
    <w:p w:rsidR="00F072BB" w:rsidRPr="00B10464" w:rsidRDefault="00F072BB"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F072BB" w:rsidRPr="00B10464" w:rsidRDefault="00F072BB"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roofErr w:type="gramStart"/>
      <w:r w:rsidRPr="00B10464">
        <w:rPr>
          <w:sz w:val="24"/>
          <w:szCs w:val="24"/>
        </w:rPr>
        <w:t>p</w:t>
      </w:r>
      <w:proofErr w:type="gramEnd"/>
      <w:r w:rsidRPr="00B10464">
        <w:rPr>
          <w:sz w:val="24"/>
          <w:szCs w:val="24"/>
        </w:rPr>
        <w:t>.</w:t>
      </w:r>
      <w:r w:rsidRPr="00B10464">
        <w:rPr>
          <w:sz w:val="24"/>
          <w:szCs w:val="24"/>
        </w:rPr>
        <w:tab/>
      </w:r>
      <w:r w:rsidR="00720ECB" w:rsidRPr="00B10464">
        <w:rPr>
          <w:b/>
          <w:sz w:val="24"/>
          <w:szCs w:val="24"/>
        </w:rPr>
        <w:t>Non-online Credit Watch Termination Reinstatement Requests:</w:t>
      </w:r>
      <w:r w:rsidR="00720ECB" w:rsidRPr="00B10464">
        <w:rPr>
          <w:sz w:val="24"/>
          <w:szCs w:val="24"/>
        </w:rPr>
        <w:t xml:space="preserve"> A Title II lender who lost part of the geographic area of its approval to originate or underwrite Title II loans via HUD’s Credit Watch Termination Initiative may request reinstatement of the lost area.  Details instructions on what must be submitted are in Mortgagee Letters 2000-17 and 2010-03.</w:t>
      </w:r>
    </w:p>
    <w:p w:rsidR="00F072BB" w:rsidRPr="00B10464" w:rsidRDefault="00F072BB"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3.</w:t>
      </w:r>
      <w:r w:rsidRPr="00B10464">
        <w:rPr>
          <w:sz w:val="24"/>
          <w:szCs w:val="24"/>
        </w:rPr>
        <w:tab/>
      </w:r>
      <w:r w:rsidR="00712B5D" w:rsidRPr="00B10464">
        <w:rPr>
          <w:sz w:val="24"/>
          <w:szCs w:val="24"/>
        </w:rPr>
        <w:t>14,465</w:t>
      </w:r>
      <w:r w:rsidRPr="00B10464">
        <w:rPr>
          <w:sz w:val="24"/>
          <w:szCs w:val="24"/>
        </w:rPr>
        <w:t xml:space="preserve"> (</w:t>
      </w:r>
      <w:r w:rsidR="004617FC" w:rsidRPr="00B10464">
        <w:rPr>
          <w:sz w:val="24"/>
          <w:szCs w:val="24"/>
        </w:rPr>
        <w:t>9</w:t>
      </w:r>
      <w:r w:rsidR="00712B5D" w:rsidRPr="00B10464">
        <w:rPr>
          <w:sz w:val="24"/>
          <w:szCs w:val="24"/>
        </w:rPr>
        <w:t>8</w:t>
      </w:r>
      <w:r w:rsidRPr="00B10464">
        <w:rPr>
          <w:sz w:val="24"/>
          <w:szCs w:val="24"/>
        </w:rPr>
        <w:t xml:space="preserve">%) of the annual </w:t>
      </w:r>
      <w:r w:rsidR="00712B5D" w:rsidRPr="00B10464">
        <w:rPr>
          <w:sz w:val="24"/>
          <w:szCs w:val="24"/>
        </w:rPr>
        <w:t>14,739</w:t>
      </w:r>
      <w:r w:rsidRPr="00B10464">
        <w:rPr>
          <w:sz w:val="24"/>
          <w:szCs w:val="24"/>
        </w:rPr>
        <w:t xml:space="preserve"> responses </w:t>
      </w:r>
      <w:r w:rsidR="00A91A8C" w:rsidRPr="00B10464">
        <w:rPr>
          <w:sz w:val="24"/>
          <w:szCs w:val="24"/>
        </w:rPr>
        <w:t>are</w:t>
      </w:r>
      <w:r w:rsidRPr="00B10464">
        <w:rPr>
          <w:sz w:val="24"/>
          <w:szCs w:val="24"/>
        </w:rPr>
        <w:t xml:space="preserve"> currently done online.</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4.</w:t>
      </w:r>
      <w:r w:rsidRPr="00B10464">
        <w:rPr>
          <w:sz w:val="24"/>
          <w:szCs w:val="24"/>
        </w:rPr>
        <w:tab/>
        <w:t>The information is not available from other sources.</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5.</w:t>
      </w:r>
      <w:r w:rsidRPr="00B10464">
        <w:rPr>
          <w:sz w:val="24"/>
          <w:szCs w:val="24"/>
        </w:rPr>
        <w:tab/>
        <w:t>The burden associated with the approval process is the minimum required to achieve program objectives. Consideration for small business is not a factor.  The same applies to the additional information required after approval to participate as a FHA lender</w:t>
      </w:r>
      <w:r w:rsidR="00A91A8C" w:rsidRPr="00B10464">
        <w:rPr>
          <w:sz w:val="24"/>
          <w:szCs w:val="24"/>
        </w:rPr>
        <w:t>.</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6.</w:t>
      </w:r>
      <w:r w:rsidRPr="00B10464">
        <w:rPr>
          <w:sz w:val="24"/>
          <w:szCs w:val="24"/>
        </w:rPr>
        <w:tab/>
        <w:t>The information collected is required to achieve program objectives.  It is used to determine whether an applicant is qualified for participation in the program for which it is applying.  The application approval process is the first line of risk evaluation and prevention by the Department for its insured lending programs.  Without collecting this information for the Department to review prior to making a decision regarding approval, the programs would be subject to widespread abuse.  The information collected after approval is critical to monitor each lender and mortgagee’s activities.</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7.</w:t>
      </w:r>
      <w:r w:rsidRPr="00B10464">
        <w:rPr>
          <w:b/>
          <w:bCs/>
          <w:sz w:val="24"/>
          <w:szCs w:val="24"/>
        </w:rPr>
        <w:tab/>
      </w:r>
      <w:r w:rsidRPr="00B10464">
        <w:rPr>
          <w:sz w:val="24"/>
          <w:szCs w:val="24"/>
        </w:rPr>
        <w:t>The information collection frequency is the minimum consistent with program objectives.  The frequency cannot be changed because it applies when a lender requests initial approval, additional branches, and changes in personnel, addresses, business structure, and annual renewal of their approval.</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991644" w:rsidRPr="00B10464" w:rsidRDefault="00991644" w:rsidP="00991644">
      <w:pPr>
        <w:numPr>
          <w:ilvl w:val="0"/>
          <w:numId w:val="17"/>
        </w:numPr>
        <w:rPr>
          <w:sz w:val="24"/>
        </w:rPr>
      </w:pPr>
      <w:r w:rsidRPr="00B10464">
        <w:rPr>
          <w:sz w:val="24"/>
        </w:rPr>
        <w:t xml:space="preserve">In accordance with 5 CFR 1320.8(d), this information collection soliciting public comments was announced in the </w:t>
      </w:r>
      <w:r w:rsidRPr="00B10464">
        <w:rPr>
          <w:i/>
          <w:iCs/>
          <w:sz w:val="24"/>
        </w:rPr>
        <w:t>Federal Register</w:t>
      </w:r>
      <w:r w:rsidR="00F20DA6">
        <w:rPr>
          <w:sz w:val="24"/>
        </w:rPr>
        <w:t xml:space="preserve"> on March 25, 2013 (Volume 78, Number 79</w:t>
      </w:r>
      <w:r w:rsidRPr="00B10464">
        <w:rPr>
          <w:sz w:val="24"/>
        </w:rPr>
        <w:t xml:space="preserve">, </w:t>
      </w:r>
      <w:proofErr w:type="gramStart"/>
      <w:r w:rsidRPr="00B10464">
        <w:rPr>
          <w:sz w:val="24"/>
        </w:rPr>
        <w:t>Pag</w:t>
      </w:r>
      <w:r w:rsidR="00F20DA6">
        <w:rPr>
          <w:sz w:val="24"/>
        </w:rPr>
        <w:t>e</w:t>
      </w:r>
      <w:proofErr w:type="gramEnd"/>
      <w:r w:rsidR="00F20DA6">
        <w:rPr>
          <w:sz w:val="24"/>
        </w:rPr>
        <w:t xml:space="preserve"> </w:t>
      </w:r>
      <w:r w:rsidR="00880151">
        <w:rPr>
          <w:sz w:val="24"/>
        </w:rPr>
        <w:t>17937</w:t>
      </w:r>
      <w:bookmarkStart w:id="0" w:name="_GoBack"/>
      <w:bookmarkEnd w:id="0"/>
      <w:r w:rsidR="00F20DA6">
        <w:rPr>
          <w:sz w:val="24"/>
        </w:rPr>
        <w:t>).  No</w:t>
      </w:r>
      <w:r w:rsidRPr="00B10464">
        <w:rPr>
          <w:sz w:val="24"/>
        </w:rPr>
        <w:t xml:space="preserve"> comments were received.</w:t>
      </w:r>
    </w:p>
    <w:p w:rsidR="00991644" w:rsidRPr="00B10464" w:rsidRDefault="00991644"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991644"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ab/>
      </w:r>
      <w:r w:rsidR="00BB61C2" w:rsidRPr="00B10464">
        <w:rPr>
          <w:sz w:val="24"/>
          <w:szCs w:val="24"/>
        </w:rPr>
        <w:t xml:space="preserve">FHA surveyed 3 (DHI Mortgage Company, LTD, 10700 Pecan Park Boulevard, Suite 450, Austin, TX 78750; New Penn Financial , LLC 4000 Chemical Road, Suite 200, Plymouth Meeting, PA 19462; and Rockland Trust Company, 8A Station Street, Middleboro, MA 02346) of its approved lenders to confirm the estimated burden hours.  All lenders confirmed that the </w:t>
      </w:r>
      <w:r w:rsidR="00E32D1B" w:rsidRPr="00B10464">
        <w:rPr>
          <w:sz w:val="24"/>
          <w:szCs w:val="24"/>
        </w:rPr>
        <w:t xml:space="preserve">estimated </w:t>
      </w:r>
      <w:r w:rsidR="00BB61C2" w:rsidRPr="00B10464">
        <w:rPr>
          <w:sz w:val="24"/>
          <w:szCs w:val="24"/>
        </w:rPr>
        <w:t>burden hours associated with each task were accurate approximations.  One lender commented that the burden associated with the initial submission of annual financial statements after approval was significantly greater than subsequent submissions.</w:t>
      </w:r>
    </w:p>
    <w:p w:rsidR="00C95EEE" w:rsidRPr="00B10464" w:rsidRDefault="00C95EEE"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9.</w:t>
      </w:r>
      <w:r w:rsidRPr="00B10464">
        <w:rPr>
          <w:sz w:val="24"/>
          <w:szCs w:val="24"/>
        </w:rPr>
        <w:tab/>
        <w:t>There have been no payments or gifts to respondents.</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10.</w:t>
      </w:r>
      <w:r w:rsidRPr="00B10464">
        <w:rPr>
          <w:sz w:val="24"/>
          <w:szCs w:val="24"/>
        </w:rPr>
        <w:tab/>
        <w:t xml:space="preserve">Names and Social Security Numbers are requested in order for the Department to obtain positive identification of the applicant’s officers, directors, stockholders and employees who have authority to obligate the applicant.  The information is used to determine the eligibility of the individuals to participate </w:t>
      </w:r>
      <w:r w:rsidRPr="00B10464">
        <w:rPr>
          <w:sz w:val="24"/>
          <w:szCs w:val="24"/>
        </w:rPr>
        <w:lastRenderedPageBreak/>
        <w:t xml:space="preserve">in the Department’s mortgage insurance programs.  </w:t>
      </w:r>
      <w:r w:rsidR="008322E0" w:rsidRPr="00B10464">
        <w:rPr>
          <w:sz w:val="24"/>
          <w:szCs w:val="24"/>
        </w:rPr>
        <w:t xml:space="preserve">The collection of this information is </w:t>
      </w:r>
      <w:r w:rsidR="009328BF" w:rsidRPr="00B10464">
        <w:rPr>
          <w:sz w:val="24"/>
          <w:szCs w:val="24"/>
        </w:rPr>
        <w:t xml:space="preserve">vital </w:t>
      </w:r>
      <w:r w:rsidR="00065F8C" w:rsidRPr="00B10464">
        <w:rPr>
          <w:sz w:val="24"/>
          <w:szCs w:val="24"/>
        </w:rPr>
        <w:t xml:space="preserve">in order to identify ineligible individuals, and thus reduce the Department’s exposure and the risk to the FHA Insurance Fund.  </w:t>
      </w:r>
      <w:r w:rsidRPr="00B10464">
        <w:rPr>
          <w:sz w:val="24"/>
          <w:szCs w:val="24"/>
        </w:rPr>
        <w:t xml:space="preserve">The Department is authorized to request this information by Executive Order 9397 and it will not be disclosed outside the Department except as required or permitted by law.  </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11.</w:t>
      </w:r>
      <w:r w:rsidRPr="00B10464">
        <w:rPr>
          <w:sz w:val="24"/>
          <w:szCs w:val="24"/>
        </w:rPr>
        <w:tab/>
        <w:t>There are no questions of a sensitive nature.</w:t>
      </w: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p>
    <w:p w:rsidR="00664270" w:rsidRPr="00B10464"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szCs w:val="24"/>
        </w:rPr>
      </w:pPr>
      <w:r w:rsidRPr="00B10464">
        <w:rPr>
          <w:sz w:val="24"/>
          <w:szCs w:val="24"/>
        </w:rPr>
        <w:t>12.</w:t>
      </w:r>
      <w:r w:rsidRPr="00B10464">
        <w:rPr>
          <w:sz w:val="24"/>
          <w:szCs w:val="24"/>
        </w:rPr>
        <w:tab/>
        <w:t>The following table shows the estimated burden for each collection effort.  Most of the information requested will already have been collected in order to comply with State requirements to be licensed to operate as non-supervised mortgagees and lenders (commonly known as mortgage bankers), and supervised depository institutions.  The estimated burden is to fill out specific forms or to duplicate documents that need to be attached.</w:t>
      </w:r>
    </w:p>
    <w:p w:rsidR="00ED45D6" w:rsidRPr="00B10464" w:rsidRDefault="00ED45D6" w:rsidP="009F1153">
      <w:pPr>
        <w:keepLines/>
        <w:tabs>
          <w:tab w:val="left" w:pos="-90"/>
          <w:tab w:val="left" w:pos="720"/>
        </w:tabs>
        <w:spacing w:after="120"/>
        <w:rPr>
          <w:sz w:val="24"/>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330"/>
        <w:gridCol w:w="990"/>
        <w:gridCol w:w="810"/>
        <w:gridCol w:w="902"/>
        <w:gridCol w:w="810"/>
        <w:gridCol w:w="630"/>
        <w:gridCol w:w="1170"/>
      </w:tblGrid>
      <w:tr w:rsidR="00B10464" w:rsidRPr="00B10464" w:rsidTr="00173ECD">
        <w:trPr>
          <w:cantSplit/>
          <w:tblHeader/>
        </w:trPr>
        <w:tc>
          <w:tcPr>
            <w:tcW w:w="9450" w:type="dxa"/>
            <w:gridSpan w:val="8"/>
            <w:vAlign w:val="center"/>
          </w:tcPr>
          <w:p w:rsidR="006B0F9B" w:rsidRPr="00B10464" w:rsidRDefault="006B0F9B" w:rsidP="009F1153">
            <w:pPr>
              <w:tabs>
                <w:tab w:val="left" w:pos="-90"/>
              </w:tabs>
              <w:overflowPunct/>
              <w:autoSpaceDE/>
              <w:autoSpaceDN/>
              <w:adjustRightInd/>
              <w:jc w:val="center"/>
              <w:textAlignment w:val="auto"/>
              <w:rPr>
                <w:rFonts w:ascii="Arial" w:hAnsi="Arial" w:cs="Arial"/>
                <w:b/>
                <w:bCs/>
                <w:sz w:val="18"/>
              </w:rPr>
            </w:pPr>
            <w:bookmarkStart w:id="1" w:name="OLE_LINK1"/>
            <w:r w:rsidRPr="00B10464">
              <w:rPr>
                <w:rFonts w:ascii="Arial" w:hAnsi="Arial" w:cs="Arial"/>
                <w:b/>
                <w:bCs/>
                <w:sz w:val="18"/>
              </w:rPr>
              <w:t xml:space="preserve">Information Collection Burden </w:t>
            </w:r>
          </w:p>
        </w:tc>
      </w:tr>
      <w:tr w:rsidR="00B10464" w:rsidRPr="00B10464" w:rsidTr="00FA0B9D">
        <w:trPr>
          <w:tblHeader/>
        </w:trPr>
        <w:tc>
          <w:tcPr>
            <w:tcW w:w="808"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Item No.</w:t>
            </w:r>
          </w:p>
        </w:tc>
        <w:tc>
          <w:tcPr>
            <w:tcW w:w="3330"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Information Collection</w:t>
            </w:r>
          </w:p>
        </w:tc>
        <w:tc>
          <w:tcPr>
            <w:tcW w:w="990"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No. of Respond</w:t>
            </w:r>
            <w:r w:rsidR="00173ECD" w:rsidRPr="00B10464">
              <w:rPr>
                <w:rFonts w:ascii="Arial" w:hAnsi="Arial" w:cs="Arial"/>
                <w:sz w:val="18"/>
              </w:rPr>
              <w:t>-</w:t>
            </w:r>
            <w:r w:rsidRPr="00B10464">
              <w:rPr>
                <w:rFonts w:ascii="Arial" w:hAnsi="Arial" w:cs="Arial"/>
                <w:sz w:val="18"/>
              </w:rPr>
              <w:t>ents</w:t>
            </w:r>
          </w:p>
        </w:tc>
        <w:tc>
          <w:tcPr>
            <w:tcW w:w="810"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Total Annual Res</w:t>
            </w:r>
            <w:r w:rsidR="00173ECD" w:rsidRPr="00B10464">
              <w:rPr>
                <w:rFonts w:ascii="Arial" w:hAnsi="Arial" w:cs="Arial"/>
                <w:sz w:val="18"/>
              </w:rPr>
              <w:t xml:space="preserve">- </w:t>
            </w:r>
            <w:r w:rsidRPr="00B10464">
              <w:rPr>
                <w:rFonts w:ascii="Arial" w:hAnsi="Arial" w:cs="Arial"/>
                <w:sz w:val="18"/>
              </w:rPr>
              <w:t>ponses</w:t>
            </w:r>
          </w:p>
        </w:tc>
        <w:tc>
          <w:tcPr>
            <w:tcW w:w="902"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Hours Per Res</w:t>
            </w:r>
            <w:r w:rsidR="00173ECD" w:rsidRPr="00B10464">
              <w:rPr>
                <w:rFonts w:ascii="Arial" w:hAnsi="Arial" w:cs="Arial"/>
                <w:sz w:val="18"/>
              </w:rPr>
              <w:t xml:space="preserve">- </w:t>
            </w:r>
            <w:r w:rsidRPr="00B10464">
              <w:rPr>
                <w:rFonts w:ascii="Arial" w:hAnsi="Arial" w:cs="Arial"/>
                <w:sz w:val="18"/>
              </w:rPr>
              <w:t>ponse</w:t>
            </w:r>
          </w:p>
        </w:tc>
        <w:tc>
          <w:tcPr>
            <w:tcW w:w="810"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Total Annual Hours</w:t>
            </w:r>
          </w:p>
        </w:tc>
        <w:tc>
          <w:tcPr>
            <w:tcW w:w="630"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Cost per Hour</w:t>
            </w:r>
          </w:p>
        </w:tc>
        <w:tc>
          <w:tcPr>
            <w:tcW w:w="1170" w:type="dxa"/>
            <w:tcBorders>
              <w:bottom w:val="single" w:sz="4" w:space="0" w:color="auto"/>
            </w:tcBorders>
            <w:vAlign w:val="center"/>
          </w:tcPr>
          <w:p w:rsidR="006B0F9B" w:rsidRPr="00B10464" w:rsidRDefault="006B0F9B" w:rsidP="009F1153">
            <w:pPr>
              <w:tabs>
                <w:tab w:val="left" w:pos="-90"/>
              </w:tabs>
              <w:jc w:val="center"/>
              <w:rPr>
                <w:rFonts w:ascii="Arial" w:hAnsi="Arial" w:cs="Arial"/>
                <w:sz w:val="18"/>
              </w:rPr>
            </w:pPr>
            <w:r w:rsidRPr="00B10464">
              <w:rPr>
                <w:rFonts w:ascii="Arial" w:hAnsi="Arial" w:cs="Arial"/>
                <w:sz w:val="18"/>
              </w:rPr>
              <w:t>Total Annual Cost</w:t>
            </w:r>
          </w:p>
        </w:tc>
      </w:tr>
      <w:tr w:rsidR="00B10464" w:rsidRPr="00B10464" w:rsidTr="00FA0B9D">
        <w:trPr>
          <w:trHeight w:val="530"/>
        </w:trPr>
        <w:tc>
          <w:tcPr>
            <w:tcW w:w="808" w:type="dxa"/>
            <w:vAlign w:val="center"/>
          </w:tcPr>
          <w:p w:rsidR="00ED1182" w:rsidRPr="00B10464" w:rsidRDefault="00ED1182" w:rsidP="009F1153">
            <w:pPr>
              <w:tabs>
                <w:tab w:val="left" w:pos="-90"/>
              </w:tabs>
              <w:jc w:val="center"/>
              <w:rPr>
                <w:rFonts w:ascii="Arial" w:hAnsi="Arial" w:cs="Arial"/>
                <w:sz w:val="18"/>
              </w:rPr>
            </w:pPr>
            <w:r w:rsidRPr="00B10464">
              <w:rPr>
                <w:rFonts w:ascii="Arial" w:hAnsi="Arial" w:cs="Arial"/>
                <w:sz w:val="18"/>
              </w:rPr>
              <w:t>A</w:t>
            </w:r>
          </w:p>
        </w:tc>
        <w:tc>
          <w:tcPr>
            <w:tcW w:w="3330" w:type="dxa"/>
            <w:vAlign w:val="center"/>
          </w:tcPr>
          <w:p w:rsidR="00ED1182" w:rsidRPr="00B10464" w:rsidRDefault="00ED1182" w:rsidP="00DF1B09">
            <w:pPr>
              <w:tabs>
                <w:tab w:val="left" w:pos="-90"/>
              </w:tabs>
              <w:rPr>
                <w:rFonts w:ascii="Arial" w:hAnsi="Arial" w:cs="Arial"/>
                <w:sz w:val="18"/>
              </w:rPr>
            </w:pPr>
            <w:r w:rsidRPr="00B10464">
              <w:rPr>
                <w:rFonts w:ascii="Arial" w:hAnsi="Arial" w:cs="Arial"/>
                <w:sz w:val="18"/>
              </w:rPr>
              <w:t>Online submission of Application for FHA Lender Approval</w:t>
            </w:r>
          </w:p>
        </w:tc>
        <w:tc>
          <w:tcPr>
            <w:tcW w:w="990" w:type="dxa"/>
            <w:vAlign w:val="bottom"/>
          </w:tcPr>
          <w:p w:rsidR="00ED1182" w:rsidRPr="00B10464" w:rsidRDefault="00ED1182" w:rsidP="00DF1B09">
            <w:pPr>
              <w:tabs>
                <w:tab w:val="left" w:pos="-90"/>
              </w:tabs>
              <w:jc w:val="right"/>
              <w:rPr>
                <w:rFonts w:ascii="Arial" w:hAnsi="Arial" w:cs="Arial"/>
                <w:sz w:val="18"/>
              </w:rPr>
            </w:pPr>
            <w:r w:rsidRPr="00B10464">
              <w:rPr>
                <w:rFonts w:ascii="Arial" w:hAnsi="Arial" w:cs="Arial"/>
                <w:sz w:val="18"/>
              </w:rPr>
              <w:t>240</w:t>
            </w:r>
          </w:p>
        </w:tc>
        <w:tc>
          <w:tcPr>
            <w:tcW w:w="81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240</w:t>
            </w:r>
          </w:p>
        </w:tc>
        <w:tc>
          <w:tcPr>
            <w:tcW w:w="902" w:type="dxa"/>
            <w:vAlign w:val="bottom"/>
          </w:tcPr>
          <w:p w:rsidR="00ED1182" w:rsidRPr="00B10464" w:rsidRDefault="00ED1182" w:rsidP="00504AFF">
            <w:pPr>
              <w:tabs>
                <w:tab w:val="left" w:pos="-90"/>
              </w:tabs>
              <w:jc w:val="right"/>
              <w:rPr>
                <w:rFonts w:ascii="Arial" w:hAnsi="Arial" w:cs="Arial"/>
                <w:sz w:val="18"/>
                <w:szCs w:val="18"/>
              </w:rPr>
            </w:pPr>
            <w:r w:rsidRPr="00B10464">
              <w:rPr>
                <w:rFonts w:ascii="Arial" w:hAnsi="Arial" w:cs="Arial"/>
                <w:sz w:val="18"/>
              </w:rPr>
              <w:t>.50</w:t>
            </w:r>
          </w:p>
        </w:tc>
        <w:tc>
          <w:tcPr>
            <w:tcW w:w="810" w:type="dxa"/>
            <w:vAlign w:val="bottom"/>
          </w:tcPr>
          <w:p w:rsidR="00ED1182" w:rsidRPr="00B10464" w:rsidRDefault="00ED1182" w:rsidP="00DF1B09">
            <w:pPr>
              <w:tabs>
                <w:tab w:val="left" w:pos="-90"/>
              </w:tabs>
              <w:jc w:val="right"/>
              <w:rPr>
                <w:rFonts w:ascii="Arial" w:hAnsi="Arial" w:cs="Arial"/>
                <w:sz w:val="18"/>
                <w:szCs w:val="18"/>
              </w:rPr>
            </w:pPr>
            <w:r w:rsidRPr="00B10464">
              <w:rPr>
                <w:rFonts w:ascii="Arial" w:hAnsi="Arial" w:cs="Arial"/>
                <w:sz w:val="18"/>
                <w:szCs w:val="18"/>
              </w:rPr>
              <w:t>120</w:t>
            </w:r>
          </w:p>
        </w:tc>
        <w:tc>
          <w:tcPr>
            <w:tcW w:w="63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$5,640 </w:t>
            </w:r>
          </w:p>
        </w:tc>
      </w:tr>
      <w:tr w:rsidR="00B10464" w:rsidRPr="00B10464" w:rsidTr="00FA0B9D">
        <w:trPr>
          <w:trHeight w:val="542"/>
        </w:trPr>
        <w:tc>
          <w:tcPr>
            <w:tcW w:w="808" w:type="dxa"/>
            <w:vAlign w:val="center"/>
          </w:tcPr>
          <w:p w:rsidR="00ED1182" w:rsidRPr="00B10464" w:rsidRDefault="00ED1182" w:rsidP="009F1153">
            <w:pPr>
              <w:tabs>
                <w:tab w:val="left" w:pos="-90"/>
              </w:tabs>
              <w:jc w:val="center"/>
              <w:rPr>
                <w:rFonts w:ascii="Arial" w:hAnsi="Arial" w:cs="Arial"/>
                <w:sz w:val="18"/>
              </w:rPr>
            </w:pPr>
            <w:r w:rsidRPr="00B10464">
              <w:rPr>
                <w:rFonts w:ascii="Arial" w:hAnsi="Arial" w:cs="Arial"/>
                <w:sz w:val="18"/>
              </w:rPr>
              <w:t>B</w:t>
            </w:r>
          </w:p>
        </w:tc>
        <w:tc>
          <w:tcPr>
            <w:tcW w:w="3330" w:type="dxa"/>
            <w:vAlign w:val="center"/>
          </w:tcPr>
          <w:p w:rsidR="00ED1182" w:rsidRPr="00B10464" w:rsidRDefault="00ED1182" w:rsidP="00DF1B09">
            <w:pPr>
              <w:tabs>
                <w:tab w:val="left" w:pos="-90"/>
              </w:tabs>
              <w:rPr>
                <w:rFonts w:ascii="Arial" w:hAnsi="Arial" w:cs="Arial"/>
                <w:sz w:val="18"/>
              </w:rPr>
            </w:pPr>
            <w:r w:rsidRPr="00B10464">
              <w:rPr>
                <w:rFonts w:ascii="Arial" w:hAnsi="Arial" w:cs="Arial"/>
                <w:sz w:val="18"/>
              </w:rPr>
              <w:t>Non- Online submission of HUD-92001-A  Application for FHA Lender Approval</w:t>
            </w:r>
          </w:p>
        </w:tc>
        <w:tc>
          <w:tcPr>
            <w:tcW w:w="990" w:type="dxa"/>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 </w:t>
            </w:r>
          </w:p>
        </w:tc>
        <w:tc>
          <w:tcPr>
            <w:tcW w:w="810" w:type="dxa"/>
            <w:vAlign w:val="bottom"/>
          </w:tcPr>
          <w:p w:rsidR="00ED1182" w:rsidRPr="00B10464" w:rsidRDefault="00ED1182" w:rsidP="009F1153">
            <w:pPr>
              <w:tabs>
                <w:tab w:val="left" w:pos="-90"/>
              </w:tabs>
              <w:jc w:val="right"/>
              <w:rPr>
                <w:rFonts w:ascii="Arial" w:hAnsi="Arial" w:cs="Arial"/>
                <w:sz w:val="18"/>
                <w:szCs w:val="18"/>
              </w:rPr>
            </w:pPr>
          </w:p>
        </w:tc>
        <w:tc>
          <w:tcPr>
            <w:tcW w:w="902" w:type="dxa"/>
            <w:vAlign w:val="bottom"/>
          </w:tcPr>
          <w:p w:rsidR="00ED1182" w:rsidRPr="00B10464" w:rsidRDefault="00ED1182" w:rsidP="00DF1B09">
            <w:pPr>
              <w:tabs>
                <w:tab w:val="left" w:pos="-90"/>
              </w:tabs>
              <w:jc w:val="right"/>
              <w:rPr>
                <w:rFonts w:ascii="Arial" w:hAnsi="Arial" w:cs="Arial"/>
                <w:sz w:val="18"/>
                <w:szCs w:val="18"/>
              </w:rPr>
            </w:pPr>
            <w:r w:rsidRPr="00B10464">
              <w:rPr>
                <w:rFonts w:ascii="Arial" w:hAnsi="Arial" w:cs="Arial"/>
                <w:sz w:val="18"/>
              </w:rPr>
              <w:t>2.00</w:t>
            </w:r>
          </w:p>
        </w:tc>
        <w:tc>
          <w:tcPr>
            <w:tcW w:w="810" w:type="dxa"/>
            <w:vAlign w:val="bottom"/>
          </w:tcPr>
          <w:p w:rsidR="00ED1182" w:rsidRPr="00B10464" w:rsidRDefault="00ED1182" w:rsidP="009F1153">
            <w:pPr>
              <w:tabs>
                <w:tab w:val="left" w:pos="-90"/>
              </w:tabs>
              <w:jc w:val="right"/>
              <w:rPr>
                <w:rFonts w:ascii="Arial" w:hAnsi="Arial" w:cs="Arial"/>
                <w:sz w:val="18"/>
                <w:szCs w:val="18"/>
              </w:rPr>
            </w:pPr>
          </w:p>
        </w:tc>
        <w:tc>
          <w:tcPr>
            <w:tcW w:w="63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$0 </w:t>
            </w:r>
          </w:p>
        </w:tc>
      </w:tr>
      <w:tr w:rsidR="00B10464" w:rsidRPr="00B10464" w:rsidTr="00FA0B9D">
        <w:tc>
          <w:tcPr>
            <w:tcW w:w="808" w:type="dxa"/>
            <w:vAlign w:val="center"/>
          </w:tcPr>
          <w:p w:rsidR="00ED1182" w:rsidRPr="00B10464" w:rsidRDefault="00ED1182" w:rsidP="00CF7BB1">
            <w:pPr>
              <w:tabs>
                <w:tab w:val="left" w:pos="-90"/>
              </w:tabs>
              <w:jc w:val="center"/>
              <w:rPr>
                <w:rFonts w:ascii="Arial" w:hAnsi="Arial" w:cs="Arial"/>
                <w:sz w:val="18"/>
              </w:rPr>
            </w:pPr>
            <w:r w:rsidRPr="00B10464">
              <w:rPr>
                <w:rFonts w:ascii="Arial" w:hAnsi="Arial" w:cs="Arial"/>
                <w:sz w:val="18"/>
              </w:rPr>
              <w:t>C</w:t>
            </w:r>
          </w:p>
        </w:tc>
        <w:tc>
          <w:tcPr>
            <w:tcW w:w="3330" w:type="dxa"/>
            <w:vAlign w:val="center"/>
          </w:tcPr>
          <w:p w:rsidR="00ED1182" w:rsidRPr="00B10464" w:rsidRDefault="00ED1182" w:rsidP="00504AFF">
            <w:pPr>
              <w:tabs>
                <w:tab w:val="left" w:pos="-90"/>
              </w:tabs>
              <w:rPr>
                <w:rFonts w:ascii="Arial" w:hAnsi="Arial" w:cs="Arial"/>
                <w:sz w:val="18"/>
              </w:rPr>
            </w:pPr>
            <w:r w:rsidRPr="00B10464">
              <w:rPr>
                <w:rFonts w:ascii="Arial" w:hAnsi="Arial" w:cs="Arial"/>
                <w:sz w:val="18"/>
              </w:rPr>
              <w:t xml:space="preserve">Online Registration of New Branches via FHA Connection </w:t>
            </w:r>
          </w:p>
        </w:tc>
        <w:tc>
          <w:tcPr>
            <w:tcW w:w="990" w:type="dxa"/>
            <w:vAlign w:val="bottom"/>
          </w:tcPr>
          <w:p w:rsidR="00ED1182" w:rsidRPr="00B10464" w:rsidRDefault="00ED1182" w:rsidP="009F1153">
            <w:pPr>
              <w:tabs>
                <w:tab w:val="left" w:pos="-90"/>
              </w:tabs>
              <w:jc w:val="right"/>
              <w:rPr>
                <w:rFonts w:ascii="Arial" w:hAnsi="Arial" w:cs="Arial"/>
                <w:sz w:val="18"/>
              </w:rPr>
            </w:pPr>
          </w:p>
        </w:tc>
        <w:tc>
          <w:tcPr>
            <w:tcW w:w="810" w:type="dxa"/>
            <w:vAlign w:val="bottom"/>
          </w:tcPr>
          <w:p w:rsidR="00ED1182" w:rsidRPr="00B10464" w:rsidRDefault="00ED1182" w:rsidP="00504AFF">
            <w:pPr>
              <w:tabs>
                <w:tab w:val="left" w:pos="-90"/>
              </w:tabs>
              <w:jc w:val="right"/>
              <w:rPr>
                <w:rFonts w:ascii="Arial" w:hAnsi="Arial" w:cs="Arial"/>
                <w:sz w:val="18"/>
                <w:szCs w:val="18"/>
              </w:rPr>
            </w:pPr>
            <w:r w:rsidRPr="00B10464">
              <w:rPr>
                <w:rFonts w:ascii="Arial" w:hAnsi="Arial" w:cs="Arial"/>
                <w:sz w:val="18"/>
              </w:rPr>
              <w:t>300</w:t>
            </w:r>
          </w:p>
        </w:tc>
        <w:tc>
          <w:tcPr>
            <w:tcW w:w="902"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.25</w:t>
            </w:r>
          </w:p>
        </w:tc>
        <w:tc>
          <w:tcPr>
            <w:tcW w:w="81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75</w:t>
            </w:r>
          </w:p>
        </w:tc>
        <w:tc>
          <w:tcPr>
            <w:tcW w:w="63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$3,525 </w:t>
            </w:r>
          </w:p>
        </w:tc>
      </w:tr>
      <w:tr w:rsidR="00B10464" w:rsidRPr="00B10464" w:rsidTr="00FA0B9D">
        <w:tc>
          <w:tcPr>
            <w:tcW w:w="808" w:type="dxa"/>
            <w:vAlign w:val="center"/>
          </w:tcPr>
          <w:p w:rsidR="00ED1182" w:rsidRPr="00B10464" w:rsidRDefault="00ED1182" w:rsidP="00CF7BB1">
            <w:pPr>
              <w:tabs>
                <w:tab w:val="left" w:pos="-90"/>
              </w:tabs>
              <w:jc w:val="center"/>
              <w:rPr>
                <w:rFonts w:ascii="Arial" w:hAnsi="Arial" w:cs="Arial"/>
                <w:sz w:val="18"/>
              </w:rPr>
            </w:pPr>
            <w:r w:rsidRPr="00B10464">
              <w:rPr>
                <w:rFonts w:ascii="Arial" w:hAnsi="Arial" w:cs="Arial"/>
                <w:sz w:val="18"/>
              </w:rPr>
              <w:t>D</w:t>
            </w:r>
          </w:p>
        </w:tc>
        <w:tc>
          <w:tcPr>
            <w:tcW w:w="3330" w:type="dxa"/>
            <w:vAlign w:val="center"/>
          </w:tcPr>
          <w:p w:rsidR="00ED1182" w:rsidRPr="00B10464" w:rsidRDefault="00ED1182" w:rsidP="0029665B">
            <w:pPr>
              <w:tabs>
                <w:tab w:val="left" w:pos="-90"/>
              </w:tabs>
              <w:rPr>
                <w:rFonts w:ascii="Arial" w:hAnsi="Arial" w:cs="Arial"/>
                <w:sz w:val="18"/>
              </w:rPr>
            </w:pPr>
            <w:r w:rsidRPr="00B10464">
              <w:rPr>
                <w:rFonts w:ascii="Arial" w:hAnsi="Arial" w:cs="Arial"/>
                <w:sz w:val="18"/>
              </w:rPr>
              <w:t>Non-online Submission of HUD-92100-B Application for Registration of New Branch (including attachments)</w:t>
            </w:r>
          </w:p>
        </w:tc>
        <w:tc>
          <w:tcPr>
            <w:tcW w:w="990" w:type="dxa"/>
            <w:vAlign w:val="bottom"/>
          </w:tcPr>
          <w:p w:rsidR="00ED1182" w:rsidRPr="00B10464" w:rsidRDefault="00ED1182" w:rsidP="009F1153">
            <w:pPr>
              <w:tabs>
                <w:tab w:val="left" w:pos="-90"/>
              </w:tabs>
              <w:jc w:val="right"/>
              <w:rPr>
                <w:rFonts w:ascii="Arial" w:hAnsi="Arial" w:cs="Arial"/>
                <w:sz w:val="18"/>
              </w:rPr>
            </w:pPr>
          </w:p>
        </w:tc>
        <w:tc>
          <w:tcPr>
            <w:tcW w:w="810" w:type="dxa"/>
            <w:vAlign w:val="bottom"/>
          </w:tcPr>
          <w:p w:rsidR="00ED1182" w:rsidRPr="00B10464" w:rsidRDefault="00ED1182" w:rsidP="00CF7BB1">
            <w:pPr>
              <w:tabs>
                <w:tab w:val="left" w:pos="-90"/>
              </w:tabs>
              <w:jc w:val="right"/>
              <w:rPr>
                <w:rFonts w:ascii="Arial" w:hAnsi="Arial" w:cs="Arial"/>
                <w:sz w:val="18"/>
              </w:rPr>
            </w:pPr>
            <w:r w:rsidRPr="00B10464">
              <w:rPr>
                <w:rFonts w:ascii="Arial" w:hAnsi="Arial" w:cs="Arial"/>
                <w:sz w:val="18"/>
              </w:rPr>
              <w:t>6</w:t>
            </w:r>
          </w:p>
        </w:tc>
        <w:tc>
          <w:tcPr>
            <w:tcW w:w="902" w:type="dxa"/>
            <w:vAlign w:val="bottom"/>
          </w:tcPr>
          <w:p w:rsidR="00ED1182" w:rsidRPr="00B10464" w:rsidRDefault="00ED1182" w:rsidP="00E06A52">
            <w:pPr>
              <w:tabs>
                <w:tab w:val="left" w:pos="-90"/>
              </w:tabs>
              <w:jc w:val="right"/>
              <w:rPr>
                <w:rFonts w:ascii="Arial" w:hAnsi="Arial" w:cs="Arial"/>
                <w:sz w:val="18"/>
              </w:rPr>
            </w:pPr>
            <w:r w:rsidRPr="00B10464">
              <w:rPr>
                <w:rFonts w:ascii="Arial" w:hAnsi="Arial" w:cs="Arial"/>
                <w:sz w:val="18"/>
              </w:rPr>
              <w:t>.50</w:t>
            </w:r>
          </w:p>
        </w:tc>
        <w:tc>
          <w:tcPr>
            <w:tcW w:w="81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3</w:t>
            </w:r>
          </w:p>
        </w:tc>
        <w:tc>
          <w:tcPr>
            <w:tcW w:w="630" w:type="dxa"/>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$47</w:t>
            </w:r>
          </w:p>
        </w:tc>
        <w:tc>
          <w:tcPr>
            <w:tcW w:w="1170" w:type="dxa"/>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$141 </w:t>
            </w:r>
          </w:p>
        </w:tc>
      </w:tr>
      <w:tr w:rsidR="00B10464" w:rsidRPr="00B10464" w:rsidTr="00FA0B9D">
        <w:tc>
          <w:tcPr>
            <w:tcW w:w="808" w:type="dxa"/>
            <w:vAlign w:val="center"/>
          </w:tcPr>
          <w:p w:rsidR="00ED1182" w:rsidRPr="00B10464" w:rsidRDefault="00720ECB" w:rsidP="00CF7BB1">
            <w:pPr>
              <w:tabs>
                <w:tab w:val="left" w:pos="-90"/>
              </w:tabs>
              <w:jc w:val="center"/>
              <w:rPr>
                <w:rFonts w:ascii="Arial" w:hAnsi="Arial" w:cs="Arial"/>
                <w:sz w:val="18"/>
              </w:rPr>
            </w:pPr>
            <w:r w:rsidRPr="00B10464">
              <w:rPr>
                <w:rFonts w:ascii="Arial" w:hAnsi="Arial" w:cs="Arial"/>
                <w:sz w:val="18"/>
              </w:rPr>
              <w:t>E</w:t>
            </w:r>
          </w:p>
        </w:tc>
        <w:tc>
          <w:tcPr>
            <w:tcW w:w="3330" w:type="dxa"/>
            <w:vAlign w:val="center"/>
          </w:tcPr>
          <w:p w:rsidR="00ED1182" w:rsidRPr="00B10464" w:rsidRDefault="00ED1182" w:rsidP="00504AFF">
            <w:pPr>
              <w:tabs>
                <w:tab w:val="left" w:pos="-90"/>
              </w:tabs>
              <w:rPr>
                <w:rFonts w:ascii="Arial" w:hAnsi="Arial" w:cs="Arial"/>
                <w:sz w:val="18"/>
              </w:rPr>
            </w:pPr>
            <w:r w:rsidRPr="00B10464">
              <w:rPr>
                <w:rFonts w:ascii="Arial" w:hAnsi="Arial" w:cs="Arial"/>
                <w:sz w:val="18"/>
              </w:rPr>
              <w:t>Online Application Fee Payment  FHA Lender Approval</w:t>
            </w:r>
          </w:p>
        </w:tc>
        <w:tc>
          <w:tcPr>
            <w:tcW w:w="990" w:type="dxa"/>
            <w:vAlign w:val="bottom"/>
          </w:tcPr>
          <w:p w:rsidR="00ED1182" w:rsidRPr="00B10464" w:rsidRDefault="00ED1182" w:rsidP="009F1153">
            <w:pPr>
              <w:tabs>
                <w:tab w:val="left" w:pos="-90"/>
              </w:tabs>
              <w:jc w:val="right"/>
              <w:rPr>
                <w:rFonts w:ascii="Arial" w:hAnsi="Arial" w:cs="Arial"/>
                <w:sz w:val="18"/>
              </w:rPr>
            </w:pPr>
          </w:p>
        </w:tc>
        <w:tc>
          <w:tcPr>
            <w:tcW w:w="81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240</w:t>
            </w:r>
          </w:p>
        </w:tc>
        <w:tc>
          <w:tcPr>
            <w:tcW w:w="902" w:type="dxa"/>
            <w:vAlign w:val="bottom"/>
          </w:tcPr>
          <w:p w:rsidR="00ED1182" w:rsidRPr="00B10464" w:rsidRDefault="00ED1182" w:rsidP="00E06A52">
            <w:pPr>
              <w:tabs>
                <w:tab w:val="left" w:pos="-90"/>
              </w:tabs>
              <w:jc w:val="right"/>
              <w:rPr>
                <w:rFonts w:ascii="Arial" w:hAnsi="Arial" w:cs="Arial"/>
                <w:sz w:val="18"/>
                <w:szCs w:val="18"/>
              </w:rPr>
            </w:pPr>
            <w:r w:rsidRPr="00B10464">
              <w:rPr>
                <w:rFonts w:ascii="Arial" w:hAnsi="Arial" w:cs="Arial"/>
                <w:sz w:val="18"/>
                <w:szCs w:val="18"/>
              </w:rPr>
              <w:t>.05</w:t>
            </w:r>
          </w:p>
        </w:tc>
        <w:tc>
          <w:tcPr>
            <w:tcW w:w="81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12</w:t>
            </w:r>
          </w:p>
        </w:tc>
        <w:tc>
          <w:tcPr>
            <w:tcW w:w="63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$47</w:t>
            </w:r>
          </w:p>
        </w:tc>
        <w:tc>
          <w:tcPr>
            <w:tcW w:w="1170" w:type="dxa"/>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$564 </w:t>
            </w:r>
          </w:p>
        </w:tc>
      </w:tr>
      <w:tr w:rsidR="00B10464" w:rsidRPr="00B10464" w:rsidTr="00FA0B9D">
        <w:trPr>
          <w:trHeight w:val="590"/>
        </w:trPr>
        <w:tc>
          <w:tcPr>
            <w:tcW w:w="808" w:type="dxa"/>
            <w:tcBorders>
              <w:bottom w:val="single" w:sz="4" w:space="0" w:color="auto"/>
            </w:tcBorders>
            <w:vAlign w:val="center"/>
          </w:tcPr>
          <w:p w:rsidR="00ED1182" w:rsidRPr="00B10464" w:rsidRDefault="00720ECB" w:rsidP="00741600">
            <w:pPr>
              <w:tabs>
                <w:tab w:val="left" w:pos="-90"/>
              </w:tabs>
              <w:jc w:val="center"/>
              <w:rPr>
                <w:rFonts w:ascii="Arial" w:hAnsi="Arial" w:cs="Arial"/>
                <w:sz w:val="18"/>
              </w:rPr>
            </w:pPr>
            <w:r w:rsidRPr="00B10464">
              <w:rPr>
                <w:rFonts w:ascii="Arial" w:hAnsi="Arial" w:cs="Arial"/>
                <w:sz w:val="18"/>
              </w:rPr>
              <w:t>F</w:t>
            </w:r>
          </w:p>
        </w:tc>
        <w:tc>
          <w:tcPr>
            <w:tcW w:w="3330" w:type="dxa"/>
            <w:tcBorders>
              <w:bottom w:val="single" w:sz="4" w:space="0" w:color="auto"/>
            </w:tcBorders>
            <w:vAlign w:val="center"/>
          </w:tcPr>
          <w:p w:rsidR="00ED1182" w:rsidRPr="00B10464" w:rsidRDefault="00ED1182" w:rsidP="00504AFF">
            <w:pPr>
              <w:tabs>
                <w:tab w:val="left" w:pos="-90"/>
              </w:tabs>
              <w:rPr>
                <w:rFonts w:ascii="Arial" w:hAnsi="Arial" w:cs="Arial"/>
                <w:sz w:val="18"/>
              </w:rPr>
            </w:pPr>
            <w:r w:rsidRPr="00B10464">
              <w:rPr>
                <w:rFonts w:ascii="Arial" w:hAnsi="Arial" w:cs="Arial"/>
                <w:sz w:val="18"/>
              </w:rPr>
              <w:t>Online Branch Registration Fee</w:t>
            </w:r>
          </w:p>
        </w:tc>
        <w:tc>
          <w:tcPr>
            <w:tcW w:w="99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p>
        </w:tc>
        <w:tc>
          <w:tcPr>
            <w:tcW w:w="810"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rPr>
            </w:pPr>
            <w:r w:rsidRPr="00B10464">
              <w:rPr>
                <w:rFonts w:ascii="Arial" w:hAnsi="Arial" w:cs="Arial"/>
                <w:sz w:val="18"/>
              </w:rPr>
              <w:t>306</w:t>
            </w:r>
          </w:p>
        </w:tc>
        <w:tc>
          <w:tcPr>
            <w:tcW w:w="902"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rPr>
            </w:pPr>
            <w:r w:rsidRPr="00B10464">
              <w:rPr>
                <w:rFonts w:ascii="Arial" w:hAnsi="Arial" w:cs="Arial"/>
                <w:sz w:val="18"/>
              </w:rPr>
              <w:t>.05</w:t>
            </w:r>
          </w:p>
        </w:tc>
        <w:tc>
          <w:tcPr>
            <w:tcW w:w="810"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szCs w:val="18"/>
              </w:rPr>
            </w:pPr>
            <w:r w:rsidRPr="00B10464">
              <w:rPr>
                <w:rFonts w:ascii="Arial" w:hAnsi="Arial" w:cs="Arial"/>
                <w:sz w:val="18"/>
                <w:szCs w:val="18"/>
              </w:rPr>
              <w:t>15</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$47</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$705 </w:t>
            </w:r>
          </w:p>
        </w:tc>
      </w:tr>
      <w:tr w:rsidR="00B10464" w:rsidRPr="00B10464" w:rsidTr="00FA0B9D">
        <w:trPr>
          <w:trHeight w:val="590"/>
        </w:trPr>
        <w:tc>
          <w:tcPr>
            <w:tcW w:w="808" w:type="dxa"/>
            <w:tcBorders>
              <w:bottom w:val="single" w:sz="4" w:space="0" w:color="auto"/>
            </w:tcBorders>
            <w:vAlign w:val="center"/>
          </w:tcPr>
          <w:p w:rsidR="00ED1182" w:rsidRPr="00B10464" w:rsidRDefault="00720ECB" w:rsidP="00741600">
            <w:pPr>
              <w:tabs>
                <w:tab w:val="left" w:pos="-90"/>
              </w:tabs>
              <w:jc w:val="center"/>
              <w:rPr>
                <w:rFonts w:ascii="Arial" w:hAnsi="Arial" w:cs="Arial"/>
                <w:sz w:val="18"/>
              </w:rPr>
            </w:pPr>
            <w:r w:rsidRPr="00B10464">
              <w:rPr>
                <w:rFonts w:ascii="Arial" w:hAnsi="Arial" w:cs="Arial"/>
                <w:sz w:val="18"/>
              </w:rPr>
              <w:t>G</w:t>
            </w:r>
          </w:p>
        </w:tc>
        <w:tc>
          <w:tcPr>
            <w:tcW w:w="3330" w:type="dxa"/>
            <w:tcBorders>
              <w:bottom w:val="single" w:sz="4" w:space="0" w:color="auto"/>
            </w:tcBorders>
            <w:vAlign w:val="center"/>
          </w:tcPr>
          <w:p w:rsidR="00ED1182" w:rsidRPr="00B10464" w:rsidRDefault="00ED1182" w:rsidP="00741600">
            <w:pPr>
              <w:tabs>
                <w:tab w:val="left" w:pos="-90"/>
              </w:tabs>
              <w:rPr>
                <w:rFonts w:ascii="Arial" w:hAnsi="Arial" w:cs="Arial"/>
                <w:sz w:val="18"/>
              </w:rPr>
            </w:pPr>
            <w:r w:rsidRPr="00B10464">
              <w:rPr>
                <w:rFonts w:ascii="Arial" w:hAnsi="Arial" w:cs="Arial"/>
                <w:sz w:val="18"/>
              </w:rPr>
              <w:t>Online Annual Certification Report/Unable to Certify Report</w:t>
            </w:r>
          </w:p>
        </w:tc>
        <w:tc>
          <w:tcPr>
            <w:tcW w:w="990"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rPr>
            </w:pPr>
            <w:r w:rsidRPr="00B10464">
              <w:rPr>
                <w:rFonts w:ascii="Arial" w:hAnsi="Arial" w:cs="Arial"/>
                <w:sz w:val="18"/>
              </w:rPr>
              <w:t>3,500</w:t>
            </w:r>
          </w:p>
        </w:tc>
        <w:tc>
          <w:tcPr>
            <w:tcW w:w="810" w:type="dxa"/>
            <w:tcBorders>
              <w:bottom w:val="single" w:sz="4" w:space="0" w:color="auto"/>
            </w:tcBorders>
            <w:vAlign w:val="bottom"/>
          </w:tcPr>
          <w:p w:rsidR="00ED1182" w:rsidRPr="00B10464" w:rsidRDefault="00ED1182" w:rsidP="00AE37C8">
            <w:pPr>
              <w:tabs>
                <w:tab w:val="left" w:pos="-90"/>
              </w:tabs>
              <w:jc w:val="right"/>
              <w:rPr>
                <w:rFonts w:ascii="Arial" w:hAnsi="Arial" w:cs="Arial"/>
                <w:sz w:val="18"/>
                <w:szCs w:val="18"/>
              </w:rPr>
            </w:pPr>
            <w:r w:rsidRPr="00B10464">
              <w:rPr>
                <w:rFonts w:ascii="Arial" w:hAnsi="Arial" w:cs="Arial"/>
                <w:sz w:val="18"/>
              </w:rPr>
              <w:t>3,500</w:t>
            </w:r>
          </w:p>
        </w:tc>
        <w:tc>
          <w:tcPr>
            <w:tcW w:w="902" w:type="dxa"/>
            <w:tcBorders>
              <w:bottom w:val="single" w:sz="4" w:space="0" w:color="auto"/>
            </w:tcBorders>
            <w:vAlign w:val="bottom"/>
          </w:tcPr>
          <w:p w:rsidR="00ED1182" w:rsidRPr="00B10464" w:rsidRDefault="00ED1182" w:rsidP="00AE37C8">
            <w:pPr>
              <w:tabs>
                <w:tab w:val="left" w:pos="-90"/>
              </w:tabs>
              <w:jc w:val="right"/>
              <w:rPr>
                <w:rFonts w:ascii="Arial" w:hAnsi="Arial" w:cs="Arial"/>
                <w:sz w:val="18"/>
                <w:szCs w:val="18"/>
              </w:rPr>
            </w:pPr>
            <w:r w:rsidRPr="00B10464">
              <w:rPr>
                <w:rFonts w:ascii="Arial" w:hAnsi="Arial" w:cs="Arial"/>
                <w:sz w:val="18"/>
              </w:rPr>
              <w:t>.25</w:t>
            </w:r>
          </w:p>
        </w:tc>
        <w:tc>
          <w:tcPr>
            <w:tcW w:w="810"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szCs w:val="18"/>
              </w:rPr>
            </w:pPr>
            <w:r w:rsidRPr="00B10464">
              <w:rPr>
                <w:rFonts w:ascii="Arial" w:hAnsi="Arial" w:cs="Arial"/>
                <w:sz w:val="18"/>
                <w:szCs w:val="18"/>
              </w:rPr>
              <w:t>875</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$41,125 </w:t>
            </w:r>
          </w:p>
        </w:tc>
      </w:tr>
      <w:tr w:rsidR="00B10464" w:rsidRPr="00B10464" w:rsidTr="00FA0B9D">
        <w:tc>
          <w:tcPr>
            <w:tcW w:w="808" w:type="dxa"/>
            <w:tcBorders>
              <w:bottom w:val="single" w:sz="4" w:space="0" w:color="auto"/>
            </w:tcBorders>
            <w:vAlign w:val="center"/>
          </w:tcPr>
          <w:p w:rsidR="00ED1182" w:rsidRPr="00B10464" w:rsidRDefault="00720ECB" w:rsidP="00741600">
            <w:pPr>
              <w:tabs>
                <w:tab w:val="left" w:pos="-90"/>
              </w:tabs>
              <w:jc w:val="center"/>
              <w:rPr>
                <w:rFonts w:ascii="Arial" w:hAnsi="Arial" w:cs="Arial"/>
                <w:sz w:val="18"/>
              </w:rPr>
            </w:pPr>
            <w:r w:rsidRPr="00B10464">
              <w:rPr>
                <w:rFonts w:ascii="Arial" w:hAnsi="Arial" w:cs="Arial"/>
                <w:sz w:val="18"/>
              </w:rPr>
              <w:t>H</w:t>
            </w:r>
          </w:p>
        </w:tc>
        <w:tc>
          <w:tcPr>
            <w:tcW w:w="3330" w:type="dxa"/>
            <w:tcBorders>
              <w:bottom w:val="single" w:sz="4" w:space="0" w:color="auto"/>
            </w:tcBorders>
            <w:vAlign w:val="center"/>
          </w:tcPr>
          <w:p w:rsidR="00ED1182" w:rsidRPr="00B10464" w:rsidRDefault="00ED1182" w:rsidP="004A358F">
            <w:pPr>
              <w:tabs>
                <w:tab w:val="left" w:pos="-90"/>
              </w:tabs>
              <w:rPr>
                <w:rFonts w:ascii="Arial" w:hAnsi="Arial" w:cs="Arial"/>
                <w:sz w:val="18"/>
              </w:rPr>
            </w:pPr>
            <w:r w:rsidRPr="00B10464">
              <w:rPr>
                <w:rFonts w:ascii="Arial" w:hAnsi="Arial" w:cs="Arial"/>
                <w:sz w:val="18"/>
              </w:rPr>
              <w:t>Online Annual Financial Statements and Reports</w:t>
            </w:r>
          </w:p>
        </w:tc>
        <w:tc>
          <w:tcPr>
            <w:tcW w:w="99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 </w:t>
            </w:r>
          </w:p>
        </w:tc>
        <w:tc>
          <w:tcPr>
            <w:tcW w:w="810"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szCs w:val="18"/>
              </w:rPr>
            </w:pPr>
            <w:r w:rsidRPr="00B10464">
              <w:rPr>
                <w:rFonts w:ascii="Arial" w:hAnsi="Arial" w:cs="Arial"/>
                <w:sz w:val="18"/>
              </w:rPr>
              <w:t xml:space="preserve">    3,300</w:t>
            </w:r>
          </w:p>
        </w:tc>
        <w:tc>
          <w:tcPr>
            <w:tcW w:w="902"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3.00</w:t>
            </w:r>
          </w:p>
        </w:tc>
        <w:tc>
          <w:tcPr>
            <w:tcW w:w="81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9,900</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$465,300 </w:t>
            </w:r>
          </w:p>
        </w:tc>
      </w:tr>
      <w:tr w:rsidR="00B10464" w:rsidRPr="00B10464" w:rsidTr="00FA0B9D">
        <w:tc>
          <w:tcPr>
            <w:tcW w:w="808" w:type="dxa"/>
            <w:tcBorders>
              <w:bottom w:val="single" w:sz="4" w:space="0" w:color="auto"/>
            </w:tcBorders>
            <w:vAlign w:val="center"/>
          </w:tcPr>
          <w:p w:rsidR="00ED1182" w:rsidRPr="00B10464" w:rsidRDefault="00720ECB" w:rsidP="009F1153">
            <w:pPr>
              <w:tabs>
                <w:tab w:val="left" w:pos="-90"/>
              </w:tabs>
              <w:jc w:val="center"/>
              <w:rPr>
                <w:rFonts w:ascii="Arial" w:hAnsi="Arial" w:cs="Arial"/>
                <w:sz w:val="18"/>
              </w:rPr>
            </w:pPr>
            <w:r w:rsidRPr="00B10464">
              <w:rPr>
                <w:rFonts w:ascii="Arial" w:hAnsi="Arial" w:cs="Arial"/>
                <w:sz w:val="18"/>
              </w:rPr>
              <w:t>I</w:t>
            </w:r>
          </w:p>
        </w:tc>
        <w:tc>
          <w:tcPr>
            <w:tcW w:w="3330" w:type="dxa"/>
            <w:tcBorders>
              <w:bottom w:val="single" w:sz="4" w:space="0" w:color="auto"/>
            </w:tcBorders>
            <w:vAlign w:val="center"/>
          </w:tcPr>
          <w:p w:rsidR="00ED1182" w:rsidRPr="00B10464" w:rsidRDefault="00ED1182" w:rsidP="00EB440A">
            <w:pPr>
              <w:tabs>
                <w:tab w:val="left" w:pos="-90"/>
              </w:tabs>
              <w:rPr>
                <w:rFonts w:ascii="Arial" w:hAnsi="Arial" w:cs="Arial"/>
                <w:sz w:val="18"/>
              </w:rPr>
            </w:pPr>
            <w:r w:rsidRPr="00B10464">
              <w:rPr>
                <w:rFonts w:ascii="Arial" w:hAnsi="Arial" w:cs="Arial"/>
                <w:sz w:val="18"/>
              </w:rPr>
              <w:t xml:space="preserve">Online Payment of Annual Renewal Fee </w:t>
            </w:r>
          </w:p>
        </w:tc>
        <w:tc>
          <w:tcPr>
            <w:tcW w:w="99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p>
        </w:tc>
        <w:tc>
          <w:tcPr>
            <w:tcW w:w="810" w:type="dxa"/>
            <w:tcBorders>
              <w:bottom w:val="single" w:sz="4" w:space="0" w:color="auto"/>
            </w:tcBorders>
            <w:vAlign w:val="bottom"/>
          </w:tcPr>
          <w:p w:rsidR="00ED1182" w:rsidRPr="00B10464" w:rsidRDefault="00ED1182" w:rsidP="0066018B">
            <w:pPr>
              <w:tabs>
                <w:tab w:val="left" w:pos="-90"/>
              </w:tabs>
              <w:jc w:val="right"/>
              <w:rPr>
                <w:rFonts w:ascii="Arial" w:hAnsi="Arial" w:cs="Arial"/>
                <w:sz w:val="18"/>
              </w:rPr>
            </w:pPr>
            <w:r w:rsidRPr="00B10464">
              <w:rPr>
                <w:rFonts w:ascii="Arial" w:hAnsi="Arial" w:cs="Arial"/>
                <w:sz w:val="18"/>
              </w:rPr>
              <w:t>3,300</w:t>
            </w:r>
          </w:p>
        </w:tc>
        <w:tc>
          <w:tcPr>
            <w:tcW w:w="902" w:type="dxa"/>
            <w:tcBorders>
              <w:bottom w:val="single" w:sz="4" w:space="0" w:color="auto"/>
            </w:tcBorders>
            <w:vAlign w:val="bottom"/>
          </w:tcPr>
          <w:p w:rsidR="00ED1182" w:rsidRPr="00B10464" w:rsidRDefault="00ED1182" w:rsidP="00E06A52">
            <w:pPr>
              <w:tabs>
                <w:tab w:val="left" w:pos="-90"/>
              </w:tabs>
              <w:jc w:val="right"/>
              <w:rPr>
                <w:rFonts w:ascii="Arial" w:hAnsi="Arial" w:cs="Arial"/>
                <w:sz w:val="18"/>
              </w:rPr>
            </w:pPr>
            <w:r w:rsidRPr="00B10464">
              <w:rPr>
                <w:rFonts w:ascii="Arial" w:hAnsi="Arial" w:cs="Arial"/>
                <w:sz w:val="18"/>
              </w:rPr>
              <w:t>.25</w:t>
            </w:r>
          </w:p>
        </w:tc>
        <w:tc>
          <w:tcPr>
            <w:tcW w:w="81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900</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$47</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$42,300 </w:t>
            </w:r>
          </w:p>
        </w:tc>
      </w:tr>
      <w:tr w:rsidR="00B10464" w:rsidRPr="00B10464" w:rsidTr="00FA0B9D">
        <w:tc>
          <w:tcPr>
            <w:tcW w:w="808" w:type="dxa"/>
            <w:tcBorders>
              <w:bottom w:val="single" w:sz="4" w:space="0" w:color="auto"/>
            </w:tcBorders>
            <w:vAlign w:val="center"/>
          </w:tcPr>
          <w:p w:rsidR="00ED1182" w:rsidRPr="00B10464" w:rsidRDefault="00720ECB" w:rsidP="008B7536">
            <w:pPr>
              <w:tabs>
                <w:tab w:val="left" w:pos="-90"/>
              </w:tabs>
              <w:jc w:val="center"/>
              <w:rPr>
                <w:rFonts w:ascii="Arial" w:hAnsi="Arial" w:cs="Arial"/>
                <w:sz w:val="18"/>
              </w:rPr>
            </w:pPr>
            <w:r w:rsidRPr="00B10464">
              <w:rPr>
                <w:rFonts w:ascii="Arial" w:hAnsi="Arial" w:cs="Arial"/>
                <w:sz w:val="18"/>
              </w:rPr>
              <w:t>J</w:t>
            </w:r>
          </w:p>
        </w:tc>
        <w:tc>
          <w:tcPr>
            <w:tcW w:w="3330" w:type="dxa"/>
            <w:tcBorders>
              <w:bottom w:val="single" w:sz="4" w:space="0" w:color="auto"/>
            </w:tcBorders>
            <w:vAlign w:val="center"/>
          </w:tcPr>
          <w:p w:rsidR="00ED1182" w:rsidRPr="00B10464" w:rsidRDefault="00ED1182" w:rsidP="00EB440A">
            <w:pPr>
              <w:tabs>
                <w:tab w:val="left" w:pos="-90"/>
              </w:tabs>
              <w:rPr>
                <w:rFonts w:ascii="Arial" w:hAnsi="Arial" w:cs="Arial"/>
                <w:sz w:val="18"/>
              </w:rPr>
            </w:pPr>
            <w:r w:rsidRPr="00B10464">
              <w:rPr>
                <w:rFonts w:ascii="Arial" w:hAnsi="Arial" w:cs="Arial"/>
                <w:sz w:val="18"/>
              </w:rPr>
              <w:t>Online Termination of a Branch</w:t>
            </w:r>
          </w:p>
        </w:tc>
        <w:tc>
          <w:tcPr>
            <w:tcW w:w="99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 </w:t>
            </w:r>
          </w:p>
        </w:tc>
        <w:tc>
          <w:tcPr>
            <w:tcW w:w="810" w:type="dxa"/>
            <w:tcBorders>
              <w:bottom w:val="single" w:sz="4" w:space="0" w:color="auto"/>
            </w:tcBorders>
            <w:vAlign w:val="bottom"/>
          </w:tcPr>
          <w:p w:rsidR="00ED1182" w:rsidRPr="00B10464" w:rsidRDefault="00ED1182" w:rsidP="00F22EED">
            <w:pPr>
              <w:tabs>
                <w:tab w:val="left" w:pos="-90"/>
              </w:tabs>
              <w:jc w:val="right"/>
              <w:rPr>
                <w:rFonts w:ascii="Arial" w:hAnsi="Arial" w:cs="Arial"/>
                <w:sz w:val="18"/>
                <w:szCs w:val="18"/>
              </w:rPr>
            </w:pPr>
            <w:r w:rsidRPr="00B10464">
              <w:rPr>
                <w:rFonts w:ascii="Arial" w:hAnsi="Arial" w:cs="Arial"/>
                <w:sz w:val="18"/>
              </w:rPr>
              <w:t>200</w:t>
            </w:r>
          </w:p>
        </w:tc>
        <w:tc>
          <w:tcPr>
            <w:tcW w:w="902"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.25</w:t>
            </w:r>
          </w:p>
        </w:tc>
        <w:tc>
          <w:tcPr>
            <w:tcW w:w="81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50</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$2,350 </w:t>
            </w:r>
          </w:p>
        </w:tc>
      </w:tr>
      <w:tr w:rsidR="00B10464" w:rsidRPr="00B10464" w:rsidTr="00FA0B9D">
        <w:tc>
          <w:tcPr>
            <w:tcW w:w="808" w:type="dxa"/>
            <w:vAlign w:val="center"/>
          </w:tcPr>
          <w:p w:rsidR="00ED1182" w:rsidRPr="00B10464" w:rsidRDefault="00720ECB" w:rsidP="00E30010">
            <w:pPr>
              <w:tabs>
                <w:tab w:val="left" w:pos="-90"/>
              </w:tabs>
              <w:jc w:val="center"/>
              <w:rPr>
                <w:rFonts w:ascii="Arial" w:hAnsi="Arial" w:cs="Arial"/>
                <w:sz w:val="18"/>
              </w:rPr>
            </w:pPr>
            <w:r w:rsidRPr="00B10464">
              <w:rPr>
                <w:rFonts w:ascii="Arial" w:hAnsi="Arial" w:cs="Arial"/>
                <w:sz w:val="18"/>
              </w:rPr>
              <w:t>K</w:t>
            </w:r>
          </w:p>
        </w:tc>
        <w:tc>
          <w:tcPr>
            <w:tcW w:w="3330" w:type="dxa"/>
            <w:vAlign w:val="center"/>
          </w:tcPr>
          <w:p w:rsidR="00ED1182" w:rsidRPr="00B10464" w:rsidRDefault="00ED1182" w:rsidP="00754BED">
            <w:pPr>
              <w:tabs>
                <w:tab w:val="left" w:pos="-90"/>
              </w:tabs>
              <w:rPr>
                <w:rFonts w:ascii="Arial" w:hAnsi="Arial" w:cs="Arial"/>
                <w:sz w:val="18"/>
                <w:szCs w:val="18"/>
              </w:rPr>
            </w:pPr>
            <w:r w:rsidRPr="00B10464">
              <w:rPr>
                <w:rFonts w:ascii="Arial" w:hAnsi="Arial" w:cs="Arial"/>
                <w:noProof/>
                <w:sz w:val="18"/>
                <w:szCs w:val="18"/>
              </w:rPr>
              <w:t>Online Business Changes of a Lender</w:t>
            </w:r>
            <w:r w:rsidRPr="00B10464">
              <w:rPr>
                <w:rFonts w:ascii="Arial" w:hAnsi="Arial" w:cs="Arial"/>
                <w:sz w:val="18"/>
                <w:szCs w:val="18"/>
              </w:rPr>
              <w:t xml:space="preserve"> </w:t>
            </w:r>
          </w:p>
        </w:tc>
        <w:tc>
          <w:tcPr>
            <w:tcW w:w="990" w:type="dxa"/>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 </w:t>
            </w:r>
          </w:p>
        </w:tc>
        <w:tc>
          <w:tcPr>
            <w:tcW w:w="810" w:type="dxa"/>
            <w:vAlign w:val="bottom"/>
          </w:tcPr>
          <w:p w:rsidR="00ED1182" w:rsidRPr="00B10464" w:rsidRDefault="00ED1182" w:rsidP="00F22EED">
            <w:pPr>
              <w:tabs>
                <w:tab w:val="left" w:pos="-90"/>
              </w:tabs>
              <w:jc w:val="right"/>
              <w:rPr>
                <w:rFonts w:ascii="Arial" w:hAnsi="Arial" w:cs="Arial"/>
                <w:sz w:val="18"/>
                <w:szCs w:val="18"/>
              </w:rPr>
            </w:pPr>
            <w:r w:rsidRPr="00B10464">
              <w:rPr>
                <w:rFonts w:ascii="Arial" w:hAnsi="Arial" w:cs="Arial"/>
                <w:sz w:val="18"/>
              </w:rPr>
              <w:t>1,000</w:t>
            </w:r>
          </w:p>
        </w:tc>
        <w:tc>
          <w:tcPr>
            <w:tcW w:w="902"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.25</w:t>
            </w:r>
          </w:p>
        </w:tc>
        <w:tc>
          <w:tcPr>
            <w:tcW w:w="81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250</w:t>
            </w:r>
          </w:p>
        </w:tc>
        <w:tc>
          <w:tcPr>
            <w:tcW w:w="630" w:type="dxa"/>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$11,750 </w:t>
            </w:r>
          </w:p>
        </w:tc>
      </w:tr>
      <w:tr w:rsidR="00B10464" w:rsidRPr="00B10464" w:rsidTr="00FA0B9D">
        <w:tc>
          <w:tcPr>
            <w:tcW w:w="808" w:type="dxa"/>
            <w:tcBorders>
              <w:bottom w:val="single" w:sz="4" w:space="0" w:color="auto"/>
            </w:tcBorders>
            <w:vAlign w:val="center"/>
          </w:tcPr>
          <w:p w:rsidR="00ED1182" w:rsidRPr="00B10464" w:rsidRDefault="00720ECB" w:rsidP="00E30010">
            <w:pPr>
              <w:tabs>
                <w:tab w:val="left" w:pos="-90"/>
              </w:tabs>
              <w:jc w:val="center"/>
              <w:rPr>
                <w:rFonts w:ascii="Arial" w:hAnsi="Arial" w:cs="Arial"/>
                <w:sz w:val="18"/>
              </w:rPr>
            </w:pPr>
            <w:r w:rsidRPr="00B10464">
              <w:rPr>
                <w:rFonts w:ascii="Arial" w:hAnsi="Arial" w:cs="Arial"/>
                <w:sz w:val="18"/>
              </w:rPr>
              <w:t>L</w:t>
            </w:r>
          </w:p>
        </w:tc>
        <w:tc>
          <w:tcPr>
            <w:tcW w:w="3330" w:type="dxa"/>
            <w:tcBorders>
              <w:bottom w:val="single" w:sz="4" w:space="0" w:color="auto"/>
            </w:tcBorders>
            <w:vAlign w:val="center"/>
          </w:tcPr>
          <w:p w:rsidR="00ED1182" w:rsidRPr="00B10464" w:rsidRDefault="00ED1182" w:rsidP="00754BED">
            <w:pPr>
              <w:tabs>
                <w:tab w:val="left" w:pos="-90"/>
              </w:tabs>
              <w:rPr>
                <w:rFonts w:ascii="Arial" w:hAnsi="Arial" w:cs="Arial"/>
                <w:sz w:val="18"/>
                <w:szCs w:val="18"/>
              </w:rPr>
            </w:pPr>
            <w:r w:rsidRPr="00B10464">
              <w:rPr>
                <w:rFonts w:ascii="Arial" w:hAnsi="Arial" w:cs="Arial"/>
                <w:noProof/>
                <w:sz w:val="18"/>
                <w:szCs w:val="18"/>
              </w:rPr>
              <w:t>Non- Online Business Changes of a Lender</w:t>
            </w:r>
            <w:r w:rsidRPr="00B10464">
              <w:rPr>
                <w:rFonts w:ascii="Arial" w:hAnsi="Arial" w:cs="Arial"/>
                <w:sz w:val="18"/>
                <w:szCs w:val="18"/>
              </w:rPr>
              <w:t xml:space="preserve"> </w:t>
            </w:r>
          </w:p>
        </w:tc>
        <w:tc>
          <w:tcPr>
            <w:tcW w:w="99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 </w:t>
            </w:r>
          </w:p>
        </w:tc>
        <w:tc>
          <w:tcPr>
            <w:tcW w:w="810" w:type="dxa"/>
            <w:tcBorders>
              <w:bottom w:val="single" w:sz="4" w:space="0" w:color="auto"/>
            </w:tcBorders>
            <w:vAlign w:val="bottom"/>
          </w:tcPr>
          <w:p w:rsidR="00ED1182" w:rsidRPr="00B10464" w:rsidRDefault="00ED1182" w:rsidP="00F22EED">
            <w:pPr>
              <w:tabs>
                <w:tab w:val="left" w:pos="-90"/>
              </w:tabs>
              <w:jc w:val="right"/>
              <w:rPr>
                <w:rFonts w:ascii="Arial" w:hAnsi="Arial" w:cs="Arial"/>
                <w:sz w:val="18"/>
                <w:szCs w:val="18"/>
              </w:rPr>
            </w:pPr>
            <w:r w:rsidRPr="00B10464">
              <w:rPr>
                <w:rFonts w:ascii="Arial" w:hAnsi="Arial" w:cs="Arial"/>
                <w:sz w:val="18"/>
              </w:rPr>
              <w:t>500</w:t>
            </w:r>
          </w:p>
        </w:tc>
        <w:tc>
          <w:tcPr>
            <w:tcW w:w="902" w:type="dxa"/>
            <w:tcBorders>
              <w:bottom w:val="single" w:sz="4" w:space="0" w:color="auto"/>
            </w:tcBorders>
            <w:vAlign w:val="bottom"/>
          </w:tcPr>
          <w:p w:rsidR="00ED1182" w:rsidRPr="00B10464" w:rsidRDefault="00ED1182" w:rsidP="0016389D">
            <w:pPr>
              <w:tabs>
                <w:tab w:val="left" w:pos="-90"/>
              </w:tabs>
              <w:jc w:val="right"/>
              <w:rPr>
                <w:rFonts w:ascii="Arial" w:hAnsi="Arial" w:cs="Arial"/>
                <w:sz w:val="18"/>
                <w:szCs w:val="18"/>
              </w:rPr>
            </w:pPr>
            <w:r w:rsidRPr="00B10464">
              <w:rPr>
                <w:rFonts w:ascii="Arial" w:hAnsi="Arial" w:cs="Arial"/>
                <w:sz w:val="18"/>
              </w:rPr>
              <w:t>1.00</w:t>
            </w:r>
          </w:p>
        </w:tc>
        <w:tc>
          <w:tcPr>
            <w:tcW w:w="81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500</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rPr>
              <w:t xml:space="preserve">$47 </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$23,500 </w:t>
            </w:r>
          </w:p>
        </w:tc>
      </w:tr>
      <w:tr w:rsidR="00B10464" w:rsidRPr="00B10464" w:rsidTr="00FA0B9D">
        <w:tc>
          <w:tcPr>
            <w:tcW w:w="808" w:type="dxa"/>
            <w:tcBorders>
              <w:bottom w:val="single" w:sz="4" w:space="0" w:color="auto"/>
            </w:tcBorders>
            <w:vAlign w:val="center"/>
          </w:tcPr>
          <w:p w:rsidR="00ED1182" w:rsidRPr="00B10464" w:rsidRDefault="00720ECB" w:rsidP="00E30010">
            <w:pPr>
              <w:tabs>
                <w:tab w:val="left" w:pos="-90"/>
              </w:tabs>
              <w:jc w:val="center"/>
              <w:rPr>
                <w:rFonts w:ascii="Arial" w:hAnsi="Arial" w:cs="Arial"/>
                <w:sz w:val="18"/>
              </w:rPr>
            </w:pPr>
            <w:r w:rsidRPr="00B10464">
              <w:rPr>
                <w:rFonts w:ascii="Arial" w:hAnsi="Arial" w:cs="Arial"/>
                <w:sz w:val="18"/>
              </w:rPr>
              <w:t>M</w:t>
            </w:r>
          </w:p>
        </w:tc>
        <w:tc>
          <w:tcPr>
            <w:tcW w:w="3330" w:type="dxa"/>
            <w:tcBorders>
              <w:bottom w:val="single" w:sz="4" w:space="0" w:color="auto"/>
            </w:tcBorders>
            <w:vAlign w:val="center"/>
          </w:tcPr>
          <w:p w:rsidR="00ED1182" w:rsidRPr="00B10464" w:rsidRDefault="00ED1182" w:rsidP="00754BED">
            <w:pPr>
              <w:tabs>
                <w:tab w:val="left" w:pos="-90"/>
              </w:tabs>
              <w:rPr>
                <w:rFonts w:ascii="Arial" w:hAnsi="Arial" w:cs="Arial"/>
                <w:noProof/>
                <w:sz w:val="18"/>
                <w:szCs w:val="18"/>
              </w:rPr>
            </w:pPr>
            <w:r w:rsidRPr="00B10464">
              <w:rPr>
                <w:rFonts w:ascii="Arial" w:hAnsi="Arial" w:cs="Arial"/>
                <w:noProof/>
                <w:sz w:val="18"/>
                <w:szCs w:val="18"/>
              </w:rPr>
              <w:t xml:space="preserve">Non-online Declaration of Trust </w:t>
            </w:r>
          </w:p>
        </w:tc>
        <w:tc>
          <w:tcPr>
            <w:tcW w:w="99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p>
        </w:tc>
        <w:tc>
          <w:tcPr>
            <w:tcW w:w="81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3</w:t>
            </w:r>
          </w:p>
        </w:tc>
        <w:tc>
          <w:tcPr>
            <w:tcW w:w="902" w:type="dxa"/>
            <w:tcBorders>
              <w:bottom w:val="single" w:sz="4" w:space="0" w:color="auto"/>
            </w:tcBorders>
            <w:vAlign w:val="bottom"/>
          </w:tcPr>
          <w:p w:rsidR="00ED1182" w:rsidRPr="00B10464" w:rsidRDefault="00ED1182" w:rsidP="0014379B">
            <w:pPr>
              <w:tabs>
                <w:tab w:val="left" w:pos="-90"/>
              </w:tabs>
              <w:jc w:val="right"/>
              <w:rPr>
                <w:rFonts w:ascii="Arial" w:hAnsi="Arial" w:cs="Arial"/>
                <w:sz w:val="18"/>
              </w:rPr>
            </w:pPr>
            <w:r w:rsidRPr="00B10464">
              <w:rPr>
                <w:rFonts w:ascii="Arial" w:hAnsi="Arial" w:cs="Arial"/>
                <w:sz w:val="18"/>
              </w:rPr>
              <w:t>5.00</w:t>
            </w:r>
          </w:p>
        </w:tc>
        <w:tc>
          <w:tcPr>
            <w:tcW w:w="81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szCs w:val="18"/>
              </w:rPr>
            </w:pPr>
            <w:r w:rsidRPr="00B10464">
              <w:rPr>
                <w:rFonts w:ascii="Arial" w:hAnsi="Arial" w:cs="Arial"/>
                <w:sz w:val="18"/>
                <w:szCs w:val="18"/>
              </w:rPr>
              <w:t>15</w:t>
            </w:r>
          </w:p>
        </w:tc>
        <w:tc>
          <w:tcPr>
            <w:tcW w:w="630" w:type="dxa"/>
            <w:tcBorders>
              <w:bottom w:val="single" w:sz="4" w:space="0" w:color="auto"/>
            </w:tcBorders>
            <w:vAlign w:val="bottom"/>
          </w:tcPr>
          <w:p w:rsidR="00ED1182" w:rsidRPr="00B10464" w:rsidRDefault="00ED1182" w:rsidP="009F1153">
            <w:pPr>
              <w:tabs>
                <w:tab w:val="left" w:pos="-90"/>
              </w:tabs>
              <w:jc w:val="right"/>
              <w:rPr>
                <w:rFonts w:ascii="Arial" w:hAnsi="Arial" w:cs="Arial"/>
                <w:sz w:val="18"/>
              </w:rPr>
            </w:pPr>
            <w:r w:rsidRPr="00B10464">
              <w:rPr>
                <w:rFonts w:ascii="Arial" w:hAnsi="Arial" w:cs="Arial"/>
                <w:sz w:val="18"/>
              </w:rPr>
              <w:t>$47</w:t>
            </w:r>
          </w:p>
        </w:tc>
        <w:tc>
          <w:tcPr>
            <w:tcW w:w="1170" w:type="dxa"/>
            <w:tcBorders>
              <w:bottom w:val="single" w:sz="4" w:space="0" w:color="auto"/>
            </w:tcBorders>
            <w:vAlign w:val="bottom"/>
          </w:tcPr>
          <w:p w:rsidR="00ED1182" w:rsidRPr="00B10464" w:rsidRDefault="00ED1182">
            <w:pPr>
              <w:jc w:val="right"/>
              <w:rPr>
                <w:rFonts w:ascii="Arial" w:hAnsi="Arial" w:cs="Arial"/>
                <w:sz w:val="18"/>
                <w:szCs w:val="18"/>
              </w:rPr>
            </w:pPr>
            <w:r w:rsidRPr="00B10464">
              <w:rPr>
                <w:rFonts w:ascii="Arial" w:hAnsi="Arial" w:cs="Arial"/>
                <w:sz w:val="18"/>
                <w:szCs w:val="18"/>
              </w:rPr>
              <w:t xml:space="preserve">$705 </w:t>
            </w:r>
          </w:p>
        </w:tc>
      </w:tr>
      <w:tr w:rsidR="00B10464" w:rsidRPr="00B10464" w:rsidTr="00F20DA6">
        <w:tc>
          <w:tcPr>
            <w:tcW w:w="808" w:type="dxa"/>
            <w:tcBorders>
              <w:top w:val="single" w:sz="4" w:space="0" w:color="auto"/>
              <w:left w:val="single" w:sz="4" w:space="0" w:color="auto"/>
              <w:bottom w:val="single" w:sz="4" w:space="0" w:color="auto"/>
              <w:right w:val="single" w:sz="4" w:space="0" w:color="auto"/>
            </w:tcBorders>
            <w:vAlign w:val="center"/>
          </w:tcPr>
          <w:p w:rsidR="00720ECB" w:rsidRPr="00B10464" w:rsidRDefault="00720ECB" w:rsidP="00F20DA6">
            <w:pPr>
              <w:tabs>
                <w:tab w:val="left" w:pos="-90"/>
              </w:tabs>
              <w:jc w:val="center"/>
              <w:rPr>
                <w:rFonts w:ascii="Arial" w:hAnsi="Arial" w:cs="Arial"/>
                <w:sz w:val="18"/>
              </w:rPr>
            </w:pPr>
            <w:r w:rsidRPr="00B10464">
              <w:rPr>
                <w:rFonts w:ascii="Arial" w:hAnsi="Arial" w:cs="Arial"/>
                <w:sz w:val="18"/>
              </w:rPr>
              <w:t>N</w:t>
            </w:r>
          </w:p>
        </w:tc>
        <w:tc>
          <w:tcPr>
            <w:tcW w:w="3330" w:type="dxa"/>
            <w:tcBorders>
              <w:top w:val="single" w:sz="4" w:space="0" w:color="auto"/>
              <w:left w:val="single" w:sz="4" w:space="0" w:color="auto"/>
              <w:bottom w:val="single" w:sz="4" w:space="0" w:color="auto"/>
              <w:right w:val="single" w:sz="4" w:space="0" w:color="auto"/>
            </w:tcBorders>
            <w:vAlign w:val="center"/>
          </w:tcPr>
          <w:p w:rsidR="00720ECB" w:rsidRPr="00B10464" w:rsidRDefault="00720ECB" w:rsidP="00F20DA6">
            <w:pPr>
              <w:tabs>
                <w:tab w:val="left" w:pos="-90"/>
              </w:tabs>
              <w:rPr>
                <w:rFonts w:ascii="Arial" w:hAnsi="Arial" w:cs="Arial"/>
                <w:sz w:val="18"/>
              </w:rPr>
            </w:pPr>
            <w:r w:rsidRPr="00B10464">
              <w:rPr>
                <w:rFonts w:ascii="Arial" w:hAnsi="Arial" w:cs="Arial"/>
                <w:sz w:val="18"/>
              </w:rPr>
              <w:t xml:space="preserve">Non-online Submission of HUD-92001-C Reporting of Title I Loan  Non-Compliance </w:t>
            </w:r>
          </w:p>
        </w:tc>
        <w:tc>
          <w:tcPr>
            <w:tcW w:w="99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 0</w:t>
            </w:r>
          </w:p>
        </w:tc>
        <w:tc>
          <w:tcPr>
            <w:tcW w:w="81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0</w:t>
            </w:r>
          </w:p>
        </w:tc>
        <w:tc>
          <w:tcPr>
            <w:tcW w:w="902"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1.00</w:t>
            </w:r>
          </w:p>
        </w:tc>
        <w:tc>
          <w:tcPr>
            <w:tcW w:w="81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szCs w:val="18"/>
              </w:rPr>
            </w:pPr>
            <w:r w:rsidRPr="00B10464">
              <w:rPr>
                <w:rFonts w:ascii="Arial" w:hAnsi="Arial" w:cs="Arial"/>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 xml:space="preserve">$23 </w:t>
            </w:r>
          </w:p>
        </w:tc>
        <w:tc>
          <w:tcPr>
            <w:tcW w:w="117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jc w:val="right"/>
              <w:rPr>
                <w:rFonts w:ascii="Arial" w:hAnsi="Arial" w:cs="Arial"/>
                <w:sz w:val="18"/>
                <w:szCs w:val="18"/>
              </w:rPr>
            </w:pPr>
            <w:r w:rsidRPr="00B10464">
              <w:rPr>
                <w:rFonts w:ascii="Arial" w:hAnsi="Arial" w:cs="Arial"/>
                <w:sz w:val="18"/>
                <w:szCs w:val="18"/>
              </w:rPr>
              <w:t xml:space="preserve">$0 </w:t>
            </w:r>
          </w:p>
        </w:tc>
      </w:tr>
      <w:tr w:rsidR="00B10464" w:rsidRPr="00B10464" w:rsidTr="00F20DA6">
        <w:tc>
          <w:tcPr>
            <w:tcW w:w="808" w:type="dxa"/>
            <w:tcBorders>
              <w:top w:val="single" w:sz="4" w:space="0" w:color="auto"/>
              <w:left w:val="single" w:sz="4" w:space="0" w:color="auto"/>
              <w:bottom w:val="single" w:sz="4" w:space="0" w:color="auto"/>
              <w:right w:val="single" w:sz="4" w:space="0" w:color="auto"/>
            </w:tcBorders>
            <w:vAlign w:val="center"/>
          </w:tcPr>
          <w:p w:rsidR="00720ECB" w:rsidRPr="00B10464" w:rsidRDefault="00720ECB" w:rsidP="00F20DA6">
            <w:pPr>
              <w:tabs>
                <w:tab w:val="left" w:pos="-90"/>
              </w:tabs>
              <w:jc w:val="center"/>
              <w:rPr>
                <w:rFonts w:ascii="Arial" w:hAnsi="Arial" w:cs="Arial"/>
                <w:sz w:val="18"/>
              </w:rPr>
            </w:pPr>
            <w:r w:rsidRPr="00B10464">
              <w:rPr>
                <w:rFonts w:ascii="Arial" w:hAnsi="Arial" w:cs="Arial"/>
                <w:sz w:val="18"/>
              </w:rPr>
              <w:t>O</w:t>
            </w:r>
          </w:p>
        </w:tc>
        <w:tc>
          <w:tcPr>
            <w:tcW w:w="3330" w:type="dxa"/>
            <w:tcBorders>
              <w:top w:val="single" w:sz="4" w:space="0" w:color="auto"/>
              <w:left w:val="single" w:sz="4" w:space="0" w:color="auto"/>
              <w:bottom w:val="single" w:sz="4" w:space="0" w:color="auto"/>
              <w:right w:val="single" w:sz="4" w:space="0" w:color="auto"/>
            </w:tcBorders>
            <w:vAlign w:val="center"/>
          </w:tcPr>
          <w:p w:rsidR="00720ECB" w:rsidRPr="00B10464" w:rsidRDefault="00720ECB" w:rsidP="00F20DA6">
            <w:pPr>
              <w:tabs>
                <w:tab w:val="left" w:pos="-90"/>
              </w:tabs>
              <w:rPr>
                <w:rFonts w:ascii="Arial" w:hAnsi="Arial" w:cs="Arial"/>
                <w:sz w:val="18"/>
              </w:rPr>
            </w:pPr>
            <w:r w:rsidRPr="00B10464">
              <w:rPr>
                <w:rFonts w:ascii="Arial" w:hAnsi="Arial" w:cs="Arial"/>
                <w:sz w:val="18"/>
              </w:rPr>
              <w:t>Online Submission of Reporting of Title II Loan Non-Compliance</w:t>
            </w:r>
          </w:p>
        </w:tc>
        <w:tc>
          <w:tcPr>
            <w:tcW w:w="99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106 </w:t>
            </w:r>
          </w:p>
        </w:tc>
        <w:tc>
          <w:tcPr>
            <w:tcW w:w="81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2,079</w:t>
            </w:r>
          </w:p>
        </w:tc>
        <w:tc>
          <w:tcPr>
            <w:tcW w:w="902"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.25</w:t>
            </w:r>
          </w:p>
        </w:tc>
        <w:tc>
          <w:tcPr>
            <w:tcW w:w="81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szCs w:val="18"/>
              </w:rPr>
            </w:pPr>
            <w:r w:rsidRPr="00B10464">
              <w:rPr>
                <w:rFonts w:ascii="Arial" w:hAnsi="Arial" w:cs="Arial"/>
                <w:sz w:val="18"/>
                <w:szCs w:val="18"/>
              </w:rPr>
              <w:t>520</w:t>
            </w:r>
          </w:p>
        </w:tc>
        <w:tc>
          <w:tcPr>
            <w:tcW w:w="63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 xml:space="preserve">$23 </w:t>
            </w:r>
          </w:p>
        </w:tc>
        <w:tc>
          <w:tcPr>
            <w:tcW w:w="117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jc w:val="right"/>
              <w:rPr>
                <w:rFonts w:ascii="Arial" w:hAnsi="Arial" w:cs="Arial"/>
                <w:sz w:val="18"/>
                <w:szCs w:val="18"/>
              </w:rPr>
            </w:pPr>
            <w:r w:rsidRPr="00B10464">
              <w:rPr>
                <w:rFonts w:ascii="Arial" w:hAnsi="Arial" w:cs="Arial"/>
                <w:sz w:val="18"/>
                <w:szCs w:val="18"/>
              </w:rPr>
              <w:t xml:space="preserve">$11,954 </w:t>
            </w:r>
          </w:p>
        </w:tc>
      </w:tr>
      <w:tr w:rsidR="00B10464" w:rsidRPr="00B10464" w:rsidTr="00F20DA6">
        <w:tc>
          <w:tcPr>
            <w:tcW w:w="808" w:type="dxa"/>
            <w:tcBorders>
              <w:top w:val="single" w:sz="4" w:space="0" w:color="auto"/>
              <w:left w:val="single" w:sz="4" w:space="0" w:color="auto"/>
              <w:bottom w:val="single" w:sz="4" w:space="0" w:color="auto"/>
              <w:right w:val="single" w:sz="4" w:space="0" w:color="auto"/>
            </w:tcBorders>
            <w:vAlign w:val="center"/>
          </w:tcPr>
          <w:p w:rsidR="00720ECB" w:rsidRPr="00B10464" w:rsidRDefault="00720ECB" w:rsidP="00F20DA6">
            <w:pPr>
              <w:tabs>
                <w:tab w:val="left" w:pos="-90"/>
              </w:tabs>
              <w:jc w:val="center"/>
              <w:rPr>
                <w:rFonts w:ascii="Arial" w:hAnsi="Arial" w:cs="Arial"/>
                <w:sz w:val="18"/>
              </w:rPr>
            </w:pPr>
            <w:r w:rsidRPr="00B10464">
              <w:rPr>
                <w:rFonts w:ascii="Arial" w:hAnsi="Arial" w:cs="Arial"/>
                <w:sz w:val="18"/>
              </w:rPr>
              <w:t>P</w:t>
            </w:r>
          </w:p>
        </w:tc>
        <w:tc>
          <w:tcPr>
            <w:tcW w:w="3330" w:type="dxa"/>
            <w:tcBorders>
              <w:top w:val="single" w:sz="4" w:space="0" w:color="auto"/>
              <w:left w:val="single" w:sz="4" w:space="0" w:color="auto"/>
              <w:bottom w:val="single" w:sz="4" w:space="0" w:color="auto"/>
              <w:right w:val="single" w:sz="4" w:space="0" w:color="auto"/>
            </w:tcBorders>
            <w:vAlign w:val="center"/>
          </w:tcPr>
          <w:p w:rsidR="00720ECB" w:rsidRPr="00B10464" w:rsidRDefault="00720ECB" w:rsidP="00F20DA6">
            <w:pPr>
              <w:tabs>
                <w:tab w:val="left" w:pos="-90"/>
              </w:tabs>
              <w:rPr>
                <w:rFonts w:ascii="Arial" w:hAnsi="Arial" w:cs="Arial"/>
                <w:noProof/>
                <w:sz w:val="18"/>
                <w:szCs w:val="18"/>
              </w:rPr>
            </w:pPr>
            <w:r w:rsidRPr="00B10464">
              <w:rPr>
                <w:rFonts w:ascii="Arial" w:hAnsi="Arial" w:cs="Arial"/>
                <w:noProof/>
                <w:sz w:val="18"/>
                <w:szCs w:val="18"/>
              </w:rPr>
              <w:t>Non-online Credit Watch Termination Reinstatement Requests</w:t>
            </w:r>
          </w:p>
        </w:tc>
        <w:tc>
          <w:tcPr>
            <w:tcW w:w="99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5 </w:t>
            </w:r>
          </w:p>
        </w:tc>
        <w:tc>
          <w:tcPr>
            <w:tcW w:w="81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5</w:t>
            </w:r>
          </w:p>
        </w:tc>
        <w:tc>
          <w:tcPr>
            <w:tcW w:w="902"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8.00</w:t>
            </w:r>
          </w:p>
        </w:tc>
        <w:tc>
          <w:tcPr>
            <w:tcW w:w="81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szCs w:val="18"/>
              </w:rPr>
            </w:pPr>
            <w:r w:rsidRPr="00B10464">
              <w:rPr>
                <w:rFonts w:ascii="Arial" w:hAnsi="Arial" w:cs="Arial"/>
                <w:sz w:val="18"/>
                <w:szCs w:val="18"/>
              </w:rPr>
              <w:t>40</w:t>
            </w:r>
          </w:p>
        </w:tc>
        <w:tc>
          <w:tcPr>
            <w:tcW w:w="63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tabs>
                <w:tab w:val="left" w:pos="-90"/>
              </w:tabs>
              <w:jc w:val="right"/>
              <w:rPr>
                <w:rFonts w:ascii="Arial" w:hAnsi="Arial" w:cs="Arial"/>
                <w:sz w:val="18"/>
              </w:rPr>
            </w:pPr>
            <w:r w:rsidRPr="00B10464">
              <w:rPr>
                <w:rFonts w:ascii="Arial" w:hAnsi="Arial" w:cs="Arial"/>
                <w:sz w:val="18"/>
              </w:rPr>
              <w:t xml:space="preserve">$23 </w:t>
            </w:r>
          </w:p>
        </w:tc>
        <w:tc>
          <w:tcPr>
            <w:tcW w:w="1170" w:type="dxa"/>
            <w:tcBorders>
              <w:top w:val="single" w:sz="4" w:space="0" w:color="auto"/>
              <w:left w:val="single" w:sz="4" w:space="0" w:color="auto"/>
              <w:bottom w:val="single" w:sz="4" w:space="0" w:color="auto"/>
              <w:right w:val="single" w:sz="4" w:space="0" w:color="auto"/>
            </w:tcBorders>
            <w:vAlign w:val="bottom"/>
          </w:tcPr>
          <w:p w:rsidR="00720ECB" w:rsidRPr="00B10464" w:rsidRDefault="00720ECB" w:rsidP="00F20DA6">
            <w:pPr>
              <w:jc w:val="right"/>
              <w:rPr>
                <w:rFonts w:ascii="Arial" w:hAnsi="Arial" w:cs="Arial"/>
                <w:sz w:val="18"/>
                <w:szCs w:val="18"/>
              </w:rPr>
            </w:pPr>
            <w:r w:rsidRPr="00B10464">
              <w:rPr>
                <w:rFonts w:ascii="Arial" w:hAnsi="Arial" w:cs="Arial"/>
                <w:sz w:val="18"/>
                <w:szCs w:val="18"/>
              </w:rPr>
              <w:t xml:space="preserve">$920 </w:t>
            </w:r>
          </w:p>
        </w:tc>
      </w:tr>
      <w:tr w:rsidR="00B10464" w:rsidRPr="00B10464" w:rsidTr="00FA0B9D">
        <w:tc>
          <w:tcPr>
            <w:tcW w:w="808" w:type="dxa"/>
            <w:vAlign w:val="center"/>
          </w:tcPr>
          <w:p w:rsidR="00ED1182" w:rsidRPr="00B10464" w:rsidRDefault="00ED1182" w:rsidP="009F1153">
            <w:pPr>
              <w:tabs>
                <w:tab w:val="left" w:pos="-90"/>
              </w:tabs>
              <w:jc w:val="center"/>
              <w:rPr>
                <w:rFonts w:ascii="Arial" w:hAnsi="Arial" w:cs="Arial"/>
                <w:b/>
                <w:bCs/>
                <w:sz w:val="18"/>
              </w:rPr>
            </w:pPr>
            <w:r w:rsidRPr="00B10464">
              <w:rPr>
                <w:rFonts w:ascii="Arial" w:hAnsi="Arial" w:cs="Arial"/>
                <w:b/>
                <w:bCs/>
                <w:sz w:val="18"/>
              </w:rPr>
              <w:t>Totals</w:t>
            </w:r>
          </w:p>
        </w:tc>
        <w:tc>
          <w:tcPr>
            <w:tcW w:w="3330" w:type="dxa"/>
            <w:vAlign w:val="center"/>
          </w:tcPr>
          <w:p w:rsidR="00ED1182" w:rsidRPr="00B10464" w:rsidRDefault="00ED1182" w:rsidP="009F1153">
            <w:pPr>
              <w:tabs>
                <w:tab w:val="left" w:pos="-90"/>
              </w:tabs>
              <w:jc w:val="center"/>
              <w:rPr>
                <w:rFonts w:ascii="Arial" w:hAnsi="Arial" w:cs="Arial"/>
                <w:b/>
                <w:bCs/>
                <w:sz w:val="18"/>
              </w:rPr>
            </w:pPr>
          </w:p>
        </w:tc>
        <w:tc>
          <w:tcPr>
            <w:tcW w:w="990" w:type="dxa"/>
            <w:vAlign w:val="bottom"/>
          </w:tcPr>
          <w:p w:rsidR="00ED1182" w:rsidRPr="00B10464" w:rsidRDefault="00FA0B9D" w:rsidP="00F22EED">
            <w:pPr>
              <w:tabs>
                <w:tab w:val="left" w:pos="-90"/>
              </w:tabs>
              <w:rPr>
                <w:rFonts w:ascii="Arial" w:hAnsi="Arial" w:cs="Arial"/>
                <w:b/>
                <w:bCs/>
                <w:sz w:val="18"/>
              </w:rPr>
            </w:pPr>
            <w:r w:rsidRPr="00B10464">
              <w:rPr>
                <w:rFonts w:ascii="Arial" w:hAnsi="Arial" w:cs="Arial"/>
                <w:b/>
                <w:bCs/>
                <w:sz w:val="18"/>
              </w:rPr>
              <w:t>3,851</w:t>
            </w:r>
          </w:p>
        </w:tc>
        <w:tc>
          <w:tcPr>
            <w:tcW w:w="810" w:type="dxa"/>
            <w:vAlign w:val="bottom"/>
          </w:tcPr>
          <w:p w:rsidR="00ED1182" w:rsidRPr="00B10464" w:rsidRDefault="00712B5D" w:rsidP="0014379B">
            <w:pPr>
              <w:tabs>
                <w:tab w:val="left" w:pos="-90"/>
              </w:tabs>
              <w:jc w:val="right"/>
              <w:rPr>
                <w:rFonts w:ascii="Arial" w:hAnsi="Arial" w:cs="Arial"/>
                <w:b/>
                <w:bCs/>
                <w:sz w:val="18"/>
                <w:szCs w:val="18"/>
              </w:rPr>
            </w:pPr>
            <w:r w:rsidRPr="00B10464">
              <w:rPr>
                <w:rFonts w:ascii="Arial" w:hAnsi="Arial" w:cs="Arial"/>
                <w:b/>
                <w:bCs/>
                <w:sz w:val="18"/>
                <w:szCs w:val="18"/>
              </w:rPr>
              <w:fldChar w:fldCharType="begin"/>
            </w:r>
            <w:r w:rsidRPr="00B10464">
              <w:rPr>
                <w:rFonts w:ascii="Arial" w:hAnsi="Arial" w:cs="Arial"/>
                <w:b/>
                <w:bCs/>
                <w:sz w:val="18"/>
                <w:szCs w:val="18"/>
              </w:rPr>
              <w:instrText xml:space="preserve"> =SUM(ABOVE) </w:instrText>
            </w:r>
            <w:r w:rsidRPr="00B10464">
              <w:rPr>
                <w:rFonts w:ascii="Arial" w:hAnsi="Arial" w:cs="Arial"/>
                <w:b/>
                <w:bCs/>
                <w:sz w:val="18"/>
                <w:szCs w:val="18"/>
              </w:rPr>
              <w:fldChar w:fldCharType="separate"/>
            </w:r>
            <w:r w:rsidRPr="00B10464">
              <w:rPr>
                <w:rFonts w:ascii="Arial" w:hAnsi="Arial" w:cs="Arial"/>
                <w:b/>
                <w:bCs/>
                <w:noProof/>
                <w:sz w:val="18"/>
                <w:szCs w:val="18"/>
              </w:rPr>
              <w:t>14,739</w:t>
            </w:r>
            <w:r w:rsidRPr="00B10464">
              <w:rPr>
                <w:rFonts w:ascii="Arial" w:hAnsi="Arial" w:cs="Arial"/>
                <w:b/>
                <w:bCs/>
                <w:sz w:val="18"/>
                <w:szCs w:val="18"/>
              </w:rPr>
              <w:fldChar w:fldCharType="end"/>
            </w:r>
          </w:p>
        </w:tc>
        <w:tc>
          <w:tcPr>
            <w:tcW w:w="902" w:type="dxa"/>
            <w:vAlign w:val="bottom"/>
          </w:tcPr>
          <w:p w:rsidR="00ED1182" w:rsidRPr="00B10464" w:rsidRDefault="00ED1182" w:rsidP="009F1153">
            <w:pPr>
              <w:pStyle w:val="Header"/>
              <w:tabs>
                <w:tab w:val="clear" w:pos="4320"/>
                <w:tab w:val="clear" w:pos="8640"/>
                <w:tab w:val="left" w:pos="-90"/>
              </w:tabs>
            </w:pPr>
          </w:p>
        </w:tc>
        <w:tc>
          <w:tcPr>
            <w:tcW w:w="810" w:type="dxa"/>
            <w:vAlign w:val="bottom"/>
          </w:tcPr>
          <w:p w:rsidR="00ED1182" w:rsidRPr="00B10464" w:rsidRDefault="00712B5D" w:rsidP="00FA0B9D">
            <w:pPr>
              <w:tabs>
                <w:tab w:val="left" w:pos="-90"/>
              </w:tabs>
              <w:jc w:val="right"/>
              <w:rPr>
                <w:rFonts w:ascii="Arial" w:hAnsi="Arial" w:cs="Arial"/>
                <w:b/>
                <w:bCs/>
                <w:sz w:val="18"/>
                <w:szCs w:val="18"/>
              </w:rPr>
            </w:pPr>
            <w:r w:rsidRPr="00B10464">
              <w:rPr>
                <w:rFonts w:ascii="Arial" w:hAnsi="Arial" w:cs="Arial"/>
                <w:b/>
                <w:bCs/>
                <w:sz w:val="18"/>
                <w:szCs w:val="18"/>
              </w:rPr>
              <w:fldChar w:fldCharType="begin"/>
            </w:r>
            <w:r w:rsidRPr="00B10464">
              <w:rPr>
                <w:rFonts w:ascii="Arial" w:hAnsi="Arial" w:cs="Arial"/>
                <w:b/>
                <w:bCs/>
                <w:sz w:val="18"/>
                <w:szCs w:val="18"/>
              </w:rPr>
              <w:instrText xml:space="preserve"> =SUM(ABOVE) </w:instrText>
            </w:r>
            <w:r w:rsidRPr="00B10464">
              <w:rPr>
                <w:rFonts w:ascii="Arial" w:hAnsi="Arial" w:cs="Arial"/>
                <w:b/>
                <w:bCs/>
                <w:sz w:val="18"/>
                <w:szCs w:val="18"/>
              </w:rPr>
              <w:fldChar w:fldCharType="separate"/>
            </w:r>
            <w:r w:rsidRPr="00B10464">
              <w:rPr>
                <w:rFonts w:ascii="Arial" w:hAnsi="Arial" w:cs="Arial"/>
                <w:b/>
                <w:bCs/>
                <w:noProof/>
                <w:sz w:val="18"/>
                <w:szCs w:val="18"/>
              </w:rPr>
              <w:t>13,155</w:t>
            </w:r>
            <w:r w:rsidRPr="00B10464">
              <w:rPr>
                <w:rFonts w:ascii="Arial" w:hAnsi="Arial" w:cs="Arial"/>
                <w:b/>
                <w:bCs/>
                <w:sz w:val="18"/>
                <w:szCs w:val="18"/>
              </w:rPr>
              <w:fldChar w:fldCharType="end"/>
            </w:r>
          </w:p>
        </w:tc>
        <w:tc>
          <w:tcPr>
            <w:tcW w:w="630" w:type="dxa"/>
            <w:vAlign w:val="bottom"/>
          </w:tcPr>
          <w:p w:rsidR="00ED1182" w:rsidRPr="00B10464" w:rsidRDefault="00FA0B9D" w:rsidP="00FA0B9D">
            <w:pPr>
              <w:tabs>
                <w:tab w:val="left" w:pos="-90"/>
              </w:tabs>
              <w:jc w:val="right"/>
              <w:rPr>
                <w:rFonts w:ascii="Arial" w:hAnsi="Arial" w:cs="Arial"/>
                <w:b/>
                <w:bCs/>
                <w:sz w:val="18"/>
                <w:szCs w:val="18"/>
              </w:rPr>
            </w:pPr>
            <w:r w:rsidRPr="00B10464">
              <w:rPr>
                <w:rFonts w:ascii="Arial" w:hAnsi="Arial" w:cs="Arial"/>
                <w:b/>
                <w:bCs/>
                <w:sz w:val="18"/>
              </w:rPr>
              <w:fldChar w:fldCharType="begin"/>
            </w:r>
            <w:r w:rsidRPr="00B10464">
              <w:rPr>
                <w:rFonts w:ascii="Arial" w:hAnsi="Arial" w:cs="Arial"/>
                <w:b/>
                <w:bCs/>
                <w:sz w:val="18"/>
              </w:rPr>
              <w:instrText xml:space="preserve"> =AVERAGE(above) </w:instrText>
            </w:r>
            <w:r w:rsidRPr="00B10464">
              <w:rPr>
                <w:rFonts w:ascii="Arial" w:hAnsi="Arial" w:cs="Arial"/>
                <w:b/>
                <w:bCs/>
                <w:sz w:val="18"/>
              </w:rPr>
              <w:fldChar w:fldCharType="separate"/>
            </w:r>
            <w:r w:rsidRPr="00B10464">
              <w:rPr>
                <w:rFonts w:ascii="Arial" w:hAnsi="Arial" w:cs="Arial"/>
                <w:b/>
                <w:bCs/>
                <w:noProof/>
                <w:sz w:val="18"/>
              </w:rPr>
              <w:t>$4</w:t>
            </w:r>
            <w:r w:rsidRPr="00B10464">
              <w:rPr>
                <w:rFonts w:ascii="Arial" w:hAnsi="Arial" w:cs="Arial"/>
                <w:b/>
                <w:bCs/>
                <w:sz w:val="18"/>
              </w:rPr>
              <w:fldChar w:fldCharType="end"/>
            </w:r>
            <w:r w:rsidRPr="00B10464">
              <w:rPr>
                <w:rFonts w:ascii="Arial" w:hAnsi="Arial" w:cs="Arial"/>
                <w:b/>
                <w:bCs/>
                <w:sz w:val="18"/>
              </w:rPr>
              <w:t>3</w:t>
            </w:r>
          </w:p>
        </w:tc>
        <w:tc>
          <w:tcPr>
            <w:tcW w:w="1170" w:type="dxa"/>
            <w:vAlign w:val="bottom"/>
          </w:tcPr>
          <w:p w:rsidR="00ED1182" w:rsidRPr="00B10464" w:rsidRDefault="00712B5D" w:rsidP="00FA0B9D">
            <w:pPr>
              <w:jc w:val="right"/>
              <w:rPr>
                <w:rFonts w:ascii="Arial" w:hAnsi="Arial" w:cs="Arial"/>
                <w:b/>
                <w:bCs/>
                <w:sz w:val="18"/>
                <w:szCs w:val="18"/>
              </w:rPr>
            </w:pPr>
            <w:r w:rsidRPr="00B10464">
              <w:rPr>
                <w:rFonts w:ascii="Arial" w:hAnsi="Arial" w:cs="Arial"/>
                <w:b/>
                <w:bCs/>
                <w:sz w:val="18"/>
              </w:rPr>
              <w:fldChar w:fldCharType="begin"/>
            </w:r>
            <w:r w:rsidRPr="00B10464">
              <w:rPr>
                <w:rFonts w:ascii="Arial" w:hAnsi="Arial" w:cs="Arial"/>
                <w:b/>
                <w:bCs/>
                <w:sz w:val="18"/>
              </w:rPr>
              <w:instrText xml:space="preserve"> =SUM(ABOVE) \# "$000,000" </w:instrText>
            </w:r>
            <w:r w:rsidRPr="00B10464">
              <w:rPr>
                <w:rFonts w:ascii="Arial" w:hAnsi="Arial" w:cs="Arial"/>
                <w:b/>
                <w:bCs/>
                <w:sz w:val="18"/>
              </w:rPr>
              <w:fldChar w:fldCharType="separate"/>
            </w:r>
            <w:r w:rsidRPr="00B10464">
              <w:rPr>
                <w:rFonts w:ascii="Arial" w:hAnsi="Arial" w:cs="Arial"/>
                <w:b/>
                <w:bCs/>
                <w:noProof/>
                <w:sz w:val="18"/>
              </w:rPr>
              <w:t>$610,479</w:t>
            </w:r>
            <w:r w:rsidRPr="00B10464">
              <w:rPr>
                <w:rFonts w:ascii="Arial" w:hAnsi="Arial" w:cs="Arial"/>
                <w:b/>
                <w:bCs/>
                <w:sz w:val="18"/>
              </w:rPr>
              <w:fldChar w:fldCharType="end"/>
            </w:r>
          </w:p>
        </w:tc>
      </w:tr>
    </w:tbl>
    <w:bookmarkEnd w:id="1"/>
    <w:p w:rsidR="00ED45D6" w:rsidRPr="00B10464" w:rsidRDefault="00ED45D6">
      <w:pPr>
        <w:pStyle w:val="BodyTextIndent3"/>
        <w:numPr>
          <w:ilvl w:val="0"/>
          <w:numId w:val="0"/>
        </w:numPr>
        <w:tabs>
          <w:tab w:val="clear" w:pos="360"/>
          <w:tab w:val="clear" w:pos="720"/>
        </w:tabs>
        <w:spacing w:before="120"/>
        <w:ind w:left="360"/>
        <w:rPr>
          <w:noProof w:val="0"/>
          <w:sz w:val="24"/>
          <w:szCs w:val="24"/>
        </w:rPr>
      </w:pPr>
      <w:r w:rsidRPr="00B10464">
        <w:rPr>
          <w:noProof w:val="0"/>
          <w:sz w:val="24"/>
          <w:szCs w:val="24"/>
        </w:rPr>
        <w:t>The estimated cost for the burden hours</w:t>
      </w:r>
      <w:r w:rsidR="00A82987" w:rsidRPr="00B10464">
        <w:rPr>
          <w:noProof w:val="0"/>
          <w:sz w:val="24"/>
          <w:szCs w:val="24"/>
        </w:rPr>
        <w:t xml:space="preserve"> in Items </w:t>
      </w:r>
      <w:r w:rsidR="00720ECB" w:rsidRPr="00B10464">
        <w:rPr>
          <w:noProof w:val="0"/>
          <w:sz w:val="24"/>
          <w:szCs w:val="24"/>
        </w:rPr>
        <w:t>A-M</w:t>
      </w:r>
      <w:r w:rsidRPr="00B10464">
        <w:rPr>
          <w:noProof w:val="0"/>
          <w:sz w:val="24"/>
          <w:szCs w:val="24"/>
        </w:rPr>
        <w:t xml:space="preserve"> is computed at $</w:t>
      </w:r>
      <w:r w:rsidR="006B0F9B" w:rsidRPr="00B10464">
        <w:rPr>
          <w:noProof w:val="0"/>
          <w:sz w:val="24"/>
          <w:szCs w:val="24"/>
        </w:rPr>
        <w:t>47</w:t>
      </w:r>
      <w:r w:rsidRPr="00B10464">
        <w:rPr>
          <w:noProof w:val="0"/>
          <w:sz w:val="24"/>
          <w:szCs w:val="24"/>
        </w:rPr>
        <w:t xml:space="preserve"> per hour.  Most of the information submissions are prepared by staff and are subsequently reviewed by management prior to submission.</w:t>
      </w:r>
    </w:p>
    <w:p w:rsidR="00A82987" w:rsidRPr="00B10464" w:rsidRDefault="00A82987" w:rsidP="00A82987">
      <w:pPr>
        <w:pStyle w:val="BodyTextIndent3"/>
        <w:spacing w:before="120"/>
        <w:rPr>
          <w:noProof w:val="0"/>
          <w:sz w:val="24"/>
          <w:szCs w:val="24"/>
        </w:rPr>
      </w:pPr>
      <w:r w:rsidRPr="00B10464">
        <w:rPr>
          <w:noProof w:val="0"/>
          <w:sz w:val="24"/>
          <w:szCs w:val="24"/>
        </w:rPr>
        <w:t>The Quality Assurance Division (QAD) did not receive any paper-based/non-online submissions of Title I Loan non-compliance during calendar year 2012 (</w:t>
      </w:r>
      <w:r w:rsidR="00720ECB" w:rsidRPr="00B10464">
        <w:rPr>
          <w:noProof w:val="0"/>
          <w:sz w:val="24"/>
          <w:szCs w:val="24"/>
        </w:rPr>
        <w:t>Item N</w:t>
      </w:r>
      <w:r w:rsidRPr="00B10464">
        <w:rPr>
          <w:noProof w:val="0"/>
          <w:sz w:val="24"/>
          <w:szCs w:val="24"/>
        </w:rPr>
        <w:t xml:space="preserve">: HUD-92001-C).  QAD has therefore estimated that the information collection burden for this item is $0.  </w:t>
      </w:r>
    </w:p>
    <w:p w:rsidR="00A82987" w:rsidRPr="00B10464" w:rsidRDefault="00A82987" w:rsidP="00A82987">
      <w:pPr>
        <w:pStyle w:val="BodyTextIndent3"/>
        <w:spacing w:before="120"/>
        <w:rPr>
          <w:noProof w:val="0"/>
          <w:sz w:val="24"/>
          <w:szCs w:val="24"/>
        </w:rPr>
      </w:pPr>
      <w:r w:rsidRPr="00B10464">
        <w:rPr>
          <w:noProof w:val="0"/>
          <w:sz w:val="24"/>
          <w:szCs w:val="24"/>
        </w:rPr>
        <w:t>During CY 2012 QAD received 2,079 self reports through the Neighborhood Watch Early Warning system (I</w:t>
      </w:r>
      <w:r w:rsidR="00720ECB" w:rsidRPr="00B10464">
        <w:rPr>
          <w:noProof w:val="0"/>
          <w:sz w:val="24"/>
          <w:szCs w:val="24"/>
        </w:rPr>
        <w:t>tem O</w:t>
      </w:r>
      <w:r w:rsidRPr="00B10464">
        <w:rPr>
          <w:noProof w:val="0"/>
          <w:sz w:val="24"/>
          <w:szCs w:val="24"/>
        </w:rPr>
        <w:t xml:space="preserve">: Online Submission of Reporting of Title II Loan Non-Compliance) from 106 FHA-approved </w:t>
      </w:r>
      <w:r w:rsidRPr="00B10464">
        <w:rPr>
          <w:noProof w:val="0"/>
          <w:sz w:val="24"/>
          <w:szCs w:val="24"/>
        </w:rPr>
        <w:lastRenderedPageBreak/>
        <w:t xml:space="preserve">lenders.   To determine the information collection burden for self reporting, QAD spoke with three lenders (Bank of America NA Charlotte, Wells Fargo Bank NA, and CitiMortgage Inc.) that submitted more than 55% of all self reports during CY 2012 (1,151 responses).  The respondents used the self report feature to submit Title II non-compliance reports on a weekly or monthly basis, depending on the frequency with which each institution conducted its quality control reviews of FHA-insured loans.  Time required </w:t>
      </w:r>
      <w:proofErr w:type="gramStart"/>
      <w:r w:rsidRPr="00B10464">
        <w:rPr>
          <w:noProof w:val="0"/>
          <w:sz w:val="24"/>
          <w:szCs w:val="24"/>
        </w:rPr>
        <w:t>to submit /edit</w:t>
      </w:r>
      <w:proofErr w:type="gramEnd"/>
      <w:r w:rsidRPr="00B10464">
        <w:rPr>
          <w:noProof w:val="0"/>
          <w:sz w:val="24"/>
          <w:szCs w:val="24"/>
        </w:rPr>
        <w:t xml:space="preserve"> a self report varied from a few minutes for a single case to several minutes longer for submissions involving multiple cases.  QAD therefore used 15 minutes or .25 hours as an approximate average reporting burden per submission.  This figure takes into account the fact that the analysis required for determining program violations will have already been completed and saved electronically.  It also takes into account the additional time needed to convert data for multiple case submissions into a format acceptable for upload to Neighborhood Watch.</w:t>
      </w:r>
    </w:p>
    <w:p w:rsidR="00A82987" w:rsidRPr="00B10464" w:rsidRDefault="00A82987" w:rsidP="00A82987">
      <w:pPr>
        <w:pStyle w:val="BodyTextIndent3"/>
        <w:spacing w:before="120"/>
        <w:rPr>
          <w:noProof w:val="0"/>
          <w:sz w:val="24"/>
          <w:szCs w:val="24"/>
        </w:rPr>
      </w:pPr>
      <w:r w:rsidRPr="00B10464">
        <w:rPr>
          <w:noProof w:val="0"/>
          <w:sz w:val="24"/>
          <w:szCs w:val="24"/>
        </w:rPr>
        <w:t xml:space="preserve">Respondents stated that the instructions for submitting/editing self reports were clearly presented.  No recommendations were made for additional fields on the Lender Reporting screen beyond those already available for reporting audit findings (material program violations) and fraud.  QAD used the national median annual salary for a Mortgage Quality Assurance Auditor as of March 1, 2013 ($46,994) as listed on salary.com to determine the hourly cost of $23 per response. </w:t>
      </w:r>
    </w:p>
    <w:p w:rsidR="00A82987" w:rsidRPr="00B10464" w:rsidRDefault="00A82987" w:rsidP="00A82987">
      <w:pPr>
        <w:pStyle w:val="BodyTextIndent3"/>
        <w:spacing w:before="120"/>
        <w:rPr>
          <w:noProof w:val="0"/>
          <w:sz w:val="24"/>
          <w:szCs w:val="24"/>
        </w:rPr>
      </w:pPr>
      <w:r w:rsidRPr="00B10464">
        <w:rPr>
          <w:noProof w:val="0"/>
          <w:sz w:val="24"/>
          <w:szCs w:val="24"/>
        </w:rPr>
        <w:t>During CY 2012, QAD received reinstatement requests from 5 lenders (</w:t>
      </w:r>
      <w:r w:rsidR="00720ECB" w:rsidRPr="00B10464">
        <w:rPr>
          <w:noProof w:val="0"/>
          <w:sz w:val="24"/>
          <w:szCs w:val="24"/>
        </w:rPr>
        <w:t>Item P</w:t>
      </w:r>
      <w:r w:rsidRPr="00B10464">
        <w:rPr>
          <w:noProof w:val="0"/>
          <w:sz w:val="24"/>
          <w:szCs w:val="24"/>
        </w:rPr>
        <w:t xml:space="preserve">: Non-online Credit Watch Termination Reinstatement Requests).  It is not possible for QAD to provide an exact estimate of the time it takes to assemble a reinstatement request since each lender differs in size, expertise, and the way they conduct their business operations.  In addition, preparing reinstatement requests is not a regular business function performed by FHA-approved lenders; therefore responses would vary widely on the time required to complete a submission if we were to contact lenders to provide feedback.  </w:t>
      </w:r>
    </w:p>
    <w:p w:rsidR="00A82987" w:rsidRPr="00B10464" w:rsidRDefault="00A82987" w:rsidP="00A82987">
      <w:pPr>
        <w:pStyle w:val="BodyTextIndent3"/>
        <w:numPr>
          <w:ilvl w:val="0"/>
          <w:numId w:val="0"/>
        </w:numPr>
        <w:tabs>
          <w:tab w:val="clear" w:pos="360"/>
          <w:tab w:val="clear" w:pos="720"/>
        </w:tabs>
        <w:spacing w:before="120"/>
        <w:ind w:left="360"/>
        <w:rPr>
          <w:noProof w:val="0"/>
          <w:sz w:val="24"/>
          <w:szCs w:val="24"/>
        </w:rPr>
      </w:pPr>
      <w:r w:rsidRPr="00B10464">
        <w:rPr>
          <w:noProof w:val="0"/>
          <w:sz w:val="24"/>
          <w:szCs w:val="24"/>
        </w:rPr>
        <w:t>QAD has therefore determined that 8 hours is an accurate estimate of the time required per response.  This estimate takes into account the fact that the information provided in reinstatement packages (i.e., quality control review results, corrective actions taken)  should be readily available and it should not take a quality control staff member more than one business day to summarize this information in writing.  QAD used the national median annual salary for a Mortgage Quality Assurance Auditor as of March 1, 2013 ($46,994) as listed on salary.com to determine the hourly cost of $23 per response.</w:t>
      </w:r>
    </w:p>
    <w:p w:rsidR="00ED45D6" w:rsidRPr="00B10464" w:rsidRDefault="00ED45D6">
      <w:pPr>
        <w:tabs>
          <w:tab w:val="left" w:pos="360"/>
        </w:tabs>
        <w:ind w:left="360" w:hanging="360"/>
        <w:rPr>
          <w:sz w:val="24"/>
          <w:szCs w:val="24"/>
        </w:rPr>
      </w:pPr>
    </w:p>
    <w:p w:rsidR="00ED45D6" w:rsidRPr="00B10464" w:rsidRDefault="00ED45D6">
      <w:pPr>
        <w:tabs>
          <w:tab w:val="left" w:pos="360"/>
        </w:tabs>
        <w:ind w:left="360" w:hanging="360"/>
        <w:rPr>
          <w:sz w:val="24"/>
          <w:szCs w:val="24"/>
        </w:rPr>
      </w:pPr>
      <w:r w:rsidRPr="00B10464">
        <w:rPr>
          <w:sz w:val="24"/>
          <w:szCs w:val="24"/>
        </w:rPr>
        <w:t>13.</w:t>
      </w:r>
      <w:r w:rsidRPr="00B10464">
        <w:rPr>
          <w:sz w:val="24"/>
          <w:szCs w:val="24"/>
        </w:rPr>
        <w:tab/>
        <w:t>There are no additional costs to the respondents.</w:t>
      </w:r>
    </w:p>
    <w:p w:rsidR="00ED45D6" w:rsidRPr="00B10464" w:rsidRDefault="00ED45D6">
      <w:pPr>
        <w:tabs>
          <w:tab w:val="left" w:pos="360"/>
        </w:tabs>
        <w:ind w:left="360" w:hanging="360"/>
        <w:rPr>
          <w:sz w:val="24"/>
          <w:szCs w:val="24"/>
        </w:rPr>
      </w:pPr>
    </w:p>
    <w:p w:rsidR="00ED45D6" w:rsidRPr="00B10464" w:rsidRDefault="00ED45D6">
      <w:pPr>
        <w:keepLines/>
        <w:tabs>
          <w:tab w:val="left" w:pos="360"/>
        </w:tabs>
        <w:ind w:left="360" w:hanging="360"/>
        <w:rPr>
          <w:sz w:val="24"/>
          <w:szCs w:val="24"/>
        </w:rPr>
      </w:pPr>
      <w:r w:rsidRPr="00B10464">
        <w:rPr>
          <w:sz w:val="24"/>
          <w:szCs w:val="24"/>
        </w:rPr>
        <w:t>14.</w:t>
      </w:r>
      <w:r w:rsidRPr="00B10464">
        <w:rPr>
          <w:sz w:val="24"/>
          <w:szCs w:val="24"/>
        </w:rPr>
        <w:tab/>
        <w:t>Estimate of total cost to the Federal government is estimated to be $</w:t>
      </w:r>
      <w:r w:rsidR="00B1057E" w:rsidRPr="00B10464">
        <w:rPr>
          <w:sz w:val="24"/>
          <w:szCs w:val="24"/>
        </w:rPr>
        <w:t>610,5</w:t>
      </w:r>
      <w:r w:rsidR="00CB6EB6" w:rsidRPr="00B10464">
        <w:rPr>
          <w:sz w:val="24"/>
          <w:szCs w:val="24"/>
        </w:rPr>
        <w:t xml:space="preserve">00 </w:t>
      </w:r>
      <w:r w:rsidRPr="00B10464">
        <w:rPr>
          <w:sz w:val="24"/>
          <w:szCs w:val="24"/>
        </w:rPr>
        <w:t xml:space="preserve">computed at </w:t>
      </w:r>
      <w:r w:rsidR="00B1057E" w:rsidRPr="00B10464">
        <w:rPr>
          <w:sz w:val="24"/>
          <w:szCs w:val="24"/>
        </w:rPr>
        <w:t xml:space="preserve">an average of </w:t>
      </w:r>
      <w:r w:rsidRPr="00B10464">
        <w:rPr>
          <w:sz w:val="24"/>
          <w:szCs w:val="24"/>
        </w:rPr>
        <w:t>$</w:t>
      </w:r>
      <w:r w:rsidR="009F1153" w:rsidRPr="00B10464">
        <w:rPr>
          <w:sz w:val="24"/>
          <w:szCs w:val="24"/>
        </w:rPr>
        <w:t>4</w:t>
      </w:r>
      <w:r w:rsidR="00B1057E" w:rsidRPr="00B10464">
        <w:rPr>
          <w:sz w:val="24"/>
          <w:szCs w:val="24"/>
        </w:rPr>
        <w:t>3</w:t>
      </w:r>
      <w:r w:rsidRPr="00B10464">
        <w:rPr>
          <w:sz w:val="24"/>
          <w:szCs w:val="24"/>
        </w:rPr>
        <w:t xml:space="preserve"> per hour </w:t>
      </w:r>
      <w:r w:rsidR="00B1057E" w:rsidRPr="00B10464">
        <w:rPr>
          <w:sz w:val="24"/>
          <w:szCs w:val="24"/>
        </w:rPr>
        <w:t xml:space="preserve">based on </w:t>
      </w:r>
      <w:r w:rsidR="00B42C9B" w:rsidRPr="00B10464">
        <w:rPr>
          <w:sz w:val="24"/>
          <w:szCs w:val="24"/>
        </w:rPr>
        <w:t xml:space="preserve">national median annual salary for a Mortgage Quality Assurance </w:t>
      </w:r>
      <w:r w:rsidR="00394F0D" w:rsidRPr="00B10464">
        <w:rPr>
          <w:sz w:val="24"/>
          <w:szCs w:val="24"/>
        </w:rPr>
        <w:t>Auditor and</w:t>
      </w:r>
      <w:r w:rsidR="00B42C9B" w:rsidRPr="00B10464">
        <w:rPr>
          <w:sz w:val="24"/>
          <w:szCs w:val="24"/>
        </w:rPr>
        <w:t xml:space="preserve"> the hourly salary of a government </w:t>
      </w:r>
      <w:r w:rsidRPr="00B10464">
        <w:rPr>
          <w:sz w:val="24"/>
          <w:szCs w:val="24"/>
        </w:rPr>
        <w:t>GS13</w:t>
      </w:r>
      <w:r w:rsidR="00B42C9B" w:rsidRPr="00B10464">
        <w:rPr>
          <w:sz w:val="24"/>
          <w:szCs w:val="24"/>
        </w:rPr>
        <w:t xml:space="preserve"> employee</w:t>
      </w:r>
      <w:r w:rsidRPr="00B10464">
        <w:rPr>
          <w:sz w:val="24"/>
          <w:szCs w:val="24"/>
        </w:rPr>
        <w:t xml:space="preserve"> for approximately </w:t>
      </w:r>
      <w:r w:rsidR="00B42C9B" w:rsidRPr="00B10464">
        <w:rPr>
          <w:sz w:val="24"/>
          <w:szCs w:val="24"/>
        </w:rPr>
        <w:t>13,000</w:t>
      </w:r>
      <w:r w:rsidRPr="00B10464">
        <w:rPr>
          <w:sz w:val="24"/>
          <w:szCs w:val="24"/>
        </w:rPr>
        <w:t xml:space="preserve"> hours of review and processing.</w:t>
      </w:r>
    </w:p>
    <w:p w:rsidR="00ED45D6" w:rsidRPr="00B10464" w:rsidRDefault="00ED45D6">
      <w:pPr>
        <w:keepLines/>
        <w:tabs>
          <w:tab w:val="left" w:pos="360"/>
        </w:tabs>
        <w:ind w:left="360" w:hanging="360"/>
        <w:rPr>
          <w:sz w:val="24"/>
          <w:szCs w:val="24"/>
        </w:rPr>
      </w:pPr>
    </w:p>
    <w:p w:rsidR="00ED45D6" w:rsidRPr="00B10464" w:rsidRDefault="00576A48">
      <w:pPr>
        <w:keepLines/>
        <w:tabs>
          <w:tab w:val="left" w:pos="360"/>
        </w:tabs>
        <w:ind w:left="360" w:hanging="360"/>
        <w:rPr>
          <w:sz w:val="24"/>
          <w:szCs w:val="24"/>
        </w:rPr>
      </w:pPr>
      <w:r w:rsidRPr="00B10464">
        <w:rPr>
          <w:sz w:val="24"/>
          <w:szCs w:val="24"/>
        </w:rPr>
        <w:t>15.</w:t>
      </w:r>
      <w:r w:rsidRPr="00B10464">
        <w:rPr>
          <w:sz w:val="24"/>
          <w:szCs w:val="24"/>
        </w:rPr>
        <w:tab/>
        <w:t>This is a</w:t>
      </w:r>
      <w:r w:rsidR="00467159" w:rsidRPr="00B10464">
        <w:rPr>
          <w:sz w:val="24"/>
          <w:szCs w:val="24"/>
        </w:rPr>
        <w:t xml:space="preserve"> </w:t>
      </w:r>
      <w:r w:rsidRPr="00B10464">
        <w:rPr>
          <w:sz w:val="24"/>
          <w:szCs w:val="24"/>
        </w:rPr>
        <w:t>revision</w:t>
      </w:r>
      <w:r w:rsidR="009F1153" w:rsidRPr="00B10464">
        <w:rPr>
          <w:sz w:val="24"/>
          <w:szCs w:val="24"/>
        </w:rPr>
        <w:t xml:space="preserve"> of </w:t>
      </w:r>
      <w:r w:rsidR="00ED45D6" w:rsidRPr="00B10464">
        <w:rPr>
          <w:sz w:val="24"/>
          <w:szCs w:val="24"/>
        </w:rPr>
        <w:t>a currently approved collection</w:t>
      </w:r>
      <w:r w:rsidR="009F1153" w:rsidRPr="00B10464">
        <w:rPr>
          <w:sz w:val="24"/>
          <w:szCs w:val="24"/>
        </w:rPr>
        <w:t xml:space="preserve">.  </w:t>
      </w:r>
      <w:r w:rsidR="006A638F" w:rsidRPr="00B10464">
        <w:rPr>
          <w:sz w:val="24"/>
          <w:szCs w:val="24"/>
        </w:rPr>
        <w:t>This revision ref</w:t>
      </w:r>
      <w:r w:rsidR="00F2543A" w:rsidRPr="00B10464">
        <w:rPr>
          <w:sz w:val="24"/>
          <w:szCs w:val="24"/>
        </w:rPr>
        <w:t>lects revised estimates of bo</w:t>
      </w:r>
      <w:r w:rsidR="00991644" w:rsidRPr="00B10464">
        <w:rPr>
          <w:sz w:val="24"/>
          <w:szCs w:val="24"/>
        </w:rPr>
        <w:t xml:space="preserve">th responses and burden hours resulting from the decline in FHA Lenders and </w:t>
      </w:r>
      <w:r w:rsidR="00C30EE6" w:rsidRPr="00B10464">
        <w:rPr>
          <w:sz w:val="24"/>
          <w:szCs w:val="24"/>
        </w:rPr>
        <w:t xml:space="preserve">collection of the NMLS ID and </w:t>
      </w:r>
      <w:r w:rsidR="00F2543A" w:rsidRPr="00B10464">
        <w:rPr>
          <w:sz w:val="24"/>
          <w:szCs w:val="24"/>
        </w:rPr>
        <w:t xml:space="preserve">implementation of the new online lender approval application system as explained in item 1 above. </w:t>
      </w:r>
    </w:p>
    <w:p w:rsidR="006A638F" w:rsidRPr="00B10464" w:rsidRDefault="006A638F">
      <w:pPr>
        <w:keepLines/>
        <w:tabs>
          <w:tab w:val="left" w:pos="360"/>
        </w:tabs>
        <w:ind w:left="360" w:hanging="360"/>
        <w:rPr>
          <w:sz w:val="24"/>
          <w:szCs w:val="24"/>
        </w:rPr>
      </w:pPr>
    </w:p>
    <w:p w:rsidR="00ED45D6" w:rsidRPr="00B10464" w:rsidRDefault="00ED45D6">
      <w:pPr>
        <w:keepLines/>
        <w:tabs>
          <w:tab w:val="left" w:pos="360"/>
          <w:tab w:val="left" w:pos="720"/>
        </w:tabs>
        <w:ind w:left="360" w:hanging="360"/>
        <w:rPr>
          <w:sz w:val="24"/>
          <w:szCs w:val="24"/>
        </w:rPr>
      </w:pPr>
      <w:r w:rsidRPr="00B10464">
        <w:rPr>
          <w:sz w:val="24"/>
          <w:szCs w:val="24"/>
        </w:rPr>
        <w:t>16.</w:t>
      </w:r>
      <w:r w:rsidRPr="00B10464">
        <w:rPr>
          <w:sz w:val="24"/>
          <w:szCs w:val="24"/>
        </w:rPr>
        <w:tab/>
        <w:t>Only summary information will be forwarded to other Departmental offices for statistical purposes and possible publication.</w:t>
      </w:r>
    </w:p>
    <w:p w:rsidR="00ED45D6" w:rsidRPr="00B10464" w:rsidRDefault="00ED45D6">
      <w:pPr>
        <w:tabs>
          <w:tab w:val="left" w:pos="360"/>
        </w:tabs>
        <w:ind w:left="360" w:hanging="360"/>
        <w:rPr>
          <w:sz w:val="24"/>
          <w:szCs w:val="24"/>
        </w:rPr>
      </w:pPr>
    </w:p>
    <w:p w:rsidR="00ED45D6" w:rsidRPr="00B10464" w:rsidRDefault="00ED45D6">
      <w:pPr>
        <w:keepLines/>
        <w:tabs>
          <w:tab w:val="left" w:pos="360"/>
          <w:tab w:val="left" w:pos="720"/>
        </w:tabs>
        <w:rPr>
          <w:sz w:val="24"/>
          <w:szCs w:val="24"/>
        </w:rPr>
      </w:pPr>
      <w:r w:rsidRPr="00B10464">
        <w:rPr>
          <w:sz w:val="24"/>
          <w:szCs w:val="24"/>
        </w:rPr>
        <w:t>17.</w:t>
      </w:r>
      <w:r w:rsidRPr="00B10464">
        <w:rPr>
          <w:sz w:val="24"/>
          <w:szCs w:val="24"/>
        </w:rPr>
        <w:tab/>
        <w:t>HUD is not seeking approval to avoid displaying the OMB expiration date.</w:t>
      </w:r>
    </w:p>
    <w:p w:rsidR="00ED45D6" w:rsidRPr="00B10464" w:rsidRDefault="00ED45D6">
      <w:pPr>
        <w:tabs>
          <w:tab w:val="left" w:pos="360"/>
        </w:tabs>
        <w:ind w:left="360" w:hanging="360"/>
        <w:rPr>
          <w:sz w:val="24"/>
          <w:szCs w:val="24"/>
        </w:rPr>
      </w:pPr>
    </w:p>
    <w:p w:rsidR="00ED45D6" w:rsidRPr="00B10464" w:rsidRDefault="00ED45D6">
      <w:pPr>
        <w:keepLines/>
        <w:tabs>
          <w:tab w:val="left" w:pos="360"/>
        </w:tabs>
        <w:ind w:left="360" w:hanging="360"/>
        <w:rPr>
          <w:sz w:val="24"/>
          <w:szCs w:val="24"/>
        </w:rPr>
      </w:pPr>
      <w:r w:rsidRPr="00B10464">
        <w:rPr>
          <w:sz w:val="24"/>
          <w:szCs w:val="24"/>
        </w:rPr>
        <w:t>18.</w:t>
      </w:r>
      <w:r w:rsidRPr="00B10464">
        <w:rPr>
          <w:sz w:val="24"/>
          <w:szCs w:val="24"/>
        </w:rPr>
        <w:tab/>
        <w:t>There are no exceptions to the certification statement identified in item 19 of the OMB 83-I.</w:t>
      </w:r>
    </w:p>
    <w:p w:rsidR="00ED45D6" w:rsidRPr="00B10464" w:rsidRDefault="00ED45D6">
      <w:pPr>
        <w:tabs>
          <w:tab w:val="left" w:pos="360"/>
          <w:tab w:val="left" w:pos="720"/>
        </w:tabs>
        <w:rPr>
          <w:sz w:val="24"/>
          <w:szCs w:val="24"/>
        </w:rPr>
      </w:pPr>
    </w:p>
    <w:p w:rsidR="00ED45D6" w:rsidRPr="00B10464" w:rsidRDefault="00ED45D6">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sz w:val="24"/>
          <w:szCs w:val="24"/>
        </w:rPr>
      </w:pPr>
      <w:r w:rsidRPr="00B10464">
        <w:rPr>
          <w:b/>
          <w:sz w:val="24"/>
          <w:szCs w:val="24"/>
        </w:rPr>
        <w:t xml:space="preserve">B. </w:t>
      </w:r>
      <w:r w:rsidRPr="00B10464">
        <w:rPr>
          <w:b/>
          <w:sz w:val="24"/>
          <w:szCs w:val="24"/>
        </w:rPr>
        <w:tab/>
        <w:t>Collections of Information Employing Statistical Methods</w:t>
      </w:r>
    </w:p>
    <w:p w:rsidR="00ED45D6" w:rsidRPr="00B10464" w:rsidRDefault="00ED45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ED45D6" w:rsidRPr="00B10464" w:rsidRDefault="00ED45D6" w:rsidP="00536FC7">
      <w:pPr>
        <w:keepLines/>
        <w:tabs>
          <w:tab w:val="left" w:pos="360"/>
          <w:tab w:val="left" w:pos="720"/>
        </w:tabs>
        <w:ind w:left="360"/>
        <w:rPr>
          <w:sz w:val="24"/>
          <w:szCs w:val="24"/>
        </w:rPr>
      </w:pPr>
      <w:r w:rsidRPr="00B10464">
        <w:rPr>
          <w:sz w:val="24"/>
          <w:szCs w:val="24"/>
        </w:rPr>
        <w:t>This information collection does not employ statistical methods.</w:t>
      </w:r>
    </w:p>
    <w:sectPr w:rsidR="00ED45D6" w:rsidRPr="00B10464" w:rsidSect="006A638F">
      <w:footerReference w:type="default" r:id="rId9"/>
      <w:footerReference w:type="first" r:id="rId10"/>
      <w:pgSz w:w="12240" w:h="15840"/>
      <w:pgMar w:top="415" w:right="720" w:bottom="475" w:left="605" w:header="19" w:footer="475" w:gutter="0"/>
      <w:cols w:space="480" w:equalWidth="0">
        <w:col w:w="1079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A6" w:rsidRDefault="00F20DA6">
      <w:r>
        <w:separator/>
      </w:r>
    </w:p>
  </w:endnote>
  <w:endnote w:type="continuationSeparator" w:id="0">
    <w:p w:rsidR="00F20DA6" w:rsidRDefault="00F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A6" w:rsidRDefault="00F20D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151">
      <w:rPr>
        <w:rStyle w:val="PageNumber"/>
        <w:noProof/>
      </w:rPr>
      <w:t>4</w:t>
    </w:r>
    <w:r>
      <w:rPr>
        <w:rStyle w:val="PageNumber"/>
      </w:rPr>
      <w:fldChar w:fldCharType="end"/>
    </w:r>
  </w:p>
  <w:p w:rsidR="00F20DA6" w:rsidRDefault="00F20DA6">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A6" w:rsidRDefault="00F20DA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A6" w:rsidRDefault="00F20DA6">
      <w:r>
        <w:separator/>
      </w:r>
    </w:p>
  </w:footnote>
  <w:footnote w:type="continuationSeparator" w:id="0">
    <w:p w:rsidR="00F20DA6" w:rsidRDefault="00F20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8450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B26EA4E0"/>
    <w:lvl w:ilvl="0">
      <w:numFmt w:val="decimal"/>
      <w:lvlText w:val="*"/>
      <w:lvlJc w:val="left"/>
    </w:lvl>
  </w:abstractNum>
  <w:abstractNum w:abstractNumId="2">
    <w:nsid w:val="0ACC751B"/>
    <w:multiLevelType w:val="hybridMultilevel"/>
    <w:tmpl w:val="2D36D4E4"/>
    <w:lvl w:ilvl="0" w:tplc="14B47FCA">
      <w:start w:val="1"/>
      <w:numFmt w:val="decimal"/>
      <w:lvlText w:val="(%1)"/>
      <w:lvlJc w:val="left"/>
      <w:pPr>
        <w:tabs>
          <w:tab w:val="num" w:pos="1080"/>
        </w:tabs>
        <w:ind w:left="1080" w:hanging="360"/>
      </w:pPr>
      <w:rPr>
        <w:rFonts w:hint="default"/>
      </w:rPr>
    </w:lvl>
    <w:lvl w:ilvl="1" w:tplc="C22CC55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97A2F2E"/>
    <w:multiLevelType w:val="hybridMultilevel"/>
    <w:tmpl w:val="D0DE8EB4"/>
    <w:lvl w:ilvl="0" w:tplc="3730A830">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684424"/>
    <w:multiLevelType w:val="hybridMultilevel"/>
    <w:tmpl w:val="C2468CFA"/>
    <w:lvl w:ilvl="0" w:tplc="3EB88552">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5E66D33"/>
    <w:multiLevelType w:val="hybridMultilevel"/>
    <w:tmpl w:val="3D043758"/>
    <w:lvl w:ilvl="0" w:tplc="9EFEF112">
      <w:start w:val="1"/>
      <w:numFmt w:val="bullet"/>
      <w:lvlText w:val=""/>
      <w:lvlJc w:val="left"/>
      <w:pPr>
        <w:tabs>
          <w:tab w:val="num" w:pos="720"/>
        </w:tabs>
        <w:ind w:left="720" w:hanging="360"/>
      </w:pPr>
      <w:rPr>
        <w:rFonts w:ascii="Symbol" w:hAnsi="Symbol" w:hint="default"/>
        <w:sz w:val="20"/>
      </w:rPr>
    </w:lvl>
    <w:lvl w:ilvl="1" w:tplc="BECAF7A8" w:tentative="1">
      <w:start w:val="1"/>
      <w:numFmt w:val="bullet"/>
      <w:lvlText w:val="o"/>
      <w:lvlJc w:val="left"/>
      <w:pPr>
        <w:tabs>
          <w:tab w:val="num" w:pos="1440"/>
        </w:tabs>
        <w:ind w:left="1440" w:hanging="360"/>
      </w:pPr>
      <w:rPr>
        <w:rFonts w:ascii="Courier New" w:hAnsi="Courier New" w:hint="default"/>
        <w:sz w:val="20"/>
      </w:rPr>
    </w:lvl>
    <w:lvl w:ilvl="2" w:tplc="84925070" w:tentative="1">
      <w:start w:val="1"/>
      <w:numFmt w:val="bullet"/>
      <w:lvlText w:val=""/>
      <w:lvlJc w:val="left"/>
      <w:pPr>
        <w:tabs>
          <w:tab w:val="num" w:pos="2160"/>
        </w:tabs>
        <w:ind w:left="2160" w:hanging="360"/>
      </w:pPr>
      <w:rPr>
        <w:rFonts w:ascii="Wingdings" w:hAnsi="Wingdings" w:hint="default"/>
        <w:sz w:val="20"/>
      </w:rPr>
    </w:lvl>
    <w:lvl w:ilvl="3" w:tplc="2FB232B0" w:tentative="1">
      <w:start w:val="1"/>
      <w:numFmt w:val="bullet"/>
      <w:lvlText w:val=""/>
      <w:lvlJc w:val="left"/>
      <w:pPr>
        <w:tabs>
          <w:tab w:val="num" w:pos="2880"/>
        </w:tabs>
        <w:ind w:left="2880" w:hanging="360"/>
      </w:pPr>
      <w:rPr>
        <w:rFonts w:ascii="Wingdings" w:hAnsi="Wingdings" w:hint="default"/>
        <w:sz w:val="20"/>
      </w:rPr>
    </w:lvl>
    <w:lvl w:ilvl="4" w:tplc="E47AD742" w:tentative="1">
      <w:start w:val="1"/>
      <w:numFmt w:val="bullet"/>
      <w:lvlText w:val=""/>
      <w:lvlJc w:val="left"/>
      <w:pPr>
        <w:tabs>
          <w:tab w:val="num" w:pos="3600"/>
        </w:tabs>
        <w:ind w:left="3600" w:hanging="360"/>
      </w:pPr>
      <w:rPr>
        <w:rFonts w:ascii="Wingdings" w:hAnsi="Wingdings" w:hint="default"/>
        <w:sz w:val="20"/>
      </w:rPr>
    </w:lvl>
    <w:lvl w:ilvl="5" w:tplc="A4E2F4E2" w:tentative="1">
      <w:start w:val="1"/>
      <w:numFmt w:val="bullet"/>
      <w:lvlText w:val=""/>
      <w:lvlJc w:val="left"/>
      <w:pPr>
        <w:tabs>
          <w:tab w:val="num" w:pos="4320"/>
        </w:tabs>
        <w:ind w:left="4320" w:hanging="360"/>
      </w:pPr>
      <w:rPr>
        <w:rFonts w:ascii="Wingdings" w:hAnsi="Wingdings" w:hint="default"/>
        <w:sz w:val="20"/>
      </w:rPr>
    </w:lvl>
    <w:lvl w:ilvl="6" w:tplc="384078D6" w:tentative="1">
      <w:start w:val="1"/>
      <w:numFmt w:val="bullet"/>
      <w:lvlText w:val=""/>
      <w:lvlJc w:val="left"/>
      <w:pPr>
        <w:tabs>
          <w:tab w:val="num" w:pos="5040"/>
        </w:tabs>
        <w:ind w:left="5040" w:hanging="360"/>
      </w:pPr>
      <w:rPr>
        <w:rFonts w:ascii="Wingdings" w:hAnsi="Wingdings" w:hint="default"/>
        <w:sz w:val="20"/>
      </w:rPr>
    </w:lvl>
    <w:lvl w:ilvl="7" w:tplc="435A4DF2" w:tentative="1">
      <w:start w:val="1"/>
      <w:numFmt w:val="bullet"/>
      <w:lvlText w:val=""/>
      <w:lvlJc w:val="left"/>
      <w:pPr>
        <w:tabs>
          <w:tab w:val="num" w:pos="5760"/>
        </w:tabs>
        <w:ind w:left="5760" w:hanging="360"/>
      </w:pPr>
      <w:rPr>
        <w:rFonts w:ascii="Wingdings" w:hAnsi="Wingdings" w:hint="default"/>
        <w:sz w:val="20"/>
      </w:rPr>
    </w:lvl>
    <w:lvl w:ilvl="8" w:tplc="CF42947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DD758D"/>
    <w:multiLevelType w:val="hybridMultilevel"/>
    <w:tmpl w:val="135288BA"/>
    <w:lvl w:ilvl="0" w:tplc="3EB88552">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5">
    <w:nsid w:val="7AFE3092"/>
    <w:multiLevelType w:val="multilevel"/>
    <w:tmpl w:val="290E878A"/>
    <w:lvl w:ilvl="0">
      <w:start w:val="20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4"/>
  </w:num>
  <w:num w:numId="3">
    <w:abstractNumId w:val="3"/>
  </w:num>
  <w:num w:numId="4">
    <w:abstractNumId w:val="13"/>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7"/>
  </w:num>
  <w:num w:numId="8">
    <w:abstractNumId w:val="1"/>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8"/>
  </w:num>
  <w:num w:numId="10">
    <w:abstractNumId w:val="11"/>
  </w:num>
  <w:num w:numId="11">
    <w:abstractNumId w:val="9"/>
  </w:num>
  <w:num w:numId="12">
    <w:abstractNumId w:val="5"/>
  </w:num>
  <w:num w:numId="13">
    <w:abstractNumId w:val="15"/>
  </w:num>
  <w:num w:numId="14">
    <w:abstractNumId w:val="2"/>
  </w:num>
  <w:num w:numId="15">
    <w:abstractNumId w:val="10"/>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76"/>
    <w:rsid w:val="00065F8C"/>
    <w:rsid w:val="0009733B"/>
    <w:rsid w:val="000B07F7"/>
    <w:rsid w:val="000B47AB"/>
    <w:rsid w:val="000D38C4"/>
    <w:rsid w:val="000E4DCB"/>
    <w:rsid w:val="000F05C5"/>
    <w:rsid w:val="000F3293"/>
    <w:rsid w:val="0010010B"/>
    <w:rsid w:val="0010064C"/>
    <w:rsid w:val="001238FF"/>
    <w:rsid w:val="00125D32"/>
    <w:rsid w:val="00132023"/>
    <w:rsid w:val="00141CC8"/>
    <w:rsid w:val="001421DC"/>
    <w:rsid w:val="0014379B"/>
    <w:rsid w:val="00150738"/>
    <w:rsid w:val="0016389D"/>
    <w:rsid w:val="00167FD3"/>
    <w:rsid w:val="00173ECD"/>
    <w:rsid w:val="001765C2"/>
    <w:rsid w:val="001872A5"/>
    <w:rsid w:val="001B3A15"/>
    <w:rsid w:val="001E2C02"/>
    <w:rsid w:val="001F7FD6"/>
    <w:rsid w:val="00205431"/>
    <w:rsid w:val="00227C49"/>
    <w:rsid w:val="00241E76"/>
    <w:rsid w:val="00251E19"/>
    <w:rsid w:val="00255A70"/>
    <w:rsid w:val="00260279"/>
    <w:rsid w:val="00291D0A"/>
    <w:rsid w:val="0029665B"/>
    <w:rsid w:val="002A0690"/>
    <w:rsid w:val="002D03E4"/>
    <w:rsid w:val="002E43AE"/>
    <w:rsid w:val="002E7562"/>
    <w:rsid w:val="002F22DE"/>
    <w:rsid w:val="002F535C"/>
    <w:rsid w:val="002F581A"/>
    <w:rsid w:val="00334EC8"/>
    <w:rsid w:val="003427C1"/>
    <w:rsid w:val="00380C3E"/>
    <w:rsid w:val="00394F0D"/>
    <w:rsid w:val="003B41B8"/>
    <w:rsid w:val="003C557F"/>
    <w:rsid w:val="003D6ADD"/>
    <w:rsid w:val="003E494A"/>
    <w:rsid w:val="003E7BF3"/>
    <w:rsid w:val="003F063A"/>
    <w:rsid w:val="003F524F"/>
    <w:rsid w:val="00401003"/>
    <w:rsid w:val="00406792"/>
    <w:rsid w:val="004617FC"/>
    <w:rsid w:val="00463D16"/>
    <w:rsid w:val="00467159"/>
    <w:rsid w:val="00473BE6"/>
    <w:rsid w:val="0047496A"/>
    <w:rsid w:val="004804A0"/>
    <w:rsid w:val="004A07A8"/>
    <w:rsid w:val="004A07ED"/>
    <w:rsid w:val="004A135F"/>
    <w:rsid w:val="004A358F"/>
    <w:rsid w:val="004A7A27"/>
    <w:rsid w:val="004B2008"/>
    <w:rsid w:val="004B418C"/>
    <w:rsid w:val="004D3C45"/>
    <w:rsid w:val="004E6ECF"/>
    <w:rsid w:val="004E7B39"/>
    <w:rsid w:val="00504AFF"/>
    <w:rsid w:val="005215E9"/>
    <w:rsid w:val="00523EF0"/>
    <w:rsid w:val="005369EB"/>
    <w:rsid w:val="00536FC7"/>
    <w:rsid w:val="005519F8"/>
    <w:rsid w:val="00576A48"/>
    <w:rsid w:val="00577D1F"/>
    <w:rsid w:val="005B1916"/>
    <w:rsid w:val="005D32ED"/>
    <w:rsid w:val="005D6D37"/>
    <w:rsid w:val="005E7AE7"/>
    <w:rsid w:val="00602849"/>
    <w:rsid w:val="00623611"/>
    <w:rsid w:val="0066018B"/>
    <w:rsid w:val="006620DE"/>
    <w:rsid w:val="00664270"/>
    <w:rsid w:val="0066584A"/>
    <w:rsid w:val="00670E38"/>
    <w:rsid w:val="006741D7"/>
    <w:rsid w:val="006A638F"/>
    <w:rsid w:val="006A71F8"/>
    <w:rsid w:val="006B0F9B"/>
    <w:rsid w:val="006C0625"/>
    <w:rsid w:val="006D6B89"/>
    <w:rsid w:val="006F3C39"/>
    <w:rsid w:val="00705E28"/>
    <w:rsid w:val="00712B5D"/>
    <w:rsid w:val="00720ECB"/>
    <w:rsid w:val="00731918"/>
    <w:rsid w:val="00741600"/>
    <w:rsid w:val="0074597F"/>
    <w:rsid w:val="00754BED"/>
    <w:rsid w:val="00771178"/>
    <w:rsid w:val="00784E02"/>
    <w:rsid w:val="007D5107"/>
    <w:rsid w:val="007F5CA3"/>
    <w:rsid w:val="008107AA"/>
    <w:rsid w:val="00817695"/>
    <w:rsid w:val="008322E0"/>
    <w:rsid w:val="00864F6F"/>
    <w:rsid w:val="00866752"/>
    <w:rsid w:val="00880151"/>
    <w:rsid w:val="00884240"/>
    <w:rsid w:val="008A1CB3"/>
    <w:rsid w:val="008A2640"/>
    <w:rsid w:val="008B7536"/>
    <w:rsid w:val="008E5BC0"/>
    <w:rsid w:val="008F1989"/>
    <w:rsid w:val="00900885"/>
    <w:rsid w:val="00903C01"/>
    <w:rsid w:val="00911F4E"/>
    <w:rsid w:val="00914AF6"/>
    <w:rsid w:val="009328BF"/>
    <w:rsid w:val="00943EB2"/>
    <w:rsid w:val="00950A04"/>
    <w:rsid w:val="009525A6"/>
    <w:rsid w:val="00955A65"/>
    <w:rsid w:val="00991644"/>
    <w:rsid w:val="009920DE"/>
    <w:rsid w:val="009A3D70"/>
    <w:rsid w:val="009B5C42"/>
    <w:rsid w:val="009C0A8B"/>
    <w:rsid w:val="009D079E"/>
    <w:rsid w:val="009D1137"/>
    <w:rsid w:val="009D30FD"/>
    <w:rsid w:val="009E0B45"/>
    <w:rsid w:val="009E41B6"/>
    <w:rsid w:val="009F1153"/>
    <w:rsid w:val="00A05FFE"/>
    <w:rsid w:val="00A06A29"/>
    <w:rsid w:val="00A14036"/>
    <w:rsid w:val="00A262D8"/>
    <w:rsid w:val="00A27DD0"/>
    <w:rsid w:val="00A66D32"/>
    <w:rsid w:val="00A744A2"/>
    <w:rsid w:val="00A82987"/>
    <w:rsid w:val="00A91A8C"/>
    <w:rsid w:val="00A92E98"/>
    <w:rsid w:val="00A96EDA"/>
    <w:rsid w:val="00AA684D"/>
    <w:rsid w:val="00AB58F3"/>
    <w:rsid w:val="00AC2E4D"/>
    <w:rsid w:val="00AC61B8"/>
    <w:rsid w:val="00AD3B6C"/>
    <w:rsid w:val="00AE37C8"/>
    <w:rsid w:val="00B10464"/>
    <w:rsid w:val="00B1057E"/>
    <w:rsid w:val="00B350FB"/>
    <w:rsid w:val="00B37E2E"/>
    <w:rsid w:val="00B42C9B"/>
    <w:rsid w:val="00B4786F"/>
    <w:rsid w:val="00B56891"/>
    <w:rsid w:val="00B61E4E"/>
    <w:rsid w:val="00B73417"/>
    <w:rsid w:val="00B84E24"/>
    <w:rsid w:val="00B923F1"/>
    <w:rsid w:val="00B95D36"/>
    <w:rsid w:val="00BA1DFE"/>
    <w:rsid w:val="00BB61C2"/>
    <w:rsid w:val="00BD6E6F"/>
    <w:rsid w:val="00BD76AE"/>
    <w:rsid w:val="00BF2B30"/>
    <w:rsid w:val="00C00F81"/>
    <w:rsid w:val="00C0591D"/>
    <w:rsid w:val="00C11D96"/>
    <w:rsid w:val="00C30EE6"/>
    <w:rsid w:val="00C750FC"/>
    <w:rsid w:val="00C75D89"/>
    <w:rsid w:val="00C95EEE"/>
    <w:rsid w:val="00CB6EB6"/>
    <w:rsid w:val="00CD7C64"/>
    <w:rsid w:val="00CE3D07"/>
    <w:rsid w:val="00CF1D54"/>
    <w:rsid w:val="00CF2CB3"/>
    <w:rsid w:val="00CF7BB1"/>
    <w:rsid w:val="00D14EF6"/>
    <w:rsid w:val="00D24C68"/>
    <w:rsid w:val="00D31777"/>
    <w:rsid w:val="00D33057"/>
    <w:rsid w:val="00D33332"/>
    <w:rsid w:val="00D42EDA"/>
    <w:rsid w:val="00D44FEF"/>
    <w:rsid w:val="00D6611F"/>
    <w:rsid w:val="00D710DB"/>
    <w:rsid w:val="00D86DD3"/>
    <w:rsid w:val="00D91BFC"/>
    <w:rsid w:val="00DA4495"/>
    <w:rsid w:val="00DA5C30"/>
    <w:rsid w:val="00DB0440"/>
    <w:rsid w:val="00DB0C8C"/>
    <w:rsid w:val="00DC3705"/>
    <w:rsid w:val="00DC56A3"/>
    <w:rsid w:val="00DC706A"/>
    <w:rsid w:val="00DE7476"/>
    <w:rsid w:val="00DF1B09"/>
    <w:rsid w:val="00E06A52"/>
    <w:rsid w:val="00E13694"/>
    <w:rsid w:val="00E30010"/>
    <w:rsid w:val="00E30CCC"/>
    <w:rsid w:val="00E32D1B"/>
    <w:rsid w:val="00E57716"/>
    <w:rsid w:val="00E7389D"/>
    <w:rsid w:val="00E84210"/>
    <w:rsid w:val="00E87B4E"/>
    <w:rsid w:val="00EA16C3"/>
    <w:rsid w:val="00EB440A"/>
    <w:rsid w:val="00EC2692"/>
    <w:rsid w:val="00ED1182"/>
    <w:rsid w:val="00ED45D6"/>
    <w:rsid w:val="00EF06E1"/>
    <w:rsid w:val="00EF67C1"/>
    <w:rsid w:val="00F072BB"/>
    <w:rsid w:val="00F14871"/>
    <w:rsid w:val="00F14BF4"/>
    <w:rsid w:val="00F20DA6"/>
    <w:rsid w:val="00F22EED"/>
    <w:rsid w:val="00F23C88"/>
    <w:rsid w:val="00F2543A"/>
    <w:rsid w:val="00F33646"/>
    <w:rsid w:val="00F56DED"/>
    <w:rsid w:val="00F639BE"/>
    <w:rsid w:val="00F67B8E"/>
    <w:rsid w:val="00F7695C"/>
    <w:rsid w:val="00F80670"/>
    <w:rsid w:val="00F86A56"/>
    <w:rsid w:val="00F95F11"/>
    <w:rsid w:val="00FA0B9D"/>
    <w:rsid w:val="00FD5711"/>
    <w:rsid w:val="00FD71FD"/>
    <w:rsid w:val="00FF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8FF"/>
    <w:pPr>
      <w:overflowPunct w:val="0"/>
      <w:autoSpaceDE w:val="0"/>
      <w:autoSpaceDN w:val="0"/>
      <w:adjustRightInd w:val="0"/>
      <w:textAlignment w:val="baseline"/>
    </w:pPr>
  </w:style>
  <w:style w:type="paragraph" w:styleId="Heading1">
    <w:name w:val="heading 1"/>
    <w:basedOn w:val="Normal"/>
    <w:next w:val="Normal"/>
    <w:qFormat/>
    <w:rsid w:val="001238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4">
    <w:name w:val="heading 4"/>
    <w:basedOn w:val="Normal"/>
    <w:next w:val="Normal"/>
    <w:qFormat/>
    <w:rsid w:val="00DC70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8FF"/>
    <w:pPr>
      <w:tabs>
        <w:tab w:val="center" w:pos="4320"/>
        <w:tab w:val="right" w:pos="8640"/>
      </w:tabs>
    </w:pPr>
  </w:style>
  <w:style w:type="paragraph" w:styleId="Footer">
    <w:name w:val="footer"/>
    <w:basedOn w:val="Normal"/>
    <w:rsid w:val="001238FF"/>
    <w:pPr>
      <w:tabs>
        <w:tab w:val="center" w:pos="4320"/>
        <w:tab w:val="right" w:pos="8640"/>
      </w:tabs>
    </w:pPr>
  </w:style>
  <w:style w:type="character" w:styleId="PageNumber">
    <w:name w:val="page number"/>
    <w:basedOn w:val="DefaultParagraphFont"/>
    <w:rsid w:val="001238FF"/>
  </w:style>
  <w:style w:type="paragraph" w:styleId="Title">
    <w:name w:val="Title"/>
    <w:basedOn w:val="Normal"/>
    <w:qFormat/>
    <w:rsid w:val="001238FF"/>
    <w:pPr>
      <w:jc w:val="center"/>
    </w:pPr>
    <w:rPr>
      <w:rFonts w:ascii="Helvetica" w:hAnsi="Helvetica"/>
      <w:b/>
      <w:sz w:val="28"/>
    </w:rPr>
  </w:style>
  <w:style w:type="paragraph" w:styleId="BodyTextIndent3">
    <w:name w:val="Body Text Indent 3"/>
    <w:basedOn w:val="Normal"/>
    <w:rsid w:val="001238FF"/>
    <w:pPr>
      <w:numPr>
        <w:ilvl w:val="12"/>
      </w:numPr>
      <w:tabs>
        <w:tab w:val="left" w:pos="360"/>
        <w:tab w:val="left" w:pos="720"/>
      </w:tabs>
      <w:ind w:left="360"/>
    </w:pPr>
    <w:rPr>
      <w:noProof/>
      <w:sz w:val="22"/>
    </w:rPr>
  </w:style>
  <w:style w:type="paragraph" w:styleId="BodyText">
    <w:name w:val="Body Text"/>
    <w:basedOn w:val="Normal"/>
    <w:rsid w:val="001238FF"/>
    <w:rPr>
      <w:sz w:val="22"/>
    </w:rPr>
  </w:style>
  <w:style w:type="paragraph" w:styleId="BlockText">
    <w:name w:val="Block Text"/>
    <w:basedOn w:val="Normal"/>
    <w:rsid w:val="001238FF"/>
    <w:pPr>
      <w:tabs>
        <w:tab w:val="left" w:pos="240"/>
      </w:tabs>
      <w:spacing w:after="60"/>
      <w:ind w:left="120" w:right="-120"/>
    </w:pPr>
    <w:rPr>
      <w:color w:val="000000"/>
      <w:sz w:val="22"/>
    </w:rPr>
  </w:style>
  <w:style w:type="paragraph" w:styleId="BodyTextIndent">
    <w:name w:val="Body Text Indent"/>
    <w:basedOn w:val="Normal"/>
    <w:rsid w:val="001238FF"/>
    <w:pPr>
      <w:tabs>
        <w:tab w:val="left" w:pos="720"/>
      </w:tabs>
      <w:ind w:left="720" w:hanging="360"/>
    </w:pPr>
    <w:rPr>
      <w:noProof/>
      <w:sz w:val="22"/>
    </w:rPr>
  </w:style>
  <w:style w:type="paragraph" w:styleId="BodyTextIndent2">
    <w:name w:val="Body Text Indent 2"/>
    <w:basedOn w:val="Normal"/>
    <w:rsid w:val="001238FF"/>
    <w:pPr>
      <w:tabs>
        <w:tab w:val="left" w:pos="360"/>
        <w:tab w:val="left" w:pos="720"/>
      </w:tabs>
      <w:ind w:left="720" w:firstLine="360"/>
    </w:pPr>
    <w:rPr>
      <w:sz w:val="22"/>
    </w:rPr>
  </w:style>
  <w:style w:type="character" w:styleId="Hyperlink">
    <w:name w:val="Hyperlink"/>
    <w:basedOn w:val="DefaultParagraphFont"/>
    <w:rsid w:val="005369EB"/>
    <w:rPr>
      <w:color w:val="0000FF" w:themeColor="hyperlink"/>
      <w:u w:val="single"/>
    </w:rPr>
  </w:style>
  <w:style w:type="paragraph" w:styleId="BalloonText">
    <w:name w:val="Balloon Text"/>
    <w:basedOn w:val="Normal"/>
    <w:link w:val="BalloonTextChar"/>
    <w:rsid w:val="00406792"/>
    <w:rPr>
      <w:rFonts w:ascii="Tahoma" w:hAnsi="Tahoma" w:cs="Tahoma"/>
      <w:sz w:val="16"/>
      <w:szCs w:val="16"/>
    </w:rPr>
  </w:style>
  <w:style w:type="character" w:customStyle="1" w:styleId="BalloonTextChar">
    <w:name w:val="Balloon Text Char"/>
    <w:basedOn w:val="DefaultParagraphFont"/>
    <w:link w:val="BalloonText"/>
    <w:rsid w:val="00406792"/>
    <w:rPr>
      <w:rFonts w:ascii="Tahoma" w:hAnsi="Tahoma" w:cs="Tahoma"/>
      <w:sz w:val="16"/>
      <w:szCs w:val="16"/>
    </w:rPr>
  </w:style>
  <w:style w:type="paragraph" w:styleId="ListBullet">
    <w:name w:val="List Bullet"/>
    <w:basedOn w:val="Normal"/>
    <w:rsid w:val="00DC56A3"/>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8FF"/>
    <w:pPr>
      <w:overflowPunct w:val="0"/>
      <w:autoSpaceDE w:val="0"/>
      <w:autoSpaceDN w:val="0"/>
      <w:adjustRightInd w:val="0"/>
      <w:textAlignment w:val="baseline"/>
    </w:pPr>
  </w:style>
  <w:style w:type="paragraph" w:styleId="Heading1">
    <w:name w:val="heading 1"/>
    <w:basedOn w:val="Normal"/>
    <w:next w:val="Normal"/>
    <w:qFormat/>
    <w:rsid w:val="001238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4">
    <w:name w:val="heading 4"/>
    <w:basedOn w:val="Normal"/>
    <w:next w:val="Normal"/>
    <w:qFormat/>
    <w:rsid w:val="00DC70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8FF"/>
    <w:pPr>
      <w:tabs>
        <w:tab w:val="center" w:pos="4320"/>
        <w:tab w:val="right" w:pos="8640"/>
      </w:tabs>
    </w:pPr>
  </w:style>
  <w:style w:type="paragraph" w:styleId="Footer">
    <w:name w:val="footer"/>
    <w:basedOn w:val="Normal"/>
    <w:rsid w:val="001238FF"/>
    <w:pPr>
      <w:tabs>
        <w:tab w:val="center" w:pos="4320"/>
        <w:tab w:val="right" w:pos="8640"/>
      </w:tabs>
    </w:pPr>
  </w:style>
  <w:style w:type="character" w:styleId="PageNumber">
    <w:name w:val="page number"/>
    <w:basedOn w:val="DefaultParagraphFont"/>
    <w:rsid w:val="001238FF"/>
  </w:style>
  <w:style w:type="paragraph" w:styleId="Title">
    <w:name w:val="Title"/>
    <w:basedOn w:val="Normal"/>
    <w:qFormat/>
    <w:rsid w:val="001238FF"/>
    <w:pPr>
      <w:jc w:val="center"/>
    </w:pPr>
    <w:rPr>
      <w:rFonts w:ascii="Helvetica" w:hAnsi="Helvetica"/>
      <w:b/>
      <w:sz w:val="28"/>
    </w:rPr>
  </w:style>
  <w:style w:type="paragraph" w:styleId="BodyTextIndent3">
    <w:name w:val="Body Text Indent 3"/>
    <w:basedOn w:val="Normal"/>
    <w:rsid w:val="001238FF"/>
    <w:pPr>
      <w:numPr>
        <w:ilvl w:val="12"/>
      </w:numPr>
      <w:tabs>
        <w:tab w:val="left" w:pos="360"/>
        <w:tab w:val="left" w:pos="720"/>
      </w:tabs>
      <w:ind w:left="360"/>
    </w:pPr>
    <w:rPr>
      <w:noProof/>
      <w:sz w:val="22"/>
    </w:rPr>
  </w:style>
  <w:style w:type="paragraph" w:styleId="BodyText">
    <w:name w:val="Body Text"/>
    <w:basedOn w:val="Normal"/>
    <w:rsid w:val="001238FF"/>
    <w:rPr>
      <w:sz w:val="22"/>
    </w:rPr>
  </w:style>
  <w:style w:type="paragraph" w:styleId="BlockText">
    <w:name w:val="Block Text"/>
    <w:basedOn w:val="Normal"/>
    <w:rsid w:val="001238FF"/>
    <w:pPr>
      <w:tabs>
        <w:tab w:val="left" w:pos="240"/>
      </w:tabs>
      <w:spacing w:after="60"/>
      <w:ind w:left="120" w:right="-120"/>
    </w:pPr>
    <w:rPr>
      <w:color w:val="000000"/>
      <w:sz w:val="22"/>
    </w:rPr>
  </w:style>
  <w:style w:type="paragraph" w:styleId="BodyTextIndent">
    <w:name w:val="Body Text Indent"/>
    <w:basedOn w:val="Normal"/>
    <w:rsid w:val="001238FF"/>
    <w:pPr>
      <w:tabs>
        <w:tab w:val="left" w:pos="720"/>
      </w:tabs>
      <w:ind w:left="720" w:hanging="360"/>
    </w:pPr>
    <w:rPr>
      <w:noProof/>
      <w:sz w:val="22"/>
    </w:rPr>
  </w:style>
  <w:style w:type="paragraph" w:styleId="BodyTextIndent2">
    <w:name w:val="Body Text Indent 2"/>
    <w:basedOn w:val="Normal"/>
    <w:rsid w:val="001238FF"/>
    <w:pPr>
      <w:tabs>
        <w:tab w:val="left" w:pos="360"/>
        <w:tab w:val="left" w:pos="720"/>
      </w:tabs>
      <w:ind w:left="720" w:firstLine="360"/>
    </w:pPr>
    <w:rPr>
      <w:sz w:val="22"/>
    </w:rPr>
  </w:style>
  <w:style w:type="character" w:styleId="Hyperlink">
    <w:name w:val="Hyperlink"/>
    <w:basedOn w:val="DefaultParagraphFont"/>
    <w:rsid w:val="005369EB"/>
    <w:rPr>
      <w:color w:val="0000FF" w:themeColor="hyperlink"/>
      <w:u w:val="single"/>
    </w:rPr>
  </w:style>
  <w:style w:type="paragraph" w:styleId="BalloonText">
    <w:name w:val="Balloon Text"/>
    <w:basedOn w:val="Normal"/>
    <w:link w:val="BalloonTextChar"/>
    <w:rsid w:val="00406792"/>
    <w:rPr>
      <w:rFonts w:ascii="Tahoma" w:hAnsi="Tahoma" w:cs="Tahoma"/>
      <w:sz w:val="16"/>
      <w:szCs w:val="16"/>
    </w:rPr>
  </w:style>
  <w:style w:type="character" w:customStyle="1" w:styleId="BalloonTextChar">
    <w:name w:val="Balloon Text Char"/>
    <w:basedOn w:val="DefaultParagraphFont"/>
    <w:link w:val="BalloonText"/>
    <w:rsid w:val="00406792"/>
    <w:rPr>
      <w:rFonts w:ascii="Tahoma" w:hAnsi="Tahoma" w:cs="Tahoma"/>
      <w:sz w:val="16"/>
      <w:szCs w:val="16"/>
    </w:rPr>
  </w:style>
  <w:style w:type="paragraph" w:styleId="ListBullet">
    <w:name w:val="List Bullet"/>
    <w:basedOn w:val="Normal"/>
    <w:rsid w:val="00DC56A3"/>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5785">
      <w:bodyDiv w:val="1"/>
      <w:marLeft w:val="0"/>
      <w:marRight w:val="0"/>
      <w:marTop w:val="0"/>
      <w:marBottom w:val="0"/>
      <w:divBdr>
        <w:top w:val="none" w:sz="0" w:space="0" w:color="auto"/>
        <w:left w:val="none" w:sz="0" w:space="0" w:color="auto"/>
        <w:bottom w:val="none" w:sz="0" w:space="0" w:color="auto"/>
        <w:right w:val="none" w:sz="0" w:space="0" w:color="auto"/>
      </w:divBdr>
      <w:divsChild>
        <w:div w:id="1486782074">
          <w:marLeft w:val="0"/>
          <w:marRight w:val="0"/>
          <w:marTop w:val="0"/>
          <w:marBottom w:val="0"/>
          <w:divBdr>
            <w:top w:val="none" w:sz="0" w:space="0" w:color="auto"/>
            <w:left w:val="none" w:sz="0" w:space="0" w:color="auto"/>
            <w:bottom w:val="none" w:sz="0" w:space="0" w:color="auto"/>
            <w:right w:val="none" w:sz="0" w:space="0" w:color="auto"/>
          </w:divBdr>
          <w:divsChild>
            <w:div w:id="1972665545">
              <w:marLeft w:val="0"/>
              <w:marRight w:val="0"/>
              <w:marTop w:val="0"/>
              <w:marBottom w:val="0"/>
              <w:divBdr>
                <w:top w:val="none" w:sz="0" w:space="0" w:color="auto"/>
                <w:left w:val="none" w:sz="0" w:space="0" w:color="auto"/>
                <w:bottom w:val="none" w:sz="0" w:space="0" w:color="auto"/>
                <w:right w:val="none" w:sz="0" w:space="0" w:color="auto"/>
              </w:divBdr>
              <w:divsChild>
                <w:div w:id="770902336">
                  <w:marLeft w:val="1800"/>
                  <w:marRight w:val="0"/>
                  <w:marTop w:val="0"/>
                  <w:marBottom w:val="0"/>
                  <w:divBdr>
                    <w:top w:val="none" w:sz="0" w:space="0" w:color="auto"/>
                    <w:left w:val="none" w:sz="0" w:space="0" w:color="auto"/>
                    <w:bottom w:val="none" w:sz="0" w:space="0" w:color="auto"/>
                    <w:right w:val="none" w:sz="0" w:space="0" w:color="auto"/>
                  </w:divBdr>
                  <w:divsChild>
                    <w:div w:id="1926255439">
                      <w:marLeft w:val="0"/>
                      <w:marRight w:val="0"/>
                      <w:marTop w:val="0"/>
                      <w:marBottom w:val="0"/>
                      <w:divBdr>
                        <w:top w:val="single" w:sz="6" w:space="0" w:color="CECECE"/>
                        <w:left w:val="single" w:sz="6" w:space="0" w:color="CECECE"/>
                        <w:bottom w:val="single" w:sz="6" w:space="4" w:color="CECECE"/>
                        <w:right w:val="single" w:sz="6" w:space="0" w:color="CECECE"/>
                      </w:divBdr>
                      <w:divsChild>
                        <w:div w:id="806316706">
                          <w:marLeft w:val="0"/>
                          <w:marRight w:val="0"/>
                          <w:marTop w:val="0"/>
                          <w:marBottom w:val="0"/>
                          <w:divBdr>
                            <w:top w:val="none" w:sz="0" w:space="0" w:color="auto"/>
                            <w:left w:val="none" w:sz="0" w:space="0" w:color="auto"/>
                            <w:bottom w:val="none" w:sz="0" w:space="0" w:color="auto"/>
                            <w:right w:val="none" w:sz="0" w:space="0" w:color="auto"/>
                          </w:divBdr>
                          <w:divsChild>
                            <w:div w:id="428047994">
                              <w:marLeft w:val="0"/>
                              <w:marRight w:val="0"/>
                              <w:marTop w:val="0"/>
                              <w:marBottom w:val="0"/>
                              <w:divBdr>
                                <w:top w:val="none" w:sz="0" w:space="0" w:color="auto"/>
                                <w:left w:val="none" w:sz="0" w:space="0" w:color="auto"/>
                                <w:bottom w:val="none" w:sz="0" w:space="0" w:color="auto"/>
                                <w:right w:val="none" w:sz="0" w:space="0" w:color="auto"/>
                              </w:divBdr>
                              <w:divsChild>
                                <w:div w:id="822042001">
                                  <w:marLeft w:val="270"/>
                                  <w:marRight w:val="0"/>
                                  <w:marTop w:val="0"/>
                                  <w:marBottom w:val="0"/>
                                  <w:divBdr>
                                    <w:top w:val="none" w:sz="0" w:space="0" w:color="auto"/>
                                    <w:left w:val="none" w:sz="0" w:space="0" w:color="auto"/>
                                    <w:bottom w:val="none" w:sz="0" w:space="0" w:color="auto"/>
                                    <w:right w:val="none" w:sz="0" w:space="0" w:color="auto"/>
                                  </w:divBdr>
                                  <w:divsChild>
                                    <w:div w:id="1269965451">
                                      <w:marLeft w:val="0"/>
                                      <w:marRight w:val="0"/>
                                      <w:marTop w:val="0"/>
                                      <w:marBottom w:val="0"/>
                                      <w:divBdr>
                                        <w:top w:val="none" w:sz="0" w:space="0" w:color="auto"/>
                                        <w:left w:val="none" w:sz="0" w:space="0" w:color="auto"/>
                                        <w:bottom w:val="none" w:sz="0" w:space="0" w:color="auto"/>
                                        <w:right w:val="none" w:sz="0" w:space="0" w:color="auto"/>
                                      </w:divBdr>
                                      <w:divsChild>
                                        <w:div w:id="9312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770849">
      <w:bodyDiv w:val="1"/>
      <w:marLeft w:val="0"/>
      <w:marRight w:val="0"/>
      <w:marTop w:val="0"/>
      <w:marBottom w:val="0"/>
      <w:divBdr>
        <w:top w:val="none" w:sz="0" w:space="0" w:color="auto"/>
        <w:left w:val="none" w:sz="0" w:space="0" w:color="auto"/>
        <w:bottom w:val="none" w:sz="0" w:space="0" w:color="auto"/>
        <w:right w:val="none" w:sz="0" w:space="0" w:color="auto"/>
      </w:divBdr>
      <w:divsChild>
        <w:div w:id="2073262959">
          <w:marLeft w:val="0"/>
          <w:marRight w:val="0"/>
          <w:marTop w:val="0"/>
          <w:marBottom w:val="0"/>
          <w:divBdr>
            <w:top w:val="none" w:sz="0" w:space="0" w:color="auto"/>
            <w:left w:val="none" w:sz="0" w:space="0" w:color="auto"/>
            <w:bottom w:val="none" w:sz="0" w:space="0" w:color="auto"/>
            <w:right w:val="none" w:sz="0" w:space="0" w:color="auto"/>
          </w:divBdr>
          <w:divsChild>
            <w:div w:id="519591168">
              <w:marLeft w:val="0"/>
              <w:marRight w:val="0"/>
              <w:marTop w:val="0"/>
              <w:marBottom w:val="0"/>
              <w:divBdr>
                <w:top w:val="none" w:sz="0" w:space="0" w:color="auto"/>
                <w:left w:val="none" w:sz="0" w:space="0" w:color="auto"/>
                <w:bottom w:val="none" w:sz="0" w:space="0" w:color="auto"/>
                <w:right w:val="none" w:sz="0" w:space="0" w:color="auto"/>
              </w:divBdr>
              <w:divsChild>
                <w:div w:id="842476895">
                  <w:marLeft w:val="1800"/>
                  <w:marRight w:val="0"/>
                  <w:marTop w:val="0"/>
                  <w:marBottom w:val="0"/>
                  <w:divBdr>
                    <w:top w:val="none" w:sz="0" w:space="0" w:color="auto"/>
                    <w:left w:val="none" w:sz="0" w:space="0" w:color="auto"/>
                    <w:bottom w:val="none" w:sz="0" w:space="0" w:color="auto"/>
                    <w:right w:val="none" w:sz="0" w:space="0" w:color="auto"/>
                  </w:divBdr>
                  <w:divsChild>
                    <w:div w:id="760300793">
                      <w:marLeft w:val="0"/>
                      <w:marRight w:val="0"/>
                      <w:marTop w:val="0"/>
                      <w:marBottom w:val="0"/>
                      <w:divBdr>
                        <w:top w:val="single" w:sz="6" w:space="0" w:color="CECECE"/>
                        <w:left w:val="single" w:sz="6" w:space="0" w:color="CECECE"/>
                        <w:bottom w:val="single" w:sz="6" w:space="4" w:color="CECECE"/>
                        <w:right w:val="single" w:sz="6" w:space="0" w:color="CECECE"/>
                      </w:divBdr>
                      <w:divsChild>
                        <w:div w:id="1368023281">
                          <w:marLeft w:val="0"/>
                          <w:marRight w:val="0"/>
                          <w:marTop w:val="0"/>
                          <w:marBottom w:val="0"/>
                          <w:divBdr>
                            <w:top w:val="none" w:sz="0" w:space="0" w:color="auto"/>
                            <w:left w:val="none" w:sz="0" w:space="0" w:color="auto"/>
                            <w:bottom w:val="none" w:sz="0" w:space="0" w:color="auto"/>
                            <w:right w:val="none" w:sz="0" w:space="0" w:color="auto"/>
                          </w:divBdr>
                          <w:divsChild>
                            <w:div w:id="171342722">
                              <w:marLeft w:val="0"/>
                              <w:marRight w:val="0"/>
                              <w:marTop w:val="0"/>
                              <w:marBottom w:val="0"/>
                              <w:divBdr>
                                <w:top w:val="none" w:sz="0" w:space="0" w:color="auto"/>
                                <w:left w:val="none" w:sz="0" w:space="0" w:color="auto"/>
                                <w:bottom w:val="none" w:sz="0" w:space="0" w:color="auto"/>
                                <w:right w:val="none" w:sz="0" w:space="0" w:color="auto"/>
                              </w:divBdr>
                              <w:divsChild>
                                <w:div w:id="2129734953">
                                  <w:marLeft w:val="270"/>
                                  <w:marRight w:val="0"/>
                                  <w:marTop w:val="0"/>
                                  <w:marBottom w:val="0"/>
                                  <w:divBdr>
                                    <w:top w:val="none" w:sz="0" w:space="0" w:color="auto"/>
                                    <w:left w:val="none" w:sz="0" w:space="0" w:color="auto"/>
                                    <w:bottom w:val="none" w:sz="0" w:space="0" w:color="auto"/>
                                    <w:right w:val="none" w:sz="0" w:space="0" w:color="auto"/>
                                  </w:divBdr>
                                  <w:divsChild>
                                    <w:div w:id="630593094">
                                      <w:marLeft w:val="0"/>
                                      <w:marRight w:val="0"/>
                                      <w:marTop w:val="0"/>
                                      <w:marBottom w:val="0"/>
                                      <w:divBdr>
                                        <w:top w:val="none" w:sz="0" w:space="0" w:color="auto"/>
                                        <w:left w:val="none" w:sz="0" w:space="0" w:color="auto"/>
                                        <w:bottom w:val="none" w:sz="0" w:space="0" w:color="auto"/>
                                        <w:right w:val="none" w:sz="0" w:space="0" w:color="auto"/>
                                      </w:divBdr>
                                      <w:divsChild>
                                        <w:div w:id="18973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5.hud.gov/FHALend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3352</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h18889</cp:lastModifiedBy>
  <cp:revision>5</cp:revision>
  <cp:lastPrinted>2013-03-07T17:39:00Z</cp:lastPrinted>
  <dcterms:created xsi:type="dcterms:W3CDTF">2013-05-23T19:53:00Z</dcterms:created>
  <dcterms:modified xsi:type="dcterms:W3CDTF">2013-05-23T19:55:00Z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130688766</vt:i4>
  </property>
  <property fmtid="{D5CDD505-2E9C-101B-9397-08002B2CF9AE}" pid="3" name="_NewReviewCycle">
    <vt:lpwstr/>
  </property>
  <property fmtid="{D5CDD505-2E9C-101B-9397-08002B2CF9AE}" pid="4" name="_EmailSubject">
    <vt:lpwstr>Renewal of OMB Control No. 2502-0005: FHA Lender Approval, Annual Renewal, Periodic Updates and Required Reports from FHA Approved Lenders</vt:lpwstr>
  </property>
  <property fmtid="{D5CDD505-2E9C-101B-9397-08002B2CF9AE}" pid="5" name="_AuthorEmail">
    <vt:lpwstr>Erikka.D.Young@hud.gov</vt:lpwstr>
  </property>
  <property fmtid="{D5CDD505-2E9C-101B-9397-08002B2CF9AE}" pid="6" name="_AuthorEmailDisplayName">
    <vt:lpwstr>Young, Erikka D</vt:lpwstr>
  </property>
  <property fmtid="{D5CDD505-2E9C-101B-9397-08002B2CF9AE}" pid="7" name="_PreviousAdHocReviewCycleID">
    <vt:i4>-2018076943</vt:i4>
  </property>
  <property fmtid="{D5CDD505-2E9C-101B-9397-08002B2CF9AE}" pid="8" name="_ReviewingToolsShownOnce">
    <vt:lpwstr/>
  </property>
</Properties>
</file>