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49986E5" w14:textId="77777777" w:rsidR="00885869" w:rsidRDefault="00885869">
      <w:pPr>
        <w:pStyle w:val="Title"/>
      </w:pPr>
      <w:r>
        <w:t>SUPPORTING STATEMENT</w:t>
      </w:r>
    </w:p>
    <w:p w14:paraId="449986E6" w14:textId="77777777" w:rsidR="00AA3ED5" w:rsidRDefault="00AA3ED5">
      <w:pPr>
        <w:pStyle w:val="Title"/>
      </w:pPr>
      <w:r>
        <w:t>United States Patent and Trademark Office</w:t>
      </w:r>
    </w:p>
    <w:p w14:paraId="449986E7" w14:textId="77777777" w:rsidR="00885869" w:rsidRDefault="00BA5AAB">
      <w:pPr>
        <w:jc w:val="center"/>
        <w:rPr>
          <w:rFonts w:ascii="Arial" w:hAnsi="Arial"/>
          <w:b/>
          <w:sz w:val="24"/>
        </w:rPr>
      </w:pPr>
      <w:r>
        <w:rPr>
          <w:rFonts w:ascii="Arial" w:hAnsi="Arial"/>
          <w:b/>
          <w:sz w:val="24"/>
        </w:rPr>
        <w:t>Post Registration (Trademark Processing)</w:t>
      </w:r>
    </w:p>
    <w:p w14:paraId="449986E8" w14:textId="77777777" w:rsidR="00D66FCD" w:rsidRDefault="00BA5AAB">
      <w:pPr>
        <w:jc w:val="center"/>
        <w:rPr>
          <w:rFonts w:ascii="Arial" w:hAnsi="Arial"/>
          <w:b/>
          <w:sz w:val="24"/>
        </w:rPr>
      </w:pPr>
      <w:r>
        <w:rPr>
          <w:rFonts w:ascii="Arial" w:hAnsi="Arial"/>
          <w:b/>
          <w:sz w:val="24"/>
        </w:rPr>
        <w:t>OMB Control Number 0651-0055</w:t>
      </w:r>
    </w:p>
    <w:p w14:paraId="449986EB" w14:textId="77777777" w:rsidR="00885869" w:rsidRDefault="00885869">
      <w:pPr>
        <w:jc w:val="center"/>
        <w:rPr>
          <w:rFonts w:ascii="Arial" w:hAnsi="Arial"/>
          <w:b/>
          <w:sz w:val="24"/>
        </w:rPr>
      </w:pPr>
    </w:p>
    <w:p w14:paraId="449986EC" w14:textId="77777777" w:rsidR="00885869" w:rsidRDefault="00885869">
      <w:pPr>
        <w:pStyle w:val="Heading1"/>
      </w:pPr>
    </w:p>
    <w:p w14:paraId="449986ED" w14:textId="77777777" w:rsidR="00885869" w:rsidRDefault="00885869">
      <w:pPr>
        <w:pStyle w:val="Heading1"/>
      </w:pPr>
      <w:r>
        <w:t>A.</w:t>
      </w:r>
      <w:r>
        <w:tab/>
        <w:t>JUSTIFICATION</w:t>
      </w:r>
    </w:p>
    <w:p w14:paraId="449986EE" w14:textId="77777777" w:rsidR="00885869" w:rsidRDefault="00885869">
      <w:pPr>
        <w:rPr>
          <w:rFonts w:ascii="Arial" w:hAnsi="Arial"/>
          <w:b/>
          <w:sz w:val="24"/>
        </w:rPr>
      </w:pPr>
    </w:p>
    <w:p w14:paraId="449986EF" w14:textId="77777777" w:rsidR="00885869" w:rsidRDefault="00885869">
      <w:pPr>
        <w:rPr>
          <w:rFonts w:ascii="Arial" w:hAnsi="Arial"/>
          <w:b/>
          <w:sz w:val="24"/>
        </w:rPr>
      </w:pPr>
      <w:r>
        <w:rPr>
          <w:rFonts w:ascii="Arial" w:hAnsi="Arial"/>
          <w:b/>
          <w:sz w:val="24"/>
        </w:rPr>
        <w:t>1.</w:t>
      </w:r>
      <w:r>
        <w:rPr>
          <w:rFonts w:ascii="Arial" w:hAnsi="Arial"/>
          <w:b/>
          <w:sz w:val="24"/>
        </w:rPr>
        <w:tab/>
        <w:t>Necessity of Inform</w:t>
      </w:r>
      <w:bookmarkStart w:id="0" w:name="_GoBack"/>
      <w:bookmarkEnd w:id="0"/>
      <w:r>
        <w:rPr>
          <w:rFonts w:ascii="Arial" w:hAnsi="Arial"/>
          <w:b/>
          <w:sz w:val="24"/>
        </w:rPr>
        <w:t>ation Collection</w:t>
      </w:r>
    </w:p>
    <w:p w14:paraId="449986F0" w14:textId="77777777" w:rsidR="00885869" w:rsidRDefault="00885869">
      <w:pPr>
        <w:jc w:val="both"/>
        <w:rPr>
          <w:rFonts w:ascii="Arial" w:hAnsi="Arial"/>
          <w:sz w:val="24"/>
        </w:rPr>
      </w:pPr>
    </w:p>
    <w:p w14:paraId="449986F1" w14:textId="77777777" w:rsidR="0051686C" w:rsidRDefault="0051686C" w:rsidP="0051686C">
      <w:pPr>
        <w:jc w:val="both"/>
        <w:rPr>
          <w:rFonts w:ascii="Arial" w:hAnsi="Arial"/>
          <w:sz w:val="24"/>
        </w:rPr>
      </w:pPr>
      <w:r>
        <w:rPr>
          <w:rFonts w:ascii="Arial" w:hAnsi="Arial"/>
          <w:sz w:val="24"/>
        </w:rPr>
        <w:t xml:space="preserve">This collection of information is required by the Trademark Act, 15 U.S.C. § 1051 </w:t>
      </w:r>
      <w:r w:rsidRPr="00C9514D">
        <w:rPr>
          <w:rFonts w:ascii="Arial" w:hAnsi="Arial"/>
          <w:i/>
          <w:sz w:val="24"/>
        </w:rPr>
        <w:t>et seq.,</w:t>
      </w:r>
      <w:r>
        <w:rPr>
          <w:rFonts w:ascii="Arial" w:hAnsi="Arial"/>
          <w:sz w:val="24"/>
        </w:rPr>
        <w:t xml:space="preserve"> which provides for the registration of trademarks, service marks, collective trademarks and collective service marks, collective membership marks, and certification marks.  Individuals and businesses that use or intend to use such marks in commerce may file an application to register their marks with the United States Patent and Trademark Office (USPTO).  </w:t>
      </w:r>
    </w:p>
    <w:p w14:paraId="449986F2" w14:textId="77777777" w:rsidR="0051686C" w:rsidRDefault="0051686C" w:rsidP="0051686C">
      <w:pPr>
        <w:jc w:val="both"/>
        <w:rPr>
          <w:rFonts w:ascii="Arial" w:hAnsi="Arial"/>
          <w:sz w:val="24"/>
        </w:rPr>
      </w:pPr>
    </w:p>
    <w:p w14:paraId="449986F3" w14:textId="7348EC68" w:rsidR="0051686C" w:rsidRDefault="0051686C" w:rsidP="0051686C">
      <w:pPr>
        <w:jc w:val="both"/>
        <w:rPr>
          <w:rFonts w:ascii="Arial" w:hAnsi="Arial"/>
          <w:sz w:val="24"/>
        </w:rPr>
      </w:pPr>
      <w:r>
        <w:rPr>
          <w:rFonts w:ascii="Arial" w:hAnsi="Arial"/>
          <w:sz w:val="24"/>
        </w:rPr>
        <w:t xml:space="preserve">Such individuals and businesses may also submit various communications to the USPTO, including requests to correct or amend their registrations.  Registered marks remain on the register for ten years and can be renewed, but will be cancelled unless the owner files with the USPTO a declaration attesting to the continued use (or excusable non-use) of the mark in commerce within specific deadlines.  Applicants may also surrender a registration and, in limited situations, petition the Director to reinstate a registration that has </w:t>
      </w:r>
      <w:r w:rsidR="005418E3">
        <w:rPr>
          <w:rFonts w:ascii="Arial" w:hAnsi="Arial"/>
          <w:sz w:val="24"/>
        </w:rPr>
        <w:t>expired or been cancelled</w:t>
      </w:r>
      <w:r>
        <w:rPr>
          <w:rFonts w:ascii="Arial" w:hAnsi="Arial"/>
          <w:sz w:val="24"/>
        </w:rPr>
        <w:t xml:space="preserve">.  </w:t>
      </w:r>
    </w:p>
    <w:p w14:paraId="449986F4" w14:textId="77777777" w:rsidR="00903F6F" w:rsidRDefault="00903F6F">
      <w:pPr>
        <w:jc w:val="both"/>
        <w:rPr>
          <w:rFonts w:ascii="Arial" w:hAnsi="Arial"/>
          <w:sz w:val="24"/>
        </w:rPr>
      </w:pPr>
    </w:p>
    <w:p w14:paraId="449986F5" w14:textId="377FA44D" w:rsidR="006A2941" w:rsidRDefault="00400A96">
      <w:pPr>
        <w:jc w:val="both"/>
        <w:rPr>
          <w:rFonts w:ascii="Arial" w:hAnsi="Arial"/>
          <w:sz w:val="24"/>
        </w:rPr>
      </w:pPr>
      <w:r w:rsidRPr="00400A96">
        <w:rPr>
          <w:rFonts w:ascii="Arial" w:hAnsi="Arial"/>
          <w:sz w:val="24"/>
        </w:rPr>
        <w:t xml:space="preserve">This </w:t>
      </w:r>
      <w:r w:rsidR="00725D3F">
        <w:rPr>
          <w:rFonts w:ascii="Arial" w:hAnsi="Arial"/>
          <w:sz w:val="24"/>
        </w:rPr>
        <w:t>information collection request</w:t>
      </w:r>
      <w:r w:rsidR="00725D3F" w:rsidRPr="00400A96">
        <w:rPr>
          <w:rFonts w:ascii="Arial" w:hAnsi="Arial"/>
          <w:sz w:val="24"/>
        </w:rPr>
        <w:t xml:space="preserve"> </w:t>
      </w:r>
      <w:r w:rsidRPr="00400A96">
        <w:rPr>
          <w:rFonts w:ascii="Arial" w:hAnsi="Arial"/>
          <w:sz w:val="24"/>
        </w:rPr>
        <w:t xml:space="preserve">is being submitted in support of a notice of proposed rulemaking </w:t>
      </w:r>
      <w:r w:rsidR="00903F6F">
        <w:rPr>
          <w:rFonts w:ascii="Arial" w:hAnsi="Arial"/>
          <w:sz w:val="24"/>
        </w:rPr>
        <w:t>titled “</w:t>
      </w:r>
      <w:r w:rsidR="00DE4168">
        <w:rPr>
          <w:rFonts w:ascii="Arial" w:hAnsi="Arial"/>
          <w:sz w:val="24"/>
        </w:rPr>
        <w:t>Reduction</w:t>
      </w:r>
      <w:r w:rsidR="00903F6F">
        <w:rPr>
          <w:rFonts w:ascii="Arial" w:hAnsi="Arial"/>
          <w:sz w:val="24"/>
        </w:rPr>
        <w:t xml:space="preserve"> of Fees for Trademark Applications and Renewal</w:t>
      </w:r>
      <w:r w:rsidR="00D60D33">
        <w:rPr>
          <w:rFonts w:ascii="Arial" w:hAnsi="Arial"/>
          <w:sz w:val="24"/>
        </w:rPr>
        <w:t>s”</w:t>
      </w:r>
      <w:r>
        <w:rPr>
          <w:rFonts w:ascii="Arial" w:hAnsi="Arial"/>
          <w:sz w:val="24"/>
        </w:rPr>
        <w:t xml:space="preserve"> (RIN 0651-AC94). </w:t>
      </w:r>
      <w:r w:rsidR="00D60D33">
        <w:rPr>
          <w:rFonts w:ascii="Arial" w:hAnsi="Arial"/>
          <w:sz w:val="24"/>
        </w:rPr>
        <w:t xml:space="preserve"> </w:t>
      </w:r>
      <w:r w:rsidR="007F53E4">
        <w:rPr>
          <w:rFonts w:ascii="Arial" w:hAnsi="Arial"/>
          <w:sz w:val="24"/>
        </w:rPr>
        <w:t>The</w:t>
      </w:r>
      <w:r w:rsidR="00725D3F" w:rsidRPr="00725D3F">
        <w:rPr>
          <w:rFonts w:ascii="Arial" w:hAnsi="Arial"/>
          <w:sz w:val="24"/>
        </w:rPr>
        <w:t xml:space="preserve"> USPTO is submitting this revision to the currently approved collection to account for the reduced filing fees for applications for renewal of a registration</w:t>
      </w:r>
      <w:r w:rsidR="002A57EB">
        <w:rPr>
          <w:rFonts w:ascii="Arial" w:hAnsi="Arial"/>
          <w:sz w:val="24"/>
        </w:rPr>
        <w:t xml:space="preserve"> </w:t>
      </w:r>
      <w:r w:rsidR="002A57EB">
        <w:rPr>
          <w:rFonts w:ascii="Arial" w:hAnsi="Arial"/>
          <w:sz w:val="24"/>
          <w:lang w:val="en"/>
        </w:rPr>
        <w:t>filed through the Trademark Electronic Application System (TEAS)</w:t>
      </w:r>
      <w:r w:rsidR="00725D3F" w:rsidRPr="00725D3F">
        <w:rPr>
          <w:rFonts w:ascii="Arial" w:hAnsi="Arial"/>
          <w:sz w:val="24"/>
        </w:rPr>
        <w:t xml:space="preserve">.  </w:t>
      </w:r>
      <w:r>
        <w:rPr>
          <w:rFonts w:ascii="Arial" w:hAnsi="Arial"/>
          <w:sz w:val="24"/>
        </w:rPr>
        <w:t xml:space="preserve">The USPTO proposes, </w:t>
      </w:r>
      <w:r w:rsidRPr="00400A96">
        <w:rPr>
          <w:rFonts w:ascii="Arial" w:hAnsi="Arial"/>
          <w:i/>
          <w:sz w:val="24"/>
        </w:rPr>
        <w:t>inter alia</w:t>
      </w:r>
      <w:r>
        <w:rPr>
          <w:rFonts w:ascii="Arial" w:hAnsi="Arial"/>
          <w:sz w:val="24"/>
        </w:rPr>
        <w:t>, to</w:t>
      </w:r>
      <w:r w:rsidRPr="00400A96">
        <w:rPr>
          <w:rFonts w:ascii="Arial" w:hAnsi="Arial"/>
          <w:sz w:val="24"/>
        </w:rPr>
        <w:t xml:space="preserve"> revise the Trademark Rules of Practice (37 CFR Part 2) </w:t>
      </w:r>
      <w:r>
        <w:rPr>
          <w:rFonts w:ascii="Arial" w:hAnsi="Arial"/>
          <w:sz w:val="24"/>
        </w:rPr>
        <w:t>to reduce</w:t>
      </w:r>
      <w:r w:rsidR="00903F6F">
        <w:rPr>
          <w:rFonts w:ascii="Arial" w:hAnsi="Arial"/>
          <w:sz w:val="24"/>
        </w:rPr>
        <w:t xml:space="preserve"> the filing fees for </w:t>
      </w:r>
      <w:r w:rsidRPr="00400A96">
        <w:rPr>
          <w:rFonts w:ascii="Arial" w:hAnsi="Arial"/>
          <w:sz w:val="24"/>
          <w:lang w:val="en"/>
        </w:rPr>
        <w:t>applications for renewal of a registration</w:t>
      </w:r>
      <w:r w:rsidR="00214719">
        <w:rPr>
          <w:rFonts w:ascii="Arial" w:hAnsi="Arial"/>
          <w:sz w:val="24"/>
          <w:lang w:val="en"/>
        </w:rPr>
        <w:t xml:space="preserve"> filed through TEAS</w:t>
      </w:r>
      <w:r>
        <w:rPr>
          <w:rFonts w:ascii="Arial" w:hAnsi="Arial"/>
          <w:sz w:val="24"/>
        </w:rPr>
        <w:t xml:space="preserve">.  </w:t>
      </w:r>
    </w:p>
    <w:p w14:paraId="449986F8" w14:textId="77777777" w:rsidR="00903F6F" w:rsidRDefault="00903F6F">
      <w:pPr>
        <w:jc w:val="both"/>
        <w:rPr>
          <w:rFonts w:ascii="Arial" w:hAnsi="Arial"/>
          <w:sz w:val="24"/>
        </w:rPr>
      </w:pPr>
    </w:p>
    <w:p w14:paraId="449986F9" w14:textId="36CEFEEE" w:rsidR="00903F6F" w:rsidRDefault="008C7990">
      <w:pPr>
        <w:jc w:val="both"/>
        <w:rPr>
          <w:rFonts w:ascii="Arial" w:hAnsi="Arial"/>
          <w:sz w:val="24"/>
        </w:rPr>
      </w:pPr>
      <w:r>
        <w:rPr>
          <w:rFonts w:ascii="Arial" w:hAnsi="Arial"/>
          <w:sz w:val="24"/>
        </w:rPr>
        <w:t xml:space="preserve">Table 1 identifies the statutes and rules that </w:t>
      </w:r>
      <w:r w:rsidR="007F53E4">
        <w:rPr>
          <w:rFonts w:ascii="Arial" w:hAnsi="Arial"/>
          <w:sz w:val="24"/>
        </w:rPr>
        <w:t xml:space="preserve">necessitate or require </w:t>
      </w:r>
      <w:r>
        <w:rPr>
          <w:rFonts w:ascii="Arial" w:hAnsi="Arial"/>
          <w:sz w:val="24"/>
        </w:rPr>
        <w:t xml:space="preserve">the USPTO to collect the information needed to process trademark </w:t>
      </w:r>
      <w:r w:rsidR="002A57EB">
        <w:rPr>
          <w:rFonts w:ascii="Arial" w:hAnsi="Arial"/>
          <w:sz w:val="24"/>
        </w:rPr>
        <w:t>renewal</w:t>
      </w:r>
      <w:r>
        <w:rPr>
          <w:rFonts w:ascii="Arial" w:hAnsi="Arial"/>
          <w:sz w:val="24"/>
        </w:rPr>
        <w:t xml:space="preserve"> applications.</w:t>
      </w:r>
    </w:p>
    <w:p w14:paraId="449986FA" w14:textId="77777777" w:rsidR="00194540" w:rsidRDefault="00194540">
      <w:pPr>
        <w:pStyle w:val="BodyText"/>
      </w:pPr>
    </w:p>
    <w:p w14:paraId="449986FB" w14:textId="77777777" w:rsidR="00885869" w:rsidRDefault="00885869">
      <w:pPr>
        <w:pStyle w:val="BodyText"/>
      </w:pPr>
      <w:r>
        <w:t xml:space="preserve">Table 1:  Information Requirements for </w:t>
      </w:r>
      <w:r w:rsidR="00214719">
        <w:t xml:space="preserve">Proposed Revision to </w:t>
      </w:r>
      <w:r w:rsidR="00214719" w:rsidRPr="00214719">
        <w:t>Post Registration (Trademark Processing)</w:t>
      </w:r>
    </w:p>
    <w:tbl>
      <w:tblPr>
        <w:tblW w:w="9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5" w:type="dxa"/>
          <w:left w:w="115" w:type="dxa"/>
          <w:bottom w:w="115" w:type="dxa"/>
          <w:right w:w="115" w:type="dxa"/>
        </w:tblCellMar>
        <w:tblLook w:val="0000" w:firstRow="0" w:lastRow="0" w:firstColumn="0" w:lastColumn="0" w:noHBand="0" w:noVBand="0"/>
      </w:tblPr>
      <w:tblGrid>
        <w:gridCol w:w="4050"/>
        <w:gridCol w:w="2250"/>
        <w:gridCol w:w="2700"/>
      </w:tblGrid>
      <w:tr w:rsidR="00214719" w14:paraId="449986FF" w14:textId="77777777" w:rsidTr="00DB374A">
        <w:trPr>
          <w:cantSplit/>
          <w:trHeight w:val="287"/>
        </w:trPr>
        <w:tc>
          <w:tcPr>
            <w:tcW w:w="4050" w:type="dxa"/>
            <w:vAlign w:val="center"/>
          </w:tcPr>
          <w:p w14:paraId="449986FC" w14:textId="77777777" w:rsidR="00214719" w:rsidRDefault="00214719" w:rsidP="00DB374A">
            <w:pPr>
              <w:pStyle w:val="Heading9"/>
              <w:rPr>
                <w:sz w:val="16"/>
              </w:rPr>
            </w:pPr>
            <w:r>
              <w:rPr>
                <w:sz w:val="16"/>
              </w:rPr>
              <w:t>Requirement</w:t>
            </w:r>
          </w:p>
        </w:tc>
        <w:tc>
          <w:tcPr>
            <w:tcW w:w="2250" w:type="dxa"/>
            <w:vAlign w:val="center"/>
          </w:tcPr>
          <w:p w14:paraId="449986FD" w14:textId="77777777" w:rsidR="00214719" w:rsidRDefault="00214719" w:rsidP="00DB374A">
            <w:pPr>
              <w:jc w:val="center"/>
              <w:rPr>
                <w:rFonts w:ascii="Arial" w:hAnsi="Arial"/>
                <w:b/>
                <w:sz w:val="16"/>
              </w:rPr>
            </w:pPr>
            <w:r>
              <w:rPr>
                <w:rFonts w:ascii="Arial" w:hAnsi="Arial"/>
                <w:b/>
                <w:sz w:val="16"/>
              </w:rPr>
              <w:t>Statute</w:t>
            </w:r>
          </w:p>
        </w:tc>
        <w:tc>
          <w:tcPr>
            <w:tcW w:w="2700" w:type="dxa"/>
            <w:vAlign w:val="center"/>
          </w:tcPr>
          <w:p w14:paraId="449986FE" w14:textId="77777777" w:rsidR="00214719" w:rsidRDefault="00214719" w:rsidP="00DB374A">
            <w:pPr>
              <w:jc w:val="center"/>
              <w:rPr>
                <w:rFonts w:ascii="Arial" w:hAnsi="Arial"/>
                <w:b/>
                <w:sz w:val="16"/>
              </w:rPr>
            </w:pPr>
            <w:r>
              <w:rPr>
                <w:rFonts w:ascii="Arial" w:hAnsi="Arial"/>
                <w:b/>
                <w:sz w:val="16"/>
              </w:rPr>
              <w:t>Rule</w:t>
            </w:r>
          </w:p>
        </w:tc>
      </w:tr>
      <w:tr w:rsidR="00214719" w14:paraId="44998703" w14:textId="77777777" w:rsidTr="00DB374A">
        <w:trPr>
          <w:cantSplit/>
        </w:trPr>
        <w:tc>
          <w:tcPr>
            <w:tcW w:w="4050" w:type="dxa"/>
            <w:vAlign w:val="center"/>
          </w:tcPr>
          <w:p w14:paraId="44998700" w14:textId="77777777" w:rsidR="00214719" w:rsidRDefault="00C927FC" w:rsidP="00DB374A">
            <w:pPr>
              <w:rPr>
                <w:rFonts w:ascii="Arial" w:hAnsi="Arial"/>
                <w:sz w:val="16"/>
              </w:rPr>
            </w:pPr>
            <w:r w:rsidRPr="00C927FC">
              <w:rPr>
                <w:rFonts w:ascii="Arial" w:hAnsi="Arial"/>
                <w:sz w:val="16"/>
              </w:rPr>
              <w:t>Combined Declaration of Use and/or Excusable Nonuse/Application for Renewal under Sections 8 &amp; 9</w:t>
            </w:r>
          </w:p>
        </w:tc>
        <w:tc>
          <w:tcPr>
            <w:tcW w:w="2250" w:type="dxa"/>
            <w:vAlign w:val="center"/>
          </w:tcPr>
          <w:p w14:paraId="44998701" w14:textId="77777777" w:rsidR="00214719" w:rsidRDefault="00214719" w:rsidP="00DB374A">
            <w:pPr>
              <w:rPr>
                <w:rFonts w:ascii="Arial" w:hAnsi="Arial"/>
                <w:sz w:val="16"/>
              </w:rPr>
            </w:pPr>
            <w:r>
              <w:rPr>
                <w:rFonts w:ascii="Arial" w:hAnsi="Arial"/>
                <w:sz w:val="16"/>
              </w:rPr>
              <w:t>15 U.S.C. §§ 1058 and 1059</w:t>
            </w:r>
          </w:p>
        </w:tc>
        <w:tc>
          <w:tcPr>
            <w:tcW w:w="2700" w:type="dxa"/>
            <w:vAlign w:val="center"/>
          </w:tcPr>
          <w:p w14:paraId="44998702" w14:textId="77777777" w:rsidR="00214719" w:rsidRDefault="00214719" w:rsidP="00DB374A">
            <w:pPr>
              <w:rPr>
                <w:rFonts w:ascii="Arial" w:hAnsi="Arial"/>
                <w:sz w:val="16"/>
              </w:rPr>
            </w:pPr>
            <w:r>
              <w:rPr>
                <w:rFonts w:ascii="Arial" w:hAnsi="Arial"/>
                <w:sz w:val="16"/>
              </w:rPr>
              <w:t>37 CFR Part 2, 2.166, 2.168, 2.182, 2.183, and 2.185</w:t>
            </w:r>
          </w:p>
        </w:tc>
      </w:tr>
    </w:tbl>
    <w:p w14:paraId="44998704" w14:textId="77777777" w:rsidR="00885869" w:rsidRDefault="00885869">
      <w:pPr>
        <w:jc w:val="both"/>
        <w:rPr>
          <w:rFonts w:ascii="Arial" w:hAnsi="Arial"/>
          <w:b/>
          <w:sz w:val="24"/>
        </w:rPr>
      </w:pPr>
    </w:p>
    <w:p w14:paraId="509AA216" w14:textId="77777777" w:rsidR="00FD1803" w:rsidRDefault="00FD1803">
      <w:pPr>
        <w:jc w:val="both"/>
        <w:rPr>
          <w:rFonts w:ascii="Arial" w:hAnsi="Arial"/>
          <w:b/>
          <w:sz w:val="24"/>
        </w:rPr>
      </w:pPr>
    </w:p>
    <w:p w14:paraId="44998705" w14:textId="77777777" w:rsidR="00885869" w:rsidRDefault="00885869">
      <w:pPr>
        <w:numPr>
          <w:ilvl w:val="0"/>
          <w:numId w:val="16"/>
        </w:numPr>
        <w:jc w:val="both"/>
        <w:rPr>
          <w:rFonts w:ascii="Arial" w:hAnsi="Arial"/>
          <w:b/>
          <w:sz w:val="24"/>
        </w:rPr>
      </w:pPr>
      <w:r>
        <w:rPr>
          <w:rFonts w:ascii="Arial" w:hAnsi="Arial"/>
          <w:b/>
          <w:sz w:val="24"/>
        </w:rPr>
        <w:t>Needs and Uses</w:t>
      </w:r>
    </w:p>
    <w:p w14:paraId="44998706" w14:textId="77777777" w:rsidR="00885869" w:rsidRDefault="00885869">
      <w:pPr>
        <w:tabs>
          <w:tab w:val="left" w:pos="720"/>
        </w:tabs>
        <w:jc w:val="both"/>
        <w:rPr>
          <w:rFonts w:ascii="Arial" w:hAnsi="Arial"/>
          <w:b/>
          <w:sz w:val="24"/>
        </w:rPr>
      </w:pPr>
    </w:p>
    <w:p w14:paraId="44998707" w14:textId="77777777" w:rsidR="00885869" w:rsidRDefault="00214719">
      <w:pPr>
        <w:tabs>
          <w:tab w:val="left" w:pos="720"/>
        </w:tabs>
        <w:jc w:val="both"/>
        <w:rPr>
          <w:rFonts w:ascii="Arial" w:hAnsi="Arial"/>
          <w:sz w:val="24"/>
        </w:rPr>
      </w:pPr>
      <w:r w:rsidRPr="00214719">
        <w:rPr>
          <w:rFonts w:ascii="Arial" w:hAnsi="Arial"/>
          <w:sz w:val="24"/>
        </w:rPr>
        <w:lastRenderedPageBreak/>
        <w:t xml:space="preserve">The USPTO uses the information described in this collection to process post-registration submissions.  </w:t>
      </w:r>
      <w:r w:rsidR="00885869">
        <w:rPr>
          <w:rFonts w:ascii="Arial" w:hAnsi="Arial"/>
          <w:sz w:val="24"/>
        </w:rPr>
        <w:t>The information in this collection is a matter of public record and is used by the public for a variety of private business purposes related to establishing and enforcing trademark rights.  The information is available at USPTO facilities and can also be accessed at the USPTO’s website.  Additionally, the USPTO provides the information to other entities, including Patent and Trademark</w:t>
      </w:r>
      <w:r w:rsidR="001C794B">
        <w:rPr>
          <w:rFonts w:ascii="Arial" w:hAnsi="Arial"/>
          <w:sz w:val="24"/>
        </w:rPr>
        <w:t xml:space="preserve"> Resource Centers </w:t>
      </w:r>
      <w:r w:rsidR="00885869">
        <w:rPr>
          <w:rFonts w:ascii="Arial" w:hAnsi="Arial"/>
          <w:sz w:val="24"/>
        </w:rPr>
        <w:t>(PT</w:t>
      </w:r>
      <w:r w:rsidR="001C794B">
        <w:rPr>
          <w:rFonts w:ascii="Arial" w:hAnsi="Arial"/>
          <w:sz w:val="24"/>
        </w:rPr>
        <w:t>RC</w:t>
      </w:r>
      <w:r w:rsidR="00885869">
        <w:rPr>
          <w:rFonts w:ascii="Arial" w:hAnsi="Arial"/>
          <w:sz w:val="24"/>
        </w:rPr>
        <w:t>s).  The PT</w:t>
      </w:r>
      <w:r w:rsidR="001C794B">
        <w:rPr>
          <w:rFonts w:ascii="Arial" w:hAnsi="Arial"/>
          <w:sz w:val="24"/>
        </w:rPr>
        <w:t>RC</w:t>
      </w:r>
      <w:r w:rsidR="00885869">
        <w:rPr>
          <w:rFonts w:ascii="Arial" w:hAnsi="Arial"/>
          <w:sz w:val="24"/>
        </w:rPr>
        <w:t>s maintain the information for use by the public.</w:t>
      </w:r>
    </w:p>
    <w:p w14:paraId="44998708" w14:textId="77777777" w:rsidR="00A33D88" w:rsidRDefault="00A33D88">
      <w:pPr>
        <w:tabs>
          <w:tab w:val="left" w:pos="720"/>
        </w:tabs>
        <w:jc w:val="both"/>
        <w:rPr>
          <w:rFonts w:ascii="Arial" w:hAnsi="Arial"/>
          <w:sz w:val="24"/>
        </w:rPr>
      </w:pPr>
    </w:p>
    <w:p w14:paraId="44998709" w14:textId="5E20F483" w:rsidR="00A33D88" w:rsidRDefault="00A33D88" w:rsidP="001733C2">
      <w:pPr>
        <w:pStyle w:val="BodyText2"/>
        <w:tabs>
          <w:tab w:val="left" w:pos="720"/>
        </w:tabs>
      </w:pPr>
      <w:r>
        <w:t>The information in this collection can be submitted</w:t>
      </w:r>
      <w:r w:rsidR="00FD1803">
        <w:t xml:space="preserve"> through PTO Form 1963 either</w:t>
      </w:r>
      <w:r>
        <w:t xml:space="preserve"> in paper format or electronical</w:t>
      </w:r>
      <w:r w:rsidR="00FD1803">
        <w:t>ly</w:t>
      </w:r>
      <w:r>
        <w:t xml:space="preserve"> through TEAS</w:t>
      </w:r>
      <w:r w:rsidR="001733C2">
        <w:t>.</w:t>
      </w:r>
    </w:p>
    <w:p w14:paraId="4499870A" w14:textId="77777777" w:rsidR="00A33D88" w:rsidRDefault="00A33D88">
      <w:pPr>
        <w:tabs>
          <w:tab w:val="left" w:pos="720"/>
        </w:tabs>
        <w:jc w:val="both"/>
        <w:rPr>
          <w:rFonts w:ascii="Arial" w:hAnsi="Arial"/>
          <w:sz w:val="24"/>
        </w:rPr>
      </w:pPr>
    </w:p>
    <w:p w14:paraId="4499870D" w14:textId="2DCFB6EF" w:rsidR="00214719" w:rsidRDefault="006A37BA" w:rsidP="0065764B">
      <w:pPr>
        <w:tabs>
          <w:tab w:val="left" w:pos="720"/>
        </w:tabs>
        <w:jc w:val="both"/>
        <w:rPr>
          <w:rFonts w:ascii="Arial" w:hAnsi="Arial"/>
          <w:sz w:val="24"/>
        </w:rPr>
      </w:pPr>
      <w:r w:rsidRPr="00214719">
        <w:rPr>
          <w:rFonts w:ascii="Arial" w:hAnsi="Arial"/>
          <w:sz w:val="24"/>
        </w:rPr>
        <w:t xml:space="preserve">This proposed collection of information will result in information that will be collected, maintained, and used in a way consistent with all applicable Information Quality Guidelines.  </w:t>
      </w:r>
      <w:r>
        <w:rPr>
          <w:rFonts w:ascii="Arial" w:hAnsi="Arial"/>
          <w:sz w:val="24"/>
        </w:rPr>
        <w:t>Th</w:t>
      </w:r>
      <w:r w:rsidR="007D59CA">
        <w:rPr>
          <w:rFonts w:ascii="Arial" w:hAnsi="Arial"/>
          <w:sz w:val="24"/>
        </w:rPr>
        <w:t>e</w:t>
      </w:r>
      <w:r>
        <w:rPr>
          <w:rFonts w:ascii="Arial" w:hAnsi="Arial"/>
          <w:sz w:val="24"/>
        </w:rPr>
        <w:t xml:space="preserve"> </w:t>
      </w:r>
      <w:r w:rsidR="00AA3ED5">
        <w:rPr>
          <w:rFonts w:ascii="Arial" w:hAnsi="Arial"/>
          <w:sz w:val="24"/>
        </w:rPr>
        <w:t xml:space="preserve">information </w:t>
      </w:r>
      <w:r w:rsidR="00AD7429">
        <w:rPr>
          <w:rFonts w:ascii="Arial" w:hAnsi="Arial"/>
          <w:sz w:val="24"/>
        </w:rPr>
        <w:t xml:space="preserve">obtained through this </w:t>
      </w:r>
      <w:r w:rsidR="007D59CA">
        <w:rPr>
          <w:rFonts w:ascii="Arial" w:hAnsi="Arial"/>
          <w:sz w:val="24"/>
        </w:rPr>
        <w:t>collection</w:t>
      </w:r>
      <w:r w:rsidR="00AD7429">
        <w:rPr>
          <w:rFonts w:ascii="Arial" w:hAnsi="Arial"/>
          <w:sz w:val="24"/>
        </w:rPr>
        <w:t xml:space="preserve"> will </w:t>
      </w:r>
      <w:r w:rsidR="005B3304">
        <w:rPr>
          <w:rFonts w:ascii="Arial" w:hAnsi="Arial"/>
          <w:sz w:val="24"/>
        </w:rPr>
        <w:t xml:space="preserve">be </w:t>
      </w:r>
      <w:r w:rsidR="007D59CA">
        <w:rPr>
          <w:rFonts w:ascii="Arial" w:hAnsi="Arial"/>
          <w:sz w:val="24"/>
        </w:rPr>
        <w:t>maintained and used in accordance</w:t>
      </w:r>
      <w:r w:rsidR="00885869">
        <w:rPr>
          <w:rFonts w:ascii="Arial" w:hAnsi="Arial"/>
          <w:sz w:val="24"/>
        </w:rPr>
        <w:t xml:space="preserve"> applicable information quality guidelines, </w:t>
      </w:r>
      <w:r w:rsidR="00885869">
        <w:rPr>
          <w:rFonts w:ascii="Arial" w:hAnsi="Arial"/>
          <w:i/>
          <w:iCs/>
          <w:sz w:val="24"/>
        </w:rPr>
        <w:t>i.e.,</w:t>
      </w:r>
      <w:r w:rsidR="00885869">
        <w:rPr>
          <w:rFonts w:ascii="Arial" w:hAnsi="Arial"/>
          <w:sz w:val="24"/>
        </w:rPr>
        <w:t xml:space="preserve"> OMB and specific operating unit guidelines.</w:t>
      </w:r>
      <w:r w:rsidRPr="006A37BA">
        <w:rPr>
          <w:rFonts w:ascii="Arial" w:hAnsi="Arial"/>
          <w:sz w:val="24"/>
        </w:rPr>
        <w:t xml:space="preserve"> </w:t>
      </w:r>
      <w:r>
        <w:rPr>
          <w:rFonts w:ascii="Arial" w:hAnsi="Arial"/>
          <w:sz w:val="24"/>
        </w:rPr>
        <w:t xml:space="preserve">The Information Quality Guidelines from Section 515 of Public Law 106-554, Treasury and General Government Appropriations Act for Fiscal Year 2001, apply to this information collection. </w:t>
      </w:r>
    </w:p>
    <w:p w14:paraId="4499870E" w14:textId="77777777" w:rsidR="00917B1F" w:rsidRDefault="00917B1F">
      <w:pPr>
        <w:tabs>
          <w:tab w:val="left" w:pos="720"/>
        </w:tabs>
        <w:jc w:val="both"/>
        <w:rPr>
          <w:rFonts w:ascii="Arial" w:hAnsi="Arial"/>
          <w:sz w:val="24"/>
        </w:rPr>
      </w:pPr>
    </w:p>
    <w:p w14:paraId="4499870F" w14:textId="77777777" w:rsidR="00885869" w:rsidRDefault="00885869">
      <w:pPr>
        <w:tabs>
          <w:tab w:val="left" w:pos="720"/>
        </w:tabs>
        <w:jc w:val="both"/>
        <w:rPr>
          <w:rFonts w:ascii="Arial" w:hAnsi="Arial"/>
          <w:sz w:val="24"/>
        </w:rPr>
      </w:pPr>
      <w:r>
        <w:rPr>
          <w:rFonts w:ascii="Arial" w:hAnsi="Arial"/>
          <w:sz w:val="24"/>
        </w:rPr>
        <w:t xml:space="preserve">Table 2 lists the information identified in this collection and explains how this information is used by the public and by the USPTO: </w:t>
      </w:r>
    </w:p>
    <w:p w14:paraId="44998710" w14:textId="77777777" w:rsidR="00885869" w:rsidRDefault="00885869">
      <w:pPr>
        <w:tabs>
          <w:tab w:val="left" w:pos="720"/>
        </w:tabs>
        <w:jc w:val="both"/>
        <w:rPr>
          <w:rFonts w:ascii="Arial" w:hAnsi="Arial"/>
          <w:sz w:val="24"/>
        </w:rPr>
      </w:pPr>
    </w:p>
    <w:p w14:paraId="44998711" w14:textId="77777777" w:rsidR="00885869" w:rsidRDefault="00885869">
      <w:pPr>
        <w:pStyle w:val="Heading3"/>
      </w:pPr>
      <w:r>
        <w:t xml:space="preserve">Table 2:  Needs and Uses of </w:t>
      </w:r>
      <w:r w:rsidR="00214719" w:rsidRPr="00214719">
        <w:t>Post Registration (Trademark Processing)</w:t>
      </w:r>
    </w:p>
    <w:tbl>
      <w:tblPr>
        <w:tblW w:w="95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5" w:type="dxa"/>
          <w:left w:w="115" w:type="dxa"/>
          <w:bottom w:w="115" w:type="dxa"/>
          <w:right w:w="115" w:type="dxa"/>
        </w:tblCellMar>
        <w:tblLook w:val="0000" w:firstRow="0" w:lastRow="0" w:firstColumn="0" w:lastColumn="0" w:noHBand="0" w:noVBand="0"/>
      </w:tblPr>
      <w:tblGrid>
        <w:gridCol w:w="3699"/>
        <w:gridCol w:w="1367"/>
        <w:gridCol w:w="4497"/>
      </w:tblGrid>
      <w:tr w:rsidR="00FD1803" w14:paraId="44998715" w14:textId="77777777" w:rsidTr="005B3304">
        <w:trPr>
          <w:cantSplit/>
          <w:trHeight w:val="177"/>
          <w:tblHeader/>
        </w:trPr>
        <w:tc>
          <w:tcPr>
            <w:tcW w:w="3699" w:type="dxa"/>
            <w:vAlign w:val="center"/>
          </w:tcPr>
          <w:p w14:paraId="44998712" w14:textId="057A2C6D" w:rsidR="00FD1803" w:rsidRDefault="00FD1803" w:rsidP="00DB374A">
            <w:pPr>
              <w:tabs>
                <w:tab w:val="left" w:pos="720"/>
              </w:tabs>
              <w:jc w:val="center"/>
              <w:rPr>
                <w:rFonts w:ascii="Arial" w:hAnsi="Arial"/>
                <w:b/>
                <w:sz w:val="16"/>
              </w:rPr>
            </w:pPr>
            <w:r>
              <w:rPr>
                <w:rFonts w:ascii="Arial" w:hAnsi="Arial"/>
                <w:b/>
                <w:sz w:val="16"/>
              </w:rPr>
              <w:t>Form and Function</w:t>
            </w:r>
          </w:p>
        </w:tc>
        <w:tc>
          <w:tcPr>
            <w:tcW w:w="1367" w:type="dxa"/>
            <w:vAlign w:val="center"/>
          </w:tcPr>
          <w:p w14:paraId="44998713" w14:textId="77777777" w:rsidR="00FD1803" w:rsidRDefault="00FD1803" w:rsidP="00DB374A">
            <w:pPr>
              <w:tabs>
                <w:tab w:val="left" w:pos="720"/>
              </w:tabs>
              <w:jc w:val="center"/>
              <w:rPr>
                <w:rFonts w:ascii="Arial" w:hAnsi="Arial"/>
                <w:b/>
                <w:sz w:val="16"/>
              </w:rPr>
            </w:pPr>
            <w:r>
              <w:rPr>
                <w:rFonts w:ascii="Arial" w:hAnsi="Arial"/>
                <w:b/>
                <w:sz w:val="16"/>
              </w:rPr>
              <w:t>Form #</w:t>
            </w:r>
          </w:p>
        </w:tc>
        <w:tc>
          <w:tcPr>
            <w:tcW w:w="4497" w:type="dxa"/>
            <w:vAlign w:val="center"/>
          </w:tcPr>
          <w:p w14:paraId="44998714" w14:textId="77777777" w:rsidR="00FD1803" w:rsidRDefault="00FD1803" w:rsidP="00DB374A">
            <w:pPr>
              <w:tabs>
                <w:tab w:val="left" w:pos="720"/>
              </w:tabs>
              <w:jc w:val="center"/>
              <w:rPr>
                <w:rFonts w:ascii="Arial" w:hAnsi="Arial"/>
                <w:b/>
                <w:sz w:val="16"/>
              </w:rPr>
            </w:pPr>
            <w:r>
              <w:rPr>
                <w:rFonts w:ascii="Arial" w:hAnsi="Arial"/>
                <w:b/>
                <w:sz w:val="16"/>
              </w:rPr>
              <w:t>Needs and Uses</w:t>
            </w:r>
          </w:p>
        </w:tc>
      </w:tr>
      <w:tr w:rsidR="00FD1803" w14:paraId="4499871A" w14:textId="77777777" w:rsidTr="005B3304">
        <w:trPr>
          <w:cantSplit/>
          <w:trHeight w:val="716"/>
        </w:trPr>
        <w:tc>
          <w:tcPr>
            <w:tcW w:w="3699" w:type="dxa"/>
            <w:vAlign w:val="center"/>
          </w:tcPr>
          <w:p w14:paraId="44998716" w14:textId="169FA3FC" w:rsidR="00FD1803" w:rsidRDefault="00FD1803" w:rsidP="00DB374A">
            <w:pPr>
              <w:tabs>
                <w:tab w:val="left" w:pos="720"/>
              </w:tabs>
              <w:rPr>
                <w:rFonts w:ascii="Arial" w:hAnsi="Arial"/>
                <w:sz w:val="16"/>
              </w:rPr>
            </w:pPr>
            <w:r w:rsidRPr="00E961A4">
              <w:rPr>
                <w:rFonts w:ascii="Arial" w:hAnsi="Arial"/>
                <w:sz w:val="16"/>
              </w:rPr>
              <w:t>Combined Declaration of Use and/or Excusable Nonuse/Application for Renewal under Sections 8 &amp; 9</w:t>
            </w:r>
          </w:p>
        </w:tc>
        <w:tc>
          <w:tcPr>
            <w:tcW w:w="1367" w:type="dxa"/>
            <w:vAlign w:val="center"/>
          </w:tcPr>
          <w:p w14:paraId="44998717" w14:textId="2B2959C9" w:rsidR="00FD1803" w:rsidRDefault="00FD1803" w:rsidP="00DB374A">
            <w:pPr>
              <w:tabs>
                <w:tab w:val="left" w:pos="720"/>
              </w:tabs>
              <w:jc w:val="center"/>
              <w:rPr>
                <w:rFonts w:ascii="Arial" w:hAnsi="Arial"/>
                <w:sz w:val="16"/>
              </w:rPr>
            </w:pPr>
            <w:r>
              <w:rPr>
                <w:rFonts w:ascii="Arial" w:hAnsi="Arial"/>
                <w:sz w:val="16"/>
              </w:rPr>
              <w:t>PTO Form 1963 (Paper Version)</w:t>
            </w:r>
          </w:p>
        </w:tc>
        <w:tc>
          <w:tcPr>
            <w:tcW w:w="4497" w:type="dxa"/>
          </w:tcPr>
          <w:p w14:paraId="44998718" w14:textId="77777777" w:rsidR="00FD1803" w:rsidRDefault="00FD1803" w:rsidP="00DB374A">
            <w:pPr>
              <w:numPr>
                <w:ilvl w:val="0"/>
                <w:numId w:val="1"/>
              </w:numPr>
              <w:tabs>
                <w:tab w:val="num" w:pos="252"/>
                <w:tab w:val="left" w:pos="720"/>
              </w:tabs>
              <w:ind w:left="252" w:hanging="252"/>
              <w:rPr>
                <w:rFonts w:ascii="Arial" w:hAnsi="Arial"/>
                <w:sz w:val="16"/>
              </w:rPr>
            </w:pPr>
            <w:r>
              <w:rPr>
                <w:rFonts w:ascii="Arial" w:hAnsi="Arial"/>
                <w:sz w:val="16"/>
              </w:rPr>
              <w:t xml:space="preserve">Used by the public to complete and file declarations of use or excusable non-use in commerce of a registered mark, and to file applications for renewal of the registration.  </w:t>
            </w:r>
          </w:p>
          <w:p w14:paraId="44998719" w14:textId="77777777" w:rsidR="00FD1803" w:rsidRDefault="00FD1803" w:rsidP="00DB374A">
            <w:pPr>
              <w:numPr>
                <w:ilvl w:val="0"/>
                <w:numId w:val="1"/>
              </w:numPr>
              <w:tabs>
                <w:tab w:val="num" w:pos="252"/>
                <w:tab w:val="left" w:pos="720"/>
              </w:tabs>
              <w:ind w:left="252" w:hanging="252"/>
              <w:rPr>
                <w:rFonts w:ascii="Arial" w:hAnsi="Arial"/>
                <w:sz w:val="16"/>
              </w:rPr>
            </w:pPr>
            <w:r>
              <w:rPr>
                <w:rFonts w:ascii="Arial" w:hAnsi="Arial"/>
                <w:sz w:val="16"/>
              </w:rPr>
              <w:t xml:space="preserve">Used by the USPTO to process declarations of use or excusable non-use in commerce of a registered mark, and to process applications for renewal of the registration.  </w:t>
            </w:r>
          </w:p>
        </w:tc>
      </w:tr>
      <w:tr w:rsidR="00FD1803" w14:paraId="4499871F" w14:textId="77777777" w:rsidTr="005B3304">
        <w:trPr>
          <w:cantSplit/>
          <w:trHeight w:val="716"/>
        </w:trPr>
        <w:tc>
          <w:tcPr>
            <w:tcW w:w="3699" w:type="dxa"/>
            <w:vAlign w:val="center"/>
          </w:tcPr>
          <w:p w14:paraId="4499871B" w14:textId="358FCFCB" w:rsidR="00FD1803" w:rsidRDefault="00FD1803" w:rsidP="00DB374A">
            <w:pPr>
              <w:tabs>
                <w:tab w:val="left" w:pos="720"/>
              </w:tabs>
              <w:rPr>
                <w:rFonts w:ascii="Arial" w:hAnsi="Arial"/>
                <w:sz w:val="16"/>
              </w:rPr>
            </w:pPr>
            <w:r>
              <w:rPr>
                <w:rFonts w:ascii="Arial" w:hAnsi="Arial"/>
                <w:sz w:val="16"/>
              </w:rPr>
              <w:t xml:space="preserve">TEAS </w:t>
            </w:r>
            <w:r w:rsidRPr="00E961A4">
              <w:rPr>
                <w:rFonts w:ascii="Arial" w:hAnsi="Arial"/>
                <w:sz w:val="16"/>
              </w:rPr>
              <w:t>Combined Declaration of Use and/or Excusable Nonuse/Application for Renewal under Sections 8 &amp; 9</w:t>
            </w:r>
          </w:p>
        </w:tc>
        <w:tc>
          <w:tcPr>
            <w:tcW w:w="1367" w:type="dxa"/>
            <w:vAlign w:val="center"/>
          </w:tcPr>
          <w:p w14:paraId="4499871C" w14:textId="6FC27314" w:rsidR="00FD1803" w:rsidRDefault="00FD1803" w:rsidP="00DB374A">
            <w:pPr>
              <w:tabs>
                <w:tab w:val="left" w:pos="720"/>
              </w:tabs>
              <w:jc w:val="center"/>
              <w:rPr>
                <w:rFonts w:ascii="Arial" w:hAnsi="Arial"/>
                <w:sz w:val="16"/>
              </w:rPr>
            </w:pPr>
            <w:r>
              <w:rPr>
                <w:rFonts w:ascii="Arial" w:hAnsi="Arial"/>
                <w:sz w:val="16"/>
              </w:rPr>
              <w:t>PTO Form 1963 (Electronic Version)</w:t>
            </w:r>
          </w:p>
        </w:tc>
        <w:tc>
          <w:tcPr>
            <w:tcW w:w="4497" w:type="dxa"/>
          </w:tcPr>
          <w:p w14:paraId="4499871D" w14:textId="77777777" w:rsidR="00FD1803" w:rsidRDefault="00FD1803" w:rsidP="00DB374A">
            <w:pPr>
              <w:numPr>
                <w:ilvl w:val="0"/>
                <w:numId w:val="1"/>
              </w:numPr>
              <w:tabs>
                <w:tab w:val="num" w:pos="252"/>
                <w:tab w:val="left" w:pos="720"/>
              </w:tabs>
              <w:ind w:left="252" w:hanging="252"/>
              <w:rPr>
                <w:rFonts w:ascii="Arial" w:hAnsi="Arial"/>
                <w:sz w:val="16"/>
              </w:rPr>
            </w:pPr>
            <w:r>
              <w:rPr>
                <w:rFonts w:ascii="Arial" w:hAnsi="Arial"/>
                <w:sz w:val="16"/>
              </w:rPr>
              <w:t xml:space="preserve">Used by the public to complete and file declarations of use or excusable non-use in commerce of a registered mark, and to file applications for renewal of the registration.  </w:t>
            </w:r>
          </w:p>
          <w:p w14:paraId="4499871E" w14:textId="77777777" w:rsidR="00FD1803" w:rsidRDefault="00FD1803" w:rsidP="00DB374A">
            <w:pPr>
              <w:numPr>
                <w:ilvl w:val="0"/>
                <w:numId w:val="1"/>
              </w:numPr>
              <w:tabs>
                <w:tab w:val="num" w:pos="252"/>
                <w:tab w:val="left" w:pos="720"/>
              </w:tabs>
              <w:ind w:left="252" w:hanging="252"/>
              <w:rPr>
                <w:rFonts w:ascii="Arial" w:hAnsi="Arial"/>
                <w:sz w:val="16"/>
              </w:rPr>
            </w:pPr>
            <w:r>
              <w:rPr>
                <w:rFonts w:ascii="Arial" w:hAnsi="Arial"/>
                <w:sz w:val="16"/>
              </w:rPr>
              <w:t xml:space="preserve">Used by the USPTO to process declarations of use or excusable non-use in commerce of a registered mark, and to process applications for renewal of the registration.  </w:t>
            </w:r>
          </w:p>
        </w:tc>
      </w:tr>
    </w:tbl>
    <w:p w14:paraId="44998720" w14:textId="77777777" w:rsidR="00A563DB" w:rsidRDefault="00A563DB">
      <w:pPr>
        <w:tabs>
          <w:tab w:val="left" w:pos="720"/>
        </w:tabs>
        <w:jc w:val="both"/>
        <w:rPr>
          <w:rFonts w:ascii="Arial" w:hAnsi="Arial"/>
          <w:b/>
          <w:sz w:val="24"/>
        </w:rPr>
      </w:pPr>
    </w:p>
    <w:p w14:paraId="44998721" w14:textId="77777777" w:rsidR="00885869" w:rsidRDefault="00885869">
      <w:pPr>
        <w:tabs>
          <w:tab w:val="left" w:pos="720"/>
        </w:tabs>
        <w:jc w:val="both"/>
        <w:rPr>
          <w:rFonts w:ascii="Arial" w:hAnsi="Arial"/>
          <w:b/>
          <w:sz w:val="24"/>
        </w:rPr>
      </w:pPr>
      <w:r>
        <w:rPr>
          <w:rFonts w:ascii="Arial" w:hAnsi="Arial"/>
          <w:b/>
          <w:sz w:val="24"/>
        </w:rPr>
        <w:t>3.</w:t>
      </w:r>
      <w:r>
        <w:rPr>
          <w:rFonts w:ascii="Arial" w:hAnsi="Arial"/>
          <w:b/>
          <w:sz w:val="24"/>
        </w:rPr>
        <w:tab/>
        <w:t>Use of Information Technology</w:t>
      </w:r>
    </w:p>
    <w:p w14:paraId="44998722" w14:textId="77777777" w:rsidR="00885869" w:rsidRDefault="00885869">
      <w:pPr>
        <w:tabs>
          <w:tab w:val="left" w:pos="720"/>
        </w:tabs>
        <w:jc w:val="both"/>
        <w:rPr>
          <w:rFonts w:ascii="Arial" w:hAnsi="Arial"/>
          <w:sz w:val="24"/>
        </w:rPr>
      </w:pPr>
    </w:p>
    <w:p w14:paraId="44998723" w14:textId="77777777" w:rsidR="008806F2" w:rsidRDefault="008806F2">
      <w:pPr>
        <w:pStyle w:val="BodyText2"/>
        <w:tabs>
          <w:tab w:val="left" w:pos="720"/>
        </w:tabs>
      </w:pPr>
      <w:r>
        <w:t>The USPTO currently offers four IT systems in support of this collection that are accessible through the online Trademark Electronic Business Center (TEBC).  The TEBC provides descriptions of the systems, and the systems feature online “help” programs.  Thus, the USPTO offers the public a single source for a variety of IT systems useful both for making submissions to the USPTO and for tracking the status of these submissions.</w:t>
      </w:r>
    </w:p>
    <w:p w14:paraId="44998724" w14:textId="77777777" w:rsidR="008806F2" w:rsidRDefault="008806F2">
      <w:pPr>
        <w:pStyle w:val="BodyText2"/>
        <w:tabs>
          <w:tab w:val="left" w:pos="720"/>
        </w:tabs>
      </w:pPr>
    </w:p>
    <w:p w14:paraId="44998725" w14:textId="0CE23FB0" w:rsidR="000E0773" w:rsidRDefault="001C24A8">
      <w:pPr>
        <w:pStyle w:val="BodyText2"/>
        <w:tabs>
          <w:tab w:val="left" w:pos="720"/>
        </w:tabs>
      </w:pPr>
      <w:r>
        <w:t>The</w:t>
      </w:r>
      <w:r w:rsidR="008806F2">
        <w:t xml:space="preserve"> USPTO provides online electronic forms through </w:t>
      </w:r>
      <w:r w:rsidR="006827F0">
        <w:t>a</w:t>
      </w:r>
      <w:r w:rsidR="008806F2">
        <w:t xml:space="preserve"> web-accessible </w:t>
      </w:r>
      <w:r w:rsidR="006827F0">
        <w:t>e</w:t>
      </w:r>
      <w:r>
        <w:t xml:space="preserve">lectronic </w:t>
      </w:r>
      <w:r w:rsidR="006827F0">
        <w:t>a</w:t>
      </w:r>
      <w:r>
        <w:t xml:space="preserve">pplication </w:t>
      </w:r>
      <w:r w:rsidR="006827F0">
        <w:t>s</w:t>
      </w:r>
      <w:r>
        <w:t>ystem (</w:t>
      </w:r>
      <w:r w:rsidR="006827F0">
        <w:t xml:space="preserve">i.e., </w:t>
      </w:r>
      <w:r w:rsidR="00885869">
        <w:t>TEAS</w:t>
      </w:r>
      <w:r>
        <w:t>)</w:t>
      </w:r>
      <w:r w:rsidR="008806F2">
        <w:t xml:space="preserve">.  </w:t>
      </w:r>
      <w:r w:rsidR="00D23005" w:rsidRPr="00D23005">
        <w:t xml:space="preserve">Electronic forms can only be submitted via TEAS; filers may not e-mail their own forms to the USPTO. </w:t>
      </w:r>
      <w:r w:rsidR="002A57EB">
        <w:t xml:space="preserve"> </w:t>
      </w:r>
      <w:r w:rsidR="008806F2">
        <w:t xml:space="preserve">Once completed, TEAS forms are transmitted to the USPTO via the Internet.  The TEAS forms include “help” instructions, as well as a “Form Wizard” that tailors the form to the particular characteristics of the application or registration in question, based on responses provided by the user to questions posed by the “Wizard.”  The forms filed are received within seconds after transmission, and a confirmation of filing is immediately issued via e-mail to the user.  </w:t>
      </w:r>
      <w:proofErr w:type="gramStart"/>
      <w:r w:rsidR="008806F2">
        <w:t xml:space="preserve">TEAS </w:t>
      </w:r>
      <w:r>
        <w:t>improves</w:t>
      </w:r>
      <w:proofErr w:type="gramEnd"/>
      <w:r>
        <w:t xml:space="preserve"> the efficiency of the application process </w:t>
      </w:r>
      <w:r w:rsidR="002A57EB" w:rsidRPr="002A57EB">
        <w:t>by providing users with less burdensome a</w:t>
      </w:r>
      <w:r w:rsidR="002A57EB">
        <w:t>lternatives to paper</w:t>
      </w:r>
      <w:r w:rsidR="002A57EB" w:rsidRPr="002A57EB">
        <w:t xml:space="preserve"> forms </w:t>
      </w:r>
      <w:r>
        <w:t xml:space="preserve">and </w:t>
      </w:r>
      <w:r w:rsidR="002A57EB">
        <w:t xml:space="preserve">also reduces </w:t>
      </w:r>
      <w:r>
        <w:t>the processing time</w:t>
      </w:r>
      <w:r w:rsidR="008806F2">
        <w:t xml:space="preserve"> for the</w:t>
      </w:r>
      <w:r w:rsidR="002A57EB">
        <w:t xml:space="preserve"> forms</w:t>
      </w:r>
      <w:r>
        <w:t>.</w:t>
      </w:r>
    </w:p>
    <w:p w14:paraId="44998726" w14:textId="77777777" w:rsidR="00120BC7" w:rsidRDefault="00120BC7">
      <w:pPr>
        <w:pStyle w:val="BodyText2"/>
        <w:tabs>
          <w:tab w:val="left" w:pos="720"/>
        </w:tabs>
      </w:pPr>
    </w:p>
    <w:p w14:paraId="44998727" w14:textId="26D83D9F" w:rsidR="00120BC7" w:rsidRDefault="00120BC7" w:rsidP="00120BC7">
      <w:pPr>
        <w:pStyle w:val="BodyText2"/>
        <w:tabs>
          <w:tab w:val="left" w:pos="720"/>
        </w:tabs>
      </w:pPr>
      <w:r>
        <w:t>In addition, t</w:t>
      </w:r>
      <w:r w:rsidRPr="00120BC7">
        <w:t xml:space="preserve">he TEAS Global Forms are an interim workaround as the USPTO develops TEAS forms </w:t>
      </w:r>
      <w:r w:rsidR="002A57EB">
        <w:t xml:space="preserve">for </w:t>
      </w:r>
      <w:r w:rsidRPr="00120BC7">
        <w:t>items that are currently collected only in paper.  A Global Form allow</w:t>
      </w:r>
      <w:r w:rsidR="00247589">
        <w:t>s</w:t>
      </w:r>
      <w:r w:rsidRPr="00120BC7">
        <w:t xml:space="preserve"> the user to submit documents electronically by identifying a document type through a drop-down list, entering text in a free-text box, and attaching files in JPG or PDF format.  This method allows for electronic filing of documents for which there is not currently a TEAS form</w:t>
      </w:r>
      <w:r>
        <w:t xml:space="preserve"> with dedicated data fields</w:t>
      </w:r>
      <w:r w:rsidRPr="00120BC7">
        <w:t>.</w:t>
      </w:r>
    </w:p>
    <w:p w14:paraId="44998728" w14:textId="77777777" w:rsidR="000E0773" w:rsidRDefault="000E0773">
      <w:pPr>
        <w:pStyle w:val="BodyText2"/>
        <w:tabs>
          <w:tab w:val="left" w:pos="720"/>
        </w:tabs>
      </w:pPr>
    </w:p>
    <w:p w14:paraId="44998729" w14:textId="77777777" w:rsidR="00942FFC" w:rsidRDefault="000E0773">
      <w:pPr>
        <w:pStyle w:val="BodyText2"/>
        <w:tabs>
          <w:tab w:val="left" w:pos="720"/>
        </w:tabs>
      </w:pPr>
      <w:r>
        <w:t>In addition to providing a system that allows the electronic transmission of trademark submissions, the USPTO also provides the public with online access to various trademark records</w:t>
      </w:r>
      <w:r w:rsidR="00942FFC">
        <w:t>.</w:t>
      </w:r>
      <w:r w:rsidR="001C24A8">
        <w:t xml:space="preserve"> </w:t>
      </w:r>
    </w:p>
    <w:p w14:paraId="4499872A" w14:textId="77777777" w:rsidR="006827F0" w:rsidRDefault="006827F0">
      <w:pPr>
        <w:pStyle w:val="BodyText2"/>
        <w:tabs>
          <w:tab w:val="left" w:pos="720"/>
        </w:tabs>
      </w:pPr>
    </w:p>
    <w:p w14:paraId="4499872B" w14:textId="77777777" w:rsidR="00942FFC" w:rsidRDefault="00942FFC" w:rsidP="00942FFC">
      <w:pPr>
        <w:pStyle w:val="BodyText2"/>
        <w:tabs>
          <w:tab w:val="left" w:pos="720"/>
        </w:tabs>
      </w:pPr>
      <w:r>
        <w:t>The USPTO maintains an online image database</w:t>
      </w:r>
      <w:r w:rsidR="00CC4C70">
        <w:t>,</w:t>
      </w:r>
      <w:r>
        <w:t xml:space="preserve"> called the Trademark </w:t>
      </w:r>
      <w:r w:rsidR="00CC4C70">
        <w:t xml:space="preserve">Status and </w:t>
      </w:r>
      <w:r>
        <w:t>Document Retrieval (T</w:t>
      </w:r>
      <w:r w:rsidR="00CC4C70">
        <w:t>S</w:t>
      </w:r>
      <w:r>
        <w:t xml:space="preserve">DR) system, which includes images of each of the documents that make up the “electronic file wrapper” of </w:t>
      </w:r>
      <w:r w:rsidR="00CC4C70">
        <w:t xml:space="preserve">a </w:t>
      </w:r>
      <w:r>
        <w:t>trademark application or registration</w:t>
      </w:r>
      <w:r w:rsidR="00CC4C70">
        <w:t>,</w:t>
      </w:r>
      <w:r>
        <w:t xml:space="preserve"> </w:t>
      </w:r>
      <w:r w:rsidR="00CC4C70">
        <w:t xml:space="preserve">and also </w:t>
      </w:r>
      <w:r>
        <w:t>provides users with information regarding the status of trademark applications and registrations.  The data in the T</w:t>
      </w:r>
      <w:r w:rsidR="00CC4C70">
        <w:t>SDR</w:t>
      </w:r>
      <w:r>
        <w:t xml:space="preserve"> system is updated daily.</w:t>
      </w:r>
    </w:p>
    <w:p w14:paraId="4499872C" w14:textId="77777777" w:rsidR="00885869" w:rsidRDefault="00885869">
      <w:pPr>
        <w:pStyle w:val="BodyText2"/>
        <w:tabs>
          <w:tab w:val="left" w:pos="720"/>
        </w:tabs>
      </w:pPr>
    </w:p>
    <w:p w14:paraId="4499872D" w14:textId="77777777" w:rsidR="00885869" w:rsidRDefault="008F6FB7">
      <w:pPr>
        <w:pStyle w:val="BodyText2"/>
        <w:tabs>
          <w:tab w:val="left" w:pos="720"/>
        </w:tabs>
      </w:pPr>
      <w:r>
        <w:t xml:space="preserve">The USPTO provides a web-based record of registered marks, and marks for which applications for registration have been submitted, called the </w:t>
      </w:r>
      <w:r w:rsidR="00885869">
        <w:t>Trademark Electronic Search System (TESS)</w:t>
      </w:r>
      <w:r>
        <w:t xml:space="preserve">.  </w:t>
      </w:r>
      <w:r w:rsidR="00885869">
        <w:t>TESS can be used by potential applicants for trademark registration to assist in the determination of whether a particular mark may be available.  The data in TESS is identical to the data reviewed by examining attorneys at the USPTO in their determination of whether marks for which registration is sought are confusingly similar to marks in existing registrations or to marks in pending applications for registration.  TESS allows</w:t>
      </w:r>
      <w:r>
        <w:t xml:space="preserve"> </w:t>
      </w:r>
      <w:r w:rsidR="00885869">
        <w:t>the user to choose from four different search tools, is updated daily, and is easy to use.</w:t>
      </w:r>
    </w:p>
    <w:p w14:paraId="4499872E" w14:textId="77777777" w:rsidR="00E36482" w:rsidRDefault="00E36482">
      <w:pPr>
        <w:pStyle w:val="BodyText2"/>
        <w:tabs>
          <w:tab w:val="left" w:pos="720"/>
        </w:tabs>
      </w:pPr>
    </w:p>
    <w:p w14:paraId="4499872F" w14:textId="65E95F1F" w:rsidR="00E36482" w:rsidRDefault="00E36482" w:rsidP="00E36482">
      <w:pPr>
        <w:pStyle w:val="BodyText2"/>
        <w:tabs>
          <w:tab w:val="left" w:pos="720"/>
        </w:tabs>
      </w:pPr>
      <w:r>
        <w:t xml:space="preserve">The Trademark Reporting and Monitoring (TRAM) </w:t>
      </w:r>
      <w:r w:rsidR="00CC4C70">
        <w:t>s</w:t>
      </w:r>
      <w:r>
        <w:t xml:space="preserve">ystem is also maintained by the USPTO.  This system is an internal USPTO database only and provides support to all facets of Trademark operations, from the receipt of a new application in the USPTO, through processing and examination of the </w:t>
      </w:r>
      <w:proofErr w:type="gramStart"/>
      <w:r>
        <w:t>application</w:t>
      </w:r>
      <w:r w:rsidR="00247589">
        <w:t>,</w:t>
      </w:r>
      <w:proofErr w:type="gramEnd"/>
      <w:r w:rsidR="005B3304">
        <w:t xml:space="preserve"> </w:t>
      </w:r>
      <w:r>
        <w:t xml:space="preserve">and into the post-registration activities required to maintain registered trademarks.  Bibliographic data in TRAM for pending applications and active registrations is updated in real time.  The TRAM </w:t>
      </w:r>
      <w:r w:rsidR="00CC4C70">
        <w:t>s</w:t>
      </w:r>
      <w:r>
        <w:t xml:space="preserve">ystem </w:t>
      </w:r>
      <w:r>
        <w:lastRenderedPageBreak/>
        <w:t xml:space="preserve">maintains current location and status information on applications and registrations, enabling the USPTO to promptly determine the status of any file and to locate files.  Data is received in an electronic format that permits expedited transfer to TRAM, thereby reducing processing steps and improving the reliability and quality of the data that is transferred. </w:t>
      </w:r>
    </w:p>
    <w:p w14:paraId="44998730" w14:textId="77777777" w:rsidR="00120BC7" w:rsidRDefault="00120BC7" w:rsidP="00120BC7">
      <w:pPr>
        <w:pStyle w:val="BodyText2"/>
        <w:tabs>
          <w:tab w:val="left" w:pos="720"/>
        </w:tabs>
      </w:pPr>
    </w:p>
    <w:p w14:paraId="44998731" w14:textId="77777777" w:rsidR="00885869" w:rsidRDefault="00885869">
      <w:pPr>
        <w:tabs>
          <w:tab w:val="left" w:pos="720"/>
        </w:tabs>
        <w:jc w:val="both"/>
        <w:rPr>
          <w:rFonts w:ascii="Arial" w:hAnsi="Arial"/>
          <w:sz w:val="24"/>
        </w:rPr>
      </w:pPr>
      <w:r>
        <w:rPr>
          <w:rFonts w:ascii="Arial" w:hAnsi="Arial"/>
          <w:b/>
          <w:sz w:val="24"/>
        </w:rPr>
        <w:t>4.</w:t>
      </w:r>
      <w:r>
        <w:rPr>
          <w:rFonts w:ascii="Arial" w:hAnsi="Arial"/>
          <w:b/>
          <w:sz w:val="24"/>
        </w:rPr>
        <w:tab/>
        <w:t>Efforts to Identify Duplication</w:t>
      </w:r>
    </w:p>
    <w:p w14:paraId="44998732" w14:textId="77777777" w:rsidR="00885869" w:rsidRDefault="00885869">
      <w:pPr>
        <w:tabs>
          <w:tab w:val="left" w:pos="720"/>
        </w:tabs>
        <w:jc w:val="both"/>
        <w:rPr>
          <w:rFonts w:ascii="Arial" w:hAnsi="Arial"/>
          <w:sz w:val="24"/>
        </w:rPr>
      </w:pPr>
    </w:p>
    <w:p w14:paraId="44998733" w14:textId="77777777" w:rsidR="00916005" w:rsidRDefault="00885869">
      <w:pPr>
        <w:tabs>
          <w:tab w:val="left" w:pos="720"/>
        </w:tabs>
        <w:jc w:val="both"/>
        <w:rPr>
          <w:rFonts w:ascii="Arial" w:hAnsi="Arial"/>
          <w:sz w:val="24"/>
        </w:rPr>
      </w:pPr>
      <w:r>
        <w:rPr>
          <w:rFonts w:ascii="Arial" w:hAnsi="Arial"/>
          <w:sz w:val="24"/>
        </w:rPr>
        <w:t>This collection does not solicit any data already available at the USPTO.  This collection does not create a duplication of effort.</w:t>
      </w:r>
    </w:p>
    <w:p w14:paraId="44998734" w14:textId="77777777" w:rsidR="00885869" w:rsidRDefault="00885869">
      <w:pPr>
        <w:tabs>
          <w:tab w:val="left" w:pos="720"/>
        </w:tabs>
        <w:jc w:val="both"/>
        <w:rPr>
          <w:rFonts w:ascii="Arial" w:hAnsi="Arial"/>
          <w:sz w:val="24"/>
        </w:rPr>
      </w:pPr>
      <w:r>
        <w:rPr>
          <w:rFonts w:ascii="Arial" w:hAnsi="Arial"/>
          <w:sz w:val="24"/>
        </w:rPr>
        <w:t xml:space="preserve">  </w:t>
      </w:r>
    </w:p>
    <w:p w14:paraId="44998735" w14:textId="77777777" w:rsidR="00885869" w:rsidRDefault="00885869">
      <w:pPr>
        <w:jc w:val="both"/>
        <w:rPr>
          <w:rFonts w:ascii="Arial" w:hAnsi="Arial"/>
          <w:b/>
          <w:sz w:val="24"/>
        </w:rPr>
      </w:pPr>
      <w:r>
        <w:rPr>
          <w:rFonts w:ascii="Arial" w:hAnsi="Arial"/>
          <w:b/>
          <w:sz w:val="24"/>
        </w:rPr>
        <w:t>5.</w:t>
      </w:r>
      <w:r>
        <w:rPr>
          <w:rFonts w:ascii="Arial" w:hAnsi="Arial"/>
          <w:b/>
          <w:sz w:val="24"/>
        </w:rPr>
        <w:tab/>
        <w:t>Minimizing the Burden to Small Entities</w:t>
      </w:r>
    </w:p>
    <w:p w14:paraId="44998736" w14:textId="77777777" w:rsidR="00885869" w:rsidRDefault="00885869">
      <w:pPr>
        <w:jc w:val="both"/>
        <w:rPr>
          <w:rFonts w:ascii="Arial" w:hAnsi="Arial"/>
          <w:b/>
          <w:sz w:val="24"/>
        </w:rPr>
      </w:pPr>
    </w:p>
    <w:p w14:paraId="15C35620" w14:textId="45B55BCA" w:rsidR="00247589" w:rsidRDefault="00247589">
      <w:pPr>
        <w:jc w:val="both"/>
        <w:rPr>
          <w:rFonts w:ascii="Arial" w:hAnsi="Arial"/>
          <w:sz w:val="24"/>
        </w:rPr>
      </w:pPr>
      <w:r>
        <w:rPr>
          <w:rFonts w:ascii="Arial" w:hAnsi="Arial"/>
          <w:sz w:val="24"/>
        </w:rPr>
        <w:t>Since registration of a trademark/service mark is a voluntary activity on the part of the public, the USPTO has not collected data to determine if th</w:t>
      </w:r>
      <w:r w:rsidR="00F4209D">
        <w:rPr>
          <w:rFonts w:ascii="Arial" w:hAnsi="Arial"/>
          <w:sz w:val="24"/>
        </w:rPr>
        <w:t>is</w:t>
      </w:r>
      <w:r>
        <w:rPr>
          <w:rFonts w:ascii="Arial" w:hAnsi="Arial"/>
          <w:sz w:val="24"/>
        </w:rPr>
        <w:t xml:space="preserve"> collection of information impacts small businesses or other small entities.    </w:t>
      </w:r>
    </w:p>
    <w:p w14:paraId="44998738" w14:textId="77777777" w:rsidR="00120BC7" w:rsidRDefault="00120BC7">
      <w:pPr>
        <w:jc w:val="both"/>
        <w:rPr>
          <w:rFonts w:ascii="Arial" w:hAnsi="Arial"/>
          <w:sz w:val="24"/>
        </w:rPr>
      </w:pPr>
    </w:p>
    <w:p w14:paraId="44998739" w14:textId="77777777" w:rsidR="00885869" w:rsidRDefault="00885869">
      <w:pPr>
        <w:jc w:val="both"/>
        <w:rPr>
          <w:rFonts w:ascii="Arial" w:hAnsi="Arial"/>
          <w:b/>
          <w:sz w:val="24"/>
        </w:rPr>
      </w:pPr>
      <w:r>
        <w:rPr>
          <w:rFonts w:ascii="Arial" w:hAnsi="Arial"/>
          <w:b/>
          <w:sz w:val="24"/>
        </w:rPr>
        <w:t>6.</w:t>
      </w:r>
      <w:r>
        <w:rPr>
          <w:rFonts w:ascii="Arial" w:hAnsi="Arial"/>
          <w:b/>
          <w:sz w:val="24"/>
        </w:rPr>
        <w:tab/>
        <w:t>Consequences of Less Frequent Collection</w:t>
      </w:r>
    </w:p>
    <w:p w14:paraId="4499873A" w14:textId="77777777" w:rsidR="00885869" w:rsidRDefault="00885869">
      <w:pPr>
        <w:jc w:val="both"/>
        <w:rPr>
          <w:rFonts w:ascii="Arial" w:hAnsi="Arial"/>
          <w:sz w:val="24"/>
        </w:rPr>
      </w:pPr>
    </w:p>
    <w:p w14:paraId="4499873B" w14:textId="77777777" w:rsidR="00885869" w:rsidRDefault="00885869">
      <w:pPr>
        <w:jc w:val="both"/>
        <w:rPr>
          <w:rFonts w:ascii="Arial" w:hAnsi="Arial"/>
          <w:sz w:val="24"/>
        </w:rPr>
      </w:pPr>
      <w:r>
        <w:rPr>
          <w:rFonts w:ascii="Arial" w:hAnsi="Arial"/>
          <w:sz w:val="24"/>
        </w:rPr>
        <w:t xml:space="preserve">Less frequent collection of this information is not possible, since the information is collected only when voluntarily submitted by the public.  Failure to collect this information would leave trademark owners without the measure of certainty which a Federal registration can provide and the public would not have access to a Federal register of trademarks.  The information could not be collected less frequently.  If the collection of information were not conducted, the USPTO could not comply with the requirements of the Trademark Act, 15 U.S.C. </w:t>
      </w:r>
      <w:r>
        <w:rPr>
          <w:rFonts w:ascii="Arial" w:hAnsi="Arial" w:cs="Arial"/>
          <w:sz w:val="24"/>
        </w:rPr>
        <w:t>§</w:t>
      </w:r>
      <w:r>
        <w:rPr>
          <w:rFonts w:ascii="Arial" w:hAnsi="Arial"/>
          <w:sz w:val="24"/>
        </w:rPr>
        <w:t xml:space="preserve"> 1051 and 37 CFR Part 2.  </w:t>
      </w:r>
    </w:p>
    <w:p w14:paraId="4499873C" w14:textId="77777777" w:rsidR="00885869" w:rsidRDefault="00885869">
      <w:pPr>
        <w:jc w:val="both"/>
        <w:rPr>
          <w:rFonts w:ascii="Arial" w:hAnsi="Arial"/>
          <w:sz w:val="24"/>
        </w:rPr>
      </w:pPr>
    </w:p>
    <w:p w14:paraId="4499873D" w14:textId="77777777" w:rsidR="00885869" w:rsidRDefault="00885869">
      <w:pPr>
        <w:jc w:val="both"/>
        <w:rPr>
          <w:rFonts w:ascii="Arial" w:hAnsi="Arial"/>
          <w:b/>
          <w:sz w:val="24"/>
        </w:rPr>
      </w:pPr>
      <w:r>
        <w:rPr>
          <w:rFonts w:ascii="Arial" w:hAnsi="Arial"/>
          <w:b/>
          <w:sz w:val="24"/>
        </w:rPr>
        <w:t>7.</w:t>
      </w:r>
      <w:r>
        <w:rPr>
          <w:rFonts w:ascii="Arial" w:hAnsi="Arial"/>
          <w:b/>
          <w:sz w:val="24"/>
        </w:rPr>
        <w:tab/>
        <w:t>Special Circumstances in the Conduct of Information Collection</w:t>
      </w:r>
    </w:p>
    <w:p w14:paraId="4499873E" w14:textId="77777777" w:rsidR="00885869" w:rsidRDefault="00885869">
      <w:pPr>
        <w:jc w:val="both"/>
        <w:rPr>
          <w:rFonts w:ascii="Arial" w:hAnsi="Arial"/>
          <w:sz w:val="24"/>
        </w:rPr>
      </w:pPr>
    </w:p>
    <w:p w14:paraId="4499873F" w14:textId="77777777" w:rsidR="00885869" w:rsidRDefault="00885869">
      <w:pPr>
        <w:pStyle w:val="BodyText2"/>
      </w:pPr>
      <w:r>
        <w:t>There are no special circumstances associated with this collection of information.</w:t>
      </w:r>
    </w:p>
    <w:p w14:paraId="44998740" w14:textId="77777777" w:rsidR="00885869" w:rsidRDefault="00885869">
      <w:pPr>
        <w:pStyle w:val="BodyText2"/>
      </w:pPr>
    </w:p>
    <w:p w14:paraId="44998741" w14:textId="77777777" w:rsidR="00885869" w:rsidRDefault="00885869">
      <w:pPr>
        <w:numPr>
          <w:ilvl w:val="0"/>
          <w:numId w:val="15"/>
        </w:numPr>
        <w:jc w:val="both"/>
        <w:rPr>
          <w:rFonts w:ascii="Arial" w:hAnsi="Arial"/>
          <w:b/>
          <w:sz w:val="24"/>
        </w:rPr>
      </w:pPr>
      <w:r>
        <w:rPr>
          <w:rFonts w:ascii="Arial" w:hAnsi="Arial"/>
          <w:b/>
          <w:sz w:val="24"/>
        </w:rPr>
        <w:t>Consultation Outside the Agency</w:t>
      </w:r>
    </w:p>
    <w:p w14:paraId="44998742" w14:textId="77777777" w:rsidR="00885869" w:rsidRDefault="00885869">
      <w:pPr>
        <w:jc w:val="both"/>
        <w:rPr>
          <w:rFonts w:ascii="Arial" w:hAnsi="Arial"/>
          <w:sz w:val="24"/>
        </w:rPr>
      </w:pPr>
    </w:p>
    <w:p w14:paraId="44998743" w14:textId="77777777" w:rsidR="00E36482" w:rsidRDefault="00F92CA6">
      <w:pPr>
        <w:jc w:val="both"/>
        <w:rPr>
          <w:rFonts w:ascii="Arial" w:hAnsi="Arial"/>
          <w:sz w:val="24"/>
        </w:rPr>
      </w:pPr>
      <w:r>
        <w:rPr>
          <w:rFonts w:ascii="Arial" w:hAnsi="Arial"/>
          <w:sz w:val="24"/>
        </w:rPr>
        <w:t>The USPTO published a notice of proposed rulemaking titled “</w:t>
      </w:r>
      <w:r w:rsidR="00CC4C70">
        <w:rPr>
          <w:rFonts w:ascii="Arial" w:hAnsi="Arial"/>
          <w:sz w:val="24"/>
        </w:rPr>
        <w:t>Reduction</w:t>
      </w:r>
      <w:r>
        <w:rPr>
          <w:rFonts w:ascii="Arial" w:hAnsi="Arial"/>
          <w:sz w:val="24"/>
        </w:rPr>
        <w:t xml:space="preserve"> of Fees for Trademark Applications and Renewal</w:t>
      </w:r>
      <w:r w:rsidR="00704903">
        <w:rPr>
          <w:rFonts w:ascii="Arial" w:hAnsi="Arial"/>
          <w:sz w:val="24"/>
        </w:rPr>
        <w:t>s” (RIN 0651-AC94</w:t>
      </w:r>
      <w:r>
        <w:rPr>
          <w:rFonts w:ascii="Arial" w:hAnsi="Arial"/>
          <w:sz w:val="24"/>
        </w:rPr>
        <w:t xml:space="preserve">) in the </w:t>
      </w:r>
      <w:r w:rsidRPr="00F92CA6">
        <w:rPr>
          <w:rFonts w:ascii="Arial" w:hAnsi="Arial"/>
          <w:i/>
          <w:sz w:val="24"/>
        </w:rPr>
        <w:t>Federal Register</w:t>
      </w:r>
      <w:r>
        <w:rPr>
          <w:rFonts w:ascii="Arial" w:hAnsi="Arial"/>
          <w:sz w:val="24"/>
        </w:rPr>
        <w:t xml:space="preserve"> and is seeking comments from the public on the notice of proposed rulemaking.  Any comments received in response to the notice will be considered in the development of the final rule.   </w:t>
      </w:r>
    </w:p>
    <w:p w14:paraId="44998744" w14:textId="77777777" w:rsidR="00885869" w:rsidRDefault="00885869">
      <w:pPr>
        <w:jc w:val="both"/>
        <w:rPr>
          <w:rFonts w:ascii="Arial" w:hAnsi="Arial"/>
          <w:sz w:val="24"/>
        </w:rPr>
      </w:pPr>
    </w:p>
    <w:p w14:paraId="44998745" w14:textId="648EA65D" w:rsidR="00954B2D" w:rsidRDefault="00247589">
      <w:pPr>
        <w:pStyle w:val="BodyText2"/>
      </w:pPr>
      <w:r>
        <w:t>In addition, several l</w:t>
      </w:r>
      <w:r w:rsidR="00885869">
        <w:t xml:space="preserve">arge and well-organized bar associations frequently communicate their views to the USPTO.  Also, the Trademark Public Advisory Committee (TPAC) was created by the American Inventors Protection Act of 1999 to advise the Director of the USPTO on the agency’s operations, including its goals, performance, budget, and user fees.  The TPAC includes nine voting members who are appointed by and serve at the pleasure of the Secretary of Commerce.  The statute also provides non-voting membership on the Committee for the agency’s three recognized unions.  Members </w:t>
      </w:r>
      <w:r w:rsidR="00885869">
        <w:lastRenderedPageBreak/>
        <w:t xml:space="preserve">include inventors, lawyers, corporate executives, entrepreneurs, and academicians with significant experience in management, finance, science, technology, labor relations, and intellectual property issues.  The members of the TPAC reflect the broad array of USPTO’s stakeholders and embrace the USPTO’s e-government initiative. </w:t>
      </w:r>
      <w:r>
        <w:t xml:space="preserve"> </w:t>
      </w:r>
      <w:r w:rsidR="00885869">
        <w:t xml:space="preserve">This diversity of interests is an effective tool in helping the USPTO nurture and </w:t>
      </w:r>
      <w:proofErr w:type="gramStart"/>
      <w:r w:rsidR="00885869">
        <w:t>protect</w:t>
      </w:r>
      <w:proofErr w:type="gramEnd"/>
      <w:r w:rsidR="00885869">
        <w:t xml:space="preserve"> the intellectual property that is the underpinning of America’s strong economy.</w:t>
      </w:r>
      <w:r w:rsidR="00634D6C">
        <w:t xml:space="preserve">  The Director consulted with TPAC and thereafter determined that it is advisable to propose such reductions i</w:t>
      </w:r>
      <w:r w:rsidR="00882563">
        <w:t>n order to incentivize</w:t>
      </w:r>
      <w:r w:rsidR="00634D6C" w:rsidRPr="00312BC3">
        <w:t xml:space="preserve"> electronic communications</w:t>
      </w:r>
      <w:r>
        <w:t xml:space="preserve"> and thereby increase efficiency</w:t>
      </w:r>
      <w:r w:rsidR="00634D6C">
        <w:t xml:space="preserve">.  </w:t>
      </w:r>
    </w:p>
    <w:p w14:paraId="44998746" w14:textId="77777777" w:rsidR="00954B2D" w:rsidRDefault="00954B2D">
      <w:pPr>
        <w:pStyle w:val="BodyText2"/>
      </w:pPr>
    </w:p>
    <w:p w14:paraId="44998747" w14:textId="77777777" w:rsidR="00885869" w:rsidRPr="00DB374A" w:rsidRDefault="00634D6C">
      <w:pPr>
        <w:pStyle w:val="BodyText2"/>
        <w:rPr>
          <w:rFonts w:cs="Arial"/>
          <w:szCs w:val="24"/>
        </w:rPr>
      </w:pPr>
      <w:r>
        <w:t xml:space="preserve">Prior to consulting with TPAC, </w:t>
      </w:r>
      <w:r w:rsidRPr="00634D6C">
        <w:t xml:space="preserve">The USPTO published a notice of inquiry in the Federal Register on August 16, 2012 to provide the public, including trademark user groups, with an opportunity to comment on possible adjustments to the trademark application fees (77 Fed Reg. 49426).  </w:t>
      </w:r>
      <w:r>
        <w:t xml:space="preserve">After reviewing the </w:t>
      </w:r>
      <w:r w:rsidRPr="00634D6C">
        <w:t>comments</w:t>
      </w:r>
      <w:r>
        <w:t xml:space="preserve"> received</w:t>
      </w:r>
      <w:r w:rsidRPr="00634D6C">
        <w:t>, the USPTO is</w:t>
      </w:r>
      <w:r w:rsidR="005D3BDF">
        <w:t xml:space="preserve">, </w:t>
      </w:r>
      <w:r w:rsidR="005D3BDF" w:rsidRPr="005D3BDF">
        <w:rPr>
          <w:i/>
        </w:rPr>
        <w:t>inter alia</w:t>
      </w:r>
      <w:r w:rsidR="005D3BDF">
        <w:t>,</w:t>
      </w:r>
      <w:r w:rsidRPr="00634D6C">
        <w:t xml:space="preserve"> proposing to </w:t>
      </w:r>
      <w:r w:rsidRPr="00DB374A">
        <w:rPr>
          <w:rFonts w:cs="Arial"/>
          <w:szCs w:val="24"/>
        </w:rPr>
        <w:t>re</w:t>
      </w:r>
      <w:r w:rsidR="005D3BDF" w:rsidRPr="00DB374A">
        <w:rPr>
          <w:rFonts w:cs="Arial"/>
          <w:szCs w:val="24"/>
        </w:rPr>
        <w:t>duce the filing fee for TEAS</w:t>
      </w:r>
      <w:r w:rsidRPr="00DB374A">
        <w:rPr>
          <w:rFonts w:cs="Arial"/>
          <w:szCs w:val="24"/>
        </w:rPr>
        <w:t xml:space="preserve"> applications</w:t>
      </w:r>
      <w:r w:rsidR="005D3BDF" w:rsidRPr="00DB374A">
        <w:rPr>
          <w:rFonts w:cs="Arial"/>
          <w:szCs w:val="24"/>
        </w:rPr>
        <w:t xml:space="preserve"> for renewal of a registration</w:t>
      </w:r>
      <w:r w:rsidRPr="00DB374A">
        <w:rPr>
          <w:rFonts w:cs="Arial"/>
          <w:szCs w:val="24"/>
        </w:rPr>
        <w:t xml:space="preserve">.  </w:t>
      </w:r>
    </w:p>
    <w:p w14:paraId="44998748" w14:textId="77777777" w:rsidR="00885869" w:rsidRPr="00DB374A" w:rsidRDefault="00885869">
      <w:pPr>
        <w:pStyle w:val="BodyText2"/>
        <w:rPr>
          <w:rFonts w:cs="Arial"/>
          <w:szCs w:val="24"/>
        </w:rPr>
      </w:pPr>
    </w:p>
    <w:p w14:paraId="44998749" w14:textId="77777777" w:rsidR="00885869" w:rsidRPr="00DB374A" w:rsidRDefault="00885869">
      <w:pPr>
        <w:jc w:val="both"/>
        <w:rPr>
          <w:rFonts w:ascii="Arial" w:hAnsi="Arial" w:cs="Arial"/>
          <w:b/>
          <w:sz w:val="24"/>
          <w:szCs w:val="24"/>
        </w:rPr>
      </w:pPr>
      <w:r w:rsidRPr="00DB374A">
        <w:rPr>
          <w:rFonts w:ascii="Arial" w:hAnsi="Arial" w:cs="Arial"/>
          <w:b/>
          <w:sz w:val="24"/>
          <w:szCs w:val="24"/>
        </w:rPr>
        <w:t>9.</w:t>
      </w:r>
      <w:r w:rsidRPr="00DB374A">
        <w:rPr>
          <w:rFonts w:ascii="Arial" w:hAnsi="Arial" w:cs="Arial"/>
          <w:b/>
          <w:sz w:val="24"/>
          <w:szCs w:val="24"/>
        </w:rPr>
        <w:tab/>
        <w:t>Payment or Gifts to Respondents</w:t>
      </w:r>
    </w:p>
    <w:p w14:paraId="4499874A" w14:textId="77777777" w:rsidR="00885869" w:rsidRPr="00DB374A" w:rsidRDefault="00885869">
      <w:pPr>
        <w:jc w:val="both"/>
        <w:rPr>
          <w:rFonts w:ascii="Arial" w:hAnsi="Arial" w:cs="Arial"/>
          <w:sz w:val="24"/>
          <w:szCs w:val="24"/>
        </w:rPr>
      </w:pPr>
    </w:p>
    <w:p w14:paraId="4499874B" w14:textId="77777777" w:rsidR="00B1765F" w:rsidRPr="00DB374A" w:rsidRDefault="00885869">
      <w:pPr>
        <w:jc w:val="both"/>
        <w:rPr>
          <w:rFonts w:ascii="Arial" w:hAnsi="Arial" w:cs="Arial"/>
          <w:sz w:val="24"/>
          <w:szCs w:val="24"/>
        </w:rPr>
      </w:pPr>
      <w:r w:rsidRPr="00DB374A">
        <w:rPr>
          <w:rFonts w:ascii="Arial" w:hAnsi="Arial" w:cs="Arial"/>
          <w:sz w:val="24"/>
          <w:szCs w:val="24"/>
        </w:rPr>
        <w:t xml:space="preserve">This information collection does not involve a payment or gift to any respondent.  Response to this information collection is necessary for registration of a trademark or service mark.  </w:t>
      </w:r>
    </w:p>
    <w:p w14:paraId="4499874C" w14:textId="77777777" w:rsidR="00885869" w:rsidRPr="00DB374A" w:rsidRDefault="00885869">
      <w:pPr>
        <w:jc w:val="both"/>
        <w:rPr>
          <w:rFonts w:ascii="Arial" w:hAnsi="Arial" w:cs="Arial"/>
          <w:sz w:val="24"/>
          <w:szCs w:val="24"/>
        </w:rPr>
      </w:pPr>
    </w:p>
    <w:p w14:paraId="4499874D" w14:textId="77777777" w:rsidR="00885869" w:rsidRPr="00DB374A" w:rsidRDefault="00885869">
      <w:pPr>
        <w:jc w:val="both"/>
        <w:rPr>
          <w:rFonts w:ascii="Arial" w:hAnsi="Arial" w:cs="Arial"/>
          <w:b/>
          <w:sz w:val="24"/>
          <w:szCs w:val="24"/>
        </w:rPr>
      </w:pPr>
      <w:r w:rsidRPr="00DB374A">
        <w:rPr>
          <w:rFonts w:ascii="Arial" w:hAnsi="Arial" w:cs="Arial"/>
          <w:b/>
          <w:sz w:val="24"/>
          <w:szCs w:val="24"/>
        </w:rPr>
        <w:t>10.</w:t>
      </w:r>
      <w:r w:rsidRPr="00DB374A">
        <w:rPr>
          <w:rFonts w:ascii="Arial" w:hAnsi="Arial" w:cs="Arial"/>
          <w:b/>
          <w:sz w:val="24"/>
          <w:szCs w:val="24"/>
        </w:rPr>
        <w:tab/>
        <w:t>Assurance of Confidentiality</w:t>
      </w:r>
    </w:p>
    <w:p w14:paraId="4499874E" w14:textId="77777777" w:rsidR="00885869" w:rsidRPr="00DB374A" w:rsidRDefault="00885869">
      <w:pPr>
        <w:jc w:val="both"/>
        <w:rPr>
          <w:rFonts w:ascii="Arial" w:hAnsi="Arial" w:cs="Arial"/>
          <w:sz w:val="24"/>
          <w:szCs w:val="24"/>
        </w:rPr>
      </w:pPr>
    </w:p>
    <w:p w14:paraId="4499874F" w14:textId="77777777" w:rsidR="00885869" w:rsidRPr="00DB374A" w:rsidRDefault="00885869">
      <w:pPr>
        <w:jc w:val="both"/>
        <w:rPr>
          <w:rFonts w:ascii="Arial" w:hAnsi="Arial" w:cs="Arial"/>
          <w:sz w:val="24"/>
          <w:szCs w:val="24"/>
        </w:rPr>
      </w:pPr>
      <w:r w:rsidRPr="00DB374A">
        <w:rPr>
          <w:rFonts w:ascii="Arial" w:hAnsi="Arial" w:cs="Arial"/>
          <w:sz w:val="24"/>
          <w:szCs w:val="24"/>
        </w:rPr>
        <w:t>Trademark applications are open to public inspection.  Confidentiality is not required in the processing of trademark applications.</w:t>
      </w:r>
    </w:p>
    <w:p w14:paraId="44998750" w14:textId="77777777" w:rsidR="00885869" w:rsidRPr="00DB374A" w:rsidRDefault="00885869">
      <w:pPr>
        <w:jc w:val="both"/>
        <w:rPr>
          <w:rFonts w:ascii="Arial" w:hAnsi="Arial" w:cs="Arial"/>
          <w:sz w:val="24"/>
          <w:szCs w:val="24"/>
        </w:rPr>
      </w:pPr>
    </w:p>
    <w:p w14:paraId="44998751" w14:textId="77777777" w:rsidR="00885869" w:rsidRPr="00DB374A" w:rsidRDefault="00885869">
      <w:pPr>
        <w:jc w:val="both"/>
        <w:rPr>
          <w:rFonts w:ascii="Arial" w:hAnsi="Arial" w:cs="Arial"/>
          <w:b/>
          <w:sz w:val="24"/>
          <w:szCs w:val="24"/>
        </w:rPr>
      </w:pPr>
      <w:r w:rsidRPr="00DB374A">
        <w:rPr>
          <w:rFonts w:ascii="Arial" w:hAnsi="Arial" w:cs="Arial"/>
          <w:b/>
          <w:sz w:val="24"/>
          <w:szCs w:val="24"/>
        </w:rPr>
        <w:t>11.</w:t>
      </w:r>
      <w:r w:rsidRPr="00DB374A">
        <w:rPr>
          <w:rFonts w:ascii="Arial" w:hAnsi="Arial" w:cs="Arial"/>
          <w:b/>
          <w:sz w:val="24"/>
          <w:szCs w:val="24"/>
        </w:rPr>
        <w:tab/>
        <w:t>Justification for Sensitive Questions</w:t>
      </w:r>
    </w:p>
    <w:p w14:paraId="44998752" w14:textId="77777777" w:rsidR="00885869" w:rsidRPr="00DB374A" w:rsidRDefault="00885869">
      <w:pPr>
        <w:jc w:val="both"/>
        <w:rPr>
          <w:rFonts w:ascii="Arial" w:hAnsi="Arial" w:cs="Arial"/>
          <w:sz w:val="24"/>
          <w:szCs w:val="24"/>
        </w:rPr>
      </w:pPr>
    </w:p>
    <w:p w14:paraId="44998753" w14:textId="77777777" w:rsidR="00885869" w:rsidRPr="00DB374A" w:rsidRDefault="00885869">
      <w:pPr>
        <w:pStyle w:val="BodyText2"/>
        <w:rPr>
          <w:rFonts w:cs="Arial"/>
          <w:szCs w:val="24"/>
        </w:rPr>
      </w:pPr>
      <w:r w:rsidRPr="00DB374A">
        <w:rPr>
          <w:rFonts w:cs="Arial"/>
          <w:szCs w:val="24"/>
        </w:rPr>
        <w:t>None of the required information is considered to be of a sensitive nature.</w:t>
      </w:r>
    </w:p>
    <w:p w14:paraId="44998754" w14:textId="77777777" w:rsidR="00885869" w:rsidRPr="00DB374A" w:rsidRDefault="00885869">
      <w:pPr>
        <w:pStyle w:val="BodyText2"/>
        <w:rPr>
          <w:rFonts w:cs="Arial"/>
          <w:szCs w:val="24"/>
        </w:rPr>
      </w:pPr>
    </w:p>
    <w:p w14:paraId="44998755" w14:textId="77777777" w:rsidR="00885869" w:rsidRPr="00DB374A" w:rsidRDefault="00885869">
      <w:pPr>
        <w:jc w:val="both"/>
        <w:rPr>
          <w:rFonts w:ascii="Arial" w:hAnsi="Arial" w:cs="Arial"/>
          <w:b/>
          <w:sz w:val="24"/>
          <w:szCs w:val="24"/>
        </w:rPr>
      </w:pPr>
      <w:r w:rsidRPr="00DB374A">
        <w:rPr>
          <w:rFonts w:ascii="Arial" w:hAnsi="Arial" w:cs="Arial"/>
          <w:b/>
          <w:sz w:val="24"/>
          <w:szCs w:val="24"/>
        </w:rPr>
        <w:t>12.</w:t>
      </w:r>
      <w:r w:rsidRPr="00DB374A">
        <w:rPr>
          <w:rFonts w:ascii="Arial" w:hAnsi="Arial" w:cs="Arial"/>
          <w:b/>
          <w:sz w:val="24"/>
          <w:szCs w:val="24"/>
        </w:rPr>
        <w:tab/>
        <w:t>Estimate of Hour and Cost Burden to Respondents</w:t>
      </w:r>
    </w:p>
    <w:p w14:paraId="44998756" w14:textId="77777777" w:rsidR="00885869" w:rsidRPr="00DB374A" w:rsidRDefault="00885869">
      <w:pPr>
        <w:jc w:val="both"/>
        <w:rPr>
          <w:rFonts w:ascii="Arial" w:hAnsi="Arial" w:cs="Arial"/>
          <w:sz w:val="24"/>
          <w:szCs w:val="24"/>
        </w:rPr>
      </w:pPr>
    </w:p>
    <w:p w14:paraId="44998757" w14:textId="6A4E785A" w:rsidR="00885869" w:rsidRPr="00DB374A" w:rsidRDefault="00251035" w:rsidP="00251035">
      <w:pPr>
        <w:pStyle w:val="BodyText2"/>
        <w:rPr>
          <w:rFonts w:cs="Arial"/>
          <w:szCs w:val="24"/>
        </w:rPr>
      </w:pPr>
      <w:r>
        <w:rPr>
          <w:rFonts w:cs="Arial"/>
          <w:szCs w:val="24"/>
        </w:rPr>
        <w:t>T</w:t>
      </w:r>
      <w:r w:rsidRPr="00DB374A">
        <w:rPr>
          <w:rFonts w:cs="Arial"/>
          <w:szCs w:val="24"/>
        </w:rPr>
        <w:t>he anticipated burden hours and costs of this information collection to the public</w:t>
      </w:r>
      <w:r w:rsidRPr="0065764B">
        <w:rPr>
          <w:rFonts w:cs="Arial"/>
          <w:szCs w:val="24"/>
        </w:rPr>
        <w:t xml:space="preserve"> </w:t>
      </w:r>
      <w:r w:rsidR="0065764B" w:rsidRPr="0065764B">
        <w:rPr>
          <w:rFonts w:cs="Arial"/>
          <w:szCs w:val="24"/>
        </w:rPr>
        <w:t>are based on the Agency’s long-standing institutional knowledge of and experience with the type of info</w:t>
      </w:r>
      <w:r>
        <w:rPr>
          <w:rFonts w:cs="Arial"/>
          <w:szCs w:val="24"/>
        </w:rPr>
        <w:t>rmation collected by these items.</w:t>
      </w:r>
    </w:p>
    <w:p w14:paraId="44998758" w14:textId="77777777" w:rsidR="00885869" w:rsidRPr="00DB374A" w:rsidRDefault="00885869">
      <w:pPr>
        <w:jc w:val="both"/>
        <w:rPr>
          <w:rFonts w:ascii="Arial" w:hAnsi="Arial" w:cs="Arial"/>
          <w:sz w:val="24"/>
          <w:szCs w:val="24"/>
        </w:rPr>
      </w:pPr>
    </w:p>
    <w:p w14:paraId="44998759" w14:textId="5F6BF294" w:rsidR="00885869" w:rsidRPr="00DB374A" w:rsidRDefault="0065764B" w:rsidP="00885869">
      <w:pPr>
        <w:numPr>
          <w:ilvl w:val="0"/>
          <w:numId w:val="2"/>
        </w:numPr>
        <w:tabs>
          <w:tab w:val="clear" w:pos="360"/>
          <w:tab w:val="num" w:pos="720"/>
        </w:tabs>
        <w:ind w:left="720" w:hanging="720"/>
        <w:jc w:val="both"/>
        <w:rPr>
          <w:rFonts w:ascii="Arial" w:hAnsi="Arial" w:cs="Arial"/>
          <w:b/>
          <w:sz w:val="24"/>
          <w:szCs w:val="24"/>
        </w:rPr>
      </w:pPr>
      <w:r w:rsidRPr="00DB374A">
        <w:rPr>
          <w:rFonts w:ascii="Arial" w:hAnsi="Arial" w:cs="Arial"/>
          <w:b/>
          <w:sz w:val="24"/>
          <w:szCs w:val="24"/>
        </w:rPr>
        <w:t>Respon</w:t>
      </w:r>
      <w:r>
        <w:rPr>
          <w:rFonts w:ascii="Arial" w:hAnsi="Arial" w:cs="Arial"/>
          <w:b/>
          <w:sz w:val="24"/>
          <w:szCs w:val="24"/>
        </w:rPr>
        <w:t>se</w:t>
      </w:r>
      <w:r w:rsidRPr="00DB374A">
        <w:rPr>
          <w:rFonts w:ascii="Arial" w:hAnsi="Arial" w:cs="Arial"/>
          <w:b/>
          <w:sz w:val="24"/>
          <w:szCs w:val="24"/>
        </w:rPr>
        <w:t xml:space="preserve"> </w:t>
      </w:r>
      <w:r w:rsidR="00885869" w:rsidRPr="00DB374A">
        <w:rPr>
          <w:rFonts w:ascii="Arial" w:hAnsi="Arial" w:cs="Arial"/>
          <w:b/>
          <w:sz w:val="24"/>
          <w:szCs w:val="24"/>
        </w:rPr>
        <w:t>Calculation Factors</w:t>
      </w:r>
    </w:p>
    <w:p w14:paraId="4499875A" w14:textId="1713F940" w:rsidR="00AF5642" w:rsidRPr="00DB374A" w:rsidRDefault="00885869">
      <w:pPr>
        <w:pStyle w:val="BodyTextIndent"/>
        <w:rPr>
          <w:rFonts w:cs="Arial"/>
          <w:szCs w:val="24"/>
        </w:rPr>
      </w:pPr>
      <w:r w:rsidRPr="00DB374A">
        <w:rPr>
          <w:rFonts w:cs="Arial"/>
          <w:szCs w:val="24"/>
        </w:rPr>
        <w:t>The USPTO estimates that it will receive</w:t>
      </w:r>
      <w:r w:rsidR="00AF5642" w:rsidRPr="00DB374A">
        <w:rPr>
          <w:rFonts w:cs="Arial"/>
          <w:szCs w:val="24"/>
        </w:rPr>
        <w:t xml:space="preserve"> </w:t>
      </w:r>
      <w:r w:rsidR="0091036C" w:rsidRPr="005B3304">
        <w:rPr>
          <w:rFonts w:cs="Arial"/>
          <w:szCs w:val="24"/>
        </w:rPr>
        <w:t>51,929</w:t>
      </w:r>
      <w:r w:rsidR="00B568F0" w:rsidRPr="00DB374A">
        <w:rPr>
          <w:rFonts w:cs="Arial"/>
          <w:szCs w:val="24"/>
        </w:rPr>
        <w:t xml:space="preserve"> </w:t>
      </w:r>
      <w:r w:rsidRPr="00DB374A">
        <w:rPr>
          <w:rFonts w:cs="Arial"/>
          <w:szCs w:val="24"/>
        </w:rPr>
        <w:t>responses annually</w:t>
      </w:r>
      <w:r w:rsidR="005F2AFA" w:rsidRPr="00DB374A">
        <w:rPr>
          <w:rFonts w:cs="Arial"/>
          <w:szCs w:val="24"/>
        </w:rPr>
        <w:t xml:space="preserve">, </w:t>
      </w:r>
      <w:r w:rsidR="00720AB1" w:rsidRPr="00DB374A">
        <w:rPr>
          <w:rFonts w:cs="Arial"/>
          <w:szCs w:val="24"/>
        </w:rPr>
        <w:t xml:space="preserve">with </w:t>
      </w:r>
      <w:r w:rsidR="00B568F0">
        <w:rPr>
          <w:rFonts w:cs="Arial"/>
          <w:szCs w:val="24"/>
        </w:rPr>
        <w:t>50,994</w:t>
      </w:r>
      <w:r w:rsidR="00B568F0" w:rsidRPr="00DB374A">
        <w:rPr>
          <w:rFonts w:cs="Arial"/>
          <w:szCs w:val="24"/>
        </w:rPr>
        <w:t xml:space="preserve"> </w:t>
      </w:r>
      <w:r w:rsidR="00882563" w:rsidRPr="00DB374A">
        <w:rPr>
          <w:rFonts w:cs="Arial"/>
          <w:szCs w:val="24"/>
        </w:rPr>
        <w:t xml:space="preserve">renewal </w:t>
      </w:r>
      <w:r w:rsidR="00DF6B36" w:rsidRPr="00DB374A">
        <w:rPr>
          <w:rFonts w:cs="Arial"/>
          <w:szCs w:val="24"/>
        </w:rPr>
        <w:t xml:space="preserve">applications </w:t>
      </w:r>
      <w:r w:rsidR="00720AB1" w:rsidRPr="00DB374A">
        <w:rPr>
          <w:rFonts w:cs="Arial"/>
          <w:szCs w:val="24"/>
        </w:rPr>
        <w:t>filed electronically.</w:t>
      </w:r>
      <w:r w:rsidR="00AF5642" w:rsidRPr="00DB374A">
        <w:rPr>
          <w:rFonts w:cs="Arial"/>
          <w:szCs w:val="24"/>
        </w:rPr>
        <w:t xml:space="preserve">  The USPTO does not collect data to determine how many </w:t>
      </w:r>
      <w:r w:rsidR="00882563" w:rsidRPr="00DB374A">
        <w:rPr>
          <w:rFonts w:cs="Arial"/>
          <w:szCs w:val="24"/>
        </w:rPr>
        <w:t xml:space="preserve">renewal </w:t>
      </w:r>
      <w:r w:rsidR="00AF5642" w:rsidRPr="00DB374A">
        <w:rPr>
          <w:rFonts w:cs="Arial"/>
          <w:szCs w:val="24"/>
        </w:rPr>
        <w:t>applications are filed by small entities.</w:t>
      </w:r>
      <w:r w:rsidR="00251035">
        <w:rPr>
          <w:rFonts w:cs="Arial"/>
          <w:szCs w:val="24"/>
        </w:rPr>
        <w:t xml:space="preserve">  </w:t>
      </w:r>
    </w:p>
    <w:p w14:paraId="4499875D" w14:textId="77777777" w:rsidR="00720AB1" w:rsidRPr="00DB374A" w:rsidRDefault="00720AB1" w:rsidP="00720AB1">
      <w:pPr>
        <w:jc w:val="both"/>
        <w:rPr>
          <w:rFonts w:ascii="Arial" w:hAnsi="Arial" w:cs="Arial"/>
          <w:b/>
          <w:sz w:val="24"/>
          <w:szCs w:val="24"/>
        </w:rPr>
      </w:pPr>
    </w:p>
    <w:p w14:paraId="4499875E" w14:textId="77777777" w:rsidR="00885869" w:rsidRPr="00DB374A" w:rsidRDefault="00885869" w:rsidP="00885869">
      <w:pPr>
        <w:numPr>
          <w:ilvl w:val="0"/>
          <w:numId w:val="4"/>
        </w:numPr>
        <w:tabs>
          <w:tab w:val="clear" w:pos="360"/>
          <w:tab w:val="num" w:pos="720"/>
        </w:tabs>
        <w:ind w:left="720" w:hanging="720"/>
        <w:jc w:val="both"/>
        <w:rPr>
          <w:rFonts w:ascii="Arial" w:hAnsi="Arial" w:cs="Arial"/>
          <w:b/>
          <w:sz w:val="24"/>
          <w:szCs w:val="24"/>
        </w:rPr>
      </w:pPr>
      <w:r w:rsidRPr="00DB374A">
        <w:rPr>
          <w:rFonts w:ascii="Arial" w:hAnsi="Arial" w:cs="Arial"/>
          <w:b/>
          <w:sz w:val="24"/>
          <w:szCs w:val="24"/>
        </w:rPr>
        <w:t>Burden Hour Calculation Factors</w:t>
      </w:r>
    </w:p>
    <w:p w14:paraId="4499875F" w14:textId="77777777" w:rsidR="00AF5642" w:rsidRPr="00DB374A" w:rsidRDefault="00885869">
      <w:pPr>
        <w:ind w:left="720"/>
        <w:jc w:val="both"/>
        <w:rPr>
          <w:rFonts w:ascii="Arial" w:hAnsi="Arial" w:cs="Arial"/>
          <w:sz w:val="24"/>
          <w:szCs w:val="24"/>
        </w:rPr>
      </w:pPr>
      <w:r w:rsidRPr="00DB374A">
        <w:rPr>
          <w:rFonts w:ascii="Arial" w:hAnsi="Arial" w:cs="Arial"/>
          <w:sz w:val="24"/>
          <w:szCs w:val="24"/>
        </w:rPr>
        <w:t>The USPTO estimates that</w:t>
      </w:r>
      <w:r w:rsidR="00227FFE" w:rsidRPr="00DB374A">
        <w:rPr>
          <w:rFonts w:ascii="Arial" w:hAnsi="Arial" w:cs="Arial"/>
          <w:sz w:val="24"/>
          <w:szCs w:val="24"/>
        </w:rPr>
        <w:t xml:space="preserve"> it takes the public approximately</w:t>
      </w:r>
      <w:r w:rsidR="00B43498" w:rsidRPr="00DB374A">
        <w:rPr>
          <w:rFonts w:ascii="Arial" w:hAnsi="Arial" w:cs="Arial"/>
          <w:sz w:val="24"/>
          <w:szCs w:val="24"/>
        </w:rPr>
        <w:t xml:space="preserve"> 12 to 14 minutes (0.20 to 0.23</w:t>
      </w:r>
      <w:r w:rsidR="00DF6B36" w:rsidRPr="00DB374A">
        <w:rPr>
          <w:rFonts w:ascii="Arial" w:hAnsi="Arial" w:cs="Arial"/>
          <w:sz w:val="24"/>
          <w:szCs w:val="24"/>
        </w:rPr>
        <w:t xml:space="preserve"> hours) </w:t>
      </w:r>
      <w:r w:rsidR="00227FFE" w:rsidRPr="00DB374A">
        <w:rPr>
          <w:rFonts w:ascii="Arial" w:hAnsi="Arial" w:cs="Arial"/>
          <w:sz w:val="24"/>
          <w:szCs w:val="24"/>
        </w:rPr>
        <w:t xml:space="preserve">to complete this information, depending on the </w:t>
      </w:r>
      <w:r w:rsidR="00882563" w:rsidRPr="00DB374A">
        <w:rPr>
          <w:rFonts w:ascii="Arial" w:hAnsi="Arial" w:cs="Arial"/>
          <w:sz w:val="24"/>
          <w:szCs w:val="24"/>
        </w:rPr>
        <w:t xml:space="preserve">renewal </w:t>
      </w:r>
      <w:r w:rsidR="00227FFE" w:rsidRPr="00DB374A">
        <w:rPr>
          <w:rFonts w:ascii="Arial" w:hAnsi="Arial" w:cs="Arial"/>
          <w:sz w:val="24"/>
          <w:szCs w:val="24"/>
        </w:rPr>
        <w:lastRenderedPageBreak/>
        <w:t xml:space="preserve">application.  This includes the time to gather the necessary information, prepare the </w:t>
      </w:r>
      <w:r w:rsidR="00882563" w:rsidRPr="00DB374A">
        <w:rPr>
          <w:rFonts w:ascii="Arial" w:hAnsi="Arial" w:cs="Arial"/>
          <w:sz w:val="24"/>
          <w:szCs w:val="24"/>
        </w:rPr>
        <w:t xml:space="preserve">renewal </w:t>
      </w:r>
      <w:r w:rsidR="00227FFE" w:rsidRPr="00DB374A">
        <w:rPr>
          <w:rFonts w:ascii="Arial" w:hAnsi="Arial" w:cs="Arial"/>
          <w:sz w:val="24"/>
          <w:szCs w:val="24"/>
        </w:rPr>
        <w:t>application, and submit the completed request t</w:t>
      </w:r>
      <w:r w:rsidR="0035623A" w:rsidRPr="00DB374A">
        <w:rPr>
          <w:rFonts w:ascii="Arial" w:hAnsi="Arial" w:cs="Arial"/>
          <w:sz w:val="24"/>
          <w:szCs w:val="24"/>
        </w:rPr>
        <w:t>o the USPTO.  The time estimates shown for the electronic forms in this collection are based on the average amount of time needed to complete and electronically file the associated form.</w:t>
      </w:r>
    </w:p>
    <w:p w14:paraId="44998762" w14:textId="77777777" w:rsidR="00885869" w:rsidRPr="00DB374A" w:rsidRDefault="00885869" w:rsidP="005B3304">
      <w:pPr>
        <w:jc w:val="both"/>
        <w:rPr>
          <w:rFonts w:ascii="Arial" w:hAnsi="Arial" w:cs="Arial"/>
          <w:sz w:val="24"/>
          <w:szCs w:val="24"/>
        </w:rPr>
      </w:pPr>
    </w:p>
    <w:p w14:paraId="44998763" w14:textId="36A1856B" w:rsidR="00885869" w:rsidRPr="00DB374A" w:rsidRDefault="00A34595" w:rsidP="00885869">
      <w:pPr>
        <w:numPr>
          <w:ilvl w:val="0"/>
          <w:numId w:val="5"/>
        </w:numPr>
        <w:ind w:hanging="720"/>
        <w:jc w:val="both"/>
        <w:rPr>
          <w:rFonts w:ascii="Arial" w:hAnsi="Arial" w:cs="Arial"/>
          <w:sz w:val="24"/>
          <w:szCs w:val="24"/>
        </w:rPr>
      </w:pPr>
      <w:r>
        <w:rPr>
          <w:rFonts w:ascii="Arial" w:hAnsi="Arial" w:cs="Arial"/>
          <w:b/>
          <w:sz w:val="24"/>
          <w:szCs w:val="24"/>
        </w:rPr>
        <w:t xml:space="preserve">Hourly </w:t>
      </w:r>
      <w:r w:rsidR="00885869" w:rsidRPr="00DB374A">
        <w:rPr>
          <w:rFonts w:ascii="Arial" w:hAnsi="Arial" w:cs="Arial"/>
          <w:b/>
          <w:sz w:val="24"/>
          <w:szCs w:val="24"/>
        </w:rPr>
        <w:t>Cost Burden Calculation Factors</w:t>
      </w:r>
    </w:p>
    <w:p w14:paraId="64F21877" w14:textId="77777777" w:rsidR="00A34595" w:rsidRPr="00263E59" w:rsidRDefault="00A34595" w:rsidP="00A34595">
      <w:pPr>
        <w:pStyle w:val="BodyTextIndent2"/>
        <w:rPr>
          <w:rFonts w:cs="Arial"/>
          <w:sz w:val="24"/>
          <w:szCs w:val="24"/>
        </w:rPr>
      </w:pPr>
      <w:r w:rsidRPr="00646155">
        <w:rPr>
          <w:rFonts w:cs="Arial"/>
          <w:sz w:val="24"/>
          <w:szCs w:val="24"/>
        </w:rPr>
        <w:t>The USPTO believes that attorneys will complete these applications.  The USPTO uses a professional rate of $</w:t>
      </w:r>
      <w:r>
        <w:rPr>
          <w:rFonts w:cs="Arial"/>
          <w:sz w:val="24"/>
          <w:szCs w:val="24"/>
        </w:rPr>
        <w:t>389</w:t>
      </w:r>
      <w:r w:rsidRPr="00263E59">
        <w:rPr>
          <w:rFonts w:cs="Arial"/>
          <w:sz w:val="24"/>
          <w:szCs w:val="24"/>
        </w:rPr>
        <w:t xml:space="preserve"> per hour for respondent cost burden calculations, which is the me</w:t>
      </w:r>
      <w:r>
        <w:rPr>
          <w:rFonts w:cs="Arial"/>
          <w:sz w:val="24"/>
          <w:szCs w:val="24"/>
        </w:rPr>
        <w:t>dian</w:t>
      </w:r>
      <w:r w:rsidRPr="00263E59">
        <w:rPr>
          <w:rFonts w:cs="Arial"/>
          <w:sz w:val="24"/>
          <w:szCs w:val="24"/>
        </w:rPr>
        <w:t xml:space="preserve"> rate for attorneys in private firms as shown in the </w:t>
      </w:r>
      <w:r w:rsidRPr="00263E59">
        <w:rPr>
          <w:rFonts w:cs="Arial"/>
          <w:i/>
          <w:sz w:val="24"/>
          <w:szCs w:val="24"/>
        </w:rPr>
        <w:t>201</w:t>
      </w:r>
      <w:r>
        <w:rPr>
          <w:rFonts w:cs="Arial"/>
          <w:i/>
          <w:sz w:val="24"/>
          <w:szCs w:val="24"/>
        </w:rPr>
        <w:t>3</w:t>
      </w:r>
      <w:r w:rsidRPr="00263E59">
        <w:rPr>
          <w:rFonts w:cs="Arial"/>
          <w:sz w:val="24"/>
          <w:szCs w:val="24"/>
        </w:rPr>
        <w:t xml:space="preserve"> </w:t>
      </w:r>
      <w:r w:rsidRPr="00263E59">
        <w:rPr>
          <w:rFonts w:cs="Arial"/>
          <w:i/>
          <w:sz w:val="24"/>
          <w:szCs w:val="24"/>
        </w:rPr>
        <w:t>Report of the Economic Survey</w:t>
      </w:r>
      <w:r w:rsidRPr="00263E59">
        <w:rPr>
          <w:rFonts w:cs="Arial"/>
          <w:sz w:val="24"/>
          <w:szCs w:val="24"/>
        </w:rPr>
        <w:t xml:space="preserve">, published by the Committee on Economics of Legal Practice of the American Intellectual Property Law Association (AIPLA).  </w:t>
      </w:r>
    </w:p>
    <w:p w14:paraId="423F7C6A" w14:textId="216CC357" w:rsidR="00A34595" w:rsidRPr="005B3304" w:rsidRDefault="00A34595" w:rsidP="00C64F22">
      <w:pPr>
        <w:pStyle w:val="BodyTextIndent2"/>
        <w:rPr>
          <w:rFonts w:cs="Arial"/>
          <w:sz w:val="28"/>
          <w:szCs w:val="24"/>
        </w:rPr>
      </w:pPr>
    </w:p>
    <w:p w14:paraId="09633281" w14:textId="77777777" w:rsidR="005B3304" w:rsidRPr="005B3304" w:rsidRDefault="0065764B">
      <w:pPr>
        <w:pStyle w:val="Heading5"/>
        <w:jc w:val="both"/>
        <w:rPr>
          <w:rFonts w:cs="Arial"/>
          <w:b w:val="0"/>
          <w:szCs w:val="24"/>
        </w:rPr>
      </w:pPr>
      <w:r w:rsidRPr="005B3304">
        <w:rPr>
          <w:rFonts w:cs="Arial"/>
          <w:b w:val="0"/>
          <w:sz w:val="24"/>
          <w:szCs w:val="24"/>
        </w:rPr>
        <w:t>Table 3a illustrates the anticipated burden hours and costs of this infor</w:t>
      </w:r>
      <w:r w:rsidR="00A34595" w:rsidRPr="005B3304">
        <w:rPr>
          <w:rFonts w:cs="Arial"/>
          <w:b w:val="0"/>
          <w:sz w:val="24"/>
          <w:szCs w:val="24"/>
        </w:rPr>
        <w:t>mation collection to the public.</w:t>
      </w:r>
      <w:r w:rsidR="005B3304" w:rsidRPr="005B3304" w:rsidDel="0065764B">
        <w:rPr>
          <w:rFonts w:cs="Arial"/>
          <w:b w:val="0"/>
          <w:szCs w:val="24"/>
        </w:rPr>
        <w:t xml:space="preserve"> </w:t>
      </w:r>
    </w:p>
    <w:p w14:paraId="20571E2B" w14:textId="77777777" w:rsidR="005B3304" w:rsidRDefault="005B3304">
      <w:pPr>
        <w:pStyle w:val="Heading5"/>
        <w:jc w:val="both"/>
        <w:rPr>
          <w:rFonts w:cs="Arial"/>
          <w:szCs w:val="24"/>
        </w:rPr>
      </w:pPr>
    </w:p>
    <w:p w14:paraId="44998769" w14:textId="3D953676" w:rsidR="00885869" w:rsidRDefault="00885869">
      <w:pPr>
        <w:pStyle w:val="Heading5"/>
        <w:jc w:val="both"/>
      </w:pPr>
      <w:r>
        <w:t>Table 3</w:t>
      </w:r>
      <w:r w:rsidR="0051631D">
        <w:t>a</w:t>
      </w:r>
      <w:r>
        <w:t xml:space="preserve">:  Burden Hour/Burden Cost to </w:t>
      </w:r>
      <w:r w:rsidR="005D3BDF" w:rsidRPr="005D3BDF">
        <w:t>Post Registration (Trademark Processing)</w:t>
      </w:r>
    </w:p>
    <w:tbl>
      <w:tblPr>
        <w:tblW w:w="91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5" w:type="dxa"/>
          <w:left w:w="115" w:type="dxa"/>
          <w:bottom w:w="115" w:type="dxa"/>
          <w:right w:w="115" w:type="dxa"/>
        </w:tblCellMar>
        <w:tblLook w:val="0000" w:firstRow="0" w:lastRow="0" w:firstColumn="0" w:lastColumn="0" w:noHBand="0" w:noVBand="0"/>
      </w:tblPr>
      <w:tblGrid>
        <w:gridCol w:w="3690"/>
        <w:gridCol w:w="810"/>
        <w:gridCol w:w="1170"/>
        <w:gridCol w:w="1170"/>
        <w:gridCol w:w="990"/>
        <w:gridCol w:w="1350"/>
      </w:tblGrid>
      <w:tr w:rsidR="005D3BDF" w14:paraId="4499877A" w14:textId="77777777" w:rsidTr="00DB374A">
        <w:trPr>
          <w:cantSplit/>
        </w:trPr>
        <w:tc>
          <w:tcPr>
            <w:tcW w:w="3690" w:type="dxa"/>
            <w:vAlign w:val="center"/>
          </w:tcPr>
          <w:p w14:paraId="4499876A" w14:textId="77777777" w:rsidR="005D3BDF" w:rsidRDefault="005D3BDF" w:rsidP="00DB374A">
            <w:pPr>
              <w:pStyle w:val="Heading9"/>
              <w:rPr>
                <w:sz w:val="16"/>
              </w:rPr>
            </w:pPr>
            <w:r>
              <w:rPr>
                <w:sz w:val="16"/>
              </w:rPr>
              <w:t>Item</w:t>
            </w:r>
          </w:p>
        </w:tc>
        <w:tc>
          <w:tcPr>
            <w:tcW w:w="810" w:type="dxa"/>
            <w:vAlign w:val="center"/>
          </w:tcPr>
          <w:p w14:paraId="4499876B" w14:textId="77777777" w:rsidR="005D3BDF" w:rsidRDefault="005D3BDF" w:rsidP="00DB374A">
            <w:pPr>
              <w:jc w:val="center"/>
              <w:rPr>
                <w:rFonts w:ascii="Arial" w:hAnsi="Arial"/>
                <w:b/>
                <w:sz w:val="16"/>
              </w:rPr>
            </w:pPr>
            <w:r>
              <w:rPr>
                <w:rFonts w:ascii="Arial" w:hAnsi="Arial"/>
                <w:b/>
                <w:sz w:val="16"/>
              </w:rPr>
              <w:t>Hours (a)</w:t>
            </w:r>
          </w:p>
        </w:tc>
        <w:tc>
          <w:tcPr>
            <w:tcW w:w="1170" w:type="dxa"/>
            <w:vAlign w:val="center"/>
          </w:tcPr>
          <w:p w14:paraId="4499876C" w14:textId="77777777" w:rsidR="005D3BDF" w:rsidRDefault="005D3BDF" w:rsidP="00DB374A">
            <w:pPr>
              <w:jc w:val="center"/>
              <w:rPr>
                <w:rFonts w:ascii="Arial" w:hAnsi="Arial"/>
                <w:b/>
                <w:sz w:val="16"/>
              </w:rPr>
            </w:pPr>
            <w:r>
              <w:rPr>
                <w:rFonts w:ascii="Arial" w:hAnsi="Arial"/>
                <w:b/>
                <w:sz w:val="16"/>
              </w:rPr>
              <w:t>Responses</w:t>
            </w:r>
          </w:p>
          <w:p w14:paraId="4499876D" w14:textId="77777777" w:rsidR="005D3BDF" w:rsidRDefault="005D3BDF" w:rsidP="00DB374A">
            <w:pPr>
              <w:jc w:val="center"/>
              <w:rPr>
                <w:rFonts w:ascii="Arial" w:hAnsi="Arial"/>
                <w:b/>
                <w:sz w:val="16"/>
              </w:rPr>
            </w:pPr>
            <w:r>
              <w:rPr>
                <w:rFonts w:ascii="Arial" w:hAnsi="Arial"/>
                <w:b/>
                <w:sz w:val="16"/>
              </w:rPr>
              <w:t>(</w:t>
            </w:r>
            <w:proofErr w:type="spellStart"/>
            <w:r>
              <w:rPr>
                <w:rFonts w:ascii="Arial" w:hAnsi="Arial"/>
                <w:b/>
                <w:sz w:val="16"/>
              </w:rPr>
              <w:t>yr</w:t>
            </w:r>
            <w:proofErr w:type="spellEnd"/>
            <w:r>
              <w:rPr>
                <w:rFonts w:ascii="Arial" w:hAnsi="Arial"/>
                <w:b/>
                <w:sz w:val="16"/>
              </w:rPr>
              <w:t>)</w:t>
            </w:r>
          </w:p>
          <w:p w14:paraId="4499876E" w14:textId="77777777" w:rsidR="005D3BDF" w:rsidRDefault="005D3BDF" w:rsidP="00DB374A">
            <w:pPr>
              <w:jc w:val="center"/>
              <w:rPr>
                <w:rFonts w:ascii="Arial" w:hAnsi="Arial"/>
                <w:b/>
                <w:sz w:val="16"/>
              </w:rPr>
            </w:pPr>
            <w:r>
              <w:rPr>
                <w:rFonts w:ascii="Arial" w:hAnsi="Arial"/>
                <w:b/>
                <w:sz w:val="16"/>
              </w:rPr>
              <w:t>(b)</w:t>
            </w:r>
          </w:p>
        </w:tc>
        <w:tc>
          <w:tcPr>
            <w:tcW w:w="1170" w:type="dxa"/>
            <w:vAlign w:val="center"/>
          </w:tcPr>
          <w:p w14:paraId="4499876F" w14:textId="77777777" w:rsidR="005D3BDF" w:rsidRDefault="005D3BDF" w:rsidP="00DB374A">
            <w:pPr>
              <w:jc w:val="center"/>
              <w:rPr>
                <w:rFonts w:ascii="Arial" w:hAnsi="Arial"/>
                <w:b/>
                <w:sz w:val="16"/>
              </w:rPr>
            </w:pPr>
            <w:r>
              <w:rPr>
                <w:rFonts w:ascii="Arial" w:hAnsi="Arial"/>
                <w:b/>
                <w:sz w:val="16"/>
              </w:rPr>
              <w:t>Burden</w:t>
            </w:r>
          </w:p>
          <w:p w14:paraId="44998770" w14:textId="77777777" w:rsidR="005D3BDF" w:rsidRDefault="005D3BDF" w:rsidP="00DB374A">
            <w:pPr>
              <w:jc w:val="center"/>
              <w:rPr>
                <w:rFonts w:ascii="Arial" w:hAnsi="Arial"/>
                <w:b/>
                <w:sz w:val="16"/>
              </w:rPr>
            </w:pPr>
            <w:r>
              <w:rPr>
                <w:rFonts w:ascii="Arial" w:hAnsi="Arial"/>
                <w:b/>
                <w:sz w:val="16"/>
              </w:rPr>
              <w:t>(</w:t>
            </w:r>
            <w:proofErr w:type="spellStart"/>
            <w:r>
              <w:rPr>
                <w:rFonts w:ascii="Arial" w:hAnsi="Arial"/>
                <w:b/>
                <w:sz w:val="16"/>
              </w:rPr>
              <w:t>hrs</w:t>
            </w:r>
            <w:proofErr w:type="spellEnd"/>
            <w:r>
              <w:rPr>
                <w:rFonts w:ascii="Arial" w:hAnsi="Arial"/>
                <w:b/>
                <w:sz w:val="16"/>
              </w:rPr>
              <w:t>/</w:t>
            </w:r>
            <w:proofErr w:type="spellStart"/>
            <w:r>
              <w:rPr>
                <w:rFonts w:ascii="Arial" w:hAnsi="Arial"/>
                <w:b/>
                <w:sz w:val="16"/>
              </w:rPr>
              <w:t>yr</w:t>
            </w:r>
            <w:proofErr w:type="spellEnd"/>
            <w:r>
              <w:rPr>
                <w:rFonts w:ascii="Arial" w:hAnsi="Arial"/>
                <w:b/>
                <w:sz w:val="16"/>
              </w:rPr>
              <w:t>)</w:t>
            </w:r>
          </w:p>
          <w:p w14:paraId="44998771" w14:textId="77777777" w:rsidR="005D3BDF" w:rsidRDefault="005D3BDF" w:rsidP="00DB374A">
            <w:pPr>
              <w:jc w:val="center"/>
              <w:rPr>
                <w:rFonts w:ascii="Arial" w:hAnsi="Arial"/>
                <w:b/>
                <w:sz w:val="16"/>
              </w:rPr>
            </w:pPr>
            <w:r>
              <w:rPr>
                <w:rFonts w:ascii="Arial" w:hAnsi="Arial"/>
                <w:b/>
                <w:sz w:val="16"/>
              </w:rPr>
              <w:t>(c)</w:t>
            </w:r>
          </w:p>
          <w:p w14:paraId="44998772" w14:textId="77777777" w:rsidR="005D3BDF" w:rsidRDefault="005D3BDF" w:rsidP="00DB374A">
            <w:pPr>
              <w:jc w:val="center"/>
              <w:rPr>
                <w:rFonts w:ascii="Arial" w:hAnsi="Arial"/>
                <w:b/>
                <w:sz w:val="16"/>
              </w:rPr>
            </w:pPr>
            <w:r>
              <w:rPr>
                <w:rFonts w:ascii="Arial" w:hAnsi="Arial"/>
                <w:b/>
                <w:sz w:val="16"/>
              </w:rPr>
              <w:t>(a) x (b)</w:t>
            </w:r>
          </w:p>
        </w:tc>
        <w:tc>
          <w:tcPr>
            <w:tcW w:w="990" w:type="dxa"/>
            <w:vAlign w:val="center"/>
          </w:tcPr>
          <w:p w14:paraId="44998773" w14:textId="77777777" w:rsidR="005D3BDF" w:rsidRDefault="005D3BDF" w:rsidP="00DB374A">
            <w:pPr>
              <w:jc w:val="center"/>
              <w:rPr>
                <w:rFonts w:ascii="Arial" w:hAnsi="Arial"/>
                <w:b/>
                <w:sz w:val="16"/>
              </w:rPr>
            </w:pPr>
            <w:r>
              <w:rPr>
                <w:rFonts w:ascii="Arial" w:hAnsi="Arial"/>
                <w:b/>
                <w:sz w:val="16"/>
              </w:rPr>
              <w:t>Rate</w:t>
            </w:r>
          </w:p>
          <w:p w14:paraId="44998774" w14:textId="77777777" w:rsidR="005D3BDF" w:rsidRDefault="005D3BDF" w:rsidP="00DB374A">
            <w:pPr>
              <w:jc w:val="center"/>
              <w:rPr>
                <w:rFonts w:ascii="Arial" w:hAnsi="Arial"/>
                <w:b/>
                <w:sz w:val="16"/>
              </w:rPr>
            </w:pPr>
            <w:r>
              <w:rPr>
                <w:rFonts w:ascii="Arial" w:hAnsi="Arial"/>
                <w:b/>
                <w:sz w:val="16"/>
              </w:rPr>
              <w:t>($/</w:t>
            </w:r>
            <w:proofErr w:type="spellStart"/>
            <w:r>
              <w:rPr>
                <w:rFonts w:ascii="Arial" w:hAnsi="Arial"/>
                <w:b/>
                <w:sz w:val="16"/>
              </w:rPr>
              <w:t>hr</w:t>
            </w:r>
            <w:proofErr w:type="spellEnd"/>
            <w:r>
              <w:rPr>
                <w:rFonts w:ascii="Arial" w:hAnsi="Arial"/>
                <w:b/>
                <w:sz w:val="16"/>
              </w:rPr>
              <w:t>)</w:t>
            </w:r>
          </w:p>
          <w:p w14:paraId="44998775" w14:textId="77777777" w:rsidR="005D3BDF" w:rsidRDefault="005D3BDF" w:rsidP="00DB374A">
            <w:pPr>
              <w:jc w:val="center"/>
              <w:rPr>
                <w:rFonts w:ascii="Arial" w:hAnsi="Arial"/>
                <w:b/>
                <w:sz w:val="16"/>
              </w:rPr>
            </w:pPr>
            <w:r>
              <w:rPr>
                <w:rFonts w:ascii="Arial" w:hAnsi="Arial"/>
                <w:b/>
                <w:sz w:val="16"/>
              </w:rPr>
              <w:t>(d)</w:t>
            </w:r>
          </w:p>
        </w:tc>
        <w:tc>
          <w:tcPr>
            <w:tcW w:w="1350" w:type="dxa"/>
            <w:vAlign w:val="center"/>
          </w:tcPr>
          <w:p w14:paraId="44998776" w14:textId="77777777" w:rsidR="005D3BDF" w:rsidRDefault="005D3BDF" w:rsidP="00DB374A">
            <w:pPr>
              <w:jc w:val="center"/>
              <w:rPr>
                <w:rFonts w:ascii="Arial" w:hAnsi="Arial"/>
                <w:b/>
                <w:sz w:val="16"/>
              </w:rPr>
            </w:pPr>
            <w:r>
              <w:rPr>
                <w:rFonts w:ascii="Arial" w:hAnsi="Arial"/>
                <w:b/>
                <w:sz w:val="16"/>
              </w:rPr>
              <w:t>Total Cost</w:t>
            </w:r>
          </w:p>
          <w:p w14:paraId="44998777" w14:textId="77777777" w:rsidR="005D3BDF" w:rsidRDefault="005D3BDF" w:rsidP="00DB374A">
            <w:pPr>
              <w:jc w:val="center"/>
              <w:rPr>
                <w:rFonts w:ascii="Arial" w:hAnsi="Arial"/>
                <w:b/>
                <w:sz w:val="16"/>
              </w:rPr>
            </w:pPr>
            <w:r>
              <w:rPr>
                <w:rFonts w:ascii="Arial" w:hAnsi="Arial"/>
                <w:b/>
                <w:sz w:val="16"/>
              </w:rPr>
              <w:t>($/</w:t>
            </w:r>
            <w:proofErr w:type="spellStart"/>
            <w:r>
              <w:rPr>
                <w:rFonts w:ascii="Arial" w:hAnsi="Arial"/>
                <w:b/>
                <w:sz w:val="16"/>
              </w:rPr>
              <w:t>hr</w:t>
            </w:r>
            <w:proofErr w:type="spellEnd"/>
            <w:r>
              <w:rPr>
                <w:rFonts w:ascii="Arial" w:hAnsi="Arial"/>
                <w:b/>
                <w:sz w:val="16"/>
              </w:rPr>
              <w:t>)</w:t>
            </w:r>
          </w:p>
          <w:p w14:paraId="44998778" w14:textId="77777777" w:rsidR="005D3BDF" w:rsidRDefault="005D3BDF" w:rsidP="00DB374A">
            <w:pPr>
              <w:jc w:val="center"/>
              <w:rPr>
                <w:rFonts w:ascii="Arial" w:hAnsi="Arial"/>
                <w:b/>
                <w:sz w:val="16"/>
              </w:rPr>
            </w:pPr>
            <w:r>
              <w:rPr>
                <w:rFonts w:ascii="Arial" w:hAnsi="Arial"/>
                <w:b/>
                <w:sz w:val="16"/>
              </w:rPr>
              <w:t>(e)</w:t>
            </w:r>
          </w:p>
          <w:p w14:paraId="44998779" w14:textId="77777777" w:rsidR="005D3BDF" w:rsidRDefault="005D3BDF" w:rsidP="00DB374A">
            <w:pPr>
              <w:jc w:val="center"/>
              <w:rPr>
                <w:rFonts w:ascii="Arial" w:hAnsi="Arial"/>
                <w:b/>
                <w:sz w:val="16"/>
              </w:rPr>
            </w:pPr>
            <w:r>
              <w:rPr>
                <w:rFonts w:ascii="Arial" w:hAnsi="Arial"/>
                <w:b/>
                <w:sz w:val="16"/>
              </w:rPr>
              <w:t>(c) x (d)</w:t>
            </w:r>
          </w:p>
        </w:tc>
      </w:tr>
      <w:tr w:rsidR="00F80DFE" w14:paraId="44998782" w14:textId="77777777" w:rsidTr="00B2473A">
        <w:trPr>
          <w:cantSplit/>
        </w:trPr>
        <w:tc>
          <w:tcPr>
            <w:tcW w:w="3690" w:type="dxa"/>
            <w:vAlign w:val="center"/>
          </w:tcPr>
          <w:p w14:paraId="4499877B" w14:textId="77777777" w:rsidR="00F80DFE" w:rsidRDefault="00F80DFE" w:rsidP="00DB374A">
            <w:pPr>
              <w:tabs>
                <w:tab w:val="left" w:pos="720"/>
              </w:tabs>
              <w:rPr>
                <w:rFonts w:ascii="Arial" w:hAnsi="Arial"/>
                <w:sz w:val="16"/>
              </w:rPr>
            </w:pPr>
            <w:r w:rsidRPr="00E961A4">
              <w:rPr>
                <w:rFonts w:ascii="Arial" w:hAnsi="Arial"/>
                <w:sz w:val="16"/>
              </w:rPr>
              <w:t>Combined Declaration of Use and/or Excusable Nonuse/Application for Renewal under Sections 8 &amp; 9</w:t>
            </w:r>
          </w:p>
          <w:p w14:paraId="4499877C" w14:textId="77777777" w:rsidR="00F80DFE" w:rsidRDefault="00F80DFE" w:rsidP="00DB374A">
            <w:pPr>
              <w:tabs>
                <w:tab w:val="left" w:pos="720"/>
              </w:tabs>
              <w:rPr>
                <w:rFonts w:ascii="Arial" w:hAnsi="Arial"/>
                <w:sz w:val="16"/>
              </w:rPr>
            </w:pPr>
          </w:p>
        </w:tc>
        <w:tc>
          <w:tcPr>
            <w:tcW w:w="810" w:type="dxa"/>
            <w:vAlign w:val="center"/>
          </w:tcPr>
          <w:p w14:paraId="4499877D" w14:textId="77777777" w:rsidR="00F80DFE" w:rsidRDefault="00F80DFE" w:rsidP="00BC49BC">
            <w:pPr>
              <w:jc w:val="center"/>
              <w:rPr>
                <w:rFonts w:ascii="Arial" w:hAnsi="Arial"/>
                <w:sz w:val="16"/>
              </w:rPr>
            </w:pPr>
            <w:r>
              <w:rPr>
                <w:rFonts w:ascii="Arial" w:hAnsi="Arial"/>
                <w:sz w:val="16"/>
              </w:rPr>
              <w:t>0.23</w:t>
            </w:r>
          </w:p>
        </w:tc>
        <w:tc>
          <w:tcPr>
            <w:tcW w:w="1170" w:type="dxa"/>
            <w:vAlign w:val="center"/>
          </w:tcPr>
          <w:p w14:paraId="4499877E" w14:textId="492D0E2B" w:rsidR="00F80DFE" w:rsidRDefault="00B568F0">
            <w:pPr>
              <w:jc w:val="center"/>
              <w:rPr>
                <w:rFonts w:ascii="Arial" w:hAnsi="Arial"/>
                <w:sz w:val="16"/>
              </w:rPr>
            </w:pPr>
            <w:r>
              <w:rPr>
                <w:rFonts w:ascii="Arial" w:hAnsi="Arial"/>
                <w:sz w:val="16"/>
              </w:rPr>
              <w:t>935</w:t>
            </w:r>
          </w:p>
        </w:tc>
        <w:tc>
          <w:tcPr>
            <w:tcW w:w="1170" w:type="dxa"/>
            <w:vAlign w:val="center"/>
          </w:tcPr>
          <w:p w14:paraId="4499877F" w14:textId="48BC364E" w:rsidR="00F80DFE" w:rsidRDefault="00093883" w:rsidP="00093883">
            <w:pPr>
              <w:jc w:val="center"/>
              <w:rPr>
                <w:rFonts w:ascii="Arial" w:hAnsi="Arial"/>
                <w:sz w:val="16"/>
              </w:rPr>
            </w:pPr>
            <w:r>
              <w:rPr>
                <w:rFonts w:ascii="Arial" w:hAnsi="Arial"/>
                <w:sz w:val="16"/>
              </w:rPr>
              <w:t>215</w:t>
            </w:r>
          </w:p>
        </w:tc>
        <w:tc>
          <w:tcPr>
            <w:tcW w:w="990" w:type="dxa"/>
            <w:vAlign w:val="center"/>
          </w:tcPr>
          <w:p w14:paraId="44998780" w14:textId="4D8DD367" w:rsidR="00F80DFE" w:rsidRDefault="00F80DFE">
            <w:pPr>
              <w:jc w:val="center"/>
              <w:rPr>
                <w:rFonts w:ascii="Arial" w:hAnsi="Arial"/>
                <w:sz w:val="16"/>
              </w:rPr>
            </w:pPr>
            <w:r>
              <w:rPr>
                <w:rFonts w:ascii="Arial" w:hAnsi="Arial"/>
                <w:sz w:val="16"/>
              </w:rPr>
              <w:t>$</w:t>
            </w:r>
            <w:r w:rsidR="00B568F0">
              <w:rPr>
                <w:rFonts w:ascii="Arial" w:hAnsi="Arial"/>
                <w:sz w:val="16"/>
              </w:rPr>
              <w:t>389</w:t>
            </w:r>
          </w:p>
        </w:tc>
        <w:tc>
          <w:tcPr>
            <w:tcW w:w="1350" w:type="dxa"/>
            <w:vAlign w:val="center"/>
          </w:tcPr>
          <w:p w14:paraId="44998781" w14:textId="6EBF934E" w:rsidR="00F80DFE" w:rsidRDefault="009347FB" w:rsidP="00B2473A">
            <w:pPr>
              <w:jc w:val="center"/>
              <w:rPr>
                <w:rFonts w:ascii="Arial" w:hAnsi="Arial"/>
                <w:sz w:val="16"/>
              </w:rPr>
            </w:pPr>
            <w:r>
              <w:rPr>
                <w:rFonts w:ascii="Arial" w:hAnsi="Arial"/>
                <w:sz w:val="16"/>
              </w:rPr>
              <w:t>$</w:t>
            </w:r>
            <w:r w:rsidR="00093883">
              <w:rPr>
                <w:rFonts w:ascii="Arial" w:hAnsi="Arial"/>
                <w:sz w:val="16"/>
              </w:rPr>
              <w:t>83</w:t>
            </w:r>
            <w:r w:rsidR="00B568F0">
              <w:rPr>
                <w:rFonts w:ascii="Arial" w:hAnsi="Arial"/>
                <w:sz w:val="16"/>
              </w:rPr>
              <w:t>,</w:t>
            </w:r>
            <w:r w:rsidR="00093883">
              <w:rPr>
                <w:rFonts w:ascii="Arial" w:hAnsi="Arial"/>
                <w:sz w:val="16"/>
              </w:rPr>
              <w:t>635</w:t>
            </w:r>
          </w:p>
        </w:tc>
      </w:tr>
      <w:tr w:rsidR="00F80DFE" w14:paraId="4499878A" w14:textId="77777777" w:rsidTr="00B2473A">
        <w:trPr>
          <w:cantSplit/>
        </w:trPr>
        <w:tc>
          <w:tcPr>
            <w:tcW w:w="3690" w:type="dxa"/>
            <w:vAlign w:val="center"/>
          </w:tcPr>
          <w:p w14:paraId="44998783" w14:textId="77777777" w:rsidR="00F80DFE" w:rsidRDefault="00F80DFE" w:rsidP="00DB374A">
            <w:pPr>
              <w:tabs>
                <w:tab w:val="left" w:pos="720"/>
              </w:tabs>
              <w:rPr>
                <w:rFonts w:ascii="Arial" w:hAnsi="Arial"/>
                <w:sz w:val="16"/>
              </w:rPr>
            </w:pPr>
            <w:r>
              <w:rPr>
                <w:rFonts w:ascii="Arial" w:hAnsi="Arial"/>
                <w:sz w:val="16"/>
              </w:rPr>
              <w:t xml:space="preserve">TEAS </w:t>
            </w:r>
            <w:r w:rsidRPr="00E961A4">
              <w:rPr>
                <w:rFonts w:ascii="Arial" w:hAnsi="Arial"/>
                <w:sz w:val="16"/>
              </w:rPr>
              <w:t>Combined Declaration of Use and/or Excusable Nonuse/Application for Renewal under Sections 8 &amp; 9</w:t>
            </w:r>
          </w:p>
          <w:p w14:paraId="44998784" w14:textId="77777777" w:rsidR="00F80DFE" w:rsidRDefault="00F80DFE" w:rsidP="00DB374A">
            <w:pPr>
              <w:tabs>
                <w:tab w:val="left" w:pos="720"/>
              </w:tabs>
              <w:rPr>
                <w:rFonts w:ascii="Arial" w:hAnsi="Arial"/>
                <w:sz w:val="16"/>
              </w:rPr>
            </w:pPr>
          </w:p>
        </w:tc>
        <w:tc>
          <w:tcPr>
            <w:tcW w:w="810" w:type="dxa"/>
            <w:vAlign w:val="center"/>
          </w:tcPr>
          <w:p w14:paraId="44998785" w14:textId="77777777" w:rsidR="00F80DFE" w:rsidRDefault="00F80DFE" w:rsidP="00BC49BC">
            <w:pPr>
              <w:jc w:val="center"/>
              <w:rPr>
                <w:rFonts w:ascii="Arial" w:hAnsi="Arial"/>
                <w:sz w:val="16"/>
              </w:rPr>
            </w:pPr>
            <w:r>
              <w:rPr>
                <w:rFonts w:ascii="Arial" w:hAnsi="Arial"/>
                <w:sz w:val="16"/>
              </w:rPr>
              <w:t>0.20</w:t>
            </w:r>
          </w:p>
        </w:tc>
        <w:tc>
          <w:tcPr>
            <w:tcW w:w="1170" w:type="dxa"/>
            <w:vAlign w:val="center"/>
          </w:tcPr>
          <w:p w14:paraId="44998786" w14:textId="575DCF81" w:rsidR="00F80DFE" w:rsidRDefault="00B568F0">
            <w:pPr>
              <w:jc w:val="center"/>
              <w:rPr>
                <w:rFonts w:ascii="Arial" w:hAnsi="Arial"/>
                <w:sz w:val="16"/>
              </w:rPr>
            </w:pPr>
            <w:r>
              <w:rPr>
                <w:rFonts w:ascii="Arial" w:hAnsi="Arial"/>
                <w:sz w:val="16"/>
              </w:rPr>
              <w:t>50,994</w:t>
            </w:r>
          </w:p>
        </w:tc>
        <w:tc>
          <w:tcPr>
            <w:tcW w:w="1170" w:type="dxa"/>
            <w:vAlign w:val="center"/>
          </w:tcPr>
          <w:p w14:paraId="44998787" w14:textId="0C209A49" w:rsidR="00F80DFE" w:rsidRDefault="00B568F0">
            <w:pPr>
              <w:jc w:val="center"/>
              <w:rPr>
                <w:rFonts w:ascii="Arial" w:hAnsi="Arial"/>
                <w:sz w:val="16"/>
              </w:rPr>
            </w:pPr>
            <w:r>
              <w:rPr>
                <w:rFonts w:ascii="Arial" w:hAnsi="Arial"/>
                <w:sz w:val="16"/>
              </w:rPr>
              <w:t>10</w:t>
            </w:r>
            <w:r w:rsidR="00F80DFE">
              <w:rPr>
                <w:rFonts w:ascii="Arial" w:hAnsi="Arial"/>
                <w:sz w:val="16"/>
              </w:rPr>
              <w:t>,</w:t>
            </w:r>
            <w:r>
              <w:rPr>
                <w:rFonts w:ascii="Arial" w:hAnsi="Arial"/>
                <w:sz w:val="16"/>
              </w:rPr>
              <w:t>199</w:t>
            </w:r>
          </w:p>
        </w:tc>
        <w:tc>
          <w:tcPr>
            <w:tcW w:w="990" w:type="dxa"/>
            <w:vAlign w:val="center"/>
          </w:tcPr>
          <w:p w14:paraId="44998788" w14:textId="720CABE4" w:rsidR="00F80DFE" w:rsidRDefault="00F80DFE">
            <w:pPr>
              <w:jc w:val="center"/>
              <w:rPr>
                <w:rFonts w:ascii="Arial" w:hAnsi="Arial"/>
                <w:sz w:val="16"/>
              </w:rPr>
            </w:pPr>
            <w:r>
              <w:rPr>
                <w:rFonts w:ascii="Arial" w:hAnsi="Arial"/>
                <w:sz w:val="16"/>
              </w:rPr>
              <w:t>$</w:t>
            </w:r>
            <w:r w:rsidR="00B568F0">
              <w:rPr>
                <w:rFonts w:ascii="Arial" w:hAnsi="Arial"/>
                <w:sz w:val="16"/>
              </w:rPr>
              <w:t>389</w:t>
            </w:r>
          </w:p>
        </w:tc>
        <w:tc>
          <w:tcPr>
            <w:tcW w:w="1350" w:type="dxa"/>
            <w:vAlign w:val="center"/>
          </w:tcPr>
          <w:p w14:paraId="44998789" w14:textId="7BB56972" w:rsidR="00F80DFE" w:rsidRDefault="009347FB" w:rsidP="00B2473A">
            <w:pPr>
              <w:jc w:val="center"/>
              <w:rPr>
                <w:rFonts w:ascii="Arial" w:hAnsi="Arial"/>
                <w:sz w:val="16"/>
              </w:rPr>
            </w:pPr>
            <w:r>
              <w:rPr>
                <w:rFonts w:ascii="Arial" w:hAnsi="Arial"/>
                <w:sz w:val="16"/>
              </w:rPr>
              <w:t>$</w:t>
            </w:r>
            <w:r w:rsidR="00B568F0">
              <w:rPr>
                <w:rFonts w:ascii="Arial" w:hAnsi="Arial"/>
                <w:sz w:val="16"/>
              </w:rPr>
              <w:t>3</w:t>
            </w:r>
            <w:r>
              <w:rPr>
                <w:rFonts w:ascii="Arial" w:hAnsi="Arial"/>
                <w:sz w:val="16"/>
              </w:rPr>
              <w:t>,</w:t>
            </w:r>
            <w:r w:rsidR="00B568F0">
              <w:rPr>
                <w:rFonts w:ascii="Arial" w:hAnsi="Arial"/>
                <w:sz w:val="16"/>
              </w:rPr>
              <w:t>967</w:t>
            </w:r>
            <w:r>
              <w:rPr>
                <w:rFonts w:ascii="Arial" w:hAnsi="Arial"/>
                <w:sz w:val="16"/>
              </w:rPr>
              <w:t>,</w:t>
            </w:r>
            <w:r w:rsidR="00B568F0">
              <w:rPr>
                <w:rFonts w:ascii="Arial" w:hAnsi="Arial"/>
                <w:sz w:val="16"/>
              </w:rPr>
              <w:t>411</w:t>
            </w:r>
          </w:p>
        </w:tc>
      </w:tr>
      <w:tr w:rsidR="005D3BDF" w14:paraId="44998791" w14:textId="77777777" w:rsidTr="009347FB">
        <w:trPr>
          <w:cantSplit/>
        </w:trPr>
        <w:tc>
          <w:tcPr>
            <w:tcW w:w="3690" w:type="dxa"/>
            <w:vAlign w:val="center"/>
          </w:tcPr>
          <w:p w14:paraId="4499878B" w14:textId="77777777" w:rsidR="005D3BDF" w:rsidRDefault="005D3BDF" w:rsidP="00DB374A">
            <w:pPr>
              <w:rPr>
                <w:rFonts w:ascii="Arial" w:hAnsi="Arial"/>
                <w:b/>
                <w:sz w:val="16"/>
              </w:rPr>
            </w:pPr>
            <w:r>
              <w:rPr>
                <w:rFonts w:ascii="Arial" w:hAnsi="Arial"/>
                <w:b/>
                <w:sz w:val="16"/>
              </w:rPr>
              <w:t>Total</w:t>
            </w:r>
          </w:p>
        </w:tc>
        <w:tc>
          <w:tcPr>
            <w:tcW w:w="810" w:type="dxa"/>
            <w:vAlign w:val="center"/>
          </w:tcPr>
          <w:p w14:paraId="4499878C" w14:textId="77777777" w:rsidR="005D3BDF" w:rsidRDefault="00DB374A" w:rsidP="00DB374A">
            <w:pPr>
              <w:jc w:val="center"/>
              <w:rPr>
                <w:rFonts w:ascii="Arial" w:hAnsi="Arial"/>
                <w:b/>
                <w:sz w:val="16"/>
              </w:rPr>
            </w:pPr>
            <w:r>
              <w:rPr>
                <w:rFonts w:ascii="Arial" w:hAnsi="Arial"/>
                <w:b/>
                <w:sz w:val="16"/>
              </w:rPr>
              <w:t>---</w:t>
            </w:r>
          </w:p>
        </w:tc>
        <w:tc>
          <w:tcPr>
            <w:tcW w:w="1170" w:type="dxa"/>
            <w:vAlign w:val="center"/>
          </w:tcPr>
          <w:p w14:paraId="4499878D" w14:textId="799B25C8" w:rsidR="005D3BDF" w:rsidRDefault="00B568F0" w:rsidP="00DB374A">
            <w:pPr>
              <w:jc w:val="center"/>
              <w:rPr>
                <w:rFonts w:ascii="Arial" w:hAnsi="Arial"/>
                <w:b/>
                <w:sz w:val="16"/>
              </w:rPr>
            </w:pPr>
            <w:r>
              <w:rPr>
                <w:rFonts w:ascii="Arial" w:hAnsi="Arial"/>
                <w:b/>
                <w:sz w:val="16"/>
              </w:rPr>
              <w:t>51,929</w:t>
            </w:r>
          </w:p>
        </w:tc>
        <w:tc>
          <w:tcPr>
            <w:tcW w:w="1170" w:type="dxa"/>
            <w:vAlign w:val="center"/>
          </w:tcPr>
          <w:p w14:paraId="4499878E" w14:textId="46830A5A" w:rsidR="005D3BDF" w:rsidRDefault="00B568F0" w:rsidP="00093883">
            <w:pPr>
              <w:jc w:val="center"/>
              <w:rPr>
                <w:rFonts w:ascii="Arial" w:hAnsi="Arial"/>
                <w:b/>
                <w:sz w:val="16"/>
              </w:rPr>
            </w:pPr>
            <w:r>
              <w:rPr>
                <w:rFonts w:ascii="Arial" w:hAnsi="Arial"/>
                <w:b/>
                <w:sz w:val="16"/>
              </w:rPr>
              <w:t>10</w:t>
            </w:r>
            <w:r w:rsidR="00B43498">
              <w:rPr>
                <w:rFonts w:ascii="Arial" w:hAnsi="Arial"/>
                <w:b/>
                <w:sz w:val="16"/>
              </w:rPr>
              <w:t>,</w:t>
            </w:r>
            <w:r w:rsidR="00093883">
              <w:rPr>
                <w:rFonts w:ascii="Arial" w:hAnsi="Arial"/>
                <w:b/>
                <w:sz w:val="16"/>
              </w:rPr>
              <w:t>414</w:t>
            </w:r>
          </w:p>
        </w:tc>
        <w:tc>
          <w:tcPr>
            <w:tcW w:w="990" w:type="dxa"/>
            <w:vAlign w:val="center"/>
          </w:tcPr>
          <w:p w14:paraId="4499878F" w14:textId="77777777" w:rsidR="005D3BDF" w:rsidRPr="00B2473A" w:rsidRDefault="00DB374A" w:rsidP="00DB374A">
            <w:pPr>
              <w:jc w:val="center"/>
              <w:rPr>
                <w:rFonts w:ascii="Arial" w:hAnsi="Arial"/>
                <w:b/>
                <w:sz w:val="16"/>
                <w:szCs w:val="16"/>
              </w:rPr>
            </w:pPr>
            <w:r w:rsidRPr="00093883">
              <w:rPr>
                <w:rFonts w:ascii="Arial" w:hAnsi="Arial"/>
                <w:b/>
                <w:sz w:val="16"/>
                <w:szCs w:val="16"/>
              </w:rPr>
              <w:t>---</w:t>
            </w:r>
          </w:p>
        </w:tc>
        <w:tc>
          <w:tcPr>
            <w:tcW w:w="1350" w:type="dxa"/>
            <w:vAlign w:val="center"/>
          </w:tcPr>
          <w:p w14:paraId="44998790" w14:textId="2C30F1A4" w:rsidR="005D3BDF" w:rsidRPr="00B2473A" w:rsidRDefault="009347FB" w:rsidP="00B2473A">
            <w:pPr>
              <w:jc w:val="center"/>
              <w:rPr>
                <w:rFonts w:ascii="Arial" w:hAnsi="Arial"/>
                <w:b/>
                <w:sz w:val="16"/>
                <w:szCs w:val="16"/>
              </w:rPr>
            </w:pPr>
            <w:r w:rsidRPr="00B2473A">
              <w:rPr>
                <w:rFonts w:ascii="Arial" w:hAnsi="Arial"/>
                <w:b/>
                <w:sz w:val="16"/>
                <w:szCs w:val="16"/>
              </w:rPr>
              <w:t>$</w:t>
            </w:r>
            <w:r w:rsidR="00093883" w:rsidRPr="00B2473A">
              <w:rPr>
                <w:rFonts w:ascii="Arial" w:hAnsi="Arial" w:cs="Arial"/>
                <w:sz w:val="16"/>
                <w:szCs w:val="16"/>
              </w:rPr>
              <w:t>4,050,988</w:t>
            </w:r>
          </w:p>
        </w:tc>
      </w:tr>
    </w:tbl>
    <w:p w14:paraId="449987AE" w14:textId="77777777" w:rsidR="00CA231E" w:rsidRDefault="00CA231E">
      <w:pPr>
        <w:rPr>
          <w:rFonts w:ascii="Arial" w:hAnsi="Arial"/>
          <w:b/>
          <w:sz w:val="24"/>
        </w:rPr>
      </w:pPr>
    </w:p>
    <w:p w14:paraId="449987AF" w14:textId="77777777" w:rsidR="00885869" w:rsidRDefault="00885869">
      <w:pPr>
        <w:rPr>
          <w:rFonts w:ascii="Arial" w:hAnsi="Arial"/>
          <w:b/>
          <w:sz w:val="24"/>
        </w:rPr>
      </w:pPr>
      <w:r w:rsidRPr="00546C2F">
        <w:rPr>
          <w:rFonts w:ascii="Arial" w:hAnsi="Arial"/>
          <w:b/>
          <w:sz w:val="24"/>
        </w:rPr>
        <w:t>13.</w:t>
      </w:r>
      <w:r w:rsidRPr="00546C2F">
        <w:rPr>
          <w:rFonts w:ascii="Arial" w:hAnsi="Arial"/>
          <w:b/>
          <w:sz w:val="24"/>
        </w:rPr>
        <w:tab/>
        <w:t>Total Annualized Cost Burden</w:t>
      </w:r>
    </w:p>
    <w:p w14:paraId="449987B4" w14:textId="77777777" w:rsidR="001A794A" w:rsidRDefault="001A794A">
      <w:pPr>
        <w:pStyle w:val="BodyText2"/>
        <w:rPr>
          <w:rFonts w:cs="Arial"/>
        </w:rPr>
      </w:pPr>
    </w:p>
    <w:p w14:paraId="7B7EB0F1" w14:textId="77777777" w:rsidR="005418E3" w:rsidRDefault="00DF6B36" w:rsidP="00B316F4">
      <w:pPr>
        <w:pStyle w:val="BodyText2"/>
        <w:rPr>
          <w:rFonts w:cs="Arial"/>
        </w:rPr>
      </w:pPr>
      <w:r>
        <w:rPr>
          <w:rFonts w:cs="Arial"/>
        </w:rPr>
        <w:t xml:space="preserve">An application </w:t>
      </w:r>
      <w:r w:rsidR="00E227CE">
        <w:rPr>
          <w:rFonts w:cs="Arial"/>
        </w:rPr>
        <w:t xml:space="preserve">for renewal of a registration </w:t>
      </w:r>
      <w:r>
        <w:rPr>
          <w:rFonts w:cs="Arial"/>
        </w:rPr>
        <w:t>must include a fee for each class of goods and services.  T</w:t>
      </w:r>
      <w:r w:rsidR="000A593D">
        <w:rPr>
          <w:rFonts w:cs="Arial"/>
        </w:rPr>
        <w:t>herefore</w:t>
      </w:r>
      <w:r>
        <w:rPr>
          <w:rFonts w:cs="Arial"/>
        </w:rPr>
        <w:t xml:space="preserve">, </w:t>
      </w:r>
      <w:r w:rsidR="000A593D">
        <w:rPr>
          <w:rFonts w:cs="Arial"/>
        </w:rPr>
        <w:t>the total filing fees</w:t>
      </w:r>
      <w:r>
        <w:rPr>
          <w:rFonts w:cs="Arial"/>
        </w:rPr>
        <w:t xml:space="preserve"> associated with this collection</w:t>
      </w:r>
      <w:r w:rsidR="000A593D">
        <w:rPr>
          <w:rFonts w:cs="Arial"/>
        </w:rPr>
        <w:t xml:space="preserve"> can vary depending on the number of classes</w:t>
      </w:r>
      <w:r>
        <w:rPr>
          <w:rFonts w:cs="Arial"/>
        </w:rPr>
        <w:t xml:space="preserve"> in each</w:t>
      </w:r>
      <w:r w:rsidR="00E227CE">
        <w:rPr>
          <w:rFonts w:cs="Arial"/>
        </w:rPr>
        <w:t xml:space="preserve"> registration</w:t>
      </w:r>
      <w:r w:rsidR="000A593D">
        <w:rPr>
          <w:rFonts w:cs="Arial"/>
        </w:rPr>
        <w:t xml:space="preserve">.  </w:t>
      </w:r>
      <w:r w:rsidR="00D23005" w:rsidRPr="00D23005">
        <w:rPr>
          <w:rFonts w:cs="Arial"/>
        </w:rPr>
        <w:t xml:space="preserve">Because the deadlines for filing renewal applications under §9 of the Trademark Act (15 U.S.C. §1059) coincide with the deadlines for filing affidavits or declarations of use or excusable nonuse under §8 (15 U.S.C. §1058(a)(2)) at the end of each ten-year period following the date of registration, the USPTO created </w:t>
      </w:r>
      <w:r w:rsidR="00D23005">
        <w:rPr>
          <w:rFonts w:cs="Arial"/>
        </w:rPr>
        <w:t>the “</w:t>
      </w:r>
      <w:r w:rsidR="00D23005" w:rsidRPr="00D23005">
        <w:rPr>
          <w:rFonts w:cs="Arial"/>
        </w:rPr>
        <w:t>Combined Declaration of Use and/or Excusable Nonuse/Application for Renewal under Sections 8 &amp; 9</w:t>
      </w:r>
      <w:r w:rsidR="00D23005">
        <w:rPr>
          <w:rFonts w:cs="Arial"/>
        </w:rPr>
        <w:t xml:space="preserve">” (“combined filing”) </w:t>
      </w:r>
      <w:r w:rsidR="00D23005" w:rsidRPr="00D23005">
        <w:rPr>
          <w:rFonts w:cs="Arial"/>
        </w:rPr>
        <w:t xml:space="preserve">for filing a §8 affidavit or declaration with a §9 renewal application.  </w:t>
      </w:r>
    </w:p>
    <w:p w14:paraId="12C62D29" w14:textId="77777777" w:rsidR="005418E3" w:rsidRDefault="005418E3" w:rsidP="005418E3">
      <w:pPr>
        <w:pStyle w:val="BodyText2"/>
        <w:rPr>
          <w:rFonts w:cs="Arial"/>
        </w:rPr>
      </w:pPr>
    </w:p>
    <w:p w14:paraId="449987B5" w14:textId="7FD1349A" w:rsidR="00DB556B" w:rsidRDefault="00D23005">
      <w:pPr>
        <w:pStyle w:val="BodyText2"/>
        <w:rPr>
          <w:rFonts w:cs="Arial"/>
        </w:rPr>
      </w:pPr>
      <w:r w:rsidRPr="00D23005">
        <w:rPr>
          <w:rFonts w:cs="Arial"/>
        </w:rPr>
        <w:t>The proposed reduction applies only to the §9 renewal fee.</w:t>
      </w:r>
      <w:r>
        <w:rPr>
          <w:rFonts w:cs="Arial"/>
        </w:rPr>
        <w:t xml:space="preserve">  </w:t>
      </w:r>
      <w:r w:rsidR="00100ED4">
        <w:rPr>
          <w:rFonts w:cs="Arial"/>
        </w:rPr>
        <w:t>The fee per class for a §8 affidavit or declaration is $100.  Therefore</w:t>
      </w:r>
      <w:r>
        <w:rPr>
          <w:rFonts w:cs="Arial"/>
        </w:rPr>
        <w:t>, t</w:t>
      </w:r>
      <w:r w:rsidR="000A593D">
        <w:rPr>
          <w:rFonts w:cs="Arial"/>
        </w:rPr>
        <w:t>he filing fees shown</w:t>
      </w:r>
      <w:r w:rsidR="006F6161">
        <w:rPr>
          <w:rFonts w:cs="Arial"/>
        </w:rPr>
        <w:t xml:space="preserve"> in Table </w:t>
      </w:r>
      <w:r w:rsidR="00680E3C">
        <w:rPr>
          <w:rFonts w:cs="Arial"/>
        </w:rPr>
        <w:t>4</w:t>
      </w:r>
      <w:r w:rsidR="00356408">
        <w:rPr>
          <w:rFonts w:cs="Arial"/>
        </w:rPr>
        <w:t>b</w:t>
      </w:r>
      <w:r w:rsidR="006F6161">
        <w:rPr>
          <w:rFonts w:cs="Arial"/>
        </w:rPr>
        <w:t xml:space="preserve"> </w:t>
      </w:r>
      <w:r w:rsidR="0085629D" w:rsidRPr="0085629D">
        <w:rPr>
          <w:rFonts w:cs="Arial"/>
        </w:rPr>
        <w:t>are the m</w:t>
      </w:r>
      <w:r>
        <w:rPr>
          <w:rFonts w:cs="Arial"/>
        </w:rPr>
        <w:t>inimum fees associated with the combined filing</w:t>
      </w:r>
      <w:r w:rsidR="00DF6B36">
        <w:rPr>
          <w:rFonts w:cs="Arial"/>
        </w:rPr>
        <w:t xml:space="preserve">. </w:t>
      </w:r>
      <w:r w:rsidR="00B316F4">
        <w:rPr>
          <w:rFonts w:cs="Arial"/>
        </w:rPr>
        <w:t xml:space="preserve">The current per-class </w:t>
      </w:r>
      <w:r w:rsidR="00B618B3">
        <w:rPr>
          <w:rFonts w:cs="Arial"/>
        </w:rPr>
        <w:t xml:space="preserve">fees for an </w:t>
      </w:r>
      <w:r w:rsidR="00B618B3">
        <w:rPr>
          <w:rFonts w:cs="Arial"/>
        </w:rPr>
        <w:lastRenderedPageBreak/>
        <w:t>application for renewal are</w:t>
      </w:r>
      <w:r w:rsidR="00B316F4">
        <w:rPr>
          <w:rFonts w:cs="Arial"/>
        </w:rPr>
        <w:t xml:space="preserve"> $400.  With this rule-making adjustment, the USPTO is now proposing to reduce the filing fee for TEAS applications for renewal to $300 per class.   </w:t>
      </w:r>
    </w:p>
    <w:p w14:paraId="449987B6" w14:textId="77777777" w:rsidR="00DF6B36" w:rsidRDefault="00DF6B36">
      <w:pPr>
        <w:pStyle w:val="BodyText2"/>
        <w:rPr>
          <w:rFonts w:cs="Arial"/>
        </w:rPr>
      </w:pPr>
    </w:p>
    <w:p w14:paraId="449987B7" w14:textId="77777777" w:rsidR="00885869" w:rsidRDefault="00885869">
      <w:pPr>
        <w:pStyle w:val="Heading5"/>
        <w:jc w:val="both"/>
      </w:pPr>
      <w:r>
        <w:t xml:space="preserve">Table </w:t>
      </w:r>
      <w:r w:rsidR="00680E3C">
        <w:t>4</w:t>
      </w:r>
      <w:r w:rsidR="0020096E">
        <w:t>a</w:t>
      </w:r>
      <w:r>
        <w:t>:  Filing Fees</w:t>
      </w:r>
      <w:r w:rsidR="0020096E">
        <w:t xml:space="preserve"> – Non-hour Cost Burden for</w:t>
      </w:r>
      <w:r w:rsidR="0020096E" w:rsidRPr="0020096E">
        <w:t xml:space="preserve"> Post Registration (Trademark Processing)</w:t>
      </w:r>
    </w:p>
    <w:tbl>
      <w:tblPr>
        <w:tblW w:w="90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5" w:type="dxa"/>
          <w:left w:w="115" w:type="dxa"/>
          <w:bottom w:w="115" w:type="dxa"/>
          <w:right w:w="115" w:type="dxa"/>
        </w:tblCellMar>
        <w:tblLook w:val="0000" w:firstRow="0" w:lastRow="0" w:firstColumn="0" w:lastColumn="0" w:noHBand="0" w:noVBand="0"/>
      </w:tblPr>
      <w:tblGrid>
        <w:gridCol w:w="4950"/>
        <w:gridCol w:w="1170"/>
        <w:gridCol w:w="1440"/>
        <w:gridCol w:w="1530"/>
      </w:tblGrid>
      <w:tr w:rsidR="00E227CE" w14:paraId="449987C5" w14:textId="77777777" w:rsidTr="00DF65A6">
        <w:trPr>
          <w:cantSplit/>
          <w:tblHeader/>
        </w:trPr>
        <w:tc>
          <w:tcPr>
            <w:tcW w:w="4950" w:type="dxa"/>
            <w:vAlign w:val="center"/>
          </w:tcPr>
          <w:p w14:paraId="449987B8" w14:textId="77777777" w:rsidR="00E227CE" w:rsidRDefault="00E227CE" w:rsidP="00DF65A6">
            <w:pPr>
              <w:jc w:val="center"/>
              <w:rPr>
                <w:rFonts w:ascii="Arial" w:hAnsi="Arial"/>
                <w:b/>
                <w:sz w:val="16"/>
              </w:rPr>
            </w:pPr>
          </w:p>
          <w:p w14:paraId="449987B9" w14:textId="77777777" w:rsidR="00E227CE" w:rsidRDefault="00E227CE" w:rsidP="00DF65A6">
            <w:pPr>
              <w:jc w:val="center"/>
              <w:rPr>
                <w:rFonts w:ascii="Arial" w:hAnsi="Arial"/>
                <w:b/>
                <w:sz w:val="16"/>
              </w:rPr>
            </w:pPr>
            <w:r>
              <w:rPr>
                <w:rFonts w:ascii="Arial" w:hAnsi="Arial"/>
                <w:b/>
                <w:sz w:val="16"/>
              </w:rPr>
              <w:t>Item</w:t>
            </w:r>
          </w:p>
        </w:tc>
        <w:tc>
          <w:tcPr>
            <w:tcW w:w="1170" w:type="dxa"/>
            <w:vAlign w:val="center"/>
          </w:tcPr>
          <w:p w14:paraId="449987BA" w14:textId="77777777" w:rsidR="00E227CE" w:rsidRDefault="00E227CE" w:rsidP="00DF65A6">
            <w:pPr>
              <w:jc w:val="center"/>
              <w:rPr>
                <w:rFonts w:ascii="Arial" w:hAnsi="Arial"/>
                <w:b/>
                <w:sz w:val="16"/>
              </w:rPr>
            </w:pPr>
            <w:r>
              <w:rPr>
                <w:rFonts w:ascii="Arial" w:hAnsi="Arial"/>
                <w:b/>
                <w:sz w:val="16"/>
              </w:rPr>
              <w:t>Responses</w:t>
            </w:r>
          </w:p>
          <w:p w14:paraId="449987BB" w14:textId="77777777" w:rsidR="00E227CE" w:rsidRDefault="00E227CE" w:rsidP="00DF65A6">
            <w:pPr>
              <w:jc w:val="center"/>
              <w:rPr>
                <w:rFonts w:ascii="Arial" w:hAnsi="Arial"/>
                <w:b/>
                <w:sz w:val="16"/>
              </w:rPr>
            </w:pPr>
            <w:r>
              <w:rPr>
                <w:rFonts w:ascii="Arial" w:hAnsi="Arial"/>
                <w:b/>
                <w:sz w:val="16"/>
              </w:rPr>
              <w:t>(</w:t>
            </w:r>
            <w:proofErr w:type="spellStart"/>
            <w:r>
              <w:rPr>
                <w:rFonts w:ascii="Arial" w:hAnsi="Arial"/>
                <w:b/>
                <w:sz w:val="16"/>
              </w:rPr>
              <w:t>yr</w:t>
            </w:r>
            <w:proofErr w:type="spellEnd"/>
            <w:r>
              <w:rPr>
                <w:rFonts w:ascii="Arial" w:hAnsi="Arial"/>
                <w:b/>
                <w:sz w:val="16"/>
              </w:rPr>
              <w:t>)</w:t>
            </w:r>
          </w:p>
          <w:p w14:paraId="449987BC" w14:textId="77777777" w:rsidR="00E227CE" w:rsidRDefault="00E227CE" w:rsidP="00DF65A6">
            <w:pPr>
              <w:jc w:val="center"/>
              <w:rPr>
                <w:rFonts w:ascii="Arial" w:hAnsi="Arial"/>
                <w:b/>
                <w:sz w:val="16"/>
              </w:rPr>
            </w:pPr>
            <w:r>
              <w:rPr>
                <w:rFonts w:ascii="Arial" w:hAnsi="Arial"/>
                <w:b/>
                <w:sz w:val="16"/>
              </w:rPr>
              <w:t>(a)</w:t>
            </w:r>
          </w:p>
        </w:tc>
        <w:tc>
          <w:tcPr>
            <w:tcW w:w="1440" w:type="dxa"/>
            <w:vAlign w:val="center"/>
          </w:tcPr>
          <w:p w14:paraId="449987BD" w14:textId="77777777" w:rsidR="00E227CE" w:rsidRDefault="00E227CE" w:rsidP="00DF65A6">
            <w:pPr>
              <w:jc w:val="center"/>
              <w:rPr>
                <w:rFonts w:ascii="Arial" w:hAnsi="Arial"/>
                <w:b/>
                <w:sz w:val="16"/>
              </w:rPr>
            </w:pPr>
            <w:r>
              <w:rPr>
                <w:rFonts w:ascii="Arial" w:hAnsi="Arial"/>
                <w:b/>
                <w:sz w:val="16"/>
              </w:rPr>
              <w:t>Filing fee*</w:t>
            </w:r>
          </w:p>
          <w:p w14:paraId="449987BE" w14:textId="77777777" w:rsidR="00E227CE" w:rsidRDefault="00E227CE" w:rsidP="00DF65A6">
            <w:pPr>
              <w:jc w:val="center"/>
              <w:rPr>
                <w:rFonts w:ascii="Arial" w:hAnsi="Arial"/>
                <w:b/>
                <w:sz w:val="16"/>
              </w:rPr>
            </w:pPr>
            <w:r>
              <w:rPr>
                <w:rFonts w:ascii="Arial" w:hAnsi="Arial"/>
                <w:b/>
                <w:sz w:val="16"/>
              </w:rPr>
              <w:t>($)</w:t>
            </w:r>
          </w:p>
          <w:p w14:paraId="449987BF" w14:textId="77777777" w:rsidR="00E227CE" w:rsidRDefault="00E227CE" w:rsidP="00DF65A6">
            <w:pPr>
              <w:jc w:val="center"/>
              <w:rPr>
                <w:rFonts w:ascii="Arial" w:hAnsi="Arial"/>
                <w:b/>
                <w:sz w:val="16"/>
              </w:rPr>
            </w:pPr>
            <w:r>
              <w:rPr>
                <w:rFonts w:ascii="Arial" w:hAnsi="Arial"/>
                <w:b/>
                <w:sz w:val="16"/>
              </w:rPr>
              <w:t>(b)</w:t>
            </w:r>
          </w:p>
        </w:tc>
        <w:tc>
          <w:tcPr>
            <w:tcW w:w="1530" w:type="dxa"/>
            <w:vAlign w:val="center"/>
          </w:tcPr>
          <w:p w14:paraId="449987C0" w14:textId="77777777" w:rsidR="00E227CE" w:rsidRDefault="00E227CE" w:rsidP="00DF65A6">
            <w:pPr>
              <w:jc w:val="center"/>
              <w:rPr>
                <w:rFonts w:ascii="Arial" w:hAnsi="Arial"/>
                <w:b/>
                <w:sz w:val="16"/>
              </w:rPr>
            </w:pPr>
            <w:r>
              <w:rPr>
                <w:rFonts w:ascii="Arial" w:hAnsi="Arial"/>
                <w:b/>
                <w:sz w:val="16"/>
              </w:rPr>
              <w:t>Total Non-Hour</w:t>
            </w:r>
          </w:p>
          <w:p w14:paraId="449987C1" w14:textId="77777777" w:rsidR="00E227CE" w:rsidRDefault="00E227CE" w:rsidP="00DF65A6">
            <w:pPr>
              <w:jc w:val="center"/>
              <w:rPr>
                <w:rFonts w:ascii="Arial" w:hAnsi="Arial"/>
                <w:b/>
                <w:sz w:val="16"/>
              </w:rPr>
            </w:pPr>
            <w:r>
              <w:rPr>
                <w:rFonts w:ascii="Arial" w:hAnsi="Arial"/>
                <w:b/>
                <w:sz w:val="16"/>
              </w:rPr>
              <w:t>Cost Burden</w:t>
            </w:r>
          </w:p>
          <w:p w14:paraId="449987C2" w14:textId="77777777" w:rsidR="00E227CE" w:rsidRDefault="00E227CE" w:rsidP="00DF65A6">
            <w:pPr>
              <w:jc w:val="center"/>
              <w:rPr>
                <w:rFonts w:ascii="Arial" w:hAnsi="Arial"/>
                <w:b/>
                <w:sz w:val="16"/>
              </w:rPr>
            </w:pPr>
            <w:r>
              <w:rPr>
                <w:rFonts w:ascii="Arial" w:hAnsi="Arial"/>
                <w:b/>
                <w:sz w:val="16"/>
              </w:rPr>
              <w:t>(</w:t>
            </w:r>
            <w:proofErr w:type="spellStart"/>
            <w:r>
              <w:rPr>
                <w:rFonts w:ascii="Arial" w:hAnsi="Arial"/>
                <w:b/>
                <w:sz w:val="16"/>
              </w:rPr>
              <w:t>yr</w:t>
            </w:r>
            <w:proofErr w:type="spellEnd"/>
            <w:r>
              <w:rPr>
                <w:rFonts w:ascii="Arial" w:hAnsi="Arial"/>
                <w:b/>
                <w:sz w:val="16"/>
              </w:rPr>
              <w:t>)</w:t>
            </w:r>
          </w:p>
          <w:p w14:paraId="449987C3" w14:textId="77777777" w:rsidR="00E227CE" w:rsidRDefault="00E227CE" w:rsidP="00DF65A6">
            <w:pPr>
              <w:jc w:val="center"/>
              <w:rPr>
                <w:rFonts w:ascii="Arial" w:hAnsi="Arial"/>
                <w:b/>
                <w:sz w:val="16"/>
              </w:rPr>
            </w:pPr>
            <w:r>
              <w:rPr>
                <w:rFonts w:ascii="Arial" w:hAnsi="Arial"/>
                <w:b/>
                <w:sz w:val="16"/>
              </w:rPr>
              <w:t>(a) x (b)</w:t>
            </w:r>
          </w:p>
          <w:p w14:paraId="449987C4" w14:textId="77777777" w:rsidR="00E227CE" w:rsidRDefault="00E227CE" w:rsidP="00DF65A6">
            <w:pPr>
              <w:jc w:val="center"/>
              <w:rPr>
                <w:rFonts w:ascii="Arial" w:hAnsi="Arial"/>
                <w:b/>
                <w:sz w:val="16"/>
              </w:rPr>
            </w:pPr>
            <w:r>
              <w:rPr>
                <w:rFonts w:ascii="Arial" w:hAnsi="Arial"/>
                <w:b/>
                <w:sz w:val="16"/>
              </w:rPr>
              <w:t>(c)</w:t>
            </w:r>
          </w:p>
        </w:tc>
      </w:tr>
      <w:tr w:rsidR="00E227CE" w14:paraId="449987CB" w14:textId="77777777" w:rsidTr="00DF65A6">
        <w:trPr>
          <w:cantSplit/>
        </w:trPr>
        <w:tc>
          <w:tcPr>
            <w:tcW w:w="4950" w:type="dxa"/>
            <w:vAlign w:val="center"/>
          </w:tcPr>
          <w:p w14:paraId="449987C6" w14:textId="77777777" w:rsidR="00E227CE" w:rsidRDefault="00E227CE" w:rsidP="00DF65A6">
            <w:pPr>
              <w:tabs>
                <w:tab w:val="left" w:pos="720"/>
              </w:tabs>
              <w:rPr>
                <w:rFonts w:ascii="Arial" w:hAnsi="Arial"/>
                <w:sz w:val="16"/>
              </w:rPr>
            </w:pPr>
            <w:r w:rsidRPr="00E961A4">
              <w:rPr>
                <w:rFonts w:ascii="Arial" w:hAnsi="Arial"/>
                <w:sz w:val="16"/>
              </w:rPr>
              <w:t>Combined Declaration of Use and/or Excusable Nonuse/Application for Renewal under Sections 8 &amp; 9</w:t>
            </w:r>
          </w:p>
          <w:p w14:paraId="449987C7" w14:textId="77777777" w:rsidR="00E227CE" w:rsidRDefault="00E227CE" w:rsidP="00DF65A6">
            <w:pPr>
              <w:tabs>
                <w:tab w:val="left" w:pos="720"/>
              </w:tabs>
              <w:rPr>
                <w:rFonts w:ascii="Arial" w:hAnsi="Arial"/>
                <w:sz w:val="16"/>
              </w:rPr>
            </w:pPr>
          </w:p>
        </w:tc>
        <w:tc>
          <w:tcPr>
            <w:tcW w:w="1170" w:type="dxa"/>
            <w:vAlign w:val="center"/>
          </w:tcPr>
          <w:p w14:paraId="449987C8" w14:textId="64B98AF0" w:rsidR="00E227CE" w:rsidRDefault="00B568F0" w:rsidP="00DF65A6">
            <w:pPr>
              <w:jc w:val="center"/>
              <w:rPr>
                <w:rFonts w:ascii="Arial" w:hAnsi="Arial"/>
                <w:sz w:val="16"/>
              </w:rPr>
            </w:pPr>
            <w:r>
              <w:rPr>
                <w:rFonts w:ascii="Arial" w:hAnsi="Arial"/>
                <w:sz w:val="16"/>
              </w:rPr>
              <w:t>935</w:t>
            </w:r>
          </w:p>
        </w:tc>
        <w:tc>
          <w:tcPr>
            <w:tcW w:w="1440" w:type="dxa"/>
            <w:vAlign w:val="center"/>
          </w:tcPr>
          <w:p w14:paraId="449987C9" w14:textId="77777777" w:rsidR="0085629D" w:rsidRDefault="0085629D" w:rsidP="00B2473A">
            <w:pPr>
              <w:jc w:val="center"/>
              <w:rPr>
                <w:rFonts w:ascii="Arial" w:hAnsi="Arial"/>
                <w:sz w:val="16"/>
              </w:rPr>
            </w:pPr>
            <w:r>
              <w:rPr>
                <w:rFonts w:ascii="Arial" w:hAnsi="Arial"/>
                <w:sz w:val="16"/>
              </w:rPr>
              <w:t>$500.00</w:t>
            </w:r>
          </w:p>
        </w:tc>
        <w:tc>
          <w:tcPr>
            <w:tcW w:w="1530" w:type="dxa"/>
            <w:vAlign w:val="center"/>
          </w:tcPr>
          <w:p w14:paraId="449987CA" w14:textId="44EB7C59" w:rsidR="00E227CE" w:rsidRPr="00DF65A6" w:rsidRDefault="002F398B" w:rsidP="00B2473A">
            <w:pPr>
              <w:jc w:val="center"/>
              <w:rPr>
                <w:rFonts w:ascii="Arial" w:hAnsi="Arial"/>
                <w:sz w:val="16"/>
              </w:rPr>
            </w:pPr>
            <w:r w:rsidRPr="00DF65A6">
              <w:rPr>
                <w:rFonts w:ascii="Arial" w:hAnsi="Arial"/>
                <w:sz w:val="16"/>
              </w:rPr>
              <w:t>$</w:t>
            </w:r>
            <w:r w:rsidR="00B568F0">
              <w:rPr>
                <w:rFonts w:ascii="Arial" w:hAnsi="Arial"/>
                <w:sz w:val="16"/>
              </w:rPr>
              <w:t>467,500</w:t>
            </w:r>
          </w:p>
        </w:tc>
      </w:tr>
      <w:tr w:rsidR="00E227CE" w14:paraId="449987D0" w14:textId="77777777" w:rsidTr="00DF65A6">
        <w:trPr>
          <w:cantSplit/>
        </w:trPr>
        <w:tc>
          <w:tcPr>
            <w:tcW w:w="4950" w:type="dxa"/>
            <w:vAlign w:val="center"/>
          </w:tcPr>
          <w:p w14:paraId="449987CC" w14:textId="77777777" w:rsidR="00E227CE" w:rsidRDefault="00E227CE" w:rsidP="00DF65A6">
            <w:pPr>
              <w:tabs>
                <w:tab w:val="left" w:pos="720"/>
              </w:tabs>
              <w:rPr>
                <w:rFonts w:ascii="Arial" w:hAnsi="Arial"/>
                <w:sz w:val="16"/>
              </w:rPr>
            </w:pPr>
            <w:r>
              <w:rPr>
                <w:rFonts w:ascii="Arial" w:hAnsi="Arial"/>
                <w:sz w:val="16"/>
              </w:rPr>
              <w:t xml:space="preserve">TEAS </w:t>
            </w:r>
            <w:r w:rsidRPr="00E961A4">
              <w:rPr>
                <w:rFonts w:ascii="Arial" w:hAnsi="Arial"/>
                <w:sz w:val="16"/>
              </w:rPr>
              <w:t>Combined Declaration of Use and/or Excusable Nonuse/Application for Renewal under Sections 8 &amp; 9</w:t>
            </w:r>
          </w:p>
        </w:tc>
        <w:tc>
          <w:tcPr>
            <w:tcW w:w="1170" w:type="dxa"/>
            <w:vAlign w:val="center"/>
          </w:tcPr>
          <w:p w14:paraId="449987CD" w14:textId="190E3DD2" w:rsidR="00E227CE" w:rsidRDefault="00B568F0" w:rsidP="00DF65A6">
            <w:pPr>
              <w:jc w:val="center"/>
              <w:rPr>
                <w:rFonts w:ascii="Arial" w:hAnsi="Arial"/>
                <w:sz w:val="16"/>
              </w:rPr>
            </w:pPr>
            <w:r>
              <w:rPr>
                <w:rFonts w:ascii="Arial" w:hAnsi="Arial"/>
                <w:sz w:val="16"/>
              </w:rPr>
              <w:t>50,994</w:t>
            </w:r>
          </w:p>
        </w:tc>
        <w:tc>
          <w:tcPr>
            <w:tcW w:w="1440" w:type="dxa"/>
            <w:vAlign w:val="center"/>
          </w:tcPr>
          <w:p w14:paraId="449987CE" w14:textId="744DC591" w:rsidR="0085629D" w:rsidRDefault="0085629D" w:rsidP="00527FCA">
            <w:pPr>
              <w:jc w:val="center"/>
              <w:rPr>
                <w:rFonts w:ascii="Arial" w:hAnsi="Arial"/>
                <w:sz w:val="16"/>
              </w:rPr>
            </w:pPr>
            <w:r>
              <w:rPr>
                <w:rFonts w:ascii="Arial" w:hAnsi="Arial"/>
                <w:sz w:val="16"/>
              </w:rPr>
              <w:t>$</w:t>
            </w:r>
            <w:r w:rsidR="00527FCA">
              <w:rPr>
                <w:rFonts w:ascii="Arial" w:hAnsi="Arial"/>
                <w:sz w:val="16"/>
              </w:rPr>
              <w:t>400</w:t>
            </w:r>
            <w:r>
              <w:rPr>
                <w:rFonts w:ascii="Arial" w:hAnsi="Arial"/>
                <w:sz w:val="16"/>
              </w:rPr>
              <w:t>.00</w:t>
            </w:r>
          </w:p>
        </w:tc>
        <w:tc>
          <w:tcPr>
            <w:tcW w:w="1530" w:type="dxa"/>
            <w:vAlign w:val="center"/>
          </w:tcPr>
          <w:p w14:paraId="449987CF" w14:textId="07266D76" w:rsidR="00E227CE" w:rsidRPr="00DF65A6" w:rsidRDefault="00E227CE" w:rsidP="00B2473A">
            <w:pPr>
              <w:jc w:val="center"/>
              <w:rPr>
                <w:rFonts w:ascii="Arial" w:hAnsi="Arial"/>
                <w:sz w:val="16"/>
              </w:rPr>
            </w:pPr>
            <w:r w:rsidRPr="00DF65A6">
              <w:rPr>
                <w:rFonts w:ascii="Arial" w:hAnsi="Arial"/>
                <w:sz w:val="16"/>
              </w:rPr>
              <w:t>$</w:t>
            </w:r>
            <w:r w:rsidR="00527FCA" w:rsidRPr="00527FCA">
              <w:rPr>
                <w:rFonts w:ascii="Arial" w:hAnsi="Arial"/>
                <w:sz w:val="16"/>
              </w:rPr>
              <w:t>20</w:t>
            </w:r>
            <w:r w:rsidR="00527FCA">
              <w:rPr>
                <w:rFonts w:ascii="Arial" w:hAnsi="Arial"/>
                <w:sz w:val="16"/>
              </w:rPr>
              <w:t>,</w:t>
            </w:r>
            <w:r w:rsidR="00527FCA" w:rsidRPr="00527FCA">
              <w:rPr>
                <w:rFonts w:ascii="Arial" w:hAnsi="Arial"/>
                <w:sz w:val="16"/>
              </w:rPr>
              <w:t>397</w:t>
            </w:r>
            <w:r w:rsidR="00527FCA">
              <w:rPr>
                <w:rFonts w:ascii="Arial" w:hAnsi="Arial"/>
                <w:sz w:val="16"/>
              </w:rPr>
              <w:t>,</w:t>
            </w:r>
            <w:r w:rsidR="00527FCA" w:rsidRPr="00527FCA">
              <w:rPr>
                <w:rFonts w:ascii="Arial" w:hAnsi="Arial"/>
                <w:sz w:val="16"/>
              </w:rPr>
              <w:t>600</w:t>
            </w:r>
          </w:p>
        </w:tc>
      </w:tr>
      <w:tr w:rsidR="00E227CE" w14:paraId="449987D5" w14:textId="77777777" w:rsidTr="00DF65A6">
        <w:trPr>
          <w:cantSplit/>
        </w:trPr>
        <w:tc>
          <w:tcPr>
            <w:tcW w:w="4950" w:type="dxa"/>
            <w:vAlign w:val="center"/>
          </w:tcPr>
          <w:p w14:paraId="449987D1" w14:textId="77777777" w:rsidR="00E227CE" w:rsidRDefault="00E227CE" w:rsidP="00DF65A6">
            <w:pPr>
              <w:rPr>
                <w:rFonts w:ascii="Arial" w:hAnsi="Arial"/>
                <w:b/>
                <w:bCs/>
                <w:sz w:val="16"/>
              </w:rPr>
            </w:pPr>
            <w:r>
              <w:rPr>
                <w:rFonts w:ascii="Arial" w:hAnsi="Arial"/>
                <w:b/>
                <w:bCs/>
                <w:sz w:val="16"/>
              </w:rPr>
              <w:t>Total</w:t>
            </w:r>
          </w:p>
        </w:tc>
        <w:tc>
          <w:tcPr>
            <w:tcW w:w="1170" w:type="dxa"/>
            <w:vAlign w:val="center"/>
          </w:tcPr>
          <w:p w14:paraId="449987D2" w14:textId="3F4F6104" w:rsidR="00E227CE" w:rsidRDefault="00B568F0" w:rsidP="00B568F0">
            <w:pPr>
              <w:jc w:val="center"/>
              <w:rPr>
                <w:rFonts w:ascii="Arial" w:hAnsi="Arial"/>
                <w:b/>
                <w:bCs/>
                <w:sz w:val="16"/>
              </w:rPr>
            </w:pPr>
            <w:r>
              <w:rPr>
                <w:rFonts w:ascii="Arial" w:hAnsi="Arial"/>
                <w:b/>
                <w:bCs/>
                <w:sz w:val="16"/>
              </w:rPr>
              <w:t>51,929</w:t>
            </w:r>
          </w:p>
        </w:tc>
        <w:tc>
          <w:tcPr>
            <w:tcW w:w="1440" w:type="dxa"/>
            <w:vAlign w:val="center"/>
          </w:tcPr>
          <w:p w14:paraId="449987D3" w14:textId="77777777" w:rsidR="00E227CE" w:rsidRDefault="00DF65A6" w:rsidP="00B2473A">
            <w:pPr>
              <w:jc w:val="center"/>
              <w:rPr>
                <w:rFonts w:ascii="Arial" w:hAnsi="Arial"/>
                <w:b/>
                <w:bCs/>
                <w:sz w:val="16"/>
              </w:rPr>
            </w:pPr>
            <w:r>
              <w:rPr>
                <w:rFonts w:ascii="Arial" w:hAnsi="Arial"/>
                <w:b/>
                <w:bCs/>
                <w:sz w:val="16"/>
              </w:rPr>
              <w:t>---</w:t>
            </w:r>
          </w:p>
        </w:tc>
        <w:tc>
          <w:tcPr>
            <w:tcW w:w="1530" w:type="dxa"/>
          </w:tcPr>
          <w:p w14:paraId="449987D4" w14:textId="49386B13" w:rsidR="00E227CE" w:rsidRPr="00DF65A6" w:rsidRDefault="00DF65A6" w:rsidP="00B2473A">
            <w:pPr>
              <w:jc w:val="center"/>
              <w:rPr>
                <w:rFonts w:ascii="Arial" w:hAnsi="Arial"/>
                <w:b/>
                <w:bCs/>
                <w:sz w:val="16"/>
              </w:rPr>
            </w:pPr>
            <w:r w:rsidRPr="00DF65A6">
              <w:rPr>
                <w:rFonts w:ascii="Arial" w:hAnsi="Arial"/>
                <w:b/>
                <w:sz w:val="16"/>
              </w:rPr>
              <w:t>$</w:t>
            </w:r>
            <w:r w:rsidR="00527FCA" w:rsidRPr="00527FCA">
              <w:rPr>
                <w:rFonts w:ascii="Arial" w:hAnsi="Arial"/>
                <w:b/>
                <w:sz w:val="16"/>
              </w:rPr>
              <w:t>20</w:t>
            </w:r>
            <w:r w:rsidR="00527FCA">
              <w:rPr>
                <w:rFonts w:ascii="Arial" w:hAnsi="Arial"/>
                <w:b/>
                <w:sz w:val="16"/>
              </w:rPr>
              <w:t>,</w:t>
            </w:r>
            <w:r w:rsidR="00527FCA" w:rsidRPr="00527FCA">
              <w:rPr>
                <w:rFonts w:ascii="Arial" w:hAnsi="Arial"/>
                <w:b/>
                <w:sz w:val="16"/>
              </w:rPr>
              <w:t>865</w:t>
            </w:r>
            <w:r w:rsidR="00527FCA">
              <w:rPr>
                <w:rFonts w:ascii="Arial" w:hAnsi="Arial"/>
                <w:b/>
                <w:sz w:val="16"/>
              </w:rPr>
              <w:t>,</w:t>
            </w:r>
            <w:r w:rsidR="00527FCA" w:rsidRPr="00527FCA">
              <w:rPr>
                <w:rFonts w:ascii="Arial" w:hAnsi="Arial"/>
                <w:b/>
                <w:sz w:val="16"/>
              </w:rPr>
              <w:t>100</w:t>
            </w:r>
          </w:p>
        </w:tc>
      </w:tr>
    </w:tbl>
    <w:p w14:paraId="449987D6" w14:textId="77777777" w:rsidR="00352A91" w:rsidRDefault="00352A91">
      <w:pPr>
        <w:pStyle w:val="BodyText2"/>
      </w:pPr>
    </w:p>
    <w:p w14:paraId="449987D7" w14:textId="4E6BB9AE" w:rsidR="00967080" w:rsidRDefault="00967080" w:rsidP="00967080">
      <w:pPr>
        <w:pStyle w:val="BodyText2"/>
      </w:pPr>
      <w:r>
        <w:t>Due to the reduced filing fee for TEAS</w:t>
      </w:r>
      <w:r w:rsidR="0085629D">
        <w:t xml:space="preserve"> applications for renewal</w:t>
      </w:r>
      <w:r>
        <w:t xml:space="preserve">, the USPTO estimates that fewer applications will be submitted by mail through the United States Postal Service.  The USPTO still estimates that approximately 98% of the paper forms are submitted via first-class mail, but now estimates that </w:t>
      </w:r>
      <w:r w:rsidR="0085629D">
        <w:t xml:space="preserve">out of </w:t>
      </w:r>
      <w:r w:rsidR="00B618B3">
        <w:t>935</w:t>
      </w:r>
      <w:r w:rsidR="005418E3">
        <w:t xml:space="preserve"> </w:t>
      </w:r>
      <w:r w:rsidR="0085629D">
        <w:t xml:space="preserve">paper forms, </w:t>
      </w:r>
      <w:r w:rsidR="00B43C15">
        <w:t>917</w:t>
      </w:r>
      <w:r w:rsidR="005418E3">
        <w:t xml:space="preserve"> </w:t>
      </w:r>
      <w:r>
        <w:t xml:space="preserve">forms will be mailed.  </w:t>
      </w:r>
    </w:p>
    <w:p w14:paraId="449987D8" w14:textId="77777777" w:rsidR="00967080" w:rsidRDefault="00967080" w:rsidP="00967080">
      <w:pPr>
        <w:pStyle w:val="BodyText2"/>
      </w:pPr>
    </w:p>
    <w:p w14:paraId="449987D9" w14:textId="197D6273" w:rsidR="00967080" w:rsidRDefault="00967080" w:rsidP="00967080">
      <w:pPr>
        <w:pStyle w:val="BodyText2"/>
      </w:pPr>
      <w:r>
        <w:t xml:space="preserve">Since the renewal of </w:t>
      </w:r>
      <w:r w:rsidR="0085629D">
        <w:t xml:space="preserve">this collection in </w:t>
      </w:r>
      <w:r>
        <w:t xml:space="preserve">2011, the first-class postage rates have increased from </w:t>
      </w:r>
      <w:r w:rsidR="005418E3">
        <w:t xml:space="preserve">46 </w:t>
      </w:r>
      <w:r w:rsidR="005B3304">
        <w:t xml:space="preserve">cents </w:t>
      </w:r>
      <w:r>
        <w:t xml:space="preserve">to </w:t>
      </w:r>
      <w:r w:rsidR="005418E3">
        <w:t xml:space="preserve">49 </w:t>
      </w:r>
      <w:r>
        <w:t xml:space="preserve">cents. Therefore, the USPTO estimates that the postage costs for this collection will be </w:t>
      </w:r>
      <w:r w:rsidR="00041744">
        <w:t>$</w:t>
      </w:r>
      <w:r w:rsidR="00B43C15">
        <w:t>450</w:t>
      </w:r>
      <w:r w:rsidR="00041744">
        <w:t>.</w:t>
      </w:r>
    </w:p>
    <w:p w14:paraId="449987DA" w14:textId="77777777" w:rsidR="00967080" w:rsidRDefault="00967080" w:rsidP="00967080">
      <w:pPr>
        <w:pStyle w:val="BodyText2"/>
      </w:pPr>
      <w:r>
        <w:t xml:space="preserve">  </w:t>
      </w:r>
    </w:p>
    <w:p w14:paraId="449987DB" w14:textId="77777777" w:rsidR="002270CD" w:rsidRDefault="0020096E" w:rsidP="00967080">
      <w:pPr>
        <w:pStyle w:val="BodyText2"/>
      </w:pPr>
      <w:r>
        <w:t>Table 4b</w:t>
      </w:r>
      <w:r w:rsidR="00967080">
        <w:t xml:space="preserve"> calculates the postage costs for</w:t>
      </w:r>
      <w:r w:rsidR="0085629D">
        <w:t xml:space="preserve"> the </w:t>
      </w:r>
      <w:r w:rsidR="00882563">
        <w:t xml:space="preserve">combined filing submitted </w:t>
      </w:r>
      <w:r w:rsidR="0085629D">
        <w:t>on paper</w:t>
      </w:r>
      <w:r w:rsidR="00967080">
        <w:t xml:space="preserve">.  </w:t>
      </w:r>
    </w:p>
    <w:p w14:paraId="449987DC" w14:textId="77777777" w:rsidR="00967080" w:rsidRDefault="00967080" w:rsidP="00967080">
      <w:pPr>
        <w:pStyle w:val="BodyText2"/>
      </w:pPr>
      <w:r>
        <w:t xml:space="preserve">  </w:t>
      </w:r>
    </w:p>
    <w:p w14:paraId="449987DD" w14:textId="77777777" w:rsidR="00967080" w:rsidRDefault="0020096E" w:rsidP="00967080">
      <w:pPr>
        <w:pStyle w:val="Heading5"/>
        <w:jc w:val="both"/>
      </w:pPr>
      <w:r>
        <w:t>Table 4b</w:t>
      </w:r>
      <w:r w:rsidR="00967080">
        <w:t xml:space="preserve">:  Postage Costs for </w:t>
      </w:r>
      <w:r w:rsidRPr="0020096E">
        <w:t>Post Registration (Trademark Processing)</w:t>
      </w:r>
    </w:p>
    <w:tbl>
      <w:tblPr>
        <w:tblW w:w="90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5" w:type="dxa"/>
          <w:left w:w="115" w:type="dxa"/>
          <w:bottom w:w="115" w:type="dxa"/>
          <w:right w:w="115" w:type="dxa"/>
        </w:tblCellMar>
        <w:tblLook w:val="0000" w:firstRow="0" w:lastRow="0" w:firstColumn="0" w:lastColumn="0" w:noHBand="0" w:noVBand="0"/>
      </w:tblPr>
      <w:tblGrid>
        <w:gridCol w:w="4590"/>
        <w:gridCol w:w="1350"/>
        <w:gridCol w:w="1620"/>
        <w:gridCol w:w="1530"/>
      </w:tblGrid>
      <w:tr w:rsidR="0085629D" w14:paraId="449987E7" w14:textId="77777777" w:rsidTr="00DF65A6">
        <w:trPr>
          <w:cantSplit/>
        </w:trPr>
        <w:tc>
          <w:tcPr>
            <w:tcW w:w="4590" w:type="dxa"/>
            <w:vAlign w:val="center"/>
          </w:tcPr>
          <w:p w14:paraId="449987DE" w14:textId="77777777" w:rsidR="0085629D" w:rsidRDefault="0085629D" w:rsidP="00DF65A6">
            <w:pPr>
              <w:jc w:val="center"/>
              <w:rPr>
                <w:rFonts w:ascii="Arial" w:hAnsi="Arial"/>
                <w:b/>
                <w:sz w:val="16"/>
              </w:rPr>
            </w:pPr>
            <w:r>
              <w:rPr>
                <w:rFonts w:ascii="Arial" w:hAnsi="Arial"/>
                <w:b/>
                <w:sz w:val="16"/>
              </w:rPr>
              <w:t>Item</w:t>
            </w:r>
          </w:p>
        </w:tc>
        <w:tc>
          <w:tcPr>
            <w:tcW w:w="1350" w:type="dxa"/>
            <w:vAlign w:val="center"/>
          </w:tcPr>
          <w:p w14:paraId="449987DF" w14:textId="77777777" w:rsidR="0085629D" w:rsidRDefault="0085629D" w:rsidP="00DF65A6">
            <w:pPr>
              <w:jc w:val="center"/>
              <w:rPr>
                <w:rFonts w:ascii="Arial" w:hAnsi="Arial"/>
                <w:b/>
                <w:sz w:val="16"/>
              </w:rPr>
            </w:pPr>
            <w:r>
              <w:rPr>
                <w:rFonts w:ascii="Arial" w:hAnsi="Arial"/>
                <w:b/>
                <w:sz w:val="16"/>
              </w:rPr>
              <w:t>Responses</w:t>
            </w:r>
          </w:p>
          <w:p w14:paraId="449987E0" w14:textId="77777777" w:rsidR="0085629D" w:rsidRDefault="0085629D" w:rsidP="00DF65A6">
            <w:pPr>
              <w:jc w:val="center"/>
              <w:rPr>
                <w:rFonts w:ascii="Arial" w:hAnsi="Arial"/>
                <w:b/>
                <w:sz w:val="16"/>
              </w:rPr>
            </w:pPr>
            <w:r>
              <w:rPr>
                <w:rFonts w:ascii="Arial" w:hAnsi="Arial"/>
                <w:b/>
                <w:sz w:val="16"/>
              </w:rPr>
              <w:t>(</w:t>
            </w:r>
            <w:proofErr w:type="spellStart"/>
            <w:r>
              <w:rPr>
                <w:rFonts w:ascii="Arial" w:hAnsi="Arial"/>
                <w:b/>
                <w:sz w:val="16"/>
              </w:rPr>
              <w:t>yr</w:t>
            </w:r>
            <w:proofErr w:type="spellEnd"/>
            <w:r>
              <w:rPr>
                <w:rFonts w:ascii="Arial" w:hAnsi="Arial"/>
                <w:b/>
                <w:sz w:val="16"/>
              </w:rPr>
              <w:t>)</w:t>
            </w:r>
          </w:p>
          <w:p w14:paraId="449987E1" w14:textId="77777777" w:rsidR="0085629D" w:rsidRDefault="0085629D" w:rsidP="00DF65A6">
            <w:pPr>
              <w:jc w:val="center"/>
              <w:rPr>
                <w:rFonts w:ascii="Arial" w:hAnsi="Arial"/>
                <w:b/>
                <w:sz w:val="16"/>
              </w:rPr>
            </w:pPr>
            <w:r>
              <w:rPr>
                <w:rFonts w:ascii="Arial" w:hAnsi="Arial"/>
                <w:b/>
                <w:sz w:val="16"/>
              </w:rPr>
              <w:t>(a)</w:t>
            </w:r>
          </w:p>
        </w:tc>
        <w:tc>
          <w:tcPr>
            <w:tcW w:w="1620" w:type="dxa"/>
            <w:vAlign w:val="center"/>
          </w:tcPr>
          <w:p w14:paraId="449987E2" w14:textId="77777777" w:rsidR="0085629D" w:rsidRDefault="0085629D" w:rsidP="00DF65A6">
            <w:pPr>
              <w:jc w:val="center"/>
              <w:rPr>
                <w:rFonts w:ascii="Arial" w:hAnsi="Arial"/>
                <w:b/>
                <w:sz w:val="16"/>
              </w:rPr>
            </w:pPr>
            <w:r>
              <w:rPr>
                <w:rFonts w:ascii="Arial" w:hAnsi="Arial"/>
                <w:b/>
                <w:sz w:val="16"/>
              </w:rPr>
              <w:t>Postage Costs</w:t>
            </w:r>
          </w:p>
          <w:p w14:paraId="449987E3" w14:textId="77777777" w:rsidR="0085629D" w:rsidRDefault="0085629D" w:rsidP="00DF65A6">
            <w:pPr>
              <w:jc w:val="center"/>
              <w:rPr>
                <w:rFonts w:ascii="Arial" w:hAnsi="Arial"/>
                <w:b/>
                <w:sz w:val="16"/>
              </w:rPr>
            </w:pPr>
            <w:r>
              <w:rPr>
                <w:rFonts w:ascii="Arial" w:hAnsi="Arial"/>
                <w:b/>
                <w:sz w:val="16"/>
              </w:rPr>
              <w:t>(b)</w:t>
            </w:r>
          </w:p>
        </w:tc>
        <w:tc>
          <w:tcPr>
            <w:tcW w:w="1530" w:type="dxa"/>
            <w:vAlign w:val="center"/>
          </w:tcPr>
          <w:p w14:paraId="449987E4" w14:textId="77777777" w:rsidR="0085629D" w:rsidRDefault="0085629D" w:rsidP="00DF65A6">
            <w:pPr>
              <w:jc w:val="center"/>
              <w:rPr>
                <w:rFonts w:ascii="Arial" w:hAnsi="Arial"/>
                <w:b/>
                <w:sz w:val="16"/>
              </w:rPr>
            </w:pPr>
            <w:r>
              <w:rPr>
                <w:rFonts w:ascii="Arial" w:hAnsi="Arial"/>
                <w:b/>
                <w:sz w:val="16"/>
              </w:rPr>
              <w:t>Total Cost</w:t>
            </w:r>
          </w:p>
          <w:p w14:paraId="449987E5" w14:textId="77777777" w:rsidR="0085629D" w:rsidRDefault="0085629D" w:rsidP="00DF65A6">
            <w:pPr>
              <w:jc w:val="center"/>
              <w:rPr>
                <w:rFonts w:ascii="Arial" w:hAnsi="Arial"/>
                <w:b/>
                <w:sz w:val="16"/>
              </w:rPr>
            </w:pPr>
            <w:r>
              <w:rPr>
                <w:rFonts w:ascii="Arial" w:hAnsi="Arial"/>
                <w:b/>
                <w:sz w:val="16"/>
              </w:rPr>
              <w:t>(</w:t>
            </w:r>
            <w:proofErr w:type="spellStart"/>
            <w:r>
              <w:rPr>
                <w:rFonts w:ascii="Arial" w:hAnsi="Arial"/>
                <w:b/>
                <w:sz w:val="16"/>
              </w:rPr>
              <w:t>yr</w:t>
            </w:r>
            <w:proofErr w:type="spellEnd"/>
            <w:r>
              <w:rPr>
                <w:rFonts w:ascii="Arial" w:hAnsi="Arial"/>
                <w:b/>
                <w:sz w:val="16"/>
              </w:rPr>
              <w:t>)</w:t>
            </w:r>
          </w:p>
          <w:p w14:paraId="449987E6" w14:textId="77777777" w:rsidR="0085629D" w:rsidRDefault="0085629D" w:rsidP="00DF65A6">
            <w:pPr>
              <w:jc w:val="center"/>
              <w:rPr>
                <w:rFonts w:ascii="Arial" w:hAnsi="Arial"/>
                <w:b/>
                <w:sz w:val="16"/>
              </w:rPr>
            </w:pPr>
            <w:r>
              <w:rPr>
                <w:rFonts w:ascii="Arial" w:hAnsi="Arial"/>
                <w:b/>
                <w:sz w:val="16"/>
              </w:rPr>
              <w:t>(a) x (b)</w:t>
            </w:r>
          </w:p>
        </w:tc>
      </w:tr>
      <w:tr w:rsidR="0085629D" w14:paraId="449987EC" w14:textId="77777777" w:rsidTr="00B2473A">
        <w:trPr>
          <w:cantSplit/>
        </w:trPr>
        <w:tc>
          <w:tcPr>
            <w:tcW w:w="4590" w:type="dxa"/>
            <w:tcBorders>
              <w:bottom w:val="single" w:sz="4" w:space="0" w:color="auto"/>
            </w:tcBorders>
          </w:tcPr>
          <w:p w14:paraId="449987E8" w14:textId="77777777" w:rsidR="0085629D" w:rsidRDefault="0085629D" w:rsidP="00DF65A6">
            <w:pPr>
              <w:rPr>
                <w:rFonts w:ascii="Arial" w:hAnsi="Arial"/>
                <w:bCs/>
                <w:sz w:val="16"/>
              </w:rPr>
            </w:pPr>
            <w:r w:rsidRPr="0085629D">
              <w:rPr>
                <w:rFonts w:ascii="Arial" w:hAnsi="Arial"/>
                <w:bCs/>
                <w:sz w:val="16"/>
              </w:rPr>
              <w:t>Combined Declaration of Use and/or Excusable Nonuse/Application for Renewal under Sections 8 &amp; 9</w:t>
            </w:r>
          </w:p>
        </w:tc>
        <w:tc>
          <w:tcPr>
            <w:tcW w:w="1350" w:type="dxa"/>
            <w:tcBorders>
              <w:bottom w:val="single" w:sz="4" w:space="0" w:color="auto"/>
            </w:tcBorders>
            <w:vAlign w:val="center"/>
          </w:tcPr>
          <w:p w14:paraId="449987E9" w14:textId="22E086C4" w:rsidR="0085629D" w:rsidRDefault="00B43C15" w:rsidP="00BC49BC">
            <w:pPr>
              <w:jc w:val="center"/>
              <w:rPr>
                <w:rFonts w:ascii="Arial" w:hAnsi="Arial"/>
                <w:sz w:val="16"/>
              </w:rPr>
            </w:pPr>
            <w:r>
              <w:rPr>
                <w:rFonts w:ascii="Arial" w:hAnsi="Arial"/>
                <w:sz w:val="16"/>
              </w:rPr>
              <w:t>917</w:t>
            </w:r>
          </w:p>
        </w:tc>
        <w:tc>
          <w:tcPr>
            <w:tcW w:w="1620" w:type="dxa"/>
            <w:tcBorders>
              <w:bottom w:val="single" w:sz="4" w:space="0" w:color="auto"/>
            </w:tcBorders>
            <w:vAlign w:val="center"/>
          </w:tcPr>
          <w:p w14:paraId="449987EA" w14:textId="77777777" w:rsidR="0085629D" w:rsidRDefault="0085629D">
            <w:pPr>
              <w:jc w:val="center"/>
              <w:rPr>
                <w:rFonts w:ascii="Arial" w:hAnsi="Arial"/>
                <w:sz w:val="16"/>
              </w:rPr>
            </w:pPr>
            <w:r>
              <w:rPr>
                <w:rFonts w:ascii="Arial" w:hAnsi="Arial"/>
                <w:sz w:val="16"/>
              </w:rPr>
              <w:t>$0.4</w:t>
            </w:r>
            <w:r w:rsidR="00DF65A6">
              <w:rPr>
                <w:rFonts w:ascii="Arial" w:hAnsi="Arial"/>
                <w:sz w:val="16"/>
              </w:rPr>
              <w:t>9</w:t>
            </w:r>
          </w:p>
        </w:tc>
        <w:tc>
          <w:tcPr>
            <w:tcW w:w="1530" w:type="dxa"/>
            <w:tcBorders>
              <w:bottom w:val="single" w:sz="4" w:space="0" w:color="auto"/>
            </w:tcBorders>
            <w:vAlign w:val="center"/>
          </w:tcPr>
          <w:p w14:paraId="449987EB" w14:textId="1A9EDFC7" w:rsidR="0085629D" w:rsidRDefault="0085629D" w:rsidP="00B2473A">
            <w:pPr>
              <w:jc w:val="center"/>
              <w:rPr>
                <w:rFonts w:ascii="Arial" w:hAnsi="Arial"/>
                <w:sz w:val="16"/>
              </w:rPr>
            </w:pPr>
            <w:r>
              <w:rPr>
                <w:rFonts w:ascii="Arial" w:hAnsi="Arial"/>
                <w:sz w:val="16"/>
              </w:rPr>
              <w:t>$</w:t>
            </w:r>
            <w:r w:rsidR="00B43C15">
              <w:rPr>
                <w:rFonts w:ascii="Arial" w:hAnsi="Arial"/>
                <w:sz w:val="16"/>
              </w:rPr>
              <w:t>450</w:t>
            </w:r>
          </w:p>
        </w:tc>
      </w:tr>
      <w:tr w:rsidR="0085629D" w14:paraId="449987F1" w14:textId="77777777" w:rsidTr="00B2473A">
        <w:trPr>
          <w:cantSplit/>
        </w:trPr>
        <w:tc>
          <w:tcPr>
            <w:tcW w:w="4590" w:type="dxa"/>
            <w:tcBorders>
              <w:bottom w:val="single" w:sz="4" w:space="0" w:color="auto"/>
            </w:tcBorders>
          </w:tcPr>
          <w:p w14:paraId="449987ED" w14:textId="77777777" w:rsidR="0085629D" w:rsidRDefault="0085629D" w:rsidP="00DF65A6">
            <w:pPr>
              <w:rPr>
                <w:rFonts w:ascii="Arial" w:hAnsi="Arial"/>
                <w:b/>
                <w:sz w:val="16"/>
              </w:rPr>
            </w:pPr>
            <w:r>
              <w:rPr>
                <w:rFonts w:ascii="Arial" w:hAnsi="Arial"/>
                <w:b/>
                <w:sz w:val="16"/>
              </w:rPr>
              <w:t>Total</w:t>
            </w:r>
          </w:p>
        </w:tc>
        <w:tc>
          <w:tcPr>
            <w:tcW w:w="1350" w:type="dxa"/>
            <w:tcBorders>
              <w:bottom w:val="single" w:sz="4" w:space="0" w:color="auto"/>
            </w:tcBorders>
            <w:vAlign w:val="center"/>
          </w:tcPr>
          <w:p w14:paraId="449987EE" w14:textId="1C9283C1" w:rsidR="0085629D" w:rsidRDefault="00B43C15" w:rsidP="00BC49BC">
            <w:pPr>
              <w:jc w:val="center"/>
              <w:rPr>
                <w:rFonts w:ascii="Arial" w:hAnsi="Arial"/>
                <w:b/>
                <w:sz w:val="16"/>
              </w:rPr>
            </w:pPr>
            <w:r>
              <w:rPr>
                <w:rFonts w:ascii="Arial" w:hAnsi="Arial"/>
                <w:b/>
                <w:sz w:val="16"/>
              </w:rPr>
              <w:t>917</w:t>
            </w:r>
          </w:p>
        </w:tc>
        <w:tc>
          <w:tcPr>
            <w:tcW w:w="1620" w:type="dxa"/>
            <w:tcBorders>
              <w:bottom w:val="single" w:sz="4" w:space="0" w:color="auto"/>
            </w:tcBorders>
            <w:vAlign w:val="center"/>
          </w:tcPr>
          <w:p w14:paraId="449987EF" w14:textId="77777777" w:rsidR="0085629D" w:rsidRDefault="00DF65A6">
            <w:pPr>
              <w:jc w:val="center"/>
              <w:rPr>
                <w:rFonts w:ascii="Arial" w:hAnsi="Arial"/>
                <w:b/>
                <w:sz w:val="16"/>
              </w:rPr>
            </w:pPr>
            <w:r>
              <w:rPr>
                <w:rFonts w:ascii="Arial" w:hAnsi="Arial"/>
                <w:b/>
                <w:sz w:val="16"/>
              </w:rPr>
              <w:t>---</w:t>
            </w:r>
          </w:p>
        </w:tc>
        <w:tc>
          <w:tcPr>
            <w:tcW w:w="1530" w:type="dxa"/>
            <w:tcBorders>
              <w:bottom w:val="single" w:sz="4" w:space="0" w:color="auto"/>
            </w:tcBorders>
            <w:vAlign w:val="center"/>
          </w:tcPr>
          <w:p w14:paraId="449987F0" w14:textId="02897F47" w:rsidR="0085629D" w:rsidRDefault="00DF65A6" w:rsidP="00B2473A">
            <w:pPr>
              <w:jc w:val="center"/>
              <w:rPr>
                <w:rFonts w:ascii="Arial" w:hAnsi="Arial"/>
                <w:b/>
                <w:sz w:val="16"/>
              </w:rPr>
            </w:pPr>
            <w:r>
              <w:rPr>
                <w:rFonts w:ascii="Arial" w:hAnsi="Arial"/>
                <w:b/>
                <w:sz w:val="16"/>
              </w:rPr>
              <w:t>$</w:t>
            </w:r>
            <w:r w:rsidR="00B43C15">
              <w:rPr>
                <w:rFonts w:ascii="Arial" w:hAnsi="Arial"/>
                <w:b/>
                <w:sz w:val="16"/>
              </w:rPr>
              <w:t>450</w:t>
            </w:r>
          </w:p>
        </w:tc>
      </w:tr>
    </w:tbl>
    <w:p w14:paraId="449987F2" w14:textId="77777777" w:rsidR="00967080" w:rsidRDefault="00967080">
      <w:pPr>
        <w:pStyle w:val="BodyText2"/>
      </w:pPr>
    </w:p>
    <w:p w14:paraId="449987F3" w14:textId="147094BE" w:rsidR="00885869" w:rsidRPr="00FD28A7" w:rsidRDefault="00885869">
      <w:pPr>
        <w:pStyle w:val="BodyText2"/>
      </w:pPr>
      <w:r w:rsidRPr="00FD28A7">
        <w:t xml:space="preserve">The USPTO estimates that the total </w:t>
      </w:r>
      <w:r w:rsidR="00C82D9E" w:rsidRPr="00FD28A7">
        <w:t>non-hour cost burden associated with the filing and processing fees for this collection will be</w:t>
      </w:r>
      <w:r w:rsidR="00DF6B36" w:rsidRPr="00FD28A7">
        <w:t xml:space="preserve"> $</w:t>
      </w:r>
      <w:r w:rsidR="00FD28A7" w:rsidRPr="00F4209D">
        <w:t>20,865,100</w:t>
      </w:r>
      <w:r w:rsidR="00D15405" w:rsidRPr="00FD28A7">
        <w:t>.</w:t>
      </w:r>
      <w:r w:rsidR="00DF6B36" w:rsidRPr="00FD28A7">
        <w:t xml:space="preserve"> </w:t>
      </w:r>
    </w:p>
    <w:p w14:paraId="449987F4" w14:textId="77777777" w:rsidR="00811985" w:rsidRPr="00FD28A7" w:rsidRDefault="00811985">
      <w:pPr>
        <w:pStyle w:val="BodyText2"/>
      </w:pPr>
    </w:p>
    <w:p w14:paraId="449987F5" w14:textId="2B92CCAE" w:rsidR="00811985" w:rsidRPr="00FD28A7" w:rsidRDefault="00811985">
      <w:pPr>
        <w:pStyle w:val="BodyText2"/>
      </w:pPr>
      <w:r w:rsidRPr="00FD28A7">
        <w:t>Therefore, the USPTO estimates that the total annual (non-hour) cost burden for this collection, in the form of postage costs</w:t>
      </w:r>
      <w:r w:rsidR="005C532E" w:rsidRPr="00FD28A7">
        <w:t xml:space="preserve">, filing fees, and </w:t>
      </w:r>
      <w:r w:rsidRPr="00FD28A7">
        <w:t>processing fees is</w:t>
      </w:r>
      <w:r w:rsidR="005C532E" w:rsidRPr="00FD28A7">
        <w:t xml:space="preserve"> $</w:t>
      </w:r>
      <w:r w:rsidR="00FD28A7" w:rsidRPr="00F4209D">
        <w:t>20,865,100</w:t>
      </w:r>
      <w:r w:rsidRPr="00FD28A7">
        <w:t>per year.</w:t>
      </w:r>
    </w:p>
    <w:p w14:paraId="5BFB8F36" w14:textId="77777777" w:rsidR="005B3304" w:rsidRDefault="005B3304">
      <w:pPr>
        <w:pStyle w:val="BodyText2"/>
      </w:pPr>
    </w:p>
    <w:p w14:paraId="44998813" w14:textId="77777777" w:rsidR="00885869" w:rsidRDefault="00885869">
      <w:pPr>
        <w:jc w:val="both"/>
        <w:rPr>
          <w:rFonts w:ascii="Arial" w:hAnsi="Arial"/>
          <w:b/>
          <w:sz w:val="24"/>
        </w:rPr>
      </w:pPr>
      <w:r w:rsidRPr="00C82218">
        <w:rPr>
          <w:rFonts w:ascii="Arial" w:hAnsi="Arial"/>
          <w:b/>
          <w:sz w:val="24"/>
        </w:rPr>
        <w:t>14.</w:t>
      </w:r>
      <w:r w:rsidRPr="00C82218">
        <w:rPr>
          <w:rFonts w:ascii="Arial" w:hAnsi="Arial"/>
          <w:b/>
          <w:sz w:val="24"/>
        </w:rPr>
        <w:tab/>
        <w:t>Annual Cost to the Federal Government</w:t>
      </w:r>
    </w:p>
    <w:p w14:paraId="44998814" w14:textId="77777777" w:rsidR="00885869" w:rsidRDefault="00885869">
      <w:pPr>
        <w:jc w:val="both"/>
        <w:rPr>
          <w:rFonts w:ascii="Arial" w:hAnsi="Arial"/>
          <w:sz w:val="24"/>
        </w:rPr>
      </w:pPr>
    </w:p>
    <w:p w14:paraId="44998815" w14:textId="77777777" w:rsidR="00885869" w:rsidRDefault="00885869">
      <w:pPr>
        <w:jc w:val="both"/>
        <w:rPr>
          <w:rFonts w:ascii="Arial" w:hAnsi="Arial"/>
          <w:sz w:val="24"/>
        </w:rPr>
      </w:pPr>
      <w:r>
        <w:rPr>
          <w:rFonts w:ascii="Arial" w:hAnsi="Arial"/>
          <w:sz w:val="24"/>
        </w:rPr>
        <w:lastRenderedPageBreak/>
        <w:t>The USPTO estimates that it takes</w:t>
      </w:r>
      <w:r w:rsidR="0006489E">
        <w:rPr>
          <w:rFonts w:ascii="Arial" w:hAnsi="Arial"/>
          <w:sz w:val="24"/>
        </w:rPr>
        <w:t xml:space="preserve"> </w:t>
      </w:r>
      <w:r>
        <w:rPr>
          <w:rFonts w:ascii="Arial" w:hAnsi="Arial"/>
          <w:sz w:val="24"/>
        </w:rPr>
        <w:t xml:space="preserve">a </w:t>
      </w:r>
      <w:r w:rsidRPr="005B3304">
        <w:rPr>
          <w:rFonts w:ascii="Arial" w:hAnsi="Arial"/>
          <w:sz w:val="24"/>
        </w:rPr>
        <w:t xml:space="preserve">GS-7, step </w:t>
      </w:r>
      <w:r w:rsidR="0006489E" w:rsidRPr="005B3304">
        <w:rPr>
          <w:rFonts w:ascii="Arial" w:hAnsi="Arial"/>
          <w:sz w:val="24"/>
        </w:rPr>
        <w:t>9</w:t>
      </w:r>
      <w:r>
        <w:rPr>
          <w:rFonts w:ascii="Arial" w:hAnsi="Arial"/>
          <w:sz w:val="24"/>
        </w:rPr>
        <w:t xml:space="preserve"> employee </w:t>
      </w:r>
      <w:r w:rsidR="00E37392">
        <w:rPr>
          <w:rFonts w:ascii="Arial" w:hAnsi="Arial"/>
          <w:sz w:val="24"/>
        </w:rPr>
        <w:t>7</w:t>
      </w:r>
      <w:r>
        <w:rPr>
          <w:rFonts w:ascii="Arial" w:hAnsi="Arial"/>
          <w:sz w:val="24"/>
        </w:rPr>
        <w:t xml:space="preserve"> minutes</w:t>
      </w:r>
      <w:r w:rsidR="00357034">
        <w:rPr>
          <w:rFonts w:ascii="Arial" w:hAnsi="Arial"/>
          <w:sz w:val="24"/>
        </w:rPr>
        <w:t xml:space="preserve"> (0.</w:t>
      </w:r>
      <w:r w:rsidR="00E37392">
        <w:rPr>
          <w:rFonts w:ascii="Arial" w:hAnsi="Arial"/>
          <w:sz w:val="24"/>
        </w:rPr>
        <w:t>12</w:t>
      </w:r>
      <w:r w:rsidR="00357034">
        <w:rPr>
          <w:rFonts w:ascii="Arial" w:hAnsi="Arial"/>
          <w:sz w:val="24"/>
        </w:rPr>
        <w:t xml:space="preserve"> hours)</w:t>
      </w:r>
      <w:r>
        <w:rPr>
          <w:rFonts w:ascii="Arial" w:hAnsi="Arial"/>
          <w:sz w:val="24"/>
        </w:rPr>
        <w:t xml:space="preserve"> to process the </w:t>
      </w:r>
      <w:r w:rsidR="00E37392">
        <w:rPr>
          <w:rFonts w:ascii="Arial" w:hAnsi="Arial"/>
          <w:sz w:val="24"/>
        </w:rPr>
        <w:t xml:space="preserve">combined filing </w:t>
      </w:r>
      <w:r>
        <w:rPr>
          <w:rFonts w:ascii="Arial" w:hAnsi="Arial"/>
          <w:sz w:val="24"/>
        </w:rPr>
        <w:t xml:space="preserve">if submitted </w:t>
      </w:r>
      <w:r w:rsidR="0006489E">
        <w:rPr>
          <w:rFonts w:ascii="Arial" w:hAnsi="Arial"/>
          <w:sz w:val="24"/>
        </w:rPr>
        <w:t xml:space="preserve">on </w:t>
      </w:r>
      <w:r>
        <w:rPr>
          <w:rFonts w:ascii="Arial" w:hAnsi="Arial"/>
          <w:sz w:val="24"/>
        </w:rPr>
        <w:t>paper.  In the case of electronically</w:t>
      </w:r>
      <w:r w:rsidR="0006489E">
        <w:rPr>
          <w:rFonts w:ascii="Arial" w:hAnsi="Arial"/>
          <w:sz w:val="24"/>
        </w:rPr>
        <w:t xml:space="preserve"> </w:t>
      </w:r>
      <w:r>
        <w:rPr>
          <w:rFonts w:ascii="Arial" w:hAnsi="Arial"/>
          <w:sz w:val="24"/>
        </w:rPr>
        <w:t>filed</w:t>
      </w:r>
      <w:r w:rsidR="00E37392">
        <w:rPr>
          <w:rFonts w:ascii="Arial" w:hAnsi="Arial"/>
          <w:sz w:val="24"/>
        </w:rPr>
        <w:t xml:space="preserve"> combined filings</w:t>
      </w:r>
      <w:r>
        <w:rPr>
          <w:rFonts w:ascii="Arial" w:hAnsi="Arial"/>
          <w:sz w:val="24"/>
        </w:rPr>
        <w:t xml:space="preserve">, the USPTO estimates that it takes </w:t>
      </w:r>
      <w:r w:rsidR="0006489E">
        <w:rPr>
          <w:rFonts w:ascii="Arial" w:hAnsi="Arial"/>
          <w:sz w:val="24"/>
        </w:rPr>
        <w:t xml:space="preserve">4 </w:t>
      </w:r>
      <w:r>
        <w:rPr>
          <w:rFonts w:ascii="Arial" w:hAnsi="Arial"/>
          <w:sz w:val="24"/>
        </w:rPr>
        <w:t>minutes</w:t>
      </w:r>
      <w:r w:rsidR="00357034">
        <w:rPr>
          <w:rFonts w:ascii="Arial" w:hAnsi="Arial"/>
          <w:sz w:val="24"/>
        </w:rPr>
        <w:t xml:space="preserve"> (0.0</w:t>
      </w:r>
      <w:r w:rsidR="0006489E">
        <w:rPr>
          <w:rFonts w:ascii="Arial" w:hAnsi="Arial"/>
          <w:sz w:val="24"/>
        </w:rPr>
        <w:t>7</w:t>
      </w:r>
      <w:r w:rsidR="00357034">
        <w:rPr>
          <w:rFonts w:ascii="Arial" w:hAnsi="Arial"/>
          <w:sz w:val="24"/>
        </w:rPr>
        <w:t xml:space="preserve"> hours)</w:t>
      </w:r>
      <w:r>
        <w:rPr>
          <w:rFonts w:ascii="Arial" w:hAnsi="Arial"/>
          <w:sz w:val="24"/>
        </w:rPr>
        <w:t xml:space="preserve"> to process.        </w:t>
      </w:r>
    </w:p>
    <w:p w14:paraId="44998816" w14:textId="77777777" w:rsidR="00885869" w:rsidRDefault="00885869">
      <w:pPr>
        <w:jc w:val="both"/>
        <w:rPr>
          <w:rFonts w:ascii="Arial" w:hAnsi="Arial"/>
          <w:sz w:val="24"/>
        </w:rPr>
      </w:pPr>
    </w:p>
    <w:p w14:paraId="44998817" w14:textId="77777777" w:rsidR="00575340" w:rsidRDefault="00885869">
      <w:pPr>
        <w:jc w:val="both"/>
        <w:rPr>
          <w:rFonts w:ascii="Arial" w:hAnsi="Arial"/>
          <w:sz w:val="24"/>
        </w:rPr>
      </w:pPr>
      <w:r>
        <w:rPr>
          <w:rFonts w:ascii="Arial" w:hAnsi="Arial"/>
          <w:sz w:val="24"/>
        </w:rPr>
        <w:t xml:space="preserve">The current hourly rate for a </w:t>
      </w:r>
      <w:r w:rsidRPr="005B3304">
        <w:rPr>
          <w:rFonts w:ascii="Arial" w:hAnsi="Arial"/>
          <w:sz w:val="24"/>
        </w:rPr>
        <w:t xml:space="preserve">GS-7, step </w:t>
      </w:r>
      <w:r w:rsidR="0006489E" w:rsidRPr="005B3304">
        <w:rPr>
          <w:rFonts w:ascii="Arial" w:hAnsi="Arial"/>
          <w:sz w:val="24"/>
        </w:rPr>
        <w:t>9</w:t>
      </w:r>
      <w:r>
        <w:rPr>
          <w:rFonts w:ascii="Arial" w:hAnsi="Arial"/>
          <w:sz w:val="24"/>
        </w:rPr>
        <w:t xml:space="preserve"> is $</w:t>
      </w:r>
      <w:r w:rsidR="0006489E">
        <w:rPr>
          <w:rFonts w:ascii="Arial" w:hAnsi="Arial"/>
          <w:sz w:val="24"/>
        </w:rPr>
        <w:t xml:space="preserve">25.62.  </w:t>
      </w:r>
      <w:r>
        <w:rPr>
          <w:rFonts w:ascii="Arial" w:hAnsi="Arial"/>
          <w:sz w:val="24"/>
        </w:rPr>
        <w:t xml:space="preserve">When 30% is added to account for a fully loaded hourly rate (benefits and overhead), the </w:t>
      </w:r>
      <w:r w:rsidR="00357034">
        <w:rPr>
          <w:rFonts w:ascii="Arial" w:hAnsi="Arial"/>
          <w:sz w:val="24"/>
        </w:rPr>
        <w:t>rate</w:t>
      </w:r>
      <w:r>
        <w:rPr>
          <w:rFonts w:ascii="Arial" w:hAnsi="Arial"/>
          <w:sz w:val="24"/>
        </w:rPr>
        <w:t xml:space="preserve"> per hour for a GS-7, step </w:t>
      </w:r>
      <w:r w:rsidR="0006489E">
        <w:rPr>
          <w:rFonts w:ascii="Arial" w:hAnsi="Arial"/>
          <w:sz w:val="24"/>
        </w:rPr>
        <w:t>9</w:t>
      </w:r>
      <w:r>
        <w:rPr>
          <w:rFonts w:ascii="Arial" w:hAnsi="Arial"/>
          <w:sz w:val="24"/>
        </w:rPr>
        <w:t xml:space="preserve"> is</w:t>
      </w:r>
      <w:r w:rsidR="00357034">
        <w:rPr>
          <w:rFonts w:ascii="Arial" w:hAnsi="Arial"/>
          <w:sz w:val="24"/>
        </w:rPr>
        <w:t xml:space="preserve"> $</w:t>
      </w:r>
      <w:r w:rsidR="0006489E">
        <w:rPr>
          <w:rFonts w:ascii="Arial" w:hAnsi="Arial"/>
          <w:sz w:val="24"/>
        </w:rPr>
        <w:t>33.31</w:t>
      </w:r>
      <w:r w:rsidR="00357034">
        <w:rPr>
          <w:rFonts w:ascii="Arial" w:hAnsi="Arial"/>
          <w:sz w:val="24"/>
        </w:rPr>
        <w:t xml:space="preserve"> ($</w:t>
      </w:r>
      <w:r w:rsidR="0006489E">
        <w:rPr>
          <w:rFonts w:ascii="Arial" w:hAnsi="Arial"/>
          <w:sz w:val="24"/>
        </w:rPr>
        <w:t>25.62</w:t>
      </w:r>
      <w:r w:rsidR="00357034">
        <w:rPr>
          <w:rFonts w:ascii="Arial" w:hAnsi="Arial"/>
          <w:sz w:val="24"/>
        </w:rPr>
        <w:t xml:space="preserve"> + $</w:t>
      </w:r>
      <w:r w:rsidR="0006489E">
        <w:rPr>
          <w:rFonts w:ascii="Arial" w:hAnsi="Arial"/>
          <w:sz w:val="24"/>
        </w:rPr>
        <w:t>7.69</w:t>
      </w:r>
      <w:r w:rsidR="00357034">
        <w:rPr>
          <w:rFonts w:ascii="Arial" w:hAnsi="Arial"/>
          <w:sz w:val="24"/>
        </w:rPr>
        <w:t>).</w:t>
      </w:r>
    </w:p>
    <w:p w14:paraId="44998818" w14:textId="77777777" w:rsidR="00BA42B8" w:rsidRDefault="00BA42B8">
      <w:pPr>
        <w:jc w:val="both"/>
        <w:rPr>
          <w:rFonts w:ascii="Arial" w:hAnsi="Arial"/>
          <w:sz w:val="24"/>
        </w:rPr>
      </w:pPr>
    </w:p>
    <w:p w14:paraId="44998819" w14:textId="77777777" w:rsidR="00885869" w:rsidRDefault="00575340">
      <w:pPr>
        <w:jc w:val="both"/>
        <w:rPr>
          <w:rFonts w:ascii="Arial" w:hAnsi="Arial"/>
          <w:sz w:val="24"/>
        </w:rPr>
      </w:pPr>
      <w:r>
        <w:rPr>
          <w:rFonts w:ascii="Arial" w:hAnsi="Arial"/>
          <w:sz w:val="24"/>
        </w:rPr>
        <w:t>Estimates are based upon agency long-standing institutional knowledge of and experience with processing the type of information collected and the length of time necessary to process similar or like information.</w:t>
      </w:r>
      <w:r w:rsidR="00357034">
        <w:rPr>
          <w:rFonts w:ascii="Arial" w:hAnsi="Arial"/>
          <w:sz w:val="24"/>
        </w:rPr>
        <w:t xml:space="preserve">  </w:t>
      </w:r>
    </w:p>
    <w:p w14:paraId="4499881A" w14:textId="77777777" w:rsidR="00885869" w:rsidRDefault="00885869">
      <w:pPr>
        <w:jc w:val="both"/>
        <w:rPr>
          <w:rFonts w:ascii="Arial" w:hAnsi="Arial"/>
          <w:sz w:val="24"/>
        </w:rPr>
      </w:pPr>
    </w:p>
    <w:p w14:paraId="4499881B" w14:textId="77777777" w:rsidR="00885869" w:rsidRDefault="00885869">
      <w:pPr>
        <w:jc w:val="both"/>
        <w:rPr>
          <w:rFonts w:ascii="Arial" w:hAnsi="Arial"/>
          <w:sz w:val="24"/>
        </w:rPr>
      </w:pPr>
      <w:r>
        <w:rPr>
          <w:rFonts w:ascii="Arial" w:hAnsi="Arial"/>
          <w:sz w:val="24"/>
        </w:rPr>
        <w:t xml:space="preserve">Table </w:t>
      </w:r>
      <w:r w:rsidR="00546C2F">
        <w:rPr>
          <w:rFonts w:ascii="Arial" w:hAnsi="Arial"/>
          <w:sz w:val="24"/>
        </w:rPr>
        <w:t>5</w:t>
      </w:r>
      <w:r w:rsidR="00C82218">
        <w:rPr>
          <w:rFonts w:ascii="Arial" w:hAnsi="Arial"/>
          <w:sz w:val="24"/>
        </w:rPr>
        <w:t>a</w:t>
      </w:r>
      <w:r>
        <w:rPr>
          <w:rFonts w:ascii="Arial" w:hAnsi="Arial"/>
          <w:sz w:val="24"/>
        </w:rPr>
        <w:t xml:space="preserve"> calculates the processing hours and costs of this information collection to the Federal Government:</w:t>
      </w:r>
    </w:p>
    <w:p w14:paraId="4499881C" w14:textId="77777777" w:rsidR="006F6161" w:rsidRDefault="006F6161">
      <w:pPr>
        <w:jc w:val="both"/>
        <w:rPr>
          <w:rFonts w:ascii="Arial" w:hAnsi="Arial"/>
          <w:sz w:val="24"/>
        </w:rPr>
      </w:pPr>
    </w:p>
    <w:p w14:paraId="4499881D" w14:textId="77777777" w:rsidR="00885869" w:rsidRDefault="00885869">
      <w:pPr>
        <w:pStyle w:val="Heading5"/>
      </w:pPr>
      <w:r>
        <w:t xml:space="preserve">Table </w:t>
      </w:r>
      <w:r w:rsidR="00546C2F">
        <w:t>5</w:t>
      </w:r>
      <w:r w:rsidR="00C82218">
        <w:t>a</w:t>
      </w:r>
      <w:r>
        <w:t>:  Burden Hour/Burden Cost to the Federal Government</w:t>
      </w:r>
      <w:r w:rsidR="00546C2F">
        <w:t xml:space="preserve"> for </w:t>
      </w:r>
      <w:r w:rsidR="0085629D" w:rsidRPr="0085629D">
        <w:t>Post Registration (Trademark Processing)</w:t>
      </w:r>
    </w:p>
    <w:tbl>
      <w:tblPr>
        <w:tblW w:w="927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5" w:type="dxa"/>
          <w:left w:w="115" w:type="dxa"/>
          <w:bottom w:w="115" w:type="dxa"/>
          <w:right w:w="115" w:type="dxa"/>
        </w:tblCellMar>
        <w:tblLook w:val="0000" w:firstRow="0" w:lastRow="0" w:firstColumn="0" w:lastColumn="0" w:noHBand="0" w:noVBand="0"/>
      </w:tblPr>
      <w:tblGrid>
        <w:gridCol w:w="3600"/>
        <w:gridCol w:w="810"/>
        <w:gridCol w:w="1080"/>
        <w:gridCol w:w="1170"/>
        <w:gridCol w:w="997"/>
        <w:gridCol w:w="1620"/>
      </w:tblGrid>
      <w:tr w:rsidR="0085629D" w14:paraId="4499882F" w14:textId="77777777" w:rsidTr="003D5271">
        <w:trPr>
          <w:cantSplit/>
          <w:tblHeader/>
        </w:trPr>
        <w:tc>
          <w:tcPr>
            <w:tcW w:w="3600" w:type="dxa"/>
            <w:vAlign w:val="center"/>
          </w:tcPr>
          <w:p w14:paraId="4499881E" w14:textId="77777777" w:rsidR="0085629D" w:rsidRDefault="0085629D" w:rsidP="00DF65A6">
            <w:pPr>
              <w:jc w:val="center"/>
              <w:rPr>
                <w:rFonts w:ascii="Arial" w:hAnsi="Arial"/>
                <w:b/>
                <w:sz w:val="16"/>
              </w:rPr>
            </w:pPr>
            <w:r>
              <w:rPr>
                <w:rFonts w:ascii="Arial" w:hAnsi="Arial"/>
                <w:b/>
                <w:sz w:val="16"/>
              </w:rPr>
              <w:t>Item</w:t>
            </w:r>
          </w:p>
        </w:tc>
        <w:tc>
          <w:tcPr>
            <w:tcW w:w="810" w:type="dxa"/>
            <w:vAlign w:val="center"/>
          </w:tcPr>
          <w:p w14:paraId="4499881F" w14:textId="77777777" w:rsidR="0085629D" w:rsidRDefault="0085629D" w:rsidP="00DF65A6">
            <w:pPr>
              <w:jc w:val="center"/>
              <w:rPr>
                <w:rFonts w:ascii="Arial" w:hAnsi="Arial"/>
                <w:b/>
                <w:sz w:val="16"/>
              </w:rPr>
            </w:pPr>
            <w:r>
              <w:rPr>
                <w:rFonts w:ascii="Arial" w:hAnsi="Arial"/>
                <w:b/>
                <w:sz w:val="16"/>
              </w:rPr>
              <w:t>Hours</w:t>
            </w:r>
          </w:p>
          <w:p w14:paraId="44998820" w14:textId="77777777" w:rsidR="0085629D" w:rsidRDefault="0085629D" w:rsidP="00DF65A6">
            <w:pPr>
              <w:jc w:val="center"/>
              <w:rPr>
                <w:rFonts w:ascii="Arial" w:hAnsi="Arial"/>
                <w:b/>
                <w:sz w:val="16"/>
              </w:rPr>
            </w:pPr>
            <w:r>
              <w:rPr>
                <w:rFonts w:ascii="Arial" w:hAnsi="Arial"/>
                <w:b/>
                <w:sz w:val="16"/>
              </w:rPr>
              <w:t>(a)</w:t>
            </w:r>
          </w:p>
        </w:tc>
        <w:tc>
          <w:tcPr>
            <w:tcW w:w="1080" w:type="dxa"/>
            <w:vAlign w:val="center"/>
          </w:tcPr>
          <w:p w14:paraId="44998821" w14:textId="77777777" w:rsidR="0085629D" w:rsidRDefault="0085629D" w:rsidP="00DF65A6">
            <w:pPr>
              <w:jc w:val="center"/>
              <w:rPr>
                <w:rFonts w:ascii="Arial" w:hAnsi="Arial"/>
                <w:b/>
                <w:sz w:val="16"/>
              </w:rPr>
            </w:pPr>
            <w:r>
              <w:rPr>
                <w:rFonts w:ascii="Arial" w:hAnsi="Arial"/>
                <w:b/>
                <w:sz w:val="16"/>
              </w:rPr>
              <w:t>Responses</w:t>
            </w:r>
          </w:p>
          <w:p w14:paraId="44998822" w14:textId="77777777" w:rsidR="0085629D" w:rsidRDefault="0085629D" w:rsidP="00DF65A6">
            <w:pPr>
              <w:jc w:val="center"/>
              <w:rPr>
                <w:rFonts w:ascii="Arial" w:hAnsi="Arial"/>
                <w:b/>
                <w:sz w:val="16"/>
              </w:rPr>
            </w:pPr>
            <w:r>
              <w:rPr>
                <w:rFonts w:ascii="Arial" w:hAnsi="Arial"/>
                <w:b/>
                <w:sz w:val="16"/>
              </w:rPr>
              <w:t>(</w:t>
            </w:r>
            <w:proofErr w:type="spellStart"/>
            <w:r>
              <w:rPr>
                <w:rFonts w:ascii="Arial" w:hAnsi="Arial"/>
                <w:b/>
                <w:sz w:val="16"/>
              </w:rPr>
              <w:t>yr</w:t>
            </w:r>
            <w:proofErr w:type="spellEnd"/>
            <w:r>
              <w:rPr>
                <w:rFonts w:ascii="Arial" w:hAnsi="Arial"/>
                <w:b/>
                <w:sz w:val="16"/>
              </w:rPr>
              <w:t>)</w:t>
            </w:r>
          </w:p>
          <w:p w14:paraId="44998823" w14:textId="77777777" w:rsidR="0085629D" w:rsidRDefault="0085629D" w:rsidP="00DF65A6">
            <w:pPr>
              <w:jc w:val="center"/>
              <w:rPr>
                <w:rFonts w:ascii="Arial" w:hAnsi="Arial"/>
                <w:b/>
                <w:sz w:val="16"/>
              </w:rPr>
            </w:pPr>
            <w:r>
              <w:rPr>
                <w:rFonts w:ascii="Arial" w:hAnsi="Arial"/>
                <w:b/>
                <w:sz w:val="16"/>
              </w:rPr>
              <w:t>(b)</w:t>
            </w:r>
          </w:p>
        </w:tc>
        <w:tc>
          <w:tcPr>
            <w:tcW w:w="1170" w:type="dxa"/>
            <w:vAlign w:val="center"/>
          </w:tcPr>
          <w:p w14:paraId="44998824" w14:textId="77777777" w:rsidR="0085629D" w:rsidRDefault="0085629D" w:rsidP="00DF65A6">
            <w:pPr>
              <w:jc w:val="center"/>
              <w:rPr>
                <w:rFonts w:ascii="Arial" w:hAnsi="Arial"/>
                <w:b/>
                <w:sz w:val="16"/>
              </w:rPr>
            </w:pPr>
            <w:r>
              <w:rPr>
                <w:rFonts w:ascii="Arial" w:hAnsi="Arial"/>
                <w:b/>
                <w:sz w:val="16"/>
              </w:rPr>
              <w:t>Burden</w:t>
            </w:r>
          </w:p>
          <w:p w14:paraId="44998825" w14:textId="77777777" w:rsidR="0085629D" w:rsidRDefault="0085629D" w:rsidP="00DF65A6">
            <w:pPr>
              <w:jc w:val="center"/>
              <w:rPr>
                <w:rFonts w:ascii="Arial" w:hAnsi="Arial"/>
                <w:b/>
                <w:sz w:val="16"/>
              </w:rPr>
            </w:pPr>
            <w:r>
              <w:rPr>
                <w:rFonts w:ascii="Arial" w:hAnsi="Arial"/>
                <w:b/>
                <w:sz w:val="16"/>
              </w:rPr>
              <w:t>(</w:t>
            </w:r>
            <w:proofErr w:type="spellStart"/>
            <w:r>
              <w:rPr>
                <w:rFonts w:ascii="Arial" w:hAnsi="Arial"/>
                <w:b/>
                <w:sz w:val="16"/>
              </w:rPr>
              <w:t>hrs</w:t>
            </w:r>
            <w:proofErr w:type="spellEnd"/>
            <w:r>
              <w:rPr>
                <w:rFonts w:ascii="Arial" w:hAnsi="Arial"/>
                <w:b/>
                <w:sz w:val="16"/>
              </w:rPr>
              <w:t>/</w:t>
            </w:r>
            <w:proofErr w:type="spellStart"/>
            <w:r>
              <w:rPr>
                <w:rFonts w:ascii="Arial" w:hAnsi="Arial"/>
                <w:b/>
                <w:sz w:val="16"/>
              </w:rPr>
              <w:t>yr</w:t>
            </w:r>
            <w:proofErr w:type="spellEnd"/>
            <w:r>
              <w:rPr>
                <w:rFonts w:ascii="Arial" w:hAnsi="Arial"/>
                <w:b/>
                <w:sz w:val="16"/>
              </w:rPr>
              <w:t>)</w:t>
            </w:r>
          </w:p>
          <w:p w14:paraId="44998826" w14:textId="77777777" w:rsidR="0085629D" w:rsidRDefault="0085629D" w:rsidP="00DF65A6">
            <w:pPr>
              <w:jc w:val="center"/>
              <w:rPr>
                <w:rFonts w:ascii="Arial" w:hAnsi="Arial"/>
                <w:b/>
                <w:sz w:val="16"/>
              </w:rPr>
            </w:pPr>
            <w:r>
              <w:rPr>
                <w:rFonts w:ascii="Arial" w:hAnsi="Arial"/>
                <w:b/>
                <w:sz w:val="16"/>
              </w:rPr>
              <w:t>(c)</w:t>
            </w:r>
          </w:p>
          <w:p w14:paraId="44998827" w14:textId="77777777" w:rsidR="0085629D" w:rsidRDefault="0085629D" w:rsidP="00DF65A6">
            <w:pPr>
              <w:jc w:val="center"/>
              <w:rPr>
                <w:rFonts w:ascii="Arial" w:hAnsi="Arial"/>
                <w:b/>
                <w:sz w:val="16"/>
              </w:rPr>
            </w:pPr>
            <w:r>
              <w:rPr>
                <w:rFonts w:ascii="Arial" w:hAnsi="Arial"/>
                <w:b/>
                <w:sz w:val="16"/>
              </w:rPr>
              <w:t>(a) x (b)</w:t>
            </w:r>
          </w:p>
        </w:tc>
        <w:tc>
          <w:tcPr>
            <w:tcW w:w="997" w:type="dxa"/>
            <w:vAlign w:val="center"/>
          </w:tcPr>
          <w:p w14:paraId="44998828" w14:textId="77777777" w:rsidR="0085629D" w:rsidRDefault="0085629D" w:rsidP="00DF65A6">
            <w:pPr>
              <w:jc w:val="center"/>
              <w:rPr>
                <w:rFonts w:ascii="Arial" w:hAnsi="Arial"/>
                <w:b/>
                <w:sz w:val="16"/>
              </w:rPr>
            </w:pPr>
            <w:r>
              <w:rPr>
                <w:rFonts w:ascii="Arial" w:hAnsi="Arial"/>
                <w:b/>
                <w:sz w:val="16"/>
              </w:rPr>
              <w:t>Rate</w:t>
            </w:r>
          </w:p>
          <w:p w14:paraId="44998829" w14:textId="77777777" w:rsidR="0085629D" w:rsidRDefault="0085629D" w:rsidP="00DF65A6">
            <w:pPr>
              <w:jc w:val="center"/>
              <w:rPr>
                <w:rFonts w:ascii="Arial" w:hAnsi="Arial"/>
                <w:b/>
                <w:sz w:val="16"/>
              </w:rPr>
            </w:pPr>
            <w:r>
              <w:rPr>
                <w:rFonts w:ascii="Arial" w:hAnsi="Arial"/>
                <w:b/>
                <w:sz w:val="16"/>
              </w:rPr>
              <w:t>($/</w:t>
            </w:r>
            <w:proofErr w:type="spellStart"/>
            <w:r>
              <w:rPr>
                <w:rFonts w:ascii="Arial" w:hAnsi="Arial"/>
                <w:b/>
                <w:sz w:val="16"/>
              </w:rPr>
              <w:t>hr</w:t>
            </w:r>
            <w:proofErr w:type="spellEnd"/>
            <w:r>
              <w:rPr>
                <w:rFonts w:ascii="Arial" w:hAnsi="Arial"/>
                <w:b/>
                <w:sz w:val="16"/>
              </w:rPr>
              <w:t>)</w:t>
            </w:r>
          </w:p>
          <w:p w14:paraId="4499882A" w14:textId="77777777" w:rsidR="0085629D" w:rsidRDefault="0085629D" w:rsidP="00DF65A6">
            <w:pPr>
              <w:jc w:val="center"/>
              <w:rPr>
                <w:rFonts w:ascii="Arial" w:hAnsi="Arial"/>
                <w:b/>
                <w:sz w:val="16"/>
              </w:rPr>
            </w:pPr>
            <w:r>
              <w:rPr>
                <w:rFonts w:ascii="Arial" w:hAnsi="Arial"/>
                <w:b/>
                <w:sz w:val="16"/>
              </w:rPr>
              <w:t>(d)</w:t>
            </w:r>
          </w:p>
        </w:tc>
        <w:tc>
          <w:tcPr>
            <w:tcW w:w="1620" w:type="dxa"/>
            <w:vAlign w:val="center"/>
          </w:tcPr>
          <w:p w14:paraId="4499882B" w14:textId="77777777" w:rsidR="0085629D" w:rsidRDefault="0085629D" w:rsidP="00DF65A6">
            <w:pPr>
              <w:jc w:val="center"/>
              <w:rPr>
                <w:rFonts w:ascii="Arial" w:hAnsi="Arial"/>
                <w:b/>
                <w:sz w:val="16"/>
              </w:rPr>
            </w:pPr>
            <w:r>
              <w:rPr>
                <w:rFonts w:ascii="Arial" w:hAnsi="Arial"/>
                <w:b/>
                <w:sz w:val="16"/>
              </w:rPr>
              <w:t>Total Cost</w:t>
            </w:r>
          </w:p>
          <w:p w14:paraId="4499882C" w14:textId="77777777" w:rsidR="0085629D" w:rsidRDefault="0085629D" w:rsidP="00DF65A6">
            <w:pPr>
              <w:jc w:val="center"/>
              <w:rPr>
                <w:rFonts w:ascii="Arial" w:hAnsi="Arial"/>
                <w:b/>
                <w:sz w:val="16"/>
              </w:rPr>
            </w:pPr>
            <w:r>
              <w:rPr>
                <w:rFonts w:ascii="Arial" w:hAnsi="Arial"/>
                <w:b/>
                <w:sz w:val="16"/>
              </w:rPr>
              <w:t>($/</w:t>
            </w:r>
            <w:proofErr w:type="spellStart"/>
            <w:r>
              <w:rPr>
                <w:rFonts w:ascii="Arial" w:hAnsi="Arial"/>
                <w:b/>
                <w:sz w:val="16"/>
              </w:rPr>
              <w:t>hr</w:t>
            </w:r>
            <w:proofErr w:type="spellEnd"/>
            <w:r>
              <w:rPr>
                <w:rFonts w:ascii="Arial" w:hAnsi="Arial"/>
                <w:b/>
                <w:sz w:val="16"/>
              </w:rPr>
              <w:t>)</w:t>
            </w:r>
          </w:p>
          <w:p w14:paraId="4499882D" w14:textId="77777777" w:rsidR="0085629D" w:rsidRDefault="0085629D" w:rsidP="00DF65A6">
            <w:pPr>
              <w:jc w:val="center"/>
              <w:rPr>
                <w:rFonts w:ascii="Arial" w:hAnsi="Arial"/>
                <w:b/>
                <w:sz w:val="16"/>
              </w:rPr>
            </w:pPr>
            <w:r>
              <w:rPr>
                <w:rFonts w:ascii="Arial" w:hAnsi="Arial"/>
                <w:b/>
                <w:sz w:val="16"/>
              </w:rPr>
              <w:t>(e)</w:t>
            </w:r>
          </w:p>
          <w:p w14:paraId="4499882E" w14:textId="77777777" w:rsidR="0085629D" w:rsidRDefault="0085629D" w:rsidP="00DF65A6">
            <w:pPr>
              <w:jc w:val="center"/>
              <w:rPr>
                <w:rFonts w:ascii="Arial" w:hAnsi="Arial"/>
                <w:b/>
                <w:sz w:val="16"/>
              </w:rPr>
            </w:pPr>
            <w:r>
              <w:rPr>
                <w:rFonts w:ascii="Arial" w:hAnsi="Arial"/>
                <w:b/>
                <w:sz w:val="16"/>
              </w:rPr>
              <w:t>(c) x (d)</w:t>
            </w:r>
          </w:p>
        </w:tc>
      </w:tr>
      <w:tr w:rsidR="00B43C15" w14:paraId="4499883B" w14:textId="77777777" w:rsidTr="003D5271">
        <w:trPr>
          <w:cantSplit/>
        </w:trPr>
        <w:tc>
          <w:tcPr>
            <w:tcW w:w="3600" w:type="dxa"/>
            <w:vAlign w:val="center"/>
          </w:tcPr>
          <w:p w14:paraId="44998830" w14:textId="77777777" w:rsidR="00B43C15" w:rsidRDefault="00B43C15" w:rsidP="00DB4288">
            <w:pPr>
              <w:tabs>
                <w:tab w:val="left" w:pos="720"/>
              </w:tabs>
              <w:rPr>
                <w:rFonts w:ascii="Arial" w:hAnsi="Arial"/>
                <w:sz w:val="16"/>
              </w:rPr>
            </w:pPr>
            <w:r w:rsidRPr="00E961A4">
              <w:rPr>
                <w:rFonts w:ascii="Arial" w:hAnsi="Arial"/>
                <w:sz w:val="16"/>
              </w:rPr>
              <w:t>Combined Declaration of Use and/or Excusable Nonuse/Application for Renewal under Sections 8 &amp; 9</w:t>
            </w:r>
          </w:p>
        </w:tc>
        <w:tc>
          <w:tcPr>
            <w:tcW w:w="810" w:type="dxa"/>
            <w:vAlign w:val="center"/>
          </w:tcPr>
          <w:p w14:paraId="44998831" w14:textId="77777777" w:rsidR="00B43C15" w:rsidRDefault="00B43C15" w:rsidP="00AF02DA">
            <w:pPr>
              <w:jc w:val="center"/>
              <w:rPr>
                <w:rFonts w:ascii="Arial" w:hAnsi="Arial"/>
                <w:sz w:val="16"/>
              </w:rPr>
            </w:pPr>
            <w:r>
              <w:rPr>
                <w:rFonts w:ascii="Arial" w:hAnsi="Arial"/>
                <w:sz w:val="16"/>
              </w:rPr>
              <w:t>0.12</w:t>
            </w:r>
          </w:p>
        </w:tc>
        <w:tc>
          <w:tcPr>
            <w:tcW w:w="1080" w:type="dxa"/>
            <w:vAlign w:val="center"/>
          </w:tcPr>
          <w:p w14:paraId="44998832" w14:textId="5CB1F41D" w:rsidR="00B43C15" w:rsidRDefault="00B43C15" w:rsidP="00C848EC">
            <w:pPr>
              <w:jc w:val="center"/>
              <w:rPr>
                <w:rFonts w:ascii="Arial" w:hAnsi="Arial"/>
                <w:sz w:val="16"/>
              </w:rPr>
            </w:pPr>
            <w:r>
              <w:rPr>
                <w:rFonts w:ascii="Arial" w:hAnsi="Arial"/>
                <w:sz w:val="16"/>
              </w:rPr>
              <w:t>935</w:t>
            </w:r>
          </w:p>
        </w:tc>
        <w:tc>
          <w:tcPr>
            <w:tcW w:w="1170" w:type="dxa"/>
            <w:vAlign w:val="center"/>
          </w:tcPr>
          <w:p w14:paraId="44998837" w14:textId="09E7F261" w:rsidR="00B43C15" w:rsidRDefault="00B43C15" w:rsidP="00DB4288">
            <w:pPr>
              <w:jc w:val="center"/>
              <w:rPr>
                <w:rFonts w:ascii="Arial" w:hAnsi="Arial"/>
                <w:sz w:val="16"/>
              </w:rPr>
            </w:pPr>
            <w:r>
              <w:rPr>
                <w:rFonts w:ascii="Arial" w:hAnsi="Arial"/>
                <w:sz w:val="16"/>
              </w:rPr>
              <w:t>113</w:t>
            </w:r>
          </w:p>
        </w:tc>
        <w:tc>
          <w:tcPr>
            <w:tcW w:w="997" w:type="dxa"/>
            <w:vAlign w:val="center"/>
          </w:tcPr>
          <w:p w14:paraId="44998839" w14:textId="31EEF326" w:rsidR="00B43C15" w:rsidRDefault="00B43C15" w:rsidP="00C848EC">
            <w:pPr>
              <w:jc w:val="center"/>
              <w:rPr>
                <w:rFonts w:ascii="Arial" w:hAnsi="Arial"/>
                <w:sz w:val="16"/>
              </w:rPr>
            </w:pPr>
            <w:r>
              <w:rPr>
                <w:rFonts w:ascii="Arial" w:hAnsi="Arial"/>
                <w:sz w:val="16"/>
              </w:rPr>
              <w:t>$33.31</w:t>
            </w:r>
          </w:p>
        </w:tc>
        <w:tc>
          <w:tcPr>
            <w:tcW w:w="1620" w:type="dxa"/>
            <w:vAlign w:val="center"/>
          </w:tcPr>
          <w:p w14:paraId="4499883A" w14:textId="36F2C0E3" w:rsidR="00B43C15" w:rsidRDefault="00B43C15" w:rsidP="00C848EC">
            <w:pPr>
              <w:jc w:val="center"/>
              <w:rPr>
                <w:rFonts w:ascii="Arial" w:hAnsi="Arial"/>
                <w:sz w:val="16"/>
              </w:rPr>
            </w:pPr>
            <w:r>
              <w:rPr>
                <w:rFonts w:ascii="Arial" w:hAnsi="Arial"/>
                <w:sz w:val="16"/>
              </w:rPr>
              <w:t>$3,765</w:t>
            </w:r>
          </w:p>
        </w:tc>
      </w:tr>
      <w:tr w:rsidR="00B43C15" w14:paraId="44998846" w14:textId="77777777" w:rsidTr="003D5271">
        <w:trPr>
          <w:cantSplit/>
        </w:trPr>
        <w:tc>
          <w:tcPr>
            <w:tcW w:w="3600" w:type="dxa"/>
            <w:vAlign w:val="center"/>
          </w:tcPr>
          <w:p w14:paraId="4499883C" w14:textId="77777777" w:rsidR="00B43C15" w:rsidRDefault="00B43C15" w:rsidP="00DB4288">
            <w:pPr>
              <w:tabs>
                <w:tab w:val="left" w:pos="720"/>
              </w:tabs>
              <w:rPr>
                <w:rFonts w:ascii="Arial" w:hAnsi="Arial"/>
                <w:sz w:val="16"/>
              </w:rPr>
            </w:pPr>
            <w:r>
              <w:rPr>
                <w:rFonts w:ascii="Arial" w:hAnsi="Arial"/>
                <w:sz w:val="16"/>
              </w:rPr>
              <w:t xml:space="preserve">TEAS </w:t>
            </w:r>
            <w:r w:rsidRPr="00E961A4">
              <w:rPr>
                <w:rFonts w:ascii="Arial" w:hAnsi="Arial"/>
                <w:sz w:val="16"/>
              </w:rPr>
              <w:t>Combined Declaration of Use and/or Excusable Nonuse/Application for Renewal under Sections 8 &amp; 9</w:t>
            </w:r>
          </w:p>
        </w:tc>
        <w:tc>
          <w:tcPr>
            <w:tcW w:w="810" w:type="dxa"/>
            <w:vAlign w:val="center"/>
          </w:tcPr>
          <w:p w14:paraId="4499883D" w14:textId="77777777" w:rsidR="00B43C15" w:rsidRDefault="00B43C15" w:rsidP="00AF02DA">
            <w:pPr>
              <w:jc w:val="center"/>
              <w:rPr>
                <w:rFonts w:ascii="Arial" w:hAnsi="Arial"/>
                <w:sz w:val="16"/>
              </w:rPr>
            </w:pPr>
            <w:r>
              <w:rPr>
                <w:rFonts w:ascii="Arial" w:hAnsi="Arial"/>
                <w:sz w:val="16"/>
              </w:rPr>
              <w:t>0.07</w:t>
            </w:r>
          </w:p>
        </w:tc>
        <w:tc>
          <w:tcPr>
            <w:tcW w:w="1080" w:type="dxa"/>
            <w:vAlign w:val="center"/>
          </w:tcPr>
          <w:p w14:paraId="4499883E" w14:textId="19DE9444" w:rsidR="00B43C15" w:rsidRDefault="00B43C15" w:rsidP="00C848EC">
            <w:pPr>
              <w:jc w:val="center"/>
              <w:rPr>
                <w:rFonts w:ascii="Arial" w:hAnsi="Arial"/>
                <w:sz w:val="16"/>
              </w:rPr>
            </w:pPr>
            <w:r>
              <w:rPr>
                <w:rFonts w:ascii="Arial" w:hAnsi="Arial"/>
                <w:sz w:val="16"/>
              </w:rPr>
              <w:t>50,994</w:t>
            </w:r>
          </w:p>
        </w:tc>
        <w:tc>
          <w:tcPr>
            <w:tcW w:w="1170" w:type="dxa"/>
            <w:vAlign w:val="center"/>
          </w:tcPr>
          <w:p w14:paraId="4499883F" w14:textId="112F7D2D" w:rsidR="00B43C15" w:rsidRDefault="00B43C15" w:rsidP="00C848EC">
            <w:pPr>
              <w:jc w:val="center"/>
              <w:rPr>
                <w:rFonts w:ascii="Arial" w:hAnsi="Arial"/>
                <w:sz w:val="16"/>
              </w:rPr>
            </w:pPr>
            <w:r>
              <w:rPr>
                <w:rFonts w:ascii="Arial" w:hAnsi="Arial"/>
                <w:sz w:val="16"/>
              </w:rPr>
              <w:t>3</w:t>
            </w:r>
            <w:r w:rsidR="0082622D">
              <w:rPr>
                <w:rFonts w:ascii="Arial" w:hAnsi="Arial"/>
                <w:sz w:val="16"/>
              </w:rPr>
              <w:t>,</w:t>
            </w:r>
            <w:r>
              <w:rPr>
                <w:rFonts w:ascii="Arial" w:hAnsi="Arial"/>
                <w:sz w:val="16"/>
              </w:rPr>
              <w:t>570</w:t>
            </w:r>
          </w:p>
        </w:tc>
        <w:tc>
          <w:tcPr>
            <w:tcW w:w="997" w:type="dxa"/>
            <w:vAlign w:val="center"/>
          </w:tcPr>
          <w:p w14:paraId="44998844" w14:textId="224A2392" w:rsidR="00B43C15" w:rsidRDefault="00B43C15" w:rsidP="00DB4288">
            <w:pPr>
              <w:jc w:val="center"/>
              <w:rPr>
                <w:rFonts w:ascii="Arial" w:hAnsi="Arial"/>
                <w:sz w:val="16"/>
              </w:rPr>
            </w:pPr>
            <w:r>
              <w:rPr>
                <w:rFonts w:ascii="Arial" w:hAnsi="Arial"/>
                <w:sz w:val="16"/>
              </w:rPr>
              <w:t>$33.31</w:t>
            </w:r>
          </w:p>
        </w:tc>
        <w:tc>
          <w:tcPr>
            <w:tcW w:w="1620" w:type="dxa"/>
            <w:vAlign w:val="center"/>
          </w:tcPr>
          <w:p w14:paraId="44998845" w14:textId="69D500C4" w:rsidR="00B43C15" w:rsidRDefault="00B43C15" w:rsidP="00C848EC">
            <w:pPr>
              <w:jc w:val="center"/>
              <w:rPr>
                <w:rFonts w:ascii="Arial" w:hAnsi="Arial"/>
                <w:sz w:val="16"/>
              </w:rPr>
            </w:pPr>
            <w:r>
              <w:rPr>
                <w:rFonts w:ascii="Arial" w:hAnsi="Arial"/>
                <w:sz w:val="16"/>
              </w:rPr>
              <w:t>$118,917</w:t>
            </w:r>
          </w:p>
        </w:tc>
      </w:tr>
      <w:tr w:rsidR="00B43C15" w14:paraId="4499884E" w14:textId="77777777" w:rsidTr="003D5271">
        <w:trPr>
          <w:cantSplit/>
        </w:trPr>
        <w:tc>
          <w:tcPr>
            <w:tcW w:w="3600" w:type="dxa"/>
            <w:vAlign w:val="center"/>
          </w:tcPr>
          <w:p w14:paraId="44998847" w14:textId="77777777" w:rsidR="00B43C15" w:rsidRDefault="00B43C15" w:rsidP="00DF65A6">
            <w:pPr>
              <w:rPr>
                <w:rFonts w:ascii="Arial" w:hAnsi="Arial"/>
                <w:b/>
                <w:sz w:val="16"/>
              </w:rPr>
            </w:pPr>
            <w:r>
              <w:rPr>
                <w:rFonts w:ascii="Arial" w:hAnsi="Arial"/>
                <w:b/>
                <w:sz w:val="16"/>
              </w:rPr>
              <w:t>Total</w:t>
            </w:r>
          </w:p>
        </w:tc>
        <w:tc>
          <w:tcPr>
            <w:tcW w:w="810" w:type="dxa"/>
            <w:vAlign w:val="center"/>
          </w:tcPr>
          <w:p w14:paraId="44998848" w14:textId="77777777" w:rsidR="00B43C15" w:rsidRDefault="00B43C15" w:rsidP="00BC49BC">
            <w:pPr>
              <w:jc w:val="center"/>
              <w:rPr>
                <w:rFonts w:ascii="Arial" w:hAnsi="Arial"/>
                <w:b/>
                <w:sz w:val="16"/>
              </w:rPr>
            </w:pPr>
            <w:r>
              <w:rPr>
                <w:rFonts w:ascii="Arial" w:hAnsi="Arial"/>
                <w:b/>
                <w:sz w:val="16"/>
              </w:rPr>
              <w:t>---</w:t>
            </w:r>
          </w:p>
        </w:tc>
        <w:tc>
          <w:tcPr>
            <w:tcW w:w="1080" w:type="dxa"/>
            <w:vAlign w:val="center"/>
          </w:tcPr>
          <w:p w14:paraId="44998849" w14:textId="4A4F930C" w:rsidR="00B43C15" w:rsidRDefault="00B43C15">
            <w:pPr>
              <w:jc w:val="center"/>
              <w:rPr>
                <w:rFonts w:ascii="Arial" w:hAnsi="Arial"/>
                <w:b/>
                <w:sz w:val="16"/>
              </w:rPr>
            </w:pPr>
            <w:r>
              <w:rPr>
                <w:rFonts w:ascii="Arial" w:hAnsi="Arial"/>
                <w:b/>
                <w:bCs/>
                <w:sz w:val="16"/>
              </w:rPr>
              <w:t>51,929</w:t>
            </w:r>
          </w:p>
        </w:tc>
        <w:tc>
          <w:tcPr>
            <w:tcW w:w="1170" w:type="dxa"/>
            <w:vAlign w:val="center"/>
          </w:tcPr>
          <w:p w14:paraId="4499884A" w14:textId="00B5588B" w:rsidR="00B43C15" w:rsidRDefault="00DB4288">
            <w:pPr>
              <w:jc w:val="center"/>
              <w:rPr>
                <w:rFonts w:ascii="Arial" w:hAnsi="Arial"/>
                <w:b/>
                <w:sz w:val="16"/>
              </w:rPr>
            </w:pPr>
            <w:r w:rsidRPr="00DB4288">
              <w:rPr>
                <w:rFonts w:ascii="Arial" w:hAnsi="Arial"/>
                <w:b/>
                <w:sz w:val="16"/>
              </w:rPr>
              <w:t>3</w:t>
            </w:r>
            <w:r>
              <w:rPr>
                <w:rFonts w:ascii="Arial" w:hAnsi="Arial"/>
                <w:b/>
                <w:sz w:val="16"/>
              </w:rPr>
              <w:t>,</w:t>
            </w:r>
            <w:r w:rsidRPr="00DB4288">
              <w:rPr>
                <w:rFonts w:ascii="Arial" w:hAnsi="Arial"/>
                <w:b/>
                <w:sz w:val="16"/>
              </w:rPr>
              <w:t>683</w:t>
            </w:r>
          </w:p>
        </w:tc>
        <w:tc>
          <w:tcPr>
            <w:tcW w:w="997" w:type="dxa"/>
            <w:vAlign w:val="center"/>
          </w:tcPr>
          <w:p w14:paraId="4499884B" w14:textId="77777777" w:rsidR="00B43C15" w:rsidRDefault="00B43C15">
            <w:pPr>
              <w:jc w:val="center"/>
              <w:rPr>
                <w:rFonts w:ascii="Arial" w:hAnsi="Arial"/>
                <w:b/>
                <w:sz w:val="16"/>
              </w:rPr>
            </w:pPr>
            <w:r>
              <w:rPr>
                <w:rFonts w:ascii="Arial" w:hAnsi="Arial"/>
                <w:b/>
                <w:sz w:val="16"/>
              </w:rPr>
              <w:t>---</w:t>
            </w:r>
          </w:p>
          <w:p w14:paraId="4499884C" w14:textId="77777777" w:rsidR="00B43C15" w:rsidRDefault="00B43C15">
            <w:pPr>
              <w:jc w:val="center"/>
              <w:rPr>
                <w:rFonts w:ascii="Arial" w:hAnsi="Arial"/>
                <w:b/>
                <w:sz w:val="16"/>
              </w:rPr>
            </w:pPr>
          </w:p>
        </w:tc>
        <w:tc>
          <w:tcPr>
            <w:tcW w:w="1620" w:type="dxa"/>
            <w:vAlign w:val="center"/>
          </w:tcPr>
          <w:p w14:paraId="4499884D" w14:textId="33E972CB" w:rsidR="00B43C15" w:rsidRDefault="00B43C15" w:rsidP="00B2473A">
            <w:pPr>
              <w:jc w:val="center"/>
              <w:rPr>
                <w:rFonts w:ascii="Arial" w:hAnsi="Arial"/>
                <w:b/>
                <w:sz w:val="16"/>
              </w:rPr>
            </w:pPr>
            <w:r>
              <w:rPr>
                <w:rFonts w:ascii="Arial" w:hAnsi="Arial"/>
                <w:b/>
                <w:sz w:val="16"/>
              </w:rPr>
              <w:t>$122,682</w:t>
            </w:r>
          </w:p>
        </w:tc>
      </w:tr>
    </w:tbl>
    <w:p w14:paraId="6A9E05C6" w14:textId="77777777" w:rsidR="00B2473A" w:rsidRDefault="00B2473A">
      <w:pPr>
        <w:jc w:val="both"/>
        <w:rPr>
          <w:rFonts w:ascii="Arial" w:hAnsi="Arial"/>
          <w:b/>
          <w:sz w:val="24"/>
        </w:rPr>
      </w:pPr>
    </w:p>
    <w:p w14:paraId="4499886D" w14:textId="77777777" w:rsidR="00885869" w:rsidRDefault="00885869">
      <w:pPr>
        <w:jc w:val="both"/>
        <w:rPr>
          <w:rFonts w:ascii="Arial" w:hAnsi="Arial"/>
          <w:b/>
          <w:sz w:val="24"/>
        </w:rPr>
      </w:pPr>
      <w:r w:rsidRPr="005E2B0A">
        <w:rPr>
          <w:rFonts w:ascii="Arial" w:hAnsi="Arial"/>
          <w:b/>
          <w:sz w:val="24"/>
        </w:rPr>
        <w:t>15.</w:t>
      </w:r>
      <w:r w:rsidRPr="005E2B0A">
        <w:rPr>
          <w:rFonts w:ascii="Arial" w:hAnsi="Arial"/>
          <w:b/>
          <w:sz w:val="24"/>
        </w:rPr>
        <w:tab/>
      </w:r>
      <w:r w:rsidR="00F96C6C" w:rsidRPr="005E2B0A">
        <w:rPr>
          <w:rFonts w:ascii="Arial" w:hAnsi="Arial"/>
          <w:b/>
          <w:sz w:val="24"/>
        </w:rPr>
        <w:t xml:space="preserve">Summary of </w:t>
      </w:r>
      <w:r w:rsidRPr="005E2B0A">
        <w:rPr>
          <w:rFonts w:ascii="Arial" w:hAnsi="Arial"/>
          <w:b/>
          <w:sz w:val="24"/>
        </w:rPr>
        <w:t>Change</w:t>
      </w:r>
      <w:r w:rsidR="00F96C6C" w:rsidRPr="005E2B0A">
        <w:rPr>
          <w:rFonts w:ascii="Arial" w:hAnsi="Arial"/>
          <w:b/>
          <w:sz w:val="24"/>
        </w:rPr>
        <w:t>s</w:t>
      </w:r>
      <w:r w:rsidRPr="005E2B0A">
        <w:rPr>
          <w:rFonts w:ascii="Arial" w:hAnsi="Arial"/>
          <w:b/>
          <w:sz w:val="24"/>
        </w:rPr>
        <w:t xml:space="preserve"> in Burden</w:t>
      </w:r>
      <w:r w:rsidR="00F96C6C" w:rsidRPr="005E2B0A">
        <w:rPr>
          <w:rFonts w:ascii="Arial" w:hAnsi="Arial"/>
          <w:b/>
          <w:sz w:val="24"/>
        </w:rPr>
        <w:t xml:space="preserve"> </w:t>
      </w:r>
      <w:proofErr w:type="gramStart"/>
      <w:r w:rsidR="00F96C6C" w:rsidRPr="005E2B0A">
        <w:rPr>
          <w:rFonts w:ascii="Arial" w:hAnsi="Arial"/>
          <w:b/>
          <w:sz w:val="24"/>
        </w:rPr>
        <w:t>Since</w:t>
      </w:r>
      <w:proofErr w:type="gramEnd"/>
      <w:r w:rsidR="00F96C6C" w:rsidRPr="005E2B0A">
        <w:rPr>
          <w:rFonts w:ascii="Arial" w:hAnsi="Arial"/>
          <w:b/>
          <w:sz w:val="24"/>
        </w:rPr>
        <w:t xml:space="preserve"> Previous Renewal</w:t>
      </w:r>
    </w:p>
    <w:p w14:paraId="2FF66022" w14:textId="3E196A92" w:rsidR="00937048" w:rsidRDefault="00937048" w:rsidP="00020A1F">
      <w:pPr>
        <w:jc w:val="both"/>
        <w:rPr>
          <w:rFonts w:ascii="Arial" w:hAnsi="Arial" w:cs="Arial"/>
          <w:sz w:val="24"/>
          <w:szCs w:val="24"/>
        </w:rPr>
      </w:pPr>
    </w:p>
    <w:p w14:paraId="654CB70E" w14:textId="0AC06394" w:rsidR="00020A1F" w:rsidRPr="00403E23" w:rsidRDefault="00937048" w:rsidP="00020A1F">
      <w:pPr>
        <w:jc w:val="both"/>
        <w:rPr>
          <w:rFonts w:ascii="Arial" w:hAnsi="Arial" w:cs="Arial"/>
          <w:sz w:val="24"/>
          <w:szCs w:val="24"/>
        </w:rPr>
      </w:pPr>
      <w:r w:rsidRPr="00AB7ECE">
        <w:rPr>
          <w:rFonts w:ascii="Arial" w:hAnsi="Arial" w:cs="Arial"/>
          <w:sz w:val="24"/>
          <w:szCs w:val="24"/>
        </w:rPr>
        <w:t xml:space="preserve">OMB </w:t>
      </w:r>
      <w:r w:rsidRPr="00670454">
        <w:rPr>
          <w:rFonts w:ascii="Arial" w:hAnsi="Arial" w:cs="Arial"/>
          <w:sz w:val="24"/>
          <w:szCs w:val="24"/>
        </w:rPr>
        <w:t xml:space="preserve">previously approved this information collection on </w:t>
      </w:r>
      <w:r>
        <w:rPr>
          <w:rFonts w:ascii="Arial" w:hAnsi="Arial" w:cs="Arial"/>
          <w:sz w:val="24"/>
          <w:szCs w:val="24"/>
        </w:rPr>
        <w:t xml:space="preserve">July </w:t>
      </w:r>
      <w:r w:rsidR="00A0035C">
        <w:rPr>
          <w:rFonts w:ascii="Arial" w:hAnsi="Arial" w:cs="Arial"/>
          <w:sz w:val="24"/>
          <w:szCs w:val="24"/>
        </w:rPr>
        <w:t>16</w:t>
      </w:r>
      <w:r w:rsidRPr="00670454">
        <w:rPr>
          <w:rFonts w:ascii="Arial" w:hAnsi="Arial" w:cs="Arial"/>
          <w:sz w:val="24"/>
          <w:szCs w:val="24"/>
        </w:rPr>
        <w:t>, 201</w:t>
      </w:r>
      <w:r>
        <w:rPr>
          <w:rFonts w:ascii="Arial" w:hAnsi="Arial" w:cs="Arial"/>
          <w:sz w:val="24"/>
          <w:szCs w:val="24"/>
        </w:rPr>
        <w:t>2</w:t>
      </w:r>
      <w:r w:rsidRPr="000E156C">
        <w:rPr>
          <w:rFonts w:ascii="Arial" w:hAnsi="Arial" w:cs="Arial"/>
          <w:sz w:val="24"/>
          <w:szCs w:val="24"/>
        </w:rPr>
        <w:t xml:space="preserve">, </w:t>
      </w:r>
      <w:r w:rsidRPr="00403E23">
        <w:rPr>
          <w:rFonts w:ascii="Arial" w:hAnsi="Arial" w:cs="Arial"/>
          <w:sz w:val="24"/>
          <w:szCs w:val="24"/>
        </w:rPr>
        <w:t xml:space="preserve">with </w:t>
      </w:r>
      <w:r w:rsidRPr="005710FA">
        <w:rPr>
          <w:rFonts w:ascii="Arial" w:hAnsi="Arial" w:cs="Arial"/>
          <w:color w:val="000000"/>
          <w:sz w:val="24"/>
          <w:szCs w:val="24"/>
        </w:rPr>
        <w:t>127,</w:t>
      </w:r>
      <w:r w:rsidR="00C64F22">
        <w:rPr>
          <w:rFonts w:ascii="Arial" w:hAnsi="Arial" w:cs="Arial"/>
          <w:color w:val="000000"/>
          <w:sz w:val="24"/>
          <w:szCs w:val="24"/>
        </w:rPr>
        <w:t>6</w:t>
      </w:r>
      <w:r w:rsidR="00C64F22" w:rsidRPr="005710FA">
        <w:rPr>
          <w:rFonts w:ascii="Arial" w:hAnsi="Arial" w:cs="Arial"/>
          <w:color w:val="000000"/>
          <w:sz w:val="24"/>
          <w:szCs w:val="24"/>
        </w:rPr>
        <w:t>36</w:t>
      </w:r>
      <w:r w:rsidR="00C64F22">
        <w:rPr>
          <w:rFonts w:ascii="Arial" w:hAnsi="Arial" w:cs="Arial"/>
          <w:color w:val="000000"/>
          <w:sz w:val="24"/>
          <w:szCs w:val="24"/>
        </w:rPr>
        <w:t xml:space="preserve"> </w:t>
      </w:r>
      <w:r>
        <w:rPr>
          <w:rFonts w:ascii="Arial" w:hAnsi="Arial" w:cs="Arial"/>
          <w:color w:val="000000"/>
          <w:sz w:val="24"/>
          <w:szCs w:val="24"/>
        </w:rPr>
        <w:t>responses, 17,466</w:t>
      </w:r>
      <w:r w:rsidRPr="00403E23">
        <w:rPr>
          <w:rFonts w:ascii="Arial" w:hAnsi="Arial" w:cs="Arial"/>
          <w:color w:val="000000"/>
          <w:sz w:val="24"/>
          <w:szCs w:val="24"/>
        </w:rPr>
        <w:t xml:space="preserve"> burden hours, and </w:t>
      </w:r>
      <w:r w:rsidRPr="00937048">
        <w:rPr>
          <w:rFonts w:ascii="Arial" w:hAnsi="Arial" w:cs="Arial"/>
          <w:color w:val="000000"/>
          <w:sz w:val="24"/>
          <w:szCs w:val="24"/>
        </w:rPr>
        <w:t>$</w:t>
      </w:r>
      <w:r w:rsidRPr="00CF0A9F">
        <w:rPr>
          <w:rFonts w:ascii="Arial" w:hAnsi="Arial" w:cs="Arial"/>
          <w:color w:val="000000"/>
          <w:sz w:val="24"/>
          <w:szCs w:val="24"/>
        </w:rPr>
        <w:t>41,793,</w:t>
      </w:r>
      <w:r w:rsidR="00A0035C">
        <w:rPr>
          <w:rFonts w:ascii="Arial" w:hAnsi="Arial" w:cs="Arial"/>
          <w:color w:val="000000"/>
          <w:sz w:val="24"/>
          <w:szCs w:val="24"/>
        </w:rPr>
        <w:t>757</w:t>
      </w:r>
      <w:r>
        <w:rPr>
          <w:rFonts w:ascii="Arial" w:hAnsi="Arial" w:cs="Arial"/>
          <w:color w:val="000000"/>
          <w:sz w:val="18"/>
          <w:szCs w:val="18"/>
        </w:rPr>
        <w:t xml:space="preserve"> </w:t>
      </w:r>
      <w:r w:rsidRPr="00403E23">
        <w:rPr>
          <w:rFonts w:ascii="Arial" w:hAnsi="Arial" w:cs="Arial"/>
          <w:sz w:val="24"/>
          <w:szCs w:val="24"/>
        </w:rPr>
        <w:t>in annualized (non-hour) costs.</w:t>
      </w:r>
    </w:p>
    <w:p w14:paraId="4B1775F1" w14:textId="77777777" w:rsidR="00020A1F" w:rsidRPr="00403E23" w:rsidRDefault="00020A1F" w:rsidP="00020A1F">
      <w:pPr>
        <w:jc w:val="both"/>
        <w:rPr>
          <w:rFonts w:ascii="Arial" w:hAnsi="Arial" w:cs="Arial"/>
          <w:sz w:val="24"/>
          <w:szCs w:val="24"/>
        </w:rPr>
      </w:pPr>
    </w:p>
    <w:p w14:paraId="5E1480EE" w14:textId="595E9B63" w:rsidR="00020A1F" w:rsidRPr="00003A59" w:rsidRDefault="00020A1F" w:rsidP="00020A1F">
      <w:pPr>
        <w:jc w:val="both"/>
        <w:rPr>
          <w:rFonts w:ascii="Arial" w:hAnsi="Arial" w:cs="Arial"/>
          <w:sz w:val="24"/>
          <w:szCs w:val="24"/>
        </w:rPr>
      </w:pPr>
      <w:r w:rsidRPr="00403E23">
        <w:rPr>
          <w:rFonts w:ascii="Arial" w:hAnsi="Arial" w:cs="Arial"/>
          <w:sz w:val="24"/>
          <w:szCs w:val="24"/>
        </w:rPr>
        <w:t>With this</w:t>
      </w:r>
      <w:r w:rsidR="00FD28A7">
        <w:rPr>
          <w:rFonts w:ascii="Arial" w:hAnsi="Arial" w:cs="Arial"/>
          <w:sz w:val="24"/>
          <w:szCs w:val="24"/>
        </w:rPr>
        <w:t xml:space="preserve"> </w:t>
      </w:r>
      <w:r w:rsidR="0032772C">
        <w:rPr>
          <w:rFonts w:ascii="Arial" w:hAnsi="Arial" w:cs="Arial"/>
          <w:sz w:val="24"/>
          <w:szCs w:val="24"/>
        </w:rPr>
        <w:t>revision</w:t>
      </w:r>
      <w:r w:rsidRPr="00403E23">
        <w:rPr>
          <w:rFonts w:ascii="Arial" w:hAnsi="Arial" w:cs="Arial"/>
          <w:sz w:val="24"/>
          <w:szCs w:val="24"/>
        </w:rPr>
        <w:t xml:space="preserve">, the USPTO estimates that the number of annual responses for this collection will total </w:t>
      </w:r>
      <w:r w:rsidR="00B43C15">
        <w:rPr>
          <w:rFonts w:ascii="Arial" w:hAnsi="Arial" w:cs="Arial"/>
          <w:color w:val="000000"/>
          <w:sz w:val="24"/>
          <w:szCs w:val="24"/>
        </w:rPr>
        <w:t>51,929</w:t>
      </w:r>
      <w:r w:rsidRPr="00403E23">
        <w:rPr>
          <w:rFonts w:ascii="Arial" w:hAnsi="Arial" w:cs="Arial"/>
          <w:sz w:val="24"/>
          <w:szCs w:val="24"/>
        </w:rPr>
        <w:t xml:space="preserve"> with a total of </w:t>
      </w:r>
      <w:r w:rsidR="00093883">
        <w:rPr>
          <w:rFonts w:ascii="Arial" w:hAnsi="Arial" w:cs="Arial"/>
          <w:sz w:val="24"/>
          <w:szCs w:val="24"/>
        </w:rPr>
        <w:t xml:space="preserve">10,414 </w:t>
      </w:r>
      <w:r w:rsidRPr="00403E23">
        <w:rPr>
          <w:rFonts w:ascii="Arial" w:hAnsi="Arial" w:cs="Arial"/>
          <w:sz w:val="24"/>
          <w:szCs w:val="24"/>
        </w:rPr>
        <w:t xml:space="preserve">burden hours </w:t>
      </w:r>
      <w:r w:rsidRPr="00C70043">
        <w:rPr>
          <w:rFonts w:ascii="Arial" w:hAnsi="Arial" w:cs="Arial"/>
          <w:sz w:val="24"/>
          <w:szCs w:val="24"/>
        </w:rPr>
        <w:t>and $</w:t>
      </w:r>
      <w:r w:rsidR="00093883" w:rsidRPr="00093883">
        <w:rPr>
          <w:rFonts w:ascii="Arial" w:hAnsi="Arial" w:cs="Arial"/>
          <w:sz w:val="24"/>
          <w:szCs w:val="24"/>
        </w:rPr>
        <w:t xml:space="preserve">20,772,058 </w:t>
      </w:r>
      <w:r w:rsidRPr="00403E23">
        <w:rPr>
          <w:rFonts w:ascii="Arial" w:hAnsi="Arial" w:cs="Arial"/>
          <w:sz w:val="24"/>
          <w:szCs w:val="24"/>
        </w:rPr>
        <w:t xml:space="preserve">in annualized (non-hour) costs.  The tables below show the difference between the </w:t>
      </w:r>
      <w:proofErr w:type="gramStart"/>
      <w:r w:rsidRPr="00403E23">
        <w:rPr>
          <w:rFonts w:ascii="Arial" w:hAnsi="Arial" w:cs="Arial"/>
          <w:sz w:val="24"/>
          <w:szCs w:val="24"/>
        </w:rPr>
        <w:t>burden</w:t>
      </w:r>
      <w:proofErr w:type="gramEnd"/>
      <w:r w:rsidRPr="00403E23">
        <w:rPr>
          <w:rFonts w:ascii="Arial" w:hAnsi="Arial" w:cs="Arial"/>
          <w:sz w:val="24"/>
          <w:szCs w:val="24"/>
        </w:rPr>
        <w:t xml:space="preserve"> estimates for this information collection as of</w:t>
      </w:r>
      <w:r w:rsidR="00FD28A7">
        <w:rPr>
          <w:rFonts w:ascii="Arial" w:hAnsi="Arial" w:cs="Arial"/>
          <w:sz w:val="24"/>
          <w:szCs w:val="24"/>
        </w:rPr>
        <w:t xml:space="preserve"> July 16, 2012</w:t>
      </w:r>
      <w:r w:rsidRPr="00403E23">
        <w:rPr>
          <w:rFonts w:ascii="Arial" w:hAnsi="Arial" w:cs="Arial"/>
          <w:sz w:val="24"/>
          <w:szCs w:val="24"/>
        </w:rPr>
        <w:t xml:space="preserve"> and the revised burden</w:t>
      </w:r>
      <w:r>
        <w:rPr>
          <w:rFonts w:ascii="Arial" w:hAnsi="Arial" w:cs="Arial"/>
          <w:sz w:val="24"/>
          <w:szCs w:val="24"/>
        </w:rPr>
        <w:t xml:space="preserve"> estimates described in items 12 and 13 of the Supporting Statement.  The tables also illustrate whether (and how much) the differences are attributable to rulemaking and/or non-rulemaking factors.</w:t>
      </w:r>
    </w:p>
    <w:p w14:paraId="4499886E" w14:textId="77777777" w:rsidR="00885869" w:rsidRDefault="00885869">
      <w:pPr>
        <w:jc w:val="both"/>
        <w:rPr>
          <w:rFonts w:ascii="Arial" w:hAnsi="Arial"/>
          <w:sz w:val="24"/>
        </w:rPr>
      </w:pPr>
    </w:p>
    <w:p w14:paraId="4D1AAB5E" w14:textId="06D8B81D" w:rsidR="00B316F4" w:rsidRDefault="00B316F4" w:rsidP="00B316F4">
      <w:pPr>
        <w:jc w:val="both"/>
        <w:rPr>
          <w:rFonts w:ascii="Arial" w:hAnsi="Arial"/>
          <w:sz w:val="24"/>
        </w:rPr>
      </w:pPr>
      <w:r>
        <w:rPr>
          <w:rFonts w:ascii="Arial" w:hAnsi="Arial"/>
          <w:sz w:val="24"/>
        </w:rPr>
        <w:t xml:space="preserve">Table </w:t>
      </w:r>
      <w:r w:rsidR="00020A1F">
        <w:rPr>
          <w:rFonts w:ascii="Arial" w:hAnsi="Arial"/>
          <w:sz w:val="24"/>
        </w:rPr>
        <w:t>6a</w:t>
      </w:r>
      <w:r>
        <w:rPr>
          <w:rFonts w:ascii="Arial" w:hAnsi="Arial"/>
          <w:sz w:val="24"/>
        </w:rPr>
        <w:t xml:space="preserve"> shows the impact of the rulemaking and non-rulemaking changes to the burden estimates for this information collection:</w:t>
      </w:r>
    </w:p>
    <w:p w14:paraId="132D18BB" w14:textId="77777777" w:rsidR="00B316F4" w:rsidRDefault="00B316F4" w:rsidP="00B316F4">
      <w:pPr>
        <w:jc w:val="both"/>
        <w:rPr>
          <w:rFonts w:ascii="Arial" w:hAnsi="Arial"/>
          <w:sz w:val="24"/>
        </w:rPr>
      </w:pPr>
    </w:p>
    <w:p w14:paraId="441A80C5" w14:textId="1E9CE90F" w:rsidR="00B316F4" w:rsidRPr="00E227CE" w:rsidRDefault="00B316F4" w:rsidP="00B316F4">
      <w:pPr>
        <w:jc w:val="both"/>
        <w:rPr>
          <w:rFonts w:ascii="Arial" w:hAnsi="Arial" w:cs="Arial"/>
          <w:b/>
          <w:sz w:val="24"/>
        </w:rPr>
      </w:pPr>
      <w:r w:rsidRPr="00E227CE">
        <w:rPr>
          <w:rFonts w:ascii="Arial" w:hAnsi="Arial" w:cs="Arial"/>
          <w:b/>
        </w:rPr>
        <w:t xml:space="preserve">Table </w:t>
      </w:r>
      <w:r w:rsidR="00020A1F">
        <w:rPr>
          <w:rFonts w:ascii="Arial" w:hAnsi="Arial" w:cs="Arial"/>
          <w:b/>
        </w:rPr>
        <w:t>6a</w:t>
      </w:r>
      <w:r>
        <w:rPr>
          <w:rFonts w:ascii="Arial" w:hAnsi="Arial" w:cs="Arial"/>
          <w:b/>
        </w:rPr>
        <w:t>:  Annual Burden Hour/Burden Cost</w:t>
      </w:r>
      <w:r w:rsidRPr="0085629D">
        <w:rPr>
          <w:rFonts w:ascii="Arial" w:hAnsi="Arial" w:cs="Arial"/>
          <w:b/>
        </w:rPr>
        <w:t xml:space="preserve"> Changes – Rulemaking/Non-Rulemaking Impact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5" w:type="dxa"/>
          <w:left w:w="115" w:type="dxa"/>
          <w:bottom w:w="115" w:type="dxa"/>
          <w:right w:w="115" w:type="dxa"/>
        </w:tblCellMar>
        <w:tblLook w:val="04A0" w:firstRow="1" w:lastRow="0" w:firstColumn="1" w:lastColumn="0" w:noHBand="0" w:noVBand="1"/>
      </w:tblPr>
      <w:tblGrid>
        <w:gridCol w:w="2160"/>
        <w:gridCol w:w="1620"/>
        <w:gridCol w:w="2070"/>
        <w:gridCol w:w="1800"/>
        <w:gridCol w:w="1818"/>
      </w:tblGrid>
      <w:tr w:rsidR="00B316F4" w:rsidRPr="00F45EE1" w14:paraId="75B84B29" w14:textId="77777777" w:rsidTr="00037E46">
        <w:tc>
          <w:tcPr>
            <w:tcW w:w="2160" w:type="dxa"/>
            <w:shd w:val="clear" w:color="auto" w:fill="auto"/>
            <w:vAlign w:val="center"/>
          </w:tcPr>
          <w:p w14:paraId="47CAE04E" w14:textId="77777777" w:rsidR="00B316F4" w:rsidRPr="00F45EE1" w:rsidRDefault="00B316F4" w:rsidP="00037E46">
            <w:pPr>
              <w:jc w:val="center"/>
              <w:rPr>
                <w:rFonts w:ascii="Arial" w:hAnsi="Arial"/>
                <w:sz w:val="16"/>
                <w:szCs w:val="16"/>
              </w:rPr>
            </w:pPr>
          </w:p>
        </w:tc>
        <w:tc>
          <w:tcPr>
            <w:tcW w:w="1620" w:type="dxa"/>
            <w:shd w:val="clear" w:color="auto" w:fill="auto"/>
            <w:vAlign w:val="center"/>
          </w:tcPr>
          <w:p w14:paraId="4D0BE8E7" w14:textId="77777777" w:rsidR="00B316F4" w:rsidRPr="00F45EE1" w:rsidRDefault="00B316F4" w:rsidP="00037E46">
            <w:pPr>
              <w:jc w:val="center"/>
              <w:rPr>
                <w:rFonts w:ascii="Arial" w:hAnsi="Arial"/>
                <w:b/>
                <w:sz w:val="16"/>
                <w:szCs w:val="16"/>
              </w:rPr>
            </w:pPr>
            <w:r w:rsidRPr="00F45EE1">
              <w:rPr>
                <w:rFonts w:ascii="Arial" w:hAnsi="Arial"/>
                <w:b/>
                <w:sz w:val="16"/>
                <w:szCs w:val="16"/>
              </w:rPr>
              <w:t>Current Inventory</w:t>
            </w:r>
          </w:p>
        </w:tc>
        <w:tc>
          <w:tcPr>
            <w:tcW w:w="2070" w:type="dxa"/>
            <w:shd w:val="clear" w:color="auto" w:fill="auto"/>
            <w:vAlign w:val="center"/>
          </w:tcPr>
          <w:p w14:paraId="5CF2B437" w14:textId="77777777" w:rsidR="00B316F4" w:rsidRPr="00F45EE1" w:rsidRDefault="00B316F4" w:rsidP="00037E46">
            <w:pPr>
              <w:jc w:val="center"/>
              <w:rPr>
                <w:rFonts w:ascii="Arial" w:hAnsi="Arial"/>
                <w:b/>
                <w:sz w:val="16"/>
                <w:szCs w:val="16"/>
              </w:rPr>
            </w:pPr>
            <w:r w:rsidRPr="00F45EE1">
              <w:rPr>
                <w:rFonts w:ascii="Arial" w:hAnsi="Arial"/>
                <w:b/>
                <w:sz w:val="16"/>
                <w:szCs w:val="16"/>
              </w:rPr>
              <w:t>Rulemaking Impact</w:t>
            </w:r>
          </w:p>
        </w:tc>
        <w:tc>
          <w:tcPr>
            <w:tcW w:w="1800" w:type="dxa"/>
            <w:shd w:val="clear" w:color="auto" w:fill="auto"/>
            <w:vAlign w:val="center"/>
          </w:tcPr>
          <w:p w14:paraId="65F89B10" w14:textId="77777777" w:rsidR="00B316F4" w:rsidRPr="00F45EE1" w:rsidRDefault="00B316F4" w:rsidP="00037E46">
            <w:pPr>
              <w:jc w:val="center"/>
              <w:rPr>
                <w:rFonts w:ascii="Arial" w:hAnsi="Arial"/>
                <w:b/>
                <w:sz w:val="16"/>
                <w:szCs w:val="16"/>
              </w:rPr>
            </w:pPr>
            <w:r w:rsidRPr="00F45EE1">
              <w:rPr>
                <w:rFonts w:ascii="Arial" w:hAnsi="Arial"/>
                <w:b/>
                <w:sz w:val="16"/>
                <w:szCs w:val="16"/>
              </w:rPr>
              <w:t>Non-rule Impact</w:t>
            </w:r>
          </w:p>
        </w:tc>
        <w:tc>
          <w:tcPr>
            <w:tcW w:w="1818" w:type="dxa"/>
            <w:shd w:val="clear" w:color="auto" w:fill="auto"/>
            <w:vAlign w:val="center"/>
          </w:tcPr>
          <w:p w14:paraId="0D61A309" w14:textId="77777777" w:rsidR="00B316F4" w:rsidRPr="00F45EE1" w:rsidRDefault="00B316F4" w:rsidP="00037E46">
            <w:pPr>
              <w:jc w:val="center"/>
              <w:rPr>
                <w:rFonts w:ascii="Arial" w:hAnsi="Arial"/>
                <w:b/>
                <w:sz w:val="16"/>
                <w:szCs w:val="16"/>
              </w:rPr>
            </w:pPr>
            <w:r w:rsidRPr="00F45EE1">
              <w:rPr>
                <w:rFonts w:ascii="Arial" w:hAnsi="Arial"/>
                <w:b/>
                <w:sz w:val="16"/>
                <w:szCs w:val="16"/>
              </w:rPr>
              <w:t>New Proposed Burden Estimate</w:t>
            </w:r>
          </w:p>
        </w:tc>
      </w:tr>
      <w:tr w:rsidR="00B316F4" w:rsidRPr="00F45EE1" w14:paraId="67BEFC8E" w14:textId="77777777" w:rsidTr="00037E46">
        <w:trPr>
          <w:trHeight w:val="388"/>
        </w:trPr>
        <w:tc>
          <w:tcPr>
            <w:tcW w:w="2160" w:type="dxa"/>
            <w:shd w:val="clear" w:color="auto" w:fill="auto"/>
            <w:vAlign w:val="center"/>
          </w:tcPr>
          <w:p w14:paraId="3A285B42" w14:textId="77777777" w:rsidR="00B316F4" w:rsidRPr="00CC401C" w:rsidRDefault="00B316F4" w:rsidP="00037E46">
            <w:pPr>
              <w:rPr>
                <w:rFonts w:ascii="Arial" w:hAnsi="Arial"/>
                <w:sz w:val="16"/>
                <w:szCs w:val="16"/>
              </w:rPr>
            </w:pPr>
            <w:r w:rsidRPr="00CC401C">
              <w:rPr>
                <w:rFonts w:ascii="Arial" w:hAnsi="Arial"/>
                <w:sz w:val="16"/>
                <w:szCs w:val="16"/>
              </w:rPr>
              <w:t>Responses</w:t>
            </w:r>
          </w:p>
        </w:tc>
        <w:tc>
          <w:tcPr>
            <w:tcW w:w="1620" w:type="dxa"/>
            <w:shd w:val="clear" w:color="auto" w:fill="auto"/>
            <w:vAlign w:val="center"/>
          </w:tcPr>
          <w:p w14:paraId="3941B417" w14:textId="13B71091" w:rsidR="00B316F4" w:rsidRPr="009347FB" w:rsidRDefault="00060E33" w:rsidP="00C848EC">
            <w:pPr>
              <w:jc w:val="center"/>
              <w:rPr>
                <w:rFonts w:ascii="Arial" w:hAnsi="Arial"/>
                <w:sz w:val="16"/>
                <w:szCs w:val="16"/>
              </w:rPr>
            </w:pPr>
            <w:r>
              <w:rPr>
                <w:rFonts w:ascii="Arial" w:hAnsi="Arial"/>
                <w:sz w:val="16"/>
              </w:rPr>
              <w:t>39,816</w:t>
            </w:r>
          </w:p>
        </w:tc>
        <w:tc>
          <w:tcPr>
            <w:tcW w:w="2070" w:type="dxa"/>
            <w:shd w:val="clear" w:color="auto" w:fill="auto"/>
            <w:vAlign w:val="center"/>
          </w:tcPr>
          <w:p w14:paraId="28A6AA47" w14:textId="6AABD550" w:rsidR="00B316F4" w:rsidRPr="009347FB" w:rsidRDefault="00FD28A7" w:rsidP="00C848EC">
            <w:pPr>
              <w:jc w:val="center"/>
              <w:rPr>
                <w:rFonts w:ascii="Arial" w:hAnsi="Arial"/>
                <w:sz w:val="16"/>
                <w:szCs w:val="16"/>
              </w:rPr>
            </w:pPr>
            <w:r>
              <w:rPr>
                <w:rFonts w:ascii="Arial" w:hAnsi="Arial"/>
                <w:sz w:val="16"/>
                <w:szCs w:val="16"/>
              </w:rPr>
              <w:t>0</w:t>
            </w:r>
          </w:p>
        </w:tc>
        <w:tc>
          <w:tcPr>
            <w:tcW w:w="1800" w:type="dxa"/>
            <w:shd w:val="clear" w:color="auto" w:fill="auto"/>
            <w:vAlign w:val="center"/>
          </w:tcPr>
          <w:p w14:paraId="1CDF2A0E" w14:textId="11B13A7E" w:rsidR="00B316F4" w:rsidRPr="009347FB" w:rsidRDefault="00D05266" w:rsidP="00C848EC">
            <w:pPr>
              <w:jc w:val="center"/>
              <w:rPr>
                <w:rFonts w:ascii="Arial" w:hAnsi="Arial"/>
                <w:sz w:val="16"/>
                <w:szCs w:val="16"/>
              </w:rPr>
            </w:pPr>
            <w:r>
              <w:rPr>
                <w:rFonts w:ascii="Arial" w:hAnsi="Arial"/>
                <w:sz w:val="16"/>
                <w:szCs w:val="16"/>
              </w:rPr>
              <w:t>12,113</w:t>
            </w:r>
          </w:p>
        </w:tc>
        <w:tc>
          <w:tcPr>
            <w:tcW w:w="1818" w:type="dxa"/>
            <w:shd w:val="clear" w:color="auto" w:fill="auto"/>
            <w:vAlign w:val="center"/>
          </w:tcPr>
          <w:p w14:paraId="385D20C5" w14:textId="28022384" w:rsidR="00B316F4" w:rsidRPr="009347FB" w:rsidRDefault="00AF02DA" w:rsidP="00C848EC">
            <w:pPr>
              <w:jc w:val="center"/>
              <w:rPr>
                <w:rFonts w:ascii="Arial" w:hAnsi="Arial"/>
                <w:sz w:val="16"/>
                <w:szCs w:val="16"/>
              </w:rPr>
            </w:pPr>
            <w:r>
              <w:rPr>
                <w:rFonts w:ascii="Arial" w:hAnsi="Arial"/>
                <w:sz w:val="16"/>
              </w:rPr>
              <w:t>51,929</w:t>
            </w:r>
          </w:p>
        </w:tc>
      </w:tr>
      <w:tr w:rsidR="00B316F4" w:rsidRPr="00F45EE1" w14:paraId="48F4D367" w14:textId="77777777" w:rsidTr="00037E46">
        <w:tc>
          <w:tcPr>
            <w:tcW w:w="2160" w:type="dxa"/>
            <w:shd w:val="clear" w:color="auto" w:fill="auto"/>
            <w:vAlign w:val="center"/>
          </w:tcPr>
          <w:p w14:paraId="24EBCF5F" w14:textId="77777777" w:rsidR="00B316F4" w:rsidRPr="00CC401C" w:rsidRDefault="00B316F4" w:rsidP="00037E46">
            <w:pPr>
              <w:rPr>
                <w:rFonts w:ascii="Arial" w:hAnsi="Arial"/>
                <w:sz w:val="16"/>
                <w:szCs w:val="16"/>
              </w:rPr>
            </w:pPr>
            <w:r w:rsidRPr="00CC401C">
              <w:rPr>
                <w:rFonts w:ascii="Arial" w:hAnsi="Arial"/>
                <w:sz w:val="16"/>
                <w:szCs w:val="16"/>
              </w:rPr>
              <w:t>Burden Hours</w:t>
            </w:r>
          </w:p>
        </w:tc>
        <w:tc>
          <w:tcPr>
            <w:tcW w:w="1620" w:type="dxa"/>
            <w:shd w:val="clear" w:color="auto" w:fill="auto"/>
            <w:vAlign w:val="center"/>
          </w:tcPr>
          <w:p w14:paraId="057F25B0" w14:textId="48126A51" w:rsidR="00B316F4" w:rsidRPr="009347FB" w:rsidRDefault="00060E33" w:rsidP="00C848EC">
            <w:pPr>
              <w:jc w:val="center"/>
              <w:rPr>
                <w:rFonts w:ascii="Arial" w:hAnsi="Arial"/>
                <w:sz w:val="16"/>
                <w:szCs w:val="16"/>
              </w:rPr>
            </w:pPr>
            <w:r>
              <w:rPr>
                <w:rFonts w:ascii="Arial" w:hAnsi="Arial"/>
                <w:sz w:val="16"/>
                <w:szCs w:val="16"/>
              </w:rPr>
              <w:t>8</w:t>
            </w:r>
            <w:r w:rsidR="00DB4288">
              <w:rPr>
                <w:rFonts w:ascii="Arial" w:hAnsi="Arial"/>
                <w:sz w:val="16"/>
                <w:szCs w:val="16"/>
              </w:rPr>
              <w:t>,</w:t>
            </w:r>
            <w:r>
              <w:rPr>
                <w:rFonts w:ascii="Arial" w:hAnsi="Arial"/>
                <w:sz w:val="16"/>
                <w:szCs w:val="16"/>
              </w:rPr>
              <w:t>045</w:t>
            </w:r>
          </w:p>
        </w:tc>
        <w:tc>
          <w:tcPr>
            <w:tcW w:w="2070" w:type="dxa"/>
            <w:shd w:val="clear" w:color="auto" w:fill="auto"/>
            <w:vAlign w:val="center"/>
          </w:tcPr>
          <w:p w14:paraId="79D590EC" w14:textId="7C301840" w:rsidR="00B316F4" w:rsidRPr="009347FB" w:rsidRDefault="00D05266" w:rsidP="00C848EC">
            <w:pPr>
              <w:jc w:val="center"/>
              <w:rPr>
                <w:rFonts w:ascii="Arial" w:hAnsi="Arial"/>
                <w:sz w:val="16"/>
                <w:szCs w:val="16"/>
              </w:rPr>
            </w:pPr>
            <w:r>
              <w:rPr>
                <w:rFonts w:ascii="Arial" w:hAnsi="Arial"/>
                <w:sz w:val="16"/>
                <w:szCs w:val="16"/>
              </w:rPr>
              <w:t>0</w:t>
            </w:r>
          </w:p>
        </w:tc>
        <w:tc>
          <w:tcPr>
            <w:tcW w:w="1800" w:type="dxa"/>
            <w:shd w:val="clear" w:color="auto" w:fill="auto"/>
            <w:vAlign w:val="center"/>
          </w:tcPr>
          <w:p w14:paraId="1125B296" w14:textId="05858A82" w:rsidR="00B316F4" w:rsidRPr="009347FB" w:rsidRDefault="00D05266" w:rsidP="00C848EC">
            <w:pPr>
              <w:jc w:val="center"/>
              <w:rPr>
                <w:rFonts w:ascii="Arial" w:hAnsi="Arial"/>
                <w:sz w:val="16"/>
                <w:szCs w:val="16"/>
              </w:rPr>
            </w:pPr>
            <w:r>
              <w:rPr>
                <w:rFonts w:ascii="Arial" w:hAnsi="Arial"/>
                <w:sz w:val="16"/>
                <w:szCs w:val="16"/>
              </w:rPr>
              <w:t>2</w:t>
            </w:r>
            <w:r w:rsidR="00DB4288">
              <w:rPr>
                <w:rFonts w:ascii="Arial" w:hAnsi="Arial"/>
                <w:sz w:val="16"/>
                <w:szCs w:val="16"/>
              </w:rPr>
              <w:t>,</w:t>
            </w:r>
            <w:r>
              <w:rPr>
                <w:rFonts w:ascii="Arial" w:hAnsi="Arial"/>
                <w:sz w:val="16"/>
                <w:szCs w:val="16"/>
              </w:rPr>
              <w:t>369</w:t>
            </w:r>
          </w:p>
        </w:tc>
        <w:tc>
          <w:tcPr>
            <w:tcW w:w="1818" w:type="dxa"/>
            <w:shd w:val="clear" w:color="auto" w:fill="auto"/>
            <w:vAlign w:val="center"/>
          </w:tcPr>
          <w:p w14:paraId="6E40D9EA" w14:textId="651D5BB2" w:rsidR="00B316F4" w:rsidRPr="00F40824" w:rsidRDefault="00C848EC" w:rsidP="00C848EC">
            <w:pPr>
              <w:jc w:val="center"/>
              <w:rPr>
                <w:rFonts w:ascii="Arial" w:hAnsi="Arial"/>
                <w:sz w:val="16"/>
                <w:szCs w:val="16"/>
              </w:rPr>
            </w:pPr>
            <w:r>
              <w:rPr>
                <w:rFonts w:ascii="Arial" w:hAnsi="Arial"/>
                <w:sz w:val="16"/>
                <w:szCs w:val="16"/>
              </w:rPr>
              <w:t>10,414</w:t>
            </w:r>
          </w:p>
        </w:tc>
      </w:tr>
      <w:tr w:rsidR="00B316F4" w:rsidRPr="00F45EE1" w14:paraId="3B7EFCC0" w14:textId="77777777" w:rsidTr="00037E46">
        <w:tc>
          <w:tcPr>
            <w:tcW w:w="2160" w:type="dxa"/>
            <w:shd w:val="clear" w:color="auto" w:fill="auto"/>
            <w:vAlign w:val="center"/>
          </w:tcPr>
          <w:p w14:paraId="735EF7BF" w14:textId="77777777" w:rsidR="00B316F4" w:rsidRPr="00CC401C" w:rsidRDefault="00B316F4" w:rsidP="00037E46">
            <w:pPr>
              <w:rPr>
                <w:rFonts w:ascii="Arial" w:hAnsi="Arial"/>
                <w:sz w:val="16"/>
                <w:szCs w:val="16"/>
              </w:rPr>
            </w:pPr>
            <w:r w:rsidRPr="00CC401C">
              <w:rPr>
                <w:rFonts w:ascii="Arial" w:hAnsi="Arial"/>
                <w:sz w:val="16"/>
                <w:szCs w:val="16"/>
              </w:rPr>
              <w:t>Respondent Cost Burden</w:t>
            </w:r>
          </w:p>
        </w:tc>
        <w:tc>
          <w:tcPr>
            <w:tcW w:w="1620" w:type="dxa"/>
            <w:shd w:val="clear" w:color="auto" w:fill="auto"/>
            <w:vAlign w:val="center"/>
          </w:tcPr>
          <w:p w14:paraId="1D5358B8" w14:textId="5D9DE3D0" w:rsidR="00B316F4" w:rsidRPr="00F45EE1" w:rsidRDefault="00B316F4" w:rsidP="00D05266">
            <w:pPr>
              <w:jc w:val="center"/>
              <w:rPr>
                <w:rFonts w:ascii="Arial" w:hAnsi="Arial"/>
                <w:sz w:val="16"/>
                <w:szCs w:val="16"/>
              </w:rPr>
            </w:pPr>
            <w:r>
              <w:rPr>
                <w:rFonts w:ascii="Arial" w:hAnsi="Arial"/>
                <w:sz w:val="16"/>
                <w:szCs w:val="16"/>
              </w:rPr>
              <w:t>$</w:t>
            </w:r>
            <w:r w:rsidR="00D05266">
              <w:rPr>
                <w:rFonts w:ascii="Arial" w:hAnsi="Arial"/>
                <w:sz w:val="16"/>
                <w:szCs w:val="16"/>
              </w:rPr>
              <w:t>2,735,300</w:t>
            </w:r>
          </w:p>
        </w:tc>
        <w:tc>
          <w:tcPr>
            <w:tcW w:w="2070" w:type="dxa"/>
            <w:shd w:val="clear" w:color="auto" w:fill="auto"/>
            <w:vAlign w:val="center"/>
          </w:tcPr>
          <w:p w14:paraId="217F47C3" w14:textId="5C1F3B38" w:rsidR="00B316F4" w:rsidRPr="00F45EE1" w:rsidRDefault="00D05266" w:rsidP="00C848EC">
            <w:pPr>
              <w:jc w:val="center"/>
              <w:rPr>
                <w:rFonts w:ascii="Arial" w:hAnsi="Arial"/>
                <w:sz w:val="16"/>
                <w:szCs w:val="16"/>
              </w:rPr>
            </w:pPr>
            <w:r>
              <w:rPr>
                <w:rFonts w:ascii="Arial" w:hAnsi="Arial"/>
                <w:sz w:val="16"/>
                <w:szCs w:val="16"/>
              </w:rPr>
              <w:t>0</w:t>
            </w:r>
          </w:p>
        </w:tc>
        <w:tc>
          <w:tcPr>
            <w:tcW w:w="1800" w:type="dxa"/>
            <w:shd w:val="clear" w:color="auto" w:fill="auto"/>
            <w:vAlign w:val="center"/>
          </w:tcPr>
          <w:p w14:paraId="2AF0D12B" w14:textId="7F65B726" w:rsidR="00B316F4" w:rsidRPr="00F45EE1" w:rsidRDefault="00D05266" w:rsidP="00F4209D">
            <w:pPr>
              <w:jc w:val="center"/>
              <w:rPr>
                <w:rFonts w:ascii="Arial" w:hAnsi="Arial"/>
                <w:sz w:val="16"/>
                <w:szCs w:val="16"/>
              </w:rPr>
            </w:pPr>
            <w:r>
              <w:rPr>
                <w:rFonts w:ascii="Arial" w:hAnsi="Arial"/>
                <w:sz w:val="16"/>
                <w:szCs w:val="16"/>
              </w:rPr>
              <w:t>$1,315,668</w:t>
            </w:r>
          </w:p>
        </w:tc>
        <w:tc>
          <w:tcPr>
            <w:tcW w:w="1818" w:type="dxa"/>
            <w:shd w:val="clear" w:color="auto" w:fill="auto"/>
            <w:vAlign w:val="center"/>
          </w:tcPr>
          <w:p w14:paraId="7395237A" w14:textId="6DF0239C" w:rsidR="00B316F4" w:rsidRPr="00A36FDD" w:rsidRDefault="00B316F4" w:rsidP="00C848EC">
            <w:pPr>
              <w:jc w:val="center"/>
              <w:rPr>
                <w:rFonts w:ascii="Arial" w:hAnsi="Arial"/>
                <w:sz w:val="16"/>
                <w:szCs w:val="16"/>
              </w:rPr>
            </w:pPr>
            <w:r w:rsidRPr="00A36FDD">
              <w:rPr>
                <w:rFonts w:ascii="Arial" w:hAnsi="Arial"/>
                <w:sz w:val="16"/>
              </w:rPr>
              <w:t>$</w:t>
            </w:r>
            <w:r w:rsidR="00C848EC" w:rsidRPr="00B2473A">
              <w:rPr>
                <w:rFonts w:ascii="Arial" w:hAnsi="Arial" w:cs="Arial"/>
                <w:sz w:val="16"/>
                <w:szCs w:val="16"/>
              </w:rPr>
              <w:t>4,050,988</w:t>
            </w:r>
          </w:p>
        </w:tc>
      </w:tr>
    </w:tbl>
    <w:p w14:paraId="44998871" w14:textId="77777777" w:rsidR="005E2B0A" w:rsidRDefault="005E2B0A">
      <w:pPr>
        <w:jc w:val="both"/>
        <w:rPr>
          <w:rFonts w:ascii="Arial" w:hAnsi="Arial"/>
          <w:sz w:val="24"/>
        </w:rPr>
      </w:pPr>
    </w:p>
    <w:p w14:paraId="61642B01" w14:textId="443029D5" w:rsidR="00B316F4" w:rsidRDefault="00B316F4" w:rsidP="00B316F4">
      <w:pPr>
        <w:pStyle w:val="BodyText2"/>
      </w:pPr>
      <w:r>
        <w:rPr>
          <w:rFonts w:cs="Arial"/>
        </w:rPr>
        <w:t>The USPTO estimates that the notice of proposed rulemaking, “Reduction of Fees for Trademark Applications and Renewals” (RIN 0651-AC94) will impact</w:t>
      </w:r>
      <w:r w:rsidR="00E76E3B">
        <w:rPr>
          <w:rFonts w:cs="Arial"/>
        </w:rPr>
        <w:t xml:space="preserve"> </w:t>
      </w:r>
      <w:r>
        <w:rPr>
          <w:rFonts w:cs="Arial"/>
        </w:rPr>
        <w:t xml:space="preserve">the annual (non-hour) costs associated with this collection.  The USPTO estimates that </w:t>
      </w:r>
      <w:r w:rsidR="00E76E3B">
        <w:rPr>
          <w:rFonts w:cs="Arial"/>
        </w:rPr>
        <w:t>the</w:t>
      </w:r>
      <w:r>
        <w:rPr>
          <w:rFonts w:cs="Arial"/>
        </w:rPr>
        <w:t xml:space="preserve"> </w:t>
      </w:r>
      <w:r>
        <w:t xml:space="preserve">postage costs </w:t>
      </w:r>
      <w:r w:rsidR="00E76E3B">
        <w:t>as well as</w:t>
      </w:r>
      <w:r>
        <w:t xml:space="preserve"> the filing and processing fees</w:t>
      </w:r>
      <w:r w:rsidR="00E76E3B">
        <w:t xml:space="preserve"> </w:t>
      </w:r>
      <w:r>
        <w:t xml:space="preserve">will be impacted.  This collection has no capital start-up or recordkeeping costs.  </w:t>
      </w:r>
    </w:p>
    <w:p w14:paraId="6445E820" w14:textId="77777777" w:rsidR="005418E3" w:rsidRDefault="005418E3" w:rsidP="005418E3">
      <w:pPr>
        <w:pStyle w:val="BodyText2"/>
      </w:pPr>
    </w:p>
    <w:p w14:paraId="68E710FA" w14:textId="4D44A82E" w:rsidR="005418E3" w:rsidRDefault="005418E3" w:rsidP="005418E3">
      <w:pPr>
        <w:pStyle w:val="BodyText2"/>
      </w:pPr>
      <w:r>
        <w:t xml:space="preserve">Table </w:t>
      </w:r>
      <w:r w:rsidR="00020A1F">
        <w:t>6b</w:t>
      </w:r>
      <w:r>
        <w:t xml:space="preserve"> shows the impact of the rulemaking and non-rulemaking changes to the annual (non-hour) cost burden estimates for this information collection:</w:t>
      </w:r>
    </w:p>
    <w:p w14:paraId="0383429B" w14:textId="77777777" w:rsidR="005418E3" w:rsidRDefault="005418E3" w:rsidP="005418E3">
      <w:pPr>
        <w:pStyle w:val="BodyText2"/>
      </w:pPr>
    </w:p>
    <w:p w14:paraId="5D9EEA7B" w14:textId="14D6255A" w:rsidR="005418E3" w:rsidRPr="00D26216" w:rsidRDefault="005418E3" w:rsidP="005418E3">
      <w:pPr>
        <w:pStyle w:val="BodyText2"/>
        <w:rPr>
          <w:b/>
          <w:sz w:val="20"/>
        </w:rPr>
      </w:pPr>
      <w:r>
        <w:rPr>
          <w:b/>
          <w:sz w:val="20"/>
        </w:rPr>
        <w:t xml:space="preserve">Table </w:t>
      </w:r>
      <w:r w:rsidR="00020A1F">
        <w:rPr>
          <w:b/>
          <w:sz w:val="20"/>
        </w:rPr>
        <w:t>6b</w:t>
      </w:r>
      <w:r w:rsidRPr="00D26216">
        <w:rPr>
          <w:b/>
          <w:sz w:val="20"/>
        </w:rPr>
        <w:t>:  Annual (Non-Hour) Cost Burden Changes – Rulemaking/Non-Rulemaking Impact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5" w:type="dxa"/>
          <w:left w:w="115" w:type="dxa"/>
          <w:bottom w:w="115" w:type="dxa"/>
          <w:right w:w="115" w:type="dxa"/>
        </w:tblCellMar>
        <w:tblLook w:val="04A0" w:firstRow="1" w:lastRow="0" w:firstColumn="1" w:lastColumn="0" w:noHBand="0" w:noVBand="1"/>
      </w:tblPr>
      <w:tblGrid>
        <w:gridCol w:w="2340"/>
        <w:gridCol w:w="1800"/>
        <w:gridCol w:w="1800"/>
        <w:gridCol w:w="1710"/>
        <w:gridCol w:w="1710"/>
      </w:tblGrid>
      <w:tr w:rsidR="005418E3" w14:paraId="5303006F" w14:textId="77777777" w:rsidTr="00037E46">
        <w:tc>
          <w:tcPr>
            <w:tcW w:w="2340" w:type="dxa"/>
            <w:shd w:val="clear" w:color="auto" w:fill="auto"/>
            <w:vAlign w:val="center"/>
          </w:tcPr>
          <w:p w14:paraId="34965709" w14:textId="77777777" w:rsidR="005418E3" w:rsidRPr="006773D0" w:rsidRDefault="005418E3" w:rsidP="00037E46">
            <w:pPr>
              <w:pStyle w:val="BodyText2"/>
              <w:jc w:val="center"/>
              <w:rPr>
                <w:sz w:val="16"/>
                <w:szCs w:val="16"/>
              </w:rPr>
            </w:pPr>
          </w:p>
        </w:tc>
        <w:tc>
          <w:tcPr>
            <w:tcW w:w="1800" w:type="dxa"/>
            <w:shd w:val="clear" w:color="auto" w:fill="auto"/>
            <w:vAlign w:val="center"/>
          </w:tcPr>
          <w:p w14:paraId="0695D2C2" w14:textId="77777777" w:rsidR="005418E3" w:rsidRPr="006773D0" w:rsidRDefault="005418E3" w:rsidP="00037E46">
            <w:pPr>
              <w:pStyle w:val="BodyText2"/>
              <w:jc w:val="center"/>
              <w:rPr>
                <w:b/>
                <w:sz w:val="16"/>
                <w:szCs w:val="16"/>
              </w:rPr>
            </w:pPr>
            <w:r w:rsidRPr="006773D0">
              <w:rPr>
                <w:b/>
                <w:sz w:val="16"/>
                <w:szCs w:val="16"/>
              </w:rPr>
              <w:t>Current Inventory</w:t>
            </w:r>
          </w:p>
        </w:tc>
        <w:tc>
          <w:tcPr>
            <w:tcW w:w="1800" w:type="dxa"/>
            <w:shd w:val="clear" w:color="auto" w:fill="auto"/>
            <w:vAlign w:val="center"/>
          </w:tcPr>
          <w:p w14:paraId="3CC311D3" w14:textId="77777777" w:rsidR="005418E3" w:rsidRPr="006773D0" w:rsidRDefault="005418E3" w:rsidP="00037E46">
            <w:pPr>
              <w:pStyle w:val="BodyText2"/>
              <w:jc w:val="center"/>
              <w:rPr>
                <w:b/>
                <w:sz w:val="16"/>
                <w:szCs w:val="16"/>
              </w:rPr>
            </w:pPr>
            <w:r w:rsidRPr="006773D0">
              <w:rPr>
                <w:b/>
                <w:sz w:val="16"/>
                <w:szCs w:val="16"/>
              </w:rPr>
              <w:t>Rulemaking Impact</w:t>
            </w:r>
          </w:p>
        </w:tc>
        <w:tc>
          <w:tcPr>
            <w:tcW w:w="1710" w:type="dxa"/>
            <w:shd w:val="clear" w:color="auto" w:fill="auto"/>
            <w:vAlign w:val="center"/>
          </w:tcPr>
          <w:p w14:paraId="228FB215" w14:textId="77777777" w:rsidR="005418E3" w:rsidRPr="006773D0" w:rsidRDefault="005418E3" w:rsidP="00037E46">
            <w:pPr>
              <w:pStyle w:val="BodyText2"/>
              <w:jc w:val="center"/>
              <w:rPr>
                <w:b/>
                <w:sz w:val="16"/>
                <w:szCs w:val="16"/>
              </w:rPr>
            </w:pPr>
            <w:r w:rsidRPr="006773D0">
              <w:rPr>
                <w:b/>
                <w:sz w:val="16"/>
                <w:szCs w:val="16"/>
              </w:rPr>
              <w:t>Non-rule Impact</w:t>
            </w:r>
          </w:p>
        </w:tc>
        <w:tc>
          <w:tcPr>
            <w:tcW w:w="1710" w:type="dxa"/>
            <w:shd w:val="clear" w:color="auto" w:fill="auto"/>
            <w:vAlign w:val="center"/>
          </w:tcPr>
          <w:p w14:paraId="7DAF8EB7" w14:textId="77777777" w:rsidR="005418E3" w:rsidRPr="006773D0" w:rsidRDefault="005418E3" w:rsidP="00037E46">
            <w:pPr>
              <w:pStyle w:val="BodyText2"/>
              <w:jc w:val="center"/>
              <w:rPr>
                <w:b/>
                <w:sz w:val="16"/>
                <w:szCs w:val="16"/>
              </w:rPr>
            </w:pPr>
            <w:r w:rsidRPr="006773D0">
              <w:rPr>
                <w:b/>
                <w:sz w:val="16"/>
                <w:szCs w:val="16"/>
              </w:rPr>
              <w:t>New Proposed Burden Estimate</w:t>
            </w:r>
          </w:p>
        </w:tc>
      </w:tr>
      <w:tr w:rsidR="005418E3" w14:paraId="6E2F39AE" w14:textId="77777777" w:rsidTr="00440B44">
        <w:tc>
          <w:tcPr>
            <w:tcW w:w="2340" w:type="dxa"/>
            <w:shd w:val="clear" w:color="auto" w:fill="auto"/>
          </w:tcPr>
          <w:p w14:paraId="35348934" w14:textId="77777777" w:rsidR="005418E3" w:rsidRPr="00CC401C" w:rsidRDefault="005418E3" w:rsidP="00440B44">
            <w:pPr>
              <w:pStyle w:val="BodyText2"/>
              <w:jc w:val="left"/>
              <w:rPr>
                <w:sz w:val="16"/>
                <w:szCs w:val="16"/>
              </w:rPr>
            </w:pPr>
            <w:r w:rsidRPr="00CC401C">
              <w:rPr>
                <w:sz w:val="16"/>
                <w:szCs w:val="16"/>
              </w:rPr>
              <w:t>Filing Fees</w:t>
            </w:r>
          </w:p>
        </w:tc>
        <w:tc>
          <w:tcPr>
            <w:tcW w:w="1800" w:type="dxa"/>
            <w:shd w:val="clear" w:color="auto" w:fill="auto"/>
            <w:vAlign w:val="center"/>
          </w:tcPr>
          <w:p w14:paraId="3B80526D" w14:textId="67154270" w:rsidR="005418E3" w:rsidRPr="00A41520" w:rsidRDefault="005418E3" w:rsidP="00422DBD">
            <w:pPr>
              <w:pStyle w:val="BodyText2"/>
              <w:jc w:val="center"/>
              <w:rPr>
                <w:sz w:val="16"/>
                <w:szCs w:val="16"/>
              </w:rPr>
            </w:pPr>
            <w:r>
              <w:rPr>
                <w:sz w:val="16"/>
                <w:szCs w:val="16"/>
              </w:rPr>
              <w:t>$</w:t>
            </w:r>
            <w:r w:rsidR="00422DBD">
              <w:rPr>
                <w:sz w:val="16"/>
                <w:szCs w:val="16"/>
              </w:rPr>
              <w:t>19,908,000</w:t>
            </w:r>
          </w:p>
        </w:tc>
        <w:tc>
          <w:tcPr>
            <w:tcW w:w="1800" w:type="dxa"/>
            <w:shd w:val="clear" w:color="auto" w:fill="auto"/>
            <w:vAlign w:val="center"/>
          </w:tcPr>
          <w:p w14:paraId="44E704D3" w14:textId="1D3037BF" w:rsidR="005418E3" w:rsidRPr="006773D0" w:rsidRDefault="00FD28A7" w:rsidP="00440B44">
            <w:pPr>
              <w:pStyle w:val="BodyText2"/>
              <w:jc w:val="center"/>
              <w:rPr>
                <w:sz w:val="16"/>
                <w:szCs w:val="16"/>
              </w:rPr>
            </w:pPr>
            <w:r>
              <w:rPr>
                <w:sz w:val="16"/>
                <w:szCs w:val="16"/>
              </w:rPr>
              <w:t>0</w:t>
            </w:r>
          </w:p>
        </w:tc>
        <w:tc>
          <w:tcPr>
            <w:tcW w:w="1710" w:type="dxa"/>
            <w:shd w:val="clear" w:color="auto" w:fill="auto"/>
            <w:vAlign w:val="center"/>
          </w:tcPr>
          <w:p w14:paraId="6DB0FBB3" w14:textId="0CFD3B25" w:rsidR="005418E3" w:rsidRPr="006773D0" w:rsidRDefault="00425396" w:rsidP="00FC6F06">
            <w:pPr>
              <w:pStyle w:val="BodyText2"/>
              <w:jc w:val="center"/>
              <w:rPr>
                <w:sz w:val="16"/>
                <w:szCs w:val="16"/>
              </w:rPr>
            </w:pPr>
            <w:r>
              <w:rPr>
                <w:sz w:val="16"/>
                <w:szCs w:val="16"/>
              </w:rPr>
              <w:t>$</w:t>
            </w:r>
            <w:r w:rsidR="00FC6F06">
              <w:rPr>
                <w:sz w:val="16"/>
                <w:szCs w:val="16"/>
              </w:rPr>
              <w:t>957,100</w:t>
            </w:r>
          </w:p>
        </w:tc>
        <w:tc>
          <w:tcPr>
            <w:tcW w:w="1710" w:type="dxa"/>
            <w:shd w:val="clear" w:color="auto" w:fill="auto"/>
            <w:vAlign w:val="center"/>
          </w:tcPr>
          <w:p w14:paraId="39B4F531" w14:textId="4F42F98D" w:rsidR="005418E3" w:rsidRPr="00FC6F06" w:rsidRDefault="00FC6F06" w:rsidP="00440B44">
            <w:pPr>
              <w:pStyle w:val="BodyText2"/>
              <w:jc w:val="center"/>
              <w:rPr>
                <w:sz w:val="16"/>
                <w:szCs w:val="16"/>
              </w:rPr>
            </w:pPr>
            <w:r w:rsidRPr="00FC6F06">
              <w:rPr>
                <w:sz w:val="16"/>
              </w:rPr>
              <w:t>$20,865,100</w:t>
            </w:r>
          </w:p>
        </w:tc>
      </w:tr>
      <w:tr w:rsidR="005418E3" w14:paraId="7869A8A6" w14:textId="77777777" w:rsidTr="00440B44">
        <w:tc>
          <w:tcPr>
            <w:tcW w:w="2340" w:type="dxa"/>
            <w:shd w:val="clear" w:color="auto" w:fill="auto"/>
          </w:tcPr>
          <w:p w14:paraId="24C4C318" w14:textId="77777777" w:rsidR="005418E3" w:rsidRPr="00CC401C" w:rsidRDefault="005418E3" w:rsidP="00440B44">
            <w:pPr>
              <w:pStyle w:val="BodyText2"/>
              <w:jc w:val="left"/>
              <w:rPr>
                <w:sz w:val="16"/>
                <w:szCs w:val="16"/>
              </w:rPr>
            </w:pPr>
            <w:r w:rsidRPr="00CC401C">
              <w:rPr>
                <w:sz w:val="16"/>
                <w:szCs w:val="16"/>
              </w:rPr>
              <w:t>Postage</w:t>
            </w:r>
          </w:p>
        </w:tc>
        <w:tc>
          <w:tcPr>
            <w:tcW w:w="1800" w:type="dxa"/>
            <w:shd w:val="clear" w:color="auto" w:fill="auto"/>
            <w:vAlign w:val="center"/>
          </w:tcPr>
          <w:p w14:paraId="2B7D455D" w14:textId="6B514C01" w:rsidR="005418E3" w:rsidRPr="00A41520" w:rsidRDefault="005418E3" w:rsidP="00422DBD">
            <w:pPr>
              <w:pStyle w:val="BodyText2"/>
              <w:jc w:val="center"/>
              <w:rPr>
                <w:sz w:val="16"/>
                <w:szCs w:val="16"/>
                <w:highlight w:val="yellow"/>
              </w:rPr>
            </w:pPr>
            <w:r w:rsidRPr="00C37822">
              <w:rPr>
                <w:sz w:val="16"/>
                <w:szCs w:val="16"/>
              </w:rPr>
              <w:t>$</w:t>
            </w:r>
            <w:r w:rsidR="00422DBD">
              <w:rPr>
                <w:sz w:val="16"/>
                <w:szCs w:val="16"/>
              </w:rPr>
              <w:t>1,137</w:t>
            </w:r>
          </w:p>
        </w:tc>
        <w:tc>
          <w:tcPr>
            <w:tcW w:w="1800" w:type="dxa"/>
            <w:shd w:val="clear" w:color="auto" w:fill="auto"/>
            <w:vAlign w:val="center"/>
          </w:tcPr>
          <w:p w14:paraId="7FDACBDC" w14:textId="60B01695" w:rsidR="005418E3" w:rsidRPr="006773D0" w:rsidRDefault="00422DBD" w:rsidP="00440B44">
            <w:pPr>
              <w:pStyle w:val="BodyText2"/>
              <w:jc w:val="center"/>
              <w:rPr>
                <w:sz w:val="16"/>
                <w:szCs w:val="16"/>
              </w:rPr>
            </w:pPr>
            <w:r>
              <w:rPr>
                <w:sz w:val="16"/>
                <w:szCs w:val="16"/>
              </w:rPr>
              <w:t>0</w:t>
            </w:r>
          </w:p>
        </w:tc>
        <w:tc>
          <w:tcPr>
            <w:tcW w:w="1710" w:type="dxa"/>
            <w:shd w:val="clear" w:color="auto" w:fill="auto"/>
            <w:vAlign w:val="center"/>
          </w:tcPr>
          <w:p w14:paraId="07CBB747" w14:textId="7BA82295" w:rsidR="005418E3" w:rsidRPr="006773D0" w:rsidRDefault="00422DBD" w:rsidP="00440B44">
            <w:pPr>
              <w:pStyle w:val="BodyText2"/>
              <w:jc w:val="center"/>
              <w:rPr>
                <w:sz w:val="16"/>
                <w:szCs w:val="16"/>
              </w:rPr>
            </w:pPr>
            <w:r>
              <w:rPr>
                <w:sz w:val="16"/>
                <w:szCs w:val="16"/>
              </w:rPr>
              <w:t>(</w:t>
            </w:r>
            <w:r w:rsidR="00425396">
              <w:rPr>
                <w:sz w:val="16"/>
                <w:szCs w:val="16"/>
              </w:rPr>
              <w:t>$</w:t>
            </w:r>
            <w:r>
              <w:rPr>
                <w:sz w:val="16"/>
                <w:szCs w:val="16"/>
              </w:rPr>
              <w:t>687</w:t>
            </w:r>
            <w:r w:rsidR="00425396">
              <w:rPr>
                <w:sz w:val="16"/>
                <w:szCs w:val="16"/>
              </w:rPr>
              <w:t>)</w:t>
            </w:r>
          </w:p>
        </w:tc>
        <w:tc>
          <w:tcPr>
            <w:tcW w:w="1710" w:type="dxa"/>
            <w:shd w:val="clear" w:color="auto" w:fill="auto"/>
            <w:vAlign w:val="center"/>
          </w:tcPr>
          <w:p w14:paraId="2D42D81D" w14:textId="6BE89017" w:rsidR="005418E3" w:rsidRPr="006773D0" w:rsidRDefault="005418E3" w:rsidP="00440B44">
            <w:pPr>
              <w:pStyle w:val="BodyText2"/>
              <w:jc w:val="center"/>
              <w:rPr>
                <w:sz w:val="16"/>
                <w:szCs w:val="16"/>
              </w:rPr>
            </w:pPr>
            <w:r>
              <w:rPr>
                <w:sz w:val="16"/>
                <w:szCs w:val="16"/>
              </w:rPr>
              <w:t>$</w:t>
            </w:r>
            <w:r w:rsidR="00E5135A">
              <w:rPr>
                <w:sz w:val="16"/>
                <w:szCs w:val="16"/>
              </w:rPr>
              <w:t>450</w:t>
            </w:r>
          </w:p>
        </w:tc>
      </w:tr>
      <w:tr w:rsidR="005418E3" w14:paraId="44363F70" w14:textId="77777777" w:rsidTr="00440B44">
        <w:trPr>
          <w:trHeight w:val="262"/>
        </w:trPr>
        <w:tc>
          <w:tcPr>
            <w:tcW w:w="2340" w:type="dxa"/>
            <w:shd w:val="clear" w:color="auto" w:fill="auto"/>
          </w:tcPr>
          <w:p w14:paraId="0877D986" w14:textId="77777777" w:rsidR="005418E3" w:rsidRPr="00CC401C" w:rsidRDefault="005418E3" w:rsidP="00440B44">
            <w:pPr>
              <w:pStyle w:val="BodyText2"/>
              <w:jc w:val="left"/>
              <w:rPr>
                <w:sz w:val="16"/>
                <w:szCs w:val="16"/>
              </w:rPr>
            </w:pPr>
            <w:r w:rsidRPr="00CC401C">
              <w:rPr>
                <w:sz w:val="16"/>
                <w:szCs w:val="16"/>
              </w:rPr>
              <w:t>Total Annual (Non-hour) Cost Burden</w:t>
            </w:r>
          </w:p>
        </w:tc>
        <w:tc>
          <w:tcPr>
            <w:tcW w:w="1800" w:type="dxa"/>
            <w:shd w:val="clear" w:color="auto" w:fill="auto"/>
            <w:vAlign w:val="center"/>
          </w:tcPr>
          <w:p w14:paraId="78E0AED6" w14:textId="3F5D57F5" w:rsidR="005418E3" w:rsidRPr="00A41520" w:rsidRDefault="005418E3" w:rsidP="00422DBD">
            <w:pPr>
              <w:pStyle w:val="BodyText2"/>
              <w:jc w:val="center"/>
              <w:rPr>
                <w:sz w:val="16"/>
                <w:szCs w:val="16"/>
                <w:highlight w:val="yellow"/>
              </w:rPr>
            </w:pPr>
            <w:r w:rsidRPr="00882563">
              <w:rPr>
                <w:sz w:val="16"/>
                <w:szCs w:val="16"/>
              </w:rPr>
              <w:t>$</w:t>
            </w:r>
            <w:r w:rsidR="00422DBD">
              <w:rPr>
                <w:sz w:val="16"/>
                <w:szCs w:val="16"/>
              </w:rPr>
              <w:t>19,909,137</w:t>
            </w:r>
          </w:p>
        </w:tc>
        <w:tc>
          <w:tcPr>
            <w:tcW w:w="1800" w:type="dxa"/>
            <w:shd w:val="clear" w:color="auto" w:fill="auto"/>
            <w:vAlign w:val="center"/>
          </w:tcPr>
          <w:p w14:paraId="5EA03AAE" w14:textId="5E5F3781" w:rsidR="005418E3" w:rsidRPr="006773D0" w:rsidRDefault="00422DBD" w:rsidP="00440B44">
            <w:pPr>
              <w:pStyle w:val="BodyText2"/>
              <w:jc w:val="center"/>
              <w:rPr>
                <w:sz w:val="16"/>
                <w:szCs w:val="16"/>
              </w:rPr>
            </w:pPr>
            <w:r>
              <w:rPr>
                <w:sz w:val="16"/>
                <w:szCs w:val="16"/>
              </w:rPr>
              <w:t>0</w:t>
            </w:r>
          </w:p>
        </w:tc>
        <w:tc>
          <w:tcPr>
            <w:tcW w:w="1710" w:type="dxa"/>
            <w:shd w:val="clear" w:color="auto" w:fill="auto"/>
            <w:vAlign w:val="center"/>
          </w:tcPr>
          <w:p w14:paraId="43F8177A" w14:textId="69D2C059" w:rsidR="005418E3" w:rsidRPr="006773D0" w:rsidRDefault="00422DBD" w:rsidP="00FC6F06">
            <w:pPr>
              <w:pStyle w:val="BodyText2"/>
              <w:jc w:val="center"/>
              <w:rPr>
                <w:sz w:val="16"/>
                <w:szCs w:val="16"/>
              </w:rPr>
            </w:pPr>
            <w:r>
              <w:rPr>
                <w:sz w:val="16"/>
                <w:szCs w:val="16"/>
              </w:rPr>
              <w:t>$</w:t>
            </w:r>
            <w:r w:rsidR="00FC6F06">
              <w:rPr>
                <w:sz w:val="16"/>
                <w:szCs w:val="16"/>
              </w:rPr>
              <w:t>956,413</w:t>
            </w:r>
          </w:p>
        </w:tc>
        <w:tc>
          <w:tcPr>
            <w:tcW w:w="1710" w:type="dxa"/>
            <w:shd w:val="clear" w:color="auto" w:fill="auto"/>
            <w:vAlign w:val="center"/>
          </w:tcPr>
          <w:p w14:paraId="1FA97D3D" w14:textId="47A45A7D" w:rsidR="005418E3" w:rsidRPr="006773D0" w:rsidRDefault="005418E3" w:rsidP="00FC6F06">
            <w:pPr>
              <w:pStyle w:val="BodyText2"/>
              <w:jc w:val="center"/>
              <w:rPr>
                <w:sz w:val="16"/>
                <w:szCs w:val="16"/>
              </w:rPr>
            </w:pPr>
            <w:r>
              <w:rPr>
                <w:sz w:val="16"/>
                <w:szCs w:val="16"/>
              </w:rPr>
              <w:t>$</w:t>
            </w:r>
            <w:r w:rsidR="00FC6F06">
              <w:rPr>
                <w:sz w:val="16"/>
                <w:szCs w:val="16"/>
              </w:rPr>
              <w:t>20,865,550</w:t>
            </w:r>
          </w:p>
        </w:tc>
      </w:tr>
    </w:tbl>
    <w:p w14:paraId="44998872" w14:textId="77777777" w:rsidR="005E2B0A" w:rsidRDefault="005E2B0A">
      <w:pPr>
        <w:jc w:val="both"/>
        <w:rPr>
          <w:rFonts w:ascii="Arial" w:hAnsi="Arial"/>
          <w:sz w:val="24"/>
        </w:rPr>
      </w:pPr>
    </w:p>
    <w:p w14:paraId="47A32A74" w14:textId="67C8FF8B" w:rsidR="005418E3" w:rsidRDefault="005418E3" w:rsidP="005418E3">
      <w:pPr>
        <w:jc w:val="both"/>
        <w:rPr>
          <w:rFonts w:ascii="Arial" w:hAnsi="Arial"/>
          <w:sz w:val="24"/>
        </w:rPr>
      </w:pPr>
      <w:r>
        <w:rPr>
          <w:rFonts w:ascii="Arial" w:hAnsi="Arial"/>
          <w:sz w:val="24"/>
        </w:rPr>
        <w:t xml:space="preserve">Table </w:t>
      </w:r>
      <w:r w:rsidR="00020A1F">
        <w:rPr>
          <w:rFonts w:ascii="Arial" w:hAnsi="Arial"/>
          <w:sz w:val="24"/>
        </w:rPr>
        <w:t>6c</w:t>
      </w:r>
      <w:r>
        <w:rPr>
          <w:rFonts w:ascii="Arial" w:hAnsi="Arial"/>
          <w:sz w:val="24"/>
        </w:rPr>
        <w:t xml:space="preserve"> shows the impact of the rulemaking and non-rulemaking changes to the Federal Government burden estimates and cost burden for this collection:</w:t>
      </w:r>
    </w:p>
    <w:p w14:paraId="59A083F9" w14:textId="77777777" w:rsidR="005418E3" w:rsidRDefault="005418E3" w:rsidP="005418E3">
      <w:pPr>
        <w:jc w:val="both"/>
        <w:rPr>
          <w:rFonts w:ascii="Arial" w:hAnsi="Arial"/>
          <w:b/>
        </w:rPr>
      </w:pPr>
    </w:p>
    <w:p w14:paraId="7DF3CD82" w14:textId="18B5DC7C" w:rsidR="005418E3" w:rsidRDefault="005418E3" w:rsidP="005418E3">
      <w:pPr>
        <w:jc w:val="both"/>
        <w:rPr>
          <w:rFonts w:ascii="Arial" w:hAnsi="Arial"/>
          <w:b/>
        </w:rPr>
      </w:pPr>
      <w:r w:rsidRPr="00C82218">
        <w:rPr>
          <w:rFonts w:ascii="Arial" w:hAnsi="Arial"/>
          <w:b/>
        </w:rPr>
        <w:t xml:space="preserve">Table </w:t>
      </w:r>
      <w:r w:rsidR="00020A1F">
        <w:rPr>
          <w:rFonts w:ascii="Arial" w:hAnsi="Arial"/>
          <w:b/>
        </w:rPr>
        <w:t>6c</w:t>
      </w:r>
      <w:r w:rsidRPr="00C82218">
        <w:rPr>
          <w:rFonts w:ascii="Arial" w:hAnsi="Arial"/>
          <w:b/>
        </w:rPr>
        <w:t>:  Federal Government Burden Estimates/Processing Costs – Rulemaking/Non-Rulemaking Impact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5" w:type="dxa"/>
          <w:left w:w="115" w:type="dxa"/>
          <w:bottom w:w="115" w:type="dxa"/>
          <w:right w:w="115" w:type="dxa"/>
        </w:tblCellMar>
        <w:tblLook w:val="04A0" w:firstRow="1" w:lastRow="0" w:firstColumn="1" w:lastColumn="0" w:noHBand="0" w:noVBand="1"/>
      </w:tblPr>
      <w:tblGrid>
        <w:gridCol w:w="2250"/>
        <w:gridCol w:w="1620"/>
        <w:gridCol w:w="2070"/>
        <w:gridCol w:w="1612"/>
        <w:gridCol w:w="1808"/>
      </w:tblGrid>
      <w:tr w:rsidR="005418E3" w:rsidRPr="006773D0" w14:paraId="4CF6DA03" w14:textId="77777777" w:rsidTr="00037E46">
        <w:tc>
          <w:tcPr>
            <w:tcW w:w="2250" w:type="dxa"/>
            <w:shd w:val="clear" w:color="auto" w:fill="auto"/>
          </w:tcPr>
          <w:p w14:paraId="0D1FDD34" w14:textId="77777777" w:rsidR="005418E3" w:rsidRPr="006773D0" w:rsidRDefault="005418E3" w:rsidP="00037E46">
            <w:pPr>
              <w:jc w:val="both"/>
              <w:rPr>
                <w:rFonts w:ascii="Arial" w:hAnsi="Arial"/>
                <w:b/>
                <w:sz w:val="16"/>
                <w:szCs w:val="16"/>
              </w:rPr>
            </w:pPr>
          </w:p>
          <w:p w14:paraId="1A75D9CD" w14:textId="77777777" w:rsidR="005418E3" w:rsidRPr="006773D0" w:rsidRDefault="005418E3" w:rsidP="00037E46">
            <w:pPr>
              <w:jc w:val="both"/>
              <w:rPr>
                <w:rFonts w:ascii="Arial" w:hAnsi="Arial"/>
                <w:b/>
                <w:sz w:val="16"/>
                <w:szCs w:val="16"/>
              </w:rPr>
            </w:pPr>
          </w:p>
        </w:tc>
        <w:tc>
          <w:tcPr>
            <w:tcW w:w="1620" w:type="dxa"/>
            <w:shd w:val="clear" w:color="auto" w:fill="auto"/>
            <w:vAlign w:val="center"/>
          </w:tcPr>
          <w:p w14:paraId="36315302" w14:textId="77777777" w:rsidR="005418E3" w:rsidRPr="006773D0" w:rsidRDefault="005418E3" w:rsidP="00037E46">
            <w:pPr>
              <w:jc w:val="center"/>
              <w:rPr>
                <w:rFonts w:ascii="Arial" w:hAnsi="Arial"/>
                <w:b/>
                <w:sz w:val="16"/>
                <w:szCs w:val="16"/>
              </w:rPr>
            </w:pPr>
            <w:r w:rsidRPr="006773D0">
              <w:rPr>
                <w:rFonts w:ascii="Arial" w:hAnsi="Arial"/>
                <w:b/>
                <w:sz w:val="16"/>
                <w:szCs w:val="16"/>
              </w:rPr>
              <w:t>Current Inventory</w:t>
            </w:r>
          </w:p>
        </w:tc>
        <w:tc>
          <w:tcPr>
            <w:tcW w:w="2070" w:type="dxa"/>
            <w:shd w:val="clear" w:color="auto" w:fill="auto"/>
            <w:vAlign w:val="center"/>
          </w:tcPr>
          <w:p w14:paraId="1D4A3CC9" w14:textId="77777777" w:rsidR="005418E3" w:rsidRPr="006773D0" w:rsidRDefault="005418E3" w:rsidP="00037E46">
            <w:pPr>
              <w:jc w:val="center"/>
              <w:rPr>
                <w:rFonts w:ascii="Arial" w:hAnsi="Arial"/>
                <w:b/>
                <w:sz w:val="16"/>
                <w:szCs w:val="16"/>
              </w:rPr>
            </w:pPr>
            <w:r w:rsidRPr="006773D0">
              <w:rPr>
                <w:rFonts w:ascii="Arial" w:hAnsi="Arial"/>
                <w:b/>
                <w:sz w:val="16"/>
                <w:szCs w:val="16"/>
              </w:rPr>
              <w:t>Rulemaking Impact</w:t>
            </w:r>
          </w:p>
        </w:tc>
        <w:tc>
          <w:tcPr>
            <w:tcW w:w="1612" w:type="dxa"/>
            <w:shd w:val="clear" w:color="auto" w:fill="auto"/>
            <w:vAlign w:val="center"/>
          </w:tcPr>
          <w:p w14:paraId="440AA251" w14:textId="77777777" w:rsidR="005418E3" w:rsidRPr="006773D0" w:rsidRDefault="005418E3" w:rsidP="00037E46">
            <w:pPr>
              <w:jc w:val="center"/>
              <w:rPr>
                <w:rFonts w:ascii="Arial" w:hAnsi="Arial"/>
                <w:b/>
                <w:sz w:val="16"/>
                <w:szCs w:val="16"/>
              </w:rPr>
            </w:pPr>
            <w:r w:rsidRPr="006773D0">
              <w:rPr>
                <w:rFonts w:ascii="Arial" w:hAnsi="Arial"/>
                <w:b/>
                <w:sz w:val="16"/>
                <w:szCs w:val="16"/>
              </w:rPr>
              <w:t>Non-rule Impact</w:t>
            </w:r>
          </w:p>
        </w:tc>
        <w:tc>
          <w:tcPr>
            <w:tcW w:w="1808" w:type="dxa"/>
            <w:shd w:val="clear" w:color="auto" w:fill="auto"/>
            <w:vAlign w:val="center"/>
          </w:tcPr>
          <w:p w14:paraId="6701D936" w14:textId="77777777" w:rsidR="005418E3" w:rsidRPr="006773D0" w:rsidRDefault="005418E3" w:rsidP="00037E46">
            <w:pPr>
              <w:jc w:val="center"/>
              <w:rPr>
                <w:rFonts w:ascii="Arial" w:hAnsi="Arial"/>
                <w:b/>
                <w:sz w:val="16"/>
                <w:szCs w:val="16"/>
              </w:rPr>
            </w:pPr>
            <w:r w:rsidRPr="006773D0">
              <w:rPr>
                <w:rFonts w:ascii="Arial" w:hAnsi="Arial"/>
                <w:b/>
                <w:sz w:val="16"/>
                <w:szCs w:val="16"/>
              </w:rPr>
              <w:t>New Proposed Burden Estimate</w:t>
            </w:r>
          </w:p>
        </w:tc>
      </w:tr>
      <w:tr w:rsidR="005418E3" w:rsidRPr="006773D0" w14:paraId="041C61FE" w14:textId="77777777" w:rsidTr="00037E46">
        <w:tc>
          <w:tcPr>
            <w:tcW w:w="2250" w:type="dxa"/>
            <w:shd w:val="clear" w:color="auto" w:fill="auto"/>
            <w:vAlign w:val="center"/>
          </w:tcPr>
          <w:p w14:paraId="3516866C" w14:textId="77777777" w:rsidR="005418E3" w:rsidRPr="00CC401C" w:rsidRDefault="005418E3" w:rsidP="00037E46">
            <w:pPr>
              <w:rPr>
                <w:rFonts w:ascii="Arial" w:hAnsi="Arial"/>
                <w:sz w:val="16"/>
                <w:szCs w:val="16"/>
              </w:rPr>
            </w:pPr>
            <w:r w:rsidRPr="00CC401C">
              <w:rPr>
                <w:rFonts w:ascii="Arial" w:hAnsi="Arial"/>
                <w:sz w:val="16"/>
                <w:szCs w:val="16"/>
              </w:rPr>
              <w:t>Responses</w:t>
            </w:r>
          </w:p>
        </w:tc>
        <w:tc>
          <w:tcPr>
            <w:tcW w:w="1620" w:type="dxa"/>
            <w:shd w:val="clear" w:color="auto" w:fill="auto"/>
            <w:vAlign w:val="center"/>
          </w:tcPr>
          <w:p w14:paraId="3C2FB533" w14:textId="07D60932" w:rsidR="005418E3" w:rsidRPr="00C64BC2" w:rsidRDefault="00422DBD" w:rsidP="003D5271">
            <w:pPr>
              <w:jc w:val="center"/>
              <w:rPr>
                <w:rFonts w:ascii="Arial" w:hAnsi="Arial"/>
                <w:sz w:val="16"/>
                <w:szCs w:val="16"/>
              </w:rPr>
            </w:pPr>
            <w:r>
              <w:rPr>
                <w:rFonts w:ascii="Arial" w:hAnsi="Arial"/>
                <w:sz w:val="16"/>
                <w:szCs w:val="16"/>
              </w:rPr>
              <w:t>39,816</w:t>
            </w:r>
          </w:p>
        </w:tc>
        <w:tc>
          <w:tcPr>
            <w:tcW w:w="2070" w:type="dxa"/>
            <w:shd w:val="clear" w:color="auto" w:fill="auto"/>
            <w:vAlign w:val="center"/>
          </w:tcPr>
          <w:p w14:paraId="0D4748D0" w14:textId="399CE95C" w:rsidR="005418E3" w:rsidRPr="003D5271" w:rsidRDefault="00FD28A7" w:rsidP="003D5271">
            <w:pPr>
              <w:jc w:val="center"/>
              <w:rPr>
                <w:rFonts w:ascii="Arial" w:hAnsi="Arial"/>
                <w:sz w:val="16"/>
                <w:szCs w:val="16"/>
              </w:rPr>
            </w:pPr>
            <w:r w:rsidRPr="00513266">
              <w:rPr>
                <w:rFonts w:ascii="Arial" w:hAnsi="Arial"/>
                <w:sz w:val="16"/>
                <w:szCs w:val="16"/>
              </w:rPr>
              <w:t>0</w:t>
            </w:r>
          </w:p>
        </w:tc>
        <w:tc>
          <w:tcPr>
            <w:tcW w:w="1612" w:type="dxa"/>
            <w:shd w:val="clear" w:color="auto" w:fill="auto"/>
            <w:vAlign w:val="center"/>
          </w:tcPr>
          <w:p w14:paraId="02C0FA87" w14:textId="0E18E843" w:rsidR="005418E3" w:rsidRPr="00513266" w:rsidRDefault="00422DBD" w:rsidP="003D5271">
            <w:pPr>
              <w:jc w:val="center"/>
              <w:rPr>
                <w:rFonts w:ascii="Arial" w:hAnsi="Arial"/>
                <w:sz w:val="16"/>
                <w:szCs w:val="16"/>
              </w:rPr>
            </w:pPr>
            <w:r>
              <w:rPr>
                <w:rFonts w:ascii="Arial" w:hAnsi="Arial"/>
                <w:sz w:val="16"/>
                <w:szCs w:val="16"/>
              </w:rPr>
              <w:t>12,113</w:t>
            </w:r>
          </w:p>
        </w:tc>
        <w:tc>
          <w:tcPr>
            <w:tcW w:w="1808" w:type="dxa"/>
            <w:shd w:val="clear" w:color="auto" w:fill="auto"/>
            <w:vAlign w:val="center"/>
          </w:tcPr>
          <w:p w14:paraId="4057D1E7" w14:textId="124CD05B" w:rsidR="005418E3" w:rsidRPr="003D5271" w:rsidRDefault="003D5271" w:rsidP="003D5271">
            <w:pPr>
              <w:jc w:val="center"/>
              <w:rPr>
                <w:rFonts w:ascii="Arial" w:hAnsi="Arial"/>
                <w:sz w:val="16"/>
                <w:szCs w:val="16"/>
              </w:rPr>
            </w:pPr>
            <w:r w:rsidRPr="003D5271">
              <w:rPr>
                <w:rFonts w:ascii="Arial" w:hAnsi="Arial"/>
                <w:sz w:val="16"/>
                <w:szCs w:val="16"/>
              </w:rPr>
              <w:t>51,929</w:t>
            </w:r>
          </w:p>
        </w:tc>
      </w:tr>
      <w:tr w:rsidR="005418E3" w:rsidRPr="006773D0" w14:paraId="1DE30CC2" w14:textId="77777777" w:rsidTr="00037E46">
        <w:tc>
          <w:tcPr>
            <w:tcW w:w="2250" w:type="dxa"/>
            <w:shd w:val="clear" w:color="auto" w:fill="auto"/>
            <w:vAlign w:val="center"/>
          </w:tcPr>
          <w:p w14:paraId="4FE7F3F0" w14:textId="7813A033" w:rsidR="005418E3" w:rsidRPr="00CC401C" w:rsidRDefault="0032772C" w:rsidP="00037E46">
            <w:pPr>
              <w:rPr>
                <w:rFonts w:ascii="Arial" w:hAnsi="Arial"/>
                <w:sz w:val="16"/>
                <w:szCs w:val="16"/>
              </w:rPr>
            </w:pPr>
            <w:r>
              <w:rPr>
                <w:rFonts w:ascii="Arial" w:hAnsi="Arial"/>
                <w:sz w:val="16"/>
                <w:szCs w:val="16"/>
              </w:rPr>
              <w:t xml:space="preserve">Government </w:t>
            </w:r>
            <w:r w:rsidR="005418E3" w:rsidRPr="00CC401C">
              <w:rPr>
                <w:rFonts w:ascii="Arial" w:hAnsi="Arial"/>
                <w:sz w:val="16"/>
                <w:szCs w:val="16"/>
              </w:rPr>
              <w:t>Burden Hours</w:t>
            </w:r>
          </w:p>
        </w:tc>
        <w:tc>
          <w:tcPr>
            <w:tcW w:w="1620" w:type="dxa"/>
            <w:shd w:val="clear" w:color="auto" w:fill="auto"/>
            <w:vAlign w:val="center"/>
          </w:tcPr>
          <w:p w14:paraId="10860D8A" w14:textId="6F1F5D70" w:rsidR="005418E3" w:rsidRPr="00C64BC2" w:rsidRDefault="00017D3D" w:rsidP="003D5271">
            <w:pPr>
              <w:jc w:val="center"/>
              <w:rPr>
                <w:rFonts w:ascii="Arial" w:hAnsi="Arial"/>
                <w:sz w:val="16"/>
                <w:szCs w:val="16"/>
              </w:rPr>
            </w:pPr>
            <w:r>
              <w:rPr>
                <w:rFonts w:ascii="Arial" w:hAnsi="Arial"/>
                <w:sz w:val="16"/>
                <w:szCs w:val="16"/>
              </w:rPr>
              <w:t>2</w:t>
            </w:r>
            <w:r w:rsidR="00DB4288">
              <w:rPr>
                <w:rFonts w:ascii="Arial" w:hAnsi="Arial"/>
                <w:sz w:val="16"/>
                <w:szCs w:val="16"/>
              </w:rPr>
              <w:t>,</w:t>
            </w:r>
            <w:r>
              <w:rPr>
                <w:rFonts w:ascii="Arial" w:hAnsi="Arial"/>
                <w:sz w:val="16"/>
                <w:szCs w:val="16"/>
              </w:rPr>
              <w:t>921</w:t>
            </w:r>
          </w:p>
        </w:tc>
        <w:tc>
          <w:tcPr>
            <w:tcW w:w="2070" w:type="dxa"/>
            <w:shd w:val="clear" w:color="auto" w:fill="auto"/>
            <w:vAlign w:val="center"/>
          </w:tcPr>
          <w:p w14:paraId="01C22853" w14:textId="05E146DA" w:rsidR="005418E3" w:rsidRPr="003D5271" w:rsidRDefault="00422DBD" w:rsidP="003D5271">
            <w:pPr>
              <w:jc w:val="center"/>
              <w:rPr>
                <w:rFonts w:ascii="Arial" w:hAnsi="Arial"/>
                <w:sz w:val="16"/>
                <w:szCs w:val="16"/>
              </w:rPr>
            </w:pPr>
            <w:r>
              <w:rPr>
                <w:rFonts w:ascii="Arial" w:hAnsi="Arial"/>
                <w:sz w:val="16"/>
                <w:szCs w:val="16"/>
              </w:rPr>
              <w:t>0</w:t>
            </w:r>
          </w:p>
        </w:tc>
        <w:tc>
          <w:tcPr>
            <w:tcW w:w="1612" w:type="dxa"/>
            <w:shd w:val="clear" w:color="auto" w:fill="auto"/>
            <w:vAlign w:val="center"/>
          </w:tcPr>
          <w:p w14:paraId="1091ACAE" w14:textId="719FC7D8" w:rsidR="005418E3" w:rsidRPr="00513266" w:rsidRDefault="00017D3D" w:rsidP="003D5271">
            <w:pPr>
              <w:jc w:val="center"/>
              <w:rPr>
                <w:rFonts w:ascii="Arial" w:hAnsi="Arial"/>
                <w:sz w:val="16"/>
                <w:szCs w:val="16"/>
              </w:rPr>
            </w:pPr>
            <w:r>
              <w:rPr>
                <w:rFonts w:ascii="Arial" w:hAnsi="Arial"/>
                <w:sz w:val="16"/>
                <w:szCs w:val="16"/>
              </w:rPr>
              <w:t>762</w:t>
            </w:r>
          </w:p>
        </w:tc>
        <w:tc>
          <w:tcPr>
            <w:tcW w:w="1808" w:type="dxa"/>
            <w:shd w:val="clear" w:color="auto" w:fill="auto"/>
            <w:vAlign w:val="center"/>
          </w:tcPr>
          <w:p w14:paraId="3F9A4F5A" w14:textId="21508514" w:rsidR="005418E3" w:rsidRPr="003D5271" w:rsidRDefault="00017D3D" w:rsidP="003D5271">
            <w:pPr>
              <w:jc w:val="center"/>
              <w:rPr>
                <w:rFonts w:ascii="Arial" w:hAnsi="Arial"/>
                <w:sz w:val="16"/>
                <w:szCs w:val="16"/>
              </w:rPr>
            </w:pPr>
            <w:r>
              <w:rPr>
                <w:rFonts w:ascii="Arial" w:hAnsi="Arial"/>
                <w:sz w:val="16"/>
                <w:szCs w:val="16"/>
              </w:rPr>
              <w:t>3</w:t>
            </w:r>
            <w:r w:rsidR="00DB4288">
              <w:rPr>
                <w:rFonts w:ascii="Arial" w:hAnsi="Arial"/>
                <w:sz w:val="16"/>
                <w:szCs w:val="16"/>
              </w:rPr>
              <w:t>,</w:t>
            </w:r>
            <w:r>
              <w:rPr>
                <w:rFonts w:ascii="Arial" w:hAnsi="Arial"/>
                <w:sz w:val="16"/>
                <w:szCs w:val="16"/>
              </w:rPr>
              <w:t>683</w:t>
            </w:r>
          </w:p>
        </w:tc>
      </w:tr>
      <w:tr w:rsidR="005418E3" w:rsidRPr="006773D0" w14:paraId="5B678D44" w14:textId="77777777" w:rsidTr="00037E46">
        <w:tc>
          <w:tcPr>
            <w:tcW w:w="2250" w:type="dxa"/>
            <w:shd w:val="clear" w:color="auto" w:fill="auto"/>
            <w:vAlign w:val="center"/>
          </w:tcPr>
          <w:p w14:paraId="2A6D38E2" w14:textId="77777777" w:rsidR="005418E3" w:rsidRPr="00CC401C" w:rsidRDefault="005418E3" w:rsidP="00037E46">
            <w:pPr>
              <w:rPr>
                <w:rFonts w:ascii="Arial" w:hAnsi="Arial"/>
                <w:sz w:val="16"/>
                <w:szCs w:val="16"/>
              </w:rPr>
            </w:pPr>
            <w:r w:rsidRPr="00CC401C">
              <w:rPr>
                <w:rFonts w:ascii="Arial" w:hAnsi="Arial"/>
                <w:sz w:val="16"/>
                <w:szCs w:val="16"/>
              </w:rPr>
              <w:t>Government Cost Burden</w:t>
            </w:r>
          </w:p>
        </w:tc>
        <w:tc>
          <w:tcPr>
            <w:tcW w:w="1620" w:type="dxa"/>
            <w:shd w:val="clear" w:color="auto" w:fill="auto"/>
            <w:vAlign w:val="center"/>
          </w:tcPr>
          <w:p w14:paraId="3B2BF7BD" w14:textId="65639EF9" w:rsidR="005418E3" w:rsidRPr="00C64BC2" w:rsidRDefault="003D5271" w:rsidP="00425396">
            <w:pPr>
              <w:jc w:val="center"/>
              <w:rPr>
                <w:rFonts w:ascii="Arial" w:hAnsi="Arial"/>
                <w:sz w:val="16"/>
                <w:szCs w:val="16"/>
              </w:rPr>
            </w:pPr>
            <w:r>
              <w:rPr>
                <w:rFonts w:ascii="Arial" w:hAnsi="Arial"/>
                <w:sz w:val="16"/>
                <w:szCs w:val="16"/>
              </w:rPr>
              <w:t>$</w:t>
            </w:r>
            <w:r w:rsidR="00425396">
              <w:rPr>
                <w:rFonts w:ascii="Arial" w:hAnsi="Arial"/>
                <w:sz w:val="16"/>
                <w:szCs w:val="16"/>
              </w:rPr>
              <w:t>87</w:t>
            </w:r>
            <w:r w:rsidR="00017D3D">
              <w:rPr>
                <w:rFonts w:ascii="Arial" w:hAnsi="Arial"/>
                <w:sz w:val="16"/>
                <w:szCs w:val="16"/>
              </w:rPr>
              <w:t>,</w:t>
            </w:r>
            <w:r w:rsidR="00425396">
              <w:rPr>
                <w:rFonts w:ascii="Arial" w:hAnsi="Arial"/>
                <w:sz w:val="16"/>
                <w:szCs w:val="16"/>
              </w:rPr>
              <w:t>091</w:t>
            </w:r>
          </w:p>
        </w:tc>
        <w:tc>
          <w:tcPr>
            <w:tcW w:w="2070" w:type="dxa"/>
            <w:shd w:val="clear" w:color="auto" w:fill="auto"/>
            <w:vAlign w:val="center"/>
          </w:tcPr>
          <w:p w14:paraId="20CBEBFF" w14:textId="2E67DDC2" w:rsidR="005418E3" w:rsidRPr="003D5271" w:rsidRDefault="00422DBD" w:rsidP="0082622D">
            <w:pPr>
              <w:jc w:val="center"/>
              <w:rPr>
                <w:rFonts w:ascii="Arial" w:hAnsi="Arial"/>
                <w:sz w:val="16"/>
                <w:szCs w:val="16"/>
              </w:rPr>
            </w:pPr>
            <w:r>
              <w:rPr>
                <w:rFonts w:ascii="Arial" w:hAnsi="Arial"/>
                <w:sz w:val="16"/>
                <w:szCs w:val="16"/>
              </w:rPr>
              <w:t>0</w:t>
            </w:r>
          </w:p>
        </w:tc>
        <w:tc>
          <w:tcPr>
            <w:tcW w:w="1612" w:type="dxa"/>
            <w:shd w:val="clear" w:color="auto" w:fill="auto"/>
            <w:vAlign w:val="center"/>
          </w:tcPr>
          <w:p w14:paraId="4A296369" w14:textId="148DC0F5" w:rsidR="005418E3" w:rsidRPr="00513266" w:rsidRDefault="00EF1F3D" w:rsidP="00017D3D">
            <w:pPr>
              <w:jc w:val="center"/>
              <w:rPr>
                <w:rFonts w:ascii="Arial" w:hAnsi="Arial"/>
                <w:sz w:val="16"/>
                <w:szCs w:val="16"/>
              </w:rPr>
            </w:pPr>
            <w:r>
              <w:rPr>
                <w:rFonts w:ascii="Arial" w:hAnsi="Arial"/>
                <w:sz w:val="16"/>
                <w:szCs w:val="16"/>
              </w:rPr>
              <w:t>$</w:t>
            </w:r>
            <w:r w:rsidR="00017D3D">
              <w:rPr>
                <w:rFonts w:ascii="Arial" w:hAnsi="Arial"/>
                <w:sz w:val="16"/>
                <w:szCs w:val="16"/>
              </w:rPr>
              <w:t>35,591</w:t>
            </w:r>
          </w:p>
        </w:tc>
        <w:tc>
          <w:tcPr>
            <w:tcW w:w="1808" w:type="dxa"/>
            <w:shd w:val="clear" w:color="auto" w:fill="auto"/>
            <w:vAlign w:val="center"/>
          </w:tcPr>
          <w:p w14:paraId="30D7A1D1" w14:textId="2510C735" w:rsidR="005418E3" w:rsidRPr="003D5271" w:rsidRDefault="003D5271" w:rsidP="003D5271">
            <w:pPr>
              <w:jc w:val="center"/>
              <w:rPr>
                <w:rFonts w:ascii="Arial" w:hAnsi="Arial"/>
                <w:sz w:val="16"/>
                <w:szCs w:val="16"/>
              </w:rPr>
            </w:pPr>
            <w:r w:rsidRPr="003D5271">
              <w:rPr>
                <w:rFonts w:ascii="Arial" w:hAnsi="Arial"/>
                <w:sz w:val="16"/>
                <w:szCs w:val="16"/>
              </w:rPr>
              <w:t>$122,682</w:t>
            </w:r>
          </w:p>
        </w:tc>
      </w:tr>
    </w:tbl>
    <w:p w14:paraId="44998874" w14:textId="77777777" w:rsidR="005E2B0A" w:rsidRDefault="005E2B0A">
      <w:pPr>
        <w:jc w:val="both"/>
        <w:rPr>
          <w:rFonts w:ascii="Arial" w:hAnsi="Arial"/>
          <w:sz w:val="24"/>
        </w:rPr>
      </w:pPr>
    </w:p>
    <w:p w14:paraId="44998875" w14:textId="77777777" w:rsidR="007736EC" w:rsidRDefault="007736EC" w:rsidP="00DB5DD3">
      <w:pPr>
        <w:pStyle w:val="BodyText2"/>
      </w:pPr>
    </w:p>
    <w:p w14:paraId="44998876" w14:textId="77777777" w:rsidR="00885869" w:rsidRDefault="00885869">
      <w:pPr>
        <w:jc w:val="both"/>
        <w:rPr>
          <w:rFonts w:ascii="Arial" w:hAnsi="Arial"/>
          <w:sz w:val="24"/>
        </w:rPr>
      </w:pPr>
      <w:r w:rsidRPr="007736EC">
        <w:rPr>
          <w:rFonts w:ascii="Arial" w:hAnsi="Arial"/>
          <w:b/>
          <w:sz w:val="24"/>
        </w:rPr>
        <w:t>16.</w:t>
      </w:r>
      <w:r w:rsidRPr="007736EC">
        <w:rPr>
          <w:rFonts w:ascii="Arial" w:hAnsi="Arial"/>
          <w:b/>
          <w:sz w:val="24"/>
        </w:rPr>
        <w:tab/>
        <w:t>Project Schedule</w:t>
      </w:r>
    </w:p>
    <w:p w14:paraId="44998877" w14:textId="77777777" w:rsidR="00885869" w:rsidRDefault="00885869">
      <w:pPr>
        <w:jc w:val="both"/>
        <w:rPr>
          <w:rFonts w:ascii="Arial" w:hAnsi="Arial"/>
          <w:sz w:val="24"/>
        </w:rPr>
      </w:pPr>
    </w:p>
    <w:p w14:paraId="44998878" w14:textId="77777777" w:rsidR="00885869" w:rsidRDefault="00885869">
      <w:pPr>
        <w:pStyle w:val="BodyText2"/>
      </w:pPr>
      <w:r>
        <w:t>There is no plan to publish this information for statistical use.</w:t>
      </w:r>
    </w:p>
    <w:p w14:paraId="44998879" w14:textId="77777777" w:rsidR="00E2477F" w:rsidRDefault="00E2477F">
      <w:pPr>
        <w:pStyle w:val="BodyText2"/>
      </w:pPr>
    </w:p>
    <w:p w14:paraId="4499887A" w14:textId="77777777" w:rsidR="00885869" w:rsidRDefault="00885869">
      <w:pPr>
        <w:jc w:val="both"/>
        <w:rPr>
          <w:rFonts w:ascii="Arial" w:hAnsi="Arial"/>
          <w:b/>
          <w:sz w:val="24"/>
        </w:rPr>
      </w:pPr>
      <w:r w:rsidRPr="007736EC">
        <w:rPr>
          <w:rFonts w:ascii="Arial" w:hAnsi="Arial"/>
          <w:b/>
          <w:sz w:val="24"/>
        </w:rPr>
        <w:t>17.</w:t>
      </w:r>
      <w:r w:rsidRPr="007736EC">
        <w:rPr>
          <w:rFonts w:ascii="Arial" w:hAnsi="Arial"/>
          <w:b/>
          <w:sz w:val="24"/>
        </w:rPr>
        <w:tab/>
        <w:t>Display of Expiration Date of OMB Approval</w:t>
      </w:r>
    </w:p>
    <w:p w14:paraId="4499887B" w14:textId="77777777" w:rsidR="00885869" w:rsidRDefault="00885869">
      <w:pPr>
        <w:jc w:val="both"/>
        <w:rPr>
          <w:rFonts w:ascii="Arial" w:hAnsi="Arial"/>
          <w:sz w:val="24"/>
        </w:rPr>
      </w:pPr>
    </w:p>
    <w:p w14:paraId="4499887C" w14:textId="77777777" w:rsidR="00885869" w:rsidRDefault="00885869">
      <w:pPr>
        <w:jc w:val="both"/>
        <w:rPr>
          <w:rFonts w:ascii="Arial" w:hAnsi="Arial"/>
          <w:sz w:val="24"/>
        </w:rPr>
      </w:pPr>
      <w:r>
        <w:rPr>
          <w:rFonts w:ascii="Arial" w:hAnsi="Arial"/>
          <w:sz w:val="24"/>
        </w:rPr>
        <w:lastRenderedPageBreak/>
        <w:t xml:space="preserve">The forms in this information collection will display the OMB Control Number and the date on which OMB’s approval of this information collection expires. </w:t>
      </w:r>
    </w:p>
    <w:p w14:paraId="4499887D" w14:textId="77777777" w:rsidR="00EF2CB4" w:rsidRDefault="00EF2CB4">
      <w:pPr>
        <w:jc w:val="both"/>
        <w:rPr>
          <w:rFonts w:ascii="Arial" w:hAnsi="Arial"/>
          <w:sz w:val="24"/>
        </w:rPr>
      </w:pPr>
    </w:p>
    <w:p w14:paraId="4499887E" w14:textId="77777777" w:rsidR="00885869" w:rsidRDefault="00885869">
      <w:pPr>
        <w:jc w:val="both"/>
        <w:rPr>
          <w:rFonts w:ascii="Arial" w:hAnsi="Arial"/>
          <w:b/>
          <w:sz w:val="24"/>
        </w:rPr>
      </w:pPr>
      <w:r w:rsidRPr="007736EC">
        <w:rPr>
          <w:rFonts w:ascii="Arial" w:hAnsi="Arial"/>
          <w:b/>
          <w:sz w:val="24"/>
        </w:rPr>
        <w:t>18.</w:t>
      </w:r>
      <w:r w:rsidRPr="007736EC">
        <w:rPr>
          <w:rFonts w:ascii="Arial" w:hAnsi="Arial"/>
          <w:b/>
          <w:sz w:val="24"/>
        </w:rPr>
        <w:tab/>
        <w:t>Exception to the Certificate Statement</w:t>
      </w:r>
    </w:p>
    <w:p w14:paraId="4499887F" w14:textId="77777777" w:rsidR="00885869" w:rsidRDefault="00885869">
      <w:pPr>
        <w:jc w:val="both"/>
        <w:rPr>
          <w:rFonts w:ascii="Arial" w:hAnsi="Arial"/>
          <w:sz w:val="24"/>
        </w:rPr>
      </w:pPr>
    </w:p>
    <w:p w14:paraId="44998880" w14:textId="77777777" w:rsidR="00885869" w:rsidRDefault="00885869">
      <w:pPr>
        <w:jc w:val="both"/>
        <w:rPr>
          <w:rFonts w:ascii="Arial" w:hAnsi="Arial"/>
          <w:sz w:val="24"/>
        </w:rPr>
      </w:pPr>
      <w:r>
        <w:rPr>
          <w:rFonts w:ascii="Arial" w:hAnsi="Arial"/>
          <w:sz w:val="24"/>
        </w:rPr>
        <w:t>This collection of information does not include any exceptions to the certificate statement.</w:t>
      </w:r>
    </w:p>
    <w:p w14:paraId="44998881" w14:textId="77777777" w:rsidR="00885869" w:rsidRDefault="00885869">
      <w:pPr>
        <w:jc w:val="both"/>
        <w:rPr>
          <w:rFonts w:ascii="Arial" w:hAnsi="Arial"/>
          <w:sz w:val="24"/>
        </w:rPr>
      </w:pPr>
    </w:p>
    <w:p w14:paraId="44998882" w14:textId="77777777" w:rsidR="00885869" w:rsidRDefault="00885869">
      <w:pPr>
        <w:pStyle w:val="Heading1"/>
        <w:tabs>
          <w:tab w:val="clear" w:pos="720"/>
        </w:tabs>
      </w:pPr>
      <w:r w:rsidRPr="007736EC">
        <w:t>B.</w:t>
      </w:r>
      <w:r w:rsidRPr="007736EC">
        <w:tab/>
        <w:t>COLLECTIONS OF INFORMATION EMPLOYING STATISTICAL METHODS</w:t>
      </w:r>
    </w:p>
    <w:p w14:paraId="44998883" w14:textId="77777777" w:rsidR="00885869" w:rsidRDefault="00885869">
      <w:pPr>
        <w:jc w:val="both"/>
        <w:rPr>
          <w:rFonts w:ascii="Arial" w:hAnsi="Arial"/>
          <w:sz w:val="24"/>
        </w:rPr>
      </w:pPr>
    </w:p>
    <w:p w14:paraId="44998884" w14:textId="77777777" w:rsidR="00A246CA" w:rsidRDefault="00885869" w:rsidP="00D14030">
      <w:pPr>
        <w:jc w:val="both"/>
        <w:rPr>
          <w:sz w:val="22"/>
        </w:rPr>
      </w:pPr>
      <w:r>
        <w:rPr>
          <w:rFonts w:ascii="Arial" w:hAnsi="Arial"/>
          <w:sz w:val="24"/>
        </w:rPr>
        <w:t>This collection of information does not employ statistical methods.</w:t>
      </w:r>
    </w:p>
    <w:sectPr w:rsidR="00A246CA">
      <w:footerReference w:type="even" r:id="rId12"/>
      <w:footerReference w:type="default" r:id="rId13"/>
      <w:pgSz w:w="12240" w:h="15840" w:code="1"/>
      <w:pgMar w:top="1440" w:right="1440" w:bottom="1440" w:left="1440"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B82840E" w14:textId="77777777" w:rsidR="0030422F" w:rsidRDefault="0030422F">
      <w:r>
        <w:separator/>
      </w:r>
    </w:p>
  </w:endnote>
  <w:endnote w:type="continuationSeparator" w:id="0">
    <w:p w14:paraId="497D7800" w14:textId="77777777" w:rsidR="0030422F" w:rsidRDefault="003042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4998894" w14:textId="77777777" w:rsidR="00B568F0" w:rsidRDefault="00B568F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22</w:t>
    </w:r>
    <w:r>
      <w:rPr>
        <w:rStyle w:val="PageNumber"/>
      </w:rPr>
      <w:fldChar w:fldCharType="end"/>
    </w:r>
  </w:p>
  <w:p w14:paraId="44998895" w14:textId="77777777" w:rsidR="00B568F0" w:rsidRDefault="00B568F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4998896" w14:textId="77777777" w:rsidR="00B568F0" w:rsidRDefault="00B568F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FA3983">
      <w:rPr>
        <w:rStyle w:val="PageNumber"/>
        <w:noProof/>
      </w:rPr>
      <w:t>2</w:t>
    </w:r>
    <w:r>
      <w:rPr>
        <w:rStyle w:val="PageNumber"/>
      </w:rPr>
      <w:fldChar w:fldCharType="end"/>
    </w:r>
  </w:p>
  <w:p w14:paraId="44998897" w14:textId="77777777" w:rsidR="00B568F0" w:rsidRDefault="00B568F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856CB2F" w14:textId="77777777" w:rsidR="0030422F" w:rsidRDefault="0030422F">
      <w:r>
        <w:separator/>
      </w:r>
    </w:p>
  </w:footnote>
  <w:footnote w:type="continuationSeparator" w:id="0">
    <w:p w14:paraId="4B6E2C5C" w14:textId="77777777" w:rsidR="0030422F" w:rsidRDefault="0030422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0A6CDC"/>
    <w:multiLevelType w:val="hybridMultilevel"/>
    <w:tmpl w:val="06EAA21C"/>
    <w:lvl w:ilvl="0" w:tplc="E0FCC3CC">
      <w:numFmt w:val="bullet"/>
      <w:lvlText w:val="-"/>
      <w:lvlJc w:val="left"/>
      <w:pPr>
        <w:tabs>
          <w:tab w:val="num" w:pos="1440"/>
        </w:tabs>
        <w:ind w:left="144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D4116A5"/>
    <w:multiLevelType w:val="multilevel"/>
    <w:tmpl w:val="06EAA21C"/>
    <w:lvl w:ilvl="0">
      <w:numFmt w:val="bullet"/>
      <w:lvlText w:val="-"/>
      <w:lvlJc w:val="left"/>
      <w:pPr>
        <w:tabs>
          <w:tab w:val="num" w:pos="1440"/>
        </w:tabs>
        <w:ind w:left="1440" w:hanging="360"/>
      </w:pPr>
      <w:rPr>
        <w:rFonts w:ascii="Times New Roman" w:eastAsia="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nsid w:val="0DB03AFA"/>
    <w:multiLevelType w:val="hybridMultilevel"/>
    <w:tmpl w:val="783C0C7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nsid w:val="13030A7B"/>
    <w:multiLevelType w:val="hybridMultilevel"/>
    <w:tmpl w:val="A8205B1E"/>
    <w:lvl w:ilvl="0" w:tplc="E0FCC3C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8CC4BD4"/>
    <w:multiLevelType w:val="singleLevel"/>
    <w:tmpl w:val="04090001"/>
    <w:lvl w:ilvl="0">
      <w:start w:val="1"/>
      <w:numFmt w:val="bullet"/>
      <w:lvlText w:val=""/>
      <w:lvlJc w:val="left"/>
      <w:pPr>
        <w:ind w:left="720" w:hanging="360"/>
      </w:pPr>
      <w:rPr>
        <w:rFonts w:ascii="Symbol" w:hAnsi="Symbol" w:hint="default"/>
      </w:rPr>
    </w:lvl>
  </w:abstractNum>
  <w:abstractNum w:abstractNumId="5">
    <w:nsid w:val="2B5E63ED"/>
    <w:multiLevelType w:val="hybridMultilevel"/>
    <w:tmpl w:val="EA706114"/>
    <w:lvl w:ilvl="0" w:tplc="E0FCC3CC">
      <w:numFmt w:val="bullet"/>
      <w:lvlText w:val="-"/>
      <w:lvlJc w:val="left"/>
      <w:pPr>
        <w:ind w:left="720" w:hanging="360"/>
      </w:pPr>
      <w:rPr>
        <w:rFonts w:ascii="Times New Roman" w:eastAsia="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BE51A53"/>
    <w:multiLevelType w:val="hybridMultilevel"/>
    <w:tmpl w:val="50E6F53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
    <w:nsid w:val="2F0040B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nsid w:val="379B63A5"/>
    <w:multiLevelType w:val="hybridMultilevel"/>
    <w:tmpl w:val="91749A06"/>
    <w:lvl w:ilvl="0" w:tplc="C6BCD414">
      <w:start w:val="2"/>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nsid w:val="3DF80824"/>
    <w:multiLevelType w:val="hybridMultilevel"/>
    <w:tmpl w:val="E5A23CE4"/>
    <w:lvl w:ilvl="0" w:tplc="290E77DE">
      <w:start w:val="8"/>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0">
    <w:nsid w:val="3E742FA9"/>
    <w:multiLevelType w:val="hybridMultilevel"/>
    <w:tmpl w:val="3E0C9F94"/>
    <w:lvl w:ilvl="0" w:tplc="E0FCC3C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6712C18"/>
    <w:multiLevelType w:val="multilevel"/>
    <w:tmpl w:val="A56EEBD2"/>
    <w:lvl w:ilvl="0">
      <w:start w:val="1"/>
      <w:numFmt w:val="bullet"/>
      <w:lvlText w:val=""/>
      <w:lvlJc w:val="left"/>
      <w:pPr>
        <w:tabs>
          <w:tab w:val="num" w:pos="720"/>
        </w:tabs>
        <w:ind w:left="720" w:hanging="360"/>
      </w:pPr>
      <w:rPr>
        <w:rFonts w:ascii="Symbol" w:hAnsi="Symbol" w:hint="default"/>
      </w:rPr>
    </w:lvl>
    <w:lvl w:ilvl="1">
      <w:numFmt w:val="bullet"/>
      <w:lvlText w:val="-"/>
      <w:lvlJc w:val="left"/>
      <w:pPr>
        <w:tabs>
          <w:tab w:val="num" w:pos="1440"/>
        </w:tabs>
        <w:ind w:left="1440" w:hanging="360"/>
      </w:pPr>
      <w:rPr>
        <w:rFonts w:ascii="Times New Roman" w:eastAsia="Times New Roman" w:hAnsi="Times New Roman" w:cs="Times New Roman"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nsid w:val="47721C0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nsid w:val="47AF3DE6"/>
    <w:multiLevelType w:val="hybridMultilevel"/>
    <w:tmpl w:val="A3E4EFB0"/>
    <w:lvl w:ilvl="0" w:tplc="04090001">
      <w:start w:val="1"/>
      <w:numFmt w:val="bullet"/>
      <w:lvlText w:val=""/>
      <w:lvlJc w:val="left"/>
      <w:pPr>
        <w:tabs>
          <w:tab w:val="num" w:pos="720"/>
        </w:tabs>
        <w:ind w:left="720" w:hanging="360"/>
      </w:pPr>
      <w:rPr>
        <w:rFonts w:ascii="Symbol" w:hAnsi="Symbol" w:hint="default"/>
      </w:rPr>
    </w:lvl>
    <w:lvl w:ilvl="1" w:tplc="E0FCC3CC">
      <w:numFmt w:val="bullet"/>
      <w:lvlText w:val="-"/>
      <w:lvlJc w:val="left"/>
      <w:pPr>
        <w:tabs>
          <w:tab w:val="num" w:pos="1440"/>
        </w:tabs>
        <w:ind w:left="1440" w:hanging="360"/>
      </w:pPr>
      <w:rPr>
        <w:rFonts w:ascii="Times New Roman" w:eastAsia="Times New Roman" w:hAnsi="Times New Roman"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4A7B214C"/>
    <w:multiLevelType w:val="hybridMultilevel"/>
    <w:tmpl w:val="3BF6A698"/>
    <w:lvl w:ilvl="0" w:tplc="04090001">
      <w:start w:val="1"/>
      <w:numFmt w:val="bullet"/>
      <w:lvlText w:val=""/>
      <w:lvlJc w:val="left"/>
      <w:pPr>
        <w:tabs>
          <w:tab w:val="num" w:pos="360"/>
        </w:tabs>
        <w:ind w:left="360" w:hanging="360"/>
      </w:pPr>
      <w:rPr>
        <w:rFonts w:ascii="Symbol" w:hAnsi="Symbol" w:hint="default"/>
      </w:rPr>
    </w:lvl>
    <w:lvl w:ilvl="1" w:tplc="0409000F">
      <w:start w:val="1"/>
      <w:numFmt w:val="decimal"/>
      <w:lvlText w:val="%2."/>
      <w:lvlJc w:val="left"/>
      <w:pPr>
        <w:tabs>
          <w:tab w:val="num" w:pos="1080"/>
        </w:tabs>
        <w:ind w:left="1080" w:hanging="360"/>
      </w:p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5">
    <w:nsid w:val="524315F9"/>
    <w:multiLevelType w:val="hybridMultilevel"/>
    <w:tmpl w:val="59823DA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6">
    <w:nsid w:val="52472F5C"/>
    <w:multiLevelType w:val="hybridMultilevel"/>
    <w:tmpl w:val="580635A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7">
    <w:nsid w:val="59D04395"/>
    <w:multiLevelType w:val="hybridMultilevel"/>
    <w:tmpl w:val="011CD6B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8">
    <w:nsid w:val="63701D0E"/>
    <w:multiLevelType w:val="hybridMultilevel"/>
    <w:tmpl w:val="925A111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6C2B079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0">
    <w:nsid w:val="7002514A"/>
    <w:multiLevelType w:val="hybridMultilevel"/>
    <w:tmpl w:val="9006A356"/>
    <w:lvl w:ilvl="0" w:tplc="04090001">
      <w:start w:val="1"/>
      <w:numFmt w:val="bullet"/>
      <w:lvlText w:val=""/>
      <w:lvlJc w:val="left"/>
      <w:pPr>
        <w:tabs>
          <w:tab w:val="num" w:pos="720"/>
        </w:tabs>
        <w:ind w:left="720" w:hanging="360"/>
      </w:pPr>
      <w:rPr>
        <w:rFonts w:ascii="Symbol" w:hAnsi="Symbol" w:hint="default"/>
      </w:rPr>
    </w:lvl>
    <w:lvl w:ilvl="1" w:tplc="E0FCC3CC">
      <w:numFmt w:val="bullet"/>
      <w:lvlText w:val="-"/>
      <w:lvlJc w:val="left"/>
      <w:pPr>
        <w:tabs>
          <w:tab w:val="num" w:pos="360"/>
        </w:tabs>
        <w:ind w:left="360" w:hanging="360"/>
      </w:pPr>
      <w:rPr>
        <w:rFonts w:ascii="Times New Roman" w:eastAsia="Times New Roman" w:hAnsi="Times New Roman"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72532742"/>
    <w:multiLevelType w:val="hybridMultilevel"/>
    <w:tmpl w:val="0DA2859E"/>
    <w:lvl w:ilvl="0" w:tplc="003AF1A6">
      <w:start w:val="1"/>
      <w:numFmt w:val="upp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7CFB0C53"/>
    <w:multiLevelType w:val="hybridMultilevel"/>
    <w:tmpl w:val="FEC693F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3">
    <w:nsid w:val="7E9B5CC8"/>
    <w:multiLevelType w:val="singleLevel"/>
    <w:tmpl w:val="04090001"/>
    <w:lvl w:ilvl="0">
      <w:start w:val="1"/>
      <w:numFmt w:val="bullet"/>
      <w:lvlText w:val=""/>
      <w:lvlJc w:val="left"/>
      <w:pPr>
        <w:ind w:left="720" w:hanging="360"/>
      </w:pPr>
      <w:rPr>
        <w:rFonts w:ascii="Symbol" w:hAnsi="Symbol" w:hint="default"/>
      </w:rPr>
    </w:lvl>
  </w:abstractNum>
  <w:num w:numId="1">
    <w:abstractNumId w:val="4"/>
  </w:num>
  <w:num w:numId="2">
    <w:abstractNumId w:val="19"/>
  </w:num>
  <w:num w:numId="3">
    <w:abstractNumId w:val="12"/>
  </w:num>
  <w:num w:numId="4">
    <w:abstractNumId w:val="7"/>
  </w:num>
  <w:num w:numId="5">
    <w:abstractNumId w:val="23"/>
  </w:num>
  <w:num w:numId="6">
    <w:abstractNumId w:val="20"/>
  </w:num>
  <w:num w:numId="7">
    <w:abstractNumId w:val="22"/>
  </w:num>
  <w:num w:numId="8">
    <w:abstractNumId w:val="6"/>
  </w:num>
  <w:num w:numId="9">
    <w:abstractNumId w:val="16"/>
  </w:num>
  <w:num w:numId="10">
    <w:abstractNumId w:val="2"/>
  </w:num>
  <w:num w:numId="11">
    <w:abstractNumId w:val="17"/>
  </w:num>
  <w:num w:numId="12">
    <w:abstractNumId w:val="15"/>
  </w:num>
  <w:num w:numId="13">
    <w:abstractNumId w:val="14"/>
  </w:num>
  <w:num w:numId="14">
    <w:abstractNumId w:val="21"/>
  </w:num>
  <w:num w:numId="15">
    <w:abstractNumId w:val="9"/>
  </w:num>
  <w:num w:numId="16">
    <w:abstractNumId w:val="8"/>
  </w:num>
  <w:num w:numId="17">
    <w:abstractNumId w:val="11"/>
  </w:num>
  <w:num w:numId="18">
    <w:abstractNumId w:val="13"/>
  </w:num>
  <w:num w:numId="19">
    <w:abstractNumId w:val="0"/>
  </w:num>
  <w:num w:numId="20">
    <w:abstractNumId w:val="1"/>
  </w:num>
  <w:num w:numId="21">
    <w:abstractNumId w:val="18"/>
  </w:num>
  <w:num w:numId="22">
    <w:abstractNumId w:val="10"/>
  </w:num>
  <w:num w:numId="23">
    <w:abstractNumId w:val="3"/>
  </w:num>
  <w:num w:numId="24">
    <w:abstractNumId w:val="5"/>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0FAA"/>
    <w:rsid w:val="000013EB"/>
    <w:rsid w:val="00003F07"/>
    <w:rsid w:val="00006E82"/>
    <w:rsid w:val="00011207"/>
    <w:rsid w:val="000117FF"/>
    <w:rsid w:val="00017D3D"/>
    <w:rsid w:val="00020A1F"/>
    <w:rsid w:val="00032FE1"/>
    <w:rsid w:val="000369AB"/>
    <w:rsid w:val="00037E46"/>
    <w:rsid w:val="00041744"/>
    <w:rsid w:val="000430A2"/>
    <w:rsid w:val="00043ECE"/>
    <w:rsid w:val="00056FAF"/>
    <w:rsid w:val="00060620"/>
    <w:rsid w:val="00060E33"/>
    <w:rsid w:val="0006489E"/>
    <w:rsid w:val="00073EFC"/>
    <w:rsid w:val="00074FE3"/>
    <w:rsid w:val="00075DB9"/>
    <w:rsid w:val="00085F5B"/>
    <w:rsid w:val="0008606B"/>
    <w:rsid w:val="00086808"/>
    <w:rsid w:val="0009360A"/>
    <w:rsid w:val="00093883"/>
    <w:rsid w:val="000A0FE1"/>
    <w:rsid w:val="000A2C09"/>
    <w:rsid w:val="000A593D"/>
    <w:rsid w:val="000A620F"/>
    <w:rsid w:val="000C136F"/>
    <w:rsid w:val="000C1BBC"/>
    <w:rsid w:val="000C5C28"/>
    <w:rsid w:val="000E0773"/>
    <w:rsid w:val="000E0CA2"/>
    <w:rsid w:val="000E271E"/>
    <w:rsid w:val="000E3849"/>
    <w:rsid w:val="000F5E70"/>
    <w:rsid w:val="00100ED4"/>
    <w:rsid w:val="001061F1"/>
    <w:rsid w:val="0010650D"/>
    <w:rsid w:val="001105F1"/>
    <w:rsid w:val="00120BC7"/>
    <w:rsid w:val="00122303"/>
    <w:rsid w:val="00126563"/>
    <w:rsid w:val="00130EAB"/>
    <w:rsid w:val="00143CA4"/>
    <w:rsid w:val="00144C08"/>
    <w:rsid w:val="00145CD3"/>
    <w:rsid w:val="00146F2C"/>
    <w:rsid w:val="00153082"/>
    <w:rsid w:val="00153A76"/>
    <w:rsid w:val="001610FB"/>
    <w:rsid w:val="00165EE7"/>
    <w:rsid w:val="001733C2"/>
    <w:rsid w:val="001736E8"/>
    <w:rsid w:val="00176900"/>
    <w:rsid w:val="00184041"/>
    <w:rsid w:val="00187DF4"/>
    <w:rsid w:val="00194540"/>
    <w:rsid w:val="00195412"/>
    <w:rsid w:val="001974C7"/>
    <w:rsid w:val="001A794A"/>
    <w:rsid w:val="001B0FAA"/>
    <w:rsid w:val="001C24A8"/>
    <w:rsid w:val="001C3244"/>
    <w:rsid w:val="001C56AB"/>
    <w:rsid w:val="001C794B"/>
    <w:rsid w:val="001D4FF5"/>
    <w:rsid w:val="001E3143"/>
    <w:rsid w:val="001F0130"/>
    <w:rsid w:val="0020096E"/>
    <w:rsid w:val="0020388A"/>
    <w:rsid w:val="0021385A"/>
    <w:rsid w:val="00214719"/>
    <w:rsid w:val="00215370"/>
    <w:rsid w:val="00216767"/>
    <w:rsid w:val="00221465"/>
    <w:rsid w:val="002270CD"/>
    <w:rsid w:val="00227FFE"/>
    <w:rsid w:val="00236126"/>
    <w:rsid w:val="00243A3D"/>
    <w:rsid w:val="00247589"/>
    <w:rsid w:val="00251035"/>
    <w:rsid w:val="00251555"/>
    <w:rsid w:val="002540A1"/>
    <w:rsid w:val="002623C0"/>
    <w:rsid w:val="00263C98"/>
    <w:rsid w:val="00264F9D"/>
    <w:rsid w:val="00270D90"/>
    <w:rsid w:val="0028433E"/>
    <w:rsid w:val="00292819"/>
    <w:rsid w:val="00293ADD"/>
    <w:rsid w:val="002A1C4F"/>
    <w:rsid w:val="002A57EB"/>
    <w:rsid w:val="002B063D"/>
    <w:rsid w:val="002B69A5"/>
    <w:rsid w:val="002C3541"/>
    <w:rsid w:val="002C7754"/>
    <w:rsid w:val="002D075B"/>
    <w:rsid w:val="002D12E6"/>
    <w:rsid w:val="002D4C96"/>
    <w:rsid w:val="002D6421"/>
    <w:rsid w:val="002E1F63"/>
    <w:rsid w:val="002E29BA"/>
    <w:rsid w:val="002F398B"/>
    <w:rsid w:val="0030017A"/>
    <w:rsid w:val="0030282B"/>
    <w:rsid w:val="0030422F"/>
    <w:rsid w:val="003065DB"/>
    <w:rsid w:val="003068C2"/>
    <w:rsid w:val="00307D39"/>
    <w:rsid w:val="003177E7"/>
    <w:rsid w:val="00322E81"/>
    <w:rsid w:val="00324B48"/>
    <w:rsid w:val="0032772C"/>
    <w:rsid w:val="00336042"/>
    <w:rsid w:val="00337519"/>
    <w:rsid w:val="00352A91"/>
    <w:rsid w:val="00353B61"/>
    <w:rsid w:val="0035623A"/>
    <w:rsid w:val="00356408"/>
    <w:rsid w:val="00357034"/>
    <w:rsid w:val="00357A54"/>
    <w:rsid w:val="003611F7"/>
    <w:rsid w:val="00366B78"/>
    <w:rsid w:val="00366F2D"/>
    <w:rsid w:val="00382373"/>
    <w:rsid w:val="00385B41"/>
    <w:rsid w:val="00393496"/>
    <w:rsid w:val="003A16D9"/>
    <w:rsid w:val="003A1917"/>
    <w:rsid w:val="003A1D16"/>
    <w:rsid w:val="003A48BC"/>
    <w:rsid w:val="003B08D9"/>
    <w:rsid w:val="003C3521"/>
    <w:rsid w:val="003D5271"/>
    <w:rsid w:val="003D544E"/>
    <w:rsid w:val="003E5456"/>
    <w:rsid w:val="00400A96"/>
    <w:rsid w:val="00400C05"/>
    <w:rsid w:val="00401D30"/>
    <w:rsid w:val="00407CB2"/>
    <w:rsid w:val="00422DBD"/>
    <w:rsid w:val="00425396"/>
    <w:rsid w:val="00440B44"/>
    <w:rsid w:val="00451966"/>
    <w:rsid w:val="0045492A"/>
    <w:rsid w:val="004620B5"/>
    <w:rsid w:val="00463D14"/>
    <w:rsid w:val="004674B6"/>
    <w:rsid w:val="00474338"/>
    <w:rsid w:val="00481FBB"/>
    <w:rsid w:val="00492010"/>
    <w:rsid w:val="00496A51"/>
    <w:rsid w:val="004B0807"/>
    <w:rsid w:val="004C14FF"/>
    <w:rsid w:val="004C4245"/>
    <w:rsid w:val="004C64AE"/>
    <w:rsid w:val="004D12A6"/>
    <w:rsid w:val="004D62AE"/>
    <w:rsid w:val="005004DD"/>
    <w:rsid w:val="00505EAE"/>
    <w:rsid w:val="00506BB0"/>
    <w:rsid w:val="00513266"/>
    <w:rsid w:val="0051631D"/>
    <w:rsid w:val="0051686C"/>
    <w:rsid w:val="00517749"/>
    <w:rsid w:val="00527FCA"/>
    <w:rsid w:val="005418E3"/>
    <w:rsid w:val="005420E9"/>
    <w:rsid w:val="00546947"/>
    <w:rsid w:val="00546C2F"/>
    <w:rsid w:val="00552F8A"/>
    <w:rsid w:val="00556BDD"/>
    <w:rsid w:val="00557067"/>
    <w:rsid w:val="005710FA"/>
    <w:rsid w:val="00573DF1"/>
    <w:rsid w:val="00575340"/>
    <w:rsid w:val="00575C8C"/>
    <w:rsid w:val="00577790"/>
    <w:rsid w:val="00591788"/>
    <w:rsid w:val="00594252"/>
    <w:rsid w:val="005A6DF3"/>
    <w:rsid w:val="005B0F6D"/>
    <w:rsid w:val="005B3304"/>
    <w:rsid w:val="005B5809"/>
    <w:rsid w:val="005C2E39"/>
    <w:rsid w:val="005C3189"/>
    <w:rsid w:val="005C532E"/>
    <w:rsid w:val="005D3BDF"/>
    <w:rsid w:val="005D6741"/>
    <w:rsid w:val="005E2B0A"/>
    <w:rsid w:val="005E3A18"/>
    <w:rsid w:val="005F2AFA"/>
    <w:rsid w:val="005F3605"/>
    <w:rsid w:val="005F6129"/>
    <w:rsid w:val="006021E3"/>
    <w:rsid w:val="00616DE7"/>
    <w:rsid w:val="006252E3"/>
    <w:rsid w:val="00630EDF"/>
    <w:rsid w:val="00634D6C"/>
    <w:rsid w:val="0063575F"/>
    <w:rsid w:val="00637D94"/>
    <w:rsid w:val="0065172F"/>
    <w:rsid w:val="006539A5"/>
    <w:rsid w:val="0065764B"/>
    <w:rsid w:val="00667229"/>
    <w:rsid w:val="006773D0"/>
    <w:rsid w:val="00680E3C"/>
    <w:rsid w:val="00681CA6"/>
    <w:rsid w:val="006827F0"/>
    <w:rsid w:val="00684536"/>
    <w:rsid w:val="00684569"/>
    <w:rsid w:val="006A2941"/>
    <w:rsid w:val="006A29A9"/>
    <w:rsid w:val="006A37BA"/>
    <w:rsid w:val="006A3EFE"/>
    <w:rsid w:val="006A5B6E"/>
    <w:rsid w:val="006A7893"/>
    <w:rsid w:val="006B1AF1"/>
    <w:rsid w:val="006B3D35"/>
    <w:rsid w:val="006B7F0C"/>
    <w:rsid w:val="006C47B0"/>
    <w:rsid w:val="006C76AC"/>
    <w:rsid w:val="006F5F67"/>
    <w:rsid w:val="006F6161"/>
    <w:rsid w:val="006F6D7E"/>
    <w:rsid w:val="00703126"/>
    <w:rsid w:val="00704903"/>
    <w:rsid w:val="00707C4D"/>
    <w:rsid w:val="00717194"/>
    <w:rsid w:val="00720AB1"/>
    <w:rsid w:val="0072599C"/>
    <w:rsid w:val="00725D3F"/>
    <w:rsid w:val="00732CD7"/>
    <w:rsid w:val="007356EF"/>
    <w:rsid w:val="00741EBC"/>
    <w:rsid w:val="00746F85"/>
    <w:rsid w:val="0074745C"/>
    <w:rsid w:val="00755A5B"/>
    <w:rsid w:val="007574AC"/>
    <w:rsid w:val="00760426"/>
    <w:rsid w:val="007632D5"/>
    <w:rsid w:val="00763BDD"/>
    <w:rsid w:val="00766CE8"/>
    <w:rsid w:val="007705CD"/>
    <w:rsid w:val="0077228E"/>
    <w:rsid w:val="007736EC"/>
    <w:rsid w:val="00783388"/>
    <w:rsid w:val="00783DE3"/>
    <w:rsid w:val="007935DF"/>
    <w:rsid w:val="0079477C"/>
    <w:rsid w:val="0079497D"/>
    <w:rsid w:val="007A7189"/>
    <w:rsid w:val="007B596C"/>
    <w:rsid w:val="007C2C0D"/>
    <w:rsid w:val="007C2D18"/>
    <w:rsid w:val="007D07E9"/>
    <w:rsid w:val="007D193C"/>
    <w:rsid w:val="007D359D"/>
    <w:rsid w:val="007D364A"/>
    <w:rsid w:val="007D59CA"/>
    <w:rsid w:val="007F53E4"/>
    <w:rsid w:val="007F683B"/>
    <w:rsid w:val="00806A4D"/>
    <w:rsid w:val="00810D69"/>
    <w:rsid w:val="00811985"/>
    <w:rsid w:val="00813D06"/>
    <w:rsid w:val="00821DE3"/>
    <w:rsid w:val="00821E20"/>
    <w:rsid w:val="0082622D"/>
    <w:rsid w:val="008362C8"/>
    <w:rsid w:val="00840551"/>
    <w:rsid w:val="00843E9B"/>
    <w:rsid w:val="0085629D"/>
    <w:rsid w:val="00861B8E"/>
    <w:rsid w:val="00862A03"/>
    <w:rsid w:val="00871441"/>
    <w:rsid w:val="00873AA9"/>
    <w:rsid w:val="008806F2"/>
    <w:rsid w:val="00882563"/>
    <w:rsid w:val="00885869"/>
    <w:rsid w:val="0089197D"/>
    <w:rsid w:val="008A4CFA"/>
    <w:rsid w:val="008B025F"/>
    <w:rsid w:val="008B2A62"/>
    <w:rsid w:val="008B38F6"/>
    <w:rsid w:val="008B5D6C"/>
    <w:rsid w:val="008B60DF"/>
    <w:rsid w:val="008B6852"/>
    <w:rsid w:val="008B766D"/>
    <w:rsid w:val="008C7990"/>
    <w:rsid w:val="008D20D1"/>
    <w:rsid w:val="008D3FC1"/>
    <w:rsid w:val="008F263C"/>
    <w:rsid w:val="008F6FB7"/>
    <w:rsid w:val="00903F6F"/>
    <w:rsid w:val="00904302"/>
    <w:rsid w:val="00905A89"/>
    <w:rsid w:val="0091036C"/>
    <w:rsid w:val="00916005"/>
    <w:rsid w:val="00917B1F"/>
    <w:rsid w:val="00921B6B"/>
    <w:rsid w:val="0093194E"/>
    <w:rsid w:val="009347FB"/>
    <w:rsid w:val="00937048"/>
    <w:rsid w:val="009370F5"/>
    <w:rsid w:val="00942FFC"/>
    <w:rsid w:val="00950938"/>
    <w:rsid w:val="009528A7"/>
    <w:rsid w:val="00954B2D"/>
    <w:rsid w:val="00955526"/>
    <w:rsid w:val="00967080"/>
    <w:rsid w:val="00972D32"/>
    <w:rsid w:val="0097596E"/>
    <w:rsid w:val="0098437A"/>
    <w:rsid w:val="00984389"/>
    <w:rsid w:val="00997982"/>
    <w:rsid w:val="009A4BBA"/>
    <w:rsid w:val="009B1657"/>
    <w:rsid w:val="009B1A33"/>
    <w:rsid w:val="009C0A24"/>
    <w:rsid w:val="009D20A4"/>
    <w:rsid w:val="009E2CBD"/>
    <w:rsid w:val="009E4FEC"/>
    <w:rsid w:val="009E782E"/>
    <w:rsid w:val="009F0CDA"/>
    <w:rsid w:val="009F198D"/>
    <w:rsid w:val="009F708D"/>
    <w:rsid w:val="00A0035C"/>
    <w:rsid w:val="00A2054F"/>
    <w:rsid w:val="00A246CA"/>
    <w:rsid w:val="00A305C9"/>
    <w:rsid w:val="00A33D88"/>
    <w:rsid w:val="00A34595"/>
    <w:rsid w:val="00A36FDD"/>
    <w:rsid w:val="00A4129D"/>
    <w:rsid w:val="00A41520"/>
    <w:rsid w:val="00A443B0"/>
    <w:rsid w:val="00A473FE"/>
    <w:rsid w:val="00A53C46"/>
    <w:rsid w:val="00A55E7E"/>
    <w:rsid w:val="00A562BC"/>
    <w:rsid w:val="00A563DB"/>
    <w:rsid w:val="00A62E02"/>
    <w:rsid w:val="00A64274"/>
    <w:rsid w:val="00A64300"/>
    <w:rsid w:val="00A66D4B"/>
    <w:rsid w:val="00A7275C"/>
    <w:rsid w:val="00A7470F"/>
    <w:rsid w:val="00A75CA7"/>
    <w:rsid w:val="00A80291"/>
    <w:rsid w:val="00A82BBA"/>
    <w:rsid w:val="00A83D02"/>
    <w:rsid w:val="00A90077"/>
    <w:rsid w:val="00A91A37"/>
    <w:rsid w:val="00A947F2"/>
    <w:rsid w:val="00AA3ED5"/>
    <w:rsid w:val="00AB4A66"/>
    <w:rsid w:val="00AC3023"/>
    <w:rsid w:val="00AC4463"/>
    <w:rsid w:val="00AC4E25"/>
    <w:rsid w:val="00AD0CAF"/>
    <w:rsid w:val="00AD154F"/>
    <w:rsid w:val="00AD7429"/>
    <w:rsid w:val="00AE0516"/>
    <w:rsid w:val="00AE51CB"/>
    <w:rsid w:val="00AE720B"/>
    <w:rsid w:val="00AF02DA"/>
    <w:rsid w:val="00AF5642"/>
    <w:rsid w:val="00B06F84"/>
    <w:rsid w:val="00B1765F"/>
    <w:rsid w:val="00B2473A"/>
    <w:rsid w:val="00B316F4"/>
    <w:rsid w:val="00B33303"/>
    <w:rsid w:val="00B43498"/>
    <w:rsid w:val="00B437C3"/>
    <w:rsid w:val="00B43C15"/>
    <w:rsid w:val="00B43C53"/>
    <w:rsid w:val="00B568F0"/>
    <w:rsid w:val="00B618B3"/>
    <w:rsid w:val="00B72FAB"/>
    <w:rsid w:val="00B77E13"/>
    <w:rsid w:val="00B77F3A"/>
    <w:rsid w:val="00B8186C"/>
    <w:rsid w:val="00B83D8F"/>
    <w:rsid w:val="00B8675A"/>
    <w:rsid w:val="00B91DC1"/>
    <w:rsid w:val="00BA42B8"/>
    <w:rsid w:val="00BA5AAB"/>
    <w:rsid w:val="00BB6E82"/>
    <w:rsid w:val="00BC49BC"/>
    <w:rsid w:val="00BC6A9D"/>
    <w:rsid w:val="00BD0E6B"/>
    <w:rsid w:val="00BD37B7"/>
    <w:rsid w:val="00BD6E45"/>
    <w:rsid w:val="00BE4DEF"/>
    <w:rsid w:val="00BE501C"/>
    <w:rsid w:val="00BF272A"/>
    <w:rsid w:val="00C2046C"/>
    <w:rsid w:val="00C2564C"/>
    <w:rsid w:val="00C31964"/>
    <w:rsid w:val="00C37822"/>
    <w:rsid w:val="00C41115"/>
    <w:rsid w:val="00C419BF"/>
    <w:rsid w:val="00C47602"/>
    <w:rsid w:val="00C514C0"/>
    <w:rsid w:val="00C53C3E"/>
    <w:rsid w:val="00C64BC2"/>
    <w:rsid w:val="00C64F22"/>
    <w:rsid w:val="00C70E6E"/>
    <w:rsid w:val="00C72E86"/>
    <w:rsid w:val="00C731C6"/>
    <w:rsid w:val="00C756F5"/>
    <w:rsid w:val="00C76507"/>
    <w:rsid w:val="00C82218"/>
    <w:rsid w:val="00C82D9E"/>
    <w:rsid w:val="00C848EC"/>
    <w:rsid w:val="00C9253D"/>
    <w:rsid w:val="00C927FC"/>
    <w:rsid w:val="00C9720F"/>
    <w:rsid w:val="00CA231E"/>
    <w:rsid w:val="00CA592D"/>
    <w:rsid w:val="00CB0279"/>
    <w:rsid w:val="00CB502D"/>
    <w:rsid w:val="00CC0741"/>
    <w:rsid w:val="00CC401C"/>
    <w:rsid w:val="00CC4C70"/>
    <w:rsid w:val="00CC7800"/>
    <w:rsid w:val="00CD523E"/>
    <w:rsid w:val="00CD600A"/>
    <w:rsid w:val="00CD7F10"/>
    <w:rsid w:val="00CF0A9F"/>
    <w:rsid w:val="00CF21EC"/>
    <w:rsid w:val="00CF2433"/>
    <w:rsid w:val="00CF514C"/>
    <w:rsid w:val="00CF7BC4"/>
    <w:rsid w:val="00D05266"/>
    <w:rsid w:val="00D06FFE"/>
    <w:rsid w:val="00D14030"/>
    <w:rsid w:val="00D152CF"/>
    <w:rsid w:val="00D15405"/>
    <w:rsid w:val="00D15CCE"/>
    <w:rsid w:val="00D23005"/>
    <w:rsid w:val="00D26216"/>
    <w:rsid w:val="00D3080B"/>
    <w:rsid w:val="00D32B5D"/>
    <w:rsid w:val="00D34A10"/>
    <w:rsid w:val="00D40872"/>
    <w:rsid w:val="00D4147D"/>
    <w:rsid w:val="00D50212"/>
    <w:rsid w:val="00D505BF"/>
    <w:rsid w:val="00D50D74"/>
    <w:rsid w:val="00D57EB1"/>
    <w:rsid w:val="00D60D33"/>
    <w:rsid w:val="00D6160A"/>
    <w:rsid w:val="00D66BF9"/>
    <w:rsid w:val="00D66FCD"/>
    <w:rsid w:val="00D7303A"/>
    <w:rsid w:val="00D75A61"/>
    <w:rsid w:val="00D80116"/>
    <w:rsid w:val="00D84A20"/>
    <w:rsid w:val="00D90086"/>
    <w:rsid w:val="00DA5BEC"/>
    <w:rsid w:val="00DA6AC2"/>
    <w:rsid w:val="00DB11D6"/>
    <w:rsid w:val="00DB1F61"/>
    <w:rsid w:val="00DB2A0C"/>
    <w:rsid w:val="00DB329F"/>
    <w:rsid w:val="00DB374A"/>
    <w:rsid w:val="00DB4288"/>
    <w:rsid w:val="00DB521A"/>
    <w:rsid w:val="00DB556B"/>
    <w:rsid w:val="00DB5DD3"/>
    <w:rsid w:val="00DC3B26"/>
    <w:rsid w:val="00DD48BE"/>
    <w:rsid w:val="00DE1446"/>
    <w:rsid w:val="00DE1F66"/>
    <w:rsid w:val="00DE4168"/>
    <w:rsid w:val="00DE6AB4"/>
    <w:rsid w:val="00DF238D"/>
    <w:rsid w:val="00DF5BA0"/>
    <w:rsid w:val="00DF629A"/>
    <w:rsid w:val="00DF65A6"/>
    <w:rsid w:val="00DF6B36"/>
    <w:rsid w:val="00E06CE9"/>
    <w:rsid w:val="00E150E5"/>
    <w:rsid w:val="00E211F4"/>
    <w:rsid w:val="00E227CE"/>
    <w:rsid w:val="00E2477F"/>
    <w:rsid w:val="00E30F3E"/>
    <w:rsid w:val="00E3209B"/>
    <w:rsid w:val="00E36482"/>
    <w:rsid w:val="00E3702B"/>
    <w:rsid w:val="00E37392"/>
    <w:rsid w:val="00E403FE"/>
    <w:rsid w:val="00E5135A"/>
    <w:rsid w:val="00E5296B"/>
    <w:rsid w:val="00E52EE9"/>
    <w:rsid w:val="00E65F3A"/>
    <w:rsid w:val="00E718B9"/>
    <w:rsid w:val="00E76E3B"/>
    <w:rsid w:val="00E807B3"/>
    <w:rsid w:val="00E82383"/>
    <w:rsid w:val="00E83CDF"/>
    <w:rsid w:val="00E857A5"/>
    <w:rsid w:val="00E94574"/>
    <w:rsid w:val="00E95A76"/>
    <w:rsid w:val="00E961A4"/>
    <w:rsid w:val="00E97B25"/>
    <w:rsid w:val="00EA5BBA"/>
    <w:rsid w:val="00EA7794"/>
    <w:rsid w:val="00EB0B17"/>
    <w:rsid w:val="00EC0949"/>
    <w:rsid w:val="00EC3E23"/>
    <w:rsid w:val="00EE0B4F"/>
    <w:rsid w:val="00EE0B7A"/>
    <w:rsid w:val="00EE1304"/>
    <w:rsid w:val="00EE2BC9"/>
    <w:rsid w:val="00EE4188"/>
    <w:rsid w:val="00EF1F3D"/>
    <w:rsid w:val="00EF2CB4"/>
    <w:rsid w:val="00EF50E0"/>
    <w:rsid w:val="00EF52D8"/>
    <w:rsid w:val="00F049E8"/>
    <w:rsid w:val="00F07FB5"/>
    <w:rsid w:val="00F13C50"/>
    <w:rsid w:val="00F150A7"/>
    <w:rsid w:val="00F15813"/>
    <w:rsid w:val="00F20EEC"/>
    <w:rsid w:val="00F23516"/>
    <w:rsid w:val="00F40824"/>
    <w:rsid w:val="00F410C7"/>
    <w:rsid w:val="00F4209D"/>
    <w:rsid w:val="00F426EE"/>
    <w:rsid w:val="00F45EE1"/>
    <w:rsid w:val="00F55BD5"/>
    <w:rsid w:val="00F625B0"/>
    <w:rsid w:val="00F6439A"/>
    <w:rsid w:val="00F71614"/>
    <w:rsid w:val="00F74C0D"/>
    <w:rsid w:val="00F778F9"/>
    <w:rsid w:val="00F8003D"/>
    <w:rsid w:val="00F80DFE"/>
    <w:rsid w:val="00F84202"/>
    <w:rsid w:val="00F92CA6"/>
    <w:rsid w:val="00F964BD"/>
    <w:rsid w:val="00F96C6C"/>
    <w:rsid w:val="00F96ECF"/>
    <w:rsid w:val="00FA24DF"/>
    <w:rsid w:val="00FA3983"/>
    <w:rsid w:val="00FB2572"/>
    <w:rsid w:val="00FC2558"/>
    <w:rsid w:val="00FC5A46"/>
    <w:rsid w:val="00FC6127"/>
    <w:rsid w:val="00FC6F06"/>
    <w:rsid w:val="00FD1803"/>
    <w:rsid w:val="00FD28A7"/>
    <w:rsid w:val="00FE31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49986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5629D"/>
  </w:style>
  <w:style w:type="paragraph" w:styleId="Heading1">
    <w:name w:val="heading 1"/>
    <w:basedOn w:val="Normal"/>
    <w:next w:val="Normal"/>
    <w:qFormat/>
    <w:pPr>
      <w:keepNext/>
      <w:tabs>
        <w:tab w:val="left" w:pos="720"/>
      </w:tabs>
      <w:jc w:val="both"/>
      <w:outlineLvl w:val="0"/>
    </w:pPr>
    <w:rPr>
      <w:rFonts w:ascii="Arial" w:hAnsi="Arial"/>
      <w:b/>
      <w:sz w:val="24"/>
    </w:rPr>
  </w:style>
  <w:style w:type="paragraph" w:styleId="Heading2">
    <w:name w:val="heading 2"/>
    <w:basedOn w:val="Normal"/>
    <w:next w:val="Normal"/>
    <w:qFormat/>
    <w:pPr>
      <w:keepNext/>
      <w:jc w:val="both"/>
      <w:outlineLvl w:val="1"/>
    </w:pPr>
    <w:rPr>
      <w:rFonts w:ascii="Arial" w:hAnsi="Arial"/>
      <w:sz w:val="24"/>
    </w:rPr>
  </w:style>
  <w:style w:type="paragraph" w:styleId="Heading3">
    <w:name w:val="heading 3"/>
    <w:basedOn w:val="Normal"/>
    <w:next w:val="Normal"/>
    <w:qFormat/>
    <w:pPr>
      <w:keepNext/>
      <w:tabs>
        <w:tab w:val="left" w:pos="720"/>
      </w:tabs>
      <w:jc w:val="both"/>
      <w:outlineLvl w:val="2"/>
    </w:pPr>
    <w:rPr>
      <w:rFonts w:ascii="Arial" w:hAnsi="Arial"/>
      <w:b/>
    </w:rPr>
  </w:style>
  <w:style w:type="paragraph" w:styleId="Heading4">
    <w:name w:val="heading 4"/>
    <w:basedOn w:val="Normal"/>
    <w:next w:val="Normal"/>
    <w:qFormat/>
    <w:pPr>
      <w:keepNext/>
      <w:tabs>
        <w:tab w:val="left" w:pos="720"/>
      </w:tabs>
      <w:ind w:left="720"/>
      <w:jc w:val="both"/>
      <w:outlineLvl w:val="3"/>
    </w:pPr>
    <w:rPr>
      <w:rFonts w:ascii="Arial" w:hAnsi="Arial"/>
      <w:sz w:val="24"/>
    </w:rPr>
  </w:style>
  <w:style w:type="paragraph" w:styleId="Heading5">
    <w:name w:val="heading 5"/>
    <w:basedOn w:val="Normal"/>
    <w:next w:val="Normal"/>
    <w:qFormat/>
    <w:pPr>
      <w:keepNext/>
      <w:outlineLvl w:val="4"/>
    </w:pPr>
    <w:rPr>
      <w:rFonts w:ascii="Arial" w:hAnsi="Arial"/>
      <w:b/>
    </w:rPr>
  </w:style>
  <w:style w:type="paragraph" w:styleId="Heading6">
    <w:name w:val="heading 6"/>
    <w:basedOn w:val="Normal"/>
    <w:next w:val="Normal"/>
    <w:qFormat/>
    <w:pPr>
      <w:keepNext/>
      <w:jc w:val="center"/>
      <w:outlineLvl w:val="5"/>
    </w:pPr>
    <w:rPr>
      <w:rFonts w:ascii="Arial" w:hAnsi="Arial"/>
      <w:sz w:val="24"/>
    </w:rPr>
  </w:style>
  <w:style w:type="paragraph" w:styleId="Heading7">
    <w:name w:val="heading 7"/>
    <w:basedOn w:val="Normal"/>
    <w:next w:val="Normal"/>
    <w:qFormat/>
    <w:pPr>
      <w:keepNext/>
      <w:jc w:val="center"/>
      <w:outlineLvl w:val="6"/>
    </w:pPr>
    <w:rPr>
      <w:rFonts w:ascii="Arial" w:hAnsi="Arial"/>
      <w:b/>
      <w:sz w:val="16"/>
    </w:rPr>
  </w:style>
  <w:style w:type="paragraph" w:styleId="Heading8">
    <w:name w:val="heading 8"/>
    <w:basedOn w:val="Normal"/>
    <w:next w:val="Normal"/>
    <w:qFormat/>
    <w:pPr>
      <w:keepNext/>
      <w:tabs>
        <w:tab w:val="left" w:pos="-1440"/>
      </w:tabs>
      <w:jc w:val="both"/>
      <w:outlineLvl w:val="7"/>
    </w:pPr>
    <w:rPr>
      <w:rFonts w:ascii="Arial" w:hAnsi="Arial"/>
      <w:sz w:val="24"/>
      <w:u w:val="single"/>
      <w:lang w:val="en-GB"/>
    </w:rPr>
  </w:style>
  <w:style w:type="paragraph" w:styleId="Heading9">
    <w:name w:val="heading 9"/>
    <w:basedOn w:val="Normal"/>
    <w:next w:val="Normal"/>
    <w:qFormat/>
    <w:pPr>
      <w:keepNext/>
      <w:jc w:val="center"/>
      <w:outlineLvl w:val="8"/>
    </w:pPr>
    <w:rPr>
      <w:rFonts w:ascii="Arial" w:hAnsi="Arial"/>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rFonts w:ascii="Arial" w:hAnsi="Arial"/>
      <w:b/>
      <w:sz w:val="24"/>
    </w:rPr>
  </w:style>
  <w:style w:type="paragraph" w:styleId="BodyText">
    <w:name w:val="Body Text"/>
    <w:basedOn w:val="Normal"/>
    <w:pPr>
      <w:jc w:val="both"/>
    </w:pPr>
    <w:rPr>
      <w:rFonts w:ascii="Arial" w:hAnsi="Arial"/>
      <w:b/>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2">
    <w:name w:val="Body Text 2"/>
    <w:basedOn w:val="Normal"/>
    <w:pPr>
      <w:jc w:val="both"/>
    </w:pPr>
    <w:rPr>
      <w:rFonts w:ascii="Arial" w:hAnsi="Arial"/>
      <w:sz w:val="24"/>
    </w:rPr>
  </w:style>
  <w:style w:type="paragraph" w:styleId="BodyTextIndent">
    <w:name w:val="Body Text Indent"/>
    <w:basedOn w:val="Normal"/>
    <w:pPr>
      <w:ind w:left="720"/>
      <w:jc w:val="both"/>
    </w:pPr>
    <w:rPr>
      <w:rFonts w:ascii="Arial" w:hAnsi="Arial"/>
      <w:sz w:val="24"/>
    </w:rPr>
  </w:style>
  <w:style w:type="paragraph" w:styleId="BodyTextIndent2">
    <w:name w:val="Body Text Indent 2"/>
    <w:basedOn w:val="Normal"/>
    <w:pPr>
      <w:ind w:left="720"/>
      <w:jc w:val="both"/>
    </w:pPr>
    <w:rPr>
      <w:rFonts w:ascii="Arial" w:hAnsi="Arial"/>
      <w:sz w:val="22"/>
    </w:rPr>
  </w:style>
  <w:style w:type="paragraph" w:customStyle="1" w:styleId="a">
    <w:name w:val="_"/>
    <w:basedOn w:val="Normal"/>
    <w:pPr>
      <w:widowControl w:val="0"/>
      <w:ind w:left="720" w:hanging="720"/>
    </w:pPr>
    <w:rPr>
      <w:snapToGrid w:val="0"/>
      <w:sz w:val="24"/>
    </w:rPr>
  </w:style>
  <w:style w:type="paragraph" w:styleId="Header">
    <w:name w:val="header"/>
    <w:basedOn w:val="Normal"/>
    <w:pPr>
      <w:tabs>
        <w:tab w:val="center" w:pos="4320"/>
        <w:tab w:val="right" w:pos="8640"/>
      </w:tabs>
    </w:pPr>
  </w:style>
  <w:style w:type="paragraph" w:styleId="BodyText3">
    <w:name w:val="Body Text 3"/>
    <w:basedOn w:val="Normal"/>
    <w:pPr>
      <w:tabs>
        <w:tab w:val="left" w:pos="-1440"/>
      </w:tabs>
      <w:jc w:val="both"/>
    </w:pPr>
    <w:rPr>
      <w:rFonts w:ascii="Arial" w:hAnsi="Arial"/>
      <w:b/>
      <w:sz w:val="24"/>
      <w:lang w:val="en-GB"/>
    </w:rPr>
  </w:style>
  <w:style w:type="paragraph" w:styleId="BodyTextIndent3">
    <w:name w:val="Body Text Indent 3"/>
    <w:basedOn w:val="Normal"/>
    <w:pPr>
      <w:tabs>
        <w:tab w:val="left" w:pos="-1440"/>
      </w:tabs>
      <w:ind w:left="720"/>
      <w:jc w:val="both"/>
    </w:pPr>
    <w:rPr>
      <w:rFonts w:ascii="Arial" w:hAnsi="Arial"/>
      <w:i/>
      <w:iCs/>
      <w:sz w:val="24"/>
    </w:rPr>
  </w:style>
  <w:style w:type="table" w:styleId="TableGrid">
    <w:name w:val="Table Grid"/>
    <w:basedOn w:val="TableNormal"/>
    <w:rsid w:val="00CA231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rsid w:val="00474338"/>
    <w:rPr>
      <w:rFonts w:ascii="Tahoma" w:hAnsi="Tahoma" w:cs="Tahoma"/>
      <w:sz w:val="16"/>
      <w:szCs w:val="16"/>
    </w:rPr>
  </w:style>
  <w:style w:type="character" w:customStyle="1" w:styleId="BalloonTextChar">
    <w:name w:val="Balloon Text Char"/>
    <w:link w:val="BalloonText"/>
    <w:rsid w:val="00474338"/>
    <w:rPr>
      <w:rFonts w:ascii="Tahoma" w:hAnsi="Tahoma" w:cs="Tahoma"/>
      <w:sz w:val="16"/>
      <w:szCs w:val="16"/>
    </w:rPr>
  </w:style>
  <w:style w:type="character" w:styleId="CommentReference">
    <w:name w:val="annotation reference"/>
    <w:rsid w:val="00A41520"/>
    <w:rPr>
      <w:sz w:val="16"/>
      <w:szCs w:val="16"/>
    </w:rPr>
  </w:style>
  <w:style w:type="paragraph" w:styleId="CommentText">
    <w:name w:val="annotation text"/>
    <w:basedOn w:val="Normal"/>
    <w:link w:val="CommentTextChar"/>
    <w:rsid w:val="00A41520"/>
  </w:style>
  <w:style w:type="character" w:customStyle="1" w:styleId="CommentTextChar">
    <w:name w:val="Comment Text Char"/>
    <w:basedOn w:val="DefaultParagraphFont"/>
    <w:link w:val="CommentText"/>
    <w:rsid w:val="00A41520"/>
  </w:style>
  <w:style w:type="paragraph" w:styleId="CommentSubject">
    <w:name w:val="annotation subject"/>
    <w:basedOn w:val="CommentText"/>
    <w:next w:val="CommentText"/>
    <w:link w:val="CommentSubjectChar"/>
    <w:rsid w:val="00A41520"/>
    <w:rPr>
      <w:b/>
      <w:bCs/>
    </w:rPr>
  </w:style>
  <w:style w:type="character" w:customStyle="1" w:styleId="CommentSubjectChar">
    <w:name w:val="Comment Subject Char"/>
    <w:link w:val="CommentSubject"/>
    <w:rsid w:val="00A41520"/>
    <w:rPr>
      <w:b/>
      <w:bCs/>
    </w:rPr>
  </w:style>
  <w:style w:type="paragraph" w:styleId="Revision">
    <w:name w:val="Revision"/>
    <w:hidden/>
    <w:uiPriority w:val="99"/>
    <w:semiHidden/>
    <w:rsid w:val="002F398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5629D"/>
  </w:style>
  <w:style w:type="paragraph" w:styleId="Heading1">
    <w:name w:val="heading 1"/>
    <w:basedOn w:val="Normal"/>
    <w:next w:val="Normal"/>
    <w:qFormat/>
    <w:pPr>
      <w:keepNext/>
      <w:tabs>
        <w:tab w:val="left" w:pos="720"/>
      </w:tabs>
      <w:jc w:val="both"/>
      <w:outlineLvl w:val="0"/>
    </w:pPr>
    <w:rPr>
      <w:rFonts w:ascii="Arial" w:hAnsi="Arial"/>
      <w:b/>
      <w:sz w:val="24"/>
    </w:rPr>
  </w:style>
  <w:style w:type="paragraph" w:styleId="Heading2">
    <w:name w:val="heading 2"/>
    <w:basedOn w:val="Normal"/>
    <w:next w:val="Normal"/>
    <w:qFormat/>
    <w:pPr>
      <w:keepNext/>
      <w:jc w:val="both"/>
      <w:outlineLvl w:val="1"/>
    </w:pPr>
    <w:rPr>
      <w:rFonts w:ascii="Arial" w:hAnsi="Arial"/>
      <w:sz w:val="24"/>
    </w:rPr>
  </w:style>
  <w:style w:type="paragraph" w:styleId="Heading3">
    <w:name w:val="heading 3"/>
    <w:basedOn w:val="Normal"/>
    <w:next w:val="Normal"/>
    <w:qFormat/>
    <w:pPr>
      <w:keepNext/>
      <w:tabs>
        <w:tab w:val="left" w:pos="720"/>
      </w:tabs>
      <w:jc w:val="both"/>
      <w:outlineLvl w:val="2"/>
    </w:pPr>
    <w:rPr>
      <w:rFonts w:ascii="Arial" w:hAnsi="Arial"/>
      <w:b/>
    </w:rPr>
  </w:style>
  <w:style w:type="paragraph" w:styleId="Heading4">
    <w:name w:val="heading 4"/>
    <w:basedOn w:val="Normal"/>
    <w:next w:val="Normal"/>
    <w:qFormat/>
    <w:pPr>
      <w:keepNext/>
      <w:tabs>
        <w:tab w:val="left" w:pos="720"/>
      </w:tabs>
      <w:ind w:left="720"/>
      <w:jc w:val="both"/>
      <w:outlineLvl w:val="3"/>
    </w:pPr>
    <w:rPr>
      <w:rFonts w:ascii="Arial" w:hAnsi="Arial"/>
      <w:sz w:val="24"/>
    </w:rPr>
  </w:style>
  <w:style w:type="paragraph" w:styleId="Heading5">
    <w:name w:val="heading 5"/>
    <w:basedOn w:val="Normal"/>
    <w:next w:val="Normal"/>
    <w:qFormat/>
    <w:pPr>
      <w:keepNext/>
      <w:outlineLvl w:val="4"/>
    </w:pPr>
    <w:rPr>
      <w:rFonts w:ascii="Arial" w:hAnsi="Arial"/>
      <w:b/>
    </w:rPr>
  </w:style>
  <w:style w:type="paragraph" w:styleId="Heading6">
    <w:name w:val="heading 6"/>
    <w:basedOn w:val="Normal"/>
    <w:next w:val="Normal"/>
    <w:qFormat/>
    <w:pPr>
      <w:keepNext/>
      <w:jc w:val="center"/>
      <w:outlineLvl w:val="5"/>
    </w:pPr>
    <w:rPr>
      <w:rFonts w:ascii="Arial" w:hAnsi="Arial"/>
      <w:sz w:val="24"/>
    </w:rPr>
  </w:style>
  <w:style w:type="paragraph" w:styleId="Heading7">
    <w:name w:val="heading 7"/>
    <w:basedOn w:val="Normal"/>
    <w:next w:val="Normal"/>
    <w:qFormat/>
    <w:pPr>
      <w:keepNext/>
      <w:jc w:val="center"/>
      <w:outlineLvl w:val="6"/>
    </w:pPr>
    <w:rPr>
      <w:rFonts w:ascii="Arial" w:hAnsi="Arial"/>
      <w:b/>
      <w:sz w:val="16"/>
    </w:rPr>
  </w:style>
  <w:style w:type="paragraph" w:styleId="Heading8">
    <w:name w:val="heading 8"/>
    <w:basedOn w:val="Normal"/>
    <w:next w:val="Normal"/>
    <w:qFormat/>
    <w:pPr>
      <w:keepNext/>
      <w:tabs>
        <w:tab w:val="left" w:pos="-1440"/>
      </w:tabs>
      <w:jc w:val="both"/>
      <w:outlineLvl w:val="7"/>
    </w:pPr>
    <w:rPr>
      <w:rFonts w:ascii="Arial" w:hAnsi="Arial"/>
      <w:sz w:val="24"/>
      <w:u w:val="single"/>
      <w:lang w:val="en-GB"/>
    </w:rPr>
  </w:style>
  <w:style w:type="paragraph" w:styleId="Heading9">
    <w:name w:val="heading 9"/>
    <w:basedOn w:val="Normal"/>
    <w:next w:val="Normal"/>
    <w:qFormat/>
    <w:pPr>
      <w:keepNext/>
      <w:jc w:val="center"/>
      <w:outlineLvl w:val="8"/>
    </w:pPr>
    <w:rPr>
      <w:rFonts w:ascii="Arial" w:hAnsi="Arial"/>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rFonts w:ascii="Arial" w:hAnsi="Arial"/>
      <w:b/>
      <w:sz w:val="24"/>
    </w:rPr>
  </w:style>
  <w:style w:type="paragraph" w:styleId="BodyText">
    <w:name w:val="Body Text"/>
    <w:basedOn w:val="Normal"/>
    <w:pPr>
      <w:jc w:val="both"/>
    </w:pPr>
    <w:rPr>
      <w:rFonts w:ascii="Arial" w:hAnsi="Arial"/>
      <w:b/>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2">
    <w:name w:val="Body Text 2"/>
    <w:basedOn w:val="Normal"/>
    <w:pPr>
      <w:jc w:val="both"/>
    </w:pPr>
    <w:rPr>
      <w:rFonts w:ascii="Arial" w:hAnsi="Arial"/>
      <w:sz w:val="24"/>
    </w:rPr>
  </w:style>
  <w:style w:type="paragraph" w:styleId="BodyTextIndent">
    <w:name w:val="Body Text Indent"/>
    <w:basedOn w:val="Normal"/>
    <w:pPr>
      <w:ind w:left="720"/>
      <w:jc w:val="both"/>
    </w:pPr>
    <w:rPr>
      <w:rFonts w:ascii="Arial" w:hAnsi="Arial"/>
      <w:sz w:val="24"/>
    </w:rPr>
  </w:style>
  <w:style w:type="paragraph" w:styleId="BodyTextIndent2">
    <w:name w:val="Body Text Indent 2"/>
    <w:basedOn w:val="Normal"/>
    <w:pPr>
      <w:ind w:left="720"/>
      <w:jc w:val="both"/>
    </w:pPr>
    <w:rPr>
      <w:rFonts w:ascii="Arial" w:hAnsi="Arial"/>
      <w:sz w:val="22"/>
    </w:rPr>
  </w:style>
  <w:style w:type="paragraph" w:customStyle="1" w:styleId="a">
    <w:name w:val="_"/>
    <w:basedOn w:val="Normal"/>
    <w:pPr>
      <w:widowControl w:val="0"/>
      <w:ind w:left="720" w:hanging="720"/>
    </w:pPr>
    <w:rPr>
      <w:snapToGrid w:val="0"/>
      <w:sz w:val="24"/>
    </w:rPr>
  </w:style>
  <w:style w:type="paragraph" w:styleId="Header">
    <w:name w:val="header"/>
    <w:basedOn w:val="Normal"/>
    <w:pPr>
      <w:tabs>
        <w:tab w:val="center" w:pos="4320"/>
        <w:tab w:val="right" w:pos="8640"/>
      </w:tabs>
    </w:pPr>
  </w:style>
  <w:style w:type="paragraph" w:styleId="BodyText3">
    <w:name w:val="Body Text 3"/>
    <w:basedOn w:val="Normal"/>
    <w:pPr>
      <w:tabs>
        <w:tab w:val="left" w:pos="-1440"/>
      </w:tabs>
      <w:jc w:val="both"/>
    </w:pPr>
    <w:rPr>
      <w:rFonts w:ascii="Arial" w:hAnsi="Arial"/>
      <w:b/>
      <w:sz w:val="24"/>
      <w:lang w:val="en-GB"/>
    </w:rPr>
  </w:style>
  <w:style w:type="paragraph" w:styleId="BodyTextIndent3">
    <w:name w:val="Body Text Indent 3"/>
    <w:basedOn w:val="Normal"/>
    <w:pPr>
      <w:tabs>
        <w:tab w:val="left" w:pos="-1440"/>
      </w:tabs>
      <w:ind w:left="720"/>
      <w:jc w:val="both"/>
    </w:pPr>
    <w:rPr>
      <w:rFonts w:ascii="Arial" w:hAnsi="Arial"/>
      <w:i/>
      <w:iCs/>
      <w:sz w:val="24"/>
    </w:rPr>
  </w:style>
  <w:style w:type="table" w:styleId="TableGrid">
    <w:name w:val="Table Grid"/>
    <w:basedOn w:val="TableNormal"/>
    <w:rsid w:val="00CA231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rsid w:val="00474338"/>
    <w:rPr>
      <w:rFonts w:ascii="Tahoma" w:hAnsi="Tahoma" w:cs="Tahoma"/>
      <w:sz w:val="16"/>
      <w:szCs w:val="16"/>
    </w:rPr>
  </w:style>
  <w:style w:type="character" w:customStyle="1" w:styleId="BalloonTextChar">
    <w:name w:val="Balloon Text Char"/>
    <w:link w:val="BalloonText"/>
    <w:rsid w:val="00474338"/>
    <w:rPr>
      <w:rFonts w:ascii="Tahoma" w:hAnsi="Tahoma" w:cs="Tahoma"/>
      <w:sz w:val="16"/>
      <w:szCs w:val="16"/>
    </w:rPr>
  </w:style>
  <w:style w:type="character" w:styleId="CommentReference">
    <w:name w:val="annotation reference"/>
    <w:rsid w:val="00A41520"/>
    <w:rPr>
      <w:sz w:val="16"/>
      <w:szCs w:val="16"/>
    </w:rPr>
  </w:style>
  <w:style w:type="paragraph" w:styleId="CommentText">
    <w:name w:val="annotation text"/>
    <w:basedOn w:val="Normal"/>
    <w:link w:val="CommentTextChar"/>
    <w:rsid w:val="00A41520"/>
  </w:style>
  <w:style w:type="character" w:customStyle="1" w:styleId="CommentTextChar">
    <w:name w:val="Comment Text Char"/>
    <w:basedOn w:val="DefaultParagraphFont"/>
    <w:link w:val="CommentText"/>
    <w:rsid w:val="00A41520"/>
  </w:style>
  <w:style w:type="paragraph" w:styleId="CommentSubject">
    <w:name w:val="annotation subject"/>
    <w:basedOn w:val="CommentText"/>
    <w:next w:val="CommentText"/>
    <w:link w:val="CommentSubjectChar"/>
    <w:rsid w:val="00A41520"/>
    <w:rPr>
      <w:b/>
      <w:bCs/>
    </w:rPr>
  </w:style>
  <w:style w:type="character" w:customStyle="1" w:styleId="CommentSubjectChar">
    <w:name w:val="Comment Subject Char"/>
    <w:link w:val="CommentSubject"/>
    <w:rsid w:val="00A41520"/>
    <w:rPr>
      <w:b/>
      <w:bCs/>
    </w:rPr>
  </w:style>
  <w:style w:type="paragraph" w:styleId="Revision">
    <w:name w:val="Revision"/>
    <w:hidden/>
    <w:uiPriority w:val="99"/>
    <w:semiHidden/>
    <w:rsid w:val="002F398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4488437">
      <w:bodyDiv w:val="1"/>
      <w:marLeft w:val="0"/>
      <w:marRight w:val="0"/>
      <w:marTop w:val="0"/>
      <w:marBottom w:val="0"/>
      <w:divBdr>
        <w:top w:val="none" w:sz="0" w:space="0" w:color="auto"/>
        <w:left w:val="none" w:sz="0" w:space="0" w:color="auto"/>
        <w:bottom w:val="none" w:sz="0" w:space="0" w:color="auto"/>
        <w:right w:val="none" w:sz="0" w:space="0" w:color="auto"/>
      </w:divBdr>
    </w:div>
    <w:div w:id="305817568">
      <w:bodyDiv w:val="1"/>
      <w:marLeft w:val="0"/>
      <w:marRight w:val="0"/>
      <w:marTop w:val="0"/>
      <w:marBottom w:val="0"/>
      <w:divBdr>
        <w:top w:val="none" w:sz="0" w:space="0" w:color="auto"/>
        <w:left w:val="none" w:sz="0" w:space="0" w:color="auto"/>
        <w:bottom w:val="none" w:sz="0" w:space="0" w:color="auto"/>
        <w:right w:val="none" w:sz="0" w:space="0" w:color="auto"/>
      </w:divBdr>
    </w:div>
    <w:div w:id="7321187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2.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1DFFF355AA10E4EAC59F2C350985FDB" ma:contentTypeVersion="11" ma:contentTypeDescription="Create a new document." ma:contentTypeScope="" ma:versionID="6303bdb8c80d25c5683c5093f26fedc5">
  <xsd:schema xmlns:xsd="http://www.w3.org/2001/XMLSchema" xmlns:p="http://schemas.microsoft.com/office/2006/metadata/properties" xmlns:ns2="d66e9825-2daf-4b7d-8148-29fe61dc28c3" xmlns:ns3="eed187cc-37b6-41c4-a212-0f8f86212de1" targetNamespace="http://schemas.microsoft.com/office/2006/metadata/properties" ma:root="true" ma:fieldsID="14b8be1bdb5861c3216e7fada2c43eb0" ns2:_="" ns3:_="">
    <xsd:import namespace="d66e9825-2daf-4b7d-8148-29fe61dc28c3"/>
    <xsd:import namespace="eed187cc-37b6-41c4-a212-0f8f86212de1"/>
    <xsd:element name="properties">
      <xsd:complexType>
        <xsd:sequence>
          <xsd:element name="documentManagement">
            <xsd:complexType>
              <xsd:all>
                <xsd:element ref="ns2:Collection_x0020_Number" minOccurs="0"/>
                <xsd:element ref="ns3:IC_x0020_Category" minOccurs="0"/>
                <xsd:element ref="ns2:Document_x0020_Type" minOccurs="0"/>
                <xsd:element ref="ns2:Document_x0020_State" minOccurs="0"/>
                <xsd:element ref="ns2:Year" minOccurs="0"/>
                <xsd:element ref="ns3:Owner" minOccurs="0"/>
                <xsd:element ref="ns3:Approved_x0020_by_x0020_Business_x0020_Area" minOccurs="0"/>
                <xsd:element ref="ns3:Approved_x0020_by_x0020_PTO" minOccurs="0"/>
              </xsd:all>
            </xsd:complexType>
          </xsd:element>
        </xsd:sequence>
      </xsd:complexType>
    </xsd:element>
  </xsd:schema>
  <xsd:schema xmlns:xsd="http://www.w3.org/2001/XMLSchema" xmlns:dms="http://schemas.microsoft.com/office/2006/documentManagement/types" targetNamespace="d66e9825-2daf-4b7d-8148-29fe61dc28c3" elementFormDefault="qualified">
    <xsd:import namespace="http://schemas.microsoft.com/office/2006/documentManagement/types"/>
    <xsd:element name="Collection_x0020_Number" ma:index="2" nillable="true" ma:displayName="OMB Number" ma:internalName="Collection_x0020_Number">
      <xsd:simpleType>
        <xsd:restriction base="dms:Text">
          <xsd:maxLength value="255"/>
        </xsd:restriction>
      </xsd:simpleType>
    </xsd:element>
    <xsd:element name="Document_x0020_Type" ma:index="4" nillable="true" ma:displayName="Document Type" ma:format="Dropdown" ma:internalName="Document_x0020_Type">
      <xsd:simpleType>
        <xsd:restriction base="dms:Choice">
          <xsd:enumeration value="FRN"/>
          <xsd:enumeration value="Supporting Statement"/>
          <xsd:enumeration value="Notice of Action"/>
          <xsd:enumeration value="Form"/>
          <xsd:enumeration value="Survey"/>
          <xsd:enumeration value="Other"/>
        </xsd:restriction>
      </xsd:simpleType>
    </xsd:element>
    <xsd:element name="Document_x0020_State" ma:index="5" nillable="true" ma:displayName="Document Status" ma:format="Dropdown" ma:internalName="Document_x0020_State">
      <xsd:simpleType>
        <xsd:union memberTypes="dms:Text">
          <xsd:simpleType>
            <xsd:restriction base="dms:Choice">
              <xsd:enumeration value="Final"/>
              <xsd:enumeration value="Draft"/>
              <xsd:enumeration value="Deliverable"/>
              <xsd:enumeration value="Signed"/>
            </xsd:restriction>
          </xsd:simpleType>
        </xsd:union>
      </xsd:simpleType>
    </xsd:element>
    <xsd:element name="Year" ma:index="6" nillable="true" ma:displayName="Year" ma:internalName="Year">
      <xsd:simpleType>
        <xsd:restriction base="dms:Text">
          <xsd:maxLength value="255"/>
        </xsd:restriction>
      </xsd:simpleType>
    </xsd:element>
  </xsd:schema>
  <xsd:schema xmlns:xsd="http://www.w3.org/2001/XMLSchema" xmlns:dms="http://schemas.microsoft.com/office/2006/documentManagement/types" targetNamespace="eed187cc-37b6-41c4-a212-0f8f86212de1" elementFormDefault="qualified">
    <xsd:import namespace="http://schemas.microsoft.com/office/2006/documentManagement/types"/>
    <xsd:element name="IC_x0020_Category" ma:index="3" nillable="true" ma:displayName="ICR Type" ma:format="Dropdown" ma:internalName="IC_x0020_Category">
      <xsd:simpleType>
        <xsd:restriction base="dms:Choice">
          <xsd:enumeration value="Renewal"/>
          <xsd:enumeration value="New Collection"/>
          <xsd:enumeration value="Rulemaking"/>
          <xsd:enumeration value="Change Worksheet"/>
          <xsd:enumeration value="Proposed Addition"/>
          <xsd:enumeration value="Other"/>
        </xsd:restriction>
      </xsd:simpleType>
    </xsd:element>
    <xsd:element name="Owner" ma:index="7" nillable="true" ma:displayName="Owner" ma:list="UserInfo" ma:internalName="Own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pproved_x0020_by_x0020_Business_x0020_Area" ma:index="14" nillable="true" ma:displayName="Approved by Business Area" ma:default="No" ma:format="Dropdown" ma:internalName="Approved_x0020_by_x0020_Business_x0020_Area">
      <xsd:simpleType>
        <xsd:restriction base="dms:Choice">
          <xsd:enumeration value="No"/>
          <xsd:enumeration value="Pending"/>
          <xsd:enumeration value="Yes"/>
        </xsd:restriction>
      </xsd:simpleType>
    </xsd:element>
    <xsd:element name="Approved_x0020_by_x0020_PTO" ma:index="15" nillable="true" ma:displayName="Approved by RMD" ma:default="No" ma:format="Dropdown" ma:internalName="Approved_x0020_by_x0020_PTO">
      <xsd:simpleType>
        <xsd:restriction base="dms:Choice">
          <xsd:enumeration value="No"/>
          <xsd:enumeration value="Pending"/>
          <xsd:enumeration value="Ye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ma:readOnly="tru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Document_x0020_State xmlns="d66e9825-2daf-4b7d-8148-29fe61dc28c3">Draft</Document_x0020_State>
    <Approved_x0020_by_x0020_PTO xmlns="eed187cc-37b6-41c4-a212-0f8f86212de1">No</Approved_x0020_by_x0020_PTO>
    <Year xmlns="d66e9825-2daf-4b7d-8148-29fe61dc28c3">2014</Year>
    <IC_x0020_Category xmlns="eed187cc-37b6-41c4-a212-0f8f86212de1">Renewal</IC_x0020_Category>
    <Collection_x0020_Number xmlns="d66e9825-2daf-4b7d-8148-29fe61dc28c3">0651-0055</Collection_x0020_Number>
    <Document_x0020_Type xmlns="d66e9825-2daf-4b7d-8148-29fe61dc28c3">Supporting Statement</Document_x0020_Type>
    <Owner xmlns="eed187cc-37b6-41c4-a212-0f8f86212de1">
      <UserInfo>
        <DisplayName/>
        <AccountId xsi:nil="true"/>
        <AccountType/>
      </UserInfo>
    </Owner>
    <Approved_x0020_by_x0020_Business_x0020_Area xmlns="eed187cc-37b6-41c4-a212-0f8f86212de1">No</Approved_x0020_by_x0020_Business_x0020_Area>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1BC3EF-B23F-4AB1-9406-1C648AEA22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6e9825-2daf-4b7d-8148-29fe61dc28c3"/>
    <ds:schemaRef ds:uri="eed187cc-37b6-41c4-a212-0f8f86212de1"/>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07C67CDC-75CE-48EE-B951-B6C06779D412}">
  <ds:schemaRefs>
    <ds:schemaRef ds:uri="http://schemas.microsoft.com/sharepoint/v3/contenttype/forms"/>
  </ds:schemaRefs>
</ds:datastoreItem>
</file>

<file path=customXml/itemProps3.xml><?xml version="1.0" encoding="utf-8"?>
<ds:datastoreItem xmlns:ds="http://schemas.openxmlformats.org/officeDocument/2006/customXml" ds:itemID="{C9EEC042-80DE-41DE-92CB-0E5F06F1346F}">
  <ds:schemaRefs>
    <ds:schemaRef ds:uri="http://schemas.microsoft.com/office/2006/metadata/properties"/>
    <ds:schemaRef ds:uri="d66e9825-2daf-4b7d-8148-29fe61dc28c3"/>
    <ds:schemaRef ds:uri="eed187cc-37b6-41c4-a212-0f8f86212de1"/>
  </ds:schemaRefs>
</ds:datastoreItem>
</file>

<file path=customXml/itemProps4.xml><?xml version="1.0" encoding="utf-8"?>
<ds:datastoreItem xmlns:ds="http://schemas.openxmlformats.org/officeDocument/2006/customXml" ds:itemID="{A47BB4D2-173A-40C8-9244-4F7589B39B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10</Pages>
  <Words>3282</Words>
  <Characters>18710</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0651-0055 Supporting Statement 2014</vt:lpstr>
    </vt:vector>
  </TitlesOfParts>
  <Company>U.S. Patent and Trademark Office</Company>
  <LinksUpToDate>false</LinksUpToDate>
  <CharactersWithSpaces>21949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0651-0055 Supporting Statement 2014</dc:title>
  <dc:creator>USPTO</dc:creator>
  <cp:lastModifiedBy>USPTO</cp:lastModifiedBy>
  <cp:revision>2</cp:revision>
  <cp:lastPrinted>2014-05-09T14:06:00Z</cp:lastPrinted>
  <dcterms:created xsi:type="dcterms:W3CDTF">2014-05-09T14:12:00Z</dcterms:created>
  <dcterms:modified xsi:type="dcterms:W3CDTF">2014-05-09T14:12:00Z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0x01010041DFFF355AA10E4EAC59F2C350985FDB</vt:lpwstr>
  </property>
</Properties>
</file>