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F77" w:rsidRPr="0096400B" w:rsidRDefault="00253F77" w:rsidP="00253F77"/>
    <w:p w:rsidR="007B225C" w:rsidRPr="009A1674" w:rsidRDefault="00384290" w:rsidP="007B225C">
      <w:pPr>
        <w:jc w:val="center"/>
      </w:pPr>
      <w:r>
        <w:t>Evaluation of the Food and Drug Administration’s Tobacco Public Education Campaign</w:t>
      </w:r>
    </w:p>
    <w:p w:rsidR="007B225C" w:rsidRPr="009A1674" w:rsidRDefault="007B225C" w:rsidP="007B225C">
      <w:pPr>
        <w:jc w:val="center"/>
      </w:pPr>
    </w:p>
    <w:p w:rsidR="00384290" w:rsidRDefault="007B225C" w:rsidP="007B225C">
      <w:pPr>
        <w:jc w:val="center"/>
      </w:pPr>
      <w:r w:rsidRPr="009A1674">
        <w:t>0910-NEW</w:t>
      </w:r>
    </w:p>
    <w:p w:rsidR="007B225C" w:rsidRDefault="007B225C" w:rsidP="007B225C">
      <w:pPr>
        <w:jc w:val="center"/>
      </w:pPr>
    </w:p>
    <w:p w:rsidR="007B225C" w:rsidRDefault="007B225C" w:rsidP="007B225C">
      <w:pPr>
        <w:jc w:val="center"/>
        <w:rPr>
          <w:b/>
          <w:i/>
        </w:rPr>
      </w:pPr>
      <w:r>
        <w:t>ABSTRACT FOR USE IN ICRAS</w:t>
      </w:r>
    </w:p>
    <w:p w:rsidR="007B225C" w:rsidRDefault="007B225C" w:rsidP="0053196E">
      <w:pPr>
        <w:rPr>
          <w:b/>
          <w:i/>
        </w:rPr>
      </w:pPr>
    </w:p>
    <w:p w:rsidR="00384290" w:rsidRPr="00AC47CE" w:rsidRDefault="00384290" w:rsidP="0053196E">
      <w:pPr>
        <w:pStyle w:val="BodyText1"/>
        <w:spacing w:line="240" w:lineRule="auto"/>
      </w:pPr>
      <w:r w:rsidRPr="00AC47CE">
        <w:t xml:space="preserve">The Food and Drug Administration (FDA) requests a 3-year Office of Management and Budget (OMB) approval to conduct in-person and Web-based surveys of youth in </w:t>
      </w:r>
      <w:r w:rsidR="00B01E83">
        <w:t>targeted areas in the</w:t>
      </w:r>
      <w:r w:rsidR="00B01E83" w:rsidRPr="00AC47CE">
        <w:t xml:space="preserve"> </w:t>
      </w:r>
      <w:r w:rsidRPr="00AC47CE">
        <w:t xml:space="preserve">United States. These surveys will be fielded for purposes of evaluating FDA’s </w:t>
      </w:r>
      <w:r>
        <w:t>general market youth t</w:t>
      </w:r>
      <w:r w:rsidRPr="00AC47CE">
        <w:t xml:space="preserve">obacco </w:t>
      </w:r>
      <w:r>
        <w:t>prevention</w:t>
      </w:r>
      <w:r w:rsidRPr="00AC47CE">
        <w:t xml:space="preserve"> campaign</w:t>
      </w:r>
      <w:r>
        <w:t>s</w:t>
      </w:r>
      <w:r w:rsidRPr="00AC47CE">
        <w:t xml:space="preserve">. The primary outcome evaluation will consist of an initial baseline survey before the launch of each of three campaigns and three longitudinal follow-up surveys of those participants in 8-month intervals following the baseline data collection. In addition, a tracking survey to assess awareness of the </w:t>
      </w:r>
      <w:r w:rsidR="000F4046">
        <w:t>campaigns</w:t>
      </w:r>
      <w:r w:rsidR="00621286">
        <w:t xml:space="preserve"> </w:t>
      </w:r>
      <w:r w:rsidRPr="00AC47CE">
        <w:t xml:space="preserve">and receptivity to campaign messages will occur in 8-month intervals throughout the data collection period. As part of the outcome evaluation study, a baseline survey will also be conducted with the parent or legal guardian of each youth baseline survey participant in order to collect data on household characteristics and media use. Data from this evaluation will be used to gauge campaign awareness and examine the statistical relationships between exposure to the </w:t>
      </w:r>
      <w:r w:rsidR="000F4046">
        <w:t>campaigns</w:t>
      </w:r>
      <w:r w:rsidR="00621286">
        <w:t xml:space="preserve"> </w:t>
      </w:r>
      <w:r w:rsidRPr="00AC47CE">
        <w:t>and changes in outcome variables of interest.</w:t>
      </w:r>
    </w:p>
    <w:p w:rsidR="00384290" w:rsidRPr="009A1674" w:rsidRDefault="00384290" w:rsidP="00384290">
      <w:pPr>
        <w:jc w:val="center"/>
      </w:pPr>
      <w:r>
        <w:rPr>
          <w:b/>
        </w:rPr>
        <w:br w:type="page"/>
      </w:r>
      <w:r>
        <w:lastRenderedPageBreak/>
        <w:t>Evaluation of the Food and Drug Administration’s Tobacco Public Education Campaign</w:t>
      </w:r>
    </w:p>
    <w:p w:rsidR="00384290" w:rsidRPr="009A1674" w:rsidRDefault="00384290" w:rsidP="00384290">
      <w:pPr>
        <w:jc w:val="center"/>
      </w:pPr>
    </w:p>
    <w:p w:rsidR="00384290" w:rsidRDefault="00384290" w:rsidP="00384290">
      <w:pPr>
        <w:jc w:val="center"/>
      </w:pPr>
      <w:r w:rsidRPr="009A1674">
        <w:t>0910-NEW</w:t>
      </w:r>
    </w:p>
    <w:p w:rsidR="00384290" w:rsidRDefault="00384290" w:rsidP="00384290">
      <w:pPr>
        <w:jc w:val="center"/>
      </w:pPr>
    </w:p>
    <w:p w:rsidR="00EB7538" w:rsidRPr="004A3E9D" w:rsidRDefault="00EB7538" w:rsidP="004A3E9D">
      <w:pPr>
        <w:pStyle w:val="Heading1"/>
      </w:pPr>
      <w:bookmarkStart w:id="0" w:name="_Toc365038358"/>
      <w:bookmarkStart w:id="1" w:name="_Toc365473622"/>
      <w:r w:rsidRPr="004A3E9D">
        <w:rPr>
          <w:rFonts w:ascii="Times New Roman" w:hAnsi="Times New Roman"/>
        </w:rPr>
        <w:t>SUPPORTING STATEMENT</w:t>
      </w:r>
      <w:bookmarkEnd w:id="0"/>
      <w:bookmarkEnd w:id="1"/>
    </w:p>
    <w:p w:rsidR="00810FF1" w:rsidRDefault="00810FF1" w:rsidP="00B23769">
      <w:pPr>
        <w:jc w:val="center"/>
        <w:rPr>
          <w:b/>
        </w:rPr>
      </w:pP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384290" w:rsidRPr="00384290" w:rsidRDefault="00384290" w:rsidP="00C0214D">
      <w:pPr>
        <w:spacing w:before="100" w:beforeAutospacing="1" w:after="100" w:afterAutospacing="1"/>
        <w:ind w:left="720"/>
      </w:pPr>
      <w:r w:rsidRPr="00384290">
        <w:t xml:space="preserve">On June 22, 2009, </w:t>
      </w:r>
      <w:r w:rsidR="00C0214D">
        <w:t>the Food and Drug Administration (</w:t>
      </w:r>
      <w:r w:rsidRPr="00384290">
        <w:t>FDA</w:t>
      </w:r>
      <w:r w:rsidR="00C0214D">
        <w:t>)</w:t>
      </w:r>
      <w:r w:rsidRPr="00384290">
        <w:t xml:space="preserve"> was granted new authority to regulate the manufacture, marketing, and distribution of tobacco products and educate the public about the dangers of tobacco use. Under the Family Smoking Prevention and Tobacco Control Act (Tobacco Control Act) (P.L. 111-31) (Attachment 1), FDA is responsible for protecting the public health and reducing tobacco use among minors. Section 1003(d)(2)(D) of the Food, Drug and Cosmetic Act (21 U.S.C. Section 393(d)(2)(D)) and Sections 2, 3, 105, 201, 204, 904, and 908 of </w:t>
      </w:r>
      <w:r w:rsidR="00C0214D">
        <w:t xml:space="preserve">the </w:t>
      </w:r>
      <w:r w:rsidRPr="00384290">
        <w:t>Tobacco Control Act support the development and implementation of FDA public education campaigns related to tobacco use. Accordingly, FDA will implement multi-strategy youth-targeted public education campaigns to reduce the public health burden of tobacco that will consist of general market paid media campaigns, geo-targeted campaigns to reach specific target audiences, community outreach activities, and a comprehensive social media effort.</w:t>
      </w:r>
    </w:p>
    <w:p w:rsidR="00384290" w:rsidRPr="00384290" w:rsidRDefault="00384290" w:rsidP="00384290">
      <w:pPr>
        <w:spacing w:before="100" w:beforeAutospacing="1" w:after="100" w:afterAutospacing="1"/>
        <w:ind w:left="720"/>
      </w:pPr>
      <w:r w:rsidRPr="00384290">
        <w:t>Tobacco use is the leading preventable cause of disease, disability, and death in the United States. More than 440,000 deaths are caused by tobacco use each year in the United States (USDHHS, 2010). Each day, more than 3,600 youth in the United States try their first cigarette</w:t>
      </w:r>
      <w:r w:rsidR="00C0214D">
        <w:t>,</w:t>
      </w:r>
      <w:r w:rsidRPr="00384290">
        <w:t xml:space="preserve"> and an estimated 900 youth become daily smokers (NSDUH, 2011). The FDA Center for Tobacco Products (CTP) was created to carry out the authorities granted under the 2009 Tobacco Control Act, to educate the public about the dangers of tobacco use and serve as a public health resource for tobacco and health information.</w:t>
      </w:r>
    </w:p>
    <w:p w:rsidR="00FC77B9" w:rsidRDefault="00384290" w:rsidP="00C0214D">
      <w:pPr>
        <w:spacing w:before="100" w:beforeAutospacing="1" w:after="100" w:afterAutospacing="1"/>
        <w:ind w:left="720"/>
        <w:rPr>
          <w:u w:val="single"/>
        </w:rPr>
      </w:pPr>
      <w:r w:rsidRPr="00384290">
        <w:t xml:space="preserve">Through CTP, FDA researches, develops, and distributes information about tobacco and health to the public, professionals, various branches of government, and other interested groups nationwide using a wide array of formats and media channels. CTP collaborates closely with the Centers for Disease Control and Prevention’s (CDC’s) Office on Smoking and Health (OSH), which has experience implementing and evaluating national </w:t>
      </w:r>
      <w:r w:rsidR="00E433C5">
        <w:t>antitobacco</w:t>
      </w:r>
      <w:r w:rsidRPr="00384290">
        <w:t xml:space="preserve"> media campaigns. FDA will implement youth tobacco prevention campaigns, which are currently under development and will include evidence-based paid media advertising that highlights the negative health consequences of tobacco use. The objective of the evaluation is to measure the effectiveness of CTP public education campaigns designed to reduce tobacco use among general market youth aged 12 to 17. FDA’s general market youth prevention campaigns will focus on reducing tobacco use in the following audience segments: (1) youth who have not tried FDA-regulated tobacco products (non-triers), (2) youth who are intermittent users of FDA-regulated tobacco (experimenters), and (3) youth in rural areas who are susceptible to or use smokeless </w:t>
      </w:r>
      <w:r w:rsidRPr="00384290">
        <w:lastRenderedPageBreak/>
        <w:t>tobacco products. The goal of the proposed information collection is to evaluate the effectiveness of these efforts in affecting specific cognitive and behavioral outcomes related to tobacco use that are targeted by the campaigns.</w:t>
      </w:r>
    </w:p>
    <w:p w:rsidR="00FC77B9" w:rsidRPr="00FC77B9" w:rsidRDefault="00FC77B9" w:rsidP="00C0214D">
      <w:pPr>
        <w:spacing w:before="100" w:beforeAutospacing="1" w:after="100" w:afterAutospacing="1"/>
        <w:ind w:left="720"/>
      </w:pPr>
      <w:r w:rsidRPr="00FC77B9">
        <w:t>This study is designed to measure awareness of and exposure to FDA’s youth tobacco prevention campaigns among youth</w:t>
      </w:r>
      <w:r w:rsidR="00B01E83">
        <w:t xml:space="preserve"> in targeted areas of the</w:t>
      </w:r>
      <w:r w:rsidRPr="00FC77B9">
        <w:t xml:space="preserve"> </w:t>
      </w:r>
      <w:r w:rsidR="00B01E83" w:rsidRPr="00FC77B9">
        <w:t xml:space="preserve">U.S. </w:t>
      </w:r>
      <w:r w:rsidRPr="00FC77B9">
        <w:t xml:space="preserve">and assess </w:t>
      </w:r>
      <w:r w:rsidR="00E433C5">
        <w:t>their</w:t>
      </w:r>
      <w:r w:rsidRPr="00FC77B9">
        <w:t xml:space="preserve"> impact on outcome variables of interest. The primary outcome study will rely on in-person data collection and Web surveys to be self-administered on personal computers. The baseline survey of youth and their parent/guardian for the experimenter and non-trier campaigns will be fielded from November 2013 to January 201</w:t>
      </w:r>
      <w:r w:rsidR="00CC501E">
        <w:t>4</w:t>
      </w:r>
      <w:r w:rsidRPr="00FC77B9">
        <w:t>. The baseline household data collection will occur over a 3-month period, with the</w:t>
      </w:r>
      <w:r w:rsidR="003F47F7">
        <w:t xml:space="preserve"> majority</w:t>
      </w:r>
      <w:r w:rsidRPr="00FC77B9">
        <w:t xml:space="preserve"> of data collection occurring in the first 2 months. The baseline fielding period of male youth and their parent/guardian for the rural smokeless campaign will occur from </w:t>
      </w:r>
      <w:r w:rsidR="00C23CE3">
        <w:t>August</w:t>
      </w:r>
      <w:r w:rsidRPr="00FC77B9">
        <w:t xml:space="preserve"> to </w:t>
      </w:r>
      <w:r w:rsidR="00C23CE3">
        <w:t>October</w:t>
      </w:r>
      <w:r w:rsidRPr="00FC77B9">
        <w:t xml:space="preserve"> 2014; otherwise, all data collection methods and procedures are identical to the </w:t>
      </w:r>
      <w:r w:rsidR="008C2285">
        <w:t>non-trier and experimenter</w:t>
      </w:r>
      <w:r w:rsidR="00C0214D">
        <w:t xml:space="preserve"> </w:t>
      </w:r>
      <w:r w:rsidRPr="00FC77B9">
        <w:t xml:space="preserve">campaigns. </w:t>
      </w:r>
      <w:r w:rsidR="008C2285">
        <w:t>Youth in the study will complete</w:t>
      </w:r>
      <w:r w:rsidRPr="00FC77B9">
        <w:t xml:space="preserve"> three follow-up surveys </w:t>
      </w:r>
      <w:r w:rsidR="008C2285">
        <w:t>at</w:t>
      </w:r>
      <w:r w:rsidRPr="00FC77B9">
        <w:t xml:space="preserve"> 8-month i</w:t>
      </w:r>
      <w:r w:rsidR="008C2285">
        <w:t>ntervals following</w:t>
      </w:r>
      <w:r w:rsidRPr="00FC77B9">
        <w:t xml:space="preserve"> baseline data collection. The follow-up surveys will be conducted largely in</w:t>
      </w:r>
      <w:r w:rsidR="00C0214D">
        <w:t xml:space="preserve"> </w:t>
      </w:r>
      <w:r w:rsidRPr="00FC77B9">
        <w:t xml:space="preserve">person (70%), with the remainder (30%) conducted via a Web-based survey. This design will facilitate analysis of relationships between individuals’ exposure to the </w:t>
      </w:r>
      <w:r w:rsidR="000F4046">
        <w:t>campaigns</w:t>
      </w:r>
      <w:r w:rsidR="00621286">
        <w:t xml:space="preserve"> </w:t>
      </w:r>
      <w:r w:rsidRPr="00FC77B9">
        <w:t xml:space="preserve">and pre-post changes in outcomes of interest. This longitudinal design allows us to calculate baseline-to-follow-up changes in campaign-targeted outcomes for each study participant. We hypothesize that if the </w:t>
      </w:r>
      <w:r w:rsidR="000F4046">
        <w:t>campaigns are</w:t>
      </w:r>
      <w:r w:rsidRPr="00FC77B9">
        <w:t xml:space="preserve"> effective, the baseline-to-follow-up changes in outcomes should be larger among individuals exposed to the campaign</w:t>
      </w:r>
      <w:r w:rsidR="000F4046">
        <w:t>s</w:t>
      </w:r>
      <w:r w:rsidRPr="00FC77B9">
        <w:t xml:space="preserve"> more frequently (i.e., dose-response effects). Eligible youth will be aged 11 to 16 at baseline and 13 to 18 by the end of data collection, allowing us to follow the same youth over time and understand tobacco initiation, prevalence, and cessation for the campaigns’ target audience of youth aged 12 to 17.</w:t>
      </w:r>
      <w:r w:rsidR="00706056">
        <w:t xml:space="preserve">  As the cohort will be aging over this time period, the data collected throughout the study will reflect information from youth aged 11 to 18.</w:t>
      </w:r>
    </w:p>
    <w:p w:rsidR="00FC77B9" w:rsidRPr="00FC77B9" w:rsidRDefault="00FC77B9" w:rsidP="00621286">
      <w:pPr>
        <w:spacing w:before="100" w:beforeAutospacing="1" w:after="100" w:afterAutospacing="1"/>
        <w:ind w:left="720"/>
      </w:pPr>
      <w:r w:rsidRPr="00FC77B9">
        <w:t>In addition to the outcome evaluation surveys, we also plan to complete three Web-based media tracking surveys to better understand awareness of and receptivity to campaign materials among youth subpopulation groups of interest (e.g., gender, age, geographic area). Research studies have demonstrated that receptivity to advertisements is causally antecedent to actual ad effectiveness (e.g., Davis et al., 201</w:t>
      </w:r>
      <w:r w:rsidR="00621286">
        <w:t>3</w:t>
      </w:r>
      <w:r w:rsidRPr="00FC77B9">
        <w:t>; Davis, Uhrig, et al., 2011; Dillard, Shen, &amp; Vail, 2007; Dillard, Weber, &amp; Vail, 2007)</w:t>
      </w:r>
      <w:r w:rsidR="008F6C87">
        <w:t xml:space="preserve"> </w:t>
      </w:r>
      <w:r w:rsidRPr="00FC77B9">
        <w:t xml:space="preserve">Surveys will be conducted 4 months after campaign launch and at 8-month intervals throughout the evaluation period. The proposed surveys will provide early indicators of the campaign’s reach and resonance with specific youth subpopulations of interest. A new sample for the tracking study is necessary because more frequent surveys of the outcome evaluation could introduce unintended bias in their responses (i.e., panel conditioning). </w:t>
      </w:r>
    </w:p>
    <w:p w:rsidR="00FC77B9" w:rsidRDefault="00FC77B9" w:rsidP="00FC77B9">
      <w:pPr>
        <w:spacing w:before="100" w:beforeAutospacing="1" w:after="100" w:afterAutospacing="1"/>
        <w:ind w:left="720"/>
      </w:pPr>
      <w:r w:rsidRPr="00FC77B9">
        <w:t xml:space="preserve">The outcome baseline survey will include measures of </w:t>
      </w:r>
      <w:r w:rsidR="00493736">
        <w:t xml:space="preserve">tobacco-related </w:t>
      </w:r>
      <w:r w:rsidRPr="00FC77B9">
        <w:t>beliefs</w:t>
      </w:r>
      <w:r w:rsidR="00493736">
        <w:t xml:space="preserve">, </w:t>
      </w:r>
      <w:r w:rsidRPr="00FC77B9">
        <w:t>attitudes</w:t>
      </w:r>
      <w:r w:rsidR="00493736">
        <w:t>, intentions</w:t>
      </w:r>
      <w:r w:rsidR="00C0214D">
        <w:t>,</w:t>
      </w:r>
      <w:r w:rsidR="00493736">
        <w:t xml:space="preserve"> and behaviors</w:t>
      </w:r>
      <w:r w:rsidRPr="00FC77B9">
        <w:t xml:space="preserve">. The outcome follow-up surveys will include measures of audience awareness of and exposure to the campaign advertisements as well as the aforementioned outcome variables of interest. The baseline and follow-up questionnaires are presented in Attachment 2. </w:t>
      </w:r>
      <w:r w:rsidR="00482371">
        <w:t xml:space="preserve">The rationale for use of these specific measures is in Attachment 2a. </w:t>
      </w:r>
      <w:r w:rsidRPr="00FC77B9">
        <w:t xml:space="preserve">The tracking survey will assess awareness of the </w:t>
      </w:r>
      <w:r w:rsidR="000F4046">
        <w:t>campaigns</w:t>
      </w:r>
      <w:r w:rsidR="00621286">
        <w:t xml:space="preserve"> </w:t>
      </w:r>
      <w:r w:rsidRPr="00FC77B9">
        <w:t>and receptivity to campaign messages throughout the campaign; similar measures of beliefs</w:t>
      </w:r>
      <w:r w:rsidR="00493736">
        <w:t xml:space="preserve">, </w:t>
      </w:r>
      <w:r w:rsidRPr="00FC77B9">
        <w:t xml:space="preserve">attitudes, </w:t>
      </w:r>
      <w:r w:rsidR="00493736">
        <w:t xml:space="preserve">intentions, and </w:t>
      </w:r>
      <w:r w:rsidRPr="00FC77B9">
        <w:t>behavior are also critical in the survey in order to examine awareness across subgroups and to assess comparability with the representative outcome survey. As part of the outcome evaluation study, a baseline survey will also be conducted with the parent or legal guardian of each youth baseline survey participant to collect data on household characteristics and media use (Attachment 3). Tracking survey data will not be used to make statistical inferences about the U.S. population of youth. The media tracking survey is located in Attachment 4.</w:t>
      </w:r>
      <w:r w:rsidR="00482371">
        <w:t xml:space="preserve"> </w:t>
      </w:r>
      <w:r w:rsidR="00D34B8F">
        <w:t xml:space="preserve">Further </w:t>
      </w:r>
      <w:r w:rsidR="00482371">
        <w:t xml:space="preserve">rationale for conducting media tracking can be found in Attachment 4a. </w:t>
      </w:r>
    </w:p>
    <w:p w:rsidR="0000180C" w:rsidRPr="001E617C" w:rsidRDefault="0000180C" w:rsidP="00493C0A">
      <w:pPr>
        <w:pStyle w:val="BodyText1"/>
        <w:spacing w:after="0" w:line="240" w:lineRule="auto"/>
        <w:ind w:left="720" w:firstLine="0"/>
        <w:rPr>
          <w:szCs w:val="24"/>
        </w:rPr>
      </w:pPr>
      <w:r w:rsidRPr="001E617C">
        <w:rPr>
          <w:szCs w:val="24"/>
        </w:rPr>
        <w:t xml:space="preserve">The requested data collection is an evaluation designed to closely assess the planned media dose of FDA campaign </w:t>
      </w:r>
      <w:r>
        <w:rPr>
          <w:szCs w:val="24"/>
        </w:rPr>
        <w:t>advertisements across the U.S.  The evaluation will rely on a pre-post evaluation design that leverages natural and created variation in exposure to campaign messages across media markets.  As such, t</w:t>
      </w:r>
      <w:r w:rsidRPr="001E617C">
        <w:rPr>
          <w:szCs w:val="24"/>
        </w:rPr>
        <w:t xml:space="preserve">he highest standard of evidence for causal relationships between health marketing campaigns and behavior change is the demonstration of changes in behavioral outcomes of interest by media dose (e.g., </w:t>
      </w:r>
      <w:r>
        <w:rPr>
          <w:szCs w:val="24"/>
        </w:rPr>
        <w:t>Farrelly et al., 2005,</w:t>
      </w:r>
      <w:r w:rsidRPr="001E617C">
        <w:rPr>
          <w:szCs w:val="24"/>
        </w:rPr>
        <w:t xml:space="preserve"> 2009</w:t>
      </w:r>
      <w:r w:rsidRPr="001E617C">
        <w:rPr>
          <w:szCs w:val="24"/>
        </w:rPr>
        <w:fldChar w:fldCharType="begin"/>
      </w:r>
      <w:r w:rsidRPr="001E617C">
        <w:rPr>
          <w:szCs w:val="24"/>
        </w:rPr>
        <w:instrText xml:space="preserve"> XE "Farrelly et al., 2005, 2009" </w:instrText>
      </w:r>
      <w:r w:rsidRPr="001E617C">
        <w:rPr>
          <w:szCs w:val="24"/>
        </w:rPr>
        <w:fldChar w:fldCharType="end"/>
      </w:r>
      <w:r>
        <w:rPr>
          <w:szCs w:val="24"/>
        </w:rPr>
        <w:t>,</w:t>
      </w:r>
      <w:r w:rsidRPr="001E617C">
        <w:rPr>
          <w:szCs w:val="24"/>
        </w:rPr>
        <w:t xml:space="preserve"> 201</w:t>
      </w:r>
      <w:r>
        <w:rPr>
          <w:szCs w:val="24"/>
        </w:rPr>
        <w:t>2</w:t>
      </w:r>
      <w:r w:rsidRPr="001E617C">
        <w:rPr>
          <w:szCs w:val="24"/>
        </w:rPr>
        <w:fldChar w:fldCharType="begin"/>
      </w:r>
      <w:r w:rsidRPr="001E617C">
        <w:rPr>
          <w:szCs w:val="24"/>
        </w:rPr>
        <w:instrText xml:space="preserve"> XE "Farrelly et al., 2011" </w:instrText>
      </w:r>
      <w:r w:rsidRPr="001E617C">
        <w:rPr>
          <w:szCs w:val="24"/>
        </w:rPr>
        <w:fldChar w:fldCharType="end"/>
      </w:r>
      <w:r w:rsidRPr="001E617C">
        <w:rPr>
          <w:szCs w:val="24"/>
        </w:rPr>
        <w:t xml:space="preserve">).  The effect of the campaigns on tobacco-related outcomes will be examined using two types of campaign exposure measures, market-level media dose and self-reported campaign exposure at the individual-level.  </w:t>
      </w:r>
    </w:p>
    <w:p w:rsidR="0000180C" w:rsidRDefault="0000180C" w:rsidP="00493C0A">
      <w:pPr>
        <w:pStyle w:val="BodyText1"/>
        <w:spacing w:after="0" w:line="240" w:lineRule="auto"/>
        <w:ind w:left="720" w:firstLine="0"/>
        <w:rPr>
          <w:szCs w:val="24"/>
        </w:rPr>
      </w:pPr>
    </w:p>
    <w:p w:rsidR="0000180C" w:rsidRPr="001E617C" w:rsidRDefault="0000180C" w:rsidP="00493C0A">
      <w:pPr>
        <w:pStyle w:val="BodyText1"/>
        <w:spacing w:after="0" w:line="240" w:lineRule="auto"/>
        <w:ind w:left="720" w:firstLine="0"/>
        <w:rPr>
          <w:szCs w:val="24"/>
        </w:rPr>
      </w:pPr>
      <w:r w:rsidRPr="001E617C">
        <w:rPr>
          <w:szCs w:val="24"/>
        </w:rPr>
        <w:t>Exogenous market-level doses of media</w:t>
      </w:r>
      <w:r>
        <w:rPr>
          <w:szCs w:val="24"/>
        </w:rPr>
        <w:t xml:space="preserve"> will be </w:t>
      </w:r>
      <w:r w:rsidRPr="001E617C">
        <w:rPr>
          <w:szCs w:val="24"/>
        </w:rPr>
        <w:t xml:space="preserve">measured with advertising </w:t>
      </w:r>
      <w:r>
        <w:rPr>
          <w:szCs w:val="24"/>
        </w:rPr>
        <w:t>targeted rating points (T</w:t>
      </w:r>
      <w:r w:rsidRPr="001E617C">
        <w:rPr>
          <w:szCs w:val="24"/>
        </w:rPr>
        <w:t>RPs</w:t>
      </w:r>
      <w:r>
        <w:rPr>
          <w:szCs w:val="24"/>
        </w:rPr>
        <w:t>).  T</w:t>
      </w:r>
      <w:r w:rsidRPr="001E617C">
        <w:rPr>
          <w:szCs w:val="24"/>
        </w:rPr>
        <w:t>RPs are based on Nielsen ratings for the television programs or other media platforms on which campaign ads air. The primary hypothesis of this approach is that individuals who reside in media markets that receive higher doses of campaign media will exhibit an increased likelihood of behavior change, such as decreased intention to use tobacco.   This hypothesis is testabl</w:t>
      </w:r>
      <w:r>
        <w:rPr>
          <w:szCs w:val="24"/>
        </w:rPr>
        <w:t>e with the use of market-level campaign T</w:t>
      </w:r>
      <w:r w:rsidRPr="001E617C">
        <w:rPr>
          <w:szCs w:val="24"/>
        </w:rPr>
        <w:t xml:space="preserve">RP data in combination with individual-level survey data on outcomes of interest and generally requires two conditions to be met: (1) reasonable randomness in the media delivery at the market level and (2) a sufficient amount of variation in </w:t>
      </w:r>
      <w:r>
        <w:rPr>
          <w:szCs w:val="24"/>
        </w:rPr>
        <w:t>T</w:t>
      </w:r>
      <w:r w:rsidRPr="001E617C">
        <w:rPr>
          <w:szCs w:val="24"/>
        </w:rPr>
        <w:t>RPs to identify statistical relationships between the individual-leve</w:t>
      </w:r>
      <w:r>
        <w:rPr>
          <w:szCs w:val="24"/>
        </w:rPr>
        <w:t>l survey data and market-level T</w:t>
      </w:r>
      <w:r w:rsidRPr="001E617C">
        <w:rPr>
          <w:szCs w:val="24"/>
        </w:rPr>
        <w:t xml:space="preserve">RPs. However, campaign media are not delivered in random doses across U.S. media markets. This non-randomness in media delivery can </w:t>
      </w:r>
      <w:r>
        <w:rPr>
          <w:szCs w:val="24"/>
        </w:rPr>
        <w:t xml:space="preserve">potentially </w:t>
      </w:r>
      <w:r w:rsidRPr="001E617C">
        <w:rPr>
          <w:szCs w:val="24"/>
        </w:rPr>
        <w:t>obscure c</w:t>
      </w:r>
      <w:r>
        <w:rPr>
          <w:szCs w:val="24"/>
        </w:rPr>
        <w:t>ampaign effects or</w:t>
      </w:r>
      <w:r w:rsidRPr="001E617C">
        <w:rPr>
          <w:szCs w:val="24"/>
        </w:rPr>
        <w:t xml:space="preserve"> lead to spurious effects</w:t>
      </w:r>
      <w:r>
        <w:rPr>
          <w:szCs w:val="24"/>
        </w:rPr>
        <w:t xml:space="preserve"> </w:t>
      </w:r>
      <w:r w:rsidRPr="001E617C">
        <w:rPr>
          <w:szCs w:val="24"/>
        </w:rPr>
        <w:t xml:space="preserve"> if the media delivery is based on market characteristics that are also correlated with outcomes of interest, such as smoking susceptibility. Moreo</w:t>
      </w:r>
      <w:r>
        <w:rPr>
          <w:szCs w:val="24"/>
        </w:rPr>
        <w:t>ver, the use of T</w:t>
      </w:r>
      <w:r w:rsidRPr="001E617C">
        <w:rPr>
          <w:szCs w:val="24"/>
        </w:rPr>
        <w:t>RPs for determining the impact of a campaign can be hindered by a lack of market-to-market variation in media dose.  While variation may</w:t>
      </w:r>
      <w:r>
        <w:rPr>
          <w:szCs w:val="24"/>
        </w:rPr>
        <w:t xml:space="preserve"> </w:t>
      </w:r>
      <w:r w:rsidRPr="001E617C">
        <w:rPr>
          <w:szCs w:val="24"/>
        </w:rPr>
        <w:t xml:space="preserve">increase as campaign ads are aired across the U.S. over time, we do not know a priori whether sufficient variation in media delivery across markets will exist and can be used to test </w:t>
      </w:r>
      <w:r>
        <w:rPr>
          <w:szCs w:val="24"/>
        </w:rPr>
        <w:t>hypotheses based on T</w:t>
      </w:r>
      <w:r w:rsidRPr="001E617C">
        <w:rPr>
          <w:szCs w:val="24"/>
        </w:rPr>
        <w:t xml:space="preserve">RPs. </w:t>
      </w:r>
    </w:p>
    <w:p w:rsidR="0000180C" w:rsidRDefault="0000180C" w:rsidP="00493C0A">
      <w:pPr>
        <w:pStyle w:val="BodyText1"/>
        <w:spacing w:after="0" w:line="240" w:lineRule="auto"/>
        <w:ind w:left="720" w:firstLine="0"/>
        <w:rPr>
          <w:szCs w:val="24"/>
        </w:rPr>
      </w:pPr>
    </w:p>
    <w:p w:rsidR="0000180C" w:rsidRDefault="0000180C" w:rsidP="00493C0A">
      <w:pPr>
        <w:pStyle w:val="BodyText1"/>
        <w:spacing w:after="0" w:line="240" w:lineRule="auto"/>
        <w:ind w:left="720" w:firstLine="0"/>
        <w:rPr>
          <w:szCs w:val="24"/>
        </w:rPr>
      </w:pPr>
      <w:r w:rsidRPr="001E617C">
        <w:rPr>
          <w:szCs w:val="24"/>
        </w:rPr>
        <w:t>A second measure of campaign exposure, self-reported exposure, may be used to examine campaign effects given the limitations of market-level exposure measures.  Self-reported recall of campaign ads will be measured at the individual level.  The primary hypothesis of this approach is that individuals who self-report greater frequency of exposure to campaign advertisements will exhibit an increased likelihood of behavior change.  Th</w:t>
      </w:r>
      <w:r>
        <w:rPr>
          <w:szCs w:val="24"/>
        </w:rPr>
        <w:t xml:space="preserve">is </w:t>
      </w:r>
      <w:r w:rsidRPr="001E617C">
        <w:rPr>
          <w:szCs w:val="24"/>
        </w:rPr>
        <w:t>approach may result in greater overall variation in exposure and potentially increased statistical power to identify associations between campaign advertisements and key outcomes of interest. The primary limitation of this approach is that self-reported measures of exposure are subject to “selective attention” bias whereby smokers who are more willing to quit can also be more attentive to campaign messages and thus more likely to indicate exposure. Because this can obscure the direction of causality for campaign effects, we will account statistically for preexisting selective attention.  In summary, the specific and frequent measurement of both market-level and individual-level campaign exposure requested as part of this data collection effort are necessary to accurately evaluate</w:t>
      </w:r>
      <w:r>
        <w:rPr>
          <w:szCs w:val="24"/>
        </w:rPr>
        <w:t xml:space="preserve"> campaign exposure and potential </w:t>
      </w:r>
      <w:r w:rsidRPr="001E617C">
        <w:rPr>
          <w:szCs w:val="24"/>
        </w:rPr>
        <w:t>impact</w:t>
      </w:r>
      <w:r>
        <w:rPr>
          <w:szCs w:val="24"/>
        </w:rPr>
        <w:t xml:space="preserve"> which mitigating the limitations of one approach in isolation</w:t>
      </w:r>
      <w:r w:rsidRPr="001E617C">
        <w:rPr>
          <w:szCs w:val="24"/>
        </w:rPr>
        <w:t xml:space="preserve">.  </w:t>
      </w:r>
    </w:p>
    <w:p w:rsidR="0000180C" w:rsidRDefault="0000180C" w:rsidP="0000180C">
      <w:pPr>
        <w:rPr>
          <w:lang w:eastAsia="x-none"/>
        </w:rPr>
      </w:pPr>
      <w:r>
        <w:br w:type="page"/>
      </w:r>
    </w:p>
    <w:p w:rsidR="0000180C" w:rsidRPr="00FC77B9" w:rsidRDefault="0000180C" w:rsidP="00FC77B9">
      <w:pPr>
        <w:spacing w:before="100" w:beforeAutospacing="1" w:after="100" w:afterAutospacing="1"/>
        <w:ind w:left="720"/>
      </w:pP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8434C7" w:rsidRDefault="008434C7" w:rsidP="008434C7">
      <w:pPr>
        <w:ind w:left="720"/>
      </w:pPr>
      <w:r>
        <w:t>The information obtained from the proposed data collection activities is collected from individuals or households and will be used to inform FDA, policy makers in the United States, prevention practitioners, and researchers about the extent of youth’s exposure to the campaigns’ messages and the extent to which exposure to these messages is associated with changes in target outcomes. While not exhaustive, the list below illustrates a range of purposes and uses for the proposed information collection:</w:t>
      </w:r>
    </w:p>
    <w:p w:rsidR="008434C7" w:rsidRDefault="008434C7" w:rsidP="008434C7">
      <w:pPr>
        <w:ind w:left="720"/>
      </w:pPr>
    </w:p>
    <w:p w:rsidR="008434C7" w:rsidRDefault="008434C7" w:rsidP="0044134D">
      <w:pPr>
        <w:numPr>
          <w:ilvl w:val="1"/>
          <w:numId w:val="1"/>
        </w:numPr>
        <w:tabs>
          <w:tab w:val="left" w:pos="1440"/>
        </w:tabs>
        <w:ind w:left="1440" w:hanging="360"/>
      </w:pPr>
      <w:r>
        <w:t>Provide critical data on the reach of the campaign</w:t>
      </w:r>
      <w:r w:rsidR="00E433C5">
        <w:t>s</w:t>
      </w:r>
      <w:r>
        <w:t xml:space="preserve"> among youth in the United States, particularly with estimates of the proportion of the population that was exposed to the campaign</w:t>
      </w:r>
      <w:r w:rsidR="00E433C5">
        <w:t>s</w:t>
      </w:r>
      <w:r>
        <w:t>.</w:t>
      </w:r>
    </w:p>
    <w:p w:rsidR="008434C7" w:rsidRDefault="008434C7" w:rsidP="008434C7">
      <w:pPr>
        <w:numPr>
          <w:ilvl w:val="1"/>
          <w:numId w:val="1"/>
        </w:numPr>
        <w:tabs>
          <w:tab w:val="left" w:pos="1440"/>
        </w:tabs>
        <w:ind w:left="1440" w:hanging="360"/>
      </w:pPr>
      <w:r>
        <w:t xml:space="preserve">Understand the influence of the </w:t>
      </w:r>
      <w:r w:rsidR="000F4046">
        <w:t xml:space="preserve">campaigns </w:t>
      </w:r>
      <w:r>
        <w:t xml:space="preserve">on </w:t>
      </w:r>
      <w:r w:rsidR="00493736">
        <w:t xml:space="preserve">beliefs, </w:t>
      </w:r>
      <w:r>
        <w:t xml:space="preserve">attitudes, </w:t>
      </w:r>
      <w:r w:rsidR="00493736">
        <w:t>intentions</w:t>
      </w:r>
      <w:r>
        <w:t>, and behaviors around tobacco use.</w:t>
      </w:r>
    </w:p>
    <w:p w:rsidR="008434C7" w:rsidRDefault="008434C7" w:rsidP="008434C7">
      <w:pPr>
        <w:numPr>
          <w:ilvl w:val="1"/>
          <w:numId w:val="1"/>
        </w:numPr>
        <w:tabs>
          <w:tab w:val="left" w:pos="1440"/>
        </w:tabs>
        <w:ind w:left="1440" w:hanging="360"/>
      </w:pPr>
      <w:r>
        <w:t>Inform FDA, policy makers, and other stakeholders on the impact of the campaign</w:t>
      </w:r>
      <w:r w:rsidR="00E433C5">
        <w:t>s</w:t>
      </w:r>
      <w:r>
        <w:t xml:space="preserve"> overall.</w:t>
      </w:r>
    </w:p>
    <w:p w:rsidR="008434C7" w:rsidRDefault="008434C7" w:rsidP="008434C7">
      <w:pPr>
        <w:numPr>
          <w:ilvl w:val="1"/>
          <w:numId w:val="1"/>
        </w:numPr>
        <w:tabs>
          <w:tab w:val="left" w:pos="1440"/>
        </w:tabs>
        <w:ind w:left="1440" w:hanging="360"/>
      </w:pPr>
      <w:r>
        <w:t>Inform the public about the impact of the campaign</w:t>
      </w:r>
      <w:r w:rsidR="00E433C5">
        <w:t>s</w:t>
      </w:r>
      <w:r>
        <w:t>.</w:t>
      </w:r>
    </w:p>
    <w:p w:rsidR="008434C7" w:rsidRDefault="008434C7" w:rsidP="008434C7">
      <w:pPr>
        <w:numPr>
          <w:ilvl w:val="1"/>
          <w:numId w:val="1"/>
        </w:numPr>
        <w:tabs>
          <w:tab w:val="left" w:pos="1440"/>
        </w:tabs>
        <w:ind w:left="1440" w:hanging="360"/>
      </w:pPr>
      <w:r>
        <w:t>Inform future programs that may be designed for similar purposes.</w:t>
      </w:r>
    </w:p>
    <w:p w:rsidR="008434C7" w:rsidRDefault="008434C7" w:rsidP="008434C7">
      <w:pPr>
        <w:tabs>
          <w:tab w:val="left" w:pos="720"/>
        </w:tabs>
        <w:ind w:left="720"/>
      </w:pPr>
    </w:p>
    <w:p w:rsidR="008434C7" w:rsidRDefault="008434C7" w:rsidP="0044134D">
      <w:pPr>
        <w:ind w:left="720"/>
      </w:pPr>
      <w:r>
        <w:t xml:space="preserve">To achieve these goals, data collection will consist of a baseline interview and several follow-up interviews with selected parents and youth. The in-person baseline household data collection for parents and youth will occur over a 3-month period, with the </w:t>
      </w:r>
      <w:r w:rsidR="008C2285">
        <w:t>majority</w:t>
      </w:r>
      <w:r>
        <w:t xml:space="preserve"> of data collection occurring in the first 2 months. Three longitudinal follow-up surveys will occur in 8-month intervals following the baseline data collection. The follow-up surveys will be conducted largely in person (approximately 70%), with the remainder conducted via a Web-based survey (approximately 30%). Eligible youth will be aged 11 to 16 at baseline and 13 to 18 by the end of data collection</w:t>
      </w:r>
      <w:r w:rsidR="00E433C5">
        <w:t xml:space="preserve">. </w:t>
      </w:r>
      <w:r>
        <w:t xml:space="preserve">This design allows the same youth to be followed over time and provides the data needed to address the study’s goals. In addition, three waves of a media tracking survey with a convenience sample of U.S. youth will be gathered between waves of the primary longitudinal data collection. All tracking surveys will be conducted by </w:t>
      </w:r>
      <w:r w:rsidR="0044134D">
        <w:t>RTI</w:t>
      </w:r>
      <w:r w:rsidR="00766C35">
        <w:t xml:space="preserve"> International</w:t>
      </w:r>
      <w:r>
        <w:t xml:space="preserve"> using a convenience sample purchased from the digital data collection company Global Market Insite, Inc. (GMI). GMI will provide youth respondents for three unique, cross-sectional surveys while allowing RTI to manage the survey fielding and data collection on its own secure server. The baseline experimenter and non-trier campaign surveys will include youth aged 11 to 16 in 75 U.S. markets</w:t>
      </w:r>
      <w:r w:rsidR="00F367C4">
        <w:t>, at waves 2, 3, and 4 expecting an 80% response rate.</w:t>
      </w:r>
    </w:p>
    <w:p w:rsidR="00A15D0F" w:rsidRDefault="00A15D0F" w:rsidP="008434C7">
      <w:pPr>
        <w:ind w:left="720"/>
      </w:pPr>
    </w:p>
    <w:p w:rsidR="00A15D0F" w:rsidRDefault="00A15D0F" w:rsidP="008434C7">
      <w:pPr>
        <w:ind w:left="720"/>
      </w:pPr>
    </w:p>
    <w:p w:rsidR="008434C7" w:rsidRDefault="008434C7" w:rsidP="008434C7">
      <w:pPr>
        <w:ind w:left="720"/>
      </w:pPr>
      <w:r>
        <w:t>The baseline rural smokeless campaign surveys will include male youth aged 11 to 16 in 21 rural media markets with</w:t>
      </w:r>
      <w:r w:rsidR="00A84DF9">
        <w:t xml:space="preserve"> waves 2, 3, and 4 expecting an 80% response rate.</w:t>
      </w:r>
      <w:r w:rsidR="00706056">
        <w:t xml:space="preserve">  </w:t>
      </w:r>
      <w:r w:rsidR="00706056" w:rsidRPr="00706056">
        <w:t>As the cohort will be aging over this time period, the data collected throughout the study will reflect information from youth aged 11 to 18.</w:t>
      </w:r>
    </w:p>
    <w:p w:rsidR="00A15D0F" w:rsidRDefault="00A15D0F" w:rsidP="008434C7">
      <w:pPr>
        <w:ind w:left="720"/>
      </w:pPr>
    </w:p>
    <w:p w:rsidR="008434C7" w:rsidRDefault="008434C7" w:rsidP="00A15D0F">
      <w:pPr>
        <w:ind w:left="720"/>
      </w:pPr>
      <w:r>
        <w:t>The cross-sectional media tracking surveys will include youth aged 13 to 17 in the United States in each of three waves.</w:t>
      </w:r>
      <w:r w:rsidR="006277F2">
        <w:t xml:space="preserve"> </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A15D0F" w:rsidRDefault="00A15D0F" w:rsidP="00766C35">
      <w:pPr>
        <w:ind w:left="720"/>
      </w:pPr>
      <w:r>
        <w:t>This outcome study will rely on in-person surveys for baseline data collection and in-person and Web surveys for follow-up waves. The proposed approach of in-person recruitment and online surveys provides a number of methodological advantages, including increased accuracy in measurement of key variables of interest, sample characteristics</w:t>
      </w:r>
      <w:r w:rsidR="002A339A">
        <w:t xml:space="preserve"> that are representative of the population of interest</w:t>
      </w:r>
      <w:r>
        <w:t>, and reduced burden on study participants. This methodology permits the instrument designer to incorporate into the questionnaire routings that might be overly complex or not possible</w:t>
      </w:r>
      <w:r w:rsidR="004046BD">
        <w:t xml:space="preserve"> with alternative methods</w:t>
      </w:r>
      <w:r>
        <w:t xml:space="preserve">. The </w:t>
      </w:r>
      <w:r w:rsidR="00961167" w:rsidRPr="0096400B">
        <w:t xml:space="preserve">laptop </w:t>
      </w:r>
      <w:r>
        <w:t>computer</w:t>
      </w:r>
      <w:r w:rsidRPr="0096400B">
        <w:t xml:space="preserve"> </w:t>
      </w:r>
      <w:r w:rsidR="00961167" w:rsidRPr="0096400B">
        <w:t>which will be used to collect youth data</w:t>
      </w:r>
      <w:r>
        <w:t xml:space="preserve"> can be programmed to implement complex skip patterns and fill specific wordings based on the respondent’s previous answers. Interviewer and respondent errors caused by faulty implementation of skip instructions are virtually eliminated. Second, this methodology increases the consistency of the data. The computer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766C35">
        <w:t xml:space="preserve"> </w:t>
      </w:r>
      <w:r w:rsidR="00766C35" w:rsidRPr="00766C35">
        <w:t xml:space="preserve">FDA estimates that </w:t>
      </w:r>
      <w:r w:rsidR="00766C35">
        <w:t>100</w:t>
      </w:r>
      <w:r w:rsidR="00766C35" w:rsidRPr="00766C35">
        <w:t>% of the respondents will use electronic means to fulfill the agency’s requirement or request</w:t>
      </w:r>
      <w:r w:rsidR="00766C35">
        <w:t xml:space="preserve">. </w:t>
      </w:r>
    </w:p>
    <w:p w:rsidR="00A15D0F" w:rsidRDefault="00A15D0F" w:rsidP="00A15D0F">
      <w:pPr>
        <w:ind w:left="720"/>
      </w:pPr>
    </w:p>
    <w:p w:rsidR="00A15D0F" w:rsidRDefault="00A15D0F" w:rsidP="00A15D0F">
      <w:pPr>
        <w:ind w:left="720"/>
      </w:pPr>
      <w:r>
        <w:t>The self-administered technology</w:t>
      </w:r>
      <w:r w:rsidR="00C133A6">
        <w:t xml:space="preserve"> for the survey</w:t>
      </w:r>
      <w:r>
        <w:t xml:space="preserve"> permits greater expediency with respect to data processing and analysis (e.g., a number of back-end processing steps, including coding and data entry). Data are transmitted electronically</w:t>
      </w:r>
      <w:r w:rsidRPr="0096400B">
        <w:t xml:space="preserve"> </w:t>
      </w:r>
      <w:r w:rsidR="00961167" w:rsidRPr="0096400B">
        <w:t>at the end of the day,</w:t>
      </w:r>
      <w:r>
        <w:t xml:space="preserve"> rather than by mail. These efficiencies save time due to the speed of data transmission, as well as receipt in a format suitable for analysis. Finally, as noted above, this technology permits respondents to complete the interview in privacy. Providing the respondent with a methodology that improves privacy makes reporting of potentially embarrassing or stigmatizing behaviors (e.g., tobacco use) less threatening and enhances response validity and response rates.</w:t>
      </w:r>
    </w:p>
    <w:p w:rsidR="00A15D0F" w:rsidRDefault="00A15D0F" w:rsidP="00A15D0F">
      <w:pPr>
        <w:ind w:left="720"/>
      </w:pPr>
    </w:p>
    <w:p w:rsidR="00A15D0F" w:rsidRDefault="00A15D0F" w:rsidP="00A15D0F">
      <w:pPr>
        <w:ind w:left="720"/>
      </w:pPr>
      <w:r>
        <w:t>Interviewers will also use hand-held tablets to conduct household screening interviews</w:t>
      </w:r>
      <w:r w:rsidR="00C465A3" w:rsidRPr="0096400B">
        <w:t xml:space="preserve"> and collect</w:t>
      </w:r>
      <w:r w:rsidR="00961167" w:rsidRPr="0096400B">
        <w:t xml:space="preserve"> </w:t>
      </w:r>
      <w:r w:rsidR="00C465A3" w:rsidRPr="0096400B">
        <w:t>adult</w:t>
      </w:r>
      <w:r w:rsidR="00961167" w:rsidRPr="0096400B">
        <w:t xml:space="preserve"> data</w:t>
      </w:r>
      <w:r w:rsidRPr="0096400B">
        <w:t>.</w:t>
      </w:r>
      <w:r>
        <w:t xml:space="preserve"> The primary advantage of this computer-assisted methodology is improved accuracy in selecting the correct household member for an interview. The computer automatically selects the correct household member based on the demographic variables entered, thus substantially reducing the probability for human error. The hand-held computers also provide the benefits of complex case management tools</w:t>
      </w:r>
      <w:r w:rsidR="00961167" w:rsidRPr="0096400B">
        <w:t xml:space="preserve">, ability to generate ID codes for youth respondents which will be used to link </w:t>
      </w:r>
      <w:r w:rsidR="00C465A3" w:rsidRPr="0096400B">
        <w:t>adult</w:t>
      </w:r>
      <w:r w:rsidR="00961167" w:rsidRPr="0096400B">
        <w:t xml:space="preserve"> and youth data,</w:t>
      </w:r>
      <w:r>
        <w:t xml:space="preserve"> and quick, secure electronic transfer of data.</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A15D0F" w:rsidRDefault="00A15D0F" w:rsidP="00A83B43">
      <w:pPr>
        <w:ind w:left="720"/>
      </w:pPr>
      <w:r w:rsidRPr="00A15D0F">
        <w:t>FDA’s youth tobacco prevention campaign efforts are new. To date, there has been no in-depth evaluation of these campaigns in a real-world setting, and there are no existing data sources that contain measures on awareness of and exposure to the campaigns.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youth tobacco initiation. We investigated the possibility of using existing data to examine our research questions, such as data collected as part of ongoing national surveillance systems, evaluations of current or past state-level campaigns for youth, the National Youth Tobacco Survey, the Youth Risk Behavior Surveillance System</w:t>
      </w:r>
      <w:r w:rsidR="007169BF">
        <w:t xml:space="preserve"> and the Population Assessment of Tobacco and Health</w:t>
      </w:r>
      <w:r w:rsidRPr="00A15D0F">
        <w:t>. Due to the timing of the campaigns, none of these existing data sources will be able to provide the necessary data collection needs of the campaigns.</w:t>
      </w:r>
    </w:p>
    <w:p w:rsidR="002746DB"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A15D0F" w:rsidRPr="00A15D0F" w:rsidRDefault="00A15D0F" w:rsidP="00A15D0F">
      <w:pPr>
        <w:spacing w:before="100" w:beforeAutospacing="1" w:after="100" w:afterAutospacing="1"/>
        <w:ind w:left="720"/>
      </w:pPr>
      <w:r w:rsidRPr="00A15D0F">
        <w:t>Respondents in this study will be members of the general public, specific subpopulations or specific professions, not business entities. No impact on small businesses or other small entities is anticipated.</w:t>
      </w:r>
    </w:p>
    <w:p w:rsidR="00CD77C3"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A15D0F" w:rsidRPr="00A15D0F" w:rsidRDefault="00A15D0F" w:rsidP="00A83B43">
      <w:pPr>
        <w:spacing w:before="100" w:beforeAutospacing="1" w:after="100" w:afterAutospacing="1"/>
        <w:ind w:left="720"/>
      </w:pPr>
      <w:r>
        <w:t xml:space="preserve">Respondents to this collection of information will answer on an occasional basis. </w:t>
      </w:r>
      <w:r w:rsidRPr="00A15D0F">
        <w:t xml:space="preserve">While there are no legal obstacles to reduce burden, any lack of information needed to evaluate the Tobacco Public Education Campaign may impede the federal government’s efforts to improve public health. Without the information collection requested for this evaluation study, it would be difficult to determine the value or impact of the campaigns on the lives of the people they are intended to serve. Failure to collect these data could reduce effective use of FDA’s program resources to benefit youth in the United States. Careful consideration has been given to how frequently the campaigns’ intended audience should be surveyed for evaluation purposes. We believe that the proposed longitudinal survey and tracking survey will provide sufficient data to evaluate the </w:t>
      </w:r>
      <w:r w:rsidR="000F4046">
        <w:t xml:space="preserve">campaigns </w:t>
      </w:r>
      <w:r w:rsidRPr="00A15D0F">
        <w:t>effectively.</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4E7AB4" w:rsidRDefault="004E7AB4" w:rsidP="004E7AB4">
      <w:pPr>
        <w:ind w:left="720"/>
      </w:pPr>
      <w:r w:rsidRPr="004E7AB4">
        <w:t xml:space="preserve">There are no special circumstances </w:t>
      </w:r>
      <w:r>
        <w:t xml:space="preserve">for this collection of information </w:t>
      </w:r>
      <w:r w:rsidRPr="004E7AB4">
        <w:t xml:space="preserve">that require </w:t>
      </w:r>
      <w:r>
        <w:t xml:space="preserve">the </w:t>
      </w:r>
      <w:r w:rsidRPr="004E7AB4">
        <w:t>data collection to be conducted in a manner inconsistent with 5 CRF 1320.5(d)(2). The message testing activities fully comply with the guidelines in 5 CFR 1320.5.</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RDefault="0089126F" w:rsidP="00705086">
      <w:pPr>
        <w:ind w:left="720"/>
      </w:pPr>
      <w:r w:rsidRPr="0089126F">
        <w:t>In accordance with 5 CFR 1320.8(d), FDA published a 60-day notice for public comment in the Federal Register on June 21, 2013 (78 FR 37546) FDA received two public comments that were not related to the information collection.  The first comment, submitted by a private citizen, does not agree with the government spending money on campaigns like this. The comment does not go in detail or provide any alternatives for conducting this study.  The second comment, from a tobacco advocacy group for reducing tobacco use, is a letter of support for FDA to gain approval to conduct this study.  Both comments did not contain any information related to the Paperwork Reduction Act, and therefore, are beyon</w:t>
      </w:r>
      <w:r>
        <w:t>d the scope of this collection.</w:t>
      </w:r>
    </w:p>
    <w:p w:rsidR="004E7AB4" w:rsidRDefault="004E7AB4" w:rsidP="004E7AB4">
      <w:pPr>
        <w:ind w:left="720"/>
      </w:pPr>
      <w:r>
        <w:t>The following individuals inside the agency have been consulted on the design of the campaign evaluation plan, audience questionnaire development, or intra-agency coordination of information collection efforts:</w:t>
      </w:r>
    </w:p>
    <w:p w:rsidR="004E7AB4" w:rsidRDefault="004E7AB4" w:rsidP="004E7AB4">
      <w:pPr>
        <w:ind w:left="720"/>
      </w:pPr>
    </w:p>
    <w:p w:rsidR="004E7AB4" w:rsidRDefault="004E7AB4" w:rsidP="004E7AB4">
      <w:pPr>
        <w:ind w:left="720"/>
      </w:pPr>
      <w:r>
        <w:t>Tesfa Alexander</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4E7AB4">
      <w:pPr>
        <w:ind w:left="720"/>
      </w:pPr>
      <w:r>
        <w:t>Phone:</w:t>
      </w:r>
      <w:r>
        <w:tab/>
        <w:t>301</w:t>
      </w:r>
      <w:r w:rsidR="00A83B43">
        <w:t>-</w:t>
      </w:r>
      <w:r>
        <w:t>796.9335</w:t>
      </w:r>
    </w:p>
    <w:p w:rsidR="004E7AB4" w:rsidRDefault="004E7AB4" w:rsidP="004E7AB4">
      <w:pPr>
        <w:ind w:left="720"/>
      </w:pPr>
      <w:r>
        <w:t>E-mail:</w:t>
      </w:r>
      <w:r>
        <w:tab/>
      </w:r>
      <w:r w:rsidR="00A83B43">
        <w:t xml:space="preserve"> </w:t>
      </w:r>
      <w:hyperlink r:id="rId10" w:history="1">
        <w:r w:rsidRPr="004A3E9D">
          <w:rPr>
            <w:rStyle w:val="Hyperlink"/>
          </w:rPr>
          <w:t>Tesfa.Alexander@fda.hhs.gov</w:t>
        </w:r>
      </w:hyperlink>
    </w:p>
    <w:p w:rsidR="004E7AB4" w:rsidRDefault="004E7AB4" w:rsidP="004E7AB4">
      <w:pPr>
        <w:ind w:left="720"/>
      </w:pPr>
    </w:p>
    <w:p w:rsidR="004E7AB4" w:rsidRDefault="004E7AB4" w:rsidP="004E7AB4">
      <w:pPr>
        <w:ind w:left="720"/>
      </w:pPr>
      <w:r>
        <w:t>Emily Talbert</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4E7AB4">
      <w:pPr>
        <w:ind w:left="720"/>
      </w:pPr>
      <w:r>
        <w:t>Phone:</w:t>
      </w:r>
      <w:r>
        <w:tab/>
        <w:t>301-796-9116</w:t>
      </w:r>
    </w:p>
    <w:p w:rsidR="004E7AB4" w:rsidRDefault="004E7AB4" w:rsidP="004E7AB4">
      <w:pPr>
        <w:ind w:left="720"/>
      </w:pPr>
      <w:r>
        <w:t>E-mail:</w:t>
      </w:r>
      <w:r>
        <w:tab/>
      </w:r>
      <w:r w:rsidR="00A83B43">
        <w:t xml:space="preserve"> </w:t>
      </w:r>
      <w:hyperlink r:id="rId11" w:history="1">
        <w:r w:rsidRPr="004A3E9D">
          <w:rPr>
            <w:rStyle w:val="Hyperlink"/>
          </w:rPr>
          <w:t>Emily.Talbert@fda.hhs.gov</w:t>
        </w:r>
      </w:hyperlink>
    </w:p>
    <w:p w:rsidR="004E7AB4" w:rsidRDefault="004E7AB4" w:rsidP="004E7AB4">
      <w:pPr>
        <w:ind w:left="720"/>
      </w:pPr>
    </w:p>
    <w:p w:rsidR="00155FD2" w:rsidRDefault="00983DC7" w:rsidP="004E7AB4">
      <w:pPr>
        <w:ind w:left="720"/>
      </w:pPr>
      <w:r>
        <w:br w:type="page"/>
      </w:r>
      <w:r w:rsidR="00155FD2">
        <w:t>Lucinda Miner</w:t>
      </w:r>
    </w:p>
    <w:p w:rsidR="00155FD2" w:rsidRDefault="00155FD2" w:rsidP="00155FD2">
      <w:pPr>
        <w:ind w:left="720"/>
      </w:pPr>
      <w:r>
        <w:t>Office of Health Communication &amp; Education</w:t>
      </w:r>
    </w:p>
    <w:p w:rsidR="00155FD2" w:rsidRDefault="00155FD2" w:rsidP="00155FD2">
      <w:pPr>
        <w:ind w:left="720"/>
      </w:pPr>
      <w:r>
        <w:t>Center for Tobacco Products</w:t>
      </w:r>
    </w:p>
    <w:p w:rsidR="00155FD2" w:rsidRDefault="00155FD2" w:rsidP="00155FD2">
      <w:pPr>
        <w:ind w:left="720"/>
      </w:pPr>
      <w:r>
        <w:t>Food and Drug Administration</w:t>
      </w:r>
    </w:p>
    <w:p w:rsidR="00155FD2" w:rsidRDefault="00155FD2" w:rsidP="00155FD2">
      <w:pPr>
        <w:ind w:left="720"/>
      </w:pPr>
      <w:r>
        <w:t>9200 Corporate Boulevard</w:t>
      </w:r>
    </w:p>
    <w:p w:rsidR="00155FD2" w:rsidRDefault="00155FD2" w:rsidP="00155FD2">
      <w:pPr>
        <w:ind w:left="720"/>
      </w:pPr>
      <w:r>
        <w:t>Rockville, MD 20850</w:t>
      </w:r>
    </w:p>
    <w:p w:rsidR="00155FD2" w:rsidRDefault="00155FD2" w:rsidP="00A83B43">
      <w:pPr>
        <w:ind w:left="720"/>
      </w:pPr>
      <w:r>
        <w:t>Phone:</w:t>
      </w:r>
      <w:r>
        <w:tab/>
        <w:t>301</w:t>
      </w:r>
      <w:r w:rsidR="00A83B43">
        <w:t>-</w:t>
      </w:r>
      <w:r>
        <w:t>796-9181</w:t>
      </w:r>
    </w:p>
    <w:p w:rsidR="00155FD2" w:rsidRDefault="00155FD2" w:rsidP="00155FD2">
      <w:pPr>
        <w:ind w:left="720"/>
      </w:pPr>
      <w:r>
        <w:t xml:space="preserve">E-mail: </w:t>
      </w:r>
      <w:hyperlink r:id="rId12" w:history="1">
        <w:r w:rsidRPr="004A3E9D">
          <w:rPr>
            <w:rStyle w:val="Hyperlink"/>
          </w:rPr>
          <w:t>Lucinda.Miner@fda.hhs.gov</w:t>
        </w:r>
      </w:hyperlink>
      <w:r>
        <w:t xml:space="preserve"> </w:t>
      </w:r>
    </w:p>
    <w:p w:rsidR="00155FD2" w:rsidRDefault="00155FD2" w:rsidP="004E7AB4">
      <w:pPr>
        <w:ind w:left="720"/>
      </w:pPr>
    </w:p>
    <w:p w:rsidR="004E7AB4" w:rsidRDefault="004E7AB4" w:rsidP="004E7AB4">
      <w:pPr>
        <w:ind w:left="720"/>
      </w:pPr>
      <w:r>
        <w:t>April Brubach</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Rockville, MD 20850</w:t>
      </w:r>
    </w:p>
    <w:p w:rsidR="004E7AB4" w:rsidRDefault="004E7AB4" w:rsidP="00A83B43">
      <w:pPr>
        <w:ind w:left="720"/>
      </w:pPr>
      <w:r>
        <w:t>Phone:</w:t>
      </w:r>
      <w:r>
        <w:tab/>
        <w:t>301</w:t>
      </w:r>
      <w:r w:rsidR="00A83B43">
        <w:t>-</w:t>
      </w:r>
      <w:r>
        <w:t>796-9214</w:t>
      </w:r>
    </w:p>
    <w:p w:rsidR="004E7AB4" w:rsidRDefault="004E7AB4" w:rsidP="004E7AB4">
      <w:pPr>
        <w:ind w:left="720"/>
      </w:pPr>
      <w:r>
        <w:t>E-mail:</w:t>
      </w:r>
      <w:r>
        <w:tab/>
      </w:r>
      <w:r w:rsidR="00A83B43">
        <w:t xml:space="preserve"> </w:t>
      </w:r>
      <w:hyperlink r:id="rId13" w:history="1">
        <w:r w:rsidRPr="004A3E9D">
          <w:rPr>
            <w:rStyle w:val="Hyperlink"/>
          </w:rPr>
          <w:t>April.Brubach@fda.hhs.gov</w:t>
        </w:r>
      </w:hyperlink>
    </w:p>
    <w:p w:rsidR="004E7AB4" w:rsidRDefault="004E7AB4" w:rsidP="004E7AB4">
      <w:pPr>
        <w:ind w:left="720"/>
      </w:pPr>
    </w:p>
    <w:p w:rsidR="004E7AB4" w:rsidRDefault="004E7AB4" w:rsidP="004E7AB4">
      <w:pPr>
        <w:ind w:left="720"/>
      </w:pPr>
      <w:r>
        <w:t>Gem Benoza</w:t>
      </w:r>
    </w:p>
    <w:p w:rsidR="004E7AB4" w:rsidRDefault="004E7AB4" w:rsidP="004E7AB4">
      <w:pPr>
        <w:ind w:left="720"/>
      </w:pPr>
      <w:r>
        <w:t>Office of Health Communication &amp; Education</w:t>
      </w:r>
    </w:p>
    <w:p w:rsidR="004E7AB4" w:rsidRDefault="004E7AB4" w:rsidP="004E7AB4">
      <w:pPr>
        <w:ind w:left="720"/>
      </w:pPr>
      <w:r>
        <w:t>Center for Tobacco Products</w:t>
      </w:r>
    </w:p>
    <w:p w:rsidR="004E7AB4" w:rsidRDefault="004E7AB4" w:rsidP="004E7AB4">
      <w:pPr>
        <w:ind w:left="720"/>
      </w:pPr>
      <w:r>
        <w:t>Food and Drug Administration</w:t>
      </w:r>
    </w:p>
    <w:p w:rsidR="004E7AB4" w:rsidRDefault="004E7AB4" w:rsidP="004E7AB4">
      <w:pPr>
        <w:ind w:left="720"/>
      </w:pPr>
      <w:r>
        <w:t>9200 Corporate Boulevard</w:t>
      </w:r>
    </w:p>
    <w:p w:rsidR="004E7AB4" w:rsidRDefault="004E7AB4" w:rsidP="004E7AB4">
      <w:pPr>
        <w:ind w:left="720"/>
      </w:pPr>
      <w:r>
        <w:t>Phone:</w:t>
      </w:r>
      <w:r>
        <w:tab/>
        <w:t>240-402-0088</w:t>
      </w:r>
    </w:p>
    <w:p w:rsidR="004E7AB4" w:rsidRDefault="004E7AB4" w:rsidP="004E7AB4">
      <w:pPr>
        <w:ind w:left="720"/>
      </w:pPr>
      <w:r>
        <w:t>E-mail:</w:t>
      </w:r>
      <w:r>
        <w:tab/>
      </w:r>
      <w:r w:rsidR="00A83B43">
        <w:t xml:space="preserve"> </w:t>
      </w:r>
      <w:hyperlink r:id="rId14" w:history="1">
        <w:r w:rsidRPr="004A3E9D">
          <w:rPr>
            <w:rStyle w:val="Hyperlink"/>
          </w:rPr>
          <w:t>Maria.Benoza@fda.hhs.gov</w:t>
        </w:r>
      </w:hyperlink>
    </w:p>
    <w:p w:rsidR="004E7AB4" w:rsidRDefault="004E7AB4" w:rsidP="004E7AB4">
      <w:pPr>
        <w:ind w:left="720"/>
      </w:pPr>
    </w:p>
    <w:p w:rsidR="004E7AB4" w:rsidRDefault="004E7AB4" w:rsidP="004E7AB4">
      <w:pPr>
        <w:ind w:left="720"/>
      </w:pPr>
      <w:r>
        <w:t>David Portnoy</w:t>
      </w:r>
    </w:p>
    <w:p w:rsidR="004E7AB4" w:rsidRDefault="004E7AB4" w:rsidP="004E7AB4">
      <w:pPr>
        <w:ind w:left="720"/>
      </w:pPr>
      <w:r>
        <w:t>Office of Science</w:t>
      </w:r>
    </w:p>
    <w:p w:rsidR="004E7AB4" w:rsidRDefault="004E7AB4" w:rsidP="004E7AB4">
      <w:pPr>
        <w:ind w:left="720"/>
      </w:pPr>
      <w:r>
        <w:t>Center for Tobacco Products</w:t>
      </w:r>
    </w:p>
    <w:p w:rsidR="004E7AB4" w:rsidRDefault="004E7AB4" w:rsidP="004E7AB4">
      <w:pPr>
        <w:ind w:left="720"/>
      </w:pPr>
      <w:r>
        <w:t xml:space="preserve">Food and Drug Administration </w:t>
      </w:r>
    </w:p>
    <w:p w:rsidR="004E7AB4" w:rsidRDefault="004E7AB4" w:rsidP="004E7AB4">
      <w:pPr>
        <w:ind w:left="720"/>
      </w:pPr>
      <w:r>
        <w:t>9200 Corporate Boulevard</w:t>
      </w:r>
    </w:p>
    <w:p w:rsidR="004E7AB4" w:rsidRDefault="004E7AB4" w:rsidP="004E7AB4">
      <w:pPr>
        <w:ind w:left="720"/>
      </w:pPr>
      <w:r>
        <w:t>Phone:</w:t>
      </w:r>
      <w:r>
        <w:tab/>
        <w:t>301-796-9298</w:t>
      </w:r>
    </w:p>
    <w:p w:rsidR="004E7AB4" w:rsidRDefault="004E7AB4" w:rsidP="00A83B43">
      <w:pPr>
        <w:ind w:left="720"/>
      </w:pPr>
      <w:r>
        <w:t>E</w:t>
      </w:r>
      <w:r w:rsidR="00A83B43">
        <w:t>-</w:t>
      </w:r>
      <w:r>
        <w:t>mail:</w:t>
      </w:r>
      <w:r w:rsidR="00A83B43">
        <w:t xml:space="preserve"> </w:t>
      </w:r>
      <w:hyperlink r:id="rId15" w:history="1">
        <w:r w:rsidRPr="004A3E9D">
          <w:rPr>
            <w:rStyle w:val="Hyperlink"/>
          </w:rPr>
          <w:t>David.Portnoy@fda.hhs.gov</w:t>
        </w:r>
      </w:hyperlink>
    </w:p>
    <w:p w:rsidR="004E7AB4" w:rsidRDefault="004E7AB4" w:rsidP="004E7AB4">
      <w:pPr>
        <w:ind w:left="720"/>
      </w:pPr>
    </w:p>
    <w:p w:rsidR="004E7AB4" w:rsidRDefault="004E7AB4" w:rsidP="004E7AB4">
      <w:pPr>
        <w:ind w:left="720"/>
      </w:pPr>
      <w:r>
        <w:t>Abby Prestin</w:t>
      </w:r>
    </w:p>
    <w:p w:rsidR="004E7AB4" w:rsidRDefault="004E7AB4" w:rsidP="004E7AB4">
      <w:pPr>
        <w:ind w:left="720"/>
      </w:pPr>
      <w:r>
        <w:t>Office of Science</w:t>
      </w:r>
    </w:p>
    <w:p w:rsidR="004E7AB4" w:rsidRDefault="004E7AB4" w:rsidP="004E7AB4">
      <w:pPr>
        <w:ind w:left="720"/>
      </w:pPr>
      <w:r>
        <w:t xml:space="preserve">Center </w:t>
      </w:r>
      <w:r w:rsidR="00A83B43">
        <w:t>f</w:t>
      </w:r>
      <w:r>
        <w:t>or Tobacco Products</w:t>
      </w:r>
    </w:p>
    <w:p w:rsidR="004E7AB4" w:rsidRDefault="004E7AB4" w:rsidP="004E7AB4">
      <w:pPr>
        <w:ind w:left="720"/>
      </w:pPr>
      <w:r>
        <w:t xml:space="preserve">Food and Drug Administration </w:t>
      </w:r>
    </w:p>
    <w:p w:rsidR="004E7AB4" w:rsidRDefault="004E7AB4" w:rsidP="004E7AB4">
      <w:pPr>
        <w:ind w:left="720"/>
      </w:pPr>
      <w:r>
        <w:t>9200 Corporate Boulevard</w:t>
      </w:r>
    </w:p>
    <w:p w:rsidR="004E7AB4" w:rsidRDefault="004E7AB4" w:rsidP="004E7AB4">
      <w:pPr>
        <w:ind w:left="720"/>
      </w:pPr>
      <w:r>
        <w:t>Phone:</w:t>
      </w:r>
      <w:r>
        <w:tab/>
        <w:t>240-402-0413</w:t>
      </w:r>
    </w:p>
    <w:p w:rsidR="004E7AB4" w:rsidRDefault="004E7AB4" w:rsidP="004E7AB4">
      <w:pPr>
        <w:ind w:left="720"/>
      </w:pPr>
      <w:r>
        <w:t>E</w:t>
      </w:r>
      <w:r w:rsidR="00A83B43">
        <w:t>-</w:t>
      </w:r>
      <w:r>
        <w:t xml:space="preserve">mail: </w:t>
      </w:r>
      <w:hyperlink r:id="rId16" w:history="1">
        <w:r w:rsidRPr="004A3E9D">
          <w:rPr>
            <w:rStyle w:val="Hyperlink"/>
          </w:rPr>
          <w:t>Abby.Prestin@fda.hhs.gov</w:t>
        </w:r>
      </w:hyperlink>
    </w:p>
    <w:p w:rsidR="004E7AB4" w:rsidRDefault="004E7AB4" w:rsidP="004E7AB4">
      <w:pPr>
        <w:ind w:left="720"/>
      </w:pPr>
    </w:p>
    <w:p w:rsidR="004E7AB4" w:rsidRDefault="004E7AB4" w:rsidP="004E7AB4">
      <w:pPr>
        <w:ind w:left="720"/>
      </w:pPr>
      <w:r>
        <w:t xml:space="preserve">The following individuals outside of the agency have been consulted on questionnaire development. FDA CTP has also </w:t>
      </w:r>
      <w:r w:rsidR="00BB61DE">
        <w:t xml:space="preserve">participated in </w:t>
      </w:r>
      <w:r>
        <w:t xml:space="preserve">meetings with CDC OSH throughout 2013 with updates on CTP campaign activities. Additionally, input has been solicited and received from FDA on the design of this study, including participation by FDA </w:t>
      </w:r>
      <w:r w:rsidR="00DA202E">
        <w:t>in meetings with</w:t>
      </w:r>
      <w:r>
        <w:t xml:space="preserve"> OMB.</w:t>
      </w:r>
    </w:p>
    <w:p w:rsidR="004E7AB4" w:rsidRDefault="004E7AB4" w:rsidP="004E7AB4">
      <w:pPr>
        <w:ind w:left="720"/>
      </w:pPr>
    </w:p>
    <w:p w:rsidR="00413192" w:rsidRDefault="00413192" w:rsidP="004E7AB4">
      <w:pPr>
        <w:ind w:left="720"/>
      </w:pPr>
      <w:r>
        <w:t>Robert L. Alexander Jr.</w:t>
      </w:r>
    </w:p>
    <w:p w:rsidR="00413192" w:rsidRDefault="00413192" w:rsidP="00A83B43">
      <w:pPr>
        <w:ind w:left="720"/>
      </w:pPr>
      <w:r>
        <w:t>Office o</w:t>
      </w:r>
      <w:r w:rsidR="00A83B43">
        <w:t>n</w:t>
      </w:r>
      <w:r>
        <w:t xml:space="preserve"> Smoking and Health </w:t>
      </w:r>
    </w:p>
    <w:p w:rsidR="00413192" w:rsidRDefault="00413192" w:rsidP="004E7AB4">
      <w:pPr>
        <w:ind w:left="720"/>
      </w:pPr>
      <w:r>
        <w:t>Centers for Disease Control and Prevention</w:t>
      </w:r>
    </w:p>
    <w:p w:rsidR="00413192" w:rsidRDefault="00413192" w:rsidP="004E7AB4">
      <w:pPr>
        <w:ind w:left="720"/>
      </w:pPr>
      <w:r>
        <w:t>4770 Buford Highway NE, Mailstop F79</w:t>
      </w:r>
    </w:p>
    <w:p w:rsidR="00413192" w:rsidRDefault="00413192" w:rsidP="004E7AB4">
      <w:pPr>
        <w:ind w:left="720"/>
      </w:pPr>
      <w:r>
        <w:t>Atlanta, GA 30341</w:t>
      </w:r>
    </w:p>
    <w:p w:rsidR="00413192" w:rsidRDefault="00413192" w:rsidP="004E7AB4">
      <w:pPr>
        <w:ind w:left="720"/>
      </w:pPr>
      <w:r>
        <w:t>Phone: 770-488-1212</w:t>
      </w:r>
    </w:p>
    <w:p w:rsidR="00413192" w:rsidRDefault="00413192" w:rsidP="004E7AB4">
      <w:pPr>
        <w:ind w:left="720"/>
      </w:pPr>
      <w:r>
        <w:t>E</w:t>
      </w:r>
      <w:r w:rsidR="00A83B43">
        <w:t>-</w:t>
      </w:r>
      <w:r>
        <w:t xml:space="preserve">mail: </w:t>
      </w:r>
      <w:hyperlink r:id="rId17" w:history="1">
        <w:r w:rsidRPr="004A3E9D">
          <w:rPr>
            <w:rStyle w:val="Hyperlink"/>
          </w:rPr>
          <w:t>ria8@cdc.gov</w:t>
        </w:r>
      </w:hyperlink>
      <w:r>
        <w:t xml:space="preserve"> </w:t>
      </w:r>
    </w:p>
    <w:p w:rsidR="00413192" w:rsidRDefault="00413192" w:rsidP="004E7AB4">
      <w:pPr>
        <w:ind w:left="720"/>
      </w:pPr>
    </w:p>
    <w:p w:rsidR="00413192" w:rsidRDefault="00413192" w:rsidP="004E7AB4">
      <w:pPr>
        <w:ind w:left="720"/>
      </w:pPr>
      <w:r>
        <w:t>Michelle O’Hegarty</w:t>
      </w:r>
    </w:p>
    <w:p w:rsidR="00413192" w:rsidRDefault="00413192" w:rsidP="004E7AB4">
      <w:pPr>
        <w:ind w:left="720"/>
      </w:pPr>
      <w:r>
        <w:t xml:space="preserve">Centers for Disease Control and Prevention  </w:t>
      </w:r>
    </w:p>
    <w:p w:rsidR="00413192" w:rsidRDefault="00413192" w:rsidP="00413192">
      <w:pPr>
        <w:ind w:left="720"/>
      </w:pPr>
      <w:r>
        <w:t>4770 Buford Highway NE, Mailstop F79</w:t>
      </w:r>
    </w:p>
    <w:p w:rsidR="00413192" w:rsidRDefault="00413192" w:rsidP="00413192">
      <w:pPr>
        <w:ind w:left="720"/>
      </w:pPr>
      <w:r>
        <w:t>Atlanta, GA 30341</w:t>
      </w:r>
    </w:p>
    <w:p w:rsidR="00413192" w:rsidRDefault="00413192" w:rsidP="00413192">
      <w:pPr>
        <w:ind w:left="720"/>
      </w:pPr>
      <w:r>
        <w:t>Phone: 770-488-5582</w:t>
      </w:r>
    </w:p>
    <w:p w:rsidR="00413192" w:rsidRDefault="00413192" w:rsidP="00413192">
      <w:pPr>
        <w:ind w:left="720"/>
      </w:pPr>
      <w:r>
        <w:t>E</w:t>
      </w:r>
      <w:r w:rsidR="00A83B43">
        <w:t>-</w:t>
      </w:r>
      <w:r>
        <w:t xml:space="preserve">mail: </w:t>
      </w:r>
      <w:hyperlink r:id="rId18" w:history="1">
        <w:r w:rsidR="00DA202E" w:rsidRPr="004A3E9D">
          <w:rPr>
            <w:rStyle w:val="Hyperlink"/>
            <w:color w:val="auto"/>
          </w:rPr>
          <w:t>mohegarty@cdc.gov</w:t>
        </w:r>
      </w:hyperlink>
      <w:r>
        <w:t xml:space="preserve"> </w:t>
      </w:r>
    </w:p>
    <w:p w:rsidR="00413192" w:rsidRDefault="00413192" w:rsidP="004E7AB4">
      <w:pPr>
        <w:ind w:left="720"/>
      </w:pPr>
    </w:p>
    <w:p w:rsidR="004E7AB4" w:rsidRDefault="004E7AB4" w:rsidP="004E7AB4">
      <w:pPr>
        <w:ind w:left="720"/>
      </w:pPr>
      <w:r>
        <w:t>Matthew Farrelly</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919-541-6852</w:t>
      </w:r>
    </w:p>
    <w:p w:rsidR="004E7AB4" w:rsidRDefault="004E7AB4" w:rsidP="004E7AB4">
      <w:pPr>
        <w:ind w:left="720"/>
      </w:pPr>
      <w:r>
        <w:t>E-mail:</w:t>
      </w:r>
      <w:r>
        <w:tab/>
      </w:r>
      <w:hyperlink r:id="rId19" w:history="1">
        <w:r w:rsidRPr="004A3E9D">
          <w:rPr>
            <w:rStyle w:val="Hyperlink"/>
          </w:rPr>
          <w:t>mcf@rti.org</w:t>
        </w:r>
      </w:hyperlink>
    </w:p>
    <w:p w:rsidR="004E7AB4" w:rsidRDefault="004E7AB4" w:rsidP="004E7AB4">
      <w:pPr>
        <w:ind w:left="720"/>
      </w:pPr>
    </w:p>
    <w:p w:rsidR="004E7AB4" w:rsidRDefault="004E7AB4" w:rsidP="004E7AB4">
      <w:pPr>
        <w:ind w:left="720"/>
      </w:pPr>
      <w:r>
        <w:t>Jennifer Duke</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919-485-2269</w:t>
      </w:r>
    </w:p>
    <w:p w:rsidR="004E7AB4" w:rsidRDefault="004E7AB4" w:rsidP="00A83B43">
      <w:pPr>
        <w:ind w:left="720"/>
      </w:pPr>
      <w:r>
        <w:t>E-mail:</w:t>
      </w:r>
      <w:r w:rsidR="00A83B43">
        <w:t xml:space="preserve"> </w:t>
      </w:r>
      <w:hyperlink r:id="rId20" w:history="1">
        <w:r w:rsidRPr="004A3E9D">
          <w:rPr>
            <w:rStyle w:val="Hyperlink"/>
          </w:rPr>
          <w:t>jduke@rti.org</w:t>
        </w:r>
      </w:hyperlink>
    </w:p>
    <w:p w:rsidR="004E7AB4" w:rsidRDefault="004E7AB4" w:rsidP="004E7AB4">
      <w:pPr>
        <w:ind w:left="720"/>
      </w:pPr>
    </w:p>
    <w:p w:rsidR="004E7AB4" w:rsidRDefault="004E7AB4" w:rsidP="004E7AB4">
      <w:pPr>
        <w:ind w:left="720"/>
      </w:pPr>
      <w:r>
        <w:t xml:space="preserve">Jane Allen </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919-597-5115</w:t>
      </w:r>
    </w:p>
    <w:p w:rsidR="004E7AB4" w:rsidRDefault="004E7AB4" w:rsidP="004E7AB4">
      <w:pPr>
        <w:ind w:left="720"/>
      </w:pPr>
      <w:r>
        <w:t>E-mail:</w:t>
      </w:r>
      <w:r>
        <w:tab/>
      </w:r>
      <w:r w:rsidR="00A83B43">
        <w:t xml:space="preserve"> </w:t>
      </w:r>
      <w:hyperlink r:id="rId21" w:history="1">
        <w:r w:rsidRPr="004A3E9D">
          <w:rPr>
            <w:rStyle w:val="Hyperlink"/>
          </w:rPr>
          <w:t>Janeallen@rti.org</w:t>
        </w:r>
      </w:hyperlink>
    </w:p>
    <w:p w:rsidR="004E7AB4" w:rsidRDefault="004E7AB4" w:rsidP="004E7AB4">
      <w:pPr>
        <w:ind w:left="720"/>
      </w:pPr>
    </w:p>
    <w:p w:rsidR="004E7AB4" w:rsidRDefault="004E7AB4" w:rsidP="004E7AB4">
      <w:pPr>
        <w:ind w:left="720"/>
      </w:pPr>
      <w:r>
        <w:t xml:space="preserve">Christine Jackson </w:t>
      </w:r>
    </w:p>
    <w:p w:rsidR="004E7AB4" w:rsidRDefault="004E7AB4" w:rsidP="004E7AB4">
      <w:pPr>
        <w:ind w:left="720"/>
      </w:pPr>
      <w:r>
        <w:t>RTI International</w:t>
      </w:r>
    </w:p>
    <w:p w:rsidR="004E7AB4" w:rsidRDefault="004E7AB4" w:rsidP="004E7AB4">
      <w:pPr>
        <w:ind w:left="720"/>
      </w:pPr>
      <w:r>
        <w:t>3040 Cornwallis Road</w:t>
      </w:r>
    </w:p>
    <w:p w:rsidR="004E7AB4" w:rsidRDefault="004E7AB4" w:rsidP="004E7AB4">
      <w:pPr>
        <w:ind w:left="720"/>
      </w:pPr>
      <w:r>
        <w:t>Research Triangle Park, NC 27709</w:t>
      </w:r>
    </w:p>
    <w:p w:rsidR="004E7AB4" w:rsidRDefault="004E7AB4" w:rsidP="004E7AB4">
      <w:pPr>
        <w:ind w:left="720"/>
      </w:pPr>
      <w:r>
        <w:t>Phone:</w:t>
      </w:r>
      <w:r>
        <w:tab/>
        <w:t>919-485-5536</w:t>
      </w:r>
    </w:p>
    <w:p w:rsidR="004E7AB4" w:rsidRDefault="004E7AB4" w:rsidP="004E7AB4">
      <w:pPr>
        <w:ind w:left="720"/>
      </w:pPr>
      <w:r>
        <w:t>E-mail:</w:t>
      </w:r>
      <w:r>
        <w:tab/>
      </w:r>
      <w:r w:rsidR="00A83B43">
        <w:t xml:space="preserve"> </w:t>
      </w:r>
      <w:hyperlink r:id="rId22" w:history="1">
        <w:r w:rsidRPr="004A3E9D">
          <w:rPr>
            <w:rStyle w:val="Hyperlink"/>
          </w:rPr>
          <w:t>Cjackson@rti.org</w:t>
        </w:r>
      </w:hyperlink>
    </w:p>
    <w:p w:rsidR="00413192" w:rsidRDefault="00413192" w:rsidP="004E7AB4">
      <w:pPr>
        <w:ind w:left="720"/>
      </w:pPr>
    </w:p>
    <w:p w:rsidR="00CD77C3" w:rsidRPr="004C6979" w:rsidRDefault="00EB7538" w:rsidP="00E00EA0">
      <w:pPr>
        <w:numPr>
          <w:ilvl w:val="0"/>
          <w:numId w:val="1"/>
        </w:numPr>
        <w:spacing w:before="100" w:beforeAutospacing="1" w:after="100" w:afterAutospacing="1"/>
        <w:rPr>
          <w:u w:val="single"/>
        </w:rPr>
      </w:pPr>
      <w:r w:rsidRPr="004C6979">
        <w:rPr>
          <w:u w:val="single"/>
        </w:rPr>
        <w:t xml:space="preserve">Explanation of Any </w:t>
      </w:r>
      <w:r w:rsidR="00897B8C">
        <w:rPr>
          <w:u w:val="single"/>
        </w:rPr>
        <w:t>Incentive</w:t>
      </w:r>
      <w:r w:rsidR="00897B8C" w:rsidRPr="004C6979">
        <w:rPr>
          <w:u w:val="single"/>
        </w:rPr>
        <w:t xml:space="preserve"> </w:t>
      </w:r>
      <w:r w:rsidRPr="004C6979">
        <w:rPr>
          <w:u w:val="single"/>
        </w:rPr>
        <w:t>or Gift to Respondents</w:t>
      </w:r>
    </w:p>
    <w:p w:rsidR="001A4207" w:rsidRDefault="001A4207" w:rsidP="00A83B43">
      <w:pPr>
        <w:ind w:left="720"/>
      </w:pPr>
      <w:r>
        <w:t>For respondents to the media tracking survey, GMI will provide non-monetary “MarketPoints,” which are part of panel maintenance strategies for their panel, which participants can trade for material items with GMI partner vendors (e.g., Amazon.com and Starbucks) or for cash</w:t>
      </w:r>
      <w:r w:rsidR="009513F4">
        <w:t>.</w:t>
      </w:r>
      <w:r w:rsidR="008F6C87">
        <w:t xml:space="preserve"> </w:t>
      </w:r>
      <w:r>
        <w:t xml:space="preserve">MarketPoints are valued at approximately $10 per survey. </w:t>
      </w:r>
    </w:p>
    <w:p w:rsidR="001A4207" w:rsidRDefault="001A4207" w:rsidP="001A4207">
      <w:pPr>
        <w:ind w:left="720"/>
      </w:pPr>
    </w:p>
    <w:p w:rsidR="001A4207" w:rsidRDefault="00F367C4" w:rsidP="001A4207">
      <w:pPr>
        <w:ind w:left="720"/>
      </w:pPr>
      <w:r w:rsidRPr="00F367C4">
        <w:t xml:space="preserve">Parents or legal guardians of participants in the outcome evaluation study will not receive </w:t>
      </w:r>
      <w:r w:rsidR="00897B8C">
        <w:t>incentives</w:t>
      </w:r>
      <w:r w:rsidRPr="00F367C4">
        <w:t xml:space="preserve">. </w:t>
      </w:r>
      <w:r>
        <w:t>However, y</w:t>
      </w:r>
      <w:r w:rsidR="001A4207">
        <w:t>outh participants in the outcome evaluation surveys will receive incentives. Youth participants will be offered a $20 incentive for completion of the baseline survey</w:t>
      </w:r>
      <w:r w:rsidR="009F6D9F">
        <w:t>. At follow-up, respondents will be offered a $30 incentive to complete the survey online during an early release period running through July 21</w:t>
      </w:r>
      <w:r w:rsidR="009F6D9F" w:rsidRPr="009F6D9F">
        <w:rPr>
          <w:vertAlign w:val="superscript"/>
        </w:rPr>
        <w:t>st</w:t>
      </w:r>
      <w:r w:rsidR="009F6D9F">
        <w:t xml:space="preserve">. A $20 incentive will be offered to respondents for completing </w:t>
      </w:r>
      <w:r w:rsidR="009F6D9F" w:rsidRPr="009F6D9F">
        <w:t>the survey after July 21</w:t>
      </w:r>
      <w:r w:rsidR="009F6D9F">
        <w:t>st, whether online or in-person</w:t>
      </w:r>
      <w:r w:rsidR="009F6D9F" w:rsidRPr="009F6D9F">
        <w:t xml:space="preserve">. </w:t>
      </w:r>
      <w:r w:rsidR="009F6D9F">
        <w:t xml:space="preserve">Studies suggest that this incentive approach will </w:t>
      </w:r>
      <w:r w:rsidR="009F6D9F" w:rsidRPr="009F6D9F">
        <w:t>increase response rates and reduce costs.</w:t>
      </w:r>
      <w:r w:rsidR="009F6D9F">
        <w:t xml:space="preserve"> </w:t>
      </w:r>
      <w:r w:rsidR="001A4207">
        <w:t xml:space="preserve">We estimate that the baseline survey will take 30 minutes to complete, </w:t>
      </w:r>
      <w:r w:rsidR="00A83B43">
        <w:t xml:space="preserve">and </w:t>
      </w:r>
      <w:r w:rsidR="001A4207">
        <w:t xml:space="preserve">the follow-up survey will take 45 minutes. The incentives are intended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 The decision to use incentives for this study is based on the need to ensure high retention from baseline to follow-up in order to retain the necessary analytic power of the longitudinal sample. </w:t>
      </w:r>
    </w:p>
    <w:p w:rsidR="00E156AE" w:rsidRDefault="00E156AE" w:rsidP="001A4207">
      <w:pPr>
        <w:ind w:left="720"/>
      </w:pPr>
    </w:p>
    <w:p w:rsidR="00E156AE" w:rsidRPr="00E156AE" w:rsidRDefault="00E156AE" w:rsidP="00E156AE">
      <w:pPr>
        <w:ind w:left="720"/>
      </w:pPr>
      <w:r>
        <w:t xml:space="preserve">FDA’s contractor </w:t>
      </w:r>
      <w:r w:rsidRPr="00E156AE">
        <w:t xml:space="preserve">would </w:t>
      </w:r>
      <w:r>
        <w:t xml:space="preserve">also </w:t>
      </w:r>
      <w:r w:rsidRPr="00E156AE">
        <w:t xml:space="preserve">like to include $1 </w:t>
      </w:r>
      <w:r w:rsidR="00B53BD2">
        <w:t>for</w:t>
      </w:r>
      <w:r w:rsidRPr="00E156AE">
        <w:t xml:space="preserve"> the Panel Maintenance Mailing in order to boost returns of address updates and confirmations from households. </w:t>
      </w:r>
      <w:r w:rsidR="00B53BD2">
        <w:t>T</w:t>
      </w:r>
      <w:r w:rsidRPr="00E156AE">
        <w:t>h</w:t>
      </w:r>
      <w:r w:rsidR="00B53BD2">
        <w:t>i</w:t>
      </w:r>
      <w:r w:rsidRPr="00E156AE">
        <w:t>s practice ha</w:t>
      </w:r>
      <w:r w:rsidR="00B53BD2">
        <w:t>s</w:t>
      </w:r>
      <w:r w:rsidRPr="00E156AE">
        <w:t xml:space="preserve"> been demonstrated to increase response rates and reduce costs and nonresponse </w:t>
      </w:r>
      <w:r w:rsidR="00B53BD2">
        <w:t xml:space="preserve">when </w:t>
      </w:r>
      <w:r w:rsidR="003E3BF6">
        <w:t xml:space="preserve">it has been </w:t>
      </w:r>
      <w:r w:rsidR="00B53BD2">
        <w:t xml:space="preserve">used </w:t>
      </w:r>
      <w:r w:rsidRPr="00E156AE">
        <w:t>in other studies.</w:t>
      </w:r>
    </w:p>
    <w:p w:rsidR="001A4207" w:rsidRDefault="001A4207" w:rsidP="001A4207">
      <w:pPr>
        <w:ind w:left="720"/>
      </w:pPr>
      <w:bookmarkStart w:id="2" w:name="_GoBack"/>
      <w:bookmarkEnd w:id="2"/>
    </w:p>
    <w:p w:rsidR="004E7AB4" w:rsidRDefault="001A4207" w:rsidP="00621286">
      <w:pPr>
        <w:ind w:left="720"/>
      </w:pPr>
      <w:r>
        <w:t xml:space="preserve">A more detailed justification for the use of incentives is provided in Attachment </w:t>
      </w:r>
      <w:r w:rsidR="00807306">
        <w:t>5</w:t>
      </w:r>
      <w:r w:rsidR="000F4046">
        <w:t xml:space="preserve">. </w:t>
      </w:r>
      <w:r>
        <w:t xml:space="preserve">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baseline and follow-up surveys. It is crucial that the baseline survey be completed prior to the launch of the </w:t>
      </w:r>
      <w:r w:rsidR="000F4046">
        <w:t xml:space="preserve">campaigns </w:t>
      </w:r>
      <w:r>
        <w:t>as this is central to our planned data analyses. The use of incentives will help ensure that baseline data collection is completed in a timely manner and potentially reduce the number of follow-up visits needed to contact nonrespondents. The specific amount of the proposed incentive is based on several previous projects conducted by RTI, including the National Survey of Child and Adolescent Well-Being</w:t>
      </w:r>
      <w:r w:rsidR="00A83B43">
        <w:t>,</w:t>
      </w:r>
      <w:r>
        <w:t xml:space="preserve"> which found that use of similar incentives increased response rates among youth, particularly for retention in longitudinal studies (see </w:t>
      </w:r>
      <w:r w:rsidRPr="00621286">
        <w:t>Exhibit 1</w:t>
      </w:r>
      <w:r>
        <w:t>).</w:t>
      </w:r>
    </w:p>
    <w:p w:rsidR="004E7AB4" w:rsidRDefault="004E7AB4" w:rsidP="00DD09F5">
      <w:pPr>
        <w:ind w:left="720"/>
      </w:pPr>
    </w:p>
    <w:p w:rsidR="001A4207" w:rsidRPr="00AC47CE" w:rsidRDefault="001A4207" w:rsidP="001A4207">
      <w:pPr>
        <w:pStyle w:val="FigureTitle"/>
        <w:ind w:left="720"/>
      </w:pPr>
      <w:bookmarkStart w:id="3" w:name="_Toc361824169"/>
      <w:r w:rsidRPr="00AC47CE">
        <w:t>Exhibit 1.</w:t>
      </w:r>
      <w:r w:rsidRPr="00AC47CE">
        <w:tab/>
        <w:t>Incentive Type and Amount</w:t>
      </w:r>
      <w:bookmarkEnd w:id="3"/>
    </w:p>
    <w:tbl>
      <w:tblPr>
        <w:tblW w:w="8611" w:type="dxa"/>
        <w:tblInd w:w="864" w:type="dxa"/>
        <w:tblLayout w:type="fixed"/>
        <w:tblCellMar>
          <w:left w:w="115" w:type="dxa"/>
          <w:right w:w="115" w:type="dxa"/>
        </w:tblCellMar>
        <w:tblLook w:val="01E0" w:firstRow="1" w:lastRow="1" w:firstColumn="1" w:lastColumn="1" w:noHBand="0" w:noVBand="0"/>
      </w:tblPr>
      <w:tblGrid>
        <w:gridCol w:w="3809"/>
        <w:gridCol w:w="3002"/>
        <w:gridCol w:w="1800"/>
      </w:tblGrid>
      <w:tr w:rsidR="001A4207" w:rsidRPr="00AC47CE" w:rsidTr="00A83B43">
        <w:trPr>
          <w:cantSplit/>
        </w:trPr>
        <w:tc>
          <w:tcPr>
            <w:tcW w:w="3809" w:type="dxa"/>
            <w:tcBorders>
              <w:top w:val="single" w:sz="12" w:space="0" w:color="auto"/>
              <w:bottom w:val="single" w:sz="6" w:space="0" w:color="auto"/>
            </w:tcBorders>
            <w:vAlign w:val="bottom"/>
          </w:tcPr>
          <w:p w:rsidR="001A4207" w:rsidRPr="00AC47CE" w:rsidRDefault="001A4207" w:rsidP="00BE1984">
            <w:pPr>
              <w:keepNext/>
              <w:spacing w:before="80" w:after="80"/>
              <w:jc w:val="center"/>
              <w:rPr>
                <w:b/>
                <w:sz w:val="22"/>
              </w:rPr>
            </w:pPr>
            <w:r w:rsidRPr="00AC47CE">
              <w:rPr>
                <w:b/>
                <w:sz w:val="22"/>
              </w:rPr>
              <w:t>Type of Incentive</w:t>
            </w:r>
          </w:p>
        </w:tc>
        <w:tc>
          <w:tcPr>
            <w:tcW w:w="3002" w:type="dxa"/>
            <w:tcBorders>
              <w:top w:val="single" w:sz="12" w:space="0" w:color="auto"/>
              <w:bottom w:val="single" w:sz="6" w:space="0" w:color="auto"/>
            </w:tcBorders>
            <w:vAlign w:val="bottom"/>
          </w:tcPr>
          <w:p w:rsidR="001A4207" w:rsidRPr="00AC47CE" w:rsidRDefault="001A4207" w:rsidP="00BE1984">
            <w:pPr>
              <w:keepNext/>
              <w:spacing w:before="80" w:after="80"/>
              <w:jc w:val="center"/>
              <w:rPr>
                <w:b/>
                <w:sz w:val="22"/>
              </w:rPr>
            </w:pPr>
            <w:r w:rsidRPr="00AC47CE">
              <w:rPr>
                <w:b/>
                <w:sz w:val="22"/>
              </w:rPr>
              <w:t>Participant</w:t>
            </w:r>
          </w:p>
        </w:tc>
        <w:tc>
          <w:tcPr>
            <w:tcW w:w="1800" w:type="dxa"/>
            <w:tcBorders>
              <w:top w:val="single" w:sz="12" w:space="0" w:color="auto"/>
              <w:bottom w:val="single" w:sz="6" w:space="0" w:color="auto"/>
            </w:tcBorders>
            <w:vAlign w:val="bottom"/>
          </w:tcPr>
          <w:p w:rsidR="001A4207" w:rsidRPr="00AC47CE" w:rsidRDefault="001A4207" w:rsidP="00BE1984">
            <w:pPr>
              <w:keepNext/>
              <w:spacing w:before="80" w:after="80"/>
              <w:jc w:val="center"/>
              <w:rPr>
                <w:b/>
                <w:sz w:val="22"/>
              </w:rPr>
            </w:pPr>
            <w:r w:rsidRPr="00AC47CE">
              <w:rPr>
                <w:b/>
                <w:sz w:val="22"/>
              </w:rPr>
              <w:t>Amount/Value</w:t>
            </w:r>
          </w:p>
        </w:tc>
      </w:tr>
      <w:tr w:rsidR="00B53BD2" w:rsidRPr="00AC47CE" w:rsidTr="00A83B43">
        <w:trPr>
          <w:cantSplit/>
        </w:trPr>
        <w:tc>
          <w:tcPr>
            <w:tcW w:w="3809" w:type="dxa"/>
            <w:tcBorders>
              <w:top w:val="single" w:sz="6" w:space="0" w:color="auto"/>
            </w:tcBorders>
          </w:tcPr>
          <w:p w:rsidR="00B53BD2" w:rsidRPr="00AC47CE" w:rsidRDefault="00B53BD2" w:rsidP="008E29BA">
            <w:pPr>
              <w:keepNext/>
              <w:spacing w:before="80" w:after="80"/>
              <w:rPr>
                <w:sz w:val="22"/>
              </w:rPr>
            </w:pPr>
            <w:r>
              <w:rPr>
                <w:sz w:val="22"/>
              </w:rPr>
              <w:t>Prepaid Incentive for Panel Maintence Mailing</w:t>
            </w:r>
          </w:p>
        </w:tc>
        <w:tc>
          <w:tcPr>
            <w:tcW w:w="3002" w:type="dxa"/>
            <w:tcBorders>
              <w:top w:val="single" w:sz="6" w:space="0" w:color="auto"/>
            </w:tcBorders>
          </w:tcPr>
          <w:p w:rsidR="00B53BD2" w:rsidRPr="00AC47CE" w:rsidRDefault="00B53BD2" w:rsidP="00BE1984">
            <w:pPr>
              <w:keepNext/>
              <w:spacing w:before="80" w:after="80"/>
              <w:rPr>
                <w:sz w:val="22"/>
              </w:rPr>
            </w:pPr>
            <w:r>
              <w:rPr>
                <w:sz w:val="22"/>
              </w:rPr>
              <w:t>All panel Members</w:t>
            </w:r>
          </w:p>
        </w:tc>
        <w:tc>
          <w:tcPr>
            <w:tcW w:w="1800" w:type="dxa"/>
            <w:tcBorders>
              <w:top w:val="single" w:sz="6" w:space="0" w:color="auto"/>
            </w:tcBorders>
          </w:tcPr>
          <w:p w:rsidR="00B53BD2" w:rsidRPr="00AC47CE" w:rsidRDefault="00B53BD2" w:rsidP="00BE1984">
            <w:pPr>
              <w:keepNext/>
              <w:spacing w:before="80" w:after="80"/>
              <w:rPr>
                <w:sz w:val="22"/>
              </w:rPr>
            </w:pPr>
            <w:r>
              <w:rPr>
                <w:sz w:val="22"/>
              </w:rPr>
              <w:t>$1 locator mailer</w:t>
            </w:r>
          </w:p>
        </w:tc>
      </w:tr>
      <w:tr w:rsidR="001A4207" w:rsidRPr="00AC47CE" w:rsidTr="00A83B43">
        <w:trPr>
          <w:cantSplit/>
        </w:trPr>
        <w:tc>
          <w:tcPr>
            <w:tcW w:w="3809" w:type="dxa"/>
            <w:tcBorders>
              <w:top w:val="single" w:sz="6" w:space="0" w:color="auto"/>
            </w:tcBorders>
          </w:tcPr>
          <w:p w:rsidR="001A4207" w:rsidRPr="00AC47CE" w:rsidRDefault="001A4207" w:rsidP="008E29BA">
            <w:pPr>
              <w:keepNext/>
              <w:spacing w:before="80" w:after="80"/>
              <w:rPr>
                <w:sz w:val="22"/>
              </w:rPr>
            </w:pPr>
            <w:r w:rsidRPr="00AC47CE">
              <w:rPr>
                <w:sz w:val="22"/>
              </w:rPr>
              <w:t xml:space="preserve">Youth Baseline Questionnaire incentive </w:t>
            </w:r>
          </w:p>
        </w:tc>
        <w:tc>
          <w:tcPr>
            <w:tcW w:w="3002" w:type="dxa"/>
            <w:tcBorders>
              <w:top w:val="single" w:sz="6" w:space="0" w:color="auto"/>
            </w:tcBorders>
          </w:tcPr>
          <w:p w:rsidR="001A4207" w:rsidRPr="00AC47CE" w:rsidRDefault="001A4207" w:rsidP="00BE1984">
            <w:pPr>
              <w:keepNext/>
              <w:spacing w:before="80" w:after="80"/>
              <w:rPr>
                <w:sz w:val="22"/>
              </w:rPr>
            </w:pPr>
            <w:r w:rsidRPr="00AC47CE">
              <w:rPr>
                <w:sz w:val="22"/>
              </w:rPr>
              <w:t>All panel members</w:t>
            </w:r>
          </w:p>
        </w:tc>
        <w:tc>
          <w:tcPr>
            <w:tcW w:w="1800" w:type="dxa"/>
            <w:tcBorders>
              <w:top w:val="single" w:sz="6" w:space="0" w:color="auto"/>
            </w:tcBorders>
          </w:tcPr>
          <w:p w:rsidR="001A4207" w:rsidRPr="00AC47CE" w:rsidRDefault="001A4207" w:rsidP="00BE1984">
            <w:pPr>
              <w:keepNext/>
              <w:spacing w:before="80" w:after="80"/>
              <w:rPr>
                <w:sz w:val="22"/>
              </w:rPr>
            </w:pPr>
            <w:r w:rsidRPr="00AC47CE">
              <w:rPr>
                <w:sz w:val="22"/>
              </w:rPr>
              <w:t>$20/survey</w:t>
            </w:r>
          </w:p>
        </w:tc>
      </w:tr>
      <w:tr w:rsidR="001A4207" w:rsidRPr="00AC47CE" w:rsidTr="00D36775">
        <w:trPr>
          <w:cantSplit/>
        </w:trPr>
        <w:tc>
          <w:tcPr>
            <w:tcW w:w="3809" w:type="dxa"/>
          </w:tcPr>
          <w:p w:rsidR="00D36775" w:rsidRPr="00AC47CE" w:rsidRDefault="001A4207" w:rsidP="00D36775">
            <w:pPr>
              <w:keepNext/>
              <w:spacing w:before="80" w:after="80"/>
              <w:rPr>
                <w:sz w:val="22"/>
              </w:rPr>
            </w:pPr>
            <w:r w:rsidRPr="00AC47CE">
              <w:rPr>
                <w:sz w:val="22"/>
              </w:rPr>
              <w:t>Youth Follow-up Questionnaire incentive</w:t>
            </w:r>
            <w:r w:rsidR="00D36775">
              <w:rPr>
                <w:sz w:val="22"/>
              </w:rPr>
              <w:t>- Early Release Period. Online completion on or before 7/21/14.</w:t>
            </w:r>
          </w:p>
        </w:tc>
        <w:tc>
          <w:tcPr>
            <w:tcW w:w="3002" w:type="dxa"/>
          </w:tcPr>
          <w:p w:rsidR="001A4207" w:rsidRPr="00AC47CE" w:rsidRDefault="001A4207" w:rsidP="00BE1984">
            <w:pPr>
              <w:keepNext/>
              <w:spacing w:before="80" w:after="80"/>
              <w:rPr>
                <w:sz w:val="22"/>
              </w:rPr>
            </w:pPr>
            <w:r w:rsidRPr="00AC47CE">
              <w:rPr>
                <w:sz w:val="22"/>
              </w:rPr>
              <w:t xml:space="preserve">All panel members (up to 3 follow-up waves) </w:t>
            </w:r>
          </w:p>
        </w:tc>
        <w:tc>
          <w:tcPr>
            <w:tcW w:w="1800" w:type="dxa"/>
          </w:tcPr>
          <w:p w:rsidR="001A4207" w:rsidRPr="00AC47CE" w:rsidRDefault="001A4207" w:rsidP="0049559C">
            <w:pPr>
              <w:keepNext/>
              <w:spacing w:before="80" w:after="80"/>
              <w:rPr>
                <w:sz w:val="22"/>
              </w:rPr>
            </w:pPr>
            <w:r w:rsidRPr="00AC47CE">
              <w:rPr>
                <w:sz w:val="22"/>
              </w:rPr>
              <w:t>$</w:t>
            </w:r>
            <w:r w:rsidR="00D36775">
              <w:rPr>
                <w:sz w:val="22"/>
              </w:rPr>
              <w:t>3</w:t>
            </w:r>
            <w:r w:rsidR="0049559C">
              <w:rPr>
                <w:sz w:val="22"/>
              </w:rPr>
              <w:t>0</w:t>
            </w:r>
            <w:r w:rsidRPr="00AC47CE">
              <w:rPr>
                <w:sz w:val="22"/>
              </w:rPr>
              <w:t>/survey</w:t>
            </w:r>
          </w:p>
        </w:tc>
      </w:tr>
      <w:tr w:rsidR="00D36775" w:rsidRPr="00AC47CE" w:rsidTr="00A83B43">
        <w:trPr>
          <w:cantSplit/>
        </w:trPr>
        <w:tc>
          <w:tcPr>
            <w:tcW w:w="3809" w:type="dxa"/>
            <w:tcBorders>
              <w:bottom w:val="single" w:sz="12" w:space="0" w:color="auto"/>
            </w:tcBorders>
          </w:tcPr>
          <w:p w:rsidR="00D36775" w:rsidRPr="00AC47CE" w:rsidRDefault="00D36775" w:rsidP="00D36775">
            <w:pPr>
              <w:keepNext/>
              <w:spacing w:before="80" w:after="80"/>
              <w:rPr>
                <w:sz w:val="22"/>
              </w:rPr>
            </w:pPr>
            <w:r w:rsidRPr="00AC47CE">
              <w:rPr>
                <w:sz w:val="22"/>
              </w:rPr>
              <w:t>Youth Follow-up Questionnaire incentive</w:t>
            </w:r>
            <w:r>
              <w:rPr>
                <w:sz w:val="22"/>
              </w:rPr>
              <w:t>-Online or in-person completion after 7/21/14.</w:t>
            </w:r>
          </w:p>
        </w:tc>
        <w:tc>
          <w:tcPr>
            <w:tcW w:w="3002" w:type="dxa"/>
            <w:tcBorders>
              <w:bottom w:val="single" w:sz="12" w:space="0" w:color="auto"/>
            </w:tcBorders>
          </w:tcPr>
          <w:p w:rsidR="00D36775" w:rsidRPr="00AC47CE" w:rsidRDefault="00D36775" w:rsidP="00BE1984">
            <w:pPr>
              <w:keepNext/>
              <w:spacing w:before="80" w:after="80"/>
              <w:rPr>
                <w:sz w:val="22"/>
              </w:rPr>
            </w:pPr>
            <w:r w:rsidRPr="00AC47CE">
              <w:rPr>
                <w:sz w:val="22"/>
              </w:rPr>
              <w:t xml:space="preserve">All panel members (up to 3 follow-up waves) </w:t>
            </w:r>
          </w:p>
        </w:tc>
        <w:tc>
          <w:tcPr>
            <w:tcW w:w="1800" w:type="dxa"/>
            <w:tcBorders>
              <w:bottom w:val="single" w:sz="12" w:space="0" w:color="auto"/>
            </w:tcBorders>
          </w:tcPr>
          <w:p w:rsidR="00D36775" w:rsidRPr="00AC47CE" w:rsidRDefault="00D36775" w:rsidP="0049559C">
            <w:pPr>
              <w:keepNext/>
              <w:spacing w:before="80" w:after="80"/>
              <w:rPr>
                <w:sz w:val="22"/>
              </w:rPr>
            </w:pPr>
            <w:r w:rsidRPr="00AC47CE">
              <w:rPr>
                <w:sz w:val="22"/>
              </w:rPr>
              <w:t>$2</w:t>
            </w:r>
            <w:r>
              <w:rPr>
                <w:sz w:val="22"/>
              </w:rPr>
              <w:t>0</w:t>
            </w:r>
            <w:r w:rsidRPr="00AC47CE">
              <w:rPr>
                <w:sz w:val="22"/>
              </w:rPr>
              <w:t>/survey</w:t>
            </w:r>
          </w:p>
        </w:tc>
      </w:tr>
    </w:tbl>
    <w:p w:rsidR="001A4207" w:rsidRPr="00AC47CE" w:rsidRDefault="001A4207" w:rsidP="001A4207">
      <w:pPr>
        <w:pStyle w:val="exhibitsource"/>
        <w:ind w:left="720"/>
      </w:pPr>
    </w:p>
    <w:p w:rsidR="00CD77C3" w:rsidRDefault="00EB7538" w:rsidP="00EB7538">
      <w:pPr>
        <w:numPr>
          <w:ilvl w:val="0"/>
          <w:numId w:val="1"/>
        </w:numPr>
        <w:spacing w:before="100" w:beforeAutospacing="1" w:after="100" w:afterAutospacing="1"/>
        <w:rPr>
          <w:u w:val="single"/>
        </w:rPr>
      </w:pPr>
      <w:r w:rsidRPr="004C6979">
        <w:rPr>
          <w:u w:val="single"/>
        </w:rPr>
        <w:t xml:space="preserve">Assurance of </w:t>
      </w:r>
      <w:r w:rsidR="00DA202E">
        <w:rPr>
          <w:u w:val="single"/>
        </w:rPr>
        <w:t>Privacy</w:t>
      </w:r>
      <w:r w:rsidR="00DA202E" w:rsidRPr="004C6979">
        <w:rPr>
          <w:u w:val="single"/>
        </w:rPr>
        <w:t xml:space="preserve"> </w:t>
      </w:r>
      <w:r w:rsidRPr="004C6979">
        <w:rPr>
          <w:u w:val="single"/>
        </w:rPr>
        <w:t>Provided to Respondents</w:t>
      </w:r>
    </w:p>
    <w:p w:rsidR="00B6547C" w:rsidRDefault="00B6547C" w:rsidP="00B6547C">
      <w:pPr>
        <w:spacing w:before="100" w:beforeAutospacing="1" w:after="100" w:afterAutospacing="1"/>
        <w:ind w:left="720"/>
      </w:pPr>
      <w:r>
        <w:t>RTI’s Institutional Review Board (IRB) will review and approve the protocols and consent forms for the outcome evaluation s</w:t>
      </w:r>
      <w:r w:rsidR="00E433C5">
        <w:t>urvey</w:t>
      </w:r>
      <w:r>
        <w:t xml:space="preserve"> and media tracking s</w:t>
      </w:r>
      <w:r w:rsidR="00E433C5">
        <w:t>urvey</w:t>
      </w:r>
      <w:r>
        <w:t xml:space="preserve"> prior to any respondent contact (Attachment </w:t>
      </w:r>
      <w:r w:rsidR="00807306">
        <w:t>6</w:t>
      </w:r>
      <w:r>
        <w:t xml:space="preserve">). The IRB’s primary concern is protecting respondents’ rights, one of which is maintaining the </w:t>
      </w:r>
      <w:r w:rsidR="00387FCC">
        <w:t xml:space="preserve">privacy </w:t>
      </w:r>
      <w:r>
        <w:t>of respondent information</w:t>
      </w:r>
      <w:r w:rsidR="00387FCC">
        <w:t xml:space="preserve"> to the fullest extent of the law</w:t>
      </w:r>
      <w:r>
        <w:t>.</w:t>
      </w:r>
    </w:p>
    <w:p w:rsidR="00B6547C" w:rsidRDefault="00B6547C" w:rsidP="00B6547C">
      <w:pPr>
        <w:spacing w:before="100" w:beforeAutospacing="1" w:after="100" w:afterAutospacing="1"/>
        <w:ind w:left="720"/>
      </w:pPr>
      <w:r>
        <w:t xml:space="preserve">Concern for </w:t>
      </w:r>
      <w:r w:rsidR="00387FCC">
        <w:t>privacy</w:t>
      </w:r>
      <w:r>
        <w:t xml:space="preserve"> and protection of respondents’ rights will play a central part in the implementation of the outcome evaluation study and will receive the utmost emphasis. Interviewers will be thoroughly educated in methods for maximizing a respondent’s understanding of the government’s commitment to </w:t>
      </w:r>
      <w:r w:rsidR="00387FCC">
        <w:t>privacy to the fullest extent of the law</w:t>
      </w:r>
      <w:r w:rsidR="008F6C87">
        <w:t xml:space="preserve"> </w:t>
      </w:r>
      <w:r>
        <w:t>Several procedures ensure that respondents’ rights are protected. First, the interviewer introduces himself or herself and the study</w:t>
      </w:r>
      <w:r w:rsidRPr="0096400B">
        <w:t xml:space="preserve"> </w:t>
      </w:r>
      <w:r w:rsidR="00961167" w:rsidRPr="0096400B">
        <w:t xml:space="preserve">to potential </w:t>
      </w:r>
      <w:r w:rsidR="001D3941" w:rsidRPr="0096400B">
        <w:t xml:space="preserve">adult </w:t>
      </w:r>
      <w:r w:rsidR="00961167" w:rsidRPr="0096400B">
        <w:t>respondents</w:t>
      </w:r>
      <w:r>
        <w:t xml:space="preserve"> using the Introduction and Informed Consent Scripts (Attachment</w:t>
      </w:r>
      <w:r w:rsidR="00807306">
        <w:t>s 6 and 7</w:t>
      </w:r>
      <w:r>
        <w:t xml:space="preserve">), reading the scripted text aloud to each </w:t>
      </w:r>
      <w:r w:rsidR="00B824F7" w:rsidRPr="0096400B">
        <w:t>adult</w:t>
      </w:r>
      <w:r>
        <w:t xml:space="preserve"> respondent. As part of the process for obtaining informed consent, respondents are given a Study Description (Attachment </w:t>
      </w:r>
      <w:r w:rsidR="00807306">
        <w:t>8</w:t>
      </w:r>
      <w:r>
        <w:t>), which includes information on their rights as study participants. Specifically, the Study Description states that respondents’ answers will be used only by authorized personnel for statistical purposes and cannot be used for any other purpose. Parental consent is obtained from the youth’s parent or guardian</w:t>
      </w:r>
      <w:r w:rsidR="00961167" w:rsidRPr="0096400B">
        <w:t>; subsequently</w:t>
      </w:r>
      <w:r w:rsidRPr="0096400B">
        <w:t>, youth assent is requested.</w:t>
      </w:r>
      <w:r w:rsidR="00C465A3" w:rsidRPr="0096400B">
        <w:t xml:space="preserve"> Although full names of youth and adult respondents and contact information will be collected for all respondents, signed consent and assent are waived in this study</w:t>
      </w:r>
      <w:r>
        <w:t>.</w:t>
      </w:r>
    </w:p>
    <w:p w:rsidR="00B6547C" w:rsidRDefault="00B6547C" w:rsidP="00B6547C">
      <w:pPr>
        <w:spacing w:before="100" w:beforeAutospacing="1" w:after="100" w:afterAutospacing="1"/>
        <w:ind w:left="720"/>
      </w:pPr>
      <w:r>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rsidR="00B6547C" w:rsidRDefault="00B6547C" w:rsidP="00B6547C">
      <w:pPr>
        <w:spacing w:before="100" w:beforeAutospacing="1" w:after="100" w:afterAutospacing="1"/>
        <w:ind w:left="720"/>
      </w:pPr>
      <w:r>
        <w:t xml:space="preserve">Each day they work, interviewers electronically transmit all completed screening and interview data to RTI’s servers via secure encrypted data transmission. On the data files, respondents are distinguished only by a unique </w:t>
      </w:r>
      <w:r w:rsidR="00C465A3" w:rsidRPr="0096400B">
        <w:t>identifier</w:t>
      </w:r>
      <w:r>
        <w:t xml:space="preserve"> assigned to screenings and interviews. </w:t>
      </w:r>
      <w:r w:rsidR="00C465A3" w:rsidRPr="0096400B">
        <w:t>These identifiers will not be linked</w:t>
      </w:r>
      <w:r>
        <w:t xml:space="preserve"> with </w:t>
      </w:r>
      <w:r w:rsidR="00C465A3" w:rsidRPr="0096400B">
        <w:t>names</w:t>
      </w:r>
      <w:r>
        <w:t xml:space="preserve"> and </w:t>
      </w:r>
      <w:r w:rsidR="00C465A3" w:rsidRPr="0096400B">
        <w:t>will be used to link adult and youth</w:t>
      </w:r>
      <w:r>
        <w:t xml:space="preserve"> data</w:t>
      </w:r>
      <w:r w:rsidR="00C465A3" w:rsidRPr="0096400B">
        <w:t xml:space="preserve"> prior to analysis</w:t>
      </w:r>
      <w:r>
        <w:t>.</w:t>
      </w:r>
    </w:p>
    <w:p w:rsidR="00B6547C" w:rsidRDefault="00B6547C" w:rsidP="00983DC7">
      <w:pPr>
        <w:spacing w:before="100" w:beforeAutospacing="1" w:after="100" w:afterAutospacing="1"/>
        <w:ind w:left="720"/>
      </w:pPr>
      <w:r>
        <w:t>Security for respondents of the Web-based media tracking surveys will be assured in a number of ways: (1) GMI will invite youth panel participants to complete the survey through an invitation to their parents asking for their consent to have their child’s opinions, which is fully compliant with COPPA’s revised standards</w:t>
      </w:r>
      <w:r w:rsidR="0045480A">
        <w:t>;</w:t>
      </w:r>
      <w:r>
        <w:t xml:space="preserve"> </w:t>
      </w:r>
      <w:r w:rsidR="0045480A">
        <w:t>e</w:t>
      </w:r>
      <w:r>
        <w:t xml:space="preserve">ach respondent will remain completely anonymous and will be known only by a unique alphanumeric variable; </w:t>
      </w:r>
      <w:r w:rsidR="0045480A">
        <w:t>(</w:t>
      </w:r>
      <w:r>
        <w:t xml:space="preserve">2) participants will log onto RTI’s secure server using a link provided by GMI and this unique identifier, with the result that no information about the respondent’s identity will be downloaded to or housed on RTI’s server; (3) respondents will be provided with information about the </w:t>
      </w:r>
      <w:r w:rsidR="00387FCC">
        <w:t>privacy</w:t>
      </w:r>
      <w:r>
        <w:t xml:space="preserve"> of their data </w:t>
      </w:r>
      <w:r w:rsidR="00387FCC">
        <w:t xml:space="preserve">to the fullest extent of the law </w:t>
      </w:r>
      <w:r>
        <w:t xml:space="preserve">before they encounter the first survey item; (4) respondents will be required to provide their assent to freely participate before they encounter the first survey item; (5) respondents will have the option to decline to respond to any item in the survey for any reason; and (6) redirect links embedded in the survey will direct youth back to GMI to report having completed the survey and receive non-monetary compensation. All those who handle or analyze data will be required to adhere to the standard data security policies of RTI. </w:t>
      </w:r>
    </w:p>
    <w:p w:rsidR="00B6547C" w:rsidRDefault="00B6547C" w:rsidP="00B6547C">
      <w:pPr>
        <w:spacing w:before="100" w:beforeAutospacing="1" w:after="100" w:afterAutospacing="1"/>
        <w:ind w:left="720"/>
      </w:pPr>
      <w:r>
        <w:t>To ensure data security, all RTI project staff are required to adhere to strict standards and to sign a nondisclosure agreement as a condition of employment on this project. RTI maintains restricted access to all data preparation areas (i.e., receipt and coding). All data files on multi-user systems will be under the control of a database manager, with access limited to project staff on a “need-to-know” basis only. A detailed description of privacy safeguards is provided with this submission (</w:t>
      </w:r>
      <w:r w:rsidRPr="00C133A6">
        <w:t xml:space="preserve">Attachment </w:t>
      </w:r>
      <w:r w:rsidR="00807306">
        <w:t>9</w:t>
      </w:r>
      <w:r>
        <w:t>). No respondent identifiers will be contained in reports to FDA, and results will only be presented in aggregate form.</w:t>
      </w:r>
    </w:p>
    <w:p w:rsidR="00B6547C" w:rsidRDefault="00B6547C" w:rsidP="00B6547C">
      <w:pPr>
        <w:spacing w:before="100" w:beforeAutospacing="1" w:after="100" w:afterAutospacing="1"/>
        <w:ind w:left="720"/>
      </w:pPr>
      <w:r>
        <w:t>Implementation of data security systems and processes will occur as part of the survey data collection. Data security provisions will involve the following:</w:t>
      </w:r>
    </w:p>
    <w:p w:rsidR="00B6547C" w:rsidRDefault="00B6547C" w:rsidP="00DA4596">
      <w:pPr>
        <w:numPr>
          <w:ilvl w:val="1"/>
          <w:numId w:val="1"/>
        </w:numPr>
        <w:spacing w:before="100" w:beforeAutospacing="1" w:after="100" w:afterAutospacing="1"/>
        <w:ind w:left="1440" w:hanging="360"/>
      </w:pPr>
      <w:r>
        <w:t xml:space="preserve">All data collection activities will be conducted in full compliance with FDA regulations to maintain the </w:t>
      </w:r>
      <w:r w:rsidR="00387FCC">
        <w:t>privacy</w:t>
      </w:r>
      <w:r>
        <w:t xml:space="preserve"> of data obtained from respondents and to protect the rights and welfare of human research subjects as contained in their regulations. Respondents will receive information about </w:t>
      </w:r>
      <w:r w:rsidR="00387FCC">
        <w:t>privacy</w:t>
      </w:r>
      <w:r>
        <w:t xml:space="preserve"> protections as part of the informed consent process.</w:t>
      </w:r>
    </w:p>
    <w:p w:rsidR="00B6547C" w:rsidRDefault="00B6547C" w:rsidP="00DA4596">
      <w:pPr>
        <w:numPr>
          <w:ilvl w:val="1"/>
          <w:numId w:val="1"/>
        </w:numPr>
        <w:spacing w:before="100" w:beforeAutospacing="1" w:after="100" w:afterAutospacing="1"/>
        <w:ind w:left="1440" w:hanging="360"/>
      </w:pPr>
      <w:r>
        <w:t xml:space="preserve">All data collectors will be trained on </w:t>
      </w:r>
      <w:r w:rsidR="00387FCC">
        <w:t>privacy</w:t>
      </w:r>
      <w:r>
        <w:t xml:space="preserve"> procedures and be prepared to describe them in full detail, if necessary, or to answer any related questions raised by respondents. Training will include procedures for safeguarding sample member information in the field, including securing hardcopy case materials and laptops in the field, while traveling, and in respondent homes, and protecting the identity of sample members.</w:t>
      </w:r>
    </w:p>
    <w:p w:rsidR="00B6547C" w:rsidRDefault="00DA4596" w:rsidP="00DA4596">
      <w:pPr>
        <w:numPr>
          <w:ilvl w:val="1"/>
          <w:numId w:val="1"/>
        </w:numPr>
        <w:spacing w:before="100" w:beforeAutospacing="1" w:after="100" w:afterAutospacing="1"/>
        <w:ind w:left="1440" w:hanging="360"/>
      </w:pPr>
      <w:r>
        <w:t xml:space="preserve">All </w:t>
      </w:r>
      <w:r w:rsidR="00B6547C">
        <w:t xml:space="preserve">project employees will sign a </w:t>
      </w:r>
      <w:r w:rsidR="00387FCC">
        <w:t>privacy</w:t>
      </w:r>
      <w:r w:rsidR="00B6547C">
        <w:t xml:space="preserve"> agreement that emphasizes the importance of respondent </w:t>
      </w:r>
      <w:r w:rsidR="00387FCC">
        <w:t>privacy</w:t>
      </w:r>
      <w:r w:rsidR="00B6547C">
        <w:t xml:space="preserve"> and describes their obligations.</w:t>
      </w:r>
    </w:p>
    <w:p w:rsidR="00B6547C" w:rsidRDefault="00DA4596" w:rsidP="00DA4596">
      <w:pPr>
        <w:numPr>
          <w:ilvl w:val="1"/>
          <w:numId w:val="1"/>
        </w:numPr>
        <w:spacing w:before="100" w:beforeAutospacing="1" w:after="100" w:afterAutospacing="1"/>
        <w:ind w:left="1440" w:hanging="360"/>
      </w:pPr>
      <w:r>
        <w:t>Access</w:t>
      </w:r>
      <w:r w:rsidR="00B6547C">
        <w:t xml:space="preserve"> to the file linking </w:t>
      </w:r>
      <w:r w:rsidR="00B6547C" w:rsidRPr="0096400B">
        <w:t>respondent</w:t>
      </w:r>
      <w:r w:rsidR="00C465A3" w:rsidRPr="0096400B">
        <w:t xml:space="preserve"> identifiers</w:t>
      </w:r>
      <w:r w:rsidR="00B6547C">
        <w:t xml:space="preserve"> and item data with their contact information will be limited to project staff who have signed the </w:t>
      </w:r>
      <w:r w:rsidR="00387FCC">
        <w:t>privacy</w:t>
      </w:r>
      <w:r w:rsidR="00B6547C">
        <w:t xml:space="preserve"> agreement.</w:t>
      </w:r>
    </w:p>
    <w:p w:rsidR="00B6547C" w:rsidRDefault="00DA4596" w:rsidP="00DA4596">
      <w:pPr>
        <w:numPr>
          <w:ilvl w:val="1"/>
          <w:numId w:val="1"/>
        </w:numPr>
        <w:spacing w:before="100" w:beforeAutospacing="1" w:after="100" w:afterAutospacing="1"/>
        <w:ind w:left="1440" w:hanging="360"/>
      </w:pPr>
      <w:r>
        <w:t>All</w:t>
      </w:r>
      <w:r w:rsidR="00B6547C">
        <w:t xml:space="preserve"> field staff laptops and tablet computers will be equipped with encryption software so that only the user or RTI administrators can access any data on the hard drive even if the hard drive is removed and linked to another computer.</w:t>
      </w:r>
    </w:p>
    <w:p w:rsidR="00B6547C" w:rsidRDefault="00DA4596" w:rsidP="00DA4596">
      <w:pPr>
        <w:numPr>
          <w:ilvl w:val="1"/>
          <w:numId w:val="1"/>
        </w:numPr>
        <w:spacing w:before="100" w:beforeAutospacing="1" w:after="100" w:afterAutospacing="1"/>
        <w:ind w:left="1440" w:hanging="360"/>
      </w:pPr>
      <w:r>
        <w:t>Laptops</w:t>
      </w:r>
      <w:r w:rsidR="00B6547C">
        <w:t xml:space="preserve"> will use the Microsoft Windows operating system and require a valid login ID and password to access any applications or data.</w:t>
      </w:r>
    </w:p>
    <w:p w:rsidR="00B6547C" w:rsidRDefault="00DA4596" w:rsidP="00DA4596">
      <w:pPr>
        <w:numPr>
          <w:ilvl w:val="1"/>
          <w:numId w:val="1"/>
        </w:numPr>
        <w:spacing w:before="100" w:beforeAutospacing="1" w:after="100" w:afterAutospacing="1"/>
        <w:ind w:left="1440" w:hanging="360"/>
      </w:pPr>
      <w:r>
        <w:t>All</w:t>
      </w:r>
      <w:r w:rsidR="00B6547C">
        <w:t xml:space="preserve"> data transferred to RTI servers from field staff laptops will be encrypted and transferred via a secure (SSL) broadband connection or optionally a secure telephone (land) line. Similarly, all data entered via the Web-based survey system will be encrypted as the responses will be on a Web site with an SSL certificate applied. Data will be passed through a firewall at RTI and then collected and stored on a protected network share on the RTI Network. Only authorized RTI project staff members will have access to the data on the secure network share.</w:t>
      </w:r>
    </w:p>
    <w:p w:rsidR="00B6547C" w:rsidRDefault="00DA4596" w:rsidP="00DA4596">
      <w:pPr>
        <w:numPr>
          <w:ilvl w:val="1"/>
          <w:numId w:val="1"/>
        </w:numPr>
        <w:spacing w:before="100" w:beforeAutospacing="1" w:after="100" w:afterAutospacing="1"/>
        <w:ind w:left="1440" w:hanging="360"/>
      </w:pPr>
      <w:r>
        <w:t>Following</w:t>
      </w:r>
      <w:r w:rsidR="00B6547C">
        <w:t xml:space="preserve"> receipt from the field, Personally Identifiable Information (PII) will</w:t>
      </w:r>
      <w:r w:rsidR="0045480A">
        <w:t xml:space="preserve"> be stored only on RTI password-</w:t>
      </w:r>
      <w:r w:rsidR="00B6547C">
        <w:t>protected, secured servers. Only authorized project members will have access to PII for research sample members.</w:t>
      </w:r>
    </w:p>
    <w:p w:rsidR="00B6547C" w:rsidRDefault="00DA4596" w:rsidP="00DA4596">
      <w:pPr>
        <w:numPr>
          <w:ilvl w:val="1"/>
          <w:numId w:val="1"/>
        </w:numPr>
        <w:spacing w:before="100" w:beforeAutospacing="1" w:after="100" w:afterAutospacing="1"/>
        <w:ind w:left="1440" w:hanging="360"/>
      </w:pPr>
      <w:r>
        <w:t>For</w:t>
      </w:r>
      <w:r w:rsidR="00B6547C">
        <w:t xml:space="preserve"> the outcome evaluation, Web survey respondents will be required to create a unique password to access their survey and, in the event of a break-off, to resume the survey at a later date. At log in, Web respondents will also be required to select and answer one of five security questions that will be used in the event the respondent requests a password re-set after beginning the survey.</w:t>
      </w:r>
    </w:p>
    <w:p w:rsidR="00B6547C" w:rsidRDefault="00DA4596" w:rsidP="00DA4596">
      <w:pPr>
        <w:numPr>
          <w:ilvl w:val="1"/>
          <w:numId w:val="1"/>
        </w:numPr>
        <w:spacing w:before="100" w:beforeAutospacing="1" w:after="100" w:afterAutospacing="1"/>
        <w:ind w:left="1440" w:hanging="360"/>
      </w:pPr>
      <w:r>
        <w:t>For</w:t>
      </w:r>
      <w:r w:rsidR="00B6547C">
        <w:t xml:space="preserve"> the media tracking survey, </w:t>
      </w:r>
      <w:r w:rsidR="0045480A">
        <w:t xml:space="preserve">respondents will be </w:t>
      </w:r>
      <w:r w:rsidR="00B6547C">
        <w:t>given a unique alphanumeric variable and will log onto RTI’s secure server using a link provided by GMI and this unique identifier, with the result that no information about the respondent’s identity will be downloaded to or housed on RTI’s server</w:t>
      </w:r>
      <w:r w:rsidR="0045480A">
        <w:t>.</w:t>
      </w:r>
    </w:p>
    <w:p w:rsidR="00B6547C" w:rsidRDefault="00B6547C" w:rsidP="00B6547C">
      <w:pPr>
        <w:spacing w:before="100" w:beforeAutospacing="1" w:after="100" w:afterAutospacing="1"/>
        <w:ind w:left="720"/>
      </w:pPr>
      <w:r>
        <w:t xml:space="preserve">All respondents will be assured that the information they provide will be maintained in a secure manner and will be used only for the purpose of this research (see </w:t>
      </w:r>
      <w:r w:rsidRPr="00C133A6">
        <w:t xml:space="preserve">Attachment </w:t>
      </w:r>
      <w:r w:rsidR="00807306">
        <w:t>7</w:t>
      </w:r>
      <w:r>
        <w:t>). Respondents will be assured that their answers will not be shared with family members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B6547C" w:rsidRPr="00B6547C" w:rsidRDefault="00B6547C" w:rsidP="00B6547C">
      <w:pPr>
        <w:spacing w:before="100" w:beforeAutospacing="1" w:after="100" w:afterAutospacing="1"/>
        <w:ind w:left="720"/>
      </w:pPr>
      <w:r>
        <w:t xml:space="preserve">Respondents will participate on a voluntary basis. The voluntary nature of the information collection </w:t>
      </w:r>
      <w:r w:rsidRPr="00E45BB2">
        <w:t>is described in the introductory section of the Screener and Consent Process (</w:t>
      </w:r>
      <w:r w:rsidRPr="00C133A6">
        <w:t>Attachment</w:t>
      </w:r>
      <w:r w:rsidR="00807306">
        <w:t>s</w:t>
      </w:r>
      <w:r w:rsidRPr="00C133A6">
        <w:t xml:space="preserve"> </w:t>
      </w:r>
      <w:r w:rsidR="00807306">
        <w:t>6 and 7</w:t>
      </w:r>
      <w:r w:rsidRPr="00E45BB2">
        <w:t>) and the initial lead letter (</w:t>
      </w:r>
      <w:r w:rsidRPr="00C133A6">
        <w:t>Attachment 1</w:t>
      </w:r>
      <w:r w:rsidR="00807306">
        <w:t>0</w:t>
      </w:r>
      <w:r>
        <w:t>).</w:t>
      </w:r>
    </w:p>
    <w:p w:rsidR="004C6979" w:rsidRPr="004C6979" w:rsidRDefault="00DA4596" w:rsidP="00EB7538">
      <w:pPr>
        <w:numPr>
          <w:ilvl w:val="0"/>
          <w:numId w:val="1"/>
        </w:numPr>
        <w:spacing w:before="100" w:beforeAutospacing="1" w:after="100" w:afterAutospacing="1"/>
        <w:rPr>
          <w:u w:val="single"/>
        </w:rPr>
      </w:pPr>
      <w:r>
        <w:rPr>
          <w:u w:val="single"/>
        </w:rPr>
        <w:t>Ju</w:t>
      </w:r>
      <w:r w:rsidR="00EB7538" w:rsidRPr="004C6979">
        <w:rPr>
          <w:u w:val="single"/>
        </w:rPr>
        <w:t>stification for Sensitive Questions</w:t>
      </w:r>
    </w:p>
    <w:p w:rsidR="00DA4596" w:rsidRDefault="00DA4596" w:rsidP="00DA4596">
      <w:pPr>
        <w:ind w:left="720"/>
      </w:pPr>
      <w:r>
        <w:t xml:space="preserve">The majority of questions asked will not be of a sensitive nature. There will be no requests for a respondent’s Social Security Number (SSN). However, it will be necessary to ask some questions that may be considered to be of a sensitive nature in order to assess specific health behaviors, such as cigarette smoking. These questions are essential to the objectives of this information collection. Questions about messages concerning lifestyle (e.g., smoking, current smoking behavior, attempts to quit smoking) and some demographic information, such as race, ethnicity, and income, could be considered sensitive, but not highly sensitive. To address any concerns about inadvertent disclosure of sensitive information, respondents will be fully informed of the applicable privacy safeguards. The informed consent protocol (see </w:t>
      </w:r>
      <w:r w:rsidRPr="00C133A6">
        <w:t xml:space="preserve">Attachment </w:t>
      </w:r>
      <w:r w:rsidR="00807306">
        <w:t>6</w:t>
      </w:r>
      <w:r>
        <w:t>) will apprise respondents that these topics will be covered during the survey. This study includes a number of procedures and methodological characteristics that will minimize potential negative reactions to these types of questions, including the following:</w:t>
      </w:r>
    </w:p>
    <w:p w:rsidR="00DA4596" w:rsidRDefault="00DA4596" w:rsidP="00DA4596">
      <w:pPr>
        <w:ind w:left="720"/>
      </w:pPr>
    </w:p>
    <w:p w:rsidR="00DA4596" w:rsidRDefault="00DA4596" w:rsidP="00DA4596">
      <w:pPr>
        <w:numPr>
          <w:ilvl w:val="1"/>
          <w:numId w:val="1"/>
        </w:numPr>
        <w:ind w:left="1440" w:hanging="360"/>
      </w:pPr>
      <w:r>
        <w:t>Respondents will be informed that they need not answer any question that makes them feel uncomfortable or that they simply do not wish to answer.</w:t>
      </w:r>
    </w:p>
    <w:p w:rsidR="00DA4596" w:rsidRDefault="00DA4596" w:rsidP="00DA4596">
      <w:pPr>
        <w:numPr>
          <w:ilvl w:val="1"/>
          <w:numId w:val="1"/>
        </w:numPr>
        <w:ind w:left="1440" w:hanging="360"/>
      </w:pPr>
      <w:r>
        <w:t>Web surveys are entirely self-administered and maximize respondent privacy without the need to verbalize responses.</w:t>
      </w:r>
    </w:p>
    <w:p w:rsidR="00DA4596" w:rsidRDefault="00DA4596" w:rsidP="00DA4596">
      <w:pPr>
        <w:numPr>
          <w:ilvl w:val="1"/>
          <w:numId w:val="1"/>
        </w:numPr>
        <w:ind w:left="1440" w:hanging="360"/>
      </w:pPr>
      <w:r>
        <w:t>Participants will be provided with a specific toll-free phone number (linking directly to the RTI IRB Office) to call in case they have a question or concern about the sensitive issue.</w:t>
      </w:r>
    </w:p>
    <w:p w:rsidR="00DA4596" w:rsidRDefault="00DA4596" w:rsidP="00DA4596">
      <w:pPr>
        <w:ind w:left="720"/>
      </w:pPr>
    </w:p>
    <w:p w:rsidR="00DA4596" w:rsidRDefault="00DA4596" w:rsidP="00DA4596">
      <w:pPr>
        <w:ind w:left="720"/>
      </w:pPr>
      <w:r>
        <w:t>Finally, as with all information collected, these data will be presented with all identifiers removed.</w:t>
      </w:r>
    </w:p>
    <w:p w:rsid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3D1153" w:rsidRDefault="003D1153" w:rsidP="003D1153">
      <w:pPr>
        <w:ind w:left="720"/>
      </w:pPr>
      <w:r>
        <w:rPr>
          <w:u w:val="single"/>
        </w:rPr>
        <w:t>12 a. Annualized Hour Burden Estimate</w:t>
      </w:r>
    </w:p>
    <w:p w:rsidR="003F74A3" w:rsidRDefault="003F74A3" w:rsidP="003F74A3">
      <w:pPr>
        <w:spacing w:before="100" w:beforeAutospacing="1" w:after="100" w:afterAutospacing="1"/>
        <w:ind w:left="720"/>
      </w:pPr>
      <w:r w:rsidRPr="003F74A3">
        <w:t xml:space="preserve">FDA estimates the </w:t>
      </w:r>
      <w:r>
        <w:t xml:space="preserve">one time </w:t>
      </w:r>
      <w:r w:rsidRPr="003F74A3">
        <w:t>reporting burden</w:t>
      </w:r>
      <w:r>
        <w:t xml:space="preserve"> for this collection to be 37,836. The analogous number in Table 1, 12,612, </w:t>
      </w:r>
      <w:r w:rsidRPr="003F74A3">
        <w:t xml:space="preserve">is a result of dividing by three for </w:t>
      </w:r>
      <w:r>
        <w:t xml:space="preserve">the one time </w:t>
      </w:r>
      <w:r w:rsidRPr="003F74A3">
        <w:t>burde</w:t>
      </w:r>
      <w:r w:rsidR="00940C27">
        <w:t>n</w:t>
      </w:r>
      <w:r w:rsidRPr="003F74A3">
        <w:t>, to avoid double counting in the ROCIS system</w:t>
      </w:r>
    </w:p>
    <w:p w:rsidR="00114165" w:rsidRDefault="00DA4596" w:rsidP="003D1153">
      <w:pPr>
        <w:spacing w:before="100" w:beforeAutospacing="1" w:after="100" w:afterAutospacing="1"/>
        <w:ind w:left="720"/>
      </w:pPr>
      <w:r>
        <w:t>Information will be collected through interviews involving U.S. youth aged 11 to 1</w:t>
      </w:r>
      <w:r w:rsidR="00C179E6">
        <w:t>8</w:t>
      </w:r>
      <w:r>
        <w:t xml:space="preserve"> at baseline data collection. Information will be collected at baseline and in three follow-up waves approximately 8 months apart. To better understand youth’s awareness of and receptivity to campaign materials between waves of the outcome evaluation, we also plan to complete </w:t>
      </w:r>
      <w:r w:rsidR="00C179E6">
        <w:t>1,333</w:t>
      </w:r>
      <w:r>
        <w:t xml:space="preserve"> Web-based surveys in between the 8-month longitudinal surveys with a separate convenience sample. Statistical power estimates provide guidance on reasonable expectations for observing statistically significant change in outcomes of interest as detailed in Section B.1.</w:t>
      </w:r>
    </w:p>
    <w:p w:rsidR="00DA4596" w:rsidRDefault="00DA4596" w:rsidP="00DA4596">
      <w:pPr>
        <w:spacing w:before="100" w:beforeAutospacing="1" w:after="100" w:afterAutospacing="1"/>
        <w:ind w:left="720"/>
      </w:pPr>
      <w:r>
        <w:t xml:space="preserve">Because we anticipate respondent attrition between the baseline and follow-up surveys (approximately </w:t>
      </w:r>
      <w:r w:rsidR="00B01E83">
        <w:t>2</w:t>
      </w:r>
      <w:r>
        <w:t xml:space="preserve">0%), we must collect enough interviews at baseline to yield the desired sample sizes at follow-up waves. Based on data from previous longitudinal studies conducted, we estimate that a total of </w:t>
      </w:r>
      <w:r w:rsidR="003F74A3">
        <w:t>13</w:t>
      </w:r>
      <w:r>
        <w:t>,</w:t>
      </w:r>
      <w:r w:rsidR="003F74A3">
        <w:t>413</w:t>
      </w:r>
      <w:r>
        <w:t xml:space="preserve"> youth respondents and their parent or legal guardian must be contacted through the initial screening and consent process (see </w:t>
      </w:r>
      <w:r w:rsidRPr="00C133A6">
        <w:t xml:space="preserve">Attachment </w:t>
      </w:r>
      <w:r w:rsidR="00807306">
        <w:t>6</w:t>
      </w:r>
      <w:r w:rsidRPr="00E45BB2">
        <w:t>),</w:t>
      </w:r>
      <w:r>
        <w:t xml:space="preserve"> The estimated burden per response is 10 minutes </w:t>
      </w:r>
      <w:r w:rsidR="00A94D21">
        <w:t>for an annualized total of 2,2</w:t>
      </w:r>
      <w:r w:rsidR="003F74A3">
        <w:t>80</w:t>
      </w:r>
      <w:r>
        <w:t xml:space="preserve"> hours.</w:t>
      </w:r>
    </w:p>
    <w:p w:rsidR="00DA4596" w:rsidRDefault="00DA4596" w:rsidP="00DA4596">
      <w:pPr>
        <w:spacing w:before="100" w:beforeAutospacing="1" w:after="100" w:afterAutospacing="1"/>
        <w:ind w:left="720"/>
      </w:pPr>
      <w:r>
        <w:t xml:space="preserve">For the experimenter and non-trier campaigns, an estimated </w:t>
      </w:r>
      <w:r w:rsidR="003F74A3">
        <w:t>2,686</w:t>
      </w:r>
      <w:r>
        <w:t xml:space="preserve"> youth will complete the </w:t>
      </w:r>
      <w:r w:rsidR="00525366">
        <w:t>youth baseline questionnaire</w:t>
      </w:r>
      <w:r>
        <w:t xml:space="preserve"> to yield </w:t>
      </w:r>
      <w:r w:rsidR="00940C27">
        <w:t>2,148</w:t>
      </w:r>
      <w:r>
        <w:t xml:space="preserve"> completes at the first follow-up, </w:t>
      </w:r>
      <w:r w:rsidR="00940C27">
        <w:t>1,719</w:t>
      </w:r>
      <w:r>
        <w:t xml:space="preserve"> completes at the second follow-up, and </w:t>
      </w:r>
      <w:r w:rsidR="00940C27">
        <w:t>1,375</w:t>
      </w:r>
      <w:r>
        <w:t xml:space="preserve"> completes at the third follow-up survey waves (</w:t>
      </w:r>
      <w:r w:rsidRPr="00C133A6">
        <w:t>Attachment 2</w:t>
      </w:r>
      <w:r>
        <w:t>). The estimated burden per response is 30 minutes for each baseline questionnai</w:t>
      </w:r>
      <w:r w:rsidR="00A94D21">
        <w:t>re, for an annualized total of 1</w:t>
      </w:r>
      <w:r>
        <w:t>,</w:t>
      </w:r>
      <w:r w:rsidR="00A94D21">
        <w:t>343</w:t>
      </w:r>
      <w:r>
        <w:t xml:space="preserve"> hours. The estimated burden per response is 45 minutes for each follow-up questionnaire, </w:t>
      </w:r>
      <w:r w:rsidR="00A94D21">
        <w:t>for an annualized total of 1,611</w:t>
      </w:r>
      <w:r>
        <w:t xml:space="preserve"> burden hour</w:t>
      </w:r>
      <w:r w:rsidR="00A94D21">
        <w:t>s for the first follow-up, 1,289</w:t>
      </w:r>
      <w:r>
        <w:t xml:space="preserve"> hours for</w:t>
      </w:r>
      <w:r w:rsidR="00A94D21">
        <w:t xml:space="preserve"> the second follow-up, and 1,031</w:t>
      </w:r>
      <w:r>
        <w:t xml:space="preserve"> hours for the third follow-up questionnaires.</w:t>
      </w:r>
    </w:p>
    <w:p w:rsidR="00DA4596" w:rsidRDefault="00DA4596" w:rsidP="00DA4596">
      <w:pPr>
        <w:spacing w:before="100" w:beforeAutospacing="1" w:after="100" w:afterAutospacing="1"/>
        <w:ind w:left="720"/>
      </w:pPr>
      <w:r>
        <w:t xml:space="preserve">For the rural smokeless campaign, an estimated </w:t>
      </w:r>
      <w:r w:rsidR="00940C27">
        <w:t>656</w:t>
      </w:r>
      <w:r>
        <w:t xml:space="preserve"> youth will complete the </w:t>
      </w:r>
      <w:r w:rsidR="00525366">
        <w:t>youth baseline questionnaire</w:t>
      </w:r>
      <w:r>
        <w:t xml:space="preserve"> to yield </w:t>
      </w:r>
      <w:r w:rsidR="00940C27">
        <w:t>525</w:t>
      </w:r>
      <w:r>
        <w:t xml:space="preserve"> completes at the first follow-up, </w:t>
      </w:r>
      <w:r w:rsidR="00940C27">
        <w:t>420</w:t>
      </w:r>
      <w:r>
        <w:t xml:space="preserve"> completes at the second follow-up, and 1,008 completes at the third follow-up survey waves (</w:t>
      </w:r>
      <w:r w:rsidRPr="00C133A6">
        <w:t>Attachment 2</w:t>
      </w:r>
      <w:r>
        <w:t xml:space="preserve">). The estimated burden per response is 30 minutes for each baseline questionnaire, for </w:t>
      </w:r>
      <w:r w:rsidR="00A94D21">
        <w:t>a total annualized burden of 328</w:t>
      </w:r>
      <w:r>
        <w:t xml:space="preserve"> hours. The estimated burden per response is 45 minutes for each follow-up q</w:t>
      </w:r>
      <w:r w:rsidR="00A94D21">
        <w:t xml:space="preserve">uestionnaire, for a total of </w:t>
      </w:r>
      <w:r w:rsidR="001C68FD">
        <w:t>1,182</w:t>
      </w:r>
      <w:r>
        <w:t xml:space="preserve"> annualized burden ho</w:t>
      </w:r>
      <w:r w:rsidR="00A94D21">
        <w:t>urs for the first follow-up, 315</w:t>
      </w:r>
      <w:r>
        <w:t xml:space="preserve"> hours for the second fol</w:t>
      </w:r>
      <w:r w:rsidR="00A94D21">
        <w:t>low-up, and 252</w:t>
      </w:r>
      <w:r>
        <w:t xml:space="preserve"> hours for the third follow-up questionnaires.</w:t>
      </w:r>
    </w:p>
    <w:p w:rsidR="00DA4596" w:rsidRDefault="00DA4596" w:rsidP="00DA4596">
      <w:pPr>
        <w:spacing w:before="100" w:beforeAutospacing="1" w:after="100" w:afterAutospacing="1"/>
        <w:ind w:left="720"/>
      </w:pPr>
      <w:r>
        <w:t xml:space="preserve">The parent or legal guardian of youth recruited will also complete the </w:t>
      </w:r>
      <w:r w:rsidR="00525366">
        <w:t>parent baseline questionnaire</w:t>
      </w:r>
      <w:r>
        <w:t xml:space="preserve"> with an estimate burden per response of 10 minutes, for an </w:t>
      </w:r>
      <w:r w:rsidR="00A94D21">
        <w:t xml:space="preserve">annualized total burden of </w:t>
      </w:r>
      <w:r w:rsidR="00940C27">
        <w:t>568</w:t>
      </w:r>
      <w:r>
        <w:t xml:space="preserve"> hours (</w:t>
      </w:r>
      <w:r w:rsidRPr="00C133A6">
        <w:t>Attachment 3</w:t>
      </w:r>
      <w:r>
        <w:t>).</w:t>
      </w:r>
    </w:p>
    <w:p w:rsidR="00DA4596" w:rsidRDefault="00DA4596" w:rsidP="00DA4596">
      <w:pPr>
        <w:spacing w:before="100" w:beforeAutospacing="1" w:after="100" w:afterAutospacing="1"/>
        <w:ind w:left="720"/>
      </w:pPr>
      <w:r>
        <w:t xml:space="preserve">To obtain the target number of completes for the media tracking survey, </w:t>
      </w:r>
      <w:r w:rsidR="00940C27">
        <w:t>13,333</w:t>
      </w:r>
      <w:r>
        <w:t xml:space="preserve"> respondents will be contacted for each survey wave through an online invitation (Attachment </w:t>
      </w:r>
      <w:r w:rsidR="00807306">
        <w:t>10</w:t>
      </w:r>
      <w:r>
        <w:t>). The estimated burden per response is 2 minutes, for a total</w:t>
      </w:r>
      <w:r w:rsidR="00A94D21">
        <w:t xml:space="preserve"> annualized burden of 4</w:t>
      </w:r>
      <w:r w:rsidR="00940C27">
        <w:t>00</w:t>
      </w:r>
      <w:r>
        <w:t xml:space="preserve"> hours for the first m</w:t>
      </w:r>
      <w:r w:rsidR="00A94D21">
        <w:t>edia tracking questionnaire, 4</w:t>
      </w:r>
      <w:r w:rsidR="00940C27">
        <w:t>00</w:t>
      </w:r>
      <w:r>
        <w:t xml:space="preserve"> hours for the secon</w:t>
      </w:r>
      <w:r w:rsidR="00A94D21">
        <w:t xml:space="preserve">d </w:t>
      </w:r>
      <w:r w:rsidR="00E433C5">
        <w:t>media tracking survey</w:t>
      </w:r>
      <w:r w:rsidR="00A94D21">
        <w:t>, and 4</w:t>
      </w:r>
      <w:r w:rsidR="00940C27">
        <w:t>00</w:t>
      </w:r>
      <w:r>
        <w:t xml:space="preserve"> hours for the third </w:t>
      </w:r>
      <w:r w:rsidR="00E433C5">
        <w:t>media tracking survey</w:t>
      </w:r>
      <w:r>
        <w:t xml:space="preserve"> (Attachment 4). An estimated </w:t>
      </w:r>
      <w:r w:rsidR="00940C27">
        <w:t>1,333</w:t>
      </w:r>
      <w:r>
        <w:t xml:space="preserve"> youth will be recruited to complete each of the three waves of the media tracking survey. The estimated burden per response is 30 minutes for each questionnaire, for a </w:t>
      </w:r>
      <w:r w:rsidR="00A94D21">
        <w:t>total annualized burden of 667</w:t>
      </w:r>
      <w:r>
        <w:t xml:space="preserve"> hours for the fi</w:t>
      </w:r>
      <w:r w:rsidR="00A94D21">
        <w:t xml:space="preserve">rst </w:t>
      </w:r>
      <w:r w:rsidR="00E433C5">
        <w:t>media tracking survey</w:t>
      </w:r>
      <w:r w:rsidR="00A94D21">
        <w:t>, 667</w:t>
      </w:r>
      <w:r>
        <w:t xml:space="preserve"> hours for the second </w:t>
      </w:r>
      <w:r w:rsidR="00E433C5">
        <w:t>media tracking survey</w:t>
      </w:r>
      <w:r w:rsidR="00A94D21">
        <w:t>, and 667</w:t>
      </w:r>
      <w:r>
        <w:t xml:space="preserve"> hours for the third </w:t>
      </w:r>
      <w:r w:rsidR="00E433C5">
        <w:t>media tracking survey</w:t>
      </w:r>
      <w:r>
        <w:t>.</w:t>
      </w:r>
    </w:p>
    <w:p w:rsidR="00DA4596" w:rsidRDefault="00DA4596" w:rsidP="00DA4596">
      <w:pPr>
        <w:spacing w:before="100" w:beforeAutospacing="1" w:after="100" w:afterAutospacing="1"/>
        <w:ind w:left="720"/>
      </w:pPr>
      <w:r>
        <w:t>This data collection will take place in 2013, 2014, and 2015 only. Thus, the target number of completed campaign questionnaires for all respondents is 211,859, and the annualized response burden is estimated at 1</w:t>
      </w:r>
      <w:r w:rsidR="00A94D21">
        <w:t>2</w:t>
      </w:r>
      <w:r>
        <w:t>,</w:t>
      </w:r>
      <w:r w:rsidR="003F74A3">
        <w:t>612</w:t>
      </w:r>
      <w:r>
        <w:t xml:space="preserve"> hours. OMB approval is requested for 3 years. Exhibit 2 provides details about how this estimate was calculated. The Web self-administered surveys will be designed to maximize ease of response (at home on personal computers) and thus decrease respondent burden.</w:t>
      </w:r>
    </w:p>
    <w:p w:rsidR="009B7DA1" w:rsidRDefault="00C133A6" w:rsidP="0045480A">
      <w:pPr>
        <w:spacing w:before="100" w:beforeAutospacing="1" w:after="100" w:afterAutospacing="1"/>
        <w:rPr>
          <w:b/>
          <w:vertAlign w:val="superscript"/>
        </w:rPr>
      </w:pPr>
      <w:bookmarkStart w:id="4" w:name="_Toc361824170"/>
      <w:r>
        <w:rPr>
          <w:b/>
        </w:rPr>
        <w:br w:type="page"/>
      </w:r>
      <w:r w:rsidR="005A1BF6" w:rsidRPr="005A1BF6">
        <w:rPr>
          <w:b/>
        </w:rPr>
        <w:t>Table 1.--Estimated Annual Reporting Burden</w:t>
      </w:r>
      <w:r w:rsidR="002F2E75" w:rsidRPr="00A339F1">
        <w:rPr>
          <w:sz w:val="20"/>
          <w:szCs w:val="20"/>
        </w:rPr>
        <w:t>¹</w:t>
      </w:r>
      <w:bookmarkEnd w:id="4"/>
    </w:p>
    <w:tbl>
      <w:tblPr>
        <w:tblW w:w="8529" w:type="dxa"/>
        <w:tblInd w:w="86" w:type="dxa"/>
        <w:tblBorders>
          <w:top w:val="single" w:sz="12" w:space="0" w:color="auto"/>
          <w:bottom w:val="single" w:sz="12" w:space="0" w:color="auto"/>
          <w:insideH w:val="single" w:sz="6" w:space="0" w:color="auto"/>
          <w:insideV w:val="single" w:sz="6" w:space="0" w:color="auto"/>
        </w:tblBorders>
        <w:tblLayout w:type="fixed"/>
        <w:tblCellMar>
          <w:left w:w="29" w:type="dxa"/>
          <w:right w:w="29" w:type="dxa"/>
        </w:tblCellMar>
        <w:tblLook w:val="00A0" w:firstRow="1" w:lastRow="0" w:firstColumn="1" w:lastColumn="0" w:noHBand="0" w:noVBand="0"/>
      </w:tblPr>
      <w:tblGrid>
        <w:gridCol w:w="1203"/>
        <w:gridCol w:w="2160"/>
        <w:gridCol w:w="1080"/>
        <w:gridCol w:w="1029"/>
        <w:gridCol w:w="1008"/>
        <w:gridCol w:w="1080"/>
        <w:gridCol w:w="969"/>
      </w:tblGrid>
      <w:tr w:rsidR="009513F4" w:rsidRPr="00AC47CE" w:rsidTr="009513F4">
        <w:trPr>
          <w:cantSplit/>
        </w:trPr>
        <w:tc>
          <w:tcPr>
            <w:tcW w:w="1203" w:type="dxa"/>
            <w:vAlign w:val="bottom"/>
          </w:tcPr>
          <w:p w:rsidR="009513F4" w:rsidRPr="00AC47CE" w:rsidRDefault="009513F4" w:rsidP="00455A96">
            <w:pPr>
              <w:keepNext/>
              <w:spacing w:before="20" w:after="20"/>
              <w:jc w:val="center"/>
              <w:rPr>
                <w:b/>
                <w:sz w:val="20"/>
              </w:rPr>
            </w:pPr>
            <w:r w:rsidRPr="00AC47CE">
              <w:rPr>
                <w:b/>
                <w:sz w:val="20"/>
              </w:rPr>
              <w:t>Type of Respondent</w:t>
            </w:r>
          </w:p>
        </w:tc>
        <w:tc>
          <w:tcPr>
            <w:tcW w:w="2160" w:type="dxa"/>
            <w:vAlign w:val="bottom"/>
          </w:tcPr>
          <w:p w:rsidR="009513F4" w:rsidRPr="00AC47CE" w:rsidRDefault="009513F4" w:rsidP="00455A96">
            <w:pPr>
              <w:keepNext/>
              <w:spacing w:before="20" w:after="20"/>
              <w:jc w:val="center"/>
              <w:rPr>
                <w:b/>
                <w:sz w:val="20"/>
              </w:rPr>
            </w:pPr>
            <w:r w:rsidRPr="00AC47CE">
              <w:rPr>
                <w:b/>
                <w:sz w:val="20"/>
              </w:rPr>
              <w:t>Activity</w:t>
            </w:r>
          </w:p>
        </w:tc>
        <w:tc>
          <w:tcPr>
            <w:tcW w:w="1080" w:type="dxa"/>
            <w:vAlign w:val="bottom"/>
          </w:tcPr>
          <w:p w:rsidR="009513F4" w:rsidRPr="00AC47CE" w:rsidRDefault="009513F4" w:rsidP="00455A96">
            <w:pPr>
              <w:keepNext/>
              <w:spacing w:before="20" w:after="20"/>
              <w:jc w:val="center"/>
              <w:rPr>
                <w:b/>
                <w:sz w:val="20"/>
              </w:rPr>
            </w:pPr>
            <w:r w:rsidRPr="00AC47CE">
              <w:rPr>
                <w:b/>
                <w:sz w:val="20"/>
              </w:rPr>
              <w:t>Number of Respondents</w:t>
            </w:r>
          </w:p>
        </w:tc>
        <w:tc>
          <w:tcPr>
            <w:tcW w:w="1029" w:type="dxa"/>
            <w:vAlign w:val="bottom"/>
          </w:tcPr>
          <w:p w:rsidR="009513F4" w:rsidRPr="00AC47CE" w:rsidRDefault="009513F4" w:rsidP="00455A96">
            <w:pPr>
              <w:keepNext/>
              <w:spacing w:before="20" w:after="20"/>
              <w:jc w:val="center"/>
              <w:rPr>
                <w:b/>
                <w:sz w:val="20"/>
              </w:rPr>
            </w:pPr>
            <w:r w:rsidRPr="00AC47CE">
              <w:rPr>
                <w:b/>
                <w:sz w:val="20"/>
              </w:rPr>
              <w:t>Number of Responses per Respondent</w:t>
            </w:r>
          </w:p>
        </w:tc>
        <w:tc>
          <w:tcPr>
            <w:tcW w:w="1008" w:type="dxa"/>
            <w:vAlign w:val="bottom"/>
          </w:tcPr>
          <w:p w:rsidR="009513F4" w:rsidRPr="00AC47CE" w:rsidRDefault="009513F4" w:rsidP="00455A96">
            <w:pPr>
              <w:keepNext/>
              <w:spacing w:before="20" w:after="20"/>
              <w:jc w:val="center"/>
              <w:rPr>
                <w:b/>
                <w:sz w:val="20"/>
              </w:rPr>
            </w:pPr>
            <w:r w:rsidRPr="00AC47CE">
              <w:rPr>
                <w:b/>
                <w:sz w:val="20"/>
              </w:rPr>
              <w:t>Total Responses</w:t>
            </w:r>
          </w:p>
        </w:tc>
        <w:tc>
          <w:tcPr>
            <w:tcW w:w="1080" w:type="dxa"/>
            <w:vAlign w:val="bottom"/>
          </w:tcPr>
          <w:p w:rsidR="009513F4" w:rsidRPr="00AC47CE" w:rsidRDefault="009513F4" w:rsidP="00455A96">
            <w:pPr>
              <w:keepNext/>
              <w:spacing w:before="20" w:after="20"/>
              <w:jc w:val="center"/>
              <w:rPr>
                <w:b/>
                <w:sz w:val="20"/>
              </w:rPr>
            </w:pPr>
            <w:r w:rsidRPr="00AC47CE">
              <w:rPr>
                <w:b/>
                <w:sz w:val="20"/>
              </w:rPr>
              <w:t>Average Burden per Response (in hours)</w:t>
            </w:r>
          </w:p>
        </w:tc>
        <w:tc>
          <w:tcPr>
            <w:tcW w:w="969" w:type="dxa"/>
            <w:vAlign w:val="bottom"/>
          </w:tcPr>
          <w:p w:rsidR="009513F4" w:rsidRPr="00AC47CE" w:rsidRDefault="009513F4" w:rsidP="00455A96">
            <w:pPr>
              <w:keepNext/>
              <w:spacing w:before="20" w:after="20"/>
              <w:jc w:val="center"/>
              <w:rPr>
                <w:b/>
                <w:sz w:val="20"/>
              </w:rPr>
            </w:pPr>
            <w:r>
              <w:rPr>
                <w:b/>
                <w:sz w:val="20"/>
              </w:rPr>
              <w:t>Total Hours</w:t>
            </w:r>
            <w:r w:rsidRPr="005507C2">
              <w:rPr>
                <w:b/>
                <w:sz w:val="20"/>
              </w:rPr>
              <w:t>¹</w:t>
            </w:r>
          </w:p>
        </w:tc>
      </w:tr>
      <w:tr w:rsidR="009513F4" w:rsidRPr="00AC47CE" w:rsidTr="009513F4">
        <w:trPr>
          <w:cantSplit/>
        </w:trPr>
        <w:tc>
          <w:tcPr>
            <w:tcW w:w="1203" w:type="dxa"/>
            <w:vAlign w:val="center"/>
          </w:tcPr>
          <w:p w:rsidR="009513F4" w:rsidRPr="00AC47CE" w:rsidRDefault="009513F4" w:rsidP="00455A96">
            <w:pPr>
              <w:keepNext/>
              <w:spacing w:before="20" w:after="20"/>
              <w:rPr>
                <w:sz w:val="20"/>
              </w:rPr>
            </w:pPr>
            <w:r w:rsidRPr="00AC47CE">
              <w:rPr>
                <w:sz w:val="20"/>
              </w:rPr>
              <w:t>General population</w:t>
            </w:r>
          </w:p>
        </w:tc>
        <w:tc>
          <w:tcPr>
            <w:tcW w:w="2160" w:type="dxa"/>
          </w:tcPr>
          <w:p w:rsidR="009513F4" w:rsidRPr="00AC47CE" w:rsidRDefault="009513F4" w:rsidP="00455A96">
            <w:pPr>
              <w:keepNext/>
              <w:spacing w:before="20" w:after="20"/>
              <w:rPr>
                <w:sz w:val="20"/>
              </w:rPr>
            </w:pPr>
            <w:r w:rsidRPr="00AC47CE">
              <w:rPr>
                <w:sz w:val="20"/>
              </w:rPr>
              <w:t>Screener and Consent Process (Youth and Parent)</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13,413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354083" w:rsidRDefault="00354083"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13,413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0.17</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2,2</w:t>
            </w:r>
            <w:r>
              <w:rPr>
                <w:sz w:val="20"/>
              </w:rPr>
              <w:t>80</w:t>
            </w:r>
          </w:p>
        </w:tc>
      </w:tr>
      <w:tr w:rsidR="009513F4" w:rsidRPr="00AC47CE" w:rsidTr="009513F4">
        <w:trPr>
          <w:cantSplit/>
        </w:trPr>
        <w:tc>
          <w:tcPr>
            <w:tcW w:w="1203" w:type="dxa"/>
            <w:vMerge w:val="restart"/>
            <w:vAlign w:val="center"/>
          </w:tcPr>
          <w:p w:rsidR="009513F4" w:rsidRPr="00AC47CE" w:rsidRDefault="009513F4" w:rsidP="00455A96">
            <w:pPr>
              <w:keepNext/>
              <w:spacing w:before="20" w:after="20"/>
              <w:rPr>
                <w:sz w:val="20"/>
              </w:rPr>
            </w:pPr>
            <w:r w:rsidRPr="00AC47CE">
              <w:rPr>
                <w:sz w:val="20"/>
              </w:rPr>
              <w:t>Youth aged 11 to 18 in the United States</w:t>
            </w:r>
            <w:r>
              <w:rPr>
                <w:sz w:val="20"/>
              </w:rPr>
              <w:t xml:space="preserve"> (Experimental &amp; Non-Trier)</w:t>
            </w:r>
          </w:p>
        </w:tc>
        <w:tc>
          <w:tcPr>
            <w:tcW w:w="2160" w:type="dxa"/>
          </w:tcPr>
          <w:p w:rsidR="009513F4" w:rsidRPr="00AC47CE" w:rsidDel="00841491" w:rsidRDefault="009513F4" w:rsidP="00455A96">
            <w:pPr>
              <w:keepNext/>
              <w:spacing w:before="20" w:after="20"/>
              <w:rPr>
                <w:sz w:val="20"/>
              </w:rPr>
            </w:pPr>
            <w:r w:rsidRPr="00AC47CE">
              <w:rPr>
                <w:sz w:val="20"/>
              </w:rPr>
              <w:t>Youth Baseline Questionnaire</w:t>
            </w:r>
            <w:r>
              <w:rPr>
                <w:sz w:val="20"/>
              </w:rPr>
              <w:t xml:space="preserve"> (11-16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2,686</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2,686</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1,343</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2,148</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2,148</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1,611</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1,719</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1,719</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1,289</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Pr>
                <w:sz w:val="20"/>
              </w:rPr>
              <w:t>13-18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1,375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1,375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1,031</w:t>
            </w:r>
          </w:p>
        </w:tc>
      </w:tr>
      <w:tr w:rsidR="009513F4" w:rsidRPr="00AC47CE" w:rsidTr="009513F4">
        <w:trPr>
          <w:cantSplit/>
        </w:trPr>
        <w:tc>
          <w:tcPr>
            <w:tcW w:w="1203" w:type="dxa"/>
            <w:vMerge w:val="restart"/>
            <w:vAlign w:val="center"/>
          </w:tcPr>
          <w:p w:rsidR="009513F4" w:rsidRPr="00AC47CE" w:rsidRDefault="009513F4" w:rsidP="00455A96">
            <w:pPr>
              <w:keepNext/>
              <w:spacing w:before="20" w:after="20"/>
              <w:rPr>
                <w:sz w:val="20"/>
              </w:rPr>
            </w:pPr>
            <w:r w:rsidRPr="00AC47CE">
              <w:rPr>
                <w:sz w:val="20"/>
              </w:rPr>
              <w:t>Male youth aged 11 to 18 in U.S. rural markets</w:t>
            </w:r>
            <w:r>
              <w:rPr>
                <w:sz w:val="20"/>
              </w:rPr>
              <w:t xml:space="preserve"> (Rural Smokeless)</w:t>
            </w:r>
          </w:p>
        </w:tc>
        <w:tc>
          <w:tcPr>
            <w:tcW w:w="2160" w:type="dxa"/>
          </w:tcPr>
          <w:p w:rsidR="009513F4" w:rsidRPr="00AC47CE" w:rsidDel="00841491" w:rsidRDefault="009513F4" w:rsidP="00455A96">
            <w:pPr>
              <w:keepNext/>
              <w:spacing w:before="20" w:after="20"/>
              <w:rPr>
                <w:sz w:val="20"/>
              </w:rPr>
            </w:pPr>
            <w:r w:rsidRPr="00AC47CE">
              <w:rPr>
                <w:sz w:val="20"/>
              </w:rPr>
              <w:t>Youth Baseline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656</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656</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328</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Youth First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525</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525</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394</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Youth Second Follow-up Questionnaire</w:t>
            </w:r>
            <w:r>
              <w:rPr>
                <w:sz w:val="20"/>
              </w:rPr>
              <w:t xml:space="preserve"> </w:t>
            </w:r>
            <w:r w:rsidRPr="009513F4">
              <w:rPr>
                <w:sz w:val="20"/>
              </w:rPr>
              <w:t>(11-16 yrs)</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420</w:t>
            </w:r>
          </w:p>
        </w:tc>
        <w:tc>
          <w:tcPr>
            <w:tcW w:w="1029" w:type="dxa"/>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420</w:t>
            </w:r>
          </w:p>
        </w:tc>
        <w:tc>
          <w:tcPr>
            <w:tcW w:w="1080" w:type="dxa"/>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315</w:t>
            </w:r>
          </w:p>
        </w:tc>
      </w:tr>
      <w:tr w:rsidR="009513F4" w:rsidRPr="00AC47CE" w:rsidTr="009513F4">
        <w:trPr>
          <w:cantSplit/>
        </w:trPr>
        <w:tc>
          <w:tcPr>
            <w:tcW w:w="1203" w:type="dxa"/>
            <w:vMerge/>
            <w:tcBorders>
              <w:bottom w:val="single" w:sz="6" w:space="0" w:color="auto"/>
            </w:tcBorders>
            <w:vAlign w:val="center"/>
          </w:tcPr>
          <w:p w:rsidR="009513F4" w:rsidRPr="00AC47CE" w:rsidRDefault="009513F4" w:rsidP="00455A96">
            <w:pPr>
              <w:keepNext/>
              <w:spacing w:before="20" w:after="20"/>
              <w:rPr>
                <w:sz w:val="20"/>
              </w:rPr>
            </w:pPr>
          </w:p>
        </w:tc>
        <w:tc>
          <w:tcPr>
            <w:tcW w:w="2160" w:type="dxa"/>
            <w:tcBorders>
              <w:bottom w:val="single" w:sz="6" w:space="0" w:color="auto"/>
            </w:tcBorders>
          </w:tcPr>
          <w:p w:rsidR="009513F4" w:rsidRPr="00AC47CE" w:rsidRDefault="009513F4" w:rsidP="00706056">
            <w:pPr>
              <w:keepNext/>
              <w:spacing w:before="20" w:after="20"/>
              <w:rPr>
                <w:sz w:val="20"/>
              </w:rPr>
            </w:pPr>
            <w:r w:rsidRPr="00AC47CE">
              <w:rPr>
                <w:sz w:val="20"/>
              </w:rPr>
              <w:t>Youth Third Follow-up Questionnaire</w:t>
            </w:r>
            <w:r>
              <w:rPr>
                <w:sz w:val="20"/>
              </w:rPr>
              <w:t xml:space="preserve"> </w:t>
            </w:r>
            <w:r w:rsidR="00706056">
              <w:rPr>
                <w:sz w:val="20"/>
              </w:rPr>
              <w:t>(</w:t>
            </w:r>
            <w:r w:rsidRPr="009513F4">
              <w:rPr>
                <w:sz w:val="20"/>
              </w:rPr>
              <w:t>13-18 yrs)</w:t>
            </w:r>
          </w:p>
        </w:tc>
        <w:tc>
          <w:tcPr>
            <w:tcW w:w="1080" w:type="dxa"/>
            <w:tcBorders>
              <w:bottom w:val="single" w:sz="6"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336</w:t>
            </w:r>
          </w:p>
        </w:tc>
        <w:tc>
          <w:tcPr>
            <w:tcW w:w="1029" w:type="dxa"/>
            <w:tcBorders>
              <w:bottom w:val="single" w:sz="6" w:space="0" w:color="auto"/>
            </w:tcBorders>
          </w:tcPr>
          <w:p w:rsidR="00706056" w:rsidRDefault="00706056"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bottom w:val="single" w:sz="6"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336</w:t>
            </w:r>
          </w:p>
        </w:tc>
        <w:tc>
          <w:tcPr>
            <w:tcW w:w="1080" w:type="dxa"/>
            <w:tcBorders>
              <w:bottom w:val="single" w:sz="6" w:space="0" w:color="auto"/>
            </w:tcBorders>
          </w:tcPr>
          <w:p w:rsidR="00706056" w:rsidRDefault="00706056"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0.75</w:t>
            </w:r>
          </w:p>
        </w:tc>
        <w:tc>
          <w:tcPr>
            <w:tcW w:w="969" w:type="dxa"/>
            <w:tcBorders>
              <w:bottom w:val="single" w:sz="6" w:space="0" w:color="auto"/>
            </w:tcBorders>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252</w:t>
            </w:r>
          </w:p>
        </w:tc>
      </w:tr>
      <w:tr w:rsidR="009513F4" w:rsidRPr="00AC47CE" w:rsidTr="009513F4">
        <w:trPr>
          <w:cantSplit/>
        </w:trPr>
        <w:tc>
          <w:tcPr>
            <w:tcW w:w="1203" w:type="dxa"/>
            <w:tcBorders>
              <w:top w:val="single" w:sz="6" w:space="0" w:color="auto"/>
              <w:bottom w:val="double" w:sz="4" w:space="0" w:color="auto"/>
            </w:tcBorders>
            <w:vAlign w:val="center"/>
          </w:tcPr>
          <w:p w:rsidR="009513F4" w:rsidRPr="00AC47CE" w:rsidRDefault="009513F4" w:rsidP="00455A96">
            <w:pPr>
              <w:keepNext/>
              <w:spacing w:before="20" w:after="20"/>
              <w:rPr>
                <w:sz w:val="20"/>
              </w:rPr>
            </w:pPr>
            <w:r w:rsidRPr="00AC47CE">
              <w:rPr>
                <w:sz w:val="20"/>
              </w:rPr>
              <w:t>Parent of youth baseline survey participants</w:t>
            </w:r>
          </w:p>
        </w:tc>
        <w:tc>
          <w:tcPr>
            <w:tcW w:w="2160" w:type="dxa"/>
            <w:tcBorders>
              <w:top w:val="single" w:sz="6" w:space="0" w:color="auto"/>
              <w:bottom w:val="double" w:sz="4" w:space="0" w:color="auto"/>
            </w:tcBorders>
          </w:tcPr>
          <w:p w:rsidR="009513F4" w:rsidRPr="00AC47CE" w:rsidRDefault="009513F4" w:rsidP="00455A96">
            <w:pPr>
              <w:keepNext/>
              <w:spacing w:before="20" w:after="20"/>
              <w:rPr>
                <w:sz w:val="20"/>
              </w:rPr>
            </w:pPr>
            <w:r w:rsidRPr="00AC47CE">
              <w:rPr>
                <w:sz w:val="20"/>
              </w:rPr>
              <w:t>Parent Baseline Questionnaire</w:t>
            </w:r>
          </w:p>
        </w:tc>
        <w:tc>
          <w:tcPr>
            <w:tcW w:w="1080" w:type="dxa"/>
            <w:tcBorders>
              <w:top w:val="single" w:sz="6" w:space="0" w:color="auto"/>
              <w:bottom w:val="double" w:sz="4"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3,342</w:t>
            </w:r>
          </w:p>
        </w:tc>
        <w:tc>
          <w:tcPr>
            <w:tcW w:w="1029" w:type="dxa"/>
            <w:tcBorders>
              <w:top w:val="single" w:sz="6" w:space="0" w:color="auto"/>
              <w:bottom w:val="double" w:sz="4" w:space="0" w:color="auto"/>
            </w:tcBorders>
          </w:tcPr>
          <w:p w:rsidR="009513F4" w:rsidRDefault="009513F4"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top w:val="single" w:sz="6" w:space="0" w:color="auto"/>
              <w:bottom w:val="double" w:sz="4"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Pr>
                <w:sz w:val="20"/>
              </w:rPr>
              <w:t>3,342</w:t>
            </w:r>
          </w:p>
        </w:tc>
        <w:tc>
          <w:tcPr>
            <w:tcW w:w="1080" w:type="dxa"/>
            <w:tcBorders>
              <w:top w:val="single" w:sz="6" w:space="0" w:color="auto"/>
              <w:bottom w:val="double" w:sz="4" w:space="0" w:color="auto"/>
            </w:tcBorders>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0.17</w:t>
            </w:r>
          </w:p>
        </w:tc>
        <w:tc>
          <w:tcPr>
            <w:tcW w:w="969" w:type="dxa"/>
            <w:tcBorders>
              <w:top w:val="single" w:sz="6" w:space="0" w:color="auto"/>
              <w:bottom w:val="double" w:sz="4" w:space="0" w:color="auto"/>
            </w:tcBorders>
          </w:tcPr>
          <w:p w:rsidR="00354083" w:rsidRDefault="00354083"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568</w:t>
            </w:r>
          </w:p>
        </w:tc>
      </w:tr>
      <w:tr w:rsidR="009513F4" w:rsidRPr="00AC47CE" w:rsidTr="009513F4">
        <w:trPr>
          <w:cantSplit/>
        </w:trPr>
        <w:tc>
          <w:tcPr>
            <w:tcW w:w="1203" w:type="dxa"/>
            <w:vMerge w:val="restart"/>
            <w:tcBorders>
              <w:top w:val="double" w:sz="4" w:space="0" w:color="auto"/>
            </w:tcBorders>
            <w:vAlign w:val="center"/>
          </w:tcPr>
          <w:p w:rsidR="009513F4" w:rsidRPr="00AC47CE" w:rsidRDefault="009513F4" w:rsidP="00455A96">
            <w:pPr>
              <w:keepNext/>
              <w:spacing w:before="20" w:after="20"/>
              <w:rPr>
                <w:sz w:val="20"/>
              </w:rPr>
            </w:pPr>
            <w:r w:rsidRPr="00AC47CE">
              <w:rPr>
                <w:sz w:val="20"/>
              </w:rPr>
              <w:t>Youth aged 13 to 1</w:t>
            </w:r>
            <w:r>
              <w:rPr>
                <w:sz w:val="20"/>
              </w:rPr>
              <w:t>7</w:t>
            </w:r>
            <w:r w:rsidRPr="00AC47CE">
              <w:rPr>
                <w:sz w:val="20"/>
              </w:rPr>
              <w:t xml:space="preserve"> in the United States</w:t>
            </w:r>
          </w:p>
        </w:tc>
        <w:tc>
          <w:tcPr>
            <w:tcW w:w="2160" w:type="dxa"/>
            <w:tcBorders>
              <w:top w:val="double" w:sz="4" w:space="0" w:color="auto"/>
            </w:tcBorders>
          </w:tcPr>
          <w:p w:rsidR="009513F4" w:rsidRPr="00AC47CE" w:rsidDel="00841491" w:rsidRDefault="009513F4" w:rsidP="00455A96">
            <w:pPr>
              <w:keepNext/>
              <w:spacing w:before="20" w:after="20"/>
              <w:rPr>
                <w:sz w:val="20"/>
              </w:rPr>
            </w:pPr>
            <w:r w:rsidRPr="00AC47CE">
              <w:rPr>
                <w:sz w:val="20"/>
              </w:rPr>
              <w:t>Media Tracking Screener</w:t>
            </w:r>
          </w:p>
        </w:tc>
        <w:tc>
          <w:tcPr>
            <w:tcW w:w="1080" w:type="dxa"/>
            <w:tcBorders>
              <w:top w:val="double" w:sz="4" w:space="0" w:color="auto"/>
            </w:tcBorders>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13,333</w:t>
            </w:r>
          </w:p>
        </w:tc>
        <w:tc>
          <w:tcPr>
            <w:tcW w:w="1029" w:type="dxa"/>
            <w:tcBorders>
              <w:top w:val="double" w:sz="4" w:space="0" w:color="auto"/>
            </w:tcBorders>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Borders>
              <w:top w:val="double" w:sz="4" w:space="0" w:color="auto"/>
            </w:tcBorders>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Borders>
              <w:top w:val="double" w:sz="4" w:space="0" w:color="auto"/>
            </w:tcBorders>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Borders>
              <w:top w:val="double" w:sz="4" w:space="0" w:color="auto"/>
            </w:tcBorders>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First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Pr>
                <w:sz w:val="20"/>
              </w:rPr>
              <w:t>1,333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667</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RDefault="009513F4" w:rsidP="00455A96">
            <w:pPr>
              <w:keepNext/>
              <w:spacing w:before="20" w:after="20"/>
              <w:rPr>
                <w:sz w:val="20"/>
              </w:rPr>
            </w:pPr>
            <w:r w:rsidRPr="00AC47CE">
              <w:rPr>
                <w:sz w:val="20"/>
              </w:rPr>
              <w:t>Media Tracking Screener</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13,333</w:t>
            </w:r>
          </w:p>
        </w:tc>
        <w:tc>
          <w:tcPr>
            <w:tcW w:w="1029" w:type="dxa"/>
          </w:tcPr>
          <w:p w:rsidR="00354083" w:rsidRDefault="00354083" w:rsidP="00455A96">
            <w:pPr>
              <w:keepNext/>
              <w:spacing w:before="20" w:after="20"/>
              <w:jc w:val="center"/>
              <w:rPr>
                <w:sz w:val="20"/>
              </w:rPr>
            </w:pPr>
          </w:p>
          <w:p w:rsidR="009513F4" w:rsidRPr="00AC47CE" w:rsidRDefault="00354083" w:rsidP="00455A96">
            <w:pPr>
              <w:keepNext/>
              <w:spacing w:before="20" w:after="20"/>
              <w:jc w:val="center"/>
              <w:rPr>
                <w:sz w:val="20"/>
              </w:rPr>
            </w:pPr>
            <w:r>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Second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667</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Media Tracking Screener</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0.03</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Pr>
                <w:sz w:val="20"/>
              </w:rPr>
              <w:t>400</w:t>
            </w:r>
          </w:p>
        </w:tc>
      </w:tr>
      <w:tr w:rsidR="009513F4" w:rsidRPr="00AC47CE" w:rsidTr="009513F4">
        <w:trPr>
          <w:cantSplit/>
        </w:trPr>
        <w:tc>
          <w:tcPr>
            <w:tcW w:w="1203" w:type="dxa"/>
            <w:vMerge/>
            <w:vAlign w:val="center"/>
          </w:tcPr>
          <w:p w:rsidR="009513F4" w:rsidRPr="00AC47CE" w:rsidRDefault="009513F4" w:rsidP="00455A96">
            <w:pPr>
              <w:keepNext/>
              <w:spacing w:before="20" w:after="20"/>
              <w:rPr>
                <w:sz w:val="20"/>
              </w:rPr>
            </w:pPr>
          </w:p>
        </w:tc>
        <w:tc>
          <w:tcPr>
            <w:tcW w:w="2160" w:type="dxa"/>
          </w:tcPr>
          <w:p w:rsidR="009513F4" w:rsidRPr="00AC47CE" w:rsidDel="00841491" w:rsidRDefault="009513F4" w:rsidP="00455A96">
            <w:pPr>
              <w:keepNext/>
              <w:spacing w:before="20" w:after="20"/>
              <w:rPr>
                <w:sz w:val="20"/>
              </w:rPr>
            </w:pPr>
            <w:r w:rsidRPr="00AC47CE">
              <w:rPr>
                <w:sz w:val="20"/>
              </w:rPr>
              <w:t>Third Media Tracking Questionnaire</w:t>
            </w:r>
          </w:p>
        </w:tc>
        <w:tc>
          <w:tcPr>
            <w:tcW w:w="1080" w:type="dxa"/>
          </w:tcPr>
          <w:p w:rsidR="009513F4" w:rsidRDefault="009513F4" w:rsidP="00455A96">
            <w:pPr>
              <w:keepNext/>
              <w:tabs>
                <w:tab w:val="decimal" w:pos="932"/>
              </w:tabs>
              <w:spacing w:before="20" w:after="20"/>
              <w:rPr>
                <w:sz w:val="20"/>
              </w:rPr>
            </w:pPr>
          </w:p>
          <w:p w:rsidR="009513F4" w:rsidRPr="00AC47CE" w:rsidRDefault="009513F4" w:rsidP="00455A96">
            <w:pPr>
              <w:keepNext/>
              <w:tabs>
                <w:tab w:val="decimal" w:pos="932"/>
              </w:tabs>
              <w:spacing w:before="20" w:after="20"/>
              <w:rPr>
                <w:sz w:val="20"/>
              </w:rPr>
            </w:pPr>
            <w:r w:rsidRPr="00576B71">
              <w:rPr>
                <w:sz w:val="20"/>
              </w:rPr>
              <w:t>1,333</w:t>
            </w:r>
          </w:p>
        </w:tc>
        <w:tc>
          <w:tcPr>
            <w:tcW w:w="1029" w:type="dxa"/>
          </w:tcPr>
          <w:p w:rsidR="00354083" w:rsidRDefault="00354083" w:rsidP="00455A96">
            <w:pPr>
              <w:keepNext/>
              <w:spacing w:before="20" w:after="20"/>
              <w:jc w:val="center"/>
              <w:rPr>
                <w:sz w:val="20"/>
              </w:rPr>
            </w:pPr>
          </w:p>
          <w:p w:rsidR="009513F4" w:rsidRPr="00AC47CE" w:rsidRDefault="009513F4" w:rsidP="00455A96">
            <w:pPr>
              <w:keepNext/>
              <w:spacing w:before="20" w:after="20"/>
              <w:jc w:val="center"/>
              <w:rPr>
                <w:sz w:val="20"/>
              </w:rPr>
            </w:pPr>
            <w:r w:rsidRPr="00AC47CE">
              <w:rPr>
                <w:sz w:val="20"/>
              </w:rPr>
              <w:t>1</w:t>
            </w:r>
          </w:p>
        </w:tc>
        <w:tc>
          <w:tcPr>
            <w:tcW w:w="1008" w:type="dxa"/>
          </w:tcPr>
          <w:p w:rsidR="009513F4" w:rsidRDefault="009513F4" w:rsidP="00455A96">
            <w:pPr>
              <w:keepNext/>
              <w:tabs>
                <w:tab w:val="decimal" w:pos="710"/>
              </w:tabs>
              <w:spacing w:before="20" w:after="20"/>
              <w:rPr>
                <w:sz w:val="20"/>
              </w:rPr>
            </w:pPr>
          </w:p>
          <w:p w:rsidR="009513F4" w:rsidRPr="00AC47CE" w:rsidRDefault="009513F4" w:rsidP="00455A96">
            <w:pPr>
              <w:keepNext/>
              <w:tabs>
                <w:tab w:val="decimal" w:pos="710"/>
              </w:tabs>
              <w:spacing w:before="20" w:after="20"/>
              <w:rPr>
                <w:sz w:val="20"/>
              </w:rPr>
            </w:pPr>
            <w:r w:rsidRPr="00576B71">
              <w:rPr>
                <w:sz w:val="20"/>
              </w:rPr>
              <w:t>1,333</w:t>
            </w:r>
          </w:p>
        </w:tc>
        <w:tc>
          <w:tcPr>
            <w:tcW w:w="1080" w:type="dxa"/>
          </w:tcPr>
          <w:p w:rsidR="00354083" w:rsidRDefault="00354083" w:rsidP="00455A96">
            <w:pPr>
              <w:keepNext/>
              <w:tabs>
                <w:tab w:val="decimal" w:pos="454"/>
              </w:tabs>
              <w:spacing w:before="20" w:after="20"/>
              <w:rPr>
                <w:sz w:val="20"/>
              </w:rPr>
            </w:pPr>
          </w:p>
          <w:p w:rsidR="009513F4" w:rsidRPr="00AC47CE" w:rsidRDefault="009513F4" w:rsidP="00455A96">
            <w:pPr>
              <w:keepNext/>
              <w:tabs>
                <w:tab w:val="decimal" w:pos="454"/>
              </w:tabs>
              <w:spacing w:before="20" w:after="20"/>
              <w:rPr>
                <w:sz w:val="20"/>
              </w:rPr>
            </w:pPr>
            <w:r>
              <w:rPr>
                <w:sz w:val="20"/>
              </w:rPr>
              <w:t>0.50</w:t>
            </w:r>
          </w:p>
        </w:tc>
        <w:tc>
          <w:tcPr>
            <w:tcW w:w="969" w:type="dxa"/>
          </w:tcPr>
          <w:p w:rsidR="00706056" w:rsidRDefault="00706056" w:rsidP="0017112E">
            <w:pPr>
              <w:autoSpaceDE w:val="0"/>
              <w:autoSpaceDN w:val="0"/>
              <w:adjustRightInd w:val="0"/>
              <w:jc w:val="center"/>
              <w:rPr>
                <w:sz w:val="20"/>
              </w:rPr>
            </w:pPr>
          </w:p>
          <w:p w:rsidR="009513F4" w:rsidRPr="004A3E9D" w:rsidRDefault="009513F4" w:rsidP="0017112E">
            <w:pPr>
              <w:autoSpaceDE w:val="0"/>
              <w:autoSpaceDN w:val="0"/>
              <w:adjustRightInd w:val="0"/>
              <w:jc w:val="center"/>
              <w:rPr>
                <w:sz w:val="20"/>
              </w:rPr>
            </w:pPr>
            <w:r w:rsidRPr="004A3E9D">
              <w:rPr>
                <w:sz w:val="20"/>
              </w:rPr>
              <w:t>667</w:t>
            </w:r>
          </w:p>
        </w:tc>
      </w:tr>
      <w:tr w:rsidR="009513F4" w:rsidRPr="00AC47CE" w:rsidTr="009513F4">
        <w:trPr>
          <w:cantSplit/>
        </w:trPr>
        <w:tc>
          <w:tcPr>
            <w:tcW w:w="1203" w:type="dxa"/>
            <w:vAlign w:val="center"/>
          </w:tcPr>
          <w:p w:rsidR="009513F4" w:rsidRPr="00AC47CE" w:rsidRDefault="009513F4" w:rsidP="00455A96">
            <w:pPr>
              <w:keepNext/>
              <w:spacing w:before="20" w:after="20"/>
              <w:rPr>
                <w:b/>
                <w:sz w:val="20"/>
              </w:rPr>
            </w:pPr>
            <w:r w:rsidRPr="00AC47CE">
              <w:rPr>
                <w:b/>
                <w:sz w:val="20"/>
              </w:rPr>
              <w:t>Total Annualized Hours</w:t>
            </w:r>
          </w:p>
        </w:tc>
        <w:tc>
          <w:tcPr>
            <w:tcW w:w="2160" w:type="dxa"/>
          </w:tcPr>
          <w:p w:rsidR="009513F4" w:rsidRPr="00AC47CE" w:rsidRDefault="009513F4" w:rsidP="00455A96">
            <w:pPr>
              <w:keepNext/>
              <w:spacing w:before="20" w:after="20"/>
              <w:rPr>
                <w:sz w:val="20"/>
              </w:rPr>
            </w:pPr>
          </w:p>
        </w:tc>
        <w:tc>
          <w:tcPr>
            <w:tcW w:w="1080" w:type="dxa"/>
          </w:tcPr>
          <w:p w:rsidR="009513F4" w:rsidRPr="00AC47CE" w:rsidRDefault="009513F4" w:rsidP="00455A96">
            <w:pPr>
              <w:keepNext/>
              <w:tabs>
                <w:tab w:val="decimal" w:pos="932"/>
              </w:tabs>
              <w:spacing w:before="20" w:after="20"/>
              <w:rPr>
                <w:sz w:val="20"/>
              </w:rPr>
            </w:pPr>
          </w:p>
        </w:tc>
        <w:tc>
          <w:tcPr>
            <w:tcW w:w="1029" w:type="dxa"/>
          </w:tcPr>
          <w:p w:rsidR="009513F4" w:rsidRPr="00AC47CE" w:rsidRDefault="009513F4" w:rsidP="00455A96">
            <w:pPr>
              <w:keepNext/>
              <w:spacing w:before="20" w:after="20"/>
              <w:jc w:val="center"/>
              <w:rPr>
                <w:sz w:val="20"/>
              </w:rPr>
            </w:pPr>
          </w:p>
        </w:tc>
        <w:tc>
          <w:tcPr>
            <w:tcW w:w="1008" w:type="dxa"/>
          </w:tcPr>
          <w:p w:rsidR="009513F4" w:rsidRPr="00AC47CE" w:rsidRDefault="009513F4" w:rsidP="00455A96">
            <w:pPr>
              <w:keepNext/>
              <w:tabs>
                <w:tab w:val="decimal" w:pos="710"/>
              </w:tabs>
              <w:spacing w:before="20" w:after="20"/>
              <w:rPr>
                <w:sz w:val="20"/>
              </w:rPr>
            </w:pPr>
          </w:p>
        </w:tc>
        <w:tc>
          <w:tcPr>
            <w:tcW w:w="1080" w:type="dxa"/>
          </w:tcPr>
          <w:p w:rsidR="009513F4" w:rsidRPr="00AC47CE" w:rsidRDefault="009513F4" w:rsidP="00455A96">
            <w:pPr>
              <w:keepNext/>
              <w:tabs>
                <w:tab w:val="decimal" w:pos="454"/>
              </w:tabs>
              <w:spacing w:before="20" w:after="20"/>
              <w:rPr>
                <w:sz w:val="20"/>
              </w:rPr>
            </w:pPr>
          </w:p>
        </w:tc>
        <w:tc>
          <w:tcPr>
            <w:tcW w:w="969" w:type="dxa"/>
          </w:tcPr>
          <w:p w:rsidR="00706056" w:rsidRDefault="00706056" w:rsidP="003F74A3">
            <w:pPr>
              <w:autoSpaceDE w:val="0"/>
              <w:autoSpaceDN w:val="0"/>
              <w:adjustRightInd w:val="0"/>
              <w:jc w:val="center"/>
              <w:rPr>
                <w:sz w:val="20"/>
              </w:rPr>
            </w:pPr>
          </w:p>
          <w:p w:rsidR="009513F4" w:rsidRPr="004A3E9D" w:rsidRDefault="009513F4" w:rsidP="003F74A3">
            <w:pPr>
              <w:autoSpaceDE w:val="0"/>
              <w:autoSpaceDN w:val="0"/>
              <w:adjustRightInd w:val="0"/>
              <w:jc w:val="center"/>
              <w:rPr>
                <w:sz w:val="20"/>
              </w:rPr>
            </w:pPr>
            <w:r>
              <w:rPr>
                <w:sz w:val="20"/>
              </w:rPr>
              <w:fldChar w:fldCharType="begin"/>
            </w:r>
            <w:r>
              <w:rPr>
                <w:sz w:val="20"/>
              </w:rPr>
              <w:instrText xml:space="preserve"> =SUM(ABOVE) </w:instrText>
            </w:r>
            <w:r>
              <w:rPr>
                <w:sz w:val="20"/>
              </w:rPr>
              <w:fldChar w:fldCharType="separate"/>
            </w:r>
            <w:r>
              <w:rPr>
                <w:noProof/>
                <w:sz w:val="20"/>
              </w:rPr>
              <w:t>12,612</w:t>
            </w:r>
            <w:r>
              <w:rPr>
                <w:sz w:val="20"/>
              </w:rPr>
              <w:fldChar w:fldCharType="end"/>
            </w:r>
          </w:p>
        </w:tc>
      </w:tr>
    </w:tbl>
    <w:p w:rsidR="00FE6913" w:rsidRPr="009513F4" w:rsidRDefault="002F2E75" w:rsidP="00FE6913">
      <w:pPr>
        <w:spacing w:after="240"/>
        <w:rPr>
          <w:sz w:val="19"/>
          <w:szCs w:val="19"/>
        </w:rPr>
      </w:pPr>
      <w:r w:rsidRPr="00A339F1">
        <w:rPr>
          <w:sz w:val="20"/>
          <w:szCs w:val="20"/>
        </w:rPr>
        <w:t>¹</w:t>
      </w:r>
      <w:r w:rsidR="009B7DA1" w:rsidRPr="009B7DA1">
        <w:rPr>
          <w:sz w:val="19"/>
          <w:szCs w:val="19"/>
        </w:rPr>
        <w:t xml:space="preserve"> </w:t>
      </w:r>
      <w:r>
        <w:rPr>
          <w:sz w:val="19"/>
          <w:szCs w:val="19"/>
        </w:rPr>
        <w:t xml:space="preserve">One time burden, </w:t>
      </w:r>
      <w:r>
        <w:rPr>
          <w:sz w:val="20"/>
          <w:szCs w:val="20"/>
        </w:rPr>
        <w:t>a</w:t>
      </w:r>
      <w:r w:rsidR="00FE6913">
        <w:rPr>
          <w:sz w:val="20"/>
          <w:szCs w:val="20"/>
        </w:rPr>
        <w:t xml:space="preserve">ctual </w:t>
      </w:r>
      <w:r w:rsidR="00FE6913" w:rsidRPr="00FE6913">
        <w:rPr>
          <w:sz w:val="20"/>
          <w:szCs w:val="20"/>
        </w:rPr>
        <w:t>burden hours have been divided by 3 to avoid double counting in the ROCIS system</w:t>
      </w:r>
    </w:p>
    <w:p w:rsidR="00FE6913" w:rsidRPr="009513F4" w:rsidRDefault="00FE6913" w:rsidP="009B7DA1">
      <w:pPr>
        <w:spacing w:after="240"/>
        <w:rPr>
          <w:sz w:val="19"/>
          <w:szCs w:val="19"/>
        </w:rPr>
      </w:pPr>
    </w:p>
    <w:p w:rsidR="007930F0" w:rsidRDefault="0098142A" w:rsidP="00F355AC">
      <w:pPr>
        <w:pStyle w:val="BodyText2"/>
        <w:ind w:left="720"/>
      </w:pPr>
      <w:r w:rsidRPr="0098142A">
        <w:rPr>
          <w:u w:val="single"/>
        </w:rPr>
        <w:t>12b. Annualized Cost Burden Estimate</w:t>
      </w:r>
    </w:p>
    <w:p w:rsidR="007930F0" w:rsidRDefault="007930F0" w:rsidP="0045480A">
      <w:pPr>
        <w:pStyle w:val="BodyText2"/>
        <w:ind w:left="720"/>
      </w:pPr>
      <w:r w:rsidRPr="007930F0">
        <w:t>Respondents participate on a purely voluntary basis and, therefore, are subject to no direct costs other than time to participate. There are also no start-up or maintenance costs. RTI has conducted many smoking-related surveys of similar length among youth. We have examined diagnostic data from each of these prior surveys and estimate that data collection for this study will take approximately 30 minutes per respondent. According to the U.S. Department of Labor (DOL) Bureau of Labor Statistics as of March 2011 the national average hourly wage is $22.89. Thus, assuming an average hourly wage of $22.89, the estimated one-year annualized c</w:t>
      </w:r>
      <w:r w:rsidR="00A94D21">
        <w:t>ost to participants will be $2</w:t>
      </w:r>
      <w:r w:rsidR="0030309E">
        <w:t>88,690</w:t>
      </w:r>
      <w:r w:rsidRPr="007930F0">
        <w:t>. The estimated value of respondents’ time for participating in the information collection is summarized in Exhibit 3.</w:t>
      </w:r>
    </w:p>
    <w:p w:rsidR="007930F0" w:rsidRPr="007930F0" w:rsidRDefault="0045480A" w:rsidP="007930F0">
      <w:pPr>
        <w:keepNext/>
        <w:keepLines/>
        <w:spacing w:before="240" w:after="240"/>
        <w:ind w:left="720"/>
        <w:rPr>
          <w:b/>
          <w:szCs w:val="20"/>
        </w:rPr>
      </w:pPr>
      <w:r>
        <w:rPr>
          <w:b/>
          <w:szCs w:val="20"/>
        </w:rPr>
        <w:t>Exhibit 3</w:t>
      </w:r>
      <w:r w:rsidR="007930F0" w:rsidRPr="007930F0">
        <w:rPr>
          <w:b/>
          <w:szCs w:val="20"/>
        </w:rPr>
        <w:t>. Estimated Annual</w:t>
      </w:r>
      <w:r w:rsidR="00934028">
        <w:rPr>
          <w:b/>
          <w:szCs w:val="20"/>
        </w:rPr>
        <w:t xml:space="preserve"> </w:t>
      </w:r>
      <w:r w:rsidR="007930F0" w:rsidRPr="007930F0">
        <w:rPr>
          <w:b/>
          <w:szCs w:val="20"/>
        </w:rPr>
        <w:t>Cost</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3744B4" w:rsidRPr="007930F0" w:rsidTr="003744B4">
        <w:trPr>
          <w:cantSplit/>
          <w:tblHeader/>
        </w:trPr>
        <w:tc>
          <w:tcPr>
            <w:tcW w:w="1862" w:type="dxa"/>
            <w:vAlign w:val="bottom"/>
          </w:tcPr>
          <w:p w:rsidR="003744B4" w:rsidRPr="007930F0" w:rsidRDefault="003744B4" w:rsidP="007930F0">
            <w:pPr>
              <w:keepNext/>
              <w:spacing w:before="60" w:after="60"/>
              <w:jc w:val="center"/>
              <w:rPr>
                <w:b/>
                <w:sz w:val="20"/>
              </w:rPr>
            </w:pPr>
            <w:r w:rsidRPr="007930F0">
              <w:rPr>
                <w:b/>
                <w:sz w:val="20"/>
              </w:rPr>
              <w:t>Type of Respondent</w:t>
            </w:r>
          </w:p>
        </w:tc>
        <w:tc>
          <w:tcPr>
            <w:tcW w:w="2610" w:type="dxa"/>
            <w:vAlign w:val="bottom"/>
          </w:tcPr>
          <w:p w:rsidR="003744B4" w:rsidRPr="007930F0" w:rsidRDefault="003744B4" w:rsidP="007930F0">
            <w:pPr>
              <w:keepNext/>
              <w:spacing w:before="60" w:after="60"/>
              <w:jc w:val="center"/>
              <w:rPr>
                <w:b/>
                <w:sz w:val="20"/>
              </w:rPr>
            </w:pPr>
            <w:r w:rsidRPr="007930F0">
              <w:rPr>
                <w:b/>
                <w:sz w:val="20"/>
              </w:rPr>
              <w:t>Activity</w:t>
            </w:r>
          </w:p>
        </w:tc>
        <w:tc>
          <w:tcPr>
            <w:tcW w:w="1350" w:type="dxa"/>
            <w:vAlign w:val="bottom"/>
          </w:tcPr>
          <w:p w:rsidR="003744B4" w:rsidRPr="007930F0" w:rsidRDefault="003744B4" w:rsidP="007930F0">
            <w:pPr>
              <w:keepNext/>
              <w:spacing w:before="60" w:after="60"/>
              <w:jc w:val="center"/>
              <w:rPr>
                <w:b/>
                <w:sz w:val="20"/>
              </w:rPr>
            </w:pPr>
            <w:r w:rsidRPr="007930F0">
              <w:rPr>
                <w:b/>
                <w:sz w:val="20"/>
              </w:rPr>
              <w:t>Annual Burden Hours</w:t>
            </w:r>
          </w:p>
        </w:tc>
        <w:tc>
          <w:tcPr>
            <w:tcW w:w="1080" w:type="dxa"/>
            <w:vAlign w:val="bottom"/>
          </w:tcPr>
          <w:p w:rsidR="003744B4" w:rsidRPr="007930F0" w:rsidRDefault="003744B4" w:rsidP="007930F0">
            <w:pPr>
              <w:keepNext/>
              <w:spacing w:before="60" w:after="60"/>
              <w:jc w:val="center"/>
              <w:rPr>
                <w:b/>
                <w:sz w:val="20"/>
              </w:rPr>
            </w:pPr>
            <w:r w:rsidRPr="007930F0">
              <w:rPr>
                <w:b/>
                <w:sz w:val="20"/>
              </w:rPr>
              <w:t>Hourly Wage Rate</w:t>
            </w:r>
          </w:p>
        </w:tc>
        <w:tc>
          <w:tcPr>
            <w:tcW w:w="1198" w:type="dxa"/>
            <w:vAlign w:val="bottom"/>
          </w:tcPr>
          <w:p w:rsidR="003744B4" w:rsidRPr="007930F0" w:rsidRDefault="003744B4" w:rsidP="007930F0">
            <w:pPr>
              <w:keepNext/>
              <w:spacing w:before="60" w:after="60"/>
              <w:jc w:val="center"/>
              <w:rPr>
                <w:b/>
                <w:sz w:val="20"/>
              </w:rPr>
            </w:pPr>
            <w:r w:rsidRPr="007930F0">
              <w:rPr>
                <w:b/>
                <w:sz w:val="20"/>
              </w:rPr>
              <w:t>Total Cost</w:t>
            </w:r>
          </w:p>
        </w:tc>
      </w:tr>
      <w:tr w:rsidR="003744B4" w:rsidRPr="007930F0" w:rsidTr="003744B4">
        <w:trPr>
          <w:cantSplit/>
        </w:trPr>
        <w:tc>
          <w:tcPr>
            <w:tcW w:w="1862" w:type="dxa"/>
            <w:vAlign w:val="center"/>
          </w:tcPr>
          <w:p w:rsidR="003744B4" w:rsidRPr="007930F0" w:rsidRDefault="003744B4" w:rsidP="007930F0">
            <w:pPr>
              <w:spacing w:before="60" w:after="60"/>
              <w:rPr>
                <w:sz w:val="20"/>
              </w:rPr>
            </w:pPr>
            <w:r w:rsidRPr="007930F0">
              <w:rPr>
                <w:sz w:val="20"/>
              </w:rPr>
              <w:t>General population</w:t>
            </w:r>
          </w:p>
        </w:tc>
        <w:tc>
          <w:tcPr>
            <w:tcW w:w="2610" w:type="dxa"/>
          </w:tcPr>
          <w:p w:rsidR="003744B4" w:rsidRPr="007930F0" w:rsidRDefault="003744B4" w:rsidP="007930F0">
            <w:pPr>
              <w:spacing w:before="60" w:after="60"/>
              <w:rPr>
                <w:sz w:val="20"/>
              </w:rPr>
            </w:pPr>
            <w:r w:rsidRPr="007930F0">
              <w:rPr>
                <w:sz w:val="20"/>
              </w:rPr>
              <w:t>Screener and Consent Process (Youth and Parent)</w:t>
            </w:r>
          </w:p>
        </w:tc>
        <w:tc>
          <w:tcPr>
            <w:tcW w:w="1350" w:type="dxa"/>
          </w:tcPr>
          <w:p w:rsidR="003744B4" w:rsidRPr="004A3E9D" w:rsidRDefault="003744B4" w:rsidP="003744B4">
            <w:pPr>
              <w:autoSpaceDE w:val="0"/>
              <w:autoSpaceDN w:val="0"/>
              <w:adjustRightInd w:val="0"/>
              <w:jc w:val="center"/>
              <w:rPr>
                <w:sz w:val="20"/>
              </w:rPr>
            </w:pPr>
            <w:r w:rsidRPr="004A3E9D">
              <w:rPr>
                <w:sz w:val="20"/>
              </w:rPr>
              <w:t>2,2</w:t>
            </w:r>
            <w:r w:rsidR="001E1AE0">
              <w:rPr>
                <w:sz w:val="20"/>
              </w:rPr>
              <w:t>80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$5</w:t>
            </w:r>
            <w:r w:rsidR="001E1AE0">
              <w:rPr>
                <w:sz w:val="20"/>
              </w:rPr>
              <w:t>2</w:t>
            </w:r>
            <w:r w:rsidRPr="004A3E9D">
              <w:rPr>
                <w:sz w:val="20"/>
              </w:rPr>
              <w:t>,1</w:t>
            </w:r>
            <w:r w:rsidR="001E1AE0">
              <w:rPr>
                <w:sz w:val="20"/>
              </w:rPr>
              <w:t>8</w:t>
            </w:r>
            <w:r w:rsidRPr="004A3E9D">
              <w:rPr>
                <w:sz w:val="20"/>
              </w:rPr>
              <w:t>9</w:t>
            </w:r>
          </w:p>
        </w:tc>
      </w:tr>
      <w:tr w:rsidR="003744B4" w:rsidRPr="007930F0" w:rsidTr="003744B4">
        <w:trPr>
          <w:cantSplit/>
        </w:trPr>
        <w:tc>
          <w:tcPr>
            <w:tcW w:w="1862" w:type="dxa"/>
            <w:vMerge w:val="restart"/>
            <w:vAlign w:val="center"/>
          </w:tcPr>
          <w:p w:rsidR="003744B4" w:rsidRPr="007930F0" w:rsidRDefault="003744B4" w:rsidP="007930F0">
            <w:pPr>
              <w:spacing w:before="60" w:after="60"/>
              <w:rPr>
                <w:sz w:val="20"/>
              </w:rPr>
            </w:pPr>
            <w:r w:rsidRPr="007930F0">
              <w:rPr>
                <w:sz w:val="20"/>
              </w:rPr>
              <w:t>Youth aged 11 to 18 in the United States</w:t>
            </w:r>
          </w:p>
        </w:tc>
        <w:tc>
          <w:tcPr>
            <w:tcW w:w="2610" w:type="dxa"/>
          </w:tcPr>
          <w:p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1,343</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$30,741</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1,611</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$36,876</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Second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1,289</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$29,505</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Third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1,031</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$23,600</w:t>
            </w:r>
          </w:p>
        </w:tc>
      </w:tr>
      <w:tr w:rsidR="003744B4" w:rsidRPr="007930F0" w:rsidTr="003744B4">
        <w:trPr>
          <w:cantSplit/>
        </w:trPr>
        <w:tc>
          <w:tcPr>
            <w:tcW w:w="1862" w:type="dxa"/>
            <w:vMerge w:val="restart"/>
            <w:vAlign w:val="center"/>
          </w:tcPr>
          <w:p w:rsidR="003744B4" w:rsidRPr="007930F0" w:rsidRDefault="003744B4" w:rsidP="007930F0">
            <w:pPr>
              <w:spacing w:before="60" w:after="60"/>
              <w:rPr>
                <w:sz w:val="20"/>
              </w:rPr>
            </w:pPr>
            <w:r w:rsidRPr="007930F0">
              <w:rPr>
                <w:sz w:val="20"/>
              </w:rPr>
              <w:t>Male youth aged 11 to 18 in U.S. rural markets</w:t>
            </w:r>
          </w:p>
        </w:tc>
        <w:tc>
          <w:tcPr>
            <w:tcW w:w="2610" w:type="dxa"/>
          </w:tcPr>
          <w:p w:rsidR="003744B4" w:rsidRPr="007930F0" w:rsidDel="00841491" w:rsidRDefault="003744B4" w:rsidP="007930F0">
            <w:pPr>
              <w:keepNext/>
              <w:spacing w:before="60" w:after="60"/>
              <w:rPr>
                <w:sz w:val="20"/>
              </w:rPr>
            </w:pPr>
            <w:r w:rsidRPr="007930F0">
              <w:rPr>
                <w:sz w:val="20"/>
              </w:rPr>
              <w:t>Youth Baseline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328</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$7,508</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Youth First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394</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$9,019</w:t>
            </w:r>
          </w:p>
        </w:tc>
      </w:tr>
      <w:tr w:rsidR="003744B4" w:rsidRPr="007930F0" w:rsidTr="003744B4">
        <w:trPr>
          <w:cantSplit/>
        </w:trPr>
        <w:tc>
          <w:tcPr>
            <w:tcW w:w="1862" w:type="dxa"/>
            <w:vMerge/>
            <w:vAlign w:val="center"/>
          </w:tcPr>
          <w:p w:rsidR="003744B4" w:rsidRPr="007930F0" w:rsidRDefault="003744B4" w:rsidP="007930F0">
            <w:pPr>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Youth Second Follow-up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315</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$7,210</w:t>
            </w:r>
          </w:p>
        </w:tc>
      </w:tr>
      <w:tr w:rsidR="003744B4" w:rsidRPr="007930F0" w:rsidTr="003744B4">
        <w:trPr>
          <w:cantSplit/>
        </w:trPr>
        <w:tc>
          <w:tcPr>
            <w:tcW w:w="1862" w:type="dxa"/>
            <w:vMerge/>
            <w:tcBorders>
              <w:bottom w:val="single" w:sz="6" w:space="0" w:color="auto"/>
            </w:tcBorders>
            <w:vAlign w:val="center"/>
          </w:tcPr>
          <w:p w:rsidR="003744B4" w:rsidRPr="007930F0" w:rsidRDefault="003744B4" w:rsidP="007930F0">
            <w:pPr>
              <w:spacing w:before="60" w:after="60"/>
              <w:rPr>
                <w:sz w:val="20"/>
              </w:rPr>
            </w:pPr>
          </w:p>
        </w:tc>
        <w:tc>
          <w:tcPr>
            <w:tcW w:w="2610" w:type="dxa"/>
            <w:tcBorders>
              <w:bottom w:val="single" w:sz="6" w:space="0" w:color="auto"/>
            </w:tcBorders>
          </w:tcPr>
          <w:p w:rsidR="003744B4" w:rsidRPr="007930F0" w:rsidRDefault="003744B4" w:rsidP="007930F0">
            <w:pPr>
              <w:keepNext/>
              <w:spacing w:before="60" w:after="60"/>
              <w:rPr>
                <w:sz w:val="20"/>
              </w:rPr>
            </w:pPr>
            <w:r w:rsidRPr="007930F0">
              <w:rPr>
                <w:sz w:val="20"/>
              </w:rPr>
              <w:t>Youth Third Follow-up Questionnaire</w:t>
            </w:r>
          </w:p>
        </w:tc>
        <w:tc>
          <w:tcPr>
            <w:tcW w:w="1350"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252</w:t>
            </w:r>
          </w:p>
        </w:tc>
        <w:tc>
          <w:tcPr>
            <w:tcW w:w="1080"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$5,768</w:t>
            </w:r>
          </w:p>
        </w:tc>
      </w:tr>
      <w:tr w:rsidR="003744B4" w:rsidRPr="007930F0" w:rsidTr="003744B4">
        <w:trPr>
          <w:cantSplit/>
        </w:trPr>
        <w:tc>
          <w:tcPr>
            <w:tcW w:w="1862" w:type="dxa"/>
            <w:tcBorders>
              <w:top w:val="single" w:sz="6" w:space="0" w:color="auto"/>
              <w:bottom w:val="single" w:sz="6" w:space="0" w:color="auto"/>
            </w:tcBorders>
            <w:vAlign w:val="center"/>
          </w:tcPr>
          <w:p w:rsidR="003744B4" w:rsidRPr="007930F0" w:rsidRDefault="003744B4" w:rsidP="007930F0">
            <w:pPr>
              <w:spacing w:before="60" w:after="60"/>
              <w:rPr>
                <w:sz w:val="20"/>
              </w:rPr>
            </w:pPr>
            <w:r w:rsidRPr="007930F0">
              <w:rPr>
                <w:sz w:val="20"/>
              </w:rPr>
              <w:t>Parent of youth baseline survey participants</w:t>
            </w:r>
          </w:p>
        </w:tc>
        <w:tc>
          <w:tcPr>
            <w:tcW w:w="2610" w:type="dxa"/>
            <w:tcBorders>
              <w:top w:val="single" w:sz="6" w:space="0" w:color="auto"/>
              <w:bottom w:val="single" w:sz="6" w:space="0" w:color="auto"/>
            </w:tcBorders>
          </w:tcPr>
          <w:p w:rsidR="003744B4" w:rsidRPr="007930F0" w:rsidRDefault="003744B4" w:rsidP="007930F0">
            <w:pPr>
              <w:keepNext/>
              <w:spacing w:before="60" w:after="60"/>
              <w:rPr>
                <w:sz w:val="20"/>
              </w:rPr>
            </w:pPr>
            <w:r w:rsidRPr="007930F0">
              <w:rPr>
                <w:sz w:val="20"/>
              </w:rPr>
              <w:t>Parent Baseline Questionnaire</w:t>
            </w:r>
          </w:p>
        </w:tc>
        <w:tc>
          <w:tcPr>
            <w:tcW w:w="1350" w:type="dxa"/>
            <w:tcBorders>
              <w:top w:val="single" w:sz="6" w:space="0" w:color="auto"/>
              <w:bottom w:val="single" w:sz="6" w:space="0" w:color="auto"/>
            </w:tcBorders>
          </w:tcPr>
          <w:p w:rsidR="003744B4" w:rsidRPr="004A3E9D" w:rsidRDefault="00C179E6" w:rsidP="003744B4">
            <w:pPr>
              <w:autoSpaceDE w:val="0"/>
              <w:autoSpaceDN w:val="0"/>
              <w:adjustRightInd w:val="0"/>
              <w:jc w:val="center"/>
              <w:rPr>
                <w:sz w:val="20"/>
              </w:rPr>
            </w:pPr>
            <w:r>
              <w:rPr>
                <w:sz w:val="20"/>
              </w:rPr>
              <w:t>5</w:t>
            </w:r>
            <w:r w:rsidR="00A447F8">
              <w:rPr>
                <w:sz w:val="20"/>
              </w:rPr>
              <w:t>6</w:t>
            </w:r>
            <w:r>
              <w:rPr>
                <w:sz w:val="20"/>
              </w:rPr>
              <w:t>8</w:t>
            </w:r>
          </w:p>
        </w:tc>
        <w:tc>
          <w:tcPr>
            <w:tcW w:w="1080" w:type="dxa"/>
            <w:tcBorders>
              <w:top w:val="single" w:sz="6" w:space="0" w:color="auto"/>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single" w:sz="6" w:space="0" w:color="auto"/>
              <w:bottom w:val="single" w:sz="6" w:space="0" w:color="auto"/>
            </w:tcBorders>
          </w:tcPr>
          <w:p w:rsidR="003744B4" w:rsidRPr="004A3E9D" w:rsidRDefault="003744B4" w:rsidP="003744B4">
            <w:pPr>
              <w:autoSpaceDE w:val="0"/>
              <w:autoSpaceDN w:val="0"/>
              <w:adjustRightInd w:val="0"/>
              <w:jc w:val="center"/>
              <w:rPr>
                <w:sz w:val="20"/>
              </w:rPr>
            </w:pPr>
            <w:r w:rsidRPr="004A3E9D">
              <w:rPr>
                <w:sz w:val="20"/>
              </w:rPr>
              <w:t>$</w:t>
            </w:r>
            <w:r w:rsidR="0030309E">
              <w:rPr>
                <w:sz w:val="20"/>
              </w:rPr>
              <w:t>13,002</w:t>
            </w:r>
          </w:p>
        </w:tc>
      </w:tr>
    </w:tbl>
    <w:p w:rsidR="007930F0" w:rsidRPr="007930F0" w:rsidRDefault="007930F0" w:rsidP="007930F0">
      <w:pPr>
        <w:jc w:val="right"/>
        <w:rPr>
          <w:sz w:val="22"/>
        </w:rPr>
      </w:pPr>
      <w:r w:rsidRPr="007930F0">
        <w:rPr>
          <w:sz w:val="22"/>
        </w:rPr>
        <w:t>(continued)</w:t>
      </w:r>
    </w:p>
    <w:p w:rsidR="007930F0" w:rsidRPr="007930F0" w:rsidRDefault="003744B4" w:rsidP="0045480A">
      <w:pPr>
        <w:keepNext/>
        <w:keepLines/>
        <w:spacing w:before="240" w:after="240"/>
        <w:ind w:left="720"/>
        <w:rPr>
          <w:b/>
          <w:szCs w:val="20"/>
        </w:rPr>
      </w:pPr>
      <w:r>
        <w:rPr>
          <w:b/>
          <w:szCs w:val="20"/>
        </w:rPr>
        <w:br w:type="page"/>
      </w:r>
      <w:r w:rsidR="0045480A">
        <w:rPr>
          <w:b/>
          <w:szCs w:val="20"/>
        </w:rPr>
        <w:t>Exhibit 3</w:t>
      </w:r>
      <w:r w:rsidR="007930F0" w:rsidRPr="007930F0">
        <w:rPr>
          <w:b/>
          <w:szCs w:val="20"/>
        </w:rPr>
        <w:t>. Estimated Annual Cost (continued)</w:t>
      </w:r>
    </w:p>
    <w:tbl>
      <w:tblPr>
        <w:tblW w:w="8100" w:type="dxa"/>
        <w:tblInd w:w="864"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198"/>
      </w:tblGrid>
      <w:tr w:rsidR="00934028" w:rsidRPr="007930F0" w:rsidTr="00934028">
        <w:trPr>
          <w:cantSplit/>
          <w:tblHeader/>
        </w:trPr>
        <w:tc>
          <w:tcPr>
            <w:tcW w:w="1862" w:type="dxa"/>
            <w:vAlign w:val="bottom"/>
          </w:tcPr>
          <w:p w:rsidR="00934028" w:rsidRPr="007930F0" w:rsidRDefault="00934028" w:rsidP="007930F0">
            <w:pPr>
              <w:keepNext/>
              <w:spacing w:before="60" w:after="60"/>
              <w:jc w:val="center"/>
              <w:rPr>
                <w:b/>
                <w:sz w:val="20"/>
              </w:rPr>
            </w:pPr>
            <w:r w:rsidRPr="007930F0">
              <w:rPr>
                <w:b/>
                <w:sz w:val="20"/>
              </w:rPr>
              <w:t>Type of Respondent</w:t>
            </w:r>
          </w:p>
        </w:tc>
        <w:tc>
          <w:tcPr>
            <w:tcW w:w="2610" w:type="dxa"/>
            <w:vAlign w:val="bottom"/>
          </w:tcPr>
          <w:p w:rsidR="00934028" w:rsidRPr="007930F0" w:rsidRDefault="00934028" w:rsidP="007930F0">
            <w:pPr>
              <w:keepNext/>
              <w:spacing w:before="60" w:after="60"/>
              <w:jc w:val="center"/>
              <w:rPr>
                <w:b/>
                <w:sz w:val="20"/>
              </w:rPr>
            </w:pPr>
            <w:r w:rsidRPr="007930F0">
              <w:rPr>
                <w:b/>
                <w:sz w:val="20"/>
              </w:rPr>
              <w:t>Activity</w:t>
            </w:r>
          </w:p>
        </w:tc>
        <w:tc>
          <w:tcPr>
            <w:tcW w:w="1350" w:type="dxa"/>
            <w:vAlign w:val="bottom"/>
          </w:tcPr>
          <w:p w:rsidR="00934028" w:rsidRPr="007930F0" w:rsidRDefault="00934028" w:rsidP="00F661F1">
            <w:pPr>
              <w:keepNext/>
              <w:spacing w:before="60" w:after="60"/>
              <w:jc w:val="center"/>
              <w:rPr>
                <w:b/>
                <w:sz w:val="20"/>
              </w:rPr>
            </w:pPr>
            <w:r w:rsidRPr="007930F0">
              <w:rPr>
                <w:b/>
                <w:sz w:val="20"/>
              </w:rPr>
              <w:t>Annual Burden Hours</w:t>
            </w:r>
          </w:p>
        </w:tc>
        <w:tc>
          <w:tcPr>
            <w:tcW w:w="1080" w:type="dxa"/>
            <w:vAlign w:val="bottom"/>
          </w:tcPr>
          <w:p w:rsidR="00934028" w:rsidRPr="007930F0" w:rsidRDefault="00934028" w:rsidP="007930F0">
            <w:pPr>
              <w:keepNext/>
              <w:spacing w:before="60" w:after="60"/>
              <w:jc w:val="center"/>
              <w:rPr>
                <w:b/>
                <w:sz w:val="20"/>
              </w:rPr>
            </w:pPr>
            <w:r w:rsidRPr="007930F0">
              <w:rPr>
                <w:b/>
                <w:sz w:val="20"/>
              </w:rPr>
              <w:t>Hourly Wage Rate</w:t>
            </w:r>
          </w:p>
        </w:tc>
        <w:tc>
          <w:tcPr>
            <w:tcW w:w="1198" w:type="dxa"/>
            <w:vAlign w:val="bottom"/>
          </w:tcPr>
          <w:p w:rsidR="00934028" w:rsidRPr="007930F0" w:rsidRDefault="00934028" w:rsidP="007930F0">
            <w:pPr>
              <w:keepNext/>
              <w:spacing w:before="60" w:after="60"/>
              <w:jc w:val="center"/>
              <w:rPr>
                <w:b/>
                <w:sz w:val="20"/>
              </w:rPr>
            </w:pPr>
            <w:r w:rsidRPr="007930F0">
              <w:rPr>
                <w:b/>
                <w:sz w:val="20"/>
              </w:rPr>
              <w:t>Total Cost</w:t>
            </w:r>
          </w:p>
        </w:tc>
      </w:tr>
      <w:tr w:rsidR="003744B4" w:rsidRPr="007930F0" w:rsidTr="003744B4">
        <w:trPr>
          <w:cantSplit/>
        </w:trPr>
        <w:tc>
          <w:tcPr>
            <w:tcW w:w="1862" w:type="dxa"/>
            <w:vMerge w:val="restart"/>
            <w:tcBorders>
              <w:top w:val="double" w:sz="4" w:space="0" w:color="auto"/>
            </w:tcBorders>
            <w:vAlign w:val="center"/>
          </w:tcPr>
          <w:p w:rsidR="003744B4" w:rsidRPr="007930F0" w:rsidRDefault="003744B4" w:rsidP="007930F0">
            <w:pPr>
              <w:spacing w:before="60" w:after="60"/>
              <w:rPr>
                <w:sz w:val="20"/>
              </w:rPr>
            </w:pPr>
            <w:r w:rsidRPr="007930F0">
              <w:rPr>
                <w:sz w:val="20"/>
              </w:rPr>
              <w:t>Youth aged 13 to 17 in the United States</w:t>
            </w:r>
          </w:p>
        </w:tc>
        <w:tc>
          <w:tcPr>
            <w:tcW w:w="2610" w:type="dxa"/>
            <w:tcBorders>
              <w:top w:val="double" w:sz="4" w:space="0" w:color="auto"/>
            </w:tcBorders>
          </w:tcPr>
          <w:p w:rsidR="003744B4" w:rsidRPr="007930F0" w:rsidDel="00841491" w:rsidRDefault="003744B4" w:rsidP="007930F0">
            <w:pPr>
              <w:keepNext/>
              <w:spacing w:before="60" w:after="60"/>
              <w:rPr>
                <w:sz w:val="20"/>
              </w:rPr>
            </w:pPr>
            <w:r w:rsidRPr="007930F0">
              <w:rPr>
                <w:sz w:val="20"/>
              </w:rPr>
              <w:t>Media Tracking Screener</w:t>
            </w:r>
          </w:p>
        </w:tc>
        <w:tc>
          <w:tcPr>
            <w:tcW w:w="1350"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$22.89</w:t>
            </w:r>
          </w:p>
        </w:tc>
        <w:tc>
          <w:tcPr>
            <w:tcW w:w="1198" w:type="dxa"/>
            <w:tcBorders>
              <w:top w:val="double" w:sz="4" w:space="0" w:color="auto"/>
            </w:tcBorders>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r w:rsidRPr="004A3E9D">
              <w:rPr>
                <w:sz w:val="20"/>
              </w:rPr>
              <w:t>,</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First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3744B4" w:rsidRPr="007930F0" w:rsidTr="00C133A6">
        <w:trPr>
          <w:cantSplit/>
          <w:trHeight w:val="51"/>
        </w:trPr>
        <w:tc>
          <w:tcPr>
            <w:tcW w:w="1862" w:type="dxa"/>
            <w:vMerge/>
          </w:tcPr>
          <w:p w:rsidR="003744B4" w:rsidRPr="007930F0" w:rsidRDefault="003744B4" w:rsidP="007930F0">
            <w:pPr>
              <w:keepNext/>
              <w:spacing w:before="60" w:after="60"/>
              <w:rPr>
                <w:sz w:val="20"/>
              </w:rPr>
            </w:pPr>
          </w:p>
        </w:tc>
        <w:tc>
          <w:tcPr>
            <w:tcW w:w="2610" w:type="dxa"/>
          </w:tcPr>
          <w:p w:rsidR="003744B4" w:rsidRPr="007930F0" w:rsidRDefault="003744B4" w:rsidP="007930F0">
            <w:pPr>
              <w:keepNext/>
              <w:spacing w:before="60" w:after="60"/>
              <w:rPr>
                <w:sz w:val="20"/>
              </w:rPr>
            </w:pPr>
            <w:r w:rsidRPr="007930F0">
              <w:rPr>
                <w:sz w:val="20"/>
              </w:rPr>
              <w:t>Media Tracking Screener</w:t>
            </w:r>
          </w:p>
        </w:tc>
        <w:tc>
          <w:tcPr>
            <w:tcW w:w="1350" w:type="dxa"/>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Second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Media Tracking Screener</w:t>
            </w:r>
          </w:p>
        </w:tc>
        <w:tc>
          <w:tcPr>
            <w:tcW w:w="1350" w:type="dxa"/>
          </w:tcPr>
          <w:p w:rsidR="003744B4" w:rsidRPr="004A3E9D" w:rsidRDefault="003744B4" w:rsidP="003744B4">
            <w:pPr>
              <w:autoSpaceDE w:val="0"/>
              <w:autoSpaceDN w:val="0"/>
              <w:adjustRightInd w:val="0"/>
              <w:jc w:val="center"/>
              <w:rPr>
                <w:sz w:val="20"/>
              </w:rPr>
            </w:pPr>
            <w:r w:rsidRPr="004A3E9D">
              <w:rPr>
                <w:sz w:val="20"/>
              </w:rPr>
              <w:t>4</w:t>
            </w:r>
            <w:r w:rsidR="00A447F8">
              <w:rPr>
                <w:sz w:val="20"/>
              </w:rPr>
              <w:t>00</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w:t>
            </w:r>
            <w:r w:rsidR="00A447F8">
              <w:rPr>
                <w:sz w:val="20"/>
              </w:rPr>
              <w:t>9,156</w:t>
            </w:r>
          </w:p>
        </w:tc>
      </w:tr>
      <w:tr w:rsidR="003744B4" w:rsidRPr="007930F0" w:rsidTr="003744B4">
        <w:trPr>
          <w:cantSplit/>
        </w:trPr>
        <w:tc>
          <w:tcPr>
            <w:tcW w:w="1862" w:type="dxa"/>
            <w:vMerge/>
          </w:tcPr>
          <w:p w:rsidR="003744B4" w:rsidRPr="007930F0" w:rsidRDefault="003744B4" w:rsidP="007930F0">
            <w:pPr>
              <w:keepNext/>
              <w:spacing w:before="60" w:after="60"/>
              <w:rPr>
                <w:sz w:val="20"/>
              </w:rPr>
            </w:pPr>
          </w:p>
        </w:tc>
        <w:tc>
          <w:tcPr>
            <w:tcW w:w="2610" w:type="dxa"/>
          </w:tcPr>
          <w:p w:rsidR="003744B4" w:rsidRPr="007930F0" w:rsidDel="00841491" w:rsidRDefault="003744B4" w:rsidP="007930F0">
            <w:pPr>
              <w:keepNext/>
              <w:spacing w:before="60" w:after="60"/>
              <w:rPr>
                <w:sz w:val="20"/>
              </w:rPr>
            </w:pPr>
            <w:r w:rsidRPr="007930F0">
              <w:rPr>
                <w:sz w:val="20"/>
              </w:rPr>
              <w:t>Third Media Tracking Questionnaire</w:t>
            </w:r>
          </w:p>
        </w:tc>
        <w:tc>
          <w:tcPr>
            <w:tcW w:w="1350" w:type="dxa"/>
          </w:tcPr>
          <w:p w:rsidR="003744B4" w:rsidRPr="004A3E9D" w:rsidRDefault="003744B4" w:rsidP="003744B4">
            <w:pPr>
              <w:autoSpaceDE w:val="0"/>
              <w:autoSpaceDN w:val="0"/>
              <w:adjustRightInd w:val="0"/>
              <w:jc w:val="center"/>
              <w:rPr>
                <w:sz w:val="20"/>
              </w:rPr>
            </w:pPr>
            <w:r w:rsidRPr="004A3E9D">
              <w:rPr>
                <w:sz w:val="20"/>
              </w:rPr>
              <w:t>667</w:t>
            </w:r>
          </w:p>
        </w:tc>
        <w:tc>
          <w:tcPr>
            <w:tcW w:w="1080" w:type="dxa"/>
          </w:tcPr>
          <w:p w:rsidR="003744B4" w:rsidRPr="004A3E9D" w:rsidRDefault="003744B4" w:rsidP="003744B4">
            <w:pPr>
              <w:autoSpaceDE w:val="0"/>
              <w:autoSpaceDN w:val="0"/>
              <w:adjustRightInd w:val="0"/>
              <w:jc w:val="center"/>
              <w:rPr>
                <w:sz w:val="20"/>
              </w:rPr>
            </w:pPr>
            <w:r w:rsidRPr="004A3E9D">
              <w:rPr>
                <w:sz w:val="20"/>
              </w:rPr>
              <w:t>$22.89</w:t>
            </w:r>
          </w:p>
        </w:tc>
        <w:tc>
          <w:tcPr>
            <w:tcW w:w="1198" w:type="dxa"/>
          </w:tcPr>
          <w:p w:rsidR="003744B4" w:rsidRPr="004A3E9D" w:rsidRDefault="003744B4" w:rsidP="003744B4">
            <w:pPr>
              <w:autoSpaceDE w:val="0"/>
              <w:autoSpaceDN w:val="0"/>
              <w:adjustRightInd w:val="0"/>
              <w:jc w:val="center"/>
              <w:rPr>
                <w:sz w:val="20"/>
              </w:rPr>
            </w:pPr>
            <w:r w:rsidRPr="004A3E9D">
              <w:rPr>
                <w:sz w:val="20"/>
              </w:rPr>
              <w:t>$15,268</w:t>
            </w:r>
          </w:p>
        </w:tc>
      </w:tr>
      <w:tr w:rsidR="00934028" w:rsidRPr="007930F0" w:rsidTr="003744B4">
        <w:trPr>
          <w:cantSplit/>
        </w:trPr>
        <w:tc>
          <w:tcPr>
            <w:tcW w:w="1862" w:type="dxa"/>
            <w:vAlign w:val="center"/>
          </w:tcPr>
          <w:p w:rsidR="00934028" w:rsidRPr="007930F0" w:rsidRDefault="00934028" w:rsidP="007930F0">
            <w:pPr>
              <w:spacing w:before="60" w:after="60"/>
              <w:rPr>
                <w:sz w:val="20"/>
              </w:rPr>
            </w:pPr>
            <w:r w:rsidRPr="007930F0">
              <w:rPr>
                <w:sz w:val="20"/>
              </w:rPr>
              <w:t>Total</w:t>
            </w:r>
          </w:p>
        </w:tc>
        <w:tc>
          <w:tcPr>
            <w:tcW w:w="2610" w:type="dxa"/>
          </w:tcPr>
          <w:p w:rsidR="00934028" w:rsidRPr="007930F0" w:rsidRDefault="00934028" w:rsidP="007930F0">
            <w:pPr>
              <w:keepNext/>
              <w:spacing w:before="60" w:after="60"/>
              <w:rPr>
                <w:sz w:val="20"/>
              </w:rPr>
            </w:pPr>
          </w:p>
        </w:tc>
        <w:tc>
          <w:tcPr>
            <w:tcW w:w="1350" w:type="dxa"/>
          </w:tcPr>
          <w:p w:rsidR="00934028" w:rsidRPr="007930F0" w:rsidRDefault="00706056" w:rsidP="00A447F8">
            <w:pPr>
              <w:keepNext/>
              <w:tabs>
                <w:tab w:val="decimal" w:pos="752"/>
              </w:tabs>
              <w:spacing w:before="60" w:after="60"/>
              <w:rPr>
                <w:sz w:val="20"/>
              </w:rPr>
            </w:pPr>
            <w:r>
              <w:rPr>
                <w:sz w:val="20"/>
              </w:rPr>
              <w:t>12,612</w:t>
            </w:r>
          </w:p>
        </w:tc>
        <w:tc>
          <w:tcPr>
            <w:tcW w:w="1080" w:type="dxa"/>
          </w:tcPr>
          <w:p w:rsidR="00934028" w:rsidRPr="007930F0" w:rsidRDefault="00934028" w:rsidP="007930F0">
            <w:pPr>
              <w:keepNext/>
              <w:tabs>
                <w:tab w:val="decimal" w:pos="476"/>
              </w:tabs>
              <w:spacing w:before="60" w:after="60"/>
              <w:rPr>
                <w:sz w:val="20"/>
              </w:rPr>
            </w:pPr>
          </w:p>
        </w:tc>
        <w:tc>
          <w:tcPr>
            <w:tcW w:w="1198" w:type="dxa"/>
          </w:tcPr>
          <w:p w:rsidR="003744B4" w:rsidRPr="004A3E9D" w:rsidRDefault="003744B4" w:rsidP="003744B4">
            <w:pPr>
              <w:autoSpaceDE w:val="0"/>
              <w:autoSpaceDN w:val="0"/>
              <w:adjustRightInd w:val="0"/>
              <w:jc w:val="center"/>
              <w:rPr>
                <w:sz w:val="20"/>
              </w:rPr>
            </w:pPr>
            <w:r w:rsidRPr="004A3E9D">
              <w:rPr>
                <w:sz w:val="20"/>
              </w:rPr>
              <w:t>$2</w:t>
            </w:r>
            <w:r w:rsidR="0030309E">
              <w:rPr>
                <w:sz w:val="20"/>
              </w:rPr>
              <w:t>88,690</w:t>
            </w:r>
          </w:p>
          <w:p w:rsidR="00934028" w:rsidRPr="007930F0" w:rsidRDefault="00934028" w:rsidP="003744B4">
            <w:pPr>
              <w:keepNext/>
              <w:tabs>
                <w:tab w:val="decimal" w:pos="860"/>
              </w:tabs>
              <w:spacing w:before="60" w:after="60"/>
              <w:jc w:val="center"/>
              <w:rPr>
                <w:sz w:val="20"/>
              </w:rPr>
            </w:pPr>
          </w:p>
        </w:tc>
      </w:tr>
    </w:tbl>
    <w:p w:rsidR="007930F0" w:rsidRPr="007930F0" w:rsidRDefault="007930F0" w:rsidP="007930F0">
      <w:pPr>
        <w:spacing w:after="240"/>
        <w:rPr>
          <w:sz w:val="20"/>
          <w:szCs w:val="22"/>
        </w:rPr>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350523" w:rsidP="009B7DA1">
      <w:pPr>
        <w:ind w:left="720"/>
      </w:pPr>
      <w:r>
        <w:t>There are no capital, start-up, operating</w:t>
      </w:r>
      <w:r w:rsidR="0045480A">
        <w:t>,</w:t>
      </w:r>
      <w:r>
        <w:t xml:space="preserve"> or maintenance costs associated with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9B7DA1" w:rsidRPr="00AC47CE" w:rsidRDefault="009B7DA1" w:rsidP="0045480A">
      <w:pPr>
        <w:pStyle w:val="BodyText1"/>
        <w:spacing w:after="0" w:line="240" w:lineRule="auto"/>
        <w:ind w:left="720" w:firstLine="0"/>
      </w:pPr>
      <w:r w:rsidRPr="00AC47CE">
        <w:t xml:space="preserve">This information collection is funded </w:t>
      </w:r>
      <w:r w:rsidRPr="001A2859">
        <w:t xml:space="preserve">through a contract with RTI. The total estimated costs attributable to this data collection are </w:t>
      </w:r>
      <w:r w:rsidR="00813D49" w:rsidRPr="00C133A6">
        <w:rPr>
          <w:sz w:val="22"/>
        </w:rPr>
        <w:t>$</w:t>
      </w:r>
      <w:r w:rsidR="00813D49">
        <w:rPr>
          <w:sz w:val="22"/>
        </w:rPr>
        <w:t>12,148,807</w:t>
      </w:r>
      <w:r w:rsidR="00813D49" w:rsidRPr="001A2859">
        <w:t xml:space="preserve"> </w:t>
      </w:r>
      <w:r w:rsidRPr="001A2859">
        <w:t>(</w:t>
      </w:r>
      <w:r w:rsidRPr="0045480A">
        <w:t>Exhibit 4).</w:t>
      </w:r>
      <w:r w:rsidRPr="00AC47CE">
        <w:t xml:space="preserve"> </w:t>
      </w:r>
      <w:r w:rsidRPr="00813D49">
        <w:t>There are additional contract-funded activities occurring before and after this data collection that include project planning and data analysis. Other activities outside this</w:t>
      </w:r>
      <w:r w:rsidRPr="00AC47CE">
        <w:t xml:space="preserve"> data collection include coordination with FDA and its media contractor, evaluation plan development, instrument development, reporting, RTI IRB, and progress reporting and project management. This information collection will occur from 2013 through 2015.</w:t>
      </w:r>
    </w:p>
    <w:p w:rsidR="00410B6A" w:rsidRPr="0096400B" w:rsidRDefault="00410B6A" w:rsidP="0045480A">
      <w:pPr>
        <w:pStyle w:val="BodyText1"/>
        <w:spacing w:after="0" w:line="240" w:lineRule="auto"/>
        <w:ind w:left="720" w:firstLine="0"/>
      </w:pPr>
      <w:bookmarkStart w:id="5" w:name="_Toc361824171"/>
    </w:p>
    <w:p w:rsidR="009B7DA1" w:rsidRPr="00C133A6" w:rsidRDefault="009B7DA1" w:rsidP="009B7DA1">
      <w:pPr>
        <w:pStyle w:val="FigureTitle"/>
        <w:ind w:left="720"/>
      </w:pPr>
      <w:r w:rsidRPr="00C133A6">
        <w:t>Exhibit 4. Itemized Cost to the Federal Government</w:t>
      </w:r>
      <w:bookmarkEnd w:id="5"/>
    </w:p>
    <w:tbl>
      <w:tblPr>
        <w:tblW w:w="0" w:type="auto"/>
        <w:tblInd w:w="7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155FD2" w:rsidRPr="00C133A6" w:rsidTr="00983DC7">
        <w:trPr>
          <w:trHeight w:val="107"/>
        </w:trPr>
        <w:tc>
          <w:tcPr>
            <w:tcW w:w="2386" w:type="dxa"/>
            <w:tcBorders>
              <w:top w:val="single" w:sz="12" w:space="0" w:color="auto"/>
            </w:tcBorders>
            <w:shd w:val="clear" w:color="auto" w:fill="auto"/>
          </w:tcPr>
          <w:p w:rsidR="00155FD2" w:rsidRPr="00B7549F" w:rsidRDefault="00155FD2" w:rsidP="00662A36">
            <w:pPr>
              <w:pStyle w:val="FigureTitle"/>
              <w:spacing w:before="0" w:after="120"/>
              <w:jc w:val="center"/>
            </w:pPr>
            <w:r w:rsidRPr="00B7549F">
              <w:rPr>
                <w:sz w:val="22"/>
              </w:rPr>
              <w:t>Government Personnel</w:t>
            </w:r>
          </w:p>
        </w:tc>
        <w:tc>
          <w:tcPr>
            <w:tcW w:w="2007" w:type="dxa"/>
            <w:tcBorders>
              <w:top w:val="single" w:sz="12" w:space="0" w:color="auto"/>
            </w:tcBorders>
            <w:shd w:val="clear" w:color="auto" w:fill="auto"/>
          </w:tcPr>
          <w:p w:rsidR="00155FD2" w:rsidRPr="00B7549F" w:rsidRDefault="00155FD2" w:rsidP="00662A36">
            <w:pPr>
              <w:pStyle w:val="FigureTitle"/>
              <w:spacing w:before="0" w:after="120"/>
              <w:jc w:val="center"/>
            </w:pPr>
            <w:r w:rsidRPr="00B7549F">
              <w:rPr>
                <w:sz w:val="22"/>
              </w:rPr>
              <w:t>Time Commitment</w:t>
            </w:r>
          </w:p>
        </w:tc>
        <w:tc>
          <w:tcPr>
            <w:tcW w:w="2735" w:type="dxa"/>
            <w:tcBorders>
              <w:top w:val="single" w:sz="12" w:space="0" w:color="auto"/>
            </w:tcBorders>
            <w:shd w:val="clear" w:color="auto" w:fill="auto"/>
            <w:vAlign w:val="bottom"/>
          </w:tcPr>
          <w:p w:rsidR="00155FD2" w:rsidRPr="00F661F1" w:rsidRDefault="00155FD2" w:rsidP="00662A36">
            <w:pPr>
              <w:pStyle w:val="FigureTitle"/>
              <w:spacing w:before="0" w:after="120"/>
              <w:jc w:val="center"/>
            </w:pPr>
            <w:r w:rsidRPr="00F661F1">
              <w:rPr>
                <w:sz w:val="22"/>
              </w:rPr>
              <w:t>Average Annual Salary</w:t>
            </w:r>
          </w:p>
        </w:tc>
        <w:tc>
          <w:tcPr>
            <w:tcW w:w="1620" w:type="dxa"/>
            <w:tcBorders>
              <w:top w:val="single" w:sz="12" w:space="0" w:color="auto"/>
            </w:tcBorders>
            <w:shd w:val="clear" w:color="auto" w:fill="auto"/>
          </w:tcPr>
          <w:p w:rsidR="00155FD2" w:rsidRPr="00BB0C07" w:rsidRDefault="00155FD2" w:rsidP="00662A36">
            <w:pPr>
              <w:pStyle w:val="FigureTitle"/>
              <w:spacing w:before="0" w:after="120"/>
              <w:jc w:val="center"/>
            </w:pPr>
            <w:r w:rsidRPr="00BB0C07">
              <w:rPr>
                <w:sz w:val="22"/>
              </w:rPr>
              <w:t>Total</w:t>
            </w:r>
          </w:p>
        </w:tc>
      </w:tr>
      <w:tr w:rsidR="00155FD2" w:rsidRPr="00C133A6" w:rsidTr="00983DC7">
        <w:trPr>
          <w:trHeight w:val="368"/>
        </w:trPr>
        <w:tc>
          <w:tcPr>
            <w:tcW w:w="2386"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15%</w:t>
            </w:r>
          </w:p>
        </w:tc>
        <w:tc>
          <w:tcPr>
            <w:tcW w:w="2735" w:type="dxa"/>
            <w:shd w:val="clear" w:color="auto" w:fill="auto"/>
          </w:tcPr>
          <w:p w:rsidR="00155FD2" w:rsidRPr="00C133A6" w:rsidRDefault="00155FD2" w:rsidP="00983DC7">
            <w:pPr>
              <w:pStyle w:val="FigureTitle"/>
              <w:spacing w:before="0" w:after="60"/>
              <w:jc w:val="right"/>
              <w:rPr>
                <w:b w:val="0"/>
                <w:sz w:val="22"/>
              </w:rPr>
            </w:pPr>
            <w:r w:rsidRPr="00C133A6">
              <w:rPr>
                <w:b w:val="0"/>
                <w:sz w:val="22"/>
              </w:rPr>
              <w:t>$89,003</w:t>
            </w:r>
          </w:p>
        </w:tc>
        <w:tc>
          <w:tcPr>
            <w:tcW w:w="1620" w:type="dxa"/>
            <w:shd w:val="clear" w:color="auto" w:fill="auto"/>
          </w:tcPr>
          <w:p w:rsidR="00155FD2" w:rsidRPr="00B7549F" w:rsidRDefault="008642E3" w:rsidP="00983DC7">
            <w:pPr>
              <w:pStyle w:val="FigureTitle"/>
              <w:spacing w:before="0" w:after="60"/>
              <w:jc w:val="right"/>
              <w:rPr>
                <w:b w:val="0"/>
                <w:sz w:val="22"/>
              </w:rPr>
            </w:pPr>
            <w:r w:rsidRPr="00662A36">
              <w:rPr>
                <w:b w:val="0"/>
                <w:sz w:val="22"/>
              </w:rPr>
              <w:t>$13,350</w:t>
            </w:r>
          </w:p>
        </w:tc>
      </w:tr>
      <w:tr w:rsidR="00155FD2" w:rsidRPr="00C133A6" w:rsidTr="00983DC7">
        <w:tc>
          <w:tcPr>
            <w:tcW w:w="2386"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GS-13</w:t>
            </w:r>
          </w:p>
        </w:tc>
        <w:tc>
          <w:tcPr>
            <w:tcW w:w="2007" w:type="dxa"/>
            <w:shd w:val="clear" w:color="auto" w:fill="auto"/>
          </w:tcPr>
          <w:p w:rsidR="00155FD2" w:rsidRPr="00C133A6" w:rsidRDefault="00155FD2" w:rsidP="00983DC7">
            <w:pPr>
              <w:pStyle w:val="FigureTitle"/>
              <w:spacing w:before="0" w:after="60"/>
              <w:jc w:val="center"/>
              <w:rPr>
                <w:b w:val="0"/>
                <w:sz w:val="22"/>
              </w:rPr>
            </w:pPr>
            <w:r w:rsidRPr="00C133A6">
              <w:rPr>
                <w:b w:val="0"/>
                <w:sz w:val="22"/>
              </w:rPr>
              <w:t>25%</w:t>
            </w:r>
          </w:p>
        </w:tc>
        <w:tc>
          <w:tcPr>
            <w:tcW w:w="2735" w:type="dxa"/>
            <w:shd w:val="clear" w:color="auto" w:fill="auto"/>
          </w:tcPr>
          <w:p w:rsidR="00155FD2" w:rsidRPr="00C133A6" w:rsidRDefault="00155FD2" w:rsidP="00983DC7">
            <w:pPr>
              <w:pStyle w:val="FigureTitle"/>
              <w:spacing w:before="0" w:after="60"/>
              <w:jc w:val="right"/>
              <w:rPr>
                <w:b w:val="0"/>
                <w:sz w:val="22"/>
              </w:rPr>
            </w:pPr>
            <w:r w:rsidRPr="00C133A6">
              <w:rPr>
                <w:b w:val="0"/>
                <w:sz w:val="22"/>
              </w:rPr>
              <w:t>$94,969</w:t>
            </w:r>
          </w:p>
        </w:tc>
        <w:tc>
          <w:tcPr>
            <w:tcW w:w="1620" w:type="dxa"/>
            <w:shd w:val="clear" w:color="auto" w:fill="auto"/>
          </w:tcPr>
          <w:p w:rsidR="00155FD2" w:rsidRPr="00B7549F" w:rsidRDefault="008642E3" w:rsidP="00983DC7">
            <w:pPr>
              <w:pStyle w:val="FigureTitle"/>
              <w:spacing w:before="0" w:after="60"/>
              <w:jc w:val="right"/>
              <w:rPr>
                <w:b w:val="0"/>
                <w:sz w:val="22"/>
              </w:rPr>
            </w:pPr>
            <w:r w:rsidRPr="00662A36">
              <w:rPr>
                <w:b w:val="0"/>
                <w:sz w:val="22"/>
              </w:rPr>
              <w:t>$23,742</w:t>
            </w:r>
          </w:p>
        </w:tc>
      </w:tr>
      <w:tr w:rsidR="00155FD2" w:rsidRPr="00C133A6" w:rsidTr="00983DC7">
        <w:trPr>
          <w:trHeight w:val="260"/>
        </w:trPr>
        <w:tc>
          <w:tcPr>
            <w:tcW w:w="2386" w:type="dxa"/>
            <w:tcBorders>
              <w:bottom w:val="single" w:sz="4" w:space="0" w:color="auto"/>
            </w:tcBorders>
            <w:shd w:val="clear" w:color="auto" w:fill="auto"/>
          </w:tcPr>
          <w:p w:rsidR="00155FD2" w:rsidRPr="00C133A6" w:rsidRDefault="00155FD2" w:rsidP="00983DC7">
            <w:pPr>
              <w:pStyle w:val="FigureTitle"/>
              <w:spacing w:before="0" w:after="60"/>
              <w:jc w:val="center"/>
              <w:rPr>
                <w:b w:val="0"/>
                <w:sz w:val="22"/>
              </w:rPr>
            </w:pPr>
            <w:r w:rsidRPr="00C133A6">
              <w:rPr>
                <w:b w:val="0"/>
                <w:sz w:val="22"/>
              </w:rPr>
              <w:t>GS-15</w:t>
            </w:r>
          </w:p>
        </w:tc>
        <w:tc>
          <w:tcPr>
            <w:tcW w:w="2007" w:type="dxa"/>
            <w:tcBorders>
              <w:bottom w:val="single" w:sz="4" w:space="0" w:color="auto"/>
            </w:tcBorders>
            <w:shd w:val="clear" w:color="auto" w:fill="auto"/>
          </w:tcPr>
          <w:p w:rsidR="00155FD2" w:rsidRPr="00C133A6" w:rsidRDefault="00155FD2" w:rsidP="00983DC7">
            <w:pPr>
              <w:pStyle w:val="FigureTitle"/>
              <w:spacing w:before="0" w:after="60"/>
              <w:jc w:val="center"/>
              <w:rPr>
                <w:b w:val="0"/>
                <w:sz w:val="22"/>
              </w:rPr>
            </w:pPr>
            <w:r w:rsidRPr="00C133A6">
              <w:rPr>
                <w:b w:val="0"/>
                <w:sz w:val="22"/>
              </w:rPr>
              <w:t>5%</w:t>
            </w:r>
          </w:p>
        </w:tc>
        <w:tc>
          <w:tcPr>
            <w:tcW w:w="2735" w:type="dxa"/>
            <w:tcBorders>
              <w:bottom w:val="single" w:sz="4" w:space="0" w:color="auto"/>
            </w:tcBorders>
            <w:shd w:val="clear" w:color="auto" w:fill="auto"/>
          </w:tcPr>
          <w:p w:rsidR="00155FD2" w:rsidRPr="00C133A6" w:rsidRDefault="00566AAF" w:rsidP="00983DC7">
            <w:pPr>
              <w:pStyle w:val="FigureTitle"/>
              <w:spacing w:before="0" w:after="60"/>
              <w:jc w:val="right"/>
              <w:rPr>
                <w:b w:val="0"/>
                <w:sz w:val="22"/>
              </w:rPr>
            </w:pPr>
            <w:r w:rsidRPr="00C133A6">
              <w:rPr>
                <w:b w:val="0"/>
                <w:sz w:val="22"/>
              </w:rPr>
              <w:t>$123,758</w:t>
            </w:r>
          </w:p>
        </w:tc>
        <w:tc>
          <w:tcPr>
            <w:tcW w:w="1620" w:type="dxa"/>
            <w:tcBorders>
              <w:bottom w:val="single" w:sz="4" w:space="0" w:color="auto"/>
            </w:tcBorders>
            <w:shd w:val="clear" w:color="auto" w:fill="auto"/>
          </w:tcPr>
          <w:p w:rsidR="001E1AE0" w:rsidRPr="00B7549F" w:rsidRDefault="008642E3" w:rsidP="001E1AE0">
            <w:pPr>
              <w:pStyle w:val="FigureTitle"/>
              <w:spacing w:before="0" w:after="60"/>
              <w:jc w:val="right"/>
              <w:rPr>
                <w:b w:val="0"/>
                <w:sz w:val="22"/>
              </w:rPr>
            </w:pPr>
            <w:r w:rsidRPr="00662A36">
              <w:rPr>
                <w:b w:val="0"/>
                <w:sz w:val="22"/>
              </w:rPr>
              <w:t>$6,188</w:t>
            </w:r>
          </w:p>
        </w:tc>
      </w:tr>
      <w:tr w:rsidR="001E1AE0" w:rsidRPr="00C133A6" w:rsidTr="00983DC7">
        <w:trPr>
          <w:trHeight w:val="260"/>
        </w:trPr>
        <w:tc>
          <w:tcPr>
            <w:tcW w:w="2386"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rsidR="001E1AE0" w:rsidRPr="00C133A6" w:rsidRDefault="001E1AE0" w:rsidP="00983DC7">
            <w:pPr>
              <w:pStyle w:val="FigureTitle"/>
              <w:spacing w:before="0" w:after="60"/>
              <w:jc w:val="right"/>
              <w:rPr>
                <w:b w:val="0"/>
                <w:sz w:val="22"/>
              </w:rPr>
            </w:pPr>
          </w:p>
        </w:tc>
        <w:tc>
          <w:tcPr>
            <w:tcW w:w="1620" w:type="dxa"/>
            <w:tcBorders>
              <w:bottom w:val="single" w:sz="4" w:space="0" w:color="auto"/>
            </w:tcBorders>
            <w:shd w:val="clear" w:color="auto" w:fill="auto"/>
          </w:tcPr>
          <w:p w:rsidR="001E1AE0" w:rsidRPr="00662A36" w:rsidRDefault="001E1AE0" w:rsidP="001E1AE0">
            <w:pPr>
              <w:pStyle w:val="FigureTitle"/>
              <w:spacing w:before="0" w:after="60"/>
              <w:jc w:val="right"/>
              <w:rPr>
                <w:b w:val="0"/>
                <w:sz w:val="22"/>
              </w:rPr>
            </w:pPr>
          </w:p>
        </w:tc>
      </w:tr>
      <w:tr w:rsidR="001E1AE0" w:rsidRPr="00C133A6" w:rsidTr="00983DC7">
        <w:trPr>
          <w:trHeight w:val="260"/>
        </w:trPr>
        <w:tc>
          <w:tcPr>
            <w:tcW w:w="2386"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007" w:type="dxa"/>
            <w:tcBorders>
              <w:bottom w:val="single" w:sz="4" w:space="0" w:color="auto"/>
            </w:tcBorders>
            <w:shd w:val="clear" w:color="auto" w:fill="auto"/>
          </w:tcPr>
          <w:p w:rsidR="001E1AE0" w:rsidRPr="00C133A6" w:rsidRDefault="001E1AE0" w:rsidP="00983DC7">
            <w:pPr>
              <w:pStyle w:val="FigureTitle"/>
              <w:spacing w:before="0" w:after="60"/>
              <w:jc w:val="center"/>
              <w:rPr>
                <w:b w:val="0"/>
                <w:sz w:val="22"/>
              </w:rPr>
            </w:pPr>
          </w:p>
        </w:tc>
        <w:tc>
          <w:tcPr>
            <w:tcW w:w="2735" w:type="dxa"/>
            <w:tcBorders>
              <w:bottom w:val="single" w:sz="4" w:space="0" w:color="auto"/>
            </w:tcBorders>
            <w:shd w:val="clear" w:color="auto" w:fill="auto"/>
          </w:tcPr>
          <w:p w:rsidR="001E1AE0" w:rsidRPr="009513F4" w:rsidRDefault="001E1AE0" w:rsidP="00983DC7">
            <w:pPr>
              <w:pStyle w:val="FigureTitle"/>
              <w:spacing w:before="0" w:after="60"/>
              <w:jc w:val="right"/>
              <w:rPr>
                <w:sz w:val="22"/>
              </w:rPr>
            </w:pPr>
            <w:r w:rsidRPr="009513F4">
              <w:rPr>
                <w:sz w:val="22"/>
              </w:rPr>
              <w:t>Total Salary Costs</w:t>
            </w:r>
          </w:p>
        </w:tc>
        <w:tc>
          <w:tcPr>
            <w:tcW w:w="1620" w:type="dxa"/>
            <w:tcBorders>
              <w:bottom w:val="single" w:sz="4" w:space="0" w:color="auto"/>
            </w:tcBorders>
            <w:shd w:val="clear" w:color="auto" w:fill="auto"/>
          </w:tcPr>
          <w:p w:rsidR="001E1AE0" w:rsidRPr="00662A36" w:rsidRDefault="001E1AE0" w:rsidP="001E1AE0">
            <w:pPr>
              <w:pStyle w:val="FigureTitle"/>
              <w:spacing w:before="0" w:after="60"/>
              <w:jc w:val="right"/>
              <w:rPr>
                <w:b w:val="0"/>
                <w:sz w:val="22"/>
              </w:rPr>
            </w:pPr>
            <w:r>
              <w:rPr>
                <w:b w:val="0"/>
                <w:sz w:val="22"/>
              </w:rPr>
              <w:fldChar w:fldCharType="begin"/>
            </w:r>
            <w:r>
              <w:rPr>
                <w:b w:val="0"/>
                <w:sz w:val="22"/>
              </w:rPr>
              <w:instrText xml:space="preserve"> =SUM(ABOVE) </w:instrText>
            </w:r>
            <w:r>
              <w:rPr>
                <w:b w:val="0"/>
                <w:sz w:val="22"/>
              </w:rPr>
              <w:fldChar w:fldCharType="separate"/>
            </w:r>
            <w:r>
              <w:rPr>
                <w:b w:val="0"/>
                <w:noProof/>
                <w:sz w:val="22"/>
              </w:rPr>
              <w:t>$43,280.00</w:t>
            </w:r>
            <w:r>
              <w:rPr>
                <w:b w:val="0"/>
                <w:sz w:val="22"/>
              </w:rPr>
              <w:fldChar w:fldCharType="end"/>
            </w:r>
          </w:p>
        </w:tc>
      </w:tr>
      <w:tr w:rsidR="003A4D03" w:rsidRPr="003A4D03" w:rsidTr="00983DC7">
        <w:trPr>
          <w:trHeight w:val="458"/>
        </w:trPr>
        <w:tc>
          <w:tcPr>
            <w:tcW w:w="7128" w:type="dxa"/>
            <w:gridSpan w:val="3"/>
            <w:tcBorders>
              <w:bottom w:val="single" w:sz="12" w:space="0" w:color="auto"/>
            </w:tcBorders>
            <w:shd w:val="clear" w:color="auto" w:fill="auto"/>
          </w:tcPr>
          <w:p w:rsidR="003A4D03" w:rsidRPr="003A4D03" w:rsidRDefault="003A4D03" w:rsidP="009513F4">
            <w:pPr>
              <w:pStyle w:val="FigureTitle"/>
              <w:spacing w:before="0" w:after="60"/>
              <w:jc w:val="right"/>
              <w:rPr>
                <w:sz w:val="22"/>
                <w:szCs w:val="22"/>
              </w:rPr>
            </w:pPr>
            <w:r w:rsidRPr="003A4D03">
              <w:rPr>
                <w:sz w:val="22"/>
                <w:szCs w:val="22"/>
              </w:rPr>
              <w:t>Contract Cost</w:t>
            </w:r>
          </w:p>
        </w:tc>
        <w:tc>
          <w:tcPr>
            <w:tcW w:w="1620" w:type="dxa"/>
            <w:tcBorders>
              <w:bottom w:val="single" w:sz="12" w:space="0" w:color="auto"/>
            </w:tcBorders>
            <w:shd w:val="clear" w:color="auto" w:fill="auto"/>
          </w:tcPr>
          <w:p w:rsidR="003A4D03" w:rsidRPr="003A4D03" w:rsidRDefault="003A4D03" w:rsidP="00983DC7">
            <w:pPr>
              <w:pStyle w:val="FigureTitle"/>
              <w:spacing w:before="0" w:after="60"/>
              <w:jc w:val="right"/>
              <w:rPr>
                <w:b w:val="0"/>
                <w:sz w:val="22"/>
                <w:szCs w:val="22"/>
              </w:rPr>
            </w:pPr>
            <w:r w:rsidRPr="003A4D03">
              <w:rPr>
                <w:b w:val="0"/>
                <w:sz w:val="22"/>
                <w:szCs w:val="22"/>
              </w:rPr>
              <w:t>$12,105,527</w:t>
            </w:r>
          </w:p>
        </w:tc>
      </w:tr>
      <w:tr w:rsidR="00566AAF" w:rsidRPr="00C133A6" w:rsidTr="00983DC7">
        <w:trPr>
          <w:trHeight w:val="458"/>
        </w:trPr>
        <w:tc>
          <w:tcPr>
            <w:tcW w:w="7128" w:type="dxa"/>
            <w:gridSpan w:val="3"/>
            <w:tcBorders>
              <w:bottom w:val="single" w:sz="12" w:space="0" w:color="auto"/>
            </w:tcBorders>
            <w:shd w:val="clear" w:color="auto" w:fill="auto"/>
          </w:tcPr>
          <w:p w:rsidR="00566AAF" w:rsidRPr="00C133A6" w:rsidRDefault="00566AAF" w:rsidP="00662A36">
            <w:pPr>
              <w:pStyle w:val="FigureTitle"/>
              <w:spacing w:before="0" w:after="60"/>
              <w:jc w:val="right"/>
              <w:rPr>
                <w:sz w:val="22"/>
              </w:rPr>
            </w:pPr>
            <w:r w:rsidRPr="00C133A6">
              <w:rPr>
                <w:sz w:val="22"/>
              </w:rPr>
              <w:t>Total</w:t>
            </w:r>
          </w:p>
        </w:tc>
        <w:tc>
          <w:tcPr>
            <w:tcW w:w="1620" w:type="dxa"/>
            <w:tcBorders>
              <w:bottom w:val="single" w:sz="12" w:space="0" w:color="auto"/>
            </w:tcBorders>
            <w:shd w:val="clear" w:color="auto" w:fill="auto"/>
          </w:tcPr>
          <w:p w:rsidR="00566AAF" w:rsidRPr="00C133A6" w:rsidRDefault="008642E3" w:rsidP="003A4D03">
            <w:pPr>
              <w:pStyle w:val="FigureTitle"/>
              <w:spacing w:before="0" w:after="60"/>
              <w:jc w:val="right"/>
              <w:rPr>
                <w:sz w:val="22"/>
              </w:rPr>
            </w:pPr>
            <w:r w:rsidRPr="00C133A6">
              <w:rPr>
                <w:sz w:val="22"/>
              </w:rPr>
              <w:t>$</w:t>
            </w:r>
            <w:r w:rsidR="003A4D03">
              <w:rPr>
                <w:sz w:val="22"/>
              </w:rPr>
              <w:t>12,148,807</w:t>
            </w:r>
          </w:p>
        </w:tc>
      </w:tr>
    </w:tbl>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9F66B5" w:rsidRDefault="00280CAF" w:rsidP="009B7DA1">
      <w:pPr>
        <w:pStyle w:val="BodyTextIndent"/>
        <w:ind w:left="720"/>
      </w:pPr>
      <w:r>
        <w:t>This is a new data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9B7DA1" w:rsidRDefault="009B7DA1" w:rsidP="009B7DA1">
      <w:pPr>
        <w:pStyle w:val="BodyText1"/>
        <w:spacing w:after="0" w:line="240" w:lineRule="auto"/>
        <w:ind w:left="720" w:firstLine="0"/>
      </w:pPr>
      <w:r w:rsidRPr="00AC47CE">
        <w:t>Data from this information collection will be used to estimate awareness of and exposure to the campaigns among youth. These estimates will take the form of self-reported ad recognition and recall that assess basic exposure as well as frequency of ad exposure. These estimates will also be calculated separately for each specific campaign advertisement.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D</w:t>
      </w:r>
      <w:r w:rsidRPr="00AC47CE">
        <w:t xml:space="preserve">ata from this information collection will also be used to examine statistical associations between exposure to the </w:t>
      </w:r>
      <w:r w:rsidR="000F4046">
        <w:t xml:space="preserve">campaigns </w:t>
      </w:r>
      <w:r w:rsidRPr="00AC47CE">
        <w:t xml:space="preserve">and pre-post changes in specific outcomes of interest. This will be accomplished with the use of multivariate models that estimate follow-up measures of each relevant outcome as a function of prior self-reported exposure to the campaign, controlling for baseline measures of each outcome as well as baseline individual characteristics that may confound the relationship between campaign exposure and changes in outcomes. The primary outcomes of interest among youth will be awareness of the </w:t>
      </w:r>
      <w:r w:rsidR="000F4046">
        <w:t xml:space="preserve">campaigns </w:t>
      </w:r>
      <w:r w:rsidR="00493736">
        <w:t>as well as</w:t>
      </w:r>
      <w:r w:rsidRPr="00AC47CE">
        <w:t xml:space="preserve"> </w:t>
      </w:r>
      <w:r w:rsidR="00493736">
        <w:t xml:space="preserve">tobacco-related </w:t>
      </w:r>
      <w:r w:rsidR="00493736" w:rsidRPr="00FC77B9">
        <w:t>beliefs</w:t>
      </w:r>
      <w:r w:rsidR="00493736">
        <w:t xml:space="preserve">, </w:t>
      </w:r>
      <w:r w:rsidR="00493736" w:rsidRPr="00FC77B9">
        <w:t>attitudes</w:t>
      </w:r>
      <w:r w:rsidR="00493736">
        <w:t>, intentions and behaviors</w:t>
      </w:r>
      <w:r w:rsidRPr="00AC47CE">
        <w:t xml:space="preserve">. We hypothesize that there should be larger changes in outcomes among individuals who are exposed to the </w:t>
      </w:r>
      <w:r w:rsidR="000F4046">
        <w:t xml:space="preserve">campaigns </w:t>
      </w:r>
      <w:r w:rsidRPr="00AC47CE">
        <w:t>more frequently (i.e., dose-response effects).</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W</w:t>
      </w:r>
      <w:r w:rsidRPr="00AC47CE">
        <w:t xml:space="preserve">e will also utilize measures of market-level campaign intensity, which will be constructed with available data on campaign gross rating points (GRPs) for each market covered by this survey. These data provide an overall measure of the reach and frequency of televised programming (in this case, campaign ads) within any given media market. These data will be merged to the survey to provide an additional measure of campaign exposure among study participants. This will allow us to analyze the relationship between the market-level delivery of the </w:t>
      </w:r>
      <w:r w:rsidR="000F4046">
        <w:t xml:space="preserve">campaigns </w:t>
      </w:r>
      <w:r w:rsidRPr="00AC47CE">
        <w:t>and actual levels of awareness in each sample that is collected. This will also facilitate further analyses of the relationship between exogenous market-level measures of campaign dose and changes in the aforementioned outcome variables of interest.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t>T</w:t>
      </w:r>
      <w:r w:rsidRPr="00AC47CE">
        <w:t xml:space="preserve">he reporting and dissemination mechanism will consist of three primary components: (1) summary statistics (in the form of PowerPoint presentations and other briefings) on individual awareness of and reactions to the campaign, (2) a comprehensive evaluation report summarizing findings from this information collection, and (3) at least three peer-reviewed journal articles that document the relationships between campaign exposure and changes in the aforementioned outcomes of interest. The key events and reports to be prepared are listed in </w:t>
      </w:r>
      <w:r w:rsidRPr="00525366">
        <w:t>Exhibit 5</w:t>
      </w:r>
      <w:r w:rsidRPr="00AC47CE">
        <w:t>.</w:t>
      </w:r>
    </w:p>
    <w:p w:rsidR="009B7DA1" w:rsidRDefault="009B7DA1" w:rsidP="009B7DA1">
      <w:pPr>
        <w:pStyle w:val="BodyText1"/>
        <w:spacing w:after="0" w:line="240" w:lineRule="auto"/>
        <w:ind w:left="720" w:firstLine="0"/>
      </w:pPr>
    </w:p>
    <w:p w:rsidR="009B7DA1" w:rsidRDefault="009B7DA1" w:rsidP="009B7DA1">
      <w:pPr>
        <w:pStyle w:val="BodyText1"/>
        <w:spacing w:after="0" w:line="240" w:lineRule="auto"/>
        <w:ind w:left="720" w:firstLine="0"/>
      </w:pPr>
      <w:r w:rsidRPr="00AC47CE">
        <w:t>Baseline information collection must be completed before the launch of the campaign. OMB approval is requested as soon as possible.</w:t>
      </w:r>
    </w:p>
    <w:p w:rsidR="009B7DA1" w:rsidRPr="00AC47CE" w:rsidRDefault="009B7DA1" w:rsidP="009B7DA1">
      <w:pPr>
        <w:pStyle w:val="BodyText1"/>
        <w:spacing w:after="0" w:line="240" w:lineRule="auto"/>
        <w:ind w:left="720" w:firstLine="0"/>
      </w:pPr>
    </w:p>
    <w:p w:rsidR="009B7DA1" w:rsidRPr="00AC47CE" w:rsidRDefault="009B7DA1" w:rsidP="009B7DA1">
      <w:pPr>
        <w:pStyle w:val="FigureTitle"/>
        <w:spacing w:before="0" w:after="0"/>
        <w:ind w:left="720"/>
      </w:pPr>
      <w:bookmarkStart w:id="6" w:name="_Ref216592722"/>
      <w:bookmarkStart w:id="7" w:name="_Toc66689102"/>
      <w:bookmarkStart w:id="8" w:name="_Toc140476560"/>
      <w:bookmarkStart w:id="9" w:name="_Toc216595340"/>
      <w:bookmarkStart w:id="10" w:name="_Toc361824172"/>
      <w:r w:rsidRPr="00AC47CE">
        <w:t xml:space="preserve">Exhibit </w:t>
      </w:r>
      <w:bookmarkEnd w:id="6"/>
      <w:r w:rsidRPr="00AC47CE">
        <w:t>5.</w:t>
      </w:r>
      <w:bookmarkEnd w:id="7"/>
      <w:bookmarkEnd w:id="8"/>
      <w:bookmarkEnd w:id="9"/>
      <w:r w:rsidRPr="00AC47CE">
        <w:t xml:space="preserve"> Project Schedule</w:t>
      </w:r>
      <w:bookmarkEnd w:id="10"/>
    </w:p>
    <w:p w:rsidR="009B7DA1" w:rsidRDefault="009B7DA1" w:rsidP="009B7DA1">
      <w:pPr>
        <w:ind w:left="720"/>
      </w:pPr>
    </w:p>
    <w:tbl>
      <w:tblPr>
        <w:tblW w:w="873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211"/>
        <w:gridCol w:w="5522"/>
      </w:tblGrid>
      <w:tr w:rsidR="009B7DA1" w:rsidRPr="00AC47CE" w:rsidTr="00983DC7">
        <w:trPr>
          <w:cantSplit/>
        </w:trPr>
        <w:tc>
          <w:tcPr>
            <w:tcW w:w="3211" w:type="dxa"/>
            <w:tcBorders>
              <w:top w:val="single" w:sz="12" w:space="0" w:color="auto"/>
              <w:bottom w:val="single" w:sz="6" w:space="0" w:color="auto"/>
            </w:tcBorders>
            <w:vAlign w:val="bottom"/>
          </w:tcPr>
          <w:p w:rsidR="009B7DA1" w:rsidRPr="00AC47CE" w:rsidRDefault="009B7DA1" w:rsidP="00455A96">
            <w:pPr>
              <w:pStyle w:val="TableHeaders"/>
              <w:keepNext/>
            </w:pPr>
            <w:r w:rsidRPr="00AC47CE">
              <w:t>Project Activity</w:t>
            </w:r>
          </w:p>
        </w:tc>
        <w:tc>
          <w:tcPr>
            <w:tcW w:w="5522" w:type="dxa"/>
            <w:tcBorders>
              <w:top w:val="single" w:sz="12" w:space="0" w:color="auto"/>
              <w:bottom w:val="single" w:sz="6" w:space="0" w:color="auto"/>
            </w:tcBorders>
            <w:vAlign w:val="bottom"/>
          </w:tcPr>
          <w:p w:rsidR="009B7DA1" w:rsidRPr="00AC47CE" w:rsidRDefault="009B7DA1" w:rsidP="00455A96">
            <w:pPr>
              <w:pStyle w:val="TableHeaders"/>
              <w:keepNext/>
            </w:pPr>
            <w:r w:rsidRPr="00AC47CE">
              <w:t>Date</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Baseline data collection</w:t>
            </w:r>
          </w:p>
        </w:tc>
        <w:tc>
          <w:tcPr>
            <w:tcW w:w="5522" w:type="dxa"/>
          </w:tcPr>
          <w:p w:rsidR="009B7DA1" w:rsidRPr="00AC47CE" w:rsidRDefault="00C23CE3" w:rsidP="00455A96">
            <w:pPr>
              <w:keepNext/>
              <w:tabs>
                <w:tab w:val="right" w:pos="9350"/>
              </w:tabs>
              <w:autoSpaceDE w:val="0"/>
              <w:autoSpaceDN w:val="0"/>
              <w:adjustRightInd w:val="0"/>
              <w:spacing w:before="40" w:after="40"/>
              <w:rPr>
                <w:szCs w:val="22"/>
                <w:highlight w:val="yellow"/>
              </w:rPr>
            </w:pPr>
            <w:r>
              <w:rPr>
                <w:sz w:val="22"/>
                <w:szCs w:val="22"/>
              </w:rPr>
              <w:t>November 2013 to October</w:t>
            </w:r>
            <w:r w:rsidR="009B7DA1" w:rsidRPr="00AC47CE">
              <w:rPr>
                <w:sz w:val="22"/>
                <w:szCs w:val="22"/>
              </w:rPr>
              <w:t xml:space="preserve"> 2014</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Follow-up data collection</w:t>
            </w:r>
          </w:p>
        </w:tc>
        <w:tc>
          <w:tcPr>
            <w:tcW w:w="5522" w:type="dxa"/>
          </w:tcPr>
          <w:p w:rsidR="009B7DA1" w:rsidRPr="00AC47CE" w:rsidRDefault="00D36775" w:rsidP="00C23CE3">
            <w:pPr>
              <w:keepNext/>
              <w:spacing w:before="40" w:after="40"/>
              <w:rPr>
                <w:sz w:val="22"/>
                <w:szCs w:val="22"/>
              </w:rPr>
            </w:pPr>
            <w:r>
              <w:rPr>
                <w:sz w:val="22"/>
                <w:szCs w:val="22"/>
              </w:rPr>
              <w:t xml:space="preserve">July </w:t>
            </w:r>
            <w:r w:rsidR="00C23CE3">
              <w:rPr>
                <w:sz w:val="22"/>
                <w:szCs w:val="22"/>
              </w:rPr>
              <w:t>2014–May</w:t>
            </w:r>
            <w:r w:rsidR="009B7DA1" w:rsidRPr="00AC47CE">
              <w:rPr>
                <w:sz w:val="22"/>
                <w:szCs w:val="22"/>
              </w:rPr>
              <w:t xml:space="preserve"> 201</w:t>
            </w:r>
            <w:r w:rsidR="00C23CE3">
              <w:rPr>
                <w:sz w:val="22"/>
                <w:szCs w:val="22"/>
              </w:rPr>
              <w:t>6</w:t>
            </w:r>
          </w:p>
        </w:tc>
      </w:tr>
      <w:tr w:rsidR="009B7DA1" w:rsidRPr="00AC47CE" w:rsidTr="00983DC7">
        <w:tblPrEx>
          <w:tblCellMar>
            <w:top w:w="0" w:type="dxa"/>
          </w:tblCellMar>
        </w:tblPrEx>
        <w:trPr>
          <w:cantSplit/>
        </w:trPr>
        <w:tc>
          <w:tcPr>
            <w:tcW w:w="3211" w:type="dxa"/>
          </w:tcPr>
          <w:p w:rsidR="009B7DA1" w:rsidRPr="00AC47CE" w:rsidRDefault="009B7DA1" w:rsidP="00455A96">
            <w:pPr>
              <w:keepNext/>
              <w:spacing w:before="40" w:after="40"/>
              <w:rPr>
                <w:szCs w:val="22"/>
              </w:rPr>
            </w:pPr>
            <w:r w:rsidRPr="00AC47CE">
              <w:rPr>
                <w:sz w:val="22"/>
                <w:szCs w:val="22"/>
              </w:rPr>
              <w:t>Preparation of analytic data file</w:t>
            </w:r>
          </w:p>
        </w:tc>
        <w:tc>
          <w:tcPr>
            <w:tcW w:w="5522" w:type="dxa"/>
          </w:tcPr>
          <w:p w:rsidR="009B7DA1" w:rsidRPr="00AC47CE" w:rsidRDefault="009B7DA1" w:rsidP="00455A96">
            <w:pPr>
              <w:keepNext/>
              <w:spacing w:before="40" w:after="40"/>
              <w:rPr>
                <w:szCs w:val="22"/>
              </w:rPr>
            </w:pPr>
            <w:r w:rsidRPr="00AC47CE">
              <w:rPr>
                <w:sz w:val="22"/>
                <w:szCs w:val="22"/>
              </w:rPr>
              <w:t>Approximately 2–4 weeks after completion of data collection</w:t>
            </w:r>
          </w:p>
        </w:tc>
      </w:tr>
      <w:tr w:rsidR="009B7DA1" w:rsidRPr="00AC47CE" w:rsidTr="00983DC7">
        <w:tblPrEx>
          <w:tblCellMar>
            <w:top w:w="0" w:type="dxa"/>
          </w:tblCellMar>
        </w:tblPrEx>
        <w:trPr>
          <w:cantSplit/>
        </w:trPr>
        <w:tc>
          <w:tcPr>
            <w:tcW w:w="3211" w:type="dxa"/>
            <w:tcBorders>
              <w:bottom w:val="nil"/>
            </w:tcBorders>
          </w:tcPr>
          <w:p w:rsidR="009B7DA1" w:rsidRPr="00AC47CE" w:rsidRDefault="009B7DA1" w:rsidP="00455A96">
            <w:pPr>
              <w:keepNext/>
              <w:spacing w:before="40" w:after="40"/>
              <w:rPr>
                <w:szCs w:val="22"/>
              </w:rPr>
            </w:pPr>
            <w:r w:rsidRPr="00AC47CE">
              <w:rPr>
                <w:sz w:val="22"/>
                <w:szCs w:val="22"/>
              </w:rPr>
              <w:t>Data analysis</w:t>
            </w:r>
          </w:p>
        </w:tc>
        <w:tc>
          <w:tcPr>
            <w:tcW w:w="5522" w:type="dxa"/>
            <w:tcBorders>
              <w:bottom w:val="nil"/>
            </w:tcBorders>
          </w:tcPr>
          <w:p w:rsidR="009B7DA1" w:rsidRPr="00AC47CE" w:rsidRDefault="00C23CE3" w:rsidP="00455A96">
            <w:pPr>
              <w:keepNext/>
              <w:spacing w:before="40" w:after="40"/>
              <w:rPr>
                <w:szCs w:val="22"/>
              </w:rPr>
            </w:pPr>
            <w:r>
              <w:rPr>
                <w:sz w:val="22"/>
                <w:szCs w:val="22"/>
              </w:rPr>
              <w:t>Approximately 5–12</w:t>
            </w:r>
            <w:r w:rsidR="009B7DA1" w:rsidRPr="00AC47CE">
              <w:rPr>
                <w:sz w:val="22"/>
                <w:szCs w:val="22"/>
              </w:rPr>
              <w:t xml:space="preserve"> weeks after completion of each analytic data file</w:t>
            </w:r>
          </w:p>
        </w:tc>
      </w:tr>
      <w:tr w:rsidR="009B7DA1" w:rsidRPr="00AC47CE" w:rsidTr="00983DC7">
        <w:tblPrEx>
          <w:tblCellMar>
            <w:top w:w="0" w:type="dxa"/>
          </w:tblCellMar>
        </w:tblPrEx>
        <w:trPr>
          <w:cantSplit/>
        </w:trPr>
        <w:tc>
          <w:tcPr>
            <w:tcW w:w="3211" w:type="dxa"/>
            <w:tcBorders>
              <w:top w:val="nil"/>
              <w:bottom w:val="single" w:sz="12" w:space="0" w:color="auto"/>
            </w:tcBorders>
          </w:tcPr>
          <w:p w:rsidR="009B7DA1" w:rsidRPr="00AC47CE" w:rsidRDefault="009B7DA1" w:rsidP="00455A96">
            <w:pPr>
              <w:keepNext/>
              <w:spacing w:before="40" w:after="40"/>
              <w:rPr>
                <w:szCs w:val="22"/>
              </w:rPr>
            </w:pPr>
            <w:r w:rsidRPr="00AC47CE">
              <w:rPr>
                <w:sz w:val="22"/>
                <w:szCs w:val="22"/>
              </w:rPr>
              <w:t>Report writing and dissemination</w:t>
            </w:r>
          </w:p>
        </w:tc>
        <w:tc>
          <w:tcPr>
            <w:tcW w:w="5522" w:type="dxa"/>
            <w:tcBorders>
              <w:top w:val="nil"/>
              <w:bottom w:val="single" w:sz="12" w:space="0" w:color="auto"/>
            </w:tcBorders>
          </w:tcPr>
          <w:p w:rsidR="009B7DA1" w:rsidRPr="00AC47CE" w:rsidRDefault="00C23CE3" w:rsidP="00C23CE3">
            <w:pPr>
              <w:keepNext/>
              <w:spacing w:before="40" w:after="40"/>
              <w:rPr>
                <w:szCs w:val="22"/>
              </w:rPr>
            </w:pPr>
            <w:r>
              <w:rPr>
                <w:sz w:val="22"/>
                <w:szCs w:val="22"/>
              </w:rPr>
              <w:t>Approximately 12-16</w:t>
            </w:r>
            <w:r w:rsidR="009B7DA1" w:rsidRPr="00AC47CE">
              <w:rPr>
                <w:sz w:val="22"/>
                <w:szCs w:val="22"/>
              </w:rPr>
              <w:t xml:space="preserve"> weeks after completion of each analytic data file</w:t>
            </w:r>
          </w:p>
        </w:tc>
      </w:tr>
    </w:tbl>
    <w:p w:rsidR="009B7DA1" w:rsidRDefault="009B7DA1" w:rsidP="00D730BF">
      <w:pPr>
        <w:ind w:left="720"/>
      </w:pP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455A96" w:rsidP="00D730BF">
      <w:pPr>
        <w:ind w:left="720"/>
      </w:pPr>
      <w:r w:rsidRPr="00455A96">
        <w:t>Not applicable. All data collection instruments will display the expiration date for OMB approval of the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455A96" w:rsidP="00D730BF">
      <w:pPr>
        <w:spacing w:before="100" w:beforeAutospacing="1" w:after="100" w:afterAutospacing="1"/>
        <w:ind w:left="720"/>
      </w:pPr>
      <w:r w:rsidRPr="00455A96">
        <w:t xml:space="preserve">Not applicable. </w:t>
      </w:r>
      <w:r>
        <w:t>There are n</w:t>
      </w:r>
      <w:r w:rsidRPr="00455A96">
        <w:t>o exceptions to the certification statement</w:t>
      </w:r>
      <w:r>
        <w:t>.</w:t>
      </w:r>
    </w:p>
    <w:p w:rsidR="003D1153" w:rsidRDefault="003D1153" w:rsidP="002D4799">
      <w:pPr>
        <w:spacing w:before="100" w:beforeAutospacing="1" w:after="100" w:afterAutospacing="1"/>
      </w:pPr>
    </w:p>
    <w:p w:rsidR="007C7037" w:rsidRPr="0096400B" w:rsidRDefault="007C7037" w:rsidP="009513F4">
      <w:pPr>
        <w:spacing w:before="100" w:beforeAutospacing="1" w:after="100" w:afterAutospacing="1"/>
      </w:pPr>
      <w:r w:rsidRPr="0096400B" w:rsidDel="004D7B44">
        <w:rPr>
          <w:sz w:val="20"/>
        </w:rPr>
        <w:t xml:space="preserve"> </w:t>
      </w:r>
    </w:p>
    <w:p w:rsidR="006550EE" w:rsidRPr="004C6979" w:rsidRDefault="006550EE" w:rsidP="002D4799">
      <w:pPr>
        <w:ind w:left="720"/>
        <w:rPr>
          <w:b/>
        </w:rPr>
      </w:pPr>
    </w:p>
    <w:sectPr w:rsidR="006550EE" w:rsidRPr="004C6979" w:rsidSect="00EB7538">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AE" w:rsidRDefault="00E156AE">
      <w:r>
        <w:separator/>
      </w:r>
    </w:p>
  </w:endnote>
  <w:endnote w:type="continuationSeparator" w:id="0">
    <w:p w:rsidR="00E156AE" w:rsidRDefault="00E156AE">
      <w:r>
        <w:continuationSeparator/>
      </w:r>
    </w:p>
  </w:endnote>
  <w:endnote w:type="continuationNotice" w:id="1">
    <w:p w:rsidR="00E156AE" w:rsidRDefault="00E15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Optima">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AE" w:rsidRDefault="00E156A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56AE" w:rsidRDefault="00E156AE">
    <w:pPr>
      <w:pStyle w:val="Footer"/>
    </w:pPr>
  </w:p>
  <w:p w:rsidR="00E156AE" w:rsidRDefault="00E156AE"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AE" w:rsidRDefault="00E156A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3BF6">
      <w:rPr>
        <w:rStyle w:val="PageNumber"/>
        <w:noProof/>
      </w:rPr>
      <w:t>13</w:t>
    </w:r>
    <w:r>
      <w:rPr>
        <w:rStyle w:val="PageNumber"/>
      </w:rPr>
      <w:fldChar w:fldCharType="end"/>
    </w:r>
  </w:p>
  <w:p w:rsidR="00E156AE" w:rsidRDefault="00E156AE">
    <w:pPr>
      <w:pStyle w:val="Footer"/>
    </w:pPr>
  </w:p>
  <w:p w:rsidR="00E156AE" w:rsidRDefault="00E156AE" w:rsidP="004A3E9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AE" w:rsidRDefault="00E15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AE" w:rsidRDefault="00E156AE">
      <w:r>
        <w:separator/>
      </w:r>
    </w:p>
  </w:footnote>
  <w:footnote w:type="continuationSeparator" w:id="0">
    <w:p w:rsidR="00E156AE" w:rsidRDefault="00E156AE">
      <w:r>
        <w:continuationSeparator/>
      </w:r>
    </w:p>
  </w:footnote>
  <w:footnote w:type="continuationNotice" w:id="1">
    <w:p w:rsidR="00E156AE" w:rsidRDefault="00E156A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AE" w:rsidRDefault="00E156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AE" w:rsidRDefault="00E156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6AE" w:rsidRDefault="00E15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7538"/>
    <w:rsid w:val="0000180C"/>
    <w:rsid w:val="000117A6"/>
    <w:rsid w:val="000467E8"/>
    <w:rsid w:val="0006570F"/>
    <w:rsid w:val="00073FA7"/>
    <w:rsid w:val="00083E53"/>
    <w:rsid w:val="000921F8"/>
    <w:rsid w:val="000A7906"/>
    <w:rsid w:val="000B4D98"/>
    <w:rsid w:val="000C346A"/>
    <w:rsid w:val="000D48FD"/>
    <w:rsid w:val="000E1C64"/>
    <w:rsid w:val="000F147B"/>
    <w:rsid w:val="000F4046"/>
    <w:rsid w:val="00100739"/>
    <w:rsid w:val="00107885"/>
    <w:rsid w:val="00114165"/>
    <w:rsid w:val="00114FC4"/>
    <w:rsid w:val="0012329C"/>
    <w:rsid w:val="00134FA7"/>
    <w:rsid w:val="00137950"/>
    <w:rsid w:val="00152F29"/>
    <w:rsid w:val="00155FD2"/>
    <w:rsid w:val="0017112E"/>
    <w:rsid w:val="00185270"/>
    <w:rsid w:val="001A3B5A"/>
    <w:rsid w:val="001A4207"/>
    <w:rsid w:val="001B0661"/>
    <w:rsid w:val="001B7CE9"/>
    <w:rsid w:val="001C0748"/>
    <w:rsid w:val="001C222D"/>
    <w:rsid w:val="001C68FD"/>
    <w:rsid w:val="001D108B"/>
    <w:rsid w:val="001D3941"/>
    <w:rsid w:val="001D495A"/>
    <w:rsid w:val="001D5ADA"/>
    <w:rsid w:val="001E1AE0"/>
    <w:rsid w:val="00215923"/>
    <w:rsid w:val="002259EF"/>
    <w:rsid w:val="00242ED1"/>
    <w:rsid w:val="00253F77"/>
    <w:rsid w:val="00254069"/>
    <w:rsid w:val="0026099E"/>
    <w:rsid w:val="00264EB2"/>
    <w:rsid w:val="00271A53"/>
    <w:rsid w:val="002734E5"/>
    <w:rsid w:val="002746DB"/>
    <w:rsid w:val="00280CAF"/>
    <w:rsid w:val="00282F09"/>
    <w:rsid w:val="002906E1"/>
    <w:rsid w:val="002A339A"/>
    <w:rsid w:val="002D14D8"/>
    <w:rsid w:val="002D29B4"/>
    <w:rsid w:val="002D4799"/>
    <w:rsid w:val="002E2466"/>
    <w:rsid w:val="002E3FA4"/>
    <w:rsid w:val="002F2E75"/>
    <w:rsid w:val="0030309E"/>
    <w:rsid w:val="003061FE"/>
    <w:rsid w:val="0032277F"/>
    <w:rsid w:val="003255A3"/>
    <w:rsid w:val="00326D91"/>
    <w:rsid w:val="0033209F"/>
    <w:rsid w:val="00345680"/>
    <w:rsid w:val="00350523"/>
    <w:rsid w:val="00353778"/>
    <w:rsid w:val="00354083"/>
    <w:rsid w:val="00355CE0"/>
    <w:rsid w:val="003740BC"/>
    <w:rsid w:val="003744B4"/>
    <w:rsid w:val="003801A3"/>
    <w:rsid w:val="00382C13"/>
    <w:rsid w:val="00383D90"/>
    <w:rsid w:val="00384290"/>
    <w:rsid w:val="0038782E"/>
    <w:rsid w:val="00387FCC"/>
    <w:rsid w:val="003972EB"/>
    <w:rsid w:val="003A4A07"/>
    <w:rsid w:val="003A4D03"/>
    <w:rsid w:val="003A4F7C"/>
    <w:rsid w:val="003B42B3"/>
    <w:rsid w:val="003B6384"/>
    <w:rsid w:val="003C4EBB"/>
    <w:rsid w:val="003C53F3"/>
    <w:rsid w:val="003D1153"/>
    <w:rsid w:val="003D1531"/>
    <w:rsid w:val="003E3BF6"/>
    <w:rsid w:val="003E4EC6"/>
    <w:rsid w:val="003E527E"/>
    <w:rsid w:val="003E553E"/>
    <w:rsid w:val="003E7078"/>
    <w:rsid w:val="003F3DF5"/>
    <w:rsid w:val="003F47F7"/>
    <w:rsid w:val="003F74A3"/>
    <w:rsid w:val="004046BD"/>
    <w:rsid w:val="00404772"/>
    <w:rsid w:val="00404A9C"/>
    <w:rsid w:val="00410B6A"/>
    <w:rsid w:val="00411137"/>
    <w:rsid w:val="00411D11"/>
    <w:rsid w:val="0041231F"/>
    <w:rsid w:val="00413192"/>
    <w:rsid w:val="00415E23"/>
    <w:rsid w:val="00420124"/>
    <w:rsid w:val="0042087C"/>
    <w:rsid w:val="00424061"/>
    <w:rsid w:val="00426C97"/>
    <w:rsid w:val="00432A3E"/>
    <w:rsid w:val="00435C82"/>
    <w:rsid w:val="0044134D"/>
    <w:rsid w:val="00443969"/>
    <w:rsid w:val="00445BBD"/>
    <w:rsid w:val="00447D74"/>
    <w:rsid w:val="00450A74"/>
    <w:rsid w:val="00453E92"/>
    <w:rsid w:val="0045480A"/>
    <w:rsid w:val="00455A96"/>
    <w:rsid w:val="00465350"/>
    <w:rsid w:val="004669FC"/>
    <w:rsid w:val="004737AF"/>
    <w:rsid w:val="00482371"/>
    <w:rsid w:val="00483E38"/>
    <w:rsid w:val="004846BF"/>
    <w:rsid w:val="00493736"/>
    <w:rsid w:val="00493C0A"/>
    <w:rsid w:val="0049559C"/>
    <w:rsid w:val="004A3E9D"/>
    <w:rsid w:val="004B4E1D"/>
    <w:rsid w:val="004C6979"/>
    <w:rsid w:val="004D3E7A"/>
    <w:rsid w:val="004E141E"/>
    <w:rsid w:val="004E7AB4"/>
    <w:rsid w:val="00525366"/>
    <w:rsid w:val="0053196E"/>
    <w:rsid w:val="0053196F"/>
    <w:rsid w:val="00544138"/>
    <w:rsid w:val="005507C2"/>
    <w:rsid w:val="00566AAF"/>
    <w:rsid w:val="00576B71"/>
    <w:rsid w:val="00584583"/>
    <w:rsid w:val="005A1BF6"/>
    <w:rsid w:val="005A4099"/>
    <w:rsid w:val="005C38B2"/>
    <w:rsid w:val="005C5029"/>
    <w:rsid w:val="005C55C2"/>
    <w:rsid w:val="005C5FF0"/>
    <w:rsid w:val="005D061D"/>
    <w:rsid w:val="005D4DF5"/>
    <w:rsid w:val="005F02C1"/>
    <w:rsid w:val="00611D6B"/>
    <w:rsid w:val="006130DE"/>
    <w:rsid w:val="00621286"/>
    <w:rsid w:val="00621E74"/>
    <w:rsid w:val="00624000"/>
    <w:rsid w:val="006277F2"/>
    <w:rsid w:val="00631D1F"/>
    <w:rsid w:val="006550EE"/>
    <w:rsid w:val="006614EA"/>
    <w:rsid w:val="00662A36"/>
    <w:rsid w:val="006863A6"/>
    <w:rsid w:val="00696B56"/>
    <w:rsid w:val="006A26C6"/>
    <w:rsid w:val="006A7D5D"/>
    <w:rsid w:val="006B04D1"/>
    <w:rsid w:val="006E0F22"/>
    <w:rsid w:val="006F4D6D"/>
    <w:rsid w:val="007036B5"/>
    <w:rsid w:val="00704910"/>
    <w:rsid w:val="00705086"/>
    <w:rsid w:val="00706056"/>
    <w:rsid w:val="0071386C"/>
    <w:rsid w:val="007169BF"/>
    <w:rsid w:val="00741790"/>
    <w:rsid w:val="00745AA8"/>
    <w:rsid w:val="00754497"/>
    <w:rsid w:val="00766C35"/>
    <w:rsid w:val="00787C39"/>
    <w:rsid w:val="007930F0"/>
    <w:rsid w:val="00795DF3"/>
    <w:rsid w:val="007A373C"/>
    <w:rsid w:val="007B225C"/>
    <w:rsid w:val="007C7037"/>
    <w:rsid w:val="007C75B1"/>
    <w:rsid w:val="007D3DFC"/>
    <w:rsid w:val="007F1B17"/>
    <w:rsid w:val="008004D2"/>
    <w:rsid w:val="00803F3B"/>
    <w:rsid w:val="00806F60"/>
    <w:rsid w:val="00807306"/>
    <w:rsid w:val="0080776D"/>
    <w:rsid w:val="00810145"/>
    <w:rsid w:val="008108FA"/>
    <w:rsid w:val="00810FF1"/>
    <w:rsid w:val="00813D49"/>
    <w:rsid w:val="00822336"/>
    <w:rsid w:val="00823DFA"/>
    <w:rsid w:val="008434C7"/>
    <w:rsid w:val="00843752"/>
    <w:rsid w:val="008459C8"/>
    <w:rsid w:val="008514E1"/>
    <w:rsid w:val="008642E3"/>
    <w:rsid w:val="00881057"/>
    <w:rsid w:val="0088206B"/>
    <w:rsid w:val="00885B09"/>
    <w:rsid w:val="0089126F"/>
    <w:rsid w:val="00892400"/>
    <w:rsid w:val="00897B8C"/>
    <w:rsid w:val="008A209D"/>
    <w:rsid w:val="008A25BA"/>
    <w:rsid w:val="008B0E29"/>
    <w:rsid w:val="008B0EFA"/>
    <w:rsid w:val="008B2F52"/>
    <w:rsid w:val="008B30AB"/>
    <w:rsid w:val="008B700C"/>
    <w:rsid w:val="008C0247"/>
    <w:rsid w:val="008C2285"/>
    <w:rsid w:val="008D00DF"/>
    <w:rsid w:val="008E29BA"/>
    <w:rsid w:val="008F6C87"/>
    <w:rsid w:val="00905DEF"/>
    <w:rsid w:val="00913B43"/>
    <w:rsid w:val="00924C1D"/>
    <w:rsid w:val="00930203"/>
    <w:rsid w:val="009311D2"/>
    <w:rsid w:val="00931275"/>
    <w:rsid w:val="00932BA0"/>
    <w:rsid w:val="00934028"/>
    <w:rsid w:val="00936AC7"/>
    <w:rsid w:val="00940C27"/>
    <w:rsid w:val="009513F4"/>
    <w:rsid w:val="00955016"/>
    <w:rsid w:val="00961167"/>
    <w:rsid w:val="0096400B"/>
    <w:rsid w:val="009648FC"/>
    <w:rsid w:val="0098142A"/>
    <w:rsid w:val="00983DC7"/>
    <w:rsid w:val="00983E03"/>
    <w:rsid w:val="0098484C"/>
    <w:rsid w:val="00996557"/>
    <w:rsid w:val="009A1674"/>
    <w:rsid w:val="009B15CE"/>
    <w:rsid w:val="009B7DA1"/>
    <w:rsid w:val="009C684F"/>
    <w:rsid w:val="009D074C"/>
    <w:rsid w:val="009F2B4F"/>
    <w:rsid w:val="009F66B5"/>
    <w:rsid w:val="009F6D9F"/>
    <w:rsid w:val="00A03719"/>
    <w:rsid w:val="00A05DBA"/>
    <w:rsid w:val="00A15D0F"/>
    <w:rsid w:val="00A20A7D"/>
    <w:rsid w:val="00A35D42"/>
    <w:rsid w:val="00A447F8"/>
    <w:rsid w:val="00A46CCF"/>
    <w:rsid w:val="00A52FA3"/>
    <w:rsid w:val="00A70426"/>
    <w:rsid w:val="00A81D89"/>
    <w:rsid w:val="00A83B43"/>
    <w:rsid w:val="00A84DF9"/>
    <w:rsid w:val="00A91E9A"/>
    <w:rsid w:val="00A93ED9"/>
    <w:rsid w:val="00A94D21"/>
    <w:rsid w:val="00AA6992"/>
    <w:rsid w:val="00AA6A1E"/>
    <w:rsid w:val="00AA6E63"/>
    <w:rsid w:val="00AA71E7"/>
    <w:rsid w:val="00AB7BA7"/>
    <w:rsid w:val="00AC6A99"/>
    <w:rsid w:val="00AE2DEF"/>
    <w:rsid w:val="00AF0B2B"/>
    <w:rsid w:val="00AF232C"/>
    <w:rsid w:val="00B01E83"/>
    <w:rsid w:val="00B055EF"/>
    <w:rsid w:val="00B11B5E"/>
    <w:rsid w:val="00B23769"/>
    <w:rsid w:val="00B32893"/>
    <w:rsid w:val="00B378D2"/>
    <w:rsid w:val="00B53BD2"/>
    <w:rsid w:val="00B57849"/>
    <w:rsid w:val="00B621D8"/>
    <w:rsid w:val="00B6547C"/>
    <w:rsid w:val="00B66695"/>
    <w:rsid w:val="00B7549F"/>
    <w:rsid w:val="00B770B4"/>
    <w:rsid w:val="00B824F7"/>
    <w:rsid w:val="00B842E0"/>
    <w:rsid w:val="00B86DFA"/>
    <w:rsid w:val="00B936D0"/>
    <w:rsid w:val="00BB0C07"/>
    <w:rsid w:val="00BB1AEF"/>
    <w:rsid w:val="00BB22B0"/>
    <w:rsid w:val="00BB61DE"/>
    <w:rsid w:val="00BE1984"/>
    <w:rsid w:val="00BE3600"/>
    <w:rsid w:val="00BE447D"/>
    <w:rsid w:val="00C01F6F"/>
    <w:rsid w:val="00C0214D"/>
    <w:rsid w:val="00C118CF"/>
    <w:rsid w:val="00C133A6"/>
    <w:rsid w:val="00C149AB"/>
    <w:rsid w:val="00C179E6"/>
    <w:rsid w:val="00C20616"/>
    <w:rsid w:val="00C221BB"/>
    <w:rsid w:val="00C23CE3"/>
    <w:rsid w:val="00C40694"/>
    <w:rsid w:val="00C465A3"/>
    <w:rsid w:val="00C46A7F"/>
    <w:rsid w:val="00C70542"/>
    <w:rsid w:val="00C72647"/>
    <w:rsid w:val="00C75CBF"/>
    <w:rsid w:val="00C91B6C"/>
    <w:rsid w:val="00CC2894"/>
    <w:rsid w:val="00CC501E"/>
    <w:rsid w:val="00CD4E09"/>
    <w:rsid w:val="00CD77C3"/>
    <w:rsid w:val="00CE112C"/>
    <w:rsid w:val="00CE196F"/>
    <w:rsid w:val="00D05B66"/>
    <w:rsid w:val="00D06227"/>
    <w:rsid w:val="00D1443E"/>
    <w:rsid w:val="00D34B8F"/>
    <w:rsid w:val="00D36775"/>
    <w:rsid w:val="00D465E3"/>
    <w:rsid w:val="00D504BC"/>
    <w:rsid w:val="00D608DA"/>
    <w:rsid w:val="00D730BF"/>
    <w:rsid w:val="00D7344E"/>
    <w:rsid w:val="00D8009C"/>
    <w:rsid w:val="00D85569"/>
    <w:rsid w:val="00D92911"/>
    <w:rsid w:val="00DA202E"/>
    <w:rsid w:val="00DA4596"/>
    <w:rsid w:val="00DC006D"/>
    <w:rsid w:val="00DC6551"/>
    <w:rsid w:val="00DC76C7"/>
    <w:rsid w:val="00DD09F5"/>
    <w:rsid w:val="00DD4201"/>
    <w:rsid w:val="00DE5711"/>
    <w:rsid w:val="00DF2112"/>
    <w:rsid w:val="00DF4E59"/>
    <w:rsid w:val="00E003AB"/>
    <w:rsid w:val="00E00EA0"/>
    <w:rsid w:val="00E1447C"/>
    <w:rsid w:val="00E156AE"/>
    <w:rsid w:val="00E21003"/>
    <w:rsid w:val="00E26758"/>
    <w:rsid w:val="00E3198E"/>
    <w:rsid w:val="00E37246"/>
    <w:rsid w:val="00E433C5"/>
    <w:rsid w:val="00E4357B"/>
    <w:rsid w:val="00E45BB2"/>
    <w:rsid w:val="00E50FAB"/>
    <w:rsid w:val="00E63DE5"/>
    <w:rsid w:val="00E65A37"/>
    <w:rsid w:val="00E77B48"/>
    <w:rsid w:val="00E84576"/>
    <w:rsid w:val="00E91799"/>
    <w:rsid w:val="00EA0CF3"/>
    <w:rsid w:val="00EA2F4B"/>
    <w:rsid w:val="00EA34E3"/>
    <w:rsid w:val="00EB7538"/>
    <w:rsid w:val="00F13FA4"/>
    <w:rsid w:val="00F207A4"/>
    <w:rsid w:val="00F3461C"/>
    <w:rsid w:val="00F355AC"/>
    <w:rsid w:val="00F367C4"/>
    <w:rsid w:val="00F537E2"/>
    <w:rsid w:val="00F56AEA"/>
    <w:rsid w:val="00F661F1"/>
    <w:rsid w:val="00F71A5A"/>
    <w:rsid w:val="00F769E0"/>
    <w:rsid w:val="00F8083E"/>
    <w:rsid w:val="00FA0175"/>
    <w:rsid w:val="00FC6BDE"/>
    <w:rsid w:val="00FC77B9"/>
    <w:rsid w:val="00FE6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8082532">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ril.Brubach@fda.hhs.gov" TargetMode="External"/><Relationship Id="rId18" Type="http://schemas.openxmlformats.org/officeDocument/2006/relationships/hyperlink" Target="mailto:mohegarty@cdc.gov"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Janeallen@rti.org" TargetMode="External"/><Relationship Id="rId7" Type="http://schemas.openxmlformats.org/officeDocument/2006/relationships/webSettings" Target="webSettings.xml"/><Relationship Id="rId12" Type="http://schemas.openxmlformats.org/officeDocument/2006/relationships/hyperlink" Target="mailto:Lucinda.Miner@fda.hhs.gov" TargetMode="External"/><Relationship Id="rId17" Type="http://schemas.openxmlformats.org/officeDocument/2006/relationships/hyperlink" Target="mailto:ria8@cdc.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bby.Prestin@fda.hhs.gov" TargetMode="External"/><Relationship Id="rId20" Type="http://schemas.openxmlformats.org/officeDocument/2006/relationships/hyperlink" Target="mailto:jduke@rti.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ily.Talbert@fda.hhs.gov" TargetMode="External"/><Relationship Id="rId24"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mailto:David.Portnoy@fda.hhs.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Tesfa.Alexander@fda.hhs.gov" TargetMode="External"/><Relationship Id="rId19" Type="http://schemas.openxmlformats.org/officeDocument/2006/relationships/hyperlink" Target="mailto:mcf@rt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ria.Benoza@fda.hhs.gov" TargetMode="External"/><Relationship Id="rId22" Type="http://schemas.openxmlformats.org/officeDocument/2006/relationships/hyperlink" Target="mailto:Cjackson@rti.or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BACE1-DE45-4E24-AED6-2B9BB8DA8358}">
  <ds:schemaRefs>
    <ds:schemaRef ds:uri="http://schemas.openxmlformats.org/officeDocument/2006/bibliography"/>
  </ds:schemaRefs>
</ds:datastoreItem>
</file>

<file path=customXml/itemProps2.xml><?xml version="1.0" encoding="utf-8"?>
<ds:datastoreItem xmlns:ds="http://schemas.openxmlformats.org/officeDocument/2006/customXml" ds:itemID="{2E3E73E6-1A09-4059-AC1A-E077FBBE8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7705</Words>
  <Characters>44515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52116</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2014-06-05T16:29:00Z</dcterms:created>
  <dcterms:modified xsi:type="dcterms:W3CDTF">2014-06-10T16:50:00Z</dcterms:modified>
</cp:coreProperties>
</file>