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8883A1" w14:textId="77777777"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A713C5">
        <w:rPr>
          <w:sz w:val="28"/>
        </w:rPr>
        <w:t>0920-1009</w:t>
      </w:r>
      <w:r>
        <w:rPr>
          <w:sz w:val="28"/>
        </w:rPr>
        <w:t>)</w:t>
      </w:r>
    </w:p>
    <w:p w14:paraId="1E8883A2" w14:textId="77777777" w:rsidR="00B46F2C" w:rsidRPr="009239AA" w:rsidRDefault="00E2594A" w:rsidP="00434E33">
      <w:pPr>
        <w:rPr>
          <w:b/>
        </w:rPr>
      </w:pPr>
      <w:r>
        <w:rPr>
          <w:noProof/>
        </w:rPr>
        <mc:AlternateContent>
          <mc:Choice Requires="wps">
            <w:drawing>
              <wp:anchor distT="0" distB="0" distL="114300" distR="114300" simplePos="0" relativeHeight="251658240" behindDoc="0" locked="0" layoutInCell="0" allowOverlap="1" wp14:anchorId="1E8883F0" wp14:editId="1E8883F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4CFD5"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p>
    <w:p w14:paraId="44091DB9" w14:textId="77777777" w:rsidR="00F2203C" w:rsidRDefault="00F2203C"/>
    <w:p w14:paraId="1E8883A3" w14:textId="1CE19969" w:rsidR="00B46F2C" w:rsidRDefault="00B76AE6">
      <w:r w:rsidRPr="00B82699">
        <w:t xml:space="preserve">Primary Care </w:t>
      </w:r>
      <w:r>
        <w:t>Provider</w:t>
      </w:r>
      <w:r w:rsidRPr="00B82699">
        <w:t xml:space="preserve"> </w:t>
      </w:r>
      <w:r w:rsidR="004B7588">
        <w:t xml:space="preserve"> - Stopping Elderly Accidents, Deaths, and Injuries (STEADI)</w:t>
      </w:r>
    </w:p>
    <w:p w14:paraId="646F4061" w14:textId="77777777" w:rsidR="00F2203C" w:rsidRDefault="00F2203C"/>
    <w:p w14:paraId="1E8883A4" w14:textId="77777777" w:rsidR="00B46F2C" w:rsidRDefault="00B46F2C" w:rsidP="00840FCA">
      <w:pPr>
        <w:rPr>
          <w:b/>
        </w:rPr>
      </w:pPr>
      <w:r>
        <w:rPr>
          <w:b/>
        </w:rPr>
        <w:t>PURPOSE</w:t>
      </w:r>
      <w:r w:rsidRPr="009239AA">
        <w:rPr>
          <w:b/>
        </w:rPr>
        <w:t>:</w:t>
      </w:r>
    </w:p>
    <w:p w14:paraId="3DFDC0DE" w14:textId="77777777" w:rsidR="00167CC1" w:rsidRPr="00B82699" w:rsidRDefault="00167CC1" w:rsidP="00167CC1">
      <w:pPr>
        <w:pStyle w:val="Header"/>
        <w:tabs>
          <w:tab w:val="clear" w:pos="4320"/>
          <w:tab w:val="clear" w:pos="8640"/>
        </w:tabs>
      </w:pPr>
      <w:r w:rsidRPr="00B82699">
        <w:t xml:space="preserve">One in 4 older adults falls each year. Stopping Elderly Accidents, Deaths, and Injuries (STEADI) is a multifaceted initiative created by the Division of Unintentional Injury Prevention (DUIP) to assist clinicians in reducing falls in adults 65 and over (older adults). The toolkit includes information on how to conduct fall risk screening and risk assessments, how to review medications for their potential fall risk, and guidance on evidence-based interventions. Online training modules for healthcare providers have been created. </w:t>
      </w:r>
    </w:p>
    <w:p w14:paraId="4ADCCEE7" w14:textId="77777777" w:rsidR="00167CC1" w:rsidRPr="00B82699" w:rsidRDefault="00167CC1" w:rsidP="00167CC1">
      <w:pPr>
        <w:pStyle w:val="Header"/>
        <w:tabs>
          <w:tab w:val="clear" w:pos="4320"/>
          <w:tab w:val="clear" w:pos="8640"/>
        </w:tabs>
      </w:pPr>
    </w:p>
    <w:p w14:paraId="13FA4DFC" w14:textId="22F641F4" w:rsidR="00167CC1" w:rsidRPr="00B82699" w:rsidRDefault="00167CC1" w:rsidP="00167CC1">
      <w:pPr>
        <w:pStyle w:val="Header"/>
        <w:tabs>
          <w:tab w:val="clear" w:pos="4320"/>
          <w:tab w:val="clear" w:pos="8640"/>
        </w:tabs>
      </w:pPr>
      <w:r w:rsidRPr="00B82699">
        <w:t xml:space="preserve">Many falls result from the side effects or inappropriate use of medications. </w:t>
      </w:r>
      <w:r w:rsidR="00124E2D">
        <w:t xml:space="preserve">A recent internal CDC analysis found that many providers are not changing medications that could cause falls even when prompted. </w:t>
      </w:r>
      <w:r w:rsidRPr="00B82699">
        <w:t xml:space="preserve">The purpose of the data collection for the STEADI Primary Care Clinician </w:t>
      </w:r>
      <w:r w:rsidR="00B76AE6">
        <w:t>Service Delivery Project</w:t>
      </w:r>
      <w:r w:rsidRPr="00B82699">
        <w:t xml:space="preserve"> is to understand </w:t>
      </w:r>
      <w:r w:rsidR="00B76AE6">
        <w:t>how STEADI can deliver services and information to</w:t>
      </w:r>
      <w:r w:rsidRPr="00B82699">
        <w:t xml:space="preserve"> primary care</w:t>
      </w:r>
      <w:r w:rsidR="00124E2D">
        <w:t xml:space="preserve"> providers</w:t>
      </w:r>
      <w:r w:rsidRPr="00B82699">
        <w:t xml:space="preserve"> </w:t>
      </w:r>
      <w:r w:rsidR="00B76AE6">
        <w:t>that will influence their decisions</w:t>
      </w:r>
      <w:r w:rsidRPr="00B82699">
        <w:t xml:space="preserve"> to start, stop, or change medications </w:t>
      </w:r>
      <w:r w:rsidR="00124E2D">
        <w:t>appropriately to prevent</w:t>
      </w:r>
      <w:r w:rsidRPr="00B82699">
        <w:t xml:space="preserve"> </w:t>
      </w:r>
      <w:r w:rsidR="00124E2D">
        <w:t xml:space="preserve">falling among </w:t>
      </w:r>
      <w:r w:rsidRPr="00B82699">
        <w:t xml:space="preserve">older adults. </w:t>
      </w:r>
      <w:r w:rsidR="00124E2D">
        <w:t>Current STEADI services do not appear to be effective in changing behavior; this project will collect information directly from provi</w:t>
      </w:r>
      <w:r w:rsidR="00C65A47">
        <w:t xml:space="preserve">ders to deliver more effective </w:t>
      </w:r>
      <w:r w:rsidR="00124E2D">
        <w:t>services.</w:t>
      </w:r>
    </w:p>
    <w:p w14:paraId="1E8883A6" w14:textId="77777777" w:rsidR="00B46F2C" w:rsidRDefault="00B46F2C" w:rsidP="00434E33">
      <w:pPr>
        <w:pStyle w:val="Header"/>
        <w:tabs>
          <w:tab w:val="clear" w:pos="4320"/>
          <w:tab w:val="clear" w:pos="8640"/>
        </w:tabs>
        <w:rPr>
          <w:b/>
        </w:rPr>
      </w:pPr>
    </w:p>
    <w:p w14:paraId="1E8883A7" w14:textId="77777777" w:rsidR="00840FCA" w:rsidRDefault="00B46F2C" w:rsidP="00840FCA">
      <w:pPr>
        <w:pStyle w:val="Header"/>
        <w:tabs>
          <w:tab w:val="clear" w:pos="4320"/>
          <w:tab w:val="clear" w:pos="8640"/>
        </w:tabs>
      </w:pPr>
      <w:r w:rsidRPr="00434E33">
        <w:rPr>
          <w:b/>
        </w:rPr>
        <w:t>DESCRIPTION OF RESPONDENTS</w:t>
      </w:r>
      <w:r>
        <w:t>:</w:t>
      </w:r>
    </w:p>
    <w:p w14:paraId="1E8883A8" w14:textId="77777777" w:rsidR="00840FCA" w:rsidRDefault="00840FCA" w:rsidP="00840FCA">
      <w:pPr>
        <w:pStyle w:val="Header"/>
        <w:tabs>
          <w:tab w:val="clear" w:pos="4320"/>
          <w:tab w:val="clear" w:pos="8640"/>
        </w:tabs>
        <w:rPr>
          <w:b/>
        </w:rPr>
      </w:pPr>
    </w:p>
    <w:p w14:paraId="6C335DDF" w14:textId="7A39F45B" w:rsidR="00167CC1" w:rsidRPr="00B82699" w:rsidRDefault="00167CC1" w:rsidP="00167CC1">
      <w:r>
        <w:t>P</w:t>
      </w:r>
      <w:r w:rsidRPr="00B82699">
        <w:t xml:space="preserve">rimary care physicians (internal medicine and family practice), nurse practitioners, and physician assistants whose patients include community-dwelling adults aged 65 and older. </w:t>
      </w:r>
    </w:p>
    <w:p w14:paraId="28ABFDD4" w14:textId="77777777" w:rsidR="00F2203C" w:rsidRPr="00F2203C" w:rsidRDefault="00F2203C"/>
    <w:p w14:paraId="1E8883AA" w14:textId="77777777" w:rsidR="00B46F2C" w:rsidRPr="00F06866" w:rsidRDefault="00B46F2C">
      <w:pPr>
        <w:rPr>
          <w:b/>
        </w:rPr>
      </w:pPr>
      <w:r>
        <w:rPr>
          <w:b/>
        </w:rPr>
        <w:t>TYPE OF COLLECTION:</w:t>
      </w:r>
      <w:r w:rsidRPr="00F06866">
        <w:t xml:space="preserve"> (Check one)</w:t>
      </w:r>
    </w:p>
    <w:p w14:paraId="1E8883AB" w14:textId="77777777" w:rsidR="00B46F2C" w:rsidRPr="00434E33" w:rsidRDefault="00B46F2C" w:rsidP="0096108F">
      <w:pPr>
        <w:pStyle w:val="BodyTextIndent"/>
        <w:tabs>
          <w:tab w:val="left" w:pos="360"/>
        </w:tabs>
        <w:ind w:left="0"/>
        <w:rPr>
          <w:bCs/>
          <w:sz w:val="16"/>
          <w:szCs w:val="16"/>
        </w:rPr>
      </w:pPr>
    </w:p>
    <w:p w14:paraId="1E8883AC" w14:textId="77777777" w:rsidR="00B46F2C" w:rsidRPr="00F06866" w:rsidRDefault="00B46F2C" w:rsidP="001D0776">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14:paraId="1E8883AD" w14:textId="77777777" w:rsidR="00B46F2C" w:rsidRDefault="00B46F2C" w:rsidP="001D0776">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1E8883AE" w14:textId="3064302E" w:rsidR="00B46F2C" w:rsidRDefault="00B46F2C" w:rsidP="001D0776">
      <w:pPr>
        <w:pStyle w:val="BodyTextIndent"/>
        <w:tabs>
          <w:tab w:val="left" w:pos="360"/>
        </w:tabs>
        <w:ind w:left="0"/>
      </w:pPr>
      <w:r>
        <w:rPr>
          <w:bCs/>
          <w:sz w:val="24"/>
        </w:rPr>
        <w:t>[</w:t>
      </w:r>
      <w:r w:rsidR="00C65A47">
        <w:rPr>
          <w:bCs/>
          <w:sz w:val="24"/>
        </w:rPr>
        <w:t>X]</w:t>
      </w:r>
      <w:r>
        <w:rPr>
          <w:bCs/>
          <w:sz w:val="24"/>
        </w:rPr>
        <w:t xml:space="preserve">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00C65A47" w:rsidRPr="00F06866">
        <w:rPr>
          <w:bCs/>
          <w:sz w:val="24"/>
        </w:rPr>
        <w:t>[</w:t>
      </w:r>
      <w:r w:rsidR="00C65A47">
        <w:rPr>
          <w:bCs/>
          <w:sz w:val="24"/>
        </w:rPr>
        <w:t>X</w:t>
      </w:r>
      <w:r w:rsidR="001D0776" w:rsidRPr="00F06866">
        <w:rPr>
          <w:bCs/>
          <w:sz w:val="24"/>
        </w:rPr>
        <w:t>]</w:t>
      </w:r>
      <w:r w:rsidR="001D0776">
        <w:rPr>
          <w:bCs/>
          <w:sz w:val="24"/>
        </w:rPr>
        <w:t xml:space="preserve"> </w:t>
      </w:r>
      <w:r>
        <w:rPr>
          <w:bCs/>
          <w:sz w:val="24"/>
        </w:rPr>
        <w:t>Other:</w:t>
      </w:r>
      <w:r w:rsidR="00F2203C">
        <w:rPr>
          <w:bCs/>
          <w:sz w:val="24"/>
          <w:u w:val="single"/>
        </w:rPr>
        <w:t xml:space="preserve"> </w:t>
      </w:r>
      <w:r w:rsidR="00F22789">
        <w:rPr>
          <w:bCs/>
          <w:sz w:val="24"/>
          <w:u w:val="single"/>
        </w:rPr>
        <w:t>P</w:t>
      </w:r>
      <w:r w:rsidR="00F2203C">
        <w:rPr>
          <w:bCs/>
          <w:sz w:val="24"/>
          <w:u w:val="single"/>
        </w:rPr>
        <w:t>hone interviews</w:t>
      </w:r>
    </w:p>
    <w:p w14:paraId="1E8883AF" w14:textId="77777777" w:rsidR="001D0776" w:rsidRDefault="001D0776">
      <w:pPr>
        <w:rPr>
          <w:b/>
        </w:rPr>
      </w:pPr>
    </w:p>
    <w:p w14:paraId="1E8883B0" w14:textId="77777777" w:rsidR="00B46F2C" w:rsidRDefault="00B46F2C">
      <w:pPr>
        <w:rPr>
          <w:b/>
        </w:rPr>
      </w:pPr>
      <w:r>
        <w:rPr>
          <w:b/>
        </w:rPr>
        <w:t>CERTIFICATION:</w:t>
      </w:r>
    </w:p>
    <w:p w14:paraId="1E8883B1" w14:textId="77777777" w:rsidR="00B46F2C" w:rsidRDefault="00B46F2C">
      <w:pPr>
        <w:rPr>
          <w:sz w:val="16"/>
          <w:szCs w:val="16"/>
        </w:rPr>
      </w:pPr>
    </w:p>
    <w:p w14:paraId="1E8883B2" w14:textId="77777777" w:rsidR="00B46F2C" w:rsidRPr="009C13B9" w:rsidRDefault="00B46F2C" w:rsidP="008101A5">
      <w:r>
        <w:t xml:space="preserve">I certify the following to be true: </w:t>
      </w:r>
    </w:p>
    <w:p w14:paraId="1E8883B3" w14:textId="77777777" w:rsidR="00B46F2C" w:rsidRDefault="00B46F2C" w:rsidP="008101A5">
      <w:pPr>
        <w:pStyle w:val="ListParagraph"/>
        <w:numPr>
          <w:ilvl w:val="0"/>
          <w:numId w:val="14"/>
        </w:numPr>
      </w:pPr>
      <w:r>
        <w:t>The collection is voluntary.</w:t>
      </w:r>
      <w:r w:rsidRPr="00C14CC4">
        <w:t xml:space="preserve"> </w:t>
      </w:r>
    </w:p>
    <w:p w14:paraId="1E8883B4"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1E8883B5"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14:paraId="1E8883B6"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1E8883B7"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E8883B8"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1E8883B9" w14:textId="77777777" w:rsidR="00B46F2C" w:rsidRDefault="00B46F2C" w:rsidP="009C13B9"/>
    <w:p w14:paraId="1E8883BA" w14:textId="2DD6A976" w:rsidR="00B46F2C" w:rsidRDefault="00B46F2C" w:rsidP="009C13B9">
      <w:r>
        <w:t>Name</w:t>
      </w:r>
      <w:r w:rsidR="00EA370D">
        <w:t xml:space="preserve">: </w:t>
      </w:r>
      <w:r w:rsidR="006A2E38">
        <w:t>_______________</w:t>
      </w:r>
      <w:r w:rsidR="00F3790B" w:rsidRPr="00EA370D">
        <w:rPr>
          <w:u w:val="single"/>
        </w:rPr>
        <w:t>Karen Angel</w:t>
      </w:r>
      <w:r w:rsidR="006A2E38">
        <w:t>____</w:t>
      </w:r>
    </w:p>
    <w:p w14:paraId="1E8883BB" w14:textId="77777777" w:rsidR="00B46F2C" w:rsidRDefault="00B46F2C" w:rsidP="009C13B9">
      <w:pPr>
        <w:pStyle w:val="ListParagraph"/>
        <w:ind w:left="360"/>
      </w:pPr>
    </w:p>
    <w:p w14:paraId="1E8883BC" w14:textId="77777777" w:rsidR="00B46F2C" w:rsidRDefault="00B46F2C" w:rsidP="009C13B9">
      <w:r>
        <w:t>To assist review, please provide answers to the following question:</w:t>
      </w:r>
    </w:p>
    <w:p w14:paraId="1E8883BD" w14:textId="77777777" w:rsidR="00B46F2C" w:rsidRDefault="00B46F2C" w:rsidP="009C13B9">
      <w:pPr>
        <w:pStyle w:val="ListParagraph"/>
        <w:ind w:left="360"/>
      </w:pPr>
    </w:p>
    <w:p w14:paraId="1E8883BE" w14:textId="77777777" w:rsidR="00B46F2C" w:rsidRPr="00C86E91" w:rsidRDefault="00B46F2C" w:rsidP="00C86E91">
      <w:pPr>
        <w:rPr>
          <w:b/>
        </w:rPr>
      </w:pPr>
      <w:r w:rsidRPr="00C86E91">
        <w:rPr>
          <w:b/>
        </w:rPr>
        <w:t>Personally Identifiable Information:</w:t>
      </w:r>
    </w:p>
    <w:p w14:paraId="1E8883BF" w14:textId="0EE3CBFC" w:rsidR="00B46F2C" w:rsidRDefault="00B46F2C" w:rsidP="00C86E91">
      <w:pPr>
        <w:pStyle w:val="ListParagraph"/>
        <w:numPr>
          <w:ilvl w:val="0"/>
          <w:numId w:val="18"/>
        </w:numPr>
      </w:pPr>
      <w:r>
        <w:t xml:space="preserve">Is personally identifiable information (PII) collected?  [ </w:t>
      </w:r>
      <w:r w:rsidR="00404822">
        <w:t>X</w:t>
      </w:r>
      <w:r>
        <w:t xml:space="preserve"> ] Yes  [ ]  No </w:t>
      </w:r>
    </w:p>
    <w:p w14:paraId="1E8883C0" w14:textId="0841F891" w:rsidR="00B46F2C" w:rsidRDefault="00B46F2C" w:rsidP="00C86E91">
      <w:pPr>
        <w:pStyle w:val="ListParagraph"/>
        <w:numPr>
          <w:ilvl w:val="0"/>
          <w:numId w:val="18"/>
        </w:numPr>
      </w:pPr>
      <w:r>
        <w:t xml:space="preserve">If Yes, is the information that will be collected included in records that are subject to the Privacy Act of 1974?   [  ] Yes [ </w:t>
      </w:r>
      <w:r w:rsidR="00A367A6">
        <w:t>X</w:t>
      </w:r>
      <w:r>
        <w:t xml:space="preserve"> ] No  </w:t>
      </w:r>
    </w:p>
    <w:p w14:paraId="1E8883C1" w14:textId="65E97C8F" w:rsidR="00B46F2C" w:rsidRDefault="00B46F2C" w:rsidP="00C86E91">
      <w:pPr>
        <w:pStyle w:val="ListParagraph"/>
        <w:numPr>
          <w:ilvl w:val="0"/>
          <w:numId w:val="18"/>
        </w:numPr>
      </w:pPr>
      <w:r>
        <w:t xml:space="preserve">If Applicable, has a System or Records Notice been published?  [  ] Yes  [ </w:t>
      </w:r>
      <w:r w:rsidR="00A367A6">
        <w:t>X</w:t>
      </w:r>
      <w:r>
        <w:t xml:space="preserve"> ] No</w:t>
      </w:r>
    </w:p>
    <w:p w14:paraId="3A4B400A" w14:textId="77777777" w:rsidR="00845139" w:rsidRDefault="00845139" w:rsidP="00C86E91">
      <w:pPr>
        <w:pStyle w:val="ListParagraph"/>
        <w:ind w:left="0"/>
        <w:rPr>
          <w:b/>
        </w:rPr>
      </w:pPr>
    </w:p>
    <w:p w14:paraId="06FAA0CE" w14:textId="0418D41E" w:rsidR="00115023" w:rsidRDefault="00115023" w:rsidP="00115023">
      <w:pPr>
        <w:pStyle w:val="ListParagraph"/>
        <w:ind w:left="360"/>
      </w:pPr>
      <w:r w:rsidRPr="00691454">
        <w:t>During data collection, the contract</w:t>
      </w:r>
      <w:r>
        <w:t>or will collect name, phone</w:t>
      </w:r>
      <w:r w:rsidR="00DC48F3">
        <w:t xml:space="preserve">, </w:t>
      </w:r>
      <w:r>
        <w:t>email</w:t>
      </w:r>
      <w:r w:rsidR="00DC48F3">
        <w:t>, and practice location</w:t>
      </w:r>
      <w:r>
        <w:t xml:space="preserve"> </w:t>
      </w:r>
      <w:r w:rsidRPr="00691454">
        <w:t xml:space="preserve">of those respondents who wish to </w:t>
      </w:r>
      <w:r w:rsidR="00673321">
        <w:t>participate. I</w:t>
      </w:r>
      <w:r w:rsidR="00907EC6">
        <w:t>nformation</w:t>
      </w:r>
      <w:r w:rsidRPr="0006733A">
        <w:t xml:space="preserve"> is collected</w:t>
      </w:r>
      <w:r>
        <w:t xml:space="preserve"> only to determine and communicate location of the focus group</w:t>
      </w:r>
      <w:r w:rsidR="00DC48F3">
        <w:t xml:space="preserve"> and to assign </w:t>
      </w:r>
      <w:r w:rsidR="00907EC6">
        <w:t>respondents</w:t>
      </w:r>
      <w:r w:rsidR="00DC48F3">
        <w:t xml:space="preserve"> to the appropriate g</w:t>
      </w:r>
      <w:r w:rsidR="00212893">
        <w:t>roup</w:t>
      </w:r>
      <w:r>
        <w:t xml:space="preserve">. </w:t>
      </w:r>
      <w:r w:rsidRPr="00691454">
        <w:t xml:space="preserve">At </w:t>
      </w:r>
      <w:r>
        <w:t xml:space="preserve">no time </w:t>
      </w:r>
      <w:r w:rsidR="00994849">
        <w:t>will</w:t>
      </w:r>
      <w:r>
        <w:t xml:space="preserve"> CDC have access </w:t>
      </w:r>
      <w:r w:rsidR="00994849">
        <w:t>to</w:t>
      </w:r>
      <w:r w:rsidR="00DC48F3">
        <w:t xml:space="preserve"> </w:t>
      </w:r>
      <w:r w:rsidRPr="00691454">
        <w:t xml:space="preserve">or receive </w:t>
      </w:r>
      <w:r w:rsidR="00907EC6">
        <w:t>any personally</w:t>
      </w:r>
      <w:r w:rsidRPr="00691454">
        <w:t xml:space="preserve"> identifiable information. At no time </w:t>
      </w:r>
      <w:r>
        <w:t>is</w:t>
      </w:r>
      <w:r w:rsidRPr="00691454">
        <w:t xml:space="preserve"> this information linked or linkable to survey information.</w:t>
      </w:r>
      <w:r>
        <w:t xml:space="preserve"> </w:t>
      </w:r>
      <w:r w:rsidRPr="00691454">
        <w:t>Privacy Act does not apply</w:t>
      </w:r>
      <w:r>
        <w:t>.</w:t>
      </w:r>
    </w:p>
    <w:p w14:paraId="0D47FB2A" w14:textId="77777777" w:rsidR="00404822" w:rsidRDefault="00404822" w:rsidP="00C86E91">
      <w:pPr>
        <w:pStyle w:val="ListParagraph"/>
        <w:ind w:left="0"/>
        <w:rPr>
          <w:b/>
        </w:rPr>
      </w:pPr>
    </w:p>
    <w:p w14:paraId="1E8883C2" w14:textId="77777777" w:rsidR="00B46F2C" w:rsidRPr="00C86E91" w:rsidRDefault="00B46F2C" w:rsidP="00C86E91">
      <w:pPr>
        <w:pStyle w:val="ListParagraph"/>
        <w:ind w:left="0"/>
        <w:rPr>
          <w:b/>
        </w:rPr>
      </w:pPr>
      <w:r>
        <w:rPr>
          <w:b/>
        </w:rPr>
        <w:t>Gifts or Payments:</w:t>
      </w:r>
    </w:p>
    <w:p w14:paraId="10A5A4A7" w14:textId="475CA0AA" w:rsidR="00CB2080" w:rsidRDefault="00B46F2C">
      <w:r>
        <w:t>Is an incentive (e.g., money or reimbursement of expenses, token of appreciation) provided to participants?  [</w:t>
      </w:r>
      <w:r w:rsidR="00545488">
        <w:t>X</w:t>
      </w:r>
      <w:r w:rsidR="00CB2080">
        <w:t xml:space="preserve"> </w:t>
      </w:r>
      <w:r>
        <w:t>] Yes [  ] No</w:t>
      </w:r>
      <w:r w:rsidR="00845139">
        <w:t xml:space="preserve"> </w:t>
      </w:r>
    </w:p>
    <w:p w14:paraId="4BE057F4" w14:textId="77777777" w:rsidR="00CB2080" w:rsidRDefault="00CB2080"/>
    <w:p w14:paraId="11CF97DA" w14:textId="16DDF615" w:rsidR="00CB2080" w:rsidRDefault="00907EC6">
      <w:r>
        <w:t>Respondents</w:t>
      </w:r>
      <w:r w:rsidR="00CB2080">
        <w:t xml:space="preserve"> who participate in t</w:t>
      </w:r>
      <w:r>
        <w:t>he focus groups will receive a $75</w:t>
      </w:r>
      <w:r w:rsidR="00CB2080">
        <w:t xml:space="preserve"> Amazon gift card</w:t>
      </w:r>
      <w:r w:rsidR="00A367A6">
        <w:t xml:space="preserve">. </w:t>
      </w:r>
      <w:r w:rsidR="00BD033B">
        <w:t xml:space="preserve">Phone interview respondents will receive a $25 gift card. </w:t>
      </w:r>
      <w:r w:rsidR="00A367A6">
        <w:t>The amount</w:t>
      </w:r>
      <w:r w:rsidR="00BD033B">
        <w:t>s of these gifts align</w:t>
      </w:r>
      <w:r w:rsidR="00A367A6">
        <w:t xml:space="preserve"> with the general limitations of the </w:t>
      </w:r>
      <w:r w:rsidR="00A367A6" w:rsidRPr="00223EA5">
        <w:t>overarching Generic ICR 0920-1009</w:t>
      </w:r>
      <w:r w:rsidR="00223EA5">
        <w:t>. Providing incentives to respondents is necessary to successfully recruit individuals for qualitative research studies conducted</w:t>
      </w:r>
      <w:r w:rsidR="00C65A47">
        <w:t xml:space="preserve"> in person and on the telephone </w:t>
      </w:r>
      <w:r w:rsidR="00223EA5">
        <w:rPr>
          <w:vertAlign w:val="superscript"/>
        </w:rPr>
        <w:t xml:space="preserve">[1] </w:t>
      </w:r>
      <w:r w:rsidR="00223EA5" w:rsidRPr="00E53C00">
        <w:rPr>
          <w:vertAlign w:val="superscript"/>
        </w:rPr>
        <w:t>[2]</w:t>
      </w:r>
      <w:r w:rsidR="00286E44" w:rsidRPr="00223EA5">
        <w:t>.</w:t>
      </w:r>
      <w:r w:rsidR="00CB2080">
        <w:t xml:space="preserve"> </w:t>
      </w:r>
      <w:r w:rsidR="00223EA5">
        <w:t>The need for incentives is even greater among</w:t>
      </w:r>
      <w:r>
        <w:t xml:space="preserve"> </w:t>
      </w:r>
      <w:r w:rsidR="00223EA5">
        <w:t>medical providers who are generally very busy and accustomed to being compensated well for their time.</w:t>
      </w:r>
      <w:r w:rsidR="00CB2080" w:rsidRPr="00E53C00">
        <w:rPr>
          <w:vertAlign w:val="superscript"/>
        </w:rPr>
        <w:t xml:space="preserve"> </w:t>
      </w:r>
    </w:p>
    <w:p w14:paraId="68F58791" w14:textId="77777777" w:rsidR="00286E44" w:rsidRDefault="00286E44" w:rsidP="00CB2080"/>
    <w:p w14:paraId="1E8883C4" w14:textId="241429DB" w:rsidR="00B46F2C" w:rsidRDefault="00A367A6" w:rsidP="00C86E91">
      <w:r>
        <w:rPr>
          <w:b/>
        </w:rPr>
        <w:t>B</w:t>
      </w:r>
      <w:r w:rsidR="00B46F2C">
        <w:rPr>
          <w:b/>
        </w:rPr>
        <w:t>URDEN HOURS</w:t>
      </w:r>
      <w:r w:rsidR="00B46F2C">
        <w:t xml:space="preserve"> </w:t>
      </w:r>
    </w:p>
    <w:p w14:paraId="1E8883C5" w14:textId="77777777"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5"/>
        <w:gridCol w:w="1620"/>
        <w:gridCol w:w="1710"/>
        <w:gridCol w:w="1476"/>
      </w:tblGrid>
      <w:tr w:rsidR="00B46F2C" w14:paraId="1E8883CA" w14:textId="77777777" w:rsidTr="00F2203C">
        <w:trPr>
          <w:trHeight w:val="274"/>
        </w:trPr>
        <w:tc>
          <w:tcPr>
            <w:tcW w:w="4855" w:type="dxa"/>
          </w:tcPr>
          <w:p w14:paraId="1E8883C6" w14:textId="77777777" w:rsidR="00B46F2C" w:rsidRPr="00512CA7" w:rsidRDefault="00B46F2C" w:rsidP="00C8488C">
            <w:pPr>
              <w:rPr>
                <w:b/>
              </w:rPr>
            </w:pPr>
            <w:r w:rsidRPr="00512CA7">
              <w:rPr>
                <w:b/>
              </w:rPr>
              <w:t xml:space="preserve">Category of Respondent </w:t>
            </w:r>
          </w:p>
        </w:tc>
        <w:tc>
          <w:tcPr>
            <w:tcW w:w="1620" w:type="dxa"/>
          </w:tcPr>
          <w:p w14:paraId="1E8883C7" w14:textId="77777777" w:rsidR="00B46F2C" w:rsidRPr="00512CA7" w:rsidRDefault="00B46F2C" w:rsidP="00843796">
            <w:pPr>
              <w:rPr>
                <w:b/>
              </w:rPr>
            </w:pPr>
            <w:r w:rsidRPr="00512CA7">
              <w:rPr>
                <w:b/>
              </w:rPr>
              <w:t>No. of Respondents</w:t>
            </w:r>
          </w:p>
        </w:tc>
        <w:tc>
          <w:tcPr>
            <w:tcW w:w="1710" w:type="dxa"/>
          </w:tcPr>
          <w:p w14:paraId="1E8883C8" w14:textId="504189D9" w:rsidR="00B46F2C" w:rsidRPr="00512CA7" w:rsidRDefault="00B46F2C" w:rsidP="00843796">
            <w:pPr>
              <w:rPr>
                <w:b/>
              </w:rPr>
            </w:pPr>
            <w:r w:rsidRPr="00512CA7">
              <w:rPr>
                <w:b/>
              </w:rPr>
              <w:t>Participation Time</w:t>
            </w:r>
            <w:r w:rsidR="00EA5364">
              <w:rPr>
                <w:b/>
              </w:rPr>
              <w:t xml:space="preserve"> (Hours)</w:t>
            </w:r>
          </w:p>
        </w:tc>
        <w:tc>
          <w:tcPr>
            <w:tcW w:w="1476" w:type="dxa"/>
          </w:tcPr>
          <w:p w14:paraId="6061215A" w14:textId="77777777" w:rsidR="00B46F2C" w:rsidRDefault="00B46F2C" w:rsidP="00843796">
            <w:pPr>
              <w:rPr>
                <w:b/>
              </w:rPr>
            </w:pPr>
            <w:r w:rsidRPr="00512CA7">
              <w:rPr>
                <w:b/>
              </w:rPr>
              <w:t>Burden</w:t>
            </w:r>
          </w:p>
          <w:p w14:paraId="1E8883C9" w14:textId="0949600D" w:rsidR="00EA5364" w:rsidRPr="00512CA7" w:rsidRDefault="00EA5364" w:rsidP="00843796">
            <w:pPr>
              <w:rPr>
                <w:b/>
              </w:rPr>
            </w:pPr>
            <w:r>
              <w:rPr>
                <w:b/>
              </w:rPr>
              <w:t>(Hours)</w:t>
            </w:r>
          </w:p>
        </w:tc>
      </w:tr>
      <w:tr w:rsidR="00E0614A" w14:paraId="5D919A3A" w14:textId="77777777" w:rsidTr="00F2203C">
        <w:trPr>
          <w:trHeight w:val="274"/>
        </w:trPr>
        <w:tc>
          <w:tcPr>
            <w:tcW w:w="4855" w:type="dxa"/>
          </w:tcPr>
          <w:p w14:paraId="766EC6CC" w14:textId="339C0D3E" w:rsidR="00E0614A" w:rsidRDefault="00970ED9" w:rsidP="00843796">
            <w:r w:rsidRPr="00F14DB9">
              <w:t>Recruitment</w:t>
            </w:r>
            <w:r w:rsidR="007A5B6C">
              <w:t>/Screening</w:t>
            </w:r>
            <w:r w:rsidRPr="00F14DB9">
              <w:t xml:space="preserve"> Phone </w:t>
            </w:r>
            <w:r w:rsidR="00606837">
              <w:t>Call</w:t>
            </w:r>
            <w:r w:rsidR="00870A48">
              <w:t xml:space="preserve"> (Att. A</w:t>
            </w:r>
            <w:r w:rsidR="00DC7BC6">
              <w:t>)</w:t>
            </w:r>
          </w:p>
        </w:tc>
        <w:tc>
          <w:tcPr>
            <w:tcW w:w="1620" w:type="dxa"/>
          </w:tcPr>
          <w:p w14:paraId="12CD7B85" w14:textId="47CE0D8E" w:rsidR="00E0614A" w:rsidRDefault="00907EC6" w:rsidP="00907EC6">
            <w:r>
              <w:t>120</w:t>
            </w:r>
          </w:p>
        </w:tc>
        <w:tc>
          <w:tcPr>
            <w:tcW w:w="1710" w:type="dxa"/>
          </w:tcPr>
          <w:p w14:paraId="70085715" w14:textId="3F5D1806" w:rsidR="00E0614A" w:rsidRDefault="00DC48F3">
            <w:r>
              <w:t>5/60</w:t>
            </w:r>
          </w:p>
        </w:tc>
        <w:tc>
          <w:tcPr>
            <w:tcW w:w="1476" w:type="dxa"/>
          </w:tcPr>
          <w:p w14:paraId="0B01C28F" w14:textId="48BBDF10" w:rsidR="00E0614A" w:rsidRDefault="00907EC6" w:rsidP="00843796">
            <w:r>
              <w:t>10</w:t>
            </w:r>
          </w:p>
        </w:tc>
      </w:tr>
      <w:tr w:rsidR="00B46F2C" w14:paraId="1E8883CF" w14:textId="77777777" w:rsidTr="00F2203C">
        <w:trPr>
          <w:trHeight w:val="274"/>
        </w:trPr>
        <w:tc>
          <w:tcPr>
            <w:tcW w:w="4855" w:type="dxa"/>
          </w:tcPr>
          <w:p w14:paraId="2DDBFB8D" w14:textId="77777777" w:rsidR="00DC7BC6" w:rsidRDefault="00907EC6" w:rsidP="00843796">
            <w:r>
              <w:t>Respondents</w:t>
            </w:r>
            <w:r w:rsidR="00F2203C">
              <w:t xml:space="preserve"> participating in Focus Groups</w:t>
            </w:r>
            <w:r w:rsidR="00DC7BC6">
              <w:t xml:space="preserve"> </w:t>
            </w:r>
          </w:p>
          <w:p w14:paraId="1E8883CB" w14:textId="4804A12F" w:rsidR="00B46F2C" w:rsidRDefault="00DC7BC6" w:rsidP="00843796">
            <w:r>
              <w:t>(Att. B)</w:t>
            </w:r>
          </w:p>
        </w:tc>
        <w:tc>
          <w:tcPr>
            <w:tcW w:w="1620" w:type="dxa"/>
          </w:tcPr>
          <w:p w14:paraId="1E8883CC" w14:textId="5CE00C94" w:rsidR="00B46F2C" w:rsidRDefault="007A5B6C" w:rsidP="00907EC6">
            <w:r>
              <w:t xml:space="preserve"> </w:t>
            </w:r>
            <w:r w:rsidR="00907EC6">
              <w:t>32</w:t>
            </w:r>
          </w:p>
        </w:tc>
        <w:tc>
          <w:tcPr>
            <w:tcW w:w="1710" w:type="dxa"/>
          </w:tcPr>
          <w:p w14:paraId="1E8883CD" w14:textId="3ED41818" w:rsidR="00B46F2C" w:rsidRDefault="00907EC6">
            <w:r>
              <w:t>90/60</w:t>
            </w:r>
          </w:p>
        </w:tc>
        <w:tc>
          <w:tcPr>
            <w:tcW w:w="1476" w:type="dxa"/>
          </w:tcPr>
          <w:p w14:paraId="1E8883CE" w14:textId="3C69FE79" w:rsidR="00B46F2C" w:rsidRDefault="00907EC6" w:rsidP="00843796">
            <w:r>
              <w:t>48</w:t>
            </w:r>
          </w:p>
        </w:tc>
      </w:tr>
      <w:tr w:rsidR="00B46F2C" w14:paraId="1E8883D4" w14:textId="77777777" w:rsidTr="00F2203C">
        <w:trPr>
          <w:trHeight w:val="274"/>
        </w:trPr>
        <w:tc>
          <w:tcPr>
            <w:tcW w:w="4855" w:type="dxa"/>
          </w:tcPr>
          <w:p w14:paraId="74A85E64" w14:textId="77777777" w:rsidR="00B46F2C" w:rsidRDefault="00907EC6" w:rsidP="00843796">
            <w:r>
              <w:t xml:space="preserve">Respondents </w:t>
            </w:r>
            <w:r w:rsidR="00F2203C">
              <w:t>participating in Phone Interviews</w:t>
            </w:r>
          </w:p>
          <w:p w14:paraId="1E8883D0" w14:textId="7A3A05C1" w:rsidR="00DC7BC6" w:rsidRDefault="00DC7BC6" w:rsidP="00843796">
            <w:r>
              <w:t>(Att. C)</w:t>
            </w:r>
          </w:p>
        </w:tc>
        <w:tc>
          <w:tcPr>
            <w:tcW w:w="1620" w:type="dxa"/>
          </w:tcPr>
          <w:p w14:paraId="1E8883D1" w14:textId="20C02120" w:rsidR="00B46F2C" w:rsidRDefault="007A5B6C" w:rsidP="00907EC6">
            <w:r>
              <w:t xml:space="preserve"> </w:t>
            </w:r>
            <w:r w:rsidR="002F4F66">
              <w:t>30</w:t>
            </w:r>
          </w:p>
        </w:tc>
        <w:tc>
          <w:tcPr>
            <w:tcW w:w="1710" w:type="dxa"/>
          </w:tcPr>
          <w:p w14:paraId="1E8883D2" w14:textId="54A6C118" w:rsidR="00B46F2C" w:rsidRDefault="00907EC6">
            <w:r>
              <w:t>30/60</w:t>
            </w:r>
          </w:p>
        </w:tc>
        <w:tc>
          <w:tcPr>
            <w:tcW w:w="1476" w:type="dxa"/>
          </w:tcPr>
          <w:p w14:paraId="1E8883D3" w14:textId="767FCA60" w:rsidR="00B46F2C" w:rsidRDefault="002F4F66" w:rsidP="00843796">
            <w:r>
              <w:t>15</w:t>
            </w:r>
          </w:p>
        </w:tc>
      </w:tr>
      <w:tr w:rsidR="00B46F2C" w14:paraId="1E8883D9" w14:textId="77777777" w:rsidTr="00F2203C">
        <w:trPr>
          <w:trHeight w:val="289"/>
        </w:trPr>
        <w:tc>
          <w:tcPr>
            <w:tcW w:w="4855" w:type="dxa"/>
          </w:tcPr>
          <w:p w14:paraId="1E8883D5" w14:textId="77777777" w:rsidR="00B46F2C" w:rsidRPr="00512CA7" w:rsidRDefault="00B46F2C" w:rsidP="00843796">
            <w:pPr>
              <w:rPr>
                <w:b/>
              </w:rPr>
            </w:pPr>
            <w:r w:rsidRPr="00512CA7">
              <w:rPr>
                <w:b/>
              </w:rPr>
              <w:t>Totals</w:t>
            </w:r>
          </w:p>
        </w:tc>
        <w:tc>
          <w:tcPr>
            <w:tcW w:w="1620" w:type="dxa"/>
          </w:tcPr>
          <w:p w14:paraId="1E8883D6" w14:textId="0D4F09CD" w:rsidR="00B46F2C" w:rsidRPr="00512CA7" w:rsidRDefault="008108FC" w:rsidP="00843796">
            <w:pPr>
              <w:rPr>
                <w:b/>
              </w:rPr>
            </w:pPr>
            <w:r>
              <w:rPr>
                <w:b/>
              </w:rPr>
              <w:t>182</w:t>
            </w:r>
            <w:bookmarkStart w:id="0" w:name="_GoBack"/>
            <w:bookmarkEnd w:id="0"/>
          </w:p>
        </w:tc>
        <w:tc>
          <w:tcPr>
            <w:tcW w:w="1710" w:type="dxa"/>
          </w:tcPr>
          <w:p w14:paraId="1E8883D7" w14:textId="77777777" w:rsidR="00B46F2C" w:rsidRDefault="00B46F2C" w:rsidP="00843796"/>
        </w:tc>
        <w:tc>
          <w:tcPr>
            <w:tcW w:w="1476" w:type="dxa"/>
          </w:tcPr>
          <w:p w14:paraId="1E8883D8" w14:textId="4909A9CE" w:rsidR="00B46F2C" w:rsidRPr="00512CA7" w:rsidRDefault="00D20500" w:rsidP="00907EC6">
            <w:pPr>
              <w:rPr>
                <w:b/>
              </w:rPr>
            </w:pPr>
            <w:r>
              <w:rPr>
                <w:b/>
              </w:rPr>
              <w:t>7</w:t>
            </w:r>
            <w:r w:rsidR="002F4F66">
              <w:rPr>
                <w:b/>
              </w:rPr>
              <w:t>3</w:t>
            </w:r>
          </w:p>
        </w:tc>
      </w:tr>
    </w:tbl>
    <w:p w14:paraId="1E8883DA" w14:textId="77777777" w:rsidR="00B46F2C" w:rsidRDefault="00B46F2C" w:rsidP="00F3170F"/>
    <w:p w14:paraId="1E8883DB" w14:textId="098C5514" w:rsidR="00B46F2C" w:rsidRDefault="00237C7A" w:rsidP="00F3170F">
      <w:r>
        <w:t xml:space="preserve">During </w:t>
      </w:r>
      <w:r w:rsidR="00907EC6">
        <w:t xml:space="preserve">each </w:t>
      </w:r>
      <w:r w:rsidR="00994849">
        <w:t xml:space="preserve">of four </w:t>
      </w:r>
      <w:r w:rsidR="00907EC6">
        <w:t>focus group</w:t>
      </w:r>
      <w:r w:rsidR="00994849">
        <w:t>s,</w:t>
      </w:r>
      <w:r>
        <w:t xml:space="preserve"> responses will be elicited from</w:t>
      </w:r>
      <w:r w:rsidR="00994849">
        <w:t xml:space="preserve"> up to</w:t>
      </w:r>
      <w:r>
        <w:t xml:space="preserve"> </w:t>
      </w:r>
      <w:r w:rsidR="00907EC6">
        <w:t>8</w:t>
      </w:r>
      <w:r>
        <w:t xml:space="preserve"> participants</w:t>
      </w:r>
      <w:r w:rsidR="00994849">
        <w:t xml:space="preserve"> for a total of 32</w:t>
      </w:r>
      <w:r>
        <w:t>.</w:t>
      </w:r>
      <w:r w:rsidR="00994849">
        <w:t xml:space="preserve"> We allow up to 90 minutes for each focus group.</w:t>
      </w:r>
      <w:r>
        <w:t xml:space="preserve"> During the telephone interviews, responses will </w:t>
      </w:r>
      <w:r w:rsidRPr="00907EC6">
        <w:t>be elicited from only</w:t>
      </w:r>
      <w:r>
        <w:t xml:space="preserve"> one person</w:t>
      </w:r>
      <w:r w:rsidR="00994849">
        <w:t xml:space="preserve"> instead of a group</w:t>
      </w:r>
      <w:r>
        <w:t xml:space="preserve">, resulting in less time being required, and a lower number of burden </w:t>
      </w:r>
      <w:r w:rsidR="00994849">
        <w:t>hours for phone participants. We will cap interviews at 30 minutes.</w:t>
      </w:r>
    </w:p>
    <w:p w14:paraId="26ACC14A" w14:textId="77777777" w:rsidR="00237C7A" w:rsidRDefault="00237C7A" w:rsidP="00F3170F"/>
    <w:p w14:paraId="1E8883DD" w14:textId="7B520AC8" w:rsidR="00B46F2C" w:rsidRDefault="00B46F2C">
      <w:pPr>
        <w:rPr>
          <w:b/>
          <w:bCs/>
          <w:u w:val="single"/>
        </w:rPr>
      </w:pPr>
      <w:r>
        <w:rPr>
          <w:b/>
        </w:rPr>
        <w:t xml:space="preserve">FEDERAL COST:  </w:t>
      </w:r>
      <w:r>
        <w:t>The estimated annual cost to the Federal government is</w:t>
      </w:r>
      <w:r w:rsidR="00B56D89">
        <w:t xml:space="preserve"> </w:t>
      </w:r>
      <w:r w:rsidR="00907EC6">
        <w:t>$</w:t>
      </w:r>
      <w:r w:rsidR="00994849">
        <w:t>10,6</w:t>
      </w:r>
      <w:r w:rsidR="00C3715D">
        <w:t>87.</w:t>
      </w:r>
    </w:p>
    <w:p w14:paraId="1E8883DE" w14:textId="01F23BE6" w:rsidR="00B46F2C" w:rsidRDefault="00B46F2C" w:rsidP="00F06866">
      <w:pPr>
        <w:rPr>
          <w:b/>
        </w:rPr>
      </w:pPr>
      <w:r>
        <w:rPr>
          <w:b/>
          <w:bCs/>
          <w:u w:val="single"/>
        </w:rPr>
        <w:t>If you are conducting a focus group, survey, or plan to emp</w:t>
      </w:r>
      <w:r w:rsidR="00DC48F3">
        <w:rPr>
          <w:b/>
          <w:bCs/>
          <w:u w:val="single"/>
        </w:rPr>
        <w:t>loy statistical methods, please</w:t>
      </w:r>
      <w:r>
        <w:rPr>
          <w:b/>
          <w:bCs/>
          <w:u w:val="single"/>
        </w:rPr>
        <w:t xml:space="preserve"> provide answers to the following questions:</w:t>
      </w:r>
    </w:p>
    <w:p w14:paraId="1E8883DF" w14:textId="77777777" w:rsidR="00B46F2C" w:rsidRDefault="00B46F2C" w:rsidP="00F06866">
      <w:pPr>
        <w:rPr>
          <w:b/>
        </w:rPr>
      </w:pPr>
    </w:p>
    <w:p w14:paraId="1E8883E0" w14:textId="77777777" w:rsidR="00B46F2C" w:rsidRDefault="00B46F2C" w:rsidP="00F06866">
      <w:pPr>
        <w:rPr>
          <w:b/>
        </w:rPr>
      </w:pPr>
      <w:r>
        <w:rPr>
          <w:b/>
        </w:rPr>
        <w:t>The selection of your targeted respondents</w:t>
      </w:r>
    </w:p>
    <w:p w14:paraId="31B506DF" w14:textId="77777777" w:rsidR="00F22789"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p>
    <w:p w14:paraId="1E8883E1" w14:textId="570EFECC" w:rsidR="00B46F2C" w:rsidRDefault="00B46F2C" w:rsidP="00F22789">
      <w:pPr>
        <w:pStyle w:val="ListParagraph"/>
        <w:ind w:left="360"/>
      </w:pPr>
      <w:r>
        <w:tab/>
        <w:t>[] Yes</w:t>
      </w:r>
      <w:r>
        <w:tab/>
        <w:t>[</w:t>
      </w:r>
      <w:r w:rsidR="00B30B87">
        <w:t>X</w:t>
      </w:r>
      <w:r>
        <w:t>] No</w:t>
      </w:r>
    </w:p>
    <w:p w14:paraId="1E8883E2" w14:textId="77777777" w:rsidR="00B46F2C" w:rsidRDefault="00B46F2C" w:rsidP="00636621">
      <w:pPr>
        <w:pStyle w:val="ListParagraph"/>
      </w:pPr>
    </w:p>
    <w:p w14:paraId="1E8883E3" w14:textId="77777777" w:rsidR="00B46F2C" w:rsidRDefault="00B46F2C" w:rsidP="00A403BB">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4A3BA92D" w14:textId="77777777" w:rsidR="00934CAE" w:rsidRDefault="00934CAE" w:rsidP="00A403BB"/>
    <w:p w14:paraId="1E8883E4" w14:textId="573863B5" w:rsidR="00B46F2C" w:rsidRPr="00357AA4" w:rsidRDefault="00DC1675" w:rsidP="00237C7A">
      <w:pPr>
        <w:pStyle w:val="Header"/>
        <w:tabs>
          <w:tab w:val="clear" w:pos="4320"/>
          <w:tab w:val="clear" w:pos="8640"/>
        </w:tabs>
        <w:rPr>
          <w:sz w:val="22"/>
          <w:szCs w:val="22"/>
        </w:rPr>
      </w:pPr>
      <w:r>
        <w:t xml:space="preserve">No, we do not have a list with the universe of all practicing </w:t>
      </w:r>
      <w:r w:rsidR="002F4F66">
        <w:t>PCPs</w:t>
      </w:r>
      <w:r>
        <w:t xml:space="preserve">. We </w:t>
      </w:r>
      <w:r w:rsidR="002A4739">
        <w:t>will</w:t>
      </w:r>
      <w:r>
        <w:t xml:space="preserve"> </w:t>
      </w:r>
      <w:r w:rsidR="002F4F66">
        <w:t>purchase member lists from professional</w:t>
      </w:r>
      <w:r>
        <w:t xml:space="preserve"> associations to promote voluntary participation in the </w:t>
      </w:r>
      <w:r w:rsidR="00223EA5">
        <w:t>project</w:t>
      </w:r>
      <w:r w:rsidR="008150D0">
        <w:t xml:space="preserve">. </w:t>
      </w:r>
      <w:r w:rsidR="00212893">
        <w:t>Providers</w:t>
      </w:r>
      <w:r>
        <w:t xml:space="preserve"> who wish to respond to promotion materials </w:t>
      </w:r>
      <w:r w:rsidR="00212893">
        <w:t xml:space="preserve">(Attachment </w:t>
      </w:r>
      <w:r w:rsidR="00483014">
        <w:t>D</w:t>
      </w:r>
      <w:r w:rsidR="00212893">
        <w:t xml:space="preserve">) </w:t>
      </w:r>
      <w:r>
        <w:t>will contact</w:t>
      </w:r>
      <w:r w:rsidR="008150D0">
        <w:t xml:space="preserve"> the contractor</w:t>
      </w:r>
      <w:r>
        <w:t xml:space="preserve"> to arrange their participation in focus groups.</w:t>
      </w:r>
      <w:r w:rsidR="004216A9">
        <w:t xml:space="preserve"> </w:t>
      </w:r>
      <w:r w:rsidR="00223EA5">
        <w:t xml:space="preserve">The contractor has language prepared for direct recruiting via telephone and for receiving inquiries </w:t>
      </w:r>
      <w:r w:rsidR="004216A9">
        <w:t>(Attachment</w:t>
      </w:r>
      <w:r w:rsidR="00212893">
        <w:t xml:space="preserve"> A</w:t>
      </w:r>
      <w:r w:rsidR="004216A9">
        <w:t>)</w:t>
      </w:r>
      <w:r w:rsidR="00223EA5">
        <w:t>.</w:t>
      </w:r>
      <w:r w:rsidR="004216A9">
        <w:t xml:space="preserve"> </w:t>
      </w:r>
    </w:p>
    <w:p w14:paraId="1E8883E5" w14:textId="77777777" w:rsidR="00B46F2C" w:rsidRDefault="00B46F2C" w:rsidP="00A403BB">
      <w:pPr>
        <w:rPr>
          <w:b/>
        </w:rPr>
      </w:pPr>
    </w:p>
    <w:p w14:paraId="1E8883E6" w14:textId="77777777" w:rsidR="00B46F2C" w:rsidRDefault="00B46F2C" w:rsidP="00A403BB">
      <w:pPr>
        <w:rPr>
          <w:b/>
        </w:rPr>
      </w:pPr>
      <w:r>
        <w:rPr>
          <w:b/>
        </w:rPr>
        <w:t>Administration of the Instrument</w:t>
      </w:r>
    </w:p>
    <w:p w14:paraId="1E8883E7" w14:textId="77777777" w:rsidR="00B46F2C" w:rsidRDefault="00B46F2C" w:rsidP="00A403BB">
      <w:pPr>
        <w:pStyle w:val="ListParagraph"/>
        <w:numPr>
          <w:ilvl w:val="0"/>
          <w:numId w:val="17"/>
        </w:numPr>
      </w:pPr>
      <w:r>
        <w:t>How will you collect the information? (Check all that apply)</w:t>
      </w:r>
    </w:p>
    <w:p w14:paraId="1E8883E8" w14:textId="77777777" w:rsidR="00B46F2C" w:rsidRDefault="00B46F2C" w:rsidP="001B0AAA">
      <w:pPr>
        <w:ind w:left="720"/>
      </w:pPr>
      <w:r>
        <w:t xml:space="preserve">[  ] Web-based or other forms of Social Media </w:t>
      </w:r>
    </w:p>
    <w:p w14:paraId="1E8883E9" w14:textId="10F53C5A" w:rsidR="00B46F2C" w:rsidRDefault="00F22789" w:rsidP="001B0AAA">
      <w:pPr>
        <w:ind w:left="720"/>
      </w:pPr>
      <w:r>
        <w:t xml:space="preserve">[ </w:t>
      </w:r>
      <w:r w:rsidR="00934CAE">
        <w:t>X</w:t>
      </w:r>
      <w:r w:rsidR="00B46F2C">
        <w:t>] Telephone</w:t>
      </w:r>
      <w:r w:rsidR="00B46F2C">
        <w:tab/>
      </w:r>
    </w:p>
    <w:p w14:paraId="1E8883EA" w14:textId="2565EDD4" w:rsidR="00B46F2C" w:rsidRDefault="00B46F2C" w:rsidP="001B0AAA">
      <w:pPr>
        <w:ind w:left="720"/>
      </w:pPr>
      <w:r>
        <w:t>[</w:t>
      </w:r>
      <w:r w:rsidR="00F22789">
        <w:t xml:space="preserve"> </w:t>
      </w:r>
      <w:r w:rsidR="00934CAE">
        <w:t>X</w:t>
      </w:r>
      <w:r>
        <w:t>] In-person</w:t>
      </w:r>
      <w:r>
        <w:tab/>
      </w:r>
    </w:p>
    <w:p w14:paraId="1E8883EB" w14:textId="77777777" w:rsidR="00B46F2C" w:rsidRDefault="00B46F2C" w:rsidP="001B0AAA">
      <w:pPr>
        <w:ind w:left="720"/>
      </w:pPr>
      <w:r>
        <w:t xml:space="preserve">[  ] Mail </w:t>
      </w:r>
    </w:p>
    <w:p w14:paraId="1E8883EC" w14:textId="77777777" w:rsidR="00B46F2C" w:rsidRDefault="00B46F2C" w:rsidP="001B0AAA">
      <w:pPr>
        <w:ind w:left="720"/>
      </w:pPr>
      <w:r>
        <w:t>[  ] Other, Explain</w:t>
      </w:r>
    </w:p>
    <w:p w14:paraId="1E8883ED" w14:textId="5CCD1196" w:rsidR="00B46F2C" w:rsidRDefault="00B46F2C" w:rsidP="00F24CFC">
      <w:pPr>
        <w:pStyle w:val="ListParagraph"/>
        <w:numPr>
          <w:ilvl w:val="0"/>
          <w:numId w:val="17"/>
        </w:numPr>
      </w:pPr>
      <w:r>
        <w:t xml:space="preserve">Will interviewers or facilitators be used?  [ </w:t>
      </w:r>
      <w:r w:rsidR="00934CAE">
        <w:t>X</w:t>
      </w:r>
      <w:r>
        <w:t xml:space="preserve"> ] Yes [  ] No</w:t>
      </w:r>
    </w:p>
    <w:p w14:paraId="1E8883EE" w14:textId="77777777" w:rsidR="00B46F2C" w:rsidRDefault="00B46F2C" w:rsidP="00F24CFC">
      <w:pPr>
        <w:pStyle w:val="ListParagraph"/>
        <w:ind w:left="360"/>
      </w:pPr>
      <w:r>
        <w:t xml:space="preserve"> </w:t>
      </w:r>
    </w:p>
    <w:p w14:paraId="290753C2" w14:textId="0A42F2B4" w:rsidR="00934CAE" w:rsidRDefault="003574C0" w:rsidP="003574C0">
      <w:r>
        <w:t>A</w:t>
      </w:r>
      <w:r w:rsidRPr="00575FA1">
        <w:t xml:space="preserve"> team of trained </w:t>
      </w:r>
      <w:r>
        <w:t>moderators</w:t>
      </w:r>
      <w:r w:rsidR="00513920">
        <w:t xml:space="preserve"> and interviewers</w:t>
      </w:r>
      <w:r>
        <w:t xml:space="preserve"> will </w:t>
      </w:r>
      <w:r w:rsidRPr="00575FA1">
        <w:t xml:space="preserve">conduct </w:t>
      </w:r>
      <w:r>
        <w:t>the focus groups</w:t>
      </w:r>
      <w:r w:rsidR="00513920">
        <w:t xml:space="preserve"> and interviews</w:t>
      </w:r>
      <w:r>
        <w:t xml:space="preserve"> in accordance </w:t>
      </w:r>
      <w:r w:rsidR="002475E2">
        <w:t>with</w:t>
      </w:r>
      <w:r>
        <w:t xml:space="preserve"> the STEADI</w:t>
      </w:r>
      <w:r w:rsidR="002475E2">
        <w:t xml:space="preserve"> Moderators</w:t>
      </w:r>
      <w:r>
        <w:t xml:space="preserve"> </w:t>
      </w:r>
      <w:r w:rsidR="00513920">
        <w:t>G</w:t>
      </w:r>
      <w:r>
        <w:t>uide</w:t>
      </w:r>
      <w:r w:rsidR="00513920">
        <w:t xml:space="preserve"> (Attachment </w:t>
      </w:r>
      <w:r w:rsidR="00212893">
        <w:t>B</w:t>
      </w:r>
      <w:r w:rsidR="00513920">
        <w:t>)</w:t>
      </w:r>
      <w:r>
        <w:t xml:space="preserve"> </w:t>
      </w:r>
      <w:r w:rsidR="00513920">
        <w:t xml:space="preserve">and Interview Script </w:t>
      </w:r>
      <w:r>
        <w:t xml:space="preserve">(Attachment </w:t>
      </w:r>
      <w:r w:rsidR="00212893">
        <w:t>C</w:t>
      </w:r>
      <w:r>
        <w:t>).</w:t>
      </w:r>
      <w:r w:rsidR="00DC48F3">
        <w:t xml:space="preserve"> </w:t>
      </w:r>
      <w:r w:rsidR="008150D0">
        <w:t xml:space="preserve">A note taker will assist the moderator. </w:t>
      </w:r>
    </w:p>
    <w:p w14:paraId="1A8EF325" w14:textId="77777777" w:rsidR="008150D0" w:rsidRPr="00934CAE" w:rsidRDefault="008150D0" w:rsidP="003574C0"/>
    <w:sectPr w:rsidR="008150D0" w:rsidRPr="00934CAE"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91AAC9" w14:textId="77777777" w:rsidR="008108FC" w:rsidRDefault="008108FC">
      <w:r>
        <w:separator/>
      </w:r>
    </w:p>
  </w:endnote>
  <w:endnote w:type="continuationSeparator" w:id="0">
    <w:p w14:paraId="14DC99BB" w14:textId="77777777" w:rsidR="008108FC" w:rsidRDefault="00810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7A0CE" w14:textId="77777777" w:rsidR="008108FC" w:rsidRPr="002475E2" w:rsidRDefault="008108FC" w:rsidP="00286E44">
    <w:pPr>
      <w:pStyle w:val="FootnoteText"/>
      <w:rPr>
        <w:sz w:val="18"/>
        <w:szCs w:val="18"/>
      </w:rPr>
    </w:pPr>
    <w:r w:rsidRPr="002475E2">
      <w:rPr>
        <w:rStyle w:val="FootnoteReference"/>
        <w:sz w:val="18"/>
        <w:szCs w:val="18"/>
      </w:rPr>
      <w:t>[1]</w:t>
    </w:r>
    <w:r w:rsidRPr="002475E2">
      <w:rPr>
        <w:sz w:val="18"/>
        <w:szCs w:val="18"/>
      </w:rPr>
      <w:t xml:space="preserve"> National Cancer Institute. (2001)</w:t>
    </w:r>
    <w:r w:rsidRPr="002475E2">
      <w:rPr>
        <w:i/>
        <w:iCs/>
        <w:sz w:val="18"/>
        <w:szCs w:val="18"/>
      </w:rPr>
      <w:t xml:space="preserve"> Making Health Communication Programs Work</w:t>
    </w:r>
    <w:r w:rsidRPr="002475E2">
      <w:rPr>
        <w:sz w:val="18"/>
        <w:szCs w:val="18"/>
      </w:rPr>
      <w:t xml:space="preserve">, </w:t>
    </w:r>
    <w:hyperlink r:id="rId1" w:history="1">
      <w:r w:rsidRPr="002475E2">
        <w:rPr>
          <w:rStyle w:val="Hyperlink"/>
          <w:sz w:val="18"/>
          <w:szCs w:val="18"/>
        </w:rPr>
        <w:t>http://www.cancer.gov/cancertopics/cancerlibrary/pinkbook/Pink_Book.pdf</w:t>
      </w:r>
    </w:hyperlink>
  </w:p>
  <w:p w14:paraId="0FC0E424" w14:textId="77777777" w:rsidR="008108FC" w:rsidRPr="002475E2" w:rsidRDefault="008108FC" w:rsidP="00286E44">
    <w:pPr>
      <w:rPr>
        <w:sz w:val="18"/>
        <w:szCs w:val="18"/>
      </w:rPr>
    </w:pPr>
    <w:r w:rsidRPr="002475E2">
      <w:rPr>
        <w:rStyle w:val="FootnoteReference"/>
        <w:rFonts w:eastAsiaTheme="minorEastAsia"/>
        <w:sz w:val="18"/>
        <w:szCs w:val="18"/>
      </w:rPr>
      <w:t>[2]</w:t>
    </w:r>
    <w:r w:rsidRPr="002475E2">
      <w:rPr>
        <w:sz w:val="18"/>
        <w:szCs w:val="18"/>
      </w:rPr>
      <w:t xml:space="preserve"> Krueger, RA and Casey, MA. (2008). </w:t>
    </w:r>
    <w:r w:rsidRPr="002475E2">
      <w:rPr>
        <w:i/>
        <w:iCs/>
        <w:sz w:val="18"/>
        <w:szCs w:val="18"/>
      </w:rPr>
      <w:t>Focus Groups: A Practical Guide for Applied Research, 4</w:t>
    </w:r>
    <w:r w:rsidRPr="002475E2">
      <w:rPr>
        <w:i/>
        <w:iCs/>
        <w:sz w:val="18"/>
        <w:szCs w:val="18"/>
        <w:vertAlign w:val="superscript"/>
      </w:rPr>
      <w:t>th</w:t>
    </w:r>
    <w:r w:rsidRPr="002475E2">
      <w:rPr>
        <w:i/>
        <w:iCs/>
        <w:sz w:val="18"/>
        <w:szCs w:val="18"/>
      </w:rPr>
      <w:t xml:space="preserve"> ed</w:t>
    </w:r>
    <w:r w:rsidRPr="002475E2">
      <w:rPr>
        <w:sz w:val="18"/>
        <w:szCs w:val="18"/>
      </w:rPr>
      <w:t>.  Sage Publications, Inc., Thousand Oaks, CA.</w:t>
    </w:r>
  </w:p>
  <w:p w14:paraId="4D0979FB" w14:textId="77777777" w:rsidR="008108FC" w:rsidRDefault="008108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155A9" w14:textId="77777777" w:rsidR="008108FC" w:rsidRDefault="008108FC">
      <w:r>
        <w:separator/>
      </w:r>
    </w:p>
  </w:footnote>
  <w:footnote w:type="continuationSeparator" w:id="0">
    <w:p w14:paraId="0F4AD51B" w14:textId="77777777" w:rsidR="008108FC" w:rsidRDefault="008108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8E3D51"/>
    <w:multiLevelType w:val="hybridMultilevel"/>
    <w:tmpl w:val="867A8C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58F7"/>
    <w:rsid w:val="00047A64"/>
    <w:rsid w:val="000508DD"/>
    <w:rsid w:val="00055E80"/>
    <w:rsid w:val="00057111"/>
    <w:rsid w:val="000622C9"/>
    <w:rsid w:val="00067329"/>
    <w:rsid w:val="000B2838"/>
    <w:rsid w:val="000C0994"/>
    <w:rsid w:val="000D44CA"/>
    <w:rsid w:val="000E200B"/>
    <w:rsid w:val="000F68BE"/>
    <w:rsid w:val="00115023"/>
    <w:rsid w:val="00124E2D"/>
    <w:rsid w:val="00152747"/>
    <w:rsid w:val="00167CC1"/>
    <w:rsid w:val="001813C3"/>
    <w:rsid w:val="001927A4"/>
    <w:rsid w:val="00194AC6"/>
    <w:rsid w:val="001A23B0"/>
    <w:rsid w:val="001A25CC"/>
    <w:rsid w:val="001B0AAA"/>
    <w:rsid w:val="001C39F7"/>
    <w:rsid w:val="001D0776"/>
    <w:rsid w:val="00212893"/>
    <w:rsid w:val="00223EA5"/>
    <w:rsid w:val="00234A22"/>
    <w:rsid w:val="00237B48"/>
    <w:rsid w:val="00237C7A"/>
    <w:rsid w:val="0024521E"/>
    <w:rsid w:val="00245760"/>
    <w:rsid w:val="002475E2"/>
    <w:rsid w:val="00263C3D"/>
    <w:rsid w:val="00274D0B"/>
    <w:rsid w:val="002821FF"/>
    <w:rsid w:val="00286E44"/>
    <w:rsid w:val="002A4739"/>
    <w:rsid w:val="002B3C95"/>
    <w:rsid w:val="002D0B92"/>
    <w:rsid w:val="002F0F92"/>
    <w:rsid w:val="002F4F66"/>
    <w:rsid w:val="00326AC8"/>
    <w:rsid w:val="003574C0"/>
    <w:rsid w:val="00357AA4"/>
    <w:rsid w:val="003675DB"/>
    <w:rsid w:val="00374A1D"/>
    <w:rsid w:val="0037703D"/>
    <w:rsid w:val="003D5BBE"/>
    <w:rsid w:val="003E1973"/>
    <w:rsid w:val="003E3C61"/>
    <w:rsid w:val="003F1C5B"/>
    <w:rsid w:val="00404822"/>
    <w:rsid w:val="004061D3"/>
    <w:rsid w:val="0041337D"/>
    <w:rsid w:val="004216A9"/>
    <w:rsid w:val="00434E33"/>
    <w:rsid w:val="00441434"/>
    <w:rsid w:val="0045264C"/>
    <w:rsid w:val="00483014"/>
    <w:rsid w:val="004876EC"/>
    <w:rsid w:val="004B7588"/>
    <w:rsid w:val="004D1F8A"/>
    <w:rsid w:val="004D6E14"/>
    <w:rsid w:val="005009B0"/>
    <w:rsid w:val="00512CA7"/>
    <w:rsid w:val="00513920"/>
    <w:rsid w:val="00545488"/>
    <w:rsid w:val="005A1006"/>
    <w:rsid w:val="005A723A"/>
    <w:rsid w:val="005C4978"/>
    <w:rsid w:val="005E714A"/>
    <w:rsid w:val="00606837"/>
    <w:rsid w:val="006140A0"/>
    <w:rsid w:val="00636621"/>
    <w:rsid w:val="00642B49"/>
    <w:rsid w:val="00673321"/>
    <w:rsid w:val="006832D9"/>
    <w:rsid w:val="006926CC"/>
    <w:rsid w:val="0069403B"/>
    <w:rsid w:val="006942A8"/>
    <w:rsid w:val="006A2E38"/>
    <w:rsid w:val="006E12B5"/>
    <w:rsid w:val="006F3DDE"/>
    <w:rsid w:val="00704678"/>
    <w:rsid w:val="007425E7"/>
    <w:rsid w:val="007A5B6C"/>
    <w:rsid w:val="007A5FF6"/>
    <w:rsid w:val="00802607"/>
    <w:rsid w:val="008101A5"/>
    <w:rsid w:val="008108FC"/>
    <w:rsid w:val="008150D0"/>
    <w:rsid w:val="00822664"/>
    <w:rsid w:val="00840FCA"/>
    <w:rsid w:val="00843796"/>
    <w:rsid w:val="00845139"/>
    <w:rsid w:val="00870A48"/>
    <w:rsid w:val="00895229"/>
    <w:rsid w:val="008D6679"/>
    <w:rsid w:val="008E1A1E"/>
    <w:rsid w:val="008F0203"/>
    <w:rsid w:val="008F50D4"/>
    <w:rsid w:val="00907EC6"/>
    <w:rsid w:val="009239AA"/>
    <w:rsid w:val="00934CAE"/>
    <w:rsid w:val="00935ADA"/>
    <w:rsid w:val="00946B6C"/>
    <w:rsid w:val="00955A71"/>
    <w:rsid w:val="0096108F"/>
    <w:rsid w:val="00970ED9"/>
    <w:rsid w:val="00994849"/>
    <w:rsid w:val="009B5004"/>
    <w:rsid w:val="009C13B9"/>
    <w:rsid w:val="009D01A2"/>
    <w:rsid w:val="009D3116"/>
    <w:rsid w:val="009D6902"/>
    <w:rsid w:val="009F5923"/>
    <w:rsid w:val="00A367A6"/>
    <w:rsid w:val="00A403BB"/>
    <w:rsid w:val="00A674DF"/>
    <w:rsid w:val="00A713C5"/>
    <w:rsid w:val="00A83AA6"/>
    <w:rsid w:val="00AE1809"/>
    <w:rsid w:val="00AE543E"/>
    <w:rsid w:val="00AF0DBA"/>
    <w:rsid w:val="00B240F7"/>
    <w:rsid w:val="00B30B87"/>
    <w:rsid w:val="00B46F2C"/>
    <w:rsid w:val="00B56D89"/>
    <w:rsid w:val="00B76AE6"/>
    <w:rsid w:val="00B80D76"/>
    <w:rsid w:val="00BA2105"/>
    <w:rsid w:val="00BA7E06"/>
    <w:rsid w:val="00BB43B5"/>
    <w:rsid w:val="00BB6219"/>
    <w:rsid w:val="00BC1C61"/>
    <w:rsid w:val="00BD033B"/>
    <w:rsid w:val="00BD290F"/>
    <w:rsid w:val="00C14CC4"/>
    <w:rsid w:val="00C33C52"/>
    <w:rsid w:val="00C3715D"/>
    <w:rsid w:val="00C40D8B"/>
    <w:rsid w:val="00C57F22"/>
    <w:rsid w:val="00C65A47"/>
    <w:rsid w:val="00C8407A"/>
    <w:rsid w:val="00C8488C"/>
    <w:rsid w:val="00C86E91"/>
    <w:rsid w:val="00CA12EC"/>
    <w:rsid w:val="00CA2650"/>
    <w:rsid w:val="00CB1078"/>
    <w:rsid w:val="00CB2080"/>
    <w:rsid w:val="00CC6FAF"/>
    <w:rsid w:val="00CF2BB7"/>
    <w:rsid w:val="00D20500"/>
    <w:rsid w:val="00D24698"/>
    <w:rsid w:val="00D6383F"/>
    <w:rsid w:val="00D65909"/>
    <w:rsid w:val="00D71221"/>
    <w:rsid w:val="00D85349"/>
    <w:rsid w:val="00DA70B2"/>
    <w:rsid w:val="00DB59D0"/>
    <w:rsid w:val="00DC1675"/>
    <w:rsid w:val="00DC33D3"/>
    <w:rsid w:val="00DC48F3"/>
    <w:rsid w:val="00DC7BC6"/>
    <w:rsid w:val="00E0614A"/>
    <w:rsid w:val="00E2594A"/>
    <w:rsid w:val="00E26329"/>
    <w:rsid w:val="00E33D36"/>
    <w:rsid w:val="00E40B50"/>
    <w:rsid w:val="00E50293"/>
    <w:rsid w:val="00E53C00"/>
    <w:rsid w:val="00E65FFC"/>
    <w:rsid w:val="00E80951"/>
    <w:rsid w:val="00E854FE"/>
    <w:rsid w:val="00E86CC6"/>
    <w:rsid w:val="00E971FF"/>
    <w:rsid w:val="00EA370D"/>
    <w:rsid w:val="00EA5364"/>
    <w:rsid w:val="00EB56B3"/>
    <w:rsid w:val="00ED6492"/>
    <w:rsid w:val="00EE20D3"/>
    <w:rsid w:val="00EF2095"/>
    <w:rsid w:val="00F06866"/>
    <w:rsid w:val="00F07D1C"/>
    <w:rsid w:val="00F14DB9"/>
    <w:rsid w:val="00F1535B"/>
    <w:rsid w:val="00F15956"/>
    <w:rsid w:val="00F2203C"/>
    <w:rsid w:val="00F22789"/>
    <w:rsid w:val="00F24CFC"/>
    <w:rsid w:val="00F3170F"/>
    <w:rsid w:val="00F3790B"/>
    <w:rsid w:val="00F4017B"/>
    <w:rsid w:val="00F40C33"/>
    <w:rsid w:val="00F42BAF"/>
    <w:rsid w:val="00F976B0"/>
    <w:rsid w:val="00FA6DE7"/>
    <w:rsid w:val="00FC0A8E"/>
    <w:rsid w:val="00FC51F5"/>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1E8883A1"/>
  <w15:docId w15:val="{EB7D4D6E-375B-4C93-824A-AF6D27214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F22789"/>
    <w:rPr>
      <w:sz w:val="24"/>
      <w:szCs w:val="24"/>
    </w:rPr>
  </w:style>
  <w:style w:type="character" w:styleId="Hyperlink">
    <w:name w:val="Hyperlink"/>
    <w:basedOn w:val="DefaultParagraphFont"/>
    <w:uiPriority w:val="99"/>
    <w:semiHidden/>
    <w:unhideWhenUsed/>
    <w:rsid w:val="00CB2080"/>
    <w:rPr>
      <w:color w:val="0563C1"/>
      <w:u w:val="single"/>
    </w:rPr>
  </w:style>
  <w:style w:type="paragraph" w:styleId="FootnoteText">
    <w:name w:val="footnote text"/>
    <w:basedOn w:val="Normal"/>
    <w:link w:val="FootnoteTextChar"/>
    <w:uiPriority w:val="99"/>
    <w:semiHidden/>
    <w:unhideWhenUsed/>
    <w:rsid w:val="00CB2080"/>
    <w:rPr>
      <w:rFonts w:eastAsiaTheme="minorHAnsi"/>
      <w:sz w:val="20"/>
      <w:szCs w:val="20"/>
    </w:rPr>
  </w:style>
  <w:style w:type="character" w:customStyle="1" w:styleId="FootnoteTextChar">
    <w:name w:val="Footnote Text Char"/>
    <w:basedOn w:val="DefaultParagraphFont"/>
    <w:link w:val="FootnoteText"/>
    <w:uiPriority w:val="99"/>
    <w:semiHidden/>
    <w:rsid w:val="00CB2080"/>
    <w:rPr>
      <w:rFonts w:eastAsiaTheme="minorHAnsi"/>
      <w:sz w:val="20"/>
      <w:szCs w:val="20"/>
    </w:rPr>
  </w:style>
  <w:style w:type="character" w:styleId="FootnoteReference">
    <w:name w:val="footnote reference"/>
    <w:basedOn w:val="DefaultParagraphFont"/>
    <w:uiPriority w:val="99"/>
    <w:semiHidden/>
    <w:unhideWhenUsed/>
    <w:rsid w:val="00CB20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50097">
      <w:bodyDiv w:val="1"/>
      <w:marLeft w:val="0"/>
      <w:marRight w:val="0"/>
      <w:marTop w:val="0"/>
      <w:marBottom w:val="0"/>
      <w:divBdr>
        <w:top w:val="none" w:sz="0" w:space="0" w:color="auto"/>
        <w:left w:val="none" w:sz="0" w:space="0" w:color="auto"/>
        <w:bottom w:val="none" w:sz="0" w:space="0" w:color="auto"/>
        <w:right w:val="none" w:sz="0" w:space="0" w:color="auto"/>
      </w:divBdr>
    </w:div>
    <w:div w:id="1518696715">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ancer.gov/cancertopics/cancerlibrary/pinkbook/Pink_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VUADPPQRPPK6-389-62</_dlc_DocId>
    <_dlc_DocIdUrl xmlns="004a172f-e16f-4887-a47b-3990e8128e1e">
      <Url>https://esp.cdc.gov/sites/ncipc/ADS/OMB/_layouts/15/DocIdRedir.aspx?ID=VUADPPQRPPK6-389-62</Url>
      <Description>VUADPPQRPPK6-389-62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70D1DA58A38634AA21F13F7F51DB199" ma:contentTypeVersion="1" ma:contentTypeDescription="Create a new document." ma:contentTypeScope="" ma:versionID="9a1b231c4ac638f6870e617513f2f944">
  <xsd:schema xmlns:xsd="http://www.w3.org/2001/XMLSchema" xmlns:xs="http://www.w3.org/2001/XMLSchema" xmlns:p="http://schemas.microsoft.com/office/2006/metadata/properties" xmlns:ns2="004a172f-e16f-4887-a47b-3990e8128e1e" targetNamespace="http://schemas.microsoft.com/office/2006/metadata/properties" ma:root="true" ma:fieldsID="93cbc60b02ed25bff07d87253799b4cb"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57B9A-E426-45D4-87EB-3CA3EF6EC183}">
  <ds:schemaRefs>
    <ds:schemaRef ds:uri="http://schemas.microsoft.com/sharepoint/events"/>
  </ds:schemaRefs>
</ds:datastoreItem>
</file>

<file path=customXml/itemProps2.xml><?xml version="1.0" encoding="utf-8"?>
<ds:datastoreItem xmlns:ds="http://schemas.openxmlformats.org/officeDocument/2006/customXml" ds:itemID="{0848C270-9F01-4BEE-BC7D-89D1B258A0E7}">
  <ds:schemaRefs>
    <ds:schemaRef ds:uri="http://schemas.microsoft.com/sharepoint/v3/contenttype/forms"/>
  </ds:schemaRefs>
</ds:datastoreItem>
</file>

<file path=customXml/itemProps3.xml><?xml version="1.0" encoding="utf-8"?>
<ds:datastoreItem xmlns:ds="http://schemas.openxmlformats.org/officeDocument/2006/customXml" ds:itemID="{64B824E3-2D45-473F-A54A-06C998C55C35}">
  <ds:schemaRefs>
    <ds:schemaRef ds:uri="004a172f-e16f-4887-a47b-3990e8128e1e"/>
    <ds:schemaRef ds:uri="http://schemas.openxmlformats.org/package/2006/metadata/core-properties"/>
    <ds:schemaRef ds:uri="http://schemas.microsoft.com/office/infopath/2007/PartnerControls"/>
    <ds:schemaRef ds:uri="http://www.w3.org/XML/1998/namespace"/>
    <ds:schemaRef ds:uri="http://purl.org/dc/terms/"/>
    <ds:schemaRef ds:uri="http://purl.org/dc/elements/1.1/"/>
    <ds:schemaRef ds:uri="http://purl.org/dc/dcmitype/"/>
    <ds:schemaRef ds:uri="http://schemas.microsoft.com/office/2006/documentManagement/types"/>
    <ds:schemaRef ds:uri="http://schemas.microsoft.com/office/2006/metadata/properties"/>
  </ds:schemaRefs>
</ds:datastoreItem>
</file>

<file path=customXml/itemProps4.xml><?xml version="1.0" encoding="utf-8"?>
<ds:datastoreItem xmlns:ds="http://schemas.openxmlformats.org/officeDocument/2006/customXml" ds:itemID="{5EAEC444-9DEB-4893-93AD-76447A82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AD4626-4B93-4F6F-98A6-DB5EF245C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3</Pages>
  <Words>1014</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Sims, Thelma (CDC/OD/OADS)</cp:lastModifiedBy>
  <cp:revision>3</cp:revision>
  <cp:lastPrinted>2012-08-06T16:52:00Z</cp:lastPrinted>
  <dcterms:created xsi:type="dcterms:W3CDTF">2016-10-26T15:30:00Z</dcterms:created>
  <dcterms:modified xsi:type="dcterms:W3CDTF">2016-10-26T18:56:00Z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0x010100370D1DA58A38634AA21F13F7F51DB199</vt:lpwstr>
  </property>
  <property fmtid="{D5CDD505-2E9C-101B-9397-08002B2CF9AE}" pid="4" name="_dlc_DocIdItemGuid">
    <vt:lpwstr>bf8626d7-4b9c-41d5-96de-6539cbdc38f3</vt:lpwstr>
  </property>
</Properties>
</file>