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5" w:rsidRPr="00207648" w:rsidRDefault="00194FE5" w:rsidP="00207648">
      <w:pPr>
        <w:jc w:val="center"/>
        <w:rPr>
          <w:b/>
          <w:sz w:val="24"/>
          <w:szCs w:val="24"/>
        </w:rPr>
      </w:pPr>
      <w:r w:rsidRPr="00207648">
        <w:rPr>
          <w:b/>
          <w:sz w:val="24"/>
          <w:szCs w:val="24"/>
        </w:rPr>
        <w:t xml:space="preserve">Supporting Statement for </w:t>
      </w:r>
      <w:r w:rsidR="00C40D44" w:rsidRPr="00207648">
        <w:rPr>
          <w:b/>
          <w:sz w:val="24"/>
          <w:szCs w:val="24"/>
        </w:rPr>
        <w:t>F</w:t>
      </w:r>
      <w:r w:rsidR="00624706" w:rsidRPr="00207648">
        <w:rPr>
          <w:b/>
          <w:sz w:val="24"/>
          <w:szCs w:val="24"/>
        </w:rPr>
        <w:t>orm</w:t>
      </w:r>
      <w:r w:rsidR="00C40D44" w:rsidRPr="00207648">
        <w:rPr>
          <w:b/>
          <w:sz w:val="24"/>
          <w:szCs w:val="24"/>
        </w:rPr>
        <w:t>s</w:t>
      </w:r>
      <w:r w:rsidR="00624706" w:rsidRPr="00207648">
        <w:rPr>
          <w:b/>
          <w:sz w:val="24"/>
          <w:szCs w:val="24"/>
        </w:rPr>
        <w:t xml:space="preserve"> </w:t>
      </w:r>
      <w:r w:rsidRPr="00207648">
        <w:rPr>
          <w:b/>
          <w:sz w:val="24"/>
          <w:szCs w:val="24"/>
        </w:rPr>
        <w:t>SSA-3192</w:t>
      </w:r>
      <w:r w:rsidR="00C40D44" w:rsidRPr="00207648">
        <w:rPr>
          <w:b/>
          <w:sz w:val="24"/>
          <w:szCs w:val="24"/>
        </w:rPr>
        <w:t>, SSA-3193, and</w:t>
      </w:r>
      <w:r w:rsidR="003E14EA" w:rsidRPr="00207648">
        <w:rPr>
          <w:b/>
          <w:sz w:val="24"/>
          <w:szCs w:val="24"/>
        </w:rPr>
        <w:t xml:space="preserve"> SSA-3194</w:t>
      </w:r>
    </w:p>
    <w:p w:rsidR="00624706" w:rsidRPr="00207648" w:rsidRDefault="00194FE5" w:rsidP="00207648">
      <w:pPr>
        <w:jc w:val="center"/>
        <w:rPr>
          <w:b/>
          <w:sz w:val="24"/>
          <w:szCs w:val="24"/>
        </w:rPr>
      </w:pPr>
      <w:r w:rsidRPr="00207648">
        <w:rPr>
          <w:b/>
          <w:sz w:val="24"/>
          <w:szCs w:val="24"/>
        </w:rPr>
        <w:t xml:space="preserve">Medical </w:t>
      </w:r>
      <w:r w:rsidR="003E14EA" w:rsidRPr="00207648">
        <w:rPr>
          <w:b/>
          <w:sz w:val="24"/>
          <w:szCs w:val="24"/>
        </w:rPr>
        <w:t>P</w:t>
      </w:r>
      <w:r w:rsidR="00C40D44" w:rsidRPr="00207648">
        <w:rPr>
          <w:b/>
          <w:sz w:val="24"/>
          <w:szCs w:val="24"/>
        </w:rPr>
        <w:t>ermit</w:t>
      </w:r>
      <w:r w:rsidR="003E14EA" w:rsidRPr="00207648">
        <w:rPr>
          <w:b/>
          <w:sz w:val="24"/>
          <w:szCs w:val="24"/>
        </w:rPr>
        <w:t xml:space="preserve"> </w:t>
      </w:r>
      <w:r w:rsidRPr="00207648">
        <w:rPr>
          <w:b/>
          <w:sz w:val="24"/>
          <w:szCs w:val="24"/>
        </w:rPr>
        <w:t>Parking Application</w:t>
      </w:r>
      <w:r w:rsidR="003E14EA" w:rsidRPr="00207648">
        <w:rPr>
          <w:b/>
          <w:sz w:val="24"/>
          <w:szCs w:val="24"/>
        </w:rPr>
        <w:t xml:space="preserve"> F</w:t>
      </w:r>
      <w:r w:rsidR="00C40D44" w:rsidRPr="00207648">
        <w:rPr>
          <w:b/>
          <w:sz w:val="24"/>
          <w:szCs w:val="24"/>
        </w:rPr>
        <w:t>orms</w:t>
      </w:r>
    </w:p>
    <w:p w:rsidR="00624706" w:rsidRPr="00207648" w:rsidRDefault="00624706" w:rsidP="00207648">
      <w:pPr>
        <w:jc w:val="center"/>
        <w:rPr>
          <w:b/>
          <w:caps/>
          <w:sz w:val="24"/>
          <w:szCs w:val="24"/>
        </w:rPr>
      </w:pPr>
      <w:r w:rsidRPr="00207648">
        <w:rPr>
          <w:b/>
          <w:caps/>
          <w:sz w:val="24"/>
          <w:szCs w:val="24"/>
        </w:rPr>
        <w:t xml:space="preserve">41 cfr </w:t>
      </w:r>
      <w:r w:rsidR="00711249" w:rsidRPr="00207648">
        <w:rPr>
          <w:b/>
          <w:sz w:val="24"/>
          <w:szCs w:val="24"/>
        </w:rPr>
        <w:t>102-71.20 and</w:t>
      </w:r>
      <w:r w:rsidR="00D64A65" w:rsidRPr="00207648">
        <w:rPr>
          <w:b/>
          <w:sz w:val="24"/>
          <w:szCs w:val="24"/>
        </w:rPr>
        <w:t xml:space="preserve"> 102</w:t>
      </w:r>
      <w:r w:rsidR="00190022" w:rsidRPr="00207648">
        <w:rPr>
          <w:b/>
          <w:sz w:val="24"/>
          <w:szCs w:val="24"/>
        </w:rPr>
        <w:t>-</w:t>
      </w:r>
      <w:r w:rsidR="00D64A65" w:rsidRPr="00207648">
        <w:rPr>
          <w:b/>
          <w:sz w:val="24"/>
          <w:szCs w:val="24"/>
        </w:rPr>
        <w:t>74.305</w:t>
      </w:r>
    </w:p>
    <w:p w:rsidR="00624706" w:rsidRPr="00207648" w:rsidRDefault="00624706" w:rsidP="00207648">
      <w:pPr>
        <w:jc w:val="center"/>
        <w:rPr>
          <w:b/>
          <w:caps/>
          <w:sz w:val="24"/>
          <w:szCs w:val="24"/>
        </w:rPr>
      </w:pPr>
      <w:r w:rsidRPr="00207648">
        <w:rPr>
          <w:b/>
          <w:caps/>
          <w:sz w:val="24"/>
          <w:szCs w:val="24"/>
        </w:rPr>
        <w:t>omb N</w:t>
      </w:r>
      <w:r w:rsidRPr="00207648">
        <w:rPr>
          <w:b/>
          <w:sz w:val="24"/>
          <w:szCs w:val="24"/>
        </w:rPr>
        <w:t>o</w:t>
      </w:r>
      <w:r w:rsidR="00593F32" w:rsidRPr="00207648">
        <w:rPr>
          <w:b/>
          <w:caps/>
          <w:sz w:val="24"/>
          <w:szCs w:val="24"/>
        </w:rPr>
        <w:t>. 0960-0624</w:t>
      </w:r>
    </w:p>
    <w:p w:rsidR="00194FE5" w:rsidRPr="00207648" w:rsidRDefault="00194FE5" w:rsidP="00207648">
      <w:pPr>
        <w:rPr>
          <w:sz w:val="24"/>
          <w:szCs w:val="24"/>
        </w:rPr>
      </w:pPr>
    </w:p>
    <w:p w:rsidR="00194FE5" w:rsidRPr="00207648" w:rsidRDefault="00194FE5" w:rsidP="00207648">
      <w:pPr>
        <w:numPr>
          <w:ilvl w:val="0"/>
          <w:numId w:val="1"/>
        </w:numPr>
        <w:rPr>
          <w:b/>
          <w:sz w:val="24"/>
          <w:szCs w:val="24"/>
        </w:rPr>
      </w:pPr>
      <w:r w:rsidRPr="00207648">
        <w:rPr>
          <w:b/>
          <w:sz w:val="24"/>
          <w:szCs w:val="24"/>
          <w:u w:val="single"/>
        </w:rPr>
        <w:t>Justification</w:t>
      </w:r>
    </w:p>
    <w:p w:rsidR="00194FE5" w:rsidRPr="00207648" w:rsidRDefault="00194FE5" w:rsidP="00207648">
      <w:pPr>
        <w:rPr>
          <w:sz w:val="24"/>
          <w:szCs w:val="24"/>
        </w:rPr>
      </w:pPr>
    </w:p>
    <w:p w:rsidR="003C2909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  <w:iCs/>
        </w:rPr>
        <w:t>Introduction/Authoring Laws and Regulations</w:t>
      </w:r>
    </w:p>
    <w:p w:rsidR="00DB4CED" w:rsidRPr="00207648" w:rsidRDefault="0042329B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iCs/>
        </w:rPr>
        <w:t xml:space="preserve">As per section </w:t>
      </w:r>
      <w:r w:rsidRPr="00207648">
        <w:rPr>
          <w:rFonts w:ascii="Times New Roman" w:hAnsi="Times New Roman" w:cs="Times New Roman"/>
          <w:i/>
        </w:rPr>
        <w:t xml:space="preserve">41 CFR </w:t>
      </w:r>
      <w:r w:rsidR="00D64A65" w:rsidRPr="00207648">
        <w:rPr>
          <w:rFonts w:ascii="Times New Roman" w:hAnsi="Times New Roman" w:cs="Times New Roman"/>
          <w:i/>
        </w:rPr>
        <w:t xml:space="preserve">102-71.20 </w:t>
      </w:r>
      <w:r w:rsidR="00D64A65" w:rsidRPr="00207648">
        <w:rPr>
          <w:rFonts w:ascii="Times New Roman" w:hAnsi="Times New Roman" w:cs="Times New Roman"/>
        </w:rPr>
        <w:t>and</w:t>
      </w:r>
      <w:r w:rsidR="00D64A65" w:rsidRPr="00207648">
        <w:rPr>
          <w:rFonts w:ascii="Times New Roman" w:hAnsi="Times New Roman" w:cs="Times New Roman"/>
          <w:i/>
        </w:rPr>
        <w:t xml:space="preserve"> 102</w:t>
      </w:r>
      <w:r w:rsidR="00690593" w:rsidRPr="00207648">
        <w:rPr>
          <w:rFonts w:ascii="Times New Roman" w:hAnsi="Times New Roman" w:cs="Times New Roman"/>
          <w:i/>
        </w:rPr>
        <w:t>-</w:t>
      </w:r>
      <w:r w:rsidR="00D64A65" w:rsidRPr="00207648">
        <w:rPr>
          <w:rFonts w:ascii="Times New Roman" w:hAnsi="Times New Roman" w:cs="Times New Roman"/>
          <w:i/>
        </w:rPr>
        <w:t>74.305</w:t>
      </w:r>
      <w:r w:rsidR="00690593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 xml:space="preserve">of the </w:t>
      </w:r>
      <w:r w:rsidRPr="00207648">
        <w:rPr>
          <w:rFonts w:ascii="Times New Roman" w:hAnsi="Times New Roman" w:cs="Times New Roman"/>
          <w:i/>
        </w:rPr>
        <w:t xml:space="preserve">Code of Federal Regulations, </w:t>
      </w:r>
      <w:r w:rsidRPr="00207648">
        <w:rPr>
          <w:rFonts w:ascii="Times New Roman" w:hAnsi="Times New Roman" w:cs="Times New Roman"/>
          <w:iCs/>
        </w:rPr>
        <w:t>Social Security Administration (SSA)</w:t>
      </w:r>
      <w:r w:rsidR="003E14EA" w:rsidRPr="00207648">
        <w:rPr>
          <w:rFonts w:ascii="Times New Roman" w:hAnsi="Times New Roman" w:cs="Times New Roman"/>
          <w:iCs/>
        </w:rPr>
        <w:t xml:space="preserve"> employees and contractors </w:t>
      </w:r>
      <w:r w:rsidRPr="00207648">
        <w:rPr>
          <w:rFonts w:ascii="Times New Roman" w:hAnsi="Times New Roman" w:cs="Times New Roman"/>
          <w:iCs/>
        </w:rPr>
        <w:t xml:space="preserve">with </w:t>
      </w:r>
      <w:r w:rsidR="003E14EA" w:rsidRPr="00207648">
        <w:rPr>
          <w:rFonts w:ascii="Times New Roman" w:hAnsi="Times New Roman" w:cs="Times New Roman"/>
          <w:iCs/>
        </w:rPr>
        <w:t>qualifying medical condition</w:t>
      </w:r>
      <w:r w:rsidRPr="00207648">
        <w:rPr>
          <w:rFonts w:ascii="Times New Roman" w:hAnsi="Times New Roman" w:cs="Times New Roman"/>
          <w:iCs/>
        </w:rPr>
        <w:t>s</w:t>
      </w:r>
      <w:r w:rsidR="003E14EA" w:rsidRPr="00207648">
        <w:rPr>
          <w:rFonts w:ascii="Times New Roman" w:hAnsi="Times New Roman" w:cs="Times New Roman"/>
          <w:iCs/>
        </w:rPr>
        <w:t xml:space="preserve"> who park at SSA-owned and -leased facilities </w:t>
      </w:r>
      <w:r w:rsidR="007E1DCE" w:rsidRPr="00207648">
        <w:rPr>
          <w:rFonts w:ascii="Times New Roman" w:hAnsi="Times New Roman" w:cs="Times New Roman"/>
          <w:iCs/>
        </w:rPr>
        <w:t>may</w:t>
      </w:r>
      <w:r w:rsidR="003E14EA" w:rsidRPr="00207648">
        <w:rPr>
          <w:rFonts w:ascii="Times New Roman" w:hAnsi="Times New Roman" w:cs="Times New Roman"/>
          <w:iCs/>
        </w:rPr>
        <w:t xml:space="preserve"> apply for a</w:t>
      </w:r>
      <w:r w:rsidR="007A7473" w:rsidRPr="00207648">
        <w:rPr>
          <w:rFonts w:ascii="Times New Roman" w:hAnsi="Times New Roman" w:cs="Times New Roman"/>
          <w:iCs/>
        </w:rPr>
        <w:t>n SSA</w:t>
      </w:r>
      <w:r w:rsidR="007E1DCE" w:rsidRPr="00207648">
        <w:rPr>
          <w:rFonts w:ascii="Times New Roman" w:hAnsi="Times New Roman" w:cs="Times New Roman"/>
          <w:iCs/>
        </w:rPr>
        <w:t xml:space="preserve"> medical parking permit.</w:t>
      </w:r>
    </w:p>
    <w:p w:rsidR="003C2909" w:rsidRPr="00207648" w:rsidRDefault="003C2909" w:rsidP="00207648">
      <w:pPr>
        <w:pStyle w:val="BodyTextIndent"/>
        <w:ind w:left="0"/>
        <w:rPr>
          <w:rFonts w:ascii="Times New Roman" w:hAnsi="Times New Roman" w:cs="Times New Roman"/>
          <w:iCs/>
        </w:rPr>
      </w:pPr>
    </w:p>
    <w:p w:rsidR="001D35F6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Description of Collection</w:t>
      </w:r>
    </w:p>
    <w:p w:rsidR="00DB4CED" w:rsidRPr="00207648" w:rsidRDefault="001D35F6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lang w:eastAsia="en-US"/>
        </w:rPr>
        <w:t>SSA uses three forms for t</w:t>
      </w:r>
      <w:r w:rsidR="007E1DCE" w:rsidRPr="00207648">
        <w:rPr>
          <w:rFonts w:ascii="Times New Roman" w:hAnsi="Times New Roman" w:cs="Times New Roman"/>
          <w:lang w:eastAsia="en-US"/>
        </w:rPr>
        <w:t xml:space="preserve">he medical permit parking </w:t>
      </w:r>
      <w:r w:rsidRPr="00207648">
        <w:rPr>
          <w:rFonts w:ascii="Times New Roman" w:hAnsi="Times New Roman" w:cs="Times New Roman"/>
          <w:lang w:eastAsia="en-US"/>
        </w:rPr>
        <w:t>program:  (1) SSA-3192, the Application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and Statement, which an individual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completes when first applying for the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medical parking space; (2) SSA-3193,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the Physician’s Report, which the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applicant’s physician completes to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verify the medical condition; and (3)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SSA-3194, Renewal Certification,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which medical parking permit holders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complete to verify their continued need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for the permit.  The respondents are SSA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employees and contractors seeking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medical parking permits and their</w:t>
      </w:r>
      <w:r w:rsidRPr="002076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207648">
        <w:rPr>
          <w:rFonts w:ascii="Times New Roman" w:hAnsi="Times New Roman" w:cs="Times New Roman"/>
          <w:lang w:eastAsia="en-US"/>
        </w:rPr>
        <w:t>physicians</w:t>
      </w:r>
      <w:r w:rsidRPr="00207648">
        <w:rPr>
          <w:rFonts w:ascii="Times New Roman" w:hAnsi="Times New Roman" w:cs="Times New Roman"/>
          <w:color w:val="000000"/>
          <w:lang w:eastAsia="en-US"/>
        </w:rPr>
        <w:t>.  Note:</w:t>
      </w:r>
      <w:r w:rsidRPr="00207648">
        <w:rPr>
          <w:rFonts w:ascii="Times New Roman" w:hAnsi="Times New Roman" w:cs="Times New Roman"/>
          <w:bCs/>
        </w:rPr>
        <w:t xml:space="preserve">  </w:t>
      </w:r>
      <w:r w:rsidRPr="00207648">
        <w:rPr>
          <w:rFonts w:ascii="Times New Roman" w:hAnsi="Times New Roman" w:cs="Times New Roman"/>
          <w:color w:val="000000"/>
          <w:lang w:eastAsia="en-US"/>
        </w:rPr>
        <w:t>Because SSA employees are Federal workers exempt from the requirements</w:t>
      </w:r>
      <w:r w:rsidRPr="00207648">
        <w:rPr>
          <w:rFonts w:ascii="Times New Roman" w:hAnsi="Times New Roman" w:cs="Times New Roman"/>
          <w:bCs/>
        </w:rPr>
        <w:t xml:space="preserve"> </w:t>
      </w:r>
      <w:r w:rsidRPr="00207648">
        <w:rPr>
          <w:rFonts w:ascii="Times New Roman" w:hAnsi="Times New Roman" w:cs="Times New Roman"/>
          <w:color w:val="000000"/>
          <w:lang w:eastAsia="en-US"/>
        </w:rPr>
        <w:t>of the Paperwork Reduction Act, the</w:t>
      </w:r>
      <w:r w:rsidRPr="00207648">
        <w:rPr>
          <w:rFonts w:ascii="Times New Roman" w:hAnsi="Times New Roman" w:cs="Times New Roman"/>
          <w:bCs/>
        </w:rPr>
        <w:t xml:space="preserve"> </w:t>
      </w:r>
      <w:r w:rsidRPr="00207648">
        <w:rPr>
          <w:rFonts w:ascii="Times New Roman" w:hAnsi="Times New Roman" w:cs="Times New Roman"/>
          <w:color w:val="000000"/>
          <w:lang w:eastAsia="en-US"/>
        </w:rPr>
        <w:t>burden below is only for SSA</w:t>
      </w:r>
      <w:r w:rsidRPr="00207648">
        <w:rPr>
          <w:rFonts w:ascii="Times New Roman" w:hAnsi="Times New Roman" w:cs="Times New Roman"/>
          <w:bCs/>
        </w:rPr>
        <w:t xml:space="preserve"> </w:t>
      </w:r>
      <w:r w:rsidRPr="00207648">
        <w:rPr>
          <w:rFonts w:ascii="Times New Roman" w:hAnsi="Times New Roman" w:cs="Times New Roman"/>
          <w:color w:val="000000"/>
          <w:lang w:eastAsia="en-US"/>
        </w:rPr>
        <w:t>contractors and physicians (of both SSA</w:t>
      </w:r>
      <w:r w:rsidRPr="00207648">
        <w:rPr>
          <w:rFonts w:ascii="Times New Roman" w:hAnsi="Times New Roman" w:cs="Times New Roman"/>
          <w:bCs/>
        </w:rPr>
        <w:t xml:space="preserve"> </w:t>
      </w:r>
      <w:r w:rsidRPr="00207648">
        <w:rPr>
          <w:rFonts w:ascii="Times New Roman" w:hAnsi="Times New Roman" w:cs="Times New Roman"/>
          <w:color w:val="000000"/>
          <w:lang w:eastAsia="en-US"/>
        </w:rPr>
        <w:t>employees and contractors).</w:t>
      </w:r>
    </w:p>
    <w:p w:rsidR="001D35F6" w:rsidRPr="00207648" w:rsidRDefault="001D35F6" w:rsidP="00207648">
      <w:pPr>
        <w:pStyle w:val="BodyTextIndent"/>
        <w:ind w:left="1080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Use of Information Technology to Collect the Information</w:t>
      </w:r>
    </w:p>
    <w:p w:rsidR="003C2909" w:rsidRPr="00207648" w:rsidRDefault="007A7473" w:rsidP="00207648">
      <w:pPr>
        <w:pStyle w:val="BodyTextIndent"/>
        <w:rPr>
          <w:rFonts w:ascii="Times New Roman" w:hAnsi="Times New Roman" w:cs="Times New Roman"/>
        </w:rPr>
      </w:pPr>
      <w:r w:rsidRPr="00207648">
        <w:rPr>
          <w:rFonts w:ascii="Times New Roman" w:hAnsi="Times New Roman" w:cs="Times New Roman"/>
        </w:rPr>
        <w:t xml:space="preserve">We did </w:t>
      </w:r>
      <w:r w:rsidR="001C22F4" w:rsidRPr="00207648">
        <w:rPr>
          <w:rFonts w:ascii="Times New Roman" w:hAnsi="Times New Roman" w:cs="Times New Roman"/>
        </w:rPr>
        <w:t xml:space="preserve">not </w:t>
      </w:r>
      <w:r w:rsidRPr="00207648">
        <w:rPr>
          <w:rFonts w:ascii="Times New Roman" w:hAnsi="Times New Roman" w:cs="Times New Roman"/>
        </w:rPr>
        <w:t xml:space="preserve">create electronic versions of forms </w:t>
      </w:r>
      <w:r w:rsidR="007B5EBB" w:rsidRPr="00207648">
        <w:rPr>
          <w:rFonts w:ascii="Times New Roman" w:hAnsi="Times New Roman" w:cs="Times New Roman"/>
        </w:rPr>
        <w:t>SSA-3192</w:t>
      </w:r>
      <w:r w:rsidR="002A2FF0" w:rsidRPr="00207648">
        <w:rPr>
          <w:rFonts w:ascii="Times New Roman" w:hAnsi="Times New Roman" w:cs="Times New Roman"/>
        </w:rPr>
        <w:t>, SSA-3193, SSA-3194</w:t>
      </w:r>
      <w:r w:rsidRPr="00207648">
        <w:rPr>
          <w:rFonts w:ascii="Times New Roman" w:hAnsi="Times New Roman" w:cs="Times New Roman"/>
        </w:rPr>
        <w:t xml:space="preserve"> under the Agency’s Government Paperwork Elimination Act due to their low volume of use.  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Why We Cannot Use Duplicate Information</w:t>
      </w:r>
    </w:p>
    <w:p w:rsidR="003C2909" w:rsidRPr="00207648" w:rsidRDefault="00265862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The nature of the information </w:t>
      </w:r>
      <w:r w:rsidR="007A7473" w:rsidRPr="00207648">
        <w:rPr>
          <w:rFonts w:ascii="Times New Roman" w:hAnsi="Times New Roman" w:cs="Times New Roman"/>
        </w:rPr>
        <w:t xml:space="preserve">we are collecting and the manner in which we are collecting it preclude duplication.  </w:t>
      </w:r>
      <w:r w:rsidR="00D41A30" w:rsidRPr="00207648">
        <w:rPr>
          <w:rFonts w:ascii="Times New Roman" w:hAnsi="Times New Roman" w:cs="Times New Roman"/>
        </w:rPr>
        <w:t>SSA does not use any</w:t>
      </w:r>
      <w:r w:rsidR="00D86F89" w:rsidRPr="00207648">
        <w:rPr>
          <w:rFonts w:ascii="Times New Roman" w:hAnsi="Times New Roman" w:cs="Times New Roman"/>
        </w:rPr>
        <w:t xml:space="preserve"> other collection instruments that collect similar data.  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Minimizing Burden on Small Respondents</w:t>
      </w:r>
    </w:p>
    <w:p w:rsidR="003C2909" w:rsidRPr="00207648" w:rsidRDefault="00265862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This collection does not </w:t>
      </w:r>
      <w:r w:rsidR="00D86F89" w:rsidRPr="00207648">
        <w:rPr>
          <w:rFonts w:ascii="Times New Roman" w:hAnsi="Times New Roman" w:cs="Times New Roman"/>
        </w:rPr>
        <w:t>affect</w:t>
      </w:r>
      <w:r w:rsidRPr="00207648">
        <w:rPr>
          <w:rFonts w:ascii="Times New Roman" w:hAnsi="Times New Roman" w:cs="Times New Roman"/>
        </w:rPr>
        <w:t xml:space="preserve"> small businesses or other small entities.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Consequence of Not Collecting Information or Collecting it Less Frequentl</w:t>
      </w:r>
      <w:r w:rsidR="00DB4CED" w:rsidRPr="00207648">
        <w:rPr>
          <w:rFonts w:ascii="Times New Roman" w:hAnsi="Times New Roman" w:cs="Times New Roman"/>
          <w:b/>
        </w:rPr>
        <w:t>y</w:t>
      </w:r>
    </w:p>
    <w:p w:rsidR="003C2909" w:rsidRPr="00207648" w:rsidRDefault="00265862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If </w:t>
      </w:r>
      <w:r w:rsidR="007E1DCE" w:rsidRPr="00207648">
        <w:rPr>
          <w:rFonts w:ascii="Times New Roman" w:hAnsi="Times New Roman" w:cs="Times New Roman"/>
        </w:rPr>
        <w:t>SSA</w:t>
      </w:r>
      <w:r w:rsidR="00D86F89" w:rsidRPr="00207648">
        <w:rPr>
          <w:rFonts w:ascii="Times New Roman" w:hAnsi="Times New Roman" w:cs="Times New Roman"/>
        </w:rPr>
        <w:t xml:space="preserve"> did not </w:t>
      </w:r>
      <w:r w:rsidR="007E1DCE" w:rsidRPr="00207648">
        <w:rPr>
          <w:rFonts w:ascii="Times New Roman" w:hAnsi="Times New Roman" w:cs="Times New Roman"/>
        </w:rPr>
        <w:t>collect this information</w:t>
      </w:r>
      <w:r w:rsidR="00D86F89" w:rsidRPr="00207648">
        <w:rPr>
          <w:rFonts w:ascii="Times New Roman" w:hAnsi="Times New Roman" w:cs="Times New Roman"/>
        </w:rPr>
        <w:t>, we would be unable to assign medical parking permi</w:t>
      </w:r>
      <w:r w:rsidR="007E1DCE" w:rsidRPr="00207648">
        <w:rPr>
          <w:rFonts w:ascii="Times New Roman" w:hAnsi="Times New Roman" w:cs="Times New Roman"/>
        </w:rPr>
        <w:t xml:space="preserve">ts for qualifying SSA employees or </w:t>
      </w:r>
      <w:r w:rsidR="00D86F89" w:rsidRPr="00207648">
        <w:rPr>
          <w:rFonts w:ascii="Times New Roman" w:hAnsi="Times New Roman" w:cs="Times New Roman"/>
        </w:rPr>
        <w:t xml:space="preserve">contractors, which would violate the </w:t>
      </w:r>
      <w:r w:rsidR="00014AD1" w:rsidRPr="00207648">
        <w:rPr>
          <w:rFonts w:ascii="Times New Roman" w:hAnsi="Times New Roman" w:cs="Times New Roman"/>
        </w:rPr>
        <w:t>regulations</w:t>
      </w:r>
      <w:r w:rsidR="00D86F89" w:rsidRPr="00207648">
        <w:rPr>
          <w:rFonts w:ascii="Times New Roman" w:hAnsi="Times New Roman" w:cs="Times New Roman"/>
        </w:rPr>
        <w:t xml:space="preserve"> cited in #1</w:t>
      </w:r>
      <w:r w:rsidR="0012438B" w:rsidRPr="00207648">
        <w:rPr>
          <w:rFonts w:ascii="Times New Roman" w:hAnsi="Times New Roman" w:cs="Times New Roman"/>
        </w:rPr>
        <w:t xml:space="preserve"> above</w:t>
      </w:r>
      <w:r w:rsidR="00D86F89" w:rsidRPr="00207648">
        <w:rPr>
          <w:rFonts w:ascii="Times New Roman" w:hAnsi="Times New Roman" w:cs="Times New Roman"/>
        </w:rPr>
        <w:t xml:space="preserve">.  Since we only collect this information </w:t>
      </w:r>
      <w:r w:rsidR="0012438B" w:rsidRPr="00207648">
        <w:rPr>
          <w:rFonts w:ascii="Times New Roman" w:hAnsi="Times New Roman" w:cs="Times New Roman"/>
        </w:rPr>
        <w:t xml:space="preserve">when an employee or </w:t>
      </w:r>
      <w:r w:rsidR="001C22F4" w:rsidRPr="00207648">
        <w:rPr>
          <w:rFonts w:ascii="Times New Roman" w:hAnsi="Times New Roman" w:cs="Times New Roman"/>
        </w:rPr>
        <w:t>contractor initially applies for a permit</w:t>
      </w:r>
      <w:r w:rsidR="007E1DCE" w:rsidRPr="00207648">
        <w:rPr>
          <w:rFonts w:ascii="Times New Roman" w:hAnsi="Times New Roman" w:cs="Times New Roman"/>
        </w:rPr>
        <w:t>,</w:t>
      </w:r>
      <w:r w:rsidR="001C22F4" w:rsidRPr="00207648">
        <w:rPr>
          <w:rFonts w:ascii="Times New Roman" w:hAnsi="Times New Roman" w:cs="Times New Roman"/>
        </w:rPr>
        <w:t xml:space="preserve"> or submits the required annual confirmation of need</w:t>
      </w:r>
      <w:r w:rsidR="00D86F89" w:rsidRPr="00207648">
        <w:rPr>
          <w:rFonts w:ascii="Times New Roman" w:hAnsi="Times New Roman" w:cs="Times New Roman"/>
        </w:rPr>
        <w:t>, we cannot collect it less frequently.</w:t>
      </w:r>
      <w:r w:rsidR="003C2909" w:rsidRPr="00207648">
        <w:rPr>
          <w:rFonts w:ascii="Times New Roman" w:hAnsi="Times New Roman" w:cs="Times New Roman"/>
        </w:rPr>
        <w:t xml:space="preserve">  </w:t>
      </w:r>
      <w:r w:rsidRPr="00207648">
        <w:rPr>
          <w:rFonts w:ascii="Times New Roman" w:hAnsi="Times New Roman" w:cs="Times New Roman"/>
        </w:rPr>
        <w:t xml:space="preserve">There are no technical or legal obstacles </w:t>
      </w:r>
      <w:r w:rsidR="00045FB3" w:rsidRPr="00207648">
        <w:rPr>
          <w:rFonts w:ascii="Times New Roman" w:hAnsi="Times New Roman" w:cs="Times New Roman"/>
        </w:rPr>
        <w:t>to</w:t>
      </w:r>
      <w:r w:rsidRPr="00207648">
        <w:rPr>
          <w:rFonts w:ascii="Times New Roman" w:hAnsi="Times New Roman" w:cs="Times New Roman"/>
        </w:rPr>
        <w:t xml:space="preserve"> burden reduction.</w:t>
      </w:r>
    </w:p>
    <w:p w:rsidR="00DB4CED" w:rsidRPr="00207648" w:rsidRDefault="00DB4CED" w:rsidP="00207648">
      <w:pPr>
        <w:pStyle w:val="BodyTextIndent"/>
        <w:ind w:left="0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Special Circumstances</w:t>
      </w:r>
    </w:p>
    <w:p w:rsidR="003C2909" w:rsidRPr="00207648" w:rsidRDefault="00194FE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There are no special circumstances that would cause </w:t>
      </w:r>
      <w:r w:rsidR="00D86F89" w:rsidRPr="00207648">
        <w:rPr>
          <w:rFonts w:ascii="Times New Roman" w:hAnsi="Times New Roman" w:cs="Times New Roman"/>
        </w:rPr>
        <w:t xml:space="preserve">us to collect this information in a manner </w:t>
      </w:r>
      <w:bookmarkStart w:id="0" w:name="_GoBack"/>
      <w:bookmarkEnd w:id="0"/>
      <w:r w:rsidR="00D86F89" w:rsidRPr="00207648">
        <w:rPr>
          <w:rFonts w:ascii="Times New Roman" w:hAnsi="Times New Roman" w:cs="Times New Roman"/>
        </w:rPr>
        <w:t xml:space="preserve">inconsistent with </w:t>
      </w:r>
      <w:r w:rsidRPr="00207648">
        <w:rPr>
          <w:rFonts w:ascii="Times New Roman" w:hAnsi="Times New Roman" w:cs="Times New Roman"/>
          <w:i/>
        </w:rPr>
        <w:t>5 CFR 1320.5</w:t>
      </w:r>
      <w:r w:rsidRPr="00207648">
        <w:rPr>
          <w:rFonts w:ascii="Times New Roman" w:hAnsi="Times New Roman" w:cs="Times New Roman"/>
        </w:rPr>
        <w:t>.</w:t>
      </w:r>
    </w:p>
    <w:p w:rsidR="0040703A" w:rsidRPr="00207648" w:rsidRDefault="0040703A" w:rsidP="00207648">
      <w:pPr>
        <w:pStyle w:val="BodyTextIndent"/>
        <w:ind w:left="0"/>
        <w:rPr>
          <w:rFonts w:ascii="Times New Roman" w:hAnsi="Times New Roman" w:cs="Times New Roman"/>
          <w:iCs/>
        </w:rPr>
      </w:pPr>
    </w:p>
    <w:p w:rsidR="00084771" w:rsidRPr="00207648" w:rsidRDefault="00084771" w:rsidP="00207648">
      <w:pPr>
        <w:pStyle w:val="BodyTextIndent"/>
        <w:ind w:left="0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lastRenderedPageBreak/>
        <w:t>Solicitation of Public Comment and Other consultations with the Public</w:t>
      </w:r>
    </w:p>
    <w:p w:rsidR="003C2909" w:rsidRPr="00207648" w:rsidRDefault="00D86F89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SSA published the 60-day </w:t>
      </w:r>
      <w:r w:rsidR="00FE5D73" w:rsidRPr="00207648">
        <w:rPr>
          <w:rFonts w:ascii="Times New Roman" w:hAnsi="Times New Roman" w:cs="Times New Roman"/>
        </w:rPr>
        <w:t>advance Federal R</w:t>
      </w:r>
      <w:r w:rsidR="00D41A30" w:rsidRPr="00207648">
        <w:rPr>
          <w:rFonts w:ascii="Times New Roman" w:hAnsi="Times New Roman" w:cs="Times New Roman"/>
        </w:rPr>
        <w:t xml:space="preserve">egister Notice on </w:t>
      </w:r>
      <w:r w:rsidR="00E912DC" w:rsidRPr="00207648">
        <w:rPr>
          <w:rFonts w:ascii="Times New Roman" w:hAnsi="Times New Roman" w:cs="Times New Roman"/>
        </w:rPr>
        <w:t>May 23, 2014, at 79 FR 29834</w:t>
      </w:r>
      <w:r w:rsidR="00FE5D73" w:rsidRPr="00207648">
        <w:rPr>
          <w:rFonts w:ascii="Times New Roman" w:hAnsi="Times New Roman" w:cs="Times New Roman"/>
        </w:rPr>
        <w:t>, and we received no public comments.  We published the 30-day Fe</w:t>
      </w:r>
      <w:r w:rsidR="00D41A30" w:rsidRPr="00207648">
        <w:rPr>
          <w:rFonts w:ascii="Times New Roman" w:hAnsi="Times New Roman" w:cs="Times New Roman"/>
        </w:rPr>
        <w:t xml:space="preserve">deral Register Notice on </w:t>
      </w:r>
      <w:r w:rsidR="00E30DB1" w:rsidRPr="00207648">
        <w:rPr>
          <w:rFonts w:ascii="Times New Roman" w:hAnsi="Times New Roman" w:cs="Times New Roman"/>
        </w:rPr>
        <w:t>August 28, 2014</w:t>
      </w:r>
      <w:r w:rsidR="00D41A30" w:rsidRPr="00207648">
        <w:rPr>
          <w:rFonts w:ascii="Times New Roman" w:hAnsi="Times New Roman" w:cs="Times New Roman"/>
        </w:rPr>
        <w:t xml:space="preserve">, at </w:t>
      </w:r>
      <w:r w:rsidR="00E912DC" w:rsidRPr="00207648">
        <w:rPr>
          <w:rFonts w:ascii="Times New Roman" w:hAnsi="Times New Roman" w:cs="Times New Roman"/>
        </w:rPr>
        <w:t>79</w:t>
      </w:r>
      <w:r w:rsidR="00D41A30" w:rsidRPr="00207648">
        <w:rPr>
          <w:rFonts w:ascii="Times New Roman" w:hAnsi="Times New Roman" w:cs="Times New Roman"/>
        </w:rPr>
        <w:t xml:space="preserve"> FR </w:t>
      </w:r>
      <w:r w:rsidR="00E30DB1" w:rsidRPr="00207648">
        <w:rPr>
          <w:rFonts w:ascii="Times New Roman" w:hAnsi="Times New Roman" w:cs="Times New Roman"/>
        </w:rPr>
        <w:t>51387</w:t>
      </w:r>
      <w:r w:rsidR="00FE5D73" w:rsidRPr="00207648">
        <w:rPr>
          <w:rFonts w:ascii="Times New Roman" w:hAnsi="Times New Roman" w:cs="Times New Roman"/>
        </w:rPr>
        <w:t>.  If we receive any public comments in response to the 30-day Noti</w:t>
      </w:r>
      <w:r w:rsidR="003C2909" w:rsidRPr="00207648">
        <w:rPr>
          <w:rFonts w:ascii="Times New Roman" w:hAnsi="Times New Roman" w:cs="Times New Roman"/>
        </w:rPr>
        <w:t xml:space="preserve">ce, we will forward them to OMB.  </w:t>
      </w:r>
      <w:r w:rsidR="00605ACA" w:rsidRPr="00207648">
        <w:rPr>
          <w:rFonts w:ascii="Times New Roman" w:hAnsi="Times New Roman" w:cs="Times New Roman"/>
        </w:rPr>
        <w:t>There have been no outside consultations with members of the public.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Payment or Gifts to Respondents</w:t>
      </w:r>
    </w:p>
    <w:p w:rsidR="003C2909" w:rsidRPr="00207648" w:rsidRDefault="00194FE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SSA provides no payment or gifts to the respondents.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Assurances of Confidentiality</w:t>
      </w:r>
    </w:p>
    <w:p w:rsidR="003C2909" w:rsidRPr="00207648" w:rsidRDefault="00CA4006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SSA protects and holds confidential the information from this form </w:t>
      </w:r>
      <w:r w:rsidR="00194FE5" w:rsidRPr="00207648">
        <w:rPr>
          <w:rFonts w:ascii="Times New Roman" w:hAnsi="Times New Roman" w:cs="Times New Roman"/>
        </w:rPr>
        <w:t xml:space="preserve">in accordance with </w:t>
      </w:r>
      <w:r w:rsidR="00194FE5" w:rsidRPr="00207648">
        <w:rPr>
          <w:rFonts w:ascii="Times New Roman" w:hAnsi="Times New Roman" w:cs="Times New Roman"/>
          <w:i/>
        </w:rPr>
        <w:t>42 U.S.C. 1306, 20 CFR 401</w:t>
      </w:r>
      <w:r w:rsidR="00194FE5" w:rsidRPr="00207648">
        <w:rPr>
          <w:rFonts w:ascii="Times New Roman" w:hAnsi="Times New Roman" w:cs="Times New Roman"/>
        </w:rPr>
        <w:t xml:space="preserve"> and </w:t>
      </w:r>
      <w:r w:rsidR="00194FE5" w:rsidRPr="00207648">
        <w:rPr>
          <w:rFonts w:ascii="Times New Roman" w:hAnsi="Times New Roman" w:cs="Times New Roman"/>
          <w:i/>
        </w:rPr>
        <w:t>4</w:t>
      </w:r>
      <w:r w:rsidR="008361DA" w:rsidRPr="00207648">
        <w:rPr>
          <w:rFonts w:ascii="Times New Roman" w:hAnsi="Times New Roman" w:cs="Times New Roman"/>
          <w:i/>
        </w:rPr>
        <w:t>0</w:t>
      </w:r>
      <w:r w:rsidR="00194FE5" w:rsidRPr="00207648">
        <w:rPr>
          <w:rFonts w:ascii="Times New Roman" w:hAnsi="Times New Roman" w:cs="Times New Roman"/>
          <w:i/>
        </w:rPr>
        <w:t>2, 5 U.S.C. 552</w:t>
      </w:r>
      <w:r w:rsidR="00194FE5" w:rsidRPr="00207648">
        <w:rPr>
          <w:rFonts w:ascii="Times New Roman" w:hAnsi="Times New Roman" w:cs="Times New Roman"/>
        </w:rPr>
        <w:t xml:space="preserve"> (Freedom of Information Act), </w:t>
      </w:r>
      <w:r w:rsidR="00194FE5" w:rsidRPr="00207648">
        <w:rPr>
          <w:rFonts w:ascii="Times New Roman" w:hAnsi="Times New Roman" w:cs="Times New Roman"/>
          <w:i/>
        </w:rPr>
        <w:t>5 U.S.C. 552a</w:t>
      </w:r>
      <w:r w:rsidR="00194FE5" w:rsidRPr="00207648">
        <w:rPr>
          <w:rFonts w:ascii="Times New Roman" w:hAnsi="Times New Roman" w:cs="Times New Roman"/>
        </w:rPr>
        <w:t xml:space="preserve"> (Privacy Act of 1974)</w:t>
      </w:r>
      <w:r w:rsidR="00605ACA" w:rsidRPr="00207648">
        <w:rPr>
          <w:rFonts w:ascii="Times New Roman" w:hAnsi="Times New Roman" w:cs="Times New Roman"/>
        </w:rPr>
        <w:t>,</w:t>
      </w:r>
      <w:r w:rsidR="00194FE5" w:rsidRPr="00207648">
        <w:rPr>
          <w:rFonts w:ascii="Times New Roman" w:hAnsi="Times New Roman" w:cs="Times New Roman"/>
        </w:rPr>
        <w:t xml:space="preserve"> and OMB Circular No. </w:t>
      </w:r>
      <w:proofErr w:type="gramStart"/>
      <w:r w:rsidR="00194FE5" w:rsidRPr="00207648">
        <w:rPr>
          <w:rFonts w:ascii="Times New Roman" w:hAnsi="Times New Roman" w:cs="Times New Roman"/>
        </w:rPr>
        <w:t>A-130.</w:t>
      </w:r>
      <w:proofErr w:type="gramEnd"/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Justification for Sensitive Questions</w:t>
      </w:r>
    </w:p>
    <w:p w:rsidR="003C2909" w:rsidRPr="00207648" w:rsidRDefault="00CA4006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The respondents for these forms must p</w:t>
      </w:r>
      <w:r w:rsidR="007E1DCE" w:rsidRPr="00207648">
        <w:rPr>
          <w:rFonts w:ascii="Times New Roman" w:hAnsi="Times New Roman" w:cs="Times New Roman"/>
        </w:rPr>
        <w:t xml:space="preserve">rovide medical information </w:t>
      </w:r>
      <w:r w:rsidR="00D41A30" w:rsidRPr="00207648">
        <w:rPr>
          <w:rFonts w:ascii="Times New Roman" w:hAnsi="Times New Roman" w:cs="Times New Roman"/>
        </w:rPr>
        <w:t xml:space="preserve">one could consider as </w:t>
      </w:r>
      <w:r w:rsidRPr="00207648">
        <w:rPr>
          <w:rFonts w:ascii="Times New Roman" w:hAnsi="Times New Roman" w:cs="Times New Roman"/>
        </w:rPr>
        <w:t xml:space="preserve">sensitive.  However, SSA needs this information to determine if the applicant qualifies for a medical parking </w:t>
      </w:r>
      <w:r w:rsidR="00D41A30" w:rsidRPr="00207648">
        <w:rPr>
          <w:rFonts w:ascii="Times New Roman" w:hAnsi="Times New Roman" w:cs="Times New Roman"/>
        </w:rPr>
        <w:t>permit, we</w:t>
      </w:r>
      <w:r w:rsidRPr="00207648">
        <w:rPr>
          <w:rFonts w:ascii="Times New Roman" w:hAnsi="Times New Roman" w:cs="Times New Roman"/>
        </w:rPr>
        <w:t xml:space="preserve"> do not share the information with anyone outside of the SSA</w:t>
      </w:r>
      <w:r w:rsidR="00D41A30" w:rsidRPr="00207648">
        <w:rPr>
          <w:rFonts w:ascii="Times New Roman" w:hAnsi="Times New Roman" w:cs="Times New Roman"/>
        </w:rPr>
        <w:t xml:space="preserve"> contracted</w:t>
      </w:r>
      <w:r w:rsidRPr="00207648">
        <w:rPr>
          <w:rFonts w:ascii="Times New Roman" w:hAnsi="Times New Roman" w:cs="Times New Roman"/>
        </w:rPr>
        <w:t xml:space="preserve"> physician who makes the eligibility determination.  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D41A30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Estimates of Public Reporting Burden</w:t>
      </w:r>
    </w:p>
    <w:p w:rsidR="003C2909" w:rsidRPr="00207648" w:rsidRDefault="00CA4006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Below is the annual reporting </w:t>
      </w:r>
      <w:r w:rsidR="007E1DCE" w:rsidRPr="00207648">
        <w:rPr>
          <w:rFonts w:ascii="Times New Roman" w:hAnsi="Times New Roman" w:cs="Times New Roman"/>
        </w:rPr>
        <w:t xml:space="preserve">burden for these forms.  Note:  </w:t>
      </w:r>
      <w:r w:rsidR="003E3F20" w:rsidRPr="00207648">
        <w:rPr>
          <w:rFonts w:ascii="Times New Roman" w:hAnsi="Times New Roman" w:cs="Times New Roman"/>
        </w:rPr>
        <w:t>this burden is for contractors and physicians only, since</w:t>
      </w:r>
      <w:r w:rsidR="00596FD5" w:rsidRPr="00207648">
        <w:rPr>
          <w:rFonts w:ascii="Times New Roman" w:hAnsi="Times New Roman" w:cs="Times New Roman"/>
        </w:rPr>
        <w:t xml:space="preserve"> SSA employees are PRA-exempt</w:t>
      </w:r>
      <w:r w:rsidR="003E3F20" w:rsidRPr="00207648">
        <w:rPr>
          <w:rFonts w:ascii="Times New Roman" w:hAnsi="Times New Roman" w:cs="Times New Roman"/>
        </w:rPr>
        <w:t>.</w:t>
      </w:r>
    </w:p>
    <w:p w:rsidR="003C2909" w:rsidRPr="00207648" w:rsidRDefault="003C2909" w:rsidP="00207648">
      <w:pPr>
        <w:pStyle w:val="BodyTextIndent"/>
        <w:rPr>
          <w:rFonts w:ascii="Times New Roman" w:hAnsi="Times New Roman" w:cs="Times New Roman"/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30"/>
        <w:gridCol w:w="1620"/>
        <w:gridCol w:w="1620"/>
        <w:gridCol w:w="1440"/>
      </w:tblGrid>
      <w:tr w:rsidR="003C2909" w:rsidRPr="00207648" w:rsidTr="00994969">
        <w:tc>
          <w:tcPr>
            <w:tcW w:w="1440" w:type="dxa"/>
          </w:tcPr>
          <w:p w:rsidR="003C2909" w:rsidRPr="00207648" w:rsidRDefault="0099496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Modality of Completion</w:t>
            </w:r>
          </w:p>
        </w:tc>
        <w:tc>
          <w:tcPr>
            <w:tcW w:w="153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Number of Respondents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Frequency of Response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44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Estimated Annual Burden (hours)</w:t>
            </w:r>
          </w:p>
        </w:tc>
      </w:tr>
      <w:tr w:rsidR="003C2909" w:rsidRPr="00207648" w:rsidTr="00994969">
        <w:tc>
          <w:tcPr>
            <w:tcW w:w="144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SSA-3192</w:t>
            </w:r>
          </w:p>
        </w:tc>
        <w:tc>
          <w:tcPr>
            <w:tcW w:w="153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290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145</w:t>
            </w:r>
          </w:p>
        </w:tc>
      </w:tr>
      <w:tr w:rsidR="003C2909" w:rsidRPr="00207648" w:rsidTr="00994969">
        <w:tc>
          <w:tcPr>
            <w:tcW w:w="144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SSA-3193</w:t>
            </w:r>
          </w:p>
        </w:tc>
        <w:tc>
          <w:tcPr>
            <w:tcW w:w="153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580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870</w:t>
            </w:r>
          </w:p>
        </w:tc>
      </w:tr>
      <w:tr w:rsidR="003C2909" w:rsidRPr="00207648" w:rsidTr="00994969">
        <w:tc>
          <w:tcPr>
            <w:tcW w:w="144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SSA-3194</w:t>
            </w:r>
          </w:p>
        </w:tc>
        <w:tc>
          <w:tcPr>
            <w:tcW w:w="153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93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  <w:r w:rsidRPr="00207648">
              <w:rPr>
                <w:sz w:val="24"/>
                <w:szCs w:val="24"/>
              </w:rPr>
              <w:t>8</w:t>
            </w:r>
          </w:p>
        </w:tc>
      </w:tr>
      <w:tr w:rsidR="003C2909" w:rsidRPr="00207648" w:rsidTr="00994969">
        <w:tc>
          <w:tcPr>
            <w:tcW w:w="1440" w:type="dxa"/>
          </w:tcPr>
          <w:p w:rsidR="003C2909" w:rsidRPr="00207648" w:rsidRDefault="003C2909" w:rsidP="00207648">
            <w:pPr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530" w:type="dxa"/>
          </w:tcPr>
          <w:p w:rsidR="003C2909" w:rsidRPr="00207648" w:rsidRDefault="003C2909" w:rsidP="00207648">
            <w:pPr>
              <w:jc w:val="right"/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963</w:t>
            </w: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C2909" w:rsidRPr="00207648" w:rsidRDefault="003C2909" w:rsidP="00207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C2909" w:rsidRPr="00207648" w:rsidRDefault="003C2909" w:rsidP="00207648">
            <w:pPr>
              <w:jc w:val="right"/>
              <w:rPr>
                <w:b/>
                <w:sz w:val="24"/>
                <w:szCs w:val="24"/>
              </w:rPr>
            </w:pPr>
            <w:r w:rsidRPr="00207648">
              <w:rPr>
                <w:b/>
                <w:sz w:val="24"/>
                <w:szCs w:val="24"/>
              </w:rPr>
              <w:t>1</w:t>
            </w:r>
            <w:r w:rsidR="00010CF0" w:rsidRPr="00207648">
              <w:rPr>
                <w:b/>
                <w:sz w:val="24"/>
                <w:szCs w:val="24"/>
              </w:rPr>
              <w:t>,</w:t>
            </w:r>
            <w:r w:rsidRPr="00207648">
              <w:rPr>
                <w:b/>
                <w:sz w:val="24"/>
                <w:szCs w:val="24"/>
              </w:rPr>
              <w:t>023</w:t>
            </w:r>
          </w:p>
        </w:tc>
      </w:tr>
    </w:tbl>
    <w:p w:rsidR="003C2909" w:rsidRPr="00207648" w:rsidRDefault="003C2909" w:rsidP="00207648">
      <w:pPr>
        <w:pStyle w:val="BodyTextIndent"/>
        <w:rPr>
          <w:rFonts w:ascii="Times New Roman" w:hAnsi="Times New Roman" w:cs="Times New Roman"/>
          <w:iCs/>
        </w:rPr>
      </w:pPr>
    </w:p>
    <w:p w:rsidR="00596FD5" w:rsidRPr="00207648" w:rsidRDefault="00596FD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The total burden represents burden hours, and we did not calculate a separate cost burden.</w:t>
      </w:r>
    </w:p>
    <w:p w:rsidR="00596FD5" w:rsidRPr="00207648" w:rsidRDefault="00596FD5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Annual Cost to the Respondents</w:t>
      </w:r>
    </w:p>
    <w:p w:rsidR="003C2909" w:rsidRPr="00207648" w:rsidRDefault="00194FE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There is no known cost </w:t>
      </w:r>
      <w:r w:rsidR="003E3F20" w:rsidRPr="00207648">
        <w:rPr>
          <w:rFonts w:ascii="Times New Roman" w:hAnsi="Times New Roman" w:cs="Times New Roman"/>
        </w:rPr>
        <w:t xml:space="preserve">burden </w:t>
      </w:r>
      <w:r w:rsidRPr="00207648">
        <w:rPr>
          <w:rFonts w:ascii="Times New Roman" w:hAnsi="Times New Roman" w:cs="Times New Roman"/>
        </w:rPr>
        <w:t>to the respondents.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Annual Cost to the Federal Government</w:t>
      </w:r>
    </w:p>
    <w:p w:rsidR="00DB4CED" w:rsidRPr="00207648" w:rsidRDefault="00014AD1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The</w:t>
      </w:r>
      <w:r w:rsidR="00194FE5" w:rsidRPr="00207648">
        <w:rPr>
          <w:rFonts w:ascii="Times New Roman" w:hAnsi="Times New Roman" w:cs="Times New Roman"/>
        </w:rPr>
        <w:t xml:space="preserve"> </w:t>
      </w:r>
      <w:r w:rsidR="002332B2" w:rsidRPr="00207648">
        <w:rPr>
          <w:rFonts w:ascii="Times New Roman" w:hAnsi="Times New Roman" w:cs="Times New Roman"/>
        </w:rPr>
        <w:t>annual</w:t>
      </w:r>
      <w:r w:rsidR="00194FE5" w:rsidRPr="00207648">
        <w:rPr>
          <w:rFonts w:ascii="Times New Roman" w:hAnsi="Times New Roman" w:cs="Times New Roman"/>
        </w:rPr>
        <w:t xml:space="preserve"> cost to the Federal Government </w:t>
      </w:r>
      <w:r w:rsidR="00EA4935" w:rsidRPr="00207648">
        <w:rPr>
          <w:rFonts w:ascii="Times New Roman" w:hAnsi="Times New Roman" w:cs="Times New Roman"/>
        </w:rPr>
        <w:t xml:space="preserve">for conducting this collection </w:t>
      </w:r>
      <w:r w:rsidR="00194FE5" w:rsidRPr="00207648">
        <w:rPr>
          <w:rFonts w:ascii="Times New Roman" w:hAnsi="Times New Roman" w:cs="Times New Roman"/>
        </w:rPr>
        <w:t xml:space="preserve">is </w:t>
      </w:r>
      <w:r w:rsidR="002332B2" w:rsidRPr="00207648">
        <w:rPr>
          <w:rFonts w:ascii="Times New Roman" w:hAnsi="Times New Roman" w:cs="Times New Roman"/>
        </w:rPr>
        <w:t>approximately $</w:t>
      </w:r>
      <w:r w:rsidR="00596FD5" w:rsidRPr="00207648">
        <w:rPr>
          <w:rFonts w:ascii="Times New Roman" w:hAnsi="Times New Roman" w:cs="Times New Roman"/>
        </w:rPr>
        <w:t>93,</w:t>
      </w:r>
      <w:r w:rsidR="003B101D" w:rsidRPr="00207648">
        <w:rPr>
          <w:rFonts w:ascii="Times New Roman" w:hAnsi="Times New Roman" w:cs="Times New Roman"/>
        </w:rPr>
        <w:t>453.20</w:t>
      </w:r>
      <w:r w:rsidR="00194FE5" w:rsidRPr="00207648">
        <w:rPr>
          <w:rFonts w:ascii="Times New Roman" w:hAnsi="Times New Roman" w:cs="Times New Roman"/>
        </w:rPr>
        <w:t>.</w:t>
      </w:r>
      <w:r w:rsidR="00DB4CED" w:rsidRPr="00207648">
        <w:rPr>
          <w:rFonts w:ascii="Times New Roman" w:hAnsi="Times New Roman" w:cs="Times New Roman"/>
        </w:rPr>
        <w:t xml:space="preserve">  </w:t>
      </w:r>
      <w:r w:rsidR="002332B2" w:rsidRPr="00207648">
        <w:rPr>
          <w:rFonts w:ascii="Times New Roman" w:hAnsi="Times New Roman" w:cs="Times New Roman"/>
        </w:rPr>
        <w:t>This estimate is a projection of the costs for printing and distributing the collection instrument and for collecting the information.</w:t>
      </w:r>
    </w:p>
    <w:p w:rsidR="00596FD5" w:rsidRPr="00207648" w:rsidRDefault="00596FD5" w:rsidP="00207648">
      <w:pPr>
        <w:pStyle w:val="BodyTextIndent"/>
        <w:rPr>
          <w:rFonts w:ascii="Times New Roman" w:hAnsi="Times New Roman" w:cs="Times New Roman"/>
        </w:rPr>
      </w:pPr>
    </w:p>
    <w:p w:rsidR="00DB4CED" w:rsidRPr="00207648" w:rsidRDefault="00EF555E" w:rsidP="00207648">
      <w:pPr>
        <w:pStyle w:val="BodyTextIndent"/>
        <w:rPr>
          <w:rFonts w:ascii="Times New Roman" w:hAnsi="Times New Roman" w:cs="Times New Roman"/>
        </w:rPr>
      </w:pPr>
      <w:r w:rsidRPr="00207648">
        <w:rPr>
          <w:rFonts w:ascii="Times New Roman" w:hAnsi="Times New Roman" w:cs="Times New Roman"/>
        </w:rPr>
        <w:t>Processing</w:t>
      </w:r>
      <w:r w:rsidR="00FA252A" w:rsidRPr="00207648">
        <w:rPr>
          <w:rFonts w:ascii="Times New Roman" w:hAnsi="Times New Roman" w:cs="Times New Roman"/>
        </w:rPr>
        <w:t xml:space="preserve"> </w:t>
      </w:r>
      <w:r w:rsidR="003255BF" w:rsidRPr="00207648">
        <w:rPr>
          <w:rFonts w:ascii="Times New Roman" w:hAnsi="Times New Roman" w:cs="Times New Roman"/>
        </w:rPr>
        <w:t xml:space="preserve">NOTE:  The agency maintains a contract with Spectrum Healthcare Resources Incorporated to have a </w:t>
      </w:r>
      <w:r w:rsidR="00CC023C" w:rsidRPr="00207648">
        <w:rPr>
          <w:rFonts w:ascii="Times New Roman" w:hAnsi="Times New Roman" w:cs="Times New Roman"/>
        </w:rPr>
        <w:t xml:space="preserve">Public Health </w:t>
      </w:r>
      <w:r w:rsidR="00716929" w:rsidRPr="00207648">
        <w:rPr>
          <w:rFonts w:ascii="Times New Roman" w:hAnsi="Times New Roman" w:cs="Times New Roman"/>
        </w:rPr>
        <w:t>Services physician</w:t>
      </w:r>
      <w:r w:rsidR="00CC023C" w:rsidRPr="00207648">
        <w:rPr>
          <w:rFonts w:ascii="Times New Roman" w:hAnsi="Times New Roman" w:cs="Times New Roman"/>
        </w:rPr>
        <w:t xml:space="preserve"> </w:t>
      </w:r>
      <w:r w:rsidR="003255BF" w:rsidRPr="00207648">
        <w:rPr>
          <w:rFonts w:ascii="Times New Roman" w:hAnsi="Times New Roman" w:cs="Times New Roman"/>
        </w:rPr>
        <w:t xml:space="preserve">process </w:t>
      </w:r>
      <w:r w:rsidR="002E7F96" w:rsidRPr="00207648">
        <w:rPr>
          <w:rFonts w:ascii="Times New Roman" w:hAnsi="Times New Roman" w:cs="Times New Roman"/>
        </w:rPr>
        <w:t xml:space="preserve">and evaluate </w:t>
      </w:r>
      <w:r w:rsidR="003255BF" w:rsidRPr="00207648">
        <w:rPr>
          <w:rFonts w:ascii="Times New Roman" w:hAnsi="Times New Roman" w:cs="Times New Roman"/>
        </w:rPr>
        <w:t>these forms in</w:t>
      </w:r>
      <w:r w:rsidR="00596FD5" w:rsidRPr="00207648">
        <w:rPr>
          <w:rFonts w:ascii="Times New Roman" w:hAnsi="Times New Roman" w:cs="Times New Roman"/>
        </w:rPr>
        <w:t xml:space="preserve"> </w:t>
      </w:r>
      <w:r w:rsidR="003255BF" w:rsidRPr="00207648">
        <w:rPr>
          <w:rFonts w:ascii="Times New Roman" w:hAnsi="Times New Roman" w:cs="Times New Roman"/>
        </w:rPr>
        <w:lastRenderedPageBreak/>
        <w:t xml:space="preserve">addition to </w:t>
      </w:r>
      <w:r w:rsidR="002E7F96" w:rsidRPr="00207648">
        <w:rPr>
          <w:rFonts w:ascii="Times New Roman" w:hAnsi="Times New Roman" w:cs="Times New Roman"/>
        </w:rPr>
        <w:t xml:space="preserve">the federal Government </w:t>
      </w:r>
      <w:r w:rsidR="00716929" w:rsidRPr="00207648">
        <w:rPr>
          <w:rFonts w:ascii="Times New Roman" w:hAnsi="Times New Roman" w:cs="Times New Roman"/>
        </w:rPr>
        <w:t>employees;</w:t>
      </w:r>
      <w:r w:rsidR="00826E7F" w:rsidRPr="00207648">
        <w:rPr>
          <w:rFonts w:ascii="Times New Roman" w:hAnsi="Times New Roman" w:cs="Times New Roman"/>
        </w:rPr>
        <w:t xml:space="preserve"> this contract dollar amount is not included in the annual cost above</w:t>
      </w:r>
      <w:r w:rsidR="002E7F96" w:rsidRPr="00207648">
        <w:rPr>
          <w:rFonts w:ascii="Times New Roman" w:hAnsi="Times New Roman" w:cs="Times New Roman"/>
        </w:rPr>
        <w:t xml:space="preserve">. 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Program Changes or Adjustments to the Information Collection Request</w:t>
      </w:r>
    </w:p>
    <w:p w:rsidR="00DB4CED" w:rsidRPr="00207648" w:rsidRDefault="00716929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The</w:t>
      </w:r>
      <w:r w:rsidR="00811C97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>change in</w:t>
      </w:r>
      <w:r w:rsidR="00446264" w:rsidRPr="00207648">
        <w:rPr>
          <w:rFonts w:ascii="Times New Roman" w:hAnsi="Times New Roman" w:cs="Times New Roman"/>
        </w:rPr>
        <w:t xml:space="preserve"> burden hours</w:t>
      </w:r>
      <w:r w:rsidR="00D6266C" w:rsidRPr="00207648">
        <w:rPr>
          <w:rFonts w:ascii="Times New Roman" w:hAnsi="Times New Roman" w:cs="Times New Roman"/>
        </w:rPr>
        <w:t xml:space="preserve"> stems from a</w:t>
      </w:r>
      <w:r w:rsidR="00E04698" w:rsidRPr="00207648">
        <w:rPr>
          <w:rFonts w:ascii="Times New Roman" w:hAnsi="Times New Roman" w:cs="Times New Roman"/>
        </w:rPr>
        <w:t>n</w:t>
      </w:r>
      <w:r w:rsidR="00D6266C" w:rsidRPr="00207648">
        <w:rPr>
          <w:rFonts w:ascii="Times New Roman" w:hAnsi="Times New Roman" w:cs="Times New Roman"/>
        </w:rPr>
        <w:t xml:space="preserve"> increase of respondents </w:t>
      </w:r>
      <w:r w:rsidRPr="00207648">
        <w:rPr>
          <w:rFonts w:ascii="Times New Roman" w:hAnsi="Times New Roman" w:cs="Times New Roman"/>
        </w:rPr>
        <w:t>for</w:t>
      </w:r>
      <w:r w:rsidR="005F519F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>Forms</w:t>
      </w:r>
      <w:r w:rsidR="005F519F" w:rsidRPr="00207648">
        <w:rPr>
          <w:rFonts w:ascii="Times New Roman" w:hAnsi="Times New Roman" w:cs="Times New Roman"/>
        </w:rPr>
        <w:t xml:space="preserve"> SSA-3192 and SSA-3193</w:t>
      </w:r>
      <w:r w:rsidRPr="00207648">
        <w:rPr>
          <w:rFonts w:ascii="Times New Roman" w:hAnsi="Times New Roman" w:cs="Times New Roman"/>
        </w:rPr>
        <w:t>.  In addition, we show a decrease of respondents for Form SSA-3194</w:t>
      </w:r>
      <w:r w:rsidR="00811C97" w:rsidRPr="00207648">
        <w:rPr>
          <w:rFonts w:ascii="Times New Roman" w:hAnsi="Times New Roman" w:cs="Times New Roman"/>
        </w:rPr>
        <w:t xml:space="preserve">. </w:t>
      </w:r>
      <w:r w:rsidR="00D6266C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>Finally, b</w:t>
      </w:r>
      <w:r w:rsidR="00E04698" w:rsidRPr="00207648">
        <w:rPr>
          <w:rFonts w:ascii="Times New Roman" w:hAnsi="Times New Roman" w:cs="Times New Roman"/>
        </w:rPr>
        <w:t xml:space="preserve">oth </w:t>
      </w:r>
      <w:r w:rsidRPr="00207648">
        <w:rPr>
          <w:rFonts w:ascii="Times New Roman" w:hAnsi="Times New Roman" w:cs="Times New Roman"/>
        </w:rPr>
        <w:t>the SSA-3192 and SSA-3193</w:t>
      </w:r>
      <w:r w:rsidR="00E04698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>take longer for the public to complete than the SSA</w:t>
      </w:r>
      <w:r w:rsidRPr="00207648">
        <w:rPr>
          <w:rFonts w:ascii="Times New Roman" w:hAnsi="Times New Roman" w:cs="Times New Roman"/>
        </w:rPr>
        <w:noBreakHyphen/>
      </w:r>
      <w:r w:rsidR="00E04698" w:rsidRPr="00207648">
        <w:rPr>
          <w:rFonts w:ascii="Times New Roman" w:hAnsi="Times New Roman" w:cs="Times New Roman"/>
        </w:rPr>
        <w:t>3194</w:t>
      </w:r>
      <w:r w:rsidRPr="00207648">
        <w:rPr>
          <w:rFonts w:ascii="Times New Roman" w:hAnsi="Times New Roman" w:cs="Times New Roman"/>
        </w:rPr>
        <w:t>, which increases the total annual burden for this collection substantially</w:t>
      </w:r>
      <w:r w:rsidR="00E04698" w:rsidRPr="00207648">
        <w:rPr>
          <w:rFonts w:ascii="Times New Roman" w:hAnsi="Times New Roman" w:cs="Times New Roman"/>
        </w:rPr>
        <w:t>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Plans for Publication Information Collection Results</w:t>
      </w:r>
    </w:p>
    <w:p w:rsidR="00DB4CED" w:rsidRPr="00207648" w:rsidRDefault="00EA493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SSA will not publish the results of the </w:t>
      </w:r>
      <w:r w:rsidR="00194FE5" w:rsidRPr="00207648">
        <w:rPr>
          <w:rFonts w:ascii="Times New Roman" w:hAnsi="Times New Roman" w:cs="Times New Roman"/>
        </w:rPr>
        <w:t xml:space="preserve">information </w:t>
      </w:r>
      <w:r w:rsidRPr="00207648">
        <w:rPr>
          <w:rFonts w:ascii="Times New Roman" w:hAnsi="Times New Roman" w:cs="Times New Roman"/>
        </w:rPr>
        <w:t>collection</w:t>
      </w:r>
      <w:r w:rsidR="00194FE5" w:rsidRPr="00207648">
        <w:rPr>
          <w:rFonts w:ascii="Times New Roman" w:hAnsi="Times New Roman" w:cs="Times New Roman"/>
        </w:rPr>
        <w:t>.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Displaying the OMB Approval Expiration Date</w:t>
      </w:r>
    </w:p>
    <w:p w:rsidR="00DB4CED" w:rsidRPr="00207648" w:rsidRDefault="00194FE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 xml:space="preserve">OMB </w:t>
      </w:r>
      <w:r w:rsidR="00014AD1" w:rsidRPr="00207648">
        <w:rPr>
          <w:rFonts w:ascii="Times New Roman" w:hAnsi="Times New Roman" w:cs="Times New Roman"/>
        </w:rPr>
        <w:t xml:space="preserve">granted </w:t>
      </w:r>
      <w:r w:rsidR="00CA773F" w:rsidRPr="00207648">
        <w:rPr>
          <w:rFonts w:ascii="Times New Roman" w:hAnsi="Times New Roman" w:cs="Times New Roman"/>
        </w:rPr>
        <w:t xml:space="preserve">SSA </w:t>
      </w:r>
      <w:r w:rsidR="00014AD1" w:rsidRPr="00207648">
        <w:rPr>
          <w:rFonts w:ascii="Times New Roman" w:hAnsi="Times New Roman" w:cs="Times New Roman"/>
        </w:rPr>
        <w:t xml:space="preserve">an exemption from the requirement to print the OMB expiration date </w:t>
      </w:r>
      <w:r w:rsidRPr="00207648">
        <w:rPr>
          <w:rFonts w:ascii="Times New Roman" w:hAnsi="Times New Roman" w:cs="Times New Roman"/>
        </w:rPr>
        <w:t>on its</w:t>
      </w:r>
      <w:r w:rsidR="00014AD1" w:rsidRPr="00207648">
        <w:rPr>
          <w:rFonts w:ascii="Times New Roman" w:hAnsi="Times New Roman" w:cs="Times New Roman"/>
        </w:rPr>
        <w:t xml:space="preserve"> program</w:t>
      </w:r>
      <w:r w:rsidRPr="00207648">
        <w:rPr>
          <w:rFonts w:ascii="Times New Roman" w:hAnsi="Times New Roman" w:cs="Times New Roman"/>
        </w:rPr>
        <w:t xml:space="preserve"> forms.  SSA produces millions of public-</w:t>
      </w:r>
      <w:r w:rsidR="00014AD1" w:rsidRPr="00207648">
        <w:rPr>
          <w:rFonts w:ascii="Times New Roman" w:hAnsi="Times New Roman" w:cs="Times New Roman"/>
        </w:rPr>
        <w:t>use forms with life cycle exceeding those of an OMB approval</w:t>
      </w:r>
      <w:r w:rsidRPr="00207648">
        <w:rPr>
          <w:rFonts w:ascii="Times New Roman" w:hAnsi="Times New Roman" w:cs="Times New Roman"/>
        </w:rPr>
        <w:t xml:space="preserve">.  </w:t>
      </w:r>
      <w:r w:rsidR="00014AD1" w:rsidRPr="00207648">
        <w:rPr>
          <w:rFonts w:ascii="Times New Roman" w:hAnsi="Times New Roman" w:cs="Times New Roman"/>
        </w:rPr>
        <w:t xml:space="preserve">Since </w:t>
      </w:r>
      <w:r w:rsidRPr="00207648">
        <w:rPr>
          <w:rFonts w:ascii="Times New Roman" w:hAnsi="Times New Roman" w:cs="Times New Roman"/>
        </w:rPr>
        <w:t>SSA does not periodically revise and reprint its public-use fo</w:t>
      </w:r>
      <w:r w:rsidR="00014AD1" w:rsidRPr="00207648">
        <w:rPr>
          <w:rFonts w:ascii="Times New Roman" w:hAnsi="Times New Roman" w:cs="Times New Roman"/>
        </w:rPr>
        <w:t xml:space="preserve">rms, (e.g., on an annual basis), </w:t>
      </w:r>
      <w:r w:rsidRPr="00207648">
        <w:rPr>
          <w:rFonts w:ascii="Times New Roman" w:hAnsi="Times New Roman" w:cs="Times New Roman"/>
        </w:rPr>
        <w:t xml:space="preserve">  </w:t>
      </w:r>
      <w:r w:rsidR="00CA773F" w:rsidRPr="00207648">
        <w:rPr>
          <w:rFonts w:ascii="Times New Roman" w:hAnsi="Times New Roman" w:cs="Times New Roman"/>
        </w:rPr>
        <w:t>OMB granted this exemption</w:t>
      </w:r>
      <w:r w:rsidRPr="00207648">
        <w:rPr>
          <w:rFonts w:ascii="Times New Roman" w:hAnsi="Times New Roman" w:cs="Times New Roman"/>
        </w:rPr>
        <w:t xml:space="preserve"> so that </w:t>
      </w:r>
      <w:r w:rsidR="00A85F07" w:rsidRPr="00207648">
        <w:rPr>
          <w:rFonts w:ascii="Times New Roman" w:hAnsi="Times New Roman" w:cs="Times New Roman"/>
        </w:rPr>
        <w:t xml:space="preserve">SSA would not have to </w:t>
      </w:r>
      <w:r w:rsidR="00014AD1" w:rsidRPr="00207648">
        <w:rPr>
          <w:rFonts w:ascii="Times New Roman" w:hAnsi="Times New Roman" w:cs="Times New Roman"/>
        </w:rPr>
        <w:t xml:space="preserve">destroy stocks of useable </w:t>
      </w:r>
      <w:r w:rsidRPr="00207648">
        <w:rPr>
          <w:rFonts w:ascii="Times New Roman" w:hAnsi="Times New Roman" w:cs="Times New Roman"/>
        </w:rPr>
        <w:t xml:space="preserve">forms </w:t>
      </w:r>
      <w:r w:rsidR="00014AD1" w:rsidRPr="00207648">
        <w:rPr>
          <w:rFonts w:ascii="Times New Roman" w:hAnsi="Times New Roman" w:cs="Times New Roman"/>
        </w:rPr>
        <w:t>with expired OMB approval dates, thus avoiding Government waste.</w:t>
      </w:r>
      <w:r w:rsidR="00CA773F" w:rsidRPr="00207648">
        <w:rPr>
          <w:rFonts w:ascii="Times New Roman" w:hAnsi="Times New Roman" w:cs="Times New Roman"/>
        </w:rPr>
        <w:t xml:space="preserve">  </w:t>
      </w:r>
    </w:p>
    <w:p w:rsidR="00DB4CED" w:rsidRPr="00207648" w:rsidRDefault="00DB4CED" w:rsidP="00207648">
      <w:pPr>
        <w:pStyle w:val="BodyTextIndent"/>
        <w:rPr>
          <w:rFonts w:ascii="Times New Roman" w:hAnsi="Times New Roman" w:cs="Times New Roman"/>
          <w:iCs/>
        </w:rPr>
      </w:pPr>
    </w:p>
    <w:p w:rsidR="00DB4CED" w:rsidRPr="00207648" w:rsidRDefault="00014AD1" w:rsidP="00207648">
      <w:pPr>
        <w:pStyle w:val="BodyTextIndent"/>
        <w:numPr>
          <w:ilvl w:val="0"/>
          <w:numId w:val="18"/>
        </w:numPr>
        <w:tabs>
          <w:tab w:val="clear" w:pos="1080"/>
          <w:tab w:val="num" w:pos="810"/>
        </w:tabs>
        <w:ind w:left="720" w:hanging="450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  <w:b/>
        </w:rPr>
        <w:t>Exception to Certification Statement</w:t>
      </w:r>
    </w:p>
    <w:p w:rsidR="00194FE5" w:rsidRPr="00207648" w:rsidRDefault="00194FE5" w:rsidP="00207648">
      <w:pPr>
        <w:pStyle w:val="BodyTextIndent"/>
        <w:rPr>
          <w:rFonts w:ascii="Times New Roman" w:hAnsi="Times New Roman" w:cs="Times New Roman"/>
          <w:iCs/>
        </w:rPr>
      </w:pPr>
      <w:r w:rsidRPr="00207648">
        <w:rPr>
          <w:rFonts w:ascii="Times New Roman" w:hAnsi="Times New Roman" w:cs="Times New Roman"/>
        </w:rPr>
        <w:t>SSA is not requesting an exception to the</w:t>
      </w:r>
      <w:r w:rsidR="005D5955" w:rsidRPr="00207648">
        <w:rPr>
          <w:rFonts w:ascii="Times New Roman" w:hAnsi="Times New Roman" w:cs="Times New Roman"/>
        </w:rPr>
        <w:t xml:space="preserve"> </w:t>
      </w:r>
      <w:r w:rsidRPr="00207648">
        <w:rPr>
          <w:rFonts w:ascii="Times New Roman" w:hAnsi="Times New Roman" w:cs="Times New Roman"/>
        </w:rPr>
        <w:t>certification requirements</w:t>
      </w:r>
      <w:r w:rsidR="00531A74" w:rsidRPr="00207648">
        <w:rPr>
          <w:rFonts w:ascii="Times New Roman" w:hAnsi="Times New Roman" w:cs="Times New Roman"/>
        </w:rPr>
        <w:t xml:space="preserve"> at </w:t>
      </w:r>
      <w:r w:rsidR="00531A74" w:rsidRPr="00207648">
        <w:rPr>
          <w:rFonts w:ascii="Times New Roman" w:hAnsi="Times New Roman" w:cs="Times New Roman"/>
          <w:i/>
        </w:rPr>
        <w:t>5 CFR 1320.0</w:t>
      </w:r>
      <w:r w:rsidR="00531A74" w:rsidRPr="00207648">
        <w:rPr>
          <w:rFonts w:ascii="Times New Roman" w:hAnsi="Times New Roman" w:cs="Times New Roman"/>
        </w:rPr>
        <w:t xml:space="preserve"> and related provisions at </w:t>
      </w:r>
      <w:r w:rsidR="00531A74" w:rsidRPr="00207648">
        <w:rPr>
          <w:rFonts w:ascii="Times New Roman" w:hAnsi="Times New Roman" w:cs="Times New Roman"/>
          <w:i/>
        </w:rPr>
        <w:t>5 CFR 1320.8(b</w:t>
      </w:r>
      <w:proofErr w:type="gramStart"/>
      <w:r w:rsidR="00933144" w:rsidRPr="00207648">
        <w:rPr>
          <w:rFonts w:ascii="Times New Roman" w:hAnsi="Times New Roman" w:cs="Times New Roman"/>
          <w:i/>
        </w:rPr>
        <w:t>)(</w:t>
      </w:r>
      <w:proofErr w:type="gramEnd"/>
      <w:r w:rsidR="00531A74" w:rsidRPr="00207648">
        <w:rPr>
          <w:rFonts w:ascii="Times New Roman" w:hAnsi="Times New Roman" w:cs="Times New Roman"/>
          <w:i/>
        </w:rPr>
        <w:t>3)</w:t>
      </w:r>
      <w:r w:rsidR="00531A74" w:rsidRPr="00207648">
        <w:rPr>
          <w:rFonts w:ascii="Times New Roman" w:hAnsi="Times New Roman" w:cs="Times New Roman"/>
        </w:rPr>
        <w:t>.</w:t>
      </w:r>
      <w:r w:rsidRPr="00207648">
        <w:rPr>
          <w:rFonts w:ascii="Times New Roman" w:hAnsi="Times New Roman" w:cs="Times New Roman"/>
        </w:rPr>
        <w:t xml:space="preserve">   </w:t>
      </w:r>
    </w:p>
    <w:p w:rsidR="00194FE5" w:rsidRPr="00207648" w:rsidRDefault="00194FE5" w:rsidP="00207648">
      <w:pPr>
        <w:rPr>
          <w:sz w:val="24"/>
          <w:szCs w:val="24"/>
        </w:rPr>
      </w:pPr>
    </w:p>
    <w:p w:rsidR="00194FE5" w:rsidRPr="00207648" w:rsidRDefault="00194FE5" w:rsidP="00207648">
      <w:pPr>
        <w:ind w:left="720" w:hanging="720"/>
        <w:rPr>
          <w:b/>
          <w:sz w:val="24"/>
          <w:szCs w:val="24"/>
          <w:u w:val="single"/>
        </w:rPr>
      </w:pPr>
      <w:r w:rsidRPr="00207648">
        <w:rPr>
          <w:b/>
          <w:sz w:val="24"/>
          <w:szCs w:val="24"/>
        </w:rPr>
        <w:t>B.</w:t>
      </w:r>
      <w:r w:rsidRPr="00207648">
        <w:rPr>
          <w:b/>
          <w:sz w:val="24"/>
          <w:szCs w:val="24"/>
        </w:rPr>
        <w:tab/>
      </w:r>
      <w:r w:rsidRPr="00207648">
        <w:rPr>
          <w:b/>
          <w:sz w:val="24"/>
          <w:szCs w:val="24"/>
          <w:u w:val="single"/>
        </w:rPr>
        <w:t>Collections of Inform</w:t>
      </w:r>
      <w:r w:rsidR="00F33DEE" w:rsidRPr="00207648">
        <w:rPr>
          <w:b/>
          <w:sz w:val="24"/>
          <w:szCs w:val="24"/>
          <w:u w:val="single"/>
        </w:rPr>
        <w:t xml:space="preserve">ation Employing Statistical </w:t>
      </w:r>
      <w:r w:rsidRPr="00207648">
        <w:rPr>
          <w:b/>
          <w:sz w:val="24"/>
          <w:szCs w:val="24"/>
          <w:u w:val="single"/>
        </w:rPr>
        <w:t>Methods:</w:t>
      </w:r>
    </w:p>
    <w:p w:rsidR="00194FE5" w:rsidRPr="00207648" w:rsidRDefault="00194FE5" w:rsidP="00207648">
      <w:pPr>
        <w:ind w:left="720" w:hanging="720"/>
        <w:rPr>
          <w:sz w:val="24"/>
          <w:szCs w:val="24"/>
        </w:rPr>
      </w:pPr>
      <w:r w:rsidRPr="00207648">
        <w:rPr>
          <w:sz w:val="24"/>
          <w:szCs w:val="24"/>
        </w:rPr>
        <w:tab/>
      </w:r>
    </w:p>
    <w:p w:rsidR="00194FE5" w:rsidRPr="00207648" w:rsidRDefault="00DB4CED" w:rsidP="00207648">
      <w:pPr>
        <w:tabs>
          <w:tab w:val="left" w:pos="720"/>
          <w:tab w:val="left" w:pos="990"/>
          <w:tab w:val="left" w:pos="1260"/>
        </w:tabs>
        <w:rPr>
          <w:sz w:val="24"/>
          <w:szCs w:val="24"/>
        </w:rPr>
      </w:pPr>
      <w:r w:rsidRPr="00207648">
        <w:rPr>
          <w:sz w:val="24"/>
          <w:szCs w:val="24"/>
        </w:rPr>
        <w:tab/>
      </w:r>
      <w:r w:rsidR="00CA773F" w:rsidRPr="00207648">
        <w:rPr>
          <w:sz w:val="24"/>
          <w:szCs w:val="24"/>
        </w:rPr>
        <w:t>SSA does not use s</w:t>
      </w:r>
      <w:r w:rsidR="00194FE5" w:rsidRPr="00207648">
        <w:rPr>
          <w:sz w:val="24"/>
          <w:szCs w:val="24"/>
        </w:rPr>
        <w:t>tatistical methods for this information collection.</w:t>
      </w:r>
    </w:p>
    <w:sectPr w:rsidR="00194FE5" w:rsidRPr="00207648" w:rsidSect="003E14EA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6C" w:rsidRDefault="00403C6C">
      <w:r>
        <w:separator/>
      </w:r>
    </w:p>
  </w:endnote>
  <w:endnote w:type="continuationSeparator" w:id="0">
    <w:p w:rsidR="00403C6C" w:rsidRDefault="0040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0" w:rsidRDefault="00D41A30" w:rsidP="0042329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0" w:rsidRDefault="00D41A30" w:rsidP="00624706">
    <w:pPr>
      <w:pStyle w:val="Footer"/>
      <w:jc w:val="right"/>
    </w:pPr>
  </w:p>
  <w:p w:rsidR="00D41A30" w:rsidRDefault="00D41A30" w:rsidP="00624706">
    <w:pPr>
      <w:pStyle w:val="Footer"/>
      <w:jc w:val="right"/>
    </w:pPr>
    <w:r>
      <w:t xml:space="preserve">SSA-3192 </w:t>
    </w:r>
    <w:r>
      <w:fldChar w:fldCharType="begin"/>
    </w:r>
    <w:r>
      <w:instrText xml:space="preserve"> DATE \@ "M/d/yyyy" </w:instrText>
    </w:r>
    <w:r>
      <w:fldChar w:fldCharType="separate"/>
    </w:r>
    <w:r w:rsidR="00207648">
      <w:rPr>
        <w:noProof/>
      </w:rPr>
      <w:t>8/28/2014</w:t>
    </w:r>
    <w:r>
      <w:fldChar w:fldCharType="end"/>
    </w:r>
  </w:p>
  <w:p w:rsidR="00D41A30" w:rsidRDefault="00D41A30" w:rsidP="00624706">
    <w:pPr>
      <w:pStyle w:val="Foot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6C" w:rsidRDefault="00403C6C">
      <w:r>
        <w:separator/>
      </w:r>
    </w:p>
  </w:footnote>
  <w:footnote w:type="continuationSeparator" w:id="0">
    <w:p w:rsidR="00403C6C" w:rsidRDefault="0040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0" w:rsidRDefault="00D41A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1A30" w:rsidRDefault="00D41A3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0" w:rsidRDefault="00D41A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230A9A"/>
    <w:multiLevelType w:val="singleLevel"/>
    <w:tmpl w:val="CBFE7FC4"/>
    <w:lvl w:ilvl="0">
      <w:start w:val="10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">
    <w:nsid w:val="11406CF3"/>
    <w:multiLevelType w:val="singleLevel"/>
    <w:tmpl w:val="0E9AA9D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ABA75F6"/>
    <w:multiLevelType w:val="hybridMultilevel"/>
    <w:tmpl w:val="3A066A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635B57"/>
    <w:multiLevelType w:val="singleLevel"/>
    <w:tmpl w:val="7F08F1AE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/>
        <w:bCs/>
        <w:i w:val="0"/>
        <w:iCs/>
      </w:rPr>
    </w:lvl>
  </w:abstractNum>
  <w:abstractNum w:abstractNumId="5">
    <w:nsid w:val="26F82475"/>
    <w:multiLevelType w:val="singleLevel"/>
    <w:tmpl w:val="AAECC1B2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>
    <w:nsid w:val="29960CBC"/>
    <w:multiLevelType w:val="singleLevel"/>
    <w:tmpl w:val="F2065488"/>
    <w:lvl w:ilvl="0">
      <w:start w:val="13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7">
    <w:nsid w:val="2C8766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5E18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557A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5C7313"/>
    <w:multiLevelType w:val="singleLevel"/>
    <w:tmpl w:val="DC60D99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8B25E9"/>
    <w:multiLevelType w:val="singleLevel"/>
    <w:tmpl w:val="1102EB9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ACB33EB"/>
    <w:multiLevelType w:val="hybridMultilevel"/>
    <w:tmpl w:val="49E692C0"/>
    <w:lvl w:ilvl="0" w:tplc="507AE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3A433FA"/>
    <w:multiLevelType w:val="singleLevel"/>
    <w:tmpl w:val="587C143A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>
    <w:nsid w:val="60F26E77"/>
    <w:multiLevelType w:val="singleLevel"/>
    <w:tmpl w:val="32C412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48B62A4"/>
    <w:multiLevelType w:val="singleLevel"/>
    <w:tmpl w:val="136A13B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0A06B7F"/>
    <w:multiLevelType w:val="singleLevel"/>
    <w:tmpl w:val="69D0C55A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>
    <w:nsid w:val="778D2E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D520F4F"/>
    <w:multiLevelType w:val="singleLevel"/>
    <w:tmpl w:val="F2065488"/>
    <w:lvl w:ilvl="0">
      <w:start w:val="13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16"/>
  </w:num>
  <w:num w:numId="8">
    <w:abstractNumId w:val="13"/>
  </w:num>
  <w:num w:numId="9">
    <w:abstractNumId w:val="5"/>
  </w:num>
  <w:num w:numId="10">
    <w:abstractNumId w:val="9"/>
  </w:num>
  <w:num w:numId="11">
    <w:abstractNumId w:val="18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9"/>
    <w:rsid w:val="00010CF0"/>
    <w:rsid w:val="00014AD1"/>
    <w:rsid w:val="000163C1"/>
    <w:rsid w:val="00045FB3"/>
    <w:rsid w:val="00073CDA"/>
    <w:rsid w:val="00080E19"/>
    <w:rsid w:val="00084771"/>
    <w:rsid w:val="0009642C"/>
    <w:rsid w:val="000C5C70"/>
    <w:rsid w:val="000D30BB"/>
    <w:rsid w:val="000E2B40"/>
    <w:rsid w:val="000E312A"/>
    <w:rsid w:val="00121A61"/>
    <w:rsid w:val="0012438B"/>
    <w:rsid w:val="001468CC"/>
    <w:rsid w:val="00190022"/>
    <w:rsid w:val="00194EF1"/>
    <w:rsid w:val="00194FE5"/>
    <w:rsid w:val="001A607A"/>
    <w:rsid w:val="001C22F4"/>
    <w:rsid w:val="001D35F6"/>
    <w:rsid w:val="001F0EBF"/>
    <w:rsid w:val="00207648"/>
    <w:rsid w:val="002332B2"/>
    <w:rsid w:val="00265862"/>
    <w:rsid w:val="00283E38"/>
    <w:rsid w:val="00294703"/>
    <w:rsid w:val="002A2FF0"/>
    <w:rsid w:val="002B5602"/>
    <w:rsid w:val="002C557D"/>
    <w:rsid w:val="002C6614"/>
    <w:rsid w:val="002E7F96"/>
    <w:rsid w:val="002F407B"/>
    <w:rsid w:val="00304771"/>
    <w:rsid w:val="003255BF"/>
    <w:rsid w:val="00347569"/>
    <w:rsid w:val="00364E2C"/>
    <w:rsid w:val="003B01E5"/>
    <w:rsid w:val="003B101D"/>
    <w:rsid w:val="003C2909"/>
    <w:rsid w:val="003D22F6"/>
    <w:rsid w:val="003E14EA"/>
    <w:rsid w:val="003E3F20"/>
    <w:rsid w:val="00403C6C"/>
    <w:rsid w:val="0040703A"/>
    <w:rsid w:val="0041608A"/>
    <w:rsid w:val="0042329B"/>
    <w:rsid w:val="004260E4"/>
    <w:rsid w:val="00446264"/>
    <w:rsid w:val="00455C5F"/>
    <w:rsid w:val="004816C2"/>
    <w:rsid w:val="004A7167"/>
    <w:rsid w:val="004C4861"/>
    <w:rsid w:val="00506FE0"/>
    <w:rsid w:val="0050781A"/>
    <w:rsid w:val="00520A9E"/>
    <w:rsid w:val="00531A74"/>
    <w:rsid w:val="00534AF0"/>
    <w:rsid w:val="0057071A"/>
    <w:rsid w:val="00593F32"/>
    <w:rsid w:val="00596FD5"/>
    <w:rsid w:val="005D5955"/>
    <w:rsid w:val="005F519F"/>
    <w:rsid w:val="00605ACA"/>
    <w:rsid w:val="00624706"/>
    <w:rsid w:val="006406FE"/>
    <w:rsid w:val="00644489"/>
    <w:rsid w:val="00682F3E"/>
    <w:rsid w:val="00690593"/>
    <w:rsid w:val="006B1699"/>
    <w:rsid w:val="006B2D39"/>
    <w:rsid w:val="006C1CEC"/>
    <w:rsid w:val="006E0E8A"/>
    <w:rsid w:val="00711249"/>
    <w:rsid w:val="00712CF6"/>
    <w:rsid w:val="007168E6"/>
    <w:rsid w:val="00716929"/>
    <w:rsid w:val="007419FC"/>
    <w:rsid w:val="0078120A"/>
    <w:rsid w:val="007926C6"/>
    <w:rsid w:val="007A7473"/>
    <w:rsid w:val="007A7755"/>
    <w:rsid w:val="007B56A4"/>
    <w:rsid w:val="007B5EBB"/>
    <w:rsid w:val="007D1636"/>
    <w:rsid w:val="007E1DCE"/>
    <w:rsid w:val="007E4EA8"/>
    <w:rsid w:val="00802F04"/>
    <w:rsid w:val="00811C97"/>
    <w:rsid w:val="00826E7F"/>
    <w:rsid w:val="008361DA"/>
    <w:rsid w:val="008D4F25"/>
    <w:rsid w:val="008F49B9"/>
    <w:rsid w:val="0090187F"/>
    <w:rsid w:val="009029B5"/>
    <w:rsid w:val="00933144"/>
    <w:rsid w:val="009347DD"/>
    <w:rsid w:val="0094002C"/>
    <w:rsid w:val="009413AE"/>
    <w:rsid w:val="00956991"/>
    <w:rsid w:val="00956E7C"/>
    <w:rsid w:val="00972735"/>
    <w:rsid w:val="009772B3"/>
    <w:rsid w:val="00986863"/>
    <w:rsid w:val="00994969"/>
    <w:rsid w:val="009B56F5"/>
    <w:rsid w:val="009E4495"/>
    <w:rsid w:val="00A57EF0"/>
    <w:rsid w:val="00A601C7"/>
    <w:rsid w:val="00A854C9"/>
    <w:rsid w:val="00A85F07"/>
    <w:rsid w:val="00AE2FA0"/>
    <w:rsid w:val="00AF2497"/>
    <w:rsid w:val="00B01728"/>
    <w:rsid w:val="00B714CC"/>
    <w:rsid w:val="00B739C2"/>
    <w:rsid w:val="00B806B6"/>
    <w:rsid w:val="00B84A98"/>
    <w:rsid w:val="00B927E2"/>
    <w:rsid w:val="00B93E78"/>
    <w:rsid w:val="00B96910"/>
    <w:rsid w:val="00BC4A8C"/>
    <w:rsid w:val="00BD239E"/>
    <w:rsid w:val="00BE38FF"/>
    <w:rsid w:val="00BE3D9D"/>
    <w:rsid w:val="00C20411"/>
    <w:rsid w:val="00C40D44"/>
    <w:rsid w:val="00C65BBB"/>
    <w:rsid w:val="00C84444"/>
    <w:rsid w:val="00CA4006"/>
    <w:rsid w:val="00CA773F"/>
    <w:rsid w:val="00CB2CD6"/>
    <w:rsid w:val="00CB330B"/>
    <w:rsid w:val="00CC023C"/>
    <w:rsid w:val="00CC166F"/>
    <w:rsid w:val="00CC2BFB"/>
    <w:rsid w:val="00CD1E30"/>
    <w:rsid w:val="00CD255F"/>
    <w:rsid w:val="00D04778"/>
    <w:rsid w:val="00D15805"/>
    <w:rsid w:val="00D41A30"/>
    <w:rsid w:val="00D6266C"/>
    <w:rsid w:val="00D634F8"/>
    <w:rsid w:val="00D64A65"/>
    <w:rsid w:val="00D82FC4"/>
    <w:rsid w:val="00D86F89"/>
    <w:rsid w:val="00DB4CED"/>
    <w:rsid w:val="00E04698"/>
    <w:rsid w:val="00E0597E"/>
    <w:rsid w:val="00E06DEC"/>
    <w:rsid w:val="00E30DB1"/>
    <w:rsid w:val="00E45438"/>
    <w:rsid w:val="00E74AD7"/>
    <w:rsid w:val="00E90F3E"/>
    <w:rsid w:val="00E912DC"/>
    <w:rsid w:val="00EA21A7"/>
    <w:rsid w:val="00EA4935"/>
    <w:rsid w:val="00EB0A53"/>
    <w:rsid w:val="00EF555E"/>
    <w:rsid w:val="00F00EDF"/>
    <w:rsid w:val="00F12D51"/>
    <w:rsid w:val="00F33DEE"/>
    <w:rsid w:val="00F37005"/>
    <w:rsid w:val="00F63DFB"/>
    <w:rsid w:val="00F73D5B"/>
    <w:rsid w:val="00FA252A"/>
    <w:rsid w:val="00FE5D7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pPr>
      <w:ind w:left="720"/>
    </w:pPr>
    <w:rPr>
      <w:rFonts w:ascii="Courier New" w:hAnsi="Courier New" w:cs="Courier New"/>
      <w:sz w:val="24"/>
      <w:szCs w:val="24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6247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16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68E6"/>
  </w:style>
  <w:style w:type="character" w:customStyle="1" w:styleId="CommentTextChar">
    <w:name w:val="Comment Text Char"/>
    <w:link w:val="CommentText"/>
    <w:rsid w:val="007168E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168E6"/>
    <w:rPr>
      <w:b/>
      <w:bCs/>
    </w:rPr>
  </w:style>
  <w:style w:type="character" w:customStyle="1" w:styleId="CommentSubjectChar">
    <w:name w:val="Comment Subject Char"/>
    <w:link w:val="CommentSubject"/>
    <w:rsid w:val="007168E6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1D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pPr>
      <w:ind w:left="720"/>
    </w:pPr>
    <w:rPr>
      <w:rFonts w:ascii="Courier New" w:hAnsi="Courier New" w:cs="Courier New"/>
      <w:sz w:val="24"/>
      <w:szCs w:val="24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6247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716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68E6"/>
  </w:style>
  <w:style w:type="character" w:customStyle="1" w:styleId="CommentTextChar">
    <w:name w:val="Comment Text Char"/>
    <w:link w:val="CommentText"/>
    <w:rsid w:val="007168E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168E6"/>
    <w:rPr>
      <w:b/>
      <w:bCs/>
    </w:rPr>
  </w:style>
  <w:style w:type="character" w:customStyle="1" w:styleId="CommentSubjectChar">
    <w:name w:val="Comment Subject Char"/>
    <w:link w:val="CommentSubject"/>
    <w:rsid w:val="007168E6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1D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948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</vt:lpstr>
    </vt:vector>
  </TitlesOfParts>
  <Company>SSA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</dc:title>
  <dc:creator>btucker</dc:creator>
  <cp:lastModifiedBy>889123</cp:lastModifiedBy>
  <cp:revision>15</cp:revision>
  <cp:lastPrinted>2014-08-28T12:09:00Z</cp:lastPrinted>
  <dcterms:created xsi:type="dcterms:W3CDTF">2014-06-20T17:57:00Z</dcterms:created>
  <dcterms:modified xsi:type="dcterms:W3CDTF">2014-08-28T12:09:00Z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