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46"/>
        <w:gridCol w:w="232"/>
        <w:gridCol w:w="232"/>
      </w:tblGrid>
      <w:tr w:rsidR="00E3592D" w:rsidRPr="00E3592D" w:rsidTr="00E3592D">
        <w:trPr>
          <w:gridAfter w:val="1"/>
          <w:tblCellSpacing w:w="0" w:type="dxa"/>
        </w:trPr>
        <w:tc>
          <w:tcPr>
            <w:tcW w:w="0" w:type="auto"/>
            <w:hideMark/>
          </w:tcPr>
          <w:p w:rsidR="00E3592D" w:rsidRPr="00E3592D" w:rsidRDefault="00E3592D" w:rsidP="00E3592D">
            <w:pPr>
              <w:spacing w:before="100" w:beforeAutospacing="1" w:after="100" w:afterAutospacing="1" w:line="240" w:lineRule="auto"/>
              <w:outlineLvl w:val="1"/>
              <w:rPr>
                <w:rFonts w:ascii="Arial" w:eastAsia="Times New Roman" w:hAnsi="Arial" w:cs="Arial"/>
                <w:b/>
                <w:bCs/>
                <w:color w:val="000000"/>
                <w:sz w:val="36"/>
                <w:szCs w:val="36"/>
              </w:rPr>
            </w:pPr>
            <w:r>
              <w:rPr>
                <w:noProof/>
              </w:rPr>
              <w:br w:type="page"/>
            </w:r>
            <w:bookmarkStart w:id="0" w:name="Skip_to_content"/>
            <w:bookmarkEnd w:id="0"/>
            <w:r>
              <w:rPr>
                <w:rFonts w:ascii="Arial" w:eastAsia="Times New Roman" w:hAnsi="Arial" w:cs="Arial"/>
                <w:b/>
                <w:bCs/>
                <w:color w:val="000000"/>
                <w:sz w:val="36"/>
                <w:szCs w:val="36"/>
              </w:rPr>
              <w:t>Pas</w:t>
            </w:r>
            <w:r w:rsidRPr="00E3592D">
              <w:rPr>
                <w:rFonts w:ascii="Arial" w:eastAsia="Times New Roman" w:hAnsi="Arial" w:cs="Arial"/>
                <w:b/>
                <w:bCs/>
                <w:color w:val="000000"/>
                <w:sz w:val="36"/>
                <w:szCs w:val="36"/>
              </w:rPr>
              <w:t>senger Civil Aviation Security Service Fees</w:t>
            </w:r>
            <w:r w:rsidRPr="00E3592D">
              <w:rPr>
                <w:rFonts w:ascii="Arial" w:eastAsia="Times New Roman" w:hAnsi="Arial" w:cs="Arial"/>
                <w:b/>
                <w:bCs/>
                <w:color w:val="000000"/>
                <w:sz w:val="36"/>
                <w:szCs w:val="36"/>
              </w:rPr>
              <w:br/>
              <w:t>(September 11</w:t>
            </w:r>
            <w:r w:rsidRPr="00E3592D">
              <w:rPr>
                <w:rFonts w:ascii="Arial" w:eastAsia="Times New Roman" w:hAnsi="Arial" w:cs="Arial"/>
                <w:b/>
                <w:bCs/>
                <w:color w:val="000000"/>
                <w:sz w:val="27"/>
                <w:szCs w:val="27"/>
                <w:vertAlign w:val="superscript"/>
              </w:rPr>
              <w:t>th</w:t>
            </w:r>
            <w:r w:rsidRPr="00E3592D">
              <w:rPr>
                <w:rFonts w:ascii="Arial" w:eastAsia="Times New Roman" w:hAnsi="Arial" w:cs="Arial"/>
                <w:b/>
                <w:bCs/>
                <w:color w:val="000000"/>
                <w:sz w:val="36"/>
                <w:szCs w:val="36"/>
              </w:rPr>
              <w:t xml:space="preserve"> Security Fees)</w:t>
            </w:r>
          </w:p>
          <w:p w:rsidR="00E3592D" w:rsidRPr="00E3592D" w:rsidRDefault="00E3592D" w:rsidP="00E3592D">
            <w:pPr>
              <w:spacing w:before="100" w:beforeAutospacing="1" w:after="100" w:afterAutospacing="1"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 xml:space="preserve">Paperwork Reduction Act Statement of Public Burden: This collection of information is mandatory pursuant to the Aviation and Transportation Security Act, Pub. L. 107-72, November 19, 2001, </w:t>
            </w:r>
            <w:r w:rsidR="005E78A3">
              <w:rPr>
                <w:rFonts w:ascii="Arial" w:eastAsia="Times New Roman" w:hAnsi="Arial" w:cs="Arial"/>
                <w:sz w:val="18"/>
                <w:szCs w:val="18"/>
              </w:rPr>
              <w:t xml:space="preserve">as amended, </w:t>
            </w:r>
            <w:r w:rsidRPr="00E3592D">
              <w:rPr>
                <w:rFonts w:ascii="Arial" w:eastAsia="Times New Roman" w:hAnsi="Arial" w:cs="Arial"/>
                <w:color w:val="000000"/>
                <w:sz w:val="18"/>
                <w:szCs w:val="18"/>
              </w:rPr>
              <w:t xml:space="preserve">and 49 C.F.R. Part 1510, and will be used to ensure that air carriers are in compliance with the requirements to collect and remit the September 11th Security Fee. Please note that an agency may not conduct or sponsor, and a person is not required to respond to, a collection of information unless it displays a currently valid OMB control number. The OMB control number for this collection is 1652-0001, which expires 08/31/2015. </w:t>
            </w:r>
          </w:p>
          <w:p w:rsidR="00E3592D" w:rsidRPr="00E3592D" w:rsidRDefault="00E3592D" w:rsidP="00E3592D">
            <w:pPr>
              <w:spacing w:before="100" w:beforeAutospacing="1" w:after="100" w:afterAutospacing="1"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Per Congress, collection was suspended from June 1 to September 30, 2003.</w:t>
            </w:r>
          </w:p>
          <w:p w:rsidR="00E3592D" w:rsidRPr="00E3592D" w:rsidRDefault="00E3592D" w:rsidP="00E3592D">
            <w:pPr>
              <w:spacing w:before="100" w:beforeAutospacing="1" w:after="100" w:afterAutospacing="1" w:line="240" w:lineRule="auto"/>
              <w:outlineLvl w:val="2"/>
              <w:rPr>
                <w:rFonts w:ascii="Arial" w:eastAsia="Times New Roman" w:hAnsi="Arial" w:cs="Arial"/>
                <w:b/>
                <w:bCs/>
                <w:color w:val="000000"/>
                <w:sz w:val="27"/>
                <w:szCs w:val="27"/>
              </w:rPr>
            </w:pPr>
            <w:r w:rsidRPr="00E3592D">
              <w:rPr>
                <w:rFonts w:ascii="Arial" w:eastAsia="Times New Roman" w:hAnsi="Arial" w:cs="Arial"/>
                <w:b/>
                <w:bCs/>
                <w:color w:val="000000"/>
                <w:sz w:val="27"/>
                <w:szCs w:val="27"/>
              </w:rPr>
              <w:t>Login Credentials</w:t>
            </w:r>
          </w:p>
          <w:p w:rsidR="00E3592D" w:rsidRPr="00E3592D" w:rsidRDefault="00E3592D" w:rsidP="00E3592D">
            <w:p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 xml:space="preserve">If you </w:t>
            </w:r>
            <w:r w:rsidRPr="00E3592D">
              <w:rPr>
                <w:rFonts w:ascii="Arial" w:eastAsia="Times New Roman" w:hAnsi="Arial" w:cs="Arial"/>
                <w:b/>
                <w:bCs/>
                <w:color w:val="000000"/>
              </w:rPr>
              <w:t>already have valid credentials</w:t>
            </w:r>
            <w:r w:rsidRPr="00E3592D">
              <w:rPr>
                <w:rFonts w:ascii="Arial" w:eastAsia="Times New Roman" w:hAnsi="Arial" w:cs="Arial"/>
                <w:color w:val="000000"/>
              </w:rPr>
              <w:t xml:space="preserve">, proceed to the </w:t>
            </w:r>
            <w:hyperlink r:id="rId8" w:history="1">
              <w:r w:rsidRPr="00E3592D">
                <w:rPr>
                  <w:rFonts w:ascii="Arial" w:eastAsia="Times New Roman" w:hAnsi="Arial" w:cs="Arial"/>
                  <w:color w:val="0000FF"/>
                  <w:u w:val="single"/>
                </w:rPr>
                <w:t>login page</w:t>
              </w:r>
            </w:hyperlink>
            <w:r w:rsidRPr="00E3592D">
              <w:rPr>
                <w:rFonts w:ascii="Arial" w:eastAsia="Times New Roman" w:hAnsi="Arial" w:cs="Arial"/>
                <w:color w:val="000000"/>
              </w:rPr>
              <w:t xml:space="preserve">. </w:t>
            </w:r>
          </w:p>
          <w:p w:rsidR="00E3592D" w:rsidRPr="00E3592D" w:rsidRDefault="00E3592D" w:rsidP="00E3592D">
            <w:p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b/>
                <w:bCs/>
                <w:color w:val="000000"/>
              </w:rPr>
              <w:t xml:space="preserve">Notice: Recently, you may have heard about a new internet security weakness, known as </w:t>
            </w:r>
            <w:hyperlink r:id="rId9" w:history="1">
              <w:proofErr w:type="spellStart"/>
              <w:r w:rsidRPr="00E3592D">
                <w:rPr>
                  <w:rFonts w:ascii="Arial" w:eastAsia="Times New Roman" w:hAnsi="Arial" w:cs="Arial"/>
                  <w:b/>
                  <w:bCs/>
                  <w:color w:val="0000FF"/>
                  <w:u w:val="single"/>
                </w:rPr>
                <w:t>Heartbleed</w:t>
              </w:r>
              <w:proofErr w:type="spellEnd"/>
            </w:hyperlink>
            <w:r w:rsidRPr="00E3592D">
              <w:rPr>
                <w:rFonts w:ascii="Arial" w:eastAsia="Times New Roman" w:hAnsi="Arial" w:cs="Arial"/>
                <w:b/>
                <w:bCs/>
                <w:color w:val="000000"/>
              </w:rPr>
              <w:t xml:space="preserve">, which is impacting some websites. There is no indication that </w:t>
            </w:r>
            <w:proofErr w:type="spellStart"/>
            <w:r w:rsidRPr="00E3592D">
              <w:rPr>
                <w:rFonts w:ascii="Arial" w:eastAsia="Times New Roman" w:hAnsi="Arial" w:cs="Arial"/>
                <w:b/>
                <w:bCs/>
                <w:color w:val="000000"/>
              </w:rPr>
              <w:t>Heartbleed</w:t>
            </w:r>
            <w:proofErr w:type="spellEnd"/>
            <w:r w:rsidRPr="00E3592D">
              <w:rPr>
                <w:rFonts w:ascii="Arial" w:eastAsia="Times New Roman" w:hAnsi="Arial" w:cs="Arial"/>
                <w:b/>
                <w:bCs/>
                <w:color w:val="000000"/>
              </w:rPr>
              <w:t xml:space="preserve"> has been used against pfdps.tsa.dhs.gov or that any personal information has ever been at risk. However, we are asking users to change their current password out of an abundance of caution to ensure the protection of your information.</w:t>
            </w:r>
            <w:r w:rsidRPr="00E3592D">
              <w:rPr>
                <w:rFonts w:ascii="Arial" w:eastAsia="Times New Roman" w:hAnsi="Arial" w:cs="Arial"/>
                <w:color w:val="000000"/>
              </w:rPr>
              <w:t xml:space="preserve"> </w:t>
            </w:r>
          </w:p>
          <w:p w:rsidR="00E3592D" w:rsidRPr="00E3592D" w:rsidRDefault="00E3592D" w:rsidP="00E3592D">
            <w:p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This form is for the use of granting access to the Quarterly Report on-line system and the establishment of points of contact for the representative air carrier as required by 49 C.F.R. 1510. If you do not already have and require access to this system, please complete TSA Form 2504 (</w:t>
            </w:r>
            <w:hyperlink r:id="rId10" w:history="1">
              <w:r w:rsidRPr="00E3592D">
                <w:rPr>
                  <w:rFonts w:ascii="Arial" w:eastAsia="Times New Roman" w:hAnsi="Arial" w:cs="Arial"/>
                  <w:color w:val="0000FF"/>
                  <w:u w:val="single"/>
                </w:rPr>
                <w:t>PDF-167KB</w:t>
              </w:r>
            </w:hyperlink>
            <w:r w:rsidRPr="00E3592D">
              <w:rPr>
                <w:rFonts w:ascii="Arial" w:eastAsia="Times New Roman" w:hAnsi="Arial" w:cs="Arial"/>
                <w:color w:val="000000"/>
              </w:rPr>
              <w:t xml:space="preserve">) and fax it to the number provided. </w:t>
            </w:r>
            <w:r w:rsidRPr="00E3592D">
              <w:rPr>
                <w:rFonts w:ascii="Arial" w:eastAsia="Times New Roman" w:hAnsi="Arial" w:cs="Arial"/>
                <w:color w:val="000000"/>
              </w:rPr>
              <w:br/>
            </w:r>
          </w:p>
          <w:p w:rsidR="00E3592D" w:rsidRPr="00E3592D" w:rsidRDefault="00E3592D" w:rsidP="00E3592D">
            <w:pPr>
              <w:spacing w:before="100" w:beforeAutospacing="1" w:after="100" w:afterAutospacing="1" w:line="240" w:lineRule="auto"/>
              <w:outlineLvl w:val="2"/>
              <w:rPr>
                <w:rFonts w:ascii="Arial" w:eastAsia="Times New Roman" w:hAnsi="Arial" w:cs="Arial"/>
                <w:b/>
                <w:bCs/>
                <w:color w:val="000000"/>
                <w:sz w:val="27"/>
                <w:szCs w:val="27"/>
              </w:rPr>
            </w:pPr>
            <w:r w:rsidRPr="00E3592D">
              <w:rPr>
                <w:rFonts w:ascii="Arial" w:eastAsia="Times New Roman" w:hAnsi="Arial" w:cs="Arial"/>
                <w:b/>
                <w:bCs/>
                <w:color w:val="000000"/>
                <w:sz w:val="27"/>
                <w:szCs w:val="27"/>
              </w:rPr>
              <w:t>Quarterly Reports</w:t>
            </w:r>
          </w:p>
          <w:p w:rsidR="00E3592D" w:rsidRPr="00E3592D" w:rsidRDefault="00E3592D" w:rsidP="00E3592D">
            <w:p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 xml:space="preserve">On December 31, 2001, the </w:t>
            </w:r>
            <w:hyperlink r:id="rId11" w:tooltip="You are leaving DOT" w:history="1">
              <w:r w:rsidRPr="00E3592D">
                <w:rPr>
                  <w:rFonts w:ascii="Arial" w:eastAsia="Times New Roman" w:hAnsi="Arial" w:cs="Arial"/>
                  <w:color w:val="0000FF"/>
                  <w:u w:val="single"/>
                </w:rPr>
                <w:t xml:space="preserve">Transportation Security Administration </w:t>
              </w:r>
            </w:hyperlink>
            <w:r w:rsidRPr="00E3592D">
              <w:rPr>
                <w:rFonts w:ascii="Arial" w:eastAsia="Times New Roman" w:hAnsi="Arial" w:cs="Arial"/>
                <w:color w:val="000000"/>
              </w:rPr>
              <w:t>(TSA), issued an Interim Final Rule (IFR) imposing the Passenger Civil Aviation Security Service Fee (commonly referred to as the "September 11</w:t>
            </w:r>
            <w:r w:rsidRPr="00E3592D">
              <w:rPr>
                <w:rFonts w:ascii="Arial" w:eastAsia="Times New Roman" w:hAnsi="Arial" w:cs="Arial"/>
                <w:color w:val="000000"/>
                <w:sz w:val="17"/>
                <w:szCs w:val="17"/>
                <w:vertAlign w:val="superscript"/>
              </w:rPr>
              <w:t>th</w:t>
            </w:r>
            <w:r w:rsidRPr="00E3592D">
              <w:rPr>
                <w:rFonts w:ascii="Arial" w:eastAsia="Times New Roman" w:hAnsi="Arial" w:cs="Arial"/>
                <w:color w:val="000000"/>
              </w:rPr>
              <w:t xml:space="preserve"> Security Fee") on certain civil aviation passengers (</w:t>
            </w:r>
            <w:hyperlink r:id="rId12" w:history="1">
              <w:r w:rsidRPr="00E3592D">
                <w:rPr>
                  <w:rFonts w:ascii="Arial" w:eastAsia="Times New Roman" w:hAnsi="Arial" w:cs="Arial"/>
                  <w:color w:val="0000FF"/>
                  <w:u w:val="single"/>
                </w:rPr>
                <w:t>PDF-104KB</w:t>
              </w:r>
            </w:hyperlink>
            <w:r w:rsidRPr="00E3592D">
              <w:rPr>
                <w:rFonts w:ascii="Arial" w:eastAsia="Times New Roman" w:hAnsi="Arial" w:cs="Arial"/>
                <w:color w:val="000000"/>
              </w:rPr>
              <w:t xml:space="preserve"> | </w:t>
            </w:r>
            <w:hyperlink r:id="rId13" w:history="1">
              <w:r w:rsidRPr="00E3592D">
                <w:rPr>
                  <w:rFonts w:ascii="Arial" w:eastAsia="Times New Roman" w:hAnsi="Arial" w:cs="Arial"/>
                  <w:color w:val="0000FF"/>
                  <w:u w:val="single"/>
                </w:rPr>
                <w:t>HTML-37KB</w:t>
              </w:r>
            </w:hyperlink>
            <w:r w:rsidRPr="00E3592D">
              <w:rPr>
                <w:rFonts w:ascii="Arial" w:eastAsia="Times New Roman" w:hAnsi="Arial" w:cs="Arial"/>
                <w:color w:val="000000"/>
              </w:rPr>
              <w:t>). On March 28, 2002, TSA amended the reporting requirements of the IFR (</w:t>
            </w:r>
            <w:hyperlink r:id="rId14" w:history="1">
              <w:r w:rsidRPr="00E3592D">
                <w:rPr>
                  <w:rFonts w:ascii="Arial" w:eastAsia="Times New Roman" w:hAnsi="Arial" w:cs="Arial"/>
                  <w:color w:val="0000FF"/>
                  <w:u w:val="single"/>
                </w:rPr>
                <w:t>PDF-41KB</w:t>
              </w:r>
            </w:hyperlink>
            <w:r w:rsidRPr="00E3592D">
              <w:rPr>
                <w:rFonts w:ascii="Arial" w:eastAsia="Times New Roman" w:hAnsi="Arial" w:cs="Arial"/>
                <w:color w:val="000000"/>
              </w:rPr>
              <w:t xml:space="preserve"> | </w:t>
            </w:r>
            <w:hyperlink r:id="rId15" w:history="1">
              <w:r w:rsidRPr="00E3592D">
                <w:rPr>
                  <w:rFonts w:ascii="Arial" w:eastAsia="Times New Roman" w:hAnsi="Arial" w:cs="Arial"/>
                  <w:color w:val="0000FF"/>
                  <w:u w:val="single"/>
                </w:rPr>
                <w:t>HTML-18KB</w:t>
              </w:r>
            </w:hyperlink>
            <w:r w:rsidRPr="00E3592D">
              <w:rPr>
                <w:rFonts w:ascii="Arial" w:eastAsia="Times New Roman" w:hAnsi="Arial" w:cs="Arial"/>
                <w:color w:val="000000"/>
              </w:rPr>
              <w:t xml:space="preserve">). These documents are available in the </w:t>
            </w:r>
            <w:hyperlink r:id="rId16" w:tooltip="You are leaving DOT" w:history="1">
              <w:r w:rsidRPr="00E3592D">
                <w:rPr>
                  <w:rFonts w:ascii="Arial" w:eastAsia="Times New Roman" w:hAnsi="Arial" w:cs="Arial"/>
                  <w:color w:val="0000FF"/>
                  <w:u w:val="single"/>
                </w:rPr>
                <w:t>Federal Register</w:t>
              </w:r>
            </w:hyperlink>
            <w:r w:rsidRPr="00E3592D">
              <w:rPr>
                <w:rFonts w:ascii="Arial" w:eastAsia="Times New Roman" w:hAnsi="Arial" w:cs="Arial"/>
                <w:color w:val="000000"/>
              </w:rPr>
              <w:t xml:space="preserve"> or on the Internet at </w:t>
            </w:r>
            <w:hyperlink r:id="rId17" w:anchor="home" w:history="1">
              <w:r w:rsidRPr="00E3592D">
                <w:rPr>
                  <w:rFonts w:ascii="Arial" w:eastAsia="Times New Roman" w:hAnsi="Arial" w:cs="Arial"/>
                  <w:color w:val="0000FF"/>
                  <w:u w:val="single"/>
                </w:rPr>
                <w:t>Regulations.Gov</w:t>
              </w:r>
            </w:hyperlink>
            <w:r w:rsidRPr="00E3592D">
              <w:rPr>
                <w:rFonts w:ascii="Arial" w:eastAsia="Times New Roman" w:hAnsi="Arial" w:cs="Arial"/>
                <w:color w:val="000000"/>
              </w:rPr>
              <w:t xml:space="preserve">, searchable by key word TSA-2001-11120. Section 1510.17 of the IFR, as amended, requires certain selling carriers (as explained in the IFR) to provide the following information to the TSA on a quarterly basis: </w:t>
            </w:r>
          </w:p>
          <w:p w:rsidR="00E3592D" w:rsidRPr="00E3592D" w:rsidRDefault="00E3592D" w:rsidP="00E3592D">
            <w:pPr>
              <w:numPr>
                <w:ilvl w:val="0"/>
                <w:numId w:val="1"/>
              </w:num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 xml:space="preserve">Name of the reporting carrier </w:t>
            </w:r>
          </w:p>
          <w:p w:rsidR="00E3592D" w:rsidRPr="00E3592D" w:rsidRDefault="00E3592D" w:rsidP="00E3592D">
            <w:pPr>
              <w:numPr>
                <w:ilvl w:val="0"/>
                <w:numId w:val="1"/>
              </w:num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 xml:space="preserve">Total fee imposed on passengers (for each month in the quarter) </w:t>
            </w:r>
          </w:p>
          <w:p w:rsidR="00E3592D" w:rsidRPr="00E3592D" w:rsidRDefault="00E3592D" w:rsidP="00E3592D">
            <w:pPr>
              <w:numPr>
                <w:ilvl w:val="0"/>
                <w:numId w:val="1"/>
              </w:num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 xml:space="preserve">Total fee collected from passengers (for each month in the quarter) </w:t>
            </w:r>
          </w:p>
          <w:p w:rsidR="00E3592D" w:rsidRPr="00E3592D" w:rsidRDefault="00E3592D" w:rsidP="00E3592D">
            <w:pPr>
              <w:numPr>
                <w:ilvl w:val="0"/>
                <w:numId w:val="1"/>
              </w:num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 xml:space="preserve">Total fee refunded to passengers (for each month in the quarter) </w:t>
            </w:r>
          </w:p>
          <w:p w:rsidR="00E3592D" w:rsidRPr="00E3592D" w:rsidRDefault="00E3592D" w:rsidP="00E3592D">
            <w:pPr>
              <w:numPr>
                <w:ilvl w:val="0"/>
                <w:numId w:val="1"/>
              </w:num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 xml:space="preserve">Total collections remitted to TSA (for each month in the quarter) </w:t>
            </w:r>
          </w:p>
          <w:p w:rsidR="00E3592D" w:rsidRPr="00E3592D" w:rsidRDefault="00E3592D" w:rsidP="00E3592D">
            <w:p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 xml:space="preserve">Every year, these quarterly reports, containing the above information for each month of the quarter, must be submitted by the last calendar day of the month following the end of every </w:t>
            </w:r>
            <w:r w:rsidRPr="00E3592D">
              <w:rPr>
                <w:rFonts w:ascii="Arial" w:eastAsia="Times New Roman" w:hAnsi="Arial" w:cs="Arial"/>
                <w:color w:val="000000"/>
              </w:rPr>
              <w:lastRenderedPageBreak/>
              <w:t>quarter thereafter.</w:t>
            </w:r>
          </w:p>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4162"/>
              <w:gridCol w:w="4734"/>
            </w:tblGrid>
            <w:tr w:rsidR="00E3592D" w:rsidRPr="00E3592D">
              <w:trPr>
                <w:tblCellSpacing w:w="7" w:type="dxa"/>
              </w:trPr>
              <w:tc>
                <w:tcPr>
                  <w:tcW w:w="0" w:type="auto"/>
                  <w:shd w:val="clear" w:color="auto" w:fill="000066"/>
                  <w:vAlign w:val="center"/>
                  <w:hideMark/>
                </w:tcPr>
                <w:p w:rsidR="00E3592D" w:rsidRPr="00E3592D" w:rsidRDefault="00E3592D" w:rsidP="00E3592D">
                  <w:pPr>
                    <w:spacing w:after="0" w:line="240" w:lineRule="auto"/>
                    <w:jc w:val="center"/>
                    <w:rPr>
                      <w:rFonts w:ascii="Arial" w:eastAsia="Times New Roman" w:hAnsi="Arial" w:cs="Arial"/>
                      <w:b/>
                      <w:bCs/>
                      <w:color w:val="FFFFFF"/>
                      <w:sz w:val="18"/>
                      <w:szCs w:val="18"/>
                    </w:rPr>
                  </w:pPr>
                  <w:r w:rsidRPr="00E3592D">
                    <w:rPr>
                      <w:rFonts w:ascii="Arial" w:eastAsia="Times New Roman" w:hAnsi="Arial" w:cs="Arial"/>
                      <w:b/>
                      <w:bCs/>
                      <w:color w:val="FFFFFF"/>
                      <w:sz w:val="18"/>
                      <w:szCs w:val="18"/>
                    </w:rPr>
                    <w:t>Quarterly Report</w:t>
                  </w:r>
                </w:p>
              </w:tc>
              <w:tc>
                <w:tcPr>
                  <w:tcW w:w="0" w:type="auto"/>
                  <w:shd w:val="clear" w:color="auto" w:fill="000066"/>
                  <w:vAlign w:val="center"/>
                  <w:hideMark/>
                </w:tcPr>
                <w:p w:rsidR="00E3592D" w:rsidRPr="00E3592D" w:rsidRDefault="00E3592D" w:rsidP="00E3592D">
                  <w:pPr>
                    <w:spacing w:after="0" w:line="240" w:lineRule="auto"/>
                    <w:jc w:val="center"/>
                    <w:rPr>
                      <w:rFonts w:ascii="Arial" w:eastAsia="Times New Roman" w:hAnsi="Arial" w:cs="Arial"/>
                      <w:b/>
                      <w:bCs/>
                      <w:color w:val="FFFFFF"/>
                      <w:sz w:val="18"/>
                      <w:szCs w:val="18"/>
                    </w:rPr>
                  </w:pPr>
                  <w:r w:rsidRPr="00E3592D">
                    <w:rPr>
                      <w:rFonts w:ascii="Arial" w:eastAsia="Times New Roman" w:hAnsi="Arial" w:cs="Arial"/>
                      <w:b/>
                      <w:bCs/>
                      <w:color w:val="FFFFFF"/>
                      <w:sz w:val="18"/>
                      <w:szCs w:val="18"/>
                    </w:rPr>
                    <w:t>Due Date</w:t>
                  </w:r>
                </w:p>
              </w:tc>
            </w:tr>
            <w:tr w:rsidR="00E3592D" w:rsidRPr="00E3592D">
              <w:trPr>
                <w:tblCellSpacing w:w="7" w:type="dxa"/>
              </w:trPr>
              <w:tc>
                <w:tcPr>
                  <w:tcW w:w="0" w:type="auto"/>
                  <w:shd w:val="clear" w:color="auto" w:fill="CCCCCC"/>
                  <w:vAlign w:val="center"/>
                  <w:hideMark/>
                </w:tcPr>
                <w:p w:rsidR="00E3592D" w:rsidRPr="00E3592D" w:rsidRDefault="00E3592D" w:rsidP="00E3592D">
                  <w:pPr>
                    <w:spacing w:after="0"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January 1 - March 31</w:t>
                  </w:r>
                </w:p>
              </w:tc>
              <w:tc>
                <w:tcPr>
                  <w:tcW w:w="0" w:type="auto"/>
                  <w:shd w:val="clear" w:color="auto" w:fill="CCCCCC"/>
                  <w:vAlign w:val="center"/>
                  <w:hideMark/>
                </w:tcPr>
                <w:p w:rsidR="00E3592D" w:rsidRPr="00E3592D" w:rsidRDefault="00E3592D" w:rsidP="00E3592D">
                  <w:pPr>
                    <w:spacing w:after="0"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April 30, 12 Midnight EDT</w:t>
                  </w:r>
                </w:p>
              </w:tc>
            </w:tr>
            <w:tr w:rsidR="00E3592D" w:rsidRPr="00E3592D">
              <w:trPr>
                <w:tblCellSpacing w:w="7" w:type="dxa"/>
              </w:trPr>
              <w:tc>
                <w:tcPr>
                  <w:tcW w:w="0" w:type="auto"/>
                  <w:shd w:val="clear" w:color="auto" w:fill="CCCCCC"/>
                  <w:vAlign w:val="center"/>
                  <w:hideMark/>
                </w:tcPr>
                <w:p w:rsidR="00E3592D" w:rsidRPr="00E3592D" w:rsidRDefault="00E3592D" w:rsidP="00E3592D">
                  <w:pPr>
                    <w:spacing w:after="0"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April 1 - June 30</w:t>
                  </w:r>
                </w:p>
              </w:tc>
              <w:tc>
                <w:tcPr>
                  <w:tcW w:w="0" w:type="auto"/>
                  <w:shd w:val="clear" w:color="auto" w:fill="CCCCCC"/>
                  <w:vAlign w:val="center"/>
                  <w:hideMark/>
                </w:tcPr>
                <w:p w:rsidR="00E3592D" w:rsidRPr="00E3592D" w:rsidRDefault="00E3592D" w:rsidP="00E3592D">
                  <w:pPr>
                    <w:spacing w:after="0"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July 31, 12 Midnight EDT</w:t>
                  </w:r>
                </w:p>
              </w:tc>
            </w:tr>
            <w:tr w:rsidR="00E3592D" w:rsidRPr="00E3592D">
              <w:trPr>
                <w:tblCellSpacing w:w="7" w:type="dxa"/>
              </w:trPr>
              <w:tc>
                <w:tcPr>
                  <w:tcW w:w="0" w:type="auto"/>
                  <w:shd w:val="clear" w:color="auto" w:fill="CCCCCC"/>
                  <w:vAlign w:val="center"/>
                  <w:hideMark/>
                </w:tcPr>
                <w:p w:rsidR="00E3592D" w:rsidRPr="00E3592D" w:rsidRDefault="00E3592D" w:rsidP="00E3592D">
                  <w:pPr>
                    <w:spacing w:after="0"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July 1 - September 30</w:t>
                  </w:r>
                </w:p>
              </w:tc>
              <w:tc>
                <w:tcPr>
                  <w:tcW w:w="0" w:type="auto"/>
                  <w:shd w:val="clear" w:color="auto" w:fill="CCCCCC"/>
                  <w:vAlign w:val="center"/>
                  <w:hideMark/>
                </w:tcPr>
                <w:p w:rsidR="00E3592D" w:rsidRPr="00E3592D" w:rsidRDefault="00E3592D" w:rsidP="00E3592D">
                  <w:pPr>
                    <w:spacing w:after="0"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October 31, 12 Midnight EDT</w:t>
                  </w:r>
                </w:p>
              </w:tc>
            </w:tr>
            <w:tr w:rsidR="00E3592D" w:rsidRPr="00E3592D">
              <w:trPr>
                <w:tblCellSpacing w:w="7" w:type="dxa"/>
              </w:trPr>
              <w:tc>
                <w:tcPr>
                  <w:tcW w:w="0" w:type="auto"/>
                  <w:shd w:val="clear" w:color="auto" w:fill="CCCCCC"/>
                  <w:vAlign w:val="center"/>
                  <w:hideMark/>
                </w:tcPr>
                <w:p w:rsidR="00E3592D" w:rsidRPr="00E3592D" w:rsidRDefault="00E3592D" w:rsidP="00E3592D">
                  <w:pPr>
                    <w:spacing w:after="0"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October 1 - December 31</w:t>
                  </w:r>
                </w:p>
              </w:tc>
              <w:tc>
                <w:tcPr>
                  <w:tcW w:w="0" w:type="auto"/>
                  <w:shd w:val="clear" w:color="auto" w:fill="CCCCCC"/>
                  <w:vAlign w:val="center"/>
                  <w:hideMark/>
                </w:tcPr>
                <w:p w:rsidR="00E3592D" w:rsidRPr="00E3592D" w:rsidRDefault="00E3592D" w:rsidP="00E3592D">
                  <w:pPr>
                    <w:spacing w:after="0" w:line="240" w:lineRule="auto"/>
                    <w:rPr>
                      <w:rFonts w:ascii="Arial" w:eastAsia="Times New Roman" w:hAnsi="Arial" w:cs="Arial"/>
                      <w:color w:val="000000"/>
                      <w:sz w:val="18"/>
                      <w:szCs w:val="18"/>
                    </w:rPr>
                  </w:pPr>
                  <w:r w:rsidRPr="00E3592D">
                    <w:rPr>
                      <w:rFonts w:ascii="Arial" w:eastAsia="Times New Roman" w:hAnsi="Arial" w:cs="Arial"/>
                      <w:color w:val="000000"/>
                      <w:sz w:val="18"/>
                      <w:szCs w:val="18"/>
                    </w:rPr>
                    <w:t>January 31, 12 Midnight EDT</w:t>
                  </w:r>
                </w:p>
              </w:tc>
            </w:tr>
          </w:tbl>
          <w:p w:rsidR="00E3592D" w:rsidRPr="00E3592D" w:rsidRDefault="00E3592D" w:rsidP="00E3592D">
            <w:pPr>
              <w:spacing w:before="100" w:beforeAutospacing="1" w:after="100" w:afterAutospacing="1" w:line="240" w:lineRule="auto"/>
              <w:outlineLvl w:val="2"/>
              <w:rPr>
                <w:rFonts w:ascii="Arial" w:eastAsia="Times New Roman" w:hAnsi="Arial" w:cs="Arial"/>
                <w:b/>
                <w:bCs/>
                <w:color w:val="000000"/>
                <w:sz w:val="27"/>
                <w:szCs w:val="27"/>
              </w:rPr>
            </w:pPr>
            <w:r w:rsidRPr="00E3592D">
              <w:rPr>
                <w:rFonts w:ascii="Arial" w:eastAsia="Times New Roman" w:hAnsi="Arial" w:cs="Arial"/>
                <w:b/>
                <w:bCs/>
                <w:color w:val="000000"/>
                <w:sz w:val="27"/>
                <w:szCs w:val="27"/>
              </w:rPr>
              <w:t>Security Fee Data Collection</w:t>
            </w:r>
          </w:p>
          <w:p w:rsidR="00E3592D" w:rsidRPr="00E3592D" w:rsidRDefault="00E3592D" w:rsidP="00E3592D">
            <w:p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The Transportation Security Administration, Office of Revenue is tasked with the collection of September 11th Security Fees statistics on a quarterly basis as required by 49 C.F. R. 1510. The primary method of data collection is via a secure web application which requires appropriate credentials (username/password) to access. Alternatively, a paper form (</w:t>
            </w:r>
            <w:hyperlink r:id="rId18" w:history="1">
              <w:r w:rsidRPr="00E3592D">
                <w:rPr>
                  <w:rFonts w:ascii="Arial" w:eastAsia="Times New Roman" w:hAnsi="Arial" w:cs="Arial"/>
                  <w:color w:val="0000FF"/>
                  <w:u w:val="single"/>
                </w:rPr>
                <w:t>TSA-Form-2502</w:t>
              </w:r>
            </w:hyperlink>
            <w:r w:rsidRPr="00E3592D">
              <w:rPr>
                <w:rFonts w:ascii="Arial" w:eastAsia="Times New Roman" w:hAnsi="Arial" w:cs="Arial"/>
                <w:color w:val="000000"/>
              </w:rPr>
              <w:t xml:space="preserve">) may be downloaded for those without internet access. The completed forms must be faxed to the TSA Office of Finance and Administration, Revenue Division, Compliance Branch at (571) 227-2904. </w:t>
            </w:r>
          </w:p>
        </w:tc>
        <w:tc>
          <w:tcPr>
            <w:tcW w:w="0" w:type="auto"/>
            <w:vAlign w:val="center"/>
            <w:hideMark/>
          </w:tcPr>
          <w:p w:rsidR="00E3592D" w:rsidRPr="00E3592D" w:rsidRDefault="00E3592D" w:rsidP="00E3592D">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14:anchorId="135C2F40" wp14:editId="528D5B1A">
                  <wp:extent cx="52070" cy="52070"/>
                  <wp:effectExtent l="0" t="0" r="0" b="0"/>
                  <wp:docPr id="6" name="Picture 6" descr="https://pfdps.tsa.dhs.gov/xml/tsa/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fdps.tsa.dhs.gov/xml/tsa/images/spac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70" cy="52070"/>
                          </a:xfrm>
                          <a:prstGeom prst="rect">
                            <a:avLst/>
                          </a:prstGeom>
                          <a:noFill/>
                          <a:ln>
                            <a:noFill/>
                          </a:ln>
                        </pic:spPr>
                      </pic:pic>
                    </a:graphicData>
                  </a:graphic>
                </wp:inline>
              </w:drawing>
            </w:r>
          </w:p>
        </w:tc>
      </w:tr>
      <w:tr w:rsidR="00E3592D" w:rsidRPr="00E3592D" w:rsidTr="00E3592D">
        <w:trPr>
          <w:tblCellSpacing w:w="0" w:type="dxa"/>
        </w:trPr>
        <w:tc>
          <w:tcPr>
            <w:tcW w:w="0" w:type="auto"/>
            <w:vAlign w:val="center"/>
            <w:hideMark/>
          </w:tcPr>
          <w:p w:rsidR="00E3592D" w:rsidRPr="00E3592D" w:rsidRDefault="00E3592D" w:rsidP="00E3592D">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14:anchorId="0B65FFA2" wp14:editId="630CA2CC">
                  <wp:extent cx="52070" cy="52070"/>
                  <wp:effectExtent l="0" t="0" r="0" b="0"/>
                  <wp:docPr id="5" name="Picture 5" descr="https://pfdps.tsa.dhs.gov/xml/tsa/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fdps.tsa.dhs.gov/xml/tsa/images/spac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70" cy="52070"/>
                          </a:xfrm>
                          <a:prstGeom prst="rect">
                            <a:avLst/>
                          </a:prstGeom>
                          <a:noFill/>
                          <a:ln>
                            <a:noFill/>
                          </a:ln>
                        </pic:spPr>
                      </pic:pic>
                    </a:graphicData>
                  </a:graphic>
                </wp:inline>
              </w:drawing>
            </w:r>
          </w:p>
        </w:tc>
        <w:tc>
          <w:tcPr>
            <w:tcW w:w="0" w:type="auto"/>
            <w:vAlign w:val="center"/>
            <w:hideMark/>
          </w:tcPr>
          <w:p w:rsidR="00E3592D" w:rsidRPr="00E3592D" w:rsidRDefault="00E3592D" w:rsidP="00E3592D">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76CE47BE" wp14:editId="62A349D8">
                  <wp:extent cx="52070" cy="52070"/>
                  <wp:effectExtent l="0" t="0" r="0" b="0"/>
                  <wp:docPr id="4" name="Picture 4" descr="https://pfdps.tsa.dhs.gov/xml/tsa/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fdps.tsa.dhs.gov/xml/tsa/images/spac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70" cy="52070"/>
                          </a:xfrm>
                          <a:prstGeom prst="rect">
                            <a:avLst/>
                          </a:prstGeom>
                          <a:noFill/>
                          <a:ln>
                            <a:noFill/>
                          </a:ln>
                        </pic:spPr>
                      </pic:pic>
                    </a:graphicData>
                  </a:graphic>
                </wp:inline>
              </w:drawing>
            </w:r>
          </w:p>
        </w:tc>
        <w:tc>
          <w:tcPr>
            <w:tcW w:w="0" w:type="auto"/>
            <w:vAlign w:val="center"/>
            <w:hideMark/>
          </w:tcPr>
          <w:p w:rsidR="00E3592D" w:rsidRPr="00E3592D" w:rsidRDefault="00E3592D" w:rsidP="00E3592D">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2D54CD0B" wp14:editId="294AF637">
                  <wp:extent cx="52070" cy="52070"/>
                  <wp:effectExtent l="0" t="0" r="0" b="0"/>
                  <wp:docPr id="3" name="Picture 3" descr="https://pfdps.tsa.dhs.gov/xml/tsa/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fdps.tsa.dhs.gov/xml/tsa/images/spac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70" cy="52070"/>
                          </a:xfrm>
                          <a:prstGeom prst="rect">
                            <a:avLst/>
                          </a:prstGeom>
                          <a:noFill/>
                          <a:ln>
                            <a:noFill/>
                          </a:ln>
                        </pic:spPr>
                      </pic:pic>
                    </a:graphicData>
                  </a:graphic>
                </wp:inline>
              </w:drawing>
            </w:r>
          </w:p>
        </w:tc>
      </w:tr>
    </w:tbl>
    <w:p w:rsidR="00E3592D" w:rsidRPr="00E3592D" w:rsidRDefault="00E3592D" w:rsidP="00E3592D">
      <w:pPr>
        <w:spacing w:after="0" w:line="240" w:lineRule="auto"/>
        <w:jc w:val="center"/>
        <w:rPr>
          <w:rFonts w:ascii="Arial" w:eastAsia="Times New Roman" w:hAnsi="Arial" w:cs="Arial"/>
          <w:vanish/>
          <w:color w:val="000000"/>
        </w:rPr>
      </w:pPr>
    </w:p>
    <w:tbl>
      <w:tblPr>
        <w:tblW w:w="0" w:type="auto"/>
        <w:jc w:val="center"/>
        <w:tblCellSpacing w:w="0" w:type="dxa"/>
        <w:tblCellMar>
          <w:left w:w="0" w:type="dxa"/>
          <w:right w:w="0" w:type="dxa"/>
        </w:tblCellMar>
        <w:tblLook w:val="04A0" w:firstRow="1" w:lastRow="0" w:firstColumn="1" w:lastColumn="0" w:noHBand="0" w:noVBand="1"/>
      </w:tblPr>
      <w:tblGrid>
        <w:gridCol w:w="9360"/>
      </w:tblGrid>
      <w:tr w:rsidR="00E3592D" w:rsidRPr="00E3592D" w:rsidTr="00E3592D">
        <w:trPr>
          <w:tblCellSpacing w:w="0" w:type="dxa"/>
          <w:jc w:val="center"/>
        </w:trPr>
        <w:tc>
          <w:tcPr>
            <w:tcW w:w="0" w:type="auto"/>
            <w:vAlign w:val="center"/>
            <w:hideMark/>
          </w:tcPr>
          <w:p w:rsidR="00E3592D" w:rsidRPr="00E3592D" w:rsidRDefault="005D5106" w:rsidP="00E3592D">
            <w:pPr>
              <w:spacing w:before="100" w:beforeAutospacing="1" w:after="100" w:afterAutospacing="1" w:line="240" w:lineRule="auto"/>
              <w:rPr>
                <w:rFonts w:ascii="Arial" w:eastAsia="Times New Roman" w:hAnsi="Arial" w:cs="Arial"/>
                <w:color w:val="000000"/>
              </w:rPr>
            </w:pPr>
            <w:hyperlink r:id="rId20" w:history="1">
              <w:r w:rsidR="00E3592D" w:rsidRPr="00E3592D">
                <w:rPr>
                  <w:rFonts w:ascii="Arial" w:eastAsia="Times New Roman" w:hAnsi="Arial" w:cs="Arial"/>
                  <w:color w:val="0000FF"/>
                  <w:u w:val="single"/>
                </w:rPr>
                <w:t>Transportation Security Administration (TSA)</w:t>
              </w:r>
            </w:hyperlink>
            <w:r w:rsidR="00E3592D" w:rsidRPr="00E3592D">
              <w:rPr>
                <w:rFonts w:ascii="Arial" w:eastAsia="Times New Roman" w:hAnsi="Arial" w:cs="Arial"/>
                <w:color w:val="000000"/>
              </w:rPr>
              <w:t xml:space="preserve"> • U.S. Department of Homeland Security (DHS) </w:t>
            </w:r>
            <w:r w:rsidR="00E3592D" w:rsidRPr="00E3592D">
              <w:rPr>
                <w:rFonts w:ascii="Arial" w:eastAsia="Times New Roman" w:hAnsi="Arial" w:cs="Arial"/>
                <w:color w:val="000000"/>
              </w:rPr>
              <w:br/>
              <w:t>601 South 12</w:t>
            </w:r>
            <w:r w:rsidR="00E3592D" w:rsidRPr="00E3592D">
              <w:rPr>
                <w:rFonts w:ascii="Arial" w:eastAsia="Times New Roman" w:hAnsi="Arial" w:cs="Arial"/>
                <w:color w:val="000000"/>
                <w:sz w:val="17"/>
                <w:szCs w:val="17"/>
                <w:vertAlign w:val="superscript"/>
              </w:rPr>
              <w:t>th</w:t>
            </w:r>
            <w:r w:rsidR="00E3592D" w:rsidRPr="00E3592D">
              <w:rPr>
                <w:rFonts w:ascii="Arial" w:eastAsia="Times New Roman" w:hAnsi="Arial" w:cs="Arial"/>
                <w:color w:val="000000"/>
              </w:rPr>
              <w:t xml:space="preserve"> Street, West Tower, TSA-14, Arlington, VA 20598 • 571-227-2323 • </w:t>
            </w:r>
            <w:hyperlink r:id="rId21" w:history="1">
              <w:r w:rsidR="00E3592D" w:rsidRPr="00E3592D">
                <w:rPr>
                  <w:rFonts w:ascii="Arial" w:eastAsia="Times New Roman" w:hAnsi="Arial" w:cs="Arial"/>
                  <w:color w:val="0000FF"/>
                  <w:u w:val="single"/>
                </w:rPr>
                <w:t>TSA-Fees@dhs.gov</w:t>
              </w:r>
            </w:hyperlink>
            <w:r w:rsidR="00E3592D" w:rsidRPr="00E3592D">
              <w:rPr>
                <w:rFonts w:ascii="Arial" w:eastAsia="Times New Roman" w:hAnsi="Arial" w:cs="Arial"/>
                <w:color w:val="000000"/>
              </w:rPr>
              <w:t xml:space="preserve"> </w:t>
            </w:r>
          </w:p>
        </w:tc>
      </w:tr>
      <w:tr w:rsidR="00E3592D" w:rsidRPr="00E3592D" w:rsidTr="00E3592D">
        <w:trPr>
          <w:tblCellSpacing w:w="0" w:type="dxa"/>
          <w:jc w:val="center"/>
        </w:trPr>
        <w:tc>
          <w:tcPr>
            <w:tcW w:w="0" w:type="auto"/>
            <w:vAlign w:val="center"/>
            <w:hideMark/>
          </w:tcPr>
          <w:p w:rsidR="00E3592D" w:rsidRPr="00E3592D" w:rsidRDefault="00E3592D" w:rsidP="00E3592D">
            <w:pPr>
              <w:spacing w:after="0" w:line="240" w:lineRule="auto"/>
              <w:rPr>
                <w:rFonts w:ascii="Arial" w:eastAsia="Times New Roman" w:hAnsi="Arial" w:cs="Arial"/>
                <w:color w:val="000000"/>
                <w:sz w:val="24"/>
                <w:szCs w:val="24"/>
              </w:rPr>
            </w:pPr>
          </w:p>
        </w:tc>
      </w:tr>
      <w:tr w:rsidR="00E3592D" w:rsidRPr="00E3592D" w:rsidTr="00E3592D">
        <w:trPr>
          <w:tblCellSpacing w:w="0" w:type="dxa"/>
          <w:jc w:val="center"/>
        </w:trPr>
        <w:tc>
          <w:tcPr>
            <w:tcW w:w="0" w:type="auto"/>
            <w:vAlign w:val="center"/>
            <w:hideMark/>
          </w:tcPr>
          <w:p w:rsidR="00E3592D" w:rsidRPr="00E3592D" w:rsidRDefault="00E3592D" w:rsidP="00E3592D">
            <w:pPr>
              <w:spacing w:before="100" w:beforeAutospacing="1" w:after="100" w:afterAutospacing="1" w:line="240" w:lineRule="auto"/>
              <w:rPr>
                <w:rFonts w:ascii="Arial" w:eastAsia="Times New Roman" w:hAnsi="Arial" w:cs="Arial"/>
                <w:color w:val="000000"/>
              </w:rPr>
            </w:pPr>
            <w:r w:rsidRPr="00E3592D">
              <w:rPr>
                <w:rFonts w:ascii="Arial" w:eastAsia="Times New Roman" w:hAnsi="Arial" w:cs="Arial"/>
                <w:color w:val="000000"/>
              </w:rPr>
              <w:t xml:space="preserve">OMB Control Number: 1652-0001 • Expiration Date: 08/31/2015 </w:t>
            </w:r>
          </w:p>
        </w:tc>
      </w:tr>
      <w:tr w:rsidR="00E3592D" w:rsidRPr="00E3592D" w:rsidTr="00E3592D">
        <w:trPr>
          <w:tblCellSpacing w:w="0" w:type="dxa"/>
          <w:jc w:val="center"/>
        </w:trPr>
        <w:tc>
          <w:tcPr>
            <w:tcW w:w="0" w:type="auto"/>
            <w:vAlign w:val="center"/>
            <w:hideMark/>
          </w:tcPr>
          <w:p w:rsidR="00E3592D" w:rsidRPr="00E3592D" w:rsidRDefault="00E3592D" w:rsidP="00E3592D">
            <w:pPr>
              <w:spacing w:after="0" w:line="240" w:lineRule="auto"/>
              <w:rPr>
                <w:rFonts w:ascii="Arial" w:eastAsia="Times New Roman" w:hAnsi="Arial" w:cs="Arial"/>
                <w:color w:val="000000"/>
                <w:sz w:val="24"/>
                <w:szCs w:val="24"/>
              </w:rPr>
            </w:pPr>
          </w:p>
        </w:tc>
      </w:tr>
      <w:tr w:rsidR="00E3592D" w:rsidRPr="00E3592D" w:rsidTr="00E3592D">
        <w:trPr>
          <w:tblCellSpacing w:w="0" w:type="dxa"/>
          <w:jc w:val="center"/>
        </w:trPr>
        <w:tc>
          <w:tcPr>
            <w:tcW w:w="0" w:type="auto"/>
            <w:vAlign w:val="center"/>
            <w:hideMark/>
          </w:tcPr>
          <w:p w:rsidR="00E3592D" w:rsidRPr="00E3592D" w:rsidRDefault="005D5106" w:rsidP="00E3592D">
            <w:pPr>
              <w:spacing w:before="100" w:beforeAutospacing="1" w:after="100" w:afterAutospacing="1" w:line="240" w:lineRule="auto"/>
              <w:jc w:val="center"/>
              <w:rPr>
                <w:rFonts w:ascii="Arial" w:eastAsia="Times New Roman" w:hAnsi="Arial" w:cs="Arial"/>
                <w:color w:val="000000"/>
              </w:rPr>
            </w:pPr>
            <w:hyperlink r:id="rId22" w:history="1">
              <w:r w:rsidR="00E3592D" w:rsidRPr="00E3592D">
                <w:rPr>
                  <w:rFonts w:ascii="Arial" w:eastAsia="Times New Roman" w:hAnsi="Arial" w:cs="Arial"/>
                  <w:color w:val="0000FF"/>
                  <w:u w:val="single"/>
                </w:rPr>
                <w:t>Accessibility</w:t>
              </w:r>
            </w:hyperlink>
            <w:r w:rsidR="00E3592D" w:rsidRPr="00E3592D">
              <w:rPr>
                <w:rFonts w:ascii="Arial" w:eastAsia="Times New Roman" w:hAnsi="Arial" w:cs="Arial"/>
                <w:color w:val="000000"/>
              </w:rPr>
              <w:t xml:space="preserve"> | </w:t>
            </w:r>
            <w:hyperlink r:id="rId23" w:history="1">
              <w:r w:rsidR="00E3592D" w:rsidRPr="00E3592D">
                <w:rPr>
                  <w:rFonts w:ascii="Arial" w:eastAsia="Times New Roman" w:hAnsi="Arial" w:cs="Arial"/>
                  <w:color w:val="0000FF"/>
                  <w:u w:val="single"/>
                </w:rPr>
                <w:t>FOIA</w:t>
              </w:r>
            </w:hyperlink>
            <w:r w:rsidR="00E3592D" w:rsidRPr="00E3592D">
              <w:rPr>
                <w:rFonts w:ascii="Arial" w:eastAsia="Times New Roman" w:hAnsi="Arial" w:cs="Arial"/>
                <w:color w:val="000000"/>
              </w:rPr>
              <w:t xml:space="preserve"> | </w:t>
            </w:r>
            <w:hyperlink r:id="rId24" w:history="1">
              <w:r w:rsidR="00E3592D" w:rsidRPr="00E3592D">
                <w:rPr>
                  <w:rFonts w:ascii="Arial" w:eastAsia="Times New Roman" w:hAnsi="Arial" w:cs="Arial"/>
                  <w:color w:val="0000FF"/>
                  <w:u w:val="single"/>
                </w:rPr>
                <w:t>Privacy Policy</w:t>
              </w:r>
            </w:hyperlink>
            <w:r w:rsidR="00E3592D" w:rsidRPr="00E3592D">
              <w:rPr>
                <w:rFonts w:ascii="Arial" w:eastAsia="Times New Roman" w:hAnsi="Arial" w:cs="Arial"/>
                <w:color w:val="000000"/>
              </w:rPr>
              <w:t xml:space="preserve"> </w:t>
            </w:r>
          </w:p>
        </w:tc>
      </w:tr>
      <w:tr w:rsidR="00E3592D" w:rsidRPr="00E3592D" w:rsidTr="00E3592D">
        <w:trPr>
          <w:tblCellSpacing w:w="0" w:type="dxa"/>
          <w:jc w:val="center"/>
        </w:trPr>
        <w:tc>
          <w:tcPr>
            <w:tcW w:w="0" w:type="auto"/>
            <w:vAlign w:val="center"/>
            <w:hideMark/>
          </w:tcPr>
          <w:p w:rsidR="00E3592D" w:rsidRPr="00E3592D" w:rsidRDefault="00E3592D" w:rsidP="00E3592D">
            <w:pPr>
              <w:spacing w:after="0" w:line="240" w:lineRule="auto"/>
              <w:rPr>
                <w:rFonts w:ascii="Arial" w:eastAsia="Times New Roman" w:hAnsi="Arial" w:cs="Arial"/>
                <w:color w:val="000000"/>
                <w:sz w:val="24"/>
                <w:szCs w:val="24"/>
              </w:rPr>
            </w:pPr>
          </w:p>
        </w:tc>
      </w:tr>
    </w:tbl>
    <w:p w:rsidR="00E3592D" w:rsidRDefault="00E3592D">
      <w:pPr>
        <w:rPr>
          <w:noProof/>
        </w:rPr>
      </w:pPr>
      <w:r>
        <w:rPr>
          <w:rFonts w:ascii="Arial" w:eastAsia="Times New Roman" w:hAnsi="Arial" w:cs="Arial"/>
          <w:noProof/>
          <w:color w:val="000000"/>
          <w:sz w:val="24"/>
          <w:szCs w:val="24"/>
        </w:rPr>
        <w:drawing>
          <wp:inline distT="0" distB="0" distL="0" distR="0">
            <wp:extent cx="137795" cy="17145"/>
            <wp:effectExtent l="0" t="0" r="0" b="0"/>
            <wp:docPr id="2" name="Picture 2" descr="https://pfdps.tsa.dhs.gov/xml/tsa/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fdps.tsa.dhs.gov/xml/tsa/images/spac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17145"/>
                    </a:xfrm>
                    <a:prstGeom prst="rect">
                      <a:avLst/>
                    </a:prstGeom>
                    <a:noFill/>
                    <a:ln>
                      <a:noFill/>
                    </a:ln>
                  </pic:spPr>
                </pic:pic>
              </a:graphicData>
            </a:graphic>
          </wp:inline>
        </w:drawing>
      </w:r>
    </w:p>
    <w:p w:rsidR="00A527CF" w:rsidRDefault="005D2DF3">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2151934</wp:posOffset>
                </wp:positionH>
                <wp:positionV relativeFrom="paragraph">
                  <wp:posOffset>1313161</wp:posOffset>
                </wp:positionV>
                <wp:extent cx="914400" cy="103128"/>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1031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2DF3" w:rsidRDefault="005D2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9.45pt;margin-top:103.4pt;width:1in;height: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" fillcolor="white [3201]" stroked="f" strokeweight=".5pt">
                <v:textbox>
                  <w:txbxContent>
                    <w:p w:rsidR="005D2DF3" w:rsidRDefault="005D2DF3"/>
                  </w:txbxContent>
                </v:textbox>
              </v:shape>
            </w:pict>
          </mc:Fallback>
        </mc:AlternateContent>
      </w:r>
      <w:r w:rsidR="00E9698C">
        <w:rPr>
          <w:noProof/>
        </w:rPr>
        <mc:AlternateContent>
          <mc:Choice Requires="wps">
            <w:drawing>
              <wp:anchor distT="0" distB="0" distL="114300" distR="114300" simplePos="0" relativeHeight="251659264" behindDoc="0" locked="0" layoutInCell="1" allowOverlap="1">
                <wp:simplePos x="0" y="0"/>
                <wp:positionH relativeFrom="column">
                  <wp:posOffset>1423621</wp:posOffset>
                </wp:positionH>
                <wp:positionV relativeFrom="paragraph">
                  <wp:posOffset>2291715</wp:posOffset>
                </wp:positionV>
                <wp:extent cx="3557954" cy="181707"/>
                <wp:effectExtent l="0" t="0" r="4445" b="8890"/>
                <wp:wrapNone/>
                <wp:docPr id="7" name="Text Box 7"/>
                <wp:cNvGraphicFramePr/>
                <a:graphic xmlns:a="http://schemas.openxmlformats.org/drawingml/2006/main">
                  <a:graphicData uri="http://schemas.microsoft.com/office/word/2010/wordprocessingShape">
                    <wps:wsp>
                      <wps:cNvSpPr txBox="1"/>
                      <wps:spPr>
                        <a:xfrm>
                          <a:off x="0" y="0"/>
                          <a:ext cx="3557954" cy="1817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698C" w:rsidRPr="00E9698C" w:rsidRDefault="00E9698C">
                            <w:pPr>
                              <w:rPr>
                                <w:sz w:val="12"/>
                                <w:szCs w:val="12"/>
                              </w:rPr>
                            </w:pPr>
                            <w:r w:rsidRPr="00302B7D">
                              <w:rPr>
                                <w:sz w:val="12"/>
                                <w:szCs w:val="12"/>
                              </w:rPr>
                              <w:t>Actual total amount of these fees charged to the passengers at the time air transportation is sold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12.1pt;margin-top:180.45pt;width:280.15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" fillcolor="white [3201]" stroked="f" strokeweight=".5pt">
                <v:textbox>
                  <w:txbxContent>
                    <w:p w:rsidR="00E9698C" w:rsidRPr="00E9698C" w:rsidRDefault="00E9698C">
                      <w:pPr>
                        <w:rPr>
                          <w:sz w:val="12"/>
                          <w:szCs w:val="12"/>
                        </w:rPr>
                      </w:pPr>
                      <w:r w:rsidRPr="00302B7D">
                        <w:rPr>
                          <w:sz w:val="12"/>
                          <w:szCs w:val="12"/>
                        </w:rPr>
                        <w:t>Actual total amount of these fees charged to the passengers at the time air transportation is sold</w:t>
                      </w:r>
                    </w:p>
                  </w:txbxContent>
                </v:textbox>
              </v:shape>
            </w:pict>
          </mc:Fallback>
        </mc:AlternateContent>
      </w:r>
      <w:bookmarkStart w:id="1" w:name="_GoBack"/>
      <w:r w:rsidR="00756204">
        <w:rPr>
          <w:noProof/>
        </w:rPr>
        <w:drawing>
          <wp:inline distT="0" distB="0" distL="0" distR="0" wp14:anchorId="3BF4E282" wp14:editId="3CA25F2E">
            <wp:extent cx="6533745" cy="522699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535528" cy="5228422"/>
                    </a:xfrm>
                    <a:prstGeom prst="rect">
                      <a:avLst/>
                    </a:prstGeom>
                  </pic:spPr>
                </pic:pic>
              </a:graphicData>
            </a:graphic>
          </wp:inline>
        </w:drawing>
      </w:r>
      <w:bookmarkEnd w:id="1"/>
    </w:p>
    <w:sectPr w:rsidR="00A52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06" w:rsidRDefault="005D5106" w:rsidP="00E3592D">
      <w:pPr>
        <w:spacing w:after="0" w:line="240" w:lineRule="auto"/>
      </w:pPr>
      <w:r>
        <w:separator/>
      </w:r>
    </w:p>
  </w:endnote>
  <w:endnote w:type="continuationSeparator" w:id="0">
    <w:p w:rsidR="005D5106" w:rsidRDefault="005D5106" w:rsidP="00E3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06" w:rsidRDefault="005D5106" w:rsidP="00E3592D">
      <w:pPr>
        <w:spacing w:after="0" w:line="240" w:lineRule="auto"/>
      </w:pPr>
      <w:r>
        <w:separator/>
      </w:r>
    </w:p>
  </w:footnote>
  <w:footnote w:type="continuationSeparator" w:id="0">
    <w:p w:rsidR="005D5106" w:rsidRDefault="005D5106" w:rsidP="00E35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6492"/>
    <w:multiLevelType w:val="multilevel"/>
    <w:tmpl w:val="181C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04"/>
    <w:rsid w:val="00093832"/>
    <w:rsid w:val="00224E7B"/>
    <w:rsid w:val="00302B7D"/>
    <w:rsid w:val="00501E97"/>
    <w:rsid w:val="005D2DF3"/>
    <w:rsid w:val="005D5106"/>
    <w:rsid w:val="005E78A3"/>
    <w:rsid w:val="00717F52"/>
    <w:rsid w:val="00756204"/>
    <w:rsid w:val="00824D90"/>
    <w:rsid w:val="00A70FBD"/>
    <w:rsid w:val="00B06AE4"/>
    <w:rsid w:val="00BB350F"/>
    <w:rsid w:val="00C7288C"/>
    <w:rsid w:val="00D30327"/>
    <w:rsid w:val="00DB0226"/>
    <w:rsid w:val="00E3592D"/>
    <w:rsid w:val="00E9698C"/>
    <w:rsid w:val="00FA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592D"/>
    <w:pPr>
      <w:spacing w:before="100" w:beforeAutospacing="1" w:after="100" w:afterAutospacing="1" w:line="240" w:lineRule="auto"/>
      <w:outlineLvl w:val="1"/>
    </w:pPr>
    <w:rPr>
      <w:rFonts w:ascii="Arial" w:eastAsia="Times New Roman" w:hAnsi="Arial" w:cs="Arial"/>
      <w:b/>
      <w:bCs/>
      <w:sz w:val="36"/>
      <w:szCs w:val="36"/>
    </w:rPr>
  </w:style>
  <w:style w:type="paragraph" w:styleId="Heading3">
    <w:name w:val="heading 3"/>
    <w:basedOn w:val="Normal"/>
    <w:link w:val="Heading3Char"/>
    <w:uiPriority w:val="9"/>
    <w:qFormat/>
    <w:rsid w:val="00E3592D"/>
    <w:pPr>
      <w:spacing w:before="100" w:beforeAutospacing="1" w:after="100" w:afterAutospacing="1" w:line="240" w:lineRule="auto"/>
      <w:outlineLvl w:val="2"/>
    </w:pPr>
    <w:rPr>
      <w:rFonts w:ascii="Arial" w:eastAsia="Times New Roman"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204"/>
    <w:rPr>
      <w:rFonts w:ascii="Tahoma" w:hAnsi="Tahoma" w:cs="Tahoma"/>
      <w:sz w:val="16"/>
      <w:szCs w:val="16"/>
    </w:rPr>
  </w:style>
  <w:style w:type="character" w:customStyle="1" w:styleId="Heading2Char">
    <w:name w:val="Heading 2 Char"/>
    <w:basedOn w:val="DefaultParagraphFont"/>
    <w:link w:val="Heading2"/>
    <w:uiPriority w:val="9"/>
    <w:rsid w:val="00E3592D"/>
    <w:rPr>
      <w:rFonts w:ascii="Arial" w:eastAsia="Times New Roman" w:hAnsi="Arial" w:cs="Arial"/>
      <w:b/>
      <w:bCs/>
      <w:sz w:val="36"/>
      <w:szCs w:val="36"/>
    </w:rPr>
  </w:style>
  <w:style w:type="character" w:customStyle="1" w:styleId="Heading3Char">
    <w:name w:val="Heading 3 Char"/>
    <w:basedOn w:val="DefaultParagraphFont"/>
    <w:link w:val="Heading3"/>
    <w:uiPriority w:val="9"/>
    <w:rsid w:val="00E3592D"/>
    <w:rPr>
      <w:rFonts w:ascii="Arial" w:eastAsia="Times New Roman" w:hAnsi="Arial" w:cs="Arial"/>
      <w:b/>
      <w:bCs/>
      <w:sz w:val="27"/>
      <w:szCs w:val="27"/>
    </w:rPr>
  </w:style>
  <w:style w:type="character" w:styleId="Hyperlink">
    <w:name w:val="Hyperlink"/>
    <w:basedOn w:val="DefaultParagraphFont"/>
    <w:uiPriority w:val="99"/>
    <w:semiHidden/>
    <w:unhideWhenUsed/>
    <w:rsid w:val="00E3592D"/>
    <w:rPr>
      <w:color w:val="0000FF"/>
      <w:u w:val="single"/>
      <w:shd w:val="clear" w:color="auto" w:fill="auto"/>
    </w:rPr>
  </w:style>
  <w:style w:type="character" w:styleId="Strong">
    <w:name w:val="Strong"/>
    <w:basedOn w:val="DefaultParagraphFont"/>
    <w:uiPriority w:val="22"/>
    <w:qFormat/>
    <w:rsid w:val="00E3592D"/>
    <w:rPr>
      <w:b/>
      <w:bCs/>
    </w:rPr>
  </w:style>
  <w:style w:type="paragraph" w:styleId="NormalWeb">
    <w:name w:val="Normal (Web)"/>
    <w:basedOn w:val="Normal"/>
    <w:uiPriority w:val="99"/>
    <w:unhideWhenUsed/>
    <w:rsid w:val="00E3592D"/>
    <w:pPr>
      <w:spacing w:before="100" w:beforeAutospacing="1" w:after="100" w:afterAutospacing="1" w:line="240" w:lineRule="auto"/>
    </w:pPr>
    <w:rPr>
      <w:rFonts w:ascii="Arial" w:eastAsia="Times New Roman" w:hAnsi="Arial" w:cs="Arial"/>
    </w:rPr>
  </w:style>
  <w:style w:type="paragraph" w:customStyle="1" w:styleId="note">
    <w:name w:val="note"/>
    <w:basedOn w:val="Normal"/>
    <w:rsid w:val="00E3592D"/>
    <w:pPr>
      <w:spacing w:before="100" w:beforeAutospacing="1" w:after="100" w:afterAutospacing="1" w:line="240" w:lineRule="auto"/>
    </w:pPr>
    <w:rPr>
      <w:rFonts w:ascii="Arial" w:eastAsia="Times New Roman" w:hAnsi="Arial" w:cs="Arial"/>
      <w:sz w:val="18"/>
      <w:szCs w:val="18"/>
    </w:rPr>
  </w:style>
  <w:style w:type="paragraph" w:styleId="Header">
    <w:name w:val="header"/>
    <w:basedOn w:val="Normal"/>
    <w:link w:val="HeaderChar"/>
    <w:uiPriority w:val="99"/>
    <w:unhideWhenUsed/>
    <w:rsid w:val="00E35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2D"/>
  </w:style>
  <w:style w:type="paragraph" w:styleId="Footer">
    <w:name w:val="footer"/>
    <w:basedOn w:val="Normal"/>
    <w:link w:val="FooterChar"/>
    <w:uiPriority w:val="99"/>
    <w:unhideWhenUsed/>
    <w:rsid w:val="00E35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592D"/>
    <w:pPr>
      <w:spacing w:before="100" w:beforeAutospacing="1" w:after="100" w:afterAutospacing="1" w:line="240" w:lineRule="auto"/>
      <w:outlineLvl w:val="1"/>
    </w:pPr>
    <w:rPr>
      <w:rFonts w:ascii="Arial" w:eastAsia="Times New Roman" w:hAnsi="Arial" w:cs="Arial"/>
      <w:b/>
      <w:bCs/>
      <w:sz w:val="36"/>
      <w:szCs w:val="36"/>
    </w:rPr>
  </w:style>
  <w:style w:type="paragraph" w:styleId="Heading3">
    <w:name w:val="heading 3"/>
    <w:basedOn w:val="Normal"/>
    <w:link w:val="Heading3Char"/>
    <w:uiPriority w:val="9"/>
    <w:qFormat/>
    <w:rsid w:val="00E3592D"/>
    <w:pPr>
      <w:spacing w:before="100" w:beforeAutospacing="1" w:after="100" w:afterAutospacing="1" w:line="240" w:lineRule="auto"/>
      <w:outlineLvl w:val="2"/>
    </w:pPr>
    <w:rPr>
      <w:rFonts w:ascii="Arial" w:eastAsia="Times New Roman"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204"/>
    <w:rPr>
      <w:rFonts w:ascii="Tahoma" w:hAnsi="Tahoma" w:cs="Tahoma"/>
      <w:sz w:val="16"/>
      <w:szCs w:val="16"/>
    </w:rPr>
  </w:style>
  <w:style w:type="character" w:customStyle="1" w:styleId="Heading2Char">
    <w:name w:val="Heading 2 Char"/>
    <w:basedOn w:val="DefaultParagraphFont"/>
    <w:link w:val="Heading2"/>
    <w:uiPriority w:val="9"/>
    <w:rsid w:val="00E3592D"/>
    <w:rPr>
      <w:rFonts w:ascii="Arial" w:eastAsia="Times New Roman" w:hAnsi="Arial" w:cs="Arial"/>
      <w:b/>
      <w:bCs/>
      <w:sz w:val="36"/>
      <w:szCs w:val="36"/>
    </w:rPr>
  </w:style>
  <w:style w:type="character" w:customStyle="1" w:styleId="Heading3Char">
    <w:name w:val="Heading 3 Char"/>
    <w:basedOn w:val="DefaultParagraphFont"/>
    <w:link w:val="Heading3"/>
    <w:uiPriority w:val="9"/>
    <w:rsid w:val="00E3592D"/>
    <w:rPr>
      <w:rFonts w:ascii="Arial" w:eastAsia="Times New Roman" w:hAnsi="Arial" w:cs="Arial"/>
      <w:b/>
      <w:bCs/>
      <w:sz w:val="27"/>
      <w:szCs w:val="27"/>
    </w:rPr>
  </w:style>
  <w:style w:type="character" w:styleId="Hyperlink">
    <w:name w:val="Hyperlink"/>
    <w:basedOn w:val="DefaultParagraphFont"/>
    <w:uiPriority w:val="99"/>
    <w:semiHidden/>
    <w:unhideWhenUsed/>
    <w:rsid w:val="00E3592D"/>
    <w:rPr>
      <w:color w:val="0000FF"/>
      <w:u w:val="single"/>
      <w:shd w:val="clear" w:color="auto" w:fill="auto"/>
    </w:rPr>
  </w:style>
  <w:style w:type="character" w:styleId="Strong">
    <w:name w:val="Strong"/>
    <w:basedOn w:val="DefaultParagraphFont"/>
    <w:uiPriority w:val="22"/>
    <w:qFormat/>
    <w:rsid w:val="00E3592D"/>
    <w:rPr>
      <w:b/>
      <w:bCs/>
    </w:rPr>
  </w:style>
  <w:style w:type="paragraph" w:styleId="NormalWeb">
    <w:name w:val="Normal (Web)"/>
    <w:basedOn w:val="Normal"/>
    <w:uiPriority w:val="99"/>
    <w:unhideWhenUsed/>
    <w:rsid w:val="00E3592D"/>
    <w:pPr>
      <w:spacing w:before="100" w:beforeAutospacing="1" w:after="100" w:afterAutospacing="1" w:line="240" w:lineRule="auto"/>
    </w:pPr>
    <w:rPr>
      <w:rFonts w:ascii="Arial" w:eastAsia="Times New Roman" w:hAnsi="Arial" w:cs="Arial"/>
    </w:rPr>
  </w:style>
  <w:style w:type="paragraph" w:customStyle="1" w:styleId="note">
    <w:name w:val="note"/>
    <w:basedOn w:val="Normal"/>
    <w:rsid w:val="00E3592D"/>
    <w:pPr>
      <w:spacing w:before="100" w:beforeAutospacing="1" w:after="100" w:afterAutospacing="1" w:line="240" w:lineRule="auto"/>
    </w:pPr>
    <w:rPr>
      <w:rFonts w:ascii="Arial" w:eastAsia="Times New Roman" w:hAnsi="Arial" w:cs="Arial"/>
      <w:sz w:val="18"/>
      <w:szCs w:val="18"/>
    </w:rPr>
  </w:style>
  <w:style w:type="paragraph" w:styleId="Header">
    <w:name w:val="header"/>
    <w:basedOn w:val="Normal"/>
    <w:link w:val="HeaderChar"/>
    <w:uiPriority w:val="99"/>
    <w:unhideWhenUsed/>
    <w:rsid w:val="00E35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2D"/>
  </w:style>
  <w:style w:type="paragraph" w:styleId="Footer">
    <w:name w:val="footer"/>
    <w:basedOn w:val="Normal"/>
    <w:link w:val="FooterChar"/>
    <w:uiPriority w:val="99"/>
    <w:unhideWhenUsed/>
    <w:rsid w:val="00E35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dps.tsa.dhs.gov/xml/tsa/login/TSA_Login.xml" TargetMode="External"/><Relationship Id="rId13" Type="http://schemas.openxmlformats.org/officeDocument/2006/relationships/hyperlink" Target="https://pfdps.tsa.dhs.gov/xml/tsa/tsa_20011231.html" TargetMode="External"/><Relationship Id="rId18" Type="http://schemas.openxmlformats.org/officeDocument/2006/relationships/hyperlink" Target="https://pfdps.tsa.dhs.gov/xml/tsa/TSA_Form_2502_120803.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TSA-Fees@dhs.gov" TargetMode="External"/><Relationship Id="rId7" Type="http://schemas.openxmlformats.org/officeDocument/2006/relationships/endnotes" Target="endnotes.xml"/><Relationship Id="rId12" Type="http://schemas.openxmlformats.org/officeDocument/2006/relationships/hyperlink" Target="https://pfdps.tsa.dhs.gov/xml/tsa/tsa_20011231.pdf" TargetMode="External"/><Relationship Id="rId17" Type="http://schemas.openxmlformats.org/officeDocument/2006/relationships/hyperlink" Target="http://www.regulations.gov/search/Regs/home.html"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access.gpo.gov/su_docs/aces/aces140.html" TargetMode="External"/><Relationship Id="rId20" Type="http://schemas.openxmlformats.org/officeDocument/2006/relationships/hyperlink" Target="http://www.tsa.gov/index.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sa.gov" TargetMode="External"/><Relationship Id="rId24" Type="http://schemas.openxmlformats.org/officeDocument/2006/relationships/hyperlink" Target="https://pfdps.tsa.dhs.gov/xml/tsa/html/privacy.html" TargetMode="External"/><Relationship Id="rId5" Type="http://schemas.openxmlformats.org/officeDocument/2006/relationships/webSettings" Target="webSettings.xml"/><Relationship Id="rId15" Type="http://schemas.openxmlformats.org/officeDocument/2006/relationships/hyperlink" Target="https://pfdps.tsa.dhs.gov/xml/tsa/tsa_20020328.html" TargetMode="External"/><Relationship Id="rId23" Type="http://schemas.openxmlformats.org/officeDocument/2006/relationships/hyperlink" Target="http://www.tsa.gov/research/foia/index.shtm" TargetMode="External"/><Relationship Id="rId10" Type="http://schemas.openxmlformats.org/officeDocument/2006/relationships/hyperlink" Target="https://pfdps.tsa.dhs.gov/xml/tsa/TSA_Form_2504_FINAL_090901.pdf" TargetMode="Externa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dhs.gov/stopthinkconnect-heartbleed" TargetMode="External"/><Relationship Id="rId14" Type="http://schemas.openxmlformats.org/officeDocument/2006/relationships/hyperlink" Target="https://pfdps.tsa.dhs.gov/xml/tsa/tsa_20020328.pdf" TargetMode="External"/><Relationship Id="rId22" Type="http://schemas.openxmlformats.org/officeDocument/2006/relationships/hyperlink" Target="https://pfdps.tsa.dhs.gov/xml/tsa/html/508.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Kline</dc:creator>
  <cp:lastModifiedBy>tyrone.huff</cp:lastModifiedBy>
  <cp:revision>2</cp:revision>
  <dcterms:created xsi:type="dcterms:W3CDTF">2014-07-18T18:28:00Z</dcterms:created>
  <dcterms:modified xsi:type="dcterms:W3CDTF">2014-07-18T18:28:00Z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