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855787" w:rsidRDefault="008011B6">
      <w:pPr>
        <w:pStyle w:val="Title"/>
        <w:rPr>
          <w:rFonts w:asciiTheme="majorHAnsi" w:hAnsiTheme="majorHAnsi"/>
          <w:sz w:val="24"/>
          <w:szCs w:val="24"/>
        </w:rPr>
      </w:pPr>
    </w:p>
    <w:p w:rsidR="00386054" w:rsidRPr="00855787" w:rsidRDefault="00386054">
      <w:pPr>
        <w:pStyle w:val="Title"/>
        <w:rPr>
          <w:rFonts w:asciiTheme="majorHAnsi" w:hAnsiTheme="majorHAnsi"/>
          <w:sz w:val="24"/>
          <w:szCs w:val="24"/>
        </w:rPr>
      </w:pPr>
      <w:r w:rsidRPr="00855787">
        <w:rPr>
          <w:rFonts w:asciiTheme="majorHAnsi" w:hAnsiTheme="majorHAnsi"/>
          <w:sz w:val="24"/>
          <w:szCs w:val="24"/>
        </w:rPr>
        <w:tab/>
        <w:t>SUPPORTING STATEMENT</w:t>
      </w:r>
    </w:p>
    <w:p w:rsidR="00386054" w:rsidRPr="00855787" w:rsidRDefault="00386054">
      <w:pPr>
        <w:pStyle w:val="Title"/>
        <w:rPr>
          <w:rFonts w:asciiTheme="majorHAnsi" w:hAnsiTheme="majorHAnsi"/>
          <w:sz w:val="24"/>
          <w:szCs w:val="24"/>
        </w:rPr>
      </w:pPr>
      <w:r w:rsidRPr="00855787">
        <w:rPr>
          <w:rFonts w:asciiTheme="majorHAnsi" w:hAnsiTheme="majorHAnsi"/>
          <w:sz w:val="24"/>
          <w:szCs w:val="24"/>
        </w:rPr>
        <w:tab/>
        <w:t>FOR PAPERWORK REDUCTION ACT SUBMISSION</w:t>
      </w:r>
    </w:p>
    <w:p w:rsidR="00386054" w:rsidRPr="00855787" w:rsidRDefault="00386054">
      <w:pPr>
        <w:tabs>
          <w:tab w:val="left" w:pos="0"/>
        </w:tabs>
        <w:suppressAutoHyphens/>
        <w:rPr>
          <w:rFonts w:asciiTheme="majorHAnsi" w:hAnsiTheme="majorHAnsi"/>
          <w:b/>
          <w:szCs w:val="24"/>
        </w:rPr>
      </w:pPr>
    </w:p>
    <w:p w:rsidR="00386054" w:rsidRPr="00855787" w:rsidRDefault="00386054">
      <w:pPr>
        <w:tabs>
          <w:tab w:val="left" w:pos="0"/>
        </w:tabs>
        <w:suppressAutoHyphens/>
        <w:rPr>
          <w:rFonts w:asciiTheme="majorHAnsi" w:hAnsiTheme="majorHAnsi"/>
          <w:szCs w:val="24"/>
        </w:rPr>
      </w:pPr>
      <w:r w:rsidRPr="00855787">
        <w:rPr>
          <w:rFonts w:asciiTheme="majorHAnsi" w:hAnsiTheme="majorHAnsi"/>
          <w:b/>
          <w:szCs w:val="24"/>
        </w:rPr>
        <w:t xml:space="preserve">A. Justification </w:t>
      </w:r>
    </w:p>
    <w:p w:rsidR="00386054" w:rsidRPr="00855787" w:rsidRDefault="00386054">
      <w:pPr>
        <w:tabs>
          <w:tab w:val="left" w:pos="0"/>
        </w:tabs>
        <w:suppressAutoHyphens/>
        <w:rPr>
          <w:rFonts w:asciiTheme="majorHAnsi" w:hAnsiTheme="majorHAnsi"/>
          <w:szCs w:val="24"/>
        </w:rPr>
      </w:pPr>
    </w:p>
    <w:p w:rsidR="00386054" w:rsidRPr="00855787" w:rsidRDefault="00386054">
      <w:pPr>
        <w:tabs>
          <w:tab w:val="left" w:pos="0"/>
        </w:tabs>
        <w:suppressAutoHyphens/>
        <w:rPr>
          <w:rFonts w:asciiTheme="majorHAnsi" w:hAnsiTheme="majorHAnsi"/>
          <w:szCs w:val="24"/>
        </w:rPr>
      </w:pPr>
      <w:r w:rsidRPr="00855787">
        <w:rPr>
          <w:rFonts w:asciiTheme="majorHAnsi" w:hAnsiTheme="majorHAnsi"/>
          <w:szCs w:val="24"/>
        </w:rPr>
        <w:t xml:space="preserve">1.  Explain the circumstances that make the collection of information necessary.  Identify any legal or administrative requirements that necessitate the collection.  Attach a </w:t>
      </w:r>
      <w:r w:rsidR="003C7F70" w:rsidRPr="00855787">
        <w:rPr>
          <w:rFonts w:asciiTheme="majorHAnsi" w:hAnsiTheme="majorHAnsi"/>
          <w:szCs w:val="24"/>
        </w:rPr>
        <w:t xml:space="preserve">hard </w:t>
      </w:r>
      <w:r w:rsidRPr="00855787">
        <w:rPr>
          <w:rFonts w:asciiTheme="majorHAnsi" w:hAnsiTheme="majorHAnsi"/>
          <w:szCs w:val="24"/>
        </w:rPr>
        <w:t>copy of the appropriate section of each statute and regulation mandating or authorizing the collection of information</w:t>
      </w:r>
      <w:r w:rsidR="003C7F70" w:rsidRPr="00855787">
        <w:rPr>
          <w:rFonts w:asciiTheme="majorHAnsi" w:hAnsiTheme="majorHAnsi"/>
          <w:szCs w:val="24"/>
        </w:rPr>
        <w:t>,</w:t>
      </w:r>
      <w:r w:rsidR="00050CBE" w:rsidRPr="00855787">
        <w:rPr>
          <w:rFonts w:asciiTheme="majorHAnsi" w:hAnsiTheme="majorHAnsi"/>
          <w:szCs w:val="24"/>
        </w:rPr>
        <w:t xml:space="preserve"> or </w:t>
      </w:r>
      <w:r w:rsidR="003C7F70" w:rsidRPr="00855787">
        <w:rPr>
          <w:rFonts w:asciiTheme="majorHAnsi" w:hAnsiTheme="majorHAnsi"/>
          <w:szCs w:val="24"/>
        </w:rPr>
        <w:t xml:space="preserve">you may </w:t>
      </w:r>
      <w:r w:rsidR="00050CBE" w:rsidRPr="00855787">
        <w:rPr>
          <w:rFonts w:asciiTheme="majorHAnsi" w:hAnsiTheme="majorHAnsi"/>
          <w:szCs w:val="24"/>
        </w:rPr>
        <w:t xml:space="preserve">provide a valid </w:t>
      </w:r>
      <w:r w:rsidR="003C7F70" w:rsidRPr="00855787">
        <w:rPr>
          <w:rFonts w:asciiTheme="majorHAnsi" w:hAnsiTheme="majorHAnsi"/>
          <w:szCs w:val="24"/>
        </w:rPr>
        <w:t>URL</w:t>
      </w:r>
      <w:r w:rsidR="00050CBE" w:rsidRPr="00855787">
        <w:rPr>
          <w:rFonts w:asciiTheme="majorHAnsi" w:hAnsiTheme="majorHAnsi"/>
          <w:szCs w:val="24"/>
        </w:rPr>
        <w:t xml:space="preserve"> link or paste the applicable section</w:t>
      </w:r>
      <w:r w:rsidR="003C7F70" w:rsidRPr="00855787">
        <w:rPr>
          <w:rStyle w:val="FootnoteReference"/>
          <w:rFonts w:asciiTheme="majorHAnsi" w:hAnsiTheme="majorHAnsi"/>
          <w:szCs w:val="24"/>
        </w:rPr>
        <w:footnoteReference w:id="1"/>
      </w:r>
      <w:r w:rsidRPr="00855787">
        <w:rPr>
          <w:rFonts w:asciiTheme="majorHAnsi" w:hAnsiTheme="majorHAnsi"/>
          <w:szCs w:val="24"/>
        </w:rPr>
        <w:t>. Specify the review type of the collection (new, revision, extension, reinstatement with change, reinstatement without change)</w:t>
      </w:r>
      <w:r w:rsidR="00050CBE" w:rsidRPr="00855787">
        <w:rPr>
          <w:rFonts w:asciiTheme="majorHAnsi" w:hAnsiTheme="majorHAnsi"/>
          <w:szCs w:val="24"/>
        </w:rPr>
        <w:t>. If revised, briefly specify the changes.  If a rulemaking is involved, make note of the sections or changed sections, if applicable.</w:t>
      </w:r>
    </w:p>
    <w:p w:rsidR="00386054" w:rsidRPr="00855787" w:rsidRDefault="00386054">
      <w:pPr>
        <w:tabs>
          <w:tab w:val="left" w:pos="0"/>
        </w:tabs>
        <w:suppressAutoHyphens/>
        <w:rPr>
          <w:rFonts w:asciiTheme="majorHAnsi" w:hAnsiTheme="majorHAnsi"/>
          <w:b/>
          <w:szCs w:val="24"/>
        </w:rPr>
      </w:pPr>
    </w:p>
    <w:p w:rsidR="00F9268C" w:rsidRPr="00F9268C" w:rsidRDefault="00F9268C" w:rsidP="00635B24">
      <w:pPr>
        <w:rPr>
          <w:rFonts w:ascii="Times New Roman" w:hAnsi="Times New Roman"/>
          <w:b/>
        </w:rPr>
      </w:pPr>
      <w:r w:rsidRPr="00F9268C">
        <w:rPr>
          <w:rFonts w:ascii="Times New Roman" w:hAnsi="Times New Roman"/>
          <w:b/>
        </w:rPr>
        <w:t xml:space="preserve">Information collection for the Undergraduate International Studies and Foreign Language (UISFL) program is necessary for institutions of higher education, nonprofit educational organizations, and public and private nonprofit organizations to receive grants. The Office of Management and Budget (OMB) number 1840-0796 that indicates approval for the collection of information for this program </w:t>
      </w:r>
      <w:r w:rsidR="00AF3579">
        <w:rPr>
          <w:rFonts w:ascii="Times New Roman" w:hAnsi="Times New Roman"/>
          <w:b/>
        </w:rPr>
        <w:t>was discontinued on</w:t>
      </w:r>
      <w:r w:rsidRPr="00F9268C">
        <w:rPr>
          <w:rFonts w:ascii="Times New Roman" w:hAnsi="Times New Roman"/>
          <w:b/>
        </w:rPr>
        <w:t xml:space="preserve"> August 31, 2013</w:t>
      </w:r>
      <w:r w:rsidR="00AF3579">
        <w:rPr>
          <w:rFonts w:ascii="Times New Roman" w:hAnsi="Times New Roman"/>
          <w:b/>
        </w:rPr>
        <w:t xml:space="preserve"> to allow for revisions to the collection due to new GPRA measures</w:t>
      </w:r>
      <w:r w:rsidRPr="00F9268C">
        <w:rPr>
          <w:rFonts w:ascii="Times New Roman" w:hAnsi="Times New Roman"/>
          <w:b/>
        </w:rPr>
        <w:t xml:space="preserve">.  We request a reinstatement </w:t>
      </w:r>
      <w:r w:rsidR="00AF3579">
        <w:rPr>
          <w:rFonts w:ascii="Times New Roman" w:hAnsi="Times New Roman"/>
          <w:b/>
        </w:rPr>
        <w:t xml:space="preserve">with change </w:t>
      </w:r>
      <w:r w:rsidRPr="00F9268C">
        <w:rPr>
          <w:rFonts w:ascii="Times New Roman" w:hAnsi="Times New Roman"/>
          <w:b/>
        </w:rPr>
        <w:t xml:space="preserve">to allow International </w:t>
      </w:r>
      <w:r w:rsidR="00AF3579">
        <w:rPr>
          <w:rFonts w:ascii="Times New Roman" w:hAnsi="Times New Roman"/>
          <w:b/>
        </w:rPr>
        <w:t xml:space="preserve">and Foreign Language </w:t>
      </w:r>
      <w:r w:rsidRPr="00F9268C">
        <w:rPr>
          <w:rFonts w:ascii="Times New Roman" w:hAnsi="Times New Roman"/>
          <w:b/>
        </w:rPr>
        <w:t xml:space="preserve">Education </w:t>
      </w:r>
      <w:r w:rsidR="00AF3579">
        <w:rPr>
          <w:rFonts w:ascii="Times New Roman" w:hAnsi="Times New Roman"/>
          <w:b/>
        </w:rPr>
        <w:t>(IFLE</w:t>
      </w:r>
      <w:r w:rsidRPr="00F9268C">
        <w:rPr>
          <w:rFonts w:ascii="Times New Roman" w:hAnsi="Times New Roman"/>
          <w:b/>
        </w:rPr>
        <w:t xml:space="preserve">) to invite applications under the UISFL program, conduct peer reviews of grant applications, select grant recipients, and make new awards within established grant schedules.  </w:t>
      </w:r>
    </w:p>
    <w:p w:rsidR="00F9268C" w:rsidRPr="00F9268C" w:rsidRDefault="00F9268C" w:rsidP="00635B24">
      <w:pPr>
        <w:rPr>
          <w:rFonts w:ascii="Times New Roman" w:hAnsi="Times New Roman"/>
          <w:b/>
          <w:u w:val="single"/>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1248"/>
        <w:gridCol w:w="1620"/>
        <w:gridCol w:w="3330"/>
      </w:tblGrid>
      <w:tr w:rsidR="00F9268C" w:rsidRPr="00F9268C" w:rsidTr="002F3549">
        <w:tc>
          <w:tcPr>
            <w:tcW w:w="4080" w:type="dxa"/>
            <w:shd w:val="clear" w:color="auto" w:fill="E0E0E0"/>
          </w:tcPr>
          <w:p w:rsidR="00F9268C" w:rsidRPr="00F9268C" w:rsidRDefault="00F9268C" w:rsidP="00635B24">
            <w:pPr>
              <w:ind w:firstLine="90"/>
              <w:rPr>
                <w:rFonts w:ascii="Times New Roman" w:hAnsi="Times New Roman"/>
                <w:b/>
              </w:rPr>
            </w:pPr>
            <w:r w:rsidRPr="00F9268C">
              <w:rPr>
                <w:rFonts w:ascii="Times New Roman" w:hAnsi="Times New Roman"/>
                <w:b/>
              </w:rPr>
              <w:t xml:space="preserve">Information Collection </w:t>
            </w:r>
          </w:p>
        </w:tc>
        <w:tc>
          <w:tcPr>
            <w:tcW w:w="1248" w:type="dxa"/>
            <w:shd w:val="clear" w:color="auto" w:fill="E0E0E0"/>
          </w:tcPr>
          <w:p w:rsidR="00F9268C" w:rsidRPr="00F9268C" w:rsidRDefault="00F9268C" w:rsidP="00404D87">
            <w:pPr>
              <w:ind w:firstLine="90"/>
              <w:jc w:val="center"/>
              <w:rPr>
                <w:rFonts w:ascii="Times New Roman" w:hAnsi="Times New Roman"/>
                <w:b/>
              </w:rPr>
            </w:pPr>
            <w:r w:rsidRPr="00F9268C">
              <w:rPr>
                <w:rFonts w:ascii="Times New Roman" w:hAnsi="Times New Roman"/>
                <w:b/>
              </w:rPr>
              <w:t>CFDA No.</w:t>
            </w:r>
          </w:p>
        </w:tc>
        <w:tc>
          <w:tcPr>
            <w:tcW w:w="1620" w:type="dxa"/>
            <w:shd w:val="clear" w:color="auto" w:fill="E0E0E0"/>
          </w:tcPr>
          <w:p w:rsidR="00F9268C" w:rsidRPr="00F9268C" w:rsidRDefault="00F9268C" w:rsidP="00404D87">
            <w:pPr>
              <w:ind w:firstLine="90"/>
              <w:jc w:val="center"/>
              <w:rPr>
                <w:rFonts w:ascii="Times New Roman" w:hAnsi="Times New Roman"/>
                <w:b/>
              </w:rPr>
            </w:pPr>
            <w:r w:rsidRPr="00F9268C">
              <w:rPr>
                <w:rFonts w:ascii="Times New Roman" w:hAnsi="Times New Roman"/>
                <w:b/>
              </w:rPr>
              <w:t>Date Respondents Submit</w:t>
            </w:r>
          </w:p>
          <w:p w:rsidR="00F9268C" w:rsidRPr="00F9268C" w:rsidRDefault="00F9268C" w:rsidP="00404D87">
            <w:pPr>
              <w:ind w:firstLine="90"/>
              <w:jc w:val="center"/>
              <w:rPr>
                <w:rFonts w:ascii="Times New Roman" w:hAnsi="Times New Roman"/>
                <w:b/>
              </w:rPr>
            </w:pPr>
            <w:r w:rsidRPr="00F9268C">
              <w:rPr>
                <w:rFonts w:ascii="Times New Roman" w:hAnsi="Times New Roman"/>
                <w:b/>
              </w:rPr>
              <w:t>Applications</w:t>
            </w:r>
          </w:p>
        </w:tc>
        <w:tc>
          <w:tcPr>
            <w:tcW w:w="3330" w:type="dxa"/>
            <w:shd w:val="clear" w:color="auto" w:fill="E0E0E0"/>
          </w:tcPr>
          <w:p w:rsidR="00F9268C" w:rsidRPr="00F9268C" w:rsidRDefault="00F9268C" w:rsidP="00404D87">
            <w:pPr>
              <w:jc w:val="center"/>
              <w:rPr>
                <w:rFonts w:ascii="Times New Roman" w:hAnsi="Times New Roman"/>
                <w:b/>
              </w:rPr>
            </w:pPr>
            <w:r w:rsidRPr="00F9268C">
              <w:rPr>
                <w:rFonts w:ascii="Times New Roman" w:hAnsi="Times New Roman"/>
                <w:b/>
              </w:rPr>
              <w:t>Information Collection Required for</w:t>
            </w:r>
            <w:r w:rsidR="00404D87">
              <w:rPr>
                <w:rFonts w:ascii="Times New Roman" w:hAnsi="Times New Roman"/>
                <w:b/>
              </w:rPr>
              <w:t xml:space="preserve"> </w:t>
            </w:r>
            <w:r w:rsidRPr="00F9268C">
              <w:rPr>
                <w:rFonts w:ascii="Times New Roman" w:hAnsi="Times New Roman"/>
                <w:b/>
              </w:rPr>
              <w:t>Fiscal Year Awards (</w:t>
            </w:r>
            <w:r w:rsidR="00404D87">
              <w:rPr>
                <w:rFonts w:ascii="Times New Roman" w:hAnsi="Times New Roman"/>
                <w:b/>
              </w:rPr>
              <w:t>Reinstatement</w:t>
            </w:r>
            <w:r w:rsidRPr="00F9268C">
              <w:rPr>
                <w:rFonts w:ascii="Times New Roman" w:hAnsi="Times New Roman"/>
                <w:b/>
              </w:rPr>
              <w:t>)</w:t>
            </w:r>
          </w:p>
        </w:tc>
      </w:tr>
      <w:tr w:rsidR="00F9268C" w:rsidRPr="00F9268C" w:rsidTr="002F3549">
        <w:tc>
          <w:tcPr>
            <w:tcW w:w="4080" w:type="dxa"/>
          </w:tcPr>
          <w:p w:rsidR="00F9268C" w:rsidRPr="00F9268C" w:rsidRDefault="00F9268C" w:rsidP="00635B24">
            <w:pPr>
              <w:rPr>
                <w:rFonts w:asciiTheme="majorHAnsi" w:hAnsiTheme="majorHAnsi"/>
                <w:b/>
              </w:rPr>
            </w:pPr>
            <w:bookmarkStart w:id="0" w:name="_GoBack"/>
            <w:r w:rsidRPr="00F9268C">
              <w:rPr>
                <w:rFonts w:asciiTheme="majorHAnsi" w:hAnsiTheme="majorHAnsi"/>
                <w:b/>
              </w:rPr>
              <w:t xml:space="preserve">Undergraduate International Studies and Foreign Language Program </w:t>
            </w:r>
          </w:p>
        </w:tc>
        <w:tc>
          <w:tcPr>
            <w:tcW w:w="1248" w:type="dxa"/>
          </w:tcPr>
          <w:p w:rsidR="00F9268C" w:rsidRPr="00F9268C" w:rsidRDefault="00F9268C" w:rsidP="00635B24">
            <w:pPr>
              <w:ind w:firstLine="90"/>
              <w:rPr>
                <w:rFonts w:asciiTheme="majorHAnsi" w:hAnsiTheme="majorHAnsi"/>
                <w:b/>
              </w:rPr>
            </w:pPr>
            <w:r w:rsidRPr="00F9268C">
              <w:rPr>
                <w:rFonts w:asciiTheme="majorHAnsi" w:hAnsiTheme="majorHAnsi"/>
                <w:b/>
              </w:rPr>
              <w:t>84.016</w:t>
            </w:r>
          </w:p>
        </w:tc>
        <w:tc>
          <w:tcPr>
            <w:tcW w:w="1620" w:type="dxa"/>
          </w:tcPr>
          <w:p w:rsidR="00F9268C" w:rsidRPr="00F9268C" w:rsidRDefault="00F9268C" w:rsidP="00635B24">
            <w:pPr>
              <w:ind w:firstLine="90"/>
              <w:rPr>
                <w:rFonts w:asciiTheme="majorHAnsi" w:hAnsiTheme="majorHAnsi"/>
                <w:b/>
              </w:rPr>
            </w:pPr>
            <w:r w:rsidRPr="00F9268C">
              <w:rPr>
                <w:rFonts w:asciiTheme="majorHAnsi" w:hAnsiTheme="majorHAnsi"/>
                <w:b/>
              </w:rPr>
              <w:t>5/2014</w:t>
            </w:r>
          </w:p>
        </w:tc>
        <w:tc>
          <w:tcPr>
            <w:tcW w:w="3330" w:type="dxa"/>
          </w:tcPr>
          <w:p w:rsidR="00F9268C" w:rsidRPr="00F9268C" w:rsidRDefault="00F9268C" w:rsidP="00635B24">
            <w:pPr>
              <w:ind w:firstLine="90"/>
              <w:rPr>
                <w:rFonts w:asciiTheme="majorHAnsi" w:hAnsiTheme="majorHAnsi"/>
                <w:b/>
              </w:rPr>
            </w:pPr>
            <w:r w:rsidRPr="00F9268C">
              <w:rPr>
                <w:rFonts w:asciiTheme="majorHAnsi" w:hAnsiTheme="majorHAnsi"/>
                <w:b/>
              </w:rPr>
              <w:t>FY 2014</w:t>
            </w:r>
          </w:p>
        </w:tc>
      </w:tr>
      <w:bookmarkEnd w:id="0"/>
    </w:tbl>
    <w:p w:rsidR="00F9268C" w:rsidRPr="00F9268C" w:rsidRDefault="00F9268C" w:rsidP="00635B24">
      <w:pPr>
        <w:rPr>
          <w:rFonts w:asciiTheme="majorHAnsi" w:hAnsiTheme="majorHAnsi"/>
          <w:b/>
        </w:rPr>
      </w:pPr>
    </w:p>
    <w:p w:rsidR="00F9268C" w:rsidRPr="00F9268C" w:rsidRDefault="00F9268C" w:rsidP="00635B24">
      <w:pPr>
        <w:rPr>
          <w:rFonts w:asciiTheme="majorHAnsi" w:hAnsiTheme="majorHAnsi"/>
          <w:b/>
        </w:rPr>
      </w:pPr>
      <w:r w:rsidRPr="00F9268C">
        <w:rPr>
          <w:rFonts w:asciiTheme="majorHAnsi" w:hAnsiTheme="majorHAnsi"/>
          <w:b/>
        </w:rPr>
        <w:t>The UISFL program is authorized under part A, Title VI of the Higher Education Act of 1965 (HEA), as amended (P.L. 96-374).  Other legislation and regulations relevant to this information collection include the Government Performance and Results Act; section 427 of the General Education Provisions Act; the Government Paperwork Elimination Act; the Education Department General Administrative Regulations; and program specific regulations.</w:t>
      </w:r>
    </w:p>
    <w:p w:rsidR="00F9268C" w:rsidRPr="00F9268C" w:rsidRDefault="00F9268C" w:rsidP="00635B24">
      <w:pPr>
        <w:rPr>
          <w:rFonts w:asciiTheme="majorHAnsi" w:hAnsiTheme="majorHAnsi"/>
          <w:b/>
        </w:rPr>
      </w:pPr>
    </w:p>
    <w:p w:rsidR="00F9268C" w:rsidRPr="00F9268C" w:rsidRDefault="00F9268C" w:rsidP="00635B24">
      <w:pPr>
        <w:rPr>
          <w:rFonts w:asciiTheme="majorHAnsi" w:hAnsiTheme="majorHAnsi"/>
          <w:b/>
        </w:rPr>
      </w:pPr>
      <w:r w:rsidRPr="00F9268C">
        <w:rPr>
          <w:rFonts w:asciiTheme="majorHAnsi" w:hAnsiTheme="majorHAnsi"/>
          <w:b/>
        </w:rPr>
        <w:t>This information collection is being submitted under the Streamlined Clearance Process for Discretionary Grant Information Collections.</w:t>
      </w:r>
    </w:p>
    <w:p w:rsidR="00F9268C" w:rsidRPr="00F9268C" w:rsidRDefault="00F9268C" w:rsidP="00635B24">
      <w:pPr>
        <w:rPr>
          <w:rFonts w:asciiTheme="majorHAnsi" w:hAnsiTheme="majorHAnsi"/>
          <w:b/>
        </w:rPr>
      </w:pPr>
    </w:p>
    <w:p w:rsidR="00F9268C" w:rsidRPr="00F9268C" w:rsidRDefault="00F9268C" w:rsidP="00635B24">
      <w:pPr>
        <w:rPr>
          <w:rFonts w:asciiTheme="majorHAnsi" w:hAnsiTheme="majorHAnsi"/>
          <w:b/>
        </w:rPr>
      </w:pPr>
      <w:r w:rsidRPr="00F9268C">
        <w:rPr>
          <w:rFonts w:asciiTheme="majorHAnsi" w:hAnsiTheme="majorHAnsi"/>
          <w:b/>
        </w:rPr>
        <w:t xml:space="preserve">The Undergraduate International Studies and Foreign Language program provides grants to institutions of higher education, partnerships between nonprofit educational organizations and institutions of higher education, and public and private nonprofit organizations, to implement programs to strengthen and improve undergraduate instruction in international studies and foreign languages. </w:t>
      </w:r>
      <w:r w:rsidR="007D70BA">
        <w:rPr>
          <w:rFonts w:asciiTheme="majorHAnsi" w:hAnsiTheme="majorHAnsi"/>
          <w:b/>
        </w:rPr>
        <w:t xml:space="preserve"> This information collection is also associated with a notice or proposed priorities.</w:t>
      </w:r>
      <w:r w:rsidRPr="00F9268C">
        <w:rPr>
          <w:rFonts w:asciiTheme="majorHAnsi" w:hAnsiTheme="majorHAnsi"/>
          <w:b/>
        </w:rPr>
        <w:t xml:space="preserve">  </w:t>
      </w:r>
    </w:p>
    <w:p w:rsidR="00386054" w:rsidRPr="00855787" w:rsidRDefault="00386054">
      <w:pPr>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2.  Indicate how, by whom, and for what purpose the information is to be used.  Except for a new collection, indicate the actual use the agency has made of the information received from the current collection.</w:t>
      </w:r>
      <w:r w:rsidR="00050CBE" w:rsidRPr="00855787">
        <w:rPr>
          <w:rFonts w:asciiTheme="majorHAnsi" w:hAnsiTheme="majorHAnsi"/>
          <w:szCs w:val="24"/>
        </w:rPr>
        <w:t xml:space="preserve"> </w:t>
      </w:r>
    </w:p>
    <w:p w:rsidR="00386054" w:rsidRPr="00855787" w:rsidRDefault="00386054">
      <w:pPr>
        <w:tabs>
          <w:tab w:val="left" w:pos="-720"/>
        </w:tabs>
        <w:suppressAutoHyphens/>
        <w:rPr>
          <w:rFonts w:asciiTheme="majorHAnsi" w:hAnsiTheme="majorHAnsi"/>
          <w:szCs w:val="24"/>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 xml:space="preserve">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 quality applications.  When developing funding slates ED program officials consider the evaluations from the expert review panels, in conjunction with the </w:t>
      </w:r>
      <w:r w:rsidR="00635B24">
        <w:rPr>
          <w:rFonts w:asciiTheme="majorHAnsi" w:hAnsiTheme="majorHAnsi"/>
          <w:b/>
        </w:rPr>
        <w:t>UISFL</w:t>
      </w:r>
      <w:r w:rsidRPr="00855787">
        <w:rPr>
          <w:rFonts w:asciiTheme="majorHAnsi" w:hAnsiTheme="majorHAnsi"/>
          <w:b/>
        </w:rPr>
        <w:t xml:space="preserve"> legislative purposes and any Administration priorities.  ED program officials also use the collection to inform strategic planning; to establish goals, performance measures and objectives; to develop monitoring plans; or, to align program assessment standards with Department performance goals and initiatives.  </w:t>
      </w:r>
    </w:p>
    <w:p w:rsidR="00386054" w:rsidRPr="00855787" w:rsidRDefault="00386054">
      <w:pPr>
        <w:tabs>
          <w:tab w:val="left" w:pos="-720"/>
        </w:tabs>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55787">
        <w:rPr>
          <w:rFonts w:asciiTheme="majorHAnsi" w:hAnsiTheme="majorHAnsi"/>
          <w:szCs w:val="24"/>
        </w:rPr>
        <w:t xml:space="preserve"> </w:t>
      </w:r>
    </w:p>
    <w:p w:rsidR="00386054" w:rsidRPr="00855787" w:rsidRDefault="00386054">
      <w:pPr>
        <w:tabs>
          <w:tab w:val="left" w:pos="-720"/>
        </w:tabs>
        <w:suppressAutoHyphens/>
        <w:rPr>
          <w:rFonts w:asciiTheme="majorHAnsi" w:hAnsiTheme="majorHAnsi"/>
          <w:szCs w:val="24"/>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 xml:space="preserve">The information collection requires the electronic submission of applications using </w:t>
      </w:r>
      <w:r w:rsidR="00AF3579">
        <w:rPr>
          <w:rFonts w:asciiTheme="majorHAnsi" w:hAnsiTheme="majorHAnsi"/>
          <w:b/>
        </w:rPr>
        <w:t>Grants.gov.</w:t>
      </w:r>
      <w:r w:rsidRPr="00855787">
        <w:rPr>
          <w:rFonts w:asciiTheme="majorHAnsi" w:hAnsiTheme="majorHAnsi"/>
          <w:b/>
        </w:rPr>
        <w:t xml:space="preserve">   Submitting applications electronically reduces burden because applicants are not required to prepare and mail multiple hard copies of grant applications to the Department. </w:t>
      </w:r>
    </w:p>
    <w:p w:rsidR="00EA7B23" w:rsidRPr="00855787" w:rsidRDefault="00EA7B23" w:rsidP="00EA7B23">
      <w:pPr>
        <w:tabs>
          <w:tab w:val="left" w:pos="-720"/>
        </w:tabs>
        <w:suppressAutoHyphens/>
        <w:rPr>
          <w:rFonts w:asciiTheme="majorHAnsi" w:hAnsiTheme="majorHAnsi"/>
          <w:b/>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 xml:space="preserve">IFLE uses the Department’s Web site to notify prospective applicants about the </w:t>
      </w:r>
      <w:r w:rsidR="00635B24">
        <w:rPr>
          <w:rFonts w:asciiTheme="majorHAnsi" w:hAnsiTheme="majorHAnsi"/>
          <w:b/>
        </w:rPr>
        <w:t>UISFL</w:t>
      </w:r>
      <w:r w:rsidRPr="00855787">
        <w:rPr>
          <w:rFonts w:asciiTheme="majorHAnsi" w:hAnsiTheme="majorHAnsi"/>
          <w:b/>
        </w:rPr>
        <w:t xml:space="preserve"> program competition and deadline date.  We post the </w:t>
      </w:r>
      <w:r w:rsidR="00635B24">
        <w:rPr>
          <w:rFonts w:asciiTheme="majorHAnsi" w:hAnsiTheme="majorHAnsi"/>
          <w:b/>
        </w:rPr>
        <w:t>UISFL</w:t>
      </w:r>
      <w:r w:rsidRPr="00855787">
        <w:rPr>
          <w:rFonts w:asciiTheme="majorHAnsi" w:hAnsiTheme="majorHAnsi"/>
          <w:b/>
        </w:rPr>
        <w:t xml:space="preserve"> application package (instructions and forms) on the Web site for more effective and efficient access.  Additionally, we post Frequently-Asked Questions about the program on the </w:t>
      </w:r>
      <w:r w:rsidR="00635B24">
        <w:rPr>
          <w:rFonts w:asciiTheme="majorHAnsi" w:hAnsiTheme="majorHAnsi"/>
          <w:b/>
        </w:rPr>
        <w:t>UISFL</w:t>
      </w:r>
      <w:r w:rsidRPr="00855787">
        <w:rPr>
          <w:rFonts w:asciiTheme="majorHAnsi" w:hAnsiTheme="majorHAnsi"/>
          <w:b/>
        </w:rPr>
        <w:t xml:space="preserve"> program Web page, which makes technical assistance to the public more immediate.  Technical assistance is enhanced by posting the abstracts of currently funded projects on the Web site to help prospective applicants better understand the kinds of activities and projects that the </w:t>
      </w:r>
      <w:r w:rsidR="00635B24">
        <w:rPr>
          <w:rFonts w:asciiTheme="majorHAnsi" w:hAnsiTheme="majorHAnsi"/>
          <w:b/>
        </w:rPr>
        <w:t>UISFL</w:t>
      </w:r>
      <w:r w:rsidRPr="00855787">
        <w:rPr>
          <w:rFonts w:asciiTheme="majorHAnsi" w:hAnsiTheme="majorHAnsi"/>
          <w:b/>
        </w:rPr>
        <w:t xml:space="preserve"> program supports.  </w:t>
      </w:r>
    </w:p>
    <w:p w:rsidR="00386054" w:rsidRPr="00855787" w:rsidRDefault="00386054">
      <w:pPr>
        <w:tabs>
          <w:tab w:val="left" w:pos="-720"/>
        </w:tabs>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lastRenderedPageBreak/>
        <w:t>4.  Describe efforts to identify duplication.  Show specifically why any similar information already available cannot be used or modified for use for the purposes described in Item 2 above.</w:t>
      </w:r>
    </w:p>
    <w:p w:rsidR="00386054" w:rsidRPr="006C4A46" w:rsidRDefault="00386054">
      <w:pPr>
        <w:tabs>
          <w:tab w:val="left" w:pos="-720"/>
        </w:tabs>
        <w:suppressAutoHyphens/>
        <w:rPr>
          <w:rFonts w:asciiTheme="majorHAnsi" w:hAnsiTheme="majorHAnsi"/>
          <w:szCs w:val="24"/>
        </w:rPr>
      </w:pPr>
    </w:p>
    <w:p w:rsidR="00EA7B23" w:rsidRPr="00855787" w:rsidRDefault="00EA7B23" w:rsidP="00EA7B23">
      <w:pPr>
        <w:rPr>
          <w:rFonts w:asciiTheme="majorHAnsi" w:hAnsiTheme="majorHAnsi"/>
          <w:b/>
        </w:rPr>
      </w:pPr>
      <w:r w:rsidRPr="00855787">
        <w:rPr>
          <w:rFonts w:asciiTheme="majorHAnsi" w:hAnsiTheme="majorHAnsi"/>
          <w:b/>
        </w:rPr>
        <w:t xml:space="preserve">There are no information collections available that duplicate the information that the </w:t>
      </w:r>
      <w:r w:rsidR="00635B24">
        <w:rPr>
          <w:rFonts w:asciiTheme="majorHAnsi" w:hAnsiTheme="majorHAnsi"/>
          <w:b/>
        </w:rPr>
        <w:t>UISFL</w:t>
      </w:r>
      <w:r w:rsidRPr="00855787">
        <w:rPr>
          <w:rFonts w:asciiTheme="majorHAnsi" w:hAnsiTheme="majorHAnsi"/>
          <w:b/>
        </w:rPr>
        <w:t xml:space="preserve"> program application requests.  In regards to the uses listed in Item 2 above, there is no duplication elsewhere in the Federal government of IFLE program planning and oversight activities associated with this program. </w:t>
      </w:r>
    </w:p>
    <w:p w:rsidR="00EA7B23" w:rsidRPr="00855787" w:rsidRDefault="00EA7B23" w:rsidP="00EA7B23">
      <w:pPr>
        <w:rPr>
          <w:rFonts w:asciiTheme="majorHAnsi" w:hAnsiTheme="majorHAnsi"/>
          <w:b/>
        </w:rPr>
      </w:pPr>
    </w:p>
    <w:p w:rsidR="00EA7B23" w:rsidRPr="00855787" w:rsidRDefault="00EA7B23" w:rsidP="00EA7B23">
      <w:pPr>
        <w:rPr>
          <w:rFonts w:asciiTheme="majorHAnsi" w:hAnsiTheme="majorHAnsi"/>
          <w:b/>
        </w:rPr>
      </w:pPr>
      <w:r w:rsidRPr="00855787">
        <w:rPr>
          <w:rFonts w:asciiTheme="majorHAnsi" w:hAnsiTheme="majorHAnsi"/>
          <w:b/>
        </w:rPr>
        <w:t xml:space="preserve">The legislation, program regulations, and the respondents covered by this information collection are unique to the </w:t>
      </w:r>
      <w:r w:rsidR="00635B24">
        <w:rPr>
          <w:rFonts w:asciiTheme="majorHAnsi" w:hAnsiTheme="majorHAnsi"/>
          <w:b/>
        </w:rPr>
        <w:t xml:space="preserve">Undergraduate International Studies Foreign Language </w:t>
      </w:r>
      <w:r w:rsidR="00635B24" w:rsidRPr="006C4A46">
        <w:rPr>
          <w:rFonts w:asciiTheme="majorHAnsi" w:hAnsiTheme="majorHAnsi"/>
          <w:b/>
        </w:rPr>
        <w:t>program</w:t>
      </w:r>
      <w:r w:rsidRPr="00855787">
        <w:rPr>
          <w:rFonts w:asciiTheme="majorHAnsi" w:hAnsiTheme="majorHAnsi"/>
          <w:b/>
        </w:rPr>
        <w:t>.  No other similar programs exist in the Department, and no similar programs exist in other Federal agencies.</w:t>
      </w:r>
    </w:p>
    <w:p w:rsidR="00386054" w:rsidRPr="00855787" w:rsidRDefault="00386054">
      <w:pPr>
        <w:tabs>
          <w:tab w:val="left" w:pos="-720"/>
        </w:tabs>
        <w:suppressAutoHyphens/>
        <w:rPr>
          <w:rFonts w:asciiTheme="majorHAnsi" w:hAnsiTheme="majorHAnsi"/>
          <w:szCs w:val="24"/>
        </w:rPr>
      </w:pPr>
    </w:p>
    <w:p w:rsidR="00386054" w:rsidRPr="00855787" w:rsidRDefault="00386054" w:rsidP="00BD1325">
      <w:pPr>
        <w:rPr>
          <w:rFonts w:asciiTheme="majorHAnsi" w:hAnsiTheme="majorHAnsi"/>
          <w:szCs w:val="24"/>
        </w:rPr>
      </w:pPr>
      <w:r w:rsidRPr="00855787">
        <w:rPr>
          <w:rFonts w:asciiTheme="majorHAnsi" w:hAnsiTheme="majorHAns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855787" w:rsidRDefault="00386054">
      <w:pPr>
        <w:tabs>
          <w:tab w:val="left" w:pos="-720"/>
        </w:tabs>
        <w:suppressAutoHyphens/>
        <w:rPr>
          <w:rFonts w:asciiTheme="majorHAnsi" w:hAnsiTheme="majorHAnsi"/>
          <w:szCs w:val="24"/>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The collection of information does not impact small businesses or other small entities.</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6.  Describe the consequences to Federal program or policy activities if the collection is not conducted or is conducted less frequently, as well as any technical or legal obstacles to reducing burden.</w:t>
      </w:r>
    </w:p>
    <w:p w:rsidR="00386054" w:rsidRPr="00855787" w:rsidRDefault="00386054">
      <w:pPr>
        <w:tabs>
          <w:tab w:val="left" w:pos="-720"/>
        </w:tabs>
        <w:suppressAutoHyphens/>
        <w:rPr>
          <w:rFonts w:asciiTheme="majorHAnsi" w:hAnsiTheme="majorHAnsi"/>
          <w:szCs w:val="24"/>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 xml:space="preserve">If the collection is not conducted, ED cannot meet its grant making activities in accordance with approved schedules.  These activities include publication of the closing date notice, providing technical assistance to new respondents, conducting the peer review, transmitting the funding slate to ED program officials for approval, making grant awards, and notifying the Congress in a timely manner about successful applicants in the competition.  </w:t>
      </w:r>
    </w:p>
    <w:p w:rsidR="00EA7B23" w:rsidRPr="00855787" w:rsidRDefault="00EA7B23" w:rsidP="00EA7B23">
      <w:pPr>
        <w:tabs>
          <w:tab w:val="left" w:pos="-720"/>
        </w:tabs>
        <w:suppressAutoHyphens/>
        <w:rPr>
          <w:rFonts w:asciiTheme="majorHAnsi" w:hAnsiTheme="majorHAnsi"/>
          <w:b/>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 xml:space="preserve">The Department needs to make the application package available to the public so that eligible institutions of higher education have at least 45 days to prepare grant applications and submit them to the Department in June 2014.  Allowing this application due date will give IFLE sufficient time to make new fiscal year 2014 grant awards before September 30, 2014. </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7. Explain any special circumstances that would cause an information collection to be conducted in a manner:</w:t>
      </w:r>
    </w:p>
    <w:p w:rsidR="00386054" w:rsidRPr="00855787" w:rsidRDefault="00386054">
      <w:pPr>
        <w:tabs>
          <w:tab w:val="left" w:pos="-720"/>
        </w:tabs>
        <w:suppressAutoHyphens/>
        <w:rPr>
          <w:rFonts w:asciiTheme="majorHAnsi" w:hAnsiTheme="majorHAnsi"/>
          <w:b/>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lastRenderedPageBreak/>
        <w:t>requiring respondents to report information to the agency more often than quarterly;</w:t>
      </w:r>
    </w:p>
    <w:p w:rsidR="00386054" w:rsidRPr="00855787" w:rsidRDefault="00386054">
      <w:pPr>
        <w:numPr>
          <w:ilvl w:val="12"/>
          <w:numId w:val="0"/>
        </w:numPr>
        <w:tabs>
          <w:tab w:val="left" w:pos="-720"/>
        </w:tabs>
        <w:suppressAutoHyphens/>
        <w:ind w:left="340"/>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prepare a written response to a collection of information in fewer than 30 days after receipt of it;</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submit more than an original and two copies of any document;</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retain records, other than health, medical, government contract, grant-in-aid, or tax records for more than three years;</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in connection with a statistical survey, that is not designed to produce valid and reliable results than can be generalized to the universe of study;</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the use of a statistical data classification that has not been reviewed and approved by OMB;</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855787" w:rsidRDefault="00386054">
      <w:pPr>
        <w:tabs>
          <w:tab w:val="left" w:pos="-720"/>
        </w:tabs>
        <w:suppressAutoHyphens/>
        <w:rPr>
          <w:rFonts w:asciiTheme="majorHAnsi" w:hAnsiTheme="majorHAnsi"/>
          <w:szCs w:val="24"/>
        </w:rPr>
      </w:pPr>
    </w:p>
    <w:p w:rsidR="00F578F6" w:rsidRDefault="00F578F6" w:rsidP="00F578F6">
      <w:pPr>
        <w:tabs>
          <w:tab w:val="left" w:pos="-720"/>
        </w:tabs>
        <w:suppressAutoHyphens/>
        <w:rPr>
          <w:rFonts w:asciiTheme="majorHAnsi" w:hAnsiTheme="majorHAnsi"/>
          <w:b/>
        </w:rPr>
      </w:pPr>
      <w:r w:rsidRPr="00855787">
        <w:rPr>
          <w:rFonts w:asciiTheme="majorHAnsi" w:hAnsiTheme="majorHAnsi"/>
          <w:b/>
        </w:rPr>
        <w:t>The information collection does not involve any special circumstances that would impose these requirements and conditions on respondents.</w:t>
      </w:r>
    </w:p>
    <w:p w:rsidR="006C4A46" w:rsidRPr="00855787" w:rsidRDefault="006C4A46" w:rsidP="00F578F6">
      <w:pPr>
        <w:tabs>
          <w:tab w:val="left" w:pos="-720"/>
        </w:tabs>
        <w:suppressAutoHyphens/>
        <w:rPr>
          <w:rFonts w:asciiTheme="majorHAnsi" w:hAnsiTheme="majorHAnsi"/>
          <w:b/>
        </w:rPr>
      </w:pPr>
    </w:p>
    <w:p w:rsidR="00386054" w:rsidRPr="00855787" w:rsidRDefault="001743A5">
      <w:pPr>
        <w:numPr>
          <w:ilvl w:val="0"/>
          <w:numId w:val="2"/>
        </w:numPr>
        <w:tabs>
          <w:tab w:val="left" w:pos="-720"/>
          <w:tab w:val="left" w:pos="375"/>
        </w:tabs>
        <w:suppressAutoHyphens/>
        <w:rPr>
          <w:rFonts w:asciiTheme="majorHAnsi" w:hAnsiTheme="majorHAnsi"/>
          <w:szCs w:val="24"/>
        </w:rPr>
      </w:pPr>
      <w:r w:rsidRPr="00855787">
        <w:rPr>
          <w:rFonts w:asciiTheme="majorHAnsi" w:hAnsiTheme="majorHAnsi"/>
          <w:szCs w:val="24"/>
        </w:rPr>
        <w:t xml:space="preserve">As </w:t>
      </w:r>
      <w:r w:rsidR="00386054" w:rsidRPr="00855787">
        <w:rPr>
          <w:rFonts w:asciiTheme="majorHAnsi" w:hAnsiTheme="majorHAnsi"/>
          <w:szCs w:val="24"/>
        </w:rPr>
        <w:t xml:space="preserve">applicable, </w:t>
      </w:r>
      <w:r w:rsidRPr="00855787">
        <w:rPr>
          <w:rFonts w:asciiTheme="majorHAnsi" w:hAnsiTheme="majorHAnsi"/>
          <w:szCs w:val="24"/>
        </w:rPr>
        <w:t xml:space="preserve">state that the Department has published the 60 and 30 Federal Register notices as </w:t>
      </w:r>
      <w:r w:rsidR="00386054" w:rsidRPr="00855787">
        <w:rPr>
          <w:rFonts w:asciiTheme="majorHAnsi" w:hAnsiTheme="majorHAns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55787" w:rsidRDefault="00386054">
      <w:pPr>
        <w:tabs>
          <w:tab w:val="left" w:pos="-720"/>
        </w:tabs>
        <w:suppressAutoHyphens/>
        <w:rPr>
          <w:rStyle w:val="a"/>
          <w:rFonts w:asciiTheme="majorHAnsi" w:hAnsiTheme="majorHAnsi"/>
          <w:b/>
          <w:szCs w:val="24"/>
        </w:rPr>
      </w:pPr>
    </w:p>
    <w:p w:rsidR="00386054" w:rsidRPr="00855787" w:rsidRDefault="00386054" w:rsidP="003C29C2">
      <w:pPr>
        <w:tabs>
          <w:tab w:val="left" w:pos="-720"/>
        </w:tabs>
        <w:suppressAutoHyphens/>
        <w:ind w:left="360"/>
        <w:rPr>
          <w:rStyle w:val="a"/>
          <w:rFonts w:asciiTheme="majorHAnsi" w:hAnsiTheme="majorHAnsi"/>
          <w:szCs w:val="24"/>
        </w:rPr>
      </w:pPr>
      <w:r w:rsidRPr="00855787">
        <w:rPr>
          <w:rStyle w:val="a"/>
          <w:rFonts w:asciiTheme="majorHAnsi" w:hAnsiTheme="majorHAns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55787" w:rsidRDefault="00386054">
      <w:pPr>
        <w:tabs>
          <w:tab w:val="left" w:pos="-720"/>
        </w:tabs>
        <w:suppressAutoHyphens/>
        <w:rPr>
          <w:rStyle w:val="a"/>
          <w:rFonts w:asciiTheme="majorHAnsi" w:hAnsiTheme="majorHAnsi"/>
          <w:szCs w:val="24"/>
        </w:rPr>
      </w:pPr>
    </w:p>
    <w:p w:rsidR="00386054" w:rsidRPr="00855787" w:rsidRDefault="00386054" w:rsidP="003C29C2">
      <w:pPr>
        <w:tabs>
          <w:tab w:val="left" w:pos="-720"/>
        </w:tabs>
        <w:suppressAutoHyphens/>
        <w:ind w:left="360"/>
        <w:rPr>
          <w:rFonts w:asciiTheme="majorHAnsi" w:hAnsiTheme="majorHAnsi"/>
          <w:szCs w:val="24"/>
        </w:rPr>
      </w:pPr>
      <w:r w:rsidRPr="00855787">
        <w:rPr>
          <w:rStyle w:val="a"/>
          <w:rFonts w:asciiTheme="majorHAnsi" w:hAnsiTheme="majorHAns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855787" w:rsidRDefault="00386054">
      <w:pPr>
        <w:tabs>
          <w:tab w:val="left" w:pos="-720"/>
        </w:tabs>
        <w:suppressAutoHyphens/>
        <w:rPr>
          <w:rFonts w:asciiTheme="majorHAnsi" w:hAnsiTheme="majorHAnsi"/>
          <w:szCs w:val="24"/>
        </w:rPr>
      </w:pPr>
    </w:p>
    <w:p w:rsidR="00F578F6" w:rsidRPr="00855787" w:rsidRDefault="00F578F6" w:rsidP="00F578F6">
      <w:pPr>
        <w:rPr>
          <w:rFonts w:asciiTheme="majorHAnsi" w:hAnsiTheme="majorHAnsi"/>
          <w:b/>
        </w:rPr>
      </w:pPr>
      <w:r w:rsidRPr="00855787">
        <w:rPr>
          <w:rFonts w:asciiTheme="majorHAnsi" w:hAnsiTheme="majorHAnsi"/>
          <w:b/>
        </w:rPr>
        <w:t xml:space="preserve">The International Foreign Education Programs Service (IFLE) hosted a Technical Assistance Workshop </w:t>
      </w:r>
      <w:r w:rsidR="00AF3579">
        <w:rPr>
          <w:rFonts w:asciiTheme="majorHAnsi" w:hAnsiTheme="majorHAnsi"/>
          <w:b/>
        </w:rPr>
        <w:t>in September</w:t>
      </w:r>
      <w:r w:rsidRPr="00855787">
        <w:rPr>
          <w:rFonts w:asciiTheme="majorHAnsi" w:hAnsiTheme="majorHAnsi"/>
          <w:b/>
        </w:rPr>
        <w:t xml:space="preserve">, 2013 for prospective applicants.  During that time we met with various representatives from private and public institutions of higher education to discuss the </w:t>
      </w:r>
      <w:r w:rsidR="00635B24">
        <w:rPr>
          <w:rFonts w:asciiTheme="majorHAnsi" w:hAnsiTheme="majorHAnsi"/>
          <w:b/>
        </w:rPr>
        <w:t>UISFL</w:t>
      </w:r>
      <w:r w:rsidRPr="00855787">
        <w:rPr>
          <w:rFonts w:asciiTheme="majorHAnsi" w:hAnsiTheme="majorHAnsi"/>
          <w:b/>
        </w:rPr>
        <w:t xml:space="preserve"> selection criteria, program instructions, and forms.  Representatives included project directors, foreign language pedagogy experts, and data analysts who are responsible for gathering the data required for a </w:t>
      </w:r>
      <w:r w:rsidR="00635B24">
        <w:rPr>
          <w:rFonts w:asciiTheme="majorHAnsi" w:hAnsiTheme="majorHAnsi"/>
          <w:b/>
        </w:rPr>
        <w:t>UISFL</w:t>
      </w:r>
      <w:r w:rsidRPr="00855787">
        <w:rPr>
          <w:rFonts w:asciiTheme="majorHAnsi" w:hAnsiTheme="majorHAnsi"/>
          <w:b/>
        </w:rPr>
        <w:t xml:space="preserve"> grant application.  Workshop attendees also included postsecondary faculty and administrators who are recipients of the training materials and instructional services that </w:t>
      </w:r>
      <w:r w:rsidR="00635B24">
        <w:rPr>
          <w:rFonts w:asciiTheme="majorHAnsi" w:hAnsiTheme="majorHAnsi"/>
          <w:b/>
        </w:rPr>
        <w:t xml:space="preserve">Undergraduate International Studies Foreign Language </w:t>
      </w:r>
      <w:r w:rsidR="003717A1">
        <w:rPr>
          <w:rFonts w:asciiTheme="majorHAnsi" w:hAnsiTheme="majorHAnsi"/>
          <w:b/>
        </w:rPr>
        <w:t xml:space="preserve">program </w:t>
      </w:r>
      <w:r w:rsidR="00635B24" w:rsidRPr="006C4A46">
        <w:rPr>
          <w:rFonts w:asciiTheme="majorHAnsi" w:hAnsiTheme="majorHAnsi"/>
          <w:b/>
        </w:rPr>
        <w:t>provides</w:t>
      </w:r>
      <w:r w:rsidRPr="00855787">
        <w:rPr>
          <w:rFonts w:asciiTheme="majorHAnsi" w:hAnsiTheme="majorHAnsi"/>
          <w:b/>
        </w:rPr>
        <w:t xml:space="preserve">. </w:t>
      </w:r>
    </w:p>
    <w:p w:rsidR="00F578F6" w:rsidRPr="00855787" w:rsidRDefault="00F578F6" w:rsidP="00F578F6">
      <w:pPr>
        <w:rPr>
          <w:rFonts w:asciiTheme="majorHAnsi" w:hAnsiTheme="majorHAnsi"/>
          <w:b/>
        </w:rPr>
      </w:pPr>
    </w:p>
    <w:p w:rsidR="00F578F6" w:rsidRPr="00855787" w:rsidRDefault="00F578F6" w:rsidP="00F578F6">
      <w:pPr>
        <w:rPr>
          <w:rFonts w:asciiTheme="majorHAnsi" w:hAnsiTheme="majorHAnsi"/>
          <w:b/>
        </w:rPr>
      </w:pPr>
      <w:r w:rsidRPr="00855787">
        <w:rPr>
          <w:rFonts w:asciiTheme="majorHAnsi" w:hAnsiTheme="majorHAnsi"/>
          <w:b/>
        </w:rPr>
        <w:t>IFLE periodically meets with representatives from professional organizations such as the National Council of Organizations of Less Commonly Taught Languages, the Center for Applied Linguistics, the National Foreign Language Center at the University of Maryland, and area studies associations.  These organizations provide feedback on the clarity of the instructions and forms, and whether the application forms and instructions solicit information that meets the purposes of the Title VI legislation, program regulations, and announced priorities.</w:t>
      </w:r>
    </w:p>
    <w:p w:rsidR="00F578F6" w:rsidRPr="00855787" w:rsidRDefault="00F578F6" w:rsidP="00F578F6">
      <w:pPr>
        <w:rPr>
          <w:rFonts w:asciiTheme="majorHAnsi" w:hAnsiTheme="majorHAnsi"/>
          <w:b/>
        </w:rPr>
      </w:pPr>
    </w:p>
    <w:p w:rsidR="00F578F6" w:rsidRPr="00855787" w:rsidRDefault="00F578F6" w:rsidP="00F578F6">
      <w:pPr>
        <w:rPr>
          <w:rFonts w:asciiTheme="majorHAnsi" w:hAnsiTheme="majorHAnsi"/>
          <w:b/>
        </w:rPr>
      </w:pPr>
      <w:r w:rsidRPr="00855787">
        <w:rPr>
          <w:rFonts w:asciiTheme="majorHAnsi" w:hAnsiTheme="majorHAnsi"/>
          <w:b/>
        </w:rPr>
        <w:t xml:space="preserve">Ongoing technical assistance, project monitoring, and site visits are the primary mechanisms we use to answer questions about the </w:t>
      </w:r>
      <w:r w:rsidR="00635B24">
        <w:rPr>
          <w:rFonts w:asciiTheme="majorHAnsi" w:hAnsiTheme="majorHAnsi"/>
          <w:b/>
        </w:rPr>
        <w:t>UISFL</w:t>
      </w:r>
      <w:r w:rsidRPr="00855787">
        <w:rPr>
          <w:rFonts w:asciiTheme="majorHAnsi" w:hAnsiTheme="majorHAnsi"/>
          <w:b/>
        </w:rPr>
        <w:t xml:space="preserve"> application instructions and to gauge whether or not application materials are useful and do not impose an unrealistic burden on respondents.  Day-to-day technical assistance is conducted by phone conversations, e-mails, office visits.  </w:t>
      </w:r>
    </w:p>
    <w:p w:rsidR="00F578F6" w:rsidRPr="00855787" w:rsidRDefault="00F578F6" w:rsidP="00F578F6">
      <w:pPr>
        <w:rPr>
          <w:rFonts w:asciiTheme="majorHAnsi" w:hAnsiTheme="majorHAnsi"/>
          <w:b/>
        </w:rPr>
      </w:pPr>
    </w:p>
    <w:p w:rsidR="00F578F6" w:rsidRPr="00855787" w:rsidRDefault="00F578F6" w:rsidP="00F578F6">
      <w:pPr>
        <w:rPr>
          <w:rFonts w:asciiTheme="majorHAnsi" w:hAnsiTheme="majorHAnsi"/>
          <w:b/>
        </w:rPr>
      </w:pPr>
      <w:r w:rsidRPr="00855787">
        <w:rPr>
          <w:rFonts w:asciiTheme="majorHAnsi" w:hAnsiTheme="majorHAnsi"/>
          <w:b/>
        </w:rPr>
        <w:t xml:space="preserve">These consultations and activities collectively inform IFLE about the viability of the application materials we use for the </w:t>
      </w:r>
      <w:r w:rsidR="00635B24">
        <w:rPr>
          <w:rFonts w:asciiTheme="majorHAnsi" w:hAnsiTheme="majorHAnsi"/>
          <w:b/>
        </w:rPr>
        <w:t>UISFL</w:t>
      </w:r>
      <w:r w:rsidRPr="00855787">
        <w:rPr>
          <w:rFonts w:asciiTheme="majorHAnsi" w:hAnsiTheme="majorHAnsi"/>
          <w:b/>
        </w:rPr>
        <w:t xml:space="preserve"> program.   The professionals, administrators, and organizations cited above do not have adverse comments about the information being requested or about the time it takes to complete a grant application. </w:t>
      </w:r>
    </w:p>
    <w:p w:rsidR="00F578F6" w:rsidRPr="00855787" w:rsidRDefault="00F578F6" w:rsidP="00F578F6">
      <w:pPr>
        <w:rPr>
          <w:rFonts w:asciiTheme="majorHAnsi" w:hAnsiTheme="majorHAnsi"/>
          <w:b/>
        </w:rPr>
      </w:pPr>
    </w:p>
    <w:p w:rsidR="00F578F6" w:rsidRPr="00855787" w:rsidRDefault="00F578F6" w:rsidP="00F578F6">
      <w:pPr>
        <w:rPr>
          <w:rFonts w:asciiTheme="majorHAnsi" w:hAnsiTheme="majorHAnsi"/>
          <w:b/>
        </w:rPr>
      </w:pPr>
      <w:r w:rsidRPr="00855787">
        <w:rPr>
          <w:rFonts w:asciiTheme="majorHAnsi" w:hAnsiTheme="majorHAnsi"/>
          <w:b/>
        </w:rPr>
        <w:t>As required by 5 CFR 1320.8(d), the Department will publish a notice in the Federal Register to solicit public comments on this information collection.</w:t>
      </w:r>
      <w:r w:rsidR="00AF3579" w:rsidRPr="00AF3579">
        <w:rPr>
          <w:rFonts w:asciiTheme="majorHAnsi" w:hAnsiTheme="majorHAnsi"/>
        </w:rPr>
        <w:t xml:space="preserve"> </w:t>
      </w:r>
      <w:r w:rsidR="00AF3579" w:rsidRPr="00AF3579">
        <w:rPr>
          <w:rFonts w:asciiTheme="majorHAnsi" w:hAnsiTheme="majorHAnsi"/>
          <w:b/>
        </w:rPr>
        <w:t xml:space="preserve">The notice will be published </w:t>
      </w:r>
      <w:r w:rsidR="00AF3579">
        <w:rPr>
          <w:rFonts w:asciiTheme="majorHAnsi" w:hAnsiTheme="majorHAnsi"/>
          <w:b/>
        </w:rPr>
        <w:t>jointly with the FY 2014 Notice</w:t>
      </w:r>
      <w:r w:rsidR="00AF3579" w:rsidRPr="00AF3579">
        <w:rPr>
          <w:rFonts w:asciiTheme="majorHAnsi" w:hAnsiTheme="majorHAnsi"/>
          <w:b/>
        </w:rPr>
        <w:t xml:space="preserve"> </w:t>
      </w:r>
      <w:r w:rsidR="00AF3579">
        <w:rPr>
          <w:rFonts w:asciiTheme="majorHAnsi" w:hAnsiTheme="majorHAnsi"/>
          <w:b/>
        </w:rPr>
        <w:t>of Proposed Priorities for this program</w:t>
      </w:r>
      <w:r w:rsidR="00AF3579" w:rsidRPr="00AF3579">
        <w:rPr>
          <w:rFonts w:asciiTheme="majorHAnsi" w:hAnsiTheme="majorHAnsi"/>
          <w:b/>
        </w:rPr>
        <w:t>, and the comment periods for the information collection and the proposed priorities will run concurrently.</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9. </w:t>
      </w:r>
      <w:r w:rsidRPr="00855787">
        <w:rPr>
          <w:rStyle w:val="a"/>
          <w:rFonts w:asciiTheme="majorHAnsi" w:hAnsiTheme="majorHAnsi"/>
          <w:szCs w:val="24"/>
        </w:rPr>
        <w:t>Explain any decision to provide any payment or gift to respondents, other than remuneration of contractors or grantees</w:t>
      </w:r>
      <w:r w:rsidR="003E285A" w:rsidRPr="00855787">
        <w:rPr>
          <w:rStyle w:val="a"/>
          <w:rFonts w:asciiTheme="majorHAnsi" w:hAnsiTheme="majorHAnsi"/>
          <w:szCs w:val="24"/>
        </w:rPr>
        <w:t xml:space="preserve"> with meaningful justification</w:t>
      </w:r>
      <w:r w:rsidRPr="00855787">
        <w:rPr>
          <w:rStyle w:val="a"/>
          <w:rFonts w:asciiTheme="majorHAnsi" w:hAnsiTheme="majorHAnsi"/>
          <w:szCs w:val="24"/>
        </w:rPr>
        <w:t>.</w:t>
      </w:r>
    </w:p>
    <w:p w:rsidR="00386054" w:rsidRPr="006C4A46" w:rsidRDefault="00386054">
      <w:pPr>
        <w:tabs>
          <w:tab w:val="left" w:pos="-720"/>
        </w:tabs>
        <w:suppressAutoHyphens/>
        <w:rPr>
          <w:rFonts w:asciiTheme="majorHAnsi" w:hAnsiTheme="majorHAnsi"/>
          <w:szCs w:val="24"/>
        </w:rPr>
      </w:pPr>
    </w:p>
    <w:p w:rsidR="00F578F6" w:rsidRPr="00855787" w:rsidRDefault="00F578F6" w:rsidP="00F578F6">
      <w:pPr>
        <w:tabs>
          <w:tab w:val="left" w:pos="-720"/>
        </w:tabs>
        <w:suppressAutoHyphens/>
        <w:rPr>
          <w:rFonts w:asciiTheme="majorHAnsi" w:hAnsiTheme="majorHAnsi"/>
          <w:b/>
        </w:rPr>
      </w:pPr>
      <w:r w:rsidRPr="00855787">
        <w:rPr>
          <w:rFonts w:asciiTheme="majorHAnsi" w:hAnsiTheme="majorHAnsi"/>
          <w:b/>
        </w:rPr>
        <w:t xml:space="preserve">Other than official grant awards, there are no payments or gifts to respondents. </w:t>
      </w:r>
    </w:p>
    <w:p w:rsidR="00F578F6" w:rsidRPr="00855787" w:rsidRDefault="00F578F6">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w:t>
      </w:r>
      <w:r w:rsidRPr="00855787">
        <w:rPr>
          <w:rFonts w:asciiTheme="majorHAnsi" w:hAnsiTheme="majorHAnsi"/>
          <w:szCs w:val="24"/>
        </w:rPr>
        <w:lastRenderedPageBreak/>
        <w:t>Please provide a citation for the Systems of Record Notice and the date a Privacy Impact Assessment was completed</w:t>
      </w:r>
      <w:r w:rsidR="003C7F70" w:rsidRPr="00855787">
        <w:rPr>
          <w:rFonts w:asciiTheme="majorHAnsi" w:hAnsiTheme="majorHAnsi"/>
          <w:szCs w:val="24"/>
        </w:rPr>
        <w:t xml:space="preserve"> as indicated on the IC Data Form</w:t>
      </w:r>
      <w:r w:rsidRPr="00855787">
        <w:rPr>
          <w:rFonts w:asciiTheme="majorHAnsi" w:hAnsiTheme="majorHAnsi"/>
          <w:szCs w:val="24"/>
        </w:rPr>
        <w:t xml:space="preserve">. A confidentiality statement with a legal citation that authorizes the </w:t>
      </w:r>
      <w:r w:rsidR="001743A5" w:rsidRPr="00855787">
        <w:rPr>
          <w:rFonts w:asciiTheme="majorHAnsi" w:hAnsiTheme="majorHAnsi"/>
          <w:szCs w:val="24"/>
        </w:rPr>
        <w:t xml:space="preserve">pledge </w:t>
      </w:r>
      <w:r w:rsidRPr="00855787">
        <w:rPr>
          <w:rFonts w:asciiTheme="majorHAnsi" w:hAnsiTheme="majorHAnsi"/>
          <w:szCs w:val="24"/>
        </w:rPr>
        <w:t xml:space="preserve">of </w:t>
      </w:r>
      <w:r w:rsidR="001743A5" w:rsidRPr="00855787">
        <w:rPr>
          <w:rFonts w:asciiTheme="majorHAnsi" w:hAnsiTheme="majorHAnsi"/>
          <w:szCs w:val="24"/>
        </w:rPr>
        <w:t xml:space="preserve">confidentiality </w:t>
      </w:r>
      <w:r w:rsidRPr="00855787">
        <w:rPr>
          <w:rFonts w:asciiTheme="majorHAnsi" w:hAnsiTheme="majorHAnsi"/>
          <w:szCs w:val="24"/>
        </w:rPr>
        <w:t>should be provided.</w:t>
      </w:r>
      <w:r w:rsidRPr="00855787">
        <w:rPr>
          <w:rStyle w:val="FootnoteReference"/>
          <w:rFonts w:asciiTheme="majorHAnsi" w:hAnsiTheme="majorHAnsi"/>
          <w:szCs w:val="24"/>
        </w:rPr>
        <w:footnoteReference w:id="2"/>
      </w:r>
      <w:r w:rsidR="001743A5" w:rsidRPr="00855787">
        <w:rPr>
          <w:rFonts w:asciiTheme="majorHAnsi" w:hAnsiTheme="majorHAns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55787">
        <w:rPr>
          <w:rFonts w:asciiTheme="majorHAnsi" w:hAnsiTheme="majorHAnsi"/>
          <w:szCs w:val="24"/>
        </w:rPr>
        <w:t>s</w:t>
      </w:r>
      <w:r w:rsidR="001743A5" w:rsidRPr="00855787">
        <w:rPr>
          <w:rFonts w:asciiTheme="majorHAnsi" w:hAnsiTheme="majorHAnsi"/>
          <w:szCs w:val="24"/>
        </w:rPr>
        <w:t xml:space="preserve"> no pledge about the confidentially of the data.</w:t>
      </w:r>
    </w:p>
    <w:p w:rsidR="00386054" w:rsidRPr="00855787" w:rsidRDefault="00386054">
      <w:pPr>
        <w:tabs>
          <w:tab w:val="left" w:pos="-720"/>
        </w:tabs>
        <w:suppressAutoHyphens/>
        <w:rPr>
          <w:rFonts w:asciiTheme="majorHAnsi" w:hAnsiTheme="majorHAnsi"/>
          <w:szCs w:val="24"/>
        </w:rPr>
      </w:pPr>
    </w:p>
    <w:p w:rsidR="00F578F6" w:rsidRPr="00855787" w:rsidRDefault="00F578F6" w:rsidP="00F578F6">
      <w:pPr>
        <w:tabs>
          <w:tab w:val="left" w:pos="-720"/>
        </w:tabs>
        <w:suppressAutoHyphens/>
        <w:rPr>
          <w:rFonts w:asciiTheme="majorHAnsi" w:hAnsiTheme="majorHAnsi"/>
          <w:b/>
        </w:rPr>
      </w:pPr>
      <w:r w:rsidRPr="00855787">
        <w:rPr>
          <w:rFonts w:asciiTheme="majorHAnsi" w:hAnsiTheme="majorHAnsi"/>
          <w:b/>
        </w:rPr>
        <w:t xml:space="preserve">Assurances of confidentiality related to this information collection are covered under the Privacy Act. </w:t>
      </w:r>
    </w:p>
    <w:p w:rsidR="00F578F6" w:rsidRPr="006C4A46" w:rsidRDefault="00F578F6" w:rsidP="00F578F6">
      <w:pPr>
        <w:tabs>
          <w:tab w:val="left" w:pos="-720"/>
        </w:tabs>
        <w:suppressAutoHyphens/>
        <w:rPr>
          <w:rFonts w:asciiTheme="majorHAnsi" w:hAnsiTheme="majorHAnsi"/>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6C4A46" w:rsidRDefault="00386054">
      <w:pPr>
        <w:tabs>
          <w:tab w:val="left" w:pos="-720"/>
        </w:tabs>
        <w:suppressAutoHyphens/>
        <w:rPr>
          <w:rFonts w:asciiTheme="majorHAnsi" w:hAnsiTheme="majorHAnsi"/>
          <w:szCs w:val="24"/>
        </w:rPr>
      </w:pPr>
    </w:p>
    <w:p w:rsidR="00F578F6" w:rsidRPr="00855787" w:rsidRDefault="00F578F6" w:rsidP="00F578F6">
      <w:pPr>
        <w:tabs>
          <w:tab w:val="left" w:pos="-720"/>
        </w:tabs>
        <w:suppressAutoHyphens/>
        <w:rPr>
          <w:rFonts w:asciiTheme="majorHAnsi" w:hAnsiTheme="majorHAnsi"/>
          <w:b/>
        </w:rPr>
      </w:pPr>
      <w:r w:rsidRPr="00855787">
        <w:rPr>
          <w:rFonts w:asciiTheme="majorHAnsi" w:hAnsiTheme="majorHAnsi"/>
          <w:b/>
        </w:rPr>
        <w:t xml:space="preserve">Questions of a sensitive nature are not asked. </w:t>
      </w:r>
    </w:p>
    <w:p w:rsidR="00F578F6" w:rsidRPr="00855787" w:rsidRDefault="00F578F6">
      <w:pPr>
        <w:tabs>
          <w:tab w:val="left" w:pos="-720"/>
        </w:tabs>
        <w:suppressAutoHyphens/>
        <w:rPr>
          <w:rFonts w:asciiTheme="majorHAnsi" w:hAnsiTheme="majorHAnsi"/>
          <w:szCs w:val="24"/>
        </w:rPr>
      </w:pPr>
    </w:p>
    <w:p w:rsidR="00386054" w:rsidRPr="00855787" w:rsidRDefault="00386054">
      <w:pPr>
        <w:tabs>
          <w:tab w:val="left" w:pos="-720"/>
        </w:tabs>
        <w:suppressAutoHyphens/>
        <w:rPr>
          <w:rStyle w:val="a"/>
          <w:rFonts w:asciiTheme="majorHAnsi" w:hAnsiTheme="majorHAnsi"/>
          <w:szCs w:val="24"/>
        </w:rPr>
      </w:pPr>
      <w:r w:rsidRPr="00855787">
        <w:rPr>
          <w:rFonts w:asciiTheme="majorHAnsi" w:hAnsiTheme="majorHAnsi"/>
          <w:szCs w:val="24"/>
        </w:rPr>
        <w:t xml:space="preserve">12. </w:t>
      </w:r>
      <w:r w:rsidRPr="00855787">
        <w:rPr>
          <w:rStyle w:val="a"/>
          <w:rFonts w:asciiTheme="majorHAnsi" w:hAnsiTheme="majorHAnsi"/>
          <w:szCs w:val="24"/>
        </w:rPr>
        <w:t>Provide estimates of the hour burden of the collection of information.  The statement should:</w:t>
      </w:r>
    </w:p>
    <w:p w:rsidR="00386054" w:rsidRPr="00855787" w:rsidRDefault="00386054">
      <w:pPr>
        <w:tabs>
          <w:tab w:val="left" w:pos="-720"/>
        </w:tabs>
        <w:suppressAutoHyphens/>
        <w:rPr>
          <w:rStyle w:val="a"/>
          <w:rFonts w:asciiTheme="majorHAnsi" w:hAnsiTheme="majorHAnsi"/>
          <w:szCs w:val="24"/>
        </w:rPr>
      </w:pPr>
    </w:p>
    <w:p w:rsidR="00386054" w:rsidRPr="00855787" w:rsidRDefault="00386054" w:rsidP="003C29C2">
      <w:pPr>
        <w:numPr>
          <w:ilvl w:val="0"/>
          <w:numId w:val="7"/>
        </w:numPr>
        <w:tabs>
          <w:tab w:val="left" w:pos="-720"/>
          <w:tab w:val="left" w:pos="1247"/>
        </w:tabs>
        <w:suppressAutoHyphens/>
        <w:rPr>
          <w:rStyle w:val="a"/>
          <w:rFonts w:asciiTheme="majorHAnsi" w:hAnsiTheme="majorHAnsi"/>
          <w:szCs w:val="24"/>
        </w:rPr>
      </w:pPr>
      <w:r w:rsidRPr="00855787">
        <w:rPr>
          <w:rStyle w:val="a"/>
          <w:rFonts w:asciiTheme="majorHAnsi" w:hAnsiTheme="majorHAns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55787" w:rsidRDefault="00386054" w:rsidP="003C29C2">
      <w:pPr>
        <w:tabs>
          <w:tab w:val="left" w:pos="-720"/>
          <w:tab w:val="left" w:pos="1247"/>
        </w:tabs>
        <w:suppressAutoHyphens/>
        <w:ind w:left="700"/>
        <w:rPr>
          <w:rStyle w:val="a"/>
          <w:rFonts w:asciiTheme="majorHAnsi" w:hAnsiTheme="majorHAnsi"/>
          <w:szCs w:val="24"/>
        </w:rPr>
      </w:pPr>
    </w:p>
    <w:p w:rsidR="00386054" w:rsidRPr="00855787" w:rsidRDefault="00386054" w:rsidP="003C29C2">
      <w:pPr>
        <w:numPr>
          <w:ilvl w:val="0"/>
          <w:numId w:val="7"/>
        </w:numPr>
        <w:tabs>
          <w:tab w:val="left" w:pos="-720"/>
          <w:tab w:val="left" w:pos="1247"/>
        </w:tabs>
        <w:suppressAutoHyphens/>
        <w:rPr>
          <w:rStyle w:val="a"/>
          <w:rFonts w:asciiTheme="majorHAnsi" w:hAnsiTheme="majorHAnsi"/>
          <w:szCs w:val="24"/>
        </w:rPr>
      </w:pPr>
      <w:r w:rsidRPr="00855787">
        <w:rPr>
          <w:rStyle w:val="a"/>
          <w:rFonts w:asciiTheme="majorHAnsi" w:hAnsiTheme="majorHAnsi"/>
          <w:szCs w:val="24"/>
        </w:rPr>
        <w:t xml:space="preserve">If this request for approval covers more than one form, provide separate hour burden estimates for each form and aggregate the hour burdens in the </w:t>
      </w:r>
      <w:r w:rsidR="003C7F70" w:rsidRPr="00855787">
        <w:rPr>
          <w:rStyle w:val="a"/>
          <w:rFonts w:asciiTheme="majorHAnsi" w:hAnsiTheme="majorHAnsi"/>
          <w:szCs w:val="24"/>
        </w:rPr>
        <w:t xml:space="preserve">ROCIS </w:t>
      </w:r>
      <w:r w:rsidRPr="00855787">
        <w:rPr>
          <w:rStyle w:val="a"/>
          <w:rFonts w:asciiTheme="majorHAnsi" w:hAnsiTheme="majorHAnsi"/>
          <w:szCs w:val="24"/>
        </w:rPr>
        <w:t>IC Burden Analysis Table.</w:t>
      </w:r>
      <w:r w:rsidR="00CE72AF" w:rsidRPr="00855787">
        <w:rPr>
          <w:rStyle w:val="a"/>
          <w:rFonts w:asciiTheme="majorHAnsi" w:hAnsiTheme="majorHAnsi"/>
          <w:szCs w:val="24"/>
        </w:rPr>
        <w:t xml:space="preserve">  (The table should at </w:t>
      </w:r>
      <w:r w:rsidR="003C7F70" w:rsidRPr="00855787">
        <w:rPr>
          <w:rStyle w:val="a"/>
          <w:rFonts w:asciiTheme="majorHAnsi" w:hAnsiTheme="majorHAnsi"/>
          <w:szCs w:val="24"/>
        </w:rPr>
        <w:t>minimum</w:t>
      </w:r>
      <w:r w:rsidR="00CE72AF" w:rsidRPr="00855787">
        <w:rPr>
          <w:rStyle w:val="a"/>
          <w:rFonts w:asciiTheme="majorHAnsi" w:hAnsiTheme="majorHAnsi"/>
          <w:szCs w:val="24"/>
        </w:rPr>
        <w:t xml:space="preserve"> include Respondent types, IC activity, Respondent and Responses, Hours/Response, and Total Hours)</w:t>
      </w:r>
    </w:p>
    <w:p w:rsidR="00386054" w:rsidRPr="00855787" w:rsidRDefault="00386054" w:rsidP="003C29C2">
      <w:pPr>
        <w:tabs>
          <w:tab w:val="left" w:pos="-720"/>
          <w:tab w:val="left" w:pos="1247"/>
        </w:tabs>
        <w:suppressAutoHyphens/>
        <w:rPr>
          <w:rStyle w:val="a"/>
          <w:rFonts w:asciiTheme="majorHAnsi" w:hAnsiTheme="majorHAnsi"/>
          <w:szCs w:val="24"/>
        </w:rPr>
      </w:pPr>
    </w:p>
    <w:p w:rsidR="00386054" w:rsidRPr="00855787" w:rsidRDefault="00386054" w:rsidP="008F3062">
      <w:pPr>
        <w:numPr>
          <w:ilvl w:val="0"/>
          <w:numId w:val="7"/>
        </w:numPr>
        <w:tabs>
          <w:tab w:val="left" w:pos="-720"/>
          <w:tab w:val="left" w:pos="1247"/>
        </w:tabs>
        <w:suppressAutoHyphens/>
        <w:rPr>
          <w:rFonts w:asciiTheme="majorHAnsi" w:hAnsiTheme="majorHAnsi"/>
          <w:szCs w:val="24"/>
        </w:rPr>
      </w:pPr>
      <w:r w:rsidRPr="00855787">
        <w:rPr>
          <w:rStyle w:val="a"/>
          <w:rFonts w:asciiTheme="majorHAnsi" w:hAnsiTheme="majorHAns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855787" w:rsidRDefault="00386054">
      <w:pPr>
        <w:suppressAutoHyphens/>
        <w:rPr>
          <w:rFonts w:asciiTheme="majorHAnsi" w:hAnsiTheme="majorHAnsi"/>
          <w:szCs w:val="24"/>
        </w:rPr>
      </w:pPr>
    </w:p>
    <w:p w:rsidR="00F578F6" w:rsidRPr="00855787" w:rsidRDefault="00F578F6" w:rsidP="00F578F6">
      <w:pPr>
        <w:pStyle w:val="BodyTextIndent3"/>
        <w:rPr>
          <w:rStyle w:val="a"/>
          <w:rFonts w:asciiTheme="majorHAnsi" w:hAnsiTheme="majorHAnsi"/>
          <w:b/>
          <w:sz w:val="22"/>
          <w:szCs w:val="22"/>
        </w:rPr>
      </w:pPr>
      <w:r w:rsidRPr="00855787">
        <w:rPr>
          <w:rStyle w:val="a"/>
          <w:rFonts w:asciiTheme="majorHAnsi" w:hAnsiTheme="majorHAnsi"/>
          <w:b/>
          <w:sz w:val="22"/>
          <w:szCs w:val="22"/>
        </w:rPr>
        <w:t xml:space="preserve">The data in the table is an estimate of the time it takes for respondents to complete official forms, develop the application narrative and budget, and submit completed applications through the Department’s e-Application system. </w:t>
      </w:r>
    </w:p>
    <w:p w:rsidR="00F578F6" w:rsidRDefault="00F578F6" w:rsidP="00F578F6">
      <w:pPr>
        <w:pStyle w:val="Heading2"/>
        <w:rPr>
          <w:rFonts w:asciiTheme="majorHAnsi" w:hAnsiTheme="majorHAnsi"/>
        </w:rPr>
      </w:pPr>
      <w:r w:rsidRPr="00855787">
        <w:rPr>
          <w:rFonts w:asciiTheme="majorHAnsi" w:hAnsiTheme="majorHAnsi"/>
          <w:sz w:val="22"/>
          <w:szCs w:val="22"/>
        </w:rPr>
        <w:t>Estimate of Annualized</w:t>
      </w:r>
      <w:r w:rsidRPr="006C4A46">
        <w:rPr>
          <w:rFonts w:asciiTheme="majorHAnsi" w:hAnsiTheme="majorHAnsi"/>
        </w:rPr>
        <w:t xml:space="preserve"> Burden Hours and Cost to Respondents  </w:t>
      </w:r>
    </w:p>
    <w:p w:rsidR="005D15D8" w:rsidRPr="005D15D8" w:rsidRDefault="005D15D8" w:rsidP="005D15D8"/>
    <w:tbl>
      <w:tblPr>
        <w:tblW w:w="106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350"/>
        <w:gridCol w:w="1080"/>
        <w:gridCol w:w="1170"/>
        <w:gridCol w:w="1080"/>
        <w:gridCol w:w="990"/>
        <w:gridCol w:w="1890"/>
      </w:tblGrid>
      <w:tr w:rsidR="005D15D8" w:rsidRPr="004A4FA6" w:rsidTr="002F3549">
        <w:tc>
          <w:tcPr>
            <w:tcW w:w="3060" w:type="dxa"/>
            <w:shd w:val="clear" w:color="auto" w:fill="E0E0E0"/>
          </w:tcPr>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Information Collection</w:t>
            </w:r>
          </w:p>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(Grant Application)</w:t>
            </w:r>
          </w:p>
          <w:p w:rsidR="005D15D8" w:rsidRPr="004A4FA6" w:rsidRDefault="005D15D8" w:rsidP="002F3549">
            <w:pPr>
              <w:jc w:val="center"/>
              <w:rPr>
                <w:rFonts w:asciiTheme="majorHAnsi" w:hAnsiTheme="majorHAnsi"/>
                <w:color w:val="000000"/>
              </w:rPr>
            </w:pPr>
          </w:p>
          <w:p w:rsidR="005D15D8" w:rsidRPr="004A4FA6" w:rsidRDefault="005D15D8" w:rsidP="002F3549">
            <w:pPr>
              <w:jc w:val="center"/>
              <w:rPr>
                <w:rFonts w:asciiTheme="majorHAnsi" w:hAnsiTheme="majorHAnsi"/>
                <w:color w:val="000000"/>
              </w:rPr>
            </w:pPr>
          </w:p>
        </w:tc>
        <w:tc>
          <w:tcPr>
            <w:tcW w:w="1350" w:type="dxa"/>
            <w:shd w:val="clear" w:color="auto" w:fill="E0E0E0"/>
          </w:tcPr>
          <w:p w:rsidR="005D15D8" w:rsidRPr="004A4FA6" w:rsidRDefault="005D15D8" w:rsidP="002F3549">
            <w:pPr>
              <w:ind w:left="-108" w:right="-108"/>
              <w:jc w:val="center"/>
              <w:rPr>
                <w:rFonts w:asciiTheme="majorHAnsi" w:hAnsiTheme="majorHAnsi"/>
                <w:color w:val="000000"/>
              </w:rPr>
            </w:pPr>
            <w:r w:rsidRPr="004A4FA6">
              <w:rPr>
                <w:rFonts w:asciiTheme="majorHAnsi" w:hAnsiTheme="majorHAnsi"/>
                <w:color w:val="000000"/>
                <w:sz w:val="22"/>
              </w:rPr>
              <w:t xml:space="preserve"> Number of Respondents</w:t>
            </w:r>
          </w:p>
        </w:tc>
        <w:tc>
          <w:tcPr>
            <w:tcW w:w="1080" w:type="dxa"/>
            <w:shd w:val="clear" w:color="auto" w:fill="E0E0E0"/>
          </w:tcPr>
          <w:p w:rsidR="005D15D8" w:rsidRPr="004A4FA6" w:rsidRDefault="005D15D8" w:rsidP="002F3549">
            <w:pPr>
              <w:ind w:left="-108" w:right="-108"/>
              <w:jc w:val="center"/>
              <w:rPr>
                <w:rFonts w:asciiTheme="majorHAnsi" w:hAnsiTheme="majorHAnsi"/>
                <w:color w:val="000000"/>
              </w:rPr>
            </w:pPr>
            <w:r w:rsidRPr="004A4FA6">
              <w:rPr>
                <w:rFonts w:asciiTheme="majorHAnsi" w:hAnsiTheme="majorHAnsi"/>
                <w:color w:val="000000"/>
                <w:sz w:val="22"/>
              </w:rPr>
              <w:t xml:space="preserve">Hours </w:t>
            </w:r>
          </w:p>
          <w:p w:rsidR="005D15D8" w:rsidRPr="004A4FA6" w:rsidRDefault="005D15D8" w:rsidP="002F3549">
            <w:pPr>
              <w:ind w:left="-108" w:right="-108"/>
              <w:jc w:val="center"/>
              <w:rPr>
                <w:rFonts w:asciiTheme="majorHAnsi" w:hAnsiTheme="majorHAnsi"/>
                <w:color w:val="000000"/>
              </w:rPr>
            </w:pPr>
            <w:r w:rsidRPr="004A4FA6">
              <w:rPr>
                <w:rFonts w:asciiTheme="majorHAnsi" w:hAnsiTheme="majorHAnsi"/>
                <w:color w:val="000000"/>
                <w:sz w:val="22"/>
              </w:rPr>
              <w:t xml:space="preserve">per Response </w:t>
            </w:r>
          </w:p>
        </w:tc>
        <w:tc>
          <w:tcPr>
            <w:tcW w:w="1170" w:type="dxa"/>
            <w:shd w:val="clear" w:color="auto" w:fill="E0E0E0"/>
          </w:tcPr>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Total Hours</w:t>
            </w:r>
          </w:p>
        </w:tc>
        <w:tc>
          <w:tcPr>
            <w:tcW w:w="1080" w:type="dxa"/>
            <w:shd w:val="clear" w:color="auto" w:fill="E0E0E0"/>
          </w:tcPr>
          <w:p w:rsidR="005D15D8" w:rsidRPr="004A4FA6" w:rsidRDefault="005D15D8" w:rsidP="002F3549">
            <w:pPr>
              <w:ind w:right="-108" w:hanging="108"/>
              <w:jc w:val="center"/>
              <w:rPr>
                <w:rFonts w:asciiTheme="majorHAnsi" w:hAnsiTheme="majorHAnsi"/>
                <w:color w:val="000000"/>
              </w:rPr>
            </w:pPr>
            <w:r w:rsidRPr="004A4FA6">
              <w:rPr>
                <w:rFonts w:asciiTheme="majorHAnsi" w:hAnsiTheme="majorHAnsi"/>
                <w:color w:val="000000"/>
                <w:sz w:val="22"/>
              </w:rPr>
              <w:t xml:space="preserve">Frequency of Response </w:t>
            </w:r>
          </w:p>
        </w:tc>
        <w:tc>
          <w:tcPr>
            <w:tcW w:w="990" w:type="dxa"/>
            <w:shd w:val="clear" w:color="auto" w:fill="E0E0E0"/>
          </w:tcPr>
          <w:p w:rsidR="005D15D8" w:rsidRPr="004A4FA6" w:rsidRDefault="005D15D8" w:rsidP="002F3549">
            <w:pPr>
              <w:ind w:right="-108" w:hanging="108"/>
              <w:jc w:val="center"/>
              <w:rPr>
                <w:rFonts w:asciiTheme="majorHAnsi" w:hAnsiTheme="majorHAnsi"/>
                <w:color w:val="000000"/>
              </w:rPr>
            </w:pPr>
            <w:r w:rsidRPr="004A4FA6">
              <w:rPr>
                <w:rFonts w:asciiTheme="majorHAnsi" w:hAnsiTheme="majorHAnsi"/>
                <w:color w:val="000000"/>
                <w:sz w:val="22"/>
              </w:rPr>
              <w:t>Wage</w:t>
            </w:r>
          </w:p>
          <w:p w:rsidR="005D15D8" w:rsidRPr="004A4FA6" w:rsidRDefault="005D15D8" w:rsidP="002F3549">
            <w:pPr>
              <w:ind w:right="-108" w:hanging="108"/>
              <w:jc w:val="center"/>
              <w:rPr>
                <w:rFonts w:asciiTheme="majorHAnsi" w:hAnsiTheme="majorHAnsi"/>
                <w:color w:val="000000"/>
              </w:rPr>
            </w:pPr>
            <w:r w:rsidRPr="004A4FA6">
              <w:rPr>
                <w:rFonts w:asciiTheme="majorHAnsi" w:hAnsiTheme="majorHAnsi"/>
                <w:color w:val="000000"/>
                <w:sz w:val="22"/>
              </w:rPr>
              <w:t>per Hour</w:t>
            </w:r>
          </w:p>
        </w:tc>
        <w:tc>
          <w:tcPr>
            <w:tcW w:w="1890" w:type="dxa"/>
            <w:shd w:val="clear" w:color="auto" w:fill="E0E0E0"/>
          </w:tcPr>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Annualized Cost for the Information Collection</w:t>
            </w:r>
          </w:p>
        </w:tc>
      </w:tr>
      <w:tr w:rsidR="005D15D8" w:rsidRPr="004A4FA6" w:rsidTr="002F3549">
        <w:tc>
          <w:tcPr>
            <w:tcW w:w="3060" w:type="dxa"/>
          </w:tcPr>
          <w:p w:rsidR="005D15D8" w:rsidRPr="004A4FA6" w:rsidRDefault="00635B24" w:rsidP="005B65E9">
            <w:pPr>
              <w:rPr>
                <w:rFonts w:asciiTheme="majorHAnsi" w:hAnsiTheme="majorHAnsi"/>
              </w:rPr>
            </w:pPr>
            <w:r>
              <w:rPr>
                <w:rFonts w:asciiTheme="majorHAnsi" w:hAnsiTheme="majorHAnsi"/>
              </w:rPr>
              <w:t xml:space="preserve">Undergraduate International Studies Foreign Language </w:t>
            </w:r>
            <w:r w:rsidR="004A4FA6">
              <w:rPr>
                <w:rFonts w:asciiTheme="majorHAnsi" w:hAnsiTheme="majorHAnsi"/>
              </w:rPr>
              <w:t xml:space="preserve"> – 84.</w:t>
            </w:r>
            <w:r w:rsidR="005B65E9">
              <w:rPr>
                <w:rFonts w:asciiTheme="majorHAnsi" w:hAnsiTheme="majorHAnsi"/>
              </w:rPr>
              <w:t>016</w:t>
            </w:r>
            <w:r w:rsidR="004A4FA6">
              <w:rPr>
                <w:rFonts w:asciiTheme="majorHAnsi" w:hAnsiTheme="majorHAnsi"/>
              </w:rPr>
              <w:t>A</w:t>
            </w:r>
          </w:p>
        </w:tc>
        <w:tc>
          <w:tcPr>
            <w:tcW w:w="1350" w:type="dxa"/>
          </w:tcPr>
          <w:p w:rsidR="005D15D8" w:rsidRPr="004A4FA6" w:rsidRDefault="00635B24" w:rsidP="002F3549">
            <w:pPr>
              <w:jc w:val="center"/>
              <w:rPr>
                <w:rFonts w:asciiTheme="majorHAnsi" w:hAnsiTheme="majorHAnsi"/>
              </w:rPr>
            </w:pPr>
            <w:r>
              <w:rPr>
                <w:rFonts w:asciiTheme="majorHAnsi" w:hAnsiTheme="majorHAnsi"/>
              </w:rPr>
              <w:t>100</w:t>
            </w:r>
          </w:p>
        </w:tc>
        <w:tc>
          <w:tcPr>
            <w:tcW w:w="1080" w:type="dxa"/>
          </w:tcPr>
          <w:p w:rsidR="005D15D8" w:rsidRPr="004A4FA6" w:rsidRDefault="005D15D8" w:rsidP="002F3549">
            <w:pPr>
              <w:jc w:val="center"/>
              <w:rPr>
                <w:rFonts w:asciiTheme="majorHAnsi" w:hAnsiTheme="majorHAnsi"/>
              </w:rPr>
            </w:pPr>
            <w:r w:rsidRPr="004A4FA6">
              <w:rPr>
                <w:rFonts w:asciiTheme="majorHAnsi" w:hAnsiTheme="majorHAnsi"/>
              </w:rPr>
              <w:t>110</w:t>
            </w:r>
          </w:p>
        </w:tc>
        <w:tc>
          <w:tcPr>
            <w:tcW w:w="1170" w:type="dxa"/>
          </w:tcPr>
          <w:p w:rsidR="005D15D8" w:rsidRPr="004A4FA6" w:rsidRDefault="00635B24" w:rsidP="002F3549">
            <w:pPr>
              <w:ind w:left="-108"/>
              <w:jc w:val="center"/>
              <w:rPr>
                <w:rFonts w:asciiTheme="majorHAnsi" w:hAnsiTheme="majorHAnsi"/>
              </w:rPr>
            </w:pPr>
            <w:r>
              <w:rPr>
                <w:rFonts w:asciiTheme="majorHAnsi" w:hAnsiTheme="majorHAnsi"/>
              </w:rPr>
              <w:t>11,000</w:t>
            </w:r>
          </w:p>
        </w:tc>
        <w:tc>
          <w:tcPr>
            <w:tcW w:w="1080" w:type="dxa"/>
          </w:tcPr>
          <w:p w:rsidR="005D15D8" w:rsidRPr="004A4FA6" w:rsidRDefault="005D15D8" w:rsidP="002F3549">
            <w:pPr>
              <w:jc w:val="center"/>
              <w:rPr>
                <w:rFonts w:asciiTheme="majorHAnsi" w:hAnsiTheme="majorHAnsi"/>
              </w:rPr>
            </w:pPr>
            <w:r w:rsidRPr="004A4FA6">
              <w:rPr>
                <w:rFonts w:asciiTheme="majorHAnsi" w:hAnsiTheme="majorHAnsi"/>
              </w:rPr>
              <w:t>Annual</w:t>
            </w:r>
          </w:p>
        </w:tc>
        <w:tc>
          <w:tcPr>
            <w:tcW w:w="990" w:type="dxa"/>
          </w:tcPr>
          <w:p w:rsidR="005D15D8" w:rsidRPr="004A4FA6" w:rsidRDefault="005D15D8" w:rsidP="002F3549">
            <w:pPr>
              <w:jc w:val="center"/>
              <w:rPr>
                <w:rFonts w:asciiTheme="majorHAnsi" w:hAnsiTheme="majorHAnsi"/>
              </w:rPr>
            </w:pPr>
            <w:r w:rsidRPr="004A4FA6">
              <w:rPr>
                <w:rFonts w:asciiTheme="majorHAnsi" w:hAnsiTheme="majorHAnsi"/>
              </w:rPr>
              <w:t>$75</w:t>
            </w:r>
          </w:p>
        </w:tc>
        <w:tc>
          <w:tcPr>
            <w:tcW w:w="1890" w:type="dxa"/>
          </w:tcPr>
          <w:p w:rsidR="005D15D8" w:rsidRPr="004A4FA6" w:rsidRDefault="005D15D8" w:rsidP="00635B24">
            <w:pPr>
              <w:ind w:hanging="108"/>
              <w:jc w:val="center"/>
              <w:rPr>
                <w:rFonts w:asciiTheme="majorHAnsi" w:hAnsiTheme="majorHAnsi"/>
              </w:rPr>
            </w:pPr>
            <w:r w:rsidRPr="004A4FA6">
              <w:rPr>
                <w:rFonts w:asciiTheme="majorHAnsi" w:hAnsiTheme="majorHAnsi"/>
              </w:rPr>
              <w:t>$</w:t>
            </w:r>
            <w:r w:rsidR="00635B24">
              <w:rPr>
                <w:rFonts w:asciiTheme="majorHAnsi" w:hAnsiTheme="majorHAnsi"/>
              </w:rPr>
              <w:t>825,000</w:t>
            </w:r>
          </w:p>
        </w:tc>
      </w:tr>
    </w:tbl>
    <w:p w:rsidR="00386054" w:rsidRPr="00855787" w:rsidRDefault="00386054">
      <w:pPr>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13.  </w:t>
      </w:r>
      <w:r w:rsidRPr="00855787">
        <w:rPr>
          <w:rStyle w:val="a"/>
          <w:rFonts w:asciiTheme="majorHAnsi" w:hAnsiTheme="majorHAnsi"/>
          <w:szCs w:val="24"/>
        </w:rPr>
        <w:t>Provide an estimate of the total annual cost burden to respondents or record keepers resulting from the collection of information.  (Do not include the cost of any hour burden shown in Items 12 and 14.)</w:t>
      </w:r>
    </w:p>
    <w:p w:rsidR="00386054" w:rsidRPr="00855787" w:rsidRDefault="00386054">
      <w:pPr>
        <w:tabs>
          <w:tab w:val="left" w:pos="-720"/>
        </w:tabs>
        <w:suppressAutoHyphens/>
        <w:rPr>
          <w:rFonts w:asciiTheme="majorHAnsi" w:hAnsiTheme="majorHAnsi"/>
          <w:szCs w:val="24"/>
        </w:rPr>
      </w:pPr>
    </w:p>
    <w:p w:rsidR="00386054" w:rsidRPr="00855787" w:rsidRDefault="00386054" w:rsidP="003C29C2">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55787" w:rsidRDefault="00386054">
      <w:pPr>
        <w:numPr>
          <w:ilvl w:val="12"/>
          <w:numId w:val="0"/>
        </w:numPr>
        <w:tabs>
          <w:tab w:val="left" w:pos="-720"/>
        </w:tabs>
        <w:suppressAutoHyphens/>
        <w:ind w:left="340"/>
        <w:rPr>
          <w:rFonts w:asciiTheme="majorHAnsi" w:hAnsiTheme="majorHAnsi"/>
          <w:szCs w:val="24"/>
        </w:rPr>
      </w:pPr>
    </w:p>
    <w:p w:rsidR="00386054" w:rsidRPr="00855787" w:rsidRDefault="00386054" w:rsidP="003C29C2">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55787" w:rsidRDefault="00386054" w:rsidP="003C29C2">
      <w:pPr>
        <w:tabs>
          <w:tab w:val="left" w:pos="-720"/>
          <w:tab w:val="left" w:pos="1247"/>
        </w:tabs>
        <w:suppressAutoHyphens/>
        <w:ind w:left="340"/>
        <w:rPr>
          <w:rFonts w:asciiTheme="majorHAnsi" w:hAnsiTheme="majorHAnsi"/>
          <w:szCs w:val="24"/>
        </w:rPr>
      </w:pPr>
    </w:p>
    <w:p w:rsidR="00386054" w:rsidRPr="00855787" w:rsidRDefault="00386054" w:rsidP="003C29C2">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55787">
        <w:rPr>
          <w:rFonts w:asciiTheme="majorHAnsi" w:hAnsiTheme="majorHAnsi"/>
          <w:szCs w:val="24"/>
        </w:rPr>
        <w:t>government</w:t>
      </w:r>
      <w:r w:rsidRPr="00855787">
        <w:rPr>
          <w:rFonts w:asciiTheme="majorHAnsi" w:hAnsiTheme="majorHAnsi"/>
          <w:szCs w:val="24"/>
        </w:rPr>
        <w:t xml:space="preserve"> or (4) as part of customary and usual business or private practices.</w:t>
      </w:r>
      <w:r w:rsidR="001743A5" w:rsidRPr="00855787">
        <w:rPr>
          <w:rFonts w:asciiTheme="majorHAnsi" w:hAnsiTheme="majorHAnsi"/>
          <w:szCs w:val="24"/>
        </w:rPr>
        <w:t xml:space="preserve"> Also, these estimates should not include the hourly costs (i.e., the monetization of the hours) captured above in Item 12</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ab/>
        <w:t>Total Annualized Capital/Startup Cost</w:t>
      </w:r>
      <w:r w:rsidRPr="00855787">
        <w:rPr>
          <w:rFonts w:asciiTheme="majorHAnsi" w:hAnsiTheme="majorHAnsi"/>
          <w:szCs w:val="24"/>
        </w:rPr>
        <w:tab/>
        <w:t xml:space="preserve">: </w:t>
      </w:r>
      <w:bookmarkStart w:id="1" w:name="Startup"/>
      <w:r w:rsidR="007E77FA" w:rsidRPr="00855787">
        <w:rPr>
          <w:rFonts w:asciiTheme="majorHAnsi" w:hAnsiTheme="majorHAns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855787">
        <w:rPr>
          <w:rFonts w:asciiTheme="majorHAnsi" w:hAnsiTheme="majorHAnsi"/>
          <w:szCs w:val="24"/>
        </w:rPr>
        <w:instrText xml:space="preserve"> FORMTEXT </w:instrText>
      </w:r>
      <w:r w:rsidR="007E77FA" w:rsidRPr="00855787">
        <w:rPr>
          <w:rFonts w:asciiTheme="majorHAnsi" w:hAnsiTheme="majorHAnsi"/>
          <w:szCs w:val="24"/>
        </w:rPr>
      </w:r>
      <w:r w:rsidR="007E77FA" w:rsidRPr="00855787">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007E77FA" w:rsidRPr="00855787">
        <w:rPr>
          <w:rFonts w:asciiTheme="majorHAnsi" w:hAnsiTheme="majorHAnsi"/>
          <w:szCs w:val="24"/>
        </w:rPr>
        <w:fldChar w:fldCharType="end"/>
      </w:r>
      <w:bookmarkEnd w:id="1"/>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ab/>
        <w:t>Total Annual Costs (O&amp;M)</w:t>
      </w:r>
      <w:r w:rsidRPr="00855787">
        <w:rPr>
          <w:rFonts w:asciiTheme="majorHAnsi" w:hAnsiTheme="majorHAnsi"/>
          <w:szCs w:val="24"/>
        </w:rPr>
        <w:tab/>
      </w:r>
      <w:r w:rsidRPr="00855787">
        <w:rPr>
          <w:rFonts w:asciiTheme="majorHAnsi" w:hAnsiTheme="majorHAnsi"/>
          <w:szCs w:val="24"/>
        </w:rPr>
        <w:tab/>
        <w:t xml:space="preserve">: </w:t>
      </w:r>
      <w:bookmarkStart w:id="2" w:name="OM"/>
      <w:r w:rsidR="007E77FA" w:rsidRPr="00855787">
        <w:rPr>
          <w:rFonts w:asciiTheme="majorHAnsi" w:hAnsiTheme="majorHAnsi"/>
          <w:szCs w:val="24"/>
        </w:rPr>
        <w:fldChar w:fldCharType="begin">
          <w:ffData>
            <w:name w:val="OM"/>
            <w:enabled/>
            <w:calcOnExit w:val="0"/>
            <w:helpText w:type="text" w:val="Enter total annualized Costs (O&amp;M)"/>
            <w:statusText w:type="text" w:val="Enter total annualized Costs (O&amp;M)"/>
            <w:textInput/>
          </w:ffData>
        </w:fldChar>
      </w:r>
      <w:r w:rsidRPr="00855787">
        <w:rPr>
          <w:rFonts w:asciiTheme="majorHAnsi" w:hAnsiTheme="majorHAnsi"/>
          <w:szCs w:val="24"/>
        </w:rPr>
        <w:instrText xml:space="preserve"> FORMTEXT </w:instrText>
      </w:r>
      <w:r w:rsidR="007E77FA" w:rsidRPr="00855787">
        <w:rPr>
          <w:rFonts w:asciiTheme="majorHAnsi" w:hAnsiTheme="majorHAnsi"/>
          <w:szCs w:val="24"/>
        </w:rPr>
      </w:r>
      <w:r w:rsidR="007E77FA" w:rsidRPr="00855787">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007E77FA" w:rsidRPr="00855787">
        <w:rPr>
          <w:rFonts w:asciiTheme="majorHAnsi" w:hAnsiTheme="majorHAnsi"/>
          <w:szCs w:val="24"/>
        </w:rPr>
        <w:fldChar w:fldCharType="end"/>
      </w:r>
      <w:bookmarkEnd w:id="2"/>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t xml:space="preserve"> ____________________</w:t>
      </w: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ab/>
        <w:t>Total Annualized Costs Requested</w:t>
      </w:r>
      <w:r w:rsidRPr="00855787">
        <w:rPr>
          <w:rFonts w:asciiTheme="majorHAnsi" w:hAnsiTheme="majorHAnsi"/>
          <w:szCs w:val="24"/>
        </w:rPr>
        <w:tab/>
        <w:t xml:space="preserve">: </w:t>
      </w:r>
      <w:bookmarkStart w:id="3" w:name="Total_Cost"/>
      <w:r w:rsidR="007E77FA" w:rsidRPr="00855787">
        <w:rPr>
          <w:rFonts w:asciiTheme="majorHAnsi" w:hAnsiTheme="majorHAnsi"/>
          <w:szCs w:val="24"/>
        </w:rPr>
        <w:fldChar w:fldCharType="begin">
          <w:ffData>
            <w:name w:val="Total_Cost"/>
            <w:enabled/>
            <w:calcOnExit w:val="0"/>
            <w:helpText w:type="text" w:val="Enter total annualized costs requested"/>
            <w:statusText w:type="text" w:val="Enter total annualized costs requested"/>
            <w:textInput/>
          </w:ffData>
        </w:fldChar>
      </w:r>
      <w:r w:rsidRPr="00855787">
        <w:rPr>
          <w:rFonts w:asciiTheme="majorHAnsi" w:hAnsiTheme="majorHAnsi"/>
          <w:szCs w:val="24"/>
        </w:rPr>
        <w:instrText xml:space="preserve"> FORMTEXT </w:instrText>
      </w:r>
      <w:r w:rsidR="007E77FA" w:rsidRPr="00855787">
        <w:rPr>
          <w:rFonts w:asciiTheme="majorHAnsi" w:hAnsiTheme="majorHAnsi"/>
          <w:szCs w:val="24"/>
        </w:rPr>
      </w:r>
      <w:r w:rsidR="007E77FA" w:rsidRPr="00855787">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007E77FA" w:rsidRPr="00855787">
        <w:rPr>
          <w:rFonts w:asciiTheme="majorHAnsi" w:hAnsiTheme="majorHAnsi"/>
          <w:szCs w:val="24"/>
        </w:rPr>
        <w:fldChar w:fldCharType="end"/>
      </w:r>
      <w:bookmarkEnd w:id="3"/>
    </w:p>
    <w:p w:rsidR="00386054" w:rsidRPr="006C4A46" w:rsidRDefault="00386054">
      <w:pPr>
        <w:tabs>
          <w:tab w:val="left" w:pos="-720"/>
        </w:tabs>
        <w:suppressAutoHyphens/>
        <w:rPr>
          <w:rFonts w:asciiTheme="majorHAnsi" w:hAnsiTheme="majorHAnsi"/>
          <w:szCs w:val="24"/>
        </w:rPr>
      </w:pPr>
    </w:p>
    <w:p w:rsidR="00F578F6" w:rsidRPr="00855787" w:rsidRDefault="00F578F6" w:rsidP="00F578F6">
      <w:pPr>
        <w:tabs>
          <w:tab w:val="left" w:pos="-720"/>
        </w:tabs>
        <w:suppressAutoHyphens/>
        <w:rPr>
          <w:rFonts w:asciiTheme="majorHAnsi" w:hAnsiTheme="majorHAnsi"/>
          <w:b/>
        </w:rPr>
      </w:pPr>
      <w:r w:rsidRPr="00855787">
        <w:rPr>
          <w:rFonts w:asciiTheme="majorHAnsi" w:hAnsiTheme="majorHAnsi"/>
          <w:b/>
        </w:rPr>
        <w:t xml:space="preserve">The programs in this information collection do not have costs that meet the criteria for inclusion in Item 13. </w:t>
      </w:r>
    </w:p>
    <w:p w:rsidR="00F578F6" w:rsidRPr="006C4A46" w:rsidRDefault="00F578F6">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14. </w:t>
      </w:r>
      <w:r w:rsidRPr="00855787">
        <w:rPr>
          <w:rStyle w:val="a"/>
          <w:rFonts w:asciiTheme="majorHAnsi" w:hAnsiTheme="majorHAns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6C4A46" w:rsidRDefault="00386054">
      <w:pPr>
        <w:tabs>
          <w:tab w:val="left" w:pos="-720"/>
        </w:tabs>
        <w:suppressAutoHyphens/>
        <w:rPr>
          <w:rFonts w:asciiTheme="majorHAnsi" w:hAnsiTheme="majorHAnsi"/>
          <w:szCs w:val="24"/>
        </w:rPr>
      </w:pPr>
    </w:p>
    <w:p w:rsidR="00715637" w:rsidRPr="00855787" w:rsidRDefault="00715637" w:rsidP="00715637">
      <w:pPr>
        <w:pStyle w:val="EndnoteText"/>
        <w:rPr>
          <w:rFonts w:asciiTheme="majorHAnsi" w:hAnsiTheme="majorHAnsi"/>
          <w:b/>
        </w:rPr>
      </w:pPr>
      <w:r w:rsidRPr="00855787">
        <w:rPr>
          <w:rFonts w:asciiTheme="majorHAnsi" w:hAnsiTheme="majorHAnsi"/>
          <w:b/>
        </w:rPr>
        <w:t xml:space="preserve">The annualized cost to the Federal government in the table below includes costs related to primary operational and programmatic tasks necessitated by this collection of information.  This information collection covers the </w:t>
      </w:r>
      <w:r w:rsidR="00635B24">
        <w:rPr>
          <w:rFonts w:asciiTheme="majorHAnsi" w:hAnsiTheme="majorHAnsi"/>
          <w:b/>
        </w:rPr>
        <w:t>UISFL</w:t>
      </w:r>
      <w:r w:rsidRPr="00855787">
        <w:rPr>
          <w:rFonts w:asciiTheme="majorHAnsi" w:hAnsiTheme="majorHAnsi"/>
          <w:b/>
        </w:rPr>
        <w:t xml:space="preserve"> program and requires the resources of </w:t>
      </w:r>
      <w:r w:rsidR="005B65E9">
        <w:rPr>
          <w:rFonts w:asciiTheme="majorHAnsi" w:hAnsiTheme="majorHAnsi"/>
          <w:b/>
        </w:rPr>
        <w:t>1</w:t>
      </w:r>
      <w:r w:rsidRPr="00855787">
        <w:rPr>
          <w:rFonts w:asciiTheme="majorHAnsi" w:hAnsiTheme="majorHAnsi"/>
          <w:b/>
        </w:rPr>
        <w:t xml:space="preserve"> senior program officer, 1 director to provide oversight, 1 management analyst, and 24 external peer reviewers</w:t>
      </w:r>
      <w:r w:rsidRPr="006C4A46">
        <w:rPr>
          <w:rFonts w:asciiTheme="majorHAnsi" w:hAnsiTheme="majorHAnsi"/>
          <w:b/>
        </w:rPr>
        <w:t xml:space="preserve"> (21 primary and 3 alternates)</w:t>
      </w:r>
      <w:r w:rsidRPr="00855787">
        <w:rPr>
          <w:rFonts w:asciiTheme="majorHAnsi" w:hAnsiTheme="majorHAnsi"/>
          <w:b/>
        </w:rPr>
        <w:t xml:space="preserve">. </w:t>
      </w:r>
    </w:p>
    <w:p w:rsidR="00715637" w:rsidRPr="006C4A46" w:rsidRDefault="00715637" w:rsidP="00715637">
      <w:pPr>
        <w:pStyle w:val="EndnoteText"/>
        <w:rPr>
          <w:rFonts w:asciiTheme="majorHAnsi" w:hAnsiTheme="majorHAnsi"/>
          <w:b/>
          <w:bCs/>
          <w:u w:val="single"/>
        </w:rPr>
      </w:pPr>
    </w:p>
    <w:p w:rsidR="00855787" w:rsidRDefault="00855787" w:rsidP="00715637">
      <w:pPr>
        <w:pStyle w:val="EndnoteText"/>
        <w:rPr>
          <w:rFonts w:asciiTheme="majorHAnsi" w:hAnsiTheme="majorHAnsi"/>
          <w:b/>
          <w:bCs/>
          <w:u w:val="single"/>
        </w:rPr>
      </w:pPr>
    </w:p>
    <w:p w:rsidR="00715637" w:rsidRPr="006C4A46" w:rsidRDefault="00715637" w:rsidP="00715637">
      <w:pPr>
        <w:pStyle w:val="EndnoteText"/>
        <w:rPr>
          <w:rFonts w:asciiTheme="majorHAnsi" w:hAnsiTheme="majorHAnsi"/>
        </w:rPr>
      </w:pPr>
      <w:r w:rsidRPr="006C4A46">
        <w:rPr>
          <w:rFonts w:asciiTheme="majorHAnsi" w:hAnsiTheme="majorHAnsi"/>
          <w:b/>
          <w:bCs/>
          <w:u w:val="single"/>
        </w:rPr>
        <w:t>Estimates of Annualized Cost to the Federal Government</w:t>
      </w:r>
    </w:p>
    <w:p w:rsidR="00715637" w:rsidRPr="006C4A46" w:rsidRDefault="00715637" w:rsidP="00715637">
      <w:pPr>
        <w:rPr>
          <w:rFonts w:asciiTheme="majorHAnsi" w:hAnsi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3"/>
        <w:gridCol w:w="1234"/>
        <w:gridCol w:w="1260"/>
        <w:gridCol w:w="1163"/>
        <w:gridCol w:w="1478"/>
      </w:tblGrid>
      <w:tr w:rsidR="00715637" w:rsidRPr="006C4A46" w:rsidTr="00855787">
        <w:tc>
          <w:tcPr>
            <w:tcW w:w="0" w:type="auto"/>
            <w:tcBorders>
              <w:top w:val="single" w:sz="4" w:space="0" w:color="auto"/>
              <w:left w:val="single" w:sz="4" w:space="0" w:color="auto"/>
              <w:bottom w:val="single" w:sz="4" w:space="0" w:color="auto"/>
            </w:tcBorders>
            <w:shd w:val="clear" w:color="auto" w:fill="BFBFBF"/>
            <w:vAlign w:val="center"/>
          </w:tcPr>
          <w:p w:rsidR="00715637" w:rsidRPr="006C4A46" w:rsidRDefault="00715637" w:rsidP="002F3549">
            <w:pPr>
              <w:pStyle w:val="Heading1"/>
              <w:jc w:val="center"/>
              <w:rPr>
                <w:color w:val="000000"/>
                <w:sz w:val="22"/>
              </w:rPr>
            </w:pPr>
            <w:r w:rsidRPr="006C4A46">
              <w:rPr>
                <w:color w:val="000000"/>
                <w:sz w:val="22"/>
              </w:rPr>
              <w:t>Pre-Award and Post-Award Program Tasks</w:t>
            </w:r>
          </w:p>
        </w:tc>
        <w:tc>
          <w:tcPr>
            <w:tcW w:w="1234" w:type="dxa"/>
            <w:tcBorders>
              <w:top w:val="single" w:sz="4" w:space="0" w:color="auto"/>
              <w:bottom w:val="single" w:sz="4" w:space="0" w:color="auto"/>
            </w:tcBorders>
            <w:shd w:val="clear" w:color="auto" w:fill="BFBFBF"/>
            <w:vAlign w:val="center"/>
          </w:tcPr>
          <w:p w:rsidR="00715637" w:rsidRPr="006C4A46" w:rsidRDefault="00715637" w:rsidP="002F3549">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Wage per Hour</w:t>
            </w:r>
          </w:p>
        </w:tc>
        <w:tc>
          <w:tcPr>
            <w:tcW w:w="1260" w:type="dxa"/>
            <w:tcBorders>
              <w:top w:val="single" w:sz="4" w:space="0" w:color="auto"/>
              <w:bottom w:val="single" w:sz="4" w:space="0" w:color="auto"/>
            </w:tcBorders>
            <w:shd w:val="clear" w:color="auto" w:fill="BFBFBF"/>
            <w:vAlign w:val="center"/>
          </w:tcPr>
          <w:p w:rsidR="00715637" w:rsidRPr="006C4A46" w:rsidRDefault="00715637" w:rsidP="002F3549">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Staff Resources</w:t>
            </w:r>
          </w:p>
        </w:tc>
        <w:tc>
          <w:tcPr>
            <w:tcW w:w="1163" w:type="dxa"/>
            <w:tcBorders>
              <w:top w:val="single" w:sz="4" w:space="0" w:color="auto"/>
              <w:bottom w:val="single" w:sz="4" w:space="0" w:color="auto"/>
            </w:tcBorders>
            <w:shd w:val="clear" w:color="auto" w:fill="BFBFBF"/>
            <w:vAlign w:val="center"/>
          </w:tcPr>
          <w:p w:rsidR="00715637" w:rsidRPr="006C4A46" w:rsidRDefault="00715637" w:rsidP="002F3549">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Total</w:t>
            </w:r>
          </w:p>
          <w:p w:rsidR="00715637" w:rsidRPr="006C4A46" w:rsidRDefault="00715637" w:rsidP="002F3549">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Hours</w:t>
            </w:r>
          </w:p>
        </w:tc>
        <w:tc>
          <w:tcPr>
            <w:tcW w:w="1478" w:type="dxa"/>
            <w:tcBorders>
              <w:top w:val="single" w:sz="4" w:space="0" w:color="auto"/>
              <w:bottom w:val="single" w:sz="4" w:space="0" w:color="auto"/>
              <w:right w:val="single" w:sz="4" w:space="0" w:color="auto"/>
            </w:tcBorders>
            <w:shd w:val="clear" w:color="auto" w:fill="BFBFBF"/>
            <w:vAlign w:val="center"/>
          </w:tcPr>
          <w:p w:rsidR="00715637" w:rsidRPr="006C4A46" w:rsidRDefault="00715637" w:rsidP="002F3549">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Cost to Federal Government</w:t>
            </w:r>
          </w:p>
        </w:tc>
      </w:tr>
      <w:tr w:rsidR="00715637" w:rsidRPr="006C4A46" w:rsidTr="00855787">
        <w:tc>
          <w:tcPr>
            <w:tcW w:w="0" w:type="auto"/>
            <w:tcBorders>
              <w:top w:val="nil"/>
            </w:tcBorders>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 xml:space="preserve">Gather data and develop OMB justification statement </w:t>
            </w:r>
          </w:p>
        </w:tc>
        <w:tc>
          <w:tcPr>
            <w:tcW w:w="1234" w:type="dxa"/>
            <w:tcBorders>
              <w:top w:val="nil"/>
            </w:tcBorders>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$60</w:t>
            </w:r>
          </w:p>
        </w:tc>
        <w:tc>
          <w:tcPr>
            <w:tcW w:w="1260" w:type="dxa"/>
            <w:tcBorders>
              <w:top w:val="nil"/>
            </w:tcBorders>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w:t>
            </w:r>
          </w:p>
        </w:tc>
        <w:tc>
          <w:tcPr>
            <w:tcW w:w="1163" w:type="dxa"/>
            <w:tcBorders>
              <w:top w:val="nil"/>
            </w:tcBorders>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25</w:t>
            </w:r>
          </w:p>
        </w:tc>
        <w:tc>
          <w:tcPr>
            <w:tcW w:w="1478" w:type="dxa"/>
            <w:tcBorders>
              <w:top w:val="nil"/>
            </w:tcBorders>
            <w:vAlign w:val="bottom"/>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$1500</w:t>
            </w:r>
          </w:p>
        </w:tc>
      </w:tr>
      <w:tr w:rsidR="00715637" w:rsidRPr="006C4A46" w:rsidTr="00855787">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 xml:space="preserve">Develop application forms and instructions </w:t>
            </w:r>
          </w:p>
        </w:tc>
        <w:tc>
          <w:tcPr>
            <w:tcW w:w="1234" w:type="dxa"/>
            <w:vAlign w:val="center"/>
          </w:tcPr>
          <w:p w:rsidR="00715637" w:rsidRPr="006C4A46" w:rsidRDefault="008C34F8" w:rsidP="002F3549">
            <w:pPr>
              <w:rPr>
                <w:rFonts w:asciiTheme="majorHAnsi" w:hAnsiTheme="majorHAnsi"/>
              </w:rPr>
            </w:pPr>
            <w:r>
              <w:rPr>
                <w:rFonts w:asciiTheme="majorHAnsi" w:hAnsiTheme="majorHAnsi"/>
                <w:sz w:val="22"/>
              </w:rPr>
              <w:t>$57</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10</w:t>
            </w:r>
          </w:p>
        </w:tc>
        <w:tc>
          <w:tcPr>
            <w:tcW w:w="1478" w:type="dxa"/>
            <w:vAlign w:val="bottom"/>
          </w:tcPr>
          <w:p w:rsidR="00715637" w:rsidRPr="006C4A46" w:rsidRDefault="00715637" w:rsidP="002F3549">
            <w:pPr>
              <w:jc w:val="center"/>
              <w:rPr>
                <w:rFonts w:asciiTheme="majorHAnsi" w:hAnsiTheme="majorHAnsi"/>
              </w:rPr>
            </w:pPr>
            <w:r w:rsidRPr="006C4A46">
              <w:rPr>
                <w:rFonts w:asciiTheme="majorHAnsi" w:hAnsiTheme="majorHAnsi"/>
                <w:sz w:val="22"/>
              </w:rPr>
              <w:t>$</w:t>
            </w:r>
            <w:r w:rsidR="004C3624">
              <w:rPr>
                <w:rFonts w:asciiTheme="majorHAnsi" w:hAnsiTheme="majorHAnsi"/>
                <w:sz w:val="22"/>
              </w:rPr>
              <w:t>140</w:t>
            </w:r>
          </w:p>
        </w:tc>
      </w:tr>
      <w:tr w:rsidR="00715637" w:rsidRPr="006C4A46" w:rsidTr="00855787">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 xml:space="preserve">Develop Notices of  Inviting Application (NIA) </w:t>
            </w:r>
          </w:p>
        </w:tc>
        <w:tc>
          <w:tcPr>
            <w:tcW w:w="1234" w:type="dxa"/>
            <w:vAlign w:val="center"/>
          </w:tcPr>
          <w:p w:rsidR="00715637" w:rsidRPr="006C4A46" w:rsidRDefault="00715637" w:rsidP="002F3549">
            <w:pPr>
              <w:rPr>
                <w:rFonts w:asciiTheme="majorHAnsi" w:hAnsiTheme="majorHAnsi"/>
              </w:rPr>
            </w:pPr>
            <w:r w:rsidRPr="006C4A46">
              <w:rPr>
                <w:rFonts w:asciiTheme="majorHAnsi" w:hAnsiTheme="majorHAnsi"/>
                <w:sz w:val="22"/>
              </w:rPr>
              <w:t>$60</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10</w:t>
            </w:r>
          </w:p>
        </w:tc>
        <w:tc>
          <w:tcPr>
            <w:tcW w:w="1478" w:type="dxa"/>
            <w:vAlign w:val="bottom"/>
          </w:tcPr>
          <w:p w:rsidR="00715637" w:rsidRPr="006C4A46" w:rsidRDefault="00715637" w:rsidP="002F3549">
            <w:pPr>
              <w:jc w:val="center"/>
              <w:rPr>
                <w:rFonts w:asciiTheme="majorHAnsi" w:hAnsiTheme="majorHAnsi"/>
              </w:rPr>
            </w:pPr>
            <w:r w:rsidRPr="006C4A46">
              <w:rPr>
                <w:rFonts w:asciiTheme="majorHAnsi" w:hAnsiTheme="majorHAnsi"/>
                <w:sz w:val="22"/>
              </w:rPr>
              <w:t>$600</w:t>
            </w:r>
          </w:p>
        </w:tc>
      </w:tr>
      <w:tr w:rsidR="00715637" w:rsidRPr="006C4A46" w:rsidTr="00855787">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Enter approved collection into ICRAS</w:t>
            </w:r>
          </w:p>
        </w:tc>
        <w:tc>
          <w:tcPr>
            <w:tcW w:w="1234" w:type="dxa"/>
            <w:vAlign w:val="center"/>
          </w:tcPr>
          <w:p w:rsidR="00715637" w:rsidRPr="006C4A46" w:rsidRDefault="00715637" w:rsidP="002F3549">
            <w:pPr>
              <w:rPr>
                <w:rFonts w:asciiTheme="majorHAnsi" w:hAnsiTheme="majorHAnsi"/>
              </w:rPr>
            </w:pPr>
            <w:r w:rsidRPr="006C4A46">
              <w:rPr>
                <w:rFonts w:asciiTheme="majorHAnsi" w:hAnsiTheme="majorHAnsi"/>
                <w:sz w:val="22"/>
              </w:rPr>
              <w:t>$60</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w:t>
            </w:r>
          </w:p>
        </w:tc>
        <w:tc>
          <w:tcPr>
            <w:tcW w:w="1478" w:type="dxa"/>
            <w:vAlign w:val="bottom"/>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$60</w:t>
            </w:r>
          </w:p>
        </w:tc>
      </w:tr>
      <w:tr w:rsidR="00855787" w:rsidRPr="006C4A46" w:rsidTr="00855787">
        <w:tc>
          <w:tcPr>
            <w:tcW w:w="0" w:type="auto"/>
            <w:tcBorders>
              <w:top w:val="single" w:sz="4" w:space="0" w:color="auto"/>
              <w:left w:val="single" w:sz="4" w:space="0" w:color="auto"/>
              <w:bottom w:val="single" w:sz="4" w:space="0" w:color="auto"/>
            </w:tcBorders>
            <w:shd w:val="clear" w:color="auto" w:fill="BFBFBF"/>
            <w:vAlign w:val="bottom"/>
          </w:tcPr>
          <w:p w:rsidR="00855787" w:rsidRPr="006C4A46" w:rsidRDefault="00855787" w:rsidP="00855787">
            <w:pPr>
              <w:pStyle w:val="Heading1"/>
              <w:jc w:val="center"/>
              <w:rPr>
                <w:color w:val="000000"/>
                <w:sz w:val="22"/>
              </w:rPr>
            </w:pPr>
            <w:r w:rsidRPr="006C4A46">
              <w:rPr>
                <w:color w:val="000000"/>
                <w:sz w:val="22"/>
              </w:rPr>
              <w:lastRenderedPageBreak/>
              <w:t>Pre-Award and Post-Award Program Tasks</w:t>
            </w:r>
          </w:p>
        </w:tc>
        <w:tc>
          <w:tcPr>
            <w:tcW w:w="1234" w:type="dxa"/>
            <w:tcBorders>
              <w:top w:val="single" w:sz="4" w:space="0" w:color="auto"/>
              <w:bottom w:val="single" w:sz="4" w:space="0" w:color="auto"/>
            </w:tcBorders>
            <w:shd w:val="clear" w:color="auto" w:fill="BFBFBF"/>
            <w:vAlign w:val="bottom"/>
          </w:tcPr>
          <w:p w:rsidR="00855787" w:rsidRPr="006C4A46" w:rsidRDefault="00855787" w:rsidP="00855787">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Wage per Hour</w:t>
            </w:r>
          </w:p>
        </w:tc>
        <w:tc>
          <w:tcPr>
            <w:tcW w:w="1260" w:type="dxa"/>
            <w:tcBorders>
              <w:top w:val="single" w:sz="4" w:space="0" w:color="auto"/>
              <w:bottom w:val="single" w:sz="4" w:space="0" w:color="auto"/>
            </w:tcBorders>
            <w:shd w:val="clear" w:color="auto" w:fill="BFBFBF"/>
            <w:vAlign w:val="bottom"/>
          </w:tcPr>
          <w:p w:rsidR="00855787" w:rsidRPr="006C4A46" w:rsidRDefault="00855787" w:rsidP="00855787">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Staff Resources</w:t>
            </w:r>
          </w:p>
        </w:tc>
        <w:tc>
          <w:tcPr>
            <w:tcW w:w="1163" w:type="dxa"/>
            <w:tcBorders>
              <w:top w:val="single" w:sz="4" w:space="0" w:color="auto"/>
              <w:bottom w:val="single" w:sz="4" w:space="0" w:color="auto"/>
            </w:tcBorders>
            <w:shd w:val="clear" w:color="auto" w:fill="BFBFBF"/>
            <w:vAlign w:val="bottom"/>
          </w:tcPr>
          <w:p w:rsidR="00855787" w:rsidRPr="006C4A46" w:rsidRDefault="00855787" w:rsidP="00855787">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Total</w:t>
            </w:r>
          </w:p>
          <w:p w:rsidR="00855787" w:rsidRPr="006C4A46" w:rsidRDefault="00855787" w:rsidP="00855787">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Hours</w:t>
            </w:r>
          </w:p>
        </w:tc>
        <w:tc>
          <w:tcPr>
            <w:tcW w:w="1478" w:type="dxa"/>
            <w:tcBorders>
              <w:top w:val="single" w:sz="4" w:space="0" w:color="auto"/>
              <w:bottom w:val="single" w:sz="4" w:space="0" w:color="auto"/>
              <w:right w:val="single" w:sz="4" w:space="0" w:color="auto"/>
            </w:tcBorders>
            <w:shd w:val="clear" w:color="auto" w:fill="BFBFBF"/>
            <w:vAlign w:val="bottom"/>
          </w:tcPr>
          <w:p w:rsidR="00855787" w:rsidRPr="006C4A46" w:rsidRDefault="00855787" w:rsidP="00855787">
            <w:pPr>
              <w:tabs>
                <w:tab w:val="left" w:pos="900"/>
                <w:tab w:val="left" w:pos="1260"/>
                <w:tab w:val="left" w:pos="4860"/>
              </w:tabs>
              <w:spacing w:after="80"/>
              <w:jc w:val="center"/>
              <w:rPr>
                <w:rFonts w:asciiTheme="majorHAnsi" w:hAnsiTheme="majorHAnsi"/>
                <w:b/>
                <w:color w:val="000000"/>
              </w:rPr>
            </w:pPr>
            <w:r w:rsidRPr="006C4A46">
              <w:rPr>
                <w:rFonts w:asciiTheme="majorHAnsi" w:hAnsiTheme="majorHAnsi"/>
                <w:b/>
                <w:color w:val="000000"/>
                <w:sz w:val="22"/>
              </w:rPr>
              <w:t>Cost to Federal Government</w:t>
            </w:r>
          </w:p>
        </w:tc>
      </w:tr>
      <w:tr w:rsidR="00715637" w:rsidRPr="006C4A46" w:rsidTr="00855787">
        <w:tc>
          <w:tcPr>
            <w:tcW w:w="0" w:type="auto"/>
            <w:vAlign w:val="center"/>
          </w:tcPr>
          <w:p w:rsidR="00855787" w:rsidRDefault="00855787" w:rsidP="002F3549">
            <w:pPr>
              <w:tabs>
                <w:tab w:val="left" w:pos="900"/>
                <w:tab w:val="left" w:pos="1260"/>
                <w:tab w:val="left" w:pos="4860"/>
              </w:tabs>
              <w:spacing w:after="80"/>
              <w:rPr>
                <w:rFonts w:asciiTheme="majorHAnsi" w:hAnsiTheme="majorHAnsi"/>
              </w:rPr>
            </w:pPr>
          </w:p>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 xml:space="preserve">Publish application guidelines and technical review forms in G5 e- Application module </w:t>
            </w:r>
          </w:p>
        </w:tc>
        <w:tc>
          <w:tcPr>
            <w:tcW w:w="1234" w:type="dxa"/>
            <w:vAlign w:val="center"/>
          </w:tcPr>
          <w:p w:rsidR="00855787" w:rsidRDefault="00855787" w:rsidP="002F3549">
            <w:pPr>
              <w:rPr>
                <w:rFonts w:asciiTheme="majorHAnsi" w:hAnsiTheme="majorHAnsi"/>
              </w:rPr>
            </w:pPr>
          </w:p>
          <w:p w:rsidR="00715637" w:rsidRPr="006C4A46" w:rsidRDefault="00715637" w:rsidP="002F3549">
            <w:pPr>
              <w:rPr>
                <w:rFonts w:asciiTheme="majorHAnsi" w:hAnsiTheme="majorHAnsi"/>
              </w:rPr>
            </w:pPr>
            <w:r w:rsidRPr="006C4A46">
              <w:rPr>
                <w:rFonts w:asciiTheme="majorHAnsi" w:hAnsiTheme="majorHAnsi"/>
                <w:sz w:val="22"/>
              </w:rPr>
              <w:t>$</w:t>
            </w:r>
            <w:r w:rsidR="008C34F8">
              <w:rPr>
                <w:rFonts w:asciiTheme="majorHAnsi" w:hAnsiTheme="majorHAnsi"/>
                <w:sz w:val="22"/>
              </w:rPr>
              <w:t>57</w:t>
            </w:r>
          </w:p>
        </w:tc>
        <w:tc>
          <w:tcPr>
            <w:tcW w:w="1260" w:type="dxa"/>
            <w:vAlign w:val="center"/>
          </w:tcPr>
          <w:p w:rsidR="00855787" w:rsidRDefault="00855787" w:rsidP="002F3549">
            <w:pPr>
              <w:tabs>
                <w:tab w:val="left" w:pos="900"/>
                <w:tab w:val="left" w:pos="1260"/>
                <w:tab w:val="left" w:pos="4860"/>
              </w:tabs>
              <w:spacing w:after="80"/>
              <w:jc w:val="center"/>
              <w:rPr>
                <w:rFonts w:asciiTheme="majorHAnsi" w:hAnsiTheme="majorHAnsi"/>
              </w:rPr>
            </w:pPr>
          </w:p>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w:t>
            </w:r>
          </w:p>
        </w:tc>
        <w:tc>
          <w:tcPr>
            <w:tcW w:w="1163" w:type="dxa"/>
            <w:vAlign w:val="center"/>
          </w:tcPr>
          <w:p w:rsidR="00855787" w:rsidRDefault="00855787" w:rsidP="002F3549">
            <w:pPr>
              <w:tabs>
                <w:tab w:val="left" w:pos="900"/>
                <w:tab w:val="left" w:pos="1260"/>
                <w:tab w:val="left" w:pos="4860"/>
              </w:tabs>
              <w:spacing w:after="80"/>
              <w:jc w:val="center"/>
              <w:rPr>
                <w:rFonts w:asciiTheme="majorHAnsi" w:hAnsiTheme="majorHAnsi"/>
              </w:rPr>
            </w:pPr>
          </w:p>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w:t>
            </w:r>
          </w:p>
        </w:tc>
        <w:tc>
          <w:tcPr>
            <w:tcW w:w="1478" w:type="dxa"/>
            <w:vAlign w:val="bottom"/>
          </w:tcPr>
          <w:p w:rsidR="00855787" w:rsidRDefault="00855787" w:rsidP="002F3549">
            <w:pPr>
              <w:tabs>
                <w:tab w:val="left" w:pos="900"/>
                <w:tab w:val="left" w:pos="1260"/>
                <w:tab w:val="left" w:pos="4860"/>
              </w:tabs>
              <w:spacing w:after="80"/>
              <w:jc w:val="center"/>
              <w:rPr>
                <w:rFonts w:asciiTheme="majorHAnsi" w:hAnsiTheme="majorHAnsi"/>
              </w:rPr>
            </w:pPr>
          </w:p>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w:t>
            </w:r>
            <w:r w:rsidR="004C3624">
              <w:rPr>
                <w:rFonts w:asciiTheme="majorHAnsi" w:hAnsiTheme="majorHAnsi"/>
                <w:sz w:val="22"/>
              </w:rPr>
              <w:t>118</w:t>
            </w:r>
          </w:p>
          <w:p w:rsidR="00715637" w:rsidRPr="006C4A46" w:rsidRDefault="00715637" w:rsidP="002F3549">
            <w:pPr>
              <w:tabs>
                <w:tab w:val="left" w:pos="900"/>
                <w:tab w:val="left" w:pos="1260"/>
                <w:tab w:val="left" w:pos="4860"/>
              </w:tabs>
              <w:spacing w:after="80"/>
              <w:jc w:val="center"/>
              <w:rPr>
                <w:rFonts w:asciiTheme="majorHAnsi" w:hAnsiTheme="majorHAnsi"/>
              </w:rPr>
            </w:pPr>
          </w:p>
        </w:tc>
      </w:tr>
      <w:tr w:rsidR="00715637" w:rsidRPr="006C4A46" w:rsidTr="00855787">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Assign reader panels in G5 e-Reader</w:t>
            </w:r>
          </w:p>
        </w:tc>
        <w:tc>
          <w:tcPr>
            <w:tcW w:w="1234" w:type="dxa"/>
            <w:vAlign w:val="center"/>
          </w:tcPr>
          <w:p w:rsidR="00715637" w:rsidRPr="006C4A46" w:rsidRDefault="00715637" w:rsidP="002F3549">
            <w:pPr>
              <w:rPr>
                <w:rFonts w:asciiTheme="majorHAnsi" w:hAnsiTheme="majorHAnsi"/>
              </w:rPr>
            </w:pPr>
            <w:r w:rsidRPr="006C4A46">
              <w:rPr>
                <w:rFonts w:asciiTheme="majorHAnsi" w:hAnsiTheme="majorHAnsi"/>
                <w:sz w:val="22"/>
              </w:rPr>
              <w:t>$60</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3</w:t>
            </w:r>
          </w:p>
        </w:tc>
        <w:tc>
          <w:tcPr>
            <w:tcW w:w="1478"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$180</w:t>
            </w:r>
          </w:p>
        </w:tc>
      </w:tr>
      <w:tr w:rsidR="00715637" w:rsidRPr="006C4A46" w:rsidTr="00855787">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Conduct orientation for G5 e- Reading</w:t>
            </w:r>
          </w:p>
        </w:tc>
        <w:tc>
          <w:tcPr>
            <w:tcW w:w="1234" w:type="dxa"/>
            <w:vAlign w:val="center"/>
          </w:tcPr>
          <w:p w:rsidR="00715637" w:rsidRPr="006C4A46" w:rsidRDefault="00715637" w:rsidP="002F3549">
            <w:pPr>
              <w:rPr>
                <w:rFonts w:asciiTheme="majorHAnsi" w:hAnsiTheme="majorHAnsi"/>
              </w:rPr>
            </w:pPr>
            <w:r w:rsidRPr="006C4A46">
              <w:rPr>
                <w:rFonts w:asciiTheme="majorHAnsi" w:hAnsiTheme="majorHAnsi"/>
                <w:sz w:val="22"/>
              </w:rPr>
              <w:t>$</w:t>
            </w:r>
            <w:r w:rsidR="008C34F8">
              <w:rPr>
                <w:rFonts w:asciiTheme="majorHAnsi" w:hAnsiTheme="majorHAnsi"/>
                <w:sz w:val="22"/>
              </w:rPr>
              <w:t>57</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4</w:t>
            </w:r>
          </w:p>
        </w:tc>
        <w:tc>
          <w:tcPr>
            <w:tcW w:w="1478"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w:t>
            </w:r>
            <w:r w:rsidR="004C3624">
              <w:rPr>
                <w:rFonts w:asciiTheme="majorHAnsi" w:hAnsiTheme="majorHAnsi"/>
                <w:sz w:val="22"/>
              </w:rPr>
              <w:t>456</w:t>
            </w:r>
          </w:p>
        </w:tc>
      </w:tr>
      <w:tr w:rsidR="00715637" w:rsidRPr="006C4A46" w:rsidTr="00855787">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Schedule regular  peer review conference calls; review readers’ comments in e-Reader;  provide follow-up via e-mail and phone communications</w:t>
            </w:r>
          </w:p>
        </w:tc>
        <w:tc>
          <w:tcPr>
            <w:tcW w:w="1234" w:type="dxa"/>
            <w:vAlign w:val="center"/>
          </w:tcPr>
          <w:p w:rsidR="00715637" w:rsidRPr="006C4A46" w:rsidRDefault="00715637" w:rsidP="002F3549">
            <w:pPr>
              <w:rPr>
                <w:rFonts w:asciiTheme="majorHAnsi" w:hAnsiTheme="majorHAnsi"/>
              </w:rPr>
            </w:pPr>
            <w:r w:rsidRPr="006C4A46">
              <w:rPr>
                <w:rFonts w:asciiTheme="majorHAnsi" w:hAnsiTheme="majorHAnsi"/>
                <w:sz w:val="22"/>
              </w:rPr>
              <w:t>$</w:t>
            </w:r>
            <w:r w:rsidR="008C34F8">
              <w:rPr>
                <w:rFonts w:asciiTheme="majorHAnsi" w:hAnsiTheme="majorHAnsi"/>
                <w:sz w:val="22"/>
              </w:rPr>
              <w:t>57</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80</w:t>
            </w:r>
          </w:p>
        </w:tc>
        <w:tc>
          <w:tcPr>
            <w:tcW w:w="1478"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$9</w:t>
            </w:r>
            <w:r w:rsidR="004C3624">
              <w:rPr>
                <w:rFonts w:asciiTheme="majorHAnsi" w:hAnsiTheme="majorHAnsi"/>
                <w:sz w:val="22"/>
              </w:rPr>
              <w:t>120</w:t>
            </w:r>
          </w:p>
        </w:tc>
      </w:tr>
      <w:tr w:rsidR="00715637" w:rsidRPr="006C4A46" w:rsidTr="00855787">
        <w:trPr>
          <w:trHeight w:val="728"/>
        </w:trPr>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Certify that the 24 reviewers have completed the e-Reading for issuance of honoraria (21 Primary and 3 alternates)</w:t>
            </w:r>
          </w:p>
        </w:tc>
        <w:tc>
          <w:tcPr>
            <w:tcW w:w="1234" w:type="dxa"/>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$1000 (ED flat rate – Primary $100 ED flat rate - alternates</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w:t>
            </w:r>
          </w:p>
        </w:tc>
        <w:tc>
          <w:tcPr>
            <w:tcW w:w="1163" w:type="dxa"/>
            <w:vAlign w:val="center"/>
          </w:tcPr>
          <w:p w:rsidR="00715637" w:rsidRPr="006C4A46" w:rsidRDefault="008C34F8" w:rsidP="002F3549">
            <w:pPr>
              <w:tabs>
                <w:tab w:val="left" w:pos="900"/>
                <w:tab w:val="left" w:pos="1260"/>
                <w:tab w:val="left" w:pos="4860"/>
              </w:tabs>
              <w:spacing w:after="80"/>
              <w:jc w:val="center"/>
              <w:rPr>
                <w:rFonts w:asciiTheme="majorHAnsi" w:hAnsiTheme="majorHAnsi"/>
              </w:rPr>
            </w:pPr>
            <w:r>
              <w:rPr>
                <w:rFonts w:asciiTheme="majorHAnsi" w:hAnsiTheme="majorHAnsi"/>
                <w:sz w:val="22"/>
              </w:rPr>
              <w:t>21 Primary and 3 alternates</w:t>
            </w:r>
          </w:p>
        </w:tc>
        <w:tc>
          <w:tcPr>
            <w:tcW w:w="1478" w:type="dxa"/>
            <w:vAlign w:val="center"/>
          </w:tcPr>
          <w:p w:rsidR="00715637" w:rsidRPr="006C4A46" w:rsidRDefault="00715637" w:rsidP="00715637">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$21,300</w:t>
            </w:r>
          </w:p>
        </w:tc>
      </w:tr>
      <w:tr w:rsidR="00715637" w:rsidRPr="006C4A46" w:rsidTr="00855787">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color w:val="000000"/>
              </w:rPr>
            </w:pPr>
            <w:r w:rsidRPr="006C4A46">
              <w:rPr>
                <w:rFonts w:asciiTheme="majorHAnsi" w:hAnsiTheme="majorHAnsi"/>
                <w:color w:val="000000"/>
                <w:sz w:val="22"/>
              </w:rPr>
              <w:t>Review applications in funding range, revise budget requests, prepare slate memo and attachments for approval; enter grants into G5</w:t>
            </w:r>
          </w:p>
        </w:tc>
        <w:tc>
          <w:tcPr>
            <w:tcW w:w="1234" w:type="dxa"/>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w:t>
            </w:r>
            <w:r w:rsidR="008C34F8">
              <w:rPr>
                <w:rFonts w:asciiTheme="majorHAnsi" w:hAnsiTheme="majorHAnsi"/>
                <w:sz w:val="22"/>
              </w:rPr>
              <w:t>57</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200</w:t>
            </w:r>
          </w:p>
        </w:tc>
        <w:tc>
          <w:tcPr>
            <w:tcW w:w="1478" w:type="dxa"/>
            <w:vAlign w:val="center"/>
          </w:tcPr>
          <w:p w:rsidR="00715637" w:rsidRPr="006C4A46" w:rsidRDefault="00715637" w:rsidP="004C3624">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w:t>
            </w:r>
            <w:r w:rsidR="004C3624">
              <w:rPr>
                <w:rFonts w:asciiTheme="majorHAnsi" w:hAnsiTheme="majorHAnsi"/>
                <w:sz w:val="22"/>
              </w:rPr>
              <w:t>22,800</w:t>
            </w:r>
          </w:p>
        </w:tc>
      </w:tr>
      <w:tr w:rsidR="00715637" w:rsidRPr="006C4A46" w:rsidTr="00855787">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 xml:space="preserve">ED program official reviews and approves slate </w:t>
            </w:r>
          </w:p>
        </w:tc>
        <w:tc>
          <w:tcPr>
            <w:tcW w:w="1234" w:type="dxa"/>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$75</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3</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3</w:t>
            </w:r>
          </w:p>
        </w:tc>
        <w:tc>
          <w:tcPr>
            <w:tcW w:w="1478"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$675</w:t>
            </w:r>
          </w:p>
        </w:tc>
      </w:tr>
      <w:tr w:rsidR="00715637" w:rsidRPr="006C4A46" w:rsidTr="00855787">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Executive officer commits grants</w:t>
            </w:r>
          </w:p>
        </w:tc>
        <w:tc>
          <w:tcPr>
            <w:tcW w:w="1234" w:type="dxa"/>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$75</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w:t>
            </w:r>
          </w:p>
        </w:tc>
        <w:tc>
          <w:tcPr>
            <w:tcW w:w="1478"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$75</w:t>
            </w:r>
          </w:p>
        </w:tc>
      </w:tr>
      <w:tr w:rsidR="00715637" w:rsidRPr="006C4A46" w:rsidTr="00855787">
        <w:trPr>
          <w:trHeight w:val="665"/>
        </w:trPr>
        <w:tc>
          <w:tcPr>
            <w:tcW w:w="0" w:type="auto"/>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Obligate grants in G5 and signs Grant Award Notifications (GANs)</w:t>
            </w:r>
          </w:p>
        </w:tc>
        <w:tc>
          <w:tcPr>
            <w:tcW w:w="1234" w:type="dxa"/>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$60</w:t>
            </w:r>
          </w:p>
        </w:tc>
        <w:tc>
          <w:tcPr>
            <w:tcW w:w="1260"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w:t>
            </w:r>
          </w:p>
        </w:tc>
        <w:tc>
          <w:tcPr>
            <w:tcW w:w="1163"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w:t>
            </w:r>
          </w:p>
        </w:tc>
        <w:tc>
          <w:tcPr>
            <w:tcW w:w="1478" w:type="dxa"/>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$60</w:t>
            </w:r>
          </w:p>
        </w:tc>
      </w:tr>
      <w:tr w:rsidR="00715637" w:rsidRPr="006C4A46" w:rsidTr="00855787">
        <w:trPr>
          <w:trHeight w:val="350"/>
        </w:trPr>
        <w:tc>
          <w:tcPr>
            <w:tcW w:w="0" w:type="auto"/>
            <w:tcBorders>
              <w:bottom w:val="single" w:sz="4" w:space="0" w:color="auto"/>
            </w:tcBorders>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Program officer</w:t>
            </w:r>
            <w:r w:rsidR="004C3624">
              <w:rPr>
                <w:rFonts w:asciiTheme="majorHAnsi" w:hAnsiTheme="majorHAnsi"/>
                <w:sz w:val="22"/>
              </w:rPr>
              <w:t xml:space="preserve">s </w:t>
            </w:r>
            <w:r w:rsidRPr="006C4A46">
              <w:rPr>
                <w:rFonts w:asciiTheme="majorHAnsi" w:hAnsiTheme="majorHAnsi"/>
                <w:sz w:val="22"/>
              </w:rPr>
              <w:t xml:space="preserve"> provides technical assistance to grantees; reviews performance and evaluation reports; conducts ongoing monitoring activities in compliance with OPE , IFLE  requirements</w:t>
            </w:r>
          </w:p>
        </w:tc>
        <w:tc>
          <w:tcPr>
            <w:tcW w:w="1234" w:type="dxa"/>
            <w:tcBorders>
              <w:bottom w:val="single" w:sz="4" w:space="0" w:color="auto"/>
            </w:tcBorders>
            <w:vAlign w:val="center"/>
          </w:tcPr>
          <w:p w:rsidR="00715637" w:rsidRPr="006C4A46" w:rsidRDefault="00715637" w:rsidP="002F3549">
            <w:pPr>
              <w:tabs>
                <w:tab w:val="left" w:pos="900"/>
                <w:tab w:val="left" w:pos="1260"/>
                <w:tab w:val="left" w:pos="4860"/>
              </w:tabs>
              <w:spacing w:after="80"/>
              <w:rPr>
                <w:rFonts w:asciiTheme="majorHAnsi" w:hAnsiTheme="majorHAnsi"/>
              </w:rPr>
            </w:pPr>
            <w:r w:rsidRPr="006C4A46">
              <w:rPr>
                <w:rFonts w:asciiTheme="majorHAnsi" w:hAnsiTheme="majorHAnsi"/>
                <w:sz w:val="22"/>
              </w:rPr>
              <w:t>$</w:t>
            </w:r>
            <w:r w:rsidR="008C34F8">
              <w:rPr>
                <w:rFonts w:asciiTheme="majorHAnsi" w:hAnsiTheme="majorHAnsi"/>
                <w:sz w:val="22"/>
              </w:rPr>
              <w:t>57</w:t>
            </w:r>
          </w:p>
        </w:tc>
        <w:tc>
          <w:tcPr>
            <w:tcW w:w="1260" w:type="dxa"/>
            <w:tcBorders>
              <w:bottom w:val="single" w:sz="4" w:space="0" w:color="auto"/>
            </w:tcBorders>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2</w:t>
            </w:r>
          </w:p>
        </w:tc>
        <w:tc>
          <w:tcPr>
            <w:tcW w:w="1163" w:type="dxa"/>
            <w:tcBorders>
              <w:bottom w:val="single" w:sz="4" w:space="0" w:color="auto"/>
            </w:tcBorders>
            <w:vAlign w:val="center"/>
          </w:tcPr>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780</w:t>
            </w:r>
          </w:p>
          <w:p w:rsidR="00715637" w:rsidRPr="006C4A46" w:rsidRDefault="00715637" w:rsidP="002F3549">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(15 hrs. /wk. x 52 wks.)</w:t>
            </w:r>
          </w:p>
        </w:tc>
        <w:tc>
          <w:tcPr>
            <w:tcW w:w="1478" w:type="dxa"/>
            <w:tcBorders>
              <w:bottom w:val="single" w:sz="4" w:space="0" w:color="auto"/>
            </w:tcBorders>
            <w:vAlign w:val="center"/>
          </w:tcPr>
          <w:p w:rsidR="00715637" w:rsidRPr="006C4A46" w:rsidRDefault="00715637" w:rsidP="004C3624">
            <w:pPr>
              <w:tabs>
                <w:tab w:val="left" w:pos="900"/>
                <w:tab w:val="left" w:pos="1260"/>
                <w:tab w:val="left" w:pos="4860"/>
              </w:tabs>
              <w:spacing w:after="80"/>
              <w:jc w:val="center"/>
              <w:rPr>
                <w:rFonts w:asciiTheme="majorHAnsi" w:hAnsiTheme="majorHAnsi"/>
              </w:rPr>
            </w:pPr>
            <w:r w:rsidRPr="006C4A46">
              <w:rPr>
                <w:rFonts w:asciiTheme="majorHAnsi" w:hAnsiTheme="majorHAnsi"/>
                <w:sz w:val="22"/>
              </w:rPr>
              <w:t>$</w:t>
            </w:r>
            <w:r w:rsidR="004C3624">
              <w:rPr>
                <w:rFonts w:asciiTheme="majorHAnsi" w:hAnsiTheme="majorHAnsi"/>
                <w:sz w:val="22"/>
              </w:rPr>
              <w:t>88,920</w:t>
            </w:r>
          </w:p>
        </w:tc>
      </w:tr>
      <w:tr w:rsidR="00715637" w:rsidRPr="006C4A46" w:rsidTr="00855787">
        <w:tc>
          <w:tcPr>
            <w:tcW w:w="0" w:type="auto"/>
            <w:shd w:val="clear" w:color="auto" w:fill="BFBFBF"/>
            <w:vAlign w:val="center"/>
          </w:tcPr>
          <w:p w:rsidR="00715637" w:rsidRPr="006C4A46" w:rsidRDefault="00715637" w:rsidP="002F3549">
            <w:pPr>
              <w:pStyle w:val="Heading1"/>
              <w:rPr>
                <w:sz w:val="22"/>
              </w:rPr>
            </w:pPr>
            <w:r w:rsidRPr="006C4A46">
              <w:rPr>
                <w:sz w:val="22"/>
              </w:rPr>
              <w:t>TOTAL</w:t>
            </w:r>
          </w:p>
        </w:tc>
        <w:tc>
          <w:tcPr>
            <w:tcW w:w="1234" w:type="dxa"/>
            <w:shd w:val="clear" w:color="auto" w:fill="BFBFBF"/>
            <w:vAlign w:val="center"/>
          </w:tcPr>
          <w:p w:rsidR="00715637" w:rsidRPr="006C4A46" w:rsidRDefault="00715637" w:rsidP="002F3549">
            <w:pPr>
              <w:tabs>
                <w:tab w:val="left" w:pos="900"/>
                <w:tab w:val="left" w:pos="1260"/>
                <w:tab w:val="left" w:pos="4860"/>
              </w:tabs>
              <w:spacing w:after="80"/>
              <w:jc w:val="center"/>
              <w:rPr>
                <w:rFonts w:asciiTheme="majorHAnsi" w:hAnsiTheme="majorHAnsi"/>
                <w:b/>
              </w:rPr>
            </w:pPr>
          </w:p>
        </w:tc>
        <w:tc>
          <w:tcPr>
            <w:tcW w:w="1260" w:type="dxa"/>
            <w:shd w:val="clear" w:color="auto" w:fill="BFBFBF"/>
            <w:vAlign w:val="center"/>
          </w:tcPr>
          <w:p w:rsidR="00715637" w:rsidRPr="006C4A46" w:rsidRDefault="00715637" w:rsidP="002F3549">
            <w:pPr>
              <w:tabs>
                <w:tab w:val="left" w:pos="900"/>
                <w:tab w:val="left" w:pos="1260"/>
                <w:tab w:val="left" w:pos="4860"/>
              </w:tabs>
              <w:spacing w:after="80"/>
              <w:jc w:val="center"/>
              <w:rPr>
                <w:rFonts w:asciiTheme="majorHAnsi" w:hAnsiTheme="majorHAnsi"/>
                <w:b/>
              </w:rPr>
            </w:pPr>
          </w:p>
        </w:tc>
        <w:tc>
          <w:tcPr>
            <w:tcW w:w="1163" w:type="dxa"/>
            <w:shd w:val="clear" w:color="auto" w:fill="BFBFBF"/>
            <w:vAlign w:val="center"/>
          </w:tcPr>
          <w:p w:rsidR="00715637" w:rsidRPr="006C4A46" w:rsidRDefault="00715637" w:rsidP="002F3549">
            <w:pPr>
              <w:tabs>
                <w:tab w:val="left" w:pos="900"/>
                <w:tab w:val="left" w:pos="1260"/>
                <w:tab w:val="left" w:pos="4860"/>
              </w:tabs>
              <w:spacing w:after="80"/>
              <w:jc w:val="center"/>
              <w:rPr>
                <w:rFonts w:asciiTheme="majorHAnsi" w:hAnsiTheme="majorHAnsi"/>
                <w:b/>
              </w:rPr>
            </w:pPr>
            <w:r w:rsidRPr="006C4A46">
              <w:rPr>
                <w:rFonts w:asciiTheme="majorHAnsi" w:hAnsiTheme="majorHAnsi"/>
                <w:b/>
                <w:sz w:val="22"/>
              </w:rPr>
              <w:t>1120</w:t>
            </w:r>
          </w:p>
        </w:tc>
        <w:tc>
          <w:tcPr>
            <w:tcW w:w="1478" w:type="dxa"/>
            <w:shd w:val="clear" w:color="auto" w:fill="BFBFBF"/>
            <w:vAlign w:val="center"/>
          </w:tcPr>
          <w:p w:rsidR="00715637" w:rsidRPr="006C4A46" w:rsidRDefault="00715637" w:rsidP="004C3624">
            <w:pPr>
              <w:tabs>
                <w:tab w:val="left" w:pos="900"/>
                <w:tab w:val="left" w:pos="1260"/>
                <w:tab w:val="left" w:pos="4860"/>
              </w:tabs>
              <w:spacing w:after="80"/>
              <w:jc w:val="center"/>
              <w:rPr>
                <w:rFonts w:asciiTheme="majorHAnsi" w:hAnsiTheme="majorHAnsi"/>
                <w:b/>
              </w:rPr>
            </w:pPr>
            <w:bookmarkStart w:id="4" w:name="OLE_LINK3"/>
            <w:bookmarkStart w:id="5" w:name="OLE_LINK4"/>
            <w:r w:rsidRPr="006C4A46">
              <w:rPr>
                <w:rFonts w:asciiTheme="majorHAnsi" w:hAnsiTheme="majorHAnsi"/>
                <w:b/>
                <w:sz w:val="22"/>
              </w:rPr>
              <w:t>$</w:t>
            </w:r>
            <w:bookmarkEnd w:id="4"/>
            <w:bookmarkEnd w:id="5"/>
            <w:r w:rsidR="004C3624">
              <w:rPr>
                <w:rFonts w:asciiTheme="majorHAnsi" w:hAnsiTheme="majorHAnsi"/>
                <w:b/>
                <w:sz w:val="22"/>
              </w:rPr>
              <w:t xml:space="preserve"> 146,004</w:t>
            </w:r>
          </w:p>
        </w:tc>
      </w:tr>
    </w:tbl>
    <w:p w:rsidR="00715637" w:rsidRPr="00855787" w:rsidRDefault="00715637">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w:t>
      </w:r>
      <w:r w:rsidRPr="00855787">
        <w:rPr>
          <w:rFonts w:asciiTheme="majorHAnsi" w:hAnsiTheme="majorHAnsi"/>
          <w:szCs w:val="24"/>
        </w:rPr>
        <w:lastRenderedPageBreak/>
        <w:t xml:space="preserve">change due to new statute, and/or program change due to agency discretion), type of collection (new, revision, extension, reinstatement with change, reinstatement without change) and include </w:t>
      </w:r>
      <w:r w:rsidR="002473CE" w:rsidRPr="00855787">
        <w:rPr>
          <w:rFonts w:asciiTheme="majorHAnsi" w:hAnsiTheme="majorHAnsi"/>
          <w:szCs w:val="24"/>
        </w:rPr>
        <w:t xml:space="preserve">totals for </w:t>
      </w:r>
      <w:r w:rsidRPr="00855787">
        <w:rPr>
          <w:rFonts w:asciiTheme="majorHAnsi" w:hAnsiTheme="majorHAnsi"/>
          <w:szCs w:val="24"/>
        </w:rPr>
        <w:t>changes in burden hours</w:t>
      </w:r>
      <w:r w:rsidR="002473CE" w:rsidRPr="00855787">
        <w:rPr>
          <w:rFonts w:asciiTheme="majorHAnsi" w:hAnsiTheme="majorHAnsi"/>
          <w:szCs w:val="24"/>
        </w:rPr>
        <w:t>, responses</w:t>
      </w:r>
      <w:r w:rsidRPr="00855787">
        <w:rPr>
          <w:rFonts w:asciiTheme="majorHAnsi" w:hAnsiTheme="majorHAnsi"/>
          <w:szCs w:val="24"/>
        </w:rPr>
        <w:t xml:space="preserve"> and cost</w:t>
      </w:r>
      <w:r w:rsidR="002473CE" w:rsidRPr="00855787">
        <w:rPr>
          <w:rFonts w:asciiTheme="majorHAnsi" w:hAnsiTheme="majorHAnsi"/>
          <w:szCs w:val="24"/>
        </w:rPr>
        <w:t>s</w:t>
      </w:r>
      <w:r w:rsidRPr="00855787">
        <w:rPr>
          <w:rFonts w:asciiTheme="majorHAnsi" w:hAnsiTheme="majorHAnsi"/>
          <w:szCs w:val="24"/>
        </w:rPr>
        <w:t xml:space="preserve"> </w:t>
      </w:r>
      <w:r w:rsidR="002473CE" w:rsidRPr="00855787">
        <w:rPr>
          <w:rFonts w:asciiTheme="majorHAnsi" w:hAnsiTheme="majorHAnsi"/>
          <w:szCs w:val="24"/>
        </w:rPr>
        <w:t>(if applicable)</w:t>
      </w:r>
      <w:r w:rsidRPr="00855787">
        <w:rPr>
          <w:rFonts w:asciiTheme="majorHAnsi" w:hAnsiTheme="majorHAnsi"/>
          <w:szCs w:val="24"/>
        </w:rPr>
        <w:t>.</w:t>
      </w:r>
    </w:p>
    <w:p w:rsidR="00386054" w:rsidRPr="006C4A46" w:rsidRDefault="00386054">
      <w:pPr>
        <w:tabs>
          <w:tab w:val="left" w:pos="-720"/>
        </w:tabs>
        <w:suppressAutoHyphens/>
        <w:rPr>
          <w:rFonts w:asciiTheme="majorHAnsi" w:hAnsiTheme="majorHAnsi"/>
          <w:szCs w:val="24"/>
        </w:rPr>
      </w:pPr>
    </w:p>
    <w:p w:rsidR="00715637" w:rsidRPr="00855787" w:rsidRDefault="00715637" w:rsidP="00715637">
      <w:pPr>
        <w:tabs>
          <w:tab w:val="left" w:pos="-720"/>
        </w:tabs>
        <w:suppressAutoHyphens/>
        <w:rPr>
          <w:rFonts w:asciiTheme="majorHAnsi" w:hAnsiTheme="majorHAnsi"/>
          <w:b/>
          <w:iCs/>
        </w:rPr>
      </w:pPr>
      <w:r w:rsidRPr="00855787">
        <w:rPr>
          <w:rFonts w:asciiTheme="majorHAnsi" w:hAnsiTheme="majorHAnsi"/>
          <w:b/>
          <w:iCs/>
        </w:rPr>
        <w:t>This is a reinstatement of a previously approved collection. As required by GPRA, 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 In FY 2013 the Department revised its GPRA measures to better target performance and evaluation measures.  The changes reflected in the application document represent</w:t>
      </w:r>
      <w:r w:rsidRPr="00855787">
        <w:rPr>
          <w:rFonts w:asciiTheme="majorHAnsi" w:hAnsiTheme="majorHAnsi"/>
          <w:b/>
        </w:rPr>
        <w:t xml:space="preserve"> an effort to assist applicants with providing data for collection to respond to these new GPRA measures. Program-specific guidance has been provided in the collection on preparing evaluation plans, proposing project-specific measures, and reporting data to respond to program GPRA measures for use in the FY 2014 competition cycle and beyond. It will take applicants additional time to review this new guidance, and to develop more amplified evaluation plans. The application also asks new applicants to include project-specific measures in their grant proposal, which is a new requirement.</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16. </w:t>
      </w:r>
      <w:r w:rsidRPr="00855787">
        <w:rPr>
          <w:rStyle w:val="a"/>
          <w:rFonts w:asciiTheme="majorHAnsi" w:hAnsiTheme="majorHAns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855787" w:rsidRDefault="00386054">
      <w:pPr>
        <w:tabs>
          <w:tab w:val="left" w:pos="-720"/>
        </w:tabs>
        <w:suppressAutoHyphens/>
        <w:rPr>
          <w:rFonts w:asciiTheme="majorHAnsi" w:hAnsiTheme="majorHAnsi"/>
          <w:b/>
          <w:szCs w:val="24"/>
        </w:rPr>
      </w:pPr>
    </w:p>
    <w:p w:rsidR="00715637" w:rsidRPr="00855787" w:rsidRDefault="00715637" w:rsidP="00715637">
      <w:pPr>
        <w:tabs>
          <w:tab w:val="left" w:pos="-720"/>
        </w:tabs>
        <w:suppressAutoHyphens/>
        <w:rPr>
          <w:rFonts w:asciiTheme="majorHAnsi" w:hAnsiTheme="majorHAnsi"/>
          <w:b/>
        </w:rPr>
      </w:pPr>
      <w:r w:rsidRPr="00855787">
        <w:rPr>
          <w:rFonts w:asciiTheme="majorHAnsi" w:hAnsiTheme="majorHAnsi"/>
          <w:b/>
        </w:rPr>
        <w:t xml:space="preserve">There are no plans for publication of results.  </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17. </w:t>
      </w:r>
      <w:r w:rsidRPr="00855787">
        <w:rPr>
          <w:rStyle w:val="a"/>
          <w:rFonts w:asciiTheme="majorHAnsi" w:hAnsiTheme="majorHAnsi"/>
          <w:szCs w:val="24"/>
        </w:rPr>
        <w:t>If seeking approval to not display the expiration date for OMB approval of the information collection, explain the reasons that display would be inappropriate.</w:t>
      </w:r>
    </w:p>
    <w:p w:rsidR="00386054" w:rsidRPr="006C4A46" w:rsidRDefault="00386054">
      <w:pPr>
        <w:tabs>
          <w:tab w:val="left" w:pos="-720"/>
        </w:tabs>
        <w:suppressAutoHyphens/>
        <w:rPr>
          <w:rFonts w:asciiTheme="majorHAnsi" w:hAnsiTheme="majorHAnsi"/>
          <w:szCs w:val="24"/>
        </w:rPr>
      </w:pPr>
    </w:p>
    <w:p w:rsidR="00715637" w:rsidRPr="00855787" w:rsidRDefault="00715637" w:rsidP="00715637">
      <w:pPr>
        <w:tabs>
          <w:tab w:val="left" w:pos="-720"/>
        </w:tabs>
        <w:suppressAutoHyphens/>
        <w:rPr>
          <w:rFonts w:asciiTheme="majorHAnsi" w:hAnsiTheme="majorHAnsi"/>
          <w:b/>
        </w:rPr>
      </w:pPr>
      <w:r w:rsidRPr="00855787">
        <w:rPr>
          <w:rStyle w:val="a"/>
          <w:rFonts w:asciiTheme="majorHAnsi" w:hAnsiTheme="majorHAnsi"/>
          <w:b/>
        </w:rPr>
        <w:t>Not applicable. The expiration date for OMB approval will be displayed on the information collection.</w:t>
      </w:r>
    </w:p>
    <w:p w:rsidR="00715637" w:rsidRPr="006C4A46" w:rsidRDefault="00715637" w:rsidP="00715637">
      <w:pPr>
        <w:pStyle w:val="EndnoteText"/>
        <w:rPr>
          <w:rFonts w:asciiTheme="majorHAnsi" w:hAnsiTheme="majorHAnsi"/>
        </w:rPr>
      </w:pPr>
    </w:p>
    <w:p w:rsidR="00386054" w:rsidRPr="006C4A46" w:rsidRDefault="00386054">
      <w:pPr>
        <w:tabs>
          <w:tab w:val="left" w:pos="-720"/>
        </w:tabs>
        <w:suppressAutoHyphens/>
        <w:rPr>
          <w:rStyle w:val="a"/>
          <w:rFonts w:asciiTheme="majorHAnsi" w:hAnsiTheme="majorHAnsi"/>
          <w:szCs w:val="24"/>
        </w:rPr>
      </w:pPr>
      <w:r w:rsidRPr="00855787">
        <w:rPr>
          <w:rFonts w:asciiTheme="majorHAnsi" w:hAnsiTheme="majorHAnsi"/>
          <w:szCs w:val="24"/>
        </w:rPr>
        <w:t xml:space="preserve">18. </w:t>
      </w:r>
      <w:r w:rsidRPr="00855787">
        <w:rPr>
          <w:rStyle w:val="a"/>
          <w:rFonts w:asciiTheme="majorHAnsi" w:hAnsiTheme="majorHAnsi"/>
          <w:szCs w:val="24"/>
        </w:rPr>
        <w:t>Explain each exception to the certification statement identified in the Certification of Paperwork Reduction Act.</w:t>
      </w:r>
    </w:p>
    <w:p w:rsidR="00715637" w:rsidRPr="006C4A46" w:rsidRDefault="00715637">
      <w:pPr>
        <w:tabs>
          <w:tab w:val="left" w:pos="-720"/>
        </w:tabs>
        <w:suppressAutoHyphens/>
        <w:rPr>
          <w:rStyle w:val="a"/>
          <w:rFonts w:asciiTheme="majorHAnsi" w:hAnsiTheme="majorHAnsi"/>
          <w:szCs w:val="24"/>
        </w:rPr>
      </w:pPr>
    </w:p>
    <w:p w:rsidR="00715637" w:rsidRPr="006C4A46" w:rsidRDefault="00715637" w:rsidP="006C4A46">
      <w:pPr>
        <w:pStyle w:val="EndnoteText"/>
        <w:rPr>
          <w:rFonts w:asciiTheme="majorHAnsi" w:hAnsiTheme="majorHAnsi"/>
        </w:rPr>
      </w:pPr>
      <w:r w:rsidRPr="00855787">
        <w:rPr>
          <w:rFonts w:asciiTheme="majorHAnsi" w:hAnsiTheme="majorHAnsi"/>
          <w:b/>
        </w:rPr>
        <w:t xml:space="preserve">Not applicable.  </w:t>
      </w:r>
    </w:p>
    <w:p w:rsidR="00715637" w:rsidRPr="00855787" w:rsidRDefault="00715637">
      <w:pPr>
        <w:tabs>
          <w:tab w:val="left" w:pos="-720"/>
        </w:tabs>
        <w:suppressAutoHyphens/>
        <w:rPr>
          <w:rFonts w:asciiTheme="majorHAnsi" w:hAnsiTheme="majorHAnsi"/>
          <w:szCs w:val="24"/>
        </w:rPr>
      </w:pPr>
    </w:p>
    <w:sectPr w:rsidR="00715637" w:rsidRPr="00855787"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89" w:rsidRDefault="00476989">
      <w:pPr>
        <w:spacing w:line="20" w:lineRule="exact"/>
      </w:pPr>
    </w:p>
  </w:endnote>
  <w:endnote w:type="continuationSeparator" w:id="0">
    <w:p w:rsidR="00476989" w:rsidRDefault="00476989">
      <w:r>
        <w:t xml:space="preserve"> </w:t>
      </w:r>
    </w:p>
  </w:endnote>
  <w:endnote w:type="continuationNotice" w:id="1">
    <w:p w:rsidR="00476989" w:rsidRDefault="004769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7C57C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A7C31">
                            <w:fldChar w:fldCharType="begin"/>
                          </w:r>
                          <w:r w:rsidR="006A7C31">
                            <w:instrText>page \* arabic</w:instrText>
                          </w:r>
                          <w:r w:rsidR="006A7C31">
                            <w:fldChar w:fldCharType="separate"/>
                          </w:r>
                          <w:r w:rsidR="007D70BA">
                            <w:rPr>
                              <w:noProof/>
                            </w:rPr>
                            <w:t>1</w:t>
                          </w:r>
                          <w:r w:rsidR="006A7C31">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6A7C31">
                      <w:fldChar w:fldCharType="begin"/>
                    </w:r>
                    <w:r w:rsidR="006A7C31">
                      <w:instrText>page \* arabic</w:instrText>
                    </w:r>
                    <w:r w:rsidR="006A7C31">
                      <w:fldChar w:fldCharType="separate"/>
                    </w:r>
                    <w:r w:rsidR="007D70BA">
                      <w:rPr>
                        <w:noProof/>
                      </w:rPr>
                      <w:t>1</w:t>
                    </w:r>
                    <w:r w:rsidR="006A7C31">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89" w:rsidRDefault="00476989">
      <w:r>
        <w:separator/>
      </w:r>
    </w:p>
  </w:footnote>
  <w:footnote w:type="continuationSeparator" w:id="0">
    <w:p w:rsidR="00476989" w:rsidRDefault="0047698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883617">
      <w:rPr>
        <w:rFonts w:ascii="Times New Roman" w:hAnsi="Times New Roman"/>
        <w:sz w:val="20"/>
      </w:rPr>
      <w:t>1840-0796</w:t>
    </w:r>
    <w:r>
      <w:rPr>
        <w:rFonts w:ascii="Times New Roman" w:hAnsi="Times New Roman"/>
        <w:sz w:val="20"/>
      </w:rPr>
      <w:t xml:space="preserve">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55BF"/>
    <w:rsid w:val="000B14D8"/>
    <w:rsid w:val="000E592D"/>
    <w:rsid w:val="000F175B"/>
    <w:rsid w:val="0014500F"/>
    <w:rsid w:val="00153F20"/>
    <w:rsid w:val="001743A5"/>
    <w:rsid w:val="0018279C"/>
    <w:rsid w:val="002473CE"/>
    <w:rsid w:val="002839C1"/>
    <w:rsid w:val="002B0412"/>
    <w:rsid w:val="002B0A95"/>
    <w:rsid w:val="003717A1"/>
    <w:rsid w:val="00386054"/>
    <w:rsid w:val="00391821"/>
    <w:rsid w:val="003C29C2"/>
    <w:rsid w:val="003C7F70"/>
    <w:rsid w:val="003E285A"/>
    <w:rsid w:val="00404D87"/>
    <w:rsid w:val="00476989"/>
    <w:rsid w:val="004A2DBB"/>
    <w:rsid w:val="004A4FA6"/>
    <w:rsid w:val="004C3624"/>
    <w:rsid w:val="004E23D9"/>
    <w:rsid w:val="004F692A"/>
    <w:rsid w:val="00512598"/>
    <w:rsid w:val="00563CCF"/>
    <w:rsid w:val="00580AF8"/>
    <w:rsid w:val="005A1566"/>
    <w:rsid w:val="005A1DFC"/>
    <w:rsid w:val="005A4185"/>
    <w:rsid w:val="005B65E9"/>
    <w:rsid w:val="005D15D8"/>
    <w:rsid w:val="005D2E7B"/>
    <w:rsid w:val="005E2F75"/>
    <w:rsid w:val="0063484C"/>
    <w:rsid w:val="00635B24"/>
    <w:rsid w:val="00654305"/>
    <w:rsid w:val="006737C0"/>
    <w:rsid w:val="00676005"/>
    <w:rsid w:val="00677BC2"/>
    <w:rsid w:val="006A3B5C"/>
    <w:rsid w:val="006A7C31"/>
    <w:rsid w:val="006C01D0"/>
    <w:rsid w:val="006C4A46"/>
    <w:rsid w:val="00715637"/>
    <w:rsid w:val="007661D9"/>
    <w:rsid w:val="007B14E8"/>
    <w:rsid w:val="007C12B5"/>
    <w:rsid w:val="007C57C7"/>
    <w:rsid w:val="007D70BA"/>
    <w:rsid w:val="007E77FA"/>
    <w:rsid w:val="008011B6"/>
    <w:rsid w:val="00855787"/>
    <w:rsid w:val="00883617"/>
    <w:rsid w:val="008B376F"/>
    <w:rsid w:val="008C34F8"/>
    <w:rsid w:val="008E1025"/>
    <w:rsid w:val="008F3062"/>
    <w:rsid w:val="00921CB1"/>
    <w:rsid w:val="009544A3"/>
    <w:rsid w:val="009949A8"/>
    <w:rsid w:val="009A5B5D"/>
    <w:rsid w:val="00A01331"/>
    <w:rsid w:val="00A41F2C"/>
    <w:rsid w:val="00A87940"/>
    <w:rsid w:val="00A94CCB"/>
    <w:rsid w:val="00AB0D7D"/>
    <w:rsid w:val="00AF3579"/>
    <w:rsid w:val="00B15A3B"/>
    <w:rsid w:val="00B23EC0"/>
    <w:rsid w:val="00BC244F"/>
    <w:rsid w:val="00BD1325"/>
    <w:rsid w:val="00C641E9"/>
    <w:rsid w:val="00C723C2"/>
    <w:rsid w:val="00C82373"/>
    <w:rsid w:val="00CE72AF"/>
    <w:rsid w:val="00D11193"/>
    <w:rsid w:val="00D115BF"/>
    <w:rsid w:val="00D269C3"/>
    <w:rsid w:val="00E023B7"/>
    <w:rsid w:val="00E07290"/>
    <w:rsid w:val="00E52B47"/>
    <w:rsid w:val="00EA3C1F"/>
    <w:rsid w:val="00EA7B23"/>
    <w:rsid w:val="00EC2CC4"/>
    <w:rsid w:val="00EE2C24"/>
    <w:rsid w:val="00EF7FF5"/>
    <w:rsid w:val="00F313DF"/>
    <w:rsid w:val="00F44D05"/>
    <w:rsid w:val="00F47434"/>
    <w:rsid w:val="00F578F6"/>
    <w:rsid w:val="00F9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715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578F6"/>
    <w:pPr>
      <w:keepNext/>
      <w:ind w:firstLine="72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EA7B23"/>
    <w:pPr>
      <w:jc w:val="both"/>
    </w:pPr>
    <w:rPr>
      <w:rFonts w:ascii="Univers" w:hAnsi="Univers"/>
    </w:rPr>
  </w:style>
  <w:style w:type="character" w:customStyle="1" w:styleId="BodyTextChar">
    <w:name w:val="Body Text Char"/>
    <w:basedOn w:val="DefaultParagraphFont"/>
    <w:link w:val="BodyText"/>
    <w:semiHidden/>
    <w:rsid w:val="00EA7B23"/>
    <w:rPr>
      <w:rFonts w:ascii="Univers" w:hAnsi="Univers"/>
      <w:sz w:val="24"/>
      <w:szCs w:val="20"/>
    </w:rPr>
  </w:style>
  <w:style w:type="paragraph" w:styleId="BodyTextIndent3">
    <w:name w:val="Body Text Indent 3"/>
    <w:basedOn w:val="Normal"/>
    <w:link w:val="BodyTextIndent3Char"/>
    <w:uiPriority w:val="99"/>
    <w:semiHidden/>
    <w:unhideWhenUsed/>
    <w:rsid w:val="00F578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78F6"/>
    <w:rPr>
      <w:rFonts w:ascii="Courier" w:hAnsi="Courier"/>
      <w:sz w:val="16"/>
      <w:szCs w:val="16"/>
    </w:rPr>
  </w:style>
  <w:style w:type="character" w:customStyle="1" w:styleId="Heading2Char">
    <w:name w:val="Heading 2 Char"/>
    <w:basedOn w:val="DefaultParagraphFont"/>
    <w:link w:val="Heading2"/>
    <w:rsid w:val="00F578F6"/>
    <w:rPr>
      <w:b/>
      <w:bCs/>
      <w:sz w:val="24"/>
      <w:szCs w:val="20"/>
      <w:u w:val="single"/>
    </w:rPr>
  </w:style>
  <w:style w:type="character" w:customStyle="1" w:styleId="Heading1Char">
    <w:name w:val="Heading 1 Char"/>
    <w:basedOn w:val="DefaultParagraphFont"/>
    <w:link w:val="Heading1"/>
    <w:rsid w:val="0071563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715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578F6"/>
    <w:pPr>
      <w:keepNext/>
      <w:ind w:firstLine="72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EA7B23"/>
    <w:pPr>
      <w:jc w:val="both"/>
    </w:pPr>
    <w:rPr>
      <w:rFonts w:ascii="Univers" w:hAnsi="Univers"/>
    </w:rPr>
  </w:style>
  <w:style w:type="character" w:customStyle="1" w:styleId="BodyTextChar">
    <w:name w:val="Body Text Char"/>
    <w:basedOn w:val="DefaultParagraphFont"/>
    <w:link w:val="BodyText"/>
    <w:semiHidden/>
    <w:rsid w:val="00EA7B23"/>
    <w:rPr>
      <w:rFonts w:ascii="Univers" w:hAnsi="Univers"/>
      <w:sz w:val="24"/>
      <w:szCs w:val="20"/>
    </w:rPr>
  </w:style>
  <w:style w:type="paragraph" w:styleId="BodyTextIndent3">
    <w:name w:val="Body Text Indent 3"/>
    <w:basedOn w:val="Normal"/>
    <w:link w:val="BodyTextIndent3Char"/>
    <w:uiPriority w:val="99"/>
    <w:semiHidden/>
    <w:unhideWhenUsed/>
    <w:rsid w:val="00F578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78F6"/>
    <w:rPr>
      <w:rFonts w:ascii="Courier" w:hAnsi="Courier"/>
      <w:sz w:val="16"/>
      <w:szCs w:val="16"/>
    </w:rPr>
  </w:style>
  <w:style w:type="character" w:customStyle="1" w:styleId="Heading2Char">
    <w:name w:val="Heading 2 Char"/>
    <w:basedOn w:val="DefaultParagraphFont"/>
    <w:link w:val="Heading2"/>
    <w:rsid w:val="00F578F6"/>
    <w:rPr>
      <w:b/>
      <w:bCs/>
      <w:sz w:val="24"/>
      <w:szCs w:val="20"/>
      <w:u w:val="single"/>
    </w:rPr>
  </w:style>
  <w:style w:type="character" w:customStyle="1" w:styleId="Heading1Char">
    <w:name w:val="Heading 1 Char"/>
    <w:basedOn w:val="DefaultParagraphFont"/>
    <w:link w:val="Heading1"/>
    <w:rsid w:val="007156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6EB31-9747-4788-9E6D-27DEC128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3578</Words>
  <Characters>20936</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Department of Education</cp:lastModifiedBy>
  <cp:revision>2</cp:revision>
  <cp:lastPrinted>2014-02-24T21:46:00Z</cp:lastPrinted>
  <dcterms:created xsi:type="dcterms:W3CDTF">2014-03-11T12:58:00Z</dcterms:created>
  <dcterms:modified xsi:type="dcterms:W3CDTF">2014-03-11T12:58:00Z</dcterms:modified>
</cp:coreProperties>
</file>