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BA51CE" w:rsidRPr="00A66C48" w:rsidRDefault="004B7328">
      <w:pPr>
        <w:jc w:val="center"/>
        <w:rPr>
          <w:rFonts w:ascii="Times New Roman" w:hAnsi="Times New Roman"/>
          <w:b/>
          <w:bCs/>
        </w:rPr>
      </w:pPr>
      <w:r w:rsidRPr="00A66C48">
        <w:rPr>
          <w:lang w:val="en-CA"/>
        </w:rPr>
        <w:fldChar w:fldCharType="begin"/>
      </w:r>
      <w:r w:rsidR="002F14F8" w:rsidRPr="00A66C48">
        <w:rPr>
          <w:lang w:val="en-CA"/>
        </w:rPr>
        <w:instrText xml:space="preserve"> SEQ CHAPTER \h \r 1</w:instrText>
      </w:r>
      <w:r w:rsidRPr="00A66C48">
        <w:rPr>
          <w:lang w:val="en-CA"/>
        </w:rPr>
        <w:fldChar w:fldCharType="end"/>
      </w:r>
      <w:r w:rsidR="002F14F8" w:rsidRPr="00A66C48">
        <w:rPr>
          <w:rFonts w:ascii="Times New Roman" w:hAnsi="Times New Roman"/>
          <w:b/>
          <w:bCs/>
        </w:rPr>
        <w:t>SUPPORTING STATEMENT FOR</w:t>
      </w:r>
    </w:p>
    <w:p w:rsidR="002F14F8" w:rsidRPr="00A66C48" w:rsidRDefault="002F14F8" w:rsidP="008C0C40">
      <w:pPr>
        <w:jc w:val="center"/>
        <w:rPr>
          <w:rFonts w:ascii="Times New Roman" w:hAnsi="Times New Roman"/>
        </w:rPr>
      </w:pPr>
      <w:r w:rsidRPr="00A66C48">
        <w:rPr>
          <w:rFonts w:ascii="Times New Roman" w:hAnsi="Times New Roman"/>
          <w:b/>
          <w:bCs/>
        </w:rPr>
        <w:t>AN INFORMATION COLLECTION REQUEST (ICR)</w:t>
      </w:r>
    </w:p>
    <w:p w:rsidR="002F14F8" w:rsidRPr="00A66C48" w:rsidRDefault="002F14F8" w:rsidP="002F14F8">
      <w:pPr>
        <w:rPr>
          <w:rFonts w:ascii="Times New Roman" w:hAnsi="Times New Roman"/>
        </w:rPr>
      </w:pPr>
    </w:p>
    <w:p w:rsidR="002F14F8" w:rsidRPr="00A66C48" w:rsidRDefault="002F14F8" w:rsidP="002F14F8">
      <w:pPr>
        <w:rPr>
          <w:rFonts w:ascii="Times New Roman" w:hAnsi="Times New Roman"/>
        </w:rPr>
      </w:pPr>
      <w:r w:rsidRPr="00A66C48">
        <w:rPr>
          <w:rFonts w:ascii="Times New Roman" w:hAnsi="Times New Roman"/>
          <w:b/>
          <w:bCs/>
        </w:rPr>
        <w:t>1.</w:t>
      </w:r>
      <w:r w:rsidRPr="00A66C48">
        <w:rPr>
          <w:rFonts w:ascii="Times New Roman" w:hAnsi="Times New Roman"/>
          <w:b/>
          <w:bCs/>
        </w:rPr>
        <w:tab/>
      </w:r>
      <w:r w:rsidRPr="00A66C48">
        <w:rPr>
          <w:rFonts w:ascii="Times New Roman" w:hAnsi="Times New Roman"/>
          <w:b/>
          <w:bCs/>
          <w:u w:val="single"/>
        </w:rPr>
        <w:t>IDENTIFICATION OF THE INFORMATION COLLECTION</w:t>
      </w:r>
    </w:p>
    <w:p w:rsidR="002F14F8" w:rsidRPr="00A66C48" w:rsidRDefault="002F14F8" w:rsidP="002F14F8">
      <w:pPr>
        <w:rPr>
          <w:rFonts w:ascii="Times New Roman" w:hAnsi="Times New Roman"/>
        </w:rPr>
      </w:pPr>
      <w:r w:rsidRPr="00A66C48">
        <w:rPr>
          <w:rFonts w:ascii="Times New Roman" w:hAnsi="Times New Roman"/>
        </w:rPr>
        <w:tab/>
      </w:r>
    </w:p>
    <w:p w:rsidR="002F14F8" w:rsidRPr="00A66C48" w:rsidRDefault="002F14F8" w:rsidP="002F14F8">
      <w:pPr>
        <w:rPr>
          <w:rFonts w:ascii="Times New Roman" w:hAnsi="Times New Roman"/>
        </w:rPr>
      </w:pPr>
      <w:r w:rsidRPr="00A66C48">
        <w:rPr>
          <w:rFonts w:ascii="Times New Roman" w:hAnsi="Times New Roman"/>
        </w:rPr>
        <w:tab/>
      </w:r>
      <w:r w:rsidRPr="00A66C48">
        <w:rPr>
          <w:rFonts w:ascii="Times New Roman" w:hAnsi="Times New Roman"/>
          <w:b/>
          <w:bCs/>
        </w:rPr>
        <w:t>1(a). Title of the Information Collection</w:t>
      </w:r>
    </w:p>
    <w:p w:rsidR="002F14F8" w:rsidRPr="00A66C48" w:rsidRDefault="002F14F8" w:rsidP="002F14F8">
      <w:pPr>
        <w:rPr>
          <w:rFonts w:ascii="Times New Roman" w:hAnsi="Times New Roman"/>
        </w:rPr>
      </w:pPr>
    </w:p>
    <w:p w:rsidR="002F14F8" w:rsidRPr="00A66C48" w:rsidRDefault="002F14F8" w:rsidP="002F14F8">
      <w:pPr>
        <w:rPr>
          <w:rFonts w:ascii="Times New Roman" w:hAnsi="Times New Roman"/>
        </w:rPr>
      </w:pPr>
      <w:r w:rsidRPr="00A66C48">
        <w:rPr>
          <w:rFonts w:ascii="Times New Roman" w:hAnsi="Times New Roman"/>
        </w:rPr>
        <w:tab/>
        <w:t>Compliance Requirement for Child-Resistant Packaging</w:t>
      </w:r>
    </w:p>
    <w:p w:rsidR="002F14F8" w:rsidRPr="00A66C48" w:rsidRDefault="002F14F8" w:rsidP="002F14F8">
      <w:pPr>
        <w:rPr>
          <w:rFonts w:ascii="Times New Roman" w:hAnsi="Times New Roman"/>
        </w:rPr>
      </w:pPr>
    </w:p>
    <w:p w:rsidR="002F14F8" w:rsidRPr="00A66C48" w:rsidRDefault="002F14F8" w:rsidP="002F14F8">
      <w:pPr>
        <w:rPr>
          <w:rFonts w:ascii="Times New Roman" w:hAnsi="Times New Roman"/>
        </w:rPr>
      </w:pPr>
      <w:r w:rsidRPr="00A66C48">
        <w:rPr>
          <w:rFonts w:ascii="Times New Roman" w:hAnsi="Times New Roman"/>
        </w:rPr>
        <w:tab/>
        <w:t>OMB No. 2070-0052</w:t>
      </w:r>
      <w:r w:rsidR="00012A69" w:rsidRPr="00A66C48">
        <w:rPr>
          <w:rFonts w:ascii="Times New Roman" w:hAnsi="Times New Roman"/>
        </w:rPr>
        <w:t>; EPA No. 0616.</w:t>
      </w:r>
      <w:r w:rsidR="00E13519" w:rsidRPr="00A66C48">
        <w:rPr>
          <w:rFonts w:ascii="Times New Roman" w:hAnsi="Times New Roman"/>
        </w:rPr>
        <w:t>1</w:t>
      </w:r>
      <w:r w:rsidR="00426EFC" w:rsidRPr="00A66C48">
        <w:rPr>
          <w:rFonts w:ascii="Times New Roman" w:hAnsi="Times New Roman"/>
        </w:rPr>
        <w:t>1</w:t>
      </w:r>
    </w:p>
    <w:p w:rsidR="002F14F8" w:rsidRPr="00A66C48" w:rsidRDefault="002F14F8" w:rsidP="002F14F8">
      <w:pPr>
        <w:rPr>
          <w:rFonts w:ascii="Times New Roman" w:hAnsi="Times New Roman"/>
        </w:rPr>
      </w:pPr>
    </w:p>
    <w:p w:rsidR="002F14F8" w:rsidRPr="00A66C48" w:rsidRDefault="002F14F8" w:rsidP="002F14F8">
      <w:pPr>
        <w:rPr>
          <w:rFonts w:ascii="Times New Roman" w:hAnsi="Times New Roman"/>
          <w:b/>
          <w:bCs/>
        </w:rPr>
      </w:pPr>
      <w:r w:rsidRPr="00A66C48">
        <w:rPr>
          <w:rFonts w:ascii="Times New Roman" w:hAnsi="Times New Roman"/>
        </w:rPr>
        <w:tab/>
      </w:r>
      <w:r w:rsidRPr="00A66C48">
        <w:rPr>
          <w:rFonts w:ascii="Times New Roman" w:hAnsi="Times New Roman"/>
          <w:b/>
          <w:bCs/>
        </w:rPr>
        <w:t>1(b). Short Characterization/Abstract</w:t>
      </w:r>
    </w:p>
    <w:p w:rsidR="002F14F8" w:rsidRPr="00A66C48" w:rsidRDefault="002F14F8" w:rsidP="002F14F8">
      <w:pPr>
        <w:rPr>
          <w:rFonts w:ascii="Times New Roman" w:hAnsi="Times New Roman"/>
        </w:rPr>
      </w:pPr>
    </w:p>
    <w:p w:rsidR="002F14F8" w:rsidRPr="00A66C48" w:rsidRDefault="002F14F8" w:rsidP="002F14F8">
      <w:pPr>
        <w:rPr>
          <w:rFonts w:ascii="Times New Roman" w:hAnsi="Times New Roman"/>
        </w:rPr>
      </w:pPr>
      <w:r w:rsidRPr="00A66C48">
        <w:rPr>
          <w:rFonts w:ascii="Times New Roman" w:hAnsi="Times New Roman"/>
        </w:rPr>
        <w:tab/>
        <w:t>This information collection program is designed to provide the Environmental Protection Agency (EPA) with assurances that the packaging of pesticide products sold and distributed to the general public in the United States meets standards set forth by the Agency pursuant to the Federal Insecticide, Fungicide, and Rodenticide Act (FIFRA). Registrants must certify to the Agency that the packaging or device meets these standards. There are no forms associated with this information collection activity.</w:t>
      </w:r>
    </w:p>
    <w:p w:rsidR="002F14F8" w:rsidRPr="00A66C48" w:rsidRDefault="002F14F8" w:rsidP="002F14F8">
      <w:pPr>
        <w:rPr>
          <w:rFonts w:ascii="Times New Roman" w:hAnsi="Times New Roman"/>
        </w:rPr>
      </w:pPr>
    </w:p>
    <w:p w:rsidR="002F14F8" w:rsidRPr="00A66C48" w:rsidRDefault="002F14F8" w:rsidP="002F14F8">
      <w:pPr>
        <w:rPr>
          <w:rFonts w:ascii="Times New Roman" w:hAnsi="Times New Roman"/>
        </w:rPr>
      </w:pPr>
      <w:r w:rsidRPr="00A66C48">
        <w:rPr>
          <w:rFonts w:ascii="Times New Roman" w:hAnsi="Times New Roman"/>
          <w:b/>
          <w:bCs/>
        </w:rPr>
        <w:t>2.</w:t>
      </w:r>
      <w:r w:rsidRPr="00A66C48">
        <w:rPr>
          <w:rFonts w:ascii="Times New Roman" w:hAnsi="Times New Roman"/>
          <w:b/>
          <w:bCs/>
        </w:rPr>
        <w:tab/>
      </w:r>
      <w:r w:rsidRPr="00A66C48">
        <w:rPr>
          <w:rFonts w:ascii="Times New Roman" w:hAnsi="Times New Roman"/>
          <w:b/>
          <w:bCs/>
          <w:u w:val="single"/>
        </w:rPr>
        <w:t>NEED FOR AND USE OF THE COLLECTION</w:t>
      </w:r>
    </w:p>
    <w:p w:rsidR="002F14F8" w:rsidRPr="00A66C48" w:rsidRDefault="002F14F8" w:rsidP="002F14F8">
      <w:pPr>
        <w:rPr>
          <w:rFonts w:ascii="Times New Roman" w:hAnsi="Times New Roman"/>
        </w:rPr>
      </w:pPr>
    </w:p>
    <w:p w:rsidR="002F14F8" w:rsidRPr="00A66C48" w:rsidRDefault="002F14F8" w:rsidP="002F14F8">
      <w:pPr>
        <w:rPr>
          <w:rFonts w:ascii="Times New Roman" w:hAnsi="Times New Roman"/>
        </w:rPr>
      </w:pPr>
      <w:r w:rsidRPr="00A66C48">
        <w:rPr>
          <w:rFonts w:ascii="Times New Roman" w:hAnsi="Times New Roman"/>
          <w:b/>
          <w:bCs/>
        </w:rPr>
        <w:tab/>
        <w:t>2(a). Need/Authority for the Collection</w:t>
      </w:r>
    </w:p>
    <w:p w:rsidR="002F14F8" w:rsidRPr="00A66C48" w:rsidRDefault="002F14F8" w:rsidP="002F14F8">
      <w:pPr>
        <w:rPr>
          <w:rFonts w:ascii="Times New Roman" w:hAnsi="Times New Roman"/>
        </w:rPr>
      </w:pPr>
    </w:p>
    <w:p w:rsidR="002F14F8" w:rsidRPr="00A66C48" w:rsidRDefault="002F14F8" w:rsidP="002F14F8">
      <w:pPr>
        <w:rPr>
          <w:rFonts w:ascii="Times New Roman" w:hAnsi="Times New Roman"/>
        </w:rPr>
      </w:pPr>
      <w:r w:rsidRPr="00A66C48">
        <w:rPr>
          <w:rFonts w:ascii="Times New Roman" w:hAnsi="Times New Roman"/>
        </w:rPr>
        <w:tab/>
        <w:t>Section 25(c</w:t>
      </w:r>
      <w:proofErr w:type="gramStart"/>
      <w:r w:rsidRPr="00A66C48">
        <w:rPr>
          <w:rFonts w:ascii="Times New Roman" w:hAnsi="Times New Roman"/>
        </w:rPr>
        <w:t>)(</w:t>
      </w:r>
      <w:proofErr w:type="gramEnd"/>
      <w:r w:rsidRPr="00A66C48">
        <w:rPr>
          <w:rFonts w:ascii="Times New Roman" w:hAnsi="Times New Roman"/>
        </w:rPr>
        <w:t>3) of FIFRA authorizes EPA to establish standards for packaging of pesticide products and pesticidal devices to protect children and adults from serious illness or injury resulting from accidental ingestion or contact (</w:t>
      </w:r>
      <w:r w:rsidRPr="00D01EC1">
        <w:rPr>
          <w:rFonts w:ascii="Times New Roman" w:hAnsi="Times New Roman"/>
          <w:iCs/>
        </w:rPr>
        <w:t>see</w:t>
      </w:r>
      <w:r w:rsidRPr="00A66C48">
        <w:rPr>
          <w:rFonts w:ascii="Times New Roman" w:hAnsi="Times New Roman"/>
        </w:rPr>
        <w:t xml:space="preserve"> Attachment A). The law requires that these standards are designed to be consistent with those under the Poison Prevention Packaging Act, administered by the Consumer Product Safety Commission (CPSC). Unless a pesticide product qualifies for an exemption, </w:t>
      </w:r>
      <w:r w:rsidR="00A843EF" w:rsidRPr="00A66C48">
        <w:rPr>
          <w:rFonts w:ascii="Times New Roman" w:hAnsi="Times New Roman"/>
        </w:rPr>
        <w:t xml:space="preserve">if </w:t>
      </w:r>
      <w:r w:rsidRPr="00A66C48">
        <w:rPr>
          <w:rFonts w:ascii="Times New Roman" w:hAnsi="Times New Roman"/>
        </w:rPr>
        <w:t>the product meets certain criteria regarding toxicity and use, it must be sold and distributed in child-resistant packaging. The authority for this information collection is pursuant to Section 25(c</w:t>
      </w:r>
      <w:proofErr w:type="gramStart"/>
      <w:r w:rsidRPr="00A66C48">
        <w:rPr>
          <w:rFonts w:ascii="Times New Roman" w:hAnsi="Times New Roman"/>
        </w:rPr>
        <w:t>)(</w:t>
      </w:r>
      <w:proofErr w:type="gramEnd"/>
      <w:r w:rsidRPr="00A66C48">
        <w:rPr>
          <w:rFonts w:ascii="Times New Roman" w:hAnsi="Times New Roman"/>
        </w:rPr>
        <w:t>3) of the FIFRA. Compliance regulations are contained in 40 Code of Federal Regulations (CFR) Part 157 (Attachment B).</w:t>
      </w:r>
    </w:p>
    <w:p w:rsidR="002F14F8" w:rsidRPr="00A66C48" w:rsidRDefault="002F14F8" w:rsidP="002F14F8">
      <w:pPr>
        <w:rPr>
          <w:rFonts w:ascii="Times New Roman" w:hAnsi="Times New Roman"/>
        </w:rPr>
      </w:pPr>
    </w:p>
    <w:p w:rsidR="002F14F8" w:rsidRPr="00A66C48" w:rsidRDefault="002F14F8" w:rsidP="002F14F8">
      <w:pPr>
        <w:rPr>
          <w:rFonts w:ascii="Times New Roman" w:hAnsi="Times New Roman"/>
        </w:rPr>
      </w:pPr>
      <w:r w:rsidRPr="00A66C48">
        <w:rPr>
          <w:rFonts w:ascii="Times New Roman" w:hAnsi="Times New Roman"/>
          <w:b/>
          <w:bCs/>
        </w:rPr>
        <w:tab/>
        <w:t>2(b). Practical Utility/Users of the Data</w:t>
      </w:r>
    </w:p>
    <w:p w:rsidR="002F14F8" w:rsidRPr="00A66C48" w:rsidRDefault="002F14F8" w:rsidP="002F14F8">
      <w:pPr>
        <w:rPr>
          <w:rFonts w:ascii="Times New Roman" w:hAnsi="Times New Roman"/>
        </w:rPr>
      </w:pPr>
    </w:p>
    <w:p w:rsidR="002F14F8" w:rsidRPr="00A66C48" w:rsidRDefault="002F14F8" w:rsidP="002F14F8">
      <w:pPr>
        <w:rPr>
          <w:rFonts w:ascii="Times New Roman" w:hAnsi="Times New Roman"/>
        </w:rPr>
      </w:pPr>
      <w:r w:rsidRPr="00A66C48">
        <w:rPr>
          <w:rFonts w:ascii="Times New Roman" w:hAnsi="Times New Roman"/>
        </w:rPr>
        <w:tab/>
        <w:t>EPA reviews a registrant's child-resistant packaging (CRP) certification to determine if there are human safety/health risk concerns. Exemption requests are reviewed to ascertain if there is a health risk, and if CRP is technically feasible, practicable, and appropriate.</w:t>
      </w:r>
    </w:p>
    <w:p w:rsidR="00C16B89" w:rsidRPr="00A66C48" w:rsidRDefault="00C16B89" w:rsidP="002F14F8">
      <w:pPr>
        <w:rPr>
          <w:rFonts w:ascii="Times New Roman" w:hAnsi="Times New Roman"/>
        </w:rPr>
      </w:pPr>
    </w:p>
    <w:p w:rsidR="002F14F8" w:rsidRPr="00A66C48" w:rsidRDefault="002F14F8" w:rsidP="002F14F8">
      <w:pPr>
        <w:pStyle w:val="Level1"/>
        <w:numPr>
          <w:ilvl w:val="0"/>
          <w:numId w:val="1"/>
        </w:numPr>
        <w:tabs>
          <w:tab w:val="left" w:pos="720"/>
        </w:tabs>
        <w:ind w:left="720" w:hanging="720"/>
        <w:jc w:val="left"/>
        <w:rPr>
          <w:rFonts w:ascii="Times New Roman" w:hAnsi="Times New Roman"/>
          <w:b/>
          <w:bCs/>
        </w:rPr>
      </w:pPr>
      <w:r w:rsidRPr="00A66C48">
        <w:rPr>
          <w:rFonts w:ascii="Times New Roman" w:hAnsi="Times New Roman"/>
          <w:b/>
          <w:bCs/>
          <w:u w:val="single"/>
        </w:rPr>
        <w:t>NON DUPLICATION, CONSULTATIONS, AND OTHER COLLECTION CRITERIA</w:t>
      </w:r>
    </w:p>
    <w:p w:rsidR="002F14F8" w:rsidRPr="00A66C48" w:rsidRDefault="002F14F8" w:rsidP="002F14F8">
      <w:pPr>
        <w:numPr>
          <w:ilvl w:val="12"/>
          <w:numId w:val="0"/>
        </w:numPr>
        <w:rPr>
          <w:rFonts w:ascii="Times New Roman" w:hAnsi="Times New Roman"/>
          <w:b/>
          <w:bCs/>
        </w:rPr>
      </w:pPr>
    </w:p>
    <w:p w:rsidR="002F14F8" w:rsidRPr="00A66C48" w:rsidRDefault="002F14F8" w:rsidP="002F14F8">
      <w:pPr>
        <w:numPr>
          <w:ilvl w:val="12"/>
          <w:numId w:val="0"/>
        </w:numPr>
        <w:rPr>
          <w:rFonts w:ascii="Times New Roman" w:hAnsi="Times New Roman"/>
        </w:rPr>
      </w:pPr>
      <w:r w:rsidRPr="00A66C48">
        <w:rPr>
          <w:rFonts w:ascii="Times New Roman" w:hAnsi="Times New Roman"/>
          <w:b/>
          <w:bCs/>
        </w:rPr>
        <w:tab/>
        <w:t>3(a). Non duplication</w:t>
      </w:r>
    </w:p>
    <w:p w:rsidR="000414E8" w:rsidRPr="00A66C48" w:rsidRDefault="000414E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001F623F" w:rsidRPr="00A66C48">
        <w:rPr>
          <w:rFonts w:ascii="Times New Roman" w:hAnsi="Times New Roman"/>
        </w:rPr>
        <w:t xml:space="preserve">To avoid duplicative testing of packages for pesticidal and non-pesticidal purposes, </w:t>
      </w:r>
      <w:r w:rsidRPr="00A66C48">
        <w:rPr>
          <w:rFonts w:ascii="Times New Roman" w:hAnsi="Times New Roman"/>
        </w:rPr>
        <w:t>EPA's CRP regulations reference the CPSC packaging standards and protocol testing procedures</w:t>
      </w:r>
      <w:r w:rsidR="001F623F" w:rsidRPr="00A66C48">
        <w:rPr>
          <w:rFonts w:ascii="Times New Roman" w:hAnsi="Times New Roman"/>
        </w:rPr>
        <w:t>.</w:t>
      </w:r>
      <w:r w:rsidRPr="00A66C48">
        <w:rPr>
          <w:rFonts w:ascii="Times New Roman" w:hAnsi="Times New Roman"/>
        </w:rPr>
        <w:t xml:space="preserve"> </w:t>
      </w:r>
      <w:r w:rsidR="001F623F" w:rsidRPr="00A66C48">
        <w:rPr>
          <w:rFonts w:ascii="Times New Roman" w:hAnsi="Times New Roman"/>
        </w:rPr>
        <w:t xml:space="preserve"> </w:t>
      </w:r>
      <w:r w:rsidRPr="00A66C48">
        <w:rPr>
          <w:rFonts w:ascii="Times New Roman" w:hAnsi="Times New Roman"/>
        </w:rPr>
        <w:lastRenderedPageBreak/>
        <w:t>This is the only information collection activity of its kind and the information collected under this activity is collected only once per event (e.g., once per certification of CRP compliance).</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3(b). Public Notice Required Prior to ICR Submission to OMB</w:t>
      </w:r>
    </w:p>
    <w:p w:rsidR="002F14F8" w:rsidRPr="00A66C48" w:rsidRDefault="002F14F8" w:rsidP="002F14F8">
      <w:pPr>
        <w:numPr>
          <w:ilvl w:val="12"/>
          <w:numId w:val="0"/>
        </w:numPr>
        <w:rPr>
          <w:rFonts w:ascii="Times New Roman" w:hAnsi="Times New Roman"/>
        </w:rPr>
      </w:pPr>
    </w:p>
    <w:p w:rsidR="008C0C40" w:rsidRPr="00A66C48" w:rsidRDefault="002F14F8" w:rsidP="008C0C40">
      <w:pPr>
        <w:numPr>
          <w:ilvl w:val="12"/>
          <w:numId w:val="0"/>
        </w:numPr>
        <w:rPr>
          <w:rFonts w:ascii="Times New Roman" w:hAnsi="Times New Roman"/>
          <w:b/>
          <w:bCs/>
        </w:rPr>
      </w:pPr>
      <w:r w:rsidRPr="00A66C48">
        <w:rPr>
          <w:rFonts w:ascii="Times New Roman" w:hAnsi="Times New Roman"/>
        </w:rPr>
        <w:tab/>
      </w:r>
      <w:r w:rsidR="006A5CB9" w:rsidRPr="006A5CB9">
        <w:rPr>
          <w:rFonts w:ascii="Times New Roman" w:hAnsi="Times New Roman"/>
        </w:rPr>
        <w:t>EPA published a notice in the Federal Register announcing a 60-day public notice and comment period on the draft ICR (</w:t>
      </w:r>
      <w:r w:rsidR="006A5CB9">
        <w:rPr>
          <w:rFonts w:ascii="Times New Roman" w:hAnsi="Times New Roman"/>
        </w:rPr>
        <w:t>78 FR 59014</w:t>
      </w:r>
      <w:r w:rsidR="006A5CB9" w:rsidRPr="006A5CB9">
        <w:rPr>
          <w:rFonts w:ascii="Times New Roman" w:hAnsi="Times New Roman"/>
        </w:rPr>
        <w:t xml:space="preserve">; </w:t>
      </w:r>
      <w:r w:rsidR="006A5CB9">
        <w:rPr>
          <w:rFonts w:ascii="Times New Roman" w:hAnsi="Times New Roman"/>
        </w:rPr>
        <w:t xml:space="preserve">September 25, </w:t>
      </w:r>
      <w:r w:rsidR="006A5CB9" w:rsidRPr="006A5CB9">
        <w:rPr>
          <w:rFonts w:ascii="Times New Roman" w:hAnsi="Times New Roman"/>
        </w:rPr>
        <w:t>201</w:t>
      </w:r>
      <w:r w:rsidR="006A5CB9">
        <w:rPr>
          <w:rFonts w:ascii="Times New Roman" w:hAnsi="Times New Roman"/>
        </w:rPr>
        <w:t>3</w:t>
      </w:r>
      <w:r w:rsidR="006A5CB9" w:rsidRPr="006A5CB9">
        <w:rPr>
          <w:rFonts w:ascii="Times New Roman" w:hAnsi="Times New Roman"/>
        </w:rPr>
        <w:t xml:space="preserve">). EPA received no public comment in response to this notice, which is available in the docket for this ICR and can be accessed at </w:t>
      </w:r>
      <w:hyperlink r:id="rId8" w:history="1">
        <w:r w:rsidR="006A5CB9" w:rsidRPr="006A5CB9">
          <w:rPr>
            <w:rStyle w:val="Hyperlink"/>
            <w:rFonts w:ascii="Times New Roman" w:hAnsi="Times New Roman"/>
          </w:rPr>
          <w:t>http://www.regulations.gov</w:t>
        </w:r>
      </w:hyperlink>
      <w:r w:rsidR="006A5CB9" w:rsidRPr="006A5CB9">
        <w:rPr>
          <w:rFonts w:ascii="Times New Roman" w:hAnsi="Times New Roman"/>
        </w:rPr>
        <w:t xml:space="preserve"> using the docket</w:t>
      </w:r>
      <w:r w:rsidR="006A5CB9">
        <w:rPr>
          <w:rFonts w:ascii="Times New Roman" w:hAnsi="Times New Roman"/>
        </w:rPr>
        <w:t xml:space="preserve"> identifier EPA-HQ-OPP-2013-0493</w:t>
      </w:r>
      <w:r w:rsidR="006A5CB9" w:rsidRPr="006A5CB9">
        <w:rPr>
          <w:rFonts w:ascii="Times New Roman" w:hAnsi="Times New Roman"/>
        </w:rPr>
        <w:t>.</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b/>
          <w:bCs/>
        </w:rPr>
        <w:tab/>
        <w:t>3(c). Consultations</w:t>
      </w:r>
    </w:p>
    <w:p w:rsidR="002F14F8" w:rsidRPr="00A66C48" w:rsidRDefault="002F14F8" w:rsidP="002F14F8">
      <w:pPr>
        <w:numPr>
          <w:ilvl w:val="12"/>
          <w:numId w:val="0"/>
        </w:numPr>
        <w:rPr>
          <w:rFonts w:ascii="Times New Roman" w:hAnsi="Times New Roman"/>
        </w:rPr>
      </w:pPr>
    </w:p>
    <w:p w:rsidR="00C4235F" w:rsidRDefault="002F14F8" w:rsidP="00193163">
      <w:pPr>
        <w:numPr>
          <w:ilvl w:val="12"/>
          <w:numId w:val="0"/>
        </w:numPr>
        <w:rPr>
          <w:rFonts w:ascii="Times New Roman" w:hAnsi="Times New Roman"/>
        </w:rPr>
      </w:pPr>
      <w:r w:rsidRPr="00A66C48">
        <w:rPr>
          <w:rFonts w:ascii="Times New Roman" w:hAnsi="Times New Roman"/>
        </w:rPr>
        <w:tab/>
      </w:r>
      <w:r w:rsidR="008C0C40" w:rsidRPr="00A66C48">
        <w:rPr>
          <w:rFonts w:ascii="Times New Roman" w:hAnsi="Times New Roman"/>
        </w:rPr>
        <w:t>In addition to the public notice that EPA publish</w:t>
      </w:r>
      <w:r w:rsidR="006A5CB9">
        <w:rPr>
          <w:rFonts w:ascii="Times New Roman" w:hAnsi="Times New Roman"/>
        </w:rPr>
        <w:t>ed</w:t>
      </w:r>
      <w:r w:rsidR="008C0C40" w:rsidRPr="00A66C48">
        <w:rPr>
          <w:rFonts w:ascii="Times New Roman" w:hAnsi="Times New Roman"/>
        </w:rPr>
        <w:t xml:space="preserve"> in the Federal Register concerning the renewal of this ICR, the Agency consult</w:t>
      </w:r>
      <w:r w:rsidR="006A5CB9">
        <w:rPr>
          <w:rFonts w:ascii="Times New Roman" w:hAnsi="Times New Roman"/>
        </w:rPr>
        <w:t>ed</w:t>
      </w:r>
      <w:r w:rsidR="008C0C40" w:rsidRPr="00A66C48">
        <w:rPr>
          <w:rFonts w:ascii="Times New Roman" w:hAnsi="Times New Roman"/>
        </w:rPr>
        <w:t xml:space="preserve"> with stakeholders who actively interact with the Agency through the use of this collection instrument</w:t>
      </w:r>
      <w:r w:rsidR="006A5CB9">
        <w:rPr>
          <w:rFonts w:ascii="Times New Roman" w:hAnsi="Times New Roman"/>
        </w:rPr>
        <w:t>,</w:t>
      </w:r>
      <w:r w:rsidR="008C0C40" w:rsidRPr="00A66C48">
        <w:rPr>
          <w:rFonts w:ascii="Times New Roman" w:hAnsi="Times New Roman"/>
        </w:rPr>
        <w:t xml:space="preserve"> </w:t>
      </w:r>
      <w:r w:rsidR="006A5CB9" w:rsidRPr="00A66C48">
        <w:rPr>
          <w:rFonts w:ascii="Times New Roman" w:hAnsi="Times New Roman"/>
        </w:rPr>
        <w:t>as required under 5 CFR 1320.8(d)(1</w:t>
      </w:r>
      <w:r w:rsidR="006A5CB9">
        <w:rPr>
          <w:rFonts w:ascii="Times New Roman" w:hAnsi="Times New Roman"/>
        </w:rPr>
        <w:t>).</w:t>
      </w:r>
      <w:r w:rsidR="00C4235F">
        <w:rPr>
          <w:rFonts w:ascii="Times New Roman" w:hAnsi="Times New Roman"/>
        </w:rPr>
        <w:t xml:space="preserve"> </w:t>
      </w:r>
      <w:r w:rsidR="006A5CB9">
        <w:rPr>
          <w:rFonts w:ascii="Times New Roman" w:hAnsi="Times New Roman"/>
        </w:rPr>
        <w:t xml:space="preserve">Three companies were selected to respond to questions about the information collection and the accuracy of the burden estimates. </w:t>
      </w:r>
      <w:r w:rsidR="00C4235F">
        <w:rPr>
          <w:rFonts w:ascii="Times New Roman" w:hAnsi="Times New Roman"/>
        </w:rPr>
        <w:t>A record</w:t>
      </w:r>
      <w:r w:rsidR="00C4235F" w:rsidRPr="006A5CB9">
        <w:rPr>
          <w:rFonts w:ascii="Times New Roman" w:hAnsi="Times New Roman"/>
        </w:rPr>
        <w:t xml:space="preserve"> of the consultations</w:t>
      </w:r>
      <w:r w:rsidR="00C4235F">
        <w:rPr>
          <w:rFonts w:ascii="Times New Roman" w:hAnsi="Times New Roman"/>
        </w:rPr>
        <w:t xml:space="preserve"> (Attachment C)</w:t>
      </w:r>
      <w:r w:rsidR="00C4235F" w:rsidRPr="006A5CB9">
        <w:rPr>
          <w:rFonts w:ascii="Times New Roman" w:hAnsi="Times New Roman"/>
        </w:rPr>
        <w:t xml:space="preserve"> is available in the do</w:t>
      </w:r>
      <w:r w:rsidR="00C4235F">
        <w:rPr>
          <w:rFonts w:ascii="Times New Roman" w:hAnsi="Times New Roman"/>
        </w:rPr>
        <w:t xml:space="preserve">cket for this ICR. </w:t>
      </w:r>
    </w:p>
    <w:p w:rsidR="00C4235F" w:rsidRDefault="00C4235F" w:rsidP="00193163">
      <w:pPr>
        <w:numPr>
          <w:ilvl w:val="12"/>
          <w:numId w:val="0"/>
        </w:numPr>
        <w:rPr>
          <w:rFonts w:ascii="Times New Roman" w:hAnsi="Times New Roman"/>
        </w:rPr>
      </w:pPr>
    </w:p>
    <w:p w:rsidR="00193163" w:rsidRDefault="00C4235F" w:rsidP="00193163">
      <w:pPr>
        <w:numPr>
          <w:ilvl w:val="12"/>
          <w:numId w:val="0"/>
        </w:numPr>
        <w:rPr>
          <w:rFonts w:ascii="Times New Roman" w:hAnsi="Times New Roman"/>
        </w:rPr>
      </w:pPr>
      <w:r>
        <w:rPr>
          <w:rFonts w:ascii="Times New Roman" w:hAnsi="Times New Roman"/>
        </w:rPr>
        <w:tab/>
      </w:r>
      <w:r w:rsidR="00193163" w:rsidRPr="00193163">
        <w:rPr>
          <w:rFonts w:ascii="Times New Roman" w:hAnsi="Times New Roman"/>
        </w:rPr>
        <w:t xml:space="preserve">With regard to duplication of data collected, </w:t>
      </w:r>
      <w:r w:rsidR="00193163">
        <w:rPr>
          <w:rFonts w:ascii="Times New Roman" w:hAnsi="Times New Roman"/>
        </w:rPr>
        <w:t xml:space="preserve">one company </w:t>
      </w:r>
      <w:r w:rsidR="00193163" w:rsidRPr="00193163">
        <w:rPr>
          <w:rFonts w:ascii="Times New Roman" w:hAnsi="Times New Roman"/>
        </w:rPr>
        <w:t>indicated that their sources of CRP information are the catalog and publications of their packaging suppliers and noted that they obtain their CRP information from either the packaging supplier or the supplier’s website.</w:t>
      </w:r>
      <w:r w:rsidR="00193163">
        <w:rPr>
          <w:rFonts w:ascii="Times New Roman" w:hAnsi="Times New Roman"/>
        </w:rPr>
        <w:t xml:space="preserve"> The EPA notes that, i</w:t>
      </w:r>
      <w:r w:rsidR="00193163" w:rsidRPr="00193163">
        <w:rPr>
          <w:rFonts w:ascii="Times New Roman" w:hAnsi="Times New Roman"/>
        </w:rPr>
        <w:t xml:space="preserve">n responding to this information collection, applicants and registrants may submit material and literature, including citations to web pages, from a supplier, provided the information meets the requirements in 40 CFR 157 subpart B. </w:t>
      </w:r>
      <w:r w:rsidR="00193163">
        <w:rPr>
          <w:rFonts w:ascii="Times New Roman" w:hAnsi="Times New Roman"/>
        </w:rPr>
        <w:t>W</w:t>
      </w:r>
      <w:r w:rsidR="00193163" w:rsidRPr="00193163">
        <w:rPr>
          <w:rFonts w:ascii="Times New Roman" w:hAnsi="Times New Roman"/>
        </w:rPr>
        <w:t xml:space="preserve">hile information might be available from a supplier, the agency would not know that the particular products are used to package registered pesticides unless the respondent informs the agency. If access to actual raw data is necessary for EPA to reach sound conclusions, citations to supplier materials, by themselves, will not be deemed adequate to satisfy agency data requirements. </w:t>
      </w:r>
      <w:r w:rsidR="00193163" w:rsidRPr="00193163">
        <w:rPr>
          <w:rFonts w:ascii="Times New Roman" w:hAnsi="Times New Roman"/>
          <w:bCs/>
        </w:rPr>
        <w:t>In addition, in accordance with 40 CFR 15</w:t>
      </w:r>
      <w:r w:rsidR="00E67EA9">
        <w:rPr>
          <w:rFonts w:ascii="Times New Roman" w:hAnsi="Times New Roman"/>
          <w:bCs/>
        </w:rPr>
        <w:t>7</w:t>
      </w:r>
      <w:r w:rsidR="00193163" w:rsidRPr="00193163">
        <w:rPr>
          <w:rFonts w:ascii="Times New Roman" w:hAnsi="Times New Roman"/>
          <w:bCs/>
        </w:rPr>
        <w:t xml:space="preserve">.36, registrants must retain information supporting CRP certification for as long as the registration of a pesticide product is in effect. </w:t>
      </w:r>
      <w:r w:rsidR="00193163" w:rsidRPr="00193163">
        <w:rPr>
          <w:rFonts w:ascii="Times New Roman" w:hAnsi="Times New Roman"/>
        </w:rPr>
        <w:t xml:space="preserve">While EPA will consider information from a supplier’s website, it is the registrant’s responsibility, and not the supplier’s, to retain any required information for the lifetime of the registration. </w:t>
      </w:r>
    </w:p>
    <w:p w:rsidR="003079C3" w:rsidRPr="00193163" w:rsidRDefault="003079C3" w:rsidP="00193163">
      <w:pPr>
        <w:numPr>
          <w:ilvl w:val="12"/>
          <w:numId w:val="0"/>
        </w:numPr>
        <w:rPr>
          <w:rFonts w:ascii="Times New Roman" w:hAnsi="Times New Roman"/>
        </w:rPr>
      </w:pPr>
    </w:p>
    <w:p w:rsidR="00193163" w:rsidRPr="00193163" w:rsidRDefault="00193163" w:rsidP="00193163">
      <w:pPr>
        <w:numPr>
          <w:ilvl w:val="12"/>
          <w:numId w:val="0"/>
        </w:numPr>
        <w:rPr>
          <w:rFonts w:ascii="Times New Roman" w:hAnsi="Times New Roman"/>
        </w:rPr>
      </w:pPr>
      <w:r>
        <w:rPr>
          <w:rFonts w:ascii="Times New Roman" w:hAnsi="Times New Roman"/>
        </w:rPr>
        <w:tab/>
        <w:t>One company</w:t>
      </w:r>
      <w:r w:rsidRPr="00193163">
        <w:rPr>
          <w:rFonts w:ascii="Times New Roman" w:hAnsi="Times New Roman"/>
        </w:rPr>
        <w:t xml:space="preserve"> suggested that EPA maintain a list of packages/closures for which data has been reviewed and accepted so that registrants know whether data is required when certifications are submitted for these packages/closures. EPA does not maintain a separate list of packages/closures for which data has been reviewed and accepted. The agency does provide a list of child resistant packages on its website, as well as a list of CRP manufacturers (</w:t>
      </w:r>
      <w:hyperlink r:id="rId9" w:history="1">
        <w:r w:rsidR="00AB72B8" w:rsidRPr="00E42FC2">
          <w:rPr>
            <w:rStyle w:val="Hyperlink"/>
            <w:rFonts w:ascii="Times New Roman" w:hAnsi="Times New Roman"/>
          </w:rPr>
          <w:t>http://www.epa.gov/opprd001/crp/</w:t>
        </w:r>
      </w:hyperlink>
      <w:r w:rsidR="00AB72B8">
        <w:rPr>
          <w:rFonts w:ascii="Times New Roman" w:hAnsi="Times New Roman"/>
        </w:rPr>
        <w:t xml:space="preserve"> </w:t>
      </w:r>
      <w:r w:rsidRPr="00193163">
        <w:rPr>
          <w:rFonts w:ascii="Times New Roman" w:hAnsi="Times New Roman"/>
        </w:rPr>
        <w:t xml:space="preserve">). Packages are designated as child-resistant solely on the basis of the manufacturers' claims. EPA has not reviewed the manufacturers' test data on CRP as a prerequisite for inclusion in the list. The appearance of a package in this publication is not intended in any manner to denote approval, certification, or endorsement of the package by the EPA.  </w:t>
      </w:r>
    </w:p>
    <w:p w:rsidR="00193163" w:rsidRDefault="00193163" w:rsidP="00193163">
      <w:pPr>
        <w:numPr>
          <w:ilvl w:val="12"/>
          <w:numId w:val="0"/>
        </w:numPr>
        <w:rPr>
          <w:rFonts w:ascii="Times New Roman" w:hAnsi="Times New Roman"/>
        </w:rPr>
      </w:pPr>
      <w:r>
        <w:rPr>
          <w:rFonts w:ascii="Times New Roman" w:hAnsi="Times New Roman"/>
        </w:rPr>
        <w:tab/>
      </w:r>
      <w:r w:rsidR="0078104E">
        <w:rPr>
          <w:rFonts w:ascii="Times New Roman" w:hAnsi="Times New Roman"/>
        </w:rPr>
        <w:t xml:space="preserve">However, even if EPA maintained a list such as </w:t>
      </w:r>
      <w:r w:rsidR="00D007E9">
        <w:rPr>
          <w:rFonts w:ascii="Times New Roman" w:hAnsi="Times New Roman"/>
        </w:rPr>
        <w:t>the company</w:t>
      </w:r>
      <w:r w:rsidR="0078104E">
        <w:rPr>
          <w:rFonts w:ascii="Times New Roman" w:hAnsi="Times New Roman"/>
        </w:rPr>
        <w:t xml:space="preserve"> proposes, it would not be sufficient to enable a registrant or applicant to claim that a package or pesticide product is CRP compliant without citing previously submitted data. An approval of a pesticide product as CRP </w:t>
      </w:r>
      <w:r w:rsidR="0078104E">
        <w:rPr>
          <w:rFonts w:ascii="Times New Roman" w:hAnsi="Times New Roman"/>
        </w:rPr>
        <w:lastRenderedPageBreak/>
        <w:t xml:space="preserve">compliant is based on CRP data submitted by applicants and registrants in support of registration. </w:t>
      </w:r>
      <w:r w:rsidRPr="00193163">
        <w:rPr>
          <w:rFonts w:ascii="Times New Roman" w:hAnsi="Times New Roman"/>
        </w:rPr>
        <w:t>CRP data is treated like other data submitted to the agency. CRP data is assigned a Master Record Identification Number (MRID) upon submission to the agency.  An applicant</w:t>
      </w:r>
      <w:r w:rsidR="0078104E">
        <w:rPr>
          <w:rFonts w:ascii="Times New Roman" w:hAnsi="Times New Roman"/>
        </w:rPr>
        <w:t xml:space="preserve"> for CRP certification seeking to rely on previously reviewed CRP may only do so in accordance with the data compensation provisions of</w:t>
      </w:r>
      <w:r w:rsidRPr="00193163">
        <w:rPr>
          <w:rFonts w:ascii="Times New Roman" w:hAnsi="Times New Roman"/>
        </w:rPr>
        <w:t xml:space="preserve"> FIFRA section 3(c)(1)(F) and the procedures to ensure the protection of data submitters’ rights codified in 40 CFR 152, subpart E.</w:t>
      </w:r>
    </w:p>
    <w:p w:rsidR="003079C3" w:rsidRPr="00193163" w:rsidRDefault="003079C3" w:rsidP="00193163">
      <w:pPr>
        <w:numPr>
          <w:ilvl w:val="12"/>
          <w:numId w:val="0"/>
        </w:numPr>
        <w:rPr>
          <w:rFonts w:ascii="Times New Roman" w:hAnsi="Times New Roman"/>
        </w:rPr>
      </w:pPr>
    </w:p>
    <w:p w:rsidR="00193163" w:rsidRPr="00193163" w:rsidRDefault="00193163" w:rsidP="00193163">
      <w:pPr>
        <w:numPr>
          <w:ilvl w:val="12"/>
          <w:numId w:val="0"/>
        </w:numPr>
        <w:rPr>
          <w:rFonts w:ascii="Times New Roman" w:hAnsi="Times New Roman"/>
        </w:rPr>
      </w:pPr>
      <w:r>
        <w:rPr>
          <w:rFonts w:ascii="Times New Roman" w:hAnsi="Times New Roman"/>
        </w:rPr>
        <w:tab/>
      </w:r>
      <w:r w:rsidRPr="00193163">
        <w:rPr>
          <w:rFonts w:ascii="Times New Roman" w:hAnsi="Times New Roman"/>
        </w:rPr>
        <w:t>While the agency does not maintain a list of packages/closures for which data has been reviewed and accepted, the agency believes there are sufficient avenues for applicants to find the information</w:t>
      </w:r>
      <w:r w:rsidR="0078104E">
        <w:rPr>
          <w:rFonts w:ascii="Times New Roman" w:hAnsi="Times New Roman"/>
        </w:rPr>
        <w:t>, if needed</w:t>
      </w:r>
      <w:r w:rsidRPr="00193163">
        <w:rPr>
          <w:rFonts w:ascii="Times New Roman" w:hAnsi="Times New Roman"/>
        </w:rPr>
        <w:t>. Once a registration is issued, applicants who wish to identify whether data had been submitted for a particular pesticide product and its product specific packaging could access the information submitted to the agency in support of the registration for the product at the National Pesticide Information Retrieval System (NPIRS), available online at http://state.ceris.purdue.edu/.  Applicants may also obtain a copy of any data compliance materials through the Freedom of Information Act, as provided in § 152.119 and consistent with EPA’s information regulations at 40 CFR part 2.  Finally, individual CRP suppliers may also have current information regarding whether CRP data has been submitted for a specific package they supply</w:t>
      </w:r>
      <w:r w:rsidR="004A1847">
        <w:rPr>
          <w:rFonts w:ascii="Times New Roman" w:hAnsi="Times New Roman"/>
        </w:rPr>
        <w:t>.</w:t>
      </w:r>
    </w:p>
    <w:p w:rsidR="00193163" w:rsidRDefault="00193163" w:rsidP="00193163">
      <w:pPr>
        <w:numPr>
          <w:ilvl w:val="12"/>
          <w:numId w:val="0"/>
        </w:numPr>
        <w:rPr>
          <w:rFonts w:ascii="Times New Roman" w:hAnsi="Times New Roman"/>
        </w:rPr>
      </w:pPr>
    </w:p>
    <w:p w:rsidR="00193163" w:rsidRPr="00193163" w:rsidRDefault="00193163" w:rsidP="00193163">
      <w:pPr>
        <w:numPr>
          <w:ilvl w:val="12"/>
          <w:numId w:val="0"/>
        </w:numPr>
        <w:rPr>
          <w:rFonts w:ascii="Times New Roman" w:hAnsi="Times New Roman"/>
        </w:rPr>
      </w:pPr>
      <w:r>
        <w:rPr>
          <w:rFonts w:ascii="Times New Roman" w:hAnsi="Times New Roman"/>
        </w:rPr>
        <w:tab/>
      </w:r>
      <w:r w:rsidRPr="00193163">
        <w:rPr>
          <w:rFonts w:ascii="Times New Roman" w:hAnsi="Times New Roman"/>
        </w:rPr>
        <w:t>Wi</w:t>
      </w:r>
      <w:r>
        <w:rPr>
          <w:rFonts w:ascii="Times New Roman" w:hAnsi="Times New Roman"/>
        </w:rPr>
        <w:t>t</w:t>
      </w:r>
      <w:r w:rsidRPr="00193163">
        <w:rPr>
          <w:rFonts w:ascii="Times New Roman" w:hAnsi="Times New Roman"/>
        </w:rPr>
        <w:t xml:space="preserve">h regard to frequency of submission of CRP information, </w:t>
      </w:r>
      <w:r>
        <w:rPr>
          <w:rFonts w:ascii="Times New Roman" w:hAnsi="Times New Roman"/>
        </w:rPr>
        <w:t>one company</w:t>
      </w:r>
      <w:r w:rsidRPr="00193163">
        <w:rPr>
          <w:rFonts w:ascii="Times New Roman" w:hAnsi="Times New Roman"/>
        </w:rPr>
        <w:t xml:space="preserve"> noted that they submit certification statements for each registration that the container design and closures meet the CRP requirements when the product is distributed and sold. Further, </w:t>
      </w:r>
      <w:r>
        <w:rPr>
          <w:rFonts w:ascii="Times New Roman" w:hAnsi="Times New Roman"/>
        </w:rPr>
        <w:t xml:space="preserve">the company reasoned that </w:t>
      </w:r>
      <w:r w:rsidRPr="00193163">
        <w:rPr>
          <w:rFonts w:ascii="Times New Roman" w:hAnsi="Times New Roman"/>
        </w:rPr>
        <w:t>unless there is good cause such as a change in the formulation or</w:t>
      </w:r>
      <w:r>
        <w:rPr>
          <w:rFonts w:ascii="Times New Roman" w:hAnsi="Times New Roman"/>
        </w:rPr>
        <w:t xml:space="preserve"> a change in the packaging,</w:t>
      </w:r>
      <w:r w:rsidRPr="00193163">
        <w:rPr>
          <w:rFonts w:ascii="Times New Roman" w:hAnsi="Times New Roman"/>
        </w:rPr>
        <w:t xml:space="preserve"> they believe additional or new certifications for packaging are unnecessary. The agency g</w:t>
      </w:r>
      <w:r>
        <w:rPr>
          <w:rFonts w:ascii="Times New Roman" w:hAnsi="Times New Roman"/>
        </w:rPr>
        <w:t>enerally agrees with the company</w:t>
      </w:r>
      <w:r w:rsidRPr="00193163">
        <w:rPr>
          <w:rFonts w:ascii="Times New Roman" w:hAnsi="Times New Roman"/>
        </w:rPr>
        <w:t>.  EPA notes that CRP certification may be required (if the toxicity criteria in 40 CFR 157.22 is met) when a product is registered or if the registration is amended as a result of any modification in the composition, labeling, or packaging. In addition, certification must be submitted to the agency if the agency determines, in accordance with 40 CFR 157.24(a</w:t>
      </w:r>
      <w:proofErr w:type="gramStart"/>
      <w:r w:rsidRPr="00193163">
        <w:rPr>
          <w:rFonts w:ascii="Times New Roman" w:hAnsi="Times New Roman"/>
        </w:rPr>
        <w:t>)(</w:t>
      </w:r>
      <w:proofErr w:type="gramEnd"/>
      <w:r w:rsidRPr="00193163">
        <w:rPr>
          <w:rFonts w:ascii="Times New Roman" w:hAnsi="Times New Roman"/>
        </w:rPr>
        <w:t xml:space="preserve">1)(ii), 2(ii), or (b)(4), that a currently registered product is required to be packaged in child-resistant packaging. </w:t>
      </w:r>
    </w:p>
    <w:p w:rsidR="00193163" w:rsidRDefault="00193163" w:rsidP="00193163">
      <w:pPr>
        <w:numPr>
          <w:ilvl w:val="12"/>
          <w:numId w:val="0"/>
        </w:numPr>
        <w:rPr>
          <w:rFonts w:ascii="Times New Roman" w:hAnsi="Times New Roman"/>
        </w:rPr>
      </w:pPr>
    </w:p>
    <w:p w:rsidR="00193163" w:rsidRDefault="00193163" w:rsidP="00193163">
      <w:pPr>
        <w:numPr>
          <w:ilvl w:val="12"/>
          <w:numId w:val="0"/>
        </w:numPr>
        <w:rPr>
          <w:rFonts w:ascii="Times New Roman" w:hAnsi="Times New Roman"/>
        </w:rPr>
      </w:pPr>
      <w:r>
        <w:rPr>
          <w:rFonts w:ascii="Times New Roman" w:hAnsi="Times New Roman"/>
        </w:rPr>
        <w:tab/>
      </w:r>
      <w:r w:rsidRPr="00193163">
        <w:rPr>
          <w:rFonts w:ascii="Times New Roman" w:hAnsi="Times New Roman"/>
        </w:rPr>
        <w:t xml:space="preserve">Regarding whether the directions for submissions are clear, </w:t>
      </w:r>
      <w:r>
        <w:rPr>
          <w:rFonts w:ascii="Times New Roman" w:hAnsi="Times New Roman"/>
        </w:rPr>
        <w:t>o</w:t>
      </w:r>
      <w:r w:rsidRPr="00193163">
        <w:rPr>
          <w:rFonts w:ascii="Times New Roman" w:hAnsi="Times New Roman"/>
        </w:rPr>
        <w:t>ne com</w:t>
      </w:r>
      <w:r>
        <w:rPr>
          <w:rFonts w:ascii="Times New Roman" w:hAnsi="Times New Roman"/>
        </w:rPr>
        <w:t>pany</w:t>
      </w:r>
      <w:r w:rsidRPr="00193163">
        <w:rPr>
          <w:rFonts w:ascii="Times New Roman" w:hAnsi="Times New Roman"/>
        </w:rPr>
        <w:t xml:space="preserve"> indicated that directions for the certification statement were adequate and the Application for Pesticide Amendment (EPA Form 8570-1) is adequate and offers the registrant more flexibility than a new form.</w:t>
      </w:r>
      <w:r w:rsidRPr="00193163">
        <w:rPr>
          <w:rFonts w:ascii="Times New Roman" w:hAnsi="Times New Roman"/>
          <w:b/>
        </w:rPr>
        <w:t xml:space="preserve">  </w:t>
      </w:r>
      <w:r w:rsidRPr="00193163">
        <w:rPr>
          <w:rFonts w:ascii="Times New Roman" w:hAnsi="Times New Roman"/>
        </w:rPr>
        <w:t xml:space="preserve">EPA notes that there is no form associated with this information collection and that the burden for EPA Form 8570-1 is covered under a separate ICR (OMB Control No. 2070-0060). </w:t>
      </w:r>
      <w:r>
        <w:rPr>
          <w:rFonts w:ascii="Times New Roman" w:hAnsi="Times New Roman"/>
        </w:rPr>
        <w:t xml:space="preserve">Another company </w:t>
      </w:r>
      <w:r w:rsidRPr="00193163">
        <w:rPr>
          <w:rFonts w:ascii="Times New Roman" w:hAnsi="Times New Roman"/>
        </w:rPr>
        <w:t>suggested that it would be helpful to have a clearer process for determining if a product is subject to CRP, for example a decision-tree. EPA believes that the toxicity criteria for when a product must be sold and distributed in child-resistant packaging are adequately identified in the regulations at 40 CFR 157.22. The toxicity criteria, as well as information about how to submit CRP information, can be found on EPA’s website at</w:t>
      </w:r>
      <w:r>
        <w:rPr>
          <w:rFonts w:ascii="Times New Roman" w:hAnsi="Times New Roman"/>
        </w:rPr>
        <w:t xml:space="preserve"> </w:t>
      </w:r>
      <w:hyperlink r:id="rId10" w:history="1">
        <w:r w:rsidRPr="00193163">
          <w:rPr>
            <w:rStyle w:val="Hyperlink"/>
            <w:rFonts w:ascii="Times New Roman" w:hAnsi="Times New Roman"/>
          </w:rPr>
          <w:t>http://www.epa.gov/opprd001/crp/</w:t>
        </w:r>
      </w:hyperlink>
      <w:r w:rsidRPr="00193163">
        <w:rPr>
          <w:rFonts w:ascii="Times New Roman" w:hAnsi="Times New Roman"/>
        </w:rPr>
        <w:t>. Registrants and applicants may also contact the agency for additional information if they are unsure whether their product meets the toxicity criteria, or if they need assistance with assembling the submission materials.</w:t>
      </w:r>
      <w:r>
        <w:rPr>
          <w:rFonts w:ascii="Times New Roman" w:hAnsi="Times New Roman"/>
        </w:rPr>
        <w:t xml:space="preserve"> Two companies </w:t>
      </w:r>
      <w:r w:rsidRPr="00193163">
        <w:rPr>
          <w:rFonts w:ascii="Times New Roman" w:hAnsi="Times New Roman"/>
        </w:rPr>
        <w:t>suggested that it would be helpful to have an example of the electronic template when submitting test data</w:t>
      </w:r>
      <w:r>
        <w:rPr>
          <w:rFonts w:ascii="Times New Roman" w:hAnsi="Times New Roman"/>
        </w:rPr>
        <w:t xml:space="preserve">. The Agency notes that </w:t>
      </w:r>
      <w:hyperlink r:id="rId11" w:history="1">
        <w:r w:rsidRPr="00193163">
          <w:rPr>
            <w:rStyle w:val="Hyperlink"/>
            <w:rFonts w:ascii="Times New Roman" w:hAnsi="Times New Roman"/>
            <w:bCs/>
          </w:rPr>
          <w:t>Pesticide Registration Notice 97-9</w:t>
        </w:r>
      </w:hyperlink>
      <w:r w:rsidRPr="00193163">
        <w:rPr>
          <w:rFonts w:ascii="Times New Roman" w:hAnsi="Times New Roman"/>
          <w:bCs/>
        </w:rPr>
        <w:t>,</w:t>
      </w:r>
      <w:r w:rsidRPr="00193163">
        <w:rPr>
          <w:rFonts w:ascii="Times New Roman" w:hAnsi="Times New Roman"/>
          <w:b/>
          <w:bCs/>
        </w:rPr>
        <w:t xml:space="preserve"> </w:t>
      </w:r>
      <w:r w:rsidRPr="00193163">
        <w:rPr>
          <w:rFonts w:ascii="Times New Roman" w:hAnsi="Times New Roman"/>
          <w:bCs/>
        </w:rPr>
        <w:t xml:space="preserve">entitled “Electronic Submission Of Child-Resistant Packaging Test Data For All Pesticides And Child-Resistant Testing Of Prefilled, </w:t>
      </w:r>
      <w:proofErr w:type="spellStart"/>
      <w:r w:rsidRPr="00193163">
        <w:rPr>
          <w:rFonts w:ascii="Times New Roman" w:hAnsi="Times New Roman"/>
          <w:bCs/>
        </w:rPr>
        <w:lastRenderedPageBreak/>
        <w:t>Nonrefillable</w:t>
      </w:r>
      <w:proofErr w:type="spellEnd"/>
      <w:r w:rsidRPr="00193163">
        <w:rPr>
          <w:rFonts w:ascii="Times New Roman" w:hAnsi="Times New Roman"/>
          <w:bCs/>
        </w:rPr>
        <w:t xml:space="preserve"> Insecticide Bait Stations Not Designed Or Intended To Be Opened Or Activated In A Manner That Exposes The Contents To Human Contact Purpose” </w:t>
      </w:r>
      <w:r w:rsidRPr="00193163">
        <w:rPr>
          <w:rFonts w:ascii="Times New Roman" w:hAnsi="Times New Roman"/>
        </w:rPr>
        <w:t xml:space="preserve">contains detailed instructions for submitting CRP data in electronic format.  </w:t>
      </w:r>
      <w:r>
        <w:rPr>
          <w:rFonts w:ascii="Times New Roman" w:hAnsi="Times New Roman"/>
        </w:rPr>
        <w:t>In addition,</w:t>
      </w:r>
      <w:r w:rsidRPr="00193163">
        <w:rPr>
          <w:rFonts w:ascii="Times New Roman" w:hAnsi="Times New Roman"/>
        </w:rPr>
        <w:t xml:space="preserve"> when the agency does require test data to be submitted in support of a CRP certification, registrants typically use labs to generate the data and those labs are familiar with the formating requirements.</w:t>
      </w:r>
    </w:p>
    <w:p w:rsidR="00193163" w:rsidRPr="00193163" w:rsidRDefault="00193163" w:rsidP="00193163">
      <w:pPr>
        <w:numPr>
          <w:ilvl w:val="12"/>
          <w:numId w:val="0"/>
        </w:numPr>
        <w:rPr>
          <w:rFonts w:ascii="Times New Roman" w:hAnsi="Times New Roman"/>
        </w:rPr>
      </w:pPr>
      <w:r w:rsidRPr="00193163">
        <w:rPr>
          <w:rFonts w:ascii="Times New Roman" w:hAnsi="Times New Roman"/>
        </w:rPr>
        <w:t xml:space="preserve"> </w:t>
      </w:r>
    </w:p>
    <w:p w:rsidR="00193163" w:rsidRPr="00193163" w:rsidRDefault="00193163" w:rsidP="00193163">
      <w:pPr>
        <w:numPr>
          <w:ilvl w:val="12"/>
          <w:numId w:val="0"/>
        </w:numPr>
        <w:rPr>
          <w:rFonts w:ascii="Times New Roman" w:hAnsi="Times New Roman"/>
        </w:rPr>
      </w:pPr>
      <w:r>
        <w:rPr>
          <w:rFonts w:ascii="Times New Roman" w:hAnsi="Times New Roman"/>
        </w:rPr>
        <w:tab/>
      </w:r>
      <w:r w:rsidRPr="00193163">
        <w:rPr>
          <w:rFonts w:ascii="Times New Roman" w:hAnsi="Times New Roman"/>
        </w:rPr>
        <w:t xml:space="preserve">Regarding whether electronic submission is available, </w:t>
      </w:r>
      <w:r>
        <w:rPr>
          <w:rFonts w:ascii="Times New Roman" w:hAnsi="Times New Roman"/>
        </w:rPr>
        <w:t>one company</w:t>
      </w:r>
      <w:r w:rsidRPr="00193163">
        <w:rPr>
          <w:rFonts w:ascii="Times New Roman" w:hAnsi="Times New Roman"/>
        </w:rPr>
        <w:t xml:space="preserve"> suggested that, while submitting data via CD is fine, internet submission would be preferable.</w:t>
      </w:r>
      <w:r>
        <w:rPr>
          <w:rFonts w:ascii="Times New Roman" w:hAnsi="Times New Roman"/>
        </w:rPr>
        <w:t xml:space="preserve"> E</w:t>
      </w:r>
      <w:r w:rsidRPr="00193163">
        <w:rPr>
          <w:rFonts w:ascii="Times New Roman" w:hAnsi="Times New Roman"/>
        </w:rPr>
        <w:t xml:space="preserve">lectronic submission is already available for some regulatory actions (see </w:t>
      </w:r>
      <w:hyperlink r:id="rId12" w:history="1">
        <w:r w:rsidRPr="00193163">
          <w:rPr>
            <w:rStyle w:val="Hyperlink"/>
            <w:rFonts w:ascii="Times New Roman" w:hAnsi="Times New Roman"/>
          </w:rPr>
          <w:t>http://www.epa.gov/opp00001/regulating/registering/submissions/</w:t>
        </w:r>
      </w:hyperlink>
      <w:r w:rsidRPr="00193163">
        <w:rPr>
          <w:rFonts w:ascii="Times New Roman" w:hAnsi="Times New Roman"/>
        </w:rPr>
        <w:t>)</w:t>
      </w:r>
      <w:r>
        <w:rPr>
          <w:rFonts w:ascii="Times New Roman" w:hAnsi="Times New Roman"/>
        </w:rPr>
        <w:t>.</w:t>
      </w:r>
      <w:r w:rsidRPr="00193163">
        <w:rPr>
          <w:rFonts w:ascii="Times New Roman" w:hAnsi="Times New Roman"/>
        </w:rPr>
        <w:t xml:space="preserve"> EPA acknowledges</w:t>
      </w:r>
      <w:r>
        <w:rPr>
          <w:rFonts w:ascii="Times New Roman" w:hAnsi="Times New Roman"/>
        </w:rPr>
        <w:t>, however,</w:t>
      </w:r>
      <w:r w:rsidRPr="00193163">
        <w:rPr>
          <w:rFonts w:ascii="Times New Roman" w:hAnsi="Times New Roman"/>
        </w:rPr>
        <w:t xml:space="preserve"> that additional opportunities for electronic submission would be more efficient for registrants and the agency. While not available for this renewal, EPA will continue to explore ways to increase availability of electronic submissions and will amend this ICR to create electronic forms as possible.  </w:t>
      </w:r>
    </w:p>
    <w:p w:rsidR="00193163" w:rsidRDefault="00193163" w:rsidP="00193163">
      <w:pPr>
        <w:numPr>
          <w:ilvl w:val="12"/>
          <w:numId w:val="0"/>
        </w:numPr>
        <w:rPr>
          <w:rFonts w:ascii="Times New Roman" w:hAnsi="Times New Roman"/>
        </w:rPr>
      </w:pPr>
    </w:p>
    <w:p w:rsidR="00193163" w:rsidRPr="00193163" w:rsidRDefault="00193163" w:rsidP="00193163">
      <w:pPr>
        <w:numPr>
          <w:ilvl w:val="12"/>
          <w:numId w:val="0"/>
        </w:numPr>
        <w:rPr>
          <w:rFonts w:ascii="Times New Roman" w:hAnsi="Times New Roman"/>
        </w:rPr>
      </w:pPr>
      <w:r>
        <w:rPr>
          <w:rFonts w:ascii="Times New Roman" w:hAnsi="Times New Roman"/>
        </w:rPr>
        <w:tab/>
        <w:t>With regard to EPA’s burden estimate, t</w:t>
      </w:r>
      <w:r w:rsidRPr="00193163">
        <w:rPr>
          <w:rFonts w:ascii="Times New Roman" w:hAnsi="Times New Roman"/>
        </w:rPr>
        <w:t xml:space="preserve">wo stakeholders provided no comment on </w:t>
      </w:r>
      <w:r>
        <w:rPr>
          <w:rFonts w:ascii="Times New Roman" w:hAnsi="Times New Roman"/>
        </w:rPr>
        <w:t>EPA’s estimate of the respondent</w:t>
      </w:r>
      <w:r w:rsidRPr="00193163">
        <w:rPr>
          <w:rFonts w:ascii="Times New Roman" w:hAnsi="Times New Roman"/>
        </w:rPr>
        <w:t xml:space="preserve"> burden hours. </w:t>
      </w:r>
      <w:r>
        <w:rPr>
          <w:rFonts w:ascii="Times New Roman" w:hAnsi="Times New Roman"/>
        </w:rPr>
        <w:t xml:space="preserve">One company </w:t>
      </w:r>
      <w:r w:rsidRPr="00193163">
        <w:rPr>
          <w:rFonts w:ascii="Times New Roman" w:hAnsi="Times New Roman"/>
        </w:rPr>
        <w:t>indicated that the split between technical and clerical time</w:t>
      </w:r>
      <w:r>
        <w:rPr>
          <w:rFonts w:ascii="Times New Roman" w:hAnsi="Times New Roman"/>
        </w:rPr>
        <w:t xml:space="preserve"> in the respondent burden</w:t>
      </w:r>
      <w:r w:rsidRPr="00193163">
        <w:rPr>
          <w:rFonts w:ascii="Times New Roman" w:hAnsi="Times New Roman"/>
        </w:rPr>
        <w:t xml:space="preserve"> may be different than EPA’s estimate. In par</w:t>
      </w:r>
      <w:r>
        <w:rPr>
          <w:rFonts w:ascii="Times New Roman" w:hAnsi="Times New Roman"/>
        </w:rPr>
        <w:t>ticular, the company</w:t>
      </w:r>
      <w:r w:rsidRPr="00193163">
        <w:rPr>
          <w:rFonts w:ascii="Times New Roman" w:hAnsi="Times New Roman"/>
        </w:rPr>
        <w:t xml:space="preserve"> commented that 2 hours of technical time and no clerical time are needed to submit CRP certification without data rather than EPA’s estimation of 1 hr of technical time and 0.5 hrs of clerical time.  </w:t>
      </w:r>
      <w:r>
        <w:rPr>
          <w:rFonts w:ascii="Times New Roman" w:hAnsi="Times New Roman"/>
        </w:rPr>
        <w:t>In addition, the company</w:t>
      </w:r>
      <w:r w:rsidRPr="00193163">
        <w:rPr>
          <w:rFonts w:ascii="Times New Roman" w:hAnsi="Times New Roman"/>
        </w:rPr>
        <w:t xml:space="preserve"> commented that only 6 hours of technical time and no clerical time are required to submit CRP certification with data rather than EPA’s estimate of 8 hrs of technical time and 3 hours of clerical time. </w:t>
      </w:r>
    </w:p>
    <w:p w:rsidR="00C4235F" w:rsidRDefault="00C4235F" w:rsidP="00193163">
      <w:pPr>
        <w:numPr>
          <w:ilvl w:val="12"/>
          <w:numId w:val="0"/>
        </w:numPr>
        <w:rPr>
          <w:rFonts w:ascii="Times New Roman" w:hAnsi="Times New Roman"/>
        </w:rPr>
      </w:pPr>
      <w:r>
        <w:rPr>
          <w:rFonts w:ascii="Times New Roman" w:hAnsi="Times New Roman"/>
        </w:rPr>
        <w:tab/>
      </w:r>
    </w:p>
    <w:p w:rsidR="006A5CB9" w:rsidRDefault="00C4235F" w:rsidP="00193163">
      <w:pPr>
        <w:numPr>
          <w:ilvl w:val="12"/>
          <w:numId w:val="0"/>
        </w:numPr>
        <w:rPr>
          <w:rFonts w:ascii="Times New Roman" w:hAnsi="Times New Roman"/>
        </w:rPr>
      </w:pPr>
      <w:r>
        <w:rPr>
          <w:rFonts w:ascii="Times New Roman" w:hAnsi="Times New Roman"/>
        </w:rPr>
        <w:tab/>
      </w:r>
      <w:r w:rsidR="00193163" w:rsidRPr="00193163">
        <w:rPr>
          <w:rFonts w:ascii="Times New Roman" w:hAnsi="Times New Roman"/>
        </w:rPr>
        <w:t>The Agency notes that that its estimates are aggregated averages; some stakeholders may take more time to respond to the information collection, and other</w:t>
      </w:r>
      <w:r w:rsidR="003A4268">
        <w:rPr>
          <w:rFonts w:ascii="Times New Roman" w:hAnsi="Times New Roman"/>
        </w:rPr>
        <w:t>s</w:t>
      </w:r>
      <w:r w:rsidR="00193163" w:rsidRPr="00193163">
        <w:rPr>
          <w:rFonts w:ascii="Times New Roman" w:hAnsi="Times New Roman"/>
        </w:rPr>
        <w:t xml:space="preserve"> less. In addition, EPA expects that there may be variability among respondents with regard to how activities undertaken to respond to this information collection are distributed between technical and clerical staff. As a result of </w:t>
      </w:r>
      <w:r w:rsidR="00D007E9">
        <w:rPr>
          <w:rFonts w:ascii="Times New Roman" w:hAnsi="Times New Roman"/>
        </w:rPr>
        <w:t>the company’s</w:t>
      </w:r>
      <w:r w:rsidR="00193163" w:rsidRPr="00193163">
        <w:rPr>
          <w:rFonts w:ascii="Times New Roman" w:hAnsi="Times New Roman"/>
        </w:rPr>
        <w:t xml:space="preserve"> comments, EPA will increase the agency’s burden estimate for technical time for CRP certification</w:t>
      </w:r>
      <w:r w:rsidR="002E70F4">
        <w:rPr>
          <w:rFonts w:ascii="Times New Roman" w:hAnsi="Times New Roman"/>
        </w:rPr>
        <w:t>s without data</w:t>
      </w:r>
      <w:r w:rsidR="00193163" w:rsidRPr="00193163">
        <w:rPr>
          <w:rFonts w:ascii="Times New Roman" w:hAnsi="Times New Roman"/>
        </w:rPr>
        <w:t xml:space="preserve"> to 1.5 hrs, leaving the clerical burden at 0.5 hrs, for a total of 2hrs. This new estimate of total burden is consistent with</w:t>
      </w:r>
      <w:r w:rsidR="00D007E9">
        <w:rPr>
          <w:rFonts w:ascii="Times New Roman" w:hAnsi="Times New Roman"/>
        </w:rPr>
        <w:t xml:space="preserve"> the company</w:t>
      </w:r>
      <w:r w:rsidR="00193163" w:rsidRPr="00193163">
        <w:rPr>
          <w:rFonts w:ascii="Times New Roman" w:hAnsi="Times New Roman"/>
        </w:rPr>
        <w:t>’s estimate of 2 hrs to submit CRP certification without data, while accounting for variability among respondents of how response time is distributed between technical and clerical staff.  EPA is not reducing its burden estimate for CRP with data, but will keep the conservative estimate of 8hrs of technical time and 3 hrs of clerical time.</w:t>
      </w:r>
    </w:p>
    <w:p w:rsidR="006A5CB9" w:rsidRDefault="006A5CB9" w:rsidP="002F14F8">
      <w:pPr>
        <w:numPr>
          <w:ilvl w:val="12"/>
          <w:numId w:val="0"/>
        </w:numPr>
        <w:rPr>
          <w:rFonts w:ascii="Times New Roman" w:hAnsi="Times New Roman"/>
        </w:rPr>
      </w:pPr>
    </w:p>
    <w:p w:rsidR="002F14F8" w:rsidRPr="00A66C48" w:rsidRDefault="006A5CB9" w:rsidP="002F14F8">
      <w:pPr>
        <w:numPr>
          <w:ilvl w:val="12"/>
          <w:numId w:val="0"/>
        </w:numPr>
        <w:rPr>
          <w:rFonts w:ascii="Times New Roman" w:hAnsi="Times New Roman"/>
        </w:rPr>
      </w:pPr>
      <w:r>
        <w:rPr>
          <w:rFonts w:ascii="Times New Roman" w:hAnsi="Times New Roman"/>
        </w:rPr>
        <w:tab/>
      </w:r>
      <w:r w:rsidR="002F14F8" w:rsidRPr="00A66C48">
        <w:rPr>
          <w:rFonts w:ascii="Times New Roman" w:hAnsi="Times New Roman"/>
        </w:rPr>
        <w:t>EPA consults with the CPSC on general packaging issues, products under joint jurisdiction (e.g. bleaches and pine oil products), and the regulatory aspect of implementing consumer (child) safety measures in a way that keeps them consistent with those under the Poison Prevention Packaging Act.</w:t>
      </w:r>
    </w:p>
    <w:p w:rsidR="002F14F8" w:rsidRPr="00A66C48" w:rsidRDefault="002F14F8" w:rsidP="002F14F8">
      <w:pPr>
        <w:numPr>
          <w:ilvl w:val="12"/>
          <w:numId w:val="0"/>
        </w:numPr>
        <w:rPr>
          <w:rFonts w:ascii="Times New Roman" w:hAnsi="Times New Roman"/>
        </w:rPr>
      </w:pPr>
    </w:p>
    <w:p w:rsidR="00E13519" w:rsidRPr="00A66C48" w:rsidRDefault="002F14F8" w:rsidP="008C0C40">
      <w:pPr>
        <w:numPr>
          <w:ilvl w:val="12"/>
          <w:numId w:val="0"/>
        </w:numPr>
        <w:rPr>
          <w:rFonts w:ascii="Times New Roman" w:hAnsi="Times New Roman"/>
        </w:rPr>
      </w:pPr>
      <w:r w:rsidRPr="00A66C48">
        <w:rPr>
          <w:rFonts w:ascii="Times New Roman" w:hAnsi="Times New Roman"/>
        </w:rPr>
        <w:tab/>
        <w:t xml:space="preserve">The Agency also discusses specific packaging issues (for example, determining what can reasonably be required or expected in terms of technical and/or economic feasibility) with the CPSC and the packaging industry itself. These consultations occur on an informal "as needed" basis during the process of evaluating exemption requests and certifying to the use of CRP.  In the past, when any sort of problem (technical, administrative, or other) arose, or there were suggestions for improvement in the program, the respondent is given ample opportunity to </w:t>
      </w:r>
      <w:r w:rsidRPr="00A66C48">
        <w:rPr>
          <w:rFonts w:ascii="Times New Roman" w:hAnsi="Times New Roman"/>
        </w:rPr>
        <w:lastRenderedPageBreak/>
        <w:t>inform the agency and vice versa. This communication between both parties may take place either in a telephone conversation or in a meeting setting, but not necessarily by a prescribed schedule.</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3(d).  Effects of Less Frequent Collection</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t>The information collection occurs once for each product</w:t>
      </w:r>
      <w:r w:rsidR="002D4755" w:rsidRPr="00A66C48">
        <w:rPr>
          <w:rFonts w:ascii="Times New Roman" w:hAnsi="Times New Roman"/>
        </w:rPr>
        <w:t>-</w:t>
      </w:r>
      <w:r w:rsidRPr="00A66C48">
        <w:rPr>
          <w:rFonts w:ascii="Times New Roman" w:hAnsi="Times New Roman"/>
        </w:rPr>
        <w:t>package combination subject by law to the CRP provisions. In the absence of this information collection activity, the burden of proof would be shifted from the registrant to the EPA. Based on enforcement case precedents involving CRP, EPA would need to have specific evidence to make the product-package case. Consequently, on the basis of the time and cost involved, EPA would find it difficult to fulfill its statutory responsibilities to ensure that pesticides are equipped with protective packages adequate to protect children from accidental illness or injury.</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3(e). General Guidelines</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t>The only PRA-imposed guideline in 5 CFR 1320.6 that is exceeded in this collection is the recordkeeping retention period. Registrants or applicants of pesticides for which CRP is required must retain the records required under 40 CFR 157.36 for as long as the registration is valid.</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t xml:space="preserve">Registrations are valid unless or until they are either voluntarily canceled or withdrawn by the registrant or until EPA has cause to suspend or cancel the registration </w:t>
      </w:r>
      <w:r w:rsidR="004D2C13" w:rsidRPr="00A66C48">
        <w:rPr>
          <w:rFonts w:ascii="Times New Roman" w:hAnsi="Times New Roman"/>
        </w:rPr>
        <w:t xml:space="preserve">due to </w:t>
      </w:r>
      <w:r w:rsidRPr="00A66C48">
        <w:rPr>
          <w:rFonts w:ascii="Times New Roman" w:hAnsi="Times New Roman"/>
        </w:rPr>
        <w:t xml:space="preserve">an adverse finding by EPA. Since the average period of marketability of a pesticide ranges from 15 to 30 years, the PRA-imposed guideline indicating that data, other than health, medical, or tax records need not be retained for more than three years </w:t>
      </w:r>
      <w:r w:rsidR="00983EA2" w:rsidRPr="00A66C48">
        <w:rPr>
          <w:rFonts w:ascii="Times New Roman" w:hAnsi="Times New Roman"/>
        </w:rPr>
        <w:t xml:space="preserve">may often </w:t>
      </w:r>
      <w:r w:rsidRPr="00A66C48">
        <w:rPr>
          <w:rFonts w:ascii="Times New Roman" w:hAnsi="Times New Roman"/>
        </w:rPr>
        <w:t>be exceeded in this program.</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t>The Agency solicit</w:t>
      </w:r>
      <w:r w:rsidR="00D209AF" w:rsidRPr="00A66C48">
        <w:rPr>
          <w:rFonts w:ascii="Times New Roman" w:hAnsi="Times New Roman"/>
        </w:rPr>
        <w:t>s</w:t>
      </w:r>
      <w:r w:rsidRPr="00A66C48">
        <w:rPr>
          <w:rFonts w:ascii="Times New Roman" w:hAnsi="Times New Roman"/>
        </w:rPr>
        <w:t xml:space="preserve"> packaging manufacturers to voluntarily submit samples of CRPs that have passed CRP testing, identify the packaging, its manufacturer, and list the package's classification according to the ASTM International Standard D3475, "Standard Classification of Child-Resistant Packages."  The Agency will </w:t>
      </w:r>
      <w:r w:rsidR="0049557D" w:rsidRPr="00A66C48">
        <w:rPr>
          <w:rFonts w:ascii="Times New Roman" w:hAnsi="Times New Roman"/>
        </w:rPr>
        <w:t xml:space="preserve">compile and </w:t>
      </w:r>
      <w:r w:rsidR="00D936B4" w:rsidRPr="00A66C48">
        <w:rPr>
          <w:rFonts w:ascii="Times New Roman" w:hAnsi="Times New Roman"/>
        </w:rPr>
        <w:t>update</w:t>
      </w:r>
      <w:r w:rsidRPr="00A66C48">
        <w:rPr>
          <w:rFonts w:ascii="Times New Roman" w:hAnsi="Times New Roman"/>
        </w:rPr>
        <w:t xml:space="preserve"> the infor</w:t>
      </w:r>
      <w:r w:rsidR="000100A6" w:rsidRPr="00A66C48">
        <w:rPr>
          <w:rFonts w:ascii="Times New Roman" w:hAnsi="Times New Roman"/>
        </w:rPr>
        <w:t xml:space="preserve">mation on an ongoing basis </w:t>
      </w:r>
      <w:r w:rsidRPr="00A66C48">
        <w:rPr>
          <w:rFonts w:ascii="Times New Roman" w:hAnsi="Times New Roman"/>
        </w:rPr>
        <w:t>on</w:t>
      </w:r>
      <w:r w:rsidR="000100A6" w:rsidRPr="00A66C48">
        <w:rPr>
          <w:rFonts w:ascii="Times New Roman" w:hAnsi="Times New Roman"/>
        </w:rPr>
        <w:t xml:space="preserve"> its</w:t>
      </w:r>
      <w:r w:rsidRPr="00A66C48">
        <w:rPr>
          <w:rFonts w:ascii="Times New Roman" w:hAnsi="Times New Roman"/>
        </w:rPr>
        <w:t xml:space="preserve"> CRP </w:t>
      </w:r>
      <w:r w:rsidR="000100A6" w:rsidRPr="00A66C48">
        <w:rPr>
          <w:rFonts w:ascii="Times New Roman" w:hAnsi="Times New Roman"/>
        </w:rPr>
        <w:t>Website (</w:t>
      </w:r>
      <w:hyperlink r:id="rId13" w:history="1">
        <w:r w:rsidR="000100A6" w:rsidRPr="00A66C48">
          <w:rPr>
            <w:rStyle w:val="Hyperlink"/>
            <w:rFonts w:ascii="Times New Roman" w:hAnsi="Times New Roman"/>
            <w:b/>
            <w:color w:val="auto"/>
          </w:rPr>
          <w:t>www.epa.gov/opprd001/crp/</w:t>
        </w:r>
      </w:hyperlink>
      <w:r w:rsidR="00D75540" w:rsidRPr="00A66C48">
        <w:rPr>
          <w:rFonts w:ascii="Times New Roman" w:hAnsi="Times New Roman"/>
        </w:rPr>
        <w:t>)</w:t>
      </w:r>
      <w:r w:rsidRPr="00A66C48">
        <w:rPr>
          <w:rFonts w:ascii="Times New Roman" w:hAnsi="Times New Roman"/>
        </w:rPr>
        <w:t xml:space="preserve">. The </w:t>
      </w:r>
      <w:r w:rsidR="005506D9" w:rsidRPr="00A66C48">
        <w:rPr>
          <w:rFonts w:ascii="Times New Roman" w:hAnsi="Times New Roman"/>
        </w:rPr>
        <w:t>Website</w:t>
      </w:r>
      <w:r w:rsidRPr="00A66C48">
        <w:rPr>
          <w:rFonts w:ascii="Times New Roman" w:hAnsi="Times New Roman"/>
        </w:rPr>
        <w:t xml:space="preserve"> include</w:t>
      </w:r>
      <w:r w:rsidR="00D936B4" w:rsidRPr="00A66C48">
        <w:rPr>
          <w:rFonts w:ascii="Times New Roman" w:hAnsi="Times New Roman"/>
        </w:rPr>
        <w:t>s</w:t>
      </w:r>
      <w:r w:rsidRPr="00A66C48">
        <w:rPr>
          <w:rFonts w:ascii="Times New Roman" w:hAnsi="Times New Roman"/>
        </w:rPr>
        <w:t xml:space="preserve"> </w:t>
      </w:r>
      <w:r w:rsidR="0049557D" w:rsidRPr="00A66C48">
        <w:rPr>
          <w:rFonts w:ascii="Times New Roman" w:hAnsi="Times New Roman"/>
        </w:rPr>
        <w:t xml:space="preserve">descriptions and </w:t>
      </w:r>
      <w:r w:rsidRPr="00A66C48">
        <w:rPr>
          <w:rFonts w:ascii="Times New Roman" w:hAnsi="Times New Roman"/>
        </w:rPr>
        <w:t xml:space="preserve">photographs of the package, with each package classified according to the ASTM International D3475 Standard.  </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t xml:space="preserve">The </w:t>
      </w:r>
      <w:r w:rsidR="005506D9" w:rsidRPr="00A66C48">
        <w:rPr>
          <w:rFonts w:ascii="Times New Roman" w:hAnsi="Times New Roman"/>
        </w:rPr>
        <w:t>CRP Website</w:t>
      </w:r>
      <w:r w:rsidRPr="00A66C48">
        <w:rPr>
          <w:rFonts w:ascii="Times New Roman" w:hAnsi="Times New Roman"/>
        </w:rPr>
        <w:t xml:space="preserve"> provide</w:t>
      </w:r>
      <w:r w:rsidR="007B5429" w:rsidRPr="00A66C48">
        <w:rPr>
          <w:rFonts w:ascii="Times New Roman" w:hAnsi="Times New Roman"/>
        </w:rPr>
        <w:t>s</w:t>
      </w:r>
      <w:r w:rsidRPr="00A66C48">
        <w:rPr>
          <w:rFonts w:ascii="Times New Roman" w:hAnsi="Times New Roman"/>
        </w:rPr>
        <w:t xml:space="preserve"> a service to CRP manufacturers and pesticide registrants by displaying the various types of CRP in the marketplace which, in turn, should facilitate compliance with the CRP regulations. An Agency request for, and the public’s submission of, these packaging samples is not a collection of information for the purposes of the </w:t>
      </w:r>
      <w:r w:rsidR="00BB0EA2" w:rsidRPr="00A66C48">
        <w:rPr>
          <w:rFonts w:ascii="Times New Roman" w:hAnsi="Times New Roman"/>
        </w:rPr>
        <w:t>OMB</w:t>
      </w:r>
      <w:r w:rsidRPr="00A66C48">
        <w:rPr>
          <w:rFonts w:ascii="Times New Roman" w:hAnsi="Times New Roman"/>
        </w:rPr>
        <w:t xml:space="preserve"> Paperwork Reduction Act regulations.  OMB’s regulations define “information” such that it excludes “samples of products or of any other physical objects” (</w:t>
      </w:r>
      <w:r w:rsidRPr="00A66C48">
        <w:rPr>
          <w:rFonts w:ascii="Times New Roman" w:hAnsi="Times New Roman"/>
          <w:i/>
          <w:iCs/>
        </w:rPr>
        <w:t>see</w:t>
      </w:r>
      <w:r w:rsidRPr="00A66C48">
        <w:rPr>
          <w:rFonts w:ascii="Times New Roman" w:hAnsi="Times New Roman"/>
        </w:rPr>
        <w:t xml:space="preserve"> 5 CFR 1320.3(h</w:t>
      </w:r>
      <w:proofErr w:type="gramStart"/>
      <w:r w:rsidRPr="00A66C48">
        <w:rPr>
          <w:rFonts w:ascii="Times New Roman" w:hAnsi="Times New Roman"/>
        </w:rPr>
        <w:t>)(</w:t>
      </w:r>
      <w:proofErr w:type="gramEnd"/>
      <w:r w:rsidRPr="00A66C48">
        <w:rPr>
          <w:rFonts w:ascii="Times New Roman" w:hAnsi="Times New Roman"/>
        </w:rPr>
        <w:t>2)).  Therefore, EPA is not required to estimate the burden associated with submitting these packaging samples.</w:t>
      </w:r>
    </w:p>
    <w:p w:rsidR="00F72545" w:rsidRPr="00A66C48" w:rsidRDefault="00F72545" w:rsidP="002F14F8">
      <w:pPr>
        <w:numPr>
          <w:ilvl w:val="12"/>
          <w:numId w:val="0"/>
        </w:numPr>
        <w:rPr>
          <w:rFonts w:ascii="Times New Roman" w:hAnsi="Times New Roman"/>
        </w:rPr>
      </w:pPr>
    </w:p>
    <w:p w:rsidR="003079C3" w:rsidRDefault="002F14F8">
      <w:pPr>
        <w:keepNext/>
        <w:numPr>
          <w:ilvl w:val="12"/>
          <w:numId w:val="0"/>
        </w:numPr>
        <w:rPr>
          <w:rFonts w:ascii="Times New Roman" w:hAnsi="Times New Roman"/>
        </w:rPr>
      </w:pPr>
      <w:r w:rsidRPr="00A66C48">
        <w:rPr>
          <w:rFonts w:ascii="Times New Roman" w:hAnsi="Times New Roman"/>
          <w:b/>
          <w:bCs/>
        </w:rPr>
        <w:tab/>
        <w:t>3(f). Confidentiality</w:t>
      </w:r>
    </w:p>
    <w:p w:rsidR="003079C3" w:rsidRDefault="003079C3">
      <w:pPr>
        <w:keepNext/>
        <w:numPr>
          <w:ilvl w:val="12"/>
          <w:numId w:val="0"/>
        </w:numPr>
        <w:rPr>
          <w:rFonts w:ascii="Times New Roman" w:hAnsi="Times New Roman"/>
        </w:rPr>
      </w:pPr>
    </w:p>
    <w:p w:rsidR="003079C3" w:rsidRDefault="002F14F8">
      <w:pPr>
        <w:keepNext/>
        <w:numPr>
          <w:ilvl w:val="12"/>
          <w:numId w:val="0"/>
        </w:numPr>
        <w:rPr>
          <w:rFonts w:ascii="Times New Roman" w:hAnsi="Times New Roman"/>
        </w:rPr>
      </w:pPr>
      <w:r w:rsidRPr="00A66C48">
        <w:rPr>
          <w:rFonts w:ascii="Times New Roman" w:hAnsi="Times New Roman"/>
        </w:rPr>
        <w:tab/>
        <w:t xml:space="preserve">Although submission of confidential information is not required as a part of this </w:t>
      </w:r>
      <w:r w:rsidRPr="00A66C48">
        <w:rPr>
          <w:rFonts w:ascii="Times New Roman" w:hAnsi="Times New Roman"/>
        </w:rPr>
        <w:lastRenderedPageBreak/>
        <w:t>information collection, there has been at least one instance where confidential data have been submitted voluntarily as supporting material for an exemption request from CRP compliance requirements.</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t>When any trade secret or Confidential Business Information (CBI) is provided to EPA, such information is protected from disclosure under section 10 of FIFRA. Data submitted to EPA is handled strictly in accordance with the provisions of the FIFRA Confidential Business Information Manual.</w:t>
      </w:r>
      <w:r w:rsidR="00100EB7">
        <w:rPr>
          <w:rFonts w:ascii="Times New Roman" w:hAnsi="Times New Roman"/>
        </w:rPr>
        <w:t xml:space="preserve"> </w:t>
      </w:r>
      <w:r w:rsidRPr="00A66C48">
        <w:rPr>
          <w:rFonts w:ascii="Times New Roman" w:hAnsi="Times New Roman"/>
        </w:rPr>
        <w:t>This manual contains instructions relative to all contact with confidential documents, including responsibilities of EPA employees, physical security measures, CBI copying and destruction procedures, transfer of CBI materials within the EPA, to contractors or other government offices, computer security, CBI typing procedures (documents to be typed internally or on contract), and division internal procedures.</w:t>
      </w:r>
      <w:r w:rsidR="00100EB7">
        <w:rPr>
          <w:rFonts w:ascii="Times New Roman" w:hAnsi="Times New Roman"/>
        </w:rPr>
        <w:t xml:space="preserve"> </w:t>
      </w:r>
      <w:r w:rsidRPr="00A66C48">
        <w:rPr>
          <w:rFonts w:ascii="Times New Roman" w:hAnsi="Times New Roman"/>
        </w:rPr>
        <w:t>The manual dictates that all CBI must be marked or flagged as such, only authorized EPA personnel may be permitted access to CBI, and CBI must be kept in secure (double locked) areas. Additionally, CBI for destruction must be cleared by a Document Control Officer and placed in the Office of Prevention, Pesticides and Toxic Substances paper shredder.</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3(g).  Sensitive Questions</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t>No information of a sensitive or private nature is requested in this information collection activity.</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b/>
          <w:bCs/>
        </w:rPr>
        <w:t>4.</w:t>
      </w:r>
      <w:r w:rsidRPr="00A66C48">
        <w:rPr>
          <w:rFonts w:ascii="Times New Roman" w:hAnsi="Times New Roman"/>
          <w:b/>
          <w:bCs/>
        </w:rPr>
        <w:tab/>
      </w:r>
      <w:r w:rsidRPr="00A66C48">
        <w:rPr>
          <w:rFonts w:ascii="Times New Roman" w:hAnsi="Times New Roman"/>
          <w:b/>
          <w:bCs/>
          <w:u w:val="single"/>
        </w:rPr>
        <w:t>THE RESPONDENTS AND THE INFORMATION REQUESTED</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4(a). Respondents/NAICS Codes</w:t>
      </w:r>
    </w:p>
    <w:p w:rsidR="002F14F8" w:rsidRPr="00A66C48" w:rsidRDefault="002F14F8" w:rsidP="002F14F8">
      <w:pPr>
        <w:numPr>
          <w:ilvl w:val="12"/>
          <w:numId w:val="0"/>
        </w:numPr>
        <w:rPr>
          <w:rFonts w:ascii="Times New Roman" w:hAnsi="Times New Roman"/>
        </w:rPr>
      </w:pPr>
    </w:p>
    <w:p w:rsidR="005B11E2" w:rsidRPr="00A66C48" w:rsidRDefault="00501164" w:rsidP="002F14F8">
      <w:pPr>
        <w:numPr>
          <w:ilvl w:val="12"/>
          <w:numId w:val="0"/>
        </w:numPr>
        <w:rPr>
          <w:rFonts w:ascii="Times New Roman" w:hAnsi="Times New Roman"/>
        </w:rPr>
      </w:pPr>
      <w:r w:rsidRPr="00A66C48">
        <w:rPr>
          <w:rFonts w:ascii="Times New Roman" w:hAnsi="Times New Roman"/>
        </w:rPr>
        <w:tab/>
      </w:r>
      <w:r w:rsidR="00B379A8" w:rsidRPr="00A66C48">
        <w:rPr>
          <w:rFonts w:ascii="Times New Roman" w:hAnsi="Times New Roman"/>
        </w:rPr>
        <w:t>Respondents to this informa</w:t>
      </w:r>
      <w:r w:rsidR="00AA0C2E" w:rsidRPr="00A66C48">
        <w:rPr>
          <w:rFonts w:ascii="Times New Roman" w:hAnsi="Times New Roman"/>
        </w:rPr>
        <w:t>tion collection activity represent entities involved in manufacturing of pesticide chemicals, wholesale merchandising of pesticide products, or pest management activities.</w:t>
      </w:r>
      <w:r w:rsidR="00F67549" w:rsidRPr="00A66C48">
        <w:rPr>
          <w:rFonts w:ascii="Times New Roman" w:hAnsi="Times New Roman"/>
        </w:rPr>
        <w:t xml:space="preserve"> </w:t>
      </w:r>
      <w:r w:rsidR="005B11E2" w:rsidRPr="00A66C48">
        <w:rPr>
          <w:rFonts w:ascii="Times New Roman" w:hAnsi="Times New Roman"/>
        </w:rPr>
        <w:t>The North American Industrial Classification System (NAICS) codes for respondents under this ICR include 325320 (Pesticide and other Agricultural Chemical Manufacturing), 424690 (Other Chemical and Allied Products Merchant Wholesalers), and 561710 (Exterminating and Pest Control Services). EPA recognizes that while this list may not be comprehensive, it represents a broad spectrum of large and small entities who are engaged in manufacturing pesticide chemicals, wholesale merchandising of pesticide products, or pest management activities and who submit CRP applications.</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4(b). Information Requested</w:t>
      </w:r>
    </w:p>
    <w:p w:rsidR="002F14F8" w:rsidRPr="00A66C48" w:rsidRDefault="002F14F8" w:rsidP="002F14F8">
      <w:pPr>
        <w:numPr>
          <w:ilvl w:val="12"/>
          <w:numId w:val="0"/>
        </w:numPr>
        <w:rPr>
          <w:rFonts w:ascii="Times New Roman" w:hAnsi="Times New Roman"/>
        </w:rPr>
      </w:pPr>
      <w:r w:rsidRPr="00A66C48">
        <w:rPr>
          <w:rFonts w:ascii="Times New Roman" w:hAnsi="Times New Roman"/>
        </w:rPr>
        <w:tab/>
      </w:r>
    </w:p>
    <w:p w:rsidR="002F14F8" w:rsidRPr="00A66C48" w:rsidRDefault="002F14F8" w:rsidP="002F14F8">
      <w:pPr>
        <w:numPr>
          <w:ilvl w:val="12"/>
          <w:numId w:val="0"/>
        </w:numPr>
        <w:rPr>
          <w:rFonts w:ascii="Times New Roman" w:hAnsi="Times New Roman"/>
        </w:rPr>
      </w:pPr>
      <w:r w:rsidRPr="00A66C48">
        <w:rPr>
          <w:rFonts w:ascii="Times New Roman" w:hAnsi="Times New Roman"/>
        </w:rPr>
        <w:tab/>
        <w:t>Pesticide registrants subject to the regulations are required to certify to the Agency that the packaging for the pesticide product meets the standards of 40 CFR 157, or request an exemption to the requirement.</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rPr>
        <w:tab/>
        <w:t>(</w:t>
      </w:r>
      <w:proofErr w:type="spellStart"/>
      <w:r w:rsidRPr="00A66C48">
        <w:rPr>
          <w:rFonts w:ascii="Times New Roman" w:hAnsi="Times New Roman"/>
        </w:rPr>
        <w:t>i</w:t>
      </w:r>
      <w:proofErr w:type="spellEnd"/>
      <w:r w:rsidRPr="00A66C48">
        <w:rPr>
          <w:rFonts w:ascii="Times New Roman" w:hAnsi="Times New Roman"/>
        </w:rPr>
        <w:t xml:space="preserve">)  </w:t>
      </w:r>
      <w:r w:rsidRPr="00A66C48">
        <w:rPr>
          <w:rFonts w:ascii="Times New Roman" w:hAnsi="Times New Roman"/>
          <w:i/>
          <w:iCs/>
        </w:rPr>
        <w:t>Data items, including record keeping requirements</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t>The respondent certification letter must exercise one of the following information options in this section or in section (</w:t>
      </w:r>
      <w:proofErr w:type="spellStart"/>
      <w:r w:rsidRPr="00A66C48">
        <w:rPr>
          <w:rFonts w:ascii="Times New Roman" w:hAnsi="Times New Roman"/>
        </w:rPr>
        <w:t>i</w:t>
      </w:r>
      <w:proofErr w:type="spellEnd"/>
      <w:r w:rsidRPr="00A66C48">
        <w:rPr>
          <w:rFonts w:ascii="Times New Roman" w:hAnsi="Times New Roman"/>
        </w:rPr>
        <w:t>)(a) to comply with 40 CFR Part 157:</w:t>
      </w:r>
    </w:p>
    <w:p w:rsidR="002F14F8" w:rsidRPr="00A66C48" w:rsidRDefault="002F14F8" w:rsidP="002F14F8">
      <w:pPr>
        <w:numPr>
          <w:ilvl w:val="12"/>
          <w:numId w:val="0"/>
        </w:numPr>
        <w:rPr>
          <w:rFonts w:ascii="Times New Roman" w:hAnsi="Times New Roman"/>
        </w:rPr>
      </w:pPr>
    </w:p>
    <w:tbl>
      <w:tblPr>
        <w:tblW w:w="0" w:type="auto"/>
        <w:tblInd w:w="120" w:type="dxa"/>
        <w:tblLayout w:type="fixed"/>
        <w:tblCellMar>
          <w:left w:w="120" w:type="dxa"/>
          <w:right w:w="120" w:type="dxa"/>
        </w:tblCellMar>
        <w:tblLook w:val="0000"/>
      </w:tblPr>
      <w:tblGrid>
        <w:gridCol w:w="1980"/>
        <w:gridCol w:w="7380"/>
      </w:tblGrid>
      <w:tr w:rsidR="002F14F8" w:rsidRPr="00A66C48" w:rsidTr="0061187B">
        <w:trPr>
          <w:cantSplit/>
        </w:trPr>
        <w:tc>
          <w:tcPr>
            <w:tcW w:w="1980" w:type="dxa"/>
            <w:tcBorders>
              <w:top w:val="single" w:sz="6" w:space="0" w:color="000000"/>
              <w:left w:val="single" w:sz="6" w:space="0" w:color="000000"/>
              <w:bottom w:val="nil"/>
              <w:right w:val="nil"/>
            </w:tcBorders>
          </w:tcPr>
          <w:p w:rsidR="002F14F8" w:rsidRPr="00A66C48" w:rsidRDefault="002F14F8" w:rsidP="0061187B">
            <w:pPr>
              <w:numPr>
                <w:ilvl w:val="12"/>
                <w:numId w:val="0"/>
              </w:numPr>
              <w:spacing w:before="120" w:after="69"/>
              <w:rPr>
                <w:sz w:val="22"/>
                <w:szCs w:val="22"/>
              </w:rPr>
            </w:pPr>
            <w:r w:rsidRPr="00A66C48">
              <w:rPr>
                <w:rFonts w:ascii="Times New Roman" w:hAnsi="Times New Roman"/>
                <w:sz w:val="22"/>
                <w:szCs w:val="22"/>
              </w:rPr>
              <w:lastRenderedPageBreak/>
              <w:t>Certify to CRP by letter to Agency</w:t>
            </w:r>
          </w:p>
        </w:tc>
        <w:tc>
          <w:tcPr>
            <w:tcW w:w="7380" w:type="dxa"/>
            <w:tcBorders>
              <w:top w:val="single" w:sz="6" w:space="0" w:color="000000"/>
              <w:left w:val="single" w:sz="6" w:space="0" w:color="000000"/>
              <w:bottom w:val="nil"/>
              <w:right w:val="single" w:sz="6" w:space="0" w:color="000000"/>
            </w:tcBorders>
          </w:tcPr>
          <w:p w:rsidR="002F14F8" w:rsidRPr="00A66C48" w:rsidRDefault="002F14F8" w:rsidP="0061187B">
            <w:pPr>
              <w:numPr>
                <w:ilvl w:val="12"/>
                <w:numId w:val="0"/>
              </w:numPr>
              <w:spacing w:before="120" w:after="69"/>
              <w:rPr>
                <w:sz w:val="22"/>
                <w:szCs w:val="22"/>
              </w:rPr>
            </w:pPr>
            <w:r w:rsidRPr="00A66C48">
              <w:rPr>
                <w:rFonts w:ascii="Times New Roman" w:hAnsi="Times New Roman"/>
                <w:sz w:val="22"/>
                <w:szCs w:val="22"/>
              </w:rPr>
              <w:t>The name, and EPA registration number of the product to which the certification applies, the Certification statement, the registrant’s name and address, the date, and the name, title and signature of the company officer making the certification. The Certification statement must contain a statement that the pesticide product complies with 40 CFR 157.32.  A description of the packaging used and the ASTM International Standard D3475, "Standard Classification of Child-Resistant Packages," designation is requested (not required).</w:t>
            </w:r>
          </w:p>
        </w:tc>
      </w:tr>
      <w:tr w:rsidR="002F14F8" w:rsidRPr="00A66C48" w:rsidTr="0061187B">
        <w:trPr>
          <w:cantSplit/>
        </w:trPr>
        <w:tc>
          <w:tcPr>
            <w:tcW w:w="1980" w:type="dxa"/>
            <w:tcBorders>
              <w:top w:val="single" w:sz="6" w:space="0" w:color="000000"/>
              <w:left w:val="single" w:sz="6" w:space="0" w:color="000000"/>
              <w:bottom w:val="nil"/>
              <w:right w:val="nil"/>
            </w:tcBorders>
          </w:tcPr>
          <w:p w:rsidR="002F14F8" w:rsidRPr="00A66C48" w:rsidRDefault="002B2185" w:rsidP="0061187B">
            <w:pPr>
              <w:numPr>
                <w:ilvl w:val="12"/>
                <w:numId w:val="0"/>
              </w:numPr>
              <w:spacing w:before="120" w:after="69"/>
              <w:rPr>
                <w:sz w:val="22"/>
                <w:szCs w:val="22"/>
              </w:rPr>
            </w:pPr>
            <w:r w:rsidRPr="00A66C48">
              <w:rPr>
                <w:rFonts w:ascii="Times New Roman" w:hAnsi="Times New Roman"/>
                <w:sz w:val="22"/>
                <w:szCs w:val="22"/>
              </w:rPr>
              <w:t xml:space="preserve">Product does not </w:t>
            </w:r>
            <w:r w:rsidR="002F14F8" w:rsidRPr="00A66C48">
              <w:rPr>
                <w:rFonts w:ascii="Times New Roman" w:hAnsi="Times New Roman"/>
                <w:sz w:val="22"/>
                <w:szCs w:val="22"/>
              </w:rPr>
              <w:t>meet Toxicity Criteria</w:t>
            </w:r>
          </w:p>
        </w:tc>
        <w:tc>
          <w:tcPr>
            <w:tcW w:w="7380" w:type="dxa"/>
            <w:tcBorders>
              <w:top w:val="single" w:sz="6" w:space="0" w:color="000000"/>
              <w:left w:val="single" w:sz="6" w:space="0" w:color="000000"/>
              <w:bottom w:val="nil"/>
              <w:right w:val="single" w:sz="6" w:space="0" w:color="000000"/>
            </w:tcBorders>
          </w:tcPr>
          <w:p w:rsidR="002F14F8" w:rsidRPr="00A66C48" w:rsidRDefault="002F14F8" w:rsidP="0061187B">
            <w:pPr>
              <w:numPr>
                <w:ilvl w:val="12"/>
                <w:numId w:val="0"/>
              </w:numPr>
              <w:spacing w:before="120" w:after="69"/>
              <w:rPr>
                <w:sz w:val="22"/>
                <w:szCs w:val="22"/>
              </w:rPr>
            </w:pPr>
            <w:r w:rsidRPr="00A66C48">
              <w:rPr>
                <w:rFonts w:ascii="Times New Roman" w:hAnsi="Times New Roman"/>
                <w:sz w:val="22"/>
                <w:szCs w:val="22"/>
              </w:rPr>
              <w:t>Submit toxicity data that indicate a specific product's minimal toxicity, or reformulate to a less toxic product and assert that the CRP reg</w:t>
            </w:r>
            <w:r w:rsidR="00990772" w:rsidRPr="00A66C48">
              <w:rPr>
                <w:rFonts w:ascii="Times New Roman" w:hAnsi="Times New Roman"/>
                <w:sz w:val="22"/>
                <w:szCs w:val="22"/>
              </w:rPr>
              <w:t>ulations do not apply.</w:t>
            </w:r>
            <w:r w:rsidRPr="00A66C48">
              <w:rPr>
                <w:rFonts w:ascii="Times New Roman" w:hAnsi="Times New Roman"/>
                <w:sz w:val="22"/>
                <w:szCs w:val="22"/>
              </w:rPr>
              <w:t xml:space="preserve"> </w:t>
            </w:r>
            <w:r w:rsidR="00990772" w:rsidRPr="00A66C48">
              <w:rPr>
                <w:rFonts w:ascii="Times New Roman" w:hAnsi="Times New Roman"/>
                <w:sz w:val="22"/>
                <w:szCs w:val="22"/>
              </w:rPr>
              <w:t xml:space="preserve">Less than </w:t>
            </w:r>
            <w:r w:rsidR="00E66A34" w:rsidRPr="00A66C48">
              <w:rPr>
                <w:rFonts w:ascii="Times New Roman" w:hAnsi="Times New Roman"/>
                <w:sz w:val="22"/>
                <w:szCs w:val="22"/>
              </w:rPr>
              <w:t>2</w:t>
            </w:r>
            <w:r w:rsidRPr="00A66C48">
              <w:rPr>
                <w:rFonts w:ascii="Times New Roman" w:hAnsi="Times New Roman"/>
                <w:sz w:val="22"/>
                <w:szCs w:val="22"/>
              </w:rPr>
              <w:t xml:space="preserve"> percent of pesticide registrants choose this option for complying with the CRP program. </w:t>
            </w:r>
          </w:p>
        </w:tc>
      </w:tr>
      <w:tr w:rsidR="002F14F8" w:rsidRPr="00A66C48" w:rsidTr="0061187B">
        <w:trPr>
          <w:cantSplit/>
        </w:trPr>
        <w:tc>
          <w:tcPr>
            <w:tcW w:w="1980" w:type="dxa"/>
            <w:tcBorders>
              <w:top w:val="single" w:sz="6" w:space="0" w:color="000000"/>
              <w:left w:val="single" w:sz="6" w:space="0" w:color="000000"/>
              <w:bottom w:val="single" w:sz="6" w:space="0" w:color="000000"/>
              <w:right w:val="nil"/>
            </w:tcBorders>
          </w:tcPr>
          <w:p w:rsidR="002F14F8" w:rsidRPr="00A66C48" w:rsidRDefault="002B2185" w:rsidP="0061187B">
            <w:pPr>
              <w:numPr>
                <w:ilvl w:val="12"/>
                <w:numId w:val="0"/>
              </w:numPr>
              <w:spacing w:before="120" w:after="69"/>
              <w:rPr>
                <w:sz w:val="22"/>
                <w:szCs w:val="22"/>
              </w:rPr>
            </w:pPr>
            <w:r w:rsidRPr="00A66C48">
              <w:rPr>
                <w:rFonts w:ascii="Times New Roman" w:hAnsi="Times New Roman"/>
                <w:sz w:val="22"/>
                <w:szCs w:val="22"/>
              </w:rPr>
              <w:t xml:space="preserve">Product is not </w:t>
            </w:r>
            <w:r w:rsidR="002F14F8" w:rsidRPr="00A66C48">
              <w:rPr>
                <w:rFonts w:ascii="Times New Roman" w:hAnsi="Times New Roman"/>
                <w:sz w:val="22"/>
                <w:szCs w:val="22"/>
              </w:rPr>
              <w:t>for Residential Use</w:t>
            </w:r>
          </w:p>
        </w:tc>
        <w:tc>
          <w:tcPr>
            <w:tcW w:w="7380" w:type="dxa"/>
            <w:tcBorders>
              <w:top w:val="single" w:sz="6" w:space="0" w:color="000000"/>
              <w:left w:val="single" w:sz="6" w:space="0" w:color="000000"/>
              <w:bottom w:val="single" w:sz="6" w:space="0" w:color="000000"/>
              <w:right w:val="single" w:sz="6" w:space="0" w:color="000000"/>
            </w:tcBorders>
          </w:tcPr>
          <w:p w:rsidR="002F14F8" w:rsidRPr="00A66C48" w:rsidRDefault="002F14F8" w:rsidP="0061187B">
            <w:pPr>
              <w:numPr>
                <w:ilvl w:val="12"/>
                <w:numId w:val="0"/>
              </w:numPr>
              <w:spacing w:before="120" w:after="69"/>
              <w:rPr>
                <w:sz w:val="22"/>
                <w:szCs w:val="22"/>
              </w:rPr>
            </w:pPr>
            <w:r w:rsidRPr="00A66C48">
              <w:rPr>
                <w:rFonts w:ascii="Times New Roman" w:hAnsi="Times New Roman"/>
                <w:sz w:val="22"/>
                <w:szCs w:val="22"/>
              </w:rPr>
              <w:t>Revise product labeling so that CRP regulations do not apply, i.e., specifying non-residential use areas, or eliminate residential use. The registrant is required to send EPA a copy of the</w:t>
            </w:r>
            <w:r w:rsidR="00990772" w:rsidRPr="00A66C48">
              <w:rPr>
                <w:rFonts w:ascii="Times New Roman" w:hAnsi="Times New Roman"/>
                <w:sz w:val="22"/>
                <w:szCs w:val="22"/>
              </w:rPr>
              <w:t xml:space="preserve"> revised labeling. Less than</w:t>
            </w:r>
            <w:r w:rsidRPr="00A66C48">
              <w:rPr>
                <w:rFonts w:ascii="Times New Roman" w:hAnsi="Times New Roman"/>
                <w:sz w:val="22"/>
                <w:szCs w:val="22"/>
              </w:rPr>
              <w:t xml:space="preserve"> </w:t>
            </w:r>
            <w:r w:rsidR="00E66A34" w:rsidRPr="00A66C48">
              <w:rPr>
                <w:rFonts w:ascii="Times New Roman" w:hAnsi="Times New Roman"/>
                <w:sz w:val="22"/>
                <w:szCs w:val="22"/>
              </w:rPr>
              <w:t>2</w:t>
            </w:r>
            <w:r w:rsidRPr="00A66C48">
              <w:rPr>
                <w:rFonts w:ascii="Times New Roman" w:hAnsi="Times New Roman"/>
                <w:sz w:val="22"/>
                <w:szCs w:val="22"/>
              </w:rPr>
              <w:t xml:space="preserve"> percent of pesticide registrants use this option.  </w:t>
            </w:r>
          </w:p>
        </w:tc>
      </w:tr>
    </w:tbl>
    <w:p w:rsidR="000C0014" w:rsidRPr="00A66C48" w:rsidRDefault="000C0014"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r>
      <w:bookmarkStart w:id="1" w:name="OLE_LINK35"/>
      <w:bookmarkStart w:id="2" w:name="OLE_LINK36"/>
      <w:r w:rsidR="00100EB7">
        <w:rPr>
          <w:rFonts w:ascii="Times New Roman" w:hAnsi="Times New Roman"/>
        </w:rPr>
        <w:t>The majority of</w:t>
      </w:r>
      <w:r w:rsidRPr="00A66C48">
        <w:rPr>
          <w:rFonts w:ascii="Times New Roman" w:hAnsi="Times New Roman"/>
        </w:rPr>
        <w:t xml:space="preserve"> pesticide registrants choose to certify that their pesticide product packaging meets the effectiveness, compatibility, and durability standards at 40 CFR 157.32. </w:t>
      </w:r>
      <w:bookmarkEnd w:id="1"/>
      <w:bookmarkEnd w:id="2"/>
      <w:r w:rsidRPr="00A66C48">
        <w:rPr>
          <w:rFonts w:ascii="Times New Roman" w:hAnsi="Times New Roman"/>
        </w:rPr>
        <w:t xml:space="preserve">Registrants who certify are required to maintain data to corroborate the certification for the duration of the pesticide's registration as required by 40 CFR 157.36. </w:t>
      </w:r>
      <w:r w:rsidR="00100EB7">
        <w:rPr>
          <w:rFonts w:ascii="Times New Roman" w:hAnsi="Times New Roman"/>
        </w:rPr>
        <w:t xml:space="preserve">EPA </w:t>
      </w:r>
      <w:r w:rsidR="00CE3ECC" w:rsidRPr="00A66C48">
        <w:rPr>
          <w:rFonts w:ascii="Times New Roman" w:hAnsi="Times New Roman"/>
        </w:rPr>
        <w:t>may also</w:t>
      </w:r>
      <w:r w:rsidR="00100EB7">
        <w:rPr>
          <w:rFonts w:ascii="Times New Roman" w:hAnsi="Times New Roman"/>
        </w:rPr>
        <w:t xml:space="preserve"> request registrants who certify to</w:t>
      </w:r>
      <w:r w:rsidR="00CE3ECC" w:rsidRPr="00A66C48">
        <w:rPr>
          <w:rFonts w:ascii="Times New Roman" w:hAnsi="Times New Roman"/>
        </w:rPr>
        <w:t xml:space="preserve"> </w:t>
      </w:r>
      <w:r w:rsidRPr="00A66C48">
        <w:rPr>
          <w:rFonts w:ascii="Times New Roman" w:hAnsi="Times New Roman"/>
        </w:rPr>
        <w:t xml:space="preserve">submit </w:t>
      </w:r>
      <w:r w:rsidR="00CE3ECC" w:rsidRPr="00A66C48">
        <w:rPr>
          <w:rFonts w:ascii="Times New Roman" w:hAnsi="Times New Roman"/>
        </w:rPr>
        <w:t xml:space="preserve">additional </w:t>
      </w:r>
      <w:r w:rsidRPr="00A66C48">
        <w:rPr>
          <w:rFonts w:ascii="Times New Roman" w:hAnsi="Times New Roman"/>
        </w:rPr>
        <w:t>data because of hum</w:t>
      </w:r>
      <w:r w:rsidR="006C345A" w:rsidRPr="00A66C48">
        <w:rPr>
          <w:rFonts w:ascii="Times New Roman" w:hAnsi="Times New Roman"/>
        </w:rPr>
        <w:t xml:space="preserve">an safety/health risk concerns. </w:t>
      </w:r>
      <w:r w:rsidRPr="00A66C48">
        <w:rPr>
          <w:rFonts w:ascii="Times New Roman" w:hAnsi="Times New Roman"/>
        </w:rPr>
        <w:t xml:space="preserve"> If data is needed, EPA requests that registrants submit data electronically to expedite data analysis. Pesticide Regulation (PR) Notice 97-9 describes the benefits and requirements of electronic data submission (see Attachment </w:t>
      </w:r>
      <w:r w:rsidR="00461D45" w:rsidRPr="00A66C48">
        <w:rPr>
          <w:rFonts w:ascii="Times New Roman" w:hAnsi="Times New Roman"/>
        </w:rPr>
        <w:t>D</w:t>
      </w:r>
      <w:r w:rsidRPr="00A66C48">
        <w:rPr>
          <w:rFonts w:ascii="Times New Roman" w:hAnsi="Times New Roman"/>
        </w:rPr>
        <w:t xml:space="preserve">). </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rPr>
        <w:tab/>
        <w:t>(</w:t>
      </w:r>
      <w:proofErr w:type="spellStart"/>
      <w:proofErr w:type="gramStart"/>
      <w:r w:rsidRPr="00A66C48">
        <w:rPr>
          <w:rFonts w:ascii="Times New Roman" w:hAnsi="Times New Roman"/>
        </w:rPr>
        <w:t>i</w:t>
      </w:r>
      <w:proofErr w:type="spellEnd"/>
      <w:proofErr w:type="gramEnd"/>
      <w:r w:rsidRPr="00A66C48">
        <w:rPr>
          <w:rFonts w:ascii="Times New Roman" w:hAnsi="Times New Roman"/>
        </w:rPr>
        <w:t xml:space="preserve">)(a)  </w:t>
      </w:r>
      <w:r w:rsidRPr="00A66C48">
        <w:rPr>
          <w:rFonts w:ascii="Times New Roman" w:hAnsi="Times New Roman"/>
          <w:i/>
          <w:iCs/>
        </w:rPr>
        <w:t>Exemptions from CRP</w:t>
      </w:r>
      <w:r w:rsidRPr="00A66C48">
        <w:rPr>
          <w:rFonts w:ascii="Times New Roman" w:hAnsi="Times New Roman"/>
        </w:rPr>
        <w:t xml:space="preserve"> </w:t>
      </w:r>
      <w:r w:rsidRPr="00A66C48">
        <w:rPr>
          <w:rFonts w:ascii="Times New Roman" w:hAnsi="Times New Roman"/>
        </w:rPr>
        <w:tab/>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t>Currently, registrants have several options by which they may be exempted from CRP requirements. These options include:</w:t>
      </w:r>
    </w:p>
    <w:p w:rsidR="002F14F8" w:rsidRPr="00A66C48" w:rsidRDefault="002F14F8" w:rsidP="002F14F8">
      <w:pPr>
        <w:numPr>
          <w:ilvl w:val="12"/>
          <w:numId w:val="0"/>
        </w:numPr>
        <w:rPr>
          <w:rFonts w:ascii="Times New Roman" w:hAnsi="Times New Roman"/>
        </w:rPr>
      </w:pPr>
      <w:r w:rsidRPr="00A66C48">
        <w:rPr>
          <w:rFonts w:ascii="Times New Roman" w:hAnsi="Times New Roman"/>
        </w:rPr>
        <w:tab/>
      </w:r>
    </w:p>
    <w:p w:rsidR="002F14F8" w:rsidRPr="00A66C48" w:rsidRDefault="002F14F8" w:rsidP="002F14F8">
      <w:pPr>
        <w:numPr>
          <w:ilvl w:val="12"/>
          <w:numId w:val="0"/>
        </w:numPr>
        <w:rPr>
          <w:rFonts w:ascii="Times New Roman" w:hAnsi="Times New Roman"/>
        </w:rPr>
      </w:pPr>
      <w:r w:rsidRPr="00A66C48">
        <w:rPr>
          <w:rFonts w:ascii="Times New Roman" w:hAnsi="Times New Roman"/>
        </w:rPr>
        <w:tab/>
        <w:t>(1) Package the product in a large size so that CRP regulations do not apply. Exercising this option effectively eliminates sales to the general public. It is based on the concept that certain bulk size pesticide packages are intended for commercial use even in residential areas (i.e., exterminator</w:t>
      </w:r>
      <w:r w:rsidR="00A75CD4" w:rsidRPr="00A66C48">
        <w:rPr>
          <w:rFonts w:ascii="Times New Roman" w:hAnsi="Times New Roman"/>
        </w:rPr>
        <w:t>-</w:t>
      </w:r>
      <w:r w:rsidRPr="00A66C48">
        <w:rPr>
          <w:rFonts w:ascii="Times New Roman" w:hAnsi="Times New Roman"/>
        </w:rPr>
        <w:t>use insecticides and contract lawn care products). These package sizes are specified in 40 CFR 157.24 (a</w:t>
      </w:r>
      <w:proofErr w:type="gramStart"/>
      <w:r w:rsidRPr="00A66C48">
        <w:rPr>
          <w:rFonts w:ascii="Times New Roman" w:hAnsi="Times New Roman"/>
        </w:rPr>
        <w:t>)(</w:t>
      </w:r>
      <w:proofErr w:type="gramEnd"/>
      <w:r w:rsidRPr="00A66C48">
        <w:rPr>
          <w:rFonts w:ascii="Times New Roman" w:hAnsi="Times New Roman"/>
        </w:rPr>
        <w:t>2). The pesticide registrant is not required to seek a formal exemption fo</w:t>
      </w:r>
      <w:r w:rsidR="00AA0C2E" w:rsidRPr="00A66C48">
        <w:rPr>
          <w:rFonts w:ascii="Times New Roman" w:hAnsi="Times New Roman"/>
        </w:rPr>
        <w:t>r this option, and less than</w:t>
      </w:r>
      <w:r w:rsidRPr="00A66C48">
        <w:rPr>
          <w:rFonts w:ascii="Times New Roman" w:hAnsi="Times New Roman"/>
        </w:rPr>
        <w:t xml:space="preserve"> </w:t>
      </w:r>
      <w:r w:rsidR="00154F17" w:rsidRPr="00A66C48">
        <w:rPr>
          <w:rFonts w:ascii="Times New Roman" w:hAnsi="Times New Roman"/>
        </w:rPr>
        <w:t>3</w:t>
      </w:r>
      <w:r w:rsidRPr="00A66C48">
        <w:rPr>
          <w:rFonts w:ascii="Times New Roman" w:hAnsi="Times New Roman"/>
        </w:rPr>
        <w:t xml:space="preserve"> percent of registrants use this option. However, CRP may be required for products packaged in a size exceeding those outlined in exemption criteria at 40 CFR 157.24(a)(2) if it is determined by the EPA that the product is distributed or sold to the general public. As such, EPA expects that some of these registrants will no longer meet the criteria for the exemption. </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t>(2) Registrants may also assert that an exemption to CRP is warranted because the hazards indicated by the toxicity criteria are not indicative of risk to humans, or that CRP is not technically feasible, practicable, or appropriate. Each request for an exemption is unique, and the data necessary to support an exem</w:t>
      </w:r>
      <w:r w:rsidR="00AA0C2E" w:rsidRPr="00A66C48">
        <w:rPr>
          <w:rFonts w:ascii="Times New Roman" w:hAnsi="Times New Roman"/>
        </w:rPr>
        <w:t xml:space="preserve">ption are unique. Less than </w:t>
      </w:r>
      <w:r w:rsidR="00154F17" w:rsidRPr="00A66C48">
        <w:rPr>
          <w:rFonts w:ascii="Times New Roman" w:hAnsi="Times New Roman"/>
        </w:rPr>
        <w:t>3</w:t>
      </w:r>
      <w:r w:rsidRPr="00A66C48">
        <w:rPr>
          <w:rFonts w:ascii="Times New Roman" w:hAnsi="Times New Roman"/>
        </w:rPr>
        <w:t xml:space="preserve"> percent of pesticide registrants choose this option with the CRP program. </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rPr>
        <w:tab/>
        <w:t xml:space="preserve">(ii)  </w:t>
      </w:r>
      <w:r w:rsidRPr="00A66C48">
        <w:rPr>
          <w:rFonts w:ascii="Times New Roman" w:hAnsi="Times New Roman"/>
          <w:i/>
          <w:iCs/>
        </w:rPr>
        <w:t>Respondent Activities</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t>In order to comply with the CRP regulations, registrants must engage in the following activities:</w:t>
      </w:r>
    </w:p>
    <w:p w:rsidR="000E1B44" w:rsidRPr="00A66C48" w:rsidRDefault="000E1B44" w:rsidP="002F14F8">
      <w:pPr>
        <w:numPr>
          <w:ilvl w:val="12"/>
          <w:numId w:val="0"/>
        </w:numPr>
      </w:pPr>
    </w:p>
    <w:tbl>
      <w:tblPr>
        <w:tblW w:w="5000" w:type="pct"/>
        <w:jc w:val="center"/>
        <w:tblLayout w:type="fixed"/>
        <w:tblCellMar>
          <w:left w:w="120" w:type="dxa"/>
          <w:right w:w="120" w:type="dxa"/>
        </w:tblCellMar>
        <w:tblLook w:val="0000"/>
      </w:tblPr>
      <w:tblGrid>
        <w:gridCol w:w="2492"/>
        <w:gridCol w:w="7108"/>
      </w:tblGrid>
      <w:tr w:rsidR="002F14F8" w:rsidRPr="00A66C48" w:rsidTr="00917FE9">
        <w:trPr>
          <w:cantSplit/>
          <w:jc w:val="center"/>
        </w:trPr>
        <w:tc>
          <w:tcPr>
            <w:tcW w:w="2430" w:type="dxa"/>
            <w:tcBorders>
              <w:top w:val="single" w:sz="6" w:space="0" w:color="000000"/>
              <w:left w:val="single" w:sz="6" w:space="0" w:color="000000"/>
              <w:bottom w:val="nil"/>
              <w:right w:val="nil"/>
            </w:tcBorders>
          </w:tcPr>
          <w:p w:rsidR="002F14F8" w:rsidRPr="00A66C48" w:rsidRDefault="002F14F8" w:rsidP="0061187B">
            <w:pPr>
              <w:numPr>
                <w:ilvl w:val="12"/>
                <w:numId w:val="0"/>
              </w:numPr>
              <w:spacing w:before="120" w:after="73"/>
              <w:rPr>
                <w:sz w:val="22"/>
                <w:szCs w:val="22"/>
              </w:rPr>
            </w:pPr>
            <w:r w:rsidRPr="00A66C48">
              <w:rPr>
                <w:rFonts w:ascii="Times New Roman" w:hAnsi="Times New Roman"/>
                <w:sz w:val="22"/>
                <w:szCs w:val="22"/>
              </w:rPr>
              <w:t>Read instructions</w:t>
            </w:r>
          </w:p>
        </w:tc>
        <w:tc>
          <w:tcPr>
            <w:tcW w:w="6930" w:type="dxa"/>
            <w:tcBorders>
              <w:top w:val="single" w:sz="6" w:space="0" w:color="000000"/>
              <w:left w:val="single" w:sz="6" w:space="0" w:color="000000"/>
              <w:bottom w:val="nil"/>
              <w:right w:val="single" w:sz="6" w:space="0" w:color="000000"/>
            </w:tcBorders>
          </w:tcPr>
          <w:p w:rsidR="002F14F8" w:rsidRPr="00A66C48" w:rsidRDefault="002F14F8" w:rsidP="0061187B">
            <w:pPr>
              <w:numPr>
                <w:ilvl w:val="12"/>
                <w:numId w:val="0"/>
              </w:numPr>
              <w:spacing w:before="120" w:after="73"/>
              <w:rPr>
                <w:sz w:val="22"/>
                <w:szCs w:val="22"/>
              </w:rPr>
            </w:pPr>
            <w:r w:rsidRPr="00A66C48">
              <w:rPr>
                <w:rFonts w:ascii="Times New Roman" w:hAnsi="Times New Roman"/>
                <w:sz w:val="22"/>
                <w:szCs w:val="22"/>
              </w:rPr>
              <w:t>Review requirements of FIFRA section 25 (c)(3) and 40 CFR Part 157, including its reference to 16 CFR 1700.15(b) and 16 CFR 1700.20;</w:t>
            </w:r>
          </w:p>
        </w:tc>
      </w:tr>
      <w:tr w:rsidR="002F14F8" w:rsidRPr="00A66C48" w:rsidTr="00917FE9">
        <w:trPr>
          <w:cantSplit/>
          <w:jc w:val="center"/>
        </w:trPr>
        <w:tc>
          <w:tcPr>
            <w:tcW w:w="2430" w:type="dxa"/>
            <w:tcBorders>
              <w:top w:val="single" w:sz="6" w:space="0" w:color="000000"/>
              <w:left w:val="single" w:sz="6" w:space="0" w:color="000000"/>
              <w:bottom w:val="nil"/>
              <w:right w:val="nil"/>
            </w:tcBorders>
          </w:tcPr>
          <w:p w:rsidR="002F14F8" w:rsidRPr="00A66C48" w:rsidRDefault="002F14F8" w:rsidP="0061187B">
            <w:pPr>
              <w:numPr>
                <w:ilvl w:val="12"/>
                <w:numId w:val="0"/>
              </w:numPr>
              <w:spacing w:before="120" w:after="73"/>
              <w:rPr>
                <w:sz w:val="22"/>
                <w:szCs w:val="22"/>
              </w:rPr>
            </w:pPr>
            <w:r w:rsidRPr="00A66C48">
              <w:rPr>
                <w:rFonts w:ascii="Times New Roman" w:hAnsi="Times New Roman"/>
                <w:sz w:val="22"/>
                <w:szCs w:val="22"/>
              </w:rPr>
              <w:t>Plan activities</w:t>
            </w:r>
          </w:p>
        </w:tc>
        <w:tc>
          <w:tcPr>
            <w:tcW w:w="6930" w:type="dxa"/>
            <w:tcBorders>
              <w:top w:val="single" w:sz="6" w:space="0" w:color="000000"/>
              <w:left w:val="single" w:sz="6" w:space="0" w:color="000000"/>
              <w:bottom w:val="nil"/>
              <w:right w:val="single" w:sz="6" w:space="0" w:color="000000"/>
            </w:tcBorders>
          </w:tcPr>
          <w:p w:rsidR="002F14F8" w:rsidRPr="00A66C48" w:rsidRDefault="002F14F8" w:rsidP="0061187B">
            <w:pPr>
              <w:numPr>
                <w:ilvl w:val="12"/>
                <w:numId w:val="0"/>
              </w:numPr>
              <w:spacing w:before="120" w:after="73"/>
              <w:rPr>
                <w:sz w:val="22"/>
                <w:szCs w:val="22"/>
              </w:rPr>
            </w:pPr>
            <w:r w:rsidRPr="00A66C48">
              <w:rPr>
                <w:rFonts w:ascii="Times New Roman" w:hAnsi="Times New Roman"/>
                <w:sz w:val="22"/>
                <w:szCs w:val="22"/>
              </w:rPr>
              <w:t>Decide under which option to comply with CRP compliance requirements or whether an exemption will be requested;</w:t>
            </w:r>
          </w:p>
        </w:tc>
      </w:tr>
      <w:tr w:rsidR="002F14F8" w:rsidRPr="00A66C48" w:rsidTr="00917FE9">
        <w:trPr>
          <w:cantSplit/>
          <w:jc w:val="center"/>
        </w:trPr>
        <w:tc>
          <w:tcPr>
            <w:tcW w:w="2430" w:type="dxa"/>
            <w:tcBorders>
              <w:top w:val="single" w:sz="6" w:space="0" w:color="000000"/>
              <w:left w:val="single" w:sz="6" w:space="0" w:color="000000"/>
              <w:bottom w:val="nil"/>
              <w:right w:val="nil"/>
            </w:tcBorders>
          </w:tcPr>
          <w:p w:rsidR="002F14F8" w:rsidRPr="00A66C48" w:rsidRDefault="002F14F8" w:rsidP="0061187B">
            <w:pPr>
              <w:numPr>
                <w:ilvl w:val="12"/>
                <w:numId w:val="0"/>
              </w:numPr>
              <w:spacing w:before="120" w:after="73"/>
              <w:rPr>
                <w:sz w:val="22"/>
                <w:szCs w:val="22"/>
              </w:rPr>
            </w:pPr>
            <w:r w:rsidRPr="00A66C48">
              <w:rPr>
                <w:rFonts w:ascii="Times New Roman" w:hAnsi="Times New Roman"/>
                <w:sz w:val="22"/>
                <w:szCs w:val="22"/>
              </w:rPr>
              <w:t xml:space="preserve">Create information </w:t>
            </w:r>
          </w:p>
        </w:tc>
        <w:tc>
          <w:tcPr>
            <w:tcW w:w="6930" w:type="dxa"/>
            <w:tcBorders>
              <w:top w:val="single" w:sz="6" w:space="0" w:color="000000"/>
              <w:left w:val="single" w:sz="6" w:space="0" w:color="000000"/>
              <w:bottom w:val="nil"/>
              <w:right w:val="single" w:sz="6" w:space="0" w:color="000000"/>
            </w:tcBorders>
          </w:tcPr>
          <w:p w:rsidR="002F14F8" w:rsidRPr="00A66C48" w:rsidRDefault="002F14F8" w:rsidP="0061187B">
            <w:pPr>
              <w:numPr>
                <w:ilvl w:val="12"/>
                <w:numId w:val="0"/>
              </w:numPr>
              <w:spacing w:before="120" w:after="73"/>
              <w:rPr>
                <w:sz w:val="22"/>
                <w:szCs w:val="22"/>
              </w:rPr>
            </w:pPr>
            <w:r w:rsidRPr="00A66C48">
              <w:rPr>
                <w:rFonts w:ascii="Times New Roman" w:hAnsi="Times New Roman"/>
                <w:sz w:val="22"/>
                <w:szCs w:val="22"/>
              </w:rPr>
              <w:t>Compile necessary data regarding compliance or exemption from CRP requirements;</w:t>
            </w:r>
          </w:p>
        </w:tc>
      </w:tr>
      <w:tr w:rsidR="002F14F8" w:rsidRPr="00A66C48" w:rsidTr="00917FE9">
        <w:trPr>
          <w:cantSplit/>
          <w:trHeight w:hRule="exact" w:val="1095"/>
          <w:jc w:val="center"/>
        </w:trPr>
        <w:tc>
          <w:tcPr>
            <w:tcW w:w="2430" w:type="dxa"/>
            <w:tcBorders>
              <w:top w:val="single" w:sz="6" w:space="0" w:color="000000"/>
              <w:left w:val="single" w:sz="6" w:space="0" w:color="000000"/>
              <w:bottom w:val="nil"/>
              <w:right w:val="nil"/>
            </w:tcBorders>
          </w:tcPr>
          <w:p w:rsidR="002F14F8" w:rsidRPr="00A66C48" w:rsidRDefault="002F14F8" w:rsidP="0061187B">
            <w:pPr>
              <w:numPr>
                <w:ilvl w:val="12"/>
                <w:numId w:val="0"/>
              </w:numPr>
              <w:spacing w:before="120"/>
              <w:rPr>
                <w:rFonts w:ascii="Times New Roman" w:hAnsi="Times New Roman"/>
                <w:sz w:val="22"/>
                <w:szCs w:val="22"/>
              </w:rPr>
            </w:pPr>
            <w:r w:rsidRPr="00A66C48">
              <w:rPr>
                <w:rFonts w:ascii="Times New Roman" w:hAnsi="Times New Roman"/>
                <w:sz w:val="22"/>
                <w:szCs w:val="22"/>
              </w:rPr>
              <w:t>Review data for</w:t>
            </w:r>
          </w:p>
          <w:p w:rsidR="002F14F8" w:rsidRPr="00A66C48" w:rsidRDefault="002F14F8" w:rsidP="0061187B">
            <w:pPr>
              <w:numPr>
                <w:ilvl w:val="12"/>
                <w:numId w:val="0"/>
              </w:numPr>
              <w:rPr>
                <w:rFonts w:ascii="Times New Roman" w:hAnsi="Times New Roman"/>
                <w:sz w:val="22"/>
                <w:szCs w:val="22"/>
              </w:rPr>
            </w:pPr>
            <w:r w:rsidRPr="00A66C48">
              <w:rPr>
                <w:rFonts w:ascii="Times New Roman" w:hAnsi="Times New Roman"/>
                <w:sz w:val="22"/>
                <w:szCs w:val="22"/>
              </w:rPr>
              <w:t>reliability and</w:t>
            </w:r>
          </w:p>
          <w:p w:rsidR="002F14F8" w:rsidRPr="00A66C48" w:rsidRDefault="002F14F8" w:rsidP="0061187B">
            <w:pPr>
              <w:numPr>
                <w:ilvl w:val="12"/>
                <w:numId w:val="0"/>
              </w:numPr>
              <w:spacing w:after="73"/>
              <w:rPr>
                <w:sz w:val="22"/>
                <w:szCs w:val="22"/>
              </w:rPr>
            </w:pPr>
            <w:r w:rsidRPr="00A66C48">
              <w:rPr>
                <w:rFonts w:ascii="Times New Roman" w:hAnsi="Times New Roman"/>
                <w:sz w:val="22"/>
                <w:szCs w:val="22"/>
              </w:rPr>
              <w:t>appropriateness</w:t>
            </w:r>
          </w:p>
        </w:tc>
        <w:tc>
          <w:tcPr>
            <w:tcW w:w="6930" w:type="dxa"/>
            <w:tcBorders>
              <w:top w:val="single" w:sz="6" w:space="0" w:color="000000"/>
              <w:left w:val="single" w:sz="6" w:space="0" w:color="000000"/>
              <w:bottom w:val="nil"/>
              <w:right w:val="single" w:sz="6" w:space="0" w:color="000000"/>
            </w:tcBorders>
          </w:tcPr>
          <w:p w:rsidR="002F14F8" w:rsidRPr="00A66C48" w:rsidRDefault="002F14F8" w:rsidP="0061187B">
            <w:pPr>
              <w:numPr>
                <w:ilvl w:val="12"/>
                <w:numId w:val="0"/>
              </w:numPr>
              <w:spacing w:before="120"/>
              <w:rPr>
                <w:rFonts w:ascii="Times New Roman" w:hAnsi="Times New Roman"/>
                <w:sz w:val="22"/>
                <w:szCs w:val="22"/>
              </w:rPr>
            </w:pPr>
            <w:r w:rsidRPr="00A66C48">
              <w:rPr>
                <w:rFonts w:ascii="Times New Roman" w:hAnsi="Times New Roman"/>
                <w:sz w:val="22"/>
                <w:szCs w:val="22"/>
              </w:rPr>
              <w:t>Review performance testing data to ensure that it will support CRP certification and identify the ASTM International Standard D3475, “Standard Classification of Child-Resistant Packages,” for the package.</w:t>
            </w:r>
          </w:p>
          <w:p w:rsidR="002F14F8" w:rsidRPr="00A66C48" w:rsidRDefault="002F14F8" w:rsidP="0061187B">
            <w:pPr>
              <w:numPr>
                <w:ilvl w:val="12"/>
                <w:numId w:val="0"/>
              </w:numPr>
              <w:spacing w:after="73"/>
              <w:rPr>
                <w:sz w:val="22"/>
                <w:szCs w:val="22"/>
              </w:rPr>
            </w:pPr>
          </w:p>
        </w:tc>
      </w:tr>
      <w:tr w:rsidR="002F14F8" w:rsidRPr="00A66C48" w:rsidTr="00917FE9">
        <w:trPr>
          <w:cantSplit/>
          <w:jc w:val="center"/>
        </w:trPr>
        <w:tc>
          <w:tcPr>
            <w:tcW w:w="2430" w:type="dxa"/>
            <w:tcBorders>
              <w:top w:val="single" w:sz="6" w:space="0" w:color="000000"/>
              <w:left w:val="single" w:sz="6" w:space="0" w:color="000000"/>
              <w:bottom w:val="nil"/>
              <w:right w:val="nil"/>
            </w:tcBorders>
          </w:tcPr>
          <w:p w:rsidR="002F14F8" w:rsidRPr="00A66C48" w:rsidRDefault="002F14F8" w:rsidP="0061187B">
            <w:pPr>
              <w:numPr>
                <w:ilvl w:val="12"/>
                <w:numId w:val="0"/>
              </w:numPr>
              <w:spacing w:before="120" w:after="73"/>
              <w:rPr>
                <w:sz w:val="22"/>
                <w:szCs w:val="22"/>
              </w:rPr>
            </w:pPr>
            <w:r w:rsidRPr="00A66C48">
              <w:rPr>
                <w:rFonts w:ascii="Times New Roman" w:hAnsi="Times New Roman"/>
                <w:sz w:val="22"/>
                <w:szCs w:val="22"/>
              </w:rPr>
              <w:t xml:space="preserve">Prepare and submit certification statement. </w:t>
            </w:r>
          </w:p>
        </w:tc>
        <w:tc>
          <w:tcPr>
            <w:tcW w:w="6930" w:type="dxa"/>
            <w:tcBorders>
              <w:top w:val="single" w:sz="6" w:space="0" w:color="000000"/>
              <w:left w:val="single" w:sz="6" w:space="0" w:color="000000"/>
              <w:bottom w:val="nil"/>
              <w:right w:val="single" w:sz="6" w:space="0" w:color="000000"/>
            </w:tcBorders>
          </w:tcPr>
          <w:p w:rsidR="002F14F8" w:rsidRPr="00A66C48" w:rsidRDefault="002F14F8" w:rsidP="0061187B">
            <w:pPr>
              <w:numPr>
                <w:ilvl w:val="12"/>
                <w:numId w:val="0"/>
              </w:numPr>
              <w:spacing w:before="120" w:after="73"/>
              <w:rPr>
                <w:sz w:val="22"/>
                <w:szCs w:val="22"/>
              </w:rPr>
            </w:pPr>
            <w:r w:rsidRPr="00A66C48">
              <w:rPr>
                <w:rFonts w:ascii="Times New Roman" w:hAnsi="Times New Roman"/>
                <w:sz w:val="22"/>
                <w:szCs w:val="22"/>
              </w:rPr>
              <w:t>Draft a certification statement citing compliance with CRP requirements and include a description of the package, or explain why the product is not subject to CRP, or request an exemption from CRP compliance requirements and compile/cite any supporting data as necessary. Submit information to EPA.</w:t>
            </w:r>
          </w:p>
        </w:tc>
      </w:tr>
      <w:tr w:rsidR="002F14F8" w:rsidRPr="00A66C48" w:rsidTr="00917FE9">
        <w:trPr>
          <w:cantSplit/>
          <w:jc w:val="center"/>
        </w:trPr>
        <w:tc>
          <w:tcPr>
            <w:tcW w:w="2430" w:type="dxa"/>
            <w:tcBorders>
              <w:top w:val="single" w:sz="6" w:space="0" w:color="000000"/>
              <w:left w:val="single" w:sz="6" w:space="0" w:color="000000"/>
              <w:bottom w:val="single" w:sz="6" w:space="0" w:color="000000"/>
              <w:right w:val="nil"/>
            </w:tcBorders>
          </w:tcPr>
          <w:p w:rsidR="002F14F8" w:rsidRPr="00A66C48" w:rsidRDefault="002F14F8" w:rsidP="0061187B">
            <w:pPr>
              <w:numPr>
                <w:ilvl w:val="12"/>
                <w:numId w:val="0"/>
              </w:numPr>
              <w:spacing w:before="120"/>
              <w:rPr>
                <w:rFonts w:ascii="Times New Roman" w:hAnsi="Times New Roman"/>
                <w:sz w:val="22"/>
                <w:szCs w:val="22"/>
              </w:rPr>
            </w:pPr>
            <w:r w:rsidRPr="00A66C48">
              <w:rPr>
                <w:rFonts w:ascii="Times New Roman" w:hAnsi="Times New Roman"/>
                <w:sz w:val="22"/>
                <w:szCs w:val="22"/>
              </w:rPr>
              <w:t>Store, file, and</w:t>
            </w:r>
          </w:p>
          <w:p w:rsidR="002F14F8" w:rsidRPr="00A66C48" w:rsidRDefault="002F14F8" w:rsidP="0061187B">
            <w:pPr>
              <w:numPr>
                <w:ilvl w:val="12"/>
                <w:numId w:val="0"/>
              </w:numPr>
              <w:spacing w:after="73"/>
              <w:rPr>
                <w:sz w:val="22"/>
                <w:szCs w:val="22"/>
              </w:rPr>
            </w:pPr>
            <w:r w:rsidRPr="00A66C48">
              <w:rPr>
                <w:rFonts w:ascii="Times New Roman" w:hAnsi="Times New Roman"/>
                <w:sz w:val="22"/>
                <w:szCs w:val="22"/>
              </w:rPr>
              <w:t>maintain data</w:t>
            </w:r>
          </w:p>
        </w:tc>
        <w:tc>
          <w:tcPr>
            <w:tcW w:w="6930" w:type="dxa"/>
            <w:tcBorders>
              <w:top w:val="single" w:sz="6" w:space="0" w:color="000000"/>
              <w:left w:val="single" w:sz="6" w:space="0" w:color="000000"/>
              <w:bottom w:val="single" w:sz="6" w:space="0" w:color="000000"/>
              <w:right w:val="single" w:sz="6" w:space="0" w:color="000000"/>
            </w:tcBorders>
          </w:tcPr>
          <w:p w:rsidR="002F14F8" w:rsidRPr="00A66C48" w:rsidRDefault="002F14F8" w:rsidP="0061187B">
            <w:pPr>
              <w:numPr>
                <w:ilvl w:val="12"/>
                <w:numId w:val="0"/>
              </w:numPr>
              <w:spacing w:before="120" w:after="73"/>
              <w:rPr>
                <w:sz w:val="22"/>
                <w:szCs w:val="22"/>
              </w:rPr>
            </w:pPr>
            <w:r w:rsidRPr="00A66C48">
              <w:rPr>
                <w:rFonts w:ascii="Times New Roman" w:hAnsi="Times New Roman"/>
                <w:sz w:val="22"/>
                <w:szCs w:val="22"/>
              </w:rPr>
              <w:t>Maintain any data and information sent to EPA to certify CRP compliance, support a determination as to why product is not subject to CRP, or justify an exemption from CRP.</w:t>
            </w:r>
          </w:p>
        </w:tc>
      </w:tr>
    </w:tbl>
    <w:p w:rsidR="002F14F8" w:rsidRPr="00A66C48" w:rsidRDefault="002F14F8" w:rsidP="002F14F8">
      <w:pPr>
        <w:numPr>
          <w:ilvl w:val="12"/>
          <w:numId w:val="0"/>
        </w:numPr>
        <w:rPr>
          <w:rFonts w:ascii="Times New Roman" w:hAnsi="Times New Roman"/>
        </w:rPr>
      </w:pPr>
    </w:p>
    <w:p w:rsidR="00743F90" w:rsidRPr="00A66C48" w:rsidRDefault="00743F90"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b/>
          <w:bCs/>
        </w:rPr>
        <w:t>5.</w:t>
      </w:r>
      <w:r w:rsidRPr="00A66C48">
        <w:rPr>
          <w:rFonts w:ascii="Times New Roman" w:hAnsi="Times New Roman"/>
          <w:b/>
          <w:bCs/>
        </w:rPr>
        <w:tab/>
      </w:r>
      <w:r w:rsidRPr="00A66C48">
        <w:rPr>
          <w:rFonts w:ascii="Times New Roman" w:hAnsi="Times New Roman"/>
          <w:b/>
          <w:bCs/>
          <w:u w:val="single"/>
        </w:rPr>
        <w:t>THE INFORMATION COLLECTED - AGENCY ACTIVITIES, COLLECTION METHODOLOGY, AND INFORMATION MANAGEMENT</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5(a). Agency Activities</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t xml:space="preserve">Upon receipt of a certification letter, EPA </w:t>
      </w:r>
      <w:r w:rsidR="00C16B89" w:rsidRPr="00A66C48">
        <w:rPr>
          <w:rFonts w:ascii="Times New Roman" w:hAnsi="Times New Roman"/>
        </w:rPr>
        <w:t>performs</w:t>
      </w:r>
      <w:r w:rsidRPr="00A66C48">
        <w:rPr>
          <w:rFonts w:ascii="Times New Roman" w:hAnsi="Times New Roman"/>
        </w:rPr>
        <w:t xml:space="preserve"> the following activities:</w:t>
      </w:r>
    </w:p>
    <w:p w:rsidR="002F14F8" w:rsidRPr="00A66C48" w:rsidRDefault="002F14F8" w:rsidP="002F14F8">
      <w:pPr>
        <w:numPr>
          <w:ilvl w:val="12"/>
          <w:numId w:val="0"/>
        </w:numPr>
        <w:rPr>
          <w:rFonts w:ascii="Times New Roman" w:hAnsi="Times New Roman"/>
        </w:rPr>
      </w:pPr>
    </w:p>
    <w:tbl>
      <w:tblPr>
        <w:tblW w:w="5000" w:type="pct"/>
        <w:jc w:val="center"/>
        <w:tblLayout w:type="fixed"/>
        <w:tblCellMar>
          <w:left w:w="120" w:type="dxa"/>
          <w:right w:w="120" w:type="dxa"/>
        </w:tblCellMar>
        <w:tblLook w:val="0000"/>
      </w:tblPr>
      <w:tblGrid>
        <w:gridCol w:w="1938"/>
        <w:gridCol w:w="7662"/>
      </w:tblGrid>
      <w:tr w:rsidR="002F14F8" w:rsidRPr="00A66C48" w:rsidTr="00917FE9">
        <w:trPr>
          <w:cantSplit/>
          <w:jc w:val="center"/>
        </w:trPr>
        <w:tc>
          <w:tcPr>
            <w:tcW w:w="1890" w:type="dxa"/>
            <w:tcBorders>
              <w:top w:val="single" w:sz="6" w:space="0" w:color="000000"/>
              <w:left w:val="single" w:sz="6" w:space="0" w:color="000000"/>
              <w:bottom w:val="nil"/>
              <w:right w:val="nil"/>
            </w:tcBorders>
          </w:tcPr>
          <w:p w:rsidR="002F14F8" w:rsidRPr="00A66C48" w:rsidRDefault="002F14F8" w:rsidP="0061187B">
            <w:pPr>
              <w:numPr>
                <w:ilvl w:val="12"/>
                <w:numId w:val="0"/>
              </w:numPr>
              <w:spacing w:before="120" w:after="69"/>
              <w:rPr>
                <w:sz w:val="22"/>
                <w:szCs w:val="22"/>
              </w:rPr>
            </w:pPr>
            <w:r w:rsidRPr="00A66C48">
              <w:rPr>
                <w:rFonts w:ascii="Times New Roman" w:hAnsi="Times New Roman"/>
                <w:sz w:val="22"/>
                <w:szCs w:val="22"/>
              </w:rPr>
              <w:t>Review correspondence</w:t>
            </w:r>
          </w:p>
        </w:tc>
        <w:tc>
          <w:tcPr>
            <w:tcW w:w="7470" w:type="dxa"/>
            <w:tcBorders>
              <w:top w:val="single" w:sz="6" w:space="0" w:color="000000"/>
              <w:left w:val="single" w:sz="6" w:space="0" w:color="000000"/>
              <w:bottom w:val="nil"/>
              <w:right w:val="single" w:sz="6" w:space="0" w:color="000000"/>
            </w:tcBorders>
          </w:tcPr>
          <w:p w:rsidR="002F14F8" w:rsidRPr="00A66C48" w:rsidRDefault="002F14F8" w:rsidP="0061187B">
            <w:pPr>
              <w:numPr>
                <w:ilvl w:val="12"/>
                <w:numId w:val="0"/>
              </w:numPr>
              <w:spacing w:before="120" w:after="69"/>
              <w:rPr>
                <w:sz w:val="22"/>
                <w:szCs w:val="22"/>
              </w:rPr>
            </w:pPr>
            <w:r w:rsidRPr="00A66C48">
              <w:rPr>
                <w:rFonts w:ascii="Times New Roman" w:hAnsi="Times New Roman"/>
                <w:sz w:val="22"/>
                <w:szCs w:val="22"/>
              </w:rPr>
              <w:t xml:space="preserve">Review correspondence for completeness. Incomplete/incorrect certifications are returned to registrants; </w:t>
            </w:r>
          </w:p>
        </w:tc>
      </w:tr>
      <w:tr w:rsidR="002F14F8" w:rsidRPr="00A66C48" w:rsidTr="00917FE9">
        <w:trPr>
          <w:cantSplit/>
          <w:jc w:val="center"/>
        </w:trPr>
        <w:tc>
          <w:tcPr>
            <w:tcW w:w="1890" w:type="dxa"/>
            <w:tcBorders>
              <w:top w:val="single" w:sz="6" w:space="0" w:color="000000"/>
              <w:left w:val="single" w:sz="6" w:space="0" w:color="000000"/>
              <w:bottom w:val="nil"/>
              <w:right w:val="nil"/>
            </w:tcBorders>
          </w:tcPr>
          <w:p w:rsidR="002F14F8" w:rsidRPr="00A66C48" w:rsidRDefault="002F14F8" w:rsidP="0061187B">
            <w:pPr>
              <w:numPr>
                <w:ilvl w:val="12"/>
                <w:numId w:val="0"/>
              </w:numPr>
              <w:spacing w:before="120" w:after="69"/>
              <w:rPr>
                <w:sz w:val="22"/>
                <w:szCs w:val="22"/>
              </w:rPr>
            </w:pPr>
            <w:r w:rsidRPr="00A66C48">
              <w:rPr>
                <w:rFonts w:ascii="Times New Roman" w:hAnsi="Times New Roman"/>
                <w:sz w:val="22"/>
                <w:szCs w:val="22"/>
              </w:rPr>
              <w:t xml:space="preserve">Evaluate data and advise registrant </w:t>
            </w:r>
          </w:p>
        </w:tc>
        <w:tc>
          <w:tcPr>
            <w:tcW w:w="7470" w:type="dxa"/>
            <w:tcBorders>
              <w:top w:val="single" w:sz="6" w:space="0" w:color="000000"/>
              <w:left w:val="single" w:sz="6" w:space="0" w:color="000000"/>
              <w:bottom w:val="nil"/>
              <w:right w:val="single" w:sz="6" w:space="0" w:color="000000"/>
            </w:tcBorders>
          </w:tcPr>
          <w:p w:rsidR="002F14F8" w:rsidRPr="00A66C48" w:rsidRDefault="002F14F8" w:rsidP="0061187B">
            <w:pPr>
              <w:numPr>
                <w:ilvl w:val="12"/>
                <w:numId w:val="0"/>
              </w:numPr>
              <w:spacing w:before="120" w:after="69"/>
              <w:rPr>
                <w:sz w:val="22"/>
                <w:szCs w:val="22"/>
              </w:rPr>
            </w:pPr>
            <w:r w:rsidRPr="00A66C48">
              <w:rPr>
                <w:rFonts w:ascii="Times New Roman" w:hAnsi="Times New Roman"/>
                <w:sz w:val="22"/>
                <w:szCs w:val="22"/>
              </w:rPr>
              <w:t xml:space="preserve">Evaluate data submitted and determine whether the registrant has met the CRP requirements, has sufficiently substantiated reasons for not being subject to CRP (e.g. reformulate to a less toxic product) or decide whether or not to grant an exemption. Advise registrant of decision; </w:t>
            </w:r>
          </w:p>
        </w:tc>
      </w:tr>
      <w:tr w:rsidR="002F14F8" w:rsidRPr="00A66C48" w:rsidTr="00917FE9">
        <w:trPr>
          <w:cantSplit/>
          <w:jc w:val="center"/>
        </w:trPr>
        <w:tc>
          <w:tcPr>
            <w:tcW w:w="1890" w:type="dxa"/>
            <w:tcBorders>
              <w:top w:val="single" w:sz="6" w:space="0" w:color="000000"/>
              <w:left w:val="single" w:sz="6" w:space="0" w:color="000000"/>
              <w:bottom w:val="single" w:sz="6" w:space="0" w:color="000000"/>
              <w:right w:val="nil"/>
            </w:tcBorders>
          </w:tcPr>
          <w:p w:rsidR="002F14F8" w:rsidRPr="00A66C48" w:rsidRDefault="002F14F8" w:rsidP="0061187B">
            <w:pPr>
              <w:numPr>
                <w:ilvl w:val="12"/>
                <w:numId w:val="0"/>
              </w:numPr>
              <w:spacing w:before="120"/>
              <w:rPr>
                <w:rFonts w:ascii="Times New Roman" w:hAnsi="Times New Roman"/>
                <w:sz w:val="22"/>
                <w:szCs w:val="22"/>
              </w:rPr>
            </w:pPr>
            <w:r w:rsidRPr="00A66C48">
              <w:rPr>
                <w:rFonts w:ascii="Times New Roman" w:hAnsi="Times New Roman"/>
                <w:sz w:val="22"/>
                <w:szCs w:val="22"/>
              </w:rPr>
              <w:t>Store, file, and</w:t>
            </w:r>
          </w:p>
          <w:p w:rsidR="002F14F8" w:rsidRPr="00A66C48" w:rsidRDefault="002F14F8" w:rsidP="0061187B">
            <w:pPr>
              <w:numPr>
                <w:ilvl w:val="12"/>
                <w:numId w:val="0"/>
              </w:numPr>
              <w:spacing w:after="69"/>
              <w:rPr>
                <w:sz w:val="22"/>
                <w:szCs w:val="22"/>
              </w:rPr>
            </w:pPr>
            <w:r w:rsidRPr="00A66C48">
              <w:rPr>
                <w:rFonts w:ascii="Times New Roman" w:hAnsi="Times New Roman"/>
                <w:sz w:val="22"/>
                <w:szCs w:val="22"/>
              </w:rPr>
              <w:t>maintain data</w:t>
            </w:r>
          </w:p>
        </w:tc>
        <w:tc>
          <w:tcPr>
            <w:tcW w:w="7470" w:type="dxa"/>
            <w:tcBorders>
              <w:top w:val="single" w:sz="6" w:space="0" w:color="000000"/>
              <w:left w:val="single" w:sz="6" w:space="0" w:color="000000"/>
              <w:bottom w:val="single" w:sz="6" w:space="0" w:color="000000"/>
              <w:right w:val="single" w:sz="6" w:space="0" w:color="000000"/>
            </w:tcBorders>
          </w:tcPr>
          <w:p w:rsidR="002F14F8" w:rsidRPr="00A66C48" w:rsidRDefault="002F14F8" w:rsidP="0061187B">
            <w:pPr>
              <w:numPr>
                <w:ilvl w:val="12"/>
                <w:numId w:val="0"/>
              </w:numPr>
              <w:spacing w:before="120" w:after="69"/>
              <w:rPr>
                <w:sz w:val="22"/>
                <w:szCs w:val="22"/>
              </w:rPr>
            </w:pPr>
            <w:r w:rsidRPr="00A66C48">
              <w:rPr>
                <w:rFonts w:ascii="Times New Roman" w:hAnsi="Times New Roman"/>
                <w:sz w:val="22"/>
                <w:szCs w:val="22"/>
              </w:rPr>
              <w:t xml:space="preserve">All CRP data submitted to the Agency are </w:t>
            </w:r>
            <w:r w:rsidR="001615D8" w:rsidRPr="00A66C48">
              <w:rPr>
                <w:rFonts w:ascii="Times New Roman" w:hAnsi="Times New Roman"/>
                <w:sz w:val="22"/>
                <w:szCs w:val="22"/>
              </w:rPr>
              <w:t>referenced by an MRID number</w:t>
            </w:r>
            <w:r w:rsidRPr="00A66C48">
              <w:rPr>
                <w:rFonts w:ascii="Times New Roman" w:hAnsi="Times New Roman"/>
                <w:sz w:val="22"/>
                <w:szCs w:val="22"/>
              </w:rPr>
              <w:t xml:space="preserve"> in the registration file jacket for the pesticide product. The Agency maintains a </w:t>
            </w:r>
            <w:r w:rsidR="001615D8" w:rsidRPr="00A66C48">
              <w:rPr>
                <w:rFonts w:ascii="Times New Roman" w:hAnsi="Times New Roman"/>
                <w:sz w:val="22"/>
                <w:szCs w:val="22"/>
              </w:rPr>
              <w:t>record</w:t>
            </w:r>
            <w:r w:rsidRPr="00A66C48">
              <w:rPr>
                <w:rFonts w:ascii="Times New Roman" w:hAnsi="Times New Roman"/>
                <w:sz w:val="22"/>
                <w:szCs w:val="22"/>
              </w:rPr>
              <w:t xml:space="preserve"> of all CRP certifications </w:t>
            </w:r>
            <w:r w:rsidR="001615D8" w:rsidRPr="00A66C48">
              <w:rPr>
                <w:rFonts w:ascii="Times New Roman" w:hAnsi="Times New Roman"/>
                <w:sz w:val="22"/>
                <w:szCs w:val="22"/>
              </w:rPr>
              <w:t>in its generic database.</w:t>
            </w:r>
            <w:r w:rsidRPr="00A66C48">
              <w:rPr>
                <w:rFonts w:ascii="Times New Roman" w:hAnsi="Times New Roman"/>
                <w:sz w:val="22"/>
                <w:szCs w:val="22"/>
              </w:rPr>
              <w:t xml:space="preserve"> </w:t>
            </w:r>
          </w:p>
        </w:tc>
      </w:tr>
    </w:tbl>
    <w:p w:rsidR="002F14F8" w:rsidRPr="00A66C48" w:rsidRDefault="002F14F8" w:rsidP="002F14F8">
      <w:pPr>
        <w:rPr>
          <w:sz w:val="22"/>
          <w:szCs w:val="22"/>
        </w:rPr>
      </w:pPr>
    </w:p>
    <w:p w:rsidR="00A66429" w:rsidRPr="00A66C48" w:rsidRDefault="00A66429" w:rsidP="002F14F8">
      <w:pPr>
        <w:rPr>
          <w:sz w:val="22"/>
          <w:szCs w:val="22"/>
        </w:rPr>
      </w:pPr>
    </w:p>
    <w:p w:rsidR="007D5136" w:rsidRPr="00A66C48" w:rsidRDefault="007D5136" w:rsidP="007D5136">
      <w:pPr>
        <w:numPr>
          <w:ilvl w:val="12"/>
          <w:numId w:val="0"/>
        </w:numPr>
        <w:rPr>
          <w:rFonts w:ascii="Times New Roman" w:hAnsi="Times New Roman"/>
        </w:rPr>
      </w:pPr>
      <w:r w:rsidRPr="00A66C48">
        <w:rPr>
          <w:rFonts w:ascii="Times New Roman" w:hAnsi="Times New Roman"/>
        </w:rPr>
        <w:lastRenderedPageBreak/>
        <w:tab/>
      </w:r>
      <w:r w:rsidRPr="00A66C48">
        <w:rPr>
          <w:rFonts w:ascii="Times New Roman" w:hAnsi="Times New Roman"/>
          <w:b/>
          <w:bCs/>
        </w:rPr>
        <w:t>5(b). Collection Methodology and Management</w:t>
      </w:r>
    </w:p>
    <w:p w:rsidR="007D5136" w:rsidRPr="00A66C48" w:rsidRDefault="007D5136" w:rsidP="007D5136">
      <w:pPr>
        <w:numPr>
          <w:ilvl w:val="12"/>
          <w:numId w:val="0"/>
        </w:numPr>
        <w:rPr>
          <w:rFonts w:ascii="Times New Roman" w:hAnsi="Times New Roman"/>
        </w:rPr>
      </w:pPr>
    </w:p>
    <w:p w:rsidR="00464007" w:rsidRPr="00A66C48" w:rsidRDefault="007D5136" w:rsidP="007D5136">
      <w:pPr>
        <w:numPr>
          <w:ilvl w:val="12"/>
          <w:numId w:val="0"/>
        </w:numPr>
        <w:rPr>
          <w:rFonts w:ascii="Times New Roman" w:hAnsi="Times New Roman"/>
        </w:rPr>
      </w:pPr>
      <w:r w:rsidRPr="00A66C48">
        <w:rPr>
          <w:rFonts w:ascii="Times New Roman" w:hAnsi="Times New Roman"/>
        </w:rPr>
        <w:tab/>
      </w:r>
      <w:r w:rsidR="00464007" w:rsidRPr="00A66C48">
        <w:rPr>
          <w:rFonts w:ascii="Times New Roman" w:hAnsi="Times New Roman"/>
        </w:rPr>
        <w:t xml:space="preserve">Respondents to this ICR submit </w:t>
      </w:r>
      <w:r w:rsidR="002F7411" w:rsidRPr="00A66C48">
        <w:rPr>
          <w:rFonts w:ascii="Times New Roman" w:hAnsi="Times New Roman"/>
        </w:rPr>
        <w:t xml:space="preserve">the </w:t>
      </w:r>
      <w:r w:rsidR="00464007" w:rsidRPr="00A66C48">
        <w:rPr>
          <w:rFonts w:ascii="Times New Roman" w:hAnsi="Times New Roman"/>
        </w:rPr>
        <w:t xml:space="preserve">information as part of their larger package for registration of a pesticide product. </w:t>
      </w:r>
      <w:r w:rsidR="00D01EC1">
        <w:rPr>
          <w:rFonts w:ascii="Times New Roman" w:hAnsi="Times New Roman"/>
        </w:rPr>
        <w:t xml:space="preserve"> At the time of this renewal, OPP is not offering a fully electronic submission option for pesticide registration packages. </w:t>
      </w:r>
      <w:r w:rsidR="00D01EC1" w:rsidRPr="00D01EC1">
        <w:rPr>
          <w:rFonts w:ascii="Times New Roman" w:hAnsi="Times New Roman"/>
        </w:rPr>
        <w:t xml:space="preserve">The Agency is, however, beginning the process of defining requirements for electronic submission of studies as well as other elements of applications and petitions. </w:t>
      </w:r>
      <w:r w:rsidR="002F7411" w:rsidRPr="00A66C48">
        <w:rPr>
          <w:rFonts w:ascii="Times New Roman" w:hAnsi="Times New Roman"/>
        </w:rPr>
        <w:t>The Agency has no objection to submission of the CRP information on CD ROM as part of the registration package</w:t>
      </w:r>
      <w:r w:rsidR="005F7DAE">
        <w:rPr>
          <w:rFonts w:ascii="Times New Roman" w:hAnsi="Times New Roman"/>
        </w:rPr>
        <w:t>.</w:t>
      </w:r>
    </w:p>
    <w:p w:rsidR="00DE31B4" w:rsidRPr="00A66C48" w:rsidRDefault="00DE31B4" w:rsidP="007D5136">
      <w:pPr>
        <w:numPr>
          <w:ilvl w:val="12"/>
          <w:numId w:val="0"/>
        </w:numPr>
        <w:rPr>
          <w:rFonts w:ascii="Times New Roman" w:hAnsi="Times New Roman"/>
        </w:rPr>
      </w:pPr>
    </w:p>
    <w:p w:rsidR="00DE31B4" w:rsidRPr="00A66C48" w:rsidRDefault="00DE31B4" w:rsidP="007D5136">
      <w:pPr>
        <w:numPr>
          <w:ilvl w:val="12"/>
          <w:numId w:val="0"/>
        </w:numPr>
        <w:rPr>
          <w:rFonts w:ascii="Times New Roman" w:hAnsi="Times New Roman"/>
        </w:rPr>
      </w:pPr>
      <w:r w:rsidRPr="00A66C48">
        <w:rPr>
          <w:rFonts w:ascii="Times New Roman" w:hAnsi="Times New Roman"/>
        </w:rPr>
        <w:tab/>
        <w:t>For CRP certifications with data, EPA requests that responses are submitted electronically to expedite data analysis.</w:t>
      </w:r>
      <w:r w:rsidR="00C21B5F" w:rsidRPr="00A66C48">
        <w:rPr>
          <w:rFonts w:ascii="Times New Roman" w:hAnsi="Times New Roman"/>
        </w:rPr>
        <w:t xml:space="preserve"> See Attachment D for guidance on electronic data submission. CRP certifications with data are the most burdensome of the four response types under this ICR</w:t>
      </w:r>
      <w:r w:rsidR="004B4D85">
        <w:rPr>
          <w:rFonts w:ascii="Times New Roman" w:hAnsi="Times New Roman"/>
        </w:rPr>
        <w:t>.</w:t>
      </w:r>
    </w:p>
    <w:p w:rsidR="00464007" w:rsidRPr="00A66C48" w:rsidRDefault="00464007" w:rsidP="007D5136">
      <w:pPr>
        <w:numPr>
          <w:ilvl w:val="12"/>
          <w:numId w:val="0"/>
        </w:numPr>
        <w:rPr>
          <w:rFonts w:ascii="Times New Roman" w:hAnsi="Times New Roman"/>
        </w:rPr>
      </w:pPr>
    </w:p>
    <w:p w:rsidR="007D5136" w:rsidRPr="00A66C48" w:rsidRDefault="00464007" w:rsidP="007D5136">
      <w:pPr>
        <w:numPr>
          <w:ilvl w:val="12"/>
          <w:numId w:val="0"/>
        </w:numPr>
        <w:rPr>
          <w:rFonts w:ascii="Times New Roman" w:hAnsi="Times New Roman"/>
        </w:rPr>
      </w:pPr>
      <w:r w:rsidRPr="00A66C48">
        <w:rPr>
          <w:rFonts w:ascii="Times New Roman" w:hAnsi="Times New Roman"/>
        </w:rPr>
        <w:tab/>
      </w:r>
      <w:r w:rsidR="007D5136" w:rsidRPr="00A66C48">
        <w:rPr>
          <w:rFonts w:ascii="Times New Roman" w:hAnsi="Times New Roman"/>
        </w:rPr>
        <w:t xml:space="preserve">EPA only collects data in support of a CRP certification when there are human safety/health risk concerns. EPA requires that registrants maintain data in support of their certifications of the child-resistance of the product's packaging or devices. At the time of CRP certification we are requesting that the registrant identify the type of packaging used. This data is a part of their recordkeeping requirements (under 40 CFR 157.36). This additional piece of data </w:t>
      </w:r>
      <w:r w:rsidR="00CF762A" w:rsidRPr="00A66C48">
        <w:rPr>
          <w:rFonts w:ascii="Times New Roman" w:hAnsi="Times New Roman"/>
        </w:rPr>
        <w:t>may</w:t>
      </w:r>
      <w:r w:rsidR="007D5136" w:rsidRPr="00A66C48">
        <w:rPr>
          <w:rFonts w:ascii="Times New Roman" w:hAnsi="Times New Roman"/>
        </w:rPr>
        <w:t xml:space="preserve"> enable the Agency to contact all pesticide registrants using a particular type of CRP should a generic problem with the CRP become evident (e.g. trigger sprayers that are no longer considered CRP).  It will also facilitate the review of CRP exemption requests b</w:t>
      </w:r>
      <w:r w:rsidR="00CF762A" w:rsidRPr="00A66C48">
        <w:rPr>
          <w:rFonts w:ascii="Times New Roman" w:hAnsi="Times New Roman"/>
        </w:rPr>
        <w:t xml:space="preserve">ecause the Agency can ascertain </w:t>
      </w:r>
      <w:r w:rsidR="007D5136" w:rsidRPr="00A66C48">
        <w:rPr>
          <w:rFonts w:ascii="Times New Roman" w:hAnsi="Times New Roman"/>
        </w:rPr>
        <w:t>how similar pesticide formulations are packaged.</w:t>
      </w:r>
    </w:p>
    <w:p w:rsidR="007D5136" w:rsidRPr="00A66C48" w:rsidRDefault="007D5136" w:rsidP="002F14F8">
      <w:pPr>
        <w:rPr>
          <w:sz w:val="22"/>
          <w:szCs w:val="22"/>
        </w:rPr>
      </w:pPr>
    </w:p>
    <w:p w:rsidR="007D5136" w:rsidRPr="00A66C48" w:rsidRDefault="007D5136" w:rsidP="007D5136">
      <w:pPr>
        <w:numPr>
          <w:ilvl w:val="12"/>
          <w:numId w:val="0"/>
        </w:numPr>
        <w:rPr>
          <w:rFonts w:ascii="Times New Roman" w:hAnsi="Times New Roman"/>
        </w:rPr>
      </w:pPr>
      <w:r w:rsidRPr="00A66C48">
        <w:rPr>
          <w:rFonts w:ascii="Times New Roman" w:hAnsi="Times New Roman"/>
        </w:rPr>
        <w:tab/>
        <w:t>The generic database system continually tracks all registration actions from the registration-pending stage through to full registration and until a product is canceled. A generic database maintains information on both currently registered products and previously registered products, thereby acting as a registration action historical file. Additionally, the CRP compliance certification hard copy correspondence letters are filed in the pesticide product registration jacket</w:t>
      </w:r>
      <w:r w:rsidR="00602154" w:rsidRPr="00A66C48">
        <w:rPr>
          <w:rFonts w:ascii="Times New Roman" w:hAnsi="Times New Roman"/>
        </w:rPr>
        <w:t>.</w:t>
      </w:r>
    </w:p>
    <w:p w:rsidR="004C2DA3" w:rsidRPr="00A66C48" w:rsidRDefault="004C2DA3" w:rsidP="002F14F8">
      <w:pPr>
        <w:rPr>
          <w:sz w:val="22"/>
          <w:szCs w:val="22"/>
        </w:rPr>
      </w:pPr>
    </w:p>
    <w:p w:rsidR="004C2DA3" w:rsidRPr="00A66C48" w:rsidRDefault="004C2DA3" w:rsidP="004C2DA3">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5(c). Small Entity Flexibility</w:t>
      </w:r>
    </w:p>
    <w:p w:rsidR="000414E8" w:rsidRPr="00A66C48" w:rsidRDefault="000414E8" w:rsidP="004C2DA3">
      <w:pPr>
        <w:numPr>
          <w:ilvl w:val="12"/>
          <w:numId w:val="0"/>
        </w:numPr>
        <w:rPr>
          <w:rFonts w:ascii="Times New Roman" w:hAnsi="Times New Roman"/>
        </w:rPr>
      </w:pPr>
    </w:p>
    <w:p w:rsidR="004C2F05" w:rsidRPr="00A66C48" w:rsidRDefault="004C2DA3" w:rsidP="004C2F05">
      <w:pPr>
        <w:numPr>
          <w:ilvl w:val="12"/>
          <w:numId w:val="0"/>
        </w:numPr>
        <w:rPr>
          <w:rFonts w:ascii="Times New Roman" w:hAnsi="Times New Roman"/>
        </w:rPr>
      </w:pPr>
      <w:r w:rsidRPr="00A66C48">
        <w:rPr>
          <w:rFonts w:ascii="Times New Roman" w:hAnsi="Times New Roman"/>
        </w:rPr>
        <w:tab/>
        <w:t>The incorporation of alternative methods to verify that the package meets the requirements of 40 CFR 157.32 have allowed manufacturers to use extrapolation schemes, available child-resistant protocol test data, and supporting documentation without spending the time and money to develop the data on their exact package. The burden and cost to industry also is minimized by: the reference of the CPSC effectiveness standards and protocol test procedures that preclude duplicative testing for pesticidal and non-pesticidal purposes, and also allow for the use of CRP developed for non-pesticidal purposes; the use of packaging manufacturer's data rather than product-specific data; discretion and innovation with regard to product packaging compatibility and package selection; and the granting of the size exemptions without requiring an application from the registrant or approval by EPA.</w:t>
      </w:r>
      <w:r w:rsidR="004C2F05" w:rsidRPr="00A66C48">
        <w:rPr>
          <w:rFonts w:ascii="Times New Roman" w:hAnsi="Times New Roman"/>
        </w:rPr>
        <w:tab/>
      </w:r>
      <w:r w:rsidR="00E044C8" w:rsidRPr="00A66C48">
        <w:rPr>
          <w:rFonts w:ascii="Times New Roman" w:hAnsi="Times New Roman"/>
        </w:rPr>
        <w:t xml:space="preserve"> </w:t>
      </w:r>
    </w:p>
    <w:p w:rsidR="00C83F79" w:rsidRPr="00A66C48" w:rsidRDefault="004C2F05" w:rsidP="00AA6073">
      <w:pPr>
        <w:numPr>
          <w:ilvl w:val="12"/>
          <w:numId w:val="0"/>
        </w:numPr>
        <w:rPr>
          <w:rFonts w:ascii="Times New Roman" w:hAnsi="Times New Roman"/>
        </w:rPr>
      </w:pPr>
      <w:r w:rsidRPr="00A66C48">
        <w:rPr>
          <w:rFonts w:ascii="Times New Roman" w:hAnsi="Times New Roman"/>
        </w:rPr>
        <w:tab/>
      </w:r>
    </w:p>
    <w:p w:rsidR="00AA6073" w:rsidRPr="00A66C48" w:rsidRDefault="00756F36" w:rsidP="00501164">
      <w:pPr>
        <w:rPr>
          <w:rFonts w:ascii="Times New Roman" w:hAnsi="Times New Roman"/>
        </w:rPr>
      </w:pPr>
      <w:r w:rsidRPr="00A66C48">
        <w:rPr>
          <w:rFonts w:ascii="Times New Roman" w:hAnsi="Times New Roman"/>
        </w:rPr>
        <w:tab/>
        <w:t xml:space="preserve">EPA </w:t>
      </w:r>
      <w:r w:rsidR="001547DD" w:rsidRPr="00A66C48">
        <w:rPr>
          <w:rFonts w:ascii="Times New Roman" w:hAnsi="Times New Roman"/>
        </w:rPr>
        <w:t xml:space="preserve">also </w:t>
      </w:r>
      <w:r w:rsidRPr="00A66C48">
        <w:rPr>
          <w:rFonts w:ascii="Times New Roman" w:hAnsi="Times New Roman"/>
        </w:rPr>
        <w:t>estimated the impact</w:t>
      </w:r>
      <w:r w:rsidR="00C83F79" w:rsidRPr="00A66C48">
        <w:rPr>
          <w:rFonts w:ascii="Times New Roman" w:hAnsi="Times New Roman"/>
        </w:rPr>
        <w:t xml:space="preserve"> of this ICR on</w:t>
      </w:r>
      <w:r w:rsidRPr="00A66C48">
        <w:rPr>
          <w:rFonts w:ascii="Times New Roman" w:hAnsi="Times New Roman"/>
        </w:rPr>
        <w:t xml:space="preserve"> small entities by calculating the annual company burden as a percentage of </w:t>
      </w:r>
      <w:r w:rsidR="001547DD" w:rsidRPr="00A66C48">
        <w:rPr>
          <w:rFonts w:ascii="Times New Roman" w:hAnsi="Times New Roman"/>
        </w:rPr>
        <w:t xml:space="preserve">average </w:t>
      </w:r>
      <w:r w:rsidRPr="00A66C48">
        <w:rPr>
          <w:rFonts w:ascii="Times New Roman" w:hAnsi="Times New Roman"/>
        </w:rPr>
        <w:t>annual revenue</w:t>
      </w:r>
      <w:r w:rsidR="00AA6073" w:rsidRPr="00A66C48">
        <w:rPr>
          <w:rFonts w:ascii="Times New Roman" w:hAnsi="Times New Roman"/>
        </w:rPr>
        <w:t xml:space="preserve"> (see Attachment F)</w:t>
      </w:r>
      <w:r w:rsidRPr="00A66C48">
        <w:rPr>
          <w:rFonts w:ascii="Times New Roman" w:hAnsi="Times New Roman"/>
        </w:rPr>
        <w:t xml:space="preserve">. </w:t>
      </w:r>
      <w:r w:rsidR="00AA6073" w:rsidRPr="00A66C48">
        <w:rPr>
          <w:rFonts w:ascii="Times New Roman" w:hAnsi="Times New Roman"/>
        </w:rPr>
        <w:t xml:space="preserve">EPA estimated the number of small entities that participate under this ICR using information on company </w:t>
      </w:r>
      <w:r w:rsidR="00AA6073" w:rsidRPr="00A66C48">
        <w:rPr>
          <w:rFonts w:ascii="Times New Roman" w:hAnsi="Times New Roman"/>
        </w:rPr>
        <w:lastRenderedPageBreak/>
        <w:t>revenue and employment from Dun and Bradstreet database reported for the year 2010. EPA estimate</w:t>
      </w:r>
      <w:r w:rsidR="00C25385">
        <w:rPr>
          <w:rFonts w:ascii="Times New Roman" w:hAnsi="Times New Roman"/>
        </w:rPr>
        <w:t>d</w:t>
      </w:r>
      <w:r w:rsidR="00AA6073" w:rsidRPr="00A66C48">
        <w:rPr>
          <w:rFonts w:ascii="Times New Roman" w:hAnsi="Times New Roman"/>
        </w:rPr>
        <w:t xml:space="preserve"> that there </w:t>
      </w:r>
      <w:r w:rsidR="003D480B">
        <w:rPr>
          <w:rFonts w:ascii="Times New Roman" w:hAnsi="Times New Roman"/>
        </w:rPr>
        <w:t>are</w:t>
      </w:r>
      <w:r w:rsidR="00AA6073" w:rsidRPr="00A66C48">
        <w:rPr>
          <w:rFonts w:ascii="Times New Roman" w:hAnsi="Times New Roman"/>
        </w:rPr>
        <w:t xml:space="preserve"> 456 (26.3% of 1733) large firms and 1277 (73.7 % of 1733) small firms that </w:t>
      </w:r>
      <w:r w:rsidR="003D480B">
        <w:rPr>
          <w:rFonts w:ascii="Times New Roman" w:hAnsi="Times New Roman"/>
        </w:rPr>
        <w:t>are</w:t>
      </w:r>
      <w:r w:rsidR="00AA6073" w:rsidRPr="00A66C48">
        <w:rPr>
          <w:rFonts w:ascii="Times New Roman" w:hAnsi="Times New Roman"/>
        </w:rPr>
        <w:t xml:space="preserve"> potential respondents to this ICR (see Attachment F). </w:t>
      </w:r>
      <w:r w:rsidR="00501164" w:rsidRPr="00A66C48">
        <w:rPr>
          <w:rFonts w:ascii="Times New Roman" w:hAnsi="Times New Roman"/>
        </w:rPr>
        <w:t xml:space="preserve">Child Resistant Packaging applications were submitted to the Agency by 49 parent firms </w:t>
      </w:r>
      <w:r w:rsidR="006D6F73" w:rsidRPr="00A66C48">
        <w:rPr>
          <w:rFonts w:ascii="Times New Roman" w:hAnsi="Times New Roman"/>
        </w:rPr>
        <w:t>between 2006 and</w:t>
      </w:r>
      <w:r w:rsidR="00501164" w:rsidRPr="00A66C48">
        <w:rPr>
          <w:rFonts w:ascii="Times New Roman" w:hAnsi="Times New Roman"/>
        </w:rPr>
        <w:t xml:space="preserve"> 2009.  E</w:t>
      </w:r>
      <w:r w:rsidR="00251A50" w:rsidRPr="00A66C48">
        <w:rPr>
          <w:rFonts w:ascii="Times New Roman" w:hAnsi="Times New Roman"/>
        </w:rPr>
        <w:t>PA</w:t>
      </w:r>
      <w:r w:rsidR="00501164" w:rsidRPr="00A66C48">
        <w:rPr>
          <w:rFonts w:ascii="Times New Roman" w:hAnsi="Times New Roman"/>
        </w:rPr>
        <w:t xml:space="preserve"> determine</w:t>
      </w:r>
      <w:r w:rsidR="00251A50" w:rsidRPr="00A66C48">
        <w:rPr>
          <w:rFonts w:ascii="Times New Roman" w:hAnsi="Times New Roman"/>
        </w:rPr>
        <w:t>d</w:t>
      </w:r>
      <w:r w:rsidR="00501164" w:rsidRPr="00A66C48">
        <w:rPr>
          <w:rFonts w:ascii="Times New Roman" w:hAnsi="Times New Roman"/>
        </w:rPr>
        <w:t xml:space="preserve"> that 27 of the companies</w:t>
      </w:r>
      <w:r w:rsidR="004B4D85">
        <w:rPr>
          <w:rFonts w:ascii="Times New Roman" w:hAnsi="Times New Roman"/>
        </w:rPr>
        <w:t xml:space="preserve"> which submitted CRP during that period </w:t>
      </w:r>
      <w:r w:rsidR="00501164" w:rsidRPr="00A66C48">
        <w:rPr>
          <w:rFonts w:ascii="Times New Roman" w:hAnsi="Times New Roman"/>
        </w:rPr>
        <w:t>were large and 21 were small</w:t>
      </w:r>
      <w:r w:rsidR="008F4237" w:rsidRPr="00A66C48">
        <w:rPr>
          <w:rFonts w:ascii="Times New Roman" w:hAnsi="Times New Roman"/>
        </w:rPr>
        <w:t xml:space="preserve"> (see Attachment F for the list of small entities)</w:t>
      </w:r>
      <w:r w:rsidR="000E2D93" w:rsidRPr="00A66C48">
        <w:rPr>
          <w:rFonts w:ascii="Times New Roman" w:hAnsi="Times New Roman"/>
        </w:rPr>
        <w:t>, based on information from the Dun and Bradstreet 20</w:t>
      </w:r>
      <w:r w:rsidR="00E044C8" w:rsidRPr="00A66C48">
        <w:rPr>
          <w:rFonts w:ascii="Times New Roman" w:hAnsi="Times New Roman"/>
        </w:rPr>
        <w:t>10</w:t>
      </w:r>
      <w:r w:rsidR="000E2D93" w:rsidRPr="00A66C48">
        <w:rPr>
          <w:rFonts w:ascii="Times New Roman" w:hAnsi="Times New Roman"/>
        </w:rPr>
        <w:t xml:space="preserve"> database</w:t>
      </w:r>
      <w:r w:rsidR="00501164" w:rsidRPr="00A66C48">
        <w:rPr>
          <w:rFonts w:ascii="Times New Roman" w:hAnsi="Times New Roman"/>
        </w:rPr>
        <w:t>. EPA was una</w:t>
      </w:r>
      <w:r w:rsidR="00F40DF9" w:rsidRPr="00A66C48">
        <w:rPr>
          <w:rFonts w:ascii="Times New Roman" w:hAnsi="Times New Roman"/>
        </w:rPr>
        <w:t xml:space="preserve">ble to size one company.  </w:t>
      </w:r>
    </w:p>
    <w:p w:rsidR="00AA6073" w:rsidRPr="00A66C48" w:rsidRDefault="00AA6073" w:rsidP="00501164">
      <w:pPr>
        <w:rPr>
          <w:rFonts w:ascii="Times New Roman" w:hAnsi="Times New Roman"/>
        </w:rPr>
      </w:pPr>
    </w:p>
    <w:p w:rsidR="00AA6073" w:rsidRPr="00A66C48" w:rsidRDefault="00AA6073" w:rsidP="00F40DF9">
      <w:pPr>
        <w:rPr>
          <w:rFonts w:ascii="Times New Roman" w:hAnsi="Times New Roman"/>
        </w:rPr>
      </w:pPr>
      <w:r w:rsidRPr="00A66C48">
        <w:rPr>
          <w:rFonts w:ascii="Times New Roman" w:hAnsi="Times New Roman"/>
        </w:rPr>
        <w:tab/>
      </w:r>
      <w:r w:rsidR="00F40DF9" w:rsidRPr="00A66C48">
        <w:rPr>
          <w:rFonts w:ascii="Times New Roman" w:hAnsi="Times New Roman"/>
        </w:rPr>
        <w:t>The table below</w:t>
      </w:r>
      <w:r w:rsidR="00501164" w:rsidRPr="00A66C48">
        <w:rPr>
          <w:rFonts w:ascii="Times New Roman" w:hAnsi="Times New Roman"/>
        </w:rPr>
        <w:t xml:space="preserve"> presents the total and average revenue and employment for small companies, large companies, and all companies combined.</w:t>
      </w:r>
      <w:r w:rsidR="00F40DF9" w:rsidRPr="00A66C48">
        <w:rPr>
          <w:rFonts w:ascii="Times New Roman" w:hAnsi="Times New Roman"/>
        </w:rPr>
        <w:t xml:space="preserve"> As shown </w:t>
      </w:r>
      <w:r w:rsidR="006D6F73" w:rsidRPr="00A66C48">
        <w:rPr>
          <w:rFonts w:ascii="Times New Roman" w:hAnsi="Times New Roman"/>
        </w:rPr>
        <w:t xml:space="preserve">below </w:t>
      </w:r>
      <w:r w:rsidR="00F40DF9" w:rsidRPr="00A66C48">
        <w:rPr>
          <w:rFonts w:ascii="Times New Roman" w:hAnsi="Times New Roman"/>
        </w:rPr>
        <w:t>in Section 6, the burden cost per CRP submission is</w:t>
      </w:r>
      <w:r w:rsidR="00EB204D" w:rsidRPr="00A66C48">
        <w:rPr>
          <w:rFonts w:ascii="Times New Roman" w:hAnsi="Times New Roman"/>
        </w:rPr>
        <w:t xml:space="preserve"> estimated to be</w:t>
      </w:r>
      <w:r w:rsidR="00F40DF9" w:rsidRPr="00A66C48">
        <w:rPr>
          <w:rFonts w:ascii="Times New Roman" w:hAnsi="Times New Roman"/>
        </w:rPr>
        <w:t xml:space="preserve"> </w:t>
      </w:r>
      <w:r w:rsidR="00993D00" w:rsidRPr="00F2098F">
        <w:rPr>
          <w:rFonts w:ascii="Times New Roman" w:hAnsi="Times New Roman"/>
        </w:rPr>
        <w:t>approximately $4</w:t>
      </w:r>
      <w:r w:rsidR="00C25385" w:rsidRPr="00F2098F">
        <w:rPr>
          <w:rFonts w:ascii="Times New Roman" w:hAnsi="Times New Roman"/>
        </w:rPr>
        <w:t>48</w:t>
      </w:r>
      <w:r w:rsidR="00386EEA" w:rsidRPr="00A66C48">
        <w:rPr>
          <w:rFonts w:ascii="Times New Roman" w:hAnsi="Times New Roman"/>
        </w:rPr>
        <w:t xml:space="preserve"> (Table 2, section 6)</w:t>
      </w:r>
      <w:r w:rsidR="00F40DF9" w:rsidRPr="00A66C48">
        <w:rPr>
          <w:rFonts w:ascii="Times New Roman" w:hAnsi="Times New Roman"/>
        </w:rPr>
        <w:t xml:space="preserve">.  Assuming that CRP submissions are evenly distributed across small and large companies, an average firm would submit </w:t>
      </w:r>
      <w:r w:rsidR="00737621" w:rsidRPr="00A66C48">
        <w:rPr>
          <w:rFonts w:ascii="Times New Roman" w:hAnsi="Times New Roman"/>
          <w:highlight w:val="white"/>
        </w:rPr>
        <w:t>approximately 14 CRP</w:t>
      </w:r>
      <w:r w:rsidR="00F40DF9" w:rsidRPr="00A66C48">
        <w:rPr>
          <w:rFonts w:ascii="Times New Roman" w:hAnsi="Times New Roman"/>
        </w:rPr>
        <w:t xml:space="preserve"> applications per year</w:t>
      </w:r>
      <w:r w:rsidR="00453281" w:rsidRPr="00A66C48">
        <w:rPr>
          <w:rFonts w:ascii="Times New Roman" w:hAnsi="Times New Roman"/>
        </w:rPr>
        <w:t xml:space="preserve">, assuming 50 companies are responsible for the </w:t>
      </w:r>
      <w:r w:rsidR="00DE6B0D" w:rsidRPr="00A66C48">
        <w:rPr>
          <w:rFonts w:ascii="Times New Roman" w:hAnsi="Times New Roman"/>
        </w:rPr>
        <w:t>685</w:t>
      </w:r>
      <w:r w:rsidR="00453281" w:rsidRPr="00A66C48">
        <w:rPr>
          <w:rFonts w:ascii="Times New Roman" w:hAnsi="Times New Roman"/>
        </w:rPr>
        <w:t xml:space="preserve"> </w:t>
      </w:r>
      <w:r w:rsidR="000C4E55" w:rsidRPr="00A66C48">
        <w:rPr>
          <w:rFonts w:ascii="Times New Roman" w:hAnsi="Times New Roman"/>
        </w:rPr>
        <w:t xml:space="preserve">(see Table 1, section 6) </w:t>
      </w:r>
      <w:r w:rsidR="00453281" w:rsidRPr="00A66C48">
        <w:rPr>
          <w:rFonts w:ascii="Times New Roman" w:hAnsi="Times New Roman"/>
        </w:rPr>
        <w:t>CRP submissions in a given year</w:t>
      </w:r>
      <w:r w:rsidR="00F40DF9" w:rsidRPr="00A66C48">
        <w:rPr>
          <w:rFonts w:ascii="Times New Roman" w:hAnsi="Times New Roman"/>
        </w:rPr>
        <w:t>.  This would result in an average annual company burden of $</w:t>
      </w:r>
      <w:r w:rsidR="00386EEA" w:rsidRPr="00A66C48">
        <w:rPr>
          <w:rFonts w:ascii="Times New Roman" w:hAnsi="Times New Roman"/>
        </w:rPr>
        <w:t>6,</w:t>
      </w:r>
      <w:r w:rsidR="00C25385">
        <w:rPr>
          <w:rFonts w:ascii="Times New Roman" w:hAnsi="Times New Roman"/>
        </w:rPr>
        <w:t>272</w:t>
      </w:r>
      <w:r w:rsidR="00254E8A" w:rsidRPr="00A66C48">
        <w:rPr>
          <w:rFonts w:ascii="Times New Roman" w:hAnsi="Times New Roman"/>
        </w:rPr>
        <w:t>, or 0.0</w:t>
      </w:r>
      <w:r w:rsidR="00386EEA" w:rsidRPr="00A66C48">
        <w:rPr>
          <w:rFonts w:ascii="Times New Roman" w:hAnsi="Times New Roman"/>
        </w:rPr>
        <w:t>3</w:t>
      </w:r>
      <w:r w:rsidR="00254E8A" w:rsidRPr="00A66C48">
        <w:rPr>
          <w:rFonts w:ascii="Times New Roman" w:hAnsi="Times New Roman"/>
        </w:rPr>
        <w:t>% of</w:t>
      </w:r>
      <w:r w:rsidR="00F40DF9" w:rsidRPr="00A66C48">
        <w:rPr>
          <w:rFonts w:ascii="Times New Roman" w:hAnsi="Times New Roman"/>
        </w:rPr>
        <w:t xml:space="preserve"> small</w:t>
      </w:r>
      <w:r w:rsidR="00254E8A" w:rsidRPr="00A66C48">
        <w:rPr>
          <w:rFonts w:ascii="Times New Roman" w:hAnsi="Times New Roman"/>
        </w:rPr>
        <w:t xml:space="preserve"> firm</w:t>
      </w:r>
      <w:r w:rsidR="00F40DF9" w:rsidRPr="00A66C48">
        <w:rPr>
          <w:rFonts w:ascii="Times New Roman" w:hAnsi="Times New Roman"/>
        </w:rPr>
        <w:t>’s annual revenue</w:t>
      </w:r>
      <w:r w:rsidR="00254E8A" w:rsidRPr="00A66C48">
        <w:rPr>
          <w:rFonts w:ascii="Times New Roman" w:hAnsi="Times New Roman"/>
        </w:rPr>
        <w:t>, on average</w:t>
      </w:r>
      <w:r w:rsidR="00F40DF9" w:rsidRPr="00A66C48">
        <w:rPr>
          <w:rFonts w:ascii="Times New Roman" w:hAnsi="Times New Roman"/>
        </w:rPr>
        <w:t>.</w:t>
      </w:r>
    </w:p>
    <w:p w:rsidR="00501164" w:rsidRPr="00A66C48" w:rsidRDefault="00501164" w:rsidP="00501164">
      <w:pPr>
        <w:rPr>
          <w:sz w:val="22"/>
          <w:szCs w:val="22"/>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298"/>
        <w:gridCol w:w="1196"/>
        <w:gridCol w:w="2111"/>
        <w:gridCol w:w="1435"/>
        <w:gridCol w:w="1950"/>
        <w:gridCol w:w="1586"/>
      </w:tblGrid>
      <w:tr w:rsidR="00F40DF9" w:rsidRPr="00A66C48" w:rsidTr="00917FE9">
        <w:trPr>
          <w:trHeight w:val="300"/>
          <w:jc w:val="center"/>
        </w:trPr>
        <w:tc>
          <w:tcPr>
            <w:tcW w:w="1270" w:type="dxa"/>
            <w:vMerge w:val="restart"/>
            <w:tcBorders>
              <w:top w:val="single" w:sz="12" w:space="0" w:color="auto"/>
              <w:left w:val="single" w:sz="12" w:space="0" w:color="auto"/>
              <w:bottom w:val="single" w:sz="12" w:space="0" w:color="auto"/>
              <w:right w:val="single" w:sz="2" w:space="0" w:color="auto"/>
            </w:tcBorders>
            <w:noWrap/>
            <w:vAlign w:val="center"/>
          </w:tcPr>
          <w:p w:rsidR="00F40DF9" w:rsidRPr="00A66C48" w:rsidRDefault="00F40DF9" w:rsidP="00F40DF9">
            <w:pPr>
              <w:rPr>
                <w:rFonts w:ascii="Times New Roman" w:hAnsi="Times New Roman"/>
                <w:sz w:val="22"/>
                <w:szCs w:val="22"/>
              </w:rPr>
            </w:pPr>
            <w:r w:rsidRPr="00A66C48">
              <w:rPr>
                <w:rFonts w:ascii="Times New Roman" w:hAnsi="Times New Roman"/>
                <w:sz w:val="22"/>
                <w:szCs w:val="22"/>
              </w:rPr>
              <w:t> </w:t>
            </w:r>
          </w:p>
        </w:tc>
        <w:tc>
          <w:tcPr>
            <w:tcW w:w="1170" w:type="dxa"/>
            <w:vMerge w:val="restart"/>
            <w:tcBorders>
              <w:top w:val="single" w:sz="12" w:space="0" w:color="auto"/>
              <w:left w:val="single" w:sz="2" w:space="0" w:color="auto"/>
              <w:bottom w:val="single" w:sz="12" w:space="0" w:color="auto"/>
              <w:right w:val="single" w:sz="2" w:space="0" w:color="auto"/>
            </w:tcBorders>
            <w:vAlign w:val="center"/>
          </w:tcPr>
          <w:p w:rsidR="00F40DF9" w:rsidRPr="00A66C48" w:rsidRDefault="00F40DF9" w:rsidP="00F40DF9">
            <w:pPr>
              <w:rPr>
                <w:rFonts w:ascii="Times New Roman" w:hAnsi="Times New Roman"/>
                <w:b/>
                <w:bCs/>
                <w:sz w:val="22"/>
                <w:szCs w:val="22"/>
              </w:rPr>
            </w:pPr>
            <w:r w:rsidRPr="00A66C48">
              <w:rPr>
                <w:rFonts w:ascii="Times New Roman" w:hAnsi="Times New Roman"/>
                <w:b/>
                <w:bCs/>
                <w:sz w:val="22"/>
                <w:szCs w:val="22"/>
              </w:rPr>
              <w:t>Total Number of Firms</w:t>
            </w:r>
          </w:p>
        </w:tc>
        <w:tc>
          <w:tcPr>
            <w:tcW w:w="2066" w:type="dxa"/>
            <w:vMerge w:val="restart"/>
            <w:tcBorders>
              <w:top w:val="single" w:sz="12" w:space="0" w:color="auto"/>
              <w:left w:val="single" w:sz="2" w:space="0" w:color="auto"/>
              <w:bottom w:val="single" w:sz="12" w:space="0" w:color="auto"/>
              <w:right w:val="single" w:sz="2" w:space="0" w:color="auto"/>
            </w:tcBorders>
            <w:vAlign w:val="center"/>
          </w:tcPr>
          <w:p w:rsidR="00F40DF9" w:rsidRPr="00A66C48" w:rsidRDefault="00F40DF9" w:rsidP="00F40DF9">
            <w:pPr>
              <w:rPr>
                <w:rFonts w:ascii="Times New Roman" w:hAnsi="Times New Roman"/>
                <w:b/>
                <w:bCs/>
                <w:sz w:val="22"/>
                <w:szCs w:val="22"/>
              </w:rPr>
            </w:pPr>
            <w:r w:rsidRPr="00A66C48">
              <w:rPr>
                <w:rFonts w:ascii="Times New Roman" w:hAnsi="Times New Roman"/>
                <w:b/>
                <w:bCs/>
                <w:sz w:val="22"/>
                <w:szCs w:val="22"/>
              </w:rPr>
              <w:t>Total Revenue</w:t>
            </w:r>
            <w:r w:rsidRPr="00A66C48">
              <w:rPr>
                <w:rFonts w:ascii="Times New Roman" w:hAnsi="Times New Roman"/>
                <w:b/>
                <w:bCs/>
                <w:sz w:val="22"/>
                <w:szCs w:val="22"/>
              </w:rPr>
              <w:br/>
              <w:t>($)</w:t>
            </w:r>
          </w:p>
        </w:tc>
        <w:tc>
          <w:tcPr>
            <w:tcW w:w="1404" w:type="dxa"/>
            <w:vMerge w:val="restart"/>
            <w:tcBorders>
              <w:top w:val="single" w:sz="12" w:space="0" w:color="auto"/>
              <w:left w:val="single" w:sz="2" w:space="0" w:color="auto"/>
              <w:bottom w:val="single" w:sz="12" w:space="0" w:color="auto"/>
              <w:right w:val="single" w:sz="2" w:space="0" w:color="auto"/>
            </w:tcBorders>
            <w:vAlign w:val="center"/>
          </w:tcPr>
          <w:p w:rsidR="00F40DF9" w:rsidRPr="00A66C48" w:rsidRDefault="00F40DF9" w:rsidP="00F40DF9">
            <w:pPr>
              <w:rPr>
                <w:rFonts w:ascii="Times New Roman" w:hAnsi="Times New Roman"/>
                <w:b/>
                <w:bCs/>
                <w:sz w:val="22"/>
                <w:szCs w:val="22"/>
              </w:rPr>
            </w:pPr>
            <w:r w:rsidRPr="00A66C48">
              <w:rPr>
                <w:rFonts w:ascii="Times New Roman" w:hAnsi="Times New Roman"/>
                <w:b/>
                <w:bCs/>
                <w:sz w:val="22"/>
                <w:szCs w:val="22"/>
              </w:rPr>
              <w:t>Total Employee Size</w:t>
            </w:r>
          </w:p>
        </w:tc>
        <w:tc>
          <w:tcPr>
            <w:tcW w:w="1908" w:type="dxa"/>
            <w:vMerge w:val="restart"/>
            <w:tcBorders>
              <w:top w:val="single" w:sz="12" w:space="0" w:color="auto"/>
              <w:left w:val="single" w:sz="2" w:space="0" w:color="auto"/>
              <w:bottom w:val="single" w:sz="12" w:space="0" w:color="auto"/>
              <w:right w:val="single" w:sz="2" w:space="0" w:color="auto"/>
            </w:tcBorders>
            <w:vAlign w:val="center"/>
          </w:tcPr>
          <w:p w:rsidR="00F40DF9" w:rsidRPr="00A66C48" w:rsidRDefault="00F40DF9" w:rsidP="00F40DF9">
            <w:pPr>
              <w:rPr>
                <w:rFonts w:ascii="Times New Roman" w:hAnsi="Times New Roman"/>
                <w:b/>
                <w:bCs/>
                <w:sz w:val="22"/>
                <w:szCs w:val="22"/>
              </w:rPr>
            </w:pPr>
            <w:r w:rsidRPr="00A66C48">
              <w:rPr>
                <w:rFonts w:ascii="Times New Roman" w:hAnsi="Times New Roman"/>
                <w:b/>
                <w:bCs/>
                <w:sz w:val="22"/>
                <w:szCs w:val="22"/>
              </w:rPr>
              <w:t>Average Revenue</w:t>
            </w:r>
            <w:r w:rsidRPr="00A66C48">
              <w:rPr>
                <w:rFonts w:ascii="Times New Roman" w:hAnsi="Times New Roman"/>
                <w:b/>
                <w:bCs/>
                <w:sz w:val="22"/>
                <w:szCs w:val="22"/>
                <w:vertAlign w:val="superscript"/>
              </w:rPr>
              <w:t>1</w:t>
            </w:r>
            <w:r w:rsidRPr="00A66C48">
              <w:rPr>
                <w:rFonts w:ascii="Times New Roman" w:hAnsi="Times New Roman"/>
                <w:b/>
                <w:bCs/>
                <w:sz w:val="22"/>
                <w:szCs w:val="22"/>
              </w:rPr>
              <w:br/>
              <w:t>($)</w:t>
            </w:r>
          </w:p>
        </w:tc>
        <w:tc>
          <w:tcPr>
            <w:tcW w:w="1552" w:type="dxa"/>
            <w:vMerge w:val="restart"/>
            <w:tcBorders>
              <w:top w:val="single" w:sz="12" w:space="0" w:color="auto"/>
              <w:left w:val="single" w:sz="2" w:space="0" w:color="auto"/>
              <w:bottom w:val="single" w:sz="12" w:space="0" w:color="auto"/>
              <w:right w:val="single" w:sz="12" w:space="0" w:color="auto"/>
            </w:tcBorders>
            <w:vAlign w:val="center"/>
          </w:tcPr>
          <w:p w:rsidR="00F40DF9" w:rsidRPr="00A66C48" w:rsidRDefault="00F40DF9" w:rsidP="00F40DF9">
            <w:pPr>
              <w:rPr>
                <w:rFonts w:ascii="Times New Roman" w:hAnsi="Times New Roman"/>
                <w:b/>
                <w:bCs/>
                <w:sz w:val="22"/>
                <w:szCs w:val="22"/>
              </w:rPr>
            </w:pPr>
            <w:r w:rsidRPr="00A66C48">
              <w:rPr>
                <w:rFonts w:ascii="Times New Roman" w:hAnsi="Times New Roman"/>
                <w:b/>
                <w:bCs/>
                <w:sz w:val="22"/>
                <w:szCs w:val="22"/>
              </w:rPr>
              <w:t>Average Employment</w:t>
            </w:r>
            <w:r w:rsidRPr="00A66C48">
              <w:rPr>
                <w:rFonts w:ascii="Times New Roman" w:hAnsi="Times New Roman"/>
                <w:b/>
                <w:bCs/>
                <w:sz w:val="22"/>
                <w:szCs w:val="22"/>
                <w:vertAlign w:val="superscript"/>
              </w:rPr>
              <w:t>1</w:t>
            </w:r>
          </w:p>
        </w:tc>
      </w:tr>
      <w:tr w:rsidR="00F40DF9" w:rsidRPr="00A66C48" w:rsidTr="00917FE9">
        <w:trPr>
          <w:trHeight w:val="300"/>
          <w:jc w:val="center"/>
        </w:trPr>
        <w:tc>
          <w:tcPr>
            <w:tcW w:w="1270" w:type="dxa"/>
            <w:vMerge/>
            <w:tcBorders>
              <w:top w:val="single" w:sz="12" w:space="0" w:color="auto"/>
              <w:left w:val="single" w:sz="12" w:space="0" w:color="auto"/>
              <w:bottom w:val="single" w:sz="12" w:space="0" w:color="auto"/>
              <w:right w:val="single" w:sz="2" w:space="0" w:color="auto"/>
            </w:tcBorders>
            <w:vAlign w:val="center"/>
          </w:tcPr>
          <w:p w:rsidR="00F40DF9" w:rsidRPr="00A66C48" w:rsidRDefault="00F40DF9" w:rsidP="00F40DF9">
            <w:pPr>
              <w:rPr>
                <w:rFonts w:ascii="Times New Roman" w:hAnsi="Times New Roman"/>
                <w:sz w:val="22"/>
                <w:szCs w:val="22"/>
              </w:rPr>
            </w:pPr>
          </w:p>
        </w:tc>
        <w:tc>
          <w:tcPr>
            <w:tcW w:w="1170" w:type="dxa"/>
            <w:vMerge/>
            <w:tcBorders>
              <w:top w:val="single" w:sz="12" w:space="0" w:color="auto"/>
              <w:left w:val="single" w:sz="2" w:space="0" w:color="auto"/>
              <w:bottom w:val="single" w:sz="12" w:space="0" w:color="auto"/>
              <w:right w:val="single" w:sz="2" w:space="0" w:color="auto"/>
            </w:tcBorders>
            <w:vAlign w:val="center"/>
          </w:tcPr>
          <w:p w:rsidR="00F40DF9" w:rsidRPr="00A66C48" w:rsidRDefault="00F40DF9" w:rsidP="00F40DF9">
            <w:pPr>
              <w:rPr>
                <w:rFonts w:ascii="Times New Roman" w:hAnsi="Times New Roman"/>
                <w:b/>
                <w:bCs/>
                <w:sz w:val="22"/>
                <w:szCs w:val="22"/>
              </w:rPr>
            </w:pPr>
          </w:p>
        </w:tc>
        <w:tc>
          <w:tcPr>
            <w:tcW w:w="2066" w:type="dxa"/>
            <w:vMerge/>
            <w:tcBorders>
              <w:top w:val="single" w:sz="12" w:space="0" w:color="auto"/>
              <w:left w:val="single" w:sz="2" w:space="0" w:color="auto"/>
              <w:bottom w:val="single" w:sz="12" w:space="0" w:color="auto"/>
              <w:right w:val="single" w:sz="2" w:space="0" w:color="auto"/>
            </w:tcBorders>
            <w:vAlign w:val="center"/>
          </w:tcPr>
          <w:p w:rsidR="00F40DF9" w:rsidRPr="00A66C48" w:rsidRDefault="00F40DF9" w:rsidP="00F40DF9">
            <w:pPr>
              <w:rPr>
                <w:rFonts w:ascii="Times New Roman" w:hAnsi="Times New Roman"/>
                <w:b/>
                <w:bCs/>
                <w:sz w:val="22"/>
                <w:szCs w:val="22"/>
              </w:rPr>
            </w:pPr>
          </w:p>
        </w:tc>
        <w:tc>
          <w:tcPr>
            <w:tcW w:w="1404" w:type="dxa"/>
            <w:vMerge/>
            <w:tcBorders>
              <w:top w:val="single" w:sz="12" w:space="0" w:color="auto"/>
              <w:left w:val="single" w:sz="2" w:space="0" w:color="auto"/>
              <w:bottom w:val="single" w:sz="12" w:space="0" w:color="auto"/>
              <w:right w:val="single" w:sz="2" w:space="0" w:color="auto"/>
            </w:tcBorders>
            <w:vAlign w:val="center"/>
          </w:tcPr>
          <w:p w:rsidR="00F40DF9" w:rsidRPr="00A66C48" w:rsidRDefault="00F40DF9" w:rsidP="00F40DF9">
            <w:pPr>
              <w:rPr>
                <w:rFonts w:ascii="Times New Roman" w:hAnsi="Times New Roman"/>
                <w:b/>
                <w:bCs/>
                <w:sz w:val="22"/>
                <w:szCs w:val="22"/>
              </w:rPr>
            </w:pPr>
          </w:p>
        </w:tc>
        <w:tc>
          <w:tcPr>
            <w:tcW w:w="1908" w:type="dxa"/>
            <w:vMerge/>
            <w:tcBorders>
              <w:top w:val="single" w:sz="12" w:space="0" w:color="auto"/>
              <w:left w:val="single" w:sz="2" w:space="0" w:color="auto"/>
              <w:bottom w:val="single" w:sz="12" w:space="0" w:color="auto"/>
              <w:right w:val="single" w:sz="2" w:space="0" w:color="auto"/>
            </w:tcBorders>
            <w:vAlign w:val="center"/>
          </w:tcPr>
          <w:p w:rsidR="00F40DF9" w:rsidRPr="00A66C48" w:rsidRDefault="00F40DF9" w:rsidP="00F40DF9">
            <w:pPr>
              <w:rPr>
                <w:rFonts w:ascii="Times New Roman" w:hAnsi="Times New Roman"/>
                <w:b/>
                <w:bCs/>
                <w:sz w:val="22"/>
                <w:szCs w:val="22"/>
              </w:rPr>
            </w:pPr>
          </w:p>
        </w:tc>
        <w:tc>
          <w:tcPr>
            <w:tcW w:w="1552" w:type="dxa"/>
            <w:vMerge/>
            <w:tcBorders>
              <w:top w:val="single" w:sz="12" w:space="0" w:color="auto"/>
              <w:left w:val="single" w:sz="2" w:space="0" w:color="auto"/>
              <w:bottom w:val="single" w:sz="12" w:space="0" w:color="auto"/>
              <w:right w:val="single" w:sz="12" w:space="0" w:color="auto"/>
            </w:tcBorders>
            <w:vAlign w:val="center"/>
          </w:tcPr>
          <w:p w:rsidR="00F40DF9" w:rsidRPr="00A66C48" w:rsidRDefault="00F40DF9" w:rsidP="00F40DF9">
            <w:pPr>
              <w:rPr>
                <w:rFonts w:ascii="Times New Roman" w:hAnsi="Times New Roman"/>
                <w:b/>
                <w:bCs/>
                <w:sz w:val="22"/>
                <w:szCs w:val="22"/>
              </w:rPr>
            </w:pPr>
          </w:p>
        </w:tc>
      </w:tr>
      <w:tr w:rsidR="00F40DF9" w:rsidRPr="00A66C48" w:rsidTr="00917FE9">
        <w:trPr>
          <w:trHeight w:val="300"/>
          <w:jc w:val="center"/>
        </w:trPr>
        <w:tc>
          <w:tcPr>
            <w:tcW w:w="1270" w:type="dxa"/>
            <w:tcBorders>
              <w:top w:val="single" w:sz="12" w:space="0" w:color="auto"/>
              <w:left w:val="single" w:sz="12" w:space="0" w:color="auto"/>
              <w:bottom w:val="single" w:sz="2" w:space="0" w:color="auto"/>
              <w:right w:val="single" w:sz="2" w:space="0" w:color="auto"/>
            </w:tcBorders>
            <w:noWrap/>
            <w:vAlign w:val="center"/>
          </w:tcPr>
          <w:p w:rsidR="00F40DF9" w:rsidRPr="00A66C48" w:rsidRDefault="00F40DF9" w:rsidP="006C345A">
            <w:pPr>
              <w:rPr>
                <w:rFonts w:ascii="Times New Roman" w:hAnsi="Times New Roman"/>
                <w:sz w:val="20"/>
                <w:szCs w:val="20"/>
              </w:rPr>
            </w:pPr>
            <w:r w:rsidRPr="00A66C48">
              <w:rPr>
                <w:rFonts w:ascii="Times New Roman" w:hAnsi="Times New Roman"/>
                <w:sz w:val="20"/>
                <w:szCs w:val="20"/>
              </w:rPr>
              <w:t>Small Firms</w:t>
            </w:r>
          </w:p>
        </w:tc>
        <w:tc>
          <w:tcPr>
            <w:tcW w:w="1170" w:type="dxa"/>
            <w:tcBorders>
              <w:top w:val="single" w:sz="12" w:space="0" w:color="auto"/>
              <w:left w:val="single" w:sz="2" w:space="0" w:color="auto"/>
              <w:bottom w:val="single" w:sz="2" w:space="0" w:color="auto"/>
              <w:right w:val="single" w:sz="2" w:space="0" w:color="auto"/>
            </w:tcBorders>
            <w:noWrap/>
            <w:vAlign w:val="center"/>
          </w:tcPr>
          <w:p w:rsidR="00F40DF9" w:rsidRPr="00A66C48" w:rsidRDefault="00F40DF9" w:rsidP="006C345A">
            <w:pPr>
              <w:jc w:val="center"/>
              <w:rPr>
                <w:rFonts w:ascii="Times New Roman" w:hAnsi="Times New Roman"/>
                <w:sz w:val="20"/>
                <w:szCs w:val="20"/>
              </w:rPr>
            </w:pPr>
            <w:r w:rsidRPr="00A66C48">
              <w:rPr>
                <w:rFonts w:ascii="Times New Roman" w:hAnsi="Times New Roman"/>
                <w:sz w:val="20"/>
                <w:szCs w:val="20"/>
              </w:rPr>
              <w:t>21</w:t>
            </w:r>
          </w:p>
        </w:tc>
        <w:tc>
          <w:tcPr>
            <w:tcW w:w="2066" w:type="dxa"/>
            <w:tcBorders>
              <w:top w:val="single" w:sz="12" w:space="0" w:color="auto"/>
              <w:left w:val="single" w:sz="2" w:space="0" w:color="auto"/>
              <w:bottom w:val="single" w:sz="2" w:space="0" w:color="auto"/>
              <w:right w:val="single" w:sz="2" w:space="0" w:color="auto"/>
            </w:tcBorders>
            <w:noWrap/>
            <w:vAlign w:val="center"/>
          </w:tcPr>
          <w:p w:rsidR="00F40DF9" w:rsidRPr="00A66C48" w:rsidRDefault="00F40DF9" w:rsidP="006C345A">
            <w:pPr>
              <w:jc w:val="center"/>
              <w:rPr>
                <w:rFonts w:ascii="Times New Roman" w:hAnsi="Times New Roman"/>
                <w:sz w:val="20"/>
                <w:szCs w:val="20"/>
              </w:rPr>
            </w:pPr>
            <w:r w:rsidRPr="00A66C48">
              <w:rPr>
                <w:rFonts w:ascii="Times New Roman" w:hAnsi="Times New Roman"/>
                <w:sz w:val="20"/>
                <w:szCs w:val="20"/>
              </w:rPr>
              <w:t>414,668,000</w:t>
            </w:r>
          </w:p>
        </w:tc>
        <w:tc>
          <w:tcPr>
            <w:tcW w:w="1404" w:type="dxa"/>
            <w:tcBorders>
              <w:top w:val="single" w:sz="12" w:space="0" w:color="auto"/>
              <w:left w:val="single" w:sz="2" w:space="0" w:color="auto"/>
              <w:bottom w:val="single" w:sz="2" w:space="0" w:color="auto"/>
              <w:right w:val="single" w:sz="2" w:space="0" w:color="auto"/>
            </w:tcBorders>
            <w:noWrap/>
            <w:vAlign w:val="center"/>
          </w:tcPr>
          <w:p w:rsidR="00F40DF9" w:rsidRPr="00A66C48" w:rsidRDefault="00F40DF9" w:rsidP="006C345A">
            <w:pPr>
              <w:jc w:val="center"/>
              <w:rPr>
                <w:rFonts w:ascii="Times New Roman" w:hAnsi="Times New Roman"/>
                <w:sz w:val="20"/>
                <w:szCs w:val="20"/>
              </w:rPr>
            </w:pPr>
            <w:r w:rsidRPr="00A66C48">
              <w:rPr>
                <w:rFonts w:ascii="Times New Roman" w:hAnsi="Times New Roman"/>
                <w:sz w:val="20"/>
                <w:szCs w:val="20"/>
              </w:rPr>
              <w:t>1,737</w:t>
            </w:r>
          </w:p>
        </w:tc>
        <w:tc>
          <w:tcPr>
            <w:tcW w:w="1908" w:type="dxa"/>
            <w:tcBorders>
              <w:top w:val="single" w:sz="12" w:space="0" w:color="auto"/>
              <w:left w:val="single" w:sz="2" w:space="0" w:color="auto"/>
              <w:bottom w:val="single" w:sz="2" w:space="0" w:color="auto"/>
              <w:right w:val="single" w:sz="2" w:space="0" w:color="auto"/>
            </w:tcBorders>
            <w:noWrap/>
            <w:vAlign w:val="center"/>
          </w:tcPr>
          <w:p w:rsidR="00F40DF9" w:rsidRPr="00A66C48" w:rsidRDefault="00F40DF9" w:rsidP="006C345A">
            <w:pPr>
              <w:jc w:val="center"/>
              <w:rPr>
                <w:rFonts w:ascii="Times New Roman" w:hAnsi="Times New Roman"/>
                <w:sz w:val="20"/>
                <w:szCs w:val="20"/>
              </w:rPr>
            </w:pPr>
            <w:r w:rsidRPr="00A66C48">
              <w:rPr>
                <w:rFonts w:ascii="Times New Roman" w:hAnsi="Times New Roman"/>
                <w:sz w:val="20"/>
                <w:szCs w:val="20"/>
              </w:rPr>
              <w:t>23,037,111</w:t>
            </w:r>
          </w:p>
        </w:tc>
        <w:tc>
          <w:tcPr>
            <w:tcW w:w="1552" w:type="dxa"/>
            <w:tcBorders>
              <w:top w:val="single" w:sz="12" w:space="0" w:color="auto"/>
              <w:left w:val="single" w:sz="2" w:space="0" w:color="auto"/>
              <w:bottom w:val="single" w:sz="2" w:space="0" w:color="auto"/>
              <w:right w:val="single" w:sz="12" w:space="0" w:color="auto"/>
            </w:tcBorders>
            <w:noWrap/>
            <w:vAlign w:val="center"/>
          </w:tcPr>
          <w:p w:rsidR="00F40DF9" w:rsidRPr="00A66C48" w:rsidRDefault="00F40DF9" w:rsidP="006C345A">
            <w:pPr>
              <w:jc w:val="center"/>
              <w:rPr>
                <w:rFonts w:ascii="Times New Roman" w:hAnsi="Times New Roman"/>
                <w:sz w:val="20"/>
                <w:szCs w:val="20"/>
              </w:rPr>
            </w:pPr>
            <w:r w:rsidRPr="00A66C48">
              <w:rPr>
                <w:rFonts w:ascii="Times New Roman" w:hAnsi="Times New Roman"/>
                <w:sz w:val="20"/>
                <w:szCs w:val="20"/>
              </w:rPr>
              <w:t>73</w:t>
            </w:r>
          </w:p>
        </w:tc>
      </w:tr>
      <w:tr w:rsidR="00F40DF9" w:rsidRPr="00A66C48" w:rsidTr="00917FE9">
        <w:trPr>
          <w:trHeight w:val="300"/>
          <w:jc w:val="center"/>
        </w:trPr>
        <w:tc>
          <w:tcPr>
            <w:tcW w:w="1270" w:type="dxa"/>
            <w:tcBorders>
              <w:top w:val="single" w:sz="2" w:space="0" w:color="auto"/>
              <w:left w:val="single" w:sz="12" w:space="0" w:color="auto"/>
              <w:bottom w:val="single" w:sz="2" w:space="0" w:color="auto"/>
              <w:right w:val="single" w:sz="2" w:space="0" w:color="auto"/>
            </w:tcBorders>
            <w:noWrap/>
            <w:vAlign w:val="center"/>
          </w:tcPr>
          <w:p w:rsidR="00F40DF9" w:rsidRPr="00A66C48" w:rsidRDefault="00F40DF9" w:rsidP="006C345A">
            <w:pPr>
              <w:rPr>
                <w:rFonts w:ascii="Times New Roman" w:hAnsi="Times New Roman"/>
                <w:sz w:val="20"/>
                <w:szCs w:val="20"/>
              </w:rPr>
            </w:pPr>
            <w:r w:rsidRPr="00A66C48">
              <w:rPr>
                <w:rFonts w:ascii="Times New Roman" w:hAnsi="Times New Roman"/>
                <w:sz w:val="20"/>
                <w:szCs w:val="20"/>
              </w:rPr>
              <w:t>Large Firms</w:t>
            </w:r>
          </w:p>
        </w:tc>
        <w:tc>
          <w:tcPr>
            <w:tcW w:w="1170" w:type="dxa"/>
            <w:tcBorders>
              <w:top w:val="single" w:sz="2" w:space="0" w:color="auto"/>
              <w:left w:val="single" w:sz="2" w:space="0" w:color="auto"/>
              <w:bottom w:val="single" w:sz="2" w:space="0" w:color="auto"/>
              <w:right w:val="single" w:sz="2" w:space="0" w:color="auto"/>
            </w:tcBorders>
            <w:noWrap/>
            <w:vAlign w:val="center"/>
          </w:tcPr>
          <w:p w:rsidR="00F40DF9" w:rsidRPr="00A66C48" w:rsidRDefault="00F40DF9" w:rsidP="006C345A">
            <w:pPr>
              <w:jc w:val="center"/>
              <w:rPr>
                <w:rFonts w:ascii="Times New Roman" w:hAnsi="Times New Roman"/>
                <w:sz w:val="20"/>
                <w:szCs w:val="20"/>
              </w:rPr>
            </w:pPr>
            <w:r w:rsidRPr="00A66C48">
              <w:rPr>
                <w:rFonts w:ascii="Times New Roman" w:hAnsi="Times New Roman"/>
                <w:sz w:val="20"/>
                <w:szCs w:val="20"/>
              </w:rPr>
              <w:t>27</w:t>
            </w:r>
          </w:p>
        </w:tc>
        <w:tc>
          <w:tcPr>
            <w:tcW w:w="2066" w:type="dxa"/>
            <w:tcBorders>
              <w:top w:val="single" w:sz="2" w:space="0" w:color="auto"/>
              <w:left w:val="single" w:sz="2" w:space="0" w:color="auto"/>
              <w:bottom w:val="single" w:sz="2" w:space="0" w:color="auto"/>
              <w:right w:val="single" w:sz="2" w:space="0" w:color="auto"/>
            </w:tcBorders>
            <w:noWrap/>
            <w:vAlign w:val="center"/>
          </w:tcPr>
          <w:p w:rsidR="00F40DF9" w:rsidRPr="00A66C48" w:rsidRDefault="00F40DF9" w:rsidP="006C345A">
            <w:pPr>
              <w:jc w:val="center"/>
              <w:rPr>
                <w:rFonts w:ascii="Times New Roman" w:hAnsi="Times New Roman"/>
                <w:sz w:val="20"/>
                <w:szCs w:val="20"/>
              </w:rPr>
            </w:pPr>
            <w:r w:rsidRPr="00A66C48">
              <w:rPr>
                <w:rFonts w:ascii="Times New Roman" w:hAnsi="Times New Roman"/>
                <w:sz w:val="20"/>
                <w:szCs w:val="20"/>
              </w:rPr>
              <w:t>312,730,280,167</w:t>
            </w:r>
          </w:p>
        </w:tc>
        <w:tc>
          <w:tcPr>
            <w:tcW w:w="1404" w:type="dxa"/>
            <w:tcBorders>
              <w:top w:val="single" w:sz="2" w:space="0" w:color="auto"/>
              <w:left w:val="single" w:sz="2" w:space="0" w:color="auto"/>
              <w:bottom w:val="single" w:sz="2" w:space="0" w:color="auto"/>
              <w:right w:val="single" w:sz="2" w:space="0" w:color="auto"/>
            </w:tcBorders>
            <w:noWrap/>
            <w:vAlign w:val="center"/>
          </w:tcPr>
          <w:p w:rsidR="00F40DF9" w:rsidRPr="00A66C48" w:rsidRDefault="00F40DF9" w:rsidP="006C345A">
            <w:pPr>
              <w:jc w:val="center"/>
              <w:rPr>
                <w:rFonts w:ascii="Times New Roman" w:hAnsi="Times New Roman"/>
                <w:sz w:val="20"/>
                <w:szCs w:val="20"/>
              </w:rPr>
            </w:pPr>
            <w:r w:rsidRPr="00A66C48">
              <w:rPr>
                <w:rFonts w:ascii="Times New Roman" w:hAnsi="Times New Roman"/>
                <w:sz w:val="20"/>
                <w:szCs w:val="20"/>
              </w:rPr>
              <w:t>598,975</w:t>
            </w:r>
          </w:p>
        </w:tc>
        <w:tc>
          <w:tcPr>
            <w:tcW w:w="1908" w:type="dxa"/>
            <w:tcBorders>
              <w:top w:val="single" w:sz="2" w:space="0" w:color="auto"/>
              <w:left w:val="single" w:sz="2" w:space="0" w:color="auto"/>
              <w:bottom w:val="single" w:sz="2" w:space="0" w:color="auto"/>
              <w:right w:val="single" w:sz="2" w:space="0" w:color="auto"/>
            </w:tcBorders>
            <w:noWrap/>
            <w:vAlign w:val="center"/>
          </w:tcPr>
          <w:p w:rsidR="00F40DF9" w:rsidRPr="00A66C48" w:rsidRDefault="00F40DF9" w:rsidP="006C345A">
            <w:pPr>
              <w:jc w:val="center"/>
              <w:rPr>
                <w:rFonts w:ascii="Times New Roman" w:hAnsi="Times New Roman"/>
                <w:sz w:val="20"/>
                <w:szCs w:val="20"/>
              </w:rPr>
            </w:pPr>
            <w:r w:rsidRPr="00A66C48">
              <w:rPr>
                <w:rFonts w:ascii="Times New Roman" w:hAnsi="Times New Roman"/>
                <w:sz w:val="20"/>
                <w:szCs w:val="20"/>
              </w:rPr>
              <w:t>12,028,087,699</w:t>
            </w:r>
          </w:p>
        </w:tc>
        <w:tc>
          <w:tcPr>
            <w:tcW w:w="1552" w:type="dxa"/>
            <w:tcBorders>
              <w:top w:val="single" w:sz="2" w:space="0" w:color="auto"/>
              <w:left w:val="single" w:sz="2" w:space="0" w:color="auto"/>
              <w:bottom w:val="single" w:sz="2" w:space="0" w:color="auto"/>
              <w:right w:val="single" w:sz="12" w:space="0" w:color="auto"/>
            </w:tcBorders>
            <w:noWrap/>
            <w:vAlign w:val="center"/>
          </w:tcPr>
          <w:p w:rsidR="00F40DF9" w:rsidRPr="00A66C48" w:rsidRDefault="00F40DF9" w:rsidP="006C345A">
            <w:pPr>
              <w:jc w:val="center"/>
              <w:rPr>
                <w:rFonts w:ascii="Times New Roman" w:hAnsi="Times New Roman"/>
                <w:sz w:val="20"/>
                <w:szCs w:val="20"/>
              </w:rPr>
            </w:pPr>
            <w:r w:rsidRPr="00A66C48">
              <w:rPr>
                <w:rFonts w:ascii="Times New Roman" w:hAnsi="Times New Roman"/>
                <w:sz w:val="20"/>
                <w:szCs w:val="20"/>
              </w:rPr>
              <w:t>23,031</w:t>
            </w:r>
          </w:p>
        </w:tc>
      </w:tr>
      <w:tr w:rsidR="00F40DF9" w:rsidRPr="00A66C48" w:rsidTr="00917FE9">
        <w:trPr>
          <w:trHeight w:val="315"/>
          <w:jc w:val="center"/>
        </w:trPr>
        <w:tc>
          <w:tcPr>
            <w:tcW w:w="1270" w:type="dxa"/>
            <w:tcBorders>
              <w:top w:val="single" w:sz="2" w:space="0" w:color="auto"/>
              <w:left w:val="single" w:sz="12" w:space="0" w:color="auto"/>
              <w:bottom w:val="single" w:sz="12" w:space="0" w:color="auto"/>
              <w:right w:val="single" w:sz="2" w:space="0" w:color="auto"/>
            </w:tcBorders>
            <w:noWrap/>
            <w:vAlign w:val="center"/>
          </w:tcPr>
          <w:p w:rsidR="00F40DF9" w:rsidRPr="00A66C48" w:rsidRDefault="00F40DF9" w:rsidP="006C345A">
            <w:pPr>
              <w:rPr>
                <w:rFonts w:ascii="Times New Roman" w:hAnsi="Times New Roman"/>
                <w:b/>
                <w:bCs/>
                <w:sz w:val="20"/>
                <w:szCs w:val="20"/>
              </w:rPr>
            </w:pPr>
            <w:r w:rsidRPr="00A66C48">
              <w:rPr>
                <w:rFonts w:ascii="Times New Roman" w:hAnsi="Times New Roman"/>
                <w:b/>
                <w:bCs/>
                <w:sz w:val="20"/>
                <w:szCs w:val="20"/>
              </w:rPr>
              <w:t>All Firms</w:t>
            </w:r>
          </w:p>
        </w:tc>
        <w:tc>
          <w:tcPr>
            <w:tcW w:w="1170" w:type="dxa"/>
            <w:tcBorders>
              <w:top w:val="single" w:sz="2" w:space="0" w:color="auto"/>
              <w:left w:val="single" w:sz="2" w:space="0" w:color="auto"/>
              <w:bottom w:val="single" w:sz="12" w:space="0" w:color="auto"/>
              <w:right w:val="single" w:sz="2" w:space="0" w:color="auto"/>
            </w:tcBorders>
            <w:noWrap/>
            <w:vAlign w:val="center"/>
          </w:tcPr>
          <w:p w:rsidR="00F40DF9" w:rsidRPr="00A66C48" w:rsidRDefault="00F40DF9" w:rsidP="006C345A">
            <w:pPr>
              <w:jc w:val="center"/>
              <w:rPr>
                <w:rFonts w:ascii="Times New Roman" w:hAnsi="Times New Roman"/>
                <w:b/>
                <w:bCs/>
                <w:sz w:val="20"/>
                <w:szCs w:val="20"/>
              </w:rPr>
            </w:pPr>
            <w:r w:rsidRPr="00A66C48">
              <w:rPr>
                <w:rFonts w:ascii="Times New Roman" w:hAnsi="Times New Roman"/>
                <w:b/>
                <w:bCs/>
                <w:sz w:val="20"/>
                <w:szCs w:val="20"/>
              </w:rPr>
              <w:t>48</w:t>
            </w:r>
          </w:p>
        </w:tc>
        <w:tc>
          <w:tcPr>
            <w:tcW w:w="2066" w:type="dxa"/>
            <w:tcBorders>
              <w:top w:val="single" w:sz="2" w:space="0" w:color="auto"/>
              <w:left w:val="single" w:sz="2" w:space="0" w:color="auto"/>
              <w:bottom w:val="single" w:sz="12" w:space="0" w:color="auto"/>
              <w:right w:val="single" w:sz="2" w:space="0" w:color="auto"/>
            </w:tcBorders>
            <w:noWrap/>
            <w:vAlign w:val="center"/>
          </w:tcPr>
          <w:p w:rsidR="00F40DF9" w:rsidRPr="00A66C48" w:rsidRDefault="00F40DF9" w:rsidP="006C345A">
            <w:pPr>
              <w:jc w:val="center"/>
              <w:rPr>
                <w:rFonts w:ascii="Times New Roman" w:hAnsi="Times New Roman"/>
                <w:b/>
                <w:bCs/>
                <w:sz w:val="20"/>
                <w:szCs w:val="20"/>
              </w:rPr>
            </w:pPr>
            <w:r w:rsidRPr="00A66C48">
              <w:rPr>
                <w:rFonts w:ascii="Times New Roman" w:hAnsi="Times New Roman"/>
                <w:b/>
                <w:bCs/>
                <w:sz w:val="20"/>
                <w:szCs w:val="20"/>
              </w:rPr>
              <w:t>313,144,948,167</w:t>
            </w:r>
          </w:p>
        </w:tc>
        <w:tc>
          <w:tcPr>
            <w:tcW w:w="1404" w:type="dxa"/>
            <w:tcBorders>
              <w:top w:val="single" w:sz="2" w:space="0" w:color="auto"/>
              <w:left w:val="single" w:sz="2" w:space="0" w:color="auto"/>
              <w:bottom w:val="single" w:sz="12" w:space="0" w:color="auto"/>
              <w:right w:val="single" w:sz="2" w:space="0" w:color="auto"/>
            </w:tcBorders>
            <w:noWrap/>
            <w:vAlign w:val="center"/>
          </w:tcPr>
          <w:p w:rsidR="00F40DF9" w:rsidRPr="00A66C48" w:rsidRDefault="00F40DF9" w:rsidP="006C345A">
            <w:pPr>
              <w:jc w:val="center"/>
              <w:rPr>
                <w:rFonts w:ascii="Times New Roman" w:hAnsi="Times New Roman"/>
                <w:b/>
                <w:bCs/>
                <w:sz w:val="20"/>
                <w:szCs w:val="20"/>
              </w:rPr>
            </w:pPr>
            <w:r w:rsidRPr="00A66C48">
              <w:rPr>
                <w:rFonts w:ascii="Times New Roman" w:hAnsi="Times New Roman"/>
                <w:b/>
                <w:bCs/>
                <w:sz w:val="20"/>
                <w:szCs w:val="20"/>
              </w:rPr>
              <w:t>600,712</w:t>
            </w:r>
          </w:p>
        </w:tc>
        <w:tc>
          <w:tcPr>
            <w:tcW w:w="1908" w:type="dxa"/>
            <w:tcBorders>
              <w:top w:val="single" w:sz="2" w:space="0" w:color="auto"/>
              <w:left w:val="single" w:sz="2" w:space="0" w:color="auto"/>
              <w:bottom w:val="single" w:sz="12" w:space="0" w:color="auto"/>
              <w:right w:val="single" w:sz="2" w:space="0" w:color="auto"/>
            </w:tcBorders>
            <w:noWrap/>
            <w:vAlign w:val="center"/>
          </w:tcPr>
          <w:p w:rsidR="00F40DF9" w:rsidRPr="00A66C48" w:rsidRDefault="00F40DF9" w:rsidP="006C345A">
            <w:pPr>
              <w:jc w:val="center"/>
              <w:rPr>
                <w:rFonts w:ascii="Times New Roman" w:hAnsi="Times New Roman"/>
                <w:b/>
                <w:bCs/>
                <w:sz w:val="20"/>
                <w:szCs w:val="20"/>
              </w:rPr>
            </w:pPr>
            <w:r w:rsidRPr="00A66C48">
              <w:rPr>
                <w:rFonts w:ascii="Times New Roman" w:hAnsi="Times New Roman"/>
                <w:b/>
                <w:bCs/>
                <w:sz w:val="20"/>
                <w:szCs w:val="20"/>
              </w:rPr>
              <w:t>7,116,930,640</w:t>
            </w:r>
          </w:p>
        </w:tc>
        <w:tc>
          <w:tcPr>
            <w:tcW w:w="1552" w:type="dxa"/>
            <w:tcBorders>
              <w:top w:val="single" w:sz="2" w:space="0" w:color="auto"/>
              <w:left w:val="single" w:sz="2" w:space="0" w:color="auto"/>
              <w:bottom w:val="single" w:sz="12" w:space="0" w:color="auto"/>
              <w:right w:val="single" w:sz="12" w:space="0" w:color="auto"/>
            </w:tcBorders>
            <w:noWrap/>
            <w:vAlign w:val="center"/>
          </w:tcPr>
          <w:p w:rsidR="00F40DF9" w:rsidRPr="00A66C48" w:rsidRDefault="00F40DF9" w:rsidP="006C345A">
            <w:pPr>
              <w:jc w:val="center"/>
              <w:rPr>
                <w:rFonts w:ascii="Times New Roman" w:hAnsi="Times New Roman"/>
                <w:b/>
                <w:bCs/>
                <w:sz w:val="20"/>
                <w:szCs w:val="20"/>
              </w:rPr>
            </w:pPr>
            <w:r w:rsidRPr="00A66C48">
              <w:rPr>
                <w:rFonts w:ascii="Times New Roman" w:hAnsi="Times New Roman"/>
                <w:b/>
                <w:bCs/>
                <w:sz w:val="20"/>
                <w:szCs w:val="20"/>
              </w:rPr>
              <w:t>13,639</w:t>
            </w:r>
          </w:p>
        </w:tc>
      </w:tr>
      <w:tr w:rsidR="00F40DF9" w:rsidRPr="00A66C48" w:rsidTr="00917FE9">
        <w:trPr>
          <w:trHeight w:val="345"/>
          <w:jc w:val="center"/>
        </w:trPr>
        <w:tc>
          <w:tcPr>
            <w:tcW w:w="9370" w:type="dxa"/>
            <w:gridSpan w:val="6"/>
            <w:tcBorders>
              <w:top w:val="single" w:sz="12" w:space="0" w:color="auto"/>
              <w:left w:val="single" w:sz="12" w:space="0" w:color="auto"/>
              <w:bottom w:val="single" w:sz="12" w:space="0" w:color="auto"/>
              <w:right w:val="single" w:sz="12" w:space="0" w:color="auto"/>
            </w:tcBorders>
            <w:noWrap/>
          </w:tcPr>
          <w:p w:rsidR="00F40DF9" w:rsidRPr="00A66C48" w:rsidRDefault="00F40DF9" w:rsidP="00F40DF9">
            <w:pPr>
              <w:rPr>
                <w:rFonts w:ascii="Times New Roman" w:hAnsi="Times New Roman"/>
                <w:sz w:val="20"/>
                <w:szCs w:val="20"/>
              </w:rPr>
            </w:pPr>
            <w:r w:rsidRPr="00A66C48">
              <w:rPr>
                <w:rFonts w:ascii="Times New Roman" w:hAnsi="Times New Roman"/>
                <w:sz w:val="20"/>
                <w:szCs w:val="20"/>
                <w:vertAlign w:val="superscript"/>
              </w:rPr>
              <w:t>1</w:t>
            </w:r>
            <w:r w:rsidRPr="00A66C48">
              <w:rPr>
                <w:rFonts w:ascii="Times New Roman" w:hAnsi="Times New Roman"/>
                <w:sz w:val="20"/>
                <w:szCs w:val="20"/>
              </w:rPr>
              <w:t xml:space="preserve"> Only based on firms that report sales on D&amp;B.</w:t>
            </w:r>
          </w:p>
        </w:tc>
      </w:tr>
    </w:tbl>
    <w:p w:rsidR="00E61CB3" w:rsidRPr="00A66C48" w:rsidRDefault="00E61CB3" w:rsidP="002F14F8">
      <w:pPr>
        <w:rPr>
          <w:sz w:val="22"/>
          <w:szCs w:val="22"/>
        </w:rPr>
      </w:pPr>
    </w:p>
    <w:p w:rsidR="00BF1413" w:rsidRDefault="00BF1413" w:rsidP="00C16B89">
      <w:pPr>
        <w:numPr>
          <w:ilvl w:val="12"/>
          <w:numId w:val="0"/>
        </w:numPr>
        <w:ind w:firstLine="720"/>
        <w:rPr>
          <w:rFonts w:ascii="Times New Roman" w:hAnsi="Times New Roman"/>
          <w:b/>
          <w:bCs/>
        </w:rPr>
      </w:pPr>
    </w:p>
    <w:p w:rsidR="00B422F8" w:rsidRPr="00A66C48" w:rsidRDefault="00B422F8" w:rsidP="00C16B89">
      <w:pPr>
        <w:numPr>
          <w:ilvl w:val="12"/>
          <w:numId w:val="0"/>
        </w:numPr>
        <w:ind w:firstLine="720"/>
        <w:rPr>
          <w:rFonts w:ascii="Times New Roman" w:hAnsi="Times New Roman"/>
        </w:rPr>
      </w:pPr>
      <w:r w:rsidRPr="00A66C48">
        <w:rPr>
          <w:rFonts w:ascii="Times New Roman" w:hAnsi="Times New Roman"/>
          <w:b/>
          <w:bCs/>
        </w:rPr>
        <w:t>5(d). Collection Schedule</w:t>
      </w:r>
    </w:p>
    <w:p w:rsidR="00B422F8" w:rsidRPr="00A66C48" w:rsidRDefault="00B422F8" w:rsidP="00B422F8">
      <w:pPr>
        <w:numPr>
          <w:ilvl w:val="12"/>
          <w:numId w:val="0"/>
        </w:numPr>
        <w:rPr>
          <w:rFonts w:ascii="Times New Roman" w:hAnsi="Times New Roman"/>
        </w:rPr>
      </w:pPr>
    </w:p>
    <w:p w:rsidR="00B422F8" w:rsidRPr="00A66C48" w:rsidRDefault="00B422F8" w:rsidP="00B422F8">
      <w:pPr>
        <w:numPr>
          <w:ilvl w:val="12"/>
          <w:numId w:val="0"/>
        </w:numPr>
        <w:rPr>
          <w:rFonts w:ascii="Times New Roman" w:hAnsi="Times New Roman"/>
        </w:rPr>
      </w:pPr>
      <w:r w:rsidRPr="00A66C48">
        <w:rPr>
          <w:rFonts w:ascii="Times New Roman" w:hAnsi="Times New Roman"/>
        </w:rPr>
        <w:tab/>
        <w:t>CRP certification is usually conducted only when a registrant notifies EPA by applicati</w:t>
      </w:r>
      <w:r w:rsidR="00D4655C" w:rsidRPr="00A66C48">
        <w:rPr>
          <w:rFonts w:ascii="Times New Roman" w:hAnsi="Times New Roman"/>
        </w:rPr>
        <w:t xml:space="preserve">on of their intention to </w:t>
      </w:r>
      <w:r w:rsidRPr="00A66C48">
        <w:rPr>
          <w:rFonts w:ascii="Times New Roman" w:hAnsi="Times New Roman"/>
        </w:rPr>
        <w:t>change packaging, enter the residential market, or otherwise become subject to CRP regulations.</w:t>
      </w:r>
      <w:r w:rsidR="00663698" w:rsidRPr="00A66C48">
        <w:rPr>
          <w:rFonts w:ascii="Times New Roman" w:hAnsi="Times New Roman"/>
        </w:rPr>
        <w:t xml:space="preserve"> </w:t>
      </w:r>
      <w:r w:rsidR="00064E72" w:rsidRPr="00A66C48">
        <w:rPr>
          <w:rFonts w:ascii="Times New Roman" w:hAnsi="Times New Roman"/>
        </w:rPr>
        <w:t>Therefore, for each registered pesticide product, this is a one-time submission unless</w:t>
      </w:r>
      <w:r w:rsidR="00C25385">
        <w:rPr>
          <w:rFonts w:ascii="Times New Roman" w:hAnsi="Times New Roman"/>
        </w:rPr>
        <w:t xml:space="preserve"> the</w:t>
      </w:r>
      <w:r w:rsidR="00064E72" w:rsidRPr="00A66C48">
        <w:rPr>
          <w:rFonts w:ascii="Times New Roman" w:hAnsi="Times New Roman"/>
        </w:rPr>
        <w:t xml:space="preserve"> labeled product use or </w:t>
      </w:r>
      <w:r w:rsidR="00C25385">
        <w:rPr>
          <w:rFonts w:ascii="Times New Roman" w:hAnsi="Times New Roman"/>
        </w:rPr>
        <w:t xml:space="preserve">the </w:t>
      </w:r>
      <w:r w:rsidR="00064E72" w:rsidRPr="00A66C48">
        <w:rPr>
          <w:rFonts w:ascii="Times New Roman" w:hAnsi="Times New Roman"/>
        </w:rPr>
        <w:t>package design changes.</w:t>
      </w:r>
    </w:p>
    <w:p w:rsidR="00B422F8" w:rsidRPr="00A66C48" w:rsidRDefault="00B422F8" w:rsidP="00B422F8">
      <w:pPr>
        <w:numPr>
          <w:ilvl w:val="12"/>
          <w:numId w:val="0"/>
        </w:numPr>
        <w:rPr>
          <w:rFonts w:ascii="Times New Roman" w:hAnsi="Times New Roman"/>
        </w:rPr>
      </w:pPr>
    </w:p>
    <w:p w:rsidR="00B422F8" w:rsidRPr="00A66C48" w:rsidRDefault="00B422F8" w:rsidP="00B422F8">
      <w:pPr>
        <w:numPr>
          <w:ilvl w:val="12"/>
          <w:numId w:val="0"/>
        </w:numPr>
        <w:rPr>
          <w:rFonts w:ascii="Times New Roman" w:hAnsi="Times New Roman"/>
        </w:rPr>
      </w:pPr>
      <w:r w:rsidRPr="00A66C48">
        <w:rPr>
          <w:rFonts w:ascii="Times New Roman" w:hAnsi="Times New Roman"/>
          <w:b/>
          <w:bCs/>
        </w:rPr>
        <w:t>6.</w:t>
      </w:r>
      <w:r w:rsidRPr="00A66C48">
        <w:rPr>
          <w:rFonts w:ascii="Times New Roman" w:hAnsi="Times New Roman"/>
          <w:b/>
          <w:bCs/>
        </w:rPr>
        <w:tab/>
      </w:r>
      <w:r w:rsidRPr="00A66C48">
        <w:rPr>
          <w:rFonts w:ascii="Times New Roman" w:hAnsi="Times New Roman"/>
          <w:b/>
          <w:bCs/>
          <w:u w:val="single"/>
        </w:rPr>
        <w:t>ESTIMATING THE BURDEN AND COST OF THE COLLECTION</w:t>
      </w:r>
    </w:p>
    <w:p w:rsidR="00B422F8" w:rsidRPr="00A66C48" w:rsidRDefault="00B422F8" w:rsidP="00B422F8">
      <w:pPr>
        <w:numPr>
          <w:ilvl w:val="12"/>
          <w:numId w:val="0"/>
        </w:numPr>
        <w:rPr>
          <w:rFonts w:ascii="Times New Roman" w:hAnsi="Times New Roman"/>
        </w:rPr>
      </w:pPr>
    </w:p>
    <w:p w:rsidR="00B422F8" w:rsidRPr="00A66C48" w:rsidRDefault="00B422F8" w:rsidP="00B422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6(a). Estimating Respondent Burden</w:t>
      </w:r>
    </w:p>
    <w:p w:rsidR="00B422F8" w:rsidRPr="00A66C48" w:rsidRDefault="00B422F8" w:rsidP="00B422F8">
      <w:pPr>
        <w:numPr>
          <w:ilvl w:val="12"/>
          <w:numId w:val="0"/>
        </w:numPr>
        <w:rPr>
          <w:rFonts w:ascii="Times New Roman" w:hAnsi="Times New Roman"/>
        </w:rPr>
      </w:pPr>
    </w:p>
    <w:p w:rsidR="00154F17" w:rsidRPr="00A66C48" w:rsidRDefault="00B422F8" w:rsidP="00F67549">
      <w:pPr>
        <w:numPr>
          <w:ilvl w:val="12"/>
          <w:numId w:val="0"/>
        </w:numPr>
        <w:rPr>
          <w:rFonts w:ascii="Times New Roman" w:hAnsi="Times New Roman"/>
        </w:rPr>
      </w:pPr>
      <w:r w:rsidRPr="00A66C48">
        <w:rPr>
          <w:rFonts w:ascii="Times New Roman" w:hAnsi="Times New Roman"/>
        </w:rPr>
        <w:tab/>
      </w:r>
      <w:r w:rsidR="00F67549" w:rsidRPr="00A66C48">
        <w:rPr>
          <w:rFonts w:ascii="Times New Roman" w:hAnsi="Times New Roman"/>
        </w:rPr>
        <w:t xml:space="preserve">In calculating the respondent burden, EPA estimates that </w:t>
      </w:r>
      <w:r w:rsidR="00CE3ECC" w:rsidRPr="00A66C48">
        <w:rPr>
          <w:rFonts w:ascii="Times New Roman" w:hAnsi="Times New Roman"/>
        </w:rPr>
        <w:t xml:space="preserve">registrants will </w:t>
      </w:r>
      <w:r w:rsidR="00F67549" w:rsidRPr="00A66C48">
        <w:rPr>
          <w:rFonts w:ascii="Times New Roman" w:hAnsi="Times New Roman"/>
        </w:rPr>
        <w:t xml:space="preserve">submit </w:t>
      </w:r>
      <w:r w:rsidR="00691585" w:rsidRPr="00A66C48">
        <w:rPr>
          <w:rFonts w:ascii="Times New Roman" w:hAnsi="Times New Roman"/>
        </w:rPr>
        <w:t>685</w:t>
      </w:r>
      <w:r w:rsidR="00962590">
        <w:rPr>
          <w:rFonts w:ascii="Times New Roman" w:hAnsi="Times New Roman"/>
        </w:rPr>
        <w:t xml:space="preserve"> </w:t>
      </w:r>
      <w:r w:rsidR="00F67549" w:rsidRPr="00A66C48">
        <w:rPr>
          <w:rFonts w:ascii="Times New Roman" w:hAnsi="Times New Roman"/>
        </w:rPr>
        <w:t>responses to this information collection activity annually</w:t>
      </w:r>
      <w:r w:rsidR="00663698" w:rsidRPr="00A66C48">
        <w:rPr>
          <w:rFonts w:ascii="Times New Roman" w:hAnsi="Times New Roman"/>
        </w:rPr>
        <w:t xml:space="preserve"> during this renewal ICR</w:t>
      </w:r>
      <w:r w:rsidR="00F67549" w:rsidRPr="00A66C48">
        <w:rPr>
          <w:rFonts w:ascii="Times New Roman" w:hAnsi="Times New Roman"/>
        </w:rPr>
        <w:t xml:space="preserve">.  </w:t>
      </w:r>
      <w:r w:rsidR="00154F17" w:rsidRPr="00A66C48">
        <w:rPr>
          <w:rFonts w:ascii="Times New Roman" w:hAnsi="Times New Roman"/>
        </w:rPr>
        <w:t>The number of responses is based on the number of products in FY20</w:t>
      </w:r>
      <w:r w:rsidR="00691585" w:rsidRPr="00A66C48">
        <w:rPr>
          <w:rFonts w:ascii="Times New Roman" w:hAnsi="Times New Roman"/>
        </w:rPr>
        <w:t>10</w:t>
      </w:r>
      <w:r w:rsidR="00154F17" w:rsidRPr="00A66C48">
        <w:rPr>
          <w:rFonts w:ascii="Times New Roman" w:hAnsi="Times New Roman"/>
        </w:rPr>
        <w:t>, FY20</w:t>
      </w:r>
      <w:r w:rsidR="00691585" w:rsidRPr="00A66C48">
        <w:rPr>
          <w:rFonts w:ascii="Times New Roman" w:hAnsi="Times New Roman"/>
        </w:rPr>
        <w:t>11</w:t>
      </w:r>
      <w:r w:rsidR="00154F17" w:rsidRPr="00A66C48">
        <w:rPr>
          <w:rFonts w:ascii="Times New Roman" w:hAnsi="Times New Roman"/>
        </w:rPr>
        <w:t>, and FY20</w:t>
      </w:r>
      <w:r w:rsidR="00691585" w:rsidRPr="00A66C48">
        <w:rPr>
          <w:rFonts w:ascii="Times New Roman" w:hAnsi="Times New Roman"/>
        </w:rPr>
        <w:t>12</w:t>
      </w:r>
      <w:r w:rsidR="00154F17" w:rsidRPr="00A66C48">
        <w:rPr>
          <w:rFonts w:ascii="Times New Roman" w:hAnsi="Times New Roman"/>
        </w:rPr>
        <w:t xml:space="preserve"> with Child-Resistant Packaging (CRP) requirements. During this three year period, approximately </w:t>
      </w:r>
      <w:r w:rsidR="00691585" w:rsidRPr="00A66C48">
        <w:rPr>
          <w:rFonts w:ascii="Times New Roman" w:hAnsi="Times New Roman"/>
        </w:rPr>
        <w:t>486</w:t>
      </w:r>
      <w:r w:rsidR="00154F17" w:rsidRPr="00A66C48">
        <w:rPr>
          <w:rFonts w:ascii="Times New Roman" w:hAnsi="Times New Roman"/>
        </w:rPr>
        <w:t xml:space="preserve"> CRP applications were submitted annually. The expected </w:t>
      </w:r>
      <w:r w:rsidR="00691585" w:rsidRPr="00A66C48">
        <w:rPr>
          <w:rFonts w:ascii="Times New Roman" w:hAnsi="Times New Roman"/>
        </w:rPr>
        <w:t>de</w:t>
      </w:r>
      <w:r w:rsidR="00154F17" w:rsidRPr="00A66C48">
        <w:rPr>
          <w:rFonts w:ascii="Times New Roman" w:hAnsi="Times New Roman"/>
        </w:rPr>
        <w:t xml:space="preserve">crease </w:t>
      </w:r>
      <w:r w:rsidR="00691585" w:rsidRPr="00A66C48">
        <w:rPr>
          <w:rFonts w:ascii="Times New Roman" w:hAnsi="Times New Roman"/>
        </w:rPr>
        <w:t>from 1,165</w:t>
      </w:r>
      <w:r w:rsidR="00C25385">
        <w:rPr>
          <w:rFonts w:ascii="Times New Roman" w:hAnsi="Times New Roman"/>
        </w:rPr>
        <w:t xml:space="preserve">, estimated during the previous ICR renewal, </w:t>
      </w:r>
      <w:r w:rsidR="00691585" w:rsidRPr="00A66C48">
        <w:rPr>
          <w:rFonts w:ascii="Times New Roman" w:hAnsi="Times New Roman"/>
        </w:rPr>
        <w:t xml:space="preserve">to </w:t>
      </w:r>
      <w:r w:rsidR="008B7CCF">
        <w:rPr>
          <w:rFonts w:ascii="Times New Roman" w:hAnsi="Times New Roman"/>
        </w:rPr>
        <w:t>486</w:t>
      </w:r>
      <w:r w:rsidR="00691585" w:rsidRPr="00A66C48">
        <w:rPr>
          <w:rFonts w:ascii="Times New Roman" w:hAnsi="Times New Roman"/>
        </w:rPr>
        <w:t xml:space="preserve"> </w:t>
      </w:r>
      <w:r w:rsidR="00154F17" w:rsidRPr="00A66C48">
        <w:rPr>
          <w:rFonts w:ascii="Times New Roman" w:hAnsi="Times New Roman"/>
        </w:rPr>
        <w:t xml:space="preserve">is largely associated </w:t>
      </w:r>
      <w:r w:rsidR="00EE7FC1">
        <w:rPr>
          <w:rFonts w:ascii="Times New Roman" w:hAnsi="Times New Roman"/>
        </w:rPr>
        <w:t xml:space="preserve">with the implementation of the </w:t>
      </w:r>
      <w:r w:rsidR="00253E32" w:rsidRPr="00A66C48">
        <w:rPr>
          <w:rFonts w:ascii="Times New Roman" w:hAnsi="Times New Roman"/>
        </w:rPr>
        <w:t>EPA’s</w:t>
      </w:r>
      <w:r w:rsidR="00EE7FC1">
        <w:rPr>
          <w:rFonts w:ascii="Times New Roman" w:hAnsi="Times New Roman"/>
        </w:rPr>
        <w:t xml:space="preserve"> Registration Re</w:t>
      </w:r>
      <w:r w:rsidR="00C044D6" w:rsidRPr="00A66C48">
        <w:rPr>
          <w:rFonts w:ascii="Times New Roman" w:hAnsi="Times New Roman"/>
        </w:rPr>
        <w:t>view program, which was mandated by the Food Quality Protection Act</w:t>
      </w:r>
      <w:r w:rsidR="00253E32" w:rsidRPr="00A66C48">
        <w:rPr>
          <w:rFonts w:ascii="Times New Roman" w:hAnsi="Times New Roman"/>
        </w:rPr>
        <w:t xml:space="preserve"> and requires </w:t>
      </w:r>
      <w:r w:rsidR="00C044D6" w:rsidRPr="00A66C48">
        <w:rPr>
          <w:rFonts w:ascii="Times New Roman" w:hAnsi="Times New Roman"/>
        </w:rPr>
        <w:t xml:space="preserve">the Agency </w:t>
      </w:r>
      <w:r w:rsidR="00253E32" w:rsidRPr="00A66C48">
        <w:rPr>
          <w:rFonts w:ascii="Times New Roman" w:hAnsi="Times New Roman"/>
        </w:rPr>
        <w:t xml:space="preserve">to </w:t>
      </w:r>
      <w:r w:rsidR="00C044D6" w:rsidRPr="00A66C48">
        <w:rPr>
          <w:rFonts w:ascii="Times New Roman" w:hAnsi="Times New Roman"/>
        </w:rPr>
        <w:t>periodically reevaluate pesticides to make sure that as change</w:t>
      </w:r>
      <w:r w:rsidR="004F17D0" w:rsidRPr="00A66C48">
        <w:rPr>
          <w:rFonts w:ascii="Times New Roman" w:hAnsi="Times New Roman"/>
        </w:rPr>
        <w:t>s</w:t>
      </w:r>
      <w:r w:rsidR="00C044D6" w:rsidRPr="00A66C48">
        <w:rPr>
          <w:rFonts w:ascii="Times New Roman" w:hAnsi="Times New Roman"/>
        </w:rPr>
        <w:t xml:space="preserve"> occur, products in the marketplace can still be used safely</w:t>
      </w:r>
      <w:r w:rsidR="004F17D0" w:rsidRPr="00A66C48">
        <w:rPr>
          <w:rFonts w:ascii="Times New Roman" w:hAnsi="Times New Roman"/>
        </w:rPr>
        <w:t xml:space="preserve">. </w:t>
      </w:r>
      <w:r w:rsidR="00EE7FC1">
        <w:rPr>
          <w:rFonts w:ascii="Times New Roman" w:hAnsi="Times New Roman"/>
        </w:rPr>
        <w:t xml:space="preserve">The registration reviews completed under </w:t>
      </w:r>
      <w:r w:rsidR="00EE7FC1">
        <w:rPr>
          <w:rFonts w:ascii="Times New Roman" w:hAnsi="Times New Roman"/>
        </w:rPr>
        <w:lastRenderedPageBreak/>
        <w:t xml:space="preserve">the program during FY2010-2012 did not result in </w:t>
      </w:r>
      <w:r w:rsidR="004B4D85">
        <w:rPr>
          <w:rFonts w:ascii="Times New Roman" w:hAnsi="Times New Roman"/>
        </w:rPr>
        <w:t>an</w:t>
      </w:r>
      <w:r w:rsidR="00EE7FC1">
        <w:rPr>
          <w:rFonts w:ascii="Times New Roman" w:hAnsi="Times New Roman"/>
        </w:rPr>
        <w:t xml:space="preserve"> expected increase in the number products requiring</w:t>
      </w:r>
      <w:r w:rsidR="00EE7FC1" w:rsidRPr="00A66C48">
        <w:rPr>
          <w:rFonts w:ascii="Times New Roman" w:hAnsi="Times New Roman"/>
        </w:rPr>
        <w:t xml:space="preserve"> CRP</w:t>
      </w:r>
      <w:r w:rsidR="004B4D85">
        <w:rPr>
          <w:rFonts w:ascii="Times New Roman" w:hAnsi="Times New Roman"/>
        </w:rPr>
        <w:t xml:space="preserve"> for that period</w:t>
      </w:r>
      <w:r w:rsidR="00EE7FC1" w:rsidRPr="00A66C48">
        <w:rPr>
          <w:rFonts w:ascii="Times New Roman" w:hAnsi="Times New Roman"/>
        </w:rPr>
        <w:t>.</w:t>
      </w:r>
      <w:r w:rsidR="00EE7FC1">
        <w:rPr>
          <w:rFonts w:ascii="Times New Roman" w:hAnsi="Times New Roman"/>
        </w:rPr>
        <w:t xml:space="preserve"> The EPA is using the higher number of 685</w:t>
      </w:r>
      <w:r w:rsidR="00C25385">
        <w:rPr>
          <w:rFonts w:ascii="Times New Roman" w:hAnsi="Times New Roman"/>
        </w:rPr>
        <w:t xml:space="preserve"> rather than 486</w:t>
      </w:r>
      <w:r w:rsidR="00EE7FC1">
        <w:rPr>
          <w:rFonts w:ascii="Times New Roman" w:hAnsi="Times New Roman"/>
        </w:rPr>
        <w:t xml:space="preserve"> because the agency i</w:t>
      </w:r>
      <w:r w:rsidR="00AA26DF" w:rsidRPr="00A66C48">
        <w:rPr>
          <w:rFonts w:ascii="Times New Roman" w:hAnsi="Times New Roman"/>
        </w:rPr>
        <w:t>s expecting an increase in CRP applicati</w:t>
      </w:r>
      <w:r w:rsidR="002A468A" w:rsidRPr="00A66C48">
        <w:rPr>
          <w:rFonts w:ascii="Times New Roman" w:hAnsi="Times New Roman"/>
        </w:rPr>
        <w:t xml:space="preserve">ons for </w:t>
      </w:r>
      <w:r w:rsidR="004B4D85">
        <w:rPr>
          <w:rFonts w:ascii="Times New Roman" w:hAnsi="Times New Roman"/>
        </w:rPr>
        <w:t>certain products</w:t>
      </w:r>
      <w:r w:rsidR="00AA26DF" w:rsidRPr="00A66C48">
        <w:rPr>
          <w:rFonts w:ascii="Times New Roman" w:hAnsi="Times New Roman"/>
        </w:rPr>
        <w:t xml:space="preserve"> </w:t>
      </w:r>
      <w:r w:rsidR="004B4D85">
        <w:rPr>
          <w:rFonts w:ascii="Times New Roman" w:hAnsi="Times New Roman"/>
        </w:rPr>
        <w:t>containing</w:t>
      </w:r>
      <w:r w:rsidR="00AA26DF" w:rsidRPr="00A66C48">
        <w:rPr>
          <w:rFonts w:ascii="Times New Roman" w:hAnsi="Times New Roman"/>
        </w:rPr>
        <w:t xml:space="preserve"> pesticide chemicals</w:t>
      </w:r>
      <w:r w:rsidR="003761C2" w:rsidRPr="00A66C48">
        <w:rPr>
          <w:rFonts w:ascii="Times New Roman" w:hAnsi="Times New Roman"/>
        </w:rPr>
        <w:t xml:space="preserve"> </w:t>
      </w:r>
      <w:r w:rsidR="004B4D85">
        <w:rPr>
          <w:rFonts w:ascii="Times New Roman" w:hAnsi="Times New Roman"/>
        </w:rPr>
        <w:t xml:space="preserve">that </w:t>
      </w:r>
      <w:r w:rsidR="002A468A" w:rsidRPr="00A66C48">
        <w:rPr>
          <w:rFonts w:ascii="Times New Roman" w:hAnsi="Times New Roman"/>
        </w:rPr>
        <w:t xml:space="preserve">will no longer be under </w:t>
      </w:r>
      <w:r w:rsidR="00AA26DF" w:rsidRPr="00A66C48">
        <w:rPr>
          <w:rFonts w:ascii="Times New Roman" w:hAnsi="Times New Roman"/>
        </w:rPr>
        <w:t>exclusive use</w:t>
      </w:r>
      <w:r w:rsidR="002A468A" w:rsidRPr="00A66C48">
        <w:rPr>
          <w:rFonts w:ascii="Times New Roman" w:hAnsi="Times New Roman"/>
        </w:rPr>
        <w:t xml:space="preserve"> data protection</w:t>
      </w:r>
      <w:r w:rsidR="00AA26DF" w:rsidRPr="00A66C48">
        <w:rPr>
          <w:rFonts w:ascii="Times New Roman" w:hAnsi="Times New Roman"/>
        </w:rPr>
        <w:t xml:space="preserve">. </w:t>
      </w:r>
      <w:r w:rsidR="00253E32" w:rsidRPr="00A66C48">
        <w:rPr>
          <w:rFonts w:ascii="Times New Roman" w:hAnsi="Times New Roman"/>
        </w:rPr>
        <w:t>Registrants with products using these chemicals will be required to provide their own CRP test data, which will have to be reviewed for human safety/health risk concerns.</w:t>
      </w:r>
    </w:p>
    <w:p w:rsidR="00F67549" w:rsidRPr="00A66C48" w:rsidRDefault="00F67549" w:rsidP="00F67549">
      <w:pPr>
        <w:numPr>
          <w:ilvl w:val="12"/>
          <w:numId w:val="0"/>
        </w:numPr>
        <w:rPr>
          <w:rFonts w:ascii="Times New Roman" w:hAnsi="Times New Roman"/>
        </w:rPr>
      </w:pPr>
    </w:p>
    <w:p w:rsidR="00B422F8" w:rsidRPr="00A66C48" w:rsidRDefault="00F67549" w:rsidP="00B422F8">
      <w:pPr>
        <w:numPr>
          <w:ilvl w:val="12"/>
          <w:numId w:val="0"/>
        </w:numPr>
        <w:rPr>
          <w:rFonts w:ascii="Times New Roman" w:hAnsi="Times New Roman"/>
        </w:rPr>
      </w:pPr>
      <w:r w:rsidRPr="00A66C48">
        <w:rPr>
          <w:rFonts w:ascii="Times New Roman" w:hAnsi="Times New Roman"/>
        </w:rPr>
        <w:tab/>
      </w:r>
      <w:r w:rsidR="00B422F8" w:rsidRPr="00A66C48">
        <w:rPr>
          <w:rFonts w:ascii="Times New Roman" w:hAnsi="Times New Roman"/>
        </w:rPr>
        <w:t xml:space="preserve">EPA estimates that the average burden associated with this information collection activity is approximately </w:t>
      </w:r>
      <w:r w:rsidR="008B7CCF">
        <w:rPr>
          <w:rFonts w:ascii="Times New Roman" w:hAnsi="Times New Roman"/>
        </w:rPr>
        <w:t>8</w:t>
      </w:r>
      <w:r w:rsidR="004F17D0" w:rsidRPr="00A66C48">
        <w:rPr>
          <w:rFonts w:ascii="Times New Roman" w:hAnsi="Times New Roman"/>
        </w:rPr>
        <w:t>.</w:t>
      </w:r>
      <w:r w:rsidR="008B7CCF">
        <w:rPr>
          <w:rFonts w:ascii="Times New Roman" w:hAnsi="Times New Roman"/>
        </w:rPr>
        <w:t>0</w:t>
      </w:r>
      <w:r w:rsidR="00F2098F">
        <w:rPr>
          <w:rFonts w:ascii="Times New Roman" w:hAnsi="Times New Roman"/>
        </w:rPr>
        <w:t>4</w:t>
      </w:r>
      <w:r w:rsidR="00B422F8" w:rsidRPr="00A66C48">
        <w:rPr>
          <w:rFonts w:ascii="Times New Roman" w:hAnsi="Times New Roman"/>
        </w:rPr>
        <w:t xml:space="preserve"> hours per response.</w:t>
      </w:r>
      <w:r w:rsidR="00F40DF9" w:rsidRPr="00A66C48">
        <w:rPr>
          <w:rStyle w:val="FootnoteReference"/>
          <w:rFonts w:ascii="Times New Roman" w:hAnsi="Times New Roman"/>
        </w:rPr>
        <w:footnoteReference w:id="1"/>
      </w:r>
      <w:r w:rsidR="00663698" w:rsidRPr="00A66C48">
        <w:rPr>
          <w:rFonts w:ascii="Times New Roman" w:hAnsi="Times New Roman"/>
        </w:rPr>
        <w:t xml:space="preserve"> </w:t>
      </w:r>
      <w:r w:rsidR="00B422F8" w:rsidRPr="00A66C48">
        <w:rPr>
          <w:rFonts w:ascii="Times New Roman" w:hAnsi="Times New Roman"/>
        </w:rPr>
        <w:t xml:space="preserve">This estimate is based on an average response time across </w:t>
      </w:r>
      <w:r w:rsidR="00B422F8" w:rsidRPr="00A66C48">
        <w:rPr>
          <w:rFonts w:ascii="Times New Roman" w:hAnsi="Times New Roman"/>
          <w:i/>
          <w:iCs/>
        </w:rPr>
        <w:t>all</w:t>
      </w:r>
      <w:r w:rsidR="00B422F8" w:rsidRPr="00A66C48">
        <w:rPr>
          <w:rFonts w:ascii="Times New Roman" w:hAnsi="Times New Roman"/>
        </w:rPr>
        <w:t xml:space="preserve"> response types (i.e. CRP certifications, CRP certifications with data, CRP exemption explanation based on large package size, </w:t>
      </w:r>
      <w:r w:rsidR="00C044D6" w:rsidRPr="00A66C48">
        <w:rPr>
          <w:rFonts w:ascii="Times New Roman" w:hAnsi="Times New Roman"/>
        </w:rPr>
        <w:t>and</w:t>
      </w:r>
      <w:r w:rsidR="00B422F8" w:rsidRPr="00A66C48">
        <w:rPr>
          <w:rFonts w:ascii="Times New Roman" w:hAnsi="Times New Roman"/>
        </w:rPr>
        <w:t xml:space="preserve"> CRP exemption explanation based on a lack of toxicity, packaging issues, eliminating residential use, lower product toxicity). The number of respondents expected for each of </w:t>
      </w:r>
      <w:r w:rsidR="00A75CD4" w:rsidRPr="00A66C48">
        <w:rPr>
          <w:rFonts w:ascii="Times New Roman" w:hAnsi="Times New Roman"/>
        </w:rPr>
        <w:t xml:space="preserve">the </w:t>
      </w:r>
      <w:r w:rsidR="00B422F8" w:rsidRPr="00A66C48">
        <w:rPr>
          <w:rFonts w:ascii="Times New Roman" w:hAnsi="Times New Roman"/>
        </w:rPr>
        <w:t xml:space="preserve">various response types is based on the </w:t>
      </w:r>
      <w:r w:rsidR="00917D45" w:rsidRPr="00A66C48">
        <w:rPr>
          <w:rFonts w:ascii="Times New Roman" w:hAnsi="Times New Roman"/>
        </w:rPr>
        <w:t>number of each type of CRP submission</w:t>
      </w:r>
      <w:r w:rsidR="00B422F8" w:rsidRPr="00A66C48">
        <w:rPr>
          <w:rFonts w:ascii="Times New Roman" w:hAnsi="Times New Roman"/>
        </w:rPr>
        <w:t xml:space="preserve"> received annually. </w:t>
      </w:r>
    </w:p>
    <w:p w:rsidR="00B422F8" w:rsidRPr="00A66C48" w:rsidRDefault="00B422F8" w:rsidP="00B422F8">
      <w:pPr>
        <w:numPr>
          <w:ilvl w:val="12"/>
          <w:numId w:val="0"/>
        </w:numPr>
        <w:rPr>
          <w:rFonts w:ascii="Times New Roman" w:hAnsi="Times New Roman"/>
        </w:rPr>
      </w:pPr>
    </w:p>
    <w:p w:rsidR="00B422F8" w:rsidRPr="00A66C48" w:rsidRDefault="00B422F8" w:rsidP="00B422F8">
      <w:pPr>
        <w:numPr>
          <w:ilvl w:val="12"/>
          <w:numId w:val="0"/>
        </w:numPr>
        <w:rPr>
          <w:rFonts w:ascii="Times New Roman" w:hAnsi="Times New Roman"/>
        </w:rPr>
      </w:pPr>
      <w:r w:rsidRPr="00A66C48">
        <w:rPr>
          <w:rFonts w:ascii="Times New Roman" w:hAnsi="Times New Roman"/>
        </w:rPr>
        <w:tab/>
        <w:t xml:space="preserve">EPA’s estimates </w:t>
      </w:r>
      <w:r w:rsidR="00A75CD4" w:rsidRPr="00A66C48">
        <w:rPr>
          <w:rFonts w:ascii="Times New Roman" w:hAnsi="Times New Roman"/>
        </w:rPr>
        <w:t xml:space="preserve">of respondent burden </w:t>
      </w:r>
      <w:r w:rsidRPr="00A66C48">
        <w:rPr>
          <w:rFonts w:ascii="Times New Roman" w:hAnsi="Times New Roman"/>
        </w:rPr>
        <w:t>do not include any burden at management levels.  Responses to this information collection activity are generally handled without management time by the technical personnel such as the regulatory affairs person and packaging personnel</w:t>
      </w:r>
      <w:r w:rsidR="008B7CCF">
        <w:rPr>
          <w:rFonts w:ascii="Times New Roman" w:hAnsi="Times New Roman"/>
        </w:rPr>
        <w:t>,</w:t>
      </w:r>
      <w:r w:rsidRPr="00A66C48">
        <w:rPr>
          <w:rFonts w:ascii="Times New Roman" w:hAnsi="Times New Roman"/>
        </w:rPr>
        <w:t xml:space="preserve"> with some clerical support.  </w:t>
      </w:r>
      <w:r w:rsidR="00C4582A" w:rsidRPr="00A66C48">
        <w:rPr>
          <w:rFonts w:ascii="Times New Roman" w:hAnsi="Times New Roman"/>
        </w:rPr>
        <w:t>Averaged</w:t>
      </w:r>
      <w:r w:rsidR="00AA40F6" w:rsidRPr="00A66C48">
        <w:rPr>
          <w:rFonts w:ascii="Times New Roman" w:hAnsi="Times New Roman"/>
        </w:rPr>
        <w:t xml:space="preserve"> across </w:t>
      </w:r>
      <w:r w:rsidR="00C4582A" w:rsidRPr="00A66C48">
        <w:rPr>
          <w:rFonts w:ascii="Times New Roman" w:hAnsi="Times New Roman"/>
        </w:rPr>
        <w:t>the four CRP types</w:t>
      </w:r>
      <w:r w:rsidR="00AA40F6" w:rsidRPr="00A66C48">
        <w:rPr>
          <w:rFonts w:ascii="Times New Roman" w:hAnsi="Times New Roman"/>
        </w:rPr>
        <w:t>, each</w:t>
      </w:r>
      <w:r w:rsidR="00C4582A" w:rsidRPr="00A66C48">
        <w:rPr>
          <w:rFonts w:ascii="Times New Roman" w:hAnsi="Times New Roman"/>
        </w:rPr>
        <w:t xml:space="preserve"> CRP</w:t>
      </w:r>
      <w:r w:rsidR="00AA40F6" w:rsidRPr="00A66C48">
        <w:rPr>
          <w:rFonts w:ascii="Times New Roman" w:hAnsi="Times New Roman"/>
        </w:rPr>
        <w:t xml:space="preserve"> action</w:t>
      </w:r>
      <w:r w:rsidRPr="00A66C48">
        <w:rPr>
          <w:rFonts w:ascii="Times New Roman" w:hAnsi="Times New Roman"/>
        </w:rPr>
        <w:t xml:space="preserve"> </w:t>
      </w:r>
      <w:r w:rsidR="00A75CD4" w:rsidRPr="00A66C48">
        <w:rPr>
          <w:rFonts w:ascii="Times New Roman" w:hAnsi="Times New Roman"/>
        </w:rPr>
        <w:t>require</w:t>
      </w:r>
      <w:r w:rsidR="00AA40F6" w:rsidRPr="00A66C48">
        <w:rPr>
          <w:rFonts w:ascii="Times New Roman" w:hAnsi="Times New Roman"/>
        </w:rPr>
        <w:t>s</w:t>
      </w:r>
      <w:r w:rsidR="00A75CD4" w:rsidRPr="00A66C48">
        <w:rPr>
          <w:rFonts w:ascii="Times New Roman" w:hAnsi="Times New Roman"/>
        </w:rPr>
        <w:t xml:space="preserve"> an estimated</w:t>
      </w:r>
      <w:r w:rsidR="00C4582A" w:rsidRPr="00A66C48">
        <w:rPr>
          <w:rFonts w:ascii="Times New Roman" w:hAnsi="Times New Roman"/>
        </w:rPr>
        <w:t xml:space="preserve"> </w:t>
      </w:r>
      <w:r w:rsidR="00B24667" w:rsidRPr="00A66C48">
        <w:rPr>
          <w:rFonts w:ascii="Times New Roman" w:hAnsi="Times New Roman"/>
        </w:rPr>
        <w:t>5.</w:t>
      </w:r>
      <w:r w:rsidR="008B7CCF">
        <w:rPr>
          <w:rFonts w:ascii="Times New Roman" w:hAnsi="Times New Roman"/>
        </w:rPr>
        <w:t>8</w:t>
      </w:r>
      <w:r w:rsidR="00F2098F">
        <w:rPr>
          <w:rFonts w:ascii="Times New Roman" w:hAnsi="Times New Roman"/>
        </w:rPr>
        <w:t>7</w:t>
      </w:r>
      <w:r w:rsidR="007B5BE4" w:rsidRPr="00A66C48">
        <w:rPr>
          <w:rFonts w:ascii="Times New Roman" w:hAnsi="Times New Roman"/>
        </w:rPr>
        <w:t xml:space="preserve"> </w:t>
      </w:r>
      <w:r w:rsidRPr="00A66C48">
        <w:rPr>
          <w:rFonts w:ascii="Times New Roman" w:hAnsi="Times New Roman"/>
        </w:rPr>
        <w:t>hour</w:t>
      </w:r>
      <w:r w:rsidR="00A75CD4" w:rsidRPr="00A66C48">
        <w:rPr>
          <w:rFonts w:ascii="Times New Roman" w:hAnsi="Times New Roman"/>
        </w:rPr>
        <w:t>s</w:t>
      </w:r>
      <w:r w:rsidRPr="00A66C48">
        <w:rPr>
          <w:rFonts w:ascii="Times New Roman" w:hAnsi="Times New Roman"/>
        </w:rPr>
        <w:t xml:space="preserve"> </w:t>
      </w:r>
      <w:r w:rsidR="00C4582A" w:rsidRPr="00A66C48">
        <w:rPr>
          <w:rFonts w:ascii="Times New Roman" w:hAnsi="Times New Roman"/>
        </w:rPr>
        <w:t xml:space="preserve">of </w:t>
      </w:r>
      <w:r w:rsidRPr="00A66C48">
        <w:rPr>
          <w:rFonts w:ascii="Times New Roman" w:hAnsi="Times New Roman"/>
        </w:rPr>
        <w:t xml:space="preserve">technical time and </w:t>
      </w:r>
      <w:r w:rsidR="00B24667" w:rsidRPr="00A66C48">
        <w:rPr>
          <w:rFonts w:ascii="Times New Roman" w:hAnsi="Times New Roman"/>
        </w:rPr>
        <w:t>2</w:t>
      </w:r>
      <w:r w:rsidR="000D5D08" w:rsidRPr="00A66C48">
        <w:rPr>
          <w:rFonts w:ascii="Times New Roman" w:hAnsi="Times New Roman"/>
        </w:rPr>
        <w:t>.</w:t>
      </w:r>
      <w:r w:rsidR="00F2098F">
        <w:rPr>
          <w:rFonts w:ascii="Times New Roman" w:hAnsi="Times New Roman"/>
        </w:rPr>
        <w:t>17</w:t>
      </w:r>
      <w:r w:rsidR="00B6098D" w:rsidRPr="00A66C48">
        <w:rPr>
          <w:rFonts w:ascii="Times New Roman" w:hAnsi="Times New Roman"/>
        </w:rPr>
        <w:t xml:space="preserve"> </w:t>
      </w:r>
      <w:r w:rsidR="00A75CD4" w:rsidRPr="00A66C48">
        <w:rPr>
          <w:rFonts w:ascii="Times New Roman" w:hAnsi="Times New Roman"/>
        </w:rPr>
        <w:t xml:space="preserve">hours </w:t>
      </w:r>
      <w:r w:rsidR="00877892" w:rsidRPr="00A66C48">
        <w:rPr>
          <w:rFonts w:ascii="Times New Roman" w:hAnsi="Times New Roman"/>
        </w:rPr>
        <w:t xml:space="preserve">of </w:t>
      </w:r>
      <w:r w:rsidRPr="00A66C48">
        <w:rPr>
          <w:rFonts w:ascii="Times New Roman" w:hAnsi="Times New Roman"/>
        </w:rPr>
        <w:t xml:space="preserve">clerical time, which </w:t>
      </w:r>
      <w:r w:rsidR="00C4582A" w:rsidRPr="00A66C48">
        <w:rPr>
          <w:rFonts w:ascii="Times New Roman" w:hAnsi="Times New Roman"/>
        </w:rPr>
        <w:t>is</w:t>
      </w:r>
      <w:r w:rsidRPr="00A66C48">
        <w:rPr>
          <w:rFonts w:ascii="Times New Roman" w:hAnsi="Times New Roman"/>
        </w:rPr>
        <w:t xml:space="preserve"> broken down as follows</w:t>
      </w:r>
      <w:r w:rsidR="00877892" w:rsidRPr="00A66C48">
        <w:rPr>
          <w:rFonts w:ascii="Times New Roman" w:hAnsi="Times New Roman"/>
        </w:rPr>
        <w:t xml:space="preserve"> (see Table 2)</w:t>
      </w:r>
      <w:r w:rsidRPr="00A66C48">
        <w:rPr>
          <w:rFonts w:ascii="Times New Roman" w:hAnsi="Times New Roman"/>
        </w:rPr>
        <w:t>:</w:t>
      </w:r>
    </w:p>
    <w:p w:rsidR="00C16B89" w:rsidRPr="00A66C48" w:rsidRDefault="00C16B89" w:rsidP="00B422F8">
      <w:pPr>
        <w:numPr>
          <w:ilvl w:val="12"/>
          <w:numId w:val="0"/>
        </w:numPr>
        <w:rPr>
          <w:rFonts w:ascii="Times New Roman" w:hAnsi="Times New Roman"/>
        </w:rPr>
      </w:pPr>
    </w:p>
    <w:p w:rsidR="00B422F8" w:rsidRPr="00A66C48" w:rsidRDefault="00B422F8" w:rsidP="00B422F8">
      <w:pPr>
        <w:spacing w:line="2" w:lineRule="exact"/>
      </w:pPr>
    </w:p>
    <w:p w:rsidR="000414E8" w:rsidRPr="00A66C48" w:rsidRDefault="00AD6205" w:rsidP="006C44A5">
      <w:pPr>
        <w:pStyle w:val="Level1"/>
        <w:numPr>
          <w:ilvl w:val="0"/>
          <w:numId w:val="5"/>
        </w:numPr>
        <w:jc w:val="left"/>
        <w:rPr>
          <w:rFonts w:ascii="Times New Roman" w:hAnsi="Times New Roman"/>
        </w:rPr>
      </w:pPr>
      <w:r w:rsidRPr="00A66C48">
        <w:rPr>
          <w:rFonts w:ascii="Times New Roman" w:hAnsi="Times New Roman"/>
        </w:rPr>
        <w:t>0.7</w:t>
      </w:r>
      <w:r w:rsidR="00962590">
        <w:rPr>
          <w:rFonts w:ascii="Times New Roman" w:hAnsi="Times New Roman"/>
        </w:rPr>
        <w:t>8</w:t>
      </w:r>
      <w:r w:rsidR="00B422F8" w:rsidRPr="00A66C48">
        <w:rPr>
          <w:rFonts w:ascii="Times New Roman" w:hAnsi="Times New Roman"/>
        </w:rPr>
        <w:t xml:space="preserve"> technical </w:t>
      </w:r>
      <w:r w:rsidRPr="00A66C48">
        <w:rPr>
          <w:rFonts w:ascii="Times New Roman" w:hAnsi="Times New Roman"/>
        </w:rPr>
        <w:t>hours</w:t>
      </w:r>
      <w:r w:rsidR="00B422F8" w:rsidRPr="00A66C48">
        <w:rPr>
          <w:rFonts w:ascii="Times New Roman" w:hAnsi="Times New Roman"/>
        </w:rPr>
        <w:t xml:space="preserve"> to ascertain whether the product is subject to the CRP regulations (meets toxicity criteria, residential use) and to decide whether to submit a CRP certification, data, be exempt from regulations due to large size or other criteria;</w:t>
      </w:r>
    </w:p>
    <w:p w:rsidR="000414E8" w:rsidRPr="00A66C48" w:rsidRDefault="00AD6205" w:rsidP="000414E8">
      <w:pPr>
        <w:pStyle w:val="Level1"/>
        <w:numPr>
          <w:ilvl w:val="0"/>
          <w:numId w:val="5"/>
        </w:numPr>
        <w:jc w:val="left"/>
        <w:rPr>
          <w:rFonts w:ascii="Times New Roman" w:hAnsi="Times New Roman"/>
        </w:rPr>
      </w:pPr>
      <w:r w:rsidRPr="00A66C48">
        <w:rPr>
          <w:rFonts w:ascii="Times New Roman" w:hAnsi="Times New Roman"/>
        </w:rPr>
        <w:t>2.</w:t>
      </w:r>
      <w:r w:rsidR="00962590">
        <w:rPr>
          <w:rFonts w:ascii="Times New Roman" w:hAnsi="Times New Roman"/>
        </w:rPr>
        <w:t>35</w:t>
      </w:r>
      <w:r w:rsidR="00B422F8" w:rsidRPr="00A66C48">
        <w:rPr>
          <w:rFonts w:ascii="Times New Roman" w:hAnsi="Times New Roman"/>
        </w:rPr>
        <w:t xml:space="preserve"> technical </w:t>
      </w:r>
      <w:r w:rsidRPr="00A66C48">
        <w:rPr>
          <w:rFonts w:ascii="Times New Roman" w:hAnsi="Times New Roman"/>
        </w:rPr>
        <w:t>hours</w:t>
      </w:r>
      <w:r w:rsidR="00B422F8" w:rsidRPr="00A66C48">
        <w:rPr>
          <w:rFonts w:ascii="Times New Roman" w:hAnsi="Times New Roman"/>
        </w:rPr>
        <w:t xml:space="preserve"> to create/prepare the information; </w:t>
      </w:r>
    </w:p>
    <w:p w:rsidR="006F7CCE" w:rsidRPr="00A66C48" w:rsidRDefault="00AD6205" w:rsidP="000414E8">
      <w:pPr>
        <w:pStyle w:val="Level1"/>
        <w:numPr>
          <w:ilvl w:val="0"/>
          <w:numId w:val="5"/>
        </w:numPr>
        <w:jc w:val="left"/>
      </w:pPr>
      <w:r w:rsidRPr="00A66C48">
        <w:rPr>
          <w:rFonts w:ascii="Times New Roman" w:hAnsi="Times New Roman"/>
        </w:rPr>
        <w:t>2.</w:t>
      </w:r>
      <w:r w:rsidR="00962590">
        <w:rPr>
          <w:rFonts w:ascii="Times New Roman" w:hAnsi="Times New Roman"/>
        </w:rPr>
        <w:t>15</w:t>
      </w:r>
      <w:r w:rsidR="007E494F" w:rsidRPr="00A66C48">
        <w:rPr>
          <w:rFonts w:ascii="Times New Roman" w:hAnsi="Times New Roman"/>
        </w:rPr>
        <w:t xml:space="preserve"> </w:t>
      </w:r>
      <w:r w:rsidR="006F7CCE" w:rsidRPr="00A66C48">
        <w:rPr>
          <w:rFonts w:ascii="Times New Roman" w:hAnsi="Times New Roman"/>
        </w:rPr>
        <w:t xml:space="preserve">technical </w:t>
      </w:r>
      <w:r w:rsidRPr="00A66C48">
        <w:rPr>
          <w:rFonts w:ascii="Times New Roman" w:hAnsi="Times New Roman"/>
        </w:rPr>
        <w:t>hours</w:t>
      </w:r>
      <w:r w:rsidR="006F7CCE" w:rsidRPr="00A66C48">
        <w:rPr>
          <w:rFonts w:ascii="Times New Roman" w:hAnsi="Times New Roman"/>
        </w:rPr>
        <w:t xml:space="preserve"> to review submission for accuracy and appropriateness (process, compile, complete document); </w:t>
      </w:r>
    </w:p>
    <w:p w:rsidR="006C44A5" w:rsidRPr="00A66C48" w:rsidRDefault="00B24667" w:rsidP="006C44A5">
      <w:pPr>
        <w:pStyle w:val="Level1"/>
        <w:numPr>
          <w:ilvl w:val="0"/>
          <w:numId w:val="5"/>
        </w:numPr>
        <w:jc w:val="left"/>
        <w:rPr>
          <w:rFonts w:ascii="Times New Roman" w:hAnsi="Times New Roman"/>
        </w:rPr>
      </w:pPr>
      <w:r w:rsidRPr="00A66C48">
        <w:rPr>
          <w:rFonts w:ascii="Times New Roman" w:hAnsi="Times New Roman"/>
        </w:rPr>
        <w:t>1</w:t>
      </w:r>
      <w:r w:rsidR="00AD6205" w:rsidRPr="00A66C48">
        <w:rPr>
          <w:rFonts w:ascii="Times New Roman" w:hAnsi="Times New Roman"/>
        </w:rPr>
        <w:t>.6</w:t>
      </w:r>
      <w:r w:rsidR="00962590">
        <w:rPr>
          <w:rFonts w:ascii="Times New Roman" w:hAnsi="Times New Roman"/>
        </w:rPr>
        <w:t>3</w:t>
      </w:r>
      <w:r w:rsidRPr="00A66C48">
        <w:rPr>
          <w:rFonts w:ascii="Times New Roman" w:hAnsi="Times New Roman"/>
        </w:rPr>
        <w:t xml:space="preserve"> </w:t>
      </w:r>
      <w:r w:rsidR="006C44A5" w:rsidRPr="00A66C48">
        <w:rPr>
          <w:rFonts w:ascii="Times New Roman" w:hAnsi="Times New Roman"/>
        </w:rPr>
        <w:t>clerical</w:t>
      </w:r>
      <w:r w:rsidRPr="00A66C48">
        <w:rPr>
          <w:rFonts w:ascii="Times New Roman" w:hAnsi="Times New Roman"/>
        </w:rPr>
        <w:t xml:space="preserve"> hours</w:t>
      </w:r>
      <w:r w:rsidR="006C44A5" w:rsidRPr="00A66C48">
        <w:rPr>
          <w:rFonts w:ascii="Times New Roman" w:hAnsi="Times New Roman"/>
        </w:rPr>
        <w:t xml:space="preserve"> to format submission and prepare information; </w:t>
      </w:r>
    </w:p>
    <w:p w:rsidR="00B24667" w:rsidRPr="00A66C48" w:rsidRDefault="00AD6205" w:rsidP="00C16B89">
      <w:pPr>
        <w:pStyle w:val="Level1"/>
        <w:numPr>
          <w:ilvl w:val="0"/>
          <w:numId w:val="5"/>
        </w:numPr>
        <w:jc w:val="left"/>
        <w:rPr>
          <w:rFonts w:ascii="Times New Roman" w:hAnsi="Times New Roman"/>
        </w:rPr>
      </w:pPr>
      <w:r w:rsidRPr="00A66C48">
        <w:rPr>
          <w:rFonts w:ascii="Times New Roman" w:hAnsi="Times New Roman"/>
        </w:rPr>
        <w:t>0.5</w:t>
      </w:r>
      <w:r w:rsidR="00962590">
        <w:rPr>
          <w:rFonts w:ascii="Times New Roman" w:hAnsi="Times New Roman"/>
        </w:rPr>
        <w:t>9</w:t>
      </w:r>
      <w:r w:rsidR="006C44A5" w:rsidRPr="00A66C48">
        <w:rPr>
          <w:rFonts w:ascii="Times New Roman" w:hAnsi="Times New Roman"/>
        </w:rPr>
        <w:t xml:space="preserve"> technical</w:t>
      </w:r>
      <w:r w:rsidRPr="00A66C48">
        <w:rPr>
          <w:rFonts w:ascii="Times New Roman" w:hAnsi="Times New Roman"/>
        </w:rPr>
        <w:t xml:space="preserve"> hours</w:t>
      </w:r>
      <w:r w:rsidR="006C44A5" w:rsidRPr="00A66C48">
        <w:rPr>
          <w:rFonts w:ascii="Times New Roman" w:hAnsi="Times New Roman"/>
        </w:rPr>
        <w:t xml:space="preserve"> to </w:t>
      </w:r>
      <w:r w:rsidR="00A75CD4" w:rsidRPr="00A66C48">
        <w:rPr>
          <w:rFonts w:ascii="Times New Roman" w:hAnsi="Times New Roman"/>
        </w:rPr>
        <w:t xml:space="preserve">review and </w:t>
      </w:r>
      <w:r w:rsidR="006C44A5" w:rsidRPr="00A66C48">
        <w:rPr>
          <w:rFonts w:ascii="Times New Roman" w:hAnsi="Times New Roman"/>
        </w:rPr>
        <w:t>sign the appropriate documents; and,</w:t>
      </w:r>
    </w:p>
    <w:p w:rsidR="00C16B89" w:rsidRPr="00A66C48" w:rsidRDefault="00AD6205" w:rsidP="00B24667">
      <w:pPr>
        <w:pStyle w:val="Level1"/>
        <w:numPr>
          <w:ilvl w:val="0"/>
          <w:numId w:val="5"/>
        </w:numPr>
        <w:jc w:val="left"/>
        <w:rPr>
          <w:rFonts w:ascii="Times New Roman" w:hAnsi="Times New Roman"/>
        </w:rPr>
      </w:pPr>
      <w:r w:rsidRPr="00A66C48">
        <w:rPr>
          <w:rFonts w:ascii="Times New Roman" w:hAnsi="Times New Roman"/>
        </w:rPr>
        <w:t>0.</w:t>
      </w:r>
      <w:r w:rsidR="00F2098F">
        <w:rPr>
          <w:rFonts w:ascii="Times New Roman" w:hAnsi="Times New Roman"/>
        </w:rPr>
        <w:t>54</w:t>
      </w:r>
      <w:r w:rsidR="00C16B89" w:rsidRPr="00A66C48">
        <w:rPr>
          <w:rFonts w:ascii="Times New Roman" w:hAnsi="Times New Roman"/>
        </w:rPr>
        <w:t xml:space="preserve"> clerical </w:t>
      </w:r>
      <w:r w:rsidR="00B24667" w:rsidRPr="00A66C48">
        <w:rPr>
          <w:rFonts w:ascii="Times New Roman" w:hAnsi="Times New Roman"/>
        </w:rPr>
        <w:t>hours</w:t>
      </w:r>
      <w:r w:rsidR="00C16B89" w:rsidRPr="00A66C48">
        <w:rPr>
          <w:rFonts w:ascii="Times New Roman" w:hAnsi="Times New Roman"/>
        </w:rPr>
        <w:t xml:space="preserve"> to mail the submission, file the respondent copy and CRP documentation</w:t>
      </w:r>
    </w:p>
    <w:p w:rsidR="00C16B89" w:rsidRDefault="00C16B89" w:rsidP="00C16B89">
      <w:pPr>
        <w:pStyle w:val="Level1"/>
        <w:ind w:left="0"/>
        <w:jc w:val="left"/>
        <w:rPr>
          <w:rFonts w:ascii="Times New Roman" w:hAnsi="Times New Roman"/>
        </w:rPr>
      </w:pPr>
    </w:p>
    <w:tbl>
      <w:tblPr>
        <w:tblW w:w="5000" w:type="pct"/>
        <w:jc w:val="center"/>
        <w:tblLayout w:type="fixed"/>
        <w:tblCellMar>
          <w:left w:w="120" w:type="dxa"/>
          <w:right w:w="120" w:type="dxa"/>
        </w:tblCellMar>
        <w:tblLook w:val="0000"/>
      </w:tblPr>
      <w:tblGrid>
        <w:gridCol w:w="5077"/>
        <w:gridCol w:w="2677"/>
        <w:gridCol w:w="1846"/>
      </w:tblGrid>
      <w:tr w:rsidR="002F14F8" w:rsidRPr="00A66C48" w:rsidTr="00BF1413">
        <w:trPr>
          <w:cantSplit/>
          <w:jc w:val="center"/>
        </w:trPr>
        <w:tc>
          <w:tcPr>
            <w:tcW w:w="5077" w:type="dxa"/>
            <w:tcBorders>
              <w:top w:val="single" w:sz="6" w:space="0" w:color="000000"/>
              <w:left w:val="single" w:sz="6" w:space="0" w:color="000000"/>
              <w:bottom w:val="nil"/>
              <w:right w:val="nil"/>
            </w:tcBorders>
          </w:tcPr>
          <w:p w:rsidR="002F14F8" w:rsidRPr="00A66C48" w:rsidRDefault="002F14F8" w:rsidP="00BF1413">
            <w:pPr>
              <w:numPr>
                <w:ilvl w:val="12"/>
                <w:numId w:val="0"/>
              </w:numPr>
              <w:jc w:val="center"/>
              <w:rPr>
                <w:rFonts w:ascii="Times New Roman" w:hAnsi="Times New Roman"/>
                <w:sz w:val="20"/>
                <w:szCs w:val="20"/>
              </w:rPr>
            </w:pPr>
            <w:bookmarkStart w:id="3" w:name="_Hlk250528208"/>
            <w:r w:rsidRPr="00A66C48">
              <w:rPr>
                <w:rFonts w:ascii="Times New Roman" w:hAnsi="Times New Roman"/>
                <w:b/>
                <w:bCs/>
                <w:sz w:val="20"/>
                <w:szCs w:val="20"/>
                <w:u w:val="single"/>
              </w:rPr>
              <w:t>Type of Response</w:t>
            </w:r>
          </w:p>
        </w:tc>
        <w:tc>
          <w:tcPr>
            <w:tcW w:w="2677" w:type="dxa"/>
            <w:tcBorders>
              <w:top w:val="single" w:sz="6" w:space="0" w:color="000000"/>
              <w:left w:val="nil"/>
              <w:bottom w:val="nil"/>
              <w:right w:val="nil"/>
            </w:tcBorders>
          </w:tcPr>
          <w:p w:rsidR="002F14F8" w:rsidRPr="00A66C48" w:rsidRDefault="002F14F8" w:rsidP="00BF1413">
            <w:pPr>
              <w:numPr>
                <w:ilvl w:val="12"/>
                <w:numId w:val="0"/>
              </w:numPr>
              <w:jc w:val="center"/>
              <w:rPr>
                <w:rFonts w:ascii="Times New Roman" w:hAnsi="Times New Roman"/>
                <w:sz w:val="20"/>
                <w:szCs w:val="20"/>
              </w:rPr>
            </w:pPr>
            <w:r w:rsidRPr="00A66C48">
              <w:rPr>
                <w:rFonts w:ascii="Times New Roman" w:hAnsi="Times New Roman"/>
                <w:b/>
                <w:bCs/>
                <w:sz w:val="20"/>
                <w:szCs w:val="20"/>
                <w:u w:val="single"/>
              </w:rPr>
              <w:t>Number of Responses</w:t>
            </w:r>
          </w:p>
        </w:tc>
        <w:tc>
          <w:tcPr>
            <w:tcW w:w="1846" w:type="dxa"/>
            <w:tcBorders>
              <w:top w:val="single" w:sz="6" w:space="0" w:color="000000"/>
              <w:left w:val="nil"/>
              <w:bottom w:val="nil"/>
              <w:right w:val="single" w:sz="6" w:space="0" w:color="000000"/>
            </w:tcBorders>
          </w:tcPr>
          <w:p w:rsidR="002F14F8" w:rsidRPr="00A66C48" w:rsidRDefault="002F14F8" w:rsidP="00BF1413">
            <w:pPr>
              <w:numPr>
                <w:ilvl w:val="12"/>
                <w:numId w:val="0"/>
              </w:numPr>
              <w:jc w:val="center"/>
              <w:rPr>
                <w:rFonts w:ascii="Times New Roman" w:hAnsi="Times New Roman"/>
                <w:sz w:val="20"/>
                <w:szCs w:val="20"/>
              </w:rPr>
            </w:pPr>
            <w:r w:rsidRPr="00A66C48">
              <w:rPr>
                <w:rFonts w:ascii="Times New Roman" w:hAnsi="Times New Roman"/>
                <w:b/>
                <w:bCs/>
                <w:sz w:val="20"/>
                <w:szCs w:val="20"/>
                <w:u w:val="single"/>
              </w:rPr>
              <w:t>Percent of Total</w:t>
            </w:r>
          </w:p>
        </w:tc>
      </w:tr>
      <w:tr w:rsidR="00945F1A" w:rsidRPr="00A66C48" w:rsidTr="00BF1413">
        <w:trPr>
          <w:cantSplit/>
          <w:jc w:val="center"/>
        </w:trPr>
        <w:tc>
          <w:tcPr>
            <w:tcW w:w="5077" w:type="dxa"/>
            <w:tcBorders>
              <w:top w:val="nil"/>
              <w:left w:val="single" w:sz="6" w:space="0" w:color="000000"/>
              <w:bottom w:val="nil"/>
              <w:right w:val="nil"/>
            </w:tcBorders>
            <w:vAlign w:val="center"/>
          </w:tcPr>
          <w:p w:rsidR="00945F1A" w:rsidRPr="00A66C48" w:rsidRDefault="00945F1A" w:rsidP="00BF1413">
            <w:pPr>
              <w:numPr>
                <w:ilvl w:val="12"/>
                <w:numId w:val="0"/>
              </w:numPr>
              <w:rPr>
                <w:rFonts w:ascii="Times New Roman" w:hAnsi="Times New Roman"/>
                <w:sz w:val="20"/>
                <w:szCs w:val="20"/>
              </w:rPr>
            </w:pPr>
            <w:bookmarkStart w:id="4" w:name="_Hlk250471742"/>
            <w:r w:rsidRPr="00A66C48">
              <w:rPr>
                <w:rFonts w:ascii="Times New Roman" w:hAnsi="Times New Roman"/>
                <w:sz w:val="20"/>
                <w:szCs w:val="20"/>
              </w:rPr>
              <w:t>CRP certification without data</w:t>
            </w:r>
          </w:p>
        </w:tc>
        <w:tc>
          <w:tcPr>
            <w:tcW w:w="2677" w:type="dxa"/>
            <w:tcBorders>
              <w:top w:val="nil"/>
              <w:left w:val="nil"/>
              <w:bottom w:val="nil"/>
              <w:right w:val="nil"/>
            </w:tcBorders>
          </w:tcPr>
          <w:p w:rsidR="00945F1A" w:rsidRPr="00A66C48" w:rsidRDefault="00887E02" w:rsidP="00BF1413">
            <w:pPr>
              <w:numPr>
                <w:ilvl w:val="12"/>
                <w:numId w:val="0"/>
              </w:numPr>
              <w:jc w:val="center"/>
              <w:rPr>
                <w:rFonts w:ascii="Times New Roman" w:hAnsi="Times New Roman"/>
                <w:sz w:val="20"/>
                <w:szCs w:val="20"/>
              </w:rPr>
            </w:pPr>
            <w:r w:rsidRPr="00A66C48">
              <w:rPr>
                <w:rFonts w:ascii="Times New Roman" w:hAnsi="Times New Roman"/>
                <w:sz w:val="20"/>
                <w:szCs w:val="20"/>
              </w:rPr>
              <w:t>212</w:t>
            </w:r>
          </w:p>
        </w:tc>
        <w:tc>
          <w:tcPr>
            <w:tcW w:w="1846" w:type="dxa"/>
            <w:tcBorders>
              <w:top w:val="nil"/>
              <w:left w:val="nil"/>
              <w:bottom w:val="nil"/>
              <w:right w:val="single" w:sz="6" w:space="0" w:color="000000"/>
            </w:tcBorders>
          </w:tcPr>
          <w:p w:rsidR="00945F1A" w:rsidRPr="00A66C48" w:rsidRDefault="00887E02" w:rsidP="00BF1413">
            <w:pPr>
              <w:numPr>
                <w:ilvl w:val="12"/>
                <w:numId w:val="0"/>
              </w:numPr>
              <w:jc w:val="center"/>
              <w:rPr>
                <w:rFonts w:ascii="Times New Roman" w:hAnsi="Times New Roman"/>
                <w:sz w:val="20"/>
                <w:szCs w:val="20"/>
              </w:rPr>
            </w:pPr>
            <w:r w:rsidRPr="00A66C48">
              <w:rPr>
                <w:rFonts w:ascii="Times New Roman" w:hAnsi="Times New Roman"/>
                <w:sz w:val="20"/>
                <w:szCs w:val="20"/>
              </w:rPr>
              <w:t>31</w:t>
            </w:r>
          </w:p>
        </w:tc>
      </w:tr>
      <w:tr w:rsidR="00945F1A" w:rsidRPr="00A66C48" w:rsidTr="00BF1413">
        <w:trPr>
          <w:cantSplit/>
          <w:jc w:val="center"/>
        </w:trPr>
        <w:tc>
          <w:tcPr>
            <w:tcW w:w="5077" w:type="dxa"/>
            <w:tcBorders>
              <w:top w:val="nil"/>
              <w:left w:val="single" w:sz="6" w:space="0" w:color="000000"/>
              <w:bottom w:val="nil"/>
              <w:right w:val="nil"/>
            </w:tcBorders>
            <w:vAlign w:val="center"/>
          </w:tcPr>
          <w:p w:rsidR="00945F1A" w:rsidRPr="00A66C48" w:rsidRDefault="00945F1A" w:rsidP="00BF1413">
            <w:pPr>
              <w:numPr>
                <w:ilvl w:val="12"/>
                <w:numId w:val="0"/>
              </w:numPr>
              <w:rPr>
                <w:rFonts w:ascii="Times New Roman" w:hAnsi="Times New Roman"/>
                <w:sz w:val="20"/>
                <w:szCs w:val="20"/>
              </w:rPr>
            </w:pPr>
            <w:r w:rsidRPr="00A66C48">
              <w:rPr>
                <w:rFonts w:ascii="Times New Roman" w:hAnsi="Times New Roman"/>
                <w:sz w:val="20"/>
                <w:szCs w:val="20"/>
              </w:rPr>
              <w:t>CRP certification with data</w:t>
            </w:r>
          </w:p>
        </w:tc>
        <w:tc>
          <w:tcPr>
            <w:tcW w:w="2677" w:type="dxa"/>
            <w:tcBorders>
              <w:top w:val="nil"/>
              <w:left w:val="nil"/>
              <w:bottom w:val="nil"/>
              <w:right w:val="nil"/>
            </w:tcBorders>
          </w:tcPr>
          <w:p w:rsidR="00945F1A" w:rsidRPr="00A66C48" w:rsidRDefault="00887E02" w:rsidP="00BF1413">
            <w:pPr>
              <w:numPr>
                <w:ilvl w:val="12"/>
                <w:numId w:val="0"/>
              </w:numPr>
              <w:jc w:val="center"/>
              <w:rPr>
                <w:rFonts w:ascii="Times New Roman" w:hAnsi="Times New Roman"/>
                <w:sz w:val="20"/>
                <w:szCs w:val="20"/>
              </w:rPr>
            </w:pPr>
            <w:r w:rsidRPr="00A66C48">
              <w:rPr>
                <w:rFonts w:ascii="Times New Roman" w:hAnsi="Times New Roman"/>
                <w:sz w:val="20"/>
                <w:szCs w:val="20"/>
              </w:rPr>
              <w:t>453</w:t>
            </w:r>
          </w:p>
        </w:tc>
        <w:tc>
          <w:tcPr>
            <w:tcW w:w="1846" w:type="dxa"/>
            <w:tcBorders>
              <w:top w:val="nil"/>
              <w:left w:val="nil"/>
              <w:bottom w:val="nil"/>
              <w:right w:val="single" w:sz="6" w:space="0" w:color="000000"/>
            </w:tcBorders>
          </w:tcPr>
          <w:p w:rsidR="00945F1A" w:rsidRPr="00A66C48" w:rsidRDefault="00887E02" w:rsidP="00BF1413">
            <w:pPr>
              <w:numPr>
                <w:ilvl w:val="12"/>
                <w:numId w:val="0"/>
              </w:numPr>
              <w:jc w:val="center"/>
              <w:rPr>
                <w:rFonts w:ascii="Times New Roman" w:hAnsi="Times New Roman"/>
                <w:sz w:val="20"/>
                <w:szCs w:val="20"/>
              </w:rPr>
            </w:pPr>
            <w:r w:rsidRPr="00A66C48">
              <w:rPr>
                <w:rFonts w:ascii="Times New Roman" w:hAnsi="Times New Roman"/>
                <w:sz w:val="20"/>
                <w:szCs w:val="20"/>
              </w:rPr>
              <w:t>66</w:t>
            </w:r>
          </w:p>
        </w:tc>
      </w:tr>
      <w:tr w:rsidR="00945F1A" w:rsidRPr="00A66C48" w:rsidTr="00BF1413">
        <w:trPr>
          <w:cantSplit/>
          <w:jc w:val="center"/>
        </w:trPr>
        <w:tc>
          <w:tcPr>
            <w:tcW w:w="5077" w:type="dxa"/>
            <w:tcBorders>
              <w:top w:val="nil"/>
              <w:left w:val="single" w:sz="6" w:space="0" w:color="000000"/>
              <w:bottom w:val="nil"/>
              <w:right w:val="nil"/>
            </w:tcBorders>
            <w:vAlign w:val="center"/>
          </w:tcPr>
          <w:p w:rsidR="00945F1A" w:rsidRPr="00A66C48" w:rsidRDefault="00945F1A" w:rsidP="00BF1413">
            <w:pPr>
              <w:numPr>
                <w:ilvl w:val="12"/>
                <w:numId w:val="0"/>
              </w:numPr>
              <w:rPr>
                <w:rFonts w:ascii="Times New Roman" w:hAnsi="Times New Roman"/>
                <w:sz w:val="20"/>
                <w:szCs w:val="20"/>
              </w:rPr>
            </w:pPr>
            <w:r w:rsidRPr="00A66C48">
              <w:rPr>
                <w:rFonts w:ascii="Times New Roman" w:hAnsi="Times New Roman"/>
                <w:sz w:val="20"/>
                <w:szCs w:val="20"/>
              </w:rPr>
              <w:t>Exempt – large package size</w:t>
            </w:r>
          </w:p>
        </w:tc>
        <w:tc>
          <w:tcPr>
            <w:tcW w:w="2677" w:type="dxa"/>
            <w:tcBorders>
              <w:top w:val="nil"/>
              <w:left w:val="nil"/>
              <w:bottom w:val="nil"/>
              <w:right w:val="nil"/>
            </w:tcBorders>
          </w:tcPr>
          <w:p w:rsidR="00945F1A" w:rsidRPr="00A66C48" w:rsidRDefault="00887E02" w:rsidP="00BF1413">
            <w:pPr>
              <w:numPr>
                <w:ilvl w:val="12"/>
                <w:numId w:val="0"/>
              </w:numPr>
              <w:jc w:val="center"/>
              <w:rPr>
                <w:rFonts w:ascii="Times New Roman" w:hAnsi="Times New Roman"/>
                <w:sz w:val="20"/>
                <w:szCs w:val="20"/>
              </w:rPr>
            </w:pPr>
            <w:r w:rsidRPr="00A66C48">
              <w:rPr>
                <w:rFonts w:ascii="Times New Roman" w:hAnsi="Times New Roman"/>
                <w:sz w:val="20"/>
                <w:szCs w:val="20"/>
              </w:rPr>
              <w:t>12</w:t>
            </w:r>
          </w:p>
        </w:tc>
        <w:tc>
          <w:tcPr>
            <w:tcW w:w="1846" w:type="dxa"/>
            <w:tcBorders>
              <w:top w:val="nil"/>
              <w:left w:val="nil"/>
              <w:bottom w:val="nil"/>
              <w:right w:val="single" w:sz="6" w:space="0" w:color="000000"/>
            </w:tcBorders>
          </w:tcPr>
          <w:p w:rsidR="00945F1A" w:rsidRPr="00A66C48" w:rsidRDefault="00887E02" w:rsidP="00BF1413">
            <w:pPr>
              <w:numPr>
                <w:ilvl w:val="12"/>
                <w:numId w:val="0"/>
              </w:numPr>
              <w:jc w:val="center"/>
              <w:rPr>
                <w:rFonts w:ascii="Times New Roman" w:hAnsi="Times New Roman"/>
                <w:sz w:val="20"/>
                <w:szCs w:val="20"/>
              </w:rPr>
            </w:pPr>
            <w:r w:rsidRPr="00A66C48">
              <w:rPr>
                <w:rFonts w:ascii="Times New Roman" w:hAnsi="Times New Roman"/>
                <w:sz w:val="20"/>
                <w:szCs w:val="20"/>
              </w:rPr>
              <w:t>2</w:t>
            </w:r>
          </w:p>
        </w:tc>
      </w:tr>
      <w:tr w:rsidR="00945F1A" w:rsidRPr="00A66C48" w:rsidTr="00BF1413">
        <w:trPr>
          <w:cantSplit/>
          <w:jc w:val="center"/>
        </w:trPr>
        <w:tc>
          <w:tcPr>
            <w:tcW w:w="5077" w:type="dxa"/>
            <w:tcBorders>
              <w:top w:val="nil"/>
              <w:left w:val="single" w:sz="6" w:space="0" w:color="000000"/>
              <w:bottom w:val="nil"/>
              <w:right w:val="nil"/>
            </w:tcBorders>
            <w:vAlign w:val="center"/>
          </w:tcPr>
          <w:p w:rsidR="00B339C4" w:rsidRPr="00A66C48" w:rsidRDefault="00945F1A" w:rsidP="00BF1413">
            <w:pPr>
              <w:numPr>
                <w:ilvl w:val="12"/>
                <w:numId w:val="0"/>
              </w:numPr>
              <w:rPr>
                <w:rFonts w:ascii="Times New Roman" w:hAnsi="Times New Roman"/>
                <w:sz w:val="20"/>
                <w:szCs w:val="20"/>
              </w:rPr>
            </w:pPr>
            <w:r w:rsidRPr="00A66C48">
              <w:rPr>
                <w:rFonts w:ascii="Times New Roman" w:hAnsi="Times New Roman"/>
                <w:sz w:val="20"/>
                <w:szCs w:val="20"/>
              </w:rPr>
              <w:t xml:space="preserve">Exempt – </w:t>
            </w:r>
            <w:bookmarkStart w:id="5" w:name="OLE_LINK41"/>
            <w:bookmarkStart w:id="6" w:name="OLE_LINK42"/>
            <w:r w:rsidRPr="00A66C48">
              <w:rPr>
                <w:rFonts w:ascii="Times New Roman" w:hAnsi="Times New Roman"/>
                <w:sz w:val="20"/>
                <w:szCs w:val="20"/>
              </w:rPr>
              <w:t>lack of toxicity, packaging, no residential use, lower product toxicity</w:t>
            </w:r>
            <w:bookmarkEnd w:id="5"/>
            <w:bookmarkEnd w:id="6"/>
            <w:r w:rsidR="00B339C4" w:rsidRPr="00A66C48">
              <w:rPr>
                <w:rFonts w:ascii="Times New Roman" w:hAnsi="Times New Roman"/>
                <w:sz w:val="20"/>
                <w:szCs w:val="20"/>
              </w:rPr>
              <w:t xml:space="preserve">                                                  </w:t>
            </w:r>
          </w:p>
        </w:tc>
        <w:tc>
          <w:tcPr>
            <w:tcW w:w="2677" w:type="dxa"/>
            <w:tcBorders>
              <w:top w:val="nil"/>
              <w:left w:val="nil"/>
              <w:bottom w:val="nil"/>
              <w:right w:val="nil"/>
            </w:tcBorders>
          </w:tcPr>
          <w:p w:rsidR="00945F1A" w:rsidRPr="00A66C48" w:rsidRDefault="00887E02" w:rsidP="00BF1413">
            <w:pPr>
              <w:numPr>
                <w:ilvl w:val="12"/>
                <w:numId w:val="0"/>
              </w:numPr>
              <w:jc w:val="center"/>
              <w:rPr>
                <w:rFonts w:ascii="Times New Roman" w:hAnsi="Times New Roman"/>
                <w:sz w:val="20"/>
                <w:szCs w:val="20"/>
              </w:rPr>
            </w:pPr>
            <w:r w:rsidRPr="00A66C48">
              <w:rPr>
                <w:rFonts w:ascii="Times New Roman" w:hAnsi="Times New Roman"/>
                <w:sz w:val="20"/>
                <w:szCs w:val="20"/>
              </w:rPr>
              <w:t>8</w:t>
            </w:r>
          </w:p>
        </w:tc>
        <w:tc>
          <w:tcPr>
            <w:tcW w:w="1846" w:type="dxa"/>
            <w:tcBorders>
              <w:top w:val="nil"/>
              <w:left w:val="nil"/>
              <w:bottom w:val="nil"/>
              <w:right w:val="single" w:sz="6" w:space="0" w:color="000000"/>
            </w:tcBorders>
          </w:tcPr>
          <w:p w:rsidR="00945F1A" w:rsidRPr="00A66C48" w:rsidRDefault="00887E02" w:rsidP="00BF1413">
            <w:pPr>
              <w:numPr>
                <w:ilvl w:val="12"/>
                <w:numId w:val="0"/>
              </w:numPr>
              <w:jc w:val="center"/>
              <w:rPr>
                <w:rFonts w:ascii="Times New Roman" w:hAnsi="Times New Roman"/>
                <w:sz w:val="20"/>
                <w:szCs w:val="20"/>
              </w:rPr>
            </w:pPr>
            <w:r w:rsidRPr="00A66C48">
              <w:rPr>
                <w:rFonts w:ascii="Times New Roman" w:hAnsi="Times New Roman"/>
                <w:sz w:val="20"/>
                <w:szCs w:val="20"/>
              </w:rPr>
              <w:t>1</w:t>
            </w:r>
          </w:p>
        </w:tc>
      </w:tr>
      <w:tr w:rsidR="00B339C4" w:rsidRPr="00A66C48" w:rsidTr="00BF1413">
        <w:trPr>
          <w:cantSplit/>
          <w:jc w:val="center"/>
        </w:trPr>
        <w:tc>
          <w:tcPr>
            <w:tcW w:w="5077" w:type="dxa"/>
            <w:tcBorders>
              <w:top w:val="nil"/>
              <w:left w:val="single" w:sz="6" w:space="0" w:color="000000"/>
              <w:bottom w:val="single" w:sz="6" w:space="0" w:color="000000"/>
              <w:right w:val="nil"/>
            </w:tcBorders>
            <w:vAlign w:val="center"/>
          </w:tcPr>
          <w:p w:rsidR="00B339C4" w:rsidRPr="00A66C48" w:rsidRDefault="00B339C4" w:rsidP="00B339C4">
            <w:pPr>
              <w:numPr>
                <w:ilvl w:val="12"/>
                <w:numId w:val="0"/>
              </w:numPr>
              <w:spacing w:before="134" w:after="72"/>
              <w:rPr>
                <w:rFonts w:ascii="Times New Roman" w:hAnsi="Times New Roman"/>
                <w:sz w:val="20"/>
                <w:szCs w:val="20"/>
              </w:rPr>
            </w:pPr>
            <w:r w:rsidRPr="00A66C48">
              <w:rPr>
                <w:rFonts w:ascii="Times New Roman" w:hAnsi="Times New Roman"/>
                <w:sz w:val="20"/>
                <w:szCs w:val="20"/>
              </w:rPr>
              <w:t>Total</w:t>
            </w:r>
          </w:p>
        </w:tc>
        <w:tc>
          <w:tcPr>
            <w:tcW w:w="2677" w:type="dxa"/>
            <w:tcBorders>
              <w:top w:val="nil"/>
              <w:left w:val="nil"/>
              <w:bottom w:val="single" w:sz="6" w:space="0" w:color="000000"/>
              <w:right w:val="nil"/>
            </w:tcBorders>
          </w:tcPr>
          <w:p w:rsidR="00B339C4" w:rsidRPr="00A66C48" w:rsidRDefault="00B339C4" w:rsidP="00887E02">
            <w:pPr>
              <w:numPr>
                <w:ilvl w:val="12"/>
                <w:numId w:val="0"/>
              </w:numPr>
              <w:spacing w:before="134" w:after="72"/>
              <w:jc w:val="center"/>
              <w:rPr>
                <w:rFonts w:ascii="Times New Roman" w:hAnsi="Times New Roman"/>
                <w:sz w:val="20"/>
                <w:szCs w:val="20"/>
              </w:rPr>
            </w:pPr>
            <w:r w:rsidRPr="00A66C48">
              <w:rPr>
                <w:rFonts w:ascii="Times New Roman" w:hAnsi="Times New Roman"/>
                <w:sz w:val="20"/>
                <w:szCs w:val="20"/>
              </w:rPr>
              <w:t>685</w:t>
            </w:r>
          </w:p>
        </w:tc>
        <w:tc>
          <w:tcPr>
            <w:tcW w:w="1846" w:type="dxa"/>
            <w:tcBorders>
              <w:top w:val="nil"/>
              <w:left w:val="nil"/>
              <w:bottom w:val="single" w:sz="6" w:space="0" w:color="000000"/>
              <w:right w:val="single" w:sz="6" w:space="0" w:color="000000"/>
            </w:tcBorders>
          </w:tcPr>
          <w:p w:rsidR="00B339C4" w:rsidRPr="00A66C48" w:rsidRDefault="00B339C4" w:rsidP="00887E02">
            <w:pPr>
              <w:numPr>
                <w:ilvl w:val="12"/>
                <w:numId w:val="0"/>
              </w:numPr>
              <w:spacing w:before="134" w:after="72"/>
              <w:jc w:val="center"/>
              <w:rPr>
                <w:rFonts w:ascii="Times New Roman" w:hAnsi="Times New Roman"/>
                <w:sz w:val="20"/>
                <w:szCs w:val="20"/>
              </w:rPr>
            </w:pPr>
            <w:r w:rsidRPr="00A66C48">
              <w:rPr>
                <w:rFonts w:ascii="Times New Roman" w:hAnsi="Times New Roman"/>
                <w:sz w:val="20"/>
                <w:szCs w:val="20"/>
              </w:rPr>
              <w:t>100</w:t>
            </w:r>
          </w:p>
        </w:tc>
      </w:tr>
      <w:bookmarkEnd w:id="3"/>
      <w:bookmarkEnd w:id="4"/>
    </w:tbl>
    <w:p w:rsidR="002F14F8" w:rsidRPr="00A66C48" w:rsidRDefault="002F14F8" w:rsidP="002F14F8">
      <w:pPr>
        <w:numPr>
          <w:ilvl w:val="12"/>
          <w:numId w:val="0"/>
        </w:numPr>
        <w:rPr>
          <w:rFonts w:ascii="Times New Roman" w:hAnsi="Times New Roman"/>
        </w:rPr>
      </w:pPr>
    </w:p>
    <w:p w:rsidR="00E6482C" w:rsidRPr="00A66C48" w:rsidRDefault="00E6482C" w:rsidP="002F14F8">
      <w:pPr>
        <w:numPr>
          <w:ilvl w:val="12"/>
          <w:numId w:val="0"/>
        </w:numPr>
        <w:rPr>
          <w:rFonts w:ascii="Times New Roman" w:hAnsi="Times New Roman"/>
        </w:rPr>
      </w:pPr>
    </w:p>
    <w:p w:rsidR="002F14F8" w:rsidRPr="00A66C48" w:rsidRDefault="00440829" w:rsidP="00440829">
      <w:pPr>
        <w:numPr>
          <w:ilvl w:val="12"/>
          <w:numId w:val="0"/>
        </w:numPr>
        <w:rPr>
          <w:rFonts w:ascii="Times New Roman" w:hAnsi="Times New Roman"/>
        </w:rPr>
      </w:pPr>
      <w:r w:rsidRPr="00A66C48">
        <w:rPr>
          <w:rFonts w:ascii="Times New Roman" w:hAnsi="Times New Roman"/>
        </w:rPr>
        <w:t>The burden estimates by response type are summarized in Table 1</w:t>
      </w:r>
      <w:r w:rsidR="00962590">
        <w:rPr>
          <w:rFonts w:ascii="Times New Roman" w:hAnsi="Times New Roman"/>
        </w:rPr>
        <w:t xml:space="preserve"> below</w:t>
      </w:r>
      <w:r w:rsidRPr="00A66C48">
        <w:rPr>
          <w:rFonts w:ascii="Times New Roman" w:hAnsi="Times New Roman"/>
        </w:rPr>
        <w:t>.</w:t>
      </w:r>
      <w:r w:rsidR="002F14F8" w:rsidRPr="00A66C48">
        <w:rPr>
          <w:rFonts w:ascii="Times New Roman" w:hAnsi="Times New Roman"/>
        </w:rPr>
        <w:tab/>
        <w:t>Respondents submitting CRP certifications without data require 1</w:t>
      </w:r>
      <w:r w:rsidR="00962590">
        <w:rPr>
          <w:rFonts w:ascii="Times New Roman" w:hAnsi="Times New Roman"/>
        </w:rPr>
        <w:t>.5</w:t>
      </w:r>
      <w:r w:rsidR="002F14F8" w:rsidRPr="00A66C48">
        <w:rPr>
          <w:rFonts w:ascii="Times New Roman" w:hAnsi="Times New Roman"/>
        </w:rPr>
        <w:t xml:space="preserve"> hour</w:t>
      </w:r>
      <w:r w:rsidR="00962590">
        <w:rPr>
          <w:rFonts w:ascii="Times New Roman" w:hAnsi="Times New Roman"/>
        </w:rPr>
        <w:t>s</w:t>
      </w:r>
      <w:r w:rsidR="002F14F8" w:rsidRPr="00A66C48">
        <w:rPr>
          <w:rFonts w:ascii="Times New Roman" w:hAnsi="Times New Roman"/>
        </w:rPr>
        <w:t xml:space="preserve"> of technical labor time in order to determine whether the product is subject to the CRP regulations (meets toxicity criteria, residential use)</w:t>
      </w:r>
      <w:r w:rsidR="007A51A9" w:rsidRPr="00A66C48">
        <w:rPr>
          <w:rFonts w:ascii="Times New Roman" w:hAnsi="Times New Roman"/>
        </w:rPr>
        <w:t>, identify the type of CRP used,</w:t>
      </w:r>
      <w:r w:rsidR="002F14F8" w:rsidRPr="00A66C48">
        <w:rPr>
          <w:rFonts w:ascii="Times New Roman" w:hAnsi="Times New Roman"/>
        </w:rPr>
        <w:t xml:space="preserve"> and prepare the CRP certification.  An additional 30 minutes clerical time is required to complete the CRP certification submission to the Agency and file the supporting CRP information. </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t xml:space="preserve">Respondents submitting CRP certifications with data require 8 hours of technical labor time in order to determine the product is subject to the CRP regulations (meets toxicity criteria, residential use); identify the type of CRP used; prepare the CRP certification; gather the supporting CRP data; and 3 hours of clerical time to prepare the CRP data package, complete the CRP certification submission to the Agency, and file the supporting CRP data. </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t xml:space="preserve">Respondents that are exempt from CRP requirements based on large package size require </w:t>
      </w:r>
      <w:r w:rsidR="00440829" w:rsidRPr="00A66C48">
        <w:rPr>
          <w:rFonts w:ascii="Times New Roman" w:hAnsi="Times New Roman"/>
        </w:rPr>
        <w:t>1</w:t>
      </w:r>
      <w:r w:rsidR="00DF7107" w:rsidRPr="00A66C48">
        <w:rPr>
          <w:rFonts w:ascii="Times New Roman" w:hAnsi="Times New Roman"/>
        </w:rPr>
        <w:t xml:space="preserve"> hour of technical time and no clerical time </w:t>
      </w:r>
      <w:r w:rsidRPr="00A66C48">
        <w:rPr>
          <w:rFonts w:ascii="Times New Roman" w:hAnsi="Times New Roman"/>
        </w:rPr>
        <w:t xml:space="preserve">because the CRP regulations require </w:t>
      </w:r>
      <w:r w:rsidR="00DF7107" w:rsidRPr="00A66C48">
        <w:rPr>
          <w:rFonts w:ascii="Times New Roman" w:hAnsi="Times New Roman"/>
        </w:rPr>
        <w:t xml:space="preserve">little </w:t>
      </w:r>
      <w:r w:rsidRPr="00A66C48">
        <w:rPr>
          <w:rFonts w:ascii="Times New Roman" w:hAnsi="Times New Roman"/>
        </w:rPr>
        <w:t xml:space="preserve">action </w:t>
      </w:r>
      <w:r w:rsidR="008A52CB" w:rsidRPr="00A66C48">
        <w:rPr>
          <w:rFonts w:ascii="Times New Roman" w:hAnsi="Times New Roman"/>
        </w:rPr>
        <w:t xml:space="preserve">on the </w:t>
      </w:r>
      <w:r w:rsidR="00DF7107" w:rsidRPr="00A66C48">
        <w:rPr>
          <w:rFonts w:ascii="Times New Roman" w:hAnsi="Times New Roman"/>
        </w:rPr>
        <w:t>part of the respondent</w:t>
      </w:r>
      <w:r w:rsidRPr="00A66C48">
        <w:rPr>
          <w:rFonts w:ascii="Times New Roman" w:hAnsi="Times New Roman"/>
        </w:rPr>
        <w:t xml:space="preserve">. Respondents that are exempt from CRP requirements for the reasons </w:t>
      </w:r>
      <w:r w:rsidR="001B05ED" w:rsidRPr="00A66C48">
        <w:rPr>
          <w:rFonts w:ascii="Times New Roman" w:hAnsi="Times New Roman"/>
        </w:rPr>
        <w:t>described in Section 4(b) of this ICR</w:t>
      </w:r>
      <w:r w:rsidR="00DF7107" w:rsidRPr="00A66C48">
        <w:rPr>
          <w:rFonts w:ascii="Times New Roman" w:hAnsi="Times New Roman"/>
        </w:rPr>
        <w:t xml:space="preserve"> (lack of toxicity, packaging, no residential use, lower product toxicity)</w:t>
      </w:r>
      <w:r w:rsidR="001B05ED" w:rsidRPr="00A66C48">
        <w:rPr>
          <w:rFonts w:ascii="Times New Roman" w:hAnsi="Times New Roman"/>
        </w:rPr>
        <w:t xml:space="preserve"> </w:t>
      </w:r>
      <w:r w:rsidRPr="00A66C48">
        <w:rPr>
          <w:rFonts w:ascii="Times New Roman" w:hAnsi="Times New Roman"/>
        </w:rPr>
        <w:t>require</w:t>
      </w:r>
      <w:r w:rsidR="00DF7107" w:rsidRPr="00A66C48">
        <w:rPr>
          <w:rFonts w:ascii="Times New Roman" w:hAnsi="Times New Roman"/>
        </w:rPr>
        <w:t xml:space="preserve"> 8</w:t>
      </w:r>
      <w:r w:rsidRPr="00A66C48">
        <w:rPr>
          <w:rFonts w:ascii="Times New Roman" w:hAnsi="Times New Roman"/>
        </w:rPr>
        <w:t xml:space="preserve"> technical hours and </w:t>
      </w:r>
      <w:r w:rsidR="00DF7107" w:rsidRPr="00A66C48">
        <w:rPr>
          <w:rFonts w:ascii="Times New Roman" w:hAnsi="Times New Roman"/>
        </w:rPr>
        <w:t>3</w:t>
      </w:r>
      <w:r w:rsidRPr="00A66C48">
        <w:rPr>
          <w:rFonts w:ascii="Times New Roman" w:hAnsi="Times New Roman"/>
        </w:rPr>
        <w:t xml:space="preserve"> clerical hours to prepare their submission indicating why CRP is not required and/or CRP is not possible.  </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t xml:space="preserve">The total estimated respondent burden to comply with this information collection activity is </w:t>
      </w:r>
      <w:r w:rsidR="00760B97" w:rsidRPr="00A66C48">
        <w:rPr>
          <w:rFonts w:ascii="Times New Roman" w:hAnsi="Times New Roman"/>
        </w:rPr>
        <w:t>5,</w:t>
      </w:r>
      <w:r w:rsidR="00D007E9">
        <w:rPr>
          <w:rFonts w:ascii="Times New Roman" w:hAnsi="Times New Roman"/>
        </w:rPr>
        <w:t>507</w:t>
      </w:r>
      <w:r w:rsidR="007E494F" w:rsidRPr="00A66C48">
        <w:rPr>
          <w:rFonts w:ascii="Times New Roman" w:hAnsi="Times New Roman"/>
        </w:rPr>
        <w:t xml:space="preserve"> </w:t>
      </w:r>
      <w:r w:rsidRPr="00A66C48">
        <w:rPr>
          <w:rFonts w:ascii="Times New Roman" w:hAnsi="Times New Roman"/>
        </w:rPr>
        <w:t>burden hours/year</w:t>
      </w:r>
      <w:r w:rsidR="00F56D19" w:rsidRPr="00A66C48">
        <w:rPr>
          <w:rFonts w:ascii="Times New Roman" w:hAnsi="Times New Roman"/>
        </w:rPr>
        <w:t xml:space="preserve">. </w:t>
      </w:r>
      <w:r w:rsidRPr="00A66C48">
        <w:rPr>
          <w:rFonts w:ascii="Times New Roman" w:hAnsi="Times New Roman"/>
        </w:rPr>
        <w:t xml:space="preserve"> </w:t>
      </w:r>
    </w:p>
    <w:p w:rsidR="008E58FB" w:rsidRPr="00A66C48" w:rsidRDefault="008E58FB" w:rsidP="002F14F8">
      <w:pPr>
        <w:numPr>
          <w:ilvl w:val="12"/>
          <w:numId w:val="0"/>
        </w:numPr>
        <w:rPr>
          <w:rFonts w:ascii="Times New Roman" w:hAnsi="Times New Roman"/>
        </w:rPr>
      </w:pPr>
    </w:p>
    <w:p w:rsidR="00962590" w:rsidRPr="00A66C48" w:rsidRDefault="002F14F8" w:rsidP="002F14F8">
      <w:pPr>
        <w:numPr>
          <w:ilvl w:val="12"/>
          <w:numId w:val="0"/>
        </w:numPr>
        <w:rPr>
          <w:rFonts w:ascii="Times New Roman" w:hAnsi="Times New Roman"/>
        </w:rPr>
      </w:pPr>
      <w:r w:rsidRPr="00A66C48">
        <w:rPr>
          <w:rFonts w:ascii="Times New Roman" w:hAnsi="Times New Roman"/>
          <w:b/>
          <w:bCs/>
        </w:rPr>
        <w:t>Table 1.</w:t>
      </w:r>
      <w:r w:rsidR="00A87486" w:rsidRPr="00A66C48">
        <w:rPr>
          <w:rFonts w:ascii="Times New Roman" w:hAnsi="Times New Roman"/>
          <w:b/>
          <w:bCs/>
        </w:rPr>
        <w:t xml:space="preserve">  </w:t>
      </w:r>
      <w:r w:rsidRPr="00A66C48">
        <w:rPr>
          <w:rFonts w:ascii="Times New Roman" w:hAnsi="Times New Roman"/>
        </w:rPr>
        <w:t>RESPONDENT BURDEN BY RESPONSE TYPE</w:t>
      </w:r>
    </w:p>
    <w:tbl>
      <w:tblPr>
        <w:tblW w:w="5000" w:type="pct"/>
        <w:jc w:val="center"/>
        <w:tblLook w:val="04A0"/>
      </w:tblPr>
      <w:tblGrid>
        <w:gridCol w:w="2179"/>
        <w:gridCol w:w="1429"/>
        <w:gridCol w:w="1484"/>
        <w:gridCol w:w="816"/>
        <w:gridCol w:w="1446"/>
        <w:gridCol w:w="814"/>
        <w:gridCol w:w="1408"/>
      </w:tblGrid>
      <w:tr w:rsidR="00A87486" w:rsidRPr="00A66C48" w:rsidTr="00917FE9">
        <w:trPr>
          <w:trHeight w:val="270"/>
          <w:jc w:val="center"/>
        </w:trPr>
        <w:tc>
          <w:tcPr>
            <w:tcW w:w="113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87486" w:rsidRPr="00A66C48" w:rsidRDefault="00A87486" w:rsidP="00A87486">
            <w:pPr>
              <w:widowControl/>
              <w:autoSpaceDE/>
              <w:autoSpaceDN/>
              <w:adjustRightInd/>
              <w:rPr>
                <w:rFonts w:ascii="Times New Roman" w:hAnsi="Times New Roman"/>
                <w:b/>
                <w:bCs/>
                <w:sz w:val="20"/>
                <w:szCs w:val="20"/>
                <w:lang w:eastAsia="ko-KR"/>
              </w:rPr>
            </w:pPr>
            <w:bookmarkStart w:id="7" w:name="RANGE!A2"/>
            <w:r w:rsidRPr="00A66C48">
              <w:rPr>
                <w:rFonts w:ascii="Times New Roman" w:hAnsi="Times New Roman"/>
                <w:b/>
                <w:bCs/>
                <w:sz w:val="20"/>
                <w:szCs w:val="20"/>
                <w:lang w:eastAsia="ko-KR"/>
              </w:rPr>
              <w:t>Type of Response</w:t>
            </w:r>
            <w:bookmarkEnd w:id="7"/>
          </w:p>
        </w:tc>
        <w:tc>
          <w:tcPr>
            <w:tcW w:w="74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87486" w:rsidRPr="00A66C48" w:rsidRDefault="00A87486" w:rsidP="00A87486">
            <w:pPr>
              <w:widowControl/>
              <w:autoSpaceDE/>
              <w:autoSpaceDN/>
              <w:adjustRightInd/>
              <w:jc w:val="center"/>
              <w:rPr>
                <w:rFonts w:ascii="Times New Roman" w:hAnsi="Times New Roman"/>
                <w:b/>
                <w:bCs/>
                <w:sz w:val="20"/>
                <w:szCs w:val="20"/>
                <w:lang w:eastAsia="ko-KR"/>
              </w:rPr>
            </w:pPr>
            <w:r w:rsidRPr="00A66C48">
              <w:rPr>
                <w:rFonts w:ascii="Times New Roman" w:hAnsi="Times New Roman"/>
                <w:b/>
                <w:bCs/>
                <w:sz w:val="20"/>
                <w:szCs w:val="20"/>
                <w:lang w:eastAsia="ko-KR"/>
              </w:rPr>
              <w:t>No. of Responses</w:t>
            </w:r>
          </w:p>
        </w:tc>
        <w:tc>
          <w:tcPr>
            <w:tcW w:w="1201" w:type="pct"/>
            <w:gridSpan w:val="2"/>
            <w:tcBorders>
              <w:top w:val="single" w:sz="4" w:space="0" w:color="auto"/>
              <w:left w:val="nil"/>
              <w:bottom w:val="single" w:sz="4" w:space="0" w:color="auto"/>
              <w:right w:val="single" w:sz="4" w:space="0" w:color="auto"/>
            </w:tcBorders>
            <w:shd w:val="clear" w:color="auto" w:fill="auto"/>
            <w:hideMark/>
          </w:tcPr>
          <w:p w:rsidR="00A87486" w:rsidRPr="00A66C48" w:rsidRDefault="00A87486" w:rsidP="00A87486">
            <w:pPr>
              <w:widowControl/>
              <w:autoSpaceDE/>
              <w:autoSpaceDN/>
              <w:adjustRightInd/>
              <w:jc w:val="center"/>
              <w:rPr>
                <w:rFonts w:ascii="Times New Roman" w:hAnsi="Times New Roman"/>
                <w:b/>
                <w:bCs/>
                <w:sz w:val="20"/>
                <w:szCs w:val="20"/>
                <w:lang w:eastAsia="ko-KR"/>
              </w:rPr>
            </w:pPr>
            <w:r w:rsidRPr="00A66C48">
              <w:rPr>
                <w:rFonts w:ascii="Times New Roman" w:hAnsi="Times New Roman"/>
                <w:b/>
                <w:bCs/>
                <w:sz w:val="20"/>
                <w:szCs w:val="20"/>
                <w:lang w:eastAsia="ko-KR"/>
              </w:rPr>
              <w:t xml:space="preserve">Technical Burden </w:t>
            </w:r>
          </w:p>
        </w:tc>
        <w:tc>
          <w:tcPr>
            <w:tcW w:w="1180" w:type="pct"/>
            <w:gridSpan w:val="2"/>
            <w:tcBorders>
              <w:top w:val="single" w:sz="4" w:space="0" w:color="auto"/>
              <w:left w:val="nil"/>
              <w:bottom w:val="single" w:sz="4" w:space="0" w:color="auto"/>
              <w:right w:val="single" w:sz="4" w:space="0" w:color="auto"/>
            </w:tcBorders>
            <w:shd w:val="clear" w:color="auto" w:fill="auto"/>
            <w:hideMark/>
          </w:tcPr>
          <w:p w:rsidR="00A87486" w:rsidRPr="00A66C48" w:rsidRDefault="00A87486" w:rsidP="00A87486">
            <w:pPr>
              <w:widowControl/>
              <w:autoSpaceDE/>
              <w:autoSpaceDN/>
              <w:adjustRightInd/>
              <w:jc w:val="center"/>
              <w:rPr>
                <w:rFonts w:ascii="Times New Roman" w:hAnsi="Times New Roman"/>
                <w:b/>
                <w:bCs/>
                <w:sz w:val="20"/>
                <w:szCs w:val="20"/>
                <w:lang w:eastAsia="ko-KR"/>
              </w:rPr>
            </w:pPr>
            <w:r w:rsidRPr="00A66C48">
              <w:rPr>
                <w:rFonts w:ascii="Times New Roman" w:hAnsi="Times New Roman"/>
                <w:b/>
                <w:bCs/>
                <w:sz w:val="20"/>
                <w:szCs w:val="20"/>
                <w:lang w:eastAsia="ko-KR"/>
              </w:rPr>
              <w:t>Clerical Burden</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87486" w:rsidRPr="00A66C48" w:rsidRDefault="00962590" w:rsidP="00962590">
            <w:pPr>
              <w:widowControl/>
              <w:autoSpaceDE/>
              <w:autoSpaceDN/>
              <w:adjustRightInd/>
              <w:jc w:val="center"/>
              <w:rPr>
                <w:rFonts w:ascii="Times New Roman" w:hAnsi="Times New Roman"/>
                <w:b/>
                <w:bCs/>
                <w:sz w:val="20"/>
                <w:szCs w:val="20"/>
                <w:lang w:eastAsia="ko-KR"/>
              </w:rPr>
            </w:pPr>
            <w:r>
              <w:rPr>
                <w:rFonts w:ascii="Times New Roman" w:hAnsi="Times New Roman"/>
                <w:b/>
                <w:bCs/>
                <w:sz w:val="20"/>
                <w:szCs w:val="20"/>
                <w:lang w:eastAsia="ko-KR"/>
              </w:rPr>
              <w:t>Total</w:t>
            </w:r>
            <w:r w:rsidR="00A87486" w:rsidRPr="00A66C48">
              <w:rPr>
                <w:rFonts w:ascii="Times New Roman" w:hAnsi="Times New Roman"/>
                <w:b/>
                <w:bCs/>
                <w:sz w:val="20"/>
                <w:szCs w:val="20"/>
                <w:lang w:eastAsia="ko-KR"/>
              </w:rPr>
              <w:t xml:space="preserve"> Burden</w:t>
            </w:r>
          </w:p>
        </w:tc>
      </w:tr>
      <w:tr w:rsidR="00A87486" w:rsidRPr="00A66C48" w:rsidTr="00917FE9">
        <w:trPr>
          <w:trHeight w:val="510"/>
          <w:jc w:val="center"/>
        </w:trPr>
        <w:tc>
          <w:tcPr>
            <w:tcW w:w="1138" w:type="pct"/>
            <w:vMerge/>
            <w:tcBorders>
              <w:top w:val="single" w:sz="4" w:space="0" w:color="auto"/>
              <w:left w:val="single" w:sz="4" w:space="0" w:color="auto"/>
              <w:bottom w:val="single" w:sz="4" w:space="0" w:color="auto"/>
              <w:right w:val="single" w:sz="4" w:space="0" w:color="auto"/>
            </w:tcBorders>
            <w:vAlign w:val="center"/>
            <w:hideMark/>
          </w:tcPr>
          <w:p w:rsidR="00A87486" w:rsidRPr="00A66C48" w:rsidRDefault="00A87486" w:rsidP="00A87486">
            <w:pPr>
              <w:widowControl/>
              <w:autoSpaceDE/>
              <w:autoSpaceDN/>
              <w:adjustRightInd/>
              <w:rPr>
                <w:rFonts w:ascii="Times New Roman" w:hAnsi="Times New Roman"/>
                <w:b/>
                <w:bCs/>
                <w:sz w:val="20"/>
                <w:szCs w:val="20"/>
                <w:lang w:eastAsia="ko-KR"/>
              </w:rPr>
            </w:pPr>
          </w:p>
        </w:tc>
        <w:tc>
          <w:tcPr>
            <w:tcW w:w="746" w:type="pct"/>
            <w:vMerge/>
            <w:tcBorders>
              <w:top w:val="single" w:sz="4" w:space="0" w:color="auto"/>
              <w:left w:val="single" w:sz="4" w:space="0" w:color="auto"/>
              <w:bottom w:val="single" w:sz="4" w:space="0" w:color="auto"/>
              <w:right w:val="single" w:sz="4" w:space="0" w:color="auto"/>
            </w:tcBorders>
            <w:vAlign w:val="center"/>
            <w:hideMark/>
          </w:tcPr>
          <w:p w:rsidR="00A87486" w:rsidRPr="00A66C48" w:rsidRDefault="00A87486" w:rsidP="00A87486">
            <w:pPr>
              <w:widowControl/>
              <w:autoSpaceDE/>
              <w:autoSpaceDN/>
              <w:adjustRightInd/>
              <w:rPr>
                <w:rFonts w:ascii="Times New Roman" w:hAnsi="Times New Roman"/>
                <w:b/>
                <w:bCs/>
                <w:sz w:val="20"/>
                <w:szCs w:val="20"/>
                <w:lang w:eastAsia="ko-KR"/>
              </w:rPr>
            </w:pPr>
          </w:p>
        </w:tc>
        <w:tc>
          <w:tcPr>
            <w:tcW w:w="775" w:type="pct"/>
            <w:tcBorders>
              <w:top w:val="nil"/>
              <w:left w:val="nil"/>
              <w:bottom w:val="single" w:sz="4" w:space="0" w:color="auto"/>
              <w:right w:val="single" w:sz="4" w:space="0" w:color="auto"/>
            </w:tcBorders>
            <w:shd w:val="clear" w:color="auto" w:fill="auto"/>
            <w:hideMark/>
          </w:tcPr>
          <w:p w:rsidR="00A87486" w:rsidRPr="00A66C48" w:rsidRDefault="00A87486" w:rsidP="00A87486">
            <w:pPr>
              <w:widowControl/>
              <w:autoSpaceDE/>
              <w:autoSpaceDN/>
              <w:adjustRightInd/>
              <w:jc w:val="center"/>
              <w:rPr>
                <w:rFonts w:ascii="Times New Roman" w:hAnsi="Times New Roman"/>
                <w:b/>
                <w:bCs/>
                <w:sz w:val="20"/>
                <w:szCs w:val="20"/>
                <w:lang w:eastAsia="ko-KR"/>
              </w:rPr>
            </w:pPr>
            <w:r w:rsidRPr="00A66C48">
              <w:rPr>
                <w:rFonts w:ascii="Times New Roman" w:hAnsi="Times New Roman"/>
                <w:b/>
                <w:bCs/>
                <w:sz w:val="20"/>
                <w:szCs w:val="20"/>
                <w:lang w:eastAsia="ko-KR"/>
              </w:rPr>
              <w:t>Hours Per Response</w:t>
            </w:r>
          </w:p>
        </w:tc>
        <w:tc>
          <w:tcPr>
            <w:tcW w:w="425" w:type="pct"/>
            <w:tcBorders>
              <w:top w:val="nil"/>
              <w:left w:val="nil"/>
              <w:bottom w:val="single" w:sz="4" w:space="0" w:color="auto"/>
              <w:right w:val="single" w:sz="4" w:space="0" w:color="auto"/>
            </w:tcBorders>
            <w:shd w:val="clear" w:color="auto" w:fill="auto"/>
            <w:hideMark/>
          </w:tcPr>
          <w:p w:rsidR="00A87486" w:rsidRPr="00A66C48" w:rsidRDefault="00A87486" w:rsidP="00A87486">
            <w:pPr>
              <w:widowControl/>
              <w:autoSpaceDE/>
              <w:autoSpaceDN/>
              <w:adjustRightInd/>
              <w:jc w:val="center"/>
              <w:rPr>
                <w:rFonts w:ascii="Times New Roman" w:hAnsi="Times New Roman"/>
                <w:b/>
                <w:bCs/>
                <w:sz w:val="20"/>
                <w:szCs w:val="20"/>
                <w:lang w:eastAsia="ko-KR"/>
              </w:rPr>
            </w:pPr>
            <w:r w:rsidRPr="00A66C48">
              <w:rPr>
                <w:rFonts w:ascii="Times New Roman" w:hAnsi="Times New Roman"/>
                <w:b/>
                <w:bCs/>
                <w:sz w:val="20"/>
                <w:szCs w:val="20"/>
                <w:lang w:eastAsia="ko-KR"/>
              </w:rPr>
              <w:t>Total</w:t>
            </w:r>
          </w:p>
        </w:tc>
        <w:tc>
          <w:tcPr>
            <w:tcW w:w="755" w:type="pct"/>
            <w:tcBorders>
              <w:top w:val="nil"/>
              <w:left w:val="nil"/>
              <w:bottom w:val="single" w:sz="4" w:space="0" w:color="auto"/>
              <w:right w:val="single" w:sz="4" w:space="0" w:color="auto"/>
            </w:tcBorders>
            <w:shd w:val="clear" w:color="auto" w:fill="auto"/>
            <w:hideMark/>
          </w:tcPr>
          <w:p w:rsidR="00A87486" w:rsidRPr="00A66C48" w:rsidRDefault="00A87486" w:rsidP="00A87486">
            <w:pPr>
              <w:widowControl/>
              <w:autoSpaceDE/>
              <w:autoSpaceDN/>
              <w:adjustRightInd/>
              <w:jc w:val="center"/>
              <w:rPr>
                <w:rFonts w:ascii="Times New Roman" w:hAnsi="Times New Roman"/>
                <w:b/>
                <w:bCs/>
                <w:sz w:val="20"/>
                <w:szCs w:val="20"/>
                <w:lang w:eastAsia="ko-KR"/>
              </w:rPr>
            </w:pPr>
            <w:r w:rsidRPr="00A66C48">
              <w:rPr>
                <w:rFonts w:ascii="Times New Roman" w:hAnsi="Times New Roman"/>
                <w:b/>
                <w:bCs/>
                <w:sz w:val="20"/>
                <w:szCs w:val="20"/>
                <w:lang w:eastAsia="ko-KR"/>
              </w:rPr>
              <w:t>Hours Per Response</w:t>
            </w:r>
          </w:p>
        </w:tc>
        <w:tc>
          <w:tcPr>
            <w:tcW w:w="425" w:type="pct"/>
            <w:tcBorders>
              <w:top w:val="nil"/>
              <w:left w:val="nil"/>
              <w:bottom w:val="single" w:sz="4" w:space="0" w:color="auto"/>
              <w:right w:val="single" w:sz="4" w:space="0" w:color="auto"/>
            </w:tcBorders>
            <w:shd w:val="clear" w:color="auto" w:fill="auto"/>
            <w:hideMark/>
          </w:tcPr>
          <w:p w:rsidR="00A87486" w:rsidRPr="00A66C48" w:rsidRDefault="00A87486" w:rsidP="00A87486">
            <w:pPr>
              <w:widowControl/>
              <w:autoSpaceDE/>
              <w:autoSpaceDN/>
              <w:adjustRightInd/>
              <w:jc w:val="center"/>
              <w:rPr>
                <w:rFonts w:ascii="Times New Roman" w:hAnsi="Times New Roman"/>
                <w:b/>
                <w:bCs/>
                <w:sz w:val="20"/>
                <w:szCs w:val="20"/>
                <w:lang w:eastAsia="ko-KR"/>
              </w:rPr>
            </w:pPr>
            <w:r w:rsidRPr="00A66C48">
              <w:rPr>
                <w:rFonts w:ascii="Times New Roman" w:hAnsi="Times New Roman"/>
                <w:b/>
                <w:bCs/>
                <w:sz w:val="20"/>
                <w:szCs w:val="20"/>
                <w:lang w:eastAsia="ko-KR"/>
              </w:rPr>
              <w:t>Total</w:t>
            </w:r>
          </w:p>
        </w:tc>
        <w:tc>
          <w:tcPr>
            <w:tcW w:w="735" w:type="pct"/>
            <w:vMerge/>
            <w:tcBorders>
              <w:top w:val="single" w:sz="4" w:space="0" w:color="auto"/>
              <w:left w:val="single" w:sz="4" w:space="0" w:color="auto"/>
              <w:bottom w:val="single" w:sz="4" w:space="0" w:color="auto"/>
              <w:right w:val="single" w:sz="4" w:space="0" w:color="auto"/>
            </w:tcBorders>
            <w:vAlign w:val="center"/>
            <w:hideMark/>
          </w:tcPr>
          <w:p w:rsidR="00A87486" w:rsidRPr="00A66C48" w:rsidRDefault="00A87486" w:rsidP="00A87486">
            <w:pPr>
              <w:widowControl/>
              <w:autoSpaceDE/>
              <w:autoSpaceDN/>
              <w:adjustRightInd/>
              <w:rPr>
                <w:rFonts w:ascii="Times New Roman" w:hAnsi="Times New Roman"/>
                <w:b/>
                <w:bCs/>
                <w:sz w:val="20"/>
                <w:szCs w:val="20"/>
                <w:lang w:eastAsia="ko-KR"/>
              </w:rPr>
            </w:pPr>
          </w:p>
        </w:tc>
      </w:tr>
      <w:tr w:rsidR="00A87486" w:rsidRPr="00A66C48" w:rsidTr="00917FE9">
        <w:trPr>
          <w:trHeight w:val="525"/>
          <w:jc w:val="center"/>
        </w:trPr>
        <w:tc>
          <w:tcPr>
            <w:tcW w:w="1138" w:type="pct"/>
            <w:tcBorders>
              <w:top w:val="nil"/>
              <w:left w:val="single" w:sz="4" w:space="0" w:color="auto"/>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rPr>
                <w:rFonts w:ascii="Times New Roman" w:hAnsi="Times New Roman"/>
                <w:sz w:val="20"/>
                <w:szCs w:val="20"/>
                <w:lang w:eastAsia="ko-KR"/>
              </w:rPr>
            </w:pPr>
            <w:bookmarkStart w:id="8" w:name="RANGE!A4"/>
            <w:r w:rsidRPr="00A66C48">
              <w:rPr>
                <w:rFonts w:ascii="Times New Roman" w:hAnsi="Times New Roman"/>
                <w:sz w:val="20"/>
                <w:szCs w:val="20"/>
                <w:lang w:eastAsia="ko-KR"/>
              </w:rPr>
              <w:t>CRP certification without data</w:t>
            </w:r>
            <w:bookmarkEnd w:id="8"/>
          </w:p>
        </w:tc>
        <w:tc>
          <w:tcPr>
            <w:tcW w:w="746"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212</w:t>
            </w:r>
          </w:p>
        </w:tc>
        <w:tc>
          <w:tcPr>
            <w:tcW w:w="77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1</w:t>
            </w:r>
            <w:r w:rsidR="00CF5A7E">
              <w:rPr>
                <w:rFonts w:ascii="Times New Roman" w:hAnsi="Times New Roman"/>
                <w:sz w:val="20"/>
                <w:szCs w:val="20"/>
                <w:lang w:eastAsia="ko-KR"/>
              </w:rPr>
              <w:t>.5</w:t>
            </w:r>
          </w:p>
        </w:tc>
        <w:tc>
          <w:tcPr>
            <w:tcW w:w="425" w:type="pct"/>
            <w:tcBorders>
              <w:top w:val="nil"/>
              <w:left w:val="nil"/>
              <w:bottom w:val="single" w:sz="4" w:space="0" w:color="auto"/>
              <w:right w:val="single" w:sz="4" w:space="0" w:color="auto"/>
            </w:tcBorders>
            <w:shd w:val="clear" w:color="auto" w:fill="auto"/>
            <w:vAlign w:val="bottom"/>
            <w:hideMark/>
          </w:tcPr>
          <w:p w:rsidR="00A87486" w:rsidRPr="00A66C48" w:rsidRDefault="00CF5A7E" w:rsidP="00A87486">
            <w:pPr>
              <w:widowControl/>
              <w:autoSpaceDE/>
              <w:autoSpaceDN/>
              <w:adjustRightInd/>
              <w:jc w:val="center"/>
              <w:rPr>
                <w:rFonts w:ascii="Times New Roman" w:hAnsi="Times New Roman"/>
                <w:sz w:val="20"/>
                <w:szCs w:val="20"/>
                <w:lang w:eastAsia="ko-KR"/>
              </w:rPr>
            </w:pPr>
            <w:r>
              <w:rPr>
                <w:rFonts w:ascii="Times New Roman" w:hAnsi="Times New Roman"/>
                <w:sz w:val="20"/>
                <w:szCs w:val="20"/>
                <w:lang w:eastAsia="ko-KR"/>
              </w:rPr>
              <w:t>318</w:t>
            </w:r>
          </w:p>
        </w:tc>
        <w:tc>
          <w:tcPr>
            <w:tcW w:w="75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0.5</w:t>
            </w:r>
          </w:p>
        </w:tc>
        <w:tc>
          <w:tcPr>
            <w:tcW w:w="42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106</w:t>
            </w:r>
          </w:p>
        </w:tc>
        <w:tc>
          <w:tcPr>
            <w:tcW w:w="735" w:type="pct"/>
            <w:tcBorders>
              <w:top w:val="nil"/>
              <w:left w:val="nil"/>
              <w:bottom w:val="single" w:sz="4" w:space="0" w:color="auto"/>
              <w:right w:val="single" w:sz="4" w:space="0" w:color="auto"/>
            </w:tcBorders>
            <w:shd w:val="clear" w:color="auto" w:fill="auto"/>
            <w:vAlign w:val="bottom"/>
            <w:hideMark/>
          </w:tcPr>
          <w:p w:rsidR="00A87486" w:rsidRPr="00A66C48" w:rsidRDefault="00CF5A7E" w:rsidP="00A87486">
            <w:pPr>
              <w:widowControl/>
              <w:autoSpaceDE/>
              <w:autoSpaceDN/>
              <w:adjustRightInd/>
              <w:jc w:val="center"/>
              <w:rPr>
                <w:rFonts w:ascii="Times New Roman" w:hAnsi="Times New Roman"/>
                <w:sz w:val="20"/>
                <w:szCs w:val="20"/>
                <w:lang w:eastAsia="ko-KR"/>
              </w:rPr>
            </w:pPr>
            <w:r>
              <w:rPr>
                <w:rFonts w:ascii="Times New Roman" w:hAnsi="Times New Roman"/>
                <w:sz w:val="20"/>
                <w:szCs w:val="20"/>
                <w:lang w:eastAsia="ko-KR"/>
              </w:rPr>
              <w:t>424</w:t>
            </w:r>
          </w:p>
        </w:tc>
      </w:tr>
      <w:tr w:rsidR="00A87486" w:rsidRPr="00A66C48" w:rsidTr="00917FE9">
        <w:trPr>
          <w:trHeight w:val="525"/>
          <w:jc w:val="center"/>
        </w:trPr>
        <w:tc>
          <w:tcPr>
            <w:tcW w:w="1138" w:type="pct"/>
            <w:tcBorders>
              <w:top w:val="nil"/>
              <w:left w:val="single" w:sz="4" w:space="0" w:color="auto"/>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rPr>
                <w:rFonts w:ascii="Times New Roman" w:hAnsi="Times New Roman"/>
                <w:sz w:val="20"/>
                <w:szCs w:val="20"/>
                <w:lang w:eastAsia="ko-KR"/>
              </w:rPr>
            </w:pPr>
            <w:r w:rsidRPr="00A66C48">
              <w:rPr>
                <w:rFonts w:ascii="Times New Roman" w:hAnsi="Times New Roman"/>
                <w:sz w:val="20"/>
                <w:szCs w:val="20"/>
                <w:lang w:eastAsia="ko-KR"/>
              </w:rPr>
              <w:t>CRP certification with data</w:t>
            </w:r>
          </w:p>
        </w:tc>
        <w:tc>
          <w:tcPr>
            <w:tcW w:w="746"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453</w:t>
            </w:r>
          </w:p>
        </w:tc>
        <w:tc>
          <w:tcPr>
            <w:tcW w:w="77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8</w:t>
            </w:r>
          </w:p>
        </w:tc>
        <w:tc>
          <w:tcPr>
            <w:tcW w:w="42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3624</w:t>
            </w:r>
          </w:p>
        </w:tc>
        <w:tc>
          <w:tcPr>
            <w:tcW w:w="75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3</w:t>
            </w:r>
          </w:p>
        </w:tc>
        <w:tc>
          <w:tcPr>
            <w:tcW w:w="42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1359</w:t>
            </w:r>
          </w:p>
        </w:tc>
        <w:tc>
          <w:tcPr>
            <w:tcW w:w="73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4,983</w:t>
            </w:r>
          </w:p>
        </w:tc>
      </w:tr>
      <w:tr w:rsidR="00A87486" w:rsidRPr="00A66C48" w:rsidTr="00917FE9">
        <w:trPr>
          <w:trHeight w:val="525"/>
          <w:jc w:val="center"/>
        </w:trPr>
        <w:tc>
          <w:tcPr>
            <w:tcW w:w="1138" w:type="pct"/>
            <w:tcBorders>
              <w:top w:val="nil"/>
              <w:left w:val="single" w:sz="4" w:space="0" w:color="auto"/>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rPr>
                <w:rFonts w:ascii="Times New Roman" w:hAnsi="Times New Roman"/>
                <w:sz w:val="20"/>
                <w:szCs w:val="20"/>
                <w:lang w:eastAsia="ko-KR"/>
              </w:rPr>
            </w:pPr>
            <w:r w:rsidRPr="00A66C48">
              <w:rPr>
                <w:rFonts w:ascii="Times New Roman" w:hAnsi="Times New Roman"/>
                <w:sz w:val="20"/>
                <w:szCs w:val="20"/>
                <w:lang w:eastAsia="ko-KR"/>
              </w:rPr>
              <w:t>Exempt from CRP due to large package size</w:t>
            </w:r>
          </w:p>
        </w:tc>
        <w:tc>
          <w:tcPr>
            <w:tcW w:w="746"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12</w:t>
            </w:r>
          </w:p>
        </w:tc>
        <w:tc>
          <w:tcPr>
            <w:tcW w:w="77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1</w:t>
            </w:r>
          </w:p>
        </w:tc>
        <w:tc>
          <w:tcPr>
            <w:tcW w:w="42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12</w:t>
            </w:r>
          </w:p>
        </w:tc>
        <w:tc>
          <w:tcPr>
            <w:tcW w:w="75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0</w:t>
            </w:r>
          </w:p>
        </w:tc>
        <w:tc>
          <w:tcPr>
            <w:tcW w:w="42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0</w:t>
            </w:r>
          </w:p>
        </w:tc>
        <w:tc>
          <w:tcPr>
            <w:tcW w:w="73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12</w:t>
            </w:r>
          </w:p>
        </w:tc>
      </w:tr>
      <w:tr w:rsidR="00A87486" w:rsidRPr="00A66C48" w:rsidTr="00917FE9">
        <w:trPr>
          <w:trHeight w:val="1290"/>
          <w:jc w:val="center"/>
        </w:trPr>
        <w:tc>
          <w:tcPr>
            <w:tcW w:w="1138" w:type="pct"/>
            <w:tcBorders>
              <w:top w:val="nil"/>
              <w:left w:val="single" w:sz="4" w:space="0" w:color="auto"/>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rPr>
                <w:rFonts w:ascii="Times New Roman" w:hAnsi="Times New Roman"/>
                <w:sz w:val="20"/>
                <w:szCs w:val="20"/>
                <w:lang w:eastAsia="ko-KR"/>
              </w:rPr>
            </w:pPr>
            <w:r w:rsidRPr="00A66C48">
              <w:rPr>
                <w:rFonts w:ascii="Times New Roman" w:hAnsi="Times New Roman"/>
                <w:sz w:val="20"/>
                <w:szCs w:val="20"/>
                <w:lang w:eastAsia="ko-KR"/>
              </w:rPr>
              <w:t>Exempt from CRP due to lack of toxicity, packaging, no residential use, lower product toxicity</w:t>
            </w:r>
          </w:p>
        </w:tc>
        <w:tc>
          <w:tcPr>
            <w:tcW w:w="746"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8</w:t>
            </w:r>
          </w:p>
        </w:tc>
        <w:tc>
          <w:tcPr>
            <w:tcW w:w="77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8</w:t>
            </w:r>
          </w:p>
        </w:tc>
        <w:tc>
          <w:tcPr>
            <w:tcW w:w="42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64</w:t>
            </w:r>
          </w:p>
        </w:tc>
        <w:tc>
          <w:tcPr>
            <w:tcW w:w="75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3</w:t>
            </w:r>
          </w:p>
        </w:tc>
        <w:tc>
          <w:tcPr>
            <w:tcW w:w="42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24</w:t>
            </w:r>
          </w:p>
        </w:tc>
        <w:tc>
          <w:tcPr>
            <w:tcW w:w="73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88</w:t>
            </w:r>
          </w:p>
        </w:tc>
      </w:tr>
      <w:tr w:rsidR="00A87486" w:rsidRPr="00A66C48" w:rsidTr="00917FE9">
        <w:trPr>
          <w:trHeight w:val="656"/>
          <w:jc w:val="center"/>
        </w:trPr>
        <w:tc>
          <w:tcPr>
            <w:tcW w:w="1138" w:type="pct"/>
            <w:tcBorders>
              <w:top w:val="nil"/>
              <w:left w:val="single" w:sz="4" w:space="0" w:color="auto"/>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rPr>
                <w:rFonts w:ascii="Times New Roman" w:hAnsi="Times New Roman"/>
                <w:sz w:val="20"/>
                <w:szCs w:val="20"/>
                <w:lang w:eastAsia="ko-KR"/>
              </w:rPr>
            </w:pPr>
            <w:r w:rsidRPr="00A66C48">
              <w:rPr>
                <w:rFonts w:ascii="Times New Roman" w:hAnsi="Times New Roman"/>
                <w:sz w:val="20"/>
                <w:szCs w:val="20"/>
                <w:lang w:eastAsia="ko-KR"/>
              </w:rPr>
              <w:t>TOTAL</w:t>
            </w:r>
          </w:p>
        </w:tc>
        <w:tc>
          <w:tcPr>
            <w:tcW w:w="746"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685</w:t>
            </w:r>
          </w:p>
        </w:tc>
        <w:tc>
          <w:tcPr>
            <w:tcW w:w="77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NA</w:t>
            </w:r>
          </w:p>
        </w:tc>
        <w:tc>
          <w:tcPr>
            <w:tcW w:w="425" w:type="pct"/>
            <w:tcBorders>
              <w:top w:val="nil"/>
              <w:left w:val="nil"/>
              <w:bottom w:val="single" w:sz="4" w:space="0" w:color="auto"/>
              <w:right w:val="single" w:sz="4" w:space="0" w:color="auto"/>
            </w:tcBorders>
            <w:shd w:val="clear" w:color="auto" w:fill="auto"/>
            <w:vAlign w:val="bottom"/>
            <w:hideMark/>
          </w:tcPr>
          <w:p w:rsidR="00A87486" w:rsidRPr="00A66C48" w:rsidRDefault="00CF5A7E" w:rsidP="00A87486">
            <w:pPr>
              <w:widowControl/>
              <w:autoSpaceDE/>
              <w:autoSpaceDN/>
              <w:adjustRightInd/>
              <w:jc w:val="center"/>
              <w:rPr>
                <w:rFonts w:ascii="Times New Roman" w:hAnsi="Times New Roman"/>
                <w:sz w:val="20"/>
                <w:szCs w:val="20"/>
                <w:lang w:eastAsia="ko-KR"/>
              </w:rPr>
            </w:pPr>
            <w:r>
              <w:rPr>
                <w:rFonts w:ascii="Times New Roman" w:hAnsi="Times New Roman"/>
                <w:sz w:val="20"/>
                <w:szCs w:val="20"/>
                <w:lang w:eastAsia="ko-KR"/>
              </w:rPr>
              <w:t>4</w:t>
            </w:r>
            <w:r w:rsidR="00A87486" w:rsidRPr="00A66C48">
              <w:rPr>
                <w:rFonts w:ascii="Times New Roman" w:hAnsi="Times New Roman"/>
                <w:sz w:val="20"/>
                <w:szCs w:val="20"/>
                <w:lang w:eastAsia="ko-KR"/>
              </w:rPr>
              <w:t>,</w:t>
            </w:r>
            <w:r>
              <w:rPr>
                <w:rFonts w:ascii="Times New Roman" w:hAnsi="Times New Roman"/>
                <w:sz w:val="20"/>
                <w:szCs w:val="20"/>
                <w:lang w:eastAsia="ko-KR"/>
              </w:rPr>
              <w:t>0</w:t>
            </w:r>
            <w:r w:rsidR="00A87486" w:rsidRPr="00A66C48">
              <w:rPr>
                <w:rFonts w:ascii="Times New Roman" w:hAnsi="Times New Roman"/>
                <w:sz w:val="20"/>
                <w:szCs w:val="20"/>
                <w:lang w:eastAsia="ko-KR"/>
              </w:rPr>
              <w:t>1</w:t>
            </w:r>
            <w:r>
              <w:rPr>
                <w:rFonts w:ascii="Times New Roman" w:hAnsi="Times New Roman"/>
                <w:sz w:val="20"/>
                <w:szCs w:val="20"/>
                <w:lang w:eastAsia="ko-KR"/>
              </w:rPr>
              <w:t>8</w:t>
            </w:r>
          </w:p>
        </w:tc>
        <w:tc>
          <w:tcPr>
            <w:tcW w:w="75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NA</w:t>
            </w:r>
          </w:p>
        </w:tc>
        <w:tc>
          <w:tcPr>
            <w:tcW w:w="42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1,489</w:t>
            </w:r>
          </w:p>
        </w:tc>
        <w:tc>
          <w:tcPr>
            <w:tcW w:w="735" w:type="pct"/>
            <w:tcBorders>
              <w:top w:val="nil"/>
              <w:left w:val="nil"/>
              <w:bottom w:val="single" w:sz="4" w:space="0" w:color="auto"/>
              <w:right w:val="single" w:sz="4" w:space="0" w:color="auto"/>
            </w:tcBorders>
            <w:shd w:val="clear" w:color="auto" w:fill="auto"/>
            <w:vAlign w:val="bottom"/>
            <w:hideMark/>
          </w:tcPr>
          <w:p w:rsidR="00A87486" w:rsidRPr="00A66C48" w:rsidRDefault="00A87486" w:rsidP="00A87486">
            <w:pPr>
              <w:widowControl/>
              <w:autoSpaceDE/>
              <w:autoSpaceDN/>
              <w:adjustRightInd/>
              <w:jc w:val="center"/>
              <w:rPr>
                <w:rFonts w:ascii="Times New Roman" w:hAnsi="Times New Roman"/>
                <w:sz w:val="20"/>
                <w:szCs w:val="20"/>
                <w:lang w:eastAsia="ko-KR"/>
              </w:rPr>
            </w:pPr>
            <w:r w:rsidRPr="00A66C48">
              <w:rPr>
                <w:rFonts w:ascii="Times New Roman" w:hAnsi="Times New Roman"/>
                <w:sz w:val="20"/>
                <w:szCs w:val="20"/>
                <w:lang w:eastAsia="ko-KR"/>
              </w:rPr>
              <w:t>5,</w:t>
            </w:r>
            <w:r w:rsidR="00CF5A7E">
              <w:rPr>
                <w:rFonts w:ascii="Times New Roman" w:hAnsi="Times New Roman"/>
                <w:sz w:val="20"/>
                <w:szCs w:val="20"/>
                <w:lang w:eastAsia="ko-KR"/>
              </w:rPr>
              <w:t>5</w:t>
            </w:r>
            <w:r w:rsidRPr="00A66C48">
              <w:rPr>
                <w:rFonts w:ascii="Times New Roman" w:hAnsi="Times New Roman"/>
                <w:sz w:val="20"/>
                <w:szCs w:val="20"/>
                <w:lang w:eastAsia="ko-KR"/>
              </w:rPr>
              <w:t>0</w:t>
            </w:r>
            <w:r w:rsidR="00CF5A7E">
              <w:rPr>
                <w:rFonts w:ascii="Times New Roman" w:hAnsi="Times New Roman"/>
                <w:sz w:val="20"/>
                <w:szCs w:val="20"/>
                <w:lang w:eastAsia="ko-KR"/>
              </w:rPr>
              <w:t>7</w:t>
            </w:r>
          </w:p>
        </w:tc>
      </w:tr>
    </w:tbl>
    <w:p w:rsidR="00C16B89" w:rsidRPr="00A66C48" w:rsidRDefault="00C16B89" w:rsidP="002F14F8">
      <w:pPr>
        <w:numPr>
          <w:ilvl w:val="12"/>
          <w:numId w:val="0"/>
        </w:numPr>
        <w:rPr>
          <w:rFonts w:ascii="Times New Roman" w:hAnsi="Times New Roman"/>
        </w:rPr>
      </w:pPr>
    </w:p>
    <w:p w:rsidR="00F56D19" w:rsidRPr="00A66C48" w:rsidRDefault="00F56D19" w:rsidP="00F56D19">
      <w:pPr>
        <w:numPr>
          <w:ilvl w:val="12"/>
          <w:numId w:val="0"/>
        </w:numPr>
        <w:rPr>
          <w:rFonts w:ascii="Times New Roman" w:hAnsi="Times New Roman"/>
        </w:rPr>
      </w:pPr>
      <w:r w:rsidRPr="00A66C48">
        <w:rPr>
          <w:rFonts w:ascii="Times" w:hAnsi="Times"/>
          <w:caps/>
        </w:rPr>
        <w:t>ANNUAL rESPONDENT Burden</w:t>
      </w:r>
      <w:r w:rsidRPr="00A66C48">
        <w:rPr>
          <w:rFonts w:ascii="Times New Roman" w:hAnsi="Times New Roman"/>
        </w:rPr>
        <w:t xml:space="preserve"> = </w:t>
      </w:r>
      <w:r w:rsidR="00CF5A7E">
        <w:rPr>
          <w:rFonts w:ascii="Times New Roman" w:hAnsi="Times New Roman"/>
        </w:rPr>
        <w:t>4,018</w:t>
      </w:r>
      <w:r w:rsidRPr="00A66C48">
        <w:rPr>
          <w:rFonts w:ascii="Times New Roman" w:hAnsi="Times New Roman"/>
        </w:rPr>
        <w:t xml:space="preserve"> (technical burden) + 1,489 (clerical burden) =</w:t>
      </w:r>
      <w:r w:rsidRPr="00A66C48">
        <w:rPr>
          <w:rFonts w:ascii="Times New Roman" w:hAnsi="Times New Roman"/>
          <w:sz w:val="20"/>
          <w:szCs w:val="20"/>
        </w:rPr>
        <w:t xml:space="preserve"> </w:t>
      </w:r>
      <w:r w:rsidRPr="00A66C48">
        <w:rPr>
          <w:rFonts w:ascii="Times New Roman" w:hAnsi="Times New Roman"/>
        </w:rPr>
        <w:t>5,</w:t>
      </w:r>
      <w:r w:rsidR="00CF5A7E">
        <w:rPr>
          <w:rFonts w:ascii="Times New Roman" w:hAnsi="Times New Roman"/>
        </w:rPr>
        <w:t>5</w:t>
      </w:r>
      <w:r w:rsidRPr="00A66C48">
        <w:rPr>
          <w:rFonts w:ascii="Times New Roman" w:hAnsi="Times New Roman"/>
        </w:rPr>
        <w:t>0</w:t>
      </w:r>
      <w:r w:rsidR="00CF5A7E">
        <w:rPr>
          <w:rFonts w:ascii="Times New Roman" w:hAnsi="Times New Roman"/>
        </w:rPr>
        <w:t>7</w:t>
      </w:r>
      <w:r w:rsidRPr="00A66C48">
        <w:rPr>
          <w:rFonts w:ascii="Times New Roman" w:hAnsi="Times New Roman"/>
        </w:rPr>
        <w:t xml:space="preserve"> hrs</w:t>
      </w:r>
    </w:p>
    <w:p w:rsidR="00F56D19" w:rsidRPr="00A66C48" w:rsidRDefault="00F56D19" w:rsidP="00F56D19">
      <w:pPr>
        <w:numPr>
          <w:ilvl w:val="12"/>
          <w:numId w:val="0"/>
        </w:numPr>
        <w:rPr>
          <w:rFonts w:ascii="Times New Roman" w:hAnsi="Times New Roman"/>
        </w:rPr>
      </w:pPr>
    </w:p>
    <w:p w:rsidR="00F56D19" w:rsidRPr="00A66C48" w:rsidRDefault="00F56D19" w:rsidP="00F56D19">
      <w:pPr>
        <w:numPr>
          <w:ilvl w:val="12"/>
          <w:numId w:val="0"/>
        </w:numPr>
        <w:rPr>
          <w:rFonts w:ascii="Times New Roman" w:hAnsi="Times New Roman"/>
        </w:rPr>
      </w:pPr>
      <w:r w:rsidRPr="00A66C48">
        <w:rPr>
          <w:rFonts w:ascii="Times" w:hAnsi="Times"/>
          <w:caps/>
        </w:rPr>
        <w:t>Total hrs/rESPONDENT Action</w:t>
      </w:r>
      <w:r w:rsidRPr="00A66C48">
        <w:rPr>
          <w:rFonts w:ascii="Times New Roman" w:hAnsi="Times New Roman"/>
        </w:rPr>
        <w:t xml:space="preserve"> = </w:t>
      </w:r>
      <w:r w:rsidR="00B81444" w:rsidRPr="00A66C48">
        <w:rPr>
          <w:rFonts w:ascii="Times New Roman" w:hAnsi="Times New Roman"/>
        </w:rPr>
        <w:t>5,</w:t>
      </w:r>
      <w:r w:rsidR="00962590">
        <w:rPr>
          <w:rFonts w:ascii="Times New Roman" w:hAnsi="Times New Roman"/>
        </w:rPr>
        <w:t>5</w:t>
      </w:r>
      <w:r w:rsidR="00B81444" w:rsidRPr="00A66C48">
        <w:rPr>
          <w:rFonts w:ascii="Times New Roman" w:hAnsi="Times New Roman"/>
        </w:rPr>
        <w:t>0</w:t>
      </w:r>
      <w:r w:rsidR="00962590">
        <w:rPr>
          <w:rFonts w:ascii="Times New Roman" w:hAnsi="Times New Roman"/>
        </w:rPr>
        <w:t>7</w:t>
      </w:r>
      <w:r w:rsidRPr="00A66C48">
        <w:rPr>
          <w:rFonts w:ascii="Times New Roman" w:hAnsi="Times New Roman"/>
        </w:rPr>
        <w:t xml:space="preserve">/685 = </w:t>
      </w:r>
      <w:r w:rsidR="00CF5A7E">
        <w:rPr>
          <w:rFonts w:ascii="Times New Roman" w:hAnsi="Times New Roman"/>
        </w:rPr>
        <w:t>8.0</w:t>
      </w:r>
      <w:r w:rsidR="001D7392">
        <w:rPr>
          <w:rFonts w:ascii="Times New Roman" w:hAnsi="Times New Roman"/>
        </w:rPr>
        <w:t>4</w:t>
      </w:r>
      <w:r w:rsidRPr="00A66C48">
        <w:rPr>
          <w:rFonts w:ascii="Times New Roman" w:hAnsi="Times New Roman"/>
        </w:rPr>
        <w:t xml:space="preserve"> hrs</w:t>
      </w:r>
    </w:p>
    <w:p w:rsidR="00F56D19" w:rsidRPr="00A66C48" w:rsidRDefault="00F56D19" w:rsidP="002F14F8">
      <w:pPr>
        <w:numPr>
          <w:ilvl w:val="12"/>
          <w:numId w:val="0"/>
        </w:numPr>
        <w:rPr>
          <w:rFonts w:ascii="Times New Roman" w:hAnsi="Times New Roman"/>
        </w:rPr>
      </w:pPr>
    </w:p>
    <w:p w:rsidR="002F14F8" w:rsidRPr="00A66C48" w:rsidRDefault="0047184E" w:rsidP="002F14F8">
      <w:pPr>
        <w:numPr>
          <w:ilvl w:val="12"/>
          <w:numId w:val="0"/>
        </w:numPr>
        <w:rPr>
          <w:rFonts w:ascii="Times New Roman" w:hAnsi="Times New Roman"/>
        </w:rPr>
      </w:pPr>
      <w:r w:rsidRPr="00A66C48">
        <w:rPr>
          <w:rFonts w:ascii="Times New Roman" w:hAnsi="Times New Roman"/>
        </w:rPr>
        <w:lastRenderedPageBreak/>
        <w:t>C</w:t>
      </w:r>
      <w:r w:rsidR="00E6482C" w:rsidRPr="00A66C48">
        <w:rPr>
          <w:rFonts w:ascii="Times New Roman" w:hAnsi="Times New Roman"/>
        </w:rPr>
        <w:t>osts associated with this burden are estimated in the next section.</w:t>
      </w:r>
    </w:p>
    <w:p w:rsidR="00A87486" w:rsidRPr="00A66C48" w:rsidRDefault="002F14F8" w:rsidP="002F14F8">
      <w:pPr>
        <w:numPr>
          <w:ilvl w:val="12"/>
          <w:numId w:val="0"/>
        </w:numPr>
        <w:rPr>
          <w:rFonts w:ascii="Times New Roman" w:hAnsi="Times New Roman"/>
          <w:b/>
          <w:bCs/>
        </w:rPr>
      </w:pPr>
      <w:r w:rsidRPr="00A66C48">
        <w:rPr>
          <w:rFonts w:ascii="Times New Roman" w:hAnsi="Times New Roman"/>
          <w:b/>
          <w:bCs/>
        </w:rPr>
        <w:tab/>
      </w:r>
    </w:p>
    <w:p w:rsidR="008E58FB" w:rsidRPr="00A66C48" w:rsidRDefault="002F14F8" w:rsidP="00A87486">
      <w:pPr>
        <w:numPr>
          <w:ilvl w:val="12"/>
          <w:numId w:val="0"/>
        </w:numPr>
        <w:ind w:firstLine="720"/>
        <w:rPr>
          <w:rFonts w:ascii="Times New Roman" w:hAnsi="Times New Roman"/>
          <w:b/>
          <w:bCs/>
        </w:rPr>
      </w:pPr>
      <w:r w:rsidRPr="00A66C48">
        <w:rPr>
          <w:rFonts w:ascii="Times New Roman" w:hAnsi="Times New Roman"/>
          <w:b/>
          <w:bCs/>
        </w:rPr>
        <w:t>6(b). Estimating Respondent Costs</w:t>
      </w:r>
    </w:p>
    <w:p w:rsidR="008E58FB" w:rsidRPr="00A66C48" w:rsidRDefault="008E58FB" w:rsidP="002F14F8">
      <w:pPr>
        <w:numPr>
          <w:ilvl w:val="12"/>
          <w:numId w:val="0"/>
        </w:numPr>
        <w:rPr>
          <w:rFonts w:ascii="Times New Roman" w:hAnsi="Times New Roman"/>
          <w:b/>
          <w:bCs/>
        </w:rPr>
      </w:pPr>
    </w:p>
    <w:p w:rsidR="008E58FB" w:rsidRPr="00A66C48" w:rsidRDefault="008E58FB" w:rsidP="008E58FB">
      <w:pPr>
        <w:numPr>
          <w:ilvl w:val="12"/>
          <w:numId w:val="0"/>
        </w:numPr>
        <w:rPr>
          <w:rFonts w:ascii="Times New Roman" w:hAnsi="Times New Roman"/>
          <w:bCs/>
        </w:rPr>
      </w:pPr>
      <w:r w:rsidRPr="00A66C48">
        <w:rPr>
          <w:rFonts w:ascii="Times New Roman" w:hAnsi="Times New Roman"/>
          <w:bCs/>
        </w:rPr>
        <w:tab/>
        <w:t>Consistent with recent ICR renewals, OPP is using labor cost estimates from Agency economists with respect to wages, benefits and overhead for all labor categories for affected industries, state government, and EPA employees.  This approach uses a transparent and consistent methodology employing publicly-available data to provide more accurate estimates and allow easy replication of the calculations.</w:t>
      </w:r>
    </w:p>
    <w:p w:rsidR="008E58FB" w:rsidRPr="00A66C48" w:rsidRDefault="008E58FB" w:rsidP="008E58FB">
      <w:pPr>
        <w:numPr>
          <w:ilvl w:val="12"/>
          <w:numId w:val="0"/>
        </w:numPr>
        <w:rPr>
          <w:rFonts w:ascii="Times New Roman" w:hAnsi="Times New Roman"/>
          <w:bCs/>
        </w:rPr>
      </w:pPr>
    </w:p>
    <w:p w:rsidR="008E58FB" w:rsidRPr="00A66C48" w:rsidRDefault="008E58FB" w:rsidP="008E58FB">
      <w:pPr>
        <w:numPr>
          <w:ilvl w:val="12"/>
          <w:numId w:val="0"/>
        </w:numPr>
        <w:rPr>
          <w:rFonts w:ascii="Times New Roman" w:hAnsi="Times New Roman"/>
          <w:bCs/>
        </w:rPr>
      </w:pPr>
      <w:r w:rsidRPr="00A66C48">
        <w:rPr>
          <w:rFonts w:ascii="Times New Roman" w:hAnsi="Times New Roman"/>
          <w:bCs/>
        </w:rPr>
        <w:tab/>
        <w:t>Methodology:</w:t>
      </w:r>
      <w:r w:rsidRPr="00A66C48">
        <w:rPr>
          <w:rFonts w:ascii="Times New Roman" w:hAnsi="Times New Roman"/>
          <w:bCs/>
        </w:rPr>
        <w:tab/>
        <w:t xml:space="preserve">The methodology uses data on each sector and labor type for an </w:t>
      </w:r>
      <w:r w:rsidRPr="00A66C48">
        <w:rPr>
          <w:rFonts w:ascii="Times New Roman" w:hAnsi="Times New Roman"/>
          <w:bCs/>
          <w:i/>
        </w:rPr>
        <w:t>Unloaded wage rate</w:t>
      </w:r>
      <w:r w:rsidRPr="00A66C48">
        <w:rPr>
          <w:rFonts w:ascii="Times New Roman" w:hAnsi="Times New Roman"/>
          <w:bCs/>
        </w:rPr>
        <w:t xml:space="preserve"> (hourly wage rate), and calculates the </w:t>
      </w:r>
      <w:r w:rsidRPr="00A66C48">
        <w:rPr>
          <w:rFonts w:ascii="Times New Roman" w:hAnsi="Times New Roman"/>
          <w:bCs/>
          <w:i/>
        </w:rPr>
        <w:t>Loaded wage rate</w:t>
      </w:r>
      <w:r w:rsidRPr="00A66C48">
        <w:rPr>
          <w:rFonts w:ascii="Times New Roman" w:hAnsi="Times New Roman"/>
          <w:bCs/>
        </w:rPr>
        <w:t xml:space="preserve"> (unloaded wage rate + benefits), and the </w:t>
      </w:r>
      <w:proofErr w:type="gramStart"/>
      <w:r w:rsidRPr="00A66C48">
        <w:rPr>
          <w:rFonts w:ascii="Times New Roman" w:hAnsi="Times New Roman"/>
          <w:bCs/>
          <w:i/>
        </w:rPr>
        <w:t>Fully</w:t>
      </w:r>
      <w:proofErr w:type="gramEnd"/>
      <w:r w:rsidRPr="00A66C48">
        <w:rPr>
          <w:rFonts w:ascii="Times New Roman" w:hAnsi="Times New Roman"/>
          <w:bCs/>
          <w:i/>
        </w:rPr>
        <w:t xml:space="preserve"> loaded wage rate</w:t>
      </w:r>
      <w:r w:rsidRPr="00A66C48">
        <w:rPr>
          <w:rFonts w:ascii="Times New Roman" w:hAnsi="Times New Roman"/>
          <w:bCs/>
        </w:rPr>
        <w:t xml:space="preserve"> (loaded wage rate + overhead).  Fully loaded wage rates are used to calculate the Agency’s staffing costs.  </w:t>
      </w:r>
    </w:p>
    <w:p w:rsidR="008E58FB" w:rsidRPr="00A66C48" w:rsidRDefault="008E58FB" w:rsidP="008E58FB">
      <w:pPr>
        <w:numPr>
          <w:ilvl w:val="12"/>
          <w:numId w:val="0"/>
        </w:numPr>
        <w:rPr>
          <w:rFonts w:ascii="Times New Roman" w:hAnsi="Times New Roman"/>
          <w:bCs/>
        </w:rPr>
      </w:pPr>
    </w:p>
    <w:p w:rsidR="008E58FB" w:rsidRPr="00A66C48" w:rsidRDefault="008E58FB" w:rsidP="008E58FB">
      <w:pPr>
        <w:numPr>
          <w:ilvl w:val="12"/>
          <w:numId w:val="0"/>
        </w:numPr>
        <w:rPr>
          <w:rFonts w:ascii="Times New Roman" w:hAnsi="Times New Roman"/>
          <w:bCs/>
        </w:rPr>
      </w:pPr>
      <w:r w:rsidRPr="00A66C48">
        <w:rPr>
          <w:rFonts w:ascii="Times New Roman" w:hAnsi="Times New Roman"/>
          <w:bCs/>
        </w:rPr>
        <w:tab/>
        <w:t xml:space="preserve">Unloaded Wage Rate:  Wages are estimated for labor types (management, technical, and clerical) within applicable sectors. The Agency uses average wage data for the relevant sectors available in the National Industry-Specific Occupational Employment and Wage Estimates from the Bureau of Labor Statistics (BLS) at </w:t>
      </w:r>
      <w:hyperlink r:id="rId14" w:history="1">
        <w:r w:rsidRPr="00A66C48">
          <w:rPr>
            <w:rStyle w:val="Hyperlink"/>
            <w:rFonts w:ascii="Times New Roman" w:hAnsi="Times New Roman"/>
            <w:bCs/>
            <w:color w:val="auto"/>
          </w:rPr>
          <w:t>http://www.bls.gov/oes/current/oes_nat.htm</w:t>
        </w:r>
      </w:hyperlink>
      <w:r w:rsidRPr="00A66C48">
        <w:rPr>
          <w:rFonts w:ascii="Times New Roman" w:hAnsi="Times New Roman"/>
          <w:bCs/>
        </w:rPr>
        <w:t xml:space="preserve">.  </w:t>
      </w:r>
    </w:p>
    <w:p w:rsidR="008E58FB" w:rsidRPr="00A66C48" w:rsidRDefault="008E58FB" w:rsidP="008E58FB">
      <w:pPr>
        <w:numPr>
          <w:ilvl w:val="12"/>
          <w:numId w:val="0"/>
        </w:numPr>
        <w:rPr>
          <w:rFonts w:ascii="Times New Roman" w:hAnsi="Times New Roman"/>
          <w:bCs/>
        </w:rPr>
      </w:pPr>
    </w:p>
    <w:p w:rsidR="008E58FB" w:rsidRPr="00A66C48" w:rsidRDefault="008E58FB" w:rsidP="008E58FB">
      <w:pPr>
        <w:numPr>
          <w:ilvl w:val="12"/>
          <w:numId w:val="0"/>
        </w:numPr>
        <w:rPr>
          <w:rFonts w:ascii="Times New Roman" w:hAnsi="Times New Roman"/>
          <w:bCs/>
        </w:rPr>
      </w:pPr>
      <w:r w:rsidRPr="00A66C48">
        <w:rPr>
          <w:rFonts w:ascii="Times New Roman" w:hAnsi="Times New Roman"/>
          <w:bCs/>
        </w:rPr>
        <w:tab/>
        <w:t>Sectors: The specific North American Industry Classification System (NAICS) code and website for each sector is included in that sector’s wage rate table.  Within each sector, the wage data are provided</w:t>
      </w:r>
      <w:r w:rsidRPr="00A66C48">
        <w:rPr>
          <w:rFonts w:ascii="Times New Roman" w:hAnsi="Times New Roman"/>
          <w:b/>
          <w:bCs/>
        </w:rPr>
        <w:t xml:space="preserve"> </w:t>
      </w:r>
      <w:r w:rsidRPr="00A66C48">
        <w:rPr>
          <w:rFonts w:ascii="Times New Roman" w:hAnsi="Times New Roman"/>
          <w:bCs/>
        </w:rPr>
        <w:t xml:space="preserve">by Standard Occupational Classification (SOC).  The SOC system is used by Federal statistical agencies to classify workers into occupational categories for the purpose of collecting, calculating, or disseminating data (see </w:t>
      </w:r>
      <w:hyperlink r:id="rId15" w:history="1">
        <w:r w:rsidRPr="00A66C48">
          <w:rPr>
            <w:rStyle w:val="Hyperlink"/>
            <w:rFonts w:ascii="Times New Roman" w:hAnsi="Times New Roman"/>
            <w:bCs/>
            <w:color w:val="auto"/>
          </w:rPr>
          <w:t>http://www.bls.gov/oes/current/oes_stru.htm</w:t>
        </w:r>
      </w:hyperlink>
      <w:r w:rsidRPr="00A66C48">
        <w:rPr>
          <w:rFonts w:ascii="Times New Roman" w:hAnsi="Times New Roman"/>
          <w:bCs/>
        </w:rPr>
        <w:t xml:space="preserve"> ).  </w:t>
      </w:r>
    </w:p>
    <w:p w:rsidR="008E58FB" w:rsidRPr="00A66C48" w:rsidRDefault="008E58FB" w:rsidP="008E58FB">
      <w:pPr>
        <w:numPr>
          <w:ilvl w:val="12"/>
          <w:numId w:val="0"/>
        </w:numPr>
        <w:rPr>
          <w:rFonts w:ascii="Times New Roman" w:hAnsi="Times New Roman"/>
          <w:bCs/>
        </w:rPr>
      </w:pPr>
    </w:p>
    <w:p w:rsidR="008E58FB" w:rsidRPr="00A66C48" w:rsidRDefault="008E58FB" w:rsidP="008E58FB">
      <w:pPr>
        <w:numPr>
          <w:ilvl w:val="12"/>
          <w:numId w:val="0"/>
        </w:numPr>
        <w:rPr>
          <w:rFonts w:ascii="Times New Roman" w:hAnsi="Times New Roman"/>
          <w:bCs/>
        </w:rPr>
      </w:pPr>
      <w:r w:rsidRPr="00A66C48">
        <w:rPr>
          <w:rFonts w:ascii="Times New Roman" w:hAnsi="Times New Roman"/>
          <w:bCs/>
        </w:rPr>
        <w:tab/>
        <w:t>Loaded Wage Rate: Unless stated otherwise, all benefits represent 4</w:t>
      </w:r>
      <w:r w:rsidR="00AB484D" w:rsidRPr="00A66C48">
        <w:rPr>
          <w:rFonts w:ascii="Times New Roman" w:hAnsi="Times New Roman"/>
          <w:bCs/>
        </w:rPr>
        <w:t>4</w:t>
      </w:r>
      <w:r w:rsidRPr="00A66C48">
        <w:rPr>
          <w:rFonts w:ascii="Times New Roman" w:hAnsi="Times New Roman"/>
          <w:bCs/>
        </w:rPr>
        <w:t xml:space="preserve">% of unloaded wage rates, based on benefits for all civilian non-farm workers, from </w:t>
      </w:r>
      <w:hyperlink r:id="rId16" w:history="1">
        <w:r w:rsidRPr="00A66C48">
          <w:rPr>
            <w:rStyle w:val="Hyperlink"/>
            <w:rFonts w:ascii="Times New Roman" w:hAnsi="Times New Roman"/>
            <w:bCs/>
            <w:color w:val="auto"/>
          </w:rPr>
          <w:t>http://www.bls.gov/news.release/ecec.t01.htm</w:t>
        </w:r>
      </w:hyperlink>
      <w:r w:rsidRPr="00A66C48">
        <w:rPr>
          <w:rFonts w:ascii="Times New Roman" w:hAnsi="Times New Roman"/>
          <w:bCs/>
        </w:rPr>
        <w:t>. However, if other sectors are listed for which 4</w:t>
      </w:r>
      <w:r w:rsidR="00AB484D" w:rsidRPr="00A66C48">
        <w:rPr>
          <w:rFonts w:ascii="Times New Roman" w:hAnsi="Times New Roman"/>
          <w:bCs/>
        </w:rPr>
        <w:t>4</w:t>
      </w:r>
      <w:r w:rsidRPr="00A66C48">
        <w:rPr>
          <w:rFonts w:ascii="Times New Roman" w:hAnsi="Times New Roman"/>
          <w:bCs/>
        </w:rPr>
        <w:t>% is not applicable</w:t>
      </w:r>
      <w:r w:rsidR="00453666" w:rsidRPr="00A66C48">
        <w:rPr>
          <w:rFonts w:ascii="Times New Roman" w:hAnsi="Times New Roman"/>
          <w:bCs/>
        </w:rPr>
        <w:t>,</w:t>
      </w:r>
      <w:r w:rsidRPr="00A66C48">
        <w:rPr>
          <w:rFonts w:ascii="Times New Roman" w:hAnsi="Times New Roman"/>
          <w:bCs/>
        </w:rPr>
        <w:t xml:space="preserve"> the applicable percentage will be stated.</w:t>
      </w:r>
    </w:p>
    <w:p w:rsidR="008E58FB" w:rsidRPr="00A66C48" w:rsidRDefault="008E58FB" w:rsidP="008E58FB">
      <w:pPr>
        <w:numPr>
          <w:ilvl w:val="12"/>
          <w:numId w:val="0"/>
        </w:numPr>
        <w:rPr>
          <w:rFonts w:ascii="Times New Roman" w:hAnsi="Times New Roman"/>
          <w:bCs/>
        </w:rPr>
      </w:pPr>
    </w:p>
    <w:p w:rsidR="008E58FB" w:rsidRPr="00A66C48" w:rsidRDefault="008E58FB" w:rsidP="008E58FB">
      <w:pPr>
        <w:numPr>
          <w:ilvl w:val="12"/>
          <w:numId w:val="0"/>
        </w:numPr>
        <w:rPr>
          <w:rFonts w:ascii="Times New Roman" w:hAnsi="Times New Roman"/>
          <w:bCs/>
        </w:rPr>
      </w:pPr>
      <w:r w:rsidRPr="00A66C48">
        <w:rPr>
          <w:rFonts w:ascii="Times New Roman" w:hAnsi="Times New Roman"/>
          <w:bCs/>
        </w:rPr>
        <w:tab/>
        <w:t xml:space="preserve">Fully Loaded Wage Rate: We multiply the loaded wage rate by 50% (EPA guidelines 20-70%) to get overhead costs.  Attachment </w:t>
      </w:r>
      <w:r w:rsidR="0043794F" w:rsidRPr="00A66C48">
        <w:rPr>
          <w:rFonts w:ascii="Times New Roman" w:hAnsi="Times New Roman"/>
          <w:bCs/>
        </w:rPr>
        <w:t>E</w:t>
      </w:r>
      <w:r w:rsidRPr="00A66C48">
        <w:rPr>
          <w:rFonts w:ascii="Times New Roman" w:hAnsi="Times New Roman"/>
          <w:bCs/>
        </w:rPr>
        <w:t xml:space="preserve"> contain</w:t>
      </w:r>
      <w:r w:rsidR="0043794F" w:rsidRPr="00A66C48">
        <w:rPr>
          <w:rFonts w:ascii="Times New Roman" w:hAnsi="Times New Roman"/>
          <w:bCs/>
        </w:rPr>
        <w:t>s</w:t>
      </w:r>
      <w:r w:rsidRPr="00A66C48">
        <w:rPr>
          <w:rFonts w:ascii="Times New Roman" w:hAnsi="Times New Roman"/>
          <w:bCs/>
        </w:rPr>
        <w:t xml:space="preserve"> worksheets providing the breakout of these costs.  Costs are indexed to 20</w:t>
      </w:r>
      <w:r w:rsidR="0043794F" w:rsidRPr="00A66C48">
        <w:rPr>
          <w:rFonts w:ascii="Times New Roman" w:hAnsi="Times New Roman"/>
          <w:bCs/>
        </w:rPr>
        <w:t>12</w:t>
      </w:r>
      <w:r w:rsidRPr="00A66C48">
        <w:rPr>
          <w:rFonts w:ascii="Times New Roman" w:hAnsi="Times New Roman"/>
          <w:bCs/>
        </w:rPr>
        <w:t xml:space="preserve"> data.  </w:t>
      </w:r>
    </w:p>
    <w:p w:rsidR="008E58FB" w:rsidRPr="00A66C48" w:rsidRDefault="008E58FB" w:rsidP="008E58FB">
      <w:pPr>
        <w:numPr>
          <w:ilvl w:val="12"/>
          <w:numId w:val="0"/>
        </w:numPr>
        <w:rPr>
          <w:rFonts w:ascii="Times New Roman" w:hAnsi="Times New Roman"/>
          <w:bCs/>
        </w:rPr>
      </w:pPr>
    </w:p>
    <w:p w:rsidR="008E58FB" w:rsidRPr="00A66C48" w:rsidRDefault="008E58FB" w:rsidP="008E58FB">
      <w:pPr>
        <w:numPr>
          <w:ilvl w:val="12"/>
          <w:numId w:val="0"/>
        </w:numPr>
        <w:rPr>
          <w:rFonts w:ascii="Times New Roman" w:hAnsi="Times New Roman"/>
          <w:bCs/>
        </w:rPr>
      </w:pPr>
      <w:r w:rsidRPr="00A66C48">
        <w:rPr>
          <w:rFonts w:ascii="Times New Roman" w:hAnsi="Times New Roman"/>
          <w:bCs/>
        </w:rPr>
        <w:tab/>
        <w:t>To derive the labor rates for this ICR, Agency economists estimated the wages for the management, technical, and clerical labor categories using the methodology cited above.  The respondent costs for this renewal for technical and clerical rates are estimated at $6</w:t>
      </w:r>
      <w:r w:rsidR="00577521" w:rsidRPr="00A66C48">
        <w:rPr>
          <w:rFonts w:ascii="Times New Roman" w:hAnsi="Times New Roman"/>
          <w:bCs/>
        </w:rPr>
        <w:t>2</w:t>
      </w:r>
      <w:r w:rsidRPr="00A66C48">
        <w:rPr>
          <w:rFonts w:ascii="Times New Roman" w:hAnsi="Times New Roman"/>
          <w:bCs/>
        </w:rPr>
        <w:t>.</w:t>
      </w:r>
      <w:r w:rsidR="00577521" w:rsidRPr="00A66C48">
        <w:rPr>
          <w:rFonts w:ascii="Times New Roman" w:hAnsi="Times New Roman"/>
          <w:bCs/>
        </w:rPr>
        <w:t xml:space="preserve">58 </w:t>
      </w:r>
      <w:r w:rsidRPr="00A66C48">
        <w:rPr>
          <w:rFonts w:ascii="Times New Roman" w:hAnsi="Times New Roman"/>
          <w:bCs/>
        </w:rPr>
        <w:t>and $</w:t>
      </w:r>
      <w:r w:rsidR="00577521" w:rsidRPr="00A66C48">
        <w:rPr>
          <w:rFonts w:ascii="Times New Roman" w:hAnsi="Times New Roman"/>
          <w:bCs/>
        </w:rPr>
        <w:t>37.33</w:t>
      </w:r>
      <w:r w:rsidRPr="00A66C48">
        <w:rPr>
          <w:rFonts w:ascii="Times New Roman" w:hAnsi="Times New Roman"/>
          <w:bCs/>
        </w:rPr>
        <w:t xml:space="preserve"> per hour, respectively.  These labor rates are fully loaded and include benefits and overhead costs.</w:t>
      </w:r>
    </w:p>
    <w:p w:rsidR="008E58FB" w:rsidRPr="00A66C48" w:rsidRDefault="008E58FB" w:rsidP="009711FA">
      <w:pPr>
        <w:numPr>
          <w:ilvl w:val="12"/>
          <w:numId w:val="0"/>
        </w:numPr>
        <w:rPr>
          <w:rFonts w:ascii="Times New Roman" w:hAnsi="Times New Roman"/>
          <w:bCs/>
        </w:rPr>
      </w:pPr>
    </w:p>
    <w:p w:rsidR="002F14F8" w:rsidRPr="00A66C48" w:rsidRDefault="008E58FB" w:rsidP="002F14F8">
      <w:pPr>
        <w:numPr>
          <w:ilvl w:val="12"/>
          <w:numId w:val="0"/>
        </w:numPr>
        <w:rPr>
          <w:rFonts w:ascii="Times New Roman" w:hAnsi="Times New Roman"/>
        </w:rPr>
      </w:pPr>
      <w:bookmarkStart w:id="9" w:name="OLE_LINK57"/>
      <w:bookmarkStart w:id="10" w:name="OLE_LINK58"/>
      <w:r w:rsidRPr="00A66C48">
        <w:rPr>
          <w:rFonts w:ascii="Times New Roman" w:hAnsi="Times New Roman"/>
          <w:bCs/>
        </w:rPr>
        <w:tab/>
      </w:r>
      <w:r w:rsidR="00583258" w:rsidRPr="00A66C48">
        <w:rPr>
          <w:rFonts w:ascii="Times New Roman" w:hAnsi="Times New Roman"/>
          <w:bCs/>
        </w:rPr>
        <w:t xml:space="preserve">Table 2 presents </w:t>
      </w:r>
      <w:r w:rsidR="00CD48C5" w:rsidRPr="00A66C48">
        <w:rPr>
          <w:rFonts w:ascii="Times New Roman" w:hAnsi="Times New Roman"/>
          <w:bCs/>
        </w:rPr>
        <w:t xml:space="preserve">respondent </w:t>
      </w:r>
      <w:r w:rsidR="00583258" w:rsidRPr="00A66C48">
        <w:rPr>
          <w:rFonts w:ascii="Times New Roman" w:hAnsi="Times New Roman"/>
          <w:bCs/>
        </w:rPr>
        <w:t xml:space="preserve">burden </w:t>
      </w:r>
      <w:r w:rsidR="00CD48C5" w:rsidRPr="00A66C48">
        <w:rPr>
          <w:rFonts w:ascii="Times New Roman" w:hAnsi="Times New Roman"/>
          <w:bCs/>
        </w:rPr>
        <w:t>hours and cost</w:t>
      </w:r>
      <w:r w:rsidR="00962590">
        <w:rPr>
          <w:rFonts w:ascii="Times New Roman" w:hAnsi="Times New Roman"/>
          <w:bCs/>
        </w:rPr>
        <w:t>s</w:t>
      </w:r>
      <w:r w:rsidR="00CD48C5" w:rsidRPr="00A66C48">
        <w:rPr>
          <w:rFonts w:ascii="Times New Roman" w:hAnsi="Times New Roman"/>
          <w:bCs/>
        </w:rPr>
        <w:t xml:space="preserve"> by </w:t>
      </w:r>
      <w:r w:rsidR="00583258" w:rsidRPr="00A66C48">
        <w:rPr>
          <w:rFonts w:ascii="Times New Roman" w:hAnsi="Times New Roman"/>
          <w:bCs/>
        </w:rPr>
        <w:t xml:space="preserve">collection activity averaged across all </w:t>
      </w:r>
      <w:r w:rsidR="00154F17" w:rsidRPr="00A66C48">
        <w:rPr>
          <w:rFonts w:ascii="Times New Roman" w:hAnsi="Times New Roman"/>
          <w:bCs/>
        </w:rPr>
        <w:t xml:space="preserve">four </w:t>
      </w:r>
      <w:r w:rsidR="00583258" w:rsidRPr="00A66C48">
        <w:rPr>
          <w:rFonts w:ascii="Times New Roman" w:hAnsi="Times New Roman"/>
          <w:bCs/>
        </w:rPr>
        <w:t>CRP</w:t>
      </w:r>
      <w:r w:rsidR="00154F17" w:rsidRPr="00A66C48">
        <w:rPr>
          <w:rFonts w:ascii="Times New Roman" w:hAnsi="Times New Roman"/>
          <w:bCs/>
        </w:rPr>
        <w:t xml:space="preserve"> </w:t>
      </w:r>
      <w:r w:rsidR="00583258" w:rsidRPr="00A66C48">
        <w:rPr>
          <w:rFonts w:ascii="Times New Roman" w:hAnsi="Times New Roman"/>
          <w:bCs/>
        </w:rPr>
        <w:t>response types.</w:t>
      </w:r>
      <w:r w:rsidR="00527FFB" w:rsidRPr="00A66C48">
        <w:rPr>
          <w:rFonts w:ascii="Times New Roman" w:hAnsi="Times New Roman"/>
          <w:bCs/>
        </w:rPr>
        <w:t xml:space="preserve"> </w:t>
      </w:r>
      <w:r w:rsidR="00AE434C" w:rsidRPr="00A66C48">
        <w:rPr>
          <w:rFonts w:ascii="Times New Roman" w:hAnsi="Times New Roman"/>
          <w:bCs/>
        </w:rPr>
        <w:t>For example, t</w:t>
      </w:r>
      <w:r w:rsidR="00527FFB" w:rsidRPr="00A66C48">
        <w:rPr>
          <w:rFonts w:ascii="Times New Roman" w:hAnsi="Times New Roman"/>
        </w:rPr>
        <w:t xml:space="preserve">he </w:t>
      </w:r>
      <w:r w:rsidR="00AE434C" w:rsidRPr="00A66C48">
        <w:rPr>
          <w:rFonts w:ascii="Times New Roman" w:hAnsi="Times New Roman"/>
        </w:rPr>
        <w:t>total</w:t>
      </w:r>
      <w:r w:rsidR="00527FFB" w:rsidRPr="00A66C48">
        <w:rPr>
          <w:rFonts w:ascii="Times New Roman" w:hAnsi="Times New Roman"/>
        </w:rPr>
        <w:t xml:space="preserve"> per-response technical burden hours</w:t>
      </w:r>
      <w:r w:rsidR="00AE434C" w:rsidRPr="00A66C48">
        <w:rPr>
          <w:rFonts w:ascii="Times New Roman" w:hAnsi="Times New Roman"/>
        </w:rPr>
        <w:t xml:space="preserve"> is</w:t>
      </w:r>
      <w:r w:rsidR="00527FFB" w:rsidRPr="00A66C48">
        <w:rPr>
          <w:rFonts w:ascii="Times New Roman" w:hAnsi="Times New Roman"/>
        </w:rPr>
        <w:t xml:space="preserve"> 5.</w:t>
      </w:r>
      <w:r w:rsidR="009B623B">
        <w:rPr>
          <w:rFonts w:ascii="Times New Roman" w:hAnsi="Times New Roman"/>
        </w:rPr>
        <w:t>8</w:t>
      </w:r>
      <w:r w:rsidR="001D7392">
        <w:rPr>
          <w:rFonts w:ascii="Times New Roman" w:hAnsi="Times New Roman"/>
        </w:rPr>
        <w:t>7</w:t>
      </w:r>
      <w:r w:rsidR="00527FFB" w:rsidRPr="00A66C48">
        <w:rPr>
          <w:rFonts w:ascii="Times New Roman" w:hAnsi="Times New Roman"/>
        </w:rPr>
        <w:t xml:space="preserve"> hrs, </w:t>
      </w:r>
      <w:r w:rsidR="001F2739" w:rsidRPr="00A66C48">
        <w:rPr>
          <w:rFonts w:ascii="Times New Roman" w:hAnsi="Times New Roman"/>
        </w:rPr>
        <w:t xml:space="preserve">which </w:t>
      </w:r>
      <w:r w:rsidR="00527FFB" w:rsidRPr="00A66C48">
        <w:rPr>
          <w:rFonts w:ascii="Times New Roman" w:hAnsi="Times New Roman"/>
        </w:rPr>
        <w:t xml:space="preserve">is obtained by dividing the total </w:t>
      </w:r>
      <w:r w:rsidR="001F2739" w:rsidRPr="00A66C48">
        <w:rPr>
          <w:rFonts w:ascii="Times New Roman" w:hAnsi="Times New Roman"/>
        </w:rPr>
        <w:t xml:space="preserve">technical </w:t>
      </w:r>
      <w:r w:rsidR="00527FFB" w:rsidRPr="00A66C48">
        <w:rPr>
          <w:rFonts w:ascii="Times New Roman" w:hAnsi="Times New Roman"/>
        </w:rPr>
        <w:t>burden hours (</w:t>
      </w:r>
      <w:r w:rsidR="00962590">
        <w:rPr>
          <w:rFonts w:ascii="Times New Roman" w:hAnsi="Times New Roman"/>
        </w:rPr>
        <w:t>5</w:t>
      </w:r>
      <w:r w:rsidR="009B623B">
        <w:rPr>
          <w:rFonts w:ascii="Times New Roman" w:hAnsi="Times New Roman"/>
        </w:rPr>
        <w:t>,0</w:t>
      </w:r>
      <w:r w:rsidR="00962590">
        <w:rPr>
          <w:rFonts w:ascii="Times New Roman" w:hAnsi="Times New Roman"/>
        </w:rPr>
        <w:t>57</w:t>
      </w:r>
      <w:r w:rsidR="001F2739" w:rsidRPr="00A66C48">
        <w:rPr>
          <w:rFonts w:ascii="Times New Roman" w:hAnsi="Times New Roman"/>
        </w:rPr>
        <w:t xml:space="preserve"> in Table 1</w:t>
      </w:r>
      <w:r w:rsidR="00527FFB" w:rsidRPr="00A66C48">
        <w:rPr>
          <w:rFonts w:ascii="Times New Roman" w:hAnsi="Times New Roman"/>
        </w:rPr>
        <w:t xml:space="preserve">) across </w:t>
      </w:r>
      <w:r w:rsidR="001F2739" w:rsidRPr="00A66C48">
        <w:rPr>
          <w:rFonts w:ascii="Times New Roman" w:hAnsi="Times New Roman"/>
        </w:rPr>
        <w:t>all</w:t>
      </w:r>
      <w:r w:rsidR="00527FFB" w:rsidRPr="00A66C48">
        <w:rPr>
          <w:rFonts w:ascii="Times New Roman" w:hAnsi="Times New Roman"/>
        </w:rPr>
        <w:t xml:space="preserve"> four </w:t>
      </w:r>
      <w:r w:rsidR="001F2739" w:rsidRPr="00A66C48">
        <w:rPr>
          <w:rFonts w:ascii="Times New Roman" w:hAnsi="Times New Roman"/>
        </w:rPr>
        <w:t xml:space="preserve">CRP response </w:t>
      </w:r>
      <w:r w:rsidR="00527FFB" w:rsidRPr="00A66C48">
        <w:rPr>
          <w:rFonts w:ascii="Times New Roman" w:hAnsi="Times New Roman"/>
        </w:rPr>
        <w:t xml:space="preserve">types by the total number of responses (685). The </w:t>
      </w:r>
      <w:r w:rsidR="001F2739" w:rsidRPr="00A66C48">
        <w:rPr>
          <w:rFonts w:ascii="Times New Roman" w:hAnsi="Times New Roman"/>
        </w:rPr>
        <w:t xml:space="preserve">total </w:t>
      </w:r>
      <w:r w:rsidR="00527FFB" w:rsidRPr="00A66C48">
        <w:rPr>
          <w:rFonts w:ascii="Times New Roman" w:hAnsi="Times New Roman"/>
        </w:rPr>
        <w:t>clerical burden hours per response is similarly computed. These are then broken down among the various collection activities in Table 2 according to the same proportion</w:t>
      </w:r>
      <w:r w:rsidR="001F2739" w:rsidRPr="00A66C48">
        <w:rPr>
          <w:rFonts w:ascii="Times New Roman" w:hAnsi="Times New Roman"/>
        </w:rPr>
        <w:t>s</w:t>
      </w:r>
      <w:r w:rsidR="00527FFB" w:rsidRPr="00A66C48">
        <w:rPr>
          <w:rFonts w:ascii="Times New Roman" w:hAnsi="Times New Roman"/>
        </w:rPr>
        <w:t xml:space="preserve"> used in the previous ICR renewal</w:t>
      </w:r>
      <w:r w:rsidR="00EE7FC1">
        <w:rPr>
          <w:rFonts w:ascii="Times New Roman" w:hAnsi="Times New Roman"/>
        </w:rPr>
        <w:t>, using</w:t>
      </w:r>
      <w:r w:rsidR="00962590">
        <w:rPr>
          <w:rFonts w:ascii="Times New Roman" w:hAnsi="Times New Roman"/>
        </w:rPr>
        <w:t xml:space="preserve"> </w:t>
      </w:r>
      <w:r w:rsidR="00962590">
        <w:rPr>
          <w:rFonts w:ascii="Times New Roman" w:hAnsi="Times New Roman"/>
        </w:rPr>
        <w:lastRenderedPageBreak/>
        <w:t>input</w:t>
      </w:r>
      <w:r w:rsidR="00527FFB" w:rsidRPr="00A66C48">
        <w:rPr>
          <w:rFonts w:ascii="Times New Roman" w:hAnsi="Times New Roman"/>
        </w:rPr>
        <w:t xml:space="preserve"> </w:t>
      </w:r>
      <w:r w:rsidR="00EE7FC1">
        <w:rPr>
          <w:rFonts w:ascii="Times New Roman" w:hAnsi="Times New Roman"/>
        </w:rPr>
        <w:t>from</w:t>
      </w:r>
      <w:r w:rsidR="00527FFB" w:rsidRPr="00A66C48">
        <w:rPr>
          <w:rFonts w:ascii="Times New Roman" w:hAnsi="Times New Roman"/>
        </w:rPr>
        <w:t xml:space="preserve"> industry consultation.</w:t>
      </w:r>
      <w:r w:rsidR="00583258" w:rsidRPr="00A66C48">
        <w:rPr>
          <w:rFonts w:ascii="Times New Roman" w:hAnsi="Times New Roman"/>
          <w:bCs/>
        </w:rPr>
        <w:t xml:space="preserve"> </w:t>
      </w:r>
      <w:r w:rsidR="00527FFB" w:rsidRPr="00A66C48">
        <w:rPr>
          <w:rFonts w:ascii="Times New Roman" w:hAnsi="Times New Roman"/>
          <w:bCs/>
        </w:rPr>
        <w:t xml:space="preserve"> </w:t>
      </w:r>
      <w:r w:rsidR="002F14F8" w:rsidRPr="00A66C48">
        <w:rPr>
          <w:rFonts w:ascii="Times New Roman" w:hAnsi="Times New Roman"/>
        </w:rPr>
        <w:t xml:space="preserve">The total average cost of the estimated burden per respondent to comply with </w:t>
      </w:r>
      <w:bookmarkEnd w:id="9"/>
      <w:bookmarkEnd w:id="10"/>
      <w:r w:rsidR="002F14F8" w:rsidRPr="00A66C48">
        <w:rPr>
          <w:rFonts w:ascii="Times New Roman" w:hAnsi="Times New Roman"/>
        </w:rPr>
        <w:t xml:space="preserve">CRP </w:t>
      </w:r>
      <w:r w:rsidR="005857DA" w:rsidRPr="00A66C48">
        <w:rPr>
          <w:rFonts w:ascii="Times New Roman" w:hAnsi="Times New Roman"/>
        </w:rPr>
        <w:t xml:space="preserve">requirements </w:t>
      </w:r>
      <w:r w:rsidR="002F14F8" w:rsidRPr="00A66C48">
        <w:rPr>
          <w:rFonts w:ascii="Times New Roman" w:hAnsi="Times New Roman"/>
        </w:rPr>
        <w:t>is approximately $</w:t>
      </w:r>
      <w:r w:rsidR="00437738" w:rsidRPr="00A66C48">
        <w:rPr>
          <w:rFonts w:ascii="Times New Roman" w:hAnsi="Times New Roman"/>
        </w:rPr>
        <w:t>4</w:t>
      </w:r>
      <w:r w:rsidR="009B623B">
        <w:rPr>
          <w:rFonts w:ascii="Times New Roman" w:hAnsi="Times New Roman"/>
        </w:rPr>
        <w:t>4</w:t>
      </w:r>
      <w:r w:rsidR="00437738" w:rsidRPr="00A66C48">
        <w:rPr>
          <w:rFonts w:ascii="Times New Roman" w:hAnsi="Times New Roman"/>
        </w:rPr>
        <w:t>8.2</w:t>
      </w:r>
      <w:r w:rsidR="009B623B">
        <w:rPr>
          <w:rFonts w:ascii="Times New Roman" w:hAnsi="Times New Roman"/>
        </w:rPr>
        <w:t>0</w:t>
      </w:r>
      <w:r w:rsidR="006D3009" w:rsidRPr="00A66C48">
        <w:rPr>
          <w:rFonts w:ascii="Times New Roman" w:hAnsi="Times New Roman"/>
        </w:rPr>
        <w:t xml:space="preserve"> </w:t>
      </w:r>
      <w:r w:rsidR="002F14F8" w:rsidRPr="00A66C48">
        <w:rPr>
          <w:rFonts w:ascii="Times New Roman" w:hAnsi="Times New Roman"/>
        </w:rPr>
        <w:t xml:space="preserve">per response. Using the Agency’s burden estimate and the fully-loaded labor rates, the Agency estimates </w:t>
      </w:r>
      <w:r w:rsidR="0064569C" w:rsidRPr="00A66C48">
        <w:rPr>
          <w:rFonts w:ascii="Times New Roman" w:hAnsi="Times New Roman"/>
        </w:rPr>
        <w:t xml:space="preserve">total </w:t>
      </w:r>
      <w:r w:rsidR="00C612E7">
        <w:rPr>
          <w:rFonts w:ascii="Times New Roman" w:hAnsi="Times New Roman"/>
        </w:rPr>
        <w:t>respondent</w:t>
      </w:r>
      <w:r w:rsidR="002F14F8" w:rsidRPr="00A66C48">
        <w:rPr>
          <w:rFonts w:ascii="Times New Roman" w:hAnsi="Times New Roman"/>
        </w:rPr>
        <w:t xml:space="preserve"> costs to be approximately $</w:t>
      </w:r>
      <w:r w:rsidR="00527FFB" w:rsidRPr="00A66C48">
        <w:rPr>
          <w:rFonts w:ascii="Times New Roman" w:hAnsi="Times New Roman"/>
        </w:rPr>
        <w:t>30</w:t>
      </w:r>
      <w:r w:rsidR="009B623B">
        <w:rPr>
          <w:rFonts w:ascii="Times New Roman" w:hAnsi="Times New Roman"/>
        </w:rPr>
        <w:t>6</w:t>
      </w:r>
      <w:r w:rsidR="00527FFB" w:rsidRPr="00A66C48">
        <w:rPr>
          <w:rFonts w:ascii="Times New Roman" w:hAnsi="Times New Roman"/>
        </w:rPr>
        <w:t>,</w:t>
      </w:r>
      <w:r w:rsidR="009B623B">
        <w:rPr>
          <w:rFonts w:ascii="Times New Roman" w:hAnsi="Times New Roman"/>
        </w:rPr>
        <w:t>8</w:t>
      </w:r>
      <w:r w:rsidR="00527FFB" w:rsidRPr="00A66C48">
        <w:rPr>
          <w:rFonts w:ascii="Times New Roman" w:hAnsi="Times New Roman"/>
        </w:rPr>
        <w:t>8</w:t>
      </w:r>
      <w:r w:rsidR="009B623B">
        <w:rPr>
          <w:rFonts w:ascii="Times New Roman" w:hAnsi="Times New Roman"/>
        </w:rPr>
        <w:t>0</w:t>
      </w:r>
      <w:r w:rsidR="006D3009" w:rsidRPr="00A66C48">
        <w:rPr>
          <w:rFonts w:ascii="Times New Roman" w:hAnsi="Times New Roman"/>
        </w:rPr>
        <w:t xml:space="preserve"> </w:t>
      </w:r>
      <w:r w:rsidR="002F14F8" w:rsidRPr="00A66C48">
        <w:rPr>
          <w:rFonts w:ascii="Times New Roman" w:hAnsi="Times New Roman"/>
        </w:rPr>
        <w:t xml:space="preserve">per </w:t>
      </w:r>
      <w:r w:rsidR="0064569C" w:rsidRPr="00A66C48">
        <w:rPr>
          <w:rFonts w:ascii="Times New Roman" w:hAnsi="Times New Roman"/>
        </w:rPr>
        <w:t>year</w:t>
      </w:r>
      <w:r w:rsidR="002F14F8" w:rsidRPr="00A66C48">
        <w:rPr>
          <w:rFonts w:ascii="Times New Roman" w:hAnsi="Times New Roman"/>
        </w:rPr>
        <w:t>. There are no capital expenditures associated with this information collection activity.</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b/>
          <w:bCs/>
        </w:rPr>
        <w:t>Table 2.</w:t>
      </w:r>
      <w:r w:rsidR="00496225" w:rsidRPr="00A66C48">
        <w:rPr>
          <w:rFonts w:ascii="Times New Roman" w:hAnsi="Times New Roman"/>
          <w:b/>
          <w:bCs/>
        </w:rPr>
        <w:t xml:space="preserve">  </w:t>
      </w:r>
      <w:r w:rsidRPr="00A66C48">
        <w:rPr>
          <w:rFonts w:ascii="Times New Roman" w:hAnsi="Times New Roman"/>
        </w:rPr>
        <w:t>RESPONDENT BURDEN/COST ESTIMATES</w:t>
      </w:r>
      <w:r w:rsidR="00A967E5" w:rsidRPr="00A66C48">
        <w:rPr>
          <w:rFonts w:ascii="Times New Roman" w:hAnsi="Times New Roman"/>
        </w:rPr>
        <w:t xml:space="preserve"> PER RESPONSE</w:t>
      </w:r>
    </w:p>
    <w:tbl>
      <w:tblPr>
        <w:tblW w:w="4991" w:type="pct"/>
        <w:jc w:val="center"/>
        <w:tblLook w:val="04A0"/>
      </w:tblPr>
      <w:tblGrid>
        <w:gridCol w:w="4869"/>
        <w:gridCol w:w="1262"/>
        <w:gridCol w:w="1172"/>
        <w:gridCol w:w="1078"/>
        <w:gridCol w:w="1178"/>
      </w:tblGrid>
      <w:tr w:rsidR="00AD6205" w:rsidRPr="00A66C48" w:rsidTr="00BF1413">
        <w:trPr>
          <w:trHeight w:val="255"/>
          <w:jc w:val="center"/>
        </w:trPr>
        <w:tc>
          <w:tcPr>
            <w:tcW w:w="2547" w:type="pct"/>
            <w:vMerge w:val="restart"/>
            <w:tcBorders>
              <w:top w:val="single" w:sz="4" w:space="0" w:color="auto"/>
              <w:left w:val="single" w:sz="4" w:space="0" w:color="auto"/>
              <w:right w:val="single" w:sz="4" w:space="0" w:color="auto"/>
            </w:tcBorders>
            <w:shd w:val="clear" w:color="auto" w:fill="auto"/>
            <w:hideMark/>
          </w:tcPr>
          <w:p w:rsidR="00AD6205" w:rsidRPr="00A66C48" w:rsidRDefault="00AD6205" w:rsidP="00E9359E">
            <w:pPr>
              <w:widowControl/>
              <w:autoSpaceDE/>
              <w:autoSpaceDN/>
              <w:adjustRightInd/>
              <w:ind w:firstLineChars="100" w:firstLine="200"/>
              <w:rPr>
                <w:rFonts w:ascii="Times New Roman" w:hAnsi="Times New Roman"/>
                <w:sz w:val="20"/>
                <w:szCs w:val="20"/>
              </w:rPr>
            </w:pPr>
            <w:bookmarkStart w:id="11" w:name="RANGE!I2"/>
            <w:r w:rsidRPr="00A66C48">
              <w:rPr>
                <w:rFonts w:ascii="Times New Roman" w:hAnsi="Times New Roman"/>
                <w:sz w:val="20"/>
                <w:szCs w:val="20"/>
              </w:rPr>
              <w:t> </w:t>
            </w:r>
          </w:p>
          <w:bookmarkEnd w:id="11"/>
          <w:p w:rsidR="00AD6205" w:rsidRPr="00A66C48" w:rsidRDefault="00AD6205" w:rsidP="00BF1413">
            <w:pPr>
              <w:widowControl/>
              <w:autoSpaceDE/>
              <w:autoSpaceDN/>
              <w:adjustRightInd/>
              <w:rPr>
                <w:rFonts w:ascii="Times New Roman" w:hAnsi="Times New Roman"/>
                <w:sz w:val="20"/>
                <w:szCs w:val="20"/>
              </w:rPr>
            </w:pPr>
            <w:r w:rsidRPr="00A66C48">
              <w:rPr>
                <w:rFonts w:ascii="Times New Roman" w:hAnsi="Times New Roman"/>
                <w:sz w:val="20"/>
                <w:szCs w:val="20"/>
              </w:rPr>
              <w:t>COLLECTION ACTIVITIES</w:t>
            </w:r>
          </w:p>
        </w:tc>
        <w:tc>
          <w:tcPr>
            <w:tcW w:w="1273" w:type="pct"/>
            <w:gridSpan w:val="2"/>
            <w:tcBorders>
              <w:top w:val="single" w:sz="4" w:space="0" w:color="auto"/>
              <w:left w:val="nil"/>
              <w:bottom w:val="single" w:sz="4" w:space="0" w:color="auto"/>
              <w:right w:val="single" w:sz="4" w:space="0" w:color="auto"/>
            </w:tcBorders>
            <w:shd w:val="clear" w:color="auto" w:fill="auto"/>
            <w:hideMark/>
          </w:tcPr>
          <w:p w:rsidR="00AD6205" w:rsidRPr="00A66C48" w:rsidRDefault="00AD6205" w:rsidP="00E9359E">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Burden Hours</w:t>
            </w:r>
          </w:p>
        </w:tc>
        <w:tc>
          <w:tcPr>
            <w:tcW w:w="1180" w:type="pct"/>
            <w:gridSpan w:val="2"/>
            <w:tcBorders>
              <w:top w:val="single" w:sz="4" w:space="0" w:color="auto"/>
              <w:left w:val="nil"/>
              <w:bottom w:val="single" w:sz="4" w:space="0" w:color="auto"/>
              <w:right w:val="single" w:sz="4" w:space="0" w:color="auto"/>
            </w:tcBorders>
            <w:shd w:val="clear" w:color="auto" w:fill="auto"/>
            <w:hideMark/>
          </w:tcPr>
          <w:p w:rsidR="00AD6205" w:rsidRPr="00A66C48" w:rsidRDefault="00AD6205" w:rsidP="00E9359E">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TOTAL</w:t>
            </w:r>
          </w:p>
        </w:tc>
      </w:tr>
      <w:tr w:rsidR="00AD6205" w:rsidRPr="00A66C48" w:rsidTr="00BF1413">
        <w:trPr>
          <w:trHeight w:val="510"/>
          <w:jc w:val="center"/>
        </w:trPr>
        <w:tc>
          <w:tcPr>
            <w:tcW w:w="2547" w:type="pct"/>
            <w:vMerge/>
            <w:tcBorders>
              <w:left w:val="single" w:sz="4" w:space="0" w:color="auto"/>
              <w:bottom w:val="single" w:sz="4" w:space="0" w:color="auto"/>
              <w:right w:val="single" w:sz="4" w:space="0" w:color="auto"/>
            </w:tcBorders>
            <w:shd w:val="clear" w:color="auto" w:fill="auto"/>
            <w:hideMark/>
          </w:tcPr>
          <w:p w:rsidR="00AD6205" w:rsidRPr="00A66C48" w:rsidRDefault="00AD6205" w:rsidP="00E9359E">
            <w:pPr>
              <w:widowControl/>
              <w:autoSpaceDE/>
              <w:autoSpaceDN/>
              <w:adjustRightInd/>
              <w:ind w:firstLineChars="100" w:firstLine="200"/>
              <w:rPr>
                <w:rFonts w:ascii="Times New Roman" w:hAnsi="Times New Roman"/>
                <w:sz w:val="20"/>
                <w:szCs w:val="20"/>
              </w:rPr>
            </w:pPr>
          </w:p>
        </w:tc>
        <w:tc>
          <w:tcPr>
            <w:tcW w:w="660" w:type="pct"/>
            <w:tcBorders>
              <w:top w:val="nil"/>
              <w:left w:val="nil"/>
              <w:bottom w:val="single" w:sz="4" w:space="0" w:color="auto"/>
              <w:right w:val="single" w:sz="4" w:space="0" w:color="auto"/>
            </w:tcBorders>
            <w:shd w:val="clear" w:color="auto" w:fill="auto"/>
            <w:hideMark/>
          </w:tcPr>
          <w:p w:rsidR="00AD6205" w:rsidRPr="00A66C48" w:rsidRDefault="00AD6205" w:rsidP="008668AA">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Technical, $65.58 /hr.</w:t>
            </w:r>
          </w:p>
        </w:tc>
        <w:tc>
          <w:tcPr>
            <w:tcW w:w="613" w:type="pct"/>
            <w:tcBorders>
              <w:top w:val="nil"/>
              <w:left w:val="nil"/>
              <w:bottom w:val="single" w:sz="4" w:space="0" w:color="auto"/>
              <w:right w:val="single" w:sz="4" w:space="0" w:color="auto"/>
            </w:tcBorders>
            <w:shd w:val="clear" w:color="auto" w:fill="auto"/>
            <w:hideMark/>
          </w:tcPr>
          <w:p w:rsidR="00AD6205" w:rsidRPr="00A66C48" w:rsidRDefault="00AD6205" w:rsidP="00E9359E">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Clerical, $37.33/hr.</w:t>
            </w:r>
          </w:p>
        </w:tc>
        <w:tc>
          <w:tcPr>
            <w:tcW w:w="564" w:type="pct"/>
            <w:tcBorders>
              <w:top w:val="nil"/>
              <w:left w:val="nil"/>
              <w:bottom w:val="single" w:sz="4" w:space="0" w:color="auto"/>
              <w:right w:val="single" w:sz="4" w:space="0" w:color="auto"/>
            </w:tcBorders>
            <w:shd w:val="clear" w:color="auto" w:fill="auto"/>
            <w:hideMark/>
          </w:tcPr>
          <w:p w:rsidR="00AD6205" w:rsidRPr="00A66C48" w:rsidRDefault="00AD6205" w:rsidP="00E9359E">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Burden</w:t>
            </w:r>
          </w:p>
          <w:p w:rsidR="00AD6205" w:rsidRPr="00A66C48" w:rsidRDefault="00AD6205" w:rsidP="00E9359E">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Hours</w:t>
            </w:r>
          </w:p>
        </w:tc>
        <w:tc>
          <w:tcPr>
            <w:tcW w:w="616" w:type="pct"/>
            <w:tcBorders>
              <w:top w:val="nil"/>
              <w:left w:val="single" w:sz="4" w:space="0" w:color="auto"/>
              <w:bottom w:val="single" w:sz="4" w:space="0" w:color="auto"/>
              <w:right w:val="single" w:sz="4" w:space="0" w:color="auto"/>
            </w:tcBorders>
            <w:shd w:val="clear" w:color="auto" w:fill="auto"/>
            <w:hideMark/>
          </w:tcPr>
          <w:p w:rsidR="00AD6205" w:rsidRPr="00A66C48" w:rsidRDefault="00AD6205" w:rsidP="00E9359E">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Cost</w:t>
            </w:r>
          </w:p>
        </w:tc>
      </w:tr>
      <w:tr w:rsidR="00E9359E" w:rsidRPr="00A66C48" w:rsidTr="00BF1413">
        <w:trPr>
          <w:trHeight w:val="350"/>
          <w:jc w:val="center"/>
        </w:trPr>
        <w:tc>
          <w:tcPr>
            <w:tcW w:w="2547" w:type="pct"/>
            <w:tcBorders>
              <w:top w:val="nil"/>
              <w:left w:val="single" w:sz="4" w:space="0" w:color="auto"/>
              <w:bottom w:val="single" w:sz="4" w:space="0" w:color="auto"/>
              <w:right w:val="single" w:sz="4" w:space="0" w:color="auto"/>
            </w:tcBorders>
            <w:shd w:val="clear" w:color="auto" w:fill="auto"/>
            <w:vAlign w:val="bottom"/>
            <w:hideMark/>
          </w:tcPr>
          <w:p w:rsidR="00E9359E" w:rsidRPr="00A66C48" w:rsidRDefault="00E9359E" w:rsidP="00BF1413">
            <w:pPr>
              <w:widowControl/>
              <w:autoSpaceDE/>
              <w:autoSpaceDN/>
              <w:adjustRightInd/>
              <w:rPr>
                <w:rFonts w:ascii="Times New Roman" w:hAnsi="Times New Roman"/>
                <w:sz w:val="20"/>
                <w:szCs w:val="20"/>
              </w:rPr>
            </w:pPr>
            <w:bookmarkStart w:id="12" w:name="RANGE!I5"/>
            <w:r w:rsidRPr="00A66C48">
              <w:rPr>
                <w:rFonts w:ascii="Times New Roman" w:hAnsi="Times New Roman"/>
                <w:sz w:val="20"/>
                <w:szCs w:val="20"/>
              </w:rPr>
              <w:t>Read instructions</w:t>
            </w:r>
            <w:bookmarkEnd w:id="12"/>
          </w:p>
        </w:tc>
        <w:tc>
          <w:tcPr>
            <w:tcW w:w="660"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0.3</w:t>
            </w:r>
            <w:r w:rsidR="000376AD">
              <w:rPr>
                <w:rFonts w:ascii="Times New Roman" w:hAnsi="Times New Roman"/>
                <w:sz w:val="20"/>
                <w:szCs w:val="20"/>
              </w:rPr>
              <w:t>5</w:t>
            </w:r>
          </w:p>
        </w:tc>
        <w:tc>
          <w:tcPr>
            <w:tcW w:w="613"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0.00</w:t>
            </w:r>
          </w:p>
        </w:tc>
        <w:tc>
          <w:tcPr>
            <w:tcW w:w="564"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0.3</w:t>
            </w:r>
            <w:r w:rsidR="000376AD">
              <w:rPr>
                <w:rFonts w:ascii="Times New Roman" w:hAnsi="Times New Roman"/>
                <w:sz w:val="20"/>
                <w:szCs w:val="20"/>
              </w:rPr>
              <w:t>5</w:t>
            </w:r>
          </w:p>
        </w:tc>
        <w:tc>
          <w:tcPr>
            <w:tcW w:w="616"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0376AD">
            <w:pPr>
              <w:widowControl/>
              <w:autoSpaceDE/>
              <w:autoSpaceDN/>
              <w:adjustRightInd/>
              <w:jc w:val="center"/>
              <w:rPr>
                <w:rFonts w:ascii="Times New Roman" w:hAnsi="Times New Roman"/>
                <w:sz w:val="20"/>
                <w:szCs w:val="20"/>
              </w:rPr>
            </w:pPr>
            <w:r w:rsidRPr="00A66C48">
              <w:rPr>
                <w:rFonts w:ascii="Times New Roman" w:hAnsi="Times New Roman"/>
                <w:sz w:val="20"/>
                <w:szCs w:val="20"/>
              </w:rPr>
              <w:t>$2</w:t>
            </w:r>
            <w:r w:rsidR="000376AD">
              <w:rPr>
                <w:rFonts w:ascii="Times New Roman" w:hAnsi="Times New Roman"/>
                <w:sz w:val="20"/>
                <w:szCs w:val="20"/>
              </w:rPr>
              <w:t>2.02</w:t>
            </w:r>
            <w:r w:rsidRPr="00A66C48">
              <w:rPr>
                <w:rFonts w:ascii="Times New Roman" w:hAnsi="Times New Roman"/>
                <w:sz w:val="20"/>
                <w:szCs w:val="20"/>
              </w:rPr>
              <w:t xml:space="preserve"> </w:t>
            </w:r>
          </w:p>
        </w:tc>
      </w:tr>
      <w:tr w:rsidR="00E9359E" w:rsidRPr="00A66C48" w:rsidTr="00BF1413">
        <w:trPr>
          <w:trHeight w:val="350"/>
          <w:jc w:val="center"/>
        </w:trPr>
        <w:tc>
          <w:tcPr>
            <w:tcW w:w="2547" w:type="pct"/>
            <w:tcBorders>
              <w:top w:val="nil"/>
              <w:left w:val="single" w:sz="4" w:space="0" w:color="auto"/>
              <w:bottom w:val="single" w:sz="4" w:space="0" w:color="auto"/>
              <w:right w:val="single" w:sz="4" w:space="0" w:color="auto"/>
            </w:tcBorders>
            <w:shd w:val="clear" w:color="auto" w:fill="auto"/>
            <w:vAlign w:val="bottom"/>
            <w:hideMark/>
          </w:tcPr>
          <w:p w:rsidR="00E9359E" w:rsidRPr="00A66C48" w:rsidRDefault="00E9359E" w:rsidP="00BF1413">
            <w:pPr>
              <w:widowControl/>
              <w:autoSpaceDE/>
              <w:autoSpaceDN/>
              <w:adjustRightInd/>
              <w:rPr>
                <w:rFonts w:ascii="Times New Roman" w:hAnsi="Times New Roman"/>
                <w:sz w:val="20"/>
                <w:szCs w:val="20"/>
              </w:rPr>
            </w:pPr>
            <w:r w:rsidRPr="00A66C48">
              <w:rPr>
                <w:rFonts w:ascii="Times New Roman" w:hAnsi="Times New Roman"/>
                <w:sz w:val="20"/>
                <w:szCs w:val="20"/>
              </w:rPr>
              <w:t>Plan activities</w:t>
            </w:r>
          </w:p>
        </w:tc>
        <w:tc>
          <w:tcPr>
            <w:tcW w:w="660"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0.4</w:t>
            </w:r>
            <w:r w:rsidR="000376AD">
              <w:rPr>
                <w:rFonts w:ascii="Times New Roman" w:hAnsi="Times New Roman"/>
                <w:sz w:val="20"/>
                <w:szCs w:val="20"/>
              </w:rPr>
              <w:t>3</w:t>
            </w:r>
          </w:p>
        </w:tc>
        <w:tc>
          <w:tcPr>
            <w:tcW w:w="613"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0.00</w:t>
            </w:r>
          </w:p>
        </w:tc>
        <w:tc>
          <w:tcPr>
            <w:tcW w:w="564"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0.4</w:t>
            </w:r>
            <w:r w:rsidR="000376AD">
              <w:rPr>
                <w:rFonts w:ascii="Times New Roman" w:hAnsi="Times New Roman"/>
                <w:sz w:val="20"/>
                <w:szCs w:val="20"/>
              </w:rPr>
              <w:t>3</w:t>
            </w:r>
          </w:p>
        </w:tc>
        <w:tc>
          <w:tcPr>
            <w:tcW w:w="616"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0376AD">
            <w:pPr>
              <w:widowControl/>
              <w:autoSpaceDE/>
              <w:autoSpaceDN/>
              <w:adjustRightInd/>
              <w:jc w:val="center"/>
              <w:rPr>
                <w:rFonts w:ascii="Times New Roman" w:hAnsi="Times New Roman"/>
                <w:sz w:val="20"/>
                <w:szCs w:val="20"/>
              </w:rPr>
            </w:pPr>
            <w:r w:rsidRPr="00A66C48">
              <w:rPr>
                <w:rFonts w:ascii="Times New Roman" w:hAnsi="Times New Roman"/>
                <w:sz w:val="20"/>
                <w:szCs w:val="20"/>
              </w:rPr>
              <w:t>$26.</w:t>
            </w:r>
            <w:r w:rsidR="000376AD">
              <w:rPr>
                <w:rFonts w:ascii="Times New Roman" w:hAnsi="Times New Roman"/>
                <w:sz w:val="20"/>
                <w:szCs w:val="20"/>
              </w:rPr>
              <w:t>92</w:t>
            </w:r>
            <w:r w:rsidRPr="00A66C48">
              <w:rPr>
                <w:rFonts w:ascii="Times New Roman" w:hAnsi="Times New Roman"/>
                <w:sz w:val="20"/>
                <w:szCs w:val="20"/>
              </w:rPr>
              <w:t xml:space="preserve"> </w:t>
            </w:r>
          </w:p>
        </w:tc>
      </w:tr>
      <w:tr w:rsidR="00E9359E" w:rsidRPr="00A66C48" w:rsidTr="00BF1413">
        <w:trPr>
          <w:trHeight w:val="332"/>
          <w:jc w:val="center"/>
        </w:trPr>
        <w:tc>
          <w:tcPr>
            <w:tcW w:w="2547" w:type="pct"/>
            <w:tcBorders>
              <w:top w:val="nil"/>
              <w:left w:val="single" w:sz="4" w:space="0" w:color="auto"/>
              <w:bottom w:val="single" w:sz="4" w:space="0" w:color="auto"/>
              <w:right w:val="single" w:sz="4" w:space="0" w:color="auto"/>
            </w:tcBorders>
            <w:shd w:val="clear" w:color="auto" w:fill="auto"/>
            <w:vAlign w:val="bottom"/>
            <w:hideMark/>
          </w:tcPr>
          <w:p w:rsidR="00E9359E" w:rsidRPr="00A66C48" w:rsidRDefault="00E9359E" w:rsidP="00BF1413">
            <w:pPr>
              <w:widowControl/>
              <w:autoSpaceDE/>
              <w:autoSpaceDN/>
              <w:adjustRightInd/>
              <w:rPr>
                <w:rFonts w:ascii="Times New Roman" w:hAnsi="Times New Roman"/>
                <w:sz w:val="20"/>
                <w:szCs w:val="20"/>
              </w:rPr>
            </w:pPr>
            <w:r w:rsidRPr="00A66C48">
              <w:rPr>
                <w:rFonts w:ascii="Times New Roman" w:hAnsi="Times New Roman"/>
                <w:sz w:val="20"/>
                <w:szCs w:val="20"/>
              </w:rPr>
              <w:t>Create information including electronic format of data</w:t>
            </w:r>
          </w:p>
        </w:tc>
        <w:tc>
          <w:tcPr>
            <w:tcW w:w="660"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BF1413">
            <w:pPr>
              <w:widowControl/>
              <w:autoSpaceDE/>
              <w:autoSpaceDN/>
              <w:adjustRightInd/>
              <w:jc w:val="center"/>
              <w:rPr>
                <w:rFonts w:ascii="Times New Roman" w:hAnsi="Times New Roman"/>
                <w:sz w:val="20"/>
                <w:szCs w:val="20"/>
              </w:rPr>
            </w:pPr>
            <w:r w:rsidRPr="00A66C48">
              <w:rPr>
                <w:rFonts w:ascii="Times New Roman" w:hAnsi="Times New Roman"/>
                <w:sz w:val="20"/>
                <w:szCs w:val="20"/>
              </w:rPr>
              <w:t>2.</w:t>
            </w:r>
            <w:r w:rsidR="000376AD">
              <w:rPr>
                <w:rFonts w:ascii="Times New Roman" w:hAnsi="Times New Roman"/>
                <w:sz w:val="20"/>
                <w:szCs w:val="20"/>
              </w:rPr>
              <w:t>35</w:t>
            </w:r>
          </w:p>
        </w:tc>
        <w:tc>
          <w:tcPr>
            <w:tcW w:w="613"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BF1413">
            <w:pPr>
              <w:widowControl/>
              <w:autoSpaceDE/>
              <w:autoSpaceDN/>
              <w:adjustRightInd/>
              <w:jc w:val="center"/>
              <w:rPr>
                <w:rFonts w:ascii="Times New Roman" w:hAnsi="Times New Roman"/>
                <w:sz w:val="20"/>
                <w:szCs w:val="20"/>
              </w:rPr>
            </w:pPr>
            <w:r w:rsidRPr="00A66C48">
              <w:rPr>
                <w:rFonts w:ascii="Times New Roman" w:hAnsi="Times New Roman"/>
                <w:sz w:val="20"/>
                <w:szCs w:val="20"/>
              </w:rPr>
              <w:t>0.00</w:t>
            </w:r>
          </w:p>
        </w:tc>
        <w:tc>
          <w:tcPr>
            <w:tcW w:w="564"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BF1413">
            <w:pPr>
              <w:widowControl/>
              <w:autoSpaceDE/>
              <w:autoSpaceDN/>
              <w:adjustRightInd/>
              <w:jc w:val="center"/>
              <w:rPr>
                <w:rFonts w:ascii="Times New Roman" w:hAnsi="Times New Roman"/>
                <w:sz w:val="20"/>
                <w:szCs w:val="20"/>
              </w:rPr>
            </w:pPr>
            <w:r w:rsidRPr="00A66C48">
              <w:rPr>
                <w:rFonts w:ascii="Times New Roman" w:hAnsi="Times New Roman"/>
                <w:sz w:val="20"/>
                <w:szCs w:val="20"/>
              </w:rPr>
              <w:t>2.</w:t>
            </w:r>
            <w:r w:rsidR="000376AD">
              <w:rPr>
                <w:rFonts w:ascii="Times New Roman" w:hAnsi="Times New Roman"/>
                <w:sz w:val="20"/>
                <w:szCs w:val="20"/>
              </w:rPr>
              <w:t>35</w:t>
            </w:r>
          </w:p>
        </w:tc>
        <w:tc>
          <w:tcPr>
            <w:tcW w:w="616"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BF1413">
            <w:pPr>
              <w:widowControl/>
              <w:autoSpaceDE/>
              <w:autoSpaceDN/>
              <w:adjustRightInd/>
              <w:jc w:val="center"/>
              <w:rPr>
                <w:rFonts w:ascii="Times New Roman" w:hAnsi="Times New Roman"/>
                <w:sz w:val="20"/>
                <w:szCs w:val="20"/>
              </w:rPr>
            </w:pPr>
            <w:r w:rsidRPr="00A66C48">
              <w:rPr>
                <w:rFonts w:ascii="Times New Roman" w:hAnsi="Times New Roman"/>
                <w:sz w:val="20"/>
                <w:szCs w:val="20"/>
              </w:rPr>
              <w:t>$14</w:t>
            </w:r>
            <w:r w:rsidR="000376AD">
              <w:rPr>
                <w:rFonts w:ascii="Times New Roman" w:hAnsi="Times New Roman"/>
                <w:sz w:val="20"/>
                <w:szCs w:val="20"/>
              </w:rPr>
              <w:t>6</w:t>
            </w:r>
            <w:r w:rsidRPr="00A66C48">
              <w:rPr>
                <w:rFonts w:ascii="Times New Roman" w:hAnsi="Times New Roman"/>
                <w:sz w:val="20"/>
                <w:szCs w:val="20"/>
              </w:rPr>
              <w:t>.</w:t>
            </w:r>
            <w:r w:rsidR="000376AD">
              <w:rPr>
                <w:rFonts w:ascii="Times New Roman" w:hAnsi="Times New Roman"/>
                <w:sz w:val="20"/>
                <w:szCs w:val="20"/>
              </w:rPr>
              <w:t>82</w:t>
            </w:r>
            <w:r w:rsidRPr="00A66C48">
              <w:rPr>
                <w:rFonts w:ascii="Times New Roman" w:hAnsi="Times New Roman"/>
                <w:sz w:val="20"/>
                <w:szCs w:val="20"/>
              </w:rPr>
              <w:t xml:space="preserve"> </w:t>
            </w:r>
          </w:p>
        </w:tc>
      </w:tr>
      <w:tr w:rsidR="00E9359E" w:rsidRPr="00A66C48" w:rsidTr="00BF1413">
        <w:trPr>
          <w:trHeight w:val="530"/>
          <w:jc w:val="center"/>
        </w:trPr>
        <w:tc>
          <w:tcPr>
            <w:tcW w:w="2547" w:type="pct"/>
            <w:tcBorders>
              <w:top w:val="nil"/>
              <w:left w:val="single" w:sz="4" w:space="0" w:color="auto"/>
              <w:bottom w:val="single" w:sz="4" w:space="0" w:color="auto"/>
              <w:right w:val="single" w:sz="4" w:space="0" w:color="auto"/>
            </w:tcBorders>
            <w:shd w:val="clear" w:color="auto" w:fill="auto"/>
            <w:vAlign w:val="bottom"/>
            <w:hideMark/>
          </w:tcPr>
          <w:p w:rsidR="00E9359E" w:rsidRPr="00A66C48" w:rsidRDefault="00E9359E" w:rsidP="00BF1413">
            <w:pPr>
              <w:widowControl/>
              <w:autoSpaceDE/>
              <w:autoSpaceDN/>
              <w:adjustRightInd/>
              <w:rPr>
                <w:rFonts w:ascii="Times New Roman" w:hAnsi="Times New Roman"/>
                <w:sz w:val="20"/>
                <w:szCs w:val="20"/>
              </w:rPr>
            </w:pPr>
            <w:r w:rsidRPr="00A66C48">
              <w:rPr>
                <w:rFonts w:ascii="Times New Roman" w:hAnsi="Times New Roman"/>
                <w:sz w:val="20"/>
                <w:szCs w:val="20"/>
              </w:rPr>
              <w:t>Process, compile, and complete written compliance document</w:t>
            </w:r>
          </w:p>
        </w:tc>
        <w:tc>
          <w:tcPr>
            <w:tcW w:w="660"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2.</w:t>
            </w:r>
            <w:r w:rsidR="000376AD">
              <w:rPr>
                <w:rFonts w:ascii="Times New Roman" w:hAnsi="Times New Roman"/>
                <w:sz w:val="20"/>
                <w:szCs w:val="20"/>
              </w:rPr>
              <w:t>15</w:t>
            </w:r>
          </w:p>
        </w:tc>
        <w:tc>
          <w:tcPr>
            <w:tcW w:w="613"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1.63</w:t>
            </w:r>
          </w:p>
        </w:tc>
        <w:tc>
          <w:tcPr>
            <w:tcW w:w="564"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3.7</w:t>
            </w:r>
            <w:r w:rsidR="000376AD">
              <w:rPr>
                <w:rFonts w:ascii="Times New Roman" w:hAnsi="Times New Roman"/>
                <w:sz w:val="20"/>
                <w:szCs w:val="20"/>
              </w:rPr>
              <w:t>8</w:t>
            </w:r>
          </w:p>
        </w:tc>
        <w:tc>
          <w:tcPr>
            <w:tcW w:w="616"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0376AD">
            <w:pPr>
              <w:widowControl/>
              <w:autoSpaceDE/>
              <w:autoSpaceDN/>
              <w:adjustRightInd/>
              <w:jc w:val="center"/>
              <w:rPr>
                <w:rFonts w:ascii="Times New Roman" w:hAnsi="Times New Roman"/>
                <w:sz w:val="20"/>
                <w:szCs w:val="20"/>
              </w:rPr>
            </w:pPr>
            <w:r w:rsidRPr="00A66C48">
              <w:rPr>
                <w:rFonts w:ascii="Times New Roman" w:hAnsi="Times New Roman"/>
                <w:sz w:val="20"/>
                <w:szCs w:val="20"/>
              </w:rPr>
              <w:t>$19</w:t>
            </w:r>
            <w:r w:rsidR="000376AD">
              <w:rPr>
                <w:rFonts w:ascii="Times New Roman" w:hAnsi="Times New Roman"/>
                <w:sz w:val="20"/>
                <w:szCs w:val="20"/>
              </w:rPr>
              <w:t>5</w:t>
            </w:r>
            <w:r w:rsidRPr="00A66C48">
              <w:rPr>
                <w:rFonts w:ascii="Times New Roman" w:hAnsi="Times New Roman"/>
                <w:sz w:val="20"/>
                <w:szCs w:val="20"/>
              </w:rPr>
              <w:t>.</w:t>
            </w:r>
            <w:r w:rsidR="000376AD">
              <w:rPr>
                <w:rFonts w:ascii="Times New Roman" w:hAnsi="Times New Roman"/>
                <w:sz w:val="20"/>
                <w:szCs w:val="20"/>
              </w:rPr>
              <w:t>45</w:t>
            </w:r>
            <w:r w:rsidRPr="00A66C48">
              <w:rPr>
                <w:rFonts w:ascii="Times New Roman" w:hAnsi="Times New Roman"/>
                <w:sz w:val="20"/>
                <w:szCs w:val="20"/>
              </w:rPr>
              <w:t xml:space="preserve"> </w:t>
            </w:r>
          </w:p>
        </w:tc>
      </w:tr>
      <w:tr w:rsidR="00E9359E" w:rsidRPr="00A66C48" w:rsidTr="00BF1413">
        <w:trPr>
          <w:trHeight w:val="255"/>
          <w:jc w:val="center"/>
        </w:trPr>
        <w:tc>
          <w:tcPr>
            <w:tcW w:w="2547" w:type="pct"/>
            <w:tcBorders>
              <w:top w:val="nil"/>
              <w:left w:val="single" w:sz="4" w:space="0" w:color="auto"/>
              <w:bottom w:val="single" w:sz="4" w:space="0" w:color="auto"/>
              <w:right w:val="single" w:sz="4" w:space="0" w:color="auto"/>
            </w:tcBorders>
            <w:shd w:val="clear" w:color="auto" w:fill="auto"/>
            <w:vAlign w:val="bottom"/>
            <w:hideMark/>
          </w:tcPr>
          <w:p w:rsidR="00E9359E" w:rsidRPr="00A66C48" w:rsidRDefault="00E9359E" w:rsidP="00BF1413">
            <w:pPr>
              <w:widowControl/>
              <w:autoSpaceDE/>
              <w:autoSpaceDN/>
              <w:adjustRightInd/>
              <w:rPr>
                <w:rFonts w:ascii="Times New Roman" w:hAnsi="Times New Roman"/>
                <w:sz w:val="20"/>
                <w:szCs w:val="20"/>
              </w:rPr>
            </w:pPr>
            <w:r w:rsidRPr="00A66C48">
              <w:rPr>
                <w:rFonts w:ascii="Times New Roman" w:hAnsi="Times New Roman"/>
                <w:sz w:val="20"/>
                <w:szCs w:val="20"/>
              </w:rPr>
              <w:t>Review submission</w:t>
            </w:r>
          </w:p>
        </w:tc>
        <w:tc>
          <w:tcPr>
            <w:tcW w:w="660"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0.5</w:t>
            </w:r>
            <w:r w:rsidR="000376AD">
              <w:rPr>
                <w:rFonts w:ascii="Times New Roman" w:hAnsi="Times New Roman"/>
                <w:sz w:val="20"/>
                <w:szCs w:val="20"/>
              </w:rPr>
              <w:t>9</w:t>
            </w:r>
          </w:p>
        </w:tc>
        <w:tc>
          <w:tcPr>
            <w:tcW w:w="613"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0.00</w:t>
            </w:r>
          </w:p>
        </w:tc>
        <w:tc>
          <w:tcPr>
            <w:tcW w:w="564"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0.5</w:t>
            </w:r>
            <w:r w:rsidR="000376AD">
              <w:rPr>
                <w:rFonts w:ascii="Times New Roman" w:hAnsi="Times New Roman"/>
                <w:sz w:val="20"/>
                <w:szCs w:val="20"/>
              </w:rPr>
              <w:t>9</w:t>
            </w:r>
          </w:p>
        </w:tc>
        <w:tc>
          <w:tcPr>
            <w:tcW w:w="616"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0376AD">
            <w:pPr>
              <w:widowControl/>
              <w:autoSpaceDE/>
              <w:autoSpaceDN/>
              <w:adjustRightInd/>
              <w:jc w:val="center"/>
              <w:rPr>
                <w:rFonts w:ascii="Times New Roman" w:hAnsi="Times New Roman"/>
                <w:sz w:val="20"/>
                <w:szCs w:val="20"/>
              </w:rPr>
            </w:pPr>
            <w:r w:rsidRPr="00A66C48">
              <w:rPr>
                <w:rFonts w:ascii="Times New Roman" w:hAnsi="Times New Roman"/>
                <w:sz w:val="20"/>
                <w:szCs w:val="20"/>
              </w:rPr>
              <w:t>$3</w:t>
            </w:r>
            <w:r w:rsidR="000376AD">
              <w:rPr>
                <w:rFonts w:ascii="Times New Roman" w:hAnsi="Times New Roman"/>
                <w:sz w:val="20"/>
                <w:szCs w:val="20"/>
              </w:rPr>
              <w:t>6</w:t>
            </w:r>
            <w:r w:rsidRPr="00A66C48">
              <w:rPr>
                <w:rFonts w:ascii="Times New Roman" w:hAnsi="Times New Roman"/>
                <w:sz w:val="20"/>
                <w:szCs w:val="20"/>
              </w:rPr>
              <w:t>.7</w:t>
            </w:r>
            <w:r w:rsidR="000376AD">
              <w:rPr>
                <w:rFonts w:ascii="Times New Roman" w:hAnsi="Times New Roman"/>
                <w:sz w:val="20"/>
                <w:szCs w:val="20"/>
              </w:rPr>
              <w:t>0</w:t>
            </w:r>
            <w:r w:rsidRPr="00A66C48">
              <w:rPr>
                <w:rFonts w:ascii="Times New Roman" w:hAnsi="Times New Roman"/>
                <w:sz w:val="20"/>
                <w:szCs w:val="20"/>
              </w:rPr>
              <w:t xml:space="preserve"> </w:t>
            </w:r>
          </w:p>
        </w:tc>
      </w:tr>
      <w:tr w:rsidR="00E9359E" w:rsidRPr="00A66C48" w:rsidTr="00BF1413">
        <w:trPr>
          <w:trHeight w:val="260"/>
          <w:jc w:val="center"/>
        </w:trPr>
        <w:tc>
          <w:tcPr>
            <w:tcW w:w="2547" w:type="pct"/>
            <w:tcBorders>
              <w:top w:val="nil"/>
              <w:left w:val="single" w:sz="4" w:space="0" w:color="auto"/>
              <w:bottom w:val="single" w:sz="4" w:space="0" w:color="auto"/>
              <w:right w:val="single" w:sz="4" w:space="0" w:color="auto"/>
            </w:tcBorders>
            <w:shd w:val="clear" w:color="auto" w:fill="auto"/>
            <w:vAlign w:val="bottom"/>
            <w:hideMark/>
          </w:tcPr>
          <w:p w:rsidR="00E9359E" w:rsidRPr="00A66C48" w:rsidRDefault="00E9359E" w:rsidP="00BF1413">
            <w:pPr>
              <w:widowControl/>
              <w:autoSpaceDE/>
              <w:autoSpaceDN/>
              <w:adjustRightInd/>
              <w:rPr>
                <w:rFonts w:ascii="Times New Roman" w:hAnsi="Times New Roman"/>
                <w:sz w:val="20"/>
                <w:szCs w:val="20"/>
              </w:rPr>
            </w:pPr>
            <w:r w:rsidRPr="00A66C48">
              <w:rPr>
                <w:rFonts w:ascii="Times New Roman" w:hAnsi="Times New Roman"/>
                <w:sz w:val="20"/>
                <w:szCs w:val="20"/>
              </w:rPr>
              <w:t>Store, submit, file, or maintain data</w:t>
            </w:r>
          </w:p>
        </w:tc>
        <w:tc>
          <w:tcPr>
            <w:tcW w:w="660"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0.00</w:t>
            </w:r>
          </w:p>
        </w:tc>
        <w:tc>
          <w:tcPr>
            <w:tcW w:w="613"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0.54</w:t>
            </w:r>
          </w:p>
        </w:tc>
        <w:tc>
          <w:tcPr>
            <w:tcW w:w="564"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0.54</w:t>
            </w:r>
          </w:p>
        </w:tc>
        <w:tc>
          <w:tcPr>
            <w:tcW w:w="616"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 xml:space="preserve">$20.29 </w:t>
            </w:r>
          </w:p>
        </w:tc>
      </w:tr>
      <w:tr w:rsidR="00E9359E" w:rsidRPr="00A66C48" w:rsidTr="00BF1413">
        <w:trPr>
          <w:trHeight w:val="255"/>
          <w:jc w:val="center"/>
        </w:trPr>
        <w:tc>
          <w:tcPr>
            <w:tcW w:w="2547" w:type="pct"/>
            <w:tcBorders>
              <w:top w:val="nil"/>
              <w:left w:val="single" w:sz="4" w:space="0" w:color="auto"/>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TOTAL</w:t>
            </w:r>
          </w:p>
        </w:tc>
        <w:tc>
          <w:tcPr>
            <w:tcW w:w="660"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5.</w:t>
            </w:r>
            <w:r w:rsidR="009B623B">
              <w:rPr>
                <w:rFonts w:ascii="Times New Roman" w:hAnsi="Times New Roman"/>
                <w:sz w:val="20"/>
                <w:szCs w:val="20"/>
              </w:rPr>
              <w:t>8</w:t>
            </w:r>
            <w:r w:rsidR="001D7392">
              <w:rPr>
                <w:rFonts w:ascii="Times New Roman" w:hAnsi="Times New Roman"/>
                <w:sz w:val="20"/>
                <w:szCs w:val="20"/>
              </w:rPr>
              <w:t>7</w:t>
            </w:r>
          </w:p>
        </w:tc>
        <w:tc>
          <w:tcPr>
            <w:tcW w:w="613"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E9359E">
            <w:pPr>
              <w:widowControl/>
              <w:autoSpaceDE/>
              <w:autoSpaceDN/>
              <w:adjustRightInd/>
              <w:jc w:val="center"/>
              <w:rPr>
                <w:rFonts w:ascii="Times New Roman" w:hAnsi="Times New Roman"/>
                <w:sz w:val="20"/>
                <w:szCs w:val="20"/>
              </w:rPr>
            </w:pPr>
            <w:r w:rsidRPr="00A66C48">
              <w:rPr>
                <w:rFonts w:ascii="Times New Roman" w:hAnsi="Times New Roman"/>
                <w:sz w:val="20"/>
                <w:szCs w:val="20"/>
              </w:rPr>
              <w:t>2.</w:t>
            </w:r>
            <w:r w:rsidR="001D7392">
              <w:rPr>
                <w:rFonts w:ascii="Times New Roman" w:hAnsi="Times New Roman"/>
                <w:sz w:val="20"/>
                <w:szCs w:val="20"/>
              </w:rPr>
              <w:t>17</w:t>
            </w:r>
          </w:p>
        </w:tc>
        <w:tc>
          <w:tcPr>
            <w:tcW w:w="564" w:type="pct"/>
            <w:tcBorders>
              <w:top w:val="nil"/>
              <w:left w:val="nil"/>
              <w:bottom w:val="single" w:sz="4" w:space="0" w:color="auto"/>
              <w:right w:val="single" w:sz="4" w:space="0" w:color="auto"/>
            </w:tcBorders>
            <w:shd w:val="clear" w:color="auto" w:fill="auto"/>
            <w:vAlign w:val="bottom"/>
            <w:hideMark/>
          </w:tcPr>
          <w:p w:rsidR="00E9359E" w:rsidRPr="00A66C48" w:rsidRDefault="009B623B" w:rsidP="00E9359E">
            <w:pPr>
              <w:widowControl/>
              <w:autoSpaceDE/>
              <w:autoSpaceDN/>
              <w:adjustRightInd/>
              <w:jc w:val="center"/>
              <w:rPr>
                <w:rFonts w:ascii="Times New Roman" w:hAnsi="Times New Roman"/>
                <w:sz w:val="20"/>
                <w:szCs w:val="20"/>
              </w:rPr>
            </w:pPr>
            <w:r>
              <w:rPr>
                <w:rFonts w:ascii="Times New Roman" w:hAnsi="Times New Roman"/>
                <w:sz w:val="20"/>
                <w:szCs w:val="20"/>
              </w:rPr>
              <w:t>8.0</w:t>
            </w:r>
            <w:r w:rsidR="001D7392">
              <w:rPr>
                <w:rFonts w:ascii="Times New Roman" w:hAnsi="Times New Roman"/>
                <w:sz w:val="20"/>
                <w:szCs w:val="20"/>
              </w:rPr>
              <w:t>4</w:t>
            </w:r>
          </w:p>
        </w:tc>
        <w:tc>
          <w:tcPr>
            <w:tcW w:w="616" w:type="pct"/>
            <w:tcBorders>
              <w:top w:val="nil"/>
              <w:left w:val="nil"/>
              <w:bottom w:val="single" w:sz="4" w:space="0" w:color="auto"/>
              <w:right w:val="single" w:sz="4" w:space="0" w:color="auto"/>
            </w:tcBorders>
            <w:shd w:val="clear" w:color="auto" w:fill="auto"/>
            <w:vAlign w:val="bottom"/>
            <w:hideMark/>
          </w:tcPr>
          <w:p w:rsidR="00E9359E" w:rsidRPr="00A66C48" w:rsidRDefault="00E9359E" w:rsidP="000376AD">
            <w:pPr>
              <w:widowControl/>
              <w:autoSpaceDE/>
              <w:autoSpaceDN/>
              <w:adjustRightInd/>
              <w:jc w:val="center"/>
              <w:rPr>
                <w:rFonts w:ascii="Times New Roman" w:hAnsi="Times New Roman"/>
                <w:sz w:val="20"/>
                <w:szCs w:val="20"/>
              </w:rPr>
            </w:pPr>
            <w:r w:rsidRPr="00A66C48">
              <w:rPr>
                <w:rFonts w:ascii="Times New Roman" w:hAnsi="Times New Roman"/>
                <w:sz w:val="20"/>
                <w:szCs w:val="20"/>
              </w:rPr>
              <w:t>$4</w:t>
            </w:r>
            <w:r w:rsidR="000376AD">
              <w:rPr>
                <w:rFonts w:ascii="Times New Roman" w:hAnsi="Times New Roman"/>
                <w:sz w:val="20"/>
                <w:szCs w:val="20"/>
              </w:rPr>
              <w:t>48</w:t>
            </w:r>
            <w:r w:rsidRPr="00A66C48">
              <w:rPr>
                <w:rFonts w:ascii="Times New Roman" w:hAnsi="Times New Roman"/>
                <w:sz w:val="20"/>
                <w:szCs w:val="20"/>
              </w:rPr>
              <w:t>.2</w:t>
            </w:r>
            <w:r w:rsidR="000376AD">
              <w:rPr>
                <w:rFonts w:ascii="Times New Roman" w:hAnsi="Times New Roman"/>
                <w:sz w:val="20"/>
                <w:szCs w:val="20"/>
              </w:rPr>
              <w:t>0</w:t>
            </w:r>
            <w:r w:rsidRPr="00A66C48">
              <w:rPr>
                <w:rFonts w:ascii="Times New Roman" w:hAnsi="Times New Roman"/>
                <w:sz w:val="20"/>
                <w:szCs w:val="20"/>
              </w:rPr>
              <w:t xml:space="preserve"> </w:t>
            </w:r>
          </w:p>
        </w:tc>
      </w:tr>
    </w:tbl>
    <w:p w:rsidR="00137108" w:rsidRDefault="00993D00" w:rsidP="002F14F8">
      <w:pPr>
        <w:numPr>
          <w:ilvl w:val="12"/>
          <w:numId w:val="0"/>
        </w:numPr>
        <w:rPr>
          <w:rFonts w:ascii="Times New Roman" w:hAnsi="Times New Roman"/>
        </w:rPr>
      </w:pPr>
      <w:r w:rsidRPr="00993D00">
        <w:rPr>
          <w:rFonts w:ascii="Times New Roman" w:hAnsi="Times New Roman"/>
          <w:sz w:val="18"/>
          <w:szCs w:val="18"/>
        </w:rPr>
        <w:t>Totals may not sum due to rounding.</w:t>
      </w:r>
    </w:p>
    <w:p w:rsidR="009B623B" w:rsidRPr="00A66C48" w:rsidRDefault="009B623B" w:rsidP="002F14F8">
      <w:pPr>
        <w:numPr>
          <w:ilvl w:val="12"/>
          <w:numId w:val="0"/>
        </w:numPr>
        <w:rPr>
          <w:rFonts w:ascii="Times New Roman" w:hAnsi="Times New Roman"/>
        </w:rPr>
      </w:pPr>
    </w:p>
    <w:p w:rsidR="004808B0" w:rsidRDefault="00137108" w:rsidP="00137108">
      <w:pPr>
        <w:pStyle w:val="PlainText"/>
        <w:ind w:firstLine="720"/>
        <w:rPr>
          <w:rFonts w:ascii="Times New Roman" w:hAnsi="Times New Roman" w:cs="Times New Roman"/>
          <w:b/>
          <w:sz w:val="24"/>
          <w:szCs w:val="24"/>
        </w:rPr>
      </w:pPr>
      <w:r>
        <w:rPr>
          <w:rFonts w:ascii="Times New Roman" w:hAnsi="Times New Roman" w:cs="Times New Roman"/>
          <w:sz w:val="24"/>
          <w:szCs w:val="24"/>
        </w:rPr>
        <w:t>Table 3 presents the total annual respondent burden and cost.</w:t>
      </w:r>
      <w:r w:rsidR="004808B0" w:rsidRPr="005A3906">
        <w:rPr>
          <w:rFonts w:ascii="Times New Roman" w:hAnsi="Times New Roman" w:cs="Times New Roman"/>
          <w:b/>
          <w:sz w:val="24"/>
          <w:szCs w:val="24"/>
        </w:rPr>
        <w:t xml:space="preserve"> </w:t>
      </w:r>
    </w:p>
    <w:p w:rsidR="0085522D" w:rsidRPr="00A66C48" w:rsidRDefault="0085522D" w:rsidP="00137108">
      <w:pPr>
        <w:pStyle w:val="PlainText"/>
        <w:ind w:firstLine="720"/>
      </w:pPr>
    </w:p>
    <w:p w:rsidR="0066192E" w:rsidRPr="00A66C48" w:rsidRDefault="0085522D" w:rsidP="002F14F8">
      <w:pPr>
        <w:rPr>
          <w:sz w:val="20"/>
          <w:szCs w:val="20"/>
        </w:rPr>
      </w:pPr>
      <w:r w:rsidRPr="00A66C48">
        <w:rPr>
          <w:rFonts w:ascii="Times New Roman" w:hAnsi="Times New Roman"/>
          <w:b/>
        </w:rPr>
        <w:t>Table 3</w:t>
      </w:r>
      <w:r>
        <w:rPr>
          <w:rFonts w:ascii="Times New Roman" w:hAnsi="Times New Roman"/>
          <w:b/>
        </w:rPr>
        <w:t>.</w:t>
      </w:r>
      <w:r w:rsidRPr="00A66C48">
        <w:rPr>
          <w:rFonts w:ascii="Times New Roman" w:hAnsi="Times New Roman"/>
          <w:b/>
        </w:rPr>
        <w:t xml:space="preserve"> </w:t>
      </w:r>
      <w:r w:rsidRPr="0085522D">
        <w:rPr>
          <w:rFonts w:ascii="Times New Roman" w:hAnsi="Times New Roman"/>
        </w:rPr>
        <w:t>TOTAL ANNUAL RESPONDENT BURDEN/COST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440"/>
        <w:gridCol w:w="2880"/>
        <w:gridCol w:w="1635"/>
        <w:gridCol w:w="1353"/>
      </w:tblGrid>
      <w:tr w:rsidR="00137108" w:rsidRPr="00A66C48" w:rsidTr="00BF1413">
        <w:trPr>
          <w:jc w:val="center"/>
        </w:trPr>
        <w:tc>
          <w:tcPr>
            <w:tcW w:w="3708" w:type="dxa"/>
            <w:gridSpan w:val="2"/>
          </w:tcPr>
          <w:p w:rsidR="00137108" w:rsidRPr="00A66C48" w:rsidRDefault="00137108" w:rsidP="00071695">
            <w:pPr>
              <w:pStyle w:val="PlainText"/>
              <w:jc w:val="center"/>
              <w:rPr>
                <w:rFonts w:ascii="Times New Roman" w:hAnsi="Times New Roman" w:cs="Times New Roman"/>
                <w:sz w:val="24"/>
                <w:szCs w:val="24"/>
              </w:rPr>
            </w:pPr>
            <w:r w:rsidRPr="00A66C48">
              <w:rPr>
                <w:rFonts w:ascii="Times New Roman" w:hAnsi="Times New Roman" w:cs="Times New Roman"/>
                <w:sz w:val="24"/>
                <w:szCs w:val="24"/>
              </w:rPr>
              <w:t>Per Submission Estimates</w:t>
            </w:r>
          </w:p>
        </w:tc>
        <w:tc>
          <w:tcPr>
            <w:tcW w:w="2880" w:type="dxa"/>
            <w:vMerge w:val="restart"/>
          </w:tcPr>
          <w:p w:rsidR="00137108" w:rsidRPr="00A66C48" w:rsidRDefault="00137108" w:rsidP="00137108">
            <w:pPr>
              <w:pStyle w:val="PlainText"/>
              <w:jc w:val="right"/>
              <w:rPr>
                <w:rFonts w:ascii="Times New Roman" w:hAnsi="Times New Roman" w:cs="Times New Roman"/>
                <w:sz w:val="24"/>
                <w:szCs w:val="24"/>
              </w:rPr>
            </w:pPr>
            <w:r w:rsidRPr="00A66C48">
              <w:rPr>
                <w:rFonts w:ascii="Times New Roman" w:hAnsi="Times New Roman" w:cs="Times New Roman"/>
                <w:sz w:val="24"/>
                <w:szCs w:val="24"/>
              </w:rPr>
              <w:t>Total Submissions</w:t>
            </w:r>
          </w:p>
          <w:p w:rsidR="00137108" w:rsidRPr="00A66C48" w:rsidRDefault="00137108" w:rsidP="00137108">
            <w:pPr>
              <w:pStyle w:val="PlainText"/>
              <w:jc w:val="right"/>
              <w:rPr>
                <w:rFonts w:ascii="Times New Roman" w:hAnsi="Times New Roman" w:cs="Times New Roman"/>
                <w:sz w:val="24"/>
                <w:szCs w:val="24"/>
              </w:rPr>
            </w:pPr>
            <w:r w:rsidRPr="00A66C48">
              <w:rPr>
                <w:rFonts w:ascii="Times New Roman" w:hAnsi="Times New Roman" w:cs="Times New Roman"/>
                <w:sz w:val="24"/>
                <w:szCs w:val="24"/>
              </w:rPr>
              <w:t>Expected each year</w:t>
            </w:r>
          </w:p>
        </w:tc>
        <w:tc>
          <w:tcPr>
            <w:tcW w:w="2988" w:type="dxa"/>
            <w:gridSpan w:val="2"/>
          </w:tcPr>
          <w:p w:rsidR="00137108" w:rsidRPr="00A66C48" w:rsidRDefault="00137108" w:rsidP="00071695">
            <w:pPr>
              <w:pStyle w:val="PlainText"/>
              <w:jc w:val="center"/>
              <w:rPr>
                <w:rFonts w:ascii="Times New Roman" w:hAnsi="Times New Roman" w:cs="Times New Roman"/>
                <w:sz w:val="24"/>
                <w:szCs w:val="24"/>
              </w:rPr>
            </w:pPr>
            <w:r>
              <w:rPr>
                <w:rFonts w:ascii="Times New Roman" w:hAnsi="Times New Roman" w:cs="Times New Roman"/>
                <w:sz w:val="24"/>
                <w:szCs w:val="24"/>
              </w:rPr>
              <w:t xml:space="preserve">Annual </w:t>
            </w:r>
            <w:r w:rsidRPr="00A66C48">
              <w:rPr>
                <w:rFonts w:ascii="Times New Roman" w:hAnsi="Times New Roman" w:cs="Times New Roman"/>
                <w:sz w:val="24"/>
                <w:szCs w:val="24"/>
              </w:rPr>
              <w:t>Totals</w:t>
            </w:r>
          </w:p>
        </w:tc>
      </w:tr>
      <w:tr w:rsidR="00137108" w:rsidRPr="00A66C48" w:rsidTr="00BF1413">
        <w:trPr>
          <w:jc w:val="center"/>
        </w:trPr>
        <w:tc>
          <w:tcPr>
            <w:tcW w:w="2268" w:type="dxa"/>
          </w:tcPr>
          <w:p w:rsidR="00137108" w:rsidRPr="00A66C48" w:rsidRDefault="00137108" w:rsidP="00917FE9">
            <w:pPr>
              <w:pStyle w:val="PlainText"/>
              <w:jc w:val="right"/>
              <w:rPr>
                <w:rFonts w:ascii="Times New Roman" w:hAnsi="Times New Roman" w:cs="Times New Roman"/>
                <w:sz w:val="24"/>
                <w:szCs w:val="24"/>
              </w:rPr>
            </w:pPr>
            <w:r w:rsidRPr="00A66C48">
              <w:rPr>
                <w:rFonts w:ascii="Times New Roman" w:hAnsi="Times New Roman" w:cs="Times New Roman"/>
                <w:sz w:val="24"/>
                <w:szCs w:val="24"/>
              </w:rPr>
              <w:t>Burden (hrs)</w:t>
            </w:r>
          </w:p>
        </w:tc>
        <w:tc>
          <w:tcPr>
            <w:tcW w:w="1440" w:type="dxa"/>
          </w:tcPr>
          <w:p w:rsidR="00137108" w:rsidRPr="00A66C48" w:rsidRDefault="00137108" w:rsidP="00917FE9">
            <w:pPr>
              <w:pStyle w:val="PlainText"/>
              <w:jc w:val="right"/>
              <w:rPr>
                <w:rFonts w:ascii="Times New Roman" w:hAnsi="Times New Roman" w:cs="Times New Roman"/>
                <w:sz w:val="24"/>
                <w:szCs w:val="24"/>
              </w:rPr>
            </w:pPr>
            <w:r w:rsidRPr="00A66C48">
              <w:rPr>
                <w:rFonts w:ascii="Times New Roman" w:hAnsi="Times New Roman" w:cs="Times New Roman"/>
                <w:sz w:val="24"/>
                <w:szCs w:val="24"/>
              </w:rPr>
              <w:t>Costs ($)</w:t>
            </w:r>
          </w:p>
        </w:tc>
        <w:tc>
          <w:tcPr>
            <w:tcW w:w="2880" w:type="dxa"/>
            <w:vMerge/>
          </w:tcPr>
          <w:p w:rsidR="00137108" w:rsidRPr="00A66C48" w:rsidRDefault="00137108" w:rsidP="00071695">
            <w:pPr>
              <w:pStyle w:val="PlainText"/>
              <w:rPr>
                <w:rFonts w:ascii="Times New Roman" w:hAnsi="Times New Roman" w:cs="Times New Roman"/>
                <w:sz w:val="24"/>
                <w:szCs w:val="24"/>
              </w:rPr>
            </w:pPr>
          </w:p>
        </w:tc>
        <w:tc>
          <w:tcPr>
            <w:tcW w:w="1635" w:type="dxa"/>
          </w:tcPr>
          <w:p w:rsidR="00137108" w:rsidRPr="00A66C48" w:rsidRDefault="00137108" w:rsidP="00917FE9">
            <w:pPr>
              <w:pStyle w:val="PlainText"/>
              <w:jc w:val="right"/>
              <w:rPr>
                <w:rFonts w:ascii="Times New Roman" w:hAnsi="Times New Roman" w:cs="Times New Roman"/>
                <w:sz w:val="24"/>
                <w:szCs w:val="24"/>
              </w:rPr>
            </w:pPr>
            <w:r w:rsidRPr="00A66C48">
              <w:rPr>
                <w:rFonts w:ascii="Times New Roman" w:hAnsi="Times New Roman" w:cs="Times New Roman"/>
                <w:sz w:val="24"/>
                <w:szCs w:val="24"/>
              </w:rPr>
              <w:t>Burden (hrs)</w:t>
            </w:r>
          </w:p>
        </w:tc>
        <w:tc>
          <w:tcPr>
            <w:tcW w:w="1353" w:type="dxa"/>
          </w:tcPr>
          <w:p w:rsidR="00137108" w:rsidRPr="00A66C48" w:rsidRDefault="00137108" w:rsidP="00917FE9">
            <w:pPr>
              <w:pStyle w:val="PlainText"/>
              <w:jc w:val="right"/>
              <w:rPr>
                <w:rFonts w:ascii="Times New Roman" w:hAnsi="Times New Roman" w:cs="Times New Roman"/>
                <w:sz w:val="24"/>
                <w:szCs w:val="24"/>
              </w:rPr>
            </w:pPr>
            <w:r w:rsidRPr="00A66C48">
              <w:rPr>
                <w:rFonts w:ascii="Times New Roman" w:hAnsi="Times New Roman" w:cs="Times New Roman"/>
                <w:sz w:val="24"/>
                <w:szCs w:val="24"/>
              </w:rPr>
              <w:t>Cost ($)</w:t>
            </w:r>
          </w:p>
        </w:tc>
      </w:tr>
      <w:tr w:rsidR="00137108" w:rsidRPr="00A66C48" w:rsidTr="00BF1413">
        <w:trPr>
          <w:jc w:val="center"/>
        </w:trPr>
        <w:tc>
          <w:tcPr>
            <w:tcW w:w="2268" w:type="dxa"/>
          </w:tcPr>
          <w:p w:rsidR="00137108" w:rsidRPr="00A66C48" w:rsidRDefault="009B623B" w:rsidP="00137108">
            <w:pPr>
              <w:pStyle w:val="PlainText"/>
              <w:jc w:val="right"/>
              <w:rPr>
                <w:rFonts w:ascii="Times New Roman" w:hAnsi="Times New Roman" w:cs="Times New Roman"/>
                <w:sz w:val="24"/>
                <w:szCs w:val="24"/>
              </w:rPr>
            </w:pPr>
            <w:r>
              <w:rPr>
                <w:rFonts w:ascii="Times New Roman" w:hAnsi="Times New Roman" w:cs="Times New Roman"/>
                <w:sz w:val="24"/>
                <w:szCs w:val="24"/>
              </w:rPr>
              <w:t>8.0</w:t>
            </w:r>
            <w:r w:rsidR="001D7392">
              <w:rPr>
                <w:rFonts w:ascii="Times New Roman" w:hAnsi="Times New Roman" w:cs="Times New Roman"/>
                <w:sz w:val="24"/>
                <w:szCs w:val="24"/>
              </w:rPr>
              <w:t>4</w:t>
            </w:r>
          </w:p>
        </w:tc>
        <w:tc>
          <w:tcPr>
            <w:tcW w:w="1440" w:type="dxa"/>
          </w:tcPr>
          <w:p w:rsidR="00137108" w:rsidRPr="00A66C48" w:rsidRDefault="00137108" w:rsidP="00071695">
            <w:pPr>
              <w:pStyle w:val="PlainText"/>
              <w:jc w:val="right"/>
              <w:rPr>
                <w:rFonts w:ascii="Times New Roman" w:hAnsi="Times New Roman" w:cs="Times New Roman"/>
                <w:sz w:val="24"/>
                <w:szCs w:val="24"/>
              </w:rPr>
            </w:pPr>
            <w:r w:rsidRPr="00A66C48">
              <w:rPr>
                <w:rFonts w:ascii="Times New Roman" w:hAnsi="Times New Roman" w:cs="Times New Roman"/>
                <w:sz w:val="24"/>
                <w:szCs w:val="24"/>
              </w:rPr>
              <w:t>4</w:t>
            </w:r>
            <w:r w:rsidR="000376AD">
              <w:rPr>
                <w:rFonts w:ascii="Times New Roman" w:hAnsi="Times New Roman" w:cs="Times New Roman"/>
                <w:sz w:val="24"/>
                <w:szCs w:val="24"/>
              </w:rPr>
              <w:t>48</w:t>
            </w:r>
          </w:p>
        </w:tc>
        <w:tc>
          <w:tcPr>
            <w:tcW w:w="2880" w:type="dxa"/>
          </w:tcPr>
          <w:p w:rsidR="00137108" w:rsidRPr="00A66C48" w:rsidRDefault="00137108" w:rsidP="00071695">
            <w:pPr>
              <w:pStyle w:val="PlainText"/>
              <w:jc w:val="right"/>
              <w:rPr>
                <w:rFonts w:ascii="Times New Roman" w:hAnsi="Times New Roman" w:cs="Times New Roman"/>
                <w:sz w:val="24"/>
                <w:szCs w:val="24"/>
              </w:rPr>
            </w:pPr>
            <w:r w:rsidRPr="00A66C48">
              <w:rPr>
                <w:rFonts w:ascii="Times New Roman" w:hAnsi="Times New Roman" w:cs="Times New Roman"/>
                <w:sz w:val="24"/>
                <w:szCs w:val="24"/>
              </w:rPr>
              <w:t>685</w:t>
            </w:r>
          </w:p>
        </w:tc>
        <w:tc>
          <w:tcPr>
            <w:tcW w:w="1635" w:type="dxa"/>
          </w:tcPr>
          <w:p w:rsidR="00137108" w:rsidRPr="00A66C48" w:rsidRDefault="00137108" w:rsidP="00071695">
            <w:pPr>
              <w:pStyle w:val="PlainText"/>
              <w:jc w:val="right"/>
              <w:rPr>
                <w:rFonts w:ascii="Times New Roman" w:hAnsi="Times New Roman" w:cs="Times New Roman"/>
                <w:sz w:val="24"/>
                <w:szCs w:val="24"/>
              </w:rPr>
            </w:pPr>
            <w:r w:rsidRPr="00A66C48">
              <w:rPr>
                <w:rFonts w:ascii="Times New Roman" w:hAnsi="Times New Roman" w:cs="Times New Roman"/>
                <w:sz w:val="24"/>
                <w:szCs w:val="24"/>
              </w:rPr>
              <w:t>5,</w:t>
            </w:r>
            <w:r w:rsidR="001D7392">
              <w:rPr>
                <w:rFonts w:ascii="Times New Roman" w:hAnsi="Times New Roman" w:cs="Times New Roman"/>
                <w:sz w:val="24"/>
                <w:szCs w:val="24"/>
              </w:rPr>
              <w:t>507</w:t>
            </w:r>
          </w:p>
        </w:tc>
        <w:tc>
          <w:tcPr>
            <w:tcW w:w="1353" w:type="dxa"/>
          </w:tcPr>
          <w:p w:rsidR="00137108" w:rsidRPr="00A66C48" w:rsidRDefault="00137108" w:rsidP="00071695">
            <w:pPr>
              <w:pStyle w:val="PlainText"/>
              <w:jc w:val="right"/>
              <w:rPr>
                <w:rFonts w:ascii="Times New Roman" w:hAnsi="Times New Roman" w:cs="Times New Roman"/>
                <w:sz w:val="24"/>
                <w:szCs w:val="24"/>
              </w:rPr>
            </w:pPr>
            <w:r w:rsidRPr="00A66C48">
              <w:rPr>
                <w:rFonts w:ascii="Times New Roman" w:hAnsi="Times New Roman" w:cs="Times New Roman"/>
                <w:sz w:val="24"/>
                <w:szCs w:val="24"/>
              </w:rPr>
              <w:t>30</w:t>
            </w:r>
            <w:r w:rsidR="000376AD">
              <w:rPr>
                <w:rFonts w:ascii="Times New Roman" w:hAnsi="Times New Roman" w:cs="Times New Roman"/>
                <w:sz w:val="24"/>
                <w:szCs w:val="24"/>
              </w:rPr>
              <w:t>6</w:t>
            </w:r>
            <w:r w:rsidRPr="00A66C48">
              <w:rPr>
                <w:rFonts w:ascii="Times New Roman" w:hAnsi="Times New Roman" w:cs="Times New Roman"/>
                <w:sz w:val="24"/>
                <w:szCs w:val="24"/>
              </w:rPr>
              <w:t>,</w:t>
            </w:r>
            <w:r w:rsidR="000376AD">
              <w:rPr>
                <w:rFonts w:ascii="Times New Roman" w:hAnsi="Times New Roman" w:cs="Times New Roman"/>
                <w:sz w:val="24"/>
                <w:szCs w:val="24"/>
              </w:rPr>
              <w:t>880</w:t>
            </w:r>
          </w:p>
        </w:tc>
      </w:tr>
    </w:tbl>
    <w:p w:rsidR="00842888" w:rsidRPr="00A66C48" w:rsidRDefault="00842888" w:rsidP="002F14F8">
      <w:pPr>
        <w:rPr>
          <w:sz w:val="20"/>
          <w:szCs w:val="20"/>
        </w:rPr>
      </w:pPr>
      <w:r w:rsidRPr="00A66C48">
        <w:rPr>
          <w:rFonts w:ascii="Times New Roman" w:hAnsi="Times New Roman"/>
          <w:sz w:val="20"/>
          <w:szCs w:val="20"/>
        </w:rPr>
        <w:t>Totals may not sum due to rounding</w:t>
      </w:r>
    </w:p>
    <w:p w:rsidR="00C16B89" w:rsidRPr="00A66C48" w:rsidRDefault="002F14F8" w:rsidP="00B6760A">
      <w:pPr>
        <w:numPr>
          <w:ilvl w:val="12"/>
          <w:numId w:val="0"/>
        </w:numPr>
        <w:ind w:right="-720"/>
        <w:rPr>
          <w:rFonts w:ascii="Times New Roman" w:hAnsi="Times New Roman"/>
          <w:sz w:val="20"/>
          <w:szCs w:val="20"/>
        </w:rPr>
      </w:pPr>
      <w:r w:rsidRPr="00A66C48">
        <w:rPr>
          <w:rFonts w:ascii="Times New Roman" w:hAnsi="Times New Roman"/>
          <w:sz w:val="20"/>
          <w:szCs w:val="20"/>
        </w:rPr>
        <w:t>A</w:t>
      </w:r>
      <w:r w:rsidR="00842888" w:rsidRPr="00A66C48">
        <w:rPr>
          <w:rFonts w:ascii="Times New Roman" w:hAnsi="Times New Roman"/>
          <w:sz w:val="20"/>
          <w:szCs w:val="20"/>
        </w:rPr>
        <w:t>nnual</w:t>
      </w:r>
      <w:r w:rsidRPr="00A66C48">
        <w:rPr>
          <w:rFonts w:ascii="Times New Roman" w:hAnsi="Times New Roman"/>
          <w:sz w:val="20"/>
          <w:szCs w:val="20"/>
        </w:rPr>
        <w:t xml:space="preserve"> B</w:t>
      </w:r>
      <w:r w:rsidR="00842888" w:rsidRPr="00A66C48">
        <w:rPr>
          <w:rFonts w:ascii="Times New Roman" w:hAnsi="Times New Roman"/>
          <w:sz w:val="20"/>
          <w:szCs w:val="20"/>
        </w:rPr>
        <w:t>urden</w:t>
      </w:r>
      <w:r w:rsidRPr="00A66C48">
        <w:rPr>
          <w:rFonts w:ascii="Times New Roman" w:hAnsi="Times New Roman"/>
          <w:sz w:val="20"/>
          <w:szCs w:val="20"/>
        </w:rPr>
        <w:t xml:space="preserve">: </w:t>
      </w:r>
      <w:r w:rsidR="009B623B">
        <w:rPr>
          <w:rFonts w:ascii="Times New Roman" w:hAnsi="Times New Roman"/>
          <w:sz w:val="20"/>
          <w:szCs w:val="20"/>
        </w:rPr>
        <w:t>8.0</w:t>
      </w:r>
      <w:r w:rsidR="001D7392">
        <w:rPr>
          <w:rFonts w:ascii="Times New Roman" w:hAnsi="Times New Roman"/>
          <w:sz w:val="20"/>
          <w:szCs w:val="20"/>
        </w:rPr>
        <w:t>4</w:t>
      </w:r>
      <w:r w:rsidRPr="00A66C48">
        <w:rPr>
          <w:rFonts w:ascii="Times New Roman" w:hAnsi="Times New Roman"/>
          <w:sz w:val="20"/>
          <w:szCs w:val="20"/>
        </w:rPr>
        <w:t xml:space="preserve"> Hours </w:t>
      </w:r>
      <w:r w:rsidR="00AD6DBA" w:rsidRPr="00A66C48">
        <w:rPr>
          <w:rFonts w:ascii="Times New Roman" w:hAnsi="Times New Roman"/>
          <w:sz w:val="20"/>
          <w:szCs w:val="20"/>
        </w:rPr>
        <w:t>p</w:t>
      </w:r>
      <w:r w:rsidR="00485481" w:rsidRPr="00A66C48">
        <w:rPr>
          <w:rFonts w:ascii="Times New Roman" w:hAnsi="Times New Roman"/>
          <w:sz w:val="20"/>
          <w:szCs w:val="20"/>
        </w:rPr>
        <w:t>er Response</w:t>
      </w:r>
      <w:r w:rsidR="00C16B89" w:rsidRPr="00A66C48">
        <w:rPr>
          <w:rFonts w:ascii="Times New Roman" w:hAnsi="Times New Roman"/>
          <w:sz w:val="20"/>
          <w:szCs w:val="20"/>
        </w:rPr>
        <w:t xml:space="preserve"> </w:t>
      </w:r>
      <w:r w:rsidRPr="00A66C48">
        <w:rPr>
          <w:rFonts w:ascii="Times New Roman" w:hAnsi="Times New Roman"/>
          <w:sz w:val="20"/>
          <w:szCs w:val="20"/>
        </w:rPr>
        <w:t xml:space="preserve">x </w:t>
      </w:r>
      <w:r w:rsidR="00E9359E" w:rsidRPr="00A66C48">
        <w:rPr>
          <w:rFonts w:ascii="Times New Roman" w:hAnsi="Times New Roman"/>
          <w:sz w:val="20"/>
          <w:szCs w:val="20"/>
        </w:rPr>
        <w:t>685</w:t>
      </w:r>
      <w:r w:rsidR="00C71419" w:rsidRPr="00A66C48">
        <w:rPr>
          <w:rFonts w:ascii="Times New Roman" w:hAnsi="Times New Roman"/>
          <w:sz w:val="20"/>
          <w:szCs w:val="20"/>
        </w:rPr>
        <w:t xml:space="preserve"> </w:t>
      </w:r>
      <w:r w:rsidR="001D7188" w:rsidRPr="00A66C48">
        <w:rPr>
          <w:rFonts w:ascii="Times New Roman" w:hAnsi="Times New Roman"/>
          <w:sz w:val="20"/>
          <w:szCs w:val="20"/>
        </w:rPr>
        <w:t>Response</w:t>
      </w:r>
      <w:r w:rsidRPr="00A66C48">
        <w:rPr>
          <w:rFonts w:ascii="Times New Roman" w:hAnsi="Times New Roman"/>
          <w:sz w:val="20"/>
          <w:szCs w:val="20"/>
        </w:rPr>
        <w:t>s</w:t>
      </w:r>
      <w:r w:rsidR="00C16B89" w:rsidRPr="00A66C48">
        <w:rPr>
          <w:rFonts w:ascii="Times New Roman" w:hAnsi="Times New Roman"/>
          <w:sz w:val="20"/>
          <w:szCs w:val="20"/>
        </w:rPr>
        <w:t xml:space="preserve"> </w:t>
      </w:r>
      <w:r w:rsidRPr="00A66C48">
        <w:rPr>
          <w:rFonts w:ascii="Times New Roman" w:hAnsi="Times New Roman"/>
          <w:sz w:val="20"/>
          <w:szCs w:val="20"/>
        </w:rPr>
        <w:t xml:space="preserve">= </w:t>
      </w:r>
      <w:r w:rsidR="00E9359E" w:rsidRPr="00A66C48">
        <w:rPr>
          <w:rFonts w:ascii="Times New Roman" w:hAnsi="Times New Roman"/>
          <w:sz w:val="20"/>
          <w:szCs w:val="20"/>
        </w:rPr>
        <w:t>5,</w:t>
      </w:r>
      <w:r w:rsidR="001D7392">
        <w:rPr>
          <w:rFonts w:ascii="Times New Roman" w:hAnsi="Times New Roman"/>
          <w:sz w:val="20"/>
          <w:szCs w:val="20"/>
        </w:rPr>
        <w:t>507</w:t>
      </w:r>
      <w:r w:rsidR="00E9359E" w:rsidRPr="00A66C48">
        <w:rPr>
          <w:rFonts w:ascii="Times New Roman" w:hAnsi="Times New Roman"/>
          <w:sz w:val="20"/>
          <w:szCs w:val="20"/>
        </w:rPr>
        <w:t xml:space="preserve"> </w:t>
      </w:r>
      <w:r w:rsidRPr="00A66C48">
        <w:rPr>
          <w:rFonts w:ascii="Times New Roman" w:hAnsi="Times New Roman"/>
          <w:sz w:val="20"/>
          <w:szCs w:val="20"/>
        </w:rPr>
        <w:t>Burden Hours</w:t>
      </w:r>
    </w:p>
    <w:p w:rsidR="002F14F8" w:rsidRPr="00A66C48" w:rsidRDefault="002F14F8" w:rsidP="002F14F8">
      <w:pPr>
        <w:numPr>
          <w:ilvl w:val="12"/>
          <w:numId w:val="0"/>
        </w:numPr>
        <w:rPr>
          <w:rFonts w:ascii="Times New Roman" w:hAnsi="Times New Roman"/>
          <w:sz w:val="20"/>
          <w:szCs w:val="20"/>
        </w:rPr>
      </w:pPr>
      <w:r w:rsidRPr="00A66C48">
        <w:rPr>
          <w:rFonts w:ascii="Times New Roman" w:hAnsi="Times New Roman"/>
          <w:sz w:val="20"/>
          <w:szCs w:val="20"/>
        </w:rPr>
        <w:t>A</w:t>
      </w:r>
      <w:r w:rsidR="00842888" w:rsidRPr="00A66C48">
        <w:rPr>
          <w:rFonts w:ascii="Times New Roman" w:hAnsi="Times New Roman"/>
          <w:sz w:val="20"/>
          <w:szCs w:val="20"/>
        </w:rPr>
        <w:t xml:space="preserve">nnual </w:t>
      </w:r>
      <w:r w:rsidRPr="00A66C48">
        <w:rPr>
          <w:rFonts w:ascii="Times New Roman" w:hAnsi="Times New Roman"/>
          <w:sz w:val="20"/>
          <w:szCs w:val="20"/>
        </w:rPr>
        <w:t>C</w:t>
      </w:r>
      <w:r w:rsidR="00842888" w:rsidRPr="00A66C48">
        <w:rPr>
          <w:rFonts w:ascii="Times New Roman" w:hAnsi="Times New Roman"/>
          <w:sz w:val="20"/>
          <w:szCs w:val="20"/>
        </w:rPr>
        <w:t>ost</w:t>
      </w:r>
      <w:r w:rsidR="0000140E" w:rsidRPr="00A66C48">
        <w:rPr>
          <w:rFonts w:ascii="Times New Roman" w:hAnsi="Times New Roman"/>
          <w:sz w:val="20"/>
          <w:szCs w:val="20"/>
        </w:rPr>
        <w:t>:</w:t>
      </w:r>
      <w:r w:rsidR="00842888" w:rsidRPr="00A66C48">
        <w:rPr>
          <w:rFonts w:ascii="Times New Roman" w:hAnsi="Times New Roman"/>
          <w:sz w:val="20"/>
          <w:szCs w:val="20"/>
        </w:rPr>
        <w:t xml:space="preserve">  </w:t>
      </w:r>
      <w:r w:rsidRPr="00A66C48">
        <w:rPr>
          <w:rFonts w:ascii="Times New Roman" w:hAnsi="Times New Roman"/>
          <w:sz w:val="20"/>
          <w:szCs w:val="20"/>
        </w:rPr>
        <w:t>$</w:t>
      </w:r>
      <w:r w:rsidR="00B6760A" w:rsidRPr="00A66C48">
        <w:rPr>
          <w:rFonts w:ascii="Times New Roman" w:hAnsi="Times New Roman"/>
          <w:sz w:val="20"/>
          <w:szCs w:val="20"/>
        </w:rPr>
        <w:t>4</w:t>
      </w:r>
      <w:r w:rsidR="000376AD">
        <w:rPr>
          <w:rFonts w:ascii="Times New Roman" w:hAnsi="Times New Roman"/>
          <w:sz w:val="20"/>
          <w:szCs w:val="20"/>
        </w:rPr>
        <w:t>48</w:t>
      </w:r>
      <w:r w:rsidR="001C5431" w:rsidRPr="00A66C48">
        <w:rPr>
          <w:rFonts w:ascii="Times New Roman" w:hAnsi="Times New Roman"/>
          <w:sz w:val="20"/>
          <w:szCs w:val="20"/>
        </w:rPr>
        <w:t xml:space="preserve"> </w:t>
      </w:r>
      <w:r w:rsidR="00B6760A" w:rsidRPr="00A66C48">
        <w:rPr>
          <w:rFonts w:ascii="Times New Roman" w:hAnsi="Times New Roman"/>
          <w:sz w:val="20"/>
          <w:szCs w:val="20"/>
        </w:rPr>
        <w:t xml:space="preserve">per Response </w:t>
      </w:r>
      <w:r w:rsidRPr="00A66C48">
        <w:rPr>
          <w:rFonts w:ascii="Times New Roman" w:hAnsi="Times New Roman"/>
          <w:sz w:val="20"/>
          <w:szCs w:val="20"/>
        </w:rPr>
        <w:t xml:space="preserve">x </w:t>
      </w:r>
      <w:r w:rsidR="0026114B" w:rsidRPr="00A66C48">
        <w:rPr>
          <w:rFonts w:ascii="Times New Roman" w:hAnsi="Times New Roman"/>
          <w:sz w:val="20"/>
          <w:szCs w:val="20"/>
        </w:rPr>
        <w:t>685</w:t>
      </w:r>
      <w:r w:rsidR="00B765C4" w:rsidRPr="00A66C48">
        <w:rPr>
          <w:rFonts w:ascii="Times New Roman" w:hAnsi="Times New Roman"/>
          <w:sz w:val="20"/>
          <w:szCs w:val="20"/>
        </w:rPr>
        <w:t xml:space="preserve"> </w:t>
      </w:r>
      <w:r w:rsidR="001D7188" w:rsidRPr="00A66C48">
        <w:rPr>
          <w:rFonts w:ascii="Times New Roman" w:hAnsi="Times New Roman"/>
          <w:sz w:val="20"/>
          <w:szCs w:val="20"/>
        </w:rPr>
        <w:t>response</w:t>
      </w:r>
      <w:r w:rsidRPr="00A66C48">
        <w:rPr>
          <w:rFonts w:ascii="Times New Roman" w:hAnsi="Times New Roman"/>
          <w:sz w:val="20"/>
          <w:szCs w:val="20"/>
        </w:rPr>
        <w:t>s = $</w:t>
      </w:r>
      <w:r w:rsidR="00B6760A" w:rsidRPr="00A66C48">
        <w:rPr>
          <w:rFonts w:ascii="Times New Roman" w:hAnsi="Times New Roman"/>
          <w:sz w:val="20"/>
          <w:szCs w:val="20"/>
        </w:rPr>
        <w:t>30</w:t>
      </w:r>
      <w:r w:rsidR="000376AD">
        <w:rPr>
          <w:rFonts w:ascii="Times New Roman" w:hAnsi="Times New Roman"/>
          <w:sz w:val="20"/>
          <w:szCs w:val="20"/>
        </w:rPr>
        <w:t>6</w:t>
      </w:r>
      <w:r w:rsidR="00B6760A" w:rsidRPr="00A66C48">
        <w:rPr>
          <w:rFonts w:ascii="Times New Roman" w:hAnsi="Times New Roman"/>
          <w:sz w:val="20"/>
          <w:szCs w:val="20"/>
        </w:rPr>
        <w:t>,</w:t>
      </w:r>
      <w:r w:rsidR="000376AD">
        <w:rPr>
          <w:rFonts w:ascii="Times New Roman" w:hAnsi="Times New Roman"/>
          <w:sz w:val="20"/>
          <w:szCs w:val="20"/>
        </w:rPr>
        <w:t>880</w:t>
      </w:r>
    </w:p>
    <w:p w:rsidR="002F14F8" w:rsidRPr="00A66C48" w:rsidRDefault="00C16B89" w:rsidP="00842888">
      <w:pPr>
        <w:numPr>
          <w:ilvl w:val="12"/>
          <w:numId w:val="0"/>
        </w:numPr>
        <w:tabs>
          <w:tab w:val="left" w:pos="720"/>
          <w:tab w:val="left" w:pos="1440"/>
          <w:tab w:val="left" w:pos="2160"/>
          <w:tab w:val="left" w:pos="2880"/>
          <w:tab w:val="left" w:pos="3600"/>
          <w:tab w:val="left" w:pos="4320"/>
          <w:tab w:val="left" w:pos="5040"/>
          <w:tab w:val="left" w:pos="5760"/>
        </w:tabs>
        <w:ind w:left="5760" w:hanging="720"/>
        <w:rPr>
          <w:rFonts w:ascii="Times New Roman" w:hAnsi="Times New Roman"/>
        </w:rPr>
      </w:pPr>
      <w:r w:rsidRPr="00A66C48">
        <w:rPr>
          <w:rFonts w:ascii="Times New Roman" w:hAnsi="Times New Roman"/>
        </w:rPr>
        <w:tab/>
      </w:r>
    </w:p>
    <w:p w:rsidR="002F14F8" w:rsidRPr="00A66C48" w:rsidRDefault="002F14F8" w:rsidP="002F14F8">
      <w:pPr>
        <w:numPr>
          <w:ilvl w:val="12"/>
          <w:numId w:val="0"/>
        </w:numPr>
        <w:rPr>
          <w:rFonts w:ascii="Times New Roman" w:hAnsi="Times New Roman"/>
          <w:b/>
          <w:bCs/>
        </w:rPr>
      </w:pPr>
      <w:r w:rsidRPr="00A66C48">
        <w:rPr>
          <w:rFonts w:ascii="Times New Roman" w:hAnsi="Times New Roman"/>
        </w:rPr>
        <w:tab/>
      </w:r>
      <w:r w:rsidRPr="00A66C48">
        <w:rPr>
          <w:rFonts w:ascii="Times New Roman" w:hAnsi="Times New Roman"/>
          <w:b/>
          <w:bCs/>
        </w:rPr>
        <w:t>6(c). Estimating Agency Burden and Cost</w:t>
      </w:r>
    </w:p>
    <w:p w:rsidR="008668AA" w:rsidRPr="00A66C48" w:rsidRDefault="008668AA" w:rsidP="002F14F8">
      <w:pPr>
        <w:numPr>
          <w:ilvl w:val="12"/>
          <w:numId w:val="0"/>
        </w:numPr>
        <w:rPr>
          <w:rFonts w:ascii="Times New Roman" w:hAnsi="Times New Roman"/>
        </w:rPr>
      </w:pPr>
    </w:p>
    <w:p w:rsidR="008668AA" w:rsidRPr="00A66C48" w:rsidRDefault="002F14F8" w:rsidP="008668AA">
      <w:pPr>
        <w:numPr>
          <w:ilvl w:val="12"/>
          <w:numId w:val="0"/>
        </w:numPr>
        <w:rPr>
          <w:rFonts w:ascii="Times New Roman" w:hAnsi="Times New Roman"/>
        </w:rPr>
      </w:pPr>
      <w:r w:rsidRPr="00A66C48">
        <w:rPr>
          <w:rFonts w:ascii="Times New Roman" w:hAnsi="Times New Roman"/>
        </w:rPr>
        <w:tab/>
      </w:r>
      <w:r w:rsidR="00670B0D" w:rsidRPr="00A66C48">
        <w:rPr>
          <w:rFonts w:ascii="Times New Roman" w:hAnsi="Times New Roman"/>
        </w:rPr>
        <w:t xml:space="preserve"> </w:t>
      </w:r>
      <w:r w:rsidR="00D4172F" w:rsidRPr="00A66C48">
        <w:rPr>
          <w:rFonts w:ascii="Times New Roman" w:hAnsi="Times New Roman"/>
        </w:rPr>
        <w:t xml:space="preserve"> </w:t>
      </w:r>
      <w:r w:rsidR="00A967E5" w:rsidRPr="00A66C48">
        <w:rPr>
          <w:rFonts w:ascii="Times New Roman" w:hAnsi="Times New Roman"/>
        </w:rPr>
        <w:t>T</w:t>
      </w:r>
      <w:r w:rsidRPr="00A66C48">
        <w:rPr>
          <w:rFonts w:ascii="Times New Roman" w:hAnsi="Times New Roman"/>
        </w:rPr>
        <w:t xml:space="preserve">he Agency </w:t>
      </w:r>
      <w:r w:rsidR="00A967E5" w:rsidRPr="00A66C48">
        <w:rPr>
          <w:rFonts w:ascii="Times New Roman" w:hAnsi="Times New Roman"/>
        </w:rPr>
        <w:t xml:space="preserve">burden and costs are shown in </w:t>
      </w:r>
      <w:r w:rsidR="00566C9F" w:rsidRPr="00A66C48">
        <w:rPr>
          <w:rFonts w:ascii="Times New Roman" w:hAnsi="Times New Roman"/>
        </w:rPr>
        <w:t xml:space="preserve">Table </w:t>
      </w:r>
      <w:r w:rsidR="00842888" w:rsidRPr="00A66C48">
        <w:rPr>
          <w:rFonts w:ascii="Times New Roman" w:hAnsi="Times New Roman"/>
        </w:rPr>
        <w:t>4</w:t>
      </w:r>
      <w:r w:rsidRPr="00A66C48">
        <w:rPr>
          <w:rFonts w:ascii="Times New Roman" w:hAnsi="Times New Roman"/>
        </w:rPr>
        <w:t xml:space="preserve">. </w:t>
      </w:r>
      <w:r w:rsidR="008668AA" w:rsidRPr="00A66C48">
        <w:rPr>
          <w:rFonts w:ascii="Times New Roman" w:hAnsi="Times New Roman"/>
        </w:rPr>
        <w:t>The Agency burden hours for the entire CRP process will increase from 14.8 hours to 28.9 hours per response. Although there has been a decrease in the total number of CRP submissions to the Agency, there has been a net shift from less-burdensome to more-burdensome type responses (e.g., increased percentage of registrants electing to certify to the CRP requirements with data). As a result, there is an overall increase in the average Agency burden per response.</w:t>
      </w:r>
    </w:p>
    <w:p w:rsidR="002F14F8" w:rsidRPr="00A66C48" w:rsidRDefault="002F14F8" w:rsidP="002F14F8">
      <w:pPr>
        <w:numPr>
          <w:ilvl w:val="12"/>
          <w:numId w:val="0"/>
        </w:numPr>
        <w:rPr>
          <w:rFonts w:ascii="Times New Roman" w:hAnsi="Times New Roman"/>
        </w:rPr>
      </w:pPr>
    </w:p>
    <w:p w:rsidR="008060E1" w:rsidRPr="00A66C48" w:rsidRDefault="002F14F8" w:rsidP="002F14F8">
      <w:pPr>
        <w:numPr>
          <w:ilvl w:val="12"/>
          <w:numId w:val="0"/>
        </w:numPr>
        <w:rPr>
          <w:rFonts w:ascii="Times New Roman" w:hAnsi="Times New Roman"/>
        </w:rPr>
      </w:pPr>
      <w:r w:rsidRPr="00A66C48">
        <w:rPr>
          <w:rFonts w:ascii="Times New Roman" w:hAnsi="Times New Roman"/>
          <w:b/>
          <w:bCs/>
        </w:rPr>
        <w:t xml:space="preserve">Table </w:t>
      </w:r>
      <w:r w:rsidR="00842888" w:rsidRPr="00A66C48">
        <w:rPr>
          <w:rFonts w:ascii="Times New Roman" w:hAnsi="Times New Roman"/>
          <w:b/>
          <w:bCs/>
        </w:rPr>
        <w:t>4</w:t>
      </w:r>
      <w:r w:rsidRPr="00A66C48">
        <w:rPr>
          <w:rFonts w:ascii="Times New Roman" w:hAnsi="Times New Roman"/>
          <w:b/>
          <w:bCs/>
        </w:rPr>
        <w:t>.</w:t>
      </w:r>
      <w:r w:rsidR="00A92357">
        <w:rPr>
          <w:rFonts w:ascii="Times New Roman" w:hAnsi="Times New Roman"/>
        </w:rPr>
        <w:t xml:space="preserve"> </w:t>
      </w:r>
      <w:r w:rsidRPr="00A66C48">
        <w:rPr>
          <w:rFonts w:ascii="Times New Roman" w:hAnsi="Times New Roman"/>
        </w:rPr>
        <w:t>ANNUAL AGENCY BURDEN BY RESPONSE TYPE</w:t>
      </w:r>
    </w:p>
    <w:tbl>
      <w:tblPr>
        <w:tblW w:w="5000" w:type="pct"/>
        <w:jc w:val="center"/>
        <w:tblLook w:val="04A0"/>
      </w:tblPr>
      <w:tblGrid>
        <w:gridCol w:w="3079"/>
        <w:gridCol w:w="1454"/>
        <w:gridCol w:w="843"/>
        <w:gridCol w:w="1030"/>
        <w:gridCol w:w="843"/>
        <w:gridCol w:w="1084"/>
        <w:gridCol w:w="1243"/>
      </w:tblGrid>
      <w:tr w:rsidR="008060E1" w:rsidRPr="00A66C48" w:rsidTr="00DE5A01">
        <w:trPr>
          <w:trHeight w:val="300"/>
          <w:jc w:val="center"/>
        </w:trPr>
        <w:tc>
          <w:tcPr>
            <w:tcW w:w="160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rPr>
                <w:rFonts w:ascii="Times New Roman" w:hAnsi="Times New Roman"/>
                <w:b/>
                <w:bCs/>
                <w:sz w:val="20"/>
                <w:szCs w:val="20"/>
              </w:rPr>
            </w:pPr>
            <w:r w:rsidRPr="00A66C48">
              <w:rPr>
                <w:rFonts w:ascii="Times New Roman" w:hAnsi="Times New Roman"/>
                <w:b/>
                <w:bCs/>
                <w:sz w:val="20"/>
                <w:szCs w:val="20"/>
              </w:rPr>
              <w:t>Action</w:t>
            </w:r>
          </w:p>
        </w:tc>
        <w:tc>
          <w:tcPr>
            <w:tcW w:w="75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No. of Respondents</w:t>
            </w:r>
          </w:p>
        </w:tc>
        <w:tc>
          <w:tcPr>
            <w:tcW w:w="978" w:type="pct"/>
            <w:gridSpan w:val="2"/>
            <w:tcBorders>
              <w:top w:val="single" w:sz="4" w:space="0" w:color="auto"/>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 xml:space="preserve">Technical Burden </w:t>
            </w:r>
          </w:p>
        </w:tc>
        <w:tc>
          <w:tcPr>
            <w:tcW w:w="1005" w:type="pct"/>
            <w:gridSpan w:val="2"/>
            <w:tcBorders>
              <w:top w:val="single" w:sz="4" w:space="0" w:color="auto"/>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Clerical Burden</w:t>
            </w:r>
          </w:p>
        </w:tc>
        <w:tc>
          <w:tcPr>
            <w:tcW w:w="65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Aggregate Burden</w:t>
            </w:r>
          </w:p>
        </w:tc>
      </w:tr>
      <w:tr w:rsidR="008060E1" w:rsidRPr="00A66C48" w:rsidTr="00DE5A01">
        <w:trPr>
          <w:trHeight w:val="510"/>
          <w:jc w:val="center"/>
        </w:trPr>
        <w:tc>
          <w:tcPr>
            <w:tcW w:w="1608" w:type="pct"/>
            <w:vMerge/>
            <w:tcBorders>
              <w:top w:val="single" w:sz="4" w:space="0" w:color="auto"/>
              <w:left w:val="single" w:sz="4" w:space="0" w:color="auto"/>
              <w:bottom w:val="single" w:sz="4" w:space="0" w:color="auto"/>
              <w:right w:val="single" w:sz="4" w:space="0" w:color="auto"/>
            </w:tcBorders>
            <w:vAlign w:val="center"/>
            <w:hideMark/>
          </w:tcPr>
          <w:p w:rsidR="008060E1" w:rsidRPr="00A66C48" w:rsidRDefault="008060E1" w:rsidP="008060E1">
            <w:pPr>
              <w:widowControl/>
              <w:autoSpaceDE/>
              <w:autoSpaceDN/>
              <w:adjustRightInd/>
              <w:rPr>
                <w:rFonts w:ascii="Times New Roman" w:hAnsi="Times New Roman"/>
                <w:b/>
                <w:bCs/>
                <w:sz w:val="20"/>
                <w:szCs w:val="20"/>
              </w:rPr>
            </w:pPr>
          </w:p>
        </w:tc>
        <w:tc>
          <w:tcPr>
            <w:tcW w:w="759" w:type="pct"/>
            <w:vMerge/>
            <w:tcBorders>
              <w:top w:val="single" w:sz="4" w:space="0" w:color="auto"/>
              <w:left w:val="single" w:sz="4" w:space="0" w:color="auto"/>
              <w:bottom w:val="single" w:sz="4" w:space="0" w:color="auto"/>
              <w:right w:val="single" w:sz="4" w:space="0" w:color="auto"/>
            </w:tcBorders>
            <w:vAlign w:val="center"/>
            <w:hideMark/>
          </w:tcPr>
          <w:p w:rsidR="008060E1" w:rsidRPr="00A66C48" w:rsidRDefault="008060E1" w:rsidP="008060E1">
            <w:pPr>
              <w:widowControl/>
              <w:autoSpaceDE/>
              <w:autoSpaceDN/>
              <w:adjustRightInd/>
              <w:rPr>
                <w:rFonts w:ascii="Times New Roman" w:hAnsi="Times New Roman"/>
                <w:b/>
                <w:bCs/>
                <w:sz w:val="20"/>
                <w:szCs w:val="20"/>
              </w:rPr>
            </w:pPr>
          </w:p>
        </w:tc>
        <w:tc>
          <w:tcPr>
            <w:tcW w:w="440"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Hrs Per Event</w:t>
            </w:r>
          </w:p>
        </w:tc>
        <w:tc>
          <w:tcPr>
            <w:tcW w:w="538"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Total</w:t>
            </w:r>
          </w:p>
        </w:tc>
        <w:tc>
          <w:tcPr>
            <w:tcW w:w="440"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Hrs Per Event</w:t>
            </w:r>
          </w:p>
        </w:tc>
        <w:tc>
          <w:tcPr>
            <w:tcW w:w="566"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Total</w:t>
            </w: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8060E1" w:rsidRPr="00A66C48" w:rsidRDefault="008060E1" w:rsidP="008060E1">
            <w:pPr>
              <w:widowControl/>
              <w:autoSpaceDE/>
              <w:autoSpaceDN/>
              <w:adjustRightInd/>
              <w:rPr>
                <w:rFonts w:ascii="Times New Roman" w:hAnsi="Times New Roman"/>
                <w:b/>
                <w:bCs/>
                <w:sz w:val="20"/>
                <w:szCs w:val="20"/>
              </w:rPr>
            </w:pPr>
          </w:p>
        </w:tc>
      </w:tr>
      <w:tr w:rsidR="008060E1" w:rsidRPr="00A66C48" w:rsidTr="00DE5A01">
        <w:trPr>
          <w:trHeight w:val="300"/>
          <w:jc w:val="center"/>
        </w:trPr>
        <w:tc>
          <w:tcPr>
            <w:tcW w:w="1608" w:type="pct"/>
            <w:tcBorders>
              <w:top w:val="nil"/>
              <w:left w:val="single" w:sz="4" w:space="0" w:color="auto"/>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rPr>
                <w:rFonts w:ascii="Times New Roman" w:hAnsi="Times New Roman"/>
                <w:sz w:val="20"/>
                <w:szCs w:val="20"/>
              </w:rPr>
            </w:pPr>
            <w:r w:rsidRPr="00A66C48">
              <w:rPr>
                <w:rFonts w:ascii="Times New Roman" w:hAnsi="Times New Roman"/>
                <w:sz w:val="20"/>
                <w:szCs w:val="20"/>
              </w:rPr>
              <w:t>CRP certification without data</w:t>
            </w:r>
          </w:p>
        </w:tc>
        <w:tc>
          <w:tcPr>
            <w:tcW w:w="759"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212</w:t>
            </w:r>
          </w:p>
        </w:tc>
        <w:tc>
          <w:tcPr>
            <w:tcW w:w="440"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2.3</w:t>
            </w:r>
          </w:p>
        </w:tc>
        <w:tc>
          <w:tcPr>
            <w:tcW w:w="538"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488</w:t>
            </w:r>
          </w:p>
        </w:tc>
        <w:tc>
          <w:tcPr>
            <w:tcW w:w="440"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1</w:t>
            </w:r>
          </w:p>
        </w:tc>
        <w:tc>
          <w:tcPr>
            <w:tcW w:w="566"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212</w:t>
            </w:r>
          </w:p>
        </w:tc>
        <w:tc>
          <w:tcPr>
            <w:tcW w:w="650"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700</w:t>
            </w:r>
          </w:p>
        </w:tc>
      </w:tr>
      <w:tr w:rsidR="008060E1" w:rsidRPr="00A66C48" w:rsidTr="00DE5A01">
        <w:trPr>
          <w:trHeight w:val="300"/>
          <w:jc w:val="center"/>
        </w:trPr>
        <w:tc>
          <w:tcPr>
            <w:tcW w:w="1608" w:type="pct"/>
            <w:tcBorders>
              <w:top w:val="nil"/>
              <w:left w:val="single" w:sz="4" w:space="0" w:color="auto"/>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rPr>
                <w:rFonts w:ascii="Times New Roman" w:hAnsi="Times New Roman"/>
                <w:sz w:val="20"/>
                <w:szCs w:val="20"/>
              </w:rPr>
            </w:pPr>
            <w:r w:rsidRPr="00A66C48">
              <w:rPr>
                <w:rFonts w:ascii="Times New Roman" w:hAnsi="Times New Roman"/>
                <w:sz w:val="20"/>
                <w:szCs w:val="20"/>
              </w:rPr>
              <w:t>CRP certification with data</w:t>
            </w:r>
          </w:p>
        </w:tc>
        <w:tc>
          <w:tcPr>
            <w:tcW w:w="759"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453</w:t>
            </w:r>
          </w:p>
        </w:tc>
        <w:tc>
          <w:tcPr>
            <w:tcW w:w="440"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40</w:t>
            </w:r>
          </w:p>
        </w:tc>
        <w:tc>
          <w:tcPr>
            <w:tcW w:w="538"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18,120</w:t>
            </w:r>
          </w:p>
        </w:tc>
        <w:tc>
          <w:tcPr>
            <w:tcW w:w="440"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1</w:t>
            </w:r>
          </w:p>
        </w:tc>
        <w:tc>
          <w:tcPr>
            <w:tcW w:w="566"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453</w:t>
            </w:r>
          </w:p>
        </w:tc>
        <w:tc>
          <w:tcPr>
            <w:tcW w:w="650"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18,573</w:t>
            </w:r>
          </w:p>
        </w:tc>
      </w:tr>
      <w:tr w:rsidR="008060E1" w:rsidRPr="00A66C48" w:rsidTr="00DE5A01">
        <w:trPr>
          <w:trHeight w:val="765"/>
          <w:jc w:val="center"/>
        </w:trPr>
        <w:tc>
          <w:tcPr>
            <w:tcW w:w="1608" w:type="pct"/>
            <w:tcBorders>
              <w:top w:val="nil"/>
              <w:left w:val="single" w:sz="4" w:space="0" w:color="auto"/>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rPr>
                <w:rFonts w:ascii="Times New Roman" w:hAnsi="Times New Roman"/>
                <w:sz w:val="20"/>
                <w:szCs w:val="20"/>
              </w:rPr>
            </w:pPr>
            <w:r w:rsidRPr="00A66C48">
              <w:rPr>
                <w:rFonts w:ascii="Times New Roman" w:hAnsi="Times New Roman"/>
                <w:sz w:val="20"/>
                <w:szCs w:val="20"/>
              </w:rPr>
              <w:lastRenderedPageBreak/>
              <w:t>Exempt from CRP due to large package size (registrant meets size requirement, no action needed)</w:t>
            </w:r>
          </w:p>
        </w:tc>
        <w:tc>
          <w:tcPr>
            <w:tcW w:w="759"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12</w:t>
            </w:r>
          </w:p>
        </w:tc>
        <w:tc>
          <w:tcPr>
            <w:tcW w:w="440"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0</w:t>
            </w:r>
          </w:p>
        </w:tc>
        <w:tc>
          <w:tcPr>
            <w:tcW w:w="538"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0</w:t>
            </w:r>
          </w:p>
        </w:tc>
        <w:tc>
          <w:tcPr>
            <w:tcW w:w="440"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0</w:t>
            </w:r>
          </w:p>
        </w:tc>
        <w:tc>
          <w:tcPr>
            <w:tcW w:w="566"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0</w:t>
            </w:r>
          </w:p>
        </w:tc>
        <w:tc>
          <w:tcPr>
            <w:tcW w:w="650"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0</w:t>
            </w:r>
          </w:p>
        </w:tc>
      </w:tr>
      <w:tr w:rsidR="008060E1" w:rsidRPr="00A66C48" w:rsidTr="00DE5A01">
        <w:trPr>
          <w:trHeight w:val="765"/>
          <w:jc w:val="center"/>
        </w:trPr>
        <w:tc>
          <w:tcPr>
            <w:tcW w:w="1608" w:type="pct"/>
            <w:tcBorders>
              <w:top w:val="nil"/>
              <w:left w:val="single" w:sz="4" w:space="0" w:color="auto"/>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rPr>
                <w:rFonts w:ascii="Times New Roman" w:hAnsi="Times New Roman"/>
                <w:sz w:val="20"/>
                <w:szCs w:val="20"/>
              </w:rPr>
            </w:pPr>
            <w:r w:rsidRPr="00A66C48">
              <w:rPr>
                <w:rFonts w:ascii="Times New Roman" w:hAnsi="Times New Roman"/>
                <w:sz w:val="20"/>
                <w:szCs w:val="20"/>
              </w:rPr>
              <w:t>Exempt from CRP due to lack of toxicity, packaging, no residential use, lower product toxicity</w:t>
            </w:r>
          </w:p>
        </w:tc>
        <w:tc>
          <w:tcPr>
            <w:tcW w:w="759"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8</w:t>
            </w:r>
          </w:p>
        </w:tc>
        <w:tc>
          <w:tcPr>
            <w:tcW w:w="440"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6</w:t>
            </w:r>
            <w:r w:rsidR="00917FE9" w:rsidRPr="00A66C48">
              <w:rPr>
                <w:rFonts w:ascii="Times New Roman" w:hAnsi="Times New Roman"/>
                <w:sz w:val="20"/>
                <w:szCs w:val="20"/>
              </w:rPr>
              <w:t>6.5</w:t>
            </w:r>
          </w:p>
        </w:tc>
        <w:tc>
          <w:tcPr>
            <w:tcW w:w="538"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5</w:t>
            </w:r>
            <w:r w:rsidR="006E6471" w:rsidRPr="00A66C48">
              <w:rPr>
                <w:rFonts w:ascii="Times New Roman" w:hAnsi="Times New Roman"/>
                <w:sz w:val="20"/>
                <w:szCs w:val="20"/>
              </w:rPr>
              <w:t>32</w:t>
            </w:r>
          </w:p>
        </w:tc>
        <w:tc>
          <w:tcPr>
            <w:tcW w:w="440" w:type="pct"/>
            <w:tcBorders>
              <w:top w:val="nil"/>
              <w:left w:val="nil"/>
              <w:bottom w:val="single" w:sz="4" w:space="0" w:color="auto"/>
              <w:right w:val="single" w:sz="4" w:space="0" w:color="auto"/>
            </w:tcBorders>
            <w:shd w:val="clear" w:color="auto" w:fill="auto"/>
            <w:hideMark/>
          </w:tcPr>
          <w:p w:rsidR="008060E1" w:rsidRPr="00A66C48" w:rsidRDefault="00DE5A0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0.9</w:t>
            </w:r>
          </w:p>
        </w:tc>
        <w:tc>
          <w:tcPr>
            <w:tcW w:w="566" w:type="pct"/>
            <w:tcBorders>
              <w:top w:val="nil"/>
              <w:left w:val="nil"/>
              <w:bottom w:val="single" w:sz="4" w:space="0" w:color="auto"/>
              <w:right w:val="single" w:sz="4" w:space="0" w:color="auto"/>
            </w:tcBorders>
            <w:shd w:val="clear" w:color="auto" w:fill="auto"/>
            <w:hideMark/>
          </w:tcPr>
          <w:p w:rsidR="008060E1" w:rsidRPr="00A66C48" w:rsidRDefault="00DE5A0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7</w:t>
            </w:r>
          </w:p>
        </w:tc>
        <w:tc>
          <w:tcPr>
            <w:tcW w:w="650"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5</w:t>
            </w:r>
            <w:r w:rsidR="00DE5A01" w:rsidRPr="00A66C48">
              <w:rPr>
                <w:rFonts w:ascii="Times New Roman" w:hAnsi="Times New Roman"/>
                <w:sz w:val="20"/>
                <w:szCs w:val="20"/>
              </w:rPr>
              <w:t>39</w:t>
            </w:r>
          </w:p>
        </w:tc>
      </w:tr>
      <w:tr w:rsidR="008060E1" w:rsidRPr="00A66C48" w:rsidTr="00DE5A01">
        <w:trPr>
          <w:trHeight w:val="300"/>
          <w:jc w:val="center"/>
        </w:trPr>
        <w:tc>
          <w:tcPr>
            <w:tcW w:w="1608" w:type="pct"/>
            <w:tcBorders>
              <w:top w:val="nil"/>
              <w:left w:val="single" w:sz="4" w:space="0" w:color="auto"/>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rPr>
                <w:rFonts w:ascii="Times New Roman" w:hAnsi="Times New Roman"/>
                <w:sz w:val="20"/>
                <w:szCs w:val="20"/>
              </w:rPr>
            </w:pPr>
            <w:r w:rsidRPr="00A66C48">
              <w:rPr>
                <w:rFonts w:ascii="Times New Roman" w:hAnsi="Times New Roman"/>
                <w:sz w:val="20"/>
                <w:szCs w:val="20"/>
              </w:rPr>
              <w:t>TOTAL</w:t>
            </w:r>
          </w:p>
        </w:tc>
        <w:tc>
          <w:tcPr>
            <w:tcW w:w="759"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685</w:t>
            </w:r>
          </w:p>
        </w:tc>
        <w:tc>
          <w:tcPr>
            <w:tcW w:w="440"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n/a</w:t>
            </w:r>
          </w:p>
        </w:tc>
        <w:tc>
          <w:tcPr>
            <w:tcW w:w="538"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19,1</w:t>
            </w:r>
            <w:r w:rsidR="006E6471" w:rsidRPr="00A66C48">
              <w:rPr>
                <w:rFonts w:ascii="Times New Roman" w:hAnsi="Times New Roman"/>
                <w:sz w:val="20"/>
                <w:szCs w:val="20"/>
              </w:rPr>
              <w:t>40</w:t>
            </w:r>
          </w:p>
        </w:tc>
        <w:tc>
          <w:tcPr>
            <w:tcW w:w="440"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n/a</w:t>
            </w:r>
          </w:p>
        </w:tc>
        <w:tc>
          <w:tcPr>
            <w:tcW w:w="566"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67</w:t>
            </w:r>
            <w:r w:rsidR="00F56D19" w:rsidRPr="00A66C48">
              <w:rPr>
                <w:rFonts w:ascii="Times New Roman" w:hAnsi="Times New Roman"/>
                <w:sz w:val="20"/>
                <w:szCs w:val="20"/>
              </w:rPr>
              <w:t>2</w:t>
            </w:r>
          </w:p>
        </w:tc>
        <w:tc>
          <w:tcPr>
            <w:tcW w:w="650" w:type="pct"/>
            <w:tcBorders>
              <w:top w:val="nil"/>
              <w:left w:val="nil"/>
              <w:bottom w:val="single" w:sz="4" w:space="0" w:color="auto"/>
              <w:right w:val="single" w:sz="4" w:space="0" w:color="auto"/>
            </w:tcBorders>
            <w:shd w:val="clear" w:color="auto" w:fill="auto"/>
            <w:hideMark/>
          </w:tcPr>
          <w:p w:rsidR="008060E1" w:rsidRPr="00A66C48" w:rsidRDefault="008060E1" w:rsidP="008060E1">
            <w:pPr>
              <w:widowControl/>
              <w:autoSpaceDE/>
              <w:autoSpaceDN/>
              <w:adjustRightInd/>
              <w:jc w:val="center"/>
              <w:rPr>
                <w:rFonts w:ascii="Times New Roman" w:hAnsi="Times New Roman"/>
                <w:sz w:val="20"/>
                <w:szCs w:val="20"/>
              </w:rPr>
            </w:pPr>
            <w:r w:rsidRPr="00A66C48">
              <w:rPr>
                <w:rFonts w:ascii="Times New Roman" w:hAnsi="Times New Roman"/>
                <w:sz w:val="20"/>
                <w:szCs w:val="20"/>
              </w:rPr>
              <w:t>19,</w:t>
            </w:r>
            <w:r w:rsidR="00DE5A01" w:rsidRPr="00A66C48">
              <w:rPr>
                <w:rFonts w:ascii="Times New Roman" w:hAnsi="Times New Roman"/>
                <w:sz w:val="20"/>
                <w:szCs w:val="20"/>
              </w:rPr>
              <w:t>812</w:t>
            </w:r>
          </w:p>
        </w:tc>
      </w:tr>
    </w:tbl>
    <w:p w:rsidR="002F14F8" w:rsidRPr="00A66C48" w:rsidRDefault="002F14F8" w:rsidP="002F14F8">
      <w:pPr>
        <w:numPr>
          <w:ilvl w:val="12"/>
          <w:numId w:val="0"/>
        </w:numPr>
        <w:rPr>
          <w:rFonts w:ascii="Times New Roman" w:hAnsi="Times New Roman"/>
        </w:rPr>
      </w:pPr>
      <w:r w:rsidRPr="00A66C48">
        <w:rPr>
          <w:rFonts w:ascii="Times New Roman" w:hAnsi="Times New Roman"/>
        </w:rPr>
        <w:tab/>
      </w:r>
    </w:p>
    <w:p w:rsidR="003E18C7" w:rsidRPr="00A66C48" w:rsidRDefault="003E18C7" w:rsidP="002F14F8">
      <w:pPr>
        <w:numPr>
          <w:ilvl w:val="12"/>
          <w:numId w:val="0"/>
        </w:numPr>
        <w:rPr>
          <w:rFonts w:ascii="Times New Roman" w:hAnsi="Times New Roman"/>
        </w:rPr>
      </w:pPr>
    </w:p>
    <w:p w:rsidR="005D21C2" w:rsidRPr="00A66C48" w:rsidRDefault="00A967E5" w:rsidP="002F14F8">
      <w:pPr>
        <w:numPr>
          <w:ilvl w:val="12"/>
          <w:numId w:val="0"/>
        </w:numPr>
        <w:rPr>
          <w:rFonts w:ascii="Times New Roman" w:hAnsi="Times New Roman"/>
        </w:rPr>
      </w:pPr>
      <w:r w:rsidRPr="00A66C48">
        <w:rPr>
          <w:rFonts w:ascii="Times" w:hAnsi="Times"/>
          <w:caps/>
        </w:rPr>
        <w:t xml:space="preserve">ANNUAL </w:t>
      </w:r>
      <w:r w:rsidR="005D21C2" w:rsidRPr="00A66C48">
        <w:rPr>
          <w:rFonts w:ascii="Times" w:hAnsi="Times"/>
          <w:caps/>
        </w:rPr>
        <w:t>Agency Burden</w:t>
      </w:r>
      <w:r w:rsidR="005D21C2" w:rsidRPr="00A66C48">
        <w:rPr>
          <w:rFonts w:ascii="Times New Roman" w:hAnsi="Times New Roman"/>
        </w:rPr>
        <w:t xml:space="preserve"> = </w:t>
      </w:r>
      <w:r w:rsidR="00B7276F" w:rsidRPr="00A66C48">
        <w:rPr>
          <w:rFonts w:ascii="Times New Roman" w:hAnsi="Times New Roman"/>
        </w:rPr>
        <w:t>19,140</w:t>
      </w:r>
      <w:r w:rsidR="00587C0B" w:rsidRPr="00A66C48">
        <w:rPr>
          <w:rFonts w:ascii="Times New Roman" w:hAnsi="Times New Roman"/>
        </w:rPr>
        <w:t xml:space="preserve"> </w:t>
      </w:r>
      <w:r w:rsidR="005D21C2" w:rsidRPr="00A66C48">
        <w:rPr>
          <w:rFonts w:ascii="Times New Roman" w:hAnsi="Times New Roman"/>
        </w:rPr>
        <w:t xml:space="preserve">(technical burden) + </w:t>
      </w:r>
      <w:r w:rsidR="00B7276F" w:rsidRPr="00A66C48">
        <w:rPr>
          <w:rFonts w:ascii="Times New Roman" w:hAnsi="Times New Roman"/>
        </w:rPr>
        <w:t>67</w:t>
      </w:r>
      <w:r w:rsidR="00F56D19" w:rsidRPr="00A66C48">
        <w:rPr>
          <w:rFonts w:ascii="Times New Roman" w:hAnsi="Times New Roman"/>
        </w:rPr>
        <w:t>2</w:t>
      </w:r>
      <w:r w:rsidR="00587C0B" w:rsidRPr="00A66C48">
        <w:rPr>
          <w:rFonts w:ascii="Times New Roman" w:hAnsi="Times New Roman"/>
        </w:rPr>
        <w:t xml:space="preserve"> </w:t>
      </w:r>
      <w:r w:rsidR="005D21C2" w:rsidRPr="00A66C48">
        <w:rPr>
          <w:rFonts w:ascii="Times New Roman" w:hAnsi="Times New Roman"/>
        </w:rPr>
        <w:t>(clerical burden) =</w:t>
      </w:r>
      <w:r w:rsidR="005D21C2" w:rsidRPr="00A66C48">
        <w:rPr>
          <w:rFonts w:ascii="Times New Roman" w:hAnsi="Times New Roman"/>
          <w:sz w:val="20"/>
          <w:szCs w:val="20"/>
        </w:rPr>
        <w:t xml:space="preserve"> </w:t>
      </w:r>
      <w:r w:rsidR="00B7276F" w:rsidRPr="00A66C48">
        <w:rPr>
          <w:rFonts w:ascii="Times New Roman" w:hAnsi="Times New Roman"/>
        </w:rPr>
        <w:t>19,</w:t>
      </w:r>
      <w:r w:rsidR="00F56D19" w:rsidRPr="00A66C48">
        <w:rPr>
          <w:rFonts w:ascii="Times New Roman" w:hAnsi="Times New Roman"/>
        </w:rPr>
        <w:t>812</w:t>
      </w:r>
    </w:p>
    <w:p w:rsidR="00C16B89" w:rsidRPr="00A66C48" w:rsidRDefault="00C16B89"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w:hAnsi="Times"/>
          <w:caps/>
        </w:rPr>
        <w:t>Total hrs/Agency Action</w:t>
      </w:r>
      <w:r w:rsidRPr="00A66C48">
        <w:rPr>
          <w:rFonts w:ascii="Times New Roman" w:hAnsi="Times New Roman"/>
        </w:rPr>
        <w:t xml:space="preserve"> = </w:t>
      </w:r>
      <w:r w:rsidR="00B7276F" w:rsidRPr="00A66C48">
        <w:rPr>
          <w:rFonts w:ascii="Times New Roman" w:hAnsi="Times New Roman"/>
        </w:rPr>
        <w:t>19,</w:t>
      </w:r>
      <w:r w:rsidR="00F56D19" w:rsidRPr="00A66C48">
        <w:rPr>
          <w:rFonts w:ascii="Times New Roman" w:hAnsi="Times New Roman"/>
        </w:rPr>
        <w:t>812</w:t>
      </w:r>
      <w:r w:rsidR="00B7276F" w:rsidRPr="00A66C48">
        <w:rPr>
          <w:rFonts w:ascii="Times New Roman" w:hAnsi="Times New Roman"/>
        </w:rPr>
        <w:t>/685</w:t>
      </w:r>
      <w:r w:rsidR="004E028B" w:rsidRPr="00A66C48">
        <w:rPr>
          <w:rFonts w:ascii="Times New Roman" w:hAnsi="Times New Roman"/>
        </w:rPr>
        <w:t xml:space="preserve"> </w:t>
      </w:r>
      <w:r w:rsidR="00036990" w:rsidRPr="00A66C48">
        <w:rPr>
          <w:rFonts w:ascii="Times New Roman" w:hAnsi="Times New Roman"/>
        </w:rPr>
        <w:t xml:space="preserve">= </w:t>
      </w:r>
      <w:r w:rsidR="00B7276F" w:rsidRPr="00A66C48">
        <w:rPr>
          <w:rFonts w:ascii="Times New Roman" w:hAnsi="Times New Roman"/>
        </w:rPr>
        <w:t>2</w:t>
      </w:r>
      <w:r w:rsidR="00030DC3" w:rsidRPr="00A66C48">
        <w:rPr>
          <w:rFonts w:ascii="Times New Roman" w:hAnsi="Times New Roman"/>
        </w:rPr>
        <w:t>8.9</w:t>
      </w:r>
      <w:r w:rsidRPr="00A66C48">
        <w:rPr>
          <w:rFonts w:ascii="Times New Roman" w:hAnsi="Times New Roman"/>
        </w:rPr>
        <w:t xml:space="preserve"> hrs</w:t>
      </w:r>
    </w:p>
    <w:p w:rsidR="008060E1" w:rsidRPr="00A66C48" w:rsidRDefault="002F14F8" w:rsidP="002F14F8">
      <w:pPr>
        <w:numPr>
          <w:ilvl w:val="12"/>
          <w:numId w:val="0"/>
        </w:numPr>
        <w:rPr>
          <w:rFonts w:ascii="Times New Roman" w:hAnsi="Times New Roman"/>
        </w:rPr>
      </w:pPr>
      <w:r w:rsidRPr="00A66C48">
        <w:rPr>
          <w:rFonts w:ascii="Times New Roman" w:hAnsi="Times New Roman"/>
        </w:rPr>
        <w:t xml:space="preserve"> </w:t>
      </w:r>
    </w:p>
    <w:p w:rsidR="00CD48C5" w:rsidRPr="00A66C48" w:rsidRDefault="00CD48C5" w:rsidP="002F14F8">
      <w:pPr>
        <w:numPr>
          <w:ilvl w:val="12"/>
          <w:numId w:val="0"/>
        </w:numPr>
        <w:rPr>
          <w:rFonts w:ascii="Times New Roman" w:hAnsi="Times New Roman"/>
          <w:sz w:val="20"/>
          <w:szCs w:val="20"/>
        </w:rPr>
      </w:pPr>
      <w:r w:rsidRPr="00A66C48">
        <w:rPr>
          <w:rFonts w:ascii="Times New Roman" w:hAnsi="Times New Roman"/>
          <w:bCs/>
        </w:rPr>
        <w:tab/>
        <w:t xml:space="preserve">Table </w:t>
      </w:r>
      <w:r w:rsidR="00842888" w:rsidRPr="00A66C48">
        <w:rPr>
          <w:rFonts w:ascii="Times New Roman" w:hAnsi="Times New Roman"/>
          <w:bCs/>
        </w:rPr>
        <w:t>5</w:t>
      </w:r>
      <w:r w:rsidRPr="00A66C48">
        <w:rPr>
          <w:rFonts w:ascii="Times New Roman" w:hAnsi="Times New Roman"/>
          <w:bCs/>
        </w:rPr>
        <w:t xml:space="preserve"> presents Agency burden hours and costs by collection activity averaged across all CRP response types. </w:t>
      </w:r>
      <w:r w:rsidR="008668AA" w:rsidRPr="00A66C48">
        <w:rPr>
          <w:rFonts w:ascii="Times New Roman" w:hAnsi="Times New Roman"/>
        </w:rPr>
        <w:t xml:space="preserve">The average Agency burden per CRP response is estimated at approximately </w:t>
      </w:r>
      <w:r w:rsidR="00030DC3" w:rsidRPr="00A66C48">
        <w:rPr>
          <w:rFonts w:ascii="Times New Roman" w:hAnsi="Times New Roman"/>
        </w:rPr>
        <w:t>2</w:t>
      </w:r>
      <w:r w:rsidR="00E65DDC" w:rsidRPr="00A66C48">
        <w:rPr>
          <w:rFonts w:ascii="Times New Roman" w:hAnsi="Times New Roman"/>
        </w:rPr>
        <w:t>8.9</w:t>
      </w:r>
      <w:r w:rsidR="008668AA" w:rsidRPr="00A66C48">
        <w:rPr>
          <w:rFonts w:ascii="Times New Roman" w:hAnsi="Times New Roman"/>
        </w:rPr>
        <w:t xml:space="preserve"> hours at a cost of $2</w:t>
      </w:r>
      <w:r w:rsidR="00030DC3" w:rsidRPr="00A66C48">
        <w:rPr>
          <w:rFonts w:ascii="Times New Roman" w:hAnsi="Times New Roman"/>
        </w:rPr>
        <w:t>,2</w:t>
      </w:r>
      <w:r w:rsidR="00F56D19" w:rsidRPr="00A66C48">
        <w:rPr>
          <w:rFonts w:ascii="Times New Roman" w:hAnsi="Times New Roman"/>
        </w:rPr>
        <w:t>30</w:t>
      </w:r>
      <w:r w:rsidR="00030DC3" w:rsidRPr="00A66C48">
        <w:rPr>
          <w:rFonts w:ascii="Times New Roman" w:hAnsi="Times New Roman"/>
        </w:rPr>
        <w:t>.</w:t>
      </w:r>
      <w:r w:rsidR="00F56D19" w:rsidRPr="00A66C48">
        <w:rPr>
          <w:rFonts w:ascii="Times New Roman" w:hAnsi="Times New Roman"/>
        </w:rPr>
        <w:t>87</w:t>
      </w:r>
      <w:r w:rsidR="008668AA" w:rsidRPr="00A66C48">
        <w:rPr>
          <w:rFonts w:ascii="Times New Roman" w:hAnsi="Times New Roman"/>
        </w:rPr>
        <w:t xml:space="preserve"> per response. </w:t>
      </w:r>
    </w:p>
    <w:p w:rsidR="002F14F8" w:rsidRPr="00A66C48" w:rsidRDefault="002F14F8" w:rsidP="002F14F8">
      <w:pPr>
        <w:numPr>
          <w:ilvl w:val="12"/>
          <w:numId w:val="0"/>
        </w:numPr>
        <w:rPr>
          <w:rFonts w:ascii="Times New Roman" w:hAnsi="Times New Roman"/>
        </w:rPr>
      </w:pPr>
      <w:r w:rsidRPr="00A66C48">
        <w:rPr>
          <w:rFonts w:ascii="Times New Roman" w:hAnsi="Times New Roman"/>
          <w:sz w:val="20"/>
          <w:szCs w:val="20"/>
        </w:rPr>
        <w:tab/>
      </w:r>
    </w:p>
    <w:p w:rsidR="00B7682F" w:rsidRPr="00A66C48" w:rsidRDefault="002F14F8" w:rsidP="002F14F8">
      <w:pPr>
        <w:numPr>
          <w:ilvl w:val="12"/>
          <w:numId w:val="0"/>
        </w:numPr>
        <w:rPr>
          <w:rFonts w:ascii="Times New Roman" w:hAnsi="Times New Roman"/>
        </w:rPr>
      </w:pPr>
      <w:r w:rsidRPr="00A66C48">
        <w:rPr>
          <w:rFonts w:ascii="Times New Roman" w:hAnsi="Times New Roman"/>
          <w:b/>
          <w:bCs/>
        </w:rPr>
        <w:t xml:space="preserve">Table </w:t>
      </w:r>
      <w:r w:rsidR="00842888" w:rsidRPr="00A66C48">
        <w:rPr>
          <w:rFonts w:ascii="Times New Roman" w:hAnsi="Times New Roman"/>
          <w:b/>
          <w:bCs/>
        </w:rPr>
        <w:t>5</w:t>
      </w:r>
      <w:r w:rsidRPr="00A66C48">
        <w:rPr>
          <w:rFonts w:ascii="Times New Roman" w:hAnsi="Times New Roman"/>
          <w:b/>
          <w:bCs/>
        </w:rPr>
        <w:t>.</w:t>
      </w:r>
      <w:r w:rsidR="00A92357">
        <w:rPr>
          <w:rFonts w:ascii="Times New Roman" w:hAnsi="Times New Roman"/>
        </w:rPr>
        <w:t xml:space="preserve"> </w:t>
      </w:r>
      <w:r w:rsidR="00E65DDC" w:rsidRPr="00A66C48">
        <w:rPr>
          <w:rFonts w:ascii="Times New Roman" w:hAnsi="Times New Roman"/>
        </w:rPr>
        <w:t xml:space="preserve">AVERAGE </w:t>
      </w:r>
      <w:r w:rsidRPr="00A66C48">
        <w:rPr>
          <w:rFonts w:ascii="Times New Roman" w:hAnsi="Times New Roman"/>
        </w:rPr>
        <w:t>AGENCY BURDEN/COST ESTIMATES</w:t>
      </w:r>
      <w:r w:rsidR="00A967E5" w:rsidRPr="00A66C48">
        <w:rPr>
          <w:rFonts w:ascii="Times New Roman" w:hAnsi="Times New Roman"/>
        </w:rPr>
        <w:t xml:space="preserve"> PER RESPONSE</w:t>
      </w:r>
    </w:p>
    <w:tbl>
      <w:tblPr>
        <w:tblW w:w="5000" w:type="pct"/>
        <w:tblLook w:val="04A0"/>
      </w:tblPr>
      <w:tblGrid>
        <w:gridCol w:w="3396"/>
        <w:gridCol w:w="1371"/>
        <w:gridCol w:w="1159"/>
        <w:gridCol w:w="1400"/>
        <w:gridCol w:w="1032"/>
        <w:gridCol w:w="1218"/>
      </w:tblGrid>
      <w:tr w:rsidR="00B7682F" w:rsidRPr="00A66C48" w:rsidTr="00B7682F">
        <w:trPr>
          <w:trHeight w:val="300"/>
        </w:trPr>
        <w:tc>
          <w:tcPr>
            <w:tcW w:w="1773" w:type="pct"/>
            <w:tcBorders>
              <w:top w:val="single" w:sz="4" w:space="0" w:color="auto"/>
              <w:left w:val="single" w:sz="4" w:space="0" w:color="auto"/>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rPr>
                <w:rFonts w:ascii="Times New Roman" w:hAnsi="Times New Roman"/>
                <w:sz w:val="20"/>
                <w:szCs w:val="20"/>
              </w:rPr>
            </w:pPr>
            <w:bookmarkStart w:id="13" w:name="RANGE!A11"/>
            <w:r w:rsidRPr="00A66C48">
              <w:rPr>
                <w:rFonts w:ascii="Times New Roman" w:hAnsi="Times New Roman"/>
                <w:sz w:val="20"/>
                <w:szCs w:val="20"/>
              </w:rPr>
              <w:t> </w:t>
            </w:r>
            <w:bookmarkEnd w:id="13"/>
          </w:p>
        </w:tc>
        <w:tc>
          <w:tcPr>
            <w:tcW w:w="2051" w:type="pct"/>
            <w:gridSpan w:val="3"/>
            <w:tcBorders>
              <w:top w:val="single" w:sz="4" w:space="0" w:color="auto"/>
              <w:left w:val="nil"/>
              <w:bottom w:val="single" w:sz="4" w:space="0" w:color="auto"/>
              <w:right w:val="single" w:sz="4" w:space="0" w:color="000000"/>
            </w:tcBorders>
            <w:shd w:val="clear" w:color="auto" w:fill="auto"/>
            <w:hideMark/>
          </w:tcPr>
          <w:p w:rsidR="00B7682F" w:rsidRPr="00A66C48" w:rsidRDefault="00B7682F" w:rsidP="00A967E5">
            <w:pPr>
              <w:widowControl/>
              <w:autoSpaceDE/>
              <w:autoSpaceDN/>
              <w:adjustRightInd/>
              <w:rPr>
                <w:rFonts w:ascii="Times New Roman" w:hAnsi="Times New Roman"/>
                <w:b/>
                <w:bCs/>
                <w:sz w:val="20"/>
                <w:szCs w:val="20"/>
              </w:rPr>
            </w:pPr>
            <w:r w:rsidRPr="00A66C48">
              <w:rPr>
                <w:rFonts w:ascii="Times New Roman" w:hAnsi="Times New Roman"/>
                <w:b/>
                <w:bCs/>
                <w:sz w:val="20"/>
                <w:szCs w:val="20"/>
              </w:rPr>
              <w:t xml:space="preserve">BURDEN HOURS </w:t>
            </w:r>
          </w:p>
        </w:tc>
        <w:tc>
          <w:tcPr>
            <w:tcW w:w="1176" w:type="pct"/>
            <w:gridSpan w:val="2"/>
            <w:tcBorders>
              <w:top w:val="single" w:sz="4" w:space="0" w:color="auto"/>
              <w:left w:val="nil"/>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TOTAL</w:t>
            </w:r>
          </w:p>
        </w:tc>
      </w:tr>
      <w:tr w:rsidR="00B7682F" w:rsidRPr="00A66C48" w:rsidTr="00B7682F">
        <w:trPr>
          <w:trHeight w:val="300"/>
        </w:trPr>
        <w:tc>
          <w:tcPr>
            <w:tcW w:w="1773" w:type="pct"/>
            <w:vMerge w:val="restart"/>
            <w:tcBorders>
              <w:top w:val="nil"/>
              <w:left w:val="single" w:sz="4" w:space="0" w:color="auto"/>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COLLECTION ACTIVITIES</w:t>
            </w:r>
          </w:p>
        </w:tc>
        <w:tc>
          <w:tcPr>
            <w:tcW w:w="716" w:type="pct"/>
            <w:vMerge w:val="restart"/>
            <w:tcBorders>
              <w:top w:val="nil"/>
              <w:left w:val="single" w:sz="4" w:space="0" w:color="auto"/>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Mgmt. $/hr</w:t>
            </w:r>
          </w:p>
        </w:tc>
        <w:tc>
          <w:tcPr>
            <w:tcW w:w="605" w:type="pct"/>
            <w:vMerge w:val="restart"/>
            <w:tcBorders>
              <w:top w:val="nil"/>
              <w:left w:val="single" w:sz="4" w:space="0" w:color="auto"/>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Tech. $/hr</w:t>
            </w:r>
          </w:p>
        </w:tc>
        <w:tc>
          <w:tcPr>
            <w:tcW w:w="731" w:type="pct"/>
            <w:vMerge w:val="restart"/>
            <w:tcBorders>
              <w:top w:val="nil"/>
              <w:left w:val="single" w:sz="4" w:space="0" w:color="auto"/>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Clerical $/hr</w:t>
            </w:r>
          </w:p>
        </w:tc>
        <w:tc>
          <w:tcPr>
            <w:tcW w:w="539" w:type="pct"/>
            <w:vMerge w:val="restart"/>
            <w:tcBorders>
              <w:top w:val="nil"/>
              <w:left w:val="single" w:sz="4" w:space="0" w:color="auto"/>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Burden Hours</w:t>
            </w:r>
          </w:p>
        </w:tc>
        <w:tc>
          <w:tcPr>
            <w:tcW w:w="637" w:type="pct"/>
            <w:vMerge w:val="restart"/>
            <w:tcBorders>
              <w:top w:val="nil"/>
              <w:left w:val="single" w:sz="4" w:space="0" w:color="auto"/>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Costs</w:t>
            </w:r>
          </w:p>
        </w:tc>
      </w:tr>
      <w:tr w:rsidR="00B7682F" w:rsidRPr="00A66C48" w:rsidTr="00B7682F">
        <w:trPr>
          <w:trHeight w:val="300"/>
        </w:trPr>
        <w:tc>
          <w:tcPr>
            <w:tcW w:w="1773" w:type="pct"/>
            <w:vMerge/>
            <w:tcBorders>
              <w:top w:val="nil"/>
              <w:left w:val="single" w:sz="4" w:space="0" w:color="auto"/>
              <w:bottom w:val="single" w:sz="4" w:space="0" w:color="auto"/>
              <w:right w:val="single" w:sz="4" w:space="0" w:color="auto"/>
            </w:tcBorders>
            <w:vAlign w:val="center"/>
            <w:hideMark/>
          </w:tcPr>
          <w:p w:rsidR="00B7682F" w:rsidRPr="00A66C48" w:rsidRDefault="00B7682F" w:rsidP="00B7682F">
            <w:pPr>
              <w:widowControl/>
              <w:autoSpaceDE/>
              <w:autoSpaceDN/>
              <w:adjustRightInd/>
              <w:rPr>
                <w:rFonts w:ascii="Times New Roman" w:hAnsi="Times New Roman"/>
                <w:sz w:val="20"/>
                <w:szCs w:val="20"/>
              </w:rPr>
            </w:pPr>
          </w:p>
        </w:tc>
        <w:tc>
          <w:tcPr>
            <w:tcW w:w="716" w:type="pct"/>
            <w:vMerge/>
            <w:tcBorders>
              <w:top w:val="nil"/>
              <w:left w:val="single" w:sz="4" w:space="0" w:color="auto"/>
              <w:bottom w:val="single" w:sz="4" w:space="0" w:color="auto"/>
              <w:right w:val="single" w:sz="4" w:space="0" w:color="auto"/>
            </w:tcBorders>
            <w:vAlign w:val="center"/>
            <w:hideMark/>
          </w:tcPr>
          <w:p w:rsidR="00B7682F" w:rsidRPr="00A66C48" w:rsidRDefault="00B7682F" w:rsidP="00B7682F">
            <w:pPr>
              <w:widowControl/>
              <w:autoSpaceDE/>
              <w:autoSpaceDN/>
              <w:adjustRightInd/>
              <w:rPr>
                <w:rFonts w:ascii="Times New Roman" w:hAnsi="Times New Roman"/>
                <w:b/>
                <w:bCs/>
                <w:sz w:val="20"/>
                <w:szCs w:val="20"/>
              </w:rPr>
            </w:pPr>
          </w:p>
        </w:tc>
        <w:tc>
          <w:tcPr>
            <w:tcW w:w="605" w:type="pct"/>
            <w:vMerge/>
            <w:tcBorders>
              <w:top w:val="nil"/>
              <w:left w:val="single" w:sz="4" w:space="0" w:color="auto"/>
              <w:bottom w:val="single" w:sz="4" w:space="0" w:color="auto"/>
              <w:right w:val="single" w:sz="4" w:space="0" w:color="auto"/>
            </w:tcBorders>
            <w:vAlign w:val="center"/>
            <w:hideMark/>
          </w:tcPr>
          <w:p w:rsidR="00B7682F" w:rsidRPr="00A66C48" w:rsidRDefault="00B7682F" w:rsidP="00B7682F">
            <w:pPr>
              <w:widowControl/>
              <w:autoSpaceDE/>
              <w:autoSpaceDN/>
              <w:adjustRightInd/>
              <w:rPr>
                <w:rFonts w:ascii="Times New Roman" w:hAnsi="Times New Roman"/>
                <w:b/>
                <w:bCs/>
                <w:sz w:val="20"/>
                <w:szCs w:val="20"/>
              </w:rPr>
            </w:pPr>
          </w:p>
        </w:tc>
        <w:tc>
          <w:tcPr>
            <w:tcW w:w="731" w:type="pct"/>
            <w:vMerge/>
            <w:tcBorders>
              <w:top w:val="nil"/>
              <w:left w:val="single" w:sz="4" w:space="0" w:color="auto"/>
              <w:bottom w:val="single" w:sz="4" w:space="0" w:color="auto"/>
              <w:right w:val="single" w:sz="4" w:space="0" w:color="auto"/>
            </w:tcBorders>
            <w:vAlign w:val="center"/>
            <w:hideMark/>
          </w:tcPr>
          <w:p w:rsidR="00B7682F" w:rsidRPr="00A66C48" w:rsidRDefault="00B7682F" w:rsidP="00B7682F">
            <w:pPr>
              <w:widowControl/>
              <w:autoSpaceDE/>
              <w:autoSpaceDN/>
              <w:adjustRightInd/>
              <w:rPr>
                <w:rFonts w:ascii="Times New Roman" w:hAnsi="Times New Roman"/>
                <w:b/>
                <w:bCs/>
                <w:sz w:val="20"/>
                <w:szCs w:val="20"/>
              </w:rPr>
            </w:pPr>
          </w:p>
        </w:tc>
        <w:tc>
          <w:tcPr>
            <w:tcW w:w="539" w:type="pct"/>
            <w:vMerge/>
            <w:tcBorders>
              <w:top w:val="nil"/>
              <w:left w:val="single" w:sz="4" w:space="0" w:color="auto"/>
              <w:bottom w:val="single" w:sz="4" w:space="0" w:color="auto"/>
              <w:right w:val="single" w:sz="4" w:space="0" w:color="auto"/>
            </w:tcBorders>
            <w:vAlign w:val="center"/>
            <w:hideMark/>
          </w:tcPr>
          <w:p w:rsidR="00B7682F" w:rsidRPr="00A66C48" w:rsidRDefault="00B7682F" w:rsidP="00B7682F">
            <w:pPr>
              <w:widowControl/>
              <w:autoSpaceDE/>
              <w:autoSpaceDN/>
              <w:adjustRightInd/>
              <w:rPr>
                <w:rFonts w:ascii="Times New Roman" w:hAnsi="Times New Roman"/>
                <w:b/>
                <w:bCs/>
                <w:sz w:val="20"/>
                <w:szCs w:val="20"/>
              </w:rPr>
            </w:pPr>
          </w:p>
        </w:tc>
        <w:tc>
          <w:tcPr>
            <w:tcW w:w="637" w:type="pct"/>
            <w:vMerge/>
            <w:tcBorders>
              <w:top w:val="nil"/>
              <w:left w:val="single" w:sz="4" w:space="0" w:color="auto"/>
              <w:bottom w:val="single" w:sz="4" w:space="0" w:color="auto"/>
              <w:right w:val="single" w:sz="4" w:space="0" w:color="auto"/>
            </w:tcBorders>
            <w:vAlign w:val="center"/>
            <w:hideMark/>
          </w:tcPr>
          <w:p w:rsidR="00B7682F" w:rsidRPr="00A66C48" w:rsidRDefault="00B7682F" w:rsidP="00B7682F">
            <w:pPr>
              <w:widowControl/>
              <w:autoSpaceDE/>
              <w:autoSpaceDN/>
              <w:adjustRightInd/>
              <w:rPr>
                <w:rFonts w:ascii="Times New Roman" w:hAnsi="Times New Roman"/>
                <w:b/>
                <w:bCs/>
                <w:sz w:val="20"/>
                <w:szCs w:val="20"/>
              </w:rPr>
            </w:pPr>
          </w:p>
        </w:tc>
      </w:tr>
      <w:tr w:rsidR="00B7682F" w:rsidRPr="00A66C48" w:rsidTr="00B7682F">
        <w:trPr>
          <w:trHeight w:val="300"/>
        </w:trPr>
        <w:tc>
          <w:tcPr>
            <w:tcW w:w="1773" w:type="pct"/>
            <w:tcBorders>
              <w:top w:val="nil"/>
              <w:left w:val="single" w:sz="4" w:space="0" w:color="auto"/>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 </w:t>
            </w:r>
          </w:p>
        </w:tc>
        <w:tc>
          <w:tcPr>
            <w:tcW w:w="716" w:type="pct"/>
            <w:tcBorders>
              <w:top w:val="nil"/>
              <w:left w:val="nil"/>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 xml:space="preserve"> $       120.60 </w:t>
            </w:r>
          </w:p>
        </w:tc>
        <w:tc>
          <w:tcPr>
            <w:tcW w:w="605" w:type="pct"/>
            <w:tcBorders>
              <w:top w:val="nil"/>
              <w:left w:val="nil"/>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 xml:space="preserve"> $     78.24 </w:t>
            </w:r>
          </w:p>
        </w:tc>
        <w:tc>
          <w:tcPr>
            <w:tcW w:w="731" w:type="pct"/>
            <w:tcBorders>
              <w:top w:val="nil"/>
              <w:left w:val="nil"/>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 xml:space="preserve"> $          44.61 </w:t>
            </w:r>
          </w:p>
        </w:tc>
        <w:tc>
          <w:tcPr>
            <w:tcW w:w="539" w:type="pct"/>
            <w:tcBorders>
              <w:top w:val="nil"/>
              <w:left w:val="nil"/>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 </w:t>
            </w:r>
          </w:p>
        </w:tc>
        <w:tc>
          <w:tcPr>
            <w:tcW w:w="637" w:type="pct"/>
            <w:tcBorders>
              <w:top w:val="nil"/>
              <w:left w:val="nil"/>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jc w:val="center"/>
              <w:rPr>
                <w:rFonts w:ascii="Times New Roman" w:hAnsi="Times New Roman"/>
                <w:b/>
                <w:bCs/>
                <w:sz w:val="20"/>
                <w:szCs w:val="20"/>
              </w:rPr>
            </w:pPr>
            <w:r w:rsidRPr="00A66C48">
              <w:rPr>
                <w:rFonts w:ascii="Times New Roman" w:hAnsi="Times New Roman"/>
                <w:b/>
                <w:bCs/>
                <w:sz w:val="20"/>
                <w:szCs w:val="20"/>
              </w:rPr>
              <w:t> </w:t>
            </w:r>
          </w:p>
        </w:tc>
      </w:tr>
      <w:tr w:rsidR="00B7682F" w:rsidRPr="00A66C48" w:rsidTr="00B7682F">
        <w:trPr>
          <w:trHeight w:val="300"/>
        </w:trPr>
        <w:tc>
          <w:tcPr>
            <w:tcW w:w="1773" w:type="pct"/>
            <w:tcBorders>
              <w:top w:val="nil"/>
              <w:left w:val="single" w:sz="4" w:space="0" w:color="auto"/>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rPr>
                <w:rFonts w:ascii="Times New Roman" w:hAnsi="Times New Roman"/>
                <w:sz w:val="20"/>
                <w:szCs w:val="20"/>
              </w:rPr>
            </w:pPr>
            <w:bookmarkStart w:id="14" w:name="RANGE!A15"/>
            <w:r w:rsidRPr="00A66C48">
              <w:rPr>
                <w:rFonts w:ascii="Times New Roman" w:hAnsi="Times New Roman"/>
                <w:sz w:val="20"/>
                <w:szCs w:val="20"/>
              </w:rPr>
              <w:t>Read correspondence</w:t>
            </w:r>
            <w:bookmarkEnd w:id="14"/>
          </w:p>
        </w:tc>
        <w:tc>
          <w:tcPr>
            <w:tcW w:w="716" w:type="pct"/>
            <w:tcBorders>
              <w:top w:val="nil"/>
              <w:left w:val="nil"/>
              <w:bottom w:val="single" w:sz="4" w:space="0" w:color="auto"/>
              <w:right w:val="single" w:sz="4" w:space="0" w:color="auto"/>
            </w:tcBorders>
            <w:shd w:val="clear" w:color="auto" w:fill="auto"/>
            <w:vAlign w:val="bottom"/>
            <w:hideMark/>
          </w:tcPr>
          <w:p w:rsidR="00B7682F" w:rsidRPr="00A66C48" w:rsidRDefault="00B7682F"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0</w:t>
            </w:r>
          </w:p>
        </w:tc>
        <w:tc>
          <w:tcPr>
            <w:tcW w:w="605" w:type="pct"/>
            <w:tcBorders>
              <w:top w:val="nil"/>
              <w:left w:val="nil"/>
              <w:bottom w:val="single" w:sz="4" w:space="0" w:color="auto"/>
              <w:right w:val="single" w:sz="4" w:space="0" w:color="auto"/>
            </w:tcBorders>
            <w:shd w:val="clear" w:color="auto" w:fill="auto"/>
            <w:vAlign w:val="bottom"/>
            <w:hideMark/>
          </w:tcPr>
          <w:p w:rsidR="00B7682F" w:rsidRPr="00A66C48" w:rsidRDefault="00DE5A01"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1.6</w:t>
            </w:r>
          </w:p>
        </w:tc>
        <w:tc>
          <w:tcPr>
            <w:tcW w:w="731" w:type="pct"/>
            <w:tcBorders>
              <w:top w:val="nil"/>
              <w:left w:val="nil"/>
              <w:bottom w:val="single" w:sz="4" w:space="0" w:color="auto"/>
              <w:right w:val="single" w:sz="4" w:space="0" w:color="auto"/>
            </w:tcBorders>
            <w:shd w:val="clear" w:color="auto" w:fill="auto"/>
            <w:vAlign w:val="bottom"/>
            <w:hideMark/>
          </w:tcPr>
          <w:p w:rsidR="00B7682F" w:rsidRPr="00A66C48" w:rsidRDefault="00B7682F"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0</w:t>
            </w:r>
          </w:p>
        </w:tc>
        <w:tc>
          <w:tcPr>
            <w:tcW w:w="539" w:type="pct"/>
            <w:tcBorders>
              <w:top w:val="nil"/>
              <w:left w:val="nil"/>
              <w:bottom w:val="single" w:sz="4" w:space="0" w:color="auto"/>
              <w:right w:val="single" w:sz="4" w:space="0" w:color="auto"/>
            </w:tcBorders>
            <w:shd w:val="clear" w:color="auto" w:fill="auto"/>
            <w:vAlign w:val="bottom"/>
            <w:hideMark/>
          </w:tcPr>
          <w:p w:rsidR="00B7682F" w:rsidRPr="00A66C48" w:rsidRDefault="00DE5A01"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1.6</w:t>
            </w:r>
          </w:p>
        </w:tc>
        <w:tc>
          <w:tcPr>
            <w:tcW w:w="637" w:type="pct"/>
            <w:tcBorders>
              <w:top w:val="nil"/>
              <w:left w:val="nil"/>
              <w:bottom w:val="single" w:sz="4" w:space="0" w:color="auto"/>
              <w:right w:val="single" w:sz="4" w:space="0" w:color="auto"/>
            </w:tcBorders>
            <w:shd w:val="clear" w:color="auto" w:fill="auto"/>
            <w:vAlign w:val="bottom"/>
            <w:hideMark/>
          </w:tcPr>
          <w:p w:rsidR="00B7682F" w:rsidRPr="00A66C48" w:rsidRDefault="00DE5A01"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$126.08</w:t>
            </w:r>
          </w:p>
        </w:tc>
      </w:tr>
      <w:tr w:rsidR="00B7682F" w:rsidRPr="00A66C48" w:rsidTr="00B7682F">
        <w:trPr>
          <w:trHeight w:val="765"/>
        </w:trPr>
        <w:tc>
          <w:tcPr>
            <w:tcW w:w="1773" w:type="pct"/>
            <w:tcBorders>
              <w:top w:val="nil"/>
              <w:left w:val="single" w:sz="4" w:space="0" w:color="auto"/>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rPr>
                <w:rFonts w:ascii="Times New Roman" w:hAnsi="Times New Roman"/>
                <w:sz w:val="20"/>
                <w:szCs w:val="20"/>
              </w:rPr>
            </w:pPr>
            <w:r w:rsidRPr="00A66C48">
              <w:rPr>
                <w:rFonts w:ascii="Times New Roman" w:hAnsi="Times New Roman"/>
                <w:sz w:val="20"/>
                <w:szCs w:val="20"/>
              </w:rPr>
              <w:t>Execute activities including data review and certifications for large size non-liquid pool chemicals</w:t>
            </w:r>
          </w:p>
        </w:tc>
        <w:tc>
          <w:tcPr>
            <w:tcW w:w="716" w:type="pct"/>
            <w:tcBorders>
              <w:top w:val="nil"/>
              <w:left w:val="nil"/>
              <w:bottom w:val="single" w:sz="4" w:space="0" w:color="auto"/>
              <w:right w:val="single" w:sz="4" w:space="0" w:color="auto"/>
            </w:tcBorders>
            <w:shd w:val="clear" w:color="auto" w:fill="auto"/>
            <w:vAlign w:val="bottom"/>
            <w:hideMark/>
          </w:tcPr>
          <w:p w:rsidR="00B7682F" w:rsidRPr="00A66C48" w:rsidRDefault="00B7682F"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0</w:t>
            </w:r>
          </w:p>
        </w:tc>
        <w:tc>
          <w:tcPr>
            <w:tcW w:w="605" w:type="pct"/>
            <w:tcBorders>
              <w:top w:val="nil"/>
              <w:left w:val="nil"/>
              <w:bottom w:val="single" w:sz="4" w:space="0" w:color="auto"/>
              <w:right w:val="single" w:sz="4" w:space="0" w:color="auto"/>
            </w:tcBorders>
            <w:shd w:val="clear" w:color="auto" w:fill="auto"/>
            <w:vAlign w:val="bottom"/>
            <w:hideMark/>
          </w:tcPr>
          <w:p w:rsidR="00B7682F" w:rsidRPr="00A66C48" w:rsidRDefault="009171B7"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2</w:t>
            </w:r>
            <w:r w:rsidR="00DE5A01" w:rsidRPr="00A66C48">
              <w:rPr>
                <w:rFonts w:ascii="Times New Roman" w:hAnsi="Times New Roman"/>
                <w:sz w:val="20"/>
                <w:szCs w:val="20"/>
              </w:rPr>
              <w:t>6.4</w:t>
            </w:r>
          </w:p>
        </w:tc>
        <w:tc>
          <w:tcPr>
            <w:tcW w:w="731" w:type="pct"/>
            <w:tcBorders>
              <w:top w:val="nil"/>
              <w:left w:val="nil"/>
              <w:bottom w:val="single" w:sz="4" w:space="0" w:color="auto"/>
              <w:right w:val="single" w:sz="4" w:space="0" w:color="auto"/>
            </w:tcBorders>
            <w:shd w:val="clear" w:color="auto" w:fill="auto"/>
            <w:vAlign w:val="bottom"/>
            <w:hideMark/>
          </w:tcPr>
          <w:p w:rsidR="00B7682F" w:rsidRPr="00A66C48" w:rsidRDefault="00B7682F"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0</w:t>
            </w:r>
          </w:p>
        </w:tc>
        <w:tc>
          <w:tcPr>
            <w:tcW w:w="539" w:type="pct"/>
            <w:tcBorders>
              <w:top w:val="nil"/>
              <w:left w:val="nil"/>
              <w:bottom w:val="single" w:sz="4" w:space="0" w:color="auto"/>
              <w:right w:val="single" w:sz="4" w:space="0" w:color="auto"/>
            </w:tcBorders>
            <w:shd w:val="clear" w:color="auto" w:fill="auto"/>
            <w:vAlign w:val="bottom"/>
            <w:hideMark/>
          </w:tcPr>
          <w:p w:rsidR="00B7682F" w:rsidRPr="00A66C48" w:rsidRDefault="009171B7"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2</w:t>
            </w:r>
            <w:r w:rsidR="00DE5A01" w:rsidRPr="00A66C48">
              <w:rPr>
                <w:rFonts w:ascii="Times New Roman" w:hAnsi="Times New Roman"/>
                <w:sz w:val="20"/>
                <w:szCs w:val="20"/>
              </w:rPr>
              <w:t>6</w:t>
            </w:r>
            <w:r w:rsidRPr="00A66C48">
              <w:rPr>
                <w:rFonts w:ascii="Times New Roman" w:hAnsi="Times New Roman"/>
                <w:sz w:val="20"/>
                <w:szCs w:val="20"/>
              </w:rPr>
              <w:t>.</w:t>
            </w:r>
            <w:r w:rsidR="00DE5A01" w:rsidRPr="00A66C48">
              <w:rPr>
                <w:rFonts w:ascii="Times New Roman" w:hAnsi="Times New Roman"/>
                <w:sz w:val="20"/>
                <w:szCs w:val="20"/>
              </w:rPr>
              <w:t>4</w:t>
            </w:r>
          </w:p>
        </w:tc>
        <w:tc>
          <w:tcPr>
            <w:tcW w:w="637" w:type="pct"/>
            <w:tcBorders>
              <w:top w:val="nil"/>
              <w:left w:val="nil"/>
              <w:bottom w:val="single" w:sz="4" w:space="0" w:color="auto"/>
              <w:right w:val="single" w:sz="4" w:space="0" w:color="auto"/>
            </w:tcBorders>
            <w:shd w:val="clear" w:color="auto" w:fill="auto"/>
            <w:vAlign w:val="bottom"/>
            <w:hideMark/>
          </w:tcPr>
          <w:p w:rsidR="00B7682F" w:rsidRPr="00A66C48" w:rsidRDefault="00B7682F" w:rsidP="009171B7">
            <w:pPr>
              <w:widowControl/>
              <w:autoSpaceDE/>
              <w:autoSpaceDN/>
              <w:adjustRightInd/>
              <w:jc w:val="center"/>
              <w:rPr>
                <w:rFonts w:ascii="Times New Roman" w:hAnsi="Times New Roman"/>
                <w:sz w:val="20"/>
                <w:szCs w:val="20"/>
              </w:rPr>
            </w:pPr>
            <w:r w:rsidRPr="00A66C48">
              <w:rPr>
                <w:rFonts w:ascii="Times New Roman" w:hAnsi="Times New Roman"/>
                <w:sz w:val="20"/>
                <w:szCs w:val="20"/>
              </w:rPr>
              <w:t>$2</w:t>
            </w:r>
            <w:r w:rsidR="009171B7" w:rsidRPr="00A66C48">
              <w:rPr>
                <w:rFonts w:ascii="Times New Roman" w:hAnsi="Times New Roman"/>
                <w:sz w:val="20"/>
                <w:szCs w:val="20"/>
              </w:rPr>
              <w:t>,064</w:t>
            </w:r>
            <w:r w:rsidR="00DE5A01" w:rsidRPr="00A66C48">
              <w:rPr>
                <w:rFonts w:ascii="Times New Roman" w:hAnsi="Times New Roman"/>
                <w:sz w:val="20"/>
                <w:szCs w:val="20"/>
              </w:rPr>
              <w:t>.64</w:t>
            </w:r>
            <w:r w:rsidRPr="00A66C48">
              <w:rPr>
                <w:rFonts w:ascii="Times New Roman" w:hAnsi="Times New Roman"/>
                <w:sz w:val="20"/>
                <w:szCs w:val="20"/>
              </w:rPr>
              <w:t xml:space="preserve"> </w:t>
            </w:r>
          </w:p>
        </w:tc>
      </w:tr>
      <w:tr w:rsidR="00B7682F" w:rsidRPr="00A66C48" w:rsidTr="00B7682F">
        <w:trPr>
          <w:trHeight w:val="300"/>
        </w:trPr>
        <w:tc>
          <w:tcPr>
            <w:tcW w:w="1773" w:type="pct"/>
            <w:tcBorders>
              <w:top w:val="nil"/>
              <w:left w:val="single" w:sz="4" w:space="0" w:color="auto"/>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rPr>
                <w:rFonts w:ascii="Times New Roman" w:hAnsi="Times New Roman"/>
                <w:sz w:val="20"/>
                <w:szCs w:val="20"/>
              </w:rPr>
            </w:pPr>
            <w:r w:rsidRPr="00A66C48">
              <w:rPr>
                <w:rFonts w:ascii="Times New Roman" w:hAnsi="Times New Roman"/>
                <w:sz w:val="20"/>
                <w:szCs w:val="20"/>
              </w:rPr>
              <w:t>Store, file, or maintain data</w:t>
            </w:r>
          </w:p>
        </w:tc>
        <w:tc>
          <w:tcPr>
            <w:tcW w:w="716" w:type="pct"/>
            <w:tcBorders>
              <w:top w:val="nil"/>
              <w:left w:val="nil"/>
              <w:bottom w:val="single" w:sz="4" w:space="0" w:color="auto"/>
              <w:right w:val="single" w:sz="4" w:space="0" w:color="auto"/>
            </w:tcBorders>
            <w:shd w:val="clear" w:color="auto" w:fill="auto"/>
            <w:vAlign w:val="bottom"/>
            <w:hideMark/>
          </w:tcPr>
          <w:p w:rsidR="00B7682F" w:rsidRPr="00A66C48" w:rsidRDefault="00B7682F"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0</w:t>
            </w:r>
          </w:p>
        </w:tc>
        <w:tc>
          <w:tcPr>
            <w:tcW w:w="605" w:type="pct"/>
            <w:tcBorders>
              <w:top w:val="nil"/>
              <w:left w:val="nil"/>
              <w:bottom w:val="single" w:sz="4" w:space="0" w:color="auto"/>
              <w:right w:val="single" w:sz="4" w:space="0" w:color="auto"/>
            </w:tcBorders>
            <w:shd w:val="clear" w:color="auto" w:fill="auto"/>
            <w:vAlign w:val="bottom"/>
            <w:hideMark/>
          </w:tcPr>
          <w:p w:rsidR="00B7682F" w:rsidRPr="00A66C48" w:rsidRDefault="00B7682F"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0</w:t>
            </w:r>
          </w:p>
        </w:tc>
        <w:tc>
          <w:tcPr>
            <w:tcW w:w="731" w:type="pct"/>
            <w:tcBorders>
              <w:top w:val="nil"/>
              <w:left w:val="nil"/>
              <w:bottom w:val="single" w:sz="4" w:space="0" w:color="auto"/>
              <w:right w:val="single" w:sz="4" w:space="0" w:color="auto"/>
            </w:tcBorders>
            <w:shd w:val="clear" w:color="auto" w:fill="auto"/>
            <w:vAlign w:val="bottom"/>
            <w:hideMark/>
          </w:tcPr>
          <w:p w:rsidR="00B7682F" w:rsidRPr="00A66C48" w:rsidRDefault="00DE5A01"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0.9</w:t>
            </w:r>
          </w:p>
        </w:tc>
        <w:tc>
          <w:tcPr>
            <w:tcW w:w="539" w:type="pct"/>
            <w:tcBorders>
              <w:top w:val="nil"/>
              <w:left w:val="nil"/>
              <w:bottom w:val="single" w:sz="4" w:space="0" w:color="auto"/>
              <w:right w:val="single" w:sz="4" w:space="0" w:color="auto"/>
            </w:tcBorders>
            <w:shd w:val="clear" w:color="auto" w:fill="auto"/>
            <w:vAlign w:val="bottom"/>
            <w:hideMark/>
          </w:tcPr>
          <w:p w:rsidR="00B7682F" w:rsidRPr="00A66C48" w:rsidRDefault="00DE5A01"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0.9</w:t>
            </w:r>
          </w:p>
        </w:tc>
        <w:tc>
          <w:tcPr>
            <w:tcW w:w="637" w:type="pct"/>
            <w:tcBorders>
              <w:top w:val="nil"/>
              <w:left w:val="nil"/>
              <w:bottom w:val="single" w:sz="4" w:space="0" w:color="auto"/>
              <w:right w:val="single" w:sz="4" w:space="0" w:color="auto"/>
            </w:tcBorders>
            <w:shd w:val="clear" w:color="auto" w:fill="auto"/>
            <w:vAlign w:val="bottom"/>
            <w:hideMark/>
          </w:tcPr>
          <w:p w:rsidR="00B7682F" w:rsidRPr="00A66C48" w:rsidRDefault="00B7682F"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$4</w:t>
            </w:r>
            <w:r w:rsidR="00DE5A01" w:rsidRPr="00A66C48">
              <w:rPr>
                <w:rFonts w:ascii="Times New Roman" w:hAnsi="Times New Roman"/>
                <w:sz w:val="20"/>
                <w:szCs w:val="20"/>
              </w:rPr>
              <w:t>0.</w:t>
            </w:r>
            <w:r w:rsidRPr="00A66C48">
              <w:rPr>
                <w:rFonts w:ascii="Times New Roman" w:hAnsi="Times New Roman"/>
                <w:sz w:val="20"/>
                <w:szCs w:val="20"/>
              </w:rPr>
              <w:t>1</w:t>
            </w:r>
            <w:r w:rsidR="00DE5A01" w:rsidRPr="00A66C48">
              <w:rPr>
                <w:rFonts w:ascii="Times New Roman" w:hAnsi="Times New Roman"/>
                <w:sz w:val="20"/>
                <w:szCs w:val="20"/>
              </w:rPr>
              <w:t>5</w:t>
            </w:r>
            <w:r w:rsidRPr="00A66C48">
              <w:rPr>
                <w:rFonts w:ascii="Times New Roman" w:hAnsi="Times New Roman"/>
                <w:sz w:val="20"/>
                <w:szCs w:val="20"/>
              </w:rPr>
              <w:t xml:space="preserve"> </w:t>
            </w:r>
          </w:p>
        </w:tc>
      </w:tr>
      <w:tr w:rsidR="00B7682F" w:rsidRPr="00A66C48" w:rsidTr="00B7682F">
        <w:trPr>
          <w:trHeight w:val="300"/>
        </w:trPr>
        <w:tc>
          <w:tcPr>
            <w:tcW w:w="1773" w:type="pct"/>
            <w:tcBorders>
              <w:top w:val="nil"/>
              <w:left w:val="single" w:sz="4" w:space="0" w:color="auto"/>
              <w:bottom w:val="single" w:sz="4" w:space="0" w:color="auto"/>
              <w:right w:val="single" w:sz="4" w:space="0" w:color="auto"/>
            </w:tcBorders>
            <w:shd w:val="clear" w:color="auto" w:fill="auto"/>
            <w:hideMark/>
          </w:tcPr>
          <w:p w:rsidR="00B7682F" w:rsidRPr="00A66C48" w:rsidRDefault="00B7682F" w:rsidP="00B7682F">
            <w:pPr>
              <w:widowControl/>
              <w:autoSpaceDE/>
              <w:autoSpaceDN/>
              <w:adjustRightInd/>
              <w:rPr>
                <w:rFonts w:ascii="Times New Roman" w:hAnsi="Times New Roman"/>
                <w:sz w:val="20"/>
                <w:szCs w:val="20"/>
              </w:rPr>
            </w:pPr>
            <w:r w:rsidRPr="00A66C48">
              <w:rPr>
                <w:rFonts w:ascii="Times New Roman" w:hAnsi="Times New Roman"/>
                <w:sz w:val="20"/>
                <w:szCs w:val="20"/>
              </w:rPr>
              <w:t>TOTAL</w:t>
            </w:r>
          </w:p>
        </w:tc>
        <w:tc>
          <w:tcPr>
            <w:tcW w:w="716" w:type="pct"/>
            <w:tcBorders>
              <w:top w:val="nil"/>
              <w:left w:val="nil"/>
              <w:bottom w:val="single" w:sz="4" w:space="0" w:color="auto"/>
              <w:right w:val="single" w:sz="4" w:space="0" w:color="auto"/>
            </w:tcBorders>
            <w:shd w:val="clear" w:color="auto" w:fill="auto"/>
            <w:vAlign w:val="bottom"/>
            <w:hideMark/>
          </w:tcPr>
          <w:p w:rsidR="00B7682F" w:rsidRPr="00A66C48" w:rsidRDefault="00B7682F"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0</w:t>
            </w:r>
          </w:p>
        </w:tc>
        <w:tc>
          <w:tcPr>
            <w:tcW w:w="605" w:type="pct"/>
            <w:tcBorders>
              <w:top w:val="nil"/>
              <w:left w:val="nil"/>
              <w:bottom w:val="single" w:sz="4" w:space="0" w:color="auto"/>
              <w:right w:val="single" w:sz="4" w:space="0" w:color="auto"/>
            </w:tcBorders>
            <w:shd w:val="clear" w:color="auto" w:fill="auto"/>
            <w:vAlign w:val="bottom"/>
            <w:hideMark/>
          </w:tcPr>
          <w:p w:rsidR="00B7682F" w:rsidRPr="00A66C48" w:rsidRDefault="009171B7" w:rsidP="009171B7">
            <w:pPr>
              <w:widowControl/>
              <w:autoSpaceDE/>
              <w:autoSpaceDN/>
              <w:adjustRightInd/>
              <w:jc w:val="center"/>
              <w:rPr>
                <w:rFonts w:ascii="Times New Roman" w:hAnsi="Times New Roman"/>
                <w:sz w:val="20"/>
                <w:szCs w:val="20"/>
              </w:rPr>
            </w:pPr>
            <w:r w:rsidRPr="00A66C48">
              <w:rPr>
                <w:rFonts w:ascii="Times New Roman" w:hAnsi="Times New Roman"/>
                <w:sz w:val="20"/>
                <w:szCs w:val="20"/>
              </w:rPr>
              <w:t>2</w:t>
            </w:r>
            <w:r w:rsidR="00DE5A01" w:rsidRPr="00A66C48">
              <w:rPr>
                <w:rFonts w:ascii="Times New Roman" w:hAnsi="Times New Roman"/>
                <w:sz w:val="20"/>
                <w:szCs w:val="20"/>
              </w:rPr>
              <w:t>8.0</w:t>
            </w:r>
          </w:p>
        </w:tc>
        <w:tc>
          <w:tcPr>
            <w:tcW w:w="731" w:type="pct"/>
            <w:tcBorders>
              <w:top w:val="nil"/>
              <w:left w:val="nil"/>
              <w:bottom w:val="single" w:sz="4" w:space="0" w:color="auto"/>
              <w:right w:val="single" w:sz="4" w:space="0" w:color="auto"/>
            </w:tcBorders>
            <w:shd w:val="clear" w:color="auto" w:fill="auto"/>
            <w:vAlign w:val="bottom"/>
            <w:hideMark/>
          </w:tcPr>
          <w:p w:rsidR="00B7682F" w:rsidRPr="00A66C48" w:rsidRDefault="00B7682F"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0</w:t>
            </w:r>
            <w:r w:rsidR="00DE5A01" w:rsidRPr="00A66C48">
              <w:rPr>
                <w:rFonts w:ascii="Times New Roman" w:hAnsi="Times New Roman"/>
                <w:sz w:val="20"/>
                <w:szCs w:val="20"/>
              </w:rPr>
              <w:t>.9</w:t>
            </w:r>
          </w:p>
        </w:tc>
        <w:tc>
          <w:tcPr>
            <w:tcW w:w="539" w:type="pct"/>
            <w:tcBorders>
              <w:top w:val="nil"/>
              <w:left w:val="nil"/>
              <w:bottom w:val="single" w:sz="4" w:space="0" w:color="auto"/>
              <w:right w:val="single" w:sz="4" w:space="0" w:color="auto"/>
            </w:tcBorders>
            <w:shd w:val="clear" w:color="auto" w:fill="auto"/>
            <w:vAlign w:val="bottom"/>
            <w:hideMark/>
          </w:tcPr>
          <w:p w:rsidR="00B7682F" w:rsidRPr="00A66C48" w:rsidRDefault="009171B7"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28.9</w:t>
            </w:r>
          </w:p>
        </w:tc>
        <w:tc>
          <w:tcPr>
            <w:tcW w:w="637" w:type="pct"/>
            <w:tcBorders>
              <w:top w:val="nil"/>
              <w:left w:val="nil"/>
              <w:bottom w:val="single" w:sz="4" w:space="0" w:color="auto"/>
              <w:right w:val="single" w:sz="4" w:space="0" w:color="auto"/>
            </w:tcBorders>
            <w:shd w:val="clear" w:color="auto" w:fill="auto"/>
            <w:vAlign w:val="bottom"/>
            <w:hideMark/>
          </w:tcPr>
          <w:p w:rsidR="00B7682F" w:rsidRPr="00A66C48" w:rsidRDefault="00B7682F" w:rsidP="00B7682F">
            <w:pPr>
              <w:widowControl/>
              <w:autoSpaceDE/>
              <w:autoSpaceDN/>
              <w:adjustRightInd/>
              <w:jc w:val="center"/>
              <w:rPr>
                <w:rFonts w:ascii="Times New Roman" w:hAnsi="Times New Roman"/>
                <w:sz w:val="20"/>
                <w:szCs w:val="20"/>
              </w:rPr>
            </w:pPr>
            <w:r w:rsidRPr="00A66C48">
              <w:rPr>
                <w:rFonts w:ascii="Times New Roman" w:hAnsi="Times New Roman"/>
                <w:sz w:val="20"/>
                <w:szCs w:val="20"/>
              </w:rPr>
              <w:t>$2,</w:t>
            </w:r>
            <w:r w:rsidR="009171B7" w:rsidRPr="00A66C48">
              <w:rPr>
                <w:rFonts w:ascii="Times New Roman" w:hAnsi="Times New Roman"/>
                <w:sz w:val="20"/>
                <w:szCs w:val="20"/>
              </w:rPr>
              <w:t>2</w:t>
            </w:r>
            <w:r w:rsidR="00DE5A01" w:rsidRPr="00A66C48">
              <w:rPr>
                <w:rFonts w:ascii="Times New Roman" w:hAnsi="Times New Roman"/>
                <w:sz w:val="20"/>
                <w:szCs w:val="20"/>
              </w:rPr>
              <w:t>30</w:t>
            </w:r>
            <w:r w:rsidRPr="00A66C48">
              <w:rPr>
                <w:rFonts w:ascii="Times New Roman" w:hAnsi="Times New Roman"/>
                <w:sz w:val="20"/>
                <w:szCs w:val="20"/>
              </w:rPr>
              <w:t>.</w:t>
            </w:r>
            <w:r w:rsidR="00DE5A01" w:rsidRPr="00A66C48">
              <w:rPr>
                <w:rFonts w:ascii="Times New Roman" w:hAnsi="Times New Roman"/>
                <w:sz w:val="20"/>
                <w:szCs w:val="20"/>
              </w:rPr>
              <w:t>87</w:t>
            </w:r>
            <w:r w:rsidRPr="00A66C48">
              <w:rPr>
                <w:rFonts w:ascii="Times New Roman" w:hAnsi="Times New Roman"/>
                <w:sz w:val="20"/>
                <w:szCs w:val="20"/>
              </w:rPr>
              <w:t xml:space="preserve"> </w:t>
            </w:r>
          </w:p>
        </w:tc>
      </w:tr>
    </w:tbl>
    <w:p w:rsidR="00B7682F" w:rsidRPr="00A66C48" w:rsidRDefault="00B7682F" w:rsidP="002F14F8">
      <w:pPr>
        <w:numPr>
          <w:ilvl w:val="12"/>
          <w:numId w:val="0"/>
        </w:numPr>
        <w:rPr>
          <w:rFonts w:ascii="Times New Roman" w:hAnsi="Times New Roman"/>
        </w:rPr>
      </w:pPr>
    </w:p>
    <w:p w:rsidR="00715E15" w:rsidRPr="00A66C48" w:rsidRDefault="00D007E9" w:rsidP="002F14F8">
      <w:pPr>
        <w:numPr>
          <w:ilvl w:val="12"/>
          <w:numId w:val="0"/>
        </w:numPr>
        <w:rPr>
          <w:rFonts w:ascii="Times New Roman" w:hAnsi="Times New Roman"/>
          <w:sz w:val="20"/>
          <w:szCs w:val="20"/>
        </w:rPr>
      </w:pPr>
      <w:r>
        <w:rPr>
          <w:rFonts w:ascii="Times New Roman" w:hAnsi="Times New Roman"/>
        </w:rPr>
        <w:tab/>
      </w:r>
      <w:r w:rsidR="00842888" w:rsidRPr="00A66C48">
        <w:rPr>
          <w:rFonts w:ascii="Times New Roman" w:hAnsi="Times New Roman"/>
        </w:rPr>
        <w:t>Table 6 presents the total annual agency burden and cost.</w:t>
      </w:r>
    </w:p>
    <w:p w:rsidR="00583258" w:rsidRPr="00A66C48" w:rsidRDefault="00583258" w:rsidP="002F14F8">
      <w:pPr>
        <w:rPr>
          <w:sz w:val="20"/>
          <w:szCs w:val="20"/>
        </w:rPr>
      </w:pPr>
    </w:p>
    <w:p w:rsidR="00D44759" w:rsidRPr="00A66C48" w:rsidRDefault="00A06485" w:rsidP="00EE5F47">
      <w:pPr>
        <w:numPr>
          <w:ilvl w:val="12"/>
          <w:numId w:val="0"/>
        </w:numPr>
        <w:rPr>
          <w:rFonts w:ascii="Times New Roman" w:hAnsi="Times New Roman"/>
        </w:rPr>
      </w:pPr>
      <w:r w:rsidRPr="00A06485">
        <w:rPr>
          <w:rFonts w:ascii="Times New Roman" w:hAnsi="Times New Roman"/>
          <w:b/>
        </w:rPr>
        <w:t>Table 6.</w:t>
      </w:r>
      <w:r w:rsidR="00A92357">
        <w:rPr>
          <w:rFonts w:ascii="Times New Roman" w:hAnsi="Times New Roman"/>
          <w:b/>
        </w:rPr>
        <w:t xml:space="preserve"> </w:t>
      </w:r>
      <w:r w:rsidR="0085522D" w:rsidRPr="00A06485">
        <w:rPr>
          <w:rFonts w:ascii="Times New Roman" w:hAnsi="Times New Roman"/>
        </w:rPr>
        <w:t>TOTAL ANNUAL AGENCY BURDEN/COST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8"/>
        <w:gridCol w:w="1530"/>
        <w:gridCol w:w="2700"/>
        <w:gridCol w:w="1890"/>
        <w:gridCol w:w="1638"/>
      </w:tblGrid>
      <w:tr w:rsidR="00137108" w:rsidRPr="00A66C48" w:rsidTr="00137108">
        <w:trPr>
          <w:jc w:val="center"/>
        </w:trPr>
        <w:tc>
          <w:tcPr>
            <w:tcW w:w="3348" w:type="dxa"/>
            <w:gridSpan w:val="2"/>
          </w:tcPr>
          <w:p w:rsidR="00137108" w:rsidRPr="00A66C48" w:rsidRDefault="00137108" w:rsidP="00842888">
            <w:pPr>
              <w:pStyle w:val="PlainText"/>
              <w:jc w:val="center"/>
              <w:rPr>
                <w:rFonts w:ascii="Times New Roman" w:hAnsi="Times New Roman" w:cs="Times New Roman"/>
                <w:sz w:val="24"/>
                <w:szCs w:val="24"/>
              </w:rPr>
            </w:pPr>
            <w:r w:rsidRPr="00A66C48">
              <w:rPr>
                <w:rFonts w:ascii="Times New Roman" w:hAnsi="Times New Roman" w:cs="Times New Roman"/>
                <w:sz w:val="24"/>
                <w:szCs w:val="24"/>
              </w:rPr>
              <w:t>Per Submission Estimates</w:t>
            </w:r>
          </w:p>
        </w:tc>
        <w:tc>
          <w:tcPr>
            <w:tcW w:w="2700" w:type="dxa"/>
            <w:vMerge w:val="restart"/>
          </w:tcPr>
          <w:p w:rsidR="009B6354" w:rsidRDefault="00137108">
            <w:pPr>
              <w:pStyle w:val="PlainText"/>
              <w:jc w:val="right"/>
              <w:rPr>
                <w:rFonts w:ascii="Times New Roman" w:hAnsi="Times New Roman" w:cs="Times New Roman"/>
                <w:sz w:val="24"/>
                <w:szCs w:val="24"/>
              </w:rPr>
            </w:pPr>
            <w:r w:rsidRPr="00A66C48">
              <w:rPr>
                <w:rFonts w:ascii="Times New Roman" w:hAnsi="Times New Roman" w:cs="Times New Roman"/>
                <w:sz w:val="24"/>
                <w:szCs w:val="24"/>
              </w:rPr>
              <w:t>Total Submissions</w:t>
            </w:r>
          </w:p>
          <w:p w:rsidR="009B6354" w:rsidRDefault="00137108">
            <w:pPr>
              <w:pStyle w:val="PlainText"/>
              <w:jc w:val="right"/>
              <w:rPr>
                <w:rFonts w:ascii="Times New Roman" w:hAnsi="Times New Roman" w:cs="Times New Roman"/>
                <w:sz w:val="24"/>
                <w:szCs w:val="24"/>
              </w:rPr>
            </w:pPr>
            <w:r w:rsidRPr="00A66C48">
              <w:rPr>
                <w:rFonts w:ascii="Times New Roman" w:hAnsi="Times New Roman" w:cs="Times New Roman"/>
                <w:sz w:val="24"/>
                <w:szCs w:val="24"/>
              </w:rPr>
              <w:t>Expected each year</w:t>
            </w:r>
          </w:p>
        </w:tc>
        <w:tc>
          <w:tcPr>
            <w:tcW w:w="3528" w:type="dxa"/>
            <w:gridSpan w:val="2"/>
          </w:tcPr>
          <w:p w:rsidR="00137108" w:rsidRPr="00A66C48" w:rsidRDefault="00137108" w:rsidP="00842888">
            <w:pPr>
              <w:pStyle w:val="PlainText"/>
              <w:jc w:val="center"/>
              <w:rPr>
                <w:rFonts w:ascii="Times New Roman" w:hAnsi="Times New Roman" w:cs="Times New Roman"/>
                <w:sz w:val="24"/>
                <w:szCs w:val="24"/>
              </w:rPr>
            </w:pPr>
            <w:r w:rsidRPr="00A66C48">
              <w:rPr>
                <w:rFonts w:ascii="Times New Roman" w:hAnsi="Times New Roman" w:cs="Times New Roman"/>
                <w:sz w:val="24"/>
                <w:szCs w:val="24"/>
              </w:rPr>
              <w:t>Totals</w:t>
            </w:r>
          </w:p>
        </w:tc>
      </w:tr>
      <w:tr w:rsidR="00137108" w:rsidRPr="00A66C48" w:rsidTr="00137108">
        <w:trPr>
          <w:jc w:val="center"/>
        </w:trPr>
        <w:tc>
          <w:tcPr>
            <w:tcW w:w="1818" w:type="dxa"/>
          </w:tcPr>
          <w:p w:rsidR="00137108" w:rsidRPr="00A66C48" w:rsidRDefault="00137108" w:rsidP="00DE5A01">
            <w:pPr>
              <w:pStyle w:val="PlainText"/>
              <w:jc w:val="right"/>
              <w:rPr>
                <w:rFonts w:ascii="Times New Roman" w:hAnsi="Times New Roman" w:cs="Times New Roman"/>
                <w:sz w:val="24"/>
                <w:szCs w:val="24"/>
              </w:rPr>
            </w:pPr>
            <w:r w:rsidRPr="00A66C48">
              <w:rPr>
                <w:rFonts w:ascii="Times New Roman" w:hAnsi="Times New Roman" w:cs="Times New Roman"/>
                <w:sz w:val="24"/>
                <w:szCs w:val="24"/>
              </w:rPr>
              <w:t>Burden (hrs)</w:t>
            </w:r>
          </w:p>
        </w:tc>
        <w:tc>
          <w:tcPr>
            <w:tcW w:w="1530" w:type="dxa"/>
          </w:tcPr>
          <w:p w:rsidR="00137108" w:rsidRPr="00A66C48" w:rsidRDefault="00137108" w:rsidP="00DE5A01">
            <w:pPr>
              <w:pStyle w:val="PlainText"/>
              <w:jc w:val="right"/>
              <w:rPr>
                <w:rFonts w:ascii="Times New Roman" w:hAnsi="Times New Roman" w:cs="Times New Roman"/>
                <w:sz w:val="24"/>
                <w:szCs w:val="24"/>
              </w:rPr>
            </w:pPr>
            <w:r w:rsidRPr="00A66C48">
              <w:rPr>
                <w:rFonts w:ascii="Times New Roman" w:hAnsi="Times New Roman" w:cs="Times New Roman"/>
                <w:sz w:val="24"/>
                <w:szCs w:val="24"/>
              </w:rPr>
              <w:t>Costs ($)</w:t>
            </w:r>
          </w:p>
        </w:tc>
        <w:tc>
          <w:tcPr>
            <w:tcW w:w="2700" w:type="dxa"/>
            <w:vMerge/>
          </w:tcPr>
          <w:p w:rsidR="00137108" w:rsidRPr="00A66C48" w:rsidRDefault="00137108" w:rsidP="00842888">
            <w:pPr>
              <w:pStyle w:val="PlainText"/>
              <w:rPr>
                <w:rFonts w:ascii="Times New Roman" w:hAnsi="Times New Roman" w:cs="Times New Roman"/>
                <w:sz w:val="24"/>
                <w:szCs w:val="24"/>
              </w:rPr>
            </w:pPr>
          </w:p>
        </w:tc>
        <w:tc>
          <w:tcPr>
            <w:tcW w:w="1890" w:type="dxa"/>
          </w:tcPr>
          <w:p w:rsidR="00137108" w:rsidRPr="00A66C48" w:rsidRDefault="00137108" w:rsidP="00DE5A01">
            <w:pPr>
              <w:pStyle w:val="PlainText"/>
              <w:jc w:val="right"/>
              <w:rPr>
                <w:rFonts w:ascii="Times New Roman" w:hAnsi="Times New Roman" w:cs="Times New Roman"/>
                <w:sz w:val="24"/>
                <w:szCs w:val="24"/>
              </w:rPr>
            </w:pPr>
            <w:r w:rsidRPr="00A66C48">
              <w:rPr>
                <w:rFonts w:ascii="Times New Roman" w:hAnsi="Times New Roman" w:cs="Times New Roman"/>
                <w:sz w:val="24"/>
                <w:szCs w:val="24"/>
              </w:rPr>
              <w:t>Burden (hrs)</w:t>
            </w:r>
          </w:p>
        </w:tc>
        <w:tc>
          <w:tcPr>
            <w:tcW w:w="1638" w:type="dxa"/>
          </w:tcPr>
          <w:p w:rsidR="00137108" w:rsidRPr="00A66C48" w:rsidRDefault="00137108" w:rsidP="00DE5A01">
            <w:pPr>
              <w:pStyle w:val="PlainText"/>
              <w:jc w:val="right"/>
              <w:rPr>
                <w:rFonts w:ascii="Times New Roman" w:hAnsi="Times New Roman" w:cs="Times New Roman"/>
                <w:sz w:val="24"/>
                <w:szCs w:val="24"/>
              </w:rPr>
            </w:pPr>
            <w:r w:rsidRPr="00A66C48">
              <w:rPr>
                <w:rFonts w:ascii="Times New Roman" w:hAnsi="Times New Roman" w:cs="Times New Roman"/>
                <w:sz w:val="24"/>
                <w:szCs w:val="24"/>
              </w:rPr>
              <w:t>Cost ($)</w:t>
            </w:r>
          </w:p>
        </w:tc>
      </w:tr>
      <w:tr w:rsidR="00137108" w:rsidRPr="00A66C48" w:rsidTr="00137108">
        <w:trPr>
          <w:jc w:val="center"/>
        </w:trPr>
        <w:tc>
          <w:tcPr>
            <w:tcW w:w="1818" w:type="dxa"/>
          </w:tcPr>
          <w:p w:rsidR="00137108" w:rsidRPr="00A66C48" w:rsidRDefault="00137108" w:rsidP="00842888">
            <w:pPr>
              <w:pStyle w:val="PlainText"/>
              <w:jc w:val="right"/>
              <w:rPr>
                <w:rFonts w:ascii="Times New Roman" w:hAnsi="Times New Roman" w:cs="Times New Roman"/>
                <w:sz w:val="24"/>
                <w:szCs w:val="24"/>
              </w:rPr>
            </w:pPr>
            <w:r w:rsidRPr="00A66C48">
              <w:rPr>
                <w:rFonts w:ascii="Times New Roman" w:hAnsi="Times New Roman" w:cs="Times New Roman"/>
                <w:sz w:val="24"/>
                <w:szCs w:val="24"/>
              </w:rPr>
              <w:t>28.9</w:t>
            </w:r>
          </w:p>
        </w:tc>
        <w:tc>
          <w:tcPr>
            <w:tcW w:w="1530" w:type="dxa"/>
          </w:tcPr>
          <w:p w:rsidR="00137108" w:rsidRPr="00A66C48" w:rsidRDefault="00137108" w:rsidP="00842888">
            <w:pPr>
              <w:pStyle w:val="PlainText"/>
              <w:jc w:val="right"/>
              <w:rPr>
                <w:rFonts w:ascii="Times New Roman" w:hAnsi="Times New Roman" w:cs="Times New Roman"/>
                <w:sz w:val="24"/>
                <w:szCs w:val="24"/>
              </w:rPr>
            </w:pPr>
            <w:r w:rsidRPr="00A66C48">
              <w:rPr>
                <w:rFonts w:ascii="Times New Roman" w:hAnsi="Times New Roman" w:cs="Times New Roman"/>
                <w:sz w:val="24"/>
                <w:szCs w:val="24"/>
              </w:rPr>
              <w:t>$2,230</w:t>
            </w:r>
          </w:p>
        </w:tc>
        <w:tc>
          <w:tcPr>
            <w:tcW w:w="2700" w:type="dxa"/>
          </w:tcPr>
          <w:p w:rsidR="00137108" w:rsidRPr="00A66C48" w:rsidRDefault="00137108" w:rsidP="00842888">
            <w:pPr>
              <w:pStyle w:val="PlainText"/>
              <w:jc w:val="right"/>
              <w:rPr>
                <w:rFonts w:ascii="Times New Roman" w:hAnsi="Times New Roman" w:cs="Times New Roman"/>
                <w:sz w:val="24"/>
                <w:szCs w:val="24"/>
              </w:rPr>
            </w:pPr>
            <w:r w:rsidRPr="00A66C48">
              <w:rPr>
                <w:rFonts w:ascii="Times New Roman" w:hAnsi="Times New Roman" w:cs="Times New Roman"/>
                <w:sz w:val="24"/>
                <w:szCs w:val="24"/>
              </w:rPr>
              <w:t>685</w:t>
            </w:r>
          </w:p>
        </w:tc>
        <w:tc>
          <w:tcPr>
            <w:tcW w:w="1890" w:type="dxa"/>
          </w:tcPr>
          <w:p w:rsidR="00137108" w:rsidRPr="00A66C48" w:rsidRDefault="00137108" w:rsidP="00842888">
            <w:pPr>
              <w:pStyle w:val="PlainText"/>
              <w:jc w:val="right"/>
              <w:rPr>
                <w:rFonts w:ascii="Times New Roman" w:hAnsi="Times New Roman" w:cs="Times New Roman"/>
                <w:sz w:val="24"/>
                <w:szCs w:val="24"/>
              </w:rPr>
            </w:pPr>
            <w:r w:rsidRPr="00A66C48">
              <w:rPr>
                <w:rFonts w:ascii="Times New Roman" w:hAnsi="Times New Roman" w:cs="Times New Roman"/>
                <w:sz w:val="24"/>
                <w:szCs w:val="24"/>
              </w:rPr>
              <w:t>19,</w:t>
            </w:r>
            <w:r w:rsidR="003B6D5B">
              <w:rPr>
                <w:rFonts w:ascii="Times New Roman" w:hAnsi="Times New Roman" w:cs="Times New Roman"/>
                <w:sz w:val="24"/>
                <w:szCs w:val="24"/>
              </w:rPr>
              <w:t>812</w:t>
            </w:r>
          </w:p>
        </w:tc>
        <w:tc>
          <w:tcPr>
            <w:tcW w:w="1638" w:type="dxa"/>
          </w:tcPr>
          <w:p w:rsidR="00137108" w:rsidRPr="00A66C48" w:rsidRDefault="00137108" w:rsidP="009171B7">
            <w:pPr>
              <w:pStyle w:val="PlainText"/>
              <w:jc w:val="right"/>
              <w:rPr>
                <w:rFonts w:ascii="Times New Roman" w:hAnsi="Times New Roman" w:cs="Times New Roman"/>
                <w:sz w:val="24"/>
                <w:szCs w:val="24"/>
              </w:rPr>
            </w:pPr>
            <w:r w:rsidRPr="00A66C48">
              <w:rPr>
                <w:rFonts w:ascii="Times New Roman" w:hAnsi="Times New Roman" w:cs="Times New Roman"/>
                <w:sz w:val="24"/>
                <w:szCs w:val="24"/>
              </w:rPr>
              <w:t>1,528,145</w:t>
            </w:r>
          </w:p>
        </w:tc>
      </w:tr>
    </w:tbl>
    <w:p w:rsidR="00EE5F47" w:rsidRPr="00A66C48" w:rsidRDefault="00842888" w:rsidP="00CA0CF9">
      <w:pPr>
        <w:numPr>
          <w:ilvl w:val="12"/>
          <w:numId w:val="0"/>
        </w:numPr>
        <w:rPr>
          <w:rFonts w:ascii="Times New Roman" w:hAnsi="Times New Roman"/>
          <w:sz w:val="20"/>
          <w:szCs w:val="20"/>
        </w:rPr>
      </w:pPr>
      <w:r w:rsidRPr="00A66C48">
        <w:rPr>
          <w:rFonts w:ascii="Times New Roman" w:hAnsi="Times New Roman"/>
          <w:sz w:val="20"/>
          <w:szCs w:val="20"/>
        </w:rPr>
        <w:t>Totals may not sum due to rounding</w:t>
      </w:r>
    </w:p>
    <w:p w:rsidR="009171B7" w:rsidRPr="00A66C48" w:rsidRDefault="00842888" w:rsidP="00CA0CF9">
      <w:pPr>
        <w:numPr>
          <w:ilvl w:val="12"/>
          <w:numId w:val="0"/>
        </w:numPr>
        <w:rPr>
          <w:rFonts w:ascii="Times New Roman" w:hAnsi="Times New Roman"/>
          <w:sz w:val="20"/>
          <w:szCs w:val="20"/>
        </w:rPr>
      </w:pPr>
      <w:r w:rsidRPr="00A66C48">
        <w:rPr>
          <w:rFonts w:ascii="Times New Roman" w:hAnsi="Times New Roman"/>
          <w:sz w:val="20"/>
          <w:szCs w:val="20"/>
        </w:rPr>
        <w:t xml:space="preserve">Annual Burden = </w:t>
      </w:r>
      <w:r w:rsidR="009171B7" w:rsidRPr="00A66C48">
        <w:rPr>
          <w:rFonts w:ascii="Times New Roman" w:hAnsi="Times New Roman"/>
          <w:sz w:val="20"/>
          <w:szCs w:val="20"/>
        </w:rPr>
        <w:t>2</w:t>
      </w:r>
      <w:r w:rsidR="00E65DDC" w:rsidRPr="00A66C48">
        <w:rPr>
          <w:rFonts w:ascii="Times New Roman" w:hAnsi="Times New Roman"/>
          <w:sz w:val="20"/>
          <w:szCs w:val="20"/>
        </w:rPr>
        <w:t>8.</w:t>
      </w:r>
      <w:r w:rsidR="009171B7" w:rsidRPr="00A66C48">
        <w:rPr>
          <w:rFonts w:ascii="Times New Roman" w:hAnsi="Times New Roman"/>
          <w:sz w:val="20"/>
          <w:szCs w:val="20"/>
        </w:rPr>
        <w:t>9 hours per response x 685</w:t>
      </w:r>
      <w:r w:rsidR="00E65DDC" w:rsidRPr="00A66C48">
        <w:rPr>
          <w:rFonts w:ascii="Times New Roman" w:hAnsi="Times New Roman"/>
          <w:sz w:val="20"/>
          <w:szCs w:val="20"/>
        </w:rPr>
        <w:t xml:space="preserve"> responses = 19,</w:t>
      </w:r>
      <w:r w:rsidR="003B6D5B">
        <w:rPr>
          <w:rFonts w:ascii="Times New Roman" w:hAnsi="Times New Roman"/>
          <w:sz w:val="20"/>
          <w:szCs w:val="20"/>
        </w:rPr>
        <w:t>812</w:t>
      </w:r>
    </w:p>
    <w:p w:rsidR="00842888" w:rsidRPr="00A66C48" w:rsidRDefault="009171B7" w:rsidP="00CA0CF9">
      <w:pPr>
        <w:numPr>
          <w:ilvl w:val="12"/>
          <w:numId w:val="0"/>
        </w:numPr>
        <w:rPr>
          <w:rFonts w:ascii="Times New Roman" w:hAnsi="Times New Roman"/>
          <w:sz w:val="20"/>
          <w:szCs w:val="20"/>
        </w:rPr>
      </w:pPr>
      <w:r w:rsidRPr="00A66C48">
        <w:rPr>
          <w:rFonts w:ascii="Times New Roman" w:hAnsi="Times New Roman"/>
          <w:sz w:val="20"/>
          <w:szCs w:val="20"/>
        </w:rPr>
        <w:t>Annual Cost = $2,2</w:t>
      </w:r>
      <w:r w:rsidR="00DE5A01" w:rsidRPr="00A66C48">
        <w:rPr>
          <w:rFonts w:ascii="Times New Roman" w:hAnsi="Times New Roman"/>
          <w:sz w:val="20"/>
          <w:szCs w:val="20"/>
        </w:rPr>
        <w:t>30</w:t>
      </w:r>
      <w:r w:rsidRPr="00A66C48">
        <w:rPr>
          <w:rFonts w:ascii="Times New Roman" w:hAnsi="Times New Roman"/>
          <w:sz w:val="20"/>
          <w:szCs w:val="20"/>
        </w:rPr>
        <w:t xml:space="preserve"> per resp</w:t>
      </w:r>
      <w:r w:rsidR="00E65DDC" w:rsidRPr="00A66C48">
        <w:rPr>
          <w:rFonts w:ascii="Times New Roman" w:hAnsi="Times New Roman"/>
          <w:sz w:val="20"/>
          <w:szCs w:val="20"/>
        </w:rPr>
        <w:t>onse x 685 responses = $1,52</w:t>
      </w:r>
      <w:r w:rsidR="00DE5A01" w:rsidRPr="00A66C48">
        <w:rPr>
          <w:rFonts w:ascii="Times New Roman" w:hAnsi="Times New Roman"/>
          <w:sz w:val="20"/>
          <w:szCs w:val="20"/>
        </w:rPr>
        <w:t>8</w:t>
      </w:r>
      <w:r w:rsidR="00E65DDC" w:rsidRPr="00A66C48">
        <w:rPr>
          <w:rFonts w:ascii="Times New Roman" w:hAnsi="Times New Roman"/>
          <w:sz w:val="20"/>
          <w:szCs w:val="20"/>
        </w:rPr>
        <w:t>,</w:t>
      </w:r>
      <w:r w:rsidR="00DE5A01" w:rsidRPr="00A66C48">
        <w:rPr>
          <w:rFonts w:ascii="Times New Roman" w:hAnsi="Times New Roman"/>
          <w:sz w:val="20"/>
          <w:szCs w:val="20"/>
        </w:rPr>
        <w:t>145</w:t>
      </w:r>
    </w:p>
    <w:p w:rsidR="00D44759" w:rsidRPr="00A66C48" w:rsidRDefault="00D44759"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rPr>
      </w:pPr>
      <w:r w:rsidRPr="00A66C48">
        <w:rPr>
          <w:rFonts w:ascii="Times New Roman" w:hAnsi="Times New Roman"/>
          <w:b/>
          <w:bCs/>
        </w:rPr>
        <w:tab/>
        <w:t>6(d). Bottom Line Burden Hours and Cost Table</w:t>
      </w:r>
    </w:p>
    <w:p w:rsidR="002F14F8" w:rsidRPr="00A66C48" w:rsidRDefault="002F14F8" w:rsidP="002F14F8">
      <w:pPr>
        <w:numPr>
          <w:ilvl w:val="12"/>
          <w:numId w:val="0"/>
        </w:numPr>
        <w:rPr>
          <w:rFonts w:ascii="Times New Roman" w:hAnsi="Times New Roman"/>
        </w:rPr>
      </w:pPr>
    </w:p>
    <w:tbl>
      <w:tblPr>
        <w:tblW w:w="4681" w:type="pct"/>
        <w:jc w:val="center"/>
        <w:tblLayout w:type="fixed"/>
        <w:tblCellMar>
          <w:left w:w="427" w:type="dxa"/>
          <w:right w:w="427" w:type="dxa"/>
        </w:tblCellMar>
        <w:tblLook w:val="0000"/>
      </w:tblPr>
      <w:tblGrid>
        <w:gridCol w:w="4315"/>
        <w:gridCol w:w="2903"/>
        <w:gridCol w:w="2344"/>
      </w:tblGrid>
      <w:tr w:rsidR="002F14F8" w:rsidRPr="00A66C48" w:rsidTr="00A51744">
        <w:trPr>
          <w:cantSplit/>
          <w:jc w:val="center"/>
        </w:trPr>
        <w:tc>
          <w:tcPr>
            <w:tcW w:w="4315" w:type="dxa"/>
            <w:tcBorders>
              <w:top w:val="single" w:sz="19" w:space="0" w:color="000000"/>
              <w:left w:val="single" w:sz="19" w:space="0" w:color="000000"/>
              <w:bottom w:val="nil"/>
              <w:right w:val="nil"/>
            </w:tcBorders>
          </w:tcPr>
          <w:p w:rsidR="002F14F8" w:rsidRPr="00A66C48" w:rsidRDefault="002F14F8" w:rsidP="0061187B">
            <w:pPr>
              <w:numPr>
                <w:ilvl w:val="12"/>
                <w:numId w:val="0"/>
              </w:numPr>
              <w:spacing w:before="54" w:after="19"/>
            </w:pPr>
          </w:p>
        </w:tc>
        <w:tc>
          <w:tcPr>
            <w:tcW w:w="2903" w:type="dxa"/>
            <w:tcBorders>
              <w:top w:val="single" w:sz="19" w:space="0" w:color="000000"/>
              <w:left w:val="single" w:sz="6" w:space="0" w:color="000000"/>
              <w:bottom w:val="nil"/>
              <w:right w:val="nil"/>
            </w:tcBorders>
          </w:tcPr>
          <w:p w:rsidR="002F14F8" w:rsidRPr="00A66C48" w:rsidRDefault="002F14F8" w:rsidP="0061187B">
            <w:pPr>
              <w:numPr>
                <w:ilvl w:val="12"/>
                <w:numId w:val="0"/>
              </w:numPr>
              <w:spacing w:before="54" w:after="19"/>
            </w:pPr>
            <w:r w:rsidRPr="00A66C48">
              <w:rPr>
                <w:rFonts w:ascii="Times New Roman" w:hAnsi="Times New Roman"/>
              </w:rPr>
              <w:t>Hours</w:t>
            </w:r>
          </w:p>
        </w:tc>
        <w:tc>
          <w:tcPr>
            <w:tcW w:w="2344" w:type="dxa"/>
            <w:tcBorders>
              <w:top w:val="single" w:sz="19" w:space="0" w:color="000000"/>
              <w:left w:val="single" w:sz="6" w:space="0" w:color="000000"/>
              <w:bottom w:val="nil"/>
              <w:right w:val="single" w:sz="19" w:space="0" w:color="000000"/>
            </w:tcBorders>
          </w:tcPr>
          <w:p w:rsidR="002F14F8" w:rsidRPr="00A66C48" w:rsidRDefault="002F14F8" w:rsidP="0061187B">
            <w:pPr>
              <w:numPr>
                <w:ilvl w:val="12"/>
                <w:numId w:val="0"/>
              </w:numPr>
              <w:spacing w:before="54" w:after="19"/>
            </w:pPr>
            <w:r w:rsidRPr="00A66C48">
              <w:rPr>
                <w:rFonts w:ascii="Times New Roman" w:hAnsi="Times New Roman"/>
              </w:rPr>
              <w:t>Costs</w:t>
            </w:r>
          </w:p>
        </w:tc>
      </w:tr>
      <w:tr w:rsidR="002F14F8" w:rsidRPr="00A66C48" w:rsidTr="00A51744">
        <w:trPr>
          <w:cantSplit/>
          <w:jc w:val="center"/>
        </w:trPr>
        <w:tc>
          <w:tcPr>
            <w:tcW w:w="4315" w:type="dxa"/>
            <w:tcBorders>
              <w:top w:val="single" w:sz="6" w:space="0" w:color="000000"/>
              <w:left w:val="single" w:sz="19" w:space="0" w:color="000000"/>
              <w:bottom w:val="nil"/>
              <w:right w:val="nil"/>
            </w:tcBorders>
          </w:tcPr>
          <w:p w:rsidR="002F14F8" w:rsidRPr="00A66C48" w:rsidRDefault="002F14F8" w:rsidP="0061187B">
            <w:pPr>
              <w:numPr>
                <w:ilvl w:val="12"/>
                <w:numId w:val="0"/>
              </w:numPr>
              <w:spacing w:before="54" w:after="19"/>
            </w:pPr>
            <w:r w:rsidRPr="00A66C48">
              <w:rPr>
                <w:rFonts w:ascii="Times New Roman" w:hAnsi="Times New Roman"/>
              </w:rPr>
              <w:t xml:space="preserve">Respondent Burden/Cost Estimates </w:t>
            </w:r>
          </w:p>
        </w:tc>
        <w:tc>
          <w:tcPr>
            <w:tcW w:w="2903" w:type="dxa"/>
            <w:tcBorders>
              <w:top w:val="single" w:sz="6" w:space="0" w:color="000000"/>
              <w:left w:val="single" w:sz="6" w:space="0" w:color="000000"/>
              <w:bottom w:val="nil"/>
              <w:right w:val="nil"/>
            </w:tcBorders>
          </w:tcPr>
          <w:p w:rsidR="002F14F8" w:rsidRPr="00A66C48" w:rsidRDefault="00364F66" w:rsidP="00364F66">
            <w:pPr>
              <w:numPr>
                <w:ilvl w:val="12"/>
                <w:numId w:val="0"/>
              </w:numPr>
              <w:spacing w:before="54" w:after="19"/>
              <w:jc w:val="center"/>
            </w:pPr>
            <w:r w:rsidRPr="00A66C48">
              <w:rPr>
                <w:rFonts w:ascii="Times New Roman" w:hAnsi="Times New Roman"/>
              </w:rPr>
              <w:t>5,</w:t>
            </w:r>
            <w:r w:rsidR="000376AD">
              <w:rPr>
                <w:rFonts w:ascii="Times New Roman" w:hAnsi="Times New Roman"/>
              </w:rPr>
              <w:t>5</w:t>
            </w:r>
            <w:r w:rsidR="00A51744" w:rsidRPr="00A66C48">
              <w:rPr>
                <w:rFonts w:ascii="Times New Roman" w:hAnsi="Times New Roman"/>
              </w:rPr>
              <w:t>0</w:t>
            </w:r>
            <w:r w:rsidR="000376AD">
              <w:rPr>
                <w:rFonts w:ascii="Times New Roman" w:hAnsi="Times New Roman"/>
              </w:rPr>
              <w:t>7</w:t>
            </w:r>
          </w:p>
        </w:tc>
        <w:tc>
          <w:tcPr>
            <w:tcW w:w="2344" w:type="dxa"/>
            <w:tcBorders>
              <w:top w:val="single" w:sz="6" w:space="0" w:color="000000"/>
              <w:left w:val="single" w:sz="6" w:space="0" w:color="000000"/>
              <w:bottom w:val="nil"/>
              <w:right w:val="single" w:sz="19" w:space="0" w:color="000000"/>
            </w:tcBorders>
          </w:tcPr>
          <w:p w:rsidR="002F14F8" w:rsidRPr="00A66C48" w:rsidRDefault="00537A19" w:rsidP="00364F66">
            <w:pPr>
              <w:numPr>
                <w:ilvl w:val="12"/>
                <w:numId w:val="0"/>
              </w:numPr>
              <w:spacing w:before="54" w:after="19"/>
              <w:jc w:val="center"/>
              <w:rPr>
                <w:rFonts w:ascii="Times New Roman" w:hAnsi="Times New Roman"/>
              </w:rPr>
            </w:pPr>
            <w:r w:rsidRPr="00A66C48">
              <w:rPr>
                <w:rFonts w:ascii="Times New Roman" w:hAnsi="Times New Roman"/>
              </w:rPr>
              <w:t>$</w:t>
            </w:r>
            <w:r w:rsidR="00364F66" w:rsidRPr="00A66C48">
              <w:rPr>
                <w:rFonts w:ascii="Times New Roman" w:hAnsi="Times New Roman"/>
              </w:rPr>
              <w:t>30</w:t>
            </w:r>
            <w:r w:rsidR="000376AD">
              <w:rPr>
                <w:rFonts w:ascii="Times New Roman" w:hAnsi="Times New Roman"/>
              </w:rPr>
              <w:t>6</w:t>
            </w:r>
            <w:r w:rsidR="00364F66" w:rsidRPr="00A66C48">
              <w:rPr>
                <w:rFonts w:ascii="Times New Roman" w:hAnsi="Times New Roman"/>
              </w:rPr>
              <w:t>,</w:t>
            </w:r>
            <w:r w:rsidR="000376AD">
              <w:rPr>
                <w:rFonts w:ascii="Times New Roman" w:hAnsi="Times New Roman"/>
              </w:rPr>
              <w:t>880</w:t>
            </w:r>
          </w:p>
        </w:tc>
      </w:tr>
      <w:tr w:rsidR="002F14F8" w:rsidRPr="00A66C48" w:rsidTr="00A51744">
        <w:trPr>
          <w:cantSplit/>
          <w:jc w:val="center"/>
        </w:trPr>
        <w:tc>
          <w:tcPr>
            <w:tcW w:w="4315" w:type="dxa"/>
            <w:tcBorders>
              <w:top w:val="single" w:sz="6" w:space="0" w:color="000000"/>
              <w:left w:val="single" w:sz="19" w:space="0" w:color="000000"/>
              <w:bottom w:val="single" w:sz="19" w:space="0" w:color="000000"/>
              <w:right w:val="nil"/>
            </w:tcBorders>
          </w:tcPr>
          <w:p w:rsidR="002F14F8" w:rsidRPr="00A66C48" w:rsidRDefault="002F14F8" w:rsidP="0061187B">
            <w:pPr>
              <w:numPr>
                <w:ilvl w:val="12"/>
                <w:numId w:val="0"/>
              </w:numPr>
              <w:spacing w:before="54" w:after="19"/>
            </w:pPr>
            <w:r w:rsidRPr="00A66C48">
              <w:rPr>
                <w:rFonts w:ascii="Times New Roman" w:hAnsi="Times New Roman"/>
              </w:rPr>
              <w:t>Agency Burden/Cost Estimates</w:t>
            </w:r>
          </w:p>
        </w:tc>
        <w:tc>
          <w:tcPr>
            <w:tcW w:w="2903" w:type="dxa"/>
            <w:tcBorders>
              <w:top w:val="single" w:sz="6" w:space="0" w:color="000000"/>
              <w:left w:val="single" w:sz="6" w:space="0" w:color="000000"/>
              <w:bottom w:val="single" w:sz="19" w:space="0" w:color="000000"/>
              <w:right w:val="nil"/>
            </w:tcBorders>
          </w:tcPr>
          <w:p w:rsidR="002F14F8" w:rsidRPr="00A66C48" w:rsidRDefault="00364F66" w:rsidP="00364F66">
            <w:pPr>
              <w:numPr>
                <w:ilvl w:val="12"/>
                <w:numId w:val="0"/>
              </w:numPr>
              <w:spacing w:before="54" w:after="19"/>
              <w:jc w:val="center"/>
            </w:pPr>
            <w:r w:rsidRPr="00A66C48">
              <w:rPr>
                <w:rFonts w:ascii="Times New Roman" w:hAnsi="Times New Roman"/>
              </w:rPr>
              <w:t>19,</w:t>
            </w:r>
            <w:r w:rsidR="00C61452">
              <w:rPr>
                <w:rFonts w:ascii="Times New Roman" w:hAnsi="Times New Roman"/>
              </w:rPr>
              <w:t>812</w:t>
            </w:r>
          </w:p>
        </w:tc>
        <w:tc>
          <w:tcPr>
            <w:tcW w:w="2344" w:type="dxa"/>
            <w:tcBorders>
              <w:top w:val="single" w:sz="6" w:space="0" w:color="000000"/>
              <w:left w:val="single" w:sz="6" w:space="0" w:color="000000"/>
              <w:bottom w:val="single" w:sz="19" w:space="0" w:color="000000"/>
              <w:right w:val="single" w:sz="19" w:space="0" w:color="000000"/>
            </w:tcBorders>
          </w:tcPr>
          <w:p w:rsidR="002F14F8" w:rsidRPr="00A66C48" w:rsidRDefault="00827BC4" w:rsidP="00364F66">
            <w:pPr>
              <w:numPr>
                <w:ilvl w:val="12"/>
                <w:numId w:val="0"/>
              </w:numPr>
              <w:spacing w:before="54" w:after="19"/>
              <w:jc w:val="center"/>
            </w:pPr>
            <w:r w:rsidRPr="00A66C48">
              <w:rPr>
                <w:rFonts w:ascii="Times New Roman" w:hAnsi="Times New Roman"/>
              </w:rPr>
              <w:t>$</w:t>
            </w:r>
            <w:r w:rsidR="00364F66" w:rsidRPr="00A66C48">
              <w:rPr>
                <w:rFonts w:ascii="Times New Roman" w:hAnsi="Times New Roman"/>
              </w:rPr>
              <w:t>1,</w:t>
            </w:r>
            <w:r w:rsidR="009171B7" w:rsidRPr="00A66C48">
              <w:rPr>
                <w:rFonts w:ascii="Times New Roman" w:hAnsi="Times New Roman"/>
              </w:rPr>
              <w:t>52</w:t>
            </w:r>
            <w:r w:rsidR="00DE5A01" w:rsidRPr="00A66C48">
              <w:rPr>
                <w:rFonts w:ascii="Times New Roman" w:hAnsi="Times New Roman"/>
              </w:rPr>
              <w:t>8</w:t>
            </w:r>
            <w:r w:rsidR="009171B7" w:rsidRPr="00A66C48">
              <w:rPr>
                <w:rFonts w:ascii="Times New Roman" w:hAnsi="Times New Roman"/>
              </w:rPr>
              <w:t>,</w:t>
            </w:r>
            <w:r w:rsidR="00DE5A01" w:rsidRPr="00A66C48">
              <w:rPr>
                <w:rFonts w:ascii="Times New Roman" w:hAnsi="Times New Roman"/>
              </w:rPr>
              <w:t>1</w:t>
            </w:r>
            <w:r w:rsidR="009171B7" w:rsidRPr="00A66C48">
              <w:rPr>
                <w:rFonts w:ascii="Times New Roman" w:hAnsi="Times New Roman"/>
              </w:rPr>
              <w:t>45</w:t>
            </w:r>
          </w:p>
        </w:tc>
      </w:tr>
    </w:tbl>
    <w:p w:rsidR="002F14F8" w:rsidRPr="00A66C48" w:rsidRDefault="002F14F8" w:rsidP="002F14F8">
      <w:pPr>
        <w:rPr>
          <w:sz w:val="20"/>
          <w:szCs w:val="20"/>
        </w:rPr>
      </w:pPr>
    </w:p>
    <w:p w:rsidR="002F14F8" w:rsidRPr="00A66C48" w:rsidRDefault="00FD097E" w:rsidP="002F14F8">
      <w:pPr>
        <w:numPr>
          <w:ilvl w:val="12"/>
          <w:numId w:val="0"/>
        </w:numPr>
        <w:rPr>
          <w:rFonts w:ascii="Times New Roman" w:hAnsi="Times New Roman"/>
          <w:sz w:val="20"/>
          <w:szCs w:val="20"/>
        </w:rPr>
      </w:pPr>
      <w:r w:rsidRPr="00A66C48">
        <w:rPr>
          <w:rFonts w:ascii="Times New Roman" w:hAnsi="Times New Roman"/>
          <w:sz w:val="20"/>
          <w:szCs w:val="20"/>
        </w:rPr>
        <w:t xml:space="preserve"> </w:t>
      </w:r>
    </w:p>
    <w:p w:rsidR="002F14F8" w:rsidRPr="00A66C48" w:rsidRDefault="002F14F8" w:rsidP="002F14F8">
      <w:pPr>
        <w:numPr>
          <w:ilvl w:val="12"/>
          <w:numId w:val="0"/>
        </w:numPr>
        <w:rPr>
          <w:rFonts w:ascii="Times New Roman" w:hAnsi="Times New Roman"/>
        </w:rPr>
      </w:pPr>
      <w:r w:rsidRPr="00A66C48">
        <w:rPr>
          <w:rFonts w:ascii="Times New Roman" w:hAnsi="Times New Roman"/>
          <w:b/>
          <w:bCs/>
          <w:sz w:val="20"/>
          <w:szCs w:val="20"/>
        </w:rPr>
        <w:lastRenderedPageBreak/>
        <w:tab/>
      </w:r>
      <w:r w:rsidRPr="00A66C48">
        <w:rPr>
          <w:rFonts w:ascii="Times New Roman" w:hAnsi="Times New Roman"/>
          <w:b/>
          <w:bCs/>
        </w:rPr>
        <w:t xml:space="preserve">6(e). Reasons for Change </w:t>
      </w:r>
      <w:r w:rsidR="00EC53D5" w:rsidRPr="00A66C48">
        <w:rPr>
          <w:rFonts w:ascii="Times New Roman" w:hAnsi="Times New Roman"/>
          <w:b/>
          <w:bCs/>
        </w:rPr>
        <w:t>i</w:t>
      </w:r>
      <w:r w:rsidRPr="00A66C48">
        <w:rPr>
          <w:rFonts w:ascii="Times New Roman" w:hAnsi="Times New Roman"/>
          <w:b/>
          <w:bCs/>
        </w:rPr>
        <w:t>n Burden</w:t>
      </w:r>
    </w:p>
    <w:p w:rsidR="002F14F8" w:rsidRPr="00A66C48" w:rsidRDefault="002F14F8" w:rsidP="002F14F8">
      <w:pPr>
        <w:numPr>
          <w:ilvl w:val="12"/>
          <w:numId w:val="0"/>
        </w:numPr>
        <w:rPr>
          <w:rFonts w:ascii="Times New Roman" w:hAnsi="Times New Roman"/>
        </w:rPr>
      </w:pPr>
    </w:p>
    <w:p w:rsidR="00DF0A72" w:rsidRDefault="002F14F8" w:rsidP="002F14F8">
      <w:pPr>
        <w:numPr>
          <w:ilvl w:val="12"/>
          <w:numId w:val="0"/>
        </w:numPr>
        <w:rPr>
          <w:rFonts w:ascii="Times New Roman" w:hAnsi="Times New Roman"/>
        </w:rPr>
      </w:pPr>
      <w:r w:rsidRPr="00A66C48">
        <w:rPr>
          <w:rFonts w:ascii="Times New Roman" w:hAnsi="Times New Roman"/>
        </w:rPr>
        <w:tab/>
      </w:r>
      <w:r w:rsidR="000376AD" w:rsidRPr="00A66C48">
        <w:rPr>
          <w:rFonts w:ascii="Times New Roman" w:hAnsi="Times New Roman"/>
        </w:rPr>
        <w:t>The estimated total respondent burden is expected to increase</w:t>
      </w:r>
      <w:r w:rsidR="000376AD">
        <w:rPr>
          <w:rFonts w:ascii="Times New Roman" w:hAnsi="Times New Roman"/>
        </w:rPr>
        <w:t xml:space="preserve"> by 614 hours</w:t>
      </w:r>
      <w:r w:rsidR="000376AD" w:rsidRPr="00A66C48">
        <w:rPr>
          <w:rFonts w:ascii="Times New Roman" w:hAnsi="Times New Roman"/>
        </w:rPr>
        <w:t xml:space="preserve"> from 4,893</w:t>
      </w:r>
      <w:r w:rsidR="001916C7">
        <w:rPr>
          <w:rFonts w:ascii="Times New Roman" w:hAnsi="Times New Roman"/>
        </w:rPr>
        <w:t xml:space="preserve"> for the previous ICR renewal</w:t>
      </w:r>
      <w:r w:rsidR="000376AD" w:rsidRPr="00A66C48">
        <w:rPr>
          <w:rFonts w:ascii="Times New Roman" w:hAnsi="Times New Roman"/>
        </w:rPr>
        <w:t xml:space="preserve"> hours to 5,</w:t>
      </w:r>
      <w:r w:rsidR="000376AD">
        <w:rPr>
          <w:rFonts w:ascii="Times New Roman" w:hAnsi="Times New Roman"/>
        </w:rPr>
        <w:t>5</w:t>
      </w:r>
      <w:r w:rsidR="000376AD" w:rsidRPr="00A66C48">
        <w:rPr>
          <w:rFonts w:ascii="Times New Roman" w:hAnsi="Times New Roman"/>
        </w:rPr>
        <w:t>0</w:t>
      </w:r>
      <w:r w:rsidR="000376AD">
        <w:rPr>
          <w:rFonts w:ascii="Times New Roman" w:hAnsi="Times New Roman"/>
        </w:rPr>
        <w:t>7</w:t>
      </w:r>
      <w:r w:rsidR="000376AD" w:rsidRPr="00A66C48">
        <w:rPr>
          <w:rFonts w:ascii="Times New Roman" w:hAnsi="Times New Roman"/>
        </w:rPr>
        <w:t xml:space="preserve"> hours</w:t>
      </w:r>
      <w:r w:rsidR="001916C7">
        <w:rPr>
          <w:rFonts w:ascii="Times New Roman" w:hAnsi="Times New Roman"/>
        </w:rPr>
        <w:t xml:space="preserve"> for this renewal</w:t>
      </w:r>
      <w:r w:rsidR="000376AD">
        <w:rPr>
          <w:rFonts w:ascii="Times New Roman" w:hAnsi="Times New Roman"/>
        </w:rPr>
        <w:t>.</w:t>
      </w:r>
      <w:r w:rsidR="000376AD" w:rsidRPr="00A66C48">
        <w:rPr>
          <w:rFonts w:ascii="Times New Roman" w:hAnsi="Times New Roman"/>
        </w:rPr>
        <w:t xml:space="preserve"> </w:t>
      </w:r>
      <w:r w:rsidR="00C15ABA">
        <w:rPr>
          <w:rFonts w:ascii="Times New Roman" w:hAnsi="Times New Roman"/>
        </w:rPr>
        <w:t>The increase in burden is a result of a number of factors. First, t</w:t>
      </w:r>
      <w:r w:rsidR="00C15ABA" w:rsidRPr="00A66C48">
        <w:rPr>
          <w:rFonts w:ascii="Times New Roman" w:hAnsi="Times New Roman"/>
        </w:rPr>
        <w:t xml:space="preserve">he </w:t>
      </w:r>
      <w:r w:rsidR="00AB72B8">
        <w:rPr>
          <w:rFonts w:ascii="Times New Roman" w:hAnsi="Times New Roman"/>
        </w:rPr>
        <w:t xml:space="preserve">estimated </w:t>
      </w:r>
      <w:r w:rsidR="00C15ABA" w:rsidRPr="00A66C48">
        <w:rPr>
          <w:rFonts w:ascii="Times New Roman" w:hAnsi="Times New Roman"/>
        </w:rPr>
        <w:t>average burden hours per response increased from 4.2</w:t>
      </w:r>
      <w:r w:rsidR="00AB72B8">
        <w:rPr>
          <w:rFonts w:ascii="Times New Roman" w:hAnsi="Times New Roman"/>
        </w:rPr>
        <w:t>0</w:t>
      </w:r>
      <w:r w:rsidR="00C15ABA" w:rsidRPr="00A66C48">
        <w:rPr>
          <w:rFonts w:ascii="Times New Roman" w:hAnsi="Times New Roman"/>
        </w:rPr>
        <w:t xml:space="preserve"> hours to </w:t>
      </w:r>
      <w:r w:rsidR="00C15ABA">
        <w:rPr>
          <w:rFonts w:ascii="Times New Roman" w:hAnsi="Times New Roman"/>
        </w:rPr>
        <w:t>8.0</w:t>
      </w:r>
      <w:r w:rsidR="001D7392">
        <w:rPr>
          <w:rFonts w:ascii="Times New Roman" w:hAnsi="Times New Roman"/>
        </w:rPr>
        <w:t>4</w:t>
      </w:r>
      <w:r w:rsidR="00C15ABA" w:rsidRPr="00A66C48">
        <w:rPr>
          <w:rFonts w:ascii="Times New Roman" w:hAnsi="Times New Roman"/>
        </w:rPr>
        <w:t xml:space="preserve"> hours per submission.</w:t>
      </w:r>
      <w:r w:rsidR="00C15ABA">
        <w:rPr>
          <w:rFonts w:ascii="Times New Roman" w:hAnsi="Times New Roman"/>
        </w:rPr>
        <w:t xml:space="preserve"> The average burden per response is an average over</w:t>
      </w:r>
      <w:r w:rsidR="00AB72B8">
        <w:rPr>
          <w:rFonts w:ascii="Times New Roman" w:hAnsi="Times New Roman"/>
        </w:rPr>
        <w:t xml:space="preserve"> </w:t>
      </w:r>
      <w:r w:rsidR="00C15ABA">
        <w:rPr>
          <w:rFonts w:ascii="Times New Roman" w:hAnsi="Times New Roman"/>
        </w:rPr>
        <w:t>all response types.</w:t>
      </w:r>
      <w:r w:rsidR="00C15ABA" w:rsidRPr="00A66C48">
        <w:rPr>
          <w:rFonts w:ascii="Times New Roman" w:hAnsi="Times New Roman"/>
        </w:rPr>
        <w:t xml:space="preserve"> </w:t>
      </w:r>
      <w:r w:rsidR="00C15ABA">
        <w:rPr>
          <w:rFonts w:ascii="Times New Roman" w:hAnsi="Times New Roman"/>
        </w:rPr>
        <w:t xml:space="preserve">Based on comments received during consultations with stakeholders, EPA increased the burden </w:t>
      </w:r>
      <w:r w:rsidR="00A92357">
        <w:rPr>
          <w:rFonts w:ascii="Times New Roman" w:hAnsi="Times New Roman"/>
        </w:rPr>
        <w:t xml:space="preserve">estimate </w:t>
      </w:r>
      <w:r w:rsidR="00C15ABA">
        <w:rPr>
          <w:rFonts w:ascii="Times New Roman" w:hAnsi="Times New Roman"/>
        </w:rPr>
        <w:t xml:space="preserve">per response for CRP certifications that do not require data. </w:t>
      </w:r>
      <w:r w:rsidR="00DF0A72">
        <w:rPr>
          <w:rFonts w:ascii="Times New Roman" w:hAnsi="Times New Roman"/>
        </w:rPr>
        <w:t>Second</w:t>
      </w:r>
      <w:r w:rsidR="00C15ABA">
        <w:rPr>
          <w:rFonts w:ascii="Times New Roman" w:hAnsi="Times New Roman"/>
        </w:rPr>
        <w:t>, there has been a</w:t>
      </w:r>
      <w:r w:rsidR="00C15ABA" w:rsidRPr="00A66C48">
        <w:rPr>
          <w:rFonts w:ascii="Times New Roman" w:hAnsi="Times New Roman"/>
        </w:rPr>
        <w:t xml:space="preserve"> change in the distribution of response</w:t>
      </w:r>
      <w:r w:rsidR="00DF0A72">
        <w:rPr>
          <w:rFonts w:ascii="Times New Roman" w:hAnsi="Times New Roman"/>
        </w:rPr>
        <w:t>s among the four response types.</w:t>
      </w:r>
      <w:r w:rsidR="00C15ABA" w:rsidRPr="00A66C48">
        <w:rPr>
          <w:rFonts w:ascii="Times New Roman" w:hAnsi="Times New Roman"/>
        </w:rPr>
        <w:t xml:space="preserve"> </w:t>
      </w:r>
      <w:r w:rsidR="00DF0A72">
        <w:rPr>
          <w:rFonts w:ascii="Times New Roman" w:hAnsi="Times New Roman"/>
        </w:rPr>
        <w:t>T</w:t>
      </w:r>
      <w:r w:rsidR="00DF0A72" w:rsidRPr="00A66C48">
        <w:rPr>
          <w:rFonts w:ascii="Times New Roman" w:hAnsi="Times New Roman"/>
        </w:rPr>
        <w:t xml:space="preserve">he number of responses </w:t>
      </w:r>
      <w:r w:rsidR="00823C5F">
        <w:rPr>
          <w:rFonts w:ascii="Times New Roman" w:hAnsi="Times New Roman"/>
        </w:rPr>
        <w:t xml:space="preserve">annually </w:t>
      </w:r>
      <w:r w:rsidR="00DF0A72" w:rsidRPr="00A66C48">
        <w:rPr>
          <w:rFonts w:ascii="Times New Roman" w:hAnsi="Times New Roman"/>
        </w:rPr>
        <w:t xml:space="preserve">is expected to decrease from 1,165 in the last ICR approval to 685. </w:t>
      </w:r>
      <w:r w:rsidR="00DF0A72">
        <w:rPr>
          <w:rFonts w:ascii="Times New Roman" w:hAnsi="Times New Roman"/>
        </w:rPr>
        <w:t>Although the estimated</w:t>
      </w:r>
      <w:r w:rsidR="00DF0A72" w:rsidRPr="00A66C48">
        <w:rPr>
          <w:rFonts w:ascii="Times New Roman" w:hAnsi="Times New Roman"/>
        </w:rPr>
        <w:t xml:space="preserve"> number of responses for the current ICR renewal is expected to be significantly less than the last ICR approval, </w:t>
      </w:r>
      <w:r w:rsidR="00DF0A72">
        <w:rPr>
          <w:rFonts w:ascii="Times New Roman" w:hAnsi="Times New Roman"/>
        </w:rPr>
        <w:t>there is a</w:t>
      </w:r>
      <w:r w:rsidR="00DF0A72" w:rsidRPr="00A66C48">
        <w:rPr>
          <w:rFonts w:ascii="Times New Roman" w:hAnsi="Times New Roman"/>
        </w:rPr>
        <w:t xml:space="preserve"> net shift from less-burdensome (CRP certifications without data) to more-burdensome (CRP certifications with data) type responses.</w:t>
      </w:r>
      <w:r w:rsidR="00DF0A72">
        <w:rPr>
          <w:rFonts w:ascii="Times New Roman" w:hAnsi="Times New Roman"/>
        </w:rPr>
        <w:t xml:space="preserve"> </w:t>
      </w:r>
      <w:r w:rsidR="00C15ABA" w:rsidRPr="00A66C48">
        <w:rPr>
          <w:rFonts w:ascii="Times New Roman" w:hAnsi="Times New Roman"/>
        </w:rPr>
        <w:t>This increase is partially due to the expiration of the exclusive use period for certain pesticide chem</w:t>
      </w:r>
      <w:r w:rsidR="001916C7">
        <w:rPr>
          <w:rFonts w:ascii="Times New Roman" w:hAnsi="Times New Roman"/>
        </w:rPr>
        <w:t xml:space="preserve">icals; </w:t>
      </w:r>
      <w:r w:rsidR="00C15ABA" w:rsidRPr="00A66C48">
        <w:rPr>
          <w:rFonts w:ascii="Times New Roman" w:hAnsi="Times New Roman"/>
        </w:rPr>
        <w:t>registrants with product</w:t>
      </w:r>
      <w:r w:rsidR="001916C7">
        <w:rPr>
          <w:rFonts w:ascii="Times New Roman" w:hAnsi="Times New Roman"/>
        </w:rPr>
        <w:t>s using these chemicals will</w:t>
      </w:r>
      <w:r w:rsidR="00C15ABA" w:rsidRPr="00A66C48">
        <w:rPr>
          <w:rFonts w:ascii="Times New Roman" w:hAnsi="Times New Roman"/>
        </w:rPr>
        <w:t xml:space="preserve"> be required to provide their own CRP test data, which will have to be reviewed for human safety/health risk concerns.  </w:t>
      </w:r>
    </w:p>
    <w:p w:rsidR="002F14F8" w:rsidRPr="00A66C48" w:rsidRDefault="002F14F8" w:rsidP="002F14F8">
      <w:pPr>
        <w:numPr>
          <w:ilvl w:val="12"/>
          <w:numId w:val="0"/>
        </w:numPr>
        <w:rPr>
          <w:rFonts w:ascii="Times New Roman" w:hAnsi="Times New Roman"/>
        </w:rPr>
      </w:pPr>
    </w:p>
    <w:p w:rsidR="002F14F8" w:rsidRPr="00A66C48" w:rsidRDefault="002F14F8" w:rsidP="002F14F8">
      <w:pPr>
        <w:numPr>
          <w:ilvl w:val="12"/>
          <w:numId w:val="0"/>
        </w:numPr>
        <w:rPr>
          <w:rFonts w:ascii="Times New Roman" w:hAnsi="Times New Roman"/>
          <w:b/>
          <w:bCs/>
        </w:rPr>
      </w:pPr>
      <w:r w:rsidRPr="00A66C48">
        <w:rPr>
          <w:rFonts w:ascii="Times New Roman" w:hAnsi="Times New Roman"/>
          <w:b/>
          <w:bCs/>
        </w:rPr>
        <w:tab/>
        <w:t>6(f). Burden Statement</w:t>
      </w:r>
    </w:p>
    <w:p w:rsidR="002F14F8" w:rsidRPr="00A66C48" w:rsidRDefault="002F14F8" w:rsidP="002F14F8">
      <w:pPr>
        <w:numPr>
          <w:ilvl w:val="12"/>
          <w:numId w:val="0"/>
        </w:numPr>
        <w:rPr>
          <w:rFonts w:ascii="Times New Roman" w:hAnsi="Times New Roman"/>
          <w:b/>
          <w:bCs/>
        </w:rPr>
      </w:pPr>
    </w:p>
    <w:p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006D29CA" w:rsidRPr="00A66C48">
        <w:rPr>
          <w:rFonts w:ascii="Times New Roman" w:hAnsi="Times New Roman"/>
        </w:rPr>
        <w:t xml:space="preserve">The total annual respondent burden for the collection of information contained in this ICR is estimated to be </w:t>
      </w:r>
      <w:r w:rsidR="00F27E69" w:rsidRPr="00A66C48">
        <w:rPr>
          <w:rFonts w:ascii="Times New Roman" w:hAnsi="Times New Roman"/>
        </w:rPr>
        <w:t>5,</w:t>
      </w:r>
      <w:r w:rsidR="00C15ABA">
        <w:rPr>
          <w:rFonts w:ascii="Times New Roman" w:hAnsi="Times New Roman"/>
        </w:rPr>
        <w:t>5</w:t>
      </w:r>
      <w:r w:rsidR="00A51744" w:rsidRPr="00A66C48">
        <w:rPr>
          <w:rFonts w:ascii="Times New Roman" w:hAnsi="Times New Roman"/>
        </w:rPr>
        <w:t>0</w:t>
      </w:r>
      <w:r w:rsidR="00C15ABA">
        <w:rPr>
          <w:rFonts w:ascii="Times New Roman" w:hAnsi="Times New Roman"/>
        </w:rPr>
        <w:t>7</w:t>
      </w:r>
      <w:r w:rsidR="00DD3BB9" w:rsidRPr="00A66C48">
        <w:rPr>
          <w:rFonts w:ascii="Times New Roman" w:hAnsi="Times New Roman"/>
        </w:rPr>
        <w:t xml:space="preserve"> </w:t>
      </w:r>
      <w:r w:rsidR="006D29CA" w:rsidRPr="00A66C48">
        <w:rPr>
          <w:rFonts w:ascii="Times New Roman" w:hAnsi="Times New Roman"/>
        </w:rPr>
        <w:t xml:space="preserve">hours. </w:t>
      </w:r>
      <w:r w:rsidRPr="00A66C48">
        <w:rPr>
          <w:rFonts w:ascii="Times New Roman" w:hAnsi="Times New Roman"/>
        </w:rPr>
        <w:t xml:space="preserve">The average "respondent" (certifier) burden for the Compliance Requirement for the CRP regulations is estimated to be </w:t>
      </w:r>
      <w:r w:rsidR="00C15ABA">
        <w:rPr>
          <w:rFonts w:ascii="Times New Roman" w:hAnsi="Times New Roman"/>
        </w:rPr>
        <w:t>8.0</w:t>
      </w:r>
      <w:r w:rsidR="001D7392">
        <w:rPr>
          <w:rFonts w:ascii="Times New Roman" w:hAnsi="Times New Roman"/>
        </w:rPr>
        <w:t>4</w:t>
      </w:r>
      <w:r w:rsidRPr="00A66C48">
        <w:rPr>
          <w:rFonts w:ascii="Times New Roman" w:hAnsi="Times New Roman"/>
          <w:bCs/>
        </w:rPr>
        <w:t xml:space="preserve"> hours per submission</w:t>
      </w:r>
      <w:r w:rsidRPr="00A66C48">
        <w:rPr>
          <w:rFonts w:ascii="Times New Roman" w:hAnsi="Times New Roman"/>
        </w:rPr>
        <w:t xml:space="preserve"> of data necessary to support a claim that product is not subject to CRP, should be exempt from CRP, or CRP certification, including time for:  reading relevant federal legislation and regulations; conducting performance testing on closures and/or devices; reviewing test data; prepar</w:t>
      </w:r>
      <w:r w:rsidR="00A06485">
        <w:rPr>
          <w:rFonts w:ascii="Times New Roman" w:hAnsi="Times New Roman"/>
        </w:rPr>
        <w:t>ing</w:t>
      </w:r>
      <w:r w:rsidRPr="00A66C48">
        <w:rPr>
          <w:rFonts w:ascii="Times New Roman" w:hAnsi="Times New Roman"/>
        </w:rPr>
        <w:t xml:space="preserve"> submission or CRP certification; and recordkeeping regarding the CRP certification or submission. </w:t>
      </w:r>
    </w:p>
    <w:p w:rsidR="006D29CA" w:rsidRPr="00A66C48" w:rsidRDefault="006D29CA" w:rsidP="002F14F8">
      <w:pPr>
        <w:numPr>
          <w:ilvl w:val="12"/>
          <w:numId w:val="0"/>
        </w:numPr>
        <w:rPr>
          <w:rFonts w:ascii="Times New Roman" w:hAnsi="Times New Roman"/>
        </w:rPr>
      </w:pPr>
    </w:p>
    <w:p w:rsidR="00A51744" w:rsidRPr="00A66C48" w:rsidRDefault="00A51744" w:rsidP="00A51744">
      <w:pPr>
        <w:pStyle w:val="PlainText"/>
        <w:ind w:firstLine="720"/>
        <w:rPr>
          <w:rFonts w:ascii="Times New Roman" w:hAnsi="Times New Roman" w:cs="Times New Roman"/>
          <w:sz w:val="24"/>
          <w:szCs w:val="24"/>
        </w:rPr>
      </w:pPr>
      <w:r w:rsidRPr="00A66C48">
        <w:rPr>
          <w:rFonts w:ascii="Times New Roman" w:hAnsi="Times New Roman" w:cs="Times New Roman"/>
          <w:sz w:val="24"/>
          <w:szCs w:val="24"/>
        </w:rPr>
        <w:t xml:space="preserve">“Burden” is defined in 5 CFR 1320.3(b). The Agency may not conduct or sponsor, and a person is not required to respond to, a collection of information subject to the PRA unless it displays a currently valid OMB control number. OMB control numbers for certain regulations in Title 40, after initial display in the Federal Register, are listed in 40 CFR part 9 and may appear on the information collection instrument as applicable, i.e., form or instructions, and in the Federal Register. </w:t>
      </w:r>
    </w:p>
    <w:p w:rsidR="00F27E69" w:rsidRPr="00A66C48" w:rsidRDefault="00F27E69" w:rsidP="006D29CA">
      <w:pPr>
        <w:pStyle w:val="PlainText"/>
        <w:rPr>
          <w:rFonts w:ascii="Times New Roman" w:hAnsi="Times New Roman" w:cs="Times New Roman"/>
          <w:sz w:val="24"/>
          <w:szCs w:val="24"/>
        </w:rPr>
      </w:pPr>
    </w:p>
    <w:p w:rsidR="00F27E69" w:rsidRPr="00A66C48" w:rsidRDefault="00F27E69" w:rsidP="00F27E69">
      <w:pPr>
        <w:pStyle w:val="PlainText"/>
        <w:rPr>
          <w:rFonts w:ascii="Times New Roman" w:hAnsi="Times New Roman"/>
          <w:sz w:val="24"/>
          <w:szCs w:val="24"/>
        </w:rPr>
      </w:pPr>
      <w:r w:rsidRPr="00A66C48">
        <w:rPr>
          <w:rFonts w:ascii="Times New Roman" w:hAnsi="Times New Roman"/>
          <w:sz w:val="24"/>
          <w:szCs w:val="24"/>
        </w:rPr>
        <w:tab/>
        <w:t xml:space="preserve">The Agency has established a public docket for this ICR under Docket ID No. EPA-HQ-OPP-2013-0493, which is available for online viewing at </w:t>
      </w:r>
      <w:hyperlink r:id="rId17" w:history="1">
        <w:r w:rsidRPr="00A66C48">
          <w:rPr>
            <w:rStyle w:val="Hyperlink"/>
            <w:rFonts w:ascii="Times New Roman" w:hAnsi="Times New Roman"/>
            <w:color w:val="auto"/>
            <w:sz w:val="24"/>
            <w:szCs w:val="24"/>
          </w:rPr>
          <w:t>www.regulations.gov</w:t>
        </w:r>
      </w:hyperlink>
      <w:r w:rsidRPr="00A66C48">
        <w:rPr>
          <w:rFonts w:ascii="Times New Roman" w:hAnsi="Times New Roman"/>
          <w:sz w:val="24"/>
          <w:szCs w:val="24"/>
        </w:rPr>
        <w:t xml:space="preserve">, or in person viewing at the EPA Docket Center-Public Reading Room, EPA West Building, in Rm. S-3334, 1301 Constitution Avenue, NW, Washington, DC. This docket facility is open from 8:30 a.m. to 4:30 p.m., Monday through Friday, excluding federal holidays.  The docket telephone number is (202) 566-1744.  You may submit comments regarding the Agency's need for this information, the accuracy of the provided burden estimates and any suggested methods for minimizing respondent burden, including the use of automated collection techniques.  </w:t>
      </w:r>
    </w:p>
    <w:p w:rsidR="00F27E69" w:rsidRPr="00A66C48" w:rsidRDefault="00F27E69" w:rsidP="00F27E69">
      <w:pPr>
        <w:pStyle w:val="PlainText"/>
        <w:rPr>
          <w:rFonts w:ascii="Times New Roman" w:hAnsi="Times New Roman"/>
          <w:sz w:val="24"/>
          <w:szCs w:val="24"/>
        </w:rPr>
      </w:pPr>
    </w:p>
    <w:p w:rsidR="00F27E69" w:rsidRPr="00BF1413" w:rsidRDefault="00F27E69" w:rsidP="00F27E69">
      <w:pPr>
        <w:pStyle w:val="PlainText"/>
        <w:rPr>
          <w:rFonts w:ascii="Times New Roman" w:hAnsi="Times New Roman"/>
          <w:sz w:val="24"/>
          <w:szCs w:val="24"/>
        </w:rPr>
      </w:pPr>
      <w:r w:rsidRPr="00A66C48">
        <w:rPr>
          <w:rFonts w:ascii="Times New Roman" w:hAnsi="Times New Roman"/>
          <w:sz w:val="24"/>
          <w:szCs w:val="24"/>
        </w:rPr>
        <w:tab/>
        <w:t xml:space="preserve">Comments may be submitted to EPA electronically through </w:t>
      </w:r>
      <w:r w:rsidRPr="00A66C48">
        <w:rPr>
          <w:rFonts w:ascii="Times New Roman" w:hAnsi="Times New Roman"/>
          <w:sz w:val="24"/>
          <w:szCs w:val="24"/>
          <w:u w:val="single"/>
        </w:rPr>
        <w:t>http://www.regulations.gov</w:t>
      </w:r>
      <w:r w:rsidRPr="00A66C48">
        <w:rPr>
          <w:rFonts w:ascii="Times New Roman" w:hAnsi="Times New Roman"/>
          <w:sz w:val="24"/>
          <w:szCs w:val="24"/>
        </w:rPr>
        <w:t xml:space="preserve"> or by mail addressed to Director, Collection Strategies Division, U.S. Environmental Protection </w:t>
      </w:r>
      <w:r w:rsidRPr="00A66C48">
        <w:rPr>
          <w:rFonts w:ascii="Times New Roman" w:hAnsi="Times New Roman"/>
          <w:sz w:val="24"/>
          <w:szCs w:val="24"/>
        </w:rPr>
        <w:lastRenderedPageBreak/>
        <w:t xml:space="preserve">Agency (2822T), </w:t>
      </w:r>
      <w:proofErr w:type="gramStart"/>
      <w:r w:rsidRPr="00A66C48">
        <w:rPr>
          <w:rFonts w:ascii="Times New Roman" w:hAnsi="Times New Roman"/>
          <w:sz w:val="24"/>
          <w:szCs w:val="24"/>
        </w:rPr>
        <w:t>1200</w:t>
      </w:r>
      <w:proofErr w:type="gramEnd"/>
      <w:r w:rsidRPr="00A66C48">
        <w:rPr>
          <w:rFonts w:ascii="Times New Roman" w:hAnsi="Times New Roman"/>
          <w:sz w:val="24"/>
          <w:szCs w:val="24"/>
        </w:rPr>
        <w:t xml:space="preserve"> Pennsylvania Ave., NW, Washington, D.C. 20460.  Include Docket ID </w:t>
      </w:r>
      <w:r w:rsidRPr="00BF1413">
        <w:rPr>
          <w:rFonts w:ascii="Times New Roman" w:hAnsi="Times New Roman"/>
          <w:sz w:val="24"/>
          <w:szCs w:val="24"/>
        </w:rPr>
        <w:t>No. EPA-HQ-OPP-2013-0493 and OMB control number 2070-0052 in any correspondence.</w:t>
      </w:r>
    </w:p>
    <w:p w:rsidR="00BF1413" w:rsidRPr="00BF1413" w:rsidRDefault="00BF1413" w:rsidP="00F27E69">
      <w:pPr>
        <w:pStyle w:val="PlainText"/>
        <w:rPr>
          <w:rFonts w:ascii="Times New Roman" w:hAnsi="Times New Roman"/>
          <w:sz w:val="24"/>
          <w:szCs w:val="24"/>
        </w:rPr>
      </w:pPr>
    </w:p>
    <w:p w:rsidR="00BF1413" w:rsidRDefault="00BF1413" w:rsidP="00BF1413">
      <w:pPr>
        <w:pStyle w:val="PlainText"/>
        <w:rPr>
          <w:rFonts w:ascii="Times New Roman" w:hAnsi="Times New Roman"/>
          <w:b/>
          <w:bCs/>
          <w:sz w:val="24"/>
          <w:szCs w:val="24"/>
          <w:u w:val="single"/>
        </w:rPr>
      </w:pPr>
      <w:r w:rsidRPr="00BF1413">
        <w:rPr>
          <w:rFonts w:ascii="Times New Roman" w:hAnsi="Times New Roman"/>
          <w:b/>
          <w:bCs/>
          <w:sz w:val="24"/>
          <w:szCs w:val="24"/>
        </w:rPr>
        <w:t>7.</w:t>
      </w:r>
      <w:r w:rsidRPr="00BF1413">
        <w:rPr>
          <w:rFonts w:ascii="Times New Roman" w:hAnsi="Times New Roman"/>
          <w:b/>
          <w:bCs/>
          <w:sz w:val="24"/>
          <w:szCs w:val="24"/>
        </w:rPr>
        <w:tab/>
      </w:r>
      <w:r>
        <w:rPr>
          <w:rFonts w:ascii="Times New Roman" w:hAnsi="Times New Roman"/>
          <w:b/>
          <w:bCs/>
          <w:sz w:val="24"/>
          <w:szCs w:val="24"/>
          <w:u w:val="single"/>
        </w:rPr>
        <w:t>ATTACHMENTS</w:t>
      </w:r>
    </w:p>
    <w:p w:rsidR="001C007C" w:rsidRPr="00A66C48" w:rsidRDefault="001C007C" w:rsidP="001C007C">
      <w:pPr>
        <w:numPr>
          <w:ilvl w:val="12"/>
          <w:numId w:val="0"/>
        </w:numPr>
        <w:rPr>
          <w:rFonts w:ascii="Times New Roman" w:hAnsi="Times New Roman"/>
        </w:rPr>
      </w:pPr>
    </w:p>
    <w:p w:rsidR="004D2B4D" w:rsidRPr="00A66C48" w:rsidRDefault="004D2B4D" w:rsidP="00BF1413">
      <w:pPr>
        <w:numPr>
          <w:ilvl w:val="12"/>
          <w:numId w:val="0"/>
        </w:numPr>
        <w:ind w:firstLine="720"/>
        <w:rPr>
          <w:rFonts w:ascii="Times New Roman" w:hAnsi="Times New Roman"/>
        </w:rPr>
      </w:pPr>
      <w:r w:rsidRPr="00A66C48">
        <w:rPr>
          <w:rFonts w:ascii="Times New Roman" w:hAnsi="Times New Roman"/>
        </w:rPr>
        <w:t xml:space="preserve">All of the attachments listed below can be found in the docket for this ICR (unless otherwise noted); accessible electronically through </w:t>
      </w:r>
      <w:r w:rsidR="00BF1413" w:rsidRPr="00BF1413">
        <w:rPr>
          <w:rFonts w:ascii="Times New Roman" w:hAnsi="Times New Roman"/>
          <w:b/>
          <w:u w:val="single"/>
        </w:rPr>
        <w:t>http://</w:t>
      </w:r>
      <w:hyperlink r:id="rId18" w:history="1">
        <w:r w:rsidRPr="00BF1413">
          <w:rPr>
            <w:rStyle w:val="Hyperlink"/>
            <w:rFonts w:ascii="Times New Roman" w:hAnsi="Times New Roman"/>
            <w:b/>
            <w:color w:val="auto"/>
          </w:rPr>
          <w:t>www.Regulations.gov</w:t>
        </w:r>
      </w:hyperlink>
      <w:r w:rsidRPr="00A66C48">
        <w:rPr>
          <w:rFonts w:ascii="Times New Roman" w:hAnsi="Times New Roman"/>
        </w:rPr>
        <w:t xml:space="preserve">. On the main page, select </w:t>
      </w:r>
      <w:r w:rsidRPr="00A66C48">
        <w:rPr>
          <w:rFonts w:ascii="Times New Roman" w:hAnsi="Times New Roman"/>
          <w:b/>
        </w:rPr>
        <w:t>Advanced Search</w:t>
      </w:r>
      <w:r w:rsidRPr="00A66C48">
        <w:rPr>
          <w:rFonts w:ascii="Times New Roman" w:hAnsi="Times New Roman"/>
        </w:rPr>
        <w:t xml:space="preserve"> from the menu bar at the top and select </w:t>
      </w:r>
      <w:r w:rsidRPr="00A66C48">
        <w:rPr>
          <w:rFonts w:ascii="Times New Roman" w:hAnsi="Times New Roman"/>
          <w:b/>
        </w:rPr>
        <w:t>Docket Search</w:t>
      </w:r>
      <w:r w:rsidRPr="00A66C48">
        <w:rPr>
          <w:rFonts w:ascii="Times New Roman" w:hAnsi="Times New Roman"/>
        </w:rPr>
        <w:t>. Enter the Docket ID Number, EPA-HQ-OPP-20</w:t>
      </w:r>
      <w:r w:rsidR="00F27E69" w:rsidRPr="00A66C48">
        <w:rPr>
          <w:rFonts w:ascii="Times New Roman" w:hAnsi="Times New Roman"/>
        </w:rPr>
        <w:t>13</w:t>
      </w:r>
      <w:r w:rsidRPr="00A66C48">
        <w:rPr>
          <w:rFonts w:ascii="Times New Roman" w:hAnsi="Times New Roman"/>
        </w:rPr>
        <w:t>-0</w:t>
      </w:r>
      <w:r w:rsidR="00F27E69" w:rsidRPr="00A66C48">
        <w:rPr>
          <w:rFonts w:ascii="Times New Roman" w:hAnsi="Times New Roman"/>
        </w:rPr>
        <w:t>493</w:t>
      </w:r>
      <w:r w:rsidRPr="00A66C48">
        <w:rPr>
          <w:rFonts w:ascii="Times New Roman" w:hAnsi="Times New Roman"/>
        </w:rPr>
        <w:t xml:space="preserve"> in the </w:t>
      </w:r>
      <w:r w:rsidRPr="00A66C48">
        <w:rPr>
          <w:rFonts w:ascii="Times New Roman" w:hAnsi="Times New Roman"/>
          <w:b/>
        </w:rPr>
        <w:t xml:space="preserve">Docket ID </w:t>
      </w:r>
      <w:r w:rsidRPr="00A66C48">
        <w:rPr>
          <w:rFonts w:ascii="Times New Roman" w:hAnsi="Times New Roman"/>
        </w:rPr>
        <w:t xml:space="preserve">field. Click on the </w:t>
      </w:r>
      <w:r w:rsidRPr="00A66C48">
        <w:rPr>
          <w:rFonts w:ascii="Times New Roman" w:hAnsi="Times New Roman"/>
          <w:b/>
        </w:rPr>
        <w:t>Submit button</w:t>
      </w:r>
      <w:r w:rsidRPr="00A66C48">
        <w:rPr>
          <w:rFonts w:ascii="Times New Roman" w:hAnsi="Times New Roman"/>
        </w:rPr>
        <w:t>. From the results page, you will be able to link to the docket view or directly open select documents found in the docket.</w:t>
      </w:r>
    </w:p>
    <w:p w:rsidR="004D2B4D" w:rsidRPr="00A66C48" w:rsidRDefault="004D2B4D" w:rsidP="009E1A8F">
      <w:pPr>
        <w:numPr>
          <w:ilvl w:val="12"/>
          <w:numId w:val="0"/>
        </w:numPr>
        <w:ind w:left="720"/>
      </w:pPr>
    </w:p>
    <w:p w:rsidR="00D209AF" w:rsidRPr="00A66C48" w:rsidRDefault="001C007C" w:rsidP="009E1A8F">
      <w:pPr>
        <w:numPr>
          <w:ilvl w:val="12"/>
          <w:numId w:val="0"/>
        </w:numPr>
        <w:ind w:left="720"/>
        <w:rPr>
          <w:rFonts w:ascii="Times New Roman" w:hAnsi="Times New Roman"/>
        </w:rPr>
      </w:pPr>
      <w:r w:rsidRPr="00A66C48">
        <w:rPr>
          <w:rFonts w:ascii="Times New Roman" w:hAnsi="Times New Roman"/>
          <w:b/>
          <w:bCs/>
        </w:rPr>
        <w:t>Attachment A:</w:t>
      </w:r>
      <w:r w:rsidR="00F27E69" w:rsidRPr="00A66C48">
        <w:rPr>
          <w:rFonts w:ascii="Times New Roman" w:hAnsi="Times New Roman"/>
          <w:b/>
          <w:bCs/>
        </w:rPr>
        <w:t xml:space="preserve"> </w:t>
      </w:r>
      <w:r w:rsidRPr="00A66C48">
        <w:rPr>
          <w:rFonts w:ascii="Times New Roman" w:hAnsi="Times New Roman"/>
          <w:b/>
          <w:iCs/>
        </w:rPr>
        <w:t>Section 25 (c</w:t>
      </w:r>
      <w:proofErr w:type="gramStart"/>
      <w:r w:rsidRPr="00A66C48">
        <w:rPr>
          <w:rFonts w:ascii="Times New Roman" w:hAnsi="Times New Roman"/>
          <w:b/>
          <w:iCs/>
        </w:rPr>
        <w:t>)(</w:t>
      </w:r>
      <w:proofErr w:type="gramEnd"/>
      <w:r w:rsidRPr="00A66C48">
        <w:rPr>
          <w:rFonts w:ascii="Times New Roman" w:hAnsi="Times New Roman"/>
          <w:b/>
          <w:iCs/>
        </w:rPr>
        <w:t>3) of the Federal Insecticide, Fungicide, and Rodenticide Act (FIFRA)</w:t>
      </w:r>
      <w:r w:rsidRPr="00A66C48">
        <w:rPr>
          <w:rFonts w:ascii="Times New Roman" w:hAnsi="Times New Roman"/>
        </w:rPr>
        <w:t xml:space="preserve"> </w:t>
      </w:r>
      <w:r w:rsidR="004D2B4D" w:rsidRPr="00A66C48">
        <w:rPr>
          <w:rFonts w:ascii="Times New Roman" w:hAnsi="Times New Roman"/>
        </w:rPr>
        <w:t>–</w:t>
      </w:r>
      <w:r w:rsidR="005E3121" w:rsidRPr="00A66C48">
        <w:rPr>
          <w:rFonts w:ascii="Times New Roman" w:hAnsi="Times New Roman"/>
        </w:rPr>
        <w:t xml:space="preserve"> </w:t>
      </w:r>
      <w:r w:rsidR="003079C3">
        <w:rPr>
          <w:rFonts w:ascii="Times New Roman" w:hAnsi="Times New Roman"/>
        </w:rPr>
        <w:t xml:space="preserve">also </w:t>
      </w:r>
      <w:r w:rsidRPr="00A66C48">
        <w:rPr>
          <w:rFonts w:ascii="Times New Roman" w:hAnsi="Times New Roman"/>
        </w:rPr>
        <w:t xml:space="preserve">available at </w:t>
      </w:r>
      <w:hyperlink r:id="rId19" w:history="1">
        <w:r w:rsidR="00502ECF" w:rsidRPr="00502ECF">
          <w:rPr>
            <w:rStyle w:val="Hyperlink"/>
            <w:rFonts w:ascii="Times New Roman" w:hAnsi="Times New Roman"/>
          </w:rPr>
          <w:t>http://www.gpo.gov/fdsys/pkg/USCODE-2012-title7/pdf/USCODE-2012-title7-chap6-subchapII-sec136w.pdf</w:t>
        </w:r>
      </w:hyperlink>
      <w:r w:rsidR="00D209AF" w:rsidRPr="00A66C48">
        <w:rPr>
          <w:rFonts w:ascii="Times New Roman" w:hAnsi="Times New Roman"/>
        </w:rPr>
        <w:t xml:space="preserve"> </w:t>
      </w:r>
    </w:p>
    <w:p w:rsidR="001C007C" w:rsidRPr="00A66C48" w:rsidRDefault="00D209AF" w:rsidP="001C007C">
      <w:pPr>
        <w:numPr>
          <w:ilvl w:val="12"/>
          <w:numId w:val="0"/>
        </w:numPr>
        <w:ind w:left="2160" w:hanging="720"/>
        <w:rPr>
          <w:rFonts w:ascii="Times New Roman" w:hAnsi="Times New Roman"/>
        </w:rPr>
      </w:pPr>
      <w:r w:rsidRPr="00A66C48">
        <w:rPr>
          <w:rFonts w:ascii="Times New Roman" w:hAnsi="Times New Roman"/>
        </w:rPr>
        <w:t xml:space="preserve"> </w:t>
      </w:r>
    </w:p>
    <w:p w:rsidR="00D209AF" w:rsidRDefault="001C007C" w:rsidP="00502ECF">
      <w:pPr>
        <w:numPr>
          <w:ilvl w:val="12"/>
          <w:numId w:val="0"/>
        </w:numPr>
        <w:ind w:left="720"/>
        <w:rPr>
          <w:rFonts w:ascii="Times New Roman" w:hAnsi="Times New Roman"/>
        </w:rPr>
      </w:pPr>
      <w:r w:rsidRPr="00A66C48">
        <w:rPr>
          <w:rFonts w:ascii="Times New Roman" w:hAnsi="Times New Roman"/>
          <w:b/>
          <w:bCs/>
        </w:rPr>
        <w:t>Attachment B:</w:t>
      </w:r>
      <w:r w:rsidR="00F27E69" w:rsidRPr="00A66C48">
        <w:rPr>
          <w:rFonts w:ascii="Times New Roman" w:hAnsi="Times New Roman"/>
          <w:b/>
          <w:bCs/>
        </w:rPr>
        <w:t xml:space="preserve"> </w:t>
      </w:r>
      <w:r w:rsidRPr="00A66C48">
        <w:rPr>
          <w:rFonts w:ascii="Times New Roman" w:hAnsi="Times New Roman"/>
          <w:b/>
          <w:bCs/>
        </w:rPr>
        <w:t>40 CFR Part 157</w:t>
      </w:r>
      <w:r w:rsidRPr="00A66C48">
        <w:rPr>
          <w:rFonts w:ascii="Times New Roman" w:hAnsi="Times New Roman"/>
        </w:rPr>
        <w:t xml:space="preserve"> - </w:t>
      </w:r>
      <w:r w:rsidR="00D209AF" w:rsidRPr="00A66C48">
        <w:rPr>
          <w:rFonts w:ascii="Times New Roman" w:hAnsi="Times New Roman"/>
        </w:rPr>
        <w:t>PACKAGING REQUIREMENTS FOR PESTICIDES AND DEVICES</w:t>
      </w:r>
      <w:r w:rsidR="00D209AF" w:rsidRPr="00A66C48">
        <w:rPr>
          <w:rFonts w:ascii="Arial" w:hAnsi="Arial" w:cs="Arial"/>
        </w:rPr>
        <w:t xml:space="preserve"> </w:t>
      </w:r>
      <w:r w:rsidR="00D209AF" w:rsidRPr="00A66C48">
        <w:rPr>
          <w:rFonts w:ascii="Times New Roman" w:hAnsi="Times New Roman"/>
        </w:rPr>
        <w:t>–</w:t>
      </w:r>
      <w:r w:rsidR="005E3121" w:rsidRPr="00A66C48">
        <w:rPr>
          <w:rFonts w:ascii="Times New Roman" w:hAnsi="Times New Roman"/>
        </w:rPr>
        <w:t xml:space="preserve"> </w:t>
      </w:r>
      <w:r w:rsidR="003079C3">
        <w:rPr>
          <w:rFonts w:ascii="Times New Roman" w:hAnsi="Times New Roman"/>
        </w:rPr>
        <w:t xml:space="preserve">also </w:t>
      </w:r>
      <w:r w:rsidR="00D209AF" w:rsidRPr="00A66C48">
        <w:rPr>
          <w:rFonts w:ascii="Times New Roman" w:hAnsi="Times New Roman"/>
        </w:rPr>
        <w:t>available at</w:t>
      </w:r>
      <w:r w:rsidR="00D209AF" w:rsidRPr="00A66C48">
        <w:rPr>
          <w:rFonts w:ascii="Arial" w:hAnsi="Arial" w:cs="Arial"/>
          <w:sz w:val="20"/>
          <w:szCs w:val="20"/>
        </w:rPr>
        <w:t xml:space="preserve"> </w:t>
      </w:r>
      <w:hyperlink w:history="1"/>
      <w:hyperlink r:id="rId20" w:history="1">
        <w:r w:rsidR="00502ECF" w:rsidRPr="008638FD">
          <w:rPr>
            <w:rStyle w:val="Hyperlink"/>
            <w:rFonts w:ascii="Times New Roman" w:hAnsi="Times New Roman"/>
          </w:rPr>
          <w:t>http://www.gpo.gov/fdsys/pkg/CFR-2003-title40-vol21/pdf/CFR-2003-title40-vol21-part157.pdf</w:t>
        </w:r>
      </w:hyperlink>
    </w:p>
    <w:p w:rsidR="00502ECF" w:rsidRPr="00A66C48" w:rsidRDefault="00502ECF" w:rsidP="00502ECF">
      <w:pPr>
        <w:numPr>
          <w:ilvl w:val="12"/>
          <w:numId w:val="0"/>
        </w:numPr>
        <w:ind w:left="720"/>
        <w:rPr>
          <w:rFonts w:ascii="Times New Roman" w:hAnsi="Times New Roman"/>
        </w:rPr>
      </w:pPr>
    </w:p>
    <w:p w:rsidR="00AB2C92" w:rsidRPr="00A66C48" w:rsidRDefault="00461D45" w:rsidP="0076636B">
      <w:pPr>
        <w:ind w:left="720"/>
        <w:rPr>
          <w:rFonts w:ascii="Times New Roman" w:hAnsi="Times New Roman"/>
          <w:b/>
          <w:bCs/>
        </w:rPr>
      </w:pPr>
      <w:r w:rsidRPr="00A66C48">
        <w:rPr>
          <w:rFonts w:ascii="Times New Roman" w:hAnsi="Times New Roman"/>
          <w:b/>
          <w:bCs/>
        </w:rPr>
        <w:t>Attachment C</w:t>
      </w:r>
      <w:r w:rsidR="001C007C" w:rsidRPr="00A66C48">
        <w:rPr>
          <w:rFonts w:ascii="Times New Roman" w:hAnsi="Times New Roman"/>
          <w:b/>
          <w:bCs/>
        </w:rPr>
        <w:t>:</w:t>
      </w:r>
      <w:r w:rsidR="00F27E69" w:rsidRPr="00A66C48">
        <w:rPr>
          <w:rFonts w:ascii="Times New Roman" w:hAnsi="Times New Roman"/>
          <w:b/>
          <w:bCs/>
        </w:rPr>
        <w:t xml:space="preserve"> </w:t>
      </w:r>
      <w:r w:rsidR="0076636B" w:rsidRPr="00A66C48">
        <w:rPr>
          <w:rFonts w:ascii="Times New Roman" w:hAnsi="Times New Roman"/>
          <w:b/>
          <w:bCs/>
        </w:rPr>
        <w:t xml:space="preserve">Record of Consultations </w:t>
      </w:r>
    </w:p>
    <w:p w:rsidR="00AB2C92" w:rsidRPr="00A66C48" w:rsidRDefault="00AB2C92" w:rsidP="001C007C">
      <w:pPr>
        <w:numPr>
          <w:ilvl w:val="12"/>
          <w:numId w:val="0"/>
        </w:numPr>
        <w:ind w:left="2160"/>
        <w:rPr>
          <w:rFonts w:ascii="Times New Roman" w:hAnsi="Times New Roman"/>
        </w:rPr>
      </w:pPr>
    </w:p>
    <w:p w:rsidR="00BA7385" w:rsidRPr="00A66C48" w:rsidRDefault="00461D45" w:rsidP="00BA7385">
      <w:pPr>
        <w:numPr>
          <w:ilvl w:val="12"/>
          <w:numId w:val="0"/>
        </w:numPr>
        <w:ind w:left="720"/>
        <w:rPr>
          <w:rFonts w:ascii="Times New Roman" w:hAnsi="Times New Roman"/>
        </w:rPr>
      </w:pPr>
      <w:r w:rsidRPr="00A66C48">
        <w:rPr>
          <w:rFonts w:ascii="Times New Roman" w:hAnsi="Times New Roman"/>
          <w:b/>
          <w:bCs/>
        </w:rPr>
        <w:t>Attachment D</w:t>
      </w:r>
      <w:r w:rsidR="001C007C" w:rsidRPr="00A66C48">
        <w:rPr>
          <w:rFonts w:ascii="Times New Roman" w:hAnsi="Times New Roman"/>
          <w:b/>
          <w:bCs/>
        </w:rPr>
        <w:t>:</w:t>
      </w:r>
      <w:r w:rsidR="00F27E69" w:rsidRPr="00A66C48">
        <w:rPr>
          <w:rFonts w:ascii="Times New Roman" w:hAnsi="Times New Roman"/>
          <w:b/>
          <w:bCs/>
        </w:rPr>
        <w:t xml:space="preserve"> </w:t>
      </w:r>
      <w:r w:rsidR="001C007C" w:rsidRPr="00A66C48">
        <w:rPr>
          <w:rFonts w:ascii="Times New Roman" w:hAnsi="Times New Roman"/>
          <w:b/>
          <w:bCs/>
        </w:rPr>
        <w:t>Pesticide Registration Notice 97-9</w:t>
      </w:r>
      <w:r w:rsidR="001C007C" w:rsidRPr="00A66C48">
        <w:rPr>
          <w:rFonts w:ascii="Times New Roman" w:hAnsi="Times New Roman"/>
        </w:rPr>
        <w:t xml:space="preserve"> - </w:t>
      </w:r>
      <w:r w:rsidR="001C007C" w:rsidRPr="00A66C48">
        <w:rPr>
          <w:rFonts w:ascii="Times New Roman" w:hAnsi="Times New Roman"/>
          <w:i/>
          <w:iCs/>
        </w:rPr>
        <w:t xml:space="preserve">Electronic Submission of Child-resistant Packaging Test Data for All Pesticides and Child-resistant Testing of Prefilled, </w:t>
      </w:r>
      <w:proofErr w:type="spellStart"/>
      <w:r w:rsidR="001C007C" w:rsidRPr="00A66C48">
        <w:rPr>
          <w:rFonts w:ascii="Times New Roman" w:hAnsi="Times New Roman"/>
          <w:i/>
          <w:iCs/>
        </w:rPr>
        <w:t>Nonrefillable</w:t>
      </w:r>
      <w:proofErr w:type="spellEnd"/>
      <w:r w:rsidR="001C007C" w:rsidRPr="00A66C48">
        <w:rPr>
          <w:rFonts w:ascii="Times New Roman" w:hAnsi="Times New Roman"/>
          <w:i/>
          <w:iCs/>
        </w:rPr>
        <w:t xml:space="preserve"> Insecticide Bait Stations Not Designed or Intended To Be Opened or Activated in a Manner That Exposes the Contents to Human Contact</w:t>
      </w:r>
      <w:r w:rsidR="001C007C" w:rsidRPr="00A66C48">
        <w:rPr>
          <w:rFonts w:ascii="Times New Roman" w:hAnsi="Times New Roman"/>
        </w:rPr>
        <w:t xml:space="preserve"> </w:t>
      </w:r>
      <w:r w:rsidR="004D2B4D" w:rsidRPr="00A66C48">
        <w:rPr>
          <w:rFonts w:ascii="Times New Roman" w:hAnsi="Times New Roman"/>
        </w:rPr>
        <w:t>–</w:t>
      </w:r>
      <w:r w:rsidR="001C007C" w:rsidRPr="00A66C48">
        <w:rPr>
          <w:rFonts w:ascii="Times New Roman" w:hAnsi="Times New Roman"/>
        </w:rPr>
        <w:t xml:space="preserve"> available at </w:t>
      </w:r>
      <w:r w:rsidR="0019256F" w:rsidRPr="00A66C48">
        <w:rPr>
          <w:rFonts w:ascii="Times New Roman" w:hAnsi="Times New Roman"/>
        </w:rPr>
        <w:t xml:space="preserve"> </w:t>
      </w:r>
      <w:hyperlink r:id="rId21" w:history="1">
        <w:r w:rsidR="0023425A" w:rsidRPr="0030451F">
          <w:rPr>
            <w:rStyle w:val="Hyperlink"/>
            <w:rFonts w:ascii="Times New Roman" w:hAnsi="Times New Roman"/>
            <w:bCs/>
            <w:color w:val="2617ED"/>
          </w:rPr>
          <w:t>http://www.epa.gov/PR_Notices/pr97-9.html</w:t>
        </w:r>
      </w:hyperlink>
      <w:r w:rsidR="00BA7385" w:rsidRPr="00A66C48">
        <w:rPr>
          <w:rFonts w:ascii="Times New Roman" w:hAnsi="Times New Roman"/>
        </w:rPr>
        <w:t xml:space="preserve"> </w:t>
      </w:r>
    </w:p>
    <w:p w:rsidR="005706F7" w:rsidRPr="00A66C48" w:rsidRDefault="005706F7" w:rsidP="00BA7385">
      <w:pPr>
        <w:numPr>
          <w:ilvl w:val="12"/>
          <w:numId w:val="0"/>
        </w:numPr>
        <w:rPr>
          <w:rFonts w:ascii="Times New Roman" w:hAnsi="Times New Roman"/>
          <w:bCs/>
        </w:rPr>
      </w:pPr>
    </w:p>
    <w:p w:rsidR="009826E5" w:rsidRPr="00A66C48" w:rsidRDefault="00461D45" w:rsidP="009826E5">
      <w:pPr>
        <w:numPr>
          <w:ilvl w:val="12"/>
          <w:numId w:val="0"/>
        </w:numPr>
        <w:ind w:left="720"/>
        <w:rPr>
          <w:rFonts w:ascii="Times New Roman" w:hAnsi="Times New Roman"/>
          <w:b/>
          <w:bCs/>
        </w:rPr>
      </w:pPr>
      <w:r w:rsidRPr="00A66C48">
        <w:rPr>
          <w:rFonts w:ascii="Times New Roman" w:hAnsi="Times New Roman"/>
          <w:b/>
          <w:bCs/>
        </w:rPr>
        <w:t>Attachment E</w:t>
      </w:r>
      <w:r w:rsidR="00BF0016" w:rsidRPr="00A66C48">
        <w:rPr>
          <w:rFonts w:ascii="Times New Roman" w:hAnsi="Times New Roman"/>
          <w:b/>
          <w:bCs/>
        </w:rPr>
        <w:t>:</w:t>
      </w:r>
      <w:r w:rsidR="00F27E69" w:rsidRPr="00A66C48">
        <w:rPr>
          <w:rFonts w:ascii="Times New Roman" w:hAnsi="Times New Roman"/>
          <w:b/>
          <w:bCs/>
        </w:rPr>
        <w:t xml:space="preserve"> </w:t>
      </w:r>
      <w:r w:rsidR="004D2B4D" w:rsidRPr="00A66C48">
        <w:rPr>
          <w:rFonts w:ascii="Times New Roman" w:hAnsi="Times New Roman"/>
          <w:b/>
          <w:bCs/>
        </w:rPr>
        <w:t>Worksheet</w:t>
      </w:r>
      <w:r w:rsidR="00BF0016" w:rsidRPr="00A66C48">
        <w:rPr>
          <w:rFonts w:ascii="Times New Roman" w:hAnsi="Times New Roman"/>
          <w:b/>
          <w:bCs/>
        </w:rPr>
        <w:t xml:space="preserve"> </w:t>
      </w:r>
      <w:r w:rsidR="004D2B4D" w:rsidRPr="00A66C48">
        <w:rPr>
          <w:rFonts w:ascii="Times New Roman" w:hAnsi="Times New Roman"/>
          <w:b/>
          <w:bCs/>
        </w:rPr>
        <w:t>f</w:t>
      </w:r>
      <w:r w:rsidR="00BF0016" w:rsidRPr="00A66C48">
        <w:rPr>
          <w:rFonts w:ascii="Times New Roman" w:hAnsi="Times New Roman"/>
          <w:b/>
          <w:bCs/>
        </w:rPr>
        <w:t>or Estimating OPP ICR Wage Rates for Industry</w:t>
      </w:r>
      <w:r w:rsidR="00F27E69" w:rsidRPr="00A66C48">
        <w:rPr>
          <w:rFonts w:ascii="Times New Roman" w:hAnsi="Times New Roman"/>
          <w:b/>
          <w:bCs/>
        </w:rPr>
        <w:t xml:space="preserve"> </w:t>
      </w:r>
      <w:r w:rsidR="00BF0016" w:rsidRPr="00A66C48">
        <w:rPr>
          <w:rFonts w:ascii="Times New Roman" w:hAnsi="Times New Roman"/>
          <w:b/>
          <w:bCs/>
        </w:rPr>
        <w:t>and EPA Labor Costs</w:t>
      </w:r>
    </w:p>
    <w:p w:rsidR="009826E5" w:rsidRPr="00A66C48" w:rsidRDefault="009826E5" w:rsidP="009826E5">
      <w:pPr>
        <w:numPr>
          <w:ilvl w:val="12"/>
          <w:numId w:val="0"/>
        </w:numPr>
        <w:ind w:left="720"/>
        <w:rPr>
          <w:rFonts w:ascii="Times New Roman" w:hAnsi="Times New Roman"/>
          <w:b/>
          <w:bCs/>
        </w:rPr>
      </w:pPr>
    </w:p>
    <w:p w:rsidR="009826E5" w:rsidRPr="00A66C48" w:rsidRDefault="008F4237" w:rsidP="009826E5">
      <w:pPr>
        <w:numPr>
          <w:ilvl w:val="12"/>
          <w:numId w:val="0"/>
        </w:numPr>
        <w:ind w:left="720"/>
        <w:rPr>
          <w:rFonts w:ascii="Times New Roman" w:hAnsi="Times New Roman"/>
          <w:b/>
        </w:rPr>
      </w:pPr>
      <w:r w:rsidRPr="00A66C48">
        <w:rPr>
          <w:rFonts w:ascii="Times New Roman" w:hAnsi="Times New Roman"/>
          <w:b/>
          <w:bCs/>
        </w:rPr>
        <w:t>Attachment F:</w:t>
      </w:r>
      <w:r w:rsidR="00F27E69" w:rsidRPr="00A66C48">
        <w:rPr>
          <w:rFonts w:ascii="Times New Roman" w:hAnsi="Times New Roman"/>
          <w:b/>
          <w:bCs/>
        </w:rPr>
        <w:t xml:space="preserve"> </w:t>
      </w:r>
      <w:r w:rsidR="00D06CCE" w:rsidRPr="00A66C48">
        <w:rPr>
          <w:rFonts w:ascii="Times New Roman" w:hAnsi="Times New Roman"/>
          <w:b/>
        </w:rPr>
        <w:t>Calculation</w:t>
      </w:r>
      <w:r w:rsidR="00F26613" w:rsidRPr="00A66C48">
        <w:rPr>
          <w:rFonts w:ascii="Times New Roman" w:hAnsi="Times New Roman"/>
          <w:b/>
        </w:rPr>
        <w:t>s Regarding</w:t>
      </w:r>
      <w:r w:rsidR="00D06CCE" w:rsidRPr="00A66C48">
        <w:rPr>
          <w:rFonts w:ascii="Times New Roman" w:hAnsi="Times New Roman"/>
          <w:b/>
        </w:rPr>
        <w:t xml:space="preserve"> Small Entities that Participate in this ICR</w:t>
      </w:r>
    </w:p>
    <w:p w:rsidR="00D01EC1" w:rsidRDefault="00D01EC1" w:rsidP="00A143A2">
      <w:pPr>
        <w:numPr>
          <w:ilvl w:val="12"/>
          <w:numId w:val="0"/>
        </w:numPr>
        <w:ind w:left="720"/>
        <w:rPr>
          <w:rFonts w:ascii="Times New Roman" w:hAnsi="Times New Roman"/>
          <w:b/>
        </w:rPr>
      </w:pPr>
    </w:p>
    <w:p w:rsidR="002F14F8" w:rsidRPr="00BF1413" w:rsidRDefault="00A143A2" w:rsidP="00BF1413">
      <w:pPr>
        <w:numPr>
          <w:ilvl w:val="12"/>
          <w:numId w:val="0"/>
        </w:numPr>
        <w:ind w:left="720"/>
        <w:rPr>
          <w:rFonts w:ascii="Times New Roman" w:hAnsi="Times New Roman"/>
          <w:b/>
        </w:rPr>
      </w:pPr>
      <w:r w:rsidRPr="00A66C48">
        <w:rPr>
          <w:rFonts w:ascii="Times New Roman" w:hAnsi="Times New Roman"/>
          <w:b/>
        </w:rPr>
        <w:t xml:space="preserve">Attachment </w:t>
      </w:r>
      <w:r w:rsidR="005F7DAE">
        <w:rPr>
          <w:rFonts w:ascii="Times New Roman" w:hAnsi="Times New Roman"/>
          <w:b/>
        </w:rPr>
        <w:t>G</w:t>
      </w:r>
      <w:r w:rsidRPr="00A66C48">
        <w:rPr>
          <w:rFonts w:ascii="Times New Roman" w:hAnsi="Times New Roman"/>
          <w:b/>
        </w:rPr>
        <w:t xml:space="preserve">: </w:t>
      </w:r>
      <w:r w:rsidRPr="00A66C48">
        <w:rPr>
          <w:rFonts w:ascii="Times New Roman" w:hAnsi="Times New Roman"/>
          <w:b/>
          <w:bCs/>
        </w:rPr>
        <w:t>Display Related to OMB Control #2070-0052 - Listings of Related Regulations in 40 CFR 9.1</w:t>
      </w:r>
    </w:p>
    <w:sectPr w:rsidR="002F14F8" w:rsidRPr="00BF1413" w:rsidSect="000414E8">
      <w:headerReference w:type="default" r:id="rId22"/>
      <w:footerReference w:type="even" r:id="rId23"/>
      <w:footerReference w:type="default" r:id="rId24"/>
      <w:headerReference w:type="first" r:id="rId25"/>
      <w:pgSz w:w="12240" w:h="15840"/>
      <w:pgMar w:top="1440" w:right="1440" w:bottom="1260" w:left="1440" w:header="720" w:footer="43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9D8" w:rsidRDefault="002979D8">
      <w:r>
        <w:separator/>
      </w:r>
    </w:p>
  </w:endnote>
  <w:endnote w:type="continuationSeparator" w:id="0">
    <w:p w:rsidR="002979D8" w:rsidRDefault="002979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AOAN G+ New Century Schlbk">
    <w:altName w:val="Century Schoolbook"/>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A4" w:rsidRDefault="004B7328" w:rsidP="0064555F">
    <w:pPr>
      <w:pStyle w:val="Footer"/>
      <w:framePr w:wrap="around" w:vAnchor="text" w:hAnchor="margin" w:xAlign="center" w:y="1"/>
      <w:rPr>
        <w:rStyle w:val="PageNumber"/>
      </w:rPr>
    </w:pPr>
    <w:r>
      <w:rPr>
        <w:rStyle w:val="PageNumber"/>
      </w:rPr>
      <w:fldChar w:fldCharType="begin"/>
    </w:r>
    <w:r w:rsidR="001E48A4">
      <w:rPr>
        <w:rStyle w:val="PageNumber"/>
      </w:rPr>
      <w:instrText xml:space="preserve">PAGE  </w:instrText>
    </w:r>
    <w:r>
      <w:rPr>
        <w:rStyle w:val="PageNumber"/>
      </w:rPr>
      <w:fldChar w:fldCharType="end"/>
    </w:r>
  </w:p>
  <w:p w:rsidR="001E48A4" w:rsidRDefault="001E48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A4" w:rsidRPr="000414E8" w:rsidRDefault="001E48A4" w:rsidP="0064555F">
    <w:pPr>
      <w:pStyle w:val="Footer"/>
      <w:framePr w:wrap="around" w:vAnchor="text" w:hAnchor="margin" w:xAlign="center" w:y="1"/>
      <w:rPr>
        <w:rStyle w:val="PageNumber"/>
        <w:rFonts w:ascii="Arial" w:hAnsi="Arial" w:cs="Arial"/>
        <w:sz w:val="20"/>
        <w:szCs w:val="20"/>
      </w:rPr>
    </w:pPr>
    <w:r w:rsidRPr="000414E8">
      <w:rPr>
        <w:rStyle w:val="PageNumber"/>
        <w:rFonts w:ascii="Arial" w:hAnsi="Arial" w:cs="Arial"/>
        <w:sz w:val="20"/>
        <w:szCs w:val="20"/>
      </w:rPr>
      <w:t xml:space="preserve">p. </w:t>
    </w:r>
    <w:r w:rsidR="004B7328" w:rsidRPr="000414E8">
      <w:rPr>
        <w:rStyle w:val="PageNumber"/>
        <w:rFonts w:ascii="Arial" w:hAnsi="Arial" w:cs="Arial"/>
        <w:sz w:val="20"/>
        <w:szCs w:val="20"/>
      </w:rPr>
      <w:fldChar w:fldCharType="begin"/>
    </w:r>
    <w:r w:rsidRPr="000414E8">
      <w:rPr>
        <w:rStyle w:val="PageNumber"/>
        <w:rFonts w:ascii="Arial" w:hAnsi="Arial" w:cs="Arial"/>
        <w:sz w:val="20"/>
        <w:szCs w:val="20"/>
      </w:rPr>
      <w:instrText xml:space="preserve">PAGE  </w:instrText>
    </w:r>
    <w:r w:rsidR="004B7328" w:rsidRPr="000414E8">
      <w:rPr>
        <w:rStyle w:val="PageNumber"/>
        <w:rFonts w:ascii="Arial" w:hAnsi="Arial" w:cs="Arial"/>
        <w:sz w:val="20"/>
        <w:szCs w:val="20"/>
      </w:rPr>
      <w:fldChar w:fldCharType="separate"/>
    </w:r>
    <w:r w:rsidR="00B1401F">
      <w:rPr>
        <w:rStyle w:val="PageNumber"/>
        <w:rFonts w:ascii="Arial" w:hAnsi="Arial" w:cs="Arial"/>
        <w:noProof/>
        <w:sz w:val="20"/>
        <w:szCs w:val="20"/>
      </w:rPr>
      <w:t>17</w:t>
    </w:r>
    <w:r w:rsidR="004B7328" w:rsidRPr="000414E8">
      <w:rPr>
        <w:rStyle w:val="PageNumber"/>
        <w:rFonts w:ascii="Arial" w:hAnsi="Arial" w:cs="Arial"/>
        <w:sz w:val="20"/>
        <w:szCs w:val="20"/>
      </w:rPr>
      <w:fldChar w:fldCharType="end"/>
    </w:r>
    <w:r w:rsidRPr="000414E8">
      <w:rPr>
        <w:rStyle w:val="PageNumber"/>
        <w:rFonts w:ascii="Arial" w:hAnsi="Arial" w:cs="Arial"/>
        <w:sz w:val="20"/>
        <w:szCs w:val="20"/>
      </w:rPr>
      <w:t xml:space="preserve"> of </w:t>
    </w:r>
    <w:r w:rsidR="004B7328" w:rsidRPr="000414E8">
      <w:rPr>
        <w:rStyle w:val="PageNumber"/>
        <w:rFonts w:ascii="Arial" w:hAnsi="Arial" w:cs="Arial"/>
        <w:sz w:val="20"/>
        <w:szCs w:val="20"/>
      </w:rPr>
      <w:fldChar w:fldCharType="begin"/>
    </w:r>
    <w:r w:rsidRPr="000414E8">
      <w:rPr>
        <w:rStyle w:val="PageNumber"/>
        <w:rFonts w:ascii="Arial" w:hAnsi="Arial" w:cs="Arial"/>
        <w:sz w:val="20"/>
        <w:szCs w:val="20"/>
      </w:rPr>
      <w:instrText xml:space="preserve"> NUMPAGES </w:instrText>
    </w:r>
    <w:r w:rsidR="004B7328" w:rsidRPr="000414E8">
      <w:rPr>
        <w:rStyle w:val="PageNumber"/>
        <w:rFonts w:ascii="Arial" w:hAnsi="Arial" w:cs="Arial"/>
        <w:sz w:val="20"/>
        <w:szCs w:val="20"/>
      </w:rPr>
      <w:fldChar w:fldCharType="separate"/>
    </w:r>
    <w:r w:rsidR="00B1401F">
      <w:rPr>
        <w:rStyle w:val="PageNumber"/>
        <w:rFonts w:ascii="Arial" w:hAnsi="Arial" w:cs="Arial"/>
        <w:noProof/>
        <w:sz w:val="20"/>
        <w:szCs w:val="20"/>
      </w:rPr>
      <w:t>17</w:t>
    </w:r>
    <w:r w:rsidR="004B7328" w:rsidRPr="000414E8">
      <w:rPr>
        <w:rStyle w:val="PageNumber"/>
        <w:rFonts w:ascii="Arial" w:hAnsi="Arial" w:cs="Arial"/>
        <w:sz w:val="20"/>
        <w:szCs w:val="20"/>
      </w:rPr>
      <w:fldChar w:fldCharType="end"/>
    </w:r>
  </w:p>
  <w:p w:rsidR="001E48A4" w:rsidRDefault="001E48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9D8" w:rsidRDefault="002979D8">
      <w:r>
        <w:separator/>
      </w:r>
    </w:p>
  </w:footnote>
  <w:footnote w:type="continuationSeparator" w:id="0">
    <w:p w:rsidR="002979D8" w:rsidRDefault="002979D8">
      <w:r>
        <w:continuationSeparator/>
      </w:r>
    </w:p>
  </w:footnote>
  <w:footnote w:id="1">
    <w:p w:rsidR="001E48A4" w:rsidRDefault="001E48A4">
      <w:pPr>
        <w:pStyle w:val="FootnoteText"/>
        <w:rPr>
          <w:sz w:val="22"/>
          <w:szCs w:val="22"/>
        </w:rPr>
      </w:pPr>
      <w:r>
        <w:rPr>
          <w:rStyle w:val="FootnoteReference"/>
        </w:rPr>
        <w:footnoteRef/>
      </w:r>
      <w:r>
        <w:t xml:space="preserve"> </w:t>
      </w:r>
      <w:r>
        <w:rPr>
          <w:sz w:val="22"/>
          <w:szCs w:val="22"/>
        </w:rPr>
        <w:t xml:space="preserve">Based on Table 1, the avg. technical burden across all response types is approx. 5.87 hrs. </w:t>
      </w:r>
      <w:proofErr w:type="gramStart"/>
      <w:r>
        <w:rPr>
          <w:sz w:val="22"/>
          <w:szCs w:val="22"/>
        </w:rPr>
        <w:t>per</w:t>
      </w:r>
      <w:proofErr w:type="gramEnd"/>
      <w:r>
        <w:rPr>
          <w:sz w:val="22"/>
          <w:szCs w:val="22"/>
        </w:rPr>
        <w:t xml:space="preserve"> response (4,018 ÷ 685) and the avg. clerical burden across all response types is approx. 2.17 hrs. </w:t>
      </w:r>
      <w:proofErr w:type="gramStart"/>
      <w:r>
        <w:rPr>
          <w:sz w:val="22"/>
          <w:szCs w:val="22"/>
        </w:rPr>
        <w:t>per</w:t>
      </w:r>
      <w:proofErr w:type="gramEnd"/>
      <w:r>
        <w:rPr>
          <w:sz w:val="22"/>
          <w:szCs w:val="22"/>
        </w:rPr>
        <w:t xml:space="preserve"> response (1,489 ÷ 685).  For the purposes of estimating respondent burden and cost (</w:t>
      </w:r>
      <w:r>
        <w:rPr>
          <w:i/>
          <w:iCs/>
          <w:sz w:val="22"/>
          <w:szCs w:val="22"/>
        </w:rPr>
        <w:t>see</w:t>
      </w:r>
      <w:r>
        <w:rPr>
          <w:sz w:val="22"/>
          <w:szCs w:val="22"/>
        </w:rPr>
        <w:t xml:space="preserve"> Table 2), EPA assumes that the average burden is 8.04 hrs. </w:t>
      </w:r>
      <w:proofErr w:type="gramStart"/>
      <w:r>
        <w:rPr>
          <w:sz w:val="22"/>
          <w:szCs w:val="22"/>
        </w:rPr>
        <w:t>per</w:t>
      </w:r>
      <w:proofErr w:type="gramEnd"/>
      <w:r>
        <w:rPr>
          <w:sz w:val="22"/>
          <w:szCs w:val="22"/>
        </w:rPr>
        <w:t xml:space="preserve"> response (5.87 technical hrs. + 2.17 clerical hrs.).</w:t>
      </w:r>
    </w:p>
    <w:p w:rsidR="001E48A4" w:rsidRDefault="001E48A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A4" w:rsidRDefault="001E48A4">
    <w:pP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A4" w:rsidRPr="007A7553" w:rsidRDefault="001E48A4" w:rsidP="000414E8">
    <w:pPr>
      <w:pStyle w:val="Header"/>
      <w:jc w:val="right"/>
      <w:rPr>
        <w:rFonts w:ascii="Arial" w:hAnsi="Arial" w:cs="Arial"/>
        <w:sz w:val="20"/>
        <w:szCs w:val="20"/>
      </w:rPr>
    </w:pPr>
    <w:r>
      <w:rPr>
        <w:rFonts w:ascii="Arial" w:hAnsi="Arial" w:cs="Arial"/>
        <w:sz w:val="20"/>
        <w:szCs w:val="20"/>
      </w:rPr>
      <w:t>May 9,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7A2C912"/>
    <w:lvl w:ilvl="0">
      <w:numFmt w:val="bullet"/>
      <w:lvlText w:val="*"/>
      <w:lvlJc w:val="left"/>
    </w:lvl>
  </w:abstractNum>
  <w:abstractNum w:abstractNumId="1">
    <w:nsid w:val="0B641A5A"/>
    <w:multiLevelType w:val="hybridMultilevel"/>
    <w:tmpl w:val="254667B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nsid w:val="10716F5A"/>
    <w:multiLevelType w:val="singleLevel"/>
    <w:tmpl w:val="76843028"/>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3">
    <w:nsid w:val="13402DBE"/>
    <w:multiLevelType w:val="hybridMultilevel"/>
    <w:tmpl w:val="3CC015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D2D07A3"/>
    <w:multiLevelType w:val="hybridMultilevel"/>
    <w:tmpl w:val="6B66BE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C36D6E"/>
    <w:multiLevelType w:val="hybridMultilevel"/>
    <w:tmpl w:val="DA5A6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E262FE"/>
    <w:multiLevelType w:val="hybridMultilevel"/>
    <w:tmpl w:val="124A137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nsid w:val="5E064AB2"/>
    <w:multiLevelType w:val="hybridMultilevel"/>
    <w:tmpl w:val="26F4C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A53CBF"/>
    <w:multiLevelType w:val="hybridMultilevel"/>
    <w:tmpl w:val="49209FE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
    <w:nsid w:val="7B6C3A68"/>
    <w:multiLevelType w:val="hybridMultilevel"/>
    <w:tmpl w:val="D432FD9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
    <w:nsid w:val="7F4C6157"/>
    <w:multiLevelType w:val="hybridMultilevel"/>
    <w:tmpl w:val="16B6921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num w:numId="1">
    <w:abstractNumId w:val="2"/>
  </w:num>
  <w:num w:numId="2">
    <w:abstractNumId w:val="0"/>
    <w:lvlOverride w:ilvl="0">
      <w:lvl w:ilvl="0">
        <w:start w:val="3"/>
        <w:numFmt w:val="bullet"/>
        <w:lvlText w:val="•"/>
        <w:legacy w:legacy="1" w:legacySpace="0" w:legacyIndent="1"/>
        <w:lvlJc w:val="left"/>
        <w:pPr>
          <w:ind w:left="1" w:hanging="1"/>
        </w:pPr>
        <w:rPr>
          <w:rFonts w:ascii="Times New Roman" w:hAnsi="Times New Roman" w:cs="Times New Roman" w:hint="default"/>
        </w:rPr>
      </w:lvl>
    </w:lvlOverride>
  </w:num>
  <w:num w:numId="3">
    <w:abstractNumId w:val="7"/>
  </w:num>
  <w:num w:numId="4">
    <w:abstractNumId w:val="3"/>
  </w:num>
  <w:num w:numId="5">
    <w:abstractNumId w:val="5"/>
  </w:num>
  <w:num w:numId="6">
    <w:abstractNumId w:val="0"/>
    <w:lvlOverride w:ilvl="0">
      <w:lvl w:ilvl="0">
        <w:numFmt w:val="bullet"/>
        <w:lvlText w:val="$"/>
        <w:legacy w:legacy="1" w:legacySpace="0" w:legacyIndent="720"/>
        <w:lvlJc w:val="left"/>
        <w:pPr>
          <w:ind w:left="1620" w:hanging="720"/>
        </w:pPr>
        <w:rPr>
          <w:rFonts w:ascii="WP TypographicSymbols" w:hAnsi="WP TypographicSymbols" w:hint="default"/>
        </w:rPr>
      </w:lvl>
    </w:lvlOverride>
  </w:num>
  <w:num w:numId="7">
    <w:abstractNumId w:val="0"/>
    <w:lvlOverride w:ilvl="0">
      <w:lvl w:ilvl="0">
        <w:numFmt w:val="bullet"/>
        <w:lvlText w:val="$"/>
        <w:legacy w:legacy="1" w:legacySpace="0" w:legacyIndent="720"/>
        <w:lvlJc w:val="left"/>
        <w:pPr>
          <w:ind w:left="1980" w:hanging="720"/>
        </w:pPr>
        <w:rPr>
          <w:rFonts w:ascii="WP TypographicSymbols" w:hAnsi="WP TypographicSymbols" w:hint="default"/>
        </w:rPr>
      </w:lvl>
    </w:lvlOverride>
  </w:num>
  <w:num w:numId="8">
    <w:abstractNumId w:val="4"/>
  </w:num>
  <w:num w:numId="9">
    <w:abstractNumId w:val="9"/>
  </w:num>
  <w:num w:numId="10">
    <w:abstractNumId w:val="10"/>
  </w:num>
  <w:num w:numId="11">
    <w:abstractNumId w:val="6"/>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2F14F8"/>
    <w:rsid w:val="000003DC"/>
    <w:rsid w:val="0000140E"/>
    <w:rsid w:val="00001BD4"/>
    <w:rsid w:val="000100A6"/>
    <w:rsid w:val="00010FD0"/>
    <w:rsid w:val="00012A69"/>
    <w:rsid w:val="000133E0"/>
    <w:rsid w:val="00013B6E"/>
    <w:rsid w:val="00015887"/>
    <w:rsid w:val="00016901"/>
    <w:rsid w:val="00017647"/>
    <w:rsid w:val="00030DC3"/>
    <w:rsid w:val="00032971"/>
    <w:rsid w:val="00035626"/>
    <w:rsid w:val="000358DA"/>
    <w:rsid w:val="00036990"/>
    <w:rsid w:val="00037653"/>
    <w:rsid w:val="000376AD"/>
    <w:rsid w:val="000414E8"/>
    <w:rsid w:val="00046F04"/>
    <w:rsid w:val="0005742E"/>
    <w:rsid w:val="00064E72"/>
    <w:rsid w:val="00070824"/>
    <w:rsid w:val="00071695"/>
    <w:rsid w:val="00077538"/>
    <w:rsid w:val="00080B8D"/>
    <w:rsid w:val="000817C7"/>
    <w:rsid w:val="00083F5F"/>
    <w:rsid w:val="00086560"/>
    <w:rsid w:val="00092B38"/>
    <w:rsid w:val="00093388"/>
    <w:rsid w:val="00096668"/>
    <w:rsid w:val="00096A9E"/>
    <w:rsid w:val="000A6300"/>
    <w:rsid w:val="000B10A5"/>
    <w:rsid w:val="000B2868"/>
    <w:rsid w:val="000B29C4"/>
    <w:rsid w:val="000C0014"/>
    <w:rsid w:val="000C2AA8"/>
    <w:rsid w:val="000C4E55"/>
    <w:rsid w:val="000D5D08"/>
    <w:rsid w:val="000D7797"/>
    <w:rsid w:val="000E1B44"/>
    <w:rsid w:val="000E1D61"/>
    <w:rsid w:val="000E2D93"/>
    <w:rsid w:val="000E32F3"/>
    <w:rsid w:val="000F2A7D"/>
    <w:rsid w:val="000F3FBB"/>
    <w:rsid w:val="00100EB7"/>
    <w:rsid w:val="001146C8"/>
    <w:rsid w:val="00121381"/>
    <w:rsid w:val="00122FBD"/>
    <w:rsid w:val="00124AB9"/>
    <w:rsid w:val="00125C01"/>
    <w:rsid w:val="0012651D"/>
    <w:rsid w:val="001369BE"/>
    <w:rsid w:val="00137108"/>
    <w:rsid w:val="001441A2"/>
    <w:rsid w:val="00145B08"/>
    <w:rsid w:val="00146439"/>
    <w:rsid w:val="00153A10"/>
    <w:rsid w:val="001547DD"/>
    <w:rsid w:val="00154F17"/>
    <w:rsid w:val="0015502A"/>
    <w:rsid w:val="001615D8"/>
    <w:rsid w:val="00161FA1"/>
    <w:rsid w:val="00162C16"/>
    <w:rsid w:val="00164F20"/>
    <w:rsid w:val="00173DE8"/>
    <w:rsid w:val="00190337"/>
    <w:rsid w:val="001916C7"/>
    <w:rsid w:val="0019256F"/>
    <w:rsid w:val="00193163"/>
    <w:rsid w:val="0019420E"/>
    <w:rsid w:val="001A6583"/>
    <w:rsid w:val="001A715C"/>
    <w:rsid w:val="001B05ED"/>
    <w:rsid w:val="001B4169"/>
    <w:rsid w:val="001B4E11"/>
    <w:rsid w:val="001C007C"/>
    <w:rsid w:val="001C402A"/>
    <w:rsid w:val="001C5431"/>
    <w:rsid w:val="001C7BF9"/>
    <w:rsid w:val="001D1280"/>
    <w:rsid w:val="001D14CC"/>
    <w:rsid w:val="001D7188"/>
    <w:rsid w:val="001D7392"/>
    <w:rsid w:val="001E14CD"/>
    <w:rsid w:val="001E3A7F"/>
    <w:rsid w:val="001E4413"/>
    <w:rsid w:val="001E48A4"/>
    <w:rsid w:val="001F2557"/>
    <w:rsid w:val="001F2739"/>
    <w:rsid w:val="001F45BD"/>
    <w:rsid w:val="001F623F"/>
    <w:rsid w:val="001F6A27"/>
    <w:rsid w:val="002106F6"/>
    <w:rsid w:val="0021139E"/>
    <w:rsid w:val="00211D60"/>
    <w:rsid w:val="00213A7A"/>
    <w:rsid w:val="00215C65"/>
    <w:rsid w:val="00217CD8"/>
    <w:rsid w:val="00221EB6"/>
    <w:rsid w:val="0022713C"/>
    <w:rsid w:val="0023425A"/>
    <w:rsid w:val="00235AC7"/>
    <w:rsid w:val="00237618"/>
    <w:rsid w:val="00245E64"/>
    <w:rsid w:val="00247F4C"/>
    <w:rsid w:val="00251A50"/>
    <w:rsid w:val="00253E32"/>
    <w:rsid w:val="002544B5"/>
    <w:rsid w:val="00254E8A"/>
    <w:rsid w:val="0026114B"/>
    <w:rsid w:val="0026680A"/>
    <w:rsid w:val="00275F1B"/>
    <w:rsid w:val="00277690"/>
    <w:rsid w:val="0029048A"/>
    <w:rsid w:val="00291E77"/>
    <w:rsid w:val="002950EF"/>
    <w:rsid w:val="002960DF"/>
    <w:rsid w:val="002979D8"/>
    <w:rsid w:val="002A468A"/>
    <w:rsid w:val="002B2185"/>
    <w:rsid w:val="002C0202"/>
    <w:rsid w:val="002C09B9"/>
    <w:rsid w:val="002C118B"/>
    <w:rsid w:val="002C3224"/>
    <w:rsid w:val="002D222B"/>
    <w:rsid w:val="002D4755"/>
    <w:rsid w:val="002E70F4"/>
    <w:rsid w:val="002F14F8"/>
    <w:rsid w:val="002F6802"/>
    <w:rsid w:val="002F6E00"/>
    <w:rsid w:val="002F7411"/>
    <w:rsid w:val="00300E5F"/>
    <w:rsid w:val="0030170A"/>
    <w:rsid w:val="0030451F"/>
    <w:rsid w:val="003079C3"/>
    <w:rsid w:val="00320E7D"/>
    <w:rsid w:val="003444C3"/>
    <w:rsid w:val="00345E63"/>
    <w:rsid w:val="00346411"/>
    <w:rsid w:val="003624A1"/>
    <w:rsid w:val="003637FF"/>
    <w:rsid w:val="00364F4F"/>
    <w:rsid w:val="00364F66"/>
    <w:rsid w:val="00365644"/>
    <w:rsid w:val="003729C2"/>
    <w:rsid w:val="003761C2"/>
    <w:rsid w:val="00376F58"/>
    <w:rsid w:val="00386EEA"/>
    <w:rsid w:val="00390E9B"/>
    <w:rsid w:val="0039100C"/>
    <w:rsid w:val="003A3B7E"/>
    <w:rsid w:val="003A4268"/>
    <w:rsid w:val="003A4C24"/>
    <w:rsid w:val="003B4209"/>
    <w:rsid w:val="003B6D5B"/>
    <w:rsid w:val="003B7CC4"/>
    <w:rsid w:val="003C2277"/>
    <w:rsid w:val="003C384B"/>
    <w:rsid w:val="003C39DE"/>
    <w:rsid w:val="003C66D1"/>
    <w:rsid w:val="003C67B1"/>
    <w:rsid w:val="003C71B3"/>
    <w:rsid w:val="003D3640"/>
    <w:rsid w:val="003D480B"/>
    <w:rsid w:val="003D4C1E"/>
    <w:rsid w:val="003E18C7"/>
    <w:rsid w:val="003E2B5A"/>
    <w:rsid w:val="003E66C6"/>
    <w:rsid w:val="003F0015"/>
    <w:rsid w:val="003F068D"/>
    <w:rsid w:val="003F25CA"/>
    <w:rsid w:val="003F4EAD"/>
    <w:rsid w:val="003F5EC0"/>
    <w:rsid w:val="00400ABA"/>
    <w:rsid w:val="004069D4"/>
    <w:rsid w:val="00407817"/>
    <w:rsid w:val="00410B7A"/>
    <w:rsid w:val="00413968"/>
    <w:rsid w:val="00416A32"/>
    <w:rsid w:val="004176AC"/>
    <w:rsid w:val="00426EFC"/>
    <w:rsid w:val="00426FCD"/>
    <w:rsid w:val="00437738"/>
    <w:rsid w:val="0043794F"/>
    <w:rsid w:val="00440829"/>
    <w:rsid w:val="00441C3F"/>
    <w:rsid w:val="00445381"/>
    <w:rsid w:val="004529B4"/>
    <w:rsid w:val="00452A97"/>
    <w:rsid w:val="00453281"/>
    <w:rsid w:val="00453666"/>
    <w:rsid w:val="0045539E"/>
    <w:rsid w:val="00460B26"/>
    <w:rsid w:val="00461D45"/>
    <w:rsid w:val="00463A52"/>
    <w:rsid w:val="00464007"/>
    <w:rsid w:val="0046694A"/>
    <w:rsid w:val="0047184E"/>
    <w:rsid w:val="00472C38"/>
    <w:rsid w:val="004808B0"/>
    <w:rsid w:val="00484554"/>
    <w:rsid w:val="00485481"/>
    <w:rsid w:val="0049557D"/>
    <w:rsid w:val="00496225"/>
    <w:rsid w:val="00497C32"/>
    <w:rsid w:val="004A1847"/>
    <w:rsid w:val="004A2FE4"/>
    <w:rsid w:val="004A5547"/>
    <w:rsid w:val="004B0A34"/>
    <w:rsid w:val="004B15F5"/>
    <w:rsid w:val="004B4D85"/>
    <w:rsid w:val="004B7328"/>
    <w:rsid w:val="004C10BB"/>
    <w:rsid w:val="004C2832"/>
    <w:rsid w:val="004C2DA3"/>
    <w:rsid w:val="004C2F05"/>
    <w:rsid w:val="004C49E5"/>
    <w:rsid w:val="004C5D63"/>
    <w:rsid w:val="004C69B2"/>
    <w:rsid w:val="004D04AD"/>
    <w:rsid w:val="004D2B4D"/>
    <w:rsid w:val="004D2C13"/>
    <w:rsid w:val="004D4741"/>
    <w:rsid w:val="004D6126"/>
    <w:rsid w:val="004D6EEE"/>
    <w:rsid w:val="004E028B"/>
    <w:rsid w:val="004E7AD8"/>
    <w:rsid w:val="004F12E0"/>
    <w:rsid w:val="004F17D0"/>
    <w:rsid w:val="004F2A88"/>
    <w:rsid w:val="004F6E8C"/>
    <w:rsid w:val="00501164"/>
    <w:rsid w:val="00502ECF"/>
    <w:rsid w:val="005032EB"/>
    <w:rsid w:val="005051D4"/>
    <w:rsid w:val="005053E7"/>
    <w:rsid w:val="005053EC"/>
    <w:rsid w:val="0050736B"/>
    <w:rsid w:val="005177EA"/>
    <w:rsid w:val="005250E4"/>
    <w:rsid w:val="0052679D"/>
    <w:rsid w:val="00527FFB"/>
    <w:rsid w:val="005321BA"/>
    <w:rsid w:val="005328E9"/>
    <w:rsid w:val="00537A19"/>
    <w:rsid w:val="005418CF"/>
    <w:rsid w:val="00542777"/>
    <w:rsid w:val="005450AA"/>
    <w:rsid w:val="00545415"/>
    <w:rsid w:val="005506D9"/>
    <w:rsid w:val="00551B74"/>
    <w:rsid w:val="0056120C"/>
    <w:rsid w:val="00564D59"/>
    <w:rsid w:val="00566C9F"/>
    <w:rsid w:val="005706F7"/>
    <w:rsid w:val="00577521"/>
    <w:rsid w:val="00577AB9"/>
    <w:rsid w:val="005812EE"/>
    <w:rsid w:val="005821B0"/>
    <w:rsid w:val="00583258"/>
    <w:rsid w:val="005857DA"/>
    <w:rsid w:val="00587C0B"/>
    <w:rsid w:val="00590794"/>
    <w:rsid w:val="00592146"/>
    <w:rsid w:val="00593EAB"/>
    <w:rsid w:val="00595FE6"/>
    <w:rsid w:val="005A50C3"/>
    <w:rsid w:val="005A6322"/>
    <w:rsid w:val="005B11E2"/>
    <w:rsid w:val="005B2E9C"/>
    <w:rsid w:val="005D21C2"/>
    <w:rsid w:val="005E2767"/>
    <w:rsid w:val="005E29DE"/>
    <w:rsid w:val="005E3121"/>
    <w:rsid w:val="005F052D"/>
    <w:rsid w:val="005F12C5"/>
    <w:rsid w:val="005F1979"/>
    <w:rsid w:val="005F531D"/>
    <w:rsid w:val="005F7DAE"/>
    <w:rsid w:val="00602154"/>
    <w:rsid w:val="0060462D"/>
    <w:rsid w:val="006077B9"/>
    <w:rsid w:val="0061187B"/>
    <w:rsid w:val="00616DB1"/>
    <w:rsid w:val="006247DF"/>
    <w:rsid w:val="006363A1"/>
    <w:rsid w:val="00641B2D"/>
    <w:rsid w:val="006428EC"/>
    <w:rsid w:val="0064555F"/>
    <w:rsid w:val="0064569C"/>
    <w:rsid w:val="006558AE"/>
    <w:rsid w:val="00657536"/>
    <w:rsid w:val="0066192E"/>
    <w:rsid w:val="00661FE0"/>
    <w:rsid w:val="00662C35"/>
    <w:rsid w:val="00663698"/>
    <w:rsid w:val="00670B0D"/>
    <w:rsid w:val="0068788B"/>
    <w:rsid w:val="00691585"/>
    <w:rsid w:val="006A2C65"/>
    <w:rsid w:val="006A5CB9"/>
    <w:rsid w:val="006B3AFC"/>
    <w:rsid w:val="006C345A"/>
    <w:rsid w:val="006C44A5"/>
    <w:rsid w:val="006C4DA1"/>
    <w:rsid w:val="006D0FC7"/>
    <w:rsid w:val="006D1D0B"/>
    <w:rsid w:val="006D29CA"/>
    <w:rsid w:val="006D29D9"/>
    <w:rsid w:val="006D3009"/>
    <w:rsid w:val="006D3112"/>
    <w:rsid w:val="006D6F73"/>
    <w:rsid w:val="006D7F0C"/>
    <w:rsid w:val="006E6471"/>
    <w:rsid w:val="006F30FD"/>
    <w:rsid w:val="006F7B29"/>
    <w:rsid w:val="006F7CCE"/>
    <w:rsid w:val="0070552D"/>
    <w:rsid w:val="00706AED"/>
    <w:rsid w:val="00715E15"/>
    <w:rsid w:val="007235DD"/>
    <w:rsid w:val="00723DF0"/>
    <w:rsid w:val="00727F35"/>
    <w:rsid w:val="00736507"/>
    <w:rsid w:val="00737621"/>
    <w:rsid w:val="00743F90"/>
    <w:rsid w:val="00744C64"/>
    <w:rsid w:val="00744F3D"/>
    <w:rsid w:val="00747761"/>
    <w:rsid w:val="00755C12"/>
    <w:rsid w:val="00756F36"/>
    <w:rsid w:val="00760B97"/>
    <w:rsid w:val="00763DE0"/>
    <w:rsid w:val="007659CE"/>
    <w:rsid w:val="0076636B"/>
    <w:rsid w:val="00773566"/>
    <w:rsid w:val="00777931"/>
    <w:rsid w:val="0078104E"/>
    <w:rsid w:val="007814BF"/>
    <w:rsid w:val="0078408A"/>
    <w:rsid w:val="00786A18"/>
    <w:rsid w:val="007900B0"/>
    <w:rsid w:val="007904A0"/>
    <w:rsid w:val="0079144D"/>
    <w:rsid w:val="007A51A9"/>
    <w:rsid w:val="007A7553"/>
    <w:rsid w:val="007B447D"/>
    <w:rsid w:val="007B5429"/>
    <w:rsid w:val="007B5BE4"/>
    <w:rsid w:val="007C27CB"/>
    <w:rsid w:val="007C6D3E"/>
    <w:rsid w:val="007D1751"/>
    <w:rsid w:val="007D3E81"/>
    <w:rsid w:val="007D5136"/>
    <w:rsid w:val="007E0DE6"/>
    <w:rsid w:val="007E4213"/>
    <w:rsid w:val="007E421C"/>
    <w:rsid w:val="007E494F"/>
    <w:rsid w:val="007F3109"/>
    <w:rsid w:val="007F3E94"/>
    <w:rsid w:val="008060E1"/>
    <w:rsid w:val="00813796"/>
    <w:rsid w:val="008218C8"/>
    <w:rsid w:val="00823C5F"/>
    <w:rsid w:val="00824892"/>
    <w:rsid w:val="00826418"/>
    <w:rsid w:val="00827BC4"/>
    <w:rsid w:val="0083601D"/>
    <w:rsid w:val="00840045"/>
    <w:rsid w:val="00842888"/>
    <w:rsid w:val="0084342C"/>
    <w:rsid w:val="00844B1E"/>
    <w:rsid w:val="00850779"/>
    <w:rsid w:val="0085522D"/>
    <w:rsid w:val="00857386"/>
    <w:rsid w:val="0086295D"/>
    <w:rsid w:val="008668AA"/>
    <w:rsid w:val="00877892"/>
    <w:rsid w:val="008857D1"/>
    <w:rsid w:val="00887E02"/>
    <w:rsid w:val="008932E9"/>
    <w:rsid w:val="00896C3D"/>
    <w:rsid w:val="008A408A"/>
    <w:rsid w:val="008A52CB"/>
    <w:rsid w:val="008B1173"/>
    <w:rsid w:val="008B1C00"/>
    <w:rsid w:val="008B587A"/>
    <w:rsid w:val="008B7CCF"/>
    <w:rsid w:val="008C0C40"/>
    <w:rsid w:val="008C7773"/>
    <w:rsid w:val="008D64D4"/>
    <w:rsid w:val="008E17D2"/>
    <w:rsid w:val="008E58FB"/>
    <w:rsid w:val="008F09F6"/>
    <w:rsid w:val="008F20E4"/>
    <w:rsid w:val="008F3674"/>
    <w:rsid w:val="008F4237"/>
    <w:rsid w:val="009054F2"/>
    <w:rsid w:val="009139CD"/>
    <w:rsid w:val="009171B7"/>
    <w:rsid w:val="00917D45"/>
    <w:rsid w:val="00917FE9"/>
    <w:rsid w:val="00923143"/>
    <w:rsid w:val="00930CBE"/>
    <w:rsid w:val="00932501"/>
    <w:rsid w:val="00933145"/>
    <w:rsid w:val="00934D94"/>
    <w:rsid w:val="00945F1A"/>
    <w:rsid w:val="00946007"/>
    <w:rsid w:val="00946CBC"/>
    <w:rsid w:val="00960283"/>
    <w:rsid w:val="00962590"/>
    <w:rsid w:val="00965E94"/>
    <w:rsid w:val="009711FA"/>
    <w:rsid w:val="0097318B"/>
    <w:rsid w:val="00976D36"/>
    <w:rsid w:val="00977222"/>
    <w:rsid w:val="009826E5"/>
    <w:rsid w:val="00983EA2"/>
    <w:rsid w:val="00990772"/>
    <w:rsid w:val="00993645"/>
    <w:rsid w:val="00993AB8"/>
    <w:rsid w:val="00993D00"/>
    <w:rsid w:val="009940A9"/>
    <w:rsid w:val="009946D1"/>
    <w:rsid w:val="009A7DEF"/>
    <w:rsid w:val="009A7F71"/>
    <w:rsid w:val="009B623B"/>
    <w:rsid w:val="009B6354"/>
    <w:rsid w:val="009C0FCF"/>
    <w:rsid w:val="009C1A59"/>
    <w:rsid w:val="009C1B22"/>
    <w:rsid w:val="009C3A04"/>
    <w:rsid w:val="009D5819"/>
    <w:rsid w:val="009D742D"/>
    <w:rsid w:val="009E1A8F"/>
    <w:rsid w:val="009E1CF1"/>
    <w:rsid w:val="009E33DB"/>
    <w:rsid w:val="009F2E90"/>
    <w:rsid w:val="00A06485"/>
    <w:rsid w:val="00A143A2"/>
    <w:rsid w:val="00A15871"/>
    <w:rsid w:val="00A368C0"/>
    <w:rsid w:val="00A40FAE"/>
    <w:rsid w:val="00A47435"/>
    <w:rsid w:val="00A50FFC"/>
    <w:rsid w:val="00A51744"/>
    <w:rsid w:val="00A6016E"/>
    <w:rsid w:val="00A61395"/>
    <w:rsid w:val="00A6188C"/>
    <w:rsid w:val="00A639E8"/>
    <w:rsid w:val="00A66429"/>
    <w:rsid w:val="00A66C48"/>
    <w:rsid w:val="00A75647"/>
    <w:rsid w:val="00A75CD4"/>
    <w:rsid w:val="00A762B7"/>
    <w:rsid w:val="00A843EF"/>
    <w:rsid w:val="00A87486"/>
    <w:rsid w:val="00A92357"/>
    <w:rsid w:val="00A9310A"/>
    <w:rsid w:val="00A967E5"/>
    <w:rsid w:val="00AA0C2E"/>
    <w:rsid w:val="00AA26DF"/>
    <w:rsid w:val="00AA40F6"/>
    <w:rsid w:val="00AA6073"/>
    <w:rsid w:val="00AB125C"/>
    <w:rsid w:val="00AB2C92"/>
    <w:rsid w:val="00AB2DF1"/>
    <w:rsid w:val="00AB484D"/>
    <w:rsid w:val="00AB72B8"/>
    <w:rsid w:val="00AB799C"/>
    <w:rsid w:val="00AC4DCB"/>
    <w:rsid w:val="00AC4E1F"/>
    <w:rsid w:val="00AC6CAB"/>
    <w:rsid w:val="00AD6205"/>
    <w:rsid w:val="00AD6645"/>
    <w:rsid w:val="00AD6DBA"/>
    <w:rsid w:val="00AE1262"/>
    <w:rsid w:val="00AE434C"/>
    <w:rsid w:val="00AE4B33"/>
    <w:rsid w:val="00AE64A6"/>
    <w:rsid w:val="00AF3563"/>
    <w:rsid w:val="00AF5B42"/>
    <w:rsid w:val="00AF74CA"/>
    <w:rsid w:val="00B06FB3"/>
    <w:rsid w:val="00B07910"/>
    <w:rsid w:val="00B07C28"/>
    <w:rsid w:val="00B13B99"/>
    <w:rsid w:val="00B13E51"/>
    <w:rsid w:val="00B1401F"/>
    <w:rsid w:val="00B145D4"/>
    <w:rsid w:val="00B24667"/>
    <w:rsid w:val="00B24D67"/>
    <w:rsid w:val="00B339C4"/>
    <w:rsid w:val="00B342D5"/>
    <w:rsid w:val="00B379A8"/>
    <w:rsid w:val="00B407E5"/>
    <w:rsid w:val="00B420E5"/>
    <w:rsid w:val="00B422F8"/>
    <w:rsid w:val="00B426D5"/>
    <w:rsid w:val="00B5794A"/>
    <w:rsid w:val="00B6098D"/>
    <w:rsid w:val="00B6760A"/>
    <w:rsid w:val="00B7276F"/>
    <w:rsid w:val="00B765C4"/>
    <w:rsid w:val="00B7682F"/>
    <w:rsid w:val="00B775E2"/>
    <w:rsid w:val="00B80AEE"/>
    <w:rsid w:val="00B81444"/>
    <w:rsid w:val="00B82F53"/>
    <w:rsid w:val="00B868A4"/>
    <w:rsid w:val="00B86A10"/>
    <w:rsid w:val="00B944DD"/>
    <w:rsid w:val="00B95B00"/>
    <w:rsid w:val="00BA42E6"/>
    <w:rsid w:val="00BA4BC1"/>
    <w:rsid w:val="00BA51CE"/>
    <w:rsid w:val="00BA7385"/>
    <w:rsid w:val="00BB0D3E"/>
    <w:rsid w:val="00BB0EA2"/>
    <w:rsid w:val="00BB3E17"/>
    <w:rsid w:val="00BC7149"/>
    <w:rsid w:val="00BD0F45"/>
    <w:rsid w:val="00BD1BB3"/>
    <w:rsid w:val="00BD2515"/>
    <w:rsid w:val="00BD30C4"/>
    <w:rsid w:val="00BD5B6F"/>
    <w:rsid w:val="00BE0993"/>
    <w:rsid w:val="00BE0C8B"/>
    <w:rsid w:val="00BE37C6"/>
    <w:rsid w:val="00BE4D84"/>
    <w:rsid w:val="00BE5F94"/>
    <w:rsid w:val="00BF0016"/>
    <w:rsid w:val="00BF0A3F"/>
    <w:rsid w:val="00BF1413"/>
    <w:rsid w:val="00BF1A85"/>
    <w:rsid w:val="00BF63C7"/>
    <w:rsid w:val="00BF652A"/>
    <w:rsid w:val="00C00E85"/>
    <w:rsid w:val="00C044D6"/>
    <w:rsid w:val="00C14F21"/>
    <w:rsid w:val="00C151BA"/>
    <w:rsid w:val="00C15ABA"/>
    <w:rsid w:val="00C16B89"/>
    <w:rsid w:val="00C21B5F"/>
    <w:rsid w:val="00C23B97"/>
    <w:rsid w:val="00C2473B"/>
    <w:rsid w:val="00C25385"/>
    <w:rsid w:val="00C256AD"/>
    <w:rsid w:val="00C26D83"/>
    <w:rsid w:val="00C41F96"/>
    <w:rsid w:val="00C4235F"/>
    <w:rsid w:val="00C4582A"/>
    <w:rsid w:val="00C5771A"/>
    <w:rsid w:val="00C6025E"/>
    <w:rsid w:val="00C612E7"/>
    <w:rsid w:val="00C61452"/>
    <w:rsid w:val="00C71419"/>
    <w:rsid w:val="00C73D15"/>
    <w:rsid w:val="00C746A3"/>
    <w:rsid w:val="00C83F79"/>
    <w:rsid w:val="00C91837"/>
    <w:rsid w:val="00CA01B0"/>
    <w:rsid w:val="00CA0CF9"/>
    <w:rsid w:val="00CA31F8"/>
    <w:rsid w:val="00CB086F"/>
    <w:rsid w:val="00CB43CE"/>
    <w:rsid w:val="00CC02E7"/>
    <w:rsid w:val="00CC3A9F"/>
    <w:rsid w:val="00CD1091"/>
    <w:rsid w:val="00CD48C5"/>
    <w:rsid w:val="00CD68D3"/>
    <w:rsid w:val="00CD69ED"/>
    <w:rsid w:val="00CD6A9B"/>
    <w:rsid w:val="00CE3CF9"/>
    <w:rsid w:val="00CE3ECC"/>
    <w:rsid w:val="00CE75CE"/>
    <w:rsid w:val="00CF138F"/>
    <w:rsid w:val="00CF5A7E"/>
    <w:rsid w:val="00CF5BDC"/>
    <w:rsid w:val="00CF762A"/>
    <w:rsid w:val="00D007E9"/>
    <w:rsid w:val="00D00F8B"/>
    <w:rsid w:val="00D01EC1"/>
    <w:rsid w:val="00D021ED"/>
    <w:rsid w:val="00D05608"/>
    <w:rsid w:val="00D06CCE"/>
    <w:rsid w:val="00D101DC"/>
    <w:rsid w:val="00D12082"/>
    <w:rsid w:val="00D13239"/>
    <w:rsid w:val="00D209AF"/>
    <w:rsid w:val="00D22AC3"/>
    <w:rsid w:val="00D27F71"/>
    <w:rsid w:val="00D3676E"/>
    <w:rsid w:val="00D4172F"/>
    <w:rsid w:val="00D44759"/>
    <w:rsid w:val="00D4655C"/>
    <w:rsid w:val="00D47858"/>
    <w:rsid w:val="00D53927"/>
    <w:rsid w:val="00D54DA8"/>
    <w:rsid w:val="00D64B41"/>
    <w:rsid w:val="00D753A2"/>
    <w:rsid w:val="00D75540"/>
    <w:rsid w:val="00D75E77"/>
    <w:rsid w:val="00D77FAF"/>
    <w:rsid w:val="00D8726D"/>
    <w:rsid w:val="00D936B4"/>
    <w:rsid w:val="00D93894"/>
    <w:rsid w:val="00DA0F92"/>
    <w:rsid w:val="00DB0929"/>
    <w:rsid w:val="00DB4F07"/>
    <w:rsid w:val="00DC294A"/>
    <w:rsid w:val="00DC2C81"/>
    <w:rsid w:val="00DC6C76"/>
    <w:rsid w:val="00DD3BB9"/>
    <w:rsid w:val="00DD44CA"/>
    <w:rsid w:val="00DE06D3"/>
    <w:rsid w:val="00DE2F86"/>
    <w:rsid w:val="00DE31B4"/>
    <w:rsid w:val="00DE5735"/>
    <w:rsid w:val="00DE5A01"/>
    <w:rsid w:val="00DE5EC9"/>
    <w:rsid w:val="00DE6B0D"/>
    <w:rsid w:val="00DF0A72"/>
    <w:rsid w:val="00DF7107"/>
    <w:rsid w:val="00E044C8"/>
    <w:rsid w:val="00E0720E"/>
    <w:rsid w:val="00E13519"/>
    <w:rsid w:val="00E202B0"/>
    <w:rsid w:val="00E20593"/>
    <w:rsid w:val="00E24E9D"/>
    <w:rsid w:val="00E3005C"/>
    <w:rsid w:val="00E33174"/>
    <w:rsid w:val="00E35A47"/>
    <w:rsid w:val="00E36B71"/>
    <w:rsid w:val="00E407E4"/>
    <w:rsid w:val="00E45F60"/>
    <w:rsid w:val="00E5351D"/>
    <w:rsid w:val="00E56001"/>
    <w:rsid w:val="00E61CB3"/>
    <w:rsid w:val="00E6482C"/>
    <w:rsid w:val="00E655F4"/>
    <w:rsid w:val="00E65DDC"/>
    <w:rsid w:val="00E66A34"/>
    <w:rsid w:val="00E66F8F"/>
    <w:rsid w:val="00E67EA9"/>
    <w:rsid w:val="00E81F58"/>
    <w:rsid w:val="00E82645"/>
    <w:rsid w:val="00E9359E"/>
    <w:rsid w:val="00E94EFA"/>
    <w:rsid w:val="00EA324E"/>
    <w:rsid w:val="00EA364B"/>
    <w:rsid w:val="00EB204D"/>
    <w:rsid w:val="00EC068D"/>
    <w:rsid w:val="00EC53D5"/>
    <w:rsid w:val="00EE59F6"/>
    <w:rsid w:val="00EE5F47"/>
    <w:rsid w:val="00EE7AD2"/>
    <w:rsid w:val="00EE7FC1"/>
    <w:rsid w:val="00EF37A4"/>
    <w:rsid w:val="00F2098F"/>
    <w:rsid w:val="00F21846"/>
    <w:rsid w:val="00F22B6E"/>
    <w:rsid w:val="00F26613"/>
    <w:rsid w:val="00F27E69"/>
    <w:rsid w:val="00F33234"/>
    <w:rsid w:val="00F3620E"/>
    <w:rsid w:val="00F40DF9"/>
    <w:rsid w:val="00F448E1"/>
    <w:rsid w:val="00F4633E"/>
    <w:rsid w:val="00F56D19"/>
    <w:rsid w:val="00F60D54"/>
    <w:rsid w:val="00F67549"/>
    <w:rsid w:val="00F71ED3"/>
    <w:rsid w:val="00F72545"/>
    <w:rsid w:val="00F76CD5"/>
    <w:rsid w:val="00F76D48"/>
    <w:rsid w:val="00F82115"/>
    <w:rsid w:val="00F879E4"/>
    <w:rsid w:val="00F95932"/>
    <w:rsid w:val="00FA7367"/>
    <w:rsid w:val="00FB5F3B"/>
    <w:rsid w:val="00FC1263"/>
    <w:rsid w:val="00FC2390"/>
    <w:rsid w:val="00FD097E"/>
    <w:rsid w:val="00FD0DA5"/>
    <w:rsid w:val="00FD1290"/>
    <w:rsid w:val="00FE0F5A"/>
    <w:rsid w:val="00FE2CA1"/>
    <w:rsid w:val="00FE2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4F8"/>
    <w:pPr>
      <w:widowControl w:val="0"/>
      <w:autoSpaceDE w:val="0"/>
      <w:autoSpaceDN w:val="0"/>
      <w:adjustRightInd w:val="0"/>
    </w:pPr>
    <w:rPr>
      <w:rFonts w:ascii="Courier 10cpi" w:hAnsi="Courier 10cp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F14F8"/>
    <w:pPr>
      <w:widowControl w:val="0"/>
      <w:autoSpaceDE w:val="0"/>
      <w:autoSpaceDN w:val="0"/>
      <w:adjustRightInd w:val="0"/>
      <w:ind w:left="720"/>
      <w:jc w:val="both"/>
    </w:pPr>
    <w:rPr>
      <w:rFonts w:ascii="Courier 10cpi" w:hAnsi="Courier 10cpi"/>
      <w:sz w:val="24"/>
      <w:szCs w:val="24"/>
      <w:lang w:eastAsia="en-US"/>
    </w:rPr>
  </w:style>
  <w:style w:type="character" w:customStyle="1" w:styleId="SYSHYPERTEXT">
    <w:name w:val="SYS_HYPERTEXT"/>
    <w:rsid w:val="002F14F8"/>
    <w:rPr>
      <w:color w:val="0000FF"/>
      <w:u w:val="single"/>
    </w:rPr>
  </w:style>
  <w:style w:type="paragraph" w:styleId="Header">
    <w:name w:val="header"/>
    <w:basedOn w:val="Normal"/>
    <w:rsid w:val="003B7CC4"/>
    <w:pPr>
      <w:tabs>
        <w:tab w:val="center" w:pos="4320"/>
        <w:tab w:val="right" w:pos="8640"/>
      </w:tabs>
    </w:pPr>
  </w:style>
  <w:style w:type="paragraph" w:styleId="Footer">
    <w:name w:val="footer"/>
    <w:basedOn w:val="Normal"/>
    <w:rsid w:val="003B7CC4"/>
    <w:pPr>
      <w:tabs>
        <w:tab w:val="center" w:pos="4320"/>
        <w:tab w:val="right" w:pos="8640"/>
      </w:tabs>
    </w:pPr>
  </w:style>
  <w:style w:type="character" w:styleId="Hyperlink">
    <w:name w:val="Hyperlink"/>
    <w:basedOn w:val="DefaultParagraphFont"/>
    <w:rsid w:val="00D75540"/>
    <w:rPr>
      <w:color w:val="0000FF"/>
      <w:u w:val="single"/>
    </w:rPr>
  </w:style>
  <w:style w:type="paragraph" w:styleId="PlainText">
    <w:name w:val="Plain Text"/>
    <w:basedOn w:val="Normal"/>
    <w:rsid w:val="00012A69"/>
    <w:pPr>
      <w:widowControl/>
      <w:autoSpaceDE/>
      <w:autoSpaceDN/>
      <w:adjustRightInd/>
    </w:pPr>
    <w:rPr>
      <w:rFonts w:ascii="Courier New" w:hAnsi="Courier New" w:cs="Courier New"/>
      <w:sz w:val="20"/>
      <w:szCs w:val="20"/>
    </w:rPr>
  </w:style>
  <w:style w:type="character" w:styleId="PageNumber">
    <w:name w:val="page number"/>
    <w:basedOn w:val="DefaultParagraphFont"/>
    <w:rsid w:val="002D4755"/>
  </w:style>
  <w:style w:type="character" w:styleId="FollowedHyperlink">
    <w:name w:val="FollowedHyperlink"/>
    <w:basedOn w:val="DefaultParagraphFont"/>
    <w:rsid w:val="001F623F"/>
    <w:rPr>
      <w:color w:val="800080"/>
      <w:u w:val="single"/>
    </w:rPr>
  </w:style>
  <w:style w:type="paragraph" w:styleId="BalloonText">
    <w:name w:val="Balloon Text"/>
    <w:basedOn w:val="Normal"/>
    <w:semiHidden/>
    <w:rsid w:val="00D27F71"/>
    <w:rPr>
      <w:rFonts w:ascii="Tahoma" w:hAnsi="Tahoma" w:cs="Tahoma"/>
      <w:sz w:val="16"/>
      <w:szCs w:val="16"/>
    </w:rPr>
  </w:style>
  <w:style w:type="character" w:styleId="CommentReference">
    <w:name w:val="annotation reference"/>
    <w:basedOn w:val="DefaultParagraphFont"/>
    <w:semiHidden/>
    <w:rsid w:val="000414E8"/>
    <w:rPr>
      <w:sz w:val="16"/>
      <w:szCs w:val="16"/>
    </w:rPr>
  </w:style>
  <w:style w:type="paragraph" w:styleId="CommentText">
    <w:name w:val="annotation text"/>
    <w:basedOn w:val="Normal"/>
    <w:semiHidden/>
    <w:rsid w:val="000414E8"/>
    <w:rPr>
      <w:sz w:val="20"/>
      <w:szCs w:val="20"/>
    </w:rPr>
  </w:style>
  <w:style w:type="paragraph" w:styleId="CommentSubject">
    <w:name w:val="annotation subject"/>
    <w:basedOn w:val="CommentText"/>
    <w:next w:val="CommentText"/>
    <w:semiHidden/>
    <w:rsid w:val="000414E8"/>
    <w:rPr>
      <w:b/>
      <w:bCs/>
    </w:rPr>
  </w:style>
  <w:style w:type="table" w:styleId="TableGrid">
    <w:name w:val="Table Grid"/>
    <w:basedOn w:val="TableNormal"/>
    <w:rsid w:val="000414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D2B4D"/>
    <w:pPr>
      <w:autoSpaceDE w:val="0"/>
      <w:autoSpaceDN w:val="0"/>
      <w:adjustRightInd w:val="0"/>
    </w:pPr>
    <w:rPr>
      <w:rFonts w:ascii="JAOAN G+ New Century Schlbk" w:hAnsi="JAOAN G+ New Century Schlbk" w:cs="JAOAN G+ New Century Schlbk"/>
      <w:color w:val="000000"/>
      <w:sz w:val="24"/>
      <w:szCs w:val="24"/>
      <w:lang w:eastAsia="en-US"/>
    </w:rPr>
  </w:style>
  <w:style w:type="paragraph" w:customStyle="1" w:styleId="CM27">
    <w:name w:val="CM27"/>
    <w:basedOn w:val="Default"/>
    <w:next w:val="Default"/>
    <w:rsid w:val="004D2B4D"/>
    <w:pPr>
      <w:spacing w:line="248" w:lineRule="atLeast"/>
    </w:pPr>
    <w:rPr>
      <w:rFonts w:cs="Times New Roman"/>
      <w:color w:val="auto"/>
    </w:rPr>
  </w:style>
  <w:style w:type="paragraph" w:customStyle="1" w:styleId="CM20">
    <w:name w:val="CM20"/>
    <w:basedOn w:val="Default"/>
    <w:next w:val="Default"/>
    <w:rsid w:val="004D2B4D"/>
    <w:pPr>
      <w:spacing w:line="243" w:lineRule="atLeast"/>
    </w:pPr>
    <w:rPr>
      <w:rFonts w:cs="Times New Roman"/>
      <w:color w:val="auto"/>
    </w:rPr>
  </w:style>
  <w:style w:type="paragraph" w:styleId="FootnoteText">
    <w:name w:val="footnote text"/>
    <w:basedOn w:val="Normal"/>
    <w:semiHidden/>
    <w:rsid w:val="00501164"/>
    <w:pPr>
      <w:widowControl/>
      <w:autoSpaceDE/>
      <w:autoSpaceDN/>
      <w:adjustRightInd/>
      <w:spacing w:line="264" w:lineRule="auto"/>
    </w:pPr>
    <w:rPr>
      <w:rFonts w:ascii="Times New Roman" w:hAnsi="Times New Roman"/>
      <w:sz w:val="20"/>
      <w:szCs w:val="20"/>
    </w:rPr>
  </w:style>
  <w:style w:type="character" w:styleId="FootnoteReference">
    <w:name w:val="footnote reference"/>
    <w:basedOn w:val="DefaultParagraphFont"/>
    <w:semiHidden/>
    <w:rsid w:val="00501164"/>
    <w:rPr>
      <w:vertAlign w:val="superscript"/>
    </w:rPr>
  </w:style>
</w:styles>
</file>

<file path=word/webSettings.xml><?xml version="1.0" encoding="utf-8"?>
<w:webSettings xmlns:r="http://schemas.openxmlformats.org/officeDocument/2006/relationships" xmlns:w="http://schemas.openxmlformats.org/wordprocessingml/2006/main">
  <w:divs>
    <w:div w:id="243881625">
      <w:bodyDiv w:val="1"/>
      <w:marLeft w:val="0"/>
      <w:marRight w:val="0"/>
      <w:marTop w:val="0"/>
      <w:marBottom w:val="0"/>
      <w:divBdr>
        <w:top w:val="none" w:sz="0" w:space="0" w:color="auto"/>
        <w:left w:val="none" w:sz="0" w:space="0" w:color="auto"/>
        <w:bottom w:val="none" w:sz="0" w:space="0" w:color="auto"/>
        <w:right w:val="none" w:sz="0" w:space="0" w:color="auto"/>
      </w:divBdr>
    </w:div>
    <w:div w:id="268439899">
      <w:bodyDiv w:val="1"/>
      <w:marLeft w:val="0"/>
      <w:marRight w:val="0"/>
      <w:marTop w:val="0"/>
      <w:marBottom w:val="0"/>
      <w:divBdr>
        <w:top w:val="none" w:sz="0" w:space="0" w:color="auto"/>
        <w:left w:val="none" w:sz="0" w:space="0" w:color="auto"/>
        <w:bottom w:val="none" w:sz="0" w:space="0" w:color="auto"/>
        <w:right w:val="none" w:sz="0" w:space="0" w:color="auto"/>
      </w:divBdr>
    </w:div>
    <w:div w:id="430395750">
      <w:bodyDiv w:val="1"/>
      <w:marLeft w:val="0"/>
      <w:marRight w:val="0"/>
      <w:marTop w:val="0"/>
      <w:marBottom w:val="0"/>
      <w:divBdr>
        <w:top w:val="none" w:sz="0" w:space="0" w:color="auto"/>
        <w:left w:val="none" w:sz="0" w:space="0" w:color="auto"/>
        <w:bottom w:val="none" w:sz="0" w:space="0" w:color="auto"/>
        <w:right w:val="none" w:sz="0" w:space="0" w:color="auto"/>
      </w:divBdr>
    </w:div>
    <w:div w:id="864487930">
      <w:bodyDiv w:val="1"/>
      <w:marLeft w:val="0"/>
      <w:marRight w:val="0"/>
      <w:marTop w:val="0"/>
      <w:marBottom w:val="0"/>
      <w:divBdr>
        <w:top w:val="none" w:sz="0" w:space="0" w:color="auto"/>
        <w:left w:val="none" w:sz="0" w:space="0" w:color="auto"/>
        <w:bottom w:val="none" w:sz="0" w:space="0" w:color="auto"/>
        <w:right w:val="none" w:sz="0" w:space="0" w:color="auto"/>
      </w:divBdr>
    </w:div>
    <w:div w:id="1137455779">
      <w:bodyDiv w:val="1"/>
      <w:marLeft w:val="0"/>
      <w:marRight w:val="0"/>
      <w:marTop w:val="0"/>
      <w:marBottom w:val="0"/>
      <w:divBdr>
        <w:top w:val="none" w:sz="0" w:space="0" w:color="auto"/>
        <w:left w:val="none" w:sz="0" w:space="0" w:color="auto"/>
        <w:bottom w:val="none" w:sz="0" w:space="0" w:color="auto"/>
        <w:right w:val="none" w:sz="0" w:space="0" w:color="auto"/>
      </w:divBdr>
    </w:div>
    <w:div w:id="1389065310">
      <w:bodyDiv w:val="1"/>
      <w:marLeft w:val="0"/>
      <w:marRight w:val="0"/>
      <w:marTop w:val="0"/>
      <w:marBottom w:val="0"/>
      <w:divBdr>
        <w:top w:val="none" w:sz="0" w:space="0" w:color="auto"/>
        <w:left w:val="none" w:sz="0" w:space="0" w:color="auto"/>
        <w:bottom w:val="none" w:sz="0" w:space="0" w:color="auto"/>
        <w:right w:val="none" w:sz="0" w:space="0" w:color="auto"/>
      </w:divBdr>
    </w:div>
    <w:div w:id="1428846079">
      <w:bodyDiv w:val="1"/>
      <w:marLeft w:val="0"/>
      <w:marRight w:val="0"/>
      <w:marTop w:val="0"/>
      <w:marBottom w:val="0"/>
      <w:divBdr>
        <w:top w:val="none" w:sz="0" w:space="0" w:color="auto"/>
        <w:left w:val="none" w:sz="0" w:space="0" w:color="auto"/>
        <w:bottom w:val="none" w:sz="0" w:space="0" w:color="auto"/>
        <w:right w:val="none" w:sz="0" w:space="0" w:color="auto"/>
      </w:divBdr>
    </w:div>
    <w:div w:id="1438217136">
      <w:bodyDiv w:val="1"/>
      <w:marLeft w:val="0"/>
      <w:marRight w:val="0"/>
      <w:marTop w:val="0"/>
      <w:marBottom w:val="0"/>
      <w:divBdr>
        <w:top w:val="none" w:sz="0" w:space="0" w:color="auto"/>
        <w:left w:val="none" w:sz="0" w:space="0" w:color="auto"/>
        <w:bottom w:val="none" w:sz="0" w:space="0" w:color="auto"/>
        <w:right w:val="none" w:sz="0" w:space="0" w:color="auto"/>
      </w:divBdr>
    </w:div>
    <w:div w:id="1482193287">
      <w:bodyDiv w:val="1"/>
      <w:marLeft w:val="0"/>
      <w:marRight w:val="0"/>
      <w:marTop w:val="0"/>
      <w:marBottom w:val="0"/>
      <w:divBdr>
        <w:top w:val="none" w:sz="0" w:space="0" w:color="auto"/>
        <w:left w:val="none" w:sz="0" w:space="0" w:color="auto"/>
        <w:bottom w:val="none" w:sz="0" w:space="0" w:color="auto"/>
        <w:right w:val="none" w:sz="0" w:space="0" w:color="auto"/>
      </w:divBdr>
    </w:div>
    <w:div w:id="1558589672">
      <w:bodyDiv w:val="1"/>
      <w:marLeft w:val="0"/>
      <w:marRight w:val="0"/>
      <w:marTop w:val="0"/>
      <w:marBottom w:val="0"/>
      <w:divBdr>
        <w:top w:val="none" w:sz="0" w:space="0" w:color="auto"/>
        <w:left w:val="none" w:sz="0" w:space="0" w:color="auto"/>
        <w:bottom w:val="none" w:sz="0" w:space="0" w:color="auto"/>
        <w:right w:val="none" w:sz="0" w:space="0" w:color="auto"/>
      </w:divBdr>
    </w:div>
    <w:div w:id="1687177067">
      <w:bodyDiv w:val="1"/>
      <w:marLeft w:val="0"/>
      <w:marRight w:val="0"/>
      <w:marTop w:val="0"/>
      <w:marBottom w:val="0"/>
      <w:divBdr>
        <w:top w:val="none" w:sz="0" w:space="0" w:color="auto"/>
        <w:left w:val="none" w:sz="0" w:space="0" w:color="auto"/>
        <w:bottom w:val="none" w:sz="0" w:space="0" w:color="auto"/>
        <w:right w:val="none" w:sz="0" w:space="0" w:color="auto"/>
      </w:divBdr>
    </w:div>
    <w:div w:id="209331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www.epa.gov/opprd001/crp/" TargetMode="External"/><Relationship Id="rId18" Type="http://schemas.openxmlformats.org/officeDocument/2006/relationships/hyperlink" Target="http://www.Regulations.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pa.gov/PR_Notices/pr97-9.html" TargetMode="External"/><Relationship Id="rId7" Type="http://schemas.openxmlformats.org/officeDocument/2006/relationships/endnotes" Target="endnotes.xml"/><Relationship Id="rId12" Type="http://schemas.openxmlformats.org/officeDocument/2006/relationships/hyperlink" Target="http://www.epa.gov/opp00001/regulating/registering/submissions/" TargetMode="External"/><Relationship Id="rId17" Type="http://schemas.openxmlformats.org/officeDocument/2006/relationships/hyperlink" Target="http://www.regulations.gov"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bls.gov/news.release/ecec.t01.htm" TargetMode="External"/><Relationship Id="rId20" Type="http://schemas.openxmlformats.org/officeDocument/2006/relationships/hyperlink" Target="http://www.gpo.gov/fdsys/pkg/CFR-2003-title40-vol21/pdf/CFR-2003-title40-vol21-part15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PR_Notices/pr97-9.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ls.gov/oes/current/oes_stru.htm" TargetMode="External"/><Relationship Id="rId23" Type="http://schemas.openxmlformats.org/officeDocument/2006/relationships/footer" Target="footer1.xml"/><Relationship Id="rId10" Type="http://schemas.openxmlformats.org/officeDocument/2006/relationships/hyperlink" Target="http://www.epa.gov/opprd001/crp/" TargetMode="External"/><Relationship Id="rId19" Type="http://schemas.openxmlformats.org/officeDocument/2006/relationships/hyperlink" Target="http://www.gpo.gov/fdsys/pkg/USCODE-2012-title7/pdf/USCODE-2012-title7-chap6-subchapII-sec136w.pdf%20" TargetMode="External"/><Relationship Id="rId4" Type="http://schemas.openxmlformats.org/officeDocument/2006/relationships/settings" Target="settings.xml"/><Relationship Id="rId9" Type="http://schemas.openxmlformats.org/officeDocument/2006/relationships/hyperlink" Target="http://www.epa.gov/opprd001/crp/" TargetMode="External"/><Relationship Id="rId14" Type="http://schemas.openxmlformats.org/officeDocument/2006/relationships/hyperlink" Target="http://www.bls.gov/oes/current/oes_nat.ht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7E021-2983-4138-B8F8-0F87CEB3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7299</Words>
  <Characters>41608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EPA</Company>
  <LinksUpToDate>false</LinksUpToDate>
  <CharactersWithSpaces>48810</CharactersWithSpaces>
  <SharedDoc>false</SharedDoc>
  <HLinks>
    <vt:vector size="60" baseType="variant">
      <vt:variant>
        <vt:i4>2949142</vt:i4>
      </vt:variant>
      <vt:variant>
        <vt:i4>29</vt:i4>
      </vt:variant>
      <vt:variant>
        <vt:i4>0</vt:i4>
      </vt:variant>
      <vt:variant>
        <vt:i4>5</vt:i4>
      </vt:variant>
      <vt:variant>
        <vt:lpwstr>http://www.epa.gov/opppmsd1/PR_Notices/pr97-9.html</vt:lpwstr>
      </vt:variant>
      <vt:variant>
        <vt:lpwstr/>
      </vt:variant>
      <vt:variant>
        <vt:i4>3997733</vt:i4>
      </vt:variant>
      <vt:variant>
        <vt:i4>26</vt:i4>
      </vt:variant>
      <vt:variant>
        <vt:i4>0</vt:i4>
      </vt:variant>
      <vt:variant>
        <vt:i4>5</vt:i4>
      </vt:variant>
      <vt:variant>
        <vt:lpwstr>http://www.access.gpo.gov/nara/cfr/waisidx_03/40cfr157_03.html</vt:lpwstr>
      </vt:variant>
      <vt:variant>
        <vt:lpwstr/>
      </vt:variant>
      <vt:variant>
        <vt:i4>458846</vt:i4>
      </vt:variant>
      <vt:variant>
        <vt:i4>23</vt:i4>
      </vt:variant>
      <vt:variant>
        <vt:i4>0</vt:i4>
      </vt:variant>
      <vt:variant>
        <vt:i4>5</vt:i4>
      </vt:variant>
      <vt:variant>
        <vt:lpwstr>http://www.epa.gov/opprd001/crp/</vt:lpwstr>
      </vt:variant>
      <vt:variant>
        <vt:lpwstr/>
      </vt:variant>
      <vt:variant>
        <vt:i4>2818151</vt:i4>
      </vt:variant>
      <vt:variant>
        <vt:i4>20</vt:i4>
      </vt:variant>
      <vt:variant>
        <vt:i4>0</vt:i4>
      </vt:variant>
      <vt:variant>
        <vt:i4>5</vt:i4>
      </vt:variant>
      <vt:variant>
        <vt:lpwstr>http://www.regulations.gov/</vt:lpwstr>
      </vt:variant>
      <vt:variant>
        <vt:lpwstr/>
      </vt:variant>
      <vt:variant>
        <vt:i4>2818151</vt:i4>
      </vt:variant>
      <vt:variant>
        <vt:i4>17</vt:i4>
      </vt:variant>
      <vt:variant>
        <vt:i4>0</vt:i4>
      </vt:variant>
      <vt:variant>
        <vt:i4>5</vt:i4>
      </vt:variant>
      <vt:variant>
        <vt:lpwstr>http://www.regulations.gov/</vt:lpwstr>
      </vt:variant>
      <vt:variant>
        <vt:lpwstr/>
      </vt:variant>
      <vt:variant>
        <vt:i4>26</vt:i4>
      </vt:variant>
      <vt:variant>
        <vt:i4>14</vt:i4>
      </vt:variant>
      <vt:variant>
        <vt:i4>0</vt:i4>
      </vt:variant>
      <vt:variant>
        <vt:i4>5</vt:i4>
      </vt:variant>
      <vt:variant>
        <vt:lpwstr>http://www.bls.gov/news.release/ecec.t01.htm</vt:lpwstr>
      </vt:variant>
      <vt:variant>
        <vt:lpwstr/>
      </vt:variant>
      <vt:variant>
        <vt:i4>7340045</vt:i4>
      </vt:variant>
      <vt:variant>
        <vt:i4>11</vt:i4>
      </vt:variant>
      <vt:variant>
        <vt:i4>0</vt:i4>
      </vt:variant>
      <vt:variant>
        <vt:i4>5</vt:i4>
      </vt:variant>
      <vt:variant>
        <vt:lpwstr>http://www.bls.gov/oes/current/oes_stru.htm</vt:lpwstr>
      </vt:variant>
      <vt:variant>
        <vt:lpwstr/>
      </vt:variant>
      <vt:variant>
        <vt:i4>3407967</vt:i4>
      </vt:variant>
      <vt:variant>
        <vt:i4>8</vt:i4>
      </vt:variant>
      <vt:variant>
        <vt:i4>0</vt:i4>
      </vt:variant>
      <vt:variant>
        <vt:i4>5</vt:i4>
      </vt:variant>
      <vt:variant>
        <vt:lpwstr>http://www.bls.gov/oes/current/oes_nat.htm</vt:lpwstr>
      </vt:variant>
      <vt:variant>
        <vt:lpwstr/>
      </vt:variant>
      <vt:variant>
        <vt:i4>458846</vt:i4>
      </vt:variant>
      <vt:variant>
        <vt:i4>5</vt:i4>
      </vt:variant>
      <vt:variant>
        <vt:i4>0</vt:i4>
      </vt:variant>
      <vt:variant>
        <vt:i4>5</vt:i4>
      </vt:variant>
      <vt:variant>
        <vt:lpwstr>http://www.epa.gov/opprd001/crp/</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rosalind</dc:creator>
  <cp:lastModifiedBy>Courtney Kerwin</cp:lastModifiedBy>
  <cp:revision>2</cp:revision>
  <cp:lastPrinted>2013-08-07T15:34:00Z</cp:lastPrinted>
  <dcterms:created xsi:type="dcterms:W3CDTF">2014-05-16T00:18:00Z</dcterms:created>
  <dcterms:modified xsi:type="dcterms:W3CDTF">2014-05-16T00:18:00Z</dcterms:modified>
</cp:coreProperties>
</file>