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AD" w:rsidRDefault="004131AD">
      <w:pPr>
        <w:rPr>
          <w:b/>
          <w:sz w:val="24"/>
          <w:szCs w:val="24"/>
        </w:rPr>
      </w:pPr>
      <w:r>
        <w:rPr>
          <w:b/>
          <w:sz w:val="24"/>
          <w:szCs w:val="24"/>
        </w:rPr>
        <w:t>B.  COLLECTIONS OF INFORMATION EMPLOYING STATISTICAL METHODS</w:t>
      </w:r>
    </w:p>
    <w:p w:rsidR="00B33BEA" w:rsidRDefault="00B33BEA">
      <w:pPr>
        <w:rPr>
          <w:b/>
          <w:sz w:val="24"/>
          <w:szCs w:val="24"/>
        </w:rPr>
      </w:pPr>
    </w:p>
    <w:p w:rsidR="00B33BEA" w:rsidRDefault="00B33BEA">
      <w:pPr>
        <w:rPr>
          <w:b/>
          <w:sz w:val="24"/>
          <w:szCs w:val="24"/>
        </w:rPr>
      </w:pPr>
      <w:r>
        <w:rPr>
          <w:b/>
          <w:sz w:val="24"/>
          <w:szCs w:val="24"/>
        </w:rPr>
        <w:t xml:space="preserve">Number of calls </w:t>
      </w:r>
    </w:p>
    <w:p w:rsidR="004131AD" w:rsidRDefault="004131AD">
      <w:pPr>
        <w:pStyle w:val="Heading2"/>
        <w:rPr>
          <w:rFonts w:ascii="Times New Roman" w:hAnsi="Times New Roman" w:cs="Times New Roman"/>
        </w:rPr>
      </w:pPr>
    </w:p>
    <w:p w:rsidR="004131AD" w:rsidRDefault="004131AD" w:rsidP="002F0827">
      <w:pPr>
        <w:pStyle w:val="Heading2"/>
        <w:tabs>
          <w:tab w:val="clear" w:pos="360"/>
          <w:tab w:val="num" w:pos="0"/>
        </w:tabs>
        <w:ind w:left="0" w:firstLine="0"/>
        <w:rPr>
          <w:rFonts w:ascii="Times New Roman" w:hAnsi="Times New Roman" w:cs="Times New Roman"/>
        </w:rPr>
      </w:pPr>
      <w:r>
        <w:rPr>
          <w:rFonts w:ascii="Times New Roman" w:hAnsi="Times New Roman" w:cs="Times New Roman"/>
        </w:rPr>
        <w:t>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stratum.  Indicate expected response rates.  If this has been conducted previously include actual response rates achieved.</w:t>
      </w:r>
    </w:p>
    <w:p w:rsidR="004131AD" w:rsidRDefault="004131AD">
      <w:pPr>
        <w:rPr>
          <w:sz w:val="24"/>
        </w:rPr>
      </w:pPr>
    </w:p>
    <w:p w:rsidR="004131AD" w:rsidRDefault="004131AD">
      <w:pPr>
        <w:rPr>
          <w:sz w:val="24"/>
          <w:szCs w:val="24"/>
        </w:rPr>
      </w:pPr>
      <w:r>
        <w:rPr>
          <w:sz w:val="24"/>
        </w:rPr>
        <w:t>The respective target population for this survey is as follows:</w:t>
      </w:r>
      <w:r>
        <w:rPr>
          <w:sz w:val="24"/>
          <w:szCs w:val="24"/>
        </w:rPr>
        <w:t xml:space="preserve"> </w:t>
      </w:r>
    </w:p>
    <w:p w:rsidR="004131AD" w:rsidRDefault="004131AD">
      <w:pPr>
        <w:ind w:left="576"/>
        <w:rPr>
          <w:sz w:val="24"/>
          <w:szCs w:val="24"/>
        </w:rPr>
      </w:pPr>
    </w:p>
    <w:p w:rsidR="004131AD" w:rsidRDefault="004131AD">
      <w:pPr>
        <w:numPr>
          <w:ilvl w:val="0"/>
          <w:numId w:val="1"/>
        </w:numPr>
        <w:rPr>
          <w:sz w:val="24"/>
          <w:szCs w:val="24"/>
        </w:rPr>
      </w:pPr>
      <w:r>
        <w:rPr>
          <w:b/>
          <w:sz w:val="24"/>
          <w:szCs w:val="24"/>
        </w:rPr>
        <w:t>Survey of Satisfaction with the VBA Call Center Experience:</w:t>
      </w:r>
      <w:r>
        <w:rPr>
          <w:sz w:val="24"/>
          <w:szCs w:val="24"/>
        </w:rPr>
        <w:t xml:space="preserve"> gathers satisfaction data from clients (customers) who recently contacted a VBA National Call Center, the Education Call Center </w:t>
      </w:r>
      <w:r w:rsidR="00F84CD6">
        <w:rPr>
          <w:sz w:val="24"/>
          <w:szCs w:val="24"/>
        </w:rPr>
        <w:t>or</w:t>
      </w:r>
      <w:r>
        <w:rPr>
          <w:sz w:val="24"/>
          <w:szCs w:val="24"/>
        </w:rPr>
        <w:t xml:space="preserve"> the National Pension Call Center </w:t>
      </w:r>
    </w:p>
    <w:p w:rsidR="00B33BEA" w:rsidRDefault="00B33BEA">
      <w:pPr>
        <w:rPr>
          <w:sz w:val="24"/>
        </w:rPr>
      </w:pPr>
    </w:p>
    <w:p w:rsidR="004131AD" w:rsidRDefault="004131AD">
      <w:pPr>
        <w:rPr>
          <w:sz w:val="24"/>
        </w:rPr>
      </w:pPr>
      <w:r>
        <w:rPr>
          <w:sz w:val="24"/>
        </w:rPr>
        <w:t xml:space="preserve">This section describes the universe of respondents for the survey, and the sampling plan that will be employed to achieve a representative sample for each survey. </w:t>
      </w:r>
    </w:p>
    <w:p w:rsidR="00B33BEA" w:rsidRPr="003D1A32" w:rsidRDefault="00B33BEA" w:rsidP="0005506D">
      <w:pPr>
        <w:rPr>
          <w:b/>
          <w:sz w:val="24"/>
        </w:rPr>
      </w:pPr>
      <w:r w:rsidRPr="003D1A32">
        <w:rPr>
          <w:b/>
          <w:sz w:val="24"/>
        </w:rPr>
        <w:t xml:space="preserve">Sample Design </w:t>
      </w:r>
    </w:p>
    <w:p w:rsidR="00B33BEA" w:rsidRPr="003D1A32" w:rsidRDefault="00B33BEA" w:rsidP="0005506D">
      <w:pPr>
        <w:rPr>
          <w:sz w:val="24"/>
        </w:rPr>
      </w:pPr>
    </w:p>
    <w:p w:rsidR="004131AD" w:rsidRDefault="004131AD" w:rsidP="0005506D">
      <w:pPr>
        <w:rPr>
          <w:sz w:val="24"/>
        </w:rPr>
      </w:pPr>
      <w:r w:rsidRPr="003D1A32">
        <w:rPr>
          <w:sz w:val="24"/>
        </w:rPr>
        <w:t xml:space="preserve">Each call center will collect caller data (name, phone number) every third business day throughout the month for up to six days per month (with exception of holidays).  A minimum of </w:t>
      </w:r>
      <w:r w:rsidR="0000741D" w:rsidRPr="003D1A32">
        <w:rPr>
          <w:sz w:val="24"/>
        </w:rPr>
        <w:t>4</w:t>
      </w:r>
      <w:r w:rsidR="008E5735">
        <w:rPr>
          <w:sz w:val="24"/>
        </w:rPr>
        <w:t>,</w:t>
      </w:r>
      <w:r w:rsidR="0000741D" w:rsidRPr="003D1A32">
        <w:rPr>
          <w:sz w:val="24"/>
        </w:rPr>
        <w:t xml:space="preserve">500 </w:t>
      </w:r>
      <w:r w:rsidRPr="003D1A32">
        <w:rPr>
          <w:sz w:val="24"/>
        </w:rPr>
        <w:t>call records will be provided each month for each call center in order to complete 333</w:t>
      </w:r>
      <w:r w:rsidR="009B448E" w:rsidRPr="003D1A32">
        <w:rPr>
          <w:sz w:val="24"/>
        </w:rPr>
        <w:t>-</w:t>
      </w:r>
      <w:r w:rsidRPr="003D1A32">
        <w:rPr>
          <w:sz w:val="24"/>
        </w:rPr>
        <w:t xml:space="preserve"> 334 interviews per call center and ensure a representative random sample in the requisite 3</w:t>
      </w:r>
      <w:r w:rsidR="007D7556">
        <w:rPr>
          <w:sz w:val="24"/>
        </w:rPr>
        <w:t>,</w:t>
      </w:r>
      <w:r w:rsidRPr="003D1A32">
        <w:rPr>
          <w:sz w:val="24"/>
        </w:rPr>
        <w:t>000 total surveys per month. Each call center will be provided a list of days on which the sample will be collected and the number of call records for which data should be collected.</w:t>
      </w:r>
    </w:p>
    <w:p w:rsidR="00A831C5" w:rsidRPr="0005506D" w:rsidRDefault="009B448E" w:rsidP="0005506D">
      <w:pPr>
        <w:rPr>
          <w:sz w:val="24"/>
        </w:rPr>
      </w:pPr>
      <w:r>
        <w:rPr>
          <w:sz w:val="24"/>
        </w:rPr>
        <w:t xml:space="preserve">The National Call Centers and the National Pension Call Center </w:t>
      </w:r>
      <w:r w:rsidR="00A831C5">
        <w:rPr>
          <w:sz w:val="24"/>
        </w:rPr>
        <w:t xml:space="preserve">will </w:t>
      </w:r>
      <w:r>
        <w:rPr>
          <w:sz w:val="24"/>
        </w:rPr>
        <w:t xml:space="preserve">collect caller data using </w:t>
      </w:r>
      <w:r w:rsidR="00A831C5">
        <w:rPr>
          <w:sz w:val="24"/>
        </w:rPr>
        <w:t>the</w:t>
      </w:r>
      <w:r>
        <w:rPr>
          <w:sz w:val="24"/>
        </w:rPr>
        <w:t xml:space="preserve"> C</w:t>
      </w:r>
      <w:r w:rsidR="00FF2E14">
        <w:rPr>
          <w:sz w:val="24"/>
        </w:rPr>
        <w:t xml:space="preserve">ustomer </w:t>
      </w:r>
      <w:r>
        <w:rPr>
          <w:sz w:val="24"/>
        </w:rPr>
        <w:t>R</w:t>
      </w:r>
      <w:r w:rsidR="00FF2E14">
        <w:rPr>
          <w:sz w:val="24"/>
        </w:rPr>
        <w:t xml:space="preserve">elationship </w:t>
      </w:r>
      <w:r>
        <w:rPr>
          <w:sz w:val="24"/>
        </w:rPr>
        <w:t>M</w:t>
      </w:r>
      <w:r w:rsidR="00FF2E14">
        <w:rPr>
          <w:sz w:val="24"/>
        </w:rPr>
        <w:t>anagement (CRM)/Unified Desktop (UD)</w:t>
      </w:r>
      <w:r>
        <w:rPr>
          <w:sz w:val="24"/>
        </w:rPr>
        <w:t xml:space="preserve"> system. For these call centers, caller data for every call received on a collection day is delivered to J</w:t>
      </w:r>
      <w:r w:rsidR="00FF2E14">
        <w:rPr>
          <w:sz w:val="24"/>
        </w:rPr>
        <w:t xml:space="preserve">. </w:t>
      </w:r>
      <w:r>
        <w:rPr>
          <w:sz w:val="24"/>
        </w:rPr>
        <w:t>D</w:t>
      </w:r>
      <w:r w:rsidR="00FF2E14">
        <w:rPr>
          <w:sz w:val="24"/>
        </w:rPr>
        <w:t xml:space="preserve">. </w:t>
      </w:r>
      <w:r>
        <w:rPr>
          <w:sz w:val="24"/>
        </w:rPr>
        <w:t>P</w:t>
      </w:r>
      <w:r w:rsidR="00FF2E14">
        <w:rPr>
          <w:sz w:val="24"/>
        </w:rPr>
        <w:t>ower (JDP)</w:t>
      </w:r>
      <w:r>
        <w:rPr>
          <w:sz w:val="24"/>
        </w:rPr>
        <w:t xml:space="preserve"> for interviewing. The Education Call Center has not implemented the CRM system </w:t>
      </w:r>
      <w:r w:rsidR="009F23CC">
        <w:rPr>
          <w:sz w:val="24"/>
        </w:rPr>
        <w:t xml:space="preserve">yet </w:t>
      </w:r>
      <w:r>
        <w:rPr>
          <w:sz w:val="24"/>
        </w:rPr>
        <w:t xml:space="preserve">and </w:t>
      </w:r>
      <w:r w:rsidR="00A831C5">
        <w:rPr>
          <w:sz w:val="24"/>
        </w:rPr>
        <w:t>will collect</w:t>
      </w:r>
      <w:r>
        <w:rPr>
          <w:sz w:val="24"/>
        </w:rPr>
        <w:t xml:space="preserve"> sample manually</w:t>
      </w:r>
      <w:r w:rsidR="009F23CC">
        <w:rPr>
          <w:sz w:val="24"/>
        </w:rPr>
        <w:t xml:space="preserve"> until CRM is implemented</w:t>
      </w:r>
      <w:r>
        <w:rPr>
          <w:sz w:val="24"/>
        </w:rPr>
        <w:t xml:space="preserve">. </w:t>
      </w:r>
      <w:r w:rsidR="004131AD" w:rsidRPr="0005506D">
        <w:rPr>
          <w:sz w:val="24"/>
        </w:rPr>
        <w:t xml:space="preserve">In order to minimize the burden of </w:t>
      </w:r>
      <w:r w:rsidR="004131AD" w:rsidRPr="003D1A32">
        <w:rPr>
          <w:sz w:val="24"/>
        </w:rPr>
        <w:t>manual sample</w:t>
      </w:r>
      <w:r w:rsidR="004131AD" w:rsidRPr="0005506D">
        <w:rPr>
          <w:sz w:val="24"/>
        </w:rPr>
        <w:t xml:space="preserve"> collection on call center representatives</w:t>
      </w:r>
      <w:r w:rsidR="009F23CC">
        <w:rPr>
          <w:sz w:val="24"/>
        </w:rPr>
        <w:t xml:space="preserve"> at the Education Call Center</w:t>
      </w:r>
      <w:r w:rsidR="004131AD" w:rsidRPr="0005506D">
        <w:rPr>
          <w:sz w:val="24"/>
        </w:rPr>
        <w:t xml:space="preserve">, call center managers select 20 call center representatives to collect caller data on each sample collection day.  Call center representatives should be selected on a rotating basis (i.e., different representatives selected for each sample collection day) to ensure a representative sampling of incoming calls.  On the sample collection day, each selected representative will collect data for all of the incoming calls they receive. The collected data will be sent to </w:t>
      </w:r>
      <w:r w:rsidR="004B32C9">
        <w:rPr>
          <w:sz w:val="24"/>
        </w:rPr>
        <w:t>the c</w:t>
      </w:r>
      <w:r w:rsidR="009F23CC">
        <w:rPr>
          <w:sz w:val="24"/>
        </w:rPr>
        <w:t xml:space="preserve">ontractor, </w:t>
      </w:r>
      <w:r w:rsidR="004131AD" w:rsidRPr="0005506D">
        <w:rPr>
          <w:sz w:val="24"/>
        </w:rPr>
        <w:t>J</w:t>
      </w:r>
      <w:r w:rsidR="009F23CC">
        <w:rPr>
          <w:sz w:val="24"/>
        </w:rPr>
        <w:t>.</w:t>
      </w:r>
      <w:r w:rsidR="004131AD" w:rsidRPr="0005506D">
        <w:rPr>
          <w:sz w:val="24"/>
        </w:rPr>
        <w:t>D</w:t>
      </w:r>
      <w:r w:rsidR="009F23CC">
        <w:rPr>
          <w:sz w:val="24"/>
        </w:rPr>
        <w:t xml:space="preserve">. </w:t>
      </w:r>
      <w:r w:rsidR="004131AD" w:rsidRPr="0005506D">
        <w:rPr>
          <w:sz w:val="24"/>
        </w:rPr>
        <w:t>P</w:t>
      </w:r>
      <w:r w:rsidR="009F23CC">
        <w:rPr>
          <w:sz w:val="24"/>
        </w:rPr>
        <w:t>ower (JDP)</w:t>
      </w:r>
      <w:r w:rsidR="004131AD" w:rsidRPr="0005506D">
        <w:rPr>
          <w:sz w:val="24"/>
        </w:rPr>
        <w:t xml:space="preserve">, who will randomly select </w:t>
      </w:r>
      <w:r>
        <w:rPr>
          <w:sz w:val="24"/>
        </w:rPr>
        <w:t>500</w:t>
      </w:r>
      <w:r w:rsidRPr="0005506D">
        <w:rPr>
          <w:sz w:val="24"/>
        </w:rPr>
        <w:t xml:space="preserve"> </w:t>
      </w:r>
      <w:r w:rsidR="004131AD" w:rsidRPr="0005506D">
        <w:rPr>
          <w:sz w:val="24"/>
        </w:rPr>
        <w:t>records from each call center for interviewing.</w:t>
      </w:r>
      <w:r w:rsidR="00A45C11">
        <w:rPr>
          <w:sz w:val="24"/>
        </w:rPr>
        <w:t xml:space="preserve"> </w:t>
      </w:r>
      <w:r w:rsidR="003D1A32">
        <w:rPr>
          <w:sz w:val="24"/>
        </w:rPr>
        <w:t>Following the receipt of each sample file</w:t>
      </w:r>
      <w:r w:rsidR="004B32C9">
        <w:rPr>
          <w:sz w:val="24"/>
        </w:rPr>
        <w:t xml:space="preserve"> from the call centers</w:t>
      </w:r>
      <w:r w:rsidR="003D1A32">
        <w:rPr>
          <w:sz w:val="24"/>
        </w:rPr>
        <w:t>, JDP randomly selects respondents</w:t>
      </w:r>
      <w:r w:rsidR="00A45C11">
        <w:rPr>
          <w:sz w:val="24"/>
        </w:rPr>
        <w:t xml:space="preserve"> to participate until 55-56 interviews per call center are completed from each sample file. </w:t>
      </w:r>
      <w:r w:rsidR="00F376BD">
        <w:rPr>
          <w:sz w:val="24"/>
        </w:rPr>
        <w:t>This ensures</w:t>
      </w:r>
      <w:r w:rsidR="00043B9E">
        <w:rPr>
          <w:sz w:val="24"/>
        </w:rPr>
        <w:t xml:space="preserve"> that interviews are collected </w:t>
      </w:r>
      <w:r w:rsidR="003D1A32">
        <w:rPr>
          <w:sz w:val="24"/>
        </w:rPr>
        <w:t xml:space="preserve">throughout the month </w:t>
      </w:r>
      <w:r w:rsidR="00F376BD">
        <w:rPr>
          <w:sz w:val="24"/>
        </w:rPr>
        <w:t>and</w:t>
      </w:r>
      <w:r w:rsidR="00F376BD" w:rsidRPr="00F376BD">
        <w:rPr>
          <w:sz w:val="24"/>
        </w:rPr>
        <w:t xml:space="preserve"> </w:t>
      </w:r>
      <w:r w:rsidR="00F376BD" w:rsidRPr="003D1A32">
        <w:rPr>
          <w:sz w:val="24"/>
        </w:rPr>
        <w:t xml:space="preserve">the requisite </w:t>
      </w:r>
      <w:r w:rsidR="00F376BD">
        <w:rPr>
          <w:sz w:val="24"/>
        </w:rPr>
        <w:t>333-334</w:t>
      </w:r>
      <w:r w:rsidR="00F376BD" w:rsidRPr="003D1A32">
        <w:rPr>
          <w:sz w:val="24"/>
        </w:rPr>
        <w:t xml:space="preserve"> surveys </w:t>
      </w:r>
      <w:r w:rsidR="00F376BD">
        <w:rPr>
          <w:sz w:val="24"/>
        </w:rPr>
        <w:t>per call center per month is a representative random sample (36,000 total surveys annually)</w:t>
      </w:r>
      <w:r w:rsidR="003D1A32">
        <w:rPr>
          <w:sz w:val="24"/>
        </w:rPr>
        <w:t xml:space="preserve">. </w:t>
      </w:r>
    </w:p>
    <w:p w:rsidR="00B33BEA" w:rsidRDefault="00B33BEA">
      <w:pPr>
        <w:rPr>
          <w:sz w:val="24"/>
        </w:rPr>
      </w:pPr>
    </w:p>
    <w:p w:rsidR="00043B9E" w:rsidRPr="00B90848" w:rsidRDefault="009F23CC">
      <w:pPr>
        <w:rPr>
          <w:sz w:val="24"/>
        </w:rPr>
      </w:pPr>
      <w:r w:rsidRPr="00B90848">
        <w:rPr>
          <w:sz w:val="24"/>
        </w:rPr>
        <w:lastRenderedPageBreak/>
        <w:t xml:space="preserve">The contractor, </w:t>
      </w:r>
      <w:r w:rsidR="00FF2E14" w:rsidRPr="00B90848">
        <w:rPr>
          <w:sz w:val="24"/>
        </w:rPr>
        <w:t>JDP</w:t>
      </w:r>
      <w:r w:rsidRPr="00B90848">
        <w:rPr>
          <w:sz w:val="24"/>
        </w:rPr>
        <w:t>,</w:t>
      </w:r>
      <w:r w:rsidR="005F385F" w:rsidRPr="00B90848">
        <w:rPr>
          <w:sz w:val="24"/>
        </w:rPr>
        <w:t xml:space="preserve"> is a </w:t>
      </w:r>
      <w:r w:rsidR="003E54A2" w:rsidRPr="00B90848">
        <w:rPr>
          <w:sz w:val="24"/>
        </w:rPr>
        <w:t xml:space="preserve">member of </w:t>
      </w:r>
      <w:r w:rsidR="00B33BEA" w:rsidRPr="00B90848">
        <w:rPr>
          <w:sz w:val="24"/>
        </w:rPr>
        <w:t xml:space="preserve">CASRO </w:t>
      </w:r>
      <w:r w:rsidR="003E54A2" w:rsidRPr="00B90848">
        <w:rPr>
          <w:sz w:val="24"/>
        </w:rPr>
        <w:t>(Council of American Survey Research Organizations)</w:t>
      </w:r>
      <w:r w:rsidR="005F385F" w:rsidRPr="00B90848">
        <w:rPr>
          <w:rStyle w:val="FootnoteReference"/>
          <w:sz w:val="24"/>
        </w:rPr>
        <w:footnoteReference w:id="1"/>
      </w:r>
      <w:r w:rsidR="005F385F" w:rsidRPr="00B90848">
        <w:rPr>
          <w:sz w:val="24"/>
        </w:rPr>
        <w:t>, and adheres to the CASRO Code of Standards and Ethics for Survey Research, an internationally cited set of standards which has long been the benchmark for the market research industry</w:t>
      </w:r>
    </w:p>
    <w:p w:rsidR="00191092" w:rsidRDefault="00191092">
      <w:pPr>
        <w:rPr>
          <w:sz w:val="24"/>
        </w:rPr>
      </w:pPr>
    </w:p>
    <w:p w:rsidR="005F385F" w:rsidRDefault="005F385F" w:rsidP="005F385F">
      <w:pPr>
        <w:rPr>
          <w:sz w:val="24"/>
        </w:rPr>
      </w:pPr>
      <w:r>
        <w:rPr>
          <w:sz w:val="24"/>
        </w:rPr>
        <w:t xml:space="preserve">Table 5 displays the number of clients to be surveyed annually, the expected </w:t>
      </w:r>
      <w:r w:rsidR="0076477B">
        <w:rPr>
          <w:sz w:val="24"/>
        </w:rPr>
        <w:t>response</w:t>
      </w:r>
      <w:r>
        <w:rPr>
          <w:sz w:val="24"/>
        </w:rPr>
        <w:t xml:space="preserve"> rate, the FY2014 </w:t>
      </w:r>
      <w:r w:rsidR="0076477B">
        <w:rPr>
          <w:sz w:val="24"/>
        </w:rPr>
        <w:t>response</w:t>
      </w:r>
      <w:r>
        <w:rPr>
          <w:sz w:val="24"/>
        </w:rPr>
        <w:t xml:space="preserve"> rate, and the expected yield of completed Call Center Satisfaction surveys.  VA anticipates a </w:t>
      </w:r>
      <w:r w:rsidR="00B90848">
        <w:rPr>
          <w:sz w:val="24"/>
        </w:rPr>
        <w:t>response rate of 40</w:t>
      </w:r>
      <w:r>
        <w:rPr>
          <w:sz w:val="24"/>
        </w:rPr>
        <w:t>%.</w:t>
      </w:r>
    </w:p>
    <w:p w:rsidR="00191092" w:rsidRDefault="00191092">
      <w:pPr>
        <w:rPr>
          <w:sz w:val="24"/>
        </w:rPr>
      </w:pPr>
    </w:p>
    <w:p w:rsidR="004131AD" w:rsidRDefault="004131AD">
      <w:pPr>
        <w:rPr>
          <w:sz w:val="24"/>
        </w:rPr>
      </w:pPr>
    </w:p>
    <w:p w:rsidR="004131AD" w:rsidRDefault="004131AD">
      <w:pPr>
        <w:rPr>
          <w:sz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01"/>
        <w:gridCol w:w="1783"/>
        <w:gridCol w:w="1911"/>
        <w:gridCol w:w="1348"/>
        <w:gridCol w:w="1320"/>
        <w:gridCol w:w="1313"/>
      </w:tblGrid>
      <w:tr w:rsidR="00F376BD" w:rsidTr="009A64C8">
        <w:trPr>
          <w:cantSplit/>
          <w:trHeight w:val="432"/>
          <w:jc w:val="center"/>
        </w:trPr>
        <w:tc>
          <w:tcPr>
            <w:tcW w:w="9576" w:type="dxa"/>
            <w:gridSpan w:val="6"/>
            <w:shd w:val="clear" w:color="auto" w:fill="D9D9D9"/>
            <w:vAlign w:val="center"/>
          </w:tcPr>
          <w:p w:rsidR="00F376BD" w:rsidRDefault="00F376BD">
            <w:pPr>
              <w:jc w:val="center"/>
              <w:rPr>
                <w:rFonts w:ascii="Times New Roman Bold" w:hAnsi="Times New Roman Bold"/>
                <w:b/>
              </w:rPr>
            </w:pPr>
            <w:r>
              <w:rPr>
                <w:rFonts w:ascii="Times New Roman Bold" w:hAnsi="Times New Roman Bold"/>
                <w:b/>
              </w:rPr>
              <w:t>TABLE 5:</w:t>
            </w:r>
          </w:p>
          <w:p w:rsidR="00F376BD" w:rsidRDefault="00F376BD" w:rsidP="00A05D03">
            <w:pPr>
              <w:jc w:val="center"/>
              <w:rPr>
                <w:rFonts w:ascii="Times New Roman Bold" w:hAnsi="Times New Roman Bold"/>
                <w:b/>
              </w:rPr>
            </w:pPr>
            <w:r>
              <w:rPr>
                <w:rFonts w:ascii="Times New Roman Bold" w:hAnsi="Times New Roman Bold"/>
                <w:b/>
              </w:rPr>
              <w:t>CALL CENTER SATISFACTION SURVEY,  EXPECTED RESPONSE RATE AND SURVEY YIELD</w:t>
            </w:r>
          </w:p>
        </w:tc>
      </w:tr>
      <w:tr w:rsidR="00F376BD" w:rsidTr="005F385F">
        <w:trPr>
          <w:cantSplit/>
          <w:trHeight w:val="432"/>
          <w:jc w:val="center"/>
        </w:trPr>
        <w:tc>
          <w:tcPr>
            <w:tcW w:w="1906" w:type="dxa"/>
            <w:vAlign w:val="center"/>
          </w:tcPr>
          <w:p w:rsidR="00F376BD" w:rsidRDefault="00F376BD">
            <w:pPr>
              <w:rPr>
                <w:b/>
              </w:rPr>
            </w:pPr>
            <w:r>
              <w:rPr>
                <w:b/>
              </w:rPr>
              <w:t xml:space="preserve">Number of Customers </w:t>
            </w:r>
          </w:p>
        </w:tc>
        <w:tc>
          <w:tcPr>
            <w:tcW w:w="1789" w:type="dxa"/>
            <w:vAlign w:val="center"/>
          </w:tcPr>
          <w:p w:rsidR="00F376BD" w:rsidRDefault="00F376BD" w:rsidP="005F385F">
            <w:pPr>
              <w:jc w:val="center"/>
              <w:rPr>
                <w:b/>
              </w:rPr>
            </w:pPr>
            <w:r>
              <w:rPr>
                <w:b/>
              </w:rPr>
              <w:t>Expected Response Rate</w:t>
            </w:r>
          </w:p>
        </w:tc>
        <w:tc>
          <w:tcPr>
            <w:tcW w:w="1918" w:type="dxa"/>
            <w:vAlign w:val="center"/>
          </w:tcPr>
          <w:p w:rsidR="00B15BD0" w:rsidRDefault="00F376BD" w:rsidP="0076477B">
            <w:pPr>
              <w:jc w:val="center"/>
              <w:rPr>
                <w:b/>
              </w:rPr>
            </w:pPr>
            <w:r w:rsidRPr="00B15BD0">
              <w:rPr>
                <w:b/>
              </w:rPr>
              <w:t xml:space="preserve">FY2014 </w:t>
            </w:r>
          </w:p>
          <w:p w:rsidR="00B15BD0" w:rsidRDefault="0076477B" w:rsidP="0076477B">
            <w:pPr>
              <w:jc w:val="center"/>
              <w:rPr>
                <w:b/>
              </w:rPr>
            </w:pPr>
            <w:r w:rsidRPr="00B15BD0">
              <w:rPr>
                <w:b/>
              </w:rPr>
              <w:t>Response</w:t>
            </w:r>
            <w:r w:rsidR="005F385F" w:rsidRPr="00B15BD0">
              <w:rPr>
                <w:b/>
              </w:rPr>
              <w:t xml:space="preserve"> </w:t>
            </w:r>
          </w:p>
          <w:p w:rsidR="00F376BD" w:rsidRPr="00B15BD0" w:rsidRDefault="005F385F" w:rsidP="0076477B">
            <w:pPr>
              <w:jc w:val="center"/>
              <w:rPr>
                <w:b/>
              </w:rPr>
            </w:pPr>
            <w:r w:rsidRPr="00B15BD0">
              <w:rPr>
                <w:b/>
              </w:rPr>
              <w:t>Rate</w:t>
            </w:r>
            <w:r w:rsidR="0076477B" w:rsidRPr="00B15BD0">
              <w:rPr>
                <w:rStyle w:val="FootnoteReference"/>
                <w:b/>
              </w:rPr>
              <w:footnoteReference w:id="2"/>
            </w:r>
          </w:p>
        </w:tc>
        <w:tc>
          <w:tcPr>
            <w:tcW w:w="1321" w:type="dxa"/>
          </w:tcPr>
          <w:p w:rsidR="00F376BD" w:rsidRDefault="0076477B" w:rsidP="0076477B">
            <w:pPr>
              <w:jc w:val="center"/>
              <w:rPr>
                <w:b/>
              </w:rPr>
            </w:pPr>
            <w:r>
              <w:rPr>
                <w:b/>
              </w:rPr>
              <w:t>FY2014 Cooperation</w:t>
            </w:r>
            <w:r>
              <w:rPr>
                <w:rStyle w:val="FootnoteReference"/>
                <w:b/>
              </w:rPr>
              <w:footnoteReference w:id="3"/>
            </w:r>
            <w:r>
              <w:rPr>
                <w:b/>
              </w:rPr>
              <w:t xml:space="preserve"> Rate</w:t>
            </w:r>
          </w:p>
        </w:tc>
        <w:tc>
          <w:tcPr>
            <w:tcW w:w="1321" w:type="dxa"/>
            <w:vAlign w:val="center"/>
          </w:tcPr>
          <w:p w:rsidR="00F376BD" w:rsidRDefault="00F376BD" w:rsidP="00524053">
            <w:pPr>
              <w:jc w:val="center"/>
              <w:rPr>
                <w:b/>
              </w:rPr>
            </w:pPr>
            <w:r>
              <w:rPr>
                <w:b/>
              </w:rPr>
              <w:t>Completed Surveys Expected</w:t>
            </w:r>
          </w:p>
        </w:tc>
        <w:tc>
          <w:tcPr>
            <w:tcW w:w="1321" w:type="dxa"/>
          </w:tcPr>
          <w:p w:rsidR="00F376BD" w:rsidRDefault="00F376BD" w:rsidP="00077A3B">
            <w:pPr>
              <w:jc w:val="center"/>
              <w:rPr>
                <w:b/>
              </w:rPr>
            </w:pPr>
          </w:p>
        </w:tc>
      </w:tr>
      <w:tr w:rsidR="00F376BD" w:rsidTr="0076477B">
        <w:trPr>
          <w:cantSplit/>
          <w:trHeight w:val="432"/>
          <w:jc w:val="center"/>
        </w:trPr>
        <w:tc>
          <w:tcPr>
            <w:tcW w:w="1906" w:type="dxa"/>
            <w:vAlign w:val="center"/>
          </w:tcPr>
          <w:p w:rsidR="00F376BD" w:rsidRDefault="00F376BD">
            <w:pPr>
              <w:jc w:val="center"/>
            </w:pPr>
            <w:r>
              <w:t>486,000</w:t>
            </w:r>
          </w:p>
        </w:tc>
        <w:tc>
          <w:tcPr>
            <w:tcW w:w="1789" w:type="dxa"/>
            <w:vAlign w:val="center"/>
          </w:tcPr>
          <w:p w:rsidR="00F376BD" w:rsidRDefault="00DB45EE">
            <w:pPr>
              <w:jc w:val="center"/>
            </w:pPr>
            <w:r>
              <w:t>40</w:t>
            </w:r>
            <w:r w:rsidR="00F376BD">
              <w:t>%</w:t>
            </w:r>
          </w:p>
        </w:tc>
        <w:tc>
          <w:tcPr>
            <w:tcW w:w="1918" w:type="dxa"/>
            <w:vAlign w:val="center"/>
          </w:tcPr>
          <w:p w:rsidR="00F376BD" w:rsidRPr="00B15BD0" w:rsidRDefault="00DB45EE">
            <w:pPr>
              <w:jc w:val="center"/>
              <w:rPr>
                <w:b/>
              </w:rPr>
            </w:pPr>
            <w:r w:rsidRPr="00B15BD0">
              <w:rPr>
                <w:b/>
              </w:rPr>
              <w:t>46</w:t>
            </w:r>
            <w:r w:rsidR="005F385F" w:rsidRPr="00B15BD0">
              <w:rPr>
                <w:b/>
              </w:rPr>
              <w:t>%</w:t>
            </w:r>
          </w:p>
        </w:tc>
        <w:tc>
          <w:tcPr>
            <w:tcW w:w="1321" w:type="dxa"/>
            <w:vAlign w:val="center"/>
          </w:tcPr>
          <w:p w:rsidR="00F376BD" w:rsidRPr="0076477B" w:rsidRDefault="00A256B3" w:rsidP="0076477B">
            <w:pPr>
              <w:jc w:val="center"/>
              <w:rPr>
                <w:b/>
              </w:rPr>
            </w:pPr>
            <w:r>
              <w:rPr>
                <w:b/>
              </w:rPr>
              <w:t>85</w:t>
            </w:r>
            <w:r w:rsidR="0076477B" w:rsidRPr="0076477B">
              <w:rPr>
                <w:b/>
              </w:rPr>
              <w:t>%</w:t>
            </w:r>
          </w:p>
        </w:tc>
        <w:tc>
          <w:tcPr>
            <w:tcW w:w="1321" w:type="dxa"/>
            <w:vAlign w:val="center"/>
          </w:tcPr>
          <w:p w:rsidR="00F376BD" w:rsidRDefault="00F376BD" w:rsidP="00524053">
            <w:pPr>
              <w:jc w:val="center"/>
            </w:pPr>
            <w:r>
              <w:t>36,000</w:t>
            </w:r>
          </w:p>
        </w:tc>
        <w:tc>
          <w:tcPr>
            <w:tcW w:w="1321" w:type="dxa"/>
          </w:tcPr>
          <w:p w:rsidR="00F376BD" w:rsidRDefault="00F376BD">
            <w:pPr>
              <w:jc w:val="center"/>
            </w:pPr>
          </w:p>
        </w:tc>
      </w:tr>
    </w:tbl>
    <w:p w:rsidR="004131AD" w:rsidRDefault="004131AD">
      <w:pPr>
        <w:rPr>
          <w:sz w:val="24"/>
        </w:rPr>
      </w:pPr>
    </w:p>
    <w:p w:rsidR="004131AD" w:rsidRDefault="004131AD">
      <w:pPr>
        <w:rPr>
          <w:sz w:val="24"/>
        </w:rPr>
      </w:pPr>
    </w:p>
    <w:p w:rsidR="004131AD" w:rsidRDefault="004131AD" w:rsidP="002F0827">
      <w:pPr>
        <w:rPr>
          <w:b/>
          <w:sz w:val="24"/>
          <w:szCs w:val="24"/>
        </w:rPr>
      </w:pPr>
      <w:r>
        <w:rPr>
          <w:b/>
          <w:sz w:val="24"/>
          <w:szCs w:val="24"/>
        </w:rPr>
        <w:t>2.  Describe the procedures for the collection of information, including: Statistical methodology for stratification and sample selection; the estimation procedure; the degree of accuracy needed for the purpose in the proposed justification; any unusual problems requiring specialized sampling procedures; and any use of periodic (less frequent than annual) data collection cycles to reduce burden.</w:t>
      </w:r>
    </w:p>
    <w:p w:rsidR="004131AD" w:rsidRDefault="004131AD"/>
    <w:p w:rsidR="004131AD" w:rsidRDefault="004131AD">
      <w:pPr>
        <w:rPr>
          <w:sz w:val="24"/>
          <w:szCs w:val="24"/>
        </w:rPr>
      </w:pPr>
      <w:r>
        <w:rPr>
          <w:sz w:val="24"/>
          <w:szCs w:val="24"/>
        </w:rPr>
        <w:t xml:space="preserve">The Call Center Satisfaction Survey will entail simple random sampling of </w:t>
      </w:r>
      <w:r w:rsidR="0028285C">
        <w:rPr>
          <w:sz w:val="24"/>
          <w:szCs w:val="24"/>
        </w:rPr>
        <w:t>4</w:t>
      </w:r>
      <w:r w:rsidR="00C8134D">
        <w:rPr>
          <w:sz w:val="24"/>
          <w:szCs w:val="24"/>
        </w:rPr>
        <w:t>,</w:t>
      </w:r>
      <w:r w:rsidR="0028285C">
        <w:rPr>
          <w:sz w:val="24"/>
          <w:szCs w:val="24"/>
        </w:rPr>
        <w:t>5</w:t>
      </w:r>
      <w:r w:rsidR="00C8134D">
        <w:rPr>
          <w:sz w:val="24"/>
          <w:szCs w:val="24"/>
        </w:rPr>
        <w:t xml:space="preserve">00 </w:t>
      </w:r>
      <w:r>
        <w:rPr>
          <w:sz w:val="24"/>
          <w:szCs w:val="24"/>
        </w:rPr>
        <w:t>client interactions from each national call center, the NCC</w:t>
      </w:r>
      <w:r w:rsidR="006976B5">
        <w:rPr>
          <w:sz w:val="24"/>
          <w:szCs w:val="24"/>
        </w:rPr>
        <w:t>, NPCC</w:t>
      </w:r>
      <w:r>
        <w:rPr>
          <w:sz w:val="24"/>
          <w:szCs w:val="24"/>
        </w:rPr>
        <w:t xml:space="preserve"> and the ECC per month.  VBA is using a 95% confidence interval for categorical variables for the survey.  There are no unusual procedures that will be required to draw a representative sample meeting these criteria.</w:t>
      </w:r>
    </w:p>
    <w:p w:rsidR="004131AD" w:rsidRDefault="004131AD" w:rsidP="002F0827">
      <w:pPr>
        <w:pStyle w:val="Heading2"/>
        <w:tabs>
          <w:tab w:val="clear" w:pos="360"/>
          <w:tab w:val="num" w:pos="0"/>
        </w:tabs>
        <w:ind w:left="0" w:firstLine="0"/>
        <w:rPr>
          <w:rFonts w:ascii="Times New Roman" w:hAnsi="Times New Roman" w:cs="Times New Roman"/>
        </w:rPr>
      </w:pPr>
      <w:r>
        <w:rPr>
          <w:rFonts w:ascii="Times New Roman" w:hAnsi="Times New Roman" w:cs="Times New Roman"/>
        </w:rPr>
        <w:t>3.  Describe methods used to maximize the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131AD" w:rsidRDefault="004131AD"/>
    <w:p w:rsidR="004131AD" w:rsidRDefault="004131AD">
      <w:pPr>
        <w:rPr>
          <w:sz w:val="24"/>
        </w:rPr>
      </w:pPr>
      <w:r>
        <w:rPr>
          <w:sz w:val="24"/>
        </w:rPr>
        <w:t>VBA will obtain the services of a contractor</w:t>
      </w:r>
      <w:r w:rsidR="004B32C9">
        <w:rPr>
          <w:sz w:val="24"/>
        </w:rPr>
        <w:t xml:space="preserve">, J.D. Power, </w:t>
      </w:r>
      <w:r>
        <w:rPr>
          <w:sz w:val="24"/>
        </w:rPr>
        <w:t xml:space="preserve">to develop, administer and analyze this survey.   </w:t>
      </w:r>
    </w:p>
    <w:p w:rsidR="004131AD" w:rsidRDefault="004131AD">
      <w:pPr>
        <w:rPr>
          <w:sz w:val="24"/>
        </w:rPr>
      </w:pPr>
    </w:p>
    <w:p w:rsidR="004131AD" w:rsidRDefault="004131AD">
      <w:pPr>
        <w:rPr>
          <w:sz w:val="24"/>
          <w:u w:val="single"/>
        </w:rPr>
      </w:pPr>
      <w:r>
        <w:rPr>
          <w:sz w:val="24"/>
          <w:u w:val="single"/>
        </w:rPr>
        <w:t>Strategies to Maximize Response Rates</w:t>
      </w:r>
      <w:r w:rsidR="009850A1">
        <w:rPr>
          <w:sz w:val="24"/>
          <w:u w:val="single"/>
        </w:rPr>
        <w:t xml:space="preserve"> </w:t>
      </w:r>
    </w:p>
    <w:p w:rsidR="004131AD" w:rsidRDefault="004131AD">
      <w:pPr>
        <w:rPr>
          <w:sz w:val="24"/>
        </w:rPr>
      </w:pPr>
    </w:p>
    <w:p w:rsidR="004131AD" w:rsidRDefault="004131AD">
      <w:pPr>
        <w:rPr>
          <w:sz w:val="24"/>
        </w:rPr>
      </w:pPr>
      <w:r>
        <w:rPr>
          <w:sz w:val="24"/>
        </w:rPr>
        <w:t>VBA will employ a variety of methods to minimize respondent burden and to maximize survey response rates.  This section identified the strategies to be employed to reach these objectives.  Each strategy is outlined below.</w:t>
      </w:r>
    </w:p>
    <w:p w:rsidR="007D7556" w:rsidRDefault="007D7556">
      <w:pPr>
        <w:rPr>
          <w:sz w:val="24"/>
        </w:rPr>
      </w:pPr>
    </w:p>
    <w:p w:rsidR="004131AD" w:rsidRDefault="004131AD">
      <w:pPr>
        <w:numPr>
          <w:ilvl w:val="0"/>
          <w:numId w:val="3"/>
        </w:numPr>
        <w:rPr>
          <w:sz w:val="24"/>
          <w:u w:val="single"/>
        </w:rPr>
      </w:pPr>
      <w:r>
        <w:rPr>
          <w:sz w:val="24"/>
          <w:u w:val="single"/>
        </w:rPr>
        <w:t xml:space="preserve">Strategy # 1 to Maximize Response Rates: </w:t>
      </w:r>
      <w:r w:rsidR="00804B2E">
        <w:rPr>
          <w:sz w:val="24"/>
          <w:u w:val="single"/>
        </w:rPr>
        <w:t>Conducted Cognitive</w:t>
      </w:r>
      <w:r>
        <w:rPr>
          <w:sz w:val="24"/>
          <w:u w:val="single"/>
        </w:rPr>
        <w:t xml:space="preserve"> Labs/Pre-testing of Surveys</w:t>
      </w:r>
    </w:p>
    <w:p w:rsidR="004131AD" w:rsidRDefault="004131AD">
      <w:pPr>
        <w:rPr>
          <w:sz w:val="24"/>
          <w:u w:val="single"/>
        </w:rPr>
      </w:pPr>
    </w:p>
    <w:p w:rsidR="004131AD" w:rsidRDefault="009F23CC">
      <w:pPr>
        <w:rPr>
          <w:sz w:val="24"/>
        </w:rPr>
      </w:pPr>
      <w:r>
        <w:rPr>
          <w:sz w:val="24"/>
        </w:rPr>
        <w:t xml:space="preserve">The contractor, </w:t>
      </w:r>
      <w:r w:rsidR="004131AD">
        <w:rPr>
          <w:sz w:val="24"/>
        </w:rPr>
        <w:t>J.D. Power</w:t>
      </w:r>
      <w:r>
        <w:rPr>
          <w:sz w:val="24"/>
        </w:rPr>
        <w:t>,</w:t>
      </w:r>
      <w:r w:rsidR="004131AD">
        <w:rPr>
          <w:sz w:val="24"/>
        </w:rPr>
        <w:t xml:space="preserve"> conducted cognitive tests of the survey instrument prior to fielding the initial survey in 2010. </w:t>
      </w:r>
      <w:r w:rsidR="009063B0">
        <w:rPr>
          <w:sz w:val="24"/>
        </w:rPr>
        <w:t xml:space="preserve">JDP implemented feedback from the cognitive labs to ensure the survey was easily understood and correctly interpreted. </w:t>
      </w:r>
      <w:r w:rsidR="004131AD">
        <w:rPr>
          <w:sz w:val="24"/>
        </w:rPr>
        <w:t xml:space="preserve">Detail on the tests can be found in response to question 4. </w:t>
      </w:r>
    </w:p>
    <w:p w:rsidR="004131AD" w:rsidRDefault="004131AD">
      <w:pPr>
        <w:rPr>
          <w:sz w:val="24"/>
        </w:rPr>
      </w:pPr>
    </w:p>
    <w:p w:rsidR="004131AD" w:rsidRDefault="004131AD">
      <w:pPr>
        <w:numPr>
          <w:ilvl w:val="0"/>
          <w:numId w:val="3"/>
        </w:numPr>
        <w:rPr>
          <w:sz w:val="24"/>
          <w:u w:val="single"/>
        </w:rPr>
      </w:pPr>
      <w:r>
        <w:rPr>
          <w:sz w:val="24"/>
          <w:u w:val="single"/>
        </w:rPr>
        <w:t>Strategy # 2 to Maximize Response Rates: Maintaining a Toll-Free Survey Hotline</w:t>
      </w:r>
    </w:p>
    <w:p w:rsidR="004131AD" w:rsidRDefault="004131AD">
      <w:pPr>
        <w:rPr>
          <w:sz w:val="24"/>
        </w:rPr>
      </w:pPr>
    </w:p>
    <w:p w:rsidR="004131AD" w:rsidRDefault="004131AD">
      <w:pPr>
        <w:rPr>
          <w:sz w:val="24"/>
        </w:rPr>
      </w:pPr>
      <w:r>
        <w:rPr>
          <w:sz w:val="24"/>
        </w:rPr>
        <w:t xml:space="preserve">During the period that the survey is in the field, the </w:t>
      </w:r>
      <w:r w:rsidR="00BE5360">
        <w:rPr>
          <w:sz w:val="24"/>
        </w:rPr>
        <w:t>contractor</w:t>
      </w:r>
      <w:proofErr w:type="gramStart"/>
      <w:r w:rsidR="00BE5360">
        <w:rPr>
          <w:sz w:val="24"/>
        </w:rPr>
        <w:t>,  J</w:t>
      </w:r>
      <w:r w:rsidR="000E360A">
        <w:rPr>
          <w:sz w:val="24"/>
        </w:rPr>
        <w:t>.D</w:t>
      </w:r>
      <w:proofErr w:type="gramEnd"/>
      <w:r w:rsidR="000E360A">
        <w:rPr>
          <w:sz w:val="24"/>
        </w:rPr>
        <w:t xml:space="preserve">. Power </w:t>
      </w:r>
      <w:r>
        <w:rPr>
          <w:sz w:val="24"/>
        </w:rPr>
        <w:t xml:space="preserve">will provide and maintain a toll-free telephone line to answer any questions respondents </w:t>
      </w:r>
      <w:r w:rsidR="00375C6F">
        <w:rPr>
          <w:sz w:val="24"/>
        </w:rPr>
        <w:t>or VA employees</w:t>
      </w:r>
      <w:r>
        <w:rPr>
          <w:sz w:val="24"/>
        </w:rPr>
        <w:t xml:space="preserve"> may have about the survey (e.g., how to interpret questions and response items, the purpose of the survey,</w:t>
      </w:r>
      <w:r w:rsidR="00375C6F">
        <w:rPr>
          <w:sz w:val="24"/>
        </w:rPr>
        <w:t xml:space="preserve"> etc. </w:t>
      </w:r>
      <w:r>
        <w:rPr>
          <w:sz w:val="24"/>
        </w:rPr>
        <w:t xml:space="preserve">).  </w:t>
      </w:r>
      <w:r w:rsidRPr="00B457F3">
        <w:rPr>
          <w:sz w:val="24"/>
        </w:rPr>
        <w:t>Project staff will be available to answer telephone calls during regular business hours (8:</w:t>
      </w:r>
      <w:r w:rsidR="009063B0">
        <w:rPr>
          <w:sz w:val="24"/>
        </w:rPr>
        <w:t>0</w:t>
      </w:r>
      <w:r w:rsidRPr="00B457F3">
        <w:rPr>
          <w:sz w:val="24"/>
        </w:rPr>
        <w:t>0 a.m.-</w:t>
      </w:r>
      <w:r w:rsidR="009063B0">
        <w:rPr>
          <w:sz w:val="24"/>
        </w:rPr>
        <w:t>5</w:t>
      </w:r>
      <w:r w:rsidRPr="00B457F3">
        <w:rPr>
          <w:sz w:val="24"/>
        </w:rPr>
        <w:t xml:space="preserve"> p.m. </w:t>
      </w:r>
      <w:r w:rsidR="009063B0">
        <w:rPr>
          <w:sz w:val="24"/>
        </w:rPr>
        <w:t>PST</w:t>
      </w:r>
      <w:r w:rsidRPr="00B457F3">
        <w:rPr>
          <w:sz w:val="24"/>
        </w:rPr>
        <w:t>).</w:t>
      </w:r>
      <w:r>
        <w:rPr>
          <w:sz w:val="24"/>
        </w:rPr>
        <w:t xml:space="preserve">  A voice messaging system will be available to receive messages after regular business hours so after-hours calls can be responded to within 24 hours.  </w:t>
      </w:r>
    </w:p>
    <w:p w:rsidR="004131AD" w:rsidRDefault="004131AD">
      <w:pPr>
        <w:rPr>
          <w:sz w:val="24"/>
        </w:rPr>
      </w:pPr>
    </w:p>
    <w:p w:rsidR="004131AD" w:rsidRPr="002F0827" w:rsidRDefault="004131AD" w:rsidP="002F0827">
      <w:pPr>
        <w:pStyle w:val="ListParagraph"/>
        <w:numPr>
          <w:ilvl w:val="0"/>
          <w:numId w:val="11"/>
        </w:numPr>
        <w:ind w:left="360"/>
        <w:rPr>
          <w:sz w:val="24"/>
          <w:u w:val="single"/>
        </w:rPr>
      </w:pPr>
      <w:r w:rsidRPr="002F0827">
        <w:rPr>
          <w:sz w:val="24"/>
          <w:u w:val="single"/>
        </w:rPr>
        <w:t>Strategy # 3 to Maximize Response Rates: Excluding Questions of a “Sensitive” Nature</w:t>
      </w:r>
    </w:p>
    <w:p w:rsidR="004131AD" w:rsidRDefault="004131AD">
      <w:pPr>
        <w:rPr>
          <w:sz w:val="24"/>
        </w:rPr>
      </w:pPr>
    </w:p>
    <w:p w:rsidR="004131AD" w:rsidRDefault="004131AD">
      <w:pPr>
        <w:rPr>
          <w:sz w:val="24"/>
        </w:rPr>
      </w:pPr>
      <w:r>
        <w:rPr>
          <w:sz w:val="24"/>
        </w:rPr>
        <w:t xml:space="preserve">None of the questions included in the survey are sensitive, or private in nature, which will encourage compliance.  </w:t>
      </w:r>
    </w:p>
    <w:p w:rsidR="004131AD" w:rsidRDefault="004131AD">
      <w:pPr>
        <w:pStyle w:val="Heading1"/>
      </w:pPr>
    </w:p>
    <w:p w:rsidR="004131AD" w:rsidRPr="002F0827" w:rsidRDefault="004131AD" w:rsidP="002F0827">
      <w:pPr>
        <w:pStyle w:val="ListParagraph"/>
        <w:numPr>
          <w:ilvl w:val="0"/>
          <w:numId w:val="11"/>
        </w:numPr>
        <w:ind w:left="360"/>
        <w:rPr>
          <w:sz w:val="24"/>
          <w:u w:val="single"/>
        </w:rPr>
      </w:pPr>
      <w:r w:rsidRPr="002F0827">
        <w:rPr>
          <w:sz w:val="24"/>
          <w:u w:val="single"/>
        </w:rPr>
        <w:t>Strategy # 4 to Maximize Response Rates: Assuring and Maintaining Confidentiality</w:t>
      </w:r>
    </w:p>
    <w:p w:rsidR="004131AD" w:rsidRDefault="004131AD">
      <w:pPr>
        <w:rPr>
          <w:sz w:val="24"/>
        </w:rPr>
      </w:pPr>
      <w:r>
        <w:rPr>
          <w:sz w:val="24"/>
        </w:rPr>
        <w:t xml:space="preserve"> </w:t>
      </w:r>
    </w:p>
    <w:p w:rsidR="004131AD" w:rsidRDefault="004131AD">
      <w:pPr>
        <w:rPr>
          <w:sz w:val="24"/>
        </w:rPr>
      </w:pPr>
      <w:r>
        <w:rPr>
          <w:sz w:val="24"/>
        </w:rPr>
        <w:t>Survey respondents will be assured that their personal anonymity will be maintained</w:t>
      </w:r>
      <w:r w:rsidR="009063B0">
        <w:rPr>
          <w:sz w:val="24"/>
        </w:rPr>
        <w:t xml:space="preserve"> and their responses will not impact their current or future eligibility for benefits</w:t>
      </w:r>
      <w:r>
        <w:rPr>
          <w:sz w:val="24"/>
        </w:rPr>
        <w:t xml:space="preserve">.  </w:t>
      </w:r>
    </w:p>
    <w:p w:rsidR="004131AD" w:rsidRPr="002F0827" w:rsidRDefault="004131AD" w:rsidP="002F0827">
      <w:pPr>
        <w:pStyle w:val="ListParagraph"/>
        <w:numPr>
          <w:ilvl w:val="0"/>
          <w:numId w:val="11"/>
        </w:numPr>
        <w:ind w:left="360"/>
        <w:rPr>
          <w:sz w:val="24"/>
          <w:u w:val="single"/>
        </w:rPr>
      </w:pPr>
      <w:r w:rsidRPr="002F0827">
        <w:rPr>
          <w:sz w:val="24"/>
          <w:u w:val="single"/>
        </w:rPr>
        <w:t>Strategy # 5 to Maximize Response Rates: Secure Networks and Systems</w:t>
      </w:r>
    </w:p>
    <w:p w:rsidR="004131AD" w:rsidRDefault="004131AD">
      <w:pPr>
        <w:rPr>
          <w:sz w:val="24"/>
        </w:rPr>
      </w:pPr>
    </w:p>
    <w:p w:rsidR="00F25C3A" w:rsidRPr="002F0827" w:rsidRDefault="004131AD" w:rsidP="002F0827">
      <w:pPr>
        <w:pStyle w:val="ListParagraph"/>
        <w:numPr>
          <w:ilvl w:val="0"/>
          <w:numId w:val="11"/>
        </w:numPr>
        <w:ind w:left="360" w:hanging="450"/>
        <w:rPr>
          <w:rFonts w:cs="Arial"/>
          <w:sz w:val="24"/>
          <w:szCs w:val="24"/>
          <w:u w:val="single"/>
        </w:rPr>
      </w:pPr>
      <w:r>
        <w:rPr>
          <w:sz w:val="24"/>
          <w:szCs w:val="24"/>
        </w:rPr>
        <w:t>The contractor</w:t>
      </w:r>
      <w:r w:rsidR="00BE5360">
        <w:rPr>
          <w:sz w:val="24"/>
          <w:szCs w:val="24"/>
        </w:rPr>
        <w:t>, JDP</w:t>
      </w:r>
      <w:proofErr w:type="gramStart"/>
      <w:r w:rsidR="00BE5360">
        <w:rPr>
          <w:sz w:val="24"/>
          <w:szCs w:val="24"/>
        </w:rPr>
        <w:t>,</w:t>
      </w:r>
      <w:r>
        <w:rPr>
          <w:sz w:val="24"/>
          <w:szCs w:val="24"/>
        </w:rPr>
        <w:t xml:space="preserve">  h</w:t>
      </w:r>
      <w:r w:rsidR="00BE5360">
        <w:rPr>
          <w:sz w:val="24"/>
          <w:szCs w:val="24"/>
        </w:rPr>
        <w:t>as</w:t>
      </w:r>
      <w:proofErr w:type="gramEnd"/>
      <w:r>
        <w:rPr>
          <w:sz w:val="24"/>
          <w:szCs w:val="24"/>
        </w:rPr>
        <w:t xml:space="preserve"> a secure network infrastructure that will protect the integrity of the databases, the survey application, and all associated server resources.  The servers </w:t>
      </w:r>
      <w:r w:rsidR="00C67611">
        <w:rPr>
          <w:sz w:val="24"/>
          <w:szCs w:val="24"/>
        </w:rPr>
        <w:t>are</w:t>
      </w:r>
      <w:r>
        <w:rPr>
          <w:sz w:val="24"/>
          <w:szCs w:val="24"/>
        </w:rPr>
        <w:t xml:space="preserve"> protected by a strong firewall system and the operations center </w:t>
      </w:r>
      <w:r w:rsidR="00C67611">
        <w:rPr>
          <w:sz w:val="24"/>
          <w:szCs w:val="24"/>
        </w:rPr>
        <w:t>is</w:t>
      </w:r>
      <w:r>
        <w:rPr>
          <w:sz w:val="24"/>
          <w:szCs w:val="24"/>
        </w:rPr>
        <w:t xml:space="preserve"> in a secure temperature-controlled environment, where network services are continually monitored by automated real-time programs to ensure the integrity and availability of all critical components.  All key servers </w:t>
      </w:r>
      <w:r w:rsidR="00C67611">
        <w:rPr>
          <w:sz w:val="24"/>
          <w:szCs w:val="24"/>
        </w:rPr>
        <w:t>are</w:t>
      </w:r>
      <w:r>
        <w:rPr>
          <w:sz w:val="24"/>
          <w:szCs w:val="24"/>
        </w:rPr>
        <w:t xml:space="preserve"> supported by a backup power supply that can continue to run the systems in the event of a power outage.  Additionally, the </w:t>
      </w:r>
      <w:proofErr w:type="gramStart"/>
      <w:r>
        <w:rPr>
          <w:sz w:val="24"/>
          <w:szCs w:val="24"/>
        </w:rPr>
        <w:t xml:space="preserve">contractor </w:t>
      </w:r>
      <w:r w:rsidR="00C67611">
        <w:rPr>
          <w:sz w:val="24"/>
          <w:szCs w:val="24"/>
        </w:rPr>
        <w:t xml:space="preserve"> will</w:t>
      </w:r>
      <w:proofErr w:type="gramEnd"/>
      <w:r>
        <w:rPr>
          <w:sz w:val="24"/>
          <w:szCs w:val="24"/>
        </w:rPr>
        <w:t xml:space="preserve"> be immediately alerted if critical monitor thresholds are exceeded, so the</w:t>
      </w:r>
      <w:r w:rsidR="00934FBE">
        <w:rPr>
          <w:sz w:val="24"/>
          <w:szCs w:val="24"/>
        </w:rPr>
        <w:t xml:space="preserve"> </w:t>
      </w:r>
      <w:r w:rsidR="00FD7BBD">
        <w:rPr>
          <w:sz w:val="24"/>
          <w:szCs w:val="24"/>
        </w:rPr>
        <w:t>contractor</w:t>
      </w:r>
      <w:r>
        <w:rPr>
          <w:sz w:val="24"/>
          <w:szCs w:val="24"/>
        </w:rPr>
        <w:t xml:space="preserve"> can proactively respond before outages occur.  </w:t>
      </w:r>
      <w:r w:rsidR="00F25C3A" w:rsidRPr="002F0827">
        <w:rPr>
          <w:rFonts w:cs="Arial"/>
          <w:sz w:val="24"/>
          <w:szCs w:val="24"/>
          <w:u w:val="single"/>
        </w:rPr>
        <w:t>Strategy # 6 Maximize response rates: Provide a clear explanation</w:t>
      </w:r>
      <w:r w:rsidR="000E360A" w:rsidRPr="002F0827">
        <w:rPr>
          <w:rFonts w:cs="Arial"/>
          <w:sz w:val="24"/>
          <w:szCs w:val="24"/>
          <w:u w:val="single"/>
        </w:rPr>
        <w:t xml:space="preserve"> to respondents</w:t>
      </w:r>
      <w:r w:rsidR="00F25C3A" w:rsidRPr="002F0827">
        <w:rPr>
          <w:rFonts w:cs="Arial"/>
          <w:sz w:val="24"/>
          <w:szCs w:val="24"/>
          <w:u w:val="single"/>
        </w:rPr>
        <w:t xml:space="preserve"> about the purpose of the study and how the data collected will be used </w:t>
      </w:r>
    </w:p>
    <w:p w:rsidR="00F25C3A" w:rsidRDefault="00F25C3A">
      <w:pPr>
        <w:rPr>
          <w:rFonts w:cs="Arial"/>
          <w:sz w:val="24"/>
          <w:szCs w:val="24"/>
          <w:u w:val="single"/>
        </w:rPr>
      </w:pPr>
    </w:p>
    <w:p w:rsidR="00F25C3A" w:rsidRDefault="000E360A">
      <w:pPr>
        <w:rPr>
          <w:rFonts w:cs="Arial"/>
          <w:sz w:val="24"/>
          <w:szCs w:val="24"/>
          <w:u w:val="single"/>
        </w:rPr>
      </w:pPr>
      <w:r>
        <w:rPr>
          <w:rFonts w:cs="Arial"/>
          <w:sz w:val="24"/>
          <w:szCs w:val="24"/>
          <w:u w:val="single"/>
        </w:rPr>
        <w:t xml:space="preserve">If respondents </w:t>
      </w:r>
      <w:r w:rsidR="008E5735">
        <w:rPr>
          <w:rFonts w:cs="Arial"/>
          <w:sz w:val="24"/>
          <w:szCs w:val="24"/>
          <w:u w:val="single"/>
        </w:rPr>
        <w:t>raise questions about the</w:t>
      </w:r>
      <w:r>
        <w:rPr>
          <w:rFonts w:cs="Arial"/>
          <w:sz w:val="24"/>
          <w:szCs w:val="24"/>
          <w:u w:val="single"/>
        </w:rPr>
        <w:t xml:space="preserve"> study during the interviews,</w:t>
      </w:r>
      <w:r w:rsidR="00BE5360">
        <w:rPr>
          <w:rFonts w:cs="Arial"/>
          <w:sz w:val="24"/>
          <w:szCs w:val="24"/>
          <w:u w:val="single"/>
        </w:rPr>
        <w:t xml:space="preserve"> the contractor</w:t>
      </w:r>
      <w:proofErr w:type="gramStart"/>
      <w:r w:rsidR="00BE5360">
        <w:rPr>
          <w:rFonts w:cs="Arial"/>
          <w:sz w:val="24"/>
          <w:szCs w:val="24"/>
          <w:u w:val="single"/>
        </w:rPr>
        <w:t xml:space="preserve">, </w:t>
      </w:r>
      <w:r>
        <w:rPr>
          <w:rFonts w:cs="Arial"/>
          <w:sz w:val="24"/>
          <w:szCs w:val="24"/>
          <w:u w:val="single"/>
        </w:rPr>
        <w:t xml:space="preserve"> JDP</w:t>
      </w:r>
      <w:proofErr w:type="gramEnd"/>
      <w:r>
        <w:rPr>
          <w:rFonts w:cs="Arial"/>
          <w:sz w:val="24"/>
          <w:szCs w:val="24"/>
          <w:u w:val="single"/>
        </w:rPr>
        <w:t xml:space="preserve"> will provide an </w:t>
      </w:r>
      <w:r w:rsidR="00F25C3A">
        <w:rPr>
          <w:rFonts w:cs="Arial"/>
          <w:sz w:val="24"/>
          <w:szCs w:val="24"/>
          <w:u w:val="single"/>
        </w:rPr>
        <w:t xml:space="preserve">explanation about </w:t>
      </w:r>
      <w:r>
        <w:rPr>
          <w:rFonts w:cs="Arial"/>
          <w:sz w:val="24"/>
          <w:szCs w:val="24"/>
          <w:u w:val="single"/>
        </w:rPr>
        <w:t xml:space="preserve">the purpose of the study and </w:t>
      </w:r>
      <w:r w:rsidR="00F25C3A">
        <w:rPr>
          <w:rFonts w:cs="Arial"/>
          <w:sz w:val="24"/>
          <w:szCs w:val="24"/>
          <w:u w:val="single"/>
        </w:rPr>
        <w:t xml:space="preserve">how </w:t>
      </w:r>
      <w:r>
        <w:rPr>
          <w:rFonts w:cs="Arial"/>
          <w:sz w:val="24"/>
          <w:szCs w:val="24"/>
          <w:u w:val="single"/>
        </w:rPr>
        <w:t xml:space="preserve">the study results will be used. JD P will ensure respondents understand that their responses will not impact their current or future </w:t>
      </w:r>
      <w:r>
        <w:rPr>
          <w:rFonts w:cs="Arial"/>
          <w:sz w:val="24"/>
          <w:szCs w:val="24"/>
          <w:u w:val="single"/>
        </w:rPr>
        <w:lastRenderedPageBreak/>
        <w:t xml:space="preserve">eligibility for benefits and </w:t>
      </w:r>
      <w:r w:rsidR="00B829A5">
        <w:rPr>
          <w:rFonts w:cs="Arial"/>
          <w:sz w:val="24"/>
          <w:szCs w:val="24"/>
          <w:u w:val="single"/>
        </w:rPr>
        <w:t xml:space="preserve">will not be linked to them. JDP </w:t>
      </w:r>
      <w:r>
        <w:rPr>
          <w:rFonts w:cs="Arial"/>
          <w:sz w:val="24"/>
          <w:szCs w:val="24"/>
          <w:u w:val="single"/>
        </w:rPr>
        <w:t xml:space="preserve">has compiled a list of frequently asked questions and formulated answers to each to ensure that accurate and consistent responses are provided to all survey inquiries. </w:t>
      </w:r>
    </w:p>
    <w:p w:rsidR="00F25C3A" w:rsidRDefault="00F25C3A">
      <w:pPr>
        <w:rPr>
          <w:rFonts w:cs="Arial"/>
          <w:sz w:val="24"/>
          <w:szCs w:val="24"/>
          <w:u w:val="single"/>
        </w:rPr>
      </w:pPr>
    </w:p>
    <w:p w:rsidR="004131AD" w:rsidRDefault="004131AD">
      <w:pPr>
        <w:rPr>
          <w:rFonts w:cs="Arial"/>
          <w:sz w:val="24"/>
          <w:szCs w:val="24"/>
          <w:u w:val="single"/>
        </w:rPr>
      </w:pPr>
      <w:r>
        <w:rPr>
          <w:rFonts w:cs="Arial"/>
          <w:sz w:val="24"/>
          <w:szCs w:val="24"/>
          <w:u w:val="single"/>
        </w:rPr>
        <w:t>Approach to Examine Non-Response Bias</w:t>
      </w:r>
    </w:p>
    <w:p w:rsidR="004131AD" w:rsidRDefault="004131AD">
      <w:pPr>
        <w:rPr>
          <w:rFonts w:cs="Arial"/>
          <w:sz w:val="24"/>
          <w:szCs w:val="24"/>
          <w:u w:val="single"/>
        </w:rPr>
      </w:pPr>
    </w:p>
    <w:p w:rsidR="004131AD" w:rsidRDefault="004131AD" w:rsidP="00150ACD">
      <w:pPr>
        <w:rPr>
          <w:rFonts w:cs="Arial"/>
          <w:sz w:val="24"/>
          <w:szCs w:val="24"/>
        </w:rPr>
      </w:pPr>
      <w:r>
        <w:rPr>
          <w:rFonts w:cs="Arial"/>
          <w:sz w:val="24"/>
          <w:szCs w:val="24"/>
        </w:rPr>
        <w:t xml:space="preserve">Two types of non-response can affect the interpretation and generalization of survey data:  item non-response and unit non-response.  Item non-response occurs when one or more survey items are left blank in an otherwise completed, returned questionnaire.  </w:t>
      </w:r>
      <w:r w:rsidRPr="004B60A1">
        <w:rPr>
          <w:rFonts w:cs="Arial"/>
          <w:color w:val="FF0000"/>
          <w:sz w:val="24"/>
          <w:szCs w:val="24"/>
        </w:rPr>
        <w:t>.</w:t>
      </w:r>
      <w:r>
        <w:rPr>
          <w:rFonts w:cs="Arial"/>
          <w:sz w:val="24"/>
          <w:szCs w:val="24"/>
        </w:rPr>
        <w:t xml:space="preserve">  This is because satisfaction items (i.e. ratings of knowledge, courtesy, responsiveness, etc</w:t>
      </w:r>
      <w:r w:rsidR="00C67611">
        <w:rPr>
          <w:rFonts w:cs="Arial"/>
          <w:sz w:val="24"/>
          <w:szCs w:val="24"/>
        </w:rPr>
        <w:t>.</w:t>
      </w:r>
      <w:r>
        <w:rPr>
          <w:rFonts w:cs="Arial"/>
          <w:sz w:val="24"/>
          <w:szCs w:val="24"/>
        </w:rPr>
        <w:t xml:space="preserve">) tend to be highly correlated (r &gt;/=. 70) and therefore are collinear. </w:t>
      </w:r>
      <w:r w:rsidR="00717D6F">
        <w:rPr>
          <w:rFonts w:cs="Arial"/>
          <w:sz w:val="24"/>
          <w:szCs w:val="24"/>
        </w:rPr>
        <w:t xml:space="preserve">The Call Center Satisfaction Survey has a missing item response rate of 0% (or an item response rate of 100%) because the survey is administered via phone and respondents are required to answer all questions bearing skip patterns. </w:t>
      </w:r>
      <w:r>
        <w:rPr>
          <w:rFonts w:cs="Arial"/>
          <w:sz w:val="24"/>
          <w:szCs w:val="24"/>
        </w:rPr>
        <w:t xml:space="preserve"> </w:t>
      </w:r>
      <w:r w:rsidR="00717D6F">
        <w:rPr>
          <w:rFonts w:cs="Arial"/>
          <w:sz w:val="24"/>
          <w:szCs w:val="24"/>
        </w:rPr>
        <w:t>The second type of non-response is u</w:t>
      </w:r>
      <w:r>
        <w:rPr>
          <w:rFonts w:cs="Arial"/>
          <w:sz w:val="24"/>
          <w:szCs w:val="24"/>
        </w:rPr>
        <w:t>nit non-response</w:t>
      </w:r>
      <w:r w:rsidR="00717D6F">
        <w:rPr>
          <w:rFonts w:cs="Arial"/>
          <w:sz w:val="24"/>
          <w:szCs w:val="24"/>
        </w:rPr>
        <w:t xml:space="preserve">, which </w:t>
      </w:r>
      <w:r>
        <w:rPr>
          <w:rFonts w:cs="Arial"/>
          <w:sz w:val="24"/>
          <w:szCs w:val="24"/>
        </w:rPr>
        <w:t>is non-participation by an individual that was intended to be included in the survey sample and failed to respond to the survey.  Unit non-response – the failure to return a questionnaire – is what generally is recognized as survey non-response bias.</w:t>
      </w:r>
      <w:r w:rsidR="009850A1">
        <w:rPr>
          <w:rFonts w:cs="Arial"/>
          <w:sz w:val="24"/>
          <w:szCs w:val="24"/>
        </w:rPr>
        <w:t xml:space="preserve"> </w:t>
      </w:r>
      <w:r w:rsidR="00717D6F">
        <w:rPr>
          <w:rFonts w:cs="Arial"/>
          <w:sz w:val="24"/>
          <w:szCs w:val="24"/>
        </w:rPr>
        <w:t xml:space="preserve">The Call Center Satisfaction Survey has a unit response </w:t>
      </w:r>
      <w:r w:rsidR="00717D6F" w:rsidRPr="00B15BD0">
        <w:rPr>
          <w:rFonts w:cs="Arial"/>
          <w:sz w:val="24"/>
          <w:szCs w:val="24"/>
        </w:rPr>
        <w:t xml:space="preserve">of </w:t>
      </w:r>
      <w:r w:rsidR="00DB45EE" w:rsidRPr="00B15BD0">
        <w:rPr>
          <w:rFonts w:cs="Arial"/>
          <w:sz w:val="24"/>
          <w:szCs w:val="24"/>
        </w:rPr>
        <w:t>46</w:t>
      </w:r>
      <w:r w:rsidR="00717D6F" w:rsidRPr="00B15BD0">
        <w:rPr>
          <w:rFonts w:cs="Arial"/>
          <w:sz w:val="24"/>
          <w:szCs w:val="24"/>
        </w:rPr>
        <w:t>%.</w:t>
      </w:r>
      <w:r w:rsidR="00717D6F">
        <w:rPr>
          <w:rFonts w:cs="Arial"/>
          <w:sz w:val="24"/>
          <w:szCs w:val="24"/>
        </w:rPr>
        <w:t xml:space="preserve"> </w:t>
      </w:r>
    </w:p>
    <w:p w:rsidR="004131AD" w:rsidRDefault="004131AD">
      <w:pPr>
        <w:rPr>
          <w:rFonts w:cs="Arial"/>
          <w:sz w:val="24"/>
          <w:szCs w:val="24"/>
        </w:rPr>
      </w:pPr>
    </w:p>
    <w:p w:rsidR="004131AD" w:rsidRDefault="004131AD">
      <w:pPr>
        <w:rPr>
          <w:rFonts w:cs="Arial"/>
          <w:sz w:val="24"/>
          <w:szCs w:val="24"/>
        </w:rPr>
      </w:pPr>
      <w:r>
        <w:rPr>
          <w:rFonts w:cs="Arial"/>
          <w:sz w:val="24"/>
          <w:szCs w:val="24"/>
        </w:rPr>
        <w:t xml:space="preserve">Non-response bias refers to the error expected in estimating a population characteristic based on a sample of survey data that are not included or are under-represented within the resulting sample.  Stated more technically, non-response bias is the difference between a survey estimate and the actual population value.  Two factors determine the degree to which non-response bias will impact the accuracy and reliability of the resulting survey estimate.  The first factor is the overall amount of non-response (e.g. overall response rate).  </w:t>
      </w:r>
      <w:r w:rsidR="006D62CA" w:rsidRPr="00B90848">
        <w:rPr>
          <w:rFonts w:cs="Arial"/>
          <w:sz w:val="24"/>
          <w:szCs w:val="24"/>
        </w:rPr>
        <w:t xml:space="preserve">The second factor is whether </w:t>
      </w:r>
      <w:r>
        <w:rPr>
          <w:rFonts w:cs="Arial"/>
          <w:sz w:val="24"/>
          <w:szCs w:val="24"/>
        </w:rPr>
        <w:t xml:space="preserve">there are meaningful differences between those who respond and those </w:t>
      </w:r>
      <w:r w:rsidR="006D62CA">
        <w:rPr>
          <w:rFonts w:cs="Arial"/>
          <w:sz w:val="24"/>
          <w:szCs w:val="24"/>
        </w:rPr>
        <w:t xml:space="preserve">who </w:t>
      </w:r>
      <w:r>
        <w:rPr>
          <w:rFonts w:cs="Arial"/>
          <w:sz w:val="24"/>
          <w:szCs w:val="24"/>
        </w:rPr>
        <w:t xml:space="preserve">do not </w:t>
      </w:r>
      <w:r w:rsidR="006D62CA">
        <w:rPr>
          <w:rFonts w:cs="Arial"/>
          <w:sz w:val="24"/>
          <w:szCs w:val="24"/>
        </w:rPr>
        <w:t xml:space="preserve">respond </w:t>
      </w:r>
      <w:r>
        <w:rPr>
          <w:rFonts w:cs="Arial"/>
          <w:sz w:val="24"/>
          <w:szCs w:val="24"/>
        </w:rPr>
        <w:t xml:space="preserve">on the key outcome measures. </w:t>
      </w:r>
      <w:r w:rsidR="006D62CA">
        <w:rPr>
          <w:rFonts w:cs="Arial"/>
          <w:sz w:val="24"/>
          <w:szCs w:val="24"/>
        </w:rPr>
        <w:t xml:space="preserve">Since the overall </w:t>
      </w:r>
      <w:r w:rsidR="0076477B">
        <w:rPr>
          <w:rFonts w:cs="Arial"/>
          <w:sz w:val="24"/>
          <w:szCs w:val="24"/>
        </w:rPr>
        <w:t xml:space="preserve">response </w:t>
      </w:r>
      <w:r w:rsidR="006D62CA">
        <w:rPr>
          <w:rFonts w:cs="Arial"/>
          <w:sz w:val="24"/>
          <w:szCs w:val="24"/>
        </w:rPr>
        <w:t>rate for the Call Cent</w:t>
      </w:r>
      <w:r w:rsidR="008F3645">
        <w:rPr>
          <w:rFonts w:cs="Arial"/>
          <w:sz w:val="24"/>
          <w:szCs w:val="24"/>
        </w:rPr>
        <w:t xml:space="preserve">er Satisfaction Survey is high </w:t>
      </w:r>
      <w:r w:rsidR="006D62CA">
        <w:rPr>
          <w:rFonts w:cs="Arial"/>
          <w:sz w:val="24"/>
          <w:szCs w:val="24"/>
        </w:rPr>
        <w:t xml:space="preserve">and the sample is representative of the total population, non-response bias is unlikely to impact the accuracy and reliability of the survey estimate. </w:t>
      </w:r>
    </w:p>
    <w:p w:rsidR="004131AD" w:rsidRDefault="004131AD">
      <w:pPr>
        <w:rPr>
          <w:rFonts w:cs="Arial"/>
          <w:sz w:val="24"/>
          <w:szCs w:val="24"/>
        </w:rPr>
      </w:pPr>
    </w:p>
    <w:p w:rsidR="004131AD" w:rsidRDefault="00150ACD">
      <w:pPr>
        <w:rPr>
          <w:rFonts w:cs="Arial"/>
          <w:sz w:val="24"/>
          <w:szCs w:val="24"/>
        </w:rPr>
      </w:pPr>
      <w:r>
        <w:rPr>
          <w:rFonts w:cs="Arial"/>
          <w:sz w:val="24"/>
          <w:szCs w:val="24"/>
        </w:rPr>
        <w:t>In the case of non-response bias, t</w:t>
      </w:r>
      <w:r w:rsidR="004131AD">
        <w:rPr>
          <w:rFonts w:cs="Arial"/>
          <w:sz w:val="24"/>
          <w:szCs w:val="24"/>
        </w:rPr>
        <w:t>here are two approaches to tackling the effects.  One is to minimize the chances of non-response at the data collection stage.  This may involve introducing measures which aim to maximize the response rate.  The other approach is to make statistical adjustments at a survey follow-up stage when all the data is collected.  Both approaches are described in the next paragraph</w:t>
      </w:r>
      <w:bookmarkStart w:id="0" w:name="_GoBack"/>
      <w:bookmarkEnd w:id="0"/>
      <w:r w:rsidR="004131AD">
        <w:rPr>
          <w:rFonts w:cs="Arial"/>
          <w:sz w:val="24"/>
          <w:szCs w:val="24"/>
        </w:rPr>
        <w:t>s of this section.</w:t>
      </w:r>
    </w:p>
    <w:p w:rsidR="004131AD" w:rsidRDefault="004131AD">
      <w:pPr>
        <w:rPr>
          <w:rFonts w:cs="Arial"/>
          <w:sz w:val="24"/>
          <w:szCs w:val="24"/>
        </w:rPr>
      </w:pPr>
    </w:p>
    <w:p w:rsidR="004131AD" w:rsidRDefault="004131AD">
      <w:pPr>
        <w:rPr>
          <w:rFonts w:cs="Arial"/>
          <w:sz w:val="24"/>
          <w:szCs w:val="24"/>
        </w:rPr>
      </w:pPr>
      <w:r>
        <w:rPr>
          <w:rFonts w:cs="Arial"/>
          <w:sz w:val="24"/>
          <w:szCs w:val="24"/>
        </w:rPr>
        <w:t>Since it is not always possible to measure the actual bias due to unit non-response, there are strategies for reducing non-response bias by maximizing response rates across all types of respondents.  In the face of a long-standing trend of declining response rates in survey research (</w:t>
      </w:r>
      <w:proofErr w:type="spellStart"/>
      <w:r>
        <w:rPr>
          <w:rFonts w:cs="Arial"/>
          <w:sz w:val="24"/>
          <w:szCs w:val="24"/>
        </w:rPr>
        <w:t>Steeh</w:t>
      </w:r>
      <w:proofErr w:type="spellEnd"/>
      <w:r>
        <w:rPr>
          <w:rFonts w:cs="Arial"/>
          <w:sz w:val="24"/>
          <w:szCs w:val="24"/>
        </w:rPr>
        <w:t xml:space="preserve">, 1981; Smith, 1995; </w:t>
      </w:r>
      <w:proofErr w:type="spellStart"/>
      <w:r>
        <w:rPr>
          <w:rFonts w:cs="Arial"/>
          <w:sz w:val="24"/>
          <w:szCs w:val="24"/>
        </w:rPr>
        <w:t>Bradburn</w:t>
      </w:r>
      <w:proofErr w:type="spellEnd"/>
      <w:r>
        <w:rPr>
          <w:rFonts w:cs="Arial"/>
          <w:sz w:val="24"/>
          <w:szCs w:val="24"/>
        </w:rPr>
        <w:t xml:space="preserve">, 1992; De </w:t>
      </w:r>
      <w:proofErr w:type="spellStart"/>
      <w:r>
        <w:rPr>
          <w:rFonts w:cs="Arial"/>
          <w:sz w:val="24"/>
          <w:szCs w:val="24"/>
        </w:rPr>
        <w:t>Leeuw</w:t>
      </w:r>
      <w:proofErr w:type="spellEnd"/>
      <w:r>
        <w:rPr>
          <w:rFonts w:cs="Arial"/>
          <w:sz w:val="24"/>
          <w:szCs w:val="24"/>
        </w:rPr>
        <w:t xml:space="preserve"> &amp; </w:t>
      </w:r>
      <w:proofErr w:type="spellStart"/>
      <w:r>
        <w:rPr>
          <w:rFonts w:cs="Arial"/>
          <w:sz w:val="24"/>
          <w:szCs w:val="24"/>
        </w:rPr>
        <w:t>Heer</w:t>
      </w:r>
      <w:proofErr w:type="spellEnd"/>
      <w:r>
        <w:rPr>
          <w:rFonts w:cs="Arial"/>
          <w:sz w:val="24"/>
          <w:szCs w:val="24"/>
        </w:rPr>
        <w:t>, 2002; Curtin &amp; Presser, 2005), these strategies include:</w:t>
      </w:r>
    </w:p>
    <w:p w:rsidR="004131AD" w:rsidRDefault="004131AD">
      <w:pPr>
        <w:rPr>
          <w:rFonts w:cs="Arial"/>
          <w:sz w:val="24"/>
          <w:szCs w:val="24"/>
        </w:rPr>
      </w:pPr>
    </w:p>
    <w:p w:rsidR="004131AD" w:rsidRPr="008F3645" w:rsidRDefault="00EB43FB">
      <w:pPr>
        <w:numPr>
          <w:ilvl w:val="0"/>
          <w:numId w:val="6"/>
        </w:numPr>
        <w:spacing w:after="120"/>
        <w:rPr>
          <w:rFonts w:cs="Arial"/>
          <w:sz w:val="24"/>
          <w:szCs w:val="24"/>
        </w:rPr>
      </w:pPr>
      <w:r w:rsidRPr="008F3645">
        <w:rPr>
          <w:rFonts w:cs="Arial"/>
          <w:sz w:val="24"/>
          <w:szCs w:val="24"/>
        </w:rPr>
        <w:t>Contacting</w:t>
      </w:r>
      <w:r w:rsidR="004131AD" w:rsidRPr="008F3645">
        <w:rPr>
          <w:rFonts w:cs="Arial"/>
          <w:sz w:val="24"/>
          <w:szCs w:val="24"/>
        </w:rPr>
        <w:t xml:space="preserve"> respondents a maximum of </w:t>
      </w:r>
      <w:r w:rsidR="008F3645" w:rsidRPr="008F3645">
        <w:rPr>
          <w:rFonts w:cs="Arial"/>
          <w:sz w:val="24"/>
          <w:szCs w:val="24"/>
        </w:rPr>
        <w:t>6</w:t>
      </w:r>
      <w:r w:rsidR="004131AD" w:rsidRPr="008F3645">
        <w:rPr>
          <w:rFonts w:cs="Arial"/>
          <w:sz w:val="24"/>
          <w:szCs w:val="24"/>
        </w:rPr>
        <w:t xml:space="preserve"> times – varying the call time in the respondents’ time zone to increase the likelihood of completing the survey</w:t>
      </w:r>
      <w:r w:rsidR="00F25C3A">
        <w:rPr>
          <w:rFonts w:cs="Arial"/>
          <w:sz w:val="24"/>
          <w:szCs w:val="24"/>
        </w:rPr>
        <w:t xml:space="preserve"> and scheduling callbacks during respondent requested times</w:t>
      </w:r>
      <w:r w:rsidR="004131AD" w:rsidRPr="008F3645">
        <w:rPr>
          <w:rFonts w:cs="Arial"/>
          <w:sz w:val="24"/>
          <w:szCs w:val="24"/>
        </w:rPr>
        <w:t>.</w:t>
      </w:r>
      <w:r w:rsidR="0019587E" w:rsidRPr="008F3645">
        <w:rPr>
          <w:rFonts w:cs="Arial"/>
          <w:sz w:val="24"/>
          <w:szCs w:val="24"/>
        </w:rPr>
        <w:t xml:space="preserve">  </w:t>
      </w:r>
    </w:p>
    <w:p w:rsidR="004131AD" w:rsidRDefault="004131AD">
      <w:pPr>
        <w:numPr>
          <w:ilvl w:val="0"/>
          <w:numId w:val="6"/>
        </w:numPr>
        <w:spacing w:after="120"/>
        <w:rPr>
          <w:rFonts w:cs="Arial"/>
          <w:sz w:val="24"/>
          <w:szCs w:val="24"/>
        </w:rPr>
      </w:pPr>
      <w:r>
        <w:rPr>
          <w:rFonts w:cs="Arial"/>
          <w:sz w:val="24"/>
          <w:szCs w:val="24"/>
        </w:rPr>
        <w:t>Use of well-designed questionnaires and the promise of confidentiality.</w:t>
      </w:r>
    </w:p>
    <w:p w:rsidR="004131AD" w:rsidRDefault="004131AD">
      <w:pPr>
        <w:numPr>
          <w:ilvl w:val="0"/>
          <w:numId w:val="6"/>
        </w:numPr>
        <w:spacing w:after="120"/>
        <w:rPr>
          <w:rFonts w:cs="Arial"/>
          <w:sz w:val="24"/>
          <w:szCs w:val="24"/>
        </w:rPr>
      </w:pPr>
      <w:r>
        <w:rPr>
          <w:rFonts w:cs="Arial"/>
          <w:sz w:val="24"/>
          <w:szCs w:val="24"/>
        </w:rPr>
        <w:lastRenderedPageBreak/>
        <w:t>Providing a contact name and telephone number for inquiries.</w:t>
      </w:r>
    </w:p>
    <w:p w:rsidR="008F3645" w:rsidRDefault="008F3645" w:rsidP="008F3645">
      <w:pPr>
        <w:spacing w:after="120"/>
        <w:ind w:left="936"/>
        <w:rPr>
          <w:rFonts w:cs="Arial"/>
          <w:sz w:val="24"/>
          <w:szCs w:val="24"/>
        </w:rPr>
      </w:pPr>
    </w:p>
    <w:p w:rsidR="004131AD" w:rsidRDefault="004131AD">
      <w:pPr>
        <w:rPr>
          <w:rFonts w:cs="Arial"/>
          <w:sz w:val="24"/>
          <w:szCs w:val="24"/>
        </w:rPr>
      </w:pPr>
      <w:r>
        <w:rPr>
          <w:rFonts w:cs="Arial"/>
          <w:sz w:val="24"/>
          <w:szCs w:val="24"/>
        </w:rPr>
        <w:t xml:space="preserve">Employing these strategies to the administration of the survey will be crucial for maximizing high response rates across all respondent types (see section on maximizing response rates above). </w:t>
      </w:r>
    </w:p>
    <w:p w:rsidR="004131AD" w:rsidRDefault="004131AD">
      <w:pPr>
        <w:rPr>
          <w:rFonts w:cs="Arial"/>
          <w:sz w:val="24"/>
          <w:szCs w:val="24"/>
        </w:rPr>
      </w:pPr>
    </w:p>
    <w:p w:rsidR="004131AD" w:rsidRDefault="004131AD">
      <w:pPr>
        <w:rPr>
          <w:rFonts w:cs="Arial"/>
          <w:sz w:val="24"/>
          <w:szCs w:val="24"/>
        </w:rPr>
      </w:pPr>
      <w:r>
        <w:rPr>
          <w:rFonts w:cs="Arial"/>
          <w:sz w:val="24"/>
          <w:szCs w:val="24"/>
        </w:rPr>
        <w:t>Non-response follow-up analyses can help identify potential sources of bias and can help reassure data users, as well as the agency collecting and releasing the data, of the quality of the data collected.  The approach to examining the presence of non-response bias will be conducted as follows:</w:t>
      </w:r>
    </w:p>
    <w:p w:rsidR="004131AD" w:rsidRDefault="004131AD">
      <w:pPr>
        <w:rPr>
          <w:rFonts w:cs="Arial"/>
          <w:sz w:val="24"/>
          <w:szCs w:val="24"/>
        </w:rPr>
      </w:pPr>
    </w:p>
    <w:p w:rsidR="004131AD" w:rsidRDefault="004131AD">
      <w:pPr>
        <w:numPr>
          <w:ilvl w:val="0"/>
          <w:numId w:val="7"/>
        </w:numPr>
        <w:spacing w:after="120"/>
        <w:rPr>
          <w:rFonts w:cs="Arial"/>
          <w:sz w:val="24"/>
          <w:szCs w:val="24"/>
        </w:rPr>
      </w:pPr>
      <w:r>
        <w:rPr>
          <w:rFonts w:cs="Arial"/>
          <w:sz w:val="24"/>
          <w:szCs w:val="24"/>
        </w:rPr>
        <w:t>Compare the Demographics of Respondents from the VBA Call Center Satisfaction Survey to the Demographics of Non-Respondents from the VBA Call Center Satisfaction Survey.</w:t>
      </w:r>
      <w:r>
        <w:rPr>
          <w:rFonts w:cs="Arial"/>
          <w:b/>
          <w:sz w:val="24"/>
          <w:szCs w:val="24"/>
        </w:rPr>
        <w:t xml:space="preserve">  </w:t>
      </w:r>
      <w:r>
        <w:rPr>
          <w:rFonts w:cs="Arial"/>
          <w:sz w:val="24"/>
          <w:szCs w:val="24"/>
        </w:rPr>
        <w:t xml:space="preserve">To examine the presence of non-response bias, VA will compare the demographics of responders (i.e., those who responded to the VBA Call Center Satisfaction Survey) to the non-responders (i.e., those who did not respond to the VBA Call Center Satisfaction Survey). </w:t>
      </w:r>
    </w:p>
    <w:p w:rsidR="004131AD" w:rsidRDefault="004131AD" w:rsidP="002F0827">
      <w:pPr>
        <w:rPr>
          <w:rFonts w:cs="Arial"/>
          <w:sz w:val="24"/>
          <w:szCs w:val="24"/>
          <w:u w:val="single"/>
        </w:rPr>
      </w:pPr>
    </w:p>
    <w:p w:rsidR="004131AD" w:rsidRDefault="004131AD">
      <w:pPr>
        <w:numPr>
          <w:ilvl w:val="0"/>
          <w:numId w:val="8"/>
        </w:numPr>
        <w:spacing w:after="120"/>
        <w:rPr>
          <w:rFonts w:cs="Arial"/>
          <w:sz w:val="24"/>
          <w:szCs w:val="24"/>
        </w:rPr>
      </w:pPr>
      <w:r>
        <w:rPr>
          <w:rFonts w:cs="Arial"/>
          <w:sz w:val="24"/>
          <w:szCs w:val="24"/>
        </w:rPr>
        <w:t>The comparison between responders and non-responders will be made on the following variables for this survey:</w:t>
      </w:r>
    </w:p>
    <w:p w:rsidR="00D3615E" w:rsidRPr="008F3645" w:rsidRDefault="00D3615E" w:rsidP="002F0827">
      <w:pPr>
        <w:ind w:left="1498"/>
        <w:rPr>
          <w:rFonts w:cs="Arial"/>
          <w:sz w:val="24"/>
          <w:szCs w:val="24"/>
        </w:rPr>
      </w:pPr>
    </w:p>
    <w:p w:rsidR="00D3615E" w:rsidRPr="008F3645" w:rsidRDefault="00D3615E" w:rsidP="00D3615E">
      <w:pPr>
        <w:spacing w:after="120"/>
        <w:ind w:left="1140"/>
        <w:rPr>
          <w:rFonts w:cs="Arial"/>
          <w:b/>
          <w:sz w:val="24"/>
          <w:szCs w:val="24"/>
          <w:u w:val="single"/>
        </w:rPr>
      </w:pPr>
      <w:r w:rsidRPr="008F3645">
        <w:rPr>
          <w:rFonts w:cs="Arial"/>
          <w:b/>
          <w:sz w:val="24"/>
          <w:szCs w:val="24"/>
          <w:u w:val="single"/>
        </w:rPr>
        <w:t>Definition and source of the analysis</w:t>
      </w:r>
    </w:p>
    <w:p w:rsidR="004131AD" w:rsidRPr="008F3645" w:rsidRDefault="004131AD">
      <w:pPr>
        <w:numPr>
          <w:ilvl w:val="1"/>
          <w:numId w:val="5"/>
        </w:numPr>
        <w:spacing w:after="120"/>
        <w:rPr>
          <w:rFonts w:cs="Arial"/>
          <w:sz w:val="24"/>
          <w:szCs w:val="24"/>
        </w:rPr>
      </w:pPr>
      <w:r w:rsidRPr="008F3645">
        <w:rPr>
          <w:rFonts w:cs="Arial"/>
          <w:sz w:val="24"/>
          <w:szCs w:val="24"/>
        </w:rPr>
        <w:t>Reason for or outcome of the call center contact—Reason for contacting the VBA or the resulting outcome of the contact (e.g., claim denied) may result in some  clients being more or less likely to complete the survey</w:t>
      </w:r>
    </w:p>
    <w:p w:rsidR="004131AD" w:rsidRDefault="004131AD">
      <w:pPr>
        <w:numPr>
          <w:ilvl w:val="1"/>
          <w:numId w:val="5"/>
        </w:numPr>
        <w:spacing w:after="120"/>
        <w:rPr>
          <w:rFonts w:cs="Arial"/>
          <w:sz w:val="24"/>
          <w:szCs w:val="24"/>
        </w:rPr>
      </w:pPr>
      <w:r w:rsidRPr="008F3645">
        <w:rPr>
          <w:rFonts w:cs="Arial"/>
          <w:sz w:val="24"/>
          <w:szCs w:val="24"/>
        </w:rPr>
        <w:t xml:space="preserve">Degree and depth of interaction with call centers – it is possible that respondents and non-respondents may differ with respect to the degree and depth of their interaction with VBA call centers. </w:t>
      </w:r>
    </w:p>
    <w:p w:rsidR="00177964" w:rsidRPr="008F3645" w:rsidRDefault="00020990">
      <w:pPr>
        <w:numPr>
          <w:ilvl w:val="1"/>
          <w:numId w:val="5"/>
        </w:numPr>
        <w:spacing w:after="120"/>
        <w:rPr>
          <w:rFonts w:cs="Arial"/>
          <w:sz w:val="24"/>
          <w:szCs w:val="24"/>
        </w:rPr>
      </w:pPr>
      <w:r>
        <w:rPr>
          <w:rFonts w:cs="Arial"/>
          <w:sz w:val="24"/>
          <w:szCs w:val="24"/>
        </w:rPr>
        <w:t>Call Center</w:t>
      </w:r>
      <w:r w:rsidR="00177964">
        <w:rPr>
          <w:rFonts w:cs="Arial"/>
          <w:sz w:val="24"/>
          <w:szCs w:val="24"/>
        </w:rPr>
        <w:t xml:space="preserve">– it is possible that participants from certain </w:t>
      </w:r>
      <w:r>
        <w:rPr>
          <w:rFonts w:cs="Arial"/>
          <w:sz w:val="24"/>
          <w:szCs w:val="24"/>
        </w:rPr>
        <w:t xml:space="preserve">Call Centers </w:t>
      </w:r>
      <w:r w:rsidR="00177964">
        <w:rPr>
          <w:rFonts w:cs="Arial"/>
          <w:sz w:val="24"/>
          <w:szCs w:val="24"/>
        </w:rPr>
        <w:t xml:space="preserve">may respond to the survey at a higher rate than those who interact with another </w:t>
      </w:r>
      <w:r>
        <w:rPr>
          <w:rFonts w:cs="Arial"/>
          <w:sz w:val="24"/>
          <w:szCs w:val="24"/>
        </w:rPr>
        <w:t>Call Center</w:t>
      </w:r>
    </w:p>
    <w:p w:rsidR="008F3645" w:rsidRPr="008F3645" w:rsidRDefault="008F3645" w:rsidP="008F3645">
      <w:pPr>
        <w:spacing w:after="120"/>
        <w:ind w:left="1500"/>
        <w:rPr>
          <w:rFonts w:cs="Arial"/>
          <w:sz w:val="24"/>
          <w:szCs w:val="24"/>
        </w:rPr>
      </w:pPr>
    </w:p>
    <w:p w:rsidR="004131AD" w:rsidRDefault="004131AD">
      <w:pPr>
        <w:rPr>
          <w:rFonts w:cs="Arial"/>
          <w:sz w:val="24"/>
          <w:szCs w:val="24"/>
        </w:rPr>
      </w:pPr>
      <w:r>
        <w:rPr>
          <w:rFonts w:cs="Arial"/>
          <w:sz w:val="24"/>
          <w:szCs w:val="24"/>
        </w:rPr>
        <w:t>Based on the steps discussed above, VBA will identify issues with respect to non-response bias for the survey.</w:t>
      </w:r>
    </w:p>
    <w:p w:rsidR="004131AD" w:rsidRDefault="004131AD">
      <w:pPr>
        <w:rPr>
          <w:sz w:val="24"/>
          <w:szCs w:val="24"/>
        </w:rPr>
      </w:pPr>
    </w:p>
    <w:p w:rsidR="004131AD" w:rsidRDefault="004131AD" w:rsidP="002F0827">
      <w:pPr>
        <w:pStyle w:val="Heading2"/>
        <w:tabs>
          <w:tab w:val="clear" w:pos="360"/>
          <w:tab w:val="num" w:pos="0"/>
        </w:tabs>
        <w:ind w:left="0" w:firstLine="0"/>
        <w:rPr>
          <w:rFonts w:ascii="Times New Roman" w:hAnsi="Times New Roman" w:cs="Times New Roman"/>
        </w:rPr>
      </w:pPr>
      <w:r>
        <w:rPr>
          <w:rFonts w:ascii="Times New Roman" w:hAnsi="Times New Roman" w:cs="Times New Roman"/>
        </w:rPr>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4131AD" w:rsidRDefault="004131AD">
      <w:pPr>
        <w:rPr>
          <w:sz w:val="24"/>
          <w:u w:val="single"/>
        </w:rPr>
      </w:pPr>
    </w:p>
    <w:p w:rsidR="004131AD" w:rsidRDefault="004131AD">
      <w:pPr>
        <w:rPr>
          <w:sz w:val="24"/>
        </w:rPr>
      </w:pPr>
      <w:r>
        <w:rPr>
          <w:sz w:val="24"/>
        </w:rPr>
        <w:t>The contractor</w:t>
      </w:r>
      <w:r w:rsidR="00BE5360">
        <w:rPr>
          <w:sz w:val="24"/>
        </w:rPr>
        <w:t>,</w:t>
      </w:r>
      <w:r>
        <w:rPr>
          <w:sz w:val="24"/>
        </w:rPr>
        <w:t xml:space="preserve"> </w:t>
      </w:r>
      <w:r w:rsidR="008E5735">
        <w:rPr>
          <w:sz w:val="24"/>
        </w:rPr>
        <w:t>J.D. Power</w:t>
      </w:r>
      <w:r w:rsidR="00BE5360">
        <w:rPr>
          <w:sz w:val="24"/>
        </w:rPr>
        <w:t>,</w:t>
      </w:r>
      <w:r w:rsidR="008E5735">
        <w:rPr>
          <w:sz w:val="24"/>
        </w:rPr>
        <w:t xml:space="preserve"> </w:t>
      </w:r>
      <w:r>
        <w:rPr>
          <w:sz w:val="24"/>
        </w:rPr>
        <w:t xml:space="preserve">conducted cognitive labs with three test users for the survey, to determine whether respondents understand the survey questions and answer choices, as intended.  Working closely with VBA, the contractor </w:t>
      </w:r>
      <w:r w:rsidR="008E5735">
        <w:rPr>
          <w:sz w:val="24"/>
        </w:rPr>
        <w:t>drew</w:t>
      </w:r>
      <w:r>
        <w:rPr>
          <w:sz w:val="24"/>
        </w:rPr>
        <w:t xml:space="preserve"> a small pool of names from potential participants in the survey for inclusion in the cognitive labs.  Cognitive lab participants were </w:t>
      </w:r>
      <w:r>
        <w:rPr>
          <w:sz w:val="24"/>
        </w:rPr>
        <w:lastRenderedPageBreak/>
        <w:t xml:space="preserve">drawn from the same population that will be used for the main study.  The contractor submitted the list of potential participants to VBA for review and approval.  Once identified, the contractor contacted participants by telephone and asked them to participate.  </w:t>
      </w:r>
    </w:p>
    <w:p w:rsidR="004131AD" w:rsidRDefault="004131AD">
      <w:pPr>
        <w:rPr>
          <w:sz w:val="24"/>
        </w:rPr>
      </w:pPr>
      <w:r>
        <w:rPr>
          <w:sz w:val="24"/>
        </w:rPr>
        <w:t>Once the participants were selected, VA conducted cognitive lab sessions aimed at identifying needed additions or refinements to the questionnaire.  Cognitive labs are one-on-one sessions with potential survey participants, in which respondents are asked to complete the questionnaire while thinking aloud.  The primary purpose of these sessions was to gather feedback on survey questions and answer choices to ensure they are easily understood and correctly interpreted.  Outcomes of cognitive labs include, but are not limited to: addition or omission of specific questions, changes to wording of questions, clarification of question response options, addition of response options, and changes to ordering of questions.</w:t>
      </w:r>
    </w:p>
    <w:p w:rsidR="004131AD" w:rsidRDefault="004131AD">
      <w:pPr>
        <w:rPr>
          <w:sz w:val="24"/>
        </w:rPr>
      </w:pPr>
    </w:p>
    <w:p w:rsidR="004131AD" w:rsidRDefault="004131AD">
      <w:pPr>
        <w:rPr>
          <w:b/>
          <w:sz w:val="24"/>
          <w:szCs w:val="24"/>
        </w:rPr>
      </w:pPr>
      <w:r>
        <w:rPr>
          <w:b/>
          <w:sz w:val="24"/>
        </w:rPr>
        <w:t xml:space="preserve">5. </w:t>
      </w:r>
      <w:r>
        <w:rPr>
          <w:sz w:val="24"/>
        </w:rPr>
        <w:t xml:space="preserve"> </w:t>
      </w:r>
      <w:r>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4131AD" w:rsidRDefault="004131AD">
      <w:pPr>
        <w:ind w:left="360"/>
        <w:rPr>
          <w:b/>
          <w:sz w:val="24"/>
          <w:szCs w:val="24"/>
        </w:rPr>
      </w:pPr>
    </w:p>
    <w:p w:rsidR="004131AD" w:rsidRDefault="004131AD">
      <w:pPr>
        <w:rPr>
          <w:bCs/>
          <w:sz w:val="24"/>
          <w:szCs w:val="24"/>
        </w:rPr>
      </w:pPr>
      <w:r>
        <w:rPr>
          <w:bCs/>
          <w:sz w:val="24"/>
          <w:szCs w:val="24"/>
        </w:rPr>
        <w:t>For this survey, VBA contracted the services of J.D. Power and Associates to administer the survey.  The following is a list of the persons involved in the survey.</w:t>
      </w:r>
    </w:p>
    <w:p w:rsidR="004131AD" w:rsidRDefault="004131AD">
      <w:pPr>
        <w:rPr>
          <w:bCs/>
          <w:sz w:val="24"/>
          <w:szCs w:val="24"/>
        </w:rPr>
      </w:pPr>
    </w:p>
    <w:p w:rsidR="004131AD" w:rsidRDefault="004131AD">
      <w:pPr>
        <w:numPr>
          <w:ilvl w:val="0"/>
          <w:numId w:val="4"/>
        </w:numPr>
        <w:tabs>
          <w:tab w:val="left" w:pos="900"/>
        </w:tabs>
        <w:spacing w:after="120"/>
        <w:rPr>
          <w:sz w:val="24"/>
          <w:szCs w:val="24"/>
        </w:rPr>
      </w:pPr>
      <w:r>
        <w:rPr>
          <w:sz w:val="24"/>
          <w:szCs w:val="24"/>
        </w:rPr>
        <w:t xml:space="preserve">Mrs. Gina </w:t>
      </w:r>
      <w:proofErr w:type="spellStart"/>
      <w:r>
        <w:rPr>
          <w:sz w:val="24"/>
          <w:szCs w:val="24"/>
        </w:rPr>
        <w:t>Pingitore</w:t>
      </w:r>
      <w:proofErr w:type="spellEnd"/>
      <w:r>
        <w:rPr>
          <w:sz w:val="24"/>
          <w:szCs w:val="24"/>
        </w:rPr>
        <w:t>, PhD, J.D. Power and Associates, 805-418-8043</w:t>
      </w:r>
    </w:p>
    <w:p w:rsidR="004131AD" w:rsidRPr="00E04A12" w:rsidRDefault="004131AD">
      <w:pPr>
        <w:numPr>
          <w:ilvl w:val="0"/>
          <w:numId w:val="4"/>
        </w:numPr>
        <w:tabs>
          <w:tab w:val="left" w:pos="900"/>
        </w:tabs>
        <w:spacing w:after="120"/>
        <w:rPr>
          <w:sz w:val="24"/>
          <w:szCs w:val="24"/>
        </w:rPr>
      </w:pPr>
      <w:r>
        <w:rPr>
          <w:sz w:val="24"/>
          <w:szCs w:val="24"/>
        </w:rPr>
        <w:t xml:space="preserve">Mr. Greg Truex, MPP, J.D. Power and Associates, </w:t>
      </w:r>
      <w:r w:rsidR="00804B2E">
        <w:rPr>
          <w:bCs/>
          <w:sz w:val="24"/>
          <w:szCs w:val="24"/>
        </w:rPr>
        <w:t>805-418-8078</w:t>
      </w:r>
    </w:p>
    <w:p w:rsidR="004131AD" w:rsidRDefault="00D17B08">
      <w:pPr>
        <w:numPr>
          <w:ilvl w:val="0"/>
          <w:numId w:val="4"/>
        </w:numPr>
        <w:tabs>
          <w:tab w:val="left" w:pos="900"/>
        </w:tabs>
        <w:spacing w:after="120"/>
        <w:rPr>
          <w:sz w:val="24"/>
          <w:szCs w:val="24"/>
        </w:rPr>
      </w:pPr>
      <w:r>
        <w:rPr>
          <w:bCs/>
          <w:sz w:val="24"/>
          <w:szCs w:val="24"/>
        </w:rPr>
        <w:t xml:space="preserve">Ms. </w:t>
      </w:r>
      <w:proofErr w:type="spellStart"/>
      <w:r>
        <w:rPr>
          <w:bCs/>
          <w:sz w:val="24"/>
          <w:szCs w:val="24"/>
        </w:rPr>
        <w:t>Tara</w:t>
      </w:r>
      <w:r w:rsidR="00BE5360">
        <w:rPr>
          <w:bCs/>
          <w:sz w:val="24"/>
          <w:szCs w:val="24"/>
        </w:rPr>
        <w:t>Porter</w:t>
      </w:r>
      <w:proofErr w:type="spellEnd"/>
      <w:r w:rsidR="004131AD">
        <w:rPr>
          <w:bCs/>
          <w:sz w:val="24"/>
          <w:szCs w:val="24"/>
        </w:rPr>
        <w:t xml:space="preserve">, </w:t>
      </w:r>
      <w:r w:rsidR="004131AD">
        <w:rPr>
          <w:sz w:val="24"/>
          <w:szCs w:val="24"/>
        </w:rPr>
        <w:t xml:space="preserve">J.D. Power and Associates, </w:t>
      </w:r>
      <w:r w:rsidR="004131AD">
        <w:rPr>
          <w:bCs/>
          <w:sz w:val="24"/>
          <w:szCs w:val="24"/>
        </w:rPr>
        <w:t>202-383-3707</w:t>
      </w:r>
    </w:p>
    <w:p w:rsidR="004131AD" w:rsidRDefault="004131AD">
      <w:pPr>
        <w:rPr>
          <w:highlight w:val="yellow"/>
        </w:rPr>
      </w:pPr>
    </w:p>
    <w:p w:rsidR="004131AD" w:rsidRDefault="004131AD">
      <w:pPr>
        <w:rPr>
          <w:highlight w:val="yellow"/>
        </w:rPr>
      </w:pPr>
    </w:p>
    <w:p w:rsidR="004131AD" w:rsidRDefault="004131AD"/>
    <w:sectPr w:rsidR="004131AD" w:rsidSect="00CD3ADE">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CB" w:rsidRDefault="008404CB">
      <w:r>
        <w:separator/>
      </w:r>
    </w:p>
  </w:endnote>
  <w:endnote w:type="continuationSeparator" w:id="0">
    <w:p w:rsidR="008404CB" w:rsidRDefault="0084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1D" w:rsidRDefault="0000741D">
    <w:pPr>
      <w:pStyle w:val="Footer"/>
    </w:pPr>
    <w:r>
      <w:tab/>
      <w:t xml:space="preserve">- </w:t>
    </w:r>
    <w:r>
      <w:fldChar w:fldCharType="begin"/>
    </w:r>
    <w:r>
      <w:instrText xml:space="preserve"> PAGE </w:instrText>
    </w:r>
    <w:r>
      <w:fldChar w:fldCharType="separate"/>
    </w:r>
    <w:r w:rsidR="00B9084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CB" w:rsidRDefault="008404CB">
      <w:r>
        <w:separator/>
      </w:r>
    </w:p>
  </w:footnote>
  <w:footnote w:type="continuationSeparator" w:id="0">
    <w:p w:rsidR="008404CB" w:rsidRDefault="008404CB">
      <w:r>
        <w:continuationSeparator/>
      </w:r>
    </w:p>
  </w:footnote>
  <w:footnote w:id="1">
    <w:p w:rsidR="005F385F" w:rsidRPr="005F385F" w:rsidRDefault="005F385F">
      <w:pPr>
        <w:pStyle w:val="FootnoteText"/>
      </w:pPr>
      <w:r w:rsidRPr="00B90848">
        <w:rPr>
          <w:rStyle w:val="FootnoteReference"/>
        </w:rPr>
        <w:footnoteRef/>
      </w:r>
      <w:r w:rsidRPr="00B90848">
        <w:t xml:space="preserve"> CASRO represents more than 300 companies and market research operations in the United States and abroad.</w:t>
      </w:r>
      <w:r w:rsidR="000D45F1" w:rsidRPr="00B90848">
        <w:t xml:space="preserve"> http://www.casro.org/</w:t>
      </w:r>
    </w:p>
  </w:footnote>
  <w:footnote w:id="2">
    <w:p w:rsidR="0076477B" w:rsidRDefault="0076477B">
      <w:pPr>
        <w:pStyle w:val="FootnoteText"/>
      </w:pPr>
      <w:r>
        <w:rPr>
          <w:rStyle w:val="FootnoteReference"/>
        </w:rPr>
        <w:footnoteRef/>
      </w:r>
      <w:r>
        <w:t xml:space="preserve"> </w:t>
      </w:r>
      <w:r w:rsidRPr="00B15BD0">
        <w:t>AAPOR Response Rate</w:t>
      </w:r>
      <w:r w:rsidR="00DB45EE" w:rsidRPr="00B15BD0">
        <w:t xml:space="preserve"> 3</w:t>
      </w:r>
      <w:r w:rsidRPr="00B15BD0">
        <w:t xml:space="preserve"> Formula =</w:t>
      </w:r>
      <w:r w:rsidR="00DB45EE" w:rsidRPr="00B15BD0">
        <w:t xml:space="preserve"> (Completes</w:t>
      </w:r>
      <w:r w:rsidR="00DB45EE">
        <w:t xml:space="preserve"> + Qualified Mid Terminates)/(</w:t>
      </w:r>
      <w:r w:rsidR="00DB45EE" w:rsidRPr="00DB45EE">
        <w:t>Completes</w:t>
      </w:r>
      <w:r w:rsidR="00DB45EE">
        <w:t xml:space="preserve"> </w:t>
      </w:r>
      <w:r w:rsidR="00DB45EE" w:rsidRPr="00DB45EE">
        <w:t>+</w:t>
      </w:r>
      <w:r w:rsidR="00DB45EE">
        <w:t xml:space="preserve"> </w:t>
      </w:r>
      <w:r w:rsidR="00DB45EE" w:rsidRPr="00DB45EE">
        <w:t>Qualified Mid Terminates</w:t>
      </w:r>
      <w:r w:rsidR="00DB45EE">
        <w:t xml:space="preserve"> </w:t>
      </w:r>
      <w:r w:rsidR="00DB45EE" w:rsidRPr="00DB45EE">
        <w:t>+</w:t>
      </w:r>
      <w:r w:rsidR="00DB45EE">
        <w:t xml:space="preserve"> </w:t>
      </w:r>
      <w:r w:rsidR="00DB45EE" w:rsidRPr="00DB45EE">
        <w:t>Refused</w:t>
      </w:r>
      <w:r w:rsidR="00DB45EE">
        <w:t xml:space="preserve"> </w:t>
      </w:r>
      <w:r w:rsidR="00DB45EE" w:rsidRPr="00DB45EE">
        <w:t>+</w:t>
      </w:r>
      <w:r w:rsidR="00DB45EE">
        <w:t xml:space="preserve"> </w:t>
      </w:r>
      <w:r w:rsidR="00DB45EE" w:rsidRPr="00DB45EE">
        <w:t>Language Problem</w:t>
      </w:r>
      <w:r w:rsidR="00DB45EE">
        <w:t xml:space="preserve"> </w:t>
      </w:r>
      <w:r w:rsidR="00DB45EE" w:rsidRPr="00DB45EE">
        <w:t>+ Term: Take me off the list +</w:t>
      </w:r>
      <w:r w:rsidR="00DB45EE">
        <w:t xml:space="preserve"> </w:t>
      </w:r>
      <w:r w:rsidR="00DB45EE" w:rsidRPr="00DB45EE">
        <w:t>(.90*Active Numbers</w:t>
      </w:r>
      <w:r w:rsidR="00DB45EE">
        <w:t>)</w:t>
      </w:r>
      <w:r w:rsidR="00DB45EE" w:rsidRPr="00DB45EE">
        <w:t>)</w:t>
      </w:r>
    </w:p>
  </w:footnote>
  <w:footnote w:id="3">
    <w:p w:rsidR="0076477B" w:rsidRPr="00191092" w:rsidRDefault="0076477B" w:rsidP="0076477B">
      <w:r>
        <w:rPr>
          <w:rStyle w:val="FootnoteReference"/>
        </w:rPr>
        <w:footnoteRef/>
      </w:r>
      <w:r>
        <w:t xml:space="preserve"> Cooperation Rate Formula = </w:t>
      </w:r>
      <w:r w:rsidRPr="00191092">
        <w:t xml:space="preserve">(Completes + </w:t>
      </w:r>
      <w:r w:rsidRPr="00191092">
        <w:rPr>
          <w:bCs/>
        </w:rPr>
        <w:t>Named respondent works for VA</w:t>
      </w:r>
      <w:r w:rsidRPr="00191092">
        <w:t xml:space="preserve"> + Did not contact the VA +  Respondent called more than once that day) / (Completes + </w:t>
      </w:r>
      <w:r w:rsidRPr="00191092">
        <w:rPr>
          <w:bCs/>
        </w:rPr>
        <w:t>Named respondent works for VA</w:t>
      </w:r>
      <w:r w:rsidRPr="00191092">
        <w:t xml:space="preserve"> + Did not contact the VA +  Respondent called more than once that day + Qualified mid-terminates + Refused + Term: Take me off the list)</w:t>
      </w:r>
    </w:p>
    <w:p w:rsidR="0076477B" w:rsidRDefault="0076477B" w:rsidP="0076477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2FF"/>
    <w:multiLevelType w:val="hybridMultilevel"/>
    <w:tmpl w:val="83B07BE0"/>
    <w:lvl w:ilvl="0" w:tplc="6B84312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F9F5198"/>
    <w:multiLevelType w:val="hybridMultilevel"/>
    <w:tmpl w:val="D5549B80"/>
    <w:lvl w:ilvl="0" w:tplc="6B84312E">
      <w:start w:val="1"/>
      <w:numFmt w:val="bullet"/>
      <w:lvlText w:val=""/>
      <w:lvlJc w:val="left"/>
      <w:pPr>
        <w:tabs>
          <w:tab w:val="num" w:pos="936"/>
        </w:tabs>
        <w:ind w:left="936" w:hanging="360"/>
      </w:pPr>
      <w:rPr>
        <w:rFonts w:ascii="Symbol" w:hAnsi="Symbol" w:hint="default"/>
        <w:color w:val="auto"/>
        <w:sz w:val="24"/>
      </w:rPr>
    </w:lvl>
    <w:lvl w:ilvl="1" w:tplc="00190409" w:tentative="1">
      <w:start w:val="1"/>
      <w:numFmt w:val="lowerLetter"/>
      <w:lvlText w:val="%2."/>
      <w:lvlJc w:val="left"/>
      <w:pPr>
        <w:tabs>
          <w:tab w:val="num" w:pos="2016"/>
        </w:tabs>
        <w:ind w:left="2016" w:hanging="360"/>
      </w:pPr>
      <w:rPr>
        <w:rFonts w:cs="Times New Roman"/>
      </w:rPr>
    </w:lvl>
    <w:lvl w:ilvl="2" w:tplc="001B0409" w:tentative="1">
      <w:start w:val="1"/>
      <w:numFmt w:val="lowerRoman"/>
      <w:lvlText w:val="%3."/>
      <w:lvlJc w:val="right"/>
      <w:pPr>
        <w:tabs>
          <w:tab w:val="num" w:pos="2736"/>
        </w:tabs>
        <w:ind w:left="2736" w:hanging="180"/>
      </w:pPr>
      <w:rPr>
        <w:rFonts w:cs="Times New Roman"/>
      </w:rPr>
    </w:lvl>
    <w:lvl w:ilvl="3" w:tplc="000F0409">
      <w:start w:val="1"/>
      <w:numFmt w:val="decimal"/>
      <w:lvlText w:val="%4."/>
      <w:lvlJc w:val="left"/>
      <w:pPr>
        <w:tabs>
          <w:tab w:val="num" w:pos="3456"/>
        </w:tabs>
        <w:ind w:left="3456" w:hanging="360"/>
      </w:pPr>
      <w:rPr>
        <w:rFonts w:cs="Times New Roman"/>
      </w:rPr>
    </w:lvl>
    <w:lvl w:ilvl="4" w:tplc="00190409" w:tentative="1">
      <w:start w:val="1"/>
      <w:numFmt w:val="lowerLetter"/>
      <w:lvlText w:val="%5."/>
      <w:lvlJc w:val="left"/>
      <w:pPr>
        <w:tabs>
          <w:tab w:val="num" w:pos="4176"/>
        </w:tabs>
        <w:ind w:left="4176" w:hanging="360"/>
      </w:pPr>
      <w:rPr>
        <w:rFonts w:cs="Times New Roman"/>
      </w:rPr>
    </w:lvl>
    <w:lvl w:ilvl="5" w:tplc="001B0409" w:tentative="1">
      <w:start w:val="1"/>
      <w:numFmt w:val="lowerRoman"/>
      <w:lvlText w:val="%6."/>
      <w:lvlJc w:val="right"/>
      <w:pPr>
        <w:tabs>
          <w:tab w:val="num" w:pos="4896"/>
        </w:tabs>
        <w:ind w:left="4896" w:hanging="180"/>
      </w:pPr>
      <w:rPr>
        <w:rFonts w:cs="Times New Roman"/>
      </w:rPr>
    </w:lvl>
    <w:lvl w:ilvl="6" w:tplc="000F0409" w:tentative="1">
      <w:start w:val="1"/>
      <w:numFmt w:val="decimal"/>
      <w:lvlText w:val="%7."/>
      <w:lvlJc w:val="left"/>
      <w:pPr>
        <w:tabs>
          <w:tab w:val="num" w:pos="5616"/>
        </w:tabs>
        <w:ind w:left="5616" w:hanging="360"/>
      </w:pPr>
      <w:rPr>
        <w:rFonts w:cs="Times New Roman"/>
      </w:rPr>
    </w:lvl>
    <w:lvl w:ilvl="7" w:tplc="00190409" w:tentative="1">
      <w:start w:val="1"/>
      <w:numFmt w:val="lowerLetter"/>
      <w:lvlText w:val="%8."/>
      <w:lvlJc w:val="left"/>
      <w:pPr>
        <w:tabs>
          <w:tab w:val="num" w:pos="6336"/>
        </w:tabs>
        <w:ind w:left="6336" w:hanging="360"/>
      </w:pPr>
      <w:rPr>
        <w:rFonts w:cs="Times New Roman"/>
      </w:rPr>
    </w:lvl>
    <w:lvl w:ilvl="8" w:tplc="001B0409" w:tentative="1">
      <w:start w:val="1"/>
      <w:numFmt w:val="lowerRoman"/>
      <w:lvlText w:val="%9."/>
      <w:lvlJc w:val="right"/>
      <w:pPr>
        <w:tabs>
          <w:tab w:val="num" w:pos="7056"/>
        </w:tabs>
        <w:ind w:left="7056" w:hanging="180"/>
      </w:pPr>
      <w:rPr>
        <w:rFonts w:cs="Times New Roman"/>
      </w:rPr>
    </w:lvl>
  </w:abstractNum>
  <w:abstractNum w:abstractNumId="2">
    <w:nsid w:val="229E3DE9"/>
    <w:multiLevelType w:val="hybridMultilevel"/>
    <w:tmpl w:val="AF9A349C"/>
    <w:lvl w:ilvl="0" w:tplc="D15A0E02">
      <w:start w:val="1"/>
      <w:numFmt w:val="bullet"/>
      <w:lvlText w:val=""/>
      <w:lvlJc w:val="left"/>
      <w:pPr>
        <w:tabs>
          <w:tab w:val="num" w:pos="936"/>
        </w:tabs>
        <w:ind w:left="936" w:hanging="360"/>
      </w:pPr>
      <w:rPr>
        <w:rFonts w:ascii="Symbol" w:hAnsi="Symbol" w:hint="default"/>
        <w:color w:val="auto"/>
        <w:sz w:val="26"/>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nsid w:val="3A3717AF"/>
    <w:multiLevelType w:val="hybridMultilevel"/>
    <w:tmpl w:val="85D859F4"/>
    <w:lvl w:ilvl="0" w:tplc="6B84312E">
      <w:start w:val="1"/>
      <w:numFmt w:val="bullet"/>
      <w:lvlText w:val=""/>
      <w:lvlJc w:val="left"/>
      <w:pPr>
        <w:tabs>
          <w:tab w:val="num" w:pos="1260"/>
        </w:tabs>
        <w:ind w:left="1260" w:hanging="360"/>
      </w:pPr>
      <w:rPr>
        <w:rFonts w:ascii="Symbol" w:hAnsi="Symbol" w:hint="default"/>
        <w:b w:val="0"/>
        <w:i w:val="0"/>
        <w:color w:val="auto"/>
        <w:sz w:val="12"/>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3A4E7680"/>
    <w:multiLevelType w:val="hybridMultilevel"/>
    <w:tmpl w:val="A6DA77F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BEE4E78"/>
    <w:multiLevelType w:val="hybridMultilevel"/>
    <w:tmpl w:val="0FCC59BA"/>
    <w:lvl w:ilvl="0" w:tplc="6B84312E">
      <w:start w:val="1"/>
      <w:numFmt w:val="bullet"/>
      <w:lvlText w:val=""/>
      <w:lvlJc w:val="left"/>
      <w:pPr>
        <w:tabs>
          <w:tab w:val="num" w:pos="936"/>
        </w:tabs>
        <w:ind w:left="936" w:hanging="360"/>
      </w:pPr>
      <w:rPr>
        <w:rFonts w:ascii="Symbol" w:hAnsi="Symbol" w:hint="default"/>
        <w:color w:val="auto"/>
        <w:sz w:val="24"/>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465D1E0A"/>
    <w:multiLevelType w:val="hybridMultilevel"/>
    <w:tmpl w:val="2AF42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3B52D7"/>
    <w:multiLevelType w:val="multilevel"/>
    <w:tmpl w:val="A6DA77F6"/>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nsid w:val="4F122D7A"/>
    <w:multiLevelType w:val="hybridMultilevel"/>
    <w:tmpl w:val="F4D0885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41917A7"/>
    <w:multiLevelType w:val="hybridMultilevel"/>
    <w:tmpl w:val="18305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5F5206E4"/>
    <w:multiLevelType w:val="hybridMultilevel"/>
    <w:tmpl w:val="33C4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4"/>
  </w:num>
  <w:num w:numId="6">
    <w:abstractNumId w:val="1"/>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1D"/>
    <w:rsid w:val="0000707D"/>
    <w:rsid w:val="0000741D"/>
    <w:rsid w:val="00020990"/>
    <w:rsid w:val="00043B9E"/>
    <w:rsid w:val="0005216E"/>
    <w:rsid w:val="0005506D"/>
    <w:rsid w:val="00077A3B"/>
    <w:rsid w:val="000A17E5"/>
    <w:rsid w:val="000D45F1"/>
    <w:rsid w:val="000D4FA1"/>
    <w:rsid w:val="000E145B"/>
    <w:rsid w:val="000E360A"/>
    <w:rsid w:val="000F1CD5"/>
    <w:rsid w:val="000F3C14"/>
    <w:rsid w:val="001173F6"/>
    <w:rsid w:val="00123635"/>
    <w:rsid w:val="001401E5"/>
    <w:rsid w:val="00150ACD"/>
    <w:rsid w:val="00152980"/>
    <w:rsid w:val="0015559A"/>
    <w:rsid w:val="001625ED"/>
    <w:rsid w:val="00177964"/>
    <w:rsid w:val="001821E2"/>
    <w:rsid w:val="00191092"/>
    <w:rsid w:val="0019587E"/>
    <w:rsid w:val="001B0E75"/>
    <w:rsid w:val="001C30F1"/>
    <w:rsid w:val="001D1E73"/>
    <w:rsid w:val="001D467B"/>
    <w:rsid w:val="001E6DE9"/>
    <w:rsid w:val="001F4F2A"/>
    <w:rsid w:val="001F6254"/>
    <w:rsid w:val="0021246F"/>
    <w:rsid w:val="00217053"/>
    <w:rsid w:val="00244F71"/>
    <w:rsid w:val="00253DA0"/>
    <w:rsid w:val="00255870"/>
    <w:rsid w:val="00263F21"/>
    <w:rsid w:val="0027479C"/>
    <w:rsid w:val="00275E5F"/>
    <w:rsid w:val="0028285C"/>
    <w:rsid w:val="0028380A"/>
    <w:rsid w:val="002B0378"/>
    <w:rsid w:val="002C76C6"/>
    <w:rsid w:val="002F0827"/>
    <w:rsid w:val="00300955"/>
    <w:rsid w:val="003305B9"/>
    <w:rsid w:val="003373B5"/>
    <w:rsid w:val="003434FC"/>
    <w:rsid w:val="00351662"/>
    <w:rsid w:val="00365A8F"/>
    <w:rsid w:val="00375C6F"/>
    <w:rsid w:val="003D1A32"/>
    <w:rsid w:val="003D3AFC"/>
    <w:rsid w:val="003E54A2"/>
    <w:rsid w:val="003F6042"/>
    <w:rsid w:val="00403A6F"/>
    <w:rsid w:val="004131AD"/>
    <w:rsid w:val="00445885"/>
    <w:rsid w:val="004B1C15"/>
    <w:rsid w:val="004B32C9"/>
    <w:rsid w:val="004B60A1"/>
    <w:rsid w:val="00506B94"/>
    <w:rsid w:val="005074FC"/>
    <w:rsid w:val="005144B2"/>
    <w:rsid w:val="00551837"/>
    <w:rsid w:val="00563C85"/>
    <w:rsid w:val="00567B1B"/>
    <w:rsid w:val="00576FCD"/>
    <w:rsid w:val="00597084"/>
    <w:rsid w:val="005B050F"/>
    <w:rsid w:val="005E4582"/>
    <w:rsid w:val="005E6EC0"/>
    <w:rsid w:val="005F385F"/>
    <w:rsid w:val="00627E43"/>
    <w:rsid w:val="00636BB7"/>
    <w:rsid w:val="0068015C"/>
    <w:rsid w:val="006976B5"/>
    <w:rsid w:val="006C46CA"/>
    <w:rsid w:val="006D62CA"/>
    <w:rsid w:val="006F0E35"/>
    <w:rsid w:val="00717D6F"/>
    <w:rsid w:val="007415E6"/>
    <w:rsid w:val="007578C7"/>
    <w:rsid w:val="0076477B"/>
    <w:rsid w:val="0078152C"/>
    <w:rsid w:val="007C1B38"/>
    <w:rsid w:val="007D3B8E"/>
    <w:rsid w:val="007D7556"/>
    <w:rsid w:val="007E204A"/>
    <w:rsid w:val="007F32DA"/>
    <w:rsid w:val="00804B2E"/>
    <w:rsid w:val="0083577B"/>
    <w:rsid w:val="008404CB"/>
    <w:rsid w:val="008663A3"/>
    <w:rsid w:val="0088300F"/>
    <w:rsid w:val="008B1005"/>
    <w:rsid w:val="008B7059"/>
    <w:rsid w:val="008E5735"/>
    <w:rsid w:val="008F3645"/>
    <w:rsid w:val="009063B0"/>
    <w:rsid w:val="00926DCD"/>
    <w:rsid w:val="009322AE"/>
    <w:rsid w:val="00934FBE"/>
    <w:rsid w:val="00947FE0"/>
    <w:rsid w:val="00975B84"/>
    <w:rsid w:val="009850A1"/>
    <w:rsid w:val="00986566"/>
    <w:rsid w:val="009875E4"/>
    <w:rsid w:val="009B448E"/>
    <w:rsid w:val="009C3C13"/>
    <w:rsid w:val="009E4651"/>
    <w:rsid w:val="009F23CC"/>
    <w:rsid w:val="00A05D03"/>
    <w:rsid w:val="00A256B3"/>
    <w:rsid w:val="00A367DE"/>
    <w:rsid w:val="00A458A5"/>
    <w:rsid w:val="00A45C11"/>
    <w:rsid w:val="00A831C5"/>
    <w:rsid w:val="00A96EF6"/>
    <w:rsid w:val="00AB1079"/>
    <w:rsid w:val="00AB4BFD"/>
    <w:rsid w:val="00AC0C54"/>
    <w:rsid w:val="00AC7DEC"/>
    <w:rsid w:val="00AD053E"/>
    <w:rsid w:val="00B06BEB"/>
    <w:rsid w:val="00B15BD0"/>
    <w:rsid w:val="00B232AA"/>
    <w:rsid w:val="00B33BEA"/>
    <w:rsid w:val="00B43368"/>
    <w:rsid w:val="00B457F3"/>
    <w:rsid w:val="00B5027B"/>
    <w:rsid w:val="00B71F3C"/>
    <w:rsid w:val="00B829A5"/>
    <w:rsid w:val="00B90848"/>
    <w:rsid w:val="00B9611E"/>
    <w:rsid w:val="00BB446D"/>
    <w:rsid w:val="00BE5360"/>
    <w:rsid w:val="00C25D36"/>
    <w:rsid w:val="00C67611"/>
    <w:rsid w:val="00C8134D"/>
    <w:rsid w:val="00C97A3C"/>
    <w:rsid w:val="00CB772D"/>
    <w:rsid w:val="00CD3ADE"/>
    <w:rsid w:val="00CF2D01"/>
    <w:rsid w:val="00D02858"/>
    <w:rsid w:val="00D17B08"/>
    <w:rsid w:val="00D24D3C"/>
    <w:rsid w:val="00D3615E"/>
    <w:rsid w:val="00D402B7"/>
    <w:rsid w:val="00D762DD"/>
    <w:rsid w:val="00D9440B"/>
    <w:rsid w:val="00DB45EE"/>
    <w:rsid w:val="00DC17EA"/>
    <w:rsid w:val="00DF5076"/>
    <w:rsid w:val="00E04A12"/>
    <w:rsid w:val="00E112D6"/>
    <w:rsid w:val="00E51BB9"/>
    <w:rsid w:val="00E64503"/>
    <w:rsid w:val="00E82C6C"/>
    <w:rsid w:val="00EB43FB"/>
    <w:rsid w:val="00F25C3A"/>
    <w:rsid w:val="00F376BD"/>
    <w:rsid w:val="00F42C70"/>
    <w:rsid w:val="00F84CD6"/>
    <w:rsid w:val="00FD7BBD"/>
    <w:rsid w:val="00FE286C"/>
    <w:rsid w:val="00FF24F5"/>
    <w:rsid w:val="00FF2E14"/>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DE"/>
  </w:style>
  <w:style w:type="paragraph" w:styleId="Heading1">
    <w:name w:val="heading 1"/>
    <w:basedOn w:val="Normal"/>
    <w:next w:val="Normal"/>
    <w:link w:val="Heading1Char"/>
    <w:uiPriority w:val="99"/>
    <w:qFormat/>
    <w:rsid w:val="00CD3ADE"/>
    <w:pPr>
      <w:keepNext/>
      <w:outlineLvl w:val="0"/>
    </w:pPr>
    <w:rPr>
      <w:rFonts w:ascii="Arial" w:hAnsi="Arial" w:cs="Arial"/>
      <w:b/>
      <w:bCs/>
      <w:sz w:val="24"/>
    </w:rPr>
  </w:style>
  <w:style w:type="paragraph" w:styleId="Heading2">
    <w:name w:val="heading 2"/>
    <w:basedOn w:val="Normal"/>
    <w:next w:val="Normal"/>
    <w:link w:val="Heading2Char"/>
    <w:uiPriority w:val="99"/>
    <w:qFormat/>
    <w:rsid w:val="00CD3ADE"/>
    <w:pPr>
      <w:keepNext/>
      <w:tabs>
        <w:tab w:val="num" w:pos="360"/>
      </w:tabs>
      <w:ind w:left="360" w:hanging="360"/>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73F6"/>
    <w:rPr>
      <w:rFonts w:ascii="Cambria" w:hAnsi="Cambria" w:cs="Times New Roman"/>
      <w:b/>
      <w:bCs/>
      <w:kern w:val="32"/>
      <w:sz w:val="32"/>
      <w:szCs w:val="32"/>
    </w:rPr>
  </w:style>
  <w:style w:type="character" w:customStyle="1" w:styleId="Heading2Char">
    <w:name w:val="Heading 2 Char"/>
    <w:link w:val="Heading2"/>
    <w:uiPriority w:val="99"/>
    <w:semiHidden/>
    <w:locked/>
    <w:rsid w:val="001173F6"/>
    <w:rPr>
      <w:rFonts w:ascii="Cambria" w:hAnsi="Cambria" w:cs="Times New Roman"/>
      <w:b/>
      <w:bCs/>
      <w:i/>
      <w:iCs/>
      <w:sz w:val="28"/>
      <w:szCs w:val="28"/>
    </w:rPr>
  </w:style>
  <w:style w:type="paragraph" w:styleId="BodyText">
    <w:name w:val="Body Text"/>
    <w:basedOn w:val="Normal"/>
    <w:link w:val="BodyTextChar"/>
    <w:uiPriority w:val="99"/>
    <w:rsid w:val="00CD3ADE"/>
    <w:rPr>
      <w:sz w:val="24"/>
    </w:rPr>
  </w:style>
  <w:style w:type="character" w:customStyle="1" w:styleId="BodyTextChar">
    <w:name w:val="Body Text Char"/>
    <w:link w:val="BodyText"/>
    <w:uiPriority w:val="99"/>
    <w:semiHidden/>
    <w:locked/>
    <w:rsid w:val="001173F6"/>
    <w:rPr>
      <w:rFonts w:cs="Times New Roman"/>
      <w:sz w:val="20"/>
      <w:szCs w:val="20"/>
    </w:rPr>
  </w:style>
  <w:style w:type="paragraph" w:styleId="BalloonText">
    <w:name w:val="Balloon Text"/>
    <w:basedOn w:val="Normal"/>
    <w:link w:val="BalloonTextChar"/>
    <w:uiPriority w:val="99"/>
    <w:semiHidden/>
    <w:rsid w:val="00CD3ADE"/>
    <w:rPr>
      <w:rFonts w:ascii="Tahoma" w:hAnsi="Tahoma" w:cs="Tahoma"/>
      <w:sz w:val="16"/>
      <w:szCs w:val="16"/>
    </w:rPr>
  </w:style>
  <w:style w:type="character" w:customStyle="1" w:styleId="BalloonTextChar">
    <w:name w:val="Balloon Text Char"/>
    <w:link w:val="BalloonText"/>
    <w:uiPriority w:val="99"/>
    <w:semiHidden/>
    <w:locked/>
    <w:rsid w:val="001173F6"/>
    <w:rPr>
      <w:rFonts w:cs="Times New Roman"/>
      <w:sz w:val="2"/>
    </w:rPr>
  </w:style>
  <w:style w:type="character" w:styleId="CommentReference">
    <w:name w:val="annotation reference"/>
    <w:uiPriority w:val="99"/>
    <w:semiHidden/>
    <w:rsid w:val="00CD3ADE"/>
    <w:rPr>
      <w:rFonts w:cs="Times New Roman"/>
      <w:sz w:val="16"/>
      <w:szCs w:val="16"/>
    </w:rPr>
  </w:style>
  <w:style w:type="paragraph" w:styleId="CommentText">
    <w:name w:val="annotation text"/>
    <w:basedOn w:val="Normal"/>
    <w:link w:val="CommentTextChar"/>
    <w:uiPriority w:val="99"/>
    <w:semiHidden/>
    <w:rsid w:val="00CD3ADE"/>
  </w:style>
  <w:style w:type="character" w:customStyle="1" w:styleId="CommentTextChar">
    <w:name w:val="Comment Text Char"/>
    <w:link w:val="CommentText"/>
    <w:uiPriority w:val="99"/>
    <w:semiHidden/>
    <w:locked/>
    <w:rsid w:val="001173F6"/>
    <w:rPr>
      <w:rFonts w:cs="Times New Roman"/>
      <w:sz w:val="20"/>
      <w:szCs w:val="20"/>
    </w:rPr>
  </w:style>
  <w:style w:type="paragraph" w:styleId="CommentSubject">
    <w:name w:val="annotation subject"/>
    <w:basedOn w:val="CommentText"/>
    <w:next w:val="CommentText"/>
    <w:link w:val="CommentSubjectChar"/>
    <w:uiPriority w:val="99"/>
    <w:semiHidden/>
    <w:rsid w:val="00CD3ADE"/>
    <w:rPr>
      <w:b/>
      <w:bCs/>
    </w:rPr>
  </w:style>
  <w:style w:type="character" w:customStyle="1" w:styleId="CommentSubjectChar">
    <w:name w:val="Comment Subject Char"/>
    <w:link w:val="CommentSubject"/>
    <w:uiPriority w:val="99"/>
    <w:semiHidden/>
    <w:locked/>
    <w:rsid w:val="001173F6"/>
    <w:rPr>
      <w:rFonts w:cs="Times New Roman"/>
      <w:b/>
      <w:bCs/>
      <w:sz w:val="20"/>
      <w:szCs w:val="20"/>
    </w:rPr>
  </w:style>
  <w:style w:type="paragraph" w:styleId="Header">
    <w:name w:val="header"/>
    <w:basedOn w:val="Normal"/>
    <w:link w:val="HeaderChar"/>
    <w:uiPriority w:val="99"/>
    <w:rsid w:val="000F3C14"/>
    <w:pPr>
      <w:tabs>
        <w:tab w:val="center" w:pos="4320"/>
        <w:tab w:val="right" w:pos="8640"/>
      </w:tabs>
    </w:pPr>
  </w:style>
  <w:style w:type="character" w:customStyle="1" w:styleId="HeaderChar">
    <w:name w:val="Header Char"/>
    <w:link w:val="Header"/>
    <w:uiPriority w:val="99"/>
    <w:semiHidden/>
    <w:locked/>
    <w:rsid w:val="0083577B"/>
    <w:rPr>
      <w:rFonts w:cs="Times New Roman"/>
      <w:sz w:val="20"/>
      <w:szCs w:val="20"/>
    </w:rPr>
  </w:style>
  <w:style w:type="paragraph" w:styleId="Footer">
    <w:name w:val="footer"/>
    <w:basedOn w:val="Normal"/>
    <w:link w:val="FooterChar"/>
    <w:uiPriority w:val="99"/>
    <w:rsid w:val="000F3C14"/>
    <w:pPr>
      <w:tabs>
        <w:tab w:val="center" w:pos="4320"/>
        <w:tab w:val="right" w:pos="8640"/>
      </w:tabs>
    </w:pPr>
  </w:style>
  <w:style w:type="character" w:customStyle="1" w:styleId="FooterChar">
    <w:name w:val="Footer Char"/>
    <w:link w:val="Footer"/>
    <w:uiPriority w:val="99"/>
    <w:semiHidden/>
    <w:locked/>
    <w:rsid w:val="0083577B"/>
    <w:rPr>
      <w:rFonts w:cs="Times New Roman"/>
      <w:sz w:val="20"/>
      <w:szCs w:val="20"/>
    </w:rPr>
  </w:style>
  <w:style w:type="paragraph" w:styleId="FootnoteText">
    <w:name w:val="footnote text"/>
    <w:basedOn w:val="Normal"/>
    <w:link w:val="FootnoteTextChar"/>
    <w:uiPriority w:val="99"/>
    <w:semiHidden/>
    <w:unhideWhenUsed/>
    <w:rsid w:val="005F385F"/>
  </w:style>
  <w:style w:type="character" w:customStyle="1" w:styleId="FootnoteTextChar">
    <w:name w:val="Footnote Text Char"/>
    <w:basedOn w:val="DefaultParagraphFont"/>
    <w:link w:val="FootnoteText"/>
    <w:uiPriority w:val="99"/>
    <w:semiHidden/>
    <w:rsid w:val="005F385F"/>
  </w:style>
  <w:style w:type="character" w:styleId="FootnoteReference">
    <w:name w:val="footnote reference"/>
    <w:basedOn w:val="DefaultParagraphFont"/>
    <w:uiPriority w:val="99"/>
    <w:semiHidden/>
    <w:unhideWhenUsed/>
    <w:rsid w:val="005F385F"/>
    <w:rPr>
      <w:vertAlign w:val="superscript"/>
    </w:rPr>
  </w:style>
  <w:style w:type="paragraph" w:styleId="ListParagraph">
    <w:name w:val="List Paragraph"/>
    <w:basedOn w:val="Normal"/>
    <w:uiPriority w:val="34"/>
    <w:qFormat/>
    <w:rsid w:val="00FD7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DE"/>
  </w:style>
  <w:style w:type="paragraph" w:styleId="Heading1">
    <w:name w:val="heading 1"/>
    <w:basedOn w:val="Normal"/>
    <w:next w:val="Normal"/>
    <w:link w:val="Heading1Char"/>
    <w:uiPriority w:val="99"/>
    <w:qFormat/>
    <w:rsid w:val="00CD3ADE"/>
    <w:pPr>
      <w:keepNext/>
      <w:outlineLvl w:val="0"/>
    </w:pPr>
    <w:rPr>
      <w:rFonts w:ascii="Arial" w:hAnsi="Arial" w:cs="Arial"/>
      <w:b/>
      <w:bCs/>
      <w:sz w:val="24"/>
    </w:rPr>
  </w:style>
  <w:style w:type="paragraph" w:styleId="Heading2">
    <w:name w:val="heading 2"/>
    <w:basedOn w:val="Normal"/>
    <w:next w:val="Normal"/>
    <w:link w:val="Heading2Char"/>
    <w:uiPriority w:val="99"/>
    <w:qFormat/>
    <w:rsid w:val="00CD3ADE"/>
    <w:pPr>
      <w:keepNext/>
      <w:tabs>
        <w:tab w:val="num" w:pos="360"/>
      </w:tabs>
      <w:ind w:left="360" w:hanging="360"/>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173F6"/>
    <w:rPr>
      <w:rFonts w:ascii="Cambria" w:hAnsi="Cambria" w:cs="Times New Roman"/>
      <w:b/>
      <w:bCs/>
      <w:kern w:val="32"/>
      <w:sz w:val="32"/>
      <w:szCs w:val="32"/>
    </w:rPr>
  </w:style>
  <w:style w:type="character" w:customStyle="1" w:styleId="Heading2Char">
    <w:name w:val="Heading 2 Char"/>
    <w:link w:val="Heading2"/>
    <w:uiPriority w:val="99"/>
    <w:semiHidden/>
    <w:locked/>
    <w:rsid w:val="001173F6"/>
    <w:rPr>
      <w:rFonts w:ascii="Cambria" w:hAnsi="Cambria" w:cs="Times New Roman"/>
      <w:b/>
      <w:bCs/>
      <w:i/>
      <w:iCs/>
      <w:sz w:val="28"/>
      <w:szCs w:val="28"/>
    </w:rPr>
  </w:style>
  <w:style w:type="paragraph" w:styleId="BodyText">
    <w:name w:val="Body Text"/>
    <w:basedOn w:val="Normal"/>
    <w:link w:val="BodyTextChar"/>
    <w:uiPriority w:val="99"/>
    <w:rsid w:val="00CD3ADE"/>
    <w:rPr>
      <w:sz w:val="24"/>
    </w:rPr>
  </w:style>
  <w:style w:type="character" w:customStyle="1" w:styleId="BodyTextChar">
    <w:name w:val="Body Text Char"/>
    <w:link w:val="BodyText"/>
    <w:uiPriority w:val="99"/>
    <w:semiHidden/>
    <w:locked/>
    <w:rsid w:val="001173F6"/>
    <w:rPr>
      <w:rFonts w:cs="Times New Roman"/>
      <w:sz w:val="20"/>
      <w:szCs w:val="20"/>
    </w:rPr>
  </w:style>
  <w:style w:type="paragraph" w:styleId="BalloonText">
    <w:name w:val="Balloon Text"/>
    <w:basedOn w:val="Normal"/>
    <w:link w:val="BalloonTextChar"/>
    <w:uiPriority w:val="99"/>
    <w:semiHidden/>
    <w:rsid w:val="00CD3ADE"/>
    <w:rPr>
      <w:rFonts w:ascii="Tahoma" w:hAnsi="Tahoma" w:cs="Tahoma"/>
      <w:sz w:val="16"/>
      <w:szCs w:val="16"/>
    </w:rPr>
  </w:style>
  <w:style w:type="character" w:customStyle="1" w:styleId="BalloonTextChar">
    <w:name w:val="Balloon Text Char"/>
    <w:link w:val="BalloonText"/>
    <w:uiPriority w:val="99"/>
    <w:semiHidden/>
    <w:locked/>
    <w:rsid w:val="001173F6"/>
    <w:rPr>
      <w:rFonts w:cs="Times New Roman"/>
      <w:sz w:val="2"/>
    </w:rPr>
  </w:style>
  <w:style w:type="character" w:styleId="CommentReference">
    <w:name w:val="annotation reference"/>
    <w:uiPriority w:val="99"/>
    <w:semiHidden/>
    <w:rsid w:val="00CD3ADE"/>
    <w:rPr>
      <w:rFonts w:cs="Times New Roman"/>
      <w:sz w:val="16"/>
      <w:szCs w:val="16"/>
    </w:rPr>
  </w:style>
  <w:style w:type="paragraph" w:styleId="CommentText">
    <w:name w:val="annotation text"/>
    <w:basedOn w:val="Normal"/>
    <w:link w:val="CommentTextChar"/>
    <w:uiPriority w:val="99"/>
    <w:semiHidden/>
    <w:rsid w:val="00CD3ADE"/>
  </w:style>
  <w:style w:type="character" w:customStyle="1" w:styleId="CommentTextChar">
    <w:name w:val="Comment Text Char"/>
    <w:link w:val="CommentText"/>
    <w:uiPriority w:val="99"/>
    <w:semiHidden/>
    <w:locked/>
    <w:rsid w:val="001173F6"/>
    <w:rPr>
      <w:rFonts w:cs="Times New Roman"/>
      <w:sz w:val="20"/>
      <w:szCs w:val="20"/>
    </w:rPr>
  </w:style>
  <w:style w:type="paragraph" w:styleId="CommentSubject">
    <w:name w:val="annotation subject"/>
    <w:basedOn w:val="CommentText"/>
    <w:next w:val="CommentText"/>
    <w:link w:val="CommentSubjectChar"/>
    <w:uiPriority w:val="99"/>
    <w:semiHidden/>
    <w:rsid w:val="00CD3ADE"/>
    <w:rPr>
      <w:b/>
      <w:bCs/>
    </w:rPr>
  </w:style>
  <w:style w:type="character" w:customStyle="1" w:styleId="CommentSubjectChar">
    <w:name w:val="Comment Subject Char"/>
    <w:link w:val="CommentSubject"/>
    <w:uiPriority w:val="99"/>
    <w:semiHidden/>
    <w:locked/>
    <w:rsid w:val="001173F6"/>
    <w:rPr>
      <w:rFonts w:cs="Times New Roman"/>
      <w:b/>
      <w:bCs/>
      <w:sz w:val="20"/>
      <w:szCs w:val="20"/>
    </w:rPr>
  </w:style>
  <w:style w:type="paragraph" w:styleId="Header">
    <w:name w:val="header"/>
    <w:basedOn w:val="Normal"/>
    <w:link w:val="HeaderChar"/>
    <w:uiPriority w:val="99"/>
    <w:rsid w:val="000F3C14"/>
    <w:pPr>
      <w:tabs>
        <w:tab w:val="center" w:pos="4320"/>
        <w:tab w:val="right" w:pos="8640"/>
      </w:tabs>
    </w:pPr>
  </w:style>
  <w:style w:type="character" w:customStyle="1" w:styleId="HeaderChar">
    <w:name w:val="Header Char"/>
    <w:link w:val="Header"/>
    <w:uiPriority w:val="99"/>
    <w:semiHidden/>
    <w:locked/>
    <w:rsid w:val="0083577B"/>
    <w:rPr>
      <w:rFonts w:cs="Times New Roman"/>
      <w:sz w:val="20"/>
      <w:szCs w:val="20"/>
    </w:rPr>
  </w:style>
  <w:style w:type="paragraph" w:styleId="Footer">
    <w:name w:val="footer"/>
    <w:basedOn w:val="Normal"/>
    <w:link w:val="FooterChar"/>
    <w:uiPriority w:val="99"/>
    <w:rsid w:val="000F3C14"/>
    <w:pPr>
      <w:tabs>
        <w:tab w:val="center" w:pos="4320"/>
        <w:tab w:val="right" w:pos="8640"/>
      </w:tabs>
    </w:pPr>
  </w:style>
  <w:style w:type="character" w:customStyle="1" w:styleId="FooterChar">
    <w:name w:val="Footer Char"/>
    <w:link w:val="Footer"/>
    <w:uiPriority w:val="99"/>
    <w:semiHidden/>
    <w:locked/>
    <w:rsid w:val="0083577B"/>
    <w:rPr>
      <w:rFonts w:cs="Times New Roman"/>
      <w:sz w:val="20"/>
      <w:szCs w:val="20"/>
    </w:rPr>
  </w:style>
  <w:style w:type="paragraph" w:styleId="FootnoteText">
    <w:name w:val="footnote text"/>
    <w:basedOn w:val="Normal"/>
    <w:link w:val="FootnoteTextChar"/>
    <w:uiPriority w:val="99"/>
    <w:semiHidden/>
    <w:unhideWhenUsed/>
    <w:rsid w:val="005F385F"/>
  </w:style>
  <w:style w:type="character" w:customStyle="1" w:styleId="FootnoteTextChar">
    <w:name w:val="Footnote Text Char"/>
    <w:basedOn w:val="DefaultParagraphFont"/>
    <w:link w:val="FootnoteText"/>
    <w:uiPriority w:val="99"/>
    <w:semiHidden/>
    <w:rsid w:val="005F385F"/>
  </w:style>
  <w:style w:type="character" w:styleId="FootnoteReference">
    <w:name w:val="footnote reference"/>
    <w:basedOn w:val="DefaultParagraphFont"/>
    <w:uiPriority w:val="99"/>
    <w:semiHidden/>
    <w:unhideWhenUsed/>
    <w:rsid w:val="005F385F"/>
    <w:rPr>
      <w:vertAlign w:val="superscript"/>
    </w:rPr>
  </w:style>
  <w:style w:type="paragraph" w:styleId="ListParagraph">
    <w:name w:val="List Paragraph"/>
    <w:basedOn w:val="Normal"/>
    <w:uiPriority w:val="34"/>
    <w:qFormat/>
    <w:rsid w:val="00FD7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5802">
      <w:bodyDiv w:val="1"/>
      <w:marLeft w:val="0"/>
      <w:marRight w:val="0"/>
      <w:marTop w:val="0"/>
      <w:marBottom w:val="0"/>
      <w:divBdr>
        <w:top w:val="none" w:sz="0" w:space="0" w:color="auto"/>
        <w:left w:val="none" w:sz="0" w:space="0" w:color="auto"/>
        <w:bottom w:val="none" w:sz="0" w:space="0" w:color="auto"/>
        <w:right w:val="none" w:sz="0" w:space="0" w:color="auto"/>
      </w:divBdr>
    </w:div>
    <w:div w:id="7029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1CE6-7491-4BD5-A5A1-C552056E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2374</Words>
  <Characters>13124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B</vt:lpstr>
    </vt:vector>
  </TitlesOfParts>
  <Company>VBA</Company>
  <LinksUpToDate>false</LinksUpToDate>
  <CharactersWithSpaces>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Hee-Seung L. Seu</dc:creator>
  <cp:lastModifiedBy>Department of Veterans Affairs</cp:lastModifiedBy>
  <cp:revision>2</cp:revision>
  <cp:lastPrinted>2012-08-24T16:58:00Z</cp:lastPrinted>
  <dcterms:created xsi:type="dcterms:W3CDTF">2015-05-28T18:59:00Z</dcterms:created>
  <dcterms:modified xsi:type="dcterms:W3CDTF">2015-05-28T18:59:00Z</dcterms:modified>
</cp:coreProperties>
</file>