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43503" w:rsidRDefault="0066774B" w:rsidP="000C106A">
      <w:pPr>
        <w:tabs>
          <w:tab w:val="center" w:pos="4680"/>
        </w:tabs>
        <w:jc w:val="center"/>
        <w:rPr>
          <w:rFonts w:ascii="Arial" w:hAnsi="Arial" w:cs="Arial"/>
          <w:sz w:val="22"/>
          <w:szCs w:val="22"/>
        </w:rPr>
      </w:pPr>
      <w:r w:rsidRPr="00E85CCA">
        <w:rPr>
          <w:rFonts w:ascii="Arial" w:hAnsi="Arial" w:cs="Arial"/>
          <w:sz w:val="22"/>
          <w:szCs w:val="22"/>
        </w:rPr>
        <w:fldChar w:fldCharType="begin"/>
      </w:r>
      <w:r w:rsidR="00543503" w:rsidRPr="00E85CCA">
        <w:rPr>
          <w:rFonts w:ascii="Arial" w:hAnsi="Arial" w:cs="Arial"/>
          <w:sz w:val="22"/>
          <w:szCs w:val="22"/>
        </w:rPr>
        <w:instrText xml:space="preserve"> SEQ CHAPTER \h \r 1</w:instrText>
      </w:r>
      <w:r w:rsidRPr="00E85CCA">
        <w:rPr>
          <w:rFonts w:ascii="Arial" w:hAnsi="Arial" w:cs="Arial"/>
          <w:sz w:val="22"/>
          <w:szCs w:val="22"/>
        </w:rPr>
        <w:fldChar w:fldCharType="end"/>
      </w:r>
      <w:r w:rsidR="00DB479F">
        <w:rPr>
          <w:rFonts w:ascii="Arial" w:hAnsi="Arial" w:cs="Arial"/>
          <w:sz w:val="22"/>
          <w:szCs w:val="22"/>
        </w:rPr>
        <w:t>FINAL</w:t>
      </w:r>
      <w:r w:rsidR="00543503" w:rsidRPr="00E85CCA">
        <w:rPr>
          <w:rFonts w:ascii="Arial" w:hAnsi="Arial" w:cs="Arial"/>
          <w:sz w:val="22"/>
          <w:szCs w:val="22"/>
        </w:rPr>
        <w:t xml:space="preserve"> </w:t>
      </w:r>
      <w:r w:rsidR="00543503">
        <w:rPr>
          <w:rFonts w:ascii="Arial" w:hAnsi="Arial" w:cs="Arial"/>
          <w:sz w:val="22"/>
          <w:szCs w:val="22"/>
        </w:rPr>
        <w:t>OMB SUPPORTING STATEMENT</w:t>
      </w:r>
    </w:p>
    <w:p w:rsidR="00543503" w:rsidRDefault="00543503" w:rsidP="000C106A">
      <w:pPr>
        <w:tabs>
          <w:tab w:val="center" w:pos="4680"/>
        </w:tabs>
        <w:jc w:val="center"/>
        <w:rPr>
          <w:rFonts w:ascii="Arial" w:hAnsi="Arial" w:cs="Arial"/>
          <w:sz w:val="22"/>
          <w:szCs w:val="22"/>
        </w:rPr>
      </w:pPr>
      <w:r w:rsidRPr="00E85CCA">
        <w:rPr>
          <w:rFonts w:ascii="Arial" w:hAnsi="Arial" w:cs="Arial"/>
          <w:sz w:val="22"/>
          <w:szCs w:val="22"/>
        </w:rPr>
        <w:t>FOR</w:t>
      </w:r>
    </w:p>
    <w:p w:rsidR="005C049C" w:rsidRPr="00E85CCA" w:rsidRDefault="005C049C" w:rsidP="005C049C">
      <w:pPr>
        <w:tabs>
          <w:tab w:val="center" w:pos="4680"/>
        </w:tabs>
        <w:jc w:val="center"/>
        <w:rPr>
          <w:rFonts w:ascii="Arial" w:hAnsi="Arial" w:cs="Arial"/>
          <w:sz w:val="22"/>
          <w:szCs w:val="22"/>
        </w:rPr>
      </w:pPr>
      <w:r>
        <w:rPr>
          <w:rFonts w:ascii="Arial" w:hAnsi="Arial" w:cs="Arial"/>
          <w:sz w:val="22"/>
          <w:szCs w:val="22"/>
        </w:rPr>
        <w:t>NUREG/BR-0254, PAYMENT METHODS;</w:t>
      </w:r>
    </w:p>
    <w:p w:rsidR="00543503" w:rsidRPr="00E85CCA" w:rsidRDefault="00D7746F" w:rsidP="000C106A">
      <w:pPr>
        <w:tabs>
          <w:tab w:val="center" w:pos="4680"/>
        </w:tabs>
        <w:jc w:val="center"/>
        <w:rPr>
          <w:rFonts w:ascii="Arial" w:hAnsi="Arial" w:cs="Arial"/>
          <w:sz w:val="22"/>
          <w:szCs w:val="22"/>
        </w:rPr>
      </w:pPr>
      <w:r>
        <w:rPr>
          <w:rFonts w:ascii="Arial" w:hAnsi="Arial" w:cs="Arial"/>
          <w:sz w:val="22"/>
          <w:szCs w:val="22"/>
        </w:rPr>
        <w:t xml:space="preserve">NRC FORM 628, “FINANCIAL EDI AUTHORIZATION” AND </w:t>
      </w:r>
      <w:r w:rsidR="00543503">
        <w:rPr>
          <w:rFonts w:ascii="Arial" w:hAnsi="Arial" w:cs="Arial"/>
          <w:sz w:val="22"/>
          <w:szCs w:val="22"/>
        </w:rPr>
        <w:t>NRC FORM 629, “AUTHORIZATION FOR PAYMENT BY CREDIT CARD”</w:t>
      </w:r>
    </w:p>
    <w:p w:rsidR="00543503" w:rsidRPr="00E85CCA" w:rsidRDefault="00543503" w:rsidP="000C106A">
      <w:pPr>
        <w:jc w:val="center"/>
        <w:rPr>
          <w:rFonts w:ascii="Arial" w:hAnsi="Arial" w:cs="Arial"/>
          <w:sz w:val="22"/>
          <w:szCs w:val="22"/>
        </w:rPr>
      </w:pPr>
    </w:p>
    <w:p w:rsidR="00543503" w:rsidRDefault="00543503" w:rsidP="000C106A">
      <w:pPr>
        <w:tabs>
          <w:tab w:val="center" w:pos="4680"/>
        </w:tabs>
        <w:jc w:val="center"/>
        <w:rPr>
          <w:rFonts w:ascii="Arial" w:hAnsi="Arial"/>
          <w:sz w:val="22"/>
        </w:rPr>
      </w:pPr>
      <w:r>
        <w:rPr>
          <w:rFonts w:ascii="Arial" w:hAnsi="Arial"/>
          <w:sz w:val="22"/>
        </w:rPr>
        <w:t>(OMB Clearance No. 3150-0190)</w:t>
      </w:r>
    </w:p>
    <w:p w:rsidR="00543503" w:rsidRDefault="00543503" w:rsidP="000C106A">
      <w:pPr>
        <w:jc w:val="center"/>
        <w:rPr>
          <w:rFonts w:ascii="Arial" w:hAnsi="Arial"/>
          <w:sz w:val="22"/>
        </w:rPr>
      </w:pPr>
    </w:p>
    <w:p w:rsidR="00543503" w:rsidRDefault="00286598" w:rsidP="000C106A">
      <w:pPr>
        <w:tabs>
          <w:tab w:val="center" w:pos="4680"/>
        </w:tabs>
        <w:jc w:val="center"/>
        <w:rPr>
          <w:rFonts w:ascii="Arial" w:hAnsi="Arial"/>
          <w:sz w:val="22"/>
        </w:rPr>
      </w:pPr>
      <w:r>
        <w:rPr>
          <w:rFonts w:ascii="Arial" w:hAnsi="Arial"/>
          <w:sz w:val="22"/>
        </w:rPr>
        <w:t>EXTENSION</w:t>
      </w:r>
    </w:p>
    <w:p w:rsidR="00543503" w:rsidRDefault="00543503">
      <w:pPr>
        <w:rPr>
          <w:rFonts w:ascii="Arial" w:hAnsi="Arial"/>
          <w:sz w:val="22"/>
        </w:rPr>
      </w:pPr>
    </w:p>
    <w:p w:rsidR="00543503" w:rsidRDefault="00543503">
      <w:pPr>
        <w:rPr>
          <w:rFonts w:ascii="Arial" w:hAnsi="Arial"/>
          <w:sz w:val="22"/>
          <w:u w:val="single"/>
        </w:rPr>
      </w:pPr>
      <w:r>
        <w:rPr>
          <w:rFonts w:ascii="Arial" w:hAnsi="Arial"/>
          <w:sz w:val="22"/>
          <w:u w:val="single"/>
        </w:rPr>
        <w:t>Description of the Information Collection</w:t>
      </w:r>
    </w:p>
    <w:p w:rsidR="00543503" w:rsidRDefault="00543503">
      <w:pPr>
        <w:rPr>
          <w:rFonts w:ascii="Arial" w:hAnsi="Arial"/>
          <w:sz w:val="22"/>
          <w:u w:val="single"/>
        </w:rPr>
      </w:pPr>
    </w:p>
    <w:p w:rsidR="00543503" w:rsidRDefault="00543503">
      <w:pPr>
        <w:pStyle w:val="Level1"/>
        <w:widowControl/>
        <w:rPr>
          <w:rFonts w:ascii="Arial" w:hAnsi="Arial"/>
          <w:sz w:val="22"/>
        </w:rPr>
      </w:pPr>
      <w:r>
        <w:rPr>
          <w:rFonts w:ascii="Arial" w:hAnsi="Arial"/>
          <w:sz w:val="22"/>
        </w:rPr>
        <w:t xml:space="preserve">The Office of the Chief Financial Officer is responsible for billing licensees, applicants, and individuals for payment of civil penalties, full cost licensing fees, and inspection fees.  The four methods used to pay bills owed the </w:t>
      </w:r>
      <w:r w:rsidR="002E6861">
        <w:rPr>
          <w:rFonts w:ascii="Arial" w:hAnsi="Arial"/>
          <w:sz w:val="22"/>
        </w:rPr>
        <w:t>Nuclear Regulatory Commission (</w:t>
      </w:r>
      <w:r>
        <w:rPr>
          <w:rFonts w:ascii="Arial" w:hAnsi="Arial"/>
          <w:sz w:val="22"/>
        </w:rPr>
        <w:t>NRC</w:t>
      </w:r>
      <w:r w:rsidR="002E6861">
        <w:rPr>
          <w:rFonts w:ascii="Arial" w:hAnsi="Arial"/>
          <w:sz w:val="22"/>
        </w:rPr>
        <w:t>)</w:t>
      </w:r>
      <w:r>
        <w:rPr>
          <w:rFonts w:ascii="Arial" w:hAnsi="Arial"/>
          <w:sz w:val="22"/>
        </w:rPr>
        <w:t xml:space="preserve"> are: </w:t>
      </w:r>
      <w:r w:rsidR="002E6861">
        <w:rPr>
          <w:rFonts w:ascii="Arial" w:hAnsi="Arial"/>
          <w:sz w:val="22"/>
        </w:rPr>
        <w:t xml:space="preserve"> </w:t>
      </w:r>
      <w:r>
        <w:rPr>
          <w:rFonts w:ascii="Arial" w:hAnsi="Arial"/>
          <w:sz w:val="22"/>
        </w:rPr>
        <w:t xml:space="preserve">(1) Payment by Automated Clearinghouse Network (ACH); (2) Payment by Credit Card; (3) Payment by Electronic Funds Transfer; and (4) Payment by Check.  NUREG/BR-0254, “Payment Methods” </w:t>
      </w:r>
      <w:r w:rsidR="00BD3D49">
        <w:rPr>
          <w:rFonts w:ascii="Arial" w:hAnsi="Arial"/>
          <w:sz w:val="22"/>
        </w:rPr>
        <w:t>is</w:t>
      </w:r>
      <w:r>
        <w:rPr>
          <w:rFonts w:ascii="Arial" w:hAnsi="Arial"/>
          <w:sz w:val="22"/>
        </w:rPr>
        <w:t xml:space="preserve"> used in the billing cycle to instruct licensees how to tra</w:t>
      </w:r>
      <w:r w:rsidR="00BD3D49">
        <w:rPr>
          <w:rFonts w:ascii="Arial" w:hAnsi="Arial"/>
          <w:sz w:val="22"/>
        </w:rPr>
        <w:t xml:space="preserve">nsfer monies owed the NRC.  </w:t>
      </w:r>
      <w:r>
        <w:rPr>
          <w:rFonts w:ascii="Arial" w:hAnsi="Arial"/>
          <w:sz w:val="22"/>
        </w:rPr>
        <w:t xml:space="preserve">Payment Methods (NUREG/BR-0254) which has an accompanying NRC Form 629, “Authorization for Payment by Credit Card,” </w:t>
      </w:r>
      <w:r w:rsidR="00BD3D49">
        <w:rPr>
          <w:rFonts w:ascii="Arial" w:hAnsi="Arial"/>
          <w:sz w:val="22"/>
        </w:rPr>
        <w:t>is</w:t>
      </w:r>
      <w:r>
        <w:rPr>
          <w:rFonts w:ascii="Arial" w:hAnsi="Arial"/>
          <w:sz w:val="22"/>
        </w:rPr>
        <w:t xml:space="preserve"> the payment method that impose information collection burdens on licensees and </w:t>
      </w:r>
      <w:r w:rsidR="00BD3D49">
        <w:rPr>
          <w:rFonts w:ascii="Arial" w:hAnsi="Arial"/>
          <w:sz w:val="22"/>
        </w:rPr>
        <w:t>is</w:t>
      </w:r>
      <w:r>
        <w:rPr>
          <w:rFonts w:ascii="Arial" w:hAnsi="Arial"/>
          <w:sz w:val="22"/>
        </w:rPr>
        <w:t xml:space="preserve"> described in this Supporting Statement.</w:t>
      </w:r>
    </w:p>
    <w:p w:rsidR="00543503" w:rsidRDefault="00543503">
      <w:pPr>
        <w:rPr>
          <w:rFonts w:ascii="Arial" w:hAnsi="Arial"/>
          <w:sz w:val="22"/>
        </w:rPr>
      </w:pPr>
    </w:p>
    <w:p w:rsidR="00543503" w:rsidRDefault="00543503">
      <w:pPr>
        <w:ind w:left="720" w:hanging="720"/>
        <w:rPr>
          <w:rFonts w:ascii="Arial" w:hAnsi="Arial"/>
          <w:sz w:val="22"/>
        </w:rPr>
      </w:pPr>
      <w:r>
        <w:rPr>
          <w:rFonts w:ascii="Arial" w:hAnsi="Arial"/>
          <w:sz w:val="22"/>
        </w:rPr>
        <w:t xml:space="preserve">A. </w:t>
      </w:r>
      <w:r>
        <w:rPr>
          <w:rFonts w:ascii="Arial" w:hAnsi="Arial"/>
          <w:sz w:val="22"/>
        </w:rPr>
        <w:tab/>
        <w:t>JUSTIFICATION</w:t>
      </w:r>
    </w:p>
    <w:p w:rsidR="00543503" w:rsidRDefault="00543503">
      <w:pPr>
        <w:rPr>
          <w:rFonts w:ascii="Arial" w:hAnsi="Arial"/>
          <w:sz w:val="22"/>
        </w:rPr>
      </w:pPr>
    </w:p>
    <w:p w:rsidR="00543503" w:rsidRDefault="00543503">
      <w:pPr>
        <w:rPr>
          <w:rFonts w:ascii="Arial" w:hAnsi="Arial"/>
          <w:sz w:val="22"/>
        </w:rPr>
      </w:pPr>
      <w:r>
        <w:rPr>
          <w:rFonts w:ascii="Arial" w:hAnsi="Arial"/>
          <w:sz w:val="22"/>
        </w:rPr>
        <w:tab/>
        <w:t xml:space="preserve">1. </w:t>
      </w:r>
      <w:r>
        <w:rPr>
          <w:rFonts w:ascii="Arial" w:hAnsi="Arial"/>
          <w:sz w:val="22"/>
        </w:rPr>
        <w:tab/>
      </w:r>
      <w:r>
        <w:rPr>
          <w:rFonts w:ascii="Arial" w:hAnsi="Arial"/>
          <w:sz w:val="22"/>
          <w:u w:val="single"/>
        </w:rPr>
        <w:t>Need for and Practical Utility of the Collection of Information.</w:t>
      </w:r>
    </w:p>
    <w:p w:rsidR="00543503" w:rsidRDefault="00543503">
      <w:pPr>
        <w:rPr>
          <w:rFonts w:ascii="Arial" w:hAnsi="Arial"/>
          <w:sz w:val="22"/>
        </w:rPr>
      </w:pPr>
    </w:p>
    <w:p w:rsidR="00543503" w:rsidRDefault="00543503">
      <w:pPr>
        <w:ind w:left="1440"/>
        <w:rPr>
          <w:rFonts w:ascii="Arial" w:hAnsi="Arial"/>
          <w:sz w:val="22"/>
        </w:rPr>
      </w:pPr>
      <w:r>
        <w:rPr>
          <w:rFonts w:ascii="Arial" w:hAnsi="Arial"/>
          <w:sz w:val="22"/>
        </w:rPr>
        <w:t>NRC Form 629, “Authorization for Payment by Credit Card,” is another option used to authorize payment.  The credit card authorization form is used by licensees to authorize payment by credit card for license fees and for payment of fees for fingerprint cards.  The form solicits information that identifies the cardholder’s name, address, account number, card expiration date, cards accepted, cardholder’s signature, invoice number or license number.</w:t>
      </w:r>
    </w:p>
    <w:p w:rsidR="007D2D1D" w:rsidRDefault="007D2D1D">
      <w:pPr>
        <w:ind w:left="1440"/>
        <w:rPr>
          <w:rFonts w:ascii="Arial" w:hAnsi="Arial"/>
          <w:sz w:val="22"/>
        </w:rPr>
      </w:pPr>
    </w:p>
    <w:p w:rsidR="007D2D1D" w:rsidRDefault="007D2D1D">
      <w:pPr>
        <w:ind w:left="1440"/>
        <w:rPr>
          <w:rFonts w:ascii="Arial" w:hAnsi="Arial"/>
          <w:sz w:val="22"/>
        </w:rPr>
      </w:pPr>
      <w:r w:rsidRPr="007D2D1D">
        <w:rPr>
          <w:rFonts w:ascii="Arial" w:hAnsi="Arial" w:cs="Arial"/>
          <w:sz w:val="22"/>
          <w:szCs w:val="22"/>
        </w:rPr>
        <w:t>NRC Form 628, “Financial EDI Authorization,” provides necessary information that will allow respondents to transfer fund electronically.  The Financial EDI authorization form is used by licensees to authorize payment by electronic funds transfer through the ACH Network for license fees and payment of fees for fingerprint cards.  The form solicits information that identifies the company name, company EFT contact, and telephone number(s).</w:t>
      </w:r>
    </w:p>
    <w:p w:rsidR="00543503" w:rsidRDefault="00543503">
      <w:pPr>
        <w:rPr>
          <w:rFonts w:ascii="Arial" w:hAnsi="Arial"/>
          <w:sz w:val="22"/>
        </w:rPr>
      </w:pPr>
    </w:p>
    <w:p w:rsidR="004B52A6" w:rsidRDefault="00543503" w:rsidP="004B52A6">
      <w:pPr>
        <w:ind w:left="1440"/>
        <w:rPr>
          <w:rFonts w:ascii="Arial" w:hAnsi="Arial"/>
          <w:sz w:val="22"/>
        </w:rPr>
      </w:pPr>
      <w:r>
        <w:rPr>
          <w:rFonts w:ascii="Arial" w:hAnsi="Arial"/>
          <w:sz w:val="22"/>
        </w:rPr>
        <w:t>There are no recordkeeping requirements associated with this collection.</w:t>
      </w:r>
    </w:p>
    <w:p w:rsidR="004B52A6" w:rsidRDefault="004B52A6" w:rsidP="004B52A6">
      <w:pPr>
        <w:rPr>
          <w:rFonts w:ascii="Arial" w:hAnsi="Arial"/>
          <w:sz w:val="22"/>
        </w:rPr>
      </w:pPr>
    </w:p>
    <w:p w:rsidR="00543503" w:rsidRDefault="00543503" w:rsidP="004B52A6">
      <w:pPr>
        <w:ind w:firstLine="720"/>
        <w:rPr>
          <w:rFonts w:ascii="Arial" w:hAnsi="Arial"/>
          <w:sz w:val="22"/>
          <w:u w:val="single"/>
        </w:rPr>
      </w:pPr>
      <w:r>
        <w:rPr>
          <w:rFonts w:ascii="Arial" w:hAnsi="Arial"/>
          <w:sz w:val="22"/>
        </w:rPr>
        <w:t xml:space="preserve">2. </w:t>
      </w:r>
      <w:r>
        <w:rPr>
          <w:rFonts w:ascii="Arial" w:hAnsi="Arial"/>
          <w:sz w:val="22"/>
        </w:rPr>
        <w:tab/>
      </w:r>
      <w:r>
        <w:rPr>
          <w:rFonts w:ascii="Arial" w:hAnsi="Arial"/>
          <w:sz w:val="22"/>
          <w:u w:val="single"/>
        </w:rPr>
        <w:t>Agency Use of Information.</w:t>
      </w:r>
    </w:p>
    <w:p w:rsidR="00543503" w:rsidRDefault="00543503" w:rsidP="000C106A">
      <w:pPr>
        <w:ind w:left="1440"/>
        <w:rPr>
          <w:rFonts w:ascii="Arial" w:hAnsi="Arial"/>
          <w:sz w:val="22"/>
        </w:rPr>
      </w:pPr>
      <w:r>
        <w:rPr>
          <w:rFonts w:ascii="Arial" w:hAnsi="Arial"/>
          <w:sz w:val="22"/>
        </w:rPr>
        <w:t>The agency properly credits monies received through the ACH and credit card companies when these two methods are utilized by the licensees to pay their indebtedness to the NRC.</w:t>
      </w:r>
    </w:p>
    <w:p w:rsidR="00D7746F" w:rsidRDefault="00D7746F" w:rsidP="000C106A">
      <w:pPr>
        <w:ind w:left="1440"/>
        <w:rPr>
          <w:rFonts w:ascii="Arial" w:hAnsi="Arial"/>
          <w:sz w:val="22"/>
        </w:rPr>
      </w:pPr>
    </w:p>
    <w:p w:rsidR="00D7746F" w:rsidRDefault="00D7746F" w:rsidP="000C106A">
      <w:pPr>
        <w:ind w:left="1440"/>
        <w:rPr>
          <w:rFonts w:ascii="Arial" w:hAnsi="Arial"/>
          <w:sz w:val="22"/>
        </w:rPr>
      </w:pPr>
    </w:p>
    <w:p w:rsidR="00543503" w:rsidRDefault="00543503">
      <w:pPr>
        <w:rPr>
          <w:rFonts w:ascii="Arial" w:hAnsi="Arial"/>
          <w:sz w:val="22"/>
        </w:rPr>
      </w:pPr>
    </w:p>
    <w:p w:rsidR="00543503" w:rsidRDefault="00543503" w:rsidP="0054002C">
      <w:pPr>
        <w:ind w:left="1440" w:hanging="720"/>
        <w:rPr>
          <w:rFonts w:ascii="Arial" w:hAnsi="Arial"/>
          <w:sz w:val="22"/>
        </w:rPr>
      </w:pPr>
      <w:r>
        <w:rPr>
          <w:rFonts w:ascii="Arial" w:hAnsi="Arial"/>
          <w:sz w:val="22"/>
        </w:rPr>
        <w:lastRenderedPageBreak/>
        <w:t>3.</w:t>
      </w:r>
      <w:r>
        <w:rPr>
          <w:rFonts w:ascii="Arial" w:hAnsi="Arial"/>
          <w:sz w:val="22"/>
        </w:rPr>
        <w:tab/>
      </w:r>
      <w:r>
        <w:rPr>
          <w:rFonts w:ascii="Arial" w:hAnsi="Arial"/>
          <w:sz w:val="22"/>
          <w:u w:val="single"/>
        </w:rPr>
        <w:t xml:space="preserve">Reduction of Burden </w:t>
      </w:r>
      <w:proofErr w:type="gramStart"/>
      <w:r>
        <w:rPr>
          <w:rFonts w:ascii="Arial" w:hAnsi="Arial"/>
          <w:sz w:val="22"/>
          <w:u w:val="single"/>
        </w:rPr>
        <w:t>Through</w:t>
      </w:r>
      <w:proofErr w:type="gramEnd"/>
      <w:r>
        <w:rPr>
          <w:rFonts w:ascii="Arial" w:hAnsi="Arial"/>
          <w:sz w:val="22"/>
          <w:u w:val="single"/>
        </w:rPr>
        <w:t xml:space="preserve"> Information Technology</w:t>
      </w:r>
      <w:r>
        <w:rPr>
          <w:rFonts w:ascii="Arial" w:hAnsi="Arial"/>
          <w:sz w:val="22"/>
        </w:rPr>
        <w:t>.</w:t>
      </w:r>
    </w:p>
    <w:p w:rsidR="00543503" w:rsidRDefault="00543503">
      <w:pPr>
        <w:ind w:left="144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90</w:t>
      </w:r>
      <w:r w:rsidR="001941F6">
        <w:rPr>
          <w:rFonts w:ascii="Arial" w:hAnsi="Arial"/>
          <w:sz w:val="22"/>
        </w:rPr>
        <w:t xml:space="preserve"> percent</w:t>
      </w:r>
      <w:r>
        <w:rPr>
          <w:rFonts w:ascii="Arial" w:hAnsi="Arial"/>
          <w:sz w:val="22"/>
        </w:rPr>
        <w:t xml:space="preserve"> of the potential responses are filed electronically for NRC Form 629.  </w:t>
      </w:r>
    </w:p>
    <w:p w:rsidR="00543503" w:rsidRDefault="00543503">
      <w:pPr>
        <w:rPr>
          <w:rFonts w:ascii="Arial" w:hAnsi="Arial"/>
          <w:sz w:val="22"/>
        </w:rPr>
      </w:pPr>
    </w:p>
    <w:p w:rsidR="00543503" w:rsidRDefault="00543503" w:rsidP="0054002C">
      <w:pPr>
        <w:ind w:left="1440" w:hanging="720"/>
        <w:rPr>
          <w:rFonts w:ascii="Arial" w:hAnsi="Arial"/>
          <w:sz w:val="22"/>
        </w:rPr>
      </w:pPr>
      <w:r>
        <w:rPr>
          <w:rFonts w:ascii="Arial" w:hAnsi="Arial"/>
          <w:sz w:val="22"/>
        </w:rPr>
        <w:t xml:space="preserve">4. </w:t>
      </w:r>
      <w:r>
        <w:rPr>
          <w:rFonts w:ascii="Arial" w:hAnsi="Arial"/>
          <w:sz w:val="22"/>
        </w:rPr>
        <w:tab/>
      </w:r>
      <w:r>
        <w:rPr>
          <w:rFonts w:ascii="Arial" w:hAnsi="Arial"/>
          <w:sz w:val="22"/>
          <w:u w:val="single"/>
        </w:rPr>
        <w:t>Effort to Identify Duplication and Use Similar Information</w:t>
      </w:r>
      <w:r>
        <w:rPr>
          <w:rFonts w:ascii="Arial" w:hAnsi="Arial"/>
          <w:sz w:val="22"/>
        </w:rPr>
        <w:t>.</w:t>
      </w:r>
    </w:p>
    <w:p w:rsidR="00543503" w:rsidRDefault="00543503">
      <w:pPr>
        <w:ind w:left="1440"/>
        <w:rPr>
          <w:rFonts w:ascii="Arial" w:hAnsi="Arial"/>
          <w:sz w:val="22"/>
        </w:rPr>
      </w:pPr>
      <w:r>
        <w:rPr>
          <w:rFonts w:ascii="Arial" w:hAnsi="Arial"/>
          <w:sz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543503" w:rsidRDefault="00543503">
      <w:pPr>
        <w:rPr>
          <w:rFonts w:ascii="Arial" w:hAnsi="Arial"/>
          <w:sz w:val="22"/>
        </w:rPr>
      </w:pPr>
    </w:p>
    <w:p w:rsidR="00543503" w:rsidRDefault="00543503" w:rsidP="0054002C">
      <w:pPr>
        <w:ind w:left="1440" w:hanging="720"/>
        <w:rPr>
          <w:rFonts w:ascii="Arial" w:hAnsi="Arial"/>
          <w:sz w:val="22"/>
        </w:rPr>
      </w:pPr>
      <w:r>
        <w:rPr>
          <w:rFonts w:ascii="Arial" w:hAnsi="Arial"/>
          <w:sz w:val="22"/>
        </w:rPr>
        <w:t xml:space="preserve">5. </w:t>
      </w:r>
      <w:r>
        <w:rPr>
          <w:rFonts w:ascii="Arial" w:hAnsi="Arial"/>
          <w:sz w:val="22"/>
        </w:rPr>
        <w:tab/>
      </w:r>
      <w:r>
        <w:rPr>
          <w:rFonts w:ascii="Arial" w:hAnsi="Arial"/>
          <w:sz w:val="22"/>
          <w:u w:val="single"/>
        </w:rPr>
        <w:t>Effort to Reduce Small Business Burden</w:t>
      </w:r>
    </w:p>
    <w:p w:rsidR="00543503" w:rsidRPr="00562E3B" w:rsidRDefault="00543503">
      <w:pPr>
        <w:ind w:left="1440"/>
        <w:rPr>
          <w:rFonts w:ascii="Arial" w:hAnsi="Arial"/>
          <w:sz w:val="22"/>
          <w:szCs w:val="22"/>
        </w:rPr>
      </w:pPr>
      <w:r>
        <w:rPr>
          <w:rFonts w:ascii="Arial" w:hAnsi="Arial"/>
          <w:sz w:val="22"/>
        </w:rPr>
        <w:t>A</w:t>
      </w:r>
      <w:r w:rsidRPr="00562E3B">
        <w:rPr>
          <w:rFonts w:ascii="Arial" w:hAnsi="Arial" w:cs="Arial"/>
          <w:sz w:val="22"/>
          <w:szCs w:val="22"/>
        </w:rPr>
        <w:t xml:space="preserve">pproximately </w:t>
      </w:r>
      <w:r w:rsidR="00BA721E">
        <w:rPr>
          <w:rFonts w:ascii="Arial" w:hAnsi="Arial" w:cs="Arial"/>
          <w:sz w:val="22"/>
          <w:szCs w:val="22"/>
        </w:rPr>
        <w:t>28</w:t>
      </w:r>
      <w:r w:rsidR="00CC2EF3">
        <w:rPr>
          <w:rFonts w:ascii="Arial" w:hAnsi="Arial" w:cs="Arial"/>
          <w:sz w:val="22"/>
          <w:szCs w:val="22"/>
        </w:rPr>
        <w:t xml:space="preserve"> percent</w:t>
      </w:r>
      <w:r w:rsidRPr="00562E3B">
        <w:rPr>
          <w:rFonts w:ascii="Arial" w:hAnsi="Arial" w:cs="Arial"/>
          <w:sz w:val="22"/>
          <w:szCs w:val="22"/>
        </w:rPr>
        <w:t xml:space="preserve"> </w:t>
      </w:r>
      <w:r w:rsidR="00BA721E">
        <w:rPr>
          <w:rFonts w:ascii="Arial" w:hAnsi="Arial" w:cs="Arial"/>
          <w:sz w:val="22"/>
          <w:szCs w:val="22"/>
        </w:rPr>
        <w:t>of the invoices issued in FY2013</w:t>
      </w:r>
      <w:r w:rsidRPr="00562E3B">
        <w:rPr>
          <w:rFonts w:ascii="Arial" w:hAnsi="Arial" w:cs="Arial"/>
          <w:sz w:val="22"/>
          <w:szCs w:val="22"/>
        </w:rPr>
        <w:t xml:space="preserve"> were issued to small businesses</w:t>
      </w:r>
      <w:r w:rsidRPr="00562E3B">
        <w:rPr>
          <w:rFonts w:ascii="Arial" w:hAnsi="Arial"/>
          <w:sz w:val="22"/>
          <w:szCs w:val="22"/>
        </w:rPr>
        <w:t>.</w:t>
      </w:r>
      <w:r>
        <w:rPr>
          <w:rFonts w:ascii="Arial" w:hAnsi="Arial"/>
          <w:sz w:val="22"/>
          <w:szCs w:val="22"/>
        </w:rPr>
        <w:t xml:space="preserve">  Efforts </w:t>
      </w:r>
      <w:r>
        <w:rPr>
          <w:rFonts w:ascii="Arial" w:hAnsi="Arial"/>
          <w:sz w:val="22"/>
        </w:rPr>
        <w:t xml:space="preserve">have been made to keep the method of collecting fees as simple as possible and requirements for information have been kept to a minimum.  </w:t>
      </w:r>
    </w:p>
    <w:p w:rsidR="00543503" w:rsidRDefault="00543503">
      <w:pPr>
        <w:rPr>
          <w:rFonts w:ascii="Arial" w:hAnsi="Arial"/>
          <w:sz w:val="22"/>
        </w:rPr>
      </w:pPr>
    </w:p>
    <w:p w:rsidR="00543503" w:rsidRDefault="00543503" w:rsidP="0054002C">
      <w:pPr>
        <w:ind w:left="1440" w:hanging="720"/>
        <w:rPr>
          <w:rFonts w:ascii="Arial" w:hAnsi="Arial"/>
          <w:sz w:val="22"/>
          <w:u w:val="single"/>
        </w:rPr>
      </w:pPr>
      <w:r>
        <w:rPr>
          <w:rFonts w:ascii="Arial" w:hAnsi="Arial"/>
          <w:sz w:val="22"/>
        </w:rPr>
        <w:t xml:space="preserve">6. </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543503" w:rsidRDefault="00543503">
      <w:pPr>
        <w:ind w:left="1440"/>
        <w:rPr>
          <w:rFonts w:ascii="Arial" w:hAnsi="Arial"/>
          <w:sz w:val="22"/>
        </w:rPr>
      </w:pPr>
      <w:r>
        <w:rPr>
          <w:rFonts w:ascii="Arial" w:hAnsi="Arial"/>
          <w:sz w:val="22"/>
        </w:rPr>
        <w:t xml:space="preserve">The impact to the NRC fee program if the collection is not conducted or is conducted less frequently will be minimal.  Licensees, applicants and individuals will continue to have two options open to them to pay future bills and invoices mailed to them.  They may send a check or use an electronic funds transfer through </w:t>
      </w:r>
      <w:proofErr w:type="spellStart"/>
      <w:r>
        <w:rPr>
          <w:rFonts w:ascii="Arial" w:hAnsi="Arial"/>
          <w:sz w:val="22"/>
        </w:rPr>
        <w:t>FedWire</w:t>
      </w:r>
      <w:proofErr w:type="spellEnd"/>
      <w:r>
        <w:rPr>
          <w:rFonts w:ascii="Arial" w:hAnsi="Arial"/>
          <w:sz w:val="22"/>
        </w:rPr>
        <w:t xml:space="preserve">.  However, </w:t>
      </w:r>
      <w:r w:rsidR="00BD3D49" w:rsidRPr="00BD3D49">
        <w:rPr>
          <w:rFonts w:ascii="Arial" w:hAnsi="Arial"/>
          <w:sz w:val="22"/>
        </w:rPr>
        <w:t>NRC Form</w:t>
      </w:r>
      <w:r w:rsidR="00BD3D49">
        <w:rPr>
          <w:rFonts w:ascii="Arial" w:hAnsi="Arial"/>
          <w:sz w:val="22"/>
        </w:rPr>
        <w:t xml:space="preserve"> </w:t>
      </w:r>
      <w:r>
        <w:rPr>
          <w:rFonts w:ascii="Arial" w:hAnsi="Arial"/>
          <w:sz w:val="22"/>
        </w:rPr>
        <w:t>629 benefit</w:t>
      </w:r>
      <w:r w:rsidR="00BD3D49">
        <w:rPr>
          <w:rFonts w:ascii="Arial" w:hAnsi="Arial"/>
          <w:sz w:val="22"/>
        </w:rPr>
        <w:t>s</w:t>
      </w:r>
      <w:r>
        <w:rPr>
          <w:rFonts w:ascii="Arial" w:hAnsi="Arial"/>
          <w:sz w:val="22"/>
        </w:rPr>
        <w:t xml:space="preserve"> respondents by providing </w:t>
      </w:r>
      <w:r w:rsidR="00BD3D49">
        <w:rPr>
          <w:rFonts w:ascii="Arial" w:hAnsi="Arial"/>
          <w:sz w:val="22"/>
        </w:rPr>
        <w:t>the</w:t>
      </w:r>
      <w:r>
        <w:rPr>
          <w:rFonts w:ascii="Arial" w:hAnsi="Arial"/>
          <w:sz w:val="22"/>
        </w:rPr>
        <w:t xml:space="preserve"> additional option for paying invoices</w:t>
      </w:r>
      <w:r w:rsidR="00BD3D49">
        <w:rPr>
          <w:rFonts w:ascii="Arial" w:hAnsi="Arial"/>
          <w:sz w:val="22"/>
        </w:rPr>
        <w:t xml:space="preserve"> </w:t>
      </w:r>
      <w:r>
        <w:rPr>
          <w:rFonts w:ascii="Arial" w:hAnsi="Arial"/>
          <w:sz w:val="22"/>
        </w:rPr>
        <w:t>by Credit Card.</w:t>
      </w:r>
    </w:p>
    <w:p w:rsidR="00543503" w:rsidRDefault="00543503">
      <w:pPr>
        <w:rPr>
          <w:rFonts w:ascii="Arial" w:hAnsi="Arial"/>
          <w:sz w:val="22"/>
        </w:rPr>
      </w:pPr>
    </w:p>
    <w:p w:rsidR="00543503" w:rsidRDefault="00543503" w:rsidP="0054002C">
      <w:pPr>
        <w:ind w:left="1440" w:hanging="720"/>
        <w:rPr>
          <w:rFonts w:ascii="Arial" w:hAnsi="Arial"/>
          <w:sz w:val="22"/>
        </w:rPr>
      </w:pPr>
      <w:r>
        <w:rPr>
          <w:rFonts w:ascii="Arial" w:hAnsi="Arial"/>
          <w:sz w:val="22"/>
        </w:rPr>
        <w:t xml:space="preserve">7. </w:t>
      </w:r>
      <w:r>
        <w:rPr>
          <w:rFonts w:ascii="Arial" w:hAnsi="Arial"/>
          <w:sz w:val="22"/>
        </w:rPr>
        <w:tab/>
      </w:r>
      <w:r>
        <w:rPr>
          <w:rFonts w:ascii="Arial" w:hAnsi="Arial"/>
          <w:sz w:val="22"/>
          <w:u w:val="single"/>
        </w:rPr>
        <w:t>Circumstances which Justify Variation from OMB Guidelines.</w:t>
      </w:r>
    </w:p>
    <w:p w:rsidR="00543503" w:rsidRDefault="00543503">
      <w:pPr>
        <w:ind w:left="1440"/>
        <w:rPr>
          <w:rFonts w:ascii="Arial" w:hAnsi="Arial"/>
          <w:sz w:val="22"/>
        </w:rPr>
      </w:pPr>
      <w:r>
        <w:rPr>
          <w:rFonts w:ascii="Arial" w:hAnsi="Arial"/>
          <w:sz w:val="22"/>
        </w:rPr>
        <w:t>Not Applicable.</w:t>
      </w:r>
    </w:p>
    <w:p w:rsidR="00543503" w:rsidRDefault="00543503">
      <w:pPr>
        <w:rPr>
          <w:rFonts w:ascii="Arial" w:hAnsi="Arial"/>
          <w:sz w:val="22"/>
        </w:rPr>
      </w:pPr>
    </w:p>
    <w:p w:rsidR="00543503" w:rsidRDefault="00543503" w:rsidP="0054002C">
      <w:pPr>
        <w:ind w:left="1440" w:hanging="720"/>
        <w:rPr>
          <w:rFonts w:ascii="Arial" w:hAnsi="Arial"/>
          <w:sz w:val="22"/>
        </w:rPr>
      </w:pPr>
      <w:r>
        <w:rPr>
          <w:rFonts w:ascii="Arial" w:hAnsi="Arial"/>
          <w:sz w:val="22"/>
        </w:rPr>
        <w:t xml:space="preserve">8. </w:t>
      </w:r>
      <w:r>
        <w:rPr>
          <w:rFonts w:ascii="Arial" w:hAnsi="Arial"/>
          <w:sz w:val="22"/>
        </w:rPr>
        <w:tab/>
      </w: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the NRC</w:t>
      </w:r>
      <w:r>
        <w:rPr>
          <w:rFonts w:ascii="Arial" w:hAnsi="Arial"/>
          <w:sz w:val="22"/>
        </w:rPr>
        <w:t>.</w:t>
      </w:r>
    </w:p>
    <w:p w:rsidR="004B52A6" w:rsidRPr="00DB479F" w:rsidRDefault="001A0164" w:rsidP="004B52A6">
      <w:pPr>
        <w:ind w:left="1440"/>
        <w:rPr>
          <w:rFonts w:ascii="Arial" w:hAnsi="Arial"/>
          <w:sz w:val="22"/>
          <w:szCs w:val="22"/>
        </w:rPr>
      </w:pPr>
      <w:r>
        <w:rPr>
          <w:rFonts w:ascii="Arial" w:hAnsi="Arial"/>
          <w:sz w:val="22"/>
        </w:rPr>
        <w:t>O</w:t>
      </w:r>
      <w:r w:rsidR="00543503" w:rsidRPr="000C106A">
        <w:rPr>
          <w:rFonts w:ascii="Arial" w:hAnsi="Arial"/>
          <w:sz w:val="22"/>
        </w:rPr>
        <w:t xml:space="preserve">pportunity for public comment on the Information Collection Requirements for this clearance package </w:t>
      </w:r>
      <w:r w:rsidR="005678A5">
        <w:rPr>
          <w:rFonts w:ascii="Arial" w:hAnsi="Arial"/>
          <w:sz w:val="22"/>
        </w:rPr>
        <w:t>was</w:t>
      </w:r>
      <w:r w:rsidR="00543503" w:rsidRPr="000C106A">
        <w:rPr>
          <w:rFonts w:ascii="Arial" w:hAnsi="Arial"/>
          <w:sz w:val="22"/>
        </w:rPr>
        <w:t xml:space="preserve"> published in the </w:t>
      </w:r>
      <w:r w:rsidR="00543503" w:rsidRPr="000C106A">
        <w:rPr>
          <w:rFonts w:ascii="Arial" w:hAnsi="Arial"/>
          <w:sz w:val="22"/>
          <w:u w:val="single"/>
        </w:rPr>
        <w:t>Federal Register</w:t>
      </w:r>
      <w:r w:rsidR="00DB479F" w:rsidRPr="006B53C7">
        <w:rPr>
          <w:rFonts w:ascii="Arial" w:hAnsi="Arial"/>
          <w:sz w:val="22"/>
        </w:rPr>
        <w:t xml:space="preserve"> </w:t>
      </w:r>
      <w:r w:rsidR="00DB479F" w:rsidRPr="00DB479F">
        <w:rPr>
          <w:rFonts w:ascii="Arial" w:hAnsi="Arial" w:cs="Arial"/>
          <w:sz w:val="22"/>
          <w:szCs w:val="22"/>
        </w:rPr>
        <w:t>on February 19, 2014 (79 FR 9488).  No comments were received.</w:t>
      </w:r>
      <w:r w:rsidR="00543503" w:rsidRPr="00DB479F">
        <w:rPr>
          <w:rFonts w:ascii="Arial" w:hAnsi="Arial"/>
          <w:sz w:val="22"/>
          <w:szCs w:val="22"/>
        </w:rPr>
        <w:t xml:space="preserve"> </w:t>
      </w:r>
    </w:p>
    <w:p w:rsidR="004B52A6" w:rsidRDefault="004B52A6" w:rsidP="004B52A6">
      <w:pPr>
        <w:rPr>
          <w:rFonts w:ascii="Arial" w:hAnsi="Arial"/>
          <w:sz w:val="22"/>
        </w:rPr>
      </w:pPr>
    </w:p>
    <w:p w:rsidR="00543503" w:rsidRDefault="00543503" w:rsidP="004B52A6">
      <w:pPr>
        <w:ind w:firstLine="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r>
        <w:rPr>
          <w:rFonts w:ascii="Arial" w:hAnsi="Arial"/>
          <w:sz w:val="22"/>
        </w:rPr>
        <w:t>.</w:t>
      </w:r>
    </w:p>
    <w:p w:rsidR="00543503" w:rsidRDefault="00543503">
      <w:pPr>
        <w:ind w:left="1440"/>
        <w:rPr>
          <w:rFonts w:ascii="Arial" w:hAnsi="Arial"/>
          <w:sz w:val="22"/>
        </w:rPr>
      </w:pPr>
      <w:r>
        <w:rPr>
          <w:rFonts w:ascii="Arial" w:hAnsi="Arial"/>
          <w:sz w:val="22"/>
        </w:rPr>
        <w:t>Not Applicable.</w:t>
      </w:r>
    </w:p>
    <w:p w:rsidR="00543503" w:rsidRDefault="00543503">
      <w:pPr>
        <w:rPr>
          <w:rFonts w:ascii="Arial" w:hAnsi="Arial"/>
          <w:sz w:val="22"/>
        </w:rPr>
      </w:pPr>
    </w:p>
    <w:p w:rsidR="00543503" w:rsidRDefault="00543503" w:rsidP="001A0164">
      <w:pPr>
        <w:ind w:left="1440" w:hanging="720"/>
        <w:rPr>
          <w:rFonts w:ascii="Arial" w:hAnsi="Arial"/>
          <w:sz w:val="22"/>
        </w:rPr>
      </w:pPr>
      <w:r>
        <w:rPr>
          <w:rFonts w:ascii="Arial" w:hAnsi="Arial"/>
          <w:sz w:val="22"/>
        </w:rPr>
        <w:t xml:space="preserve">10. </w:t>
      </w:r>
      <w:r>
        <w:rPr>
          <w:rFonts w:ascii="Arial" w:hAnsi="Arial"/>
          <w:sz w:val="22"/>
        </w:rPr>
        <w:tab/>
      </w:r>
      <w:r>
        <w:rPr>
          <w:rFonts w:ascii="Arial" w:hAnsi="Arial"/>
          <w:sz w:val="22"/>
          <w:u w:val="single"/>
        </w:rPr>
        <w:t>Confidentiality of the Information</w:t>
      </w:r>
      <w:r>
        <w:rPr>
          <w:rFonts w:ascii="Arial" w:hAnsi="Arial"/>
          <w:sz w:val="22"/>
        </w:rPr>
        <w:t xml:space="preserve">.   </w:t>
      </w:r>
    </w:p>
    <w:p w:rsidR="00543503" w:rsidRDefault="00543503" w:rsidP="00375FD3">
      <w:pPr>
        <w:widowControl w:val="0"/>
        <w:ind w:left="1440"/>
        <w:rPr>
          <w:rFonts w:ascii="Arial" w:hAnsi="Arial"/>
          <w:sz w:val="22"/>
        </w:rPr>
      </w:pPr>
      <w:r>
        <w:rPr>
          <w:rFonts w:ascii="Arial" w:hAnsi="Arial"/>
          <w:sz w:val="22"/>
        </w:rPr>
        <w:t>Confidential and proprietary information is protected in accordance with NRC regulations at 10 CFR 9.17(a) and 10 CFR 2.390(b).</w:t>
      </w:r>
    </w:p>
    <w:p w:rsidR="00543503" w:rsidRDefault="00543503">
      <w:pPr>
        <w:rPr>
          <w:rFonts w:ascii="Arial" w:hAnsi="Arial"/>
          <w:sz w:val="22"/>
        </w:rPr>
      </w:pPr>
    </w:p>
    <w:p w:rsidR="00543503" w:rsidRDefault="00543503" w:rsidP="001A0164">
      <w:pPr>
        <w:ind w:left="1440" w:hanging="720"/>
        <w:rPr>
          <w:rFonts w:ascii="Arial" w:hAnsi="Arial"/>
          <w:sz w:val="22"/>
        </w:rPr>
      </w:pPr>
      <w:r>
        <w:rPr>
          <w:rFonts w:ascii="Arial" w:hAnsi="Arial"/>
          <w:sz w:val="22"/>
        </w:rPr>
        <w:t xml:space="preserve">11. </w:t>
      </w:r>
      <w:r>
        <w:rPr>
          <w:rFonts w:ascii="Arial" w:hAnsi="Arial"/>
          <w:sz w:val="22"/>
        </w:rPr>
        <w:tab/>
      </w:r>
      <w:r>
        <w:rPr>
          <w:rFonts w:ascii="Arial" w:hAnsi="Arial"/>
          <w:sz w:val="22"/>
          <w:u w:val="single"/>
        </w:rPr>
        <w:t>Justification for Sensitive Questions</w:t>
      </w:r>
      <w:r>
        <w:rPr>
          <w:rFonts w:ascii="Arial" w:hAnsi="Arial"/>
          <w:sz w:val="22"/>
        </w:rPr>
        <w:t>.</w:t>
      </w:r>
    </w:p>
    <w:p w:rsidR="00543503" w:rsidRDefault="00543503">
      <w:pPr>
        <w:ind w:left="1440"/>
        <w:rPr>
          <w:rFonts w:ascii="Arial" w:hAnsi="Arial"/>
          <w:sz w:val="22"/>
        </w:rPr>
      </w:pPr>
      <w:r>
        <w:rPr>
          <w:rFonts w:ascii="Arial" w:hAnsi="Arial"/>
          <w:sz w:val="22"/>
        </w:rPr>
        <w:t>Not applicable.</w:t>
      </w:r>
    </w:p>
    <w:p w:rsidR="00543503" w:rsidRDefault="00543503">
      <w:pPr>
        <w:rPr>
          <w:rFonts w:ascii="Arial" w:hAnsi="Arial"/>
          <w:sz w:val="22"/>
        </w:rPr>
      </w:pPr>
    </w:p>
    <w:p w:rsidR="00543503" w:rsidRDefault="00543503" w:rsidP="001A0164">
      <w:pPr>
        <w:ind w:left="1440" w:hanging="720"/>
        <w:rPr>
          <w:rFonts w:ascii="Arial" w:hAnsi="Arial"/>
          <w:sz w:val="22"/>
        </w:rPr>
      </w:pPr>
      <w:r>
        <w:rPr>
          <w:rFonts w:ascii="Arial" w:hAnsi="Arial"/>
          <w:sz w:val="22"/>
        </w:rPr>
        <w:lastRenderedPageBreak/>
        <w:t xml:space="preserve">12. </w:t>
      </w:r>
      <w:r>
        <w:rPr>
          <w:rFonts w:ascii="Arial" w:hAnsi="Arial"/>
          <w:sz w:val="22"/>
        </w:rPr>
        <w:tab/>
      </w:r>
      <w:r>
        <w:rPr>
          <w:rFonts w:ascii="Arial" w:hAnsi="Arial"/>
          <w:sz w:val="22"/>
          <w:u w:val="single"/>
        </w:rPr>
        <w:t>Estimate of Annualized Burden and Burden Hour Cost</w:t>
      </w:r>
      <w:r>
        <w:rPr>
          <w:rFonts w:ascii="Arial" w:hAnsi="Arial"/>
          <w:sz w:val="22"/>
        </w:rPr>
        <w:t>.</w:t>
      </w:r>
    </w:p>
    <w:p w:rsidR="00543503" w:rsidRDefault="00543503">
      <w:pPr>
        <w:ind w:left="1440"/>
        <w:rPr>
          <w:rFonts w:ascii="Arial" w:hAnsi="Arial"/>
          <w:sz w:val="22"/>
        </w:rPr>
      </w:pPr>
      <w:r>
        <w:rPr>
          <w:rFonts w:ascii="Arial" w:hAnsi="Arial"/>
          <w:sz w:val="22"/>
        </w:rPr>
        <w:t>For NRC Form 629, “Authorization for Payment by Credit Card,” and NUREG/BR-0254, it is estimated that it takes approximately 5 minutes to read the instructions and complete the form.  It is estimated that a</w:t>
      </w:r>
      <w:r w:rsidR="00201AEF">
        <w:rPr>
          <w:rFonts w:ascii="Arial" w:hAnsi="Arial"/>
          <w:sz w:val="22"/>
        </w:rPr>
        <w:t>pproximately 545</w:t>
      </w:r>
      <w:r>
        <w:rPr>
          <w:rFonts w:ascii="Arial" w:hAnsi="Arial"/>
          <w:sz w:val="22"/>
        </w:rPr>
        <w:t xml:space="preserve"> forms will be completed annually with an e</w:t>
      </w:r>
      <w:r w:rsidR="00201AEF">
        <w:rPr>
          <w:rFonts w:ascii="Arial" w:hAnsi="Arial"/>
          <w:sz w:val="22"/>
        </w:rPr>
        <w:t>stimated burden of 45.4 hours (545</w:t>
      </w:r>
      <w:r>
        <w:rPr>
          <w:rFonts w:ascii="Arial" w:hAnsi="Arial"/>
          <w:sz w:val="22"/>
        </w:rPr>
        <w:t xml:space="preserve"> forms x </w:t>
      </w:r>
      <w:r w:rsidR="00612519">
        <w:rPr>
          <w:rFonts w:ascii="Arial" w:hAnsi="Arial"/>
          <w:sz w:val="22"/>
        </w:rPr>
        <w:t>0</w:t>
      </w:r>
      <w:r>
        <w:rPr>
          <w:rFonts w:ascii="Arial" w:hAnsi="Arial"/>
          <w:sz w:val="22"/>
        </w:rPr>
        <w:t>.08</w:t>
      </w:r>
      <w:r w:rsidR="00201AEF">
        <w:rPr>
          <w:rFonts w:ascii="Arial" w:hAnsi="Arial"/>
          <w:sz w:val="22"/>
        </w:rPr>
        <w:t>3 = 45.4</w:t>
      </w:r>
      <w:r>
        <w:rPr>
          <w:rFonts w:ascii="Arial" w:hAnsi="Arial"/>
          <w:sz w:val="22"/>
        </w:rPr>
        <w:t xml:space="preserve"> hours).  The estimated annual cost is $</w:t>
      </w:r>
      <w:r w:rsidR="00201AEF">
        <w:rPr>
          <w:rFonts w:ascii="Arial" w:hAnsi="Arial"/>
          <w:sz w:val="22"/>
        </w:rPr>
        <w:t>12,3</w:t>
      </w:r>
      <w:r w:rsidR="007235B6">
        <w:rPr>
          <w:rFonts w:ascii="Arial" w:hAnsi="Arial"/>
          <w:sz w:val="22"/>
        </w:rPr>
        <w:t>48.80</w:t>
      </w:r>
      <w:r>
        <w:rPr>
          <w:rFonts w:ascii="Arial" w:hAnsi="Arial"/>
          <w:sz w:val="22"/>
        </w:rPr>
        <w:t xml:space="preserve"> (4</w:t>
      </w:r>
      <w:r w:rsidR="00612519">
        <w:rPr>
          <w:rFonts w:ascii="Arial" w:hAnsi="Arial"/>
          <w:sz w:val="22"/>
        </w:rPr>
        <w:t>5.4</w:t>
      </w:r>
      <w:r>
        <w:rPr>
          <w:rFonts w:ascii="Arial" w:hAnsi="Arial"/>
          <w:sz w:val="22"/>
        </w:rPr>
        <w:t xml:space="preserve"> hours x $2</w:t>
      </w:r>
      <w:r w:rsidR="00201AEF">
        <w:rPr>
          <w:rFonts w:ascii="Arial" w:hAnsi="Arial"/>
          <w:sz w:val="22"/>
        </w:rPr>
        <w:t>72</w:t>
      </w:r>
      <w:r>
        <w:rPr>
          <w:rFonts w:ascii="Arial" w:hAnsi="Arial"/>
          <w:sz w:val="22"/>
        </w:rPr>
        <w:t>).</w:t>
      </w:r>
      <w:r w:rsidR="00883B93" w:rsidRPr="00883B93">
        <w:rPr>
          <w:rFonts w:ascii="Arial" w:eastAsiaTheme="minorHAnsi" w:hAnsi="Arial" w:cs="Arial"/>
          <w:color w:val="1F497D"/>
          <w:sz w:val="22"/>
          <w:szCs w:val="22"/>
        </w:rPr>
        <w:t xml:space="preserve"> </w:t>
      </w:r>
      <w:r w:rsidR="00883B93">
        <w:rPr>
          <w:rFonts w:ascii="Arial" w:eastAsiaTheme="minorHAnsi" w:hAnsi="Arial" w:cs="Arial"/>
          <w:color w:val="1F497D"/>
          <w:sz w:val="22"/>
          <w:szCs w:val="22"/>
        </w:rPr>
        <w:t>T</w:t>
      </w:r>
      <w:r w:rsidR="00883B93" w:rsidRPr="00883B93">
        <w:rPr>
          <w:rFonts w:ascii="Arial" w:hAnsi="Arial"/>
          <w:sz w:val="22"/>
        </w:rPr>
        <w:t>he current estimate include</w:t>
      </w:r>
      <w:r w:rsidR="00883B93">
        <w:rPr>
          <w:rFonts w:ascii="Arial" w:hAnsi="Arial"/>
          <w:sz w:val="22"/>
        </w:rPr>
        <w:t>s</w:t>
      </w:r>
      <w:r w:rsidR="00883B93" w:rsidRPr="00883B93">
        <w:rPr>
          <w:rFonts w:ascii="Arial" w:hAnsi="Arial"/>
          <w:sz w:val="22"/>
        </w:rPr>
        <w:t xml:space="preserve"> burden for the </w:t>
      </w:r>
      <w:r w:rsidR="00883B93">
        <w:rPr>
          <w:rFonts w:ascii="Arial" w:hAnsi="Arial"/>
          <w:sz w:val="22"/>
        </w:rPr>
        <w:t xml:space="preserve">NRC Form </w:t>
      </w:r>
      <w:r w:rsidR="00883B93" w:rsidRPr="00883B93">
        <w:rPr>
          <w:rFonts w:ascii="Arial" w:hAnsi="Arial"/>
          <w:sz w:val="22"/>
        </w:rPr>
        <w:t xml:space="preserve">628 and the </w:t>
      </w:r>
      <w:r w:rsidR="00883B93">
        <w:rPr>
          <w:rFonts w:ascii="Arial" w:hAnsi="Arial"/>
          <w:sz w:val="22"/>
        </w:rPr>
        <w:t xml:space="preserve">NRC Form </w:t>
      </w:r>
      <w:r w:rsidR="00883B93" w:rsidRPr="00883B93">
        <w:rPr>
          <w:rFonts w:ascii="Arial" w:hAnsi="Arial"/>
          <w:sz w:val="22"/>
        </w:rPr>
        <w:t>629</w:t>
      </w:r>
      <w:r w:rsidR="00883B93">
        <w:rPr>
          <w:rFonts w:ascii="Arial" w:hAnsi="Arial"/>
          <w:sz w:val="22"/>
        </w:rPr>
        <w:t xml:space="preserve"> forms.</w:t>
      </w:r>
    </w:p>
    <w:p w:rsidR="005678A5" w:rsidRDefault="005678A5">
      <w:pPr>
        <w:rPr>
          <w:rFonts w:ascii="Arial" w:hAnsi="Arial"/>
          <w:sz w:val="22"/>
        </w:rPr>
      </w:pPr>
    </w:p>
    <w:p w:rsidR="00543503" w:rsidRDefault="00543503">
      <w:pPr>
        <w:rPr>
          <w:rFonts w:ascii="Arial" w:hAnsi="Arial"/>
          <w:sz w:val="22"/>
        </w:rPr>
      </w:pPr>
      <w:r>
        <w:rPr>
          <w:rFonts w:ascii="Arial" w:hAnsi="Arial"/>
          <w:sz w:val="22"/>
        </w:rPr>
        <w:tab/>
        <w:t xml:space="preserve">13. </w:t>
      </w:r>
      <w:r>
        <w:rPr>
          <w:rFonts w:ascii="Arial" w:hAnsi="Arial"/>
          <w:sz w:val="22"/>
        </w:rPr>
        <w:tab/>
      </w:r>
      <w:r>
        <w:rPr>
          <w:rFonts w:ascii="Arial" w:hAnsi="Arial"/>
          <w:sz w:val="22"/>
          <w:u w:val="single"/>
        </w:rPr>
        <w:t>Estimate of Other Additional Costs</w:t>
      </w:r>
      <w:r>
        <w:rPr>
          <w:rFonts w:ascii="Arial" w:hAnsi="Arial"/>
          <w:sz w:val="22"/>
        </w:rPr>
        <w:t>.</w:t>
      </w:r>
    </w:p>
    <w:p w:rsidR="00543503" w:rsidRDefault="00286598" w:rsidP="00791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cs="Arial"/>
          <w:sz w:val="22"/>
          <w:szCs w:val="22"/>
        </w:rPr>
        <w:t>There are no additional costs.</w:t>
      </w:r>
    </w:p>
    <w:p w:rsidR="00543503" w:rsidRDefault="00543503">
      <w:pPr>
        <w:rPr>
          <w:rFonts w:ascii="Arial" w:hAnsi="Arial"/>
          <w:sz w:val="22"/>
        </w:rPr>
      </w:pPr>
    </w:p>
    <w:p w:rsidR="00543503" w:rsidRDefault="00543503">
      <w:pPr>
        <w:rPr>
          <w:rFonts w:ascii="Arial" w:hAnsi="Arial"/>
          <w:sz w:val="22"/>
        </w:rPr>
      </w:pPr>
      <w:r>
        <w:rPr>
          <w:rFonts w:ascii="Arial" w:hAnsi="Arial"/>
          <w:sz w:val="22"/>
        </w:rPr>
        <w:tab/>
        <w:t>14.</w:t>
      </w:r>
      <w:r>
        <w:rPr>
          <w:rFonts w:ascii="Arial" w:hAnsi="Arial"/>
          <w:sz w:val="22"/>
        </w:rPr>
        <w:tab/>
      </w:r>
      <w:r>
        <w:rPr>
          <w:rFonts w:ascii="Arial" w:hAnsi="Arial"/>
          <w:sz w:val="22"/>
          <w:u w:val="single"/>
        </w:rPr>
        <w:t>Estimated Annualized Cost to the Federal Government</w:t>
      </w:r>
      <w:r>
        <w:rPr>
          <w:rFonts w:ascii="Arial" w:hAnsi="Arial"/>
          <w:sz w:val="22"/>
        </w:rPr>
        <w:t>.</w:t>
      </w:r>
    </w:p>
    <w:p w:rsidR="00543503" w:rsidRDefault="00543503">
      <w:pPr>
        <w:ind w:left="1440"/>
        <w:rPr>
          <w:rFonts w:ascii="Arial" w:hAnsi="Arial"/>
          <w:sz w:val="22"/>
        </w:rPr>
      </w:pPr>
      <w:r>
        <w:rPr>
          <w:rFonts w:ascii="Arial" w:hAnsi="Arial"/>
          <w:sz w:val="22"/>
        </w:rPr>
        <w:t>Credit Card Forms (NRC Form 629) are processed by third party entities for the NRC annually.  There is no cost to the NRC because the cost for this service, by the third party, is assumed by the Department of the Trea</w:t>
      </w:r>
      <w:bookmarkStart w:id="1" w:name="QuickMark_1"/>
      <w:bookmarkEnd w:id="1"/>
      <w:r>
        <w:rPr>
          <w:rFonts w:ascii="Arial" w:hAnsi="Arial"/>
          <w:sz w:val="22"/>
        </w:rPr>
        <w:t>sury.</w:t>
      </w:r>
    </w:p>
    <w:p w:rsidR="003436EB" w:rsidRDefault="003436EB">
      <w:pPr>
        <w:ind w:left="1440"/>
        <w:rPr>
          <w:rFonts w:ascii="Arial" w:hAnsi="Arial"/>
          <w:sz w:val="22"/>
        </w:rPr>
      </w:pPr>
    </w:p>
    <w:p w:rsidR="00543503" w:rsidRDefault="003436EB" w:rsidP="003436EB">
      <w:pPr>
        <w:ind w:left="720"/>
        <w:rPr>
          <w:rFonts w:ascii="Arial" w:hAnsi="Arial"/>
          <w:sz w:val="22"/>
        </w:rPr>
      </w:pPr>
      <w:r>
        <w:rPr>
          <w:rFonts w:ascii="Arial" w:hAnsi="Arial"/>
          <w:sz w:val="22"/>
        </w:rPr>
        <w:t>15.</w:t>
      </w:r>
      <w:r w:rsidR="00543503">
        <w:rPr>
          <w:rFonts w:ascii="Arial" w:hAnsi="Arial"/>
          <w:sz w:val="22"/>
        </w:rPr>
        <w:tab/>
      </w:r>
      <w:r w:rsidR="00543503">
        <w:rPr>
          <w:rFonts w:ascii="Arial" w:hAnsi="Arial"/>
          <w:sz w:val="22"/>
          <w:u w:val="single"/>
        </w:rPr>
        <w:t>Reasons for Changes in Burden or Cost</w:t>
      </w:r>
      <w:r w:rsidR="00543503">
        <w:rPr>
          <w:rFonts w:ascii="Arial" w:hAnsi="Arial"/>
          <w:sz w:val="22"/>
        </w:rPr>
        <w:t>.</w:t>
      </w:r>
    </w:p>
    <w:p w:rsidR="001A4274" w:rsidRDefault="00543503" w:rsidP="00E056F8">
      <w:pPr>
        <w:ind w:left="1440"/>
        <w:rPr>
          <w:rFonts w:ascii="Arial" w:hAnsi="Arial"/>
          <w:sz w:val="22"/>
        </w:rPr>
      </w:pPr>
      <w:r>
        <w:rPr>
          <w:rFonts w:ascii="Arial" w:hAnsi="Arial"/>
          <w:sz w:val="22"/>
        </w:rPr>
        <w:t xml:space="preserve">The </w:t>
      </w:r>
      <w:r w:rsidR="001A4274">
        <w:rPr>
          <w:rFonts w:ascii="Arial" w:hAnsi="Arial"/>
          <w:sz w:val="22"/>
        </w:rPr>
        <w:t xml:space="preserve">overall </w:t>
      </w:r>
      <w:r>
        <w:rPr>
          <w:rFonts w:ascii="Arial" w:hAnsi="Arial"/>
          <w:sz w:val="22"/>
        </w:rPr>
        <w:t>burden</w:t>
      </w:r>
      <w:r w:rsidR="001A4274">
        <w:rPr>
          <w:rFonts w:ascii="Arial" w:hAnsi="Arial"/>
          <w:sz w:val="22"/>
        </w:rPr>
        <w:t xml:space="preserve"> estimate</w:t>
      </w:r>
      <w:r>
        <w:rPr>
          <w:rFonts w:ascii="Arial" w:hAnsi="Arial"/>
          <w:sz w:val="22"/>
        </w:rPr>
        <w:t xml:space="preserve"> for NRC Form 629, authorization</w:t>
      </w:r>
      <w:r w:rsidR="001A4274">
        <w:rPr>
          <w:rFonts w:ascii="Arial" w:hAnsi="Arial"/>
          <w:sz w:val="22"/>
        </w:rPr>
        <w:t xml:space="preserve"> for Payment by Cred</w:t>
      </w:r>
      <w:r w:rsidR="00BD3D49">
        <w:rPr>
          <w:rFonts w:ascii="Arial" w:hAnsi="Arial"/>
          <w:sz w:val="22"/>
        </w:rPr>
        <w:t>it Card and</w:t>
      </w:r>
      <w:r w:rsidR="001A4274">
        <w:rPr>
          <w:rFonts w:ascii="Arial" w:hAnsi="Arial"/>
          <w:sz w:val="22"/>
        </w:rPr>
        <w:t xml:space="preserve"> </w:t>
      </w:r>
      <w:r>
        <w:rPr>
          <w:rFonts w:ascii="Arial" w:hAnsi="Arial"/>
          <w:sz w:val="22"/>
        </w:rPr>
        <w:t xml:space="preserve">NUREG/BR-0254 has </w:t>
      </w:r>
      <w:r w:rsidR="00201AEF">
        <w:rPr>
          <w:rFonts w:ascii="Arial" w:hAnsi="Arial"/>
          <w:sz w:val="22"/>
        </w:rPr>
        <w:t>decreased</w:t>
      </w:r>
      <w:r>
        <w:rPr>
          <w:rFonts w:ascii="Arial" w:hAnsi="Arial"/>
          <w:sz w:val="22"/>
        </w:rPr>
        <w:t xml:space="preserve"> by </w:t>
      </w:r>
      <w:r w:rsidR="001A4274">
        <w:rPr>
          <w:rFonts w:ascii="Arial" w:hAnsi="Arial"/>
          <w:sz w:val="22"/>
        </w:rPr>
        <w:t>1</w:t>
      </w:r>
      <w:r w:rsidR="00201AEF">
        <w:rPr>
          <w:rFonts w:ascii="Arial" w:hAnsi="Arial"/>
          <w:sz w:val="22"/>
        </w:rPr>
        <w:t>.6</w:t>
      </w:r>
      <w:r>
        <w:rPr>
          <w:rFonts w:ascii="Arial" w:hAnsi="Arial"/>
          <w:sz w:val="22"/>
        </w:rPr>
        <w:t xml:space="preserve"> hours from </w:t>
      </w:r>
      <w:r w:rsidR="00201AEF">
        <w:rPr>
          <w:rFonts w:ascii="Arial" w:hAnsi="Arial"/>
          <w:sz w:val="22"/>
        </w:rPr>
        <w:t>4</w:t>
      </w:r>
      <w:r w:rsidR="001A4274">
        <w:rPr>
          <w:rFonts w:ascii="Arial" w:hAnsi="Arial"/>
          <w:sz w:val="22"/>
        </w:rPr>
        <w:t>7</w:t>
      </w:r>
      <w:r w:rsidR="00201AEF">
        <w:rPr>
          <w:rFonts w:ascii="Arial" w:hAnsi="Arial"/>
          <w:sz w:val="22"/>
        </w:rPr>
        <w:t xml:space="preserve"> to 45.4</w:t>
      </w:r>
      <w:r w:rsidR="001A4274">
        <w:rPr>
          <w:rFonts w:ascii="Arial" w:hAnsi="Arial"/>
          <w:sz w:val="22"/>
        </w:rPr>
        <w:t xml:space="preserve"> hours and the estimated number of responses decreased by 38 from 583 to 545 responses</w:t>
      </w:r>
      <w:r w:rsidR="00E056F8">
        <w:rPr>
          <w:rFonts w:ascii="Arial" w:hAnsi="Arial"/>
          <w:sz w:val="22"/>
        </w:rPr>
        <w:t xml:space="preserve">.  </w:t>
      </w:r>
      <w:r w:rsidR="001A4274">
        <w:rPr>
          <w:rFonts w:ascii="Arial" w:hAnsi="Arial"/>
          <w:sz w:val="22"/>
        </w:rPr>
        <w:t>The estimated number of forms submitted is based on the actual number of forms received by the NRC in FY201</w:t>
      </w:r>
      <w:r w:rsidR="00380D32">
        <w:rPr>
          <w:rFonts w:ascii="Arial" w:hAnsi="Arial"/>
          <w:sz w:val="22"/>
        </w:rPr>
        <w:t>3.  NRC has seen a</w:t>
      </w:r>
      <w:r w:rsidR="00E056F8">
        <w:rPr>
          <w:rFonts w:ascii="Arial" w:hAnsi="Arial"/>
          <w:sz w:val="22"/>
        </w:rPr>
        <w:t xml:space="preserve"> de</w:t>
      </w:r>
      <w:r w:rsidR="001A4274">
        <w:rPr>
          <w:rFonts w:ascii="Arial" w:hAnsi="Arial"/>
          <w:sz w:val="22"/>
        </w:rPr>
        <w:t>crease in the number of payments by credit card sin</w:t>
      </w:r>
      <w:r w:rsidR="00E056F8">
        <w:rPr>
          <w:rFonts w:ascii="Arial" w:hAnsi="Arial"/>
          <w:sz w:val="22"/>
        </w:rPr>
        <w:t xml:space="preserve">ce the last renewal due </w:t>
      </w:r>
      <w:r w:rsidR="00F826A3">
        <w:rPr>
          <w:rFonts w:ascii="Arial" w:hAnsi="Arial"/>
          <w:sz w:val="22"/>
        </w:rPr>
        <w:t xml:space="preserve">to a </w:t>
      </w:r>
      <w:r w:rsidR="00E056F8">
        <w:rPr>
          <w:rFonts w:ascii="Arial" w:hAnsi="Arial"/>
          <w:sz w:val="22"/>
        </w:rPr>
        <w:t>de</w:t>
      </w:r>
      <w:r w:rsidR="001A4274">
        <w:rPr>
          <w:rFonts w:ascii="Arial" w:hAnsi="Arial"/>
          <w:sz w:val="22"/>
        </w:rPr>
        <w:t>creased in the number of respondents who want to pay their invoices by credit card.</w:t>
      </w:r>
      <w:r w:rsidR="00883B93" w:rsidRPr="00883B93">
        <w:rPr>
          <w:rFonts w:ascii="Arial" w:eastAsiaTheme="minorHAnsi" w:hAnsi="Arial" w:cs="Arial"/>
          <w:color w:val="1F497D"/>
          <w:sz w:val="22"/>
          <w:szCs w:val="22"/>
        </w:rPr>
        <w:t xml:space="preserve"> </w:t>
      </w:r>
      <w:r w:rsidR="00883B93">
        <w:rPr>
          <w:rFonts w:ascii="Arial" w:eastAsiaTheme="minorHAnsi" w:hAnsi="Arial" w:cs="Arial"/>
          <w:color w:val="1F497D"/>
          <w:sz w:val="22"/>
          <w:szCs w:val="22"/>
        </w:rPr>
        <w:t>T</w:t>
      </w:r>
      <w:r w:rsidR="00883B93" w:rsidRPr="00883B93">
        <w:rPr>
          <w:rFonts w:ascii="Arial" w:hAnsi="Arial"/>
          <w:sz w:val="22"/>
        </w:rPr>
        <w:t>he current estimate include</w:t>
      </w:r>
      <w:r w:rsidR="00883B93">
        <w:rPr>
          <w:rFonts w:ascii="Arial" w:hAnsi="Arial"/>
          <w:sz w:val="22"/>
        </w:rPr>
        <w:t>s</w:t>
      </w:r>
      <w:r w:rsidR="00883B93" w:rsidRPr="00883B93">
        <w:rPr>
          <w:rFonts w:ascii="Arial" w:hAnsi="Arial"/>
          <w:sz w:val="22"/>
        </w:rPr>
        <w:t xml:space="preserve"> burden for the </w:t>
      </w:r>
      <w:r w:rsidR="00883B93">
        <w:rPr>
          <w:rFonts w:ascii="Arial" w:hAnsi="Arial"/>
          <w:sz w:val="22"/>
        </w:rPr>
        <w:t xml:space="preserve">NRC Form </w:t>
      </w:r>
      <w:r w:rsidR="00883B93" w:rsidRPr="00883B93">
        <w:rPr>
          <w:rFonts w:ascii="Arial" w:hAnsi="Arial"/>
          <w:sz w:val="22"/>
        </w:rPr>
        <w:t xml:space="preserve">628 and the </w:t>
      </w:r>
      <w:r w:rsidR="00883B93">
        <w:rPr>
          <w:rFonts w:ascii="Arial" w:hAnsi="Arial"/>
          <w:sz w:val="22"/>
        </w:rPr>
        <w:t xml:space="preserve">NRC Form </w:t>
      </w:r>
      <w:r w:rsidR="00883B93" w:rsidRPr="00883B93">
        <w:rPr>
          <w:rFonts w:ascii="Arial" w:hAnsi="Arial"/>
          <w:sz w:val="22"/>
        </w:rPr>
        <w:t>629</w:t>
      </w:r>
      <w:r w:rsidR="00883B93">
        <w:rPr>
          <w:rFonts w:ascii="Arial" w:hAnsi="Arial"/>
          <w:sz w:val="22"/>
        </w:rPr>
        <w:t xml:space="preserve"> forms.</w:t>
      </w:r>
    </w:p>
    <w:p w:rsidR="001A4274" w:rsidRDefault="001A4274" w:rsidP="001A4274">
      <w:pPr>
        <w:ind w:left="2160" w:hanging="720"/>
        <w:rPr>
          <w:rFonts w:ascii="Arial" w:hAnsi="Arial"/>
          <w:sz w:val="22"/>
        </w:rPr>
      </w:pPr>
    </w:p>
    <w:p w:rsidR="001A4274" w:rsidRDefault="001A4274" w:rsidP="001A4274">
      <w:pPr>
        <w:ind w:left="720" w:firstLine="720"/>
        <w:rPr>
          <w:rFonts w:ascii="Arial" w:hAnsi="Arial"/>
          <w:sz w:val="22"/>
        </w:rPr>
      </w:pPr>
      <w:r>
        <w:rPr>
          <w:rFonts w:ascii="Arial" w:hAnsi="Arial"/>
          <w:sz w:val="22"/>
        </w:rPr>
        <w:t>In addition, the fee rate has increased from $259/</w:t>
      </w:r>
      <w:proofErr w:type="spellStart"/>
      <w:r>
        <w:rPr>
          <w:rFonts w:ascii="Arial" w:hAnsi="Arial"/>
          <w:sz w:val="22"/>
        </w:rPr>
        <w:t>hr</w:t>
      </w:r>
      <w:proofErr w:type="spellEnd"/>
      <w:r>
        <w:rPr>
          <w:rFonts w:ascii="Arial" w:hAnsi="Arial"/>
          <w:sz w:val="22"/>
        </w:rPr>
        <w:t xml:space="preserve"> to $272/hr.</w:t>
      </w:r>
    </w:p>
    <w:p w:rsidR="00543503" w:rsidRDefault="00543503">
      <w:pPr>
        <w:rPr>
          <w:rFonts w:ascii="Arial" w:hAnsi="Arial"/>
          <w:sz w:val="22"/>
        </w:rPr>
      </w:pPr>
    </w:p>
    <w:p w:rsidR="00543503" w:rsidRDefault="00543503" w:rsidP="000C106A">
      <w:pPr>
        <w:tabs>
          <w:tab w:val="left" w:pos="720"/>
        </w:tabs>
        <w:ind w:left="1440" w:hanging="1440"/>
        <w:rPr>
          <w:rFonts w:ascii="Arial" w:hAnsi="Arial"/>
          <w:sz w:val="22"/>
        </w:rPr>
      </w:pPr>
      <w:r>
        <w:rPr>
          <w:rFonts w:ascii="Arial" w:hAnsi="Arial"/>
          <w:sz w:val="22"/>
        </w:rPr>
        <w:tab/>
        <w:t xml:space="preserve">16. </w:t>
      </w:r>
      <w:r>
        <w:rPr>
          <w:rFonts w:ascii="Arial" w:hAnsi="Arial"/>
          <w:sz w:val="22"/>
        </w:rPr>
        <w:tab/>
      </w:r>
      <w:r>
        <w:rPr>
          <w:rFonts w:ascii="Arial" w:hAnsi="Arial"/>
          <w:sz w:val="22"/>
          <w:u w:val="single"/>
        </w:rPr>
        <w:t>Publication for Statistical Use</w:t>
      </w:r>
      <w:r>
        <w:rPr>
          <w:rFonts w:ascii="Arial" w:hAnsi="Arial"/>
          <w:sz w:val="22"/>
        </w:rPr>
        <w:tab/>
      </w:r>
    </w:p>
    <w:p w:rsidR="00543503" w:rsidRDefault="00543503" w:rsidP="000C106A">
      <w:pPr>
        <w:ind w:left="1440"/>
        <w:rPr>
          <w:rFonts w:ascii="Arial" w:hAnsi="Arial"/>
          <w:sz w:val="22"/>
        </w:rPr>
      </w:pPr>
      <w:proofErr w:type="gramStart"/>
      <w:r>
        <w:rPr>
          <w:rFonts w:ascii="Arial" w:hAnsi="Arial"/>
          <w:sz w:val="22"/>
        </w:rPr>
        <w:t>None.</w:t>
      </w:r>
      <w:proofErr w:type="gramEnd"/>
    </w:p>
    <w:p w:rsidR="00543503" w:rsidRDefault="00543503">
      <w:pPr>
        <w:rPr>
          <w:rFonts w:ascii="Arial" w:hAnsi="Arial"/>
          <w:sz w:val="22"/>
        </w:rPr>
      </w:pPr>
    </w:p>
    <w:p w:rsidR="00543503" w:rsidRDefault="00543503" w:rsidP="001A0164">
      <w:pPr>
        <w:ind w:left="1440" w:hanging="720"/>
        <w:rPr>
          <w:rFonts w:ascii="Arial" w:hAnsi="Arial"/>
          <w:sz w:val="22"/>
        </w:rPr>
      </w:pPr>
      <w:r>
        <w:rPr>
          <w:rFonts w:ascii="Arial" w:hAnsi="Arial"/>
          <w:sz w:val="22"/>
        </w:rPr>
        <w:t xml:space="preserve">17. </w:t>
      </w:r>
      <w:r>
        <w:rPr>
          <w:rFonts w:ascii="Arial" w:hAnsi="Arial"/>
          <w:sz w:val="22"/>
        </w:rPr>
        <w:tab/>
      </w:r>
      <w:r>
        <w:rPr>
          <w:rFonts w:ascii="Arial" w:hAnsi="Arial"/>
          <w:sz w:val="22"/>
          <w:u w:val="single"/>
        </w:rPr>
        <w:t>Reason for Not Displaying the Expiration Date</w:t>
      </w:r>
      <w:r>
        <w:rPr>
          <w:rFonts w:ascii="Arial" w:hAnsi="Arial"/>
          <w:sz w:val="22"/>
        </w:rPr>
        <w:t>.</w:t>
      </w:r>
    </w:p>
    <w:p w:rsidR="00543503" w:rsidRDefault="00543503">
      <w:pPr>
        <w:ind w:left="1440"/>
        <w:rPr>
          <w:rFonts w:ascii="Arial" w:hAnsi="Arial"/>
          <w:sz w:val="22"/>
        </w:rPr>
      </w:pPr>
      <w:r>
        <w:rPr>
          <w:rFonts w:ascii="Arial" w:hAnsi="Arial"/>
          <w:sz w:val="22"/>
        </w:rPr>
        <w:t>Not applicable.</w:t>
      </w:r>
    </w:p>
    <w:p w:rsidR="00543503" w:rsidRDefault="00543503">
      <w:pPr>
        <w:rPr>
          <w:rFonts w:ascii="Arial" w:hAnsi="Arial"/>
          <w:sz w:val="22"/>
        </w:rPr>
      </w:pPr>
    </w:p>
    <w:p w:rsidR="00543503" w:rsidRDefault="00543503" w:rsidP="001A0164">
      <w:pPr>
        <w:ind w:left="1440" w:hanging="720"/>
        <w:rPr>
          <w:rFonts w:ascii="Arial" w:hAnsi="Arial"/>
          <w:sz w:val="22"/>
        </w:rPr>
      </w:pPr>
      <w:r>
        <w:rPr>
          <w:rFonts w:ascii="Arial" w:hAnsi="Arial"/>
          <w:sz w:val="22"/>
        </w:rPr>
        <w:t xml:space="preserve">18. </w:t>
      </w:r>
      <w:r>
        <w:rPr>
          <w:rFonts w:ascii="Arial" w:hAnsi="Arial"/>
          <w:sz w:val="22"/>
        </w:rPr>
        <w:tab/>
      </w:r>
      <w:r>
        <w:rPr>
          <w:rFonts w:ascii="Arial" w:hAnsi="Arial"/>
          <w:sz w:val="22"/>
          <w:u w:val="single"/>
        </w:rPr>
        <w:t>Exceptions to the Certification Statement</w:t>
      </w:r>
      <w:r>
        <w:rPr>
          <w:rFonts w:ascii="Arial" w:hAnsi="Arial"/>
          <w:sz w:val="22"/>
        </w:rPr>
        <w:t>.</w:t>
      </w:r>
    </w:p>
    <w:p w:rsidR="00543503" w:rsidRDefault="00543503">
      <w:pPr>
        <w:ind w:left="1440"/>
        <w:rPr>
          <w:rFonts w:ascii="Arial" w:hAnsi="Arial"/>
          <w:sz w:val="22"/>
        </w:rPr>
      </w:pPr>
      <w:r>
        <w:rPr>
          <w:rFonts w:ascii="Arial" w:hAnsi="Arial"/>
          <w:sz w:val="22"/>
        </w:rPr>
        <w:t>Not applicable.</w:t>
      </w:r>
    </w:p>
    <w:p w:rsidR="00543503" w:rsidRDefault="00543503">
      <w:pPr>
        <w:rPr>
          <w:rFonts w:ascii="Arial" w:hAnsi="Arial"/>
          <w:sz w:val="22"/>
        </w:rPr>
      </w:pPr>
    </w:p>
    <w:p w:rsidR="00543503" w:rsidRDefault="00543503">
      <w:pPr>
        <w:pStyle w:val="Level1"/>
        <w:widowControl/>
        <w:ind w:left="720" w:hanging="720"/>
        <w:rPr>
          <w:rFonts w:ascii="Arial" w:hAnsi="Arial"/>
          <w:sz w:val="22"/>
        </w:rPr>
      </w:pPr>
      <w:r>
        <w:rPr>
          <w:rFonts w:ascii="Arial" w:hAnsi="Arial"/>
          <w:sz w:val="22"/>
        </w:rPr>
        <w:t xml:space="preserve">B. </w:t>
      </w:r>
      <w:r>
        <w:rPr>
          <w:rFonts w:ascii="Arial" w:hAnsi="Arial"/>
          <w:sz w:val="22"/>
        </w:rPr>
        <w:tab/>
        <w:t>COLLECTION OF INFORMATION EMPLOYING STATISTICAL METHODS</w:t>
      </w:r>
    </w:p>
    <w:p w:rsidR="00543503" w:rsidRDefault="00543503">
      <w:pPr>
        <w:rPr>
          <w:rFonts w:ascii="Arial" w:hAnsi="Arial"/>
          <w:sz w:val="22"/>
        </w:rPr>
      </w:pPr>
    </w:p>
    <w:p w:rsidR="00543503" w:rsidRDefault="00543503" w:rsidP="002F73C5">
      <w:pPr>
        <w:spacing w:line="240" w:lineRule="atLeast"/>
      </w:pPr>
      <w:r>
        <w:rPr>
          <w:rFonts w:ascii="Arial" w:hAnsi="Arial"/>
          <w:sz w:val="22"/>
        </w:rPr>
        <w:tab/>
        <w:t>Statistical methods are not used in this information collection.</w:t>
      </w:r>
    </w:p>
    <w:sectPr w:rsidR="00543503" w:rsidSect="000E2DD4">
      <w:headerReference w:type="even" r:id="rId8"/>
      <w:headerReference w:type="default" r:id="rId9"/>
      <w:footerReference w:type="even" r:id="rId10"/>
      <w:footerReference w:type="default" r:id="rId11"/>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FD7" w:rsidRDefault="00E65FD7">
      <w:r>
        <w:separator/>
      </w:r>
    </w:p>
  </w:endnote>
  <w:endnote w:type="continuationSeparator" w:id="0">
    <w:p w:rsidR="00E65FD7" w:rsidRDefault="00E6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A5" w:rsidRPr="00A148DE" w:rsidRDefault="005678A5">
    <w:pPr>
      <w:framePr w:w="9360" w:h="256" w:hRule="exact" w:wrap="notBeside" w:vAnchor="page" w:hAnchor="text" w:y="14400"/>
      <w:tabs>
        <w:tab w:val="left" w:pos="14"/>
      </w:tabs>
      <w:spacing w:line="240" w:lineRule="atLeast"/>
      <w:jc w:val="center"/>
      <w:rPr>
        <w:rFonts w:ascii="Arial" w:hAnsi="Arial" w:cs="Arial"/>
        <w:vanish/>
      </w:rPr>
    </w:pPr>
    <w:r w:rsidRPr="00A148DE">
      <w:rPr>
        <w:rFonts w:ascii="Arial" w:hAnsi="Arial" w:cs="Arial"/>
        <w:sz w:val="22"/>
      </w:rPr>
      <w:pgNum/>
    </w:r>
  </w:p>
  <w:p w:rsidR="005678A5" w:rsidRDefault="005678A5">
    <w:pPr>
      <w:tabs>
        <w:tab w:val="left" w:pos="1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A5" w:rsidRPr="00F62B65" w:rsidRDefault="005678A5">
    <w:pPr>
      <w:framePr w:w="9360" w:h="256" w:hRule="exact" w:wrap="notBeside" w:vAnchor="page" w:hAnchor="text" w:y="14400"/>
      <w:tabs>
        <w:tab w:val="left" w:pos="14"/>
      </w:tabs>
      <w:jc w:val="center"/>
      <w:rPr>
        <w:rFonts w:ascii="Arial" w:hAnsi="Arial" w:cs="Arial"/>
        <w:vanish/>
      </w:rPr>
    </w:pPr>
    <w:r w:rsidRPr="00F62B65">
      <w:rPr>
        <w:rFonts w:ascii="Arial" w:hAnsi="Arial" w:cs="Arial"/>
        <w:sz w:val="22"/>
      </w:rPr>
      <w:pgNum/>
    </w:r>
  </w:p>
  <w:p w:rsidR="005678A5" w:rsidRDefault="005678A5">
    <w:pPr>
      <w:tabs>
        <w:tab w:val="left" w:pos="14"/>
      </w:tab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FD7" w:rsidRDefault="00E65FD7">
      <w:r>
        <w:separator/>
      </w:r>
    </w:p>
  </w:footnote>
  <w:footnote w:type="continuationSeparator" w:id="0">
    <w:p w:rsidR="00E65FD7" w:rsidRDefault="00E65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A5" w:rsidRDefault="005678A5">
    <w:pPr>
      <w:tabs>
        <w:tab w:val="left" w:pos="1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A5" w:rsidRDefault="005678A5">
    <w:pPr>
      <w:tabs>
        <w:tab w:val="left" w:pos="1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0000002"/>
    <w:multiLevelType w:val="multilevel"/>
    <w:tmpl w:val="00000002"/>
    <w:lvl w:ilvl="0">
      <w:start w:val="13"/>
      <w:numFmt w:val="upperLetter"/>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2">
    <w:nsid w:val="00000003"/>
    <w:multiLevelType w:val="multilevel"/>
    <w:tmpl w:val="00000003"/>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3">
    <w:nsid w:val="00000004"/>
    <w:multiLevelType w:val="multilevel"/>
    <w:tmpl w:val="00000004"/>
    <w:lvl w:ilvl="0">
      <w:start w:val="2"/>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B5"/>
    <w:rsid w:val="000119AB"/>
    <w:rsid w:val="000A48F2"/>
    <w:rsid w:val="000C106A"/>
    <w:rsid w:val="000C1F2E"/>
    <w:rsid w:val="000C6DF9"/>
    <w:rsid w:val="000D2333"/>
    <w:rsid w:val="000E2DD4"/>
    <w:rsid w:val="00127CBD"/>
    <w:rsid w:val="001941F6"/>
    <w:rsid w:val="001A0164"/>
    <w:rsid w:val="001A4274"/>
    <w:rsid w:val="001C2F60"/>
    <w:rsid w:val="00201AEF"/>
    <w:rsid w:val="00213C83"/>
    <w:rsid w:val="00286598"/>
    <w:rsid w:val="00297E84"/>
    <w:rsid w:val="002A3928"/>
    <w:rsid w:val="002C415F"/>
    <w:rsid w:val="002E6861"/>
    <w:rsid w:val="002F73C5"/>
    <w:rsid w:val="00337737"/>
    <w:rsid w:val="003436EB"/>
    <w:rsid w:val="00375FD3"/>
    <w:rsid w:val="00380D32"/>
    <w:rsid w:val="00406DB5"/>
    <w:rsid w:val="00484D94"/>
    <w:rsid w:val="004B52A6"/>
    <w:rsid w:val="004C226A"/>
    <w:rsid w:val="004E1D04"/>
    <w:rsid w:val="0054002C"/>
    <w:rsid w:val="00543503"/>
    <w:rsid w:val="005557D8"/>
    <w:rsid w:val="005558B1"/>
    <w:rsid w:val="005618AA"/>
    <w:rsid w:val="00562E3B"/>
    <w:rsid w:val="00565ADB"/>
    <w:rsid w:val="005678A5"/>
    <w:rsid w:val="005C049C"/>
    <w:rsid w:val="005E4321"/>
    <w:rsid w:val="005F27C8"/>
    <w:rsid w:val="00612519"/>
    <w:rsid w:val="0066774B"/>
    <w:rsid w:val="006A2FD0"/>
    <w:rsid w:val="006A3848"/>
    <w:rsid w:val="006B53C7"/>
    <w:rsid w:val="006D4134"/>
    <w:rsid w:val="007235B6"/>
    <w:rsid w:val="00777542"/>
    <w:rsid w:val="0079107F"/>
    <w:rsid w:val="007927B2"/>
    <w:rsid w:val="00793F04"/>
    <w:rsid w:val="007D2D1D"/>
    <w:rsid w:val="0085649D"/>
    <w:rsid w:val="00860881"/>
    <w:rsid w:val="00883B93"/>
    <w:rsid w:val="008B1EE6"/>
    <w:rsid w:val="008C1F45"/>
    <w:rsid w:val="00913B1F"/>
    <w:rsid w:val="009649D7"/>
    <w:rsid w:val="009E439E"/>
    <w:rsid w:val="009F07DB"/>
    <w:rsid w:val="00A148DE"/>
    <w:rsid w:val="00AB2DD3"/>
    <w:rsid w:val="00AE4E0E"/>
    <w:rsid w:val="00B2373D"/>
    <w:rsid w:val="00BA721E"/>
    <w:rsid w:val="00BD3D49"/>
    <w:rsid w:val="00C4115A"/>
    <w:rsid w:val="00C53C51"/>
    <w:rsid w:val="00C861FC"/>
    <w:rsid w:val="00C911FA"/>
    <w:rsid w:val="00CC2EF3"/>
    <w:rsid w:val="00CF5C2F"/>
    <w:rsid w:val="00D23EE1"/>
    <w:rsid w:val="00D64924"/>
    <w:rsid w:val="00D67D00"/>
    <w:rsid w:val="00D7746F"/>
    <w:rsid w:val="00D970FD"/>
    <w:rsid w:val="00DB479F"/>
    <w:rsid w:val="00E056F8"/>
    <w:rsid w:val="00E3299D"/>
    <w:rsid w:val="00E471EA"/>
    <w:rsid w:val="00E512A3"/>
    <w:rsid w:val="00E65FD7"/>
    <w:rsid w:val="00E82D42"/>
    <w:rsid w:val="00E85804"/>
    <w:rsid w:val="00E85CCA"/>
    <w:rsid w:val="00E87A2A"/>
    <w:rsid w:val="00ED64F7"/>
    <w:rsid w:val="00F11489"/>
    <w:rsid w:val="00F4763B"/>
    <w:rsid w:val="00F54FA3"/>
    <w:rsid w:val="00F62B65"/>
    <w:rsid w:val="00F826A3"/>
    <w:rsid w:val="00FA42D4"/>
    <w:rsid w:val="00FE44E4"/>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FF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6DB5"/>
    <w:pPr>
      <w:tabs>
        <w:tab w:val="center" w:pos="4320"/>
        <w:tab w:val="right" w:pos="8640"/>
      </w:tabs>
    </w:pPr>
  </w:style>
  <w:style w:type="character" w:customStyle="1" w:styleId="HeaderChar">
    <w:name w:val="Header Char"/>
    <w:link w:val="Header"/>
    <w:uiPriority w:val="99"/>
    <w:semiHidden/>
    <w:rsid w:val="00AE688F"/>
    <w:rPr>
      <w:sz w:val="24"/>
    </w:rPr>
  </w:style>
  <w:style w:type="paragraph" w:customStyle="1" w:styleId="Level1">
    <w:name w:val="Level 1"/>
    <w:basedOn w:val="Normal"/>
    <w:rsid w:val="00FF3FFA"/>
    <w:pPr>
      <w:widowControl w:val="0"/>
    </w:pPr>
  </w:style>
  <w:style w:type="paragraph" w:customStyle="1" w:styleId="Level2">
    <w:name w:val="Level 2"/>
    <w:basedOn w:val="Normal"/>
    <w:rsid w:val="00FF3FFA"/>
    <w:pPr>
      <w:widowControl w:val="0"/>
    </w:pPr>
  </w:style>
  <w:style w:type="paragraph" w:customStyle="1" w:styleId="Level3">
    <w:name w:val="Level 3"/>
    <w:basedOn w:val="Normal"/>
    <w:rsid w:val="00FF3FFA"/>
    <w:pPr>
      <w:widowControl w:val="0"/>
    </w:pPr>
  </w:style>
  <w:style w:type="paragraph" w:customStyle="1" w:styleId="Level4">
    <w:name w:val="Level 4"/>
    <w:basedOn w:val="Normal"/>
    <w:rsid w:val="00FF3FFA"/>
    <w:pPr>
      <w:widowControl w:val="0"/>
    </w:pPr>
  </w:style>
  <w:style w:type="paragraph" w:customStyle="1" w:styleId="Level5">
    <w:name w:val="Level 5"/>
    <w:basedOn w:val="Normal"/>
    <w:rsid w:val="00FF3FFA"/>
    <w:pPr>
      <w:widowControl w:val="0"/>
    </w:pPr>
  </w:style>
  <w:style w:type="paragraph" w:customStyle="1" w:styleId="Level6">
    <w:name w:val="Level 6"/>
    <w:basedOn w:val="Normal"/>
    <w:rsid w:val="00FF3FFA"/>
    <w:pPr>
      <w:widowControl w:val="0"/>
    </w:pPr>
  </w:style>
  <w:style w:type="paragraph" w:customStyle="1" w:styleId="Level7">
    <w:name w:val="Level 7"/>
    <w:basedOn w:val="Normal"/>
    <w:rsid w:val="00FF3FFA"/>
    <w:pPr>
      <w:widowControl w:val="0"/>
    </w:pPr>
  </w:style>
  <w:style w:type="paragraph" w:customStyle="1" w:styleId="Level8">
    <w:name w:val="Level 8"/>
    <w:basedOn w:val="Normal"/>
    <w:rsid w:val="00FF3FFA"/>
    <w:pPr>
      <w:widowControl w:val="0"/>
    </w:pPr>
  </w:style>
  <w:style w:type="paragraph" w:customStyle="1" w:styleId="Level9">
    <w:name w:val="Level 9"/>
    <w:basedOn w:val="Normal"/>
    <w:rsid w:val="00FF3FFA"/>
    <w:pPr>
      <w:widowControl w:val="0"/>
    </w:pPr>
    <w:rPr>
      <w:b/>
    </w:rPr>
  </w:style>
  <w:style w:type="paragraph" w:styleId="Footer">
    <w:name w:val="footer"/>
    <w:basedOn w:val="Normal"/>
    <w:link w:val="FooterChar"/>
    <w:uiPriority w:val="99"/>
    <w:rsid w:val="00406DB5"/>
    <w:pPr>
      <w:tabs>
        <w:tab w:val="center" w:pos="4320"/>
        <w:tab w:val="right" w:pos="8640"/>
      </w:tabs>
    </w:pPr>
  </w:style>
  <w:style w:type="character" w:customStyle="1" w:styleId="FooterChar">
    <w:name w:val="Footer Char"/>
    <w:link w:val="Footer"/>
    <w:uiPriority w:val="99"/>
    <w:semiHidden/>
    <w:rsid w:val="00AE688F"/>
    <w:rPr>
      <w:sz w:val="24"/>
    </w:rPr>
  </w:style>
  <w:style w:type="character" w:styleId="CommentReference">
    <w:name w:val="annotation reference"/>
    <w:uiPriority w:val="99"/>
    <w:rsid w:val="00375FD3"/>
    <w:rPr>
      <w:rFonts w:cs="Times New Roman"/>
      <w:sz w:val="16"/>
      <w:szCs w:val="16"/>
    </w:rPr>
  </w:style>
  <w:style w:type="paragraph" w:styleId="CommentText">
    <w:name w:val="annotation text"/>
    <w:basedOn w:val="Normal"/>
    <w:link w:val="CommentTextChar"/>
    <w:uiPriority w:val="99"/>
    <w:rsid w:val="00375FD3"/>
    <w:rPr>
      <w:sz w:val="20"/>
    </w:rPr>
  </w:style>
  <w:style w:type="character" w:customStyle="1" w:styleId="CommentTextChar">
    <w:name w:val="Comment Text Char"/>
    <w:link w:val="CommentText"/>
    <w:uiPriority w:val="99"/>
    <w:locked/>
    <w:rsid w:val="00375FD3"/>
    <w:rPr>
      <w:rFonts w:cs="Times New Roman"/>
    </w:rPr>
  </w:style>
  <w:style w:type="paragraph" w:styleId="CommentSubject">
    <w:name w:val="annotation subject"/>
    <w:basedOn w:val="CommentText"/>
    <w:next w:val="CommentText"/>
    <w:link w:val="CommentSubjectChar"/>
    <w:uiPriority w:val="99"/>
    <w:rsid w:val="00375FD3"/>
    <w:rPr>
      <w:b/>
      <w:bCs/>
    </w:rPr>
  </w:style>
  <w:style w:type="character" w:customStyle="1" w:styleId="CommentSubjectChar">
    <w:name w:val="Comment Subject Char"/>
    <w:link w:val="CommentSubject"/>
    <w:uiPriority w:val="99"/>
    <w:locked/>
    <w:rsid w:val="00375FD3"/>
    <w:rPr>
      <w:rFonts w:cs="Times New Roman"/>
      <w:b/>
      <w:bCs/>
    </w:rPr>
  </w:style>
  <w:style w:type="paragraph" w:styleId="BalloonText">
    <w:name w:val="Balloon Text"/>
    <w:basedOn w:val="Normal"/>
    <w:link w:val="BalloonTextChar"/>
    <w:uiPriority w:val="99"/>
    <w:rsid w:val="00375FD3"/>
    <w:rPr>
      <w:rFonts w:ascii="Tahoma" w:hAnsi="Tahoma" w:cs="Tahoma"/>
      <w:sz w:val="16"/>
      <w:szCs w:val="16"/>
    </w:rPr>
  </w:style>
  <w:style w:type="character" w:customStyle="1" w:styleId="BalloonTextChar">
    <w:name w:val="Balloon Text Char"/>
    <w:link w:val="BalloonText"/>
    <w:uiPriority w:val="99"/>
    <w:locked/>
    <w:rsid w:val="00375F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FF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6DB5"/>
    <w:pPr>
      <w:tabs>
        <w:tab w:val="center" w:pos="4320"/>
        <w:tab w:val="right" w:pos="8640"/>
      </w:tabs>
    </w:pPr>
  </w:style>
  <w:style w:type="character" w:customStyle="1" w:styleId="HeaderChar">
    <w:name w:val="Header Char"/>
    <w:link w:val="Header"/>
    <w:uiPriority w:val="99"/>
    <w:semiHidden/>
    <w:rsid w:val="00AE688F"/>
    <w:rPr>
      <w:sz w:val="24"/>
    </w:rPr>
  </w:style>
  <w:style w:type="paragraph" w:customStyle="1" w:styleId="Level1">
    <w:name w:val="Level 1"/>
    <w:basedOn w:val="Normal"/>
    <w:rsid w:val="00FF3FFA"/>
    <w:pPr>
      <w:widowControl w:val="0"/>
    </w:pPr>
  </w:style>
  <w:style w:type="paragraph" w:customStyle="1" w:styleId="Level2">
    <w:name w:val="Level 2"/>
    <w:basedOn w:val="Normal"/>
    <w:rsid w:val="00FF3FFA"/>
    <w:pPr>
      <w:widowControl w:val="0"/>
    </w:pPr>
  </w:style>
  <w:style w:type="paragraph" w:customStyle="1" w:styleId="Level3">
    <w:name w:val="Level 3"/>
    <w:basedOn w:val="Normal"/>
    <w:rsid w:val="00FF3FFA"/>
    <w:pPr>
      <w:widowControl w:val="0"/>
    </w:pPr>
  </w:style>
  <w:style w:type="paragraph" w:customStyle="1" w:styleId="Level4">
    <w:name w:val="Level 4"/>
    <w:basedOn w:val="Normal"/>
    <w:rsid w:val="00FF3FFA"/>
    <w:pPr>
      <w:widowControl w:val="0"/>
    </w:pPr>
  </w:style>
  <w:style w:type="paragraph" w:customStyle="1" w:styleId="Level5">
    <w:name w:val="Level 5"/>
    <w:basedOn w:val="Normal"/>
    <w:rsid w:val="00FF3FFA"/>
    <w:pPr>
      <w:widowControl w:val="0"/>
    </w:pPr>
  </w:style>
  <w:style w:type="paragraph" w:customStyle="1" w:styleId="Level6">
    <w:name w:val="Level 6"/>
    <w:basedOn w:val="Normal"/>
    <w:rsid w:val="00FF3FFA"/>
    <w:pPr>
      <w:widowControl w:val="0"/>
    </w:pPr>
  </w:style>
  <w:style w:type="paragraph" w:customStyle="1" w:styleId="Level7">
    <w:name w:val="Level 7"/>
    <w:basedOn w:val="Normal"/>
    <w:rsid w:val="00FF3FFA"/>
    <w:pPr>
      <w:widowControl w:val="0"/>
    </w:pPr>
  </w:style>
  <w:style w:type="paragraph" w:customStyle="1" w:styleId="Level8">
    <w:name w:val="Level 8"/>
    <w:basedOn w:val="Normal"/>
    <w:rsid w:val="00FF3FFA"/>
    <w:pPr>
      <w:widowControl w:val="0"/>
    </w:pPr>
  </w:style>
  <w:style w:type="paragraph" w:customStyle="1" w:styleId="Level9">
    <w:name w:val="Level 9"/>
    <w:basedOn w:val="Normal"/>
    <w:rsid w:val="00FF3FFA"/>
    <w:pPr>
      <w:widowControl w:val="0"/>
    </w:pPr>
    <w:rPr>
      <w:b/>
    </w:rPr>
  </w:style>
  <w:style w:type="paragraph" w:styleId="Footer">
    <w:name w:val="footer"/>
    <w:basedOn w:val="Normal"/>
    <w:link w:val="FooterChar"/>
    <w:uiPriority w:val="99"/>
    <w:rsid w:val="00406DB5"/>
    <w:pPr>
      <w:tabs>
        <w:tab w:val="center" w:pos="4320"/>
        <w:tab w:val="right" w:pos="8640"/>
      </w:tabs>
    </w:pPr>
  </w:style>
  <w:style w:type="character" w:customStyle="1" w:styleId="FooterChar">
    <w:name w:val="Footer Char"/>
    <w:link w:val="Footer"/>
    <w:uiPriority w:val="99"/>
    <w:semiHidden/>
    <w:rsid w:val="00AE688F"/>
    <w:rPr>
      <w:sz w:val="24"/>
    </w:rPr>
  </w:style>
  <w:style w:type="character" w:styleId="CommentReference">
    <w:name w:val="annotation reference"/>
    <w:uiPriority w:val="99"/>
    <w:rsid w:val="00375FD3"/>
    <w:rPr>
      <w:rFonts w:cs="Times New Roman"/>
      <w:sz w:val="16"/>
      <w:szCs w:val="16"/>
    </w:rPr>
  </w:style>
  <w:style w:type="paragraph" w:styleId="CommentText">
    <w:name w:val="annotation text"/>
    <w:basedOn w:val="Normal"/>
    <w:link w:val="CommentTextChar"/>
    <w:uiPriority w:val="99"/>
    <w:rsid w:val="00375FD3"/>
    <w:rPr>
      <w:sz w:val="20"/>
    </w:rPr>
  </w:style>
  <w:style w:type="character" w:customStyle="1" w:styleId="CommentTextChar">
    <w:name w:val="Comment Text Char"/>
    <w:link w:val="CommentText"/>
    <w:uiPriority w:val="99"/>
    <w:locked/>
    <w:rsid w:val="00375FD3"/>
    <w:rPr>
      <w:rFonts w:cs="Times New Roman"/>
    </w:rPr>
  </w:style>
  <w:style w:type="paragraph" w:styleId="CommentSubject">
    <w:name w:val="annotation subject"/>
    <w:basedOn w:val="CommentText"/>
    <w:next w:val="CommentText"/>
    <w:link w:val="CommentSubjectChar"/>
    <w:uiPriority w:val="99"/>
    <w:rsid w:val="00375FD3"/>
    <w:rPr>
      <w:b/>
      <w:bCs/>
    </w:rPr>
  </w:style>
  <w:style w:type="character" w:customStyle="1" w:styleId="CommentSubjectChar">
    <w:name w:val="Comment Subject Char"/>
    <w:link w:val="CommentSubject"/>
    <w:uiPriority w:val="99"/>
    <w:locked/>
    <w:rsid w:val="00375FD3"/>
    <w:rPr>
      <w:rFonts w:cs="Times New Roman"/>
      <w:b/>
      <w:bCs/>
    </w:rPr>
  </w:style>
  <w:style w:type="paragraph" w:styleId="BalloonText">
    <w:name w:val="Balloon Text"/>
    <w:basedOn w:val="Normal"/>
    <w:link w:val="BalloonTextChar"/>
    <w:uiPriority w:val="99"/>
    <w:rsid w:val="00375FD3"/>
    <w:rPr>
      <w:rFonts w:ascii="Tahoma" w:hAnsi="Tahoma" w:cs="Tahoma"/>
      <w:sz w:val="16"/>
      <w:szCs w:val="16"/>
    </w:rPr>
  </w:style>
  <w:style w:type="character" w:customStyle="1" w:styleId="BalloonTextChar">
    <w:name w:val="Balloon Text Char"/>
    <w:link w:val="BalloonText"/>
    <w:uiPriority w:val="99"/>
    <w:locked/>
    <w:rsid w:val="00375F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17949">
      <w:bodyDiv w:val="1"/>
      <w:marLeft w:val="0"/>
      <w:marRight w:val="0"/>
      <w:marTop w:val="0"/>
      <w:marBottom w:val="0"/>
      <w:divBdr>
        <w:top w:val="none" w:sz="0" w:space="0" w:color="auto"/>
        <w:left w:val="none" w:sz="0" w:space="0" w:color="auto"/>
        <w:bottom w:val="none" w:sz="0" w:space="0" w:color="auto"/>
        <w:right w:val="none" w:sz="0" w:space="0" w:color="auto"/>
      </w:divBdr>
    </w:div>
    <w:div w:id="859510886">
      <w:bodyDiv w:val="1"/>
      <w:marLeft w:val="0"/>
      <w:marRight w:val="0"/>
      <w:marTop w:val="0"/>
      <w:marBottom w:val="0"/>
      <w:divBdr>
        <w:top w:val="none" w:sz="0" w:space="0" w:color="auto"/>
        <w:left w:val="none" w:sz="0" w:space="0" w:color="auto"/>
        <w:bottom w:val="none" w:sz="0" w:space="0" w:color="auto"/>
        <w:right w:val="none" w:sz="0" w:space="0" w:color="auto"/>
      </w:divBdr>
    </w:div>
    <w:div w:id="875898043">
      <w:bodyDiv w:val="1"/>
      <w:marLeft w:val="0"/>
      <w:marRight w:val="0"/>
      <w:marTop w:val="0"/>
      <w:marBottom w:val="0"/>
      <w:divBdr>
        <w:top w:val="none" w:sz="0" w:space="0" w:color="auto"/>
        <w:left w:val="none" w:sz="0" w:space="0" w:color="auto"/>
        <w:bottom w:val="none" w:sz="0" w:space="0" w:color="auto"/>
        <w:right w:val="none" w:sz="0" w:space="0" w:color="auto"/>
      </w:divBdr>
    </w:div>
    <w:div w:id="101641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Final OMB SUPPORTING STATEMENT FOR</vt:lpstr>
    </vt:vector>
  </TitlesOfParts>
  <Company>USNRC</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 FOR</dc:title>
  <dc:creator>tud</dc:creator>
  <cp:lastModifiedBy>Majeed, Fajr</cp:lastModifiedBy>
  <cp:revision>2</cp:revision>
  <cp:lastPrinted>2014-02-11T14:24:00Z</cp:lastPrinted>
  <dcterms:created xsi:type="dcterms:W3CDTF">2014-07-15T17:39:00Z</dcterms:created>
  <dcterms:modified xsi:type="dcterms:W3CDTF">2014-07-15T17:39:00Z</dcterms:modified>
</cp:coreProperties>
</file>