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E09" w:rsidRPr="00617B70" w:rsidRDefault="000E7D57" w:rsidP="00F54ECB">
      <w:pPr>
        <w:widowControl/>
        <w:jc w:val="center"/>
        <w:rPr>
          <w:rFonts w:ascii="Times New Roman" w:hAnsi="Times New Roman"/>
          <w:b/>
        </w:rPr>
      </w:pPr>
      <w:bookmarkStart w:id="0" w:name="_GoBack"/>
      <w:bookmarkEnd w:id="0"/>
      <w:r w:rsidRPr="00617B70">
        <w:rPr>
          <w:rFonts w:ascii="Times New Roman" w:hAnsi="Times New Roman"/>
          <w:b/>
        </w:rPr>
        <w:t>Supporting Statement for</w:t>
      </w:r>
      <w:r w:rsidR="002F4E09" w:rsidRPr="00617B70">
        <w:rPr>
          <w:rFonts w:ascii="Times New Roman" w:hAnsi="Times New Roman"/>
          <w:b/>
        </w:rPr>
        <w:t xml:space="preserve"> </w:t>
      </w:r>
      <w:r w:rsidR="004E5DDD" w:rsidRPr="00617B70">
        <w:rPr>
          <w:rFonts w:ascii="Times New Roman" w:hAnsi="Times New Roman"/>
          <w:b/>
        </w:rPr>
        <w:t>the</w:t>
      </w:r>
    </w:p>
    <w:p w:rsidR="000E7D57" w:rsidRDefault="009E798F" w:rsidP="00F54ECB">
      <w:pPr>
        <w:widowControl/>
        <w:jc w:val="center"/>
        <w:rPr>
          <w:rFonts w:ascii="Times New Roman" w:hAnsi="Times New Roman"/>
          <w:b/>
        </w:rPr>
      </w:pPr>
      <w:r>
        <w:rPr>
          <w:rFonts w:ascii="Times New Roman" w:hAnsi="Times New Roman"/>
          <w:b/>
        </w:rPr>
        <w:t>Annual Daylight Overdraft Capital Report for U.S Branches</w:t>
      </w:r>
    </w:p>
    <w:p w:rsidR="009E798F" w:rsidRPr="00617B70" w:rsidRDefault="009E798F" w:rsidP="00F54ECB">
      <w:pPr>
        <w:widowControl/>
        <w:jc w:val="center"/>
        <w:rPr>
          <w:rFonts w:ascii="Times New Roman" w:hAnsi="Times New Roman"/>
          <w:b/>
        </w:rPr>
      </w:pPr>
      <w:r>
        <w:rPr>
          <w:rFonts w:ascii="Times New Roman" w:hAnsi="Times New Roman"/>
          <w:b/>
        </w:rPr>
        <w:t>and Agencies of Foreign Banks</w:t>
      </w:r>
    </w:p>
    <w:p w:rsidR="000E7D57" w:rsidRPr="00617B70" w:rsidRDefault="000E7D57" w:rsidP="00F54ECB">
      <w:pPr>
        <w:widowControl/>
        <w:jc w:val="center"/>
        <w:rPr>
          <w:rFonts w:ascii="Times New Roman" w:hAnsi="Times New Roman"/>
        </w:rPr>
      </w:pPr>
      <w:r w:rsidRPr="00617B70">
        <w:rPr>
          <w:rFonts w:ascii="Times New Roman" w:hAnsi="Times New Roman"/>
          <w:b/>
        </w:rPr>
        <w:t>(</w:t>
      </w:r>
      <w:r w:rsidR="001E66E3">
        <w:rPr>
          <w:rFonts w:ascii="Times New Roman" w:hAnsi="Times New Roman"/>
          <w:b/>
        </w:rPr>
        <w:t>FR 2225</w:t>
      </w:r>
      <w:r w:rsidRPr="00617B70">
        <w:rPr>
          <w:rFonts w:ascii="Times New Roman" w:hAnsi="Times New Roman"/>
          <w:b/>
        </w:rPr>
        <w:t>; OMB No. 7100</w:t>
      </w:r>
      <w:r w:rsidR="004E5DDD" w:rsidRPr="00617B70">
        <w:rPr>
          <w:rFonts w:ascii="Times New Roman" w:hAnsi="Times New Roman"/>
          <w:b/>
        </w:rPr>
        <w:t>-</w:t>
      </w:r>
      <w:r w:rsidRPr="00617B70">
        <w:rPr>
          <w:rFonts w:ascii="Times New Roman" w:hAnsi="Times New Roman"/>
          <w:b/>
        </w:rPr>
        <w:t>0</w:t>
      </w:r>
      <w:r w:rsidR="001E66E3">
        <w:rPr>
          <w:rFonts w:ascii="Times New Roman" w:hAnsi="Times New Roman"/>
          <w:b/>
        </w:rPr>
        <w:t>21</w:t>
      </w:r>
      <w:r w:rsidRPr="00617B70">
        <w:rPr>
          <w:rFonts w:ascii="Times New Roman" w:hAnsi="Times New Roman"/>
          <w:b/>
        </w:rPr>
        <w:t>6)</w:t>
      </w:r>
    </w:p>
    <w:p w:rsidR="000E7D57" w:rsidRPr="00617B70" w:rsidRDefault="000E7D57" w:rsidP="00923E35">
      <w:pPr>
        <w:widowControl/>
        <w:rPr>
          <w:rFonts w:ascii="Times New Roman" w:hAnsi="Times New Roman"/>
        </w:rPr>
      </w:pPr>
    </w:p>
    <w:p w:rsidR="000E7D57" w:rsidRPr="00617B70" w:rsidRDefault="00E30374" w:rsidP="00923E35">
      <w:pPr>
        <w:widowControl/>
        <w:rPr>
          <w:rFonts w:ascii="Times New Roman" w:hAnsi="Times New Roman"/>
        </w:rPr>
      </w:pPr>
      <w:r w:rsidRPr="00617B70">
        <w:rPr>
          <w:rFonts w:ascii="Times New Roman" w:hAnsi="Times New Roman"/>
          <w:b/>
        </w:rPr>
        <w:t>Summary</w:t>
      </w:r>
    </w:p>
    <w:p w:rsidR="000E7D57" w:rsidRPr="00617B70" w:rsidRDefault="000E7D57" w:rsidP="00923E35">
      <w:pPr>
        <w:widowControl/>
        <w:rPr>
          <w:rFonts w:ascii="Times New Roman" w:hAnsi="Times New Roman"/>
        </w:rPr>
      </w:pPr>
    </w:p>
    <w:p w:rsidR="001E66E3" w:rsidRDefault="000E7D57" w:rsidP="00923E35">
      <w:pPr>
        <w:pStyle w:val="BodyTextIndent3"/>
        <w:widowControl/>
        <w:rPr>
          <w:rFonts w:ascii="Times New Roman" w:hAnsi="Times New Roman"/>
        </w:rPr>
      </w:pPr>
      <w:r w:rsidRPr="00617B70">
        <w:rPr>
          <w:rFonts w:ascii="Times New Roman" w:hAnsi="Times New Roman"/>
        </w:rPr>
        <w:t>The Board of Governor</w:t>
      </w:r>
      <w:r w:rsidR="002B45A8">
        <w:rPr>
          <w:rFonts w:ascii="Times New Roman" w:hAnsi="Times New Roman"/>
        </w:rPr>
        <w:t>s of the Federal Reserve System, under delegated authority</w:t>
      </w:r>
      <w:r w:rsidRPr="00617B70">
        <w:rPr>
          <w:rFonts w:ascii="Times New Roman" w:hAnsi="Times New Roman"/>
        </w:rPr>
        <w:t xml:space="preserve"> from the Office of Management and Budget (OMB)</w:t>
      </w:r>
      <w:r w:rsidR="002B45A8">
        <w:rPr>
          <w:rFonts w:ascii="Times New Roman" w:hAnsi="Times New Roman"/>
        </w:rPr>
        <w:t xml:space="preserve"> proposes</w:t>
      </w:r>
      <w:r w:rsidRPr="00617B70">
        <w:rPr>
          <w:rFonts w:ascii="Times New Roman" w:hAnsi="Times New Roman"/>
        </w:rPr>
        <w:t xml:space="preserve"> to</w:t>
      </w:r>
      <w:r w:rsidR="00EC19D3" w:rsidRPr="00617B70">
        <w:rPr>
          <w:rFonts w:ascii="Times New Roman" w:hAnsi="Times New Roman"/>
        </w:rPr>
        <w:t xml:space="preserve"> </w:t>
      </w:r>
      <w:r w:rsidR="00952A84" w:rsidRPr="00617B70">
        <w:rPr>
          <w:rFonts w:ascii="Times New Roman" w:hAnsi="Times New Roman"/>
        </w:rPr>
        <w:t>extend</w:t>
      </w:r>
      <w:r w:rsidR="006A1A48" w:rsidRPr="00617B70">
        <w:rPr>
          <w:rFonts w:ascii="Times New Roman" w:hAnsi="Times New Roman"/>
        </w:rPr>
        <w:t xml:space="preserve"> for three years</w:t>
      </w:r>
      <w:r w:rsidR="00952A84" w:rsidRPr="00617B70">
        <w:rPr>
          <w:rFonts w:ascii="Times New Roman" w:hAnsi="Times New Roman"/>
        </w:rPr>
        <w:t>, with</w:t>
      </w:r>
      <w:r w:rsidR="001E66E3">
        <w:rPr>
          <w:rFonts w:ascii="Times New Roman" w:hAnsi="Times New Roman"/>
        </w:rPr>
        <w:t>out</w:t>
      </w:r>
      <w:r w:rsidR="00952A84" w:rsidRPr="00617B70">
        <w:rPr>
          <w:rFonts w:ascii="Times New Roman" w:hAnsi="Times New Roman"/>
        </w:rPr>
        <w:t xml:space="preserve"> </w:t>
      </w:r>
      <w:r w:rsidR="00591815" w:rsidRPr="00617B70">
        <w:rPr>
          <w:rFonts w:ascii="Times New Roman" w:hAnsi="Times New Roman"/>
        </w:rPr>
        <w:t>revis</w:t>
      </w:r>
      <w:r w:rsidR="00952A84" w:rsidRPr="00617B70">
        <w:rPr>
          <w:rFonts w:ascii="Times New Roman" w:hAnsi="Times New Roman"/>
        </w:rPr>
        <w:t>ion,</w:t>
      </w:r>
      <w:r w:rsidRPr="00617B70">
        <w:rPr>
          <w:rFonts w:ascii="Times New Roman" w:hAnsi="Times New Roman"/>
        </w:rPr>
        <w:t xml:space="preserve"> </w:t>
      </w:r>
      <w:r w:rsidR="002B45A8">
        <w:rPr>
          <w:rFonts w:ascii="Times New Roman" w:hAnsi="Times New Roman"/>
        </w:rPr>
        <w:t xml:space="preserve">the </w:t>
      </w:r>
      <w:r w:rsidR="001E66E3">
        <w:rPr>
          <w:rFonts w:ascii="Times New Roman" w:hAnsi="Times New Roman"/>
        </w:rPr>
        <w:t>Annual Daylight Overdraft Capital Report for the U.S. Branches and Agencies of Foreign Banks</w:t>
      </w:r>
      <w:r w:rsidRPr="00617B70">
        <w:rPr>
          <w:rFonts w:ascii="Times New Roman" w:hAnsi="Times New Roman"/>
        </w:rPr>
        <w:t xml:space="preserve"> (F</w:t>
      </w:r>
      <w:r w:rsidR="001E66E3">
        <w:rPr>
          <w:rFonts w:ascii="Times New Roman" w:hAnsi="Times New Roman"/>
        </w:rPr>
        <w:t>R 2225</w:t>
      </w:r>
      <w:r w:rsidRPr="00617B70">
        <w:rPr>
          <w:rFonts w:ascii="Times New Roman" w:hAnsi="Times New Roman"/>
        </w:rPr>
        <w:t>; OMB No. 7100-0</w:t>
      </w:r>
      <w:r w:rsidR="001E66E3">
        <w:rPr>
          <w:rFonts w:ascii="Times New Roman" w:hAnsi="Times New Roman"/>
        </w:rPr>
        <w:t>216</w:t>
      </w:r>
      <w:r w:rsidRPr="00617B70">
        <w:rPr>
          <w:rFonts w:ascii="Times New Roman" w:hAnsi="Times New Roman"/>
        </w:rPr>
        <w:t xml:space="preserve">). </w:t>
      </w:r>
    </w:p>
    <w:p w:rsidR="001E66E3" w:rsidRDefault="001E66E3" w:rsidP="00923E35">
      <w:pPr>
        <w:pStyle w:val="BodyTextIndent3"/>
        <w:widowControl/>
        <w:rPr>
          <w:rFonts w:ascii="Times New Roman" w:hAnsi="Times New Roman"/>
        </w:rPr>
      </w:pPr>
    </w:p>
    <w:p w:rsidR="00F72DC7" w:rsidRDefault="00F72DC7" w:rsidP="00FF4BEA">
      <w:pPr>
        <w:widowControl/>
        <w:ind w:firstLine="720"/>
        <w:rPr>
          <w:rFonts w:ascii="Times New Roman" w:hAnsi="Times New Roman"/>
        </w:rPr>
      </w:pPr>
      <w:r>
        <w:rPr>
          <w:rFonts w:ascii="Times New Roman" w:hAnsi="Times New Roman"/>
        </w:rPr>
        <w:t xml:space="preserve">This report was implemented in March 1986 as part of the procedures used to administer the Federal Reserve's Payment System Risk (PSR) policy. </w:t>
      </w:r>
      <w:r w:rsidR="00E43A59">
        <w:rPr>
          <w:rFonts w:ascii="Times New Roman" w:hAnsi="Times New Roman"/>
        </w:rPr>
        <w:t xml:space="preserve"> </w:t>
      </w:r>
      <w:r>
        <w:rPr>
          <w:rFonts w:ascii="Times New Roman" w:hAnsi="Times New Roman"/>
        </w:rPr>
        <w:t xml:space="preserve">A key component of the PSR policy is a limit, or a net debit cap, on an institution’s negative intraday balance in its Reserve Bank account. </w:t>
      </w:r>
      <w:r w:rsidR="00E43A59">
        <w:rPr>
          <w:rFonts w:ascii="Times New Roman" w:hAnsi="Times New Roman"/>
        </w:rPr>
        <w:t xml:space="preserve"> </w:t>
      </w:r>
      <w:r>
        <w:rPr>
          <w:rFonts w:ascii="Times New Roman" w:hAnsi="Times New Roman"/>
        </w:rPr>
        <w:t xml:space="preserve">The Federal Reserve calculates an institution’s net debit cap by applying the multiple associated with the net debit cap category to the institution’s capital. </w:t>
      </w:r>
      <w:r w:rsidR="00E43A59">
        <w:rPr>
          <w:rFonts w:ascii="Times New Roman" w:hAnsi="Times New Roman"/>
        </w:rPr>
        <w:t xml:space="preserve"> </w:t>
      </w:r>
      <w:r>
        <w:rPr>
          <w:rFonts w:ascii="Times New Roman" w:hAnsi="Times New Roman"/>
        </w:rPr>
        <w:t>For foreign banking organizations (FBOs), a percentage of the FBO’s capital measure, known as the U.S. capital equivalency, is used to calculate the FBO’s net debit cap.</w:t>
      </w:r>
    </w:p>
    <w:p w:rsidR="00F72DC7" w:rsidRDefault="00F72DC7" w:rsidP="00F72DC7">
      <w:pPr>
        <w:widowControl/>
        <w:rPr>
          <w:rFonts w:ascii="Times New Roman" w:hAnsi="Times New Roman"/>
        </w:rPr>
      </w:pPr>
    </w:p>
    <w:p w:rsidR="00F72DC7" w:rsidRDefault="00F72DC7" w:rsidP="00FF4BEA">
      <w:pPr>
        <w:widowControl/>
        <w:ind w:firstLine="720"/>
        <w:rPr>
          <w:rFonts w:ascii="Times New Roman" w:hAnsi="Times New Roman"/>
        </w:rPr>
      </w:pPr>
      <w:r>
        <w:rPr>
          <w:rFonts w:ascii="Times New Roman" w:hAnsi="Times New Roman"/>
        </w:rPr>
        <w:t>FBOs that wish to establish a positive net debit cap and have a</w:t>
      </w:r>
      <w:r w:rsidR="00FF4BEA">
        <w:rPr>
          <w:rFonts w:ascii="Times New Roman" w:hAnsi="Times New Roman"/>
        </w:rPr>
        <w:t xml:space="preserve"> </w:t>
      </w:r>
      <w:r>
        <w:rPr>
          <w:rFonts w:ascii="Times New Roman" w:hAnsi="Times New Roman"/>
        </w:rPr>
        <w:t>strength of support assessment</w:t>
      </w:r>
      <w:r w:rsidR="00FF4BEA">
        <w:rPr>
          <w:rFonts w:ascii="Times New Roman" w:hAnsi="Times New Roman"/>
        </w:rPr>
        <w:t xml:space="preserve"> </w:t>
      </w:r>
      <w:r>
        <w:rPr>
          <w:rFonts w:ascii="Times New Roman" w:hAnsi="Times New Roman"/>
        </w:rPr>
        <w:t>(SOSA) 1 or SOSA 2 ranking or hold a financial holding company (FHC) designation are required to submit the FR 2225 to their Administrative Reserve Bank (ARB).</w:t>
      </w:r>
      <w:r w:rsidR="00FF4BEA" w:rsidRPr="00396B74">
        <w:rPr>
          <w:rStyle w:val="FootnoteReference"/>
          <w:rFonts w:ascii="Times New Roman" w:hAnsi="Times New Roman"/>
          <w:vertAlign w:val="superscript"/>
        </w:rPr>
        <w:footnoteReference w:id="1"/>
      </w:r>
      <w:r w:rsidR="00FF4BEA" w:rsidRPr="00396B74">
        <w:rPr>
          <w:rFonts w:ascii="Times New Roman" w:hAnsi="Times New Roman"/>
          <w:vertAlign w:val="superscript"/>
        </w:rPr>
        <w:t>,</w:t>
      </w:r>
      <w:r w:rsidR="00FF4BEA" w:rsidRPr="00396B74">
        <w:rPr>
          <w:rStyle w:val="FootnoteReference"/>
          <w:rFonts w:ascii="Times New Roman" w:hAnsi="Times New Roman"/>
          <w:vertAlign w:val="superscript"/>
        </w:rPr>
        <w:footnoteReference w:id="2"/>
      </w:r>
      <w:r w:rsidR="00FF4BEA">
        <w:rPr>
          <w:rFonts w:ascii="Times New Roman" w:hAnsi="Times New Roman"/>
        </w:rPr>
        <w:t xml:space="preserve">  </w:t>
      </w:r>
      <w:r>
        <w:rPr>
          <w:rFonts w:ascii="Times New Roman" w:hAnsi="Times New Roman"/>
        </w:rPr>
        <w:t>The current annual burden is estimated to be 51 hours.</w:t>
      </w:r>
    </w:p>
    <w:p w:rsidR="00D1724F" w:rsidRPr="00617B70" w:rsidRDefault="00D1724F" w:rsidP="00A223C3">
      <w:pPr>
        <w:widowControl/>
        <w:autoSpaceDE/>
        <w:autoSpaceDN/>
        <w:adjustRightInd/>
        <w:rPr>
          <w:rFonts w:ascii="Times New Roman" w:hAnsi="Times New Roman"/>
          <w:highlight w:val="yellow"/>
        </w:rPr>
      </w:pPr>
    </w:p>
    <w:p w:rsidR="000E7D57" w:rsidRPr="00617B70" w:rsidRDefault="000E7D57" w:rsidP="00A223C3">
      <w:pPr>
        <w:rPr>
          <w:rFonts w:ascii="Times New Roman" w:hAnsi="Times New Roman"/>
          <w:b/>
        </w:rPr>
      </w:pPr>
      <w:r w:rsidRPr="00617B70">
        <w:rPr>
          <w:rFonts w:ascii="Times New Roman" w:hAnsi="Times New Roman"/>
          <w:b/>
        </w:rPr>
        <w:t>Background</w:t>
      </w:r>
      <w:r w:rsidR="00F54ECB" w:rsidRPr="00617B70">
        <w:rPr>
          <w:rFonts w:ascii="Times New Roman" w:hAnsi="Times New Roman"/>
          <w:b/>
        </w:rPr>
        <w:t xml:space="preserve"> and Justification</w:t>
      </w:r>
    </w:p>
    <w:p w:rsidR="000E7D57" w:rsidRPr="00617B70" w:rsidRDefault="000E7D57" w:rsidP="00923E35">
      <w:pPr>
        <w:widowControl/>
        <w:tabs>
          <w:tab w:val="left" w:pos="360"/>
        </w:tabs>
        <w:rPr>
          <w:rFonts w:ascii="Times New Roman" w:hAnsi="Times New Roman"/>
        </w:rPr>
      </w:pPr>
    </w:p>
    <w:p w:rsidR="0009717A" w:rsidRPr="0009717A" w:rsidRDefault="0009717A" w:rsidP="0009717A">
      <w:pPr>
        <w:ind w:firstLine="720"/>
        <w:rPr>
          <w:rFonts w:ascii="Times New Roman" w:hAnsi="Times New Roman"/>
        </w:rPr>
      </w:pPr>
      <w:r w:rsidRPr="0009717A">
        <w:rPr>
          <w:rFonts w:ascii="Times New Roman" w:hAnsi="Times New Roman"/>
        </w:rPr>
        <w:t>In April 1985, the Federal Reserve Board adopted a policy to reduce risk on large-dollar payments systems.</w:t>
      </w:r>
      <w:r w:rsidRPr="0009717A">
        <w:rPr>
          <w:rFonts w:ascii="Times New Roman" w:hAnsi="Times New Roman"/>
          <w:vertAlign w:val="superscript"/>
        </w:rPr>
        <w:footnoteReference w:id="3"/>
      </w:r>
      <w:r w:rsidRPr="0009717A">
        <w:rPr>
          <w:rFonts w:ascii="Times New Roman" w:hAnsi="Times New Roman"/>
          <w:vertAlign w:val="superscript"/>
        </w:rPr>
        <w:t xml:space="preserve"> </w:t>
      </w:r>
      <w:r w:rsidRPr="0009717A">
        <w:rPr>
          <w:rFonts w:ascii="Times New Roman" w:hAnsi="Times New Roman"/>
        </w:rPr>
        <w:t xml:space="preserve"> Under the policy, all institutions that maintain a Federal Reserve account are assigned or may establish a net debit cap that represents a maximum limit on uncollateralized daylight overdrafts incurred in that account.</w:t>
      </w:r>
      <w:r w:rsidRPr="0009717A">
        <w:rPr>
          <w:rFonts w:ascii="Times New Roman" w:hAnsi="Times New Roman"/>
          <w:vertAlign w:val="superscript"/>
        </w:rPr>
        <w:footnoteReference w:id="4"/>
      </w:r>
      <w:r w:rsidRPr="0009717A">
        <w:rPr>
          <w:rFonts w:ascii="Times New Roman" w:hAnsi="Times New Roman"/>
        </w:rPr>
        <w:t xml:space="preserve">  A daylight overdraft occurs when the intraday balance in a depository institution's Federal Reserve account is negative.  An institution’s net debit cap category and its reported capital determine the size of the net debit cap.</w:t>
      </w:r>
    </w:p>
    <w:p w:rsidR="0009717A" w:rsidRPr="0009717A" w:rsidRDefault="0009717A" w:rsidP="0009717A">
      <w:pPr>
        <w:ind w:firstLine="720"/>
        <w:rPr>
          <w:rFonts w:ascii="Times New Roman" w:hAnsi="Times New Roman"/>
        </w:rPr>
      </w:pPr>
    </w:p>
    <w:p w:rsidR="0009717A" w:rsidRPr="0009717A" w:rsidRDefault="0009717A" w:rsidP="000816C8">
      <w:pPr>
        <w:widowControl/>
        <w:ind w:firstLine="720"/>
        <w:rPr>
          <w:rFonts w:ascii="Times New Roman" w:hAnsi="Times New Roman"/>
        </w:rPr>
      </w:pPr>
      <w:r w:rsidRPr="0009717A">
        <w:rPr>
          <w:rFonts w:ascii="Times New Roman" w:hAnsi="Times New Roman"/>
        </w:rPr>
        <w:t xml:space="preserve">Net debit caps for U.S. branches and agencies of foreign banks are calculated in the same manner as for domestic </w:t>
      </w:r>
      <w:proofErr w:type="gramStart"/>
      <w:r w:rsidRPr="0009717A">
        <w:rPr>
          <w:rFonts w:ascii="Times New Roman" w:hAnsi="Times New Roman"/>
        </w:rPr>
        <w:t>banks,</w:t>
      </w:r>
      <w:proofErr w:type="gramEnd"/>
      <w:r w:rsidRPr="0009717A">
        <w:rPr>
          <w:rFonts w:ascii="Times New Roman" w:hAnsi="Times New Roman"/>
        </w:rPr>
        <w:t xml:space="preserve"> by applying cap multiples to a capital measure.</w:t>
      </w:r>
      <w:r w:rsidRPr="0009717A">
        <w:rPr>
          <w:rFonts w:ascii="Times New Roman" w:hAnsi="Times New Roman"/>
          <w:vertAlign w:val="superscript"/>
        </w:rPr>
        <w:footnoteReference w:id="5"/>
      </w:r>
      <w:r w:rsidRPr="0009717A">
        <w:rPr>
          <w:rFonts w:ascii="Times New Roman" w:hAnsi="Times New Roman"/>
        </w:rPr>
        <w:t xml:space="preserve">  A depository </w:t>
      </w:r>
      <w:r w:rsidRPr="0009717A">
        <w:rPr>
          <w:rFonts w:ascii="Times New Roman" w:hAnsi="Times New Roman"/>
        </w:rPr>
        <w:lastRenderedPageBreak/>
        <w:t>institution’s cap class and associated cap multiple are determined through a self-assessment and a board of directors resolution for self-assessed institutions, through a board of directors resolution for de minimis institutions, or by assignment by the ARB.  The PSR policy incorporates SOSA rankings and FHC status in determining U.S. capital equivalency for an FBO.  The SOSA ranking is composed of four factors, including the FBO’s financial condition and prospects, the system of supervision in the FBO’s home country, the record of the home country’s government in support of the banking system or other sources of support for the FBO and transfer risk concerns.</w:t>
      </w:r>
      <w:r w:rsidRPr="0009717A">
        <w:rPr>
          <w:rFonts w:ascii="Times New Roman" w:hAnsi="Times New Roman"/>
          <w:vertAlign w:val="superscript"/>
        </w:rPr>
        <w:footnoteReference w:id="6"/>
      </w:r>
      <w:r w:rsidRPr="0009717A">
        <w:rPr>
          <w:rFonts w:ascii="Times New Roman" w:hAnsi="Times New Roman"/>
        </w:rPr>
        <w:t xml:space="preserve">  A combination of an FBO’s SOSA ranking and its FHC status determines the fraction of the institution’s capital measure used in calculating the institution’s cap.</w:t>
      </w:r>
      <w:r w:rsidRPr="0009717A">
        <w:rPr>
          <w:rFonts w:ascii="Times New Roman" w:hAnsi="Times New Roman"/>
          <w:vertAlign w:val="superscript"/>
        </w:rPr>
        <w:footnoteReference w:id="7"/>
      </w:r>
    </w:p>
    <w:p w:rsidR="000E7D57" w:rsidRPr="00617B70" w:rsidRDefault="000E7D57" w:rsidP="002F4E09">
      <w:pPr>
        <w:widowControl/>
        <w:tabs>
          <w:tab w:val="left" w:pos="360"/>
        </w:tabs>
        <w:rPr>
          <w:rFonts w:ascii="Times New Roman" w:hAnsi="Times New Roman"/>
          <w:bCs/>
          <w:highlight w:val="yellow"/>
        </w:rPr>
      </w:pPr>
    </w:p>
    <w:p w:rsidR="000E7D57" w:rsidRPr="00617B70" w:rsidRDefault="000E7D57" w:rsidP="002F4E09">
      <w:pPr>
        <w:widowControl/>
        <w:tabs>
          <w:tab w:val="left" w:pos="360"/>
        </w:tabs>
        <w:rPr>
          <w:rFonts w:ascii="Times New Roman" w:hAnsi="Times New Roman"/>
        </w:rPr>
      </w:pPr>
      <w:r w:rsidRPr="00617B70">
        <w:rPr>
          <w:rFonts w:ascii="Times New Roman" w:hAnsi="Times New Roman"/>
          <w:b/>
          <w:bCs/>
        </w:rPr>
        <w:t>Description of Information Collection</w:t>
      </w:r>
    </w:p>
    <w:p w:rsidR="000E7D57" w:rsidRPr="00617B70" w:rsidRDefault="000E7D57" w:rsidP="002F4E09">
      <w:pPr>
        <w:pStyle w:val="FootnoteText"/>
        <w:widowControl/>
        <w:tabs>
          <w:tab w:val="left" w:pos="360"/>
        </w:tabs>
        <w:autoSpaceDE w:val="0"/>
        <w:autoSpaceDN w:val="0"/>
        <w:adjustRightInd w:val="0"/>
        <w:rPr>
          <w:rFonts w:ascii="Times New Roman" w:hAnsi="Times New Roman"/>
          <w:snapToGrid/>
          <w:szCs w:val="24"/>
        </w:rPr>
      </w:pPr>
    </w:p>
    <w:p w:rsidR="0009717A" w:rsidRPr="0009717A" w:rsidRDefault="0009717A" w:rsidP="0009717A">
      <w:pPr>
        <w:widowControl/>
        <w:ind w:firstLine="720"/>
        <w:rPr>
          <w:rFonts w:ascii="Times New Roman" w:hAnsi="Times New Roman"/>
        </w:rPr>
      </w:pPr>
      <w:r w:rsidRPr="0009717A">
        <w:rPr>
          <w:rFonts w:ascii="Times New Roman" w:hAnsi="Times New Roman"/>
        </w:rPr>
        <w:t>The FR 2225 reporting form collects information needed to identify the respondent and its fiscal year end and to determine its capital and assets for purposes of daylight overdraft monitoring.  Four items, converted into U.S. dollars, are collected for the capital and assets determination:  capital for the FBO (item 1) adjusted to avoid double counting of capital used by any direct or indirect subsidiary of the FBO that also has access to Fedwire and has its own net debit cap (item 2), the FBO’s total capital base (item 3) used to calculate the net debit cap, and the FBO’s assets (item 4).</w:t>
      </w:r>
    </w:p>
    <w:p w:rsidR="0009717A" w:rsidRPr="0009717A" w:rsidRDefault="0009717A" w:rsidP="0009717A">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p>
    <w:p w:rsidR="0009717A" w:rsidRPr="0009717A" w:rsidRDefault="0009717A" w:rsidP="0009717A">
      <w:pPr>
        <w:widowControl/>
        <w:rPr>
          <w:rFonts w:ascii="Times New Roman" w:hAnsi="Times New Roman"/>
        </w:rPr>
      </w:pPr>
      <w:r w:rsidRPr="0009717A">
        <w:rPr>
          <w:rFonts w:ascii="Times New Roman" w:hAnsi="Times New Roman"/>
        </w:rPr>
        <w:tab/>
        <w:t>Respondents are not asked to submit any data that are not ordinarily disclosed to the public; however, if they do, the data must be identified and documented.  The Reserve Banks use items 1 and 2 as supplemental information to clarify the data reported in item 3.  Federal Reserve staff use the assets data reported in item 4 for analysis purposes.</w:t>
      </w:r>
    </w:p>
    <w:p w:rsidR="0009717A" w:rsidRPr="0009717A" w:rsidRDefault="0009717A" w:rsidP="0009717A">
      <w:pPr>
        <w:widowControl/>
        <w:tabs>
          <w:tab w:val="left" w:pos="0"/>
          <w:tab w:val="left" w:pos="720"/>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r w:rsidRPr="0009717A">
        <w:rPr>
          <w:rFonts w:ascii="Times New Roman" w:hAnsi="Times New Roman"/>
        </w:rPr>
        <w:tab/>
      </w:r>
    </w:p>
    <w:p w:rsidR="0009717A" w:rsidRPr="0009717A" w:rsidRDefault="0009717A" w:rsidP="0009717A">
      <w:pPr>
        <w:widowControl/>
        <w:rPr>
          <w:rFonts w:ascii="Times New Roman" w:hAnsi="Times New Roman"/>
        </w:rPr>
      </w:pPr>
      <w:r w:rsidRPr="0009717A">
        <w:rPr>
          <w:rFonts w:ascii="Times New Roman" w:hAnsi="Times New Roman"/>
        </w:rPr>
        <w:tab/>
        <w:t xml:space="preserve">An FBO choosing to file the FR 2225 must submit annually, following the end of the FBO’s fiscal year.  The PSR policy requires an FBO to file the FR 2225 if it requests a non-zero net debit cap.  An FBO may voluntarily submit the report more frequently to have its overdraft limit based on current data.  The net debit cap for an FBO’s U.S. branches and agencies is calculated on a consolidated basis for the FBO as a whole.  Therefore, an FBO with multiple offices in the U.S. submits only one form for the U.S. “family” of offices.  </w:t>
      </w:r>
    </w:p>
    <w:p w:rsidR="00541D7B" w:rsidRPr="00617B70" w:rsidRDefault="00541D7B" w:rsidP="00237554">
      <w:pPr>
        <w:spacing w:after="240"/>
        <w:contextualSpacing/>
        <w:rPr>
          <w:rFonts w:ascii="Times New Roman" w:hAnsi="Times New Roman"/>
        </w:rPr>
      </w:pPr>
    </w:p>
    <w:p w:rsidR="000E7D57" w:rsidRPr="00617B70" w:rsidRDefault="000E7D57" w:rsidP="00237554">
      <w:pPr>
        <w:widowControl/>
        <w:autoSpaceDE/>
        <w:autoSpaceDN/>
        <w:adjustRightInd/>
        <w:contextualSpacing/>
        <w:rPr>
          <w:rFonts w:ascii="Times New Roman" w:hAnsi="Times New Roman"/>
        </w:rPr>
      </w:pPr>
      <w:r w:rsidRPr="00617B70">
        <w:rPr>
          <w:rFonts w:ascii="Times New Roman" w:hAnsi="Times New Roman"/>
          <w:b/>
          <w:bCs/>
        </w:rPr>
        <w:t>Time Schedule for Information Collection</w:t>
      </w:r>
    </w:p>
    <w:p w:rsidR="000E7D57" w:rsidRDefault="000E7D57" w:rsidP="00237554">
      <w:pPr>
        <w:widowControl/>
        <w:tabs>
          <w:tab w:val="left" w:pos="360"/>
        </w:tabs>
        <w:contextualSpacing/>
        <w:rPr>
          <w:rFonts w:ascii="Times New Roman" w:hAnsi="Times New Roman"/>
        </w:rPr>
      </w:pPr>
    </w:p>
    <w:p w:rsidR="00880346" w:rsidRDefault="00880346" w:rsidP="009E798F">
      <w:pPr>
        <w:widowControl/>
        <w:ind w:firstLine="720"/>
        <w:rPr>
          <w:rFonts w:ascii="Times New Roman" w:hAnsi="Times New Roman"/>
        </w:rPr>
      </w:pPr>
      <w:r>
        <w:rPr>
          <w:rFonts w:ascii="Times New Roman" w:hAnsi="Times New Roman"/>
        </w:rPr>
        <w:t>The FR 2225 is due three months after the respondent’s fiscal year-end. The U.S. office of the</w:t>
      </w:r>
      <w:r w:rsidR="00F72DC7">
        <w:rPr>
          <w:rFonts w:ascii="Times New Roman" w:hAnsi="Times New Roman"/>
        </w:rPr>
        <w:t xml:space="preserve"> </w:t>
      </w:r>
      <w:r>
        <w:rPr>
          <w:rFonts w:ascii="Times New Roman" w:hAnsi="Times New Roman"/>
        </w:rPr>
        <w:t xml:space="preserve">reporting FBO submits the data directly to the Federal Reserve Bank stated in the </w:t>
      </w:r>
      <w:r w:rsidR="009E798F">
        <w:rPr>
          <w:rFonts w:ascii="Times New Roman" w:hAnsi="Times New Roman"/>
        </w:rPr>
        <w:t>r</w:t>
      </w:r>
      <w:r>
        <w:rPr>
          <w:rFonts w:ascii="Times New Roman" w:hAnsi="Times New Roman"/>
        </w:rPr>
        <w:t>eporting</w:t>
      </w:r>
      <w:r w:rsidR="00F72DC7">
        <w:rPr>
          <w:rFonts w:ascii="Times New Roman" w:hAnsi="Times New Roman"/>
        </w:rPr>
        <w:t xml:space="preserve"> </w:t>
      </w:r>
      <w:r>
        <w:rPr>
          <w:rFonts w:ascii="Times New Roman" w:hAnsi="Times New Roman"/>
        </w:rPr>
        <w:t>instructions. If the reporting FBO has more than one U.S. office, one office is designated as the</w:t>
      </w:r>
      <w:r w:rsidR="00F72DC7">
        <w:rPr>
          <w:rFonts w:ascii="Times New Roman" w:hAnsi="Times New Roman"/>
        </w:rPr>
        <w:t xml:space="preserve"> </w:t>
      </w:r>
      <w:r>
        <w:rPr>
          <w:rFonts w:ascii="Times New Roman" w:hAnsi="Times New Roman"/>
        </w:rPr>
        <w:t>reporting office and serves as the FBO’s representative on all matters involving compliance with the PSR policy.</w:t>
      </w:r>
    </w:p>
    <w:p w:rsidR="00880346" w:rsidRDefault="00880346" w:rsidP="00880346">
      <w:pPr>
        <w:widowControl/>
        <w:rPr>
          <w:rFonts w:ascii="Times New Roman" w:hAnsi="Times New Roman"/>
        </w:rPr>
      </w:pPr>
    </w:p>
    <w:p w:rsidR="000E7D57" w:rsidRPr="00617B70" w:rsidRDefault="000E7D57" w:rsidP="002F4E09">
      <w:pPr>
        <w:widowControl/>
        <w:tabs>
          <w:tab w:val="left" w:pos="360"/>
        </w:tabs>
        <w:rPr>
          <w:rFonts w:ascii="Times New Roman" w:hAnsi="Times New Roman"/>
        </w:rPr>
      </w:pPr>
      <w:r w:rsidRPr="00617B70">
        <w:rPr>
          <w:rFonts w:ascii="Times New Roman" w:hAnsi="Times New Roman"/>
          <w:b/>
          <w:bCs/>
        </w:rPr>
        <w:lastRenderedPageBreak/>
        <w:t>Legal Status</w:t>
      </w:r>
    </w:p>
    <w:p w:rsidR="000E7D57" w:rsidRPr="00617B70" w:rsidRDefault="000E7D57" w:rsidP="002F4E09">
      <w:pPr>
        <w:widowControl/>
        <w:tabs>
          <w:tab w:val="left" w:pos="360"/>
        </w:tabs>
        <w:rPr>
          <w:rFonts w:ascii="Times New Roman" w:hAnsi="Times New Roman"/>
        </w:rPr>
      </w:pPr>
    </w:p>
    <w:p w:rsidR="0009717A" w:rsidRPr="00F84857" w:rsidRDefault="0009717A" w:rsidP="0009717A">
      <w:pPr>
        <w:ind w:firstLine="720"/>
        <w:rPr>
          <w:rFonts w:ascii="Times New Roman" w:hAnsi="Times New Roman"/>
          <w:color w:val="000000"/>
        </w:rPr>
      </w:pPr>
      <w:r w:rsidRPr="00CF51BA">
        <w:rPr>
          <w:rFonts w:ascii="Times New Roman" w:hAnsi="Times New Roman"/>
        </w:rPr>
        <w:t xml:space="preserve">The Federal Reserve Board's Legal Division has determined that the FR 2225 is authorized by sections 11(i), 16, and 19(f) of the Federal Reserve Act (12 U.S.C. §248(i), §248-1 and §464).  An FBO is required to respond in order to obtain or retain a benefit, i.e., in order for the U.S. branch or agency of an FBO to establish and maintain a non-zero net debit cap.  The information submitted by respondents is not confidential; however, respondents may request confidential treatment for portions of the report.  Data may be considered confidential and exempt from disclosure under section (b)(4) of the Freedom of Information Act if it constitutes commercial or financial information and </w:t>
      </w:r>
      <w:r>
        <w:rPr>
          <w:rFonts w:ascii="Times New Roman" w:hAnsi="Times New Roman"/>
        </w:rPr>
        <w:t xml:space="preserve">public disclosure could result in substantial competitive harm to the submitting institution </w:t>
      </w:r>
      <w:r w:rsidRPr="00F84857">
        <w:rPr>
          <w:rFonts w:ascii="Times New Roman" w:hAnsi="Times New Roman"/>
        </w:rPr>
        <w:t>(5 U.S.C. §552(b)(4)).</w:t>
      </w:r>
    </w:p>
    <w:p w:rsidR="00880346" w:rsidRPr="00617B70" w:rsidRDefault="00880346" w:rsidP="00880346">
      <w:pPr>
        <w:widowControl/>
        <w:rPr>
          <w:rFonts w:ascii="Times New Roman" w:hAnsi="Times New Roman"/>
          <w:bCs/>
          <w:highlight w:val="yellow"/>
        </w:rPr>
      </w:pPr>
    </w:p>
    <w:p w:rsidR="000E7D57" w:rsidRPr="00617B70" w:rsidRDefault="000E7D57" w:rsidP="007040C1">
      <w:pPr>
        <w:widowControl/>
        <w:autoSpaceDE/>
        <w:autoSpaceDN/>
        <w:adjustRightInd/>
        <w:rPr>
          <w:rFonts w:ascii="Times New Roman" w:hAnsi="Times New Roman"/>
        </w:rPr>
      </w:pPr>
      <w:r w:rsidRPr="00617B70">
        <w:rPr>
          <w:rFonts w:ascii="Times New Roman" w:hAnsi="Times New Roman"/>
          <w:b/>
          <w:bCs/>
        </w:rPr>
        <w:t>Consultation Outside the Agency</w:t>
      </w:r>
      <w:r w:rsidR="00B2384E" w:rsidRPr="00617B70">
        <w:rPr>
          <w:rFonts w:ascii="Times New Roman" w:hAnsi="Times New Roman"/>
          <w:b/>
          <w:bCs/>
        </w:rPr>
        <w:t xml:space="preserve"> and Discussion of Public Comments</w:t>
      </w:r>
    </w:p>
    <w:p w:rsidR="000E7D57" w:rsidRPr="00617B70" w:rsidRDefault="000E7D57" w:rsidP="007040C1">
      <w:pPr>
        <w:widowControl/>
        <w:tabs>
          <w:tab w:val="left" w:pos="360"/>
        </w:tabs>
        <w:rPr>
          <w:rFonts w:ascii="Times New Roman" w:hAnsi="Times New Roman"/>
        </w:rPr>
      </w:pPr>
    </w:p>
    <w:p w:rsidR="001B4B66" w:rsidRPr="00880346" w:rsidRDefault="002B45A8" w:rsidP="00DA1B6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szCs w:val="24"/>
        </w:rPr>
      </w:pPr>
      <w:r>
        <w:rPr>
          <w:rFonts w:ascii="Times New Roman" w:hAnsi="Times New Roman"/>
          <w:sz w:val="24"/>
          <w:szCs w:val="24"/>
        </w:rPr>
        <w:t xml:space="preserve">On January 28, 2014 the Federal Reserve published a notice in the </w:t>
      </w:r>
      <w:r w:rsidRPr="002B45A8">
        <w:rPr>
          <w:rFonts w:ascii="Times New Roman" w:hAnsi="Times New Roman"/>
          <w:i/>
          <w:sz w:val="24"/>
          <w:szCs w:val="24"/>
        </w:rPr>
        <w:t>Federal Register</w:t>
      </w:r>
      <w:r>
        <w:rPr>
          <w:rFonts w:ascii="Times New Roman" w:hAnsi="Times New Roman"/>
          <w:sz w:val="24"/>
          <w:szCs w:val="24"/>
        </w:rPr>
        <w:t xml:space="preserve"> (79 FR 4468) requesting public comment for 60 days on the proposal to extend the FR 2225. The Federal Reserve did not receive any comments. On April 15, 2014, the Federal Reserve published a final notice in the </w:t>
      </w:r>
      <w:r w:rsidRPr="002B45A8">
        <w:rPr>
          <w:rFonts w:ascii="Times New Roman" w:hAnsi="Times New Roman"/>
          <w:i/>
          <w:sz w:val="24"/>
          <w:szCs w:val="24"/>
        </w:rPr>
        <w:t>Federal Register</w:t>
      </w:r>
      <w:r>
        <w:rPr>
          <w:rFonts w:ascii="Times New Roman" w:hAnsi="Times New Roman"/>
          <w:sz w:val="24"/>
          <w:szCs w:val="24"/>
        </w:rPr>
        <w:t xml:space="preserve"> (79 FR 21243) extending the FR 2225 as proposed. </w:t>
      </w:r>
    </w:p>
    <w:p w:rsidR="00241C7C" w:rsidRDefault="00241C7C" w:rsidP="00AC35CB">
      <w:pPr>
        <w:rPr>
          <w:rFonts w:ascii="Times New Roman" w:hAnsi="Times New Roman"/>
        </w:rPr>
      </w:pPr>
    </w:p>
    <w:p w:rsidR="000E7D57" w:rsidRPr="00617B70" w:rsidRDefault="000E7D57" w:rsidP="002F4E09">
      <w:pPr>
        <w:pStyle w:val="BodyText2"/>
        <w:tabs>
          <w:tab w:val="left" w:pos="720"/>
          <w:tab w:val="left" w:pos="810"/>
        </w:tabs>
        <w:spacing w:line="240" w:lineRule="auto"/>
        <w:rPr>
          <w:i w:val="0"/>
          <w:szCs w:val="24"/>
        </w:rPr>
      </w:pPr>
      <w:r w:rsidRPr="00617B70">
        <w:rPr>
          <w:i w:val="0"/>
          <w:szCs w:val="24"/>
        </w:rPr>
        <w:t>Estimate of Respondent Burden</w:t>
      </w:r>
    </w:p>
    <w:p w:rsidR="00BA5648" w:rsidRPr="00617B70" w:rsidRDefault="00BA5648" w:rsidP="002F4E09">
      <w:pPr>
        <w:pStyle w:val="BodyTextIndent3"/>
        <w:widowControl/>
        <w:ind w:firstLine="0"/>
        <w:rPr>
          <w:rFonts w:ascii="Times New Roman" w:hAnsi="Times New Roman"/>
          <w:highlight w:val="yellow"/>
        </w:rPr>
      </w:pPr>
    </w:p>
    <w:p w:rsidR="0009717A" w:rsidRPr="0009717A" w:rsidRDefault="0009717A" w:rsidP="0009717A">
      <w:pPr>
        <w:widowControl/>
        <w:ind w:firstLine="720"/>
        <w:rPr>
          <w:rFonts w:ascii="Times New Roman" w:hAnsi="Times New Roman"/>
        </w:rPr>
      </w:pPr>
      <w:r w:rsidRPr="0009717A">
        <w:rPr>
          <w:rFonts w:ascii="Times New Roman" w:hAnsi="Times New Roman"/>
        </w:rPr>
        <w:t>Assuming a response time of one hour, the annual reporting burden for the FR 2225 is estimated to be 51 hours based on the current number of FBOs with U.S. branches or agencies that have non-zero net debit caps and are ranked SOSA 1 or SOSA 2 or hold a financial holding company designation.  An FBO with multiple offices in the U.S. submits only one form for the U.S. “family” of offices.  The total burden represents less than 1 percent of the total Federal Reserve System paperwork burden.</w:t>
      </w:r>
    </w:p>
    <w:p w:rsidR="00396B74" w:rsidRPr="00617B70" w:rsidRDefault="00396B74" w:rsidP="00880346">
      <w:pPr>
        <w:widowControl/>
        <w:rPr>
          <w:rFonts w:ascii="Times New Roman" w:hAnsi="Times New Roman"/>
          <w:highlight w:val="yellow"/>
        </w:rPr>
      </w:pPr>
    </w:p>
    <w:tbl>
      <w:tblPr>
        <w:tblW w:w="0" w:type="auto"/>
        <w:tblInd w:w="120" w:type="dxa"/>
        <w:tblBorders>
          <w:top w:val="single" w:sz="8" w:space="0" w:color="000000"/>
          <w:bottom w:val="single" w:sz="8" w:space="0" w:color="000000"/>
        </w:tblBorders>
        <w:tblLayout w:type="fixed"/>
        <w:tblCellMar>
          <w:left w:w="120" w:type="dxa"/>
          <w:right w:w="120" w:type="dxa"/>
        </w:tblCellMar>
        <w:tblLook w:val="0000" w:firstRow="0" w:lastRow="0" w:firstColumn="0" w:lastColumn="0" w:noHBand="0" w:noVBand="0"/>
      </w:tblPr>
      <w:tblGrid>
        <w:gridCol w:w="2160"/>
        <w:gridCol w:w="1800"/>
        <w:gridCol w:w="1800"/>
        <w:gridCol w:w="1800"/>
        <w:gridCol w:w="1800"/>
      </w:tblGrid>
      <w:tr w:rsidR="000E7D57" w:rsidRPr="00617B70" w:rsidTr="00E43A59">
        <w:trPr>
          <w:trHeight w:val="1002"/>
        </w:trPr>
        <w:tc>
          <w:tcPr>
            <w:tcW w:w="2160" w:type="dxa"/>
            <w:tcBorders>
              <w:top w:val="single" w:sz="8" w:space="0" w:color="000000"/>
              <w:bottom w:val="nil"/>
            </w:tcBorders>
          </w:tcPr>
          <w:p w:rsidR="000E7D57" w:rsidRPr="00617B70" w:rsidRDefault="000E7D57">
            <w:pPr>
              <w:widowControl/>
              <w:tabs>
                <w:tab w:val="left" w:pos="360"/>
              </w:tabs>
              <w:spacing w:after="58"/>
              <w:rPr>
                <w:rFonts w:ascii="Times New Roman" w:hAnsi="Times New Roman"/>
              </w:rPr>
            </w:pPr>
          </w:p>
        </w:tc>
        <w:tc>
          <w:tcPr>
            <w:tcW w:w="1800" w:type="dxa"/>
            <w:tcBorders>
              <w:top w:val="single" w:sz="8" w:space="0" w:color="000000"/>
              <w:bottom w:val="nil"/>
            </w:tcBorders>
            <w:vAlign w:val="center"/>
          </w:tcPr>
          <w:p w:rsidR="00905999" w:rsidRPr="00617B70" w:rsidRDefault="000E7D57" w:rsidP="002F4E09">
            <w:pPr>
              <w:widowControl/>
              <w:tabs>
                <w:tab w:val="left" w:pos="360"/>
              </w:tabs>
              <w:spacing w:after="58"/>
              <w:jc w:val="center"/>
              <w:rPr>
                <w:rFonts w:ascii="Times New Roman" w:hAnsi="Times New Roman"/>
                <w:i/>
                <w:iCs/>
              </w:rPr>
            </w:pPr>
            <w:r w:rsidRPr="00617B70">
              <w:rPr>
                <w:rFonts w:ascii="Times New Roman" w:hAnsi="Times New Roman"/>
                <w:i/>
                <w:iCs/>
              </w:rPr>
              <w:t xml:space="preserve">Number </w:t>
            </w:r>
            <w:r w:rsidR="00905999" w:rsidRPr="00617B70">
              <w:rPr>
                <w:rFonts w:ascii="Times New Roman" w:hAnsi="Times New Roman"/>
                <w:i/>
                <w:iCs/>
              </w:rPr>
              <w:t>of</w:t>
            </w:r>
          </w:p>
          <w:p w:rsidR="000E7D57" w:rsidRPr="00617B70" w:rsidRDefault="006956DF" w:rsidP="00F72DC7">
            <w:pPr>
              <w:widowControl/>
              <w:tabs>
                <w:tab w:val="left" w:pos="360"/>
              </w:tabs>
              <w:spacing w:after="58"/>
              <w:jc w:val="center"/>
              <w:rPr>
                <w:rFonts w:ascii="Times New Roman" w:hAnsi="Times New Roman"/>
                <w:i/>
                <w:iCs/>
              </w:rPr>
            </w:pPr>
            <w:r w:rsidRPr="00617B70">
              <w:rPr>
                <w:rFonts w:ascii="Times New Roman" w:hAnsi="Times New Roman"/>
                <w:i/>
                <w:iCs/>
              </w:rPr>
              <w:t>respondents</w:t>
            </w:r>
          </w:p>
        </w:tc>
        <w:tc>
          <w:tcPr>
            <w:tcW w:w="1800" w:type="dxa"/>
            <w:tcBorders>
              <w:top w:val="single" w:sz="8" w:space="0" w:color="000000"/>
              <w:bottom w:val="nil"/>
            </w:tcBorders>
            <w:vAlign w:val="center"/>
          </w:tcPr>
          <w:p w:rsidR="00905999" w:rsidRPr="00617B70" w:rsidRDefault="00905999" w:rsidP="002F4E09">
            <w:pPr>
              <w:widowControl/>
              <w:tabs>
                <w:tab w:val="left" w:pos="360"/>
              </w:tabs>
              <w:spacing w:after="58"/>
              <w:jc w:val="center"/>
              <w:rPr>
                <w:rFonts w:ascii="Times New Roman" w:hAnsi="Times New Roman"/>
                <w:i/>
                <w:iCs/>
              </w:rPr>
            </w:pPr>
            <w:r w:rsidRPr="00617B70">
              <w:rPr>
                <w:rFonts w:ascii="Times New Roman" w:hAnsi="Times New Roman"/>
                <w:i/>
                <w:iCs/>
              </w:rPr>
              <w:t>Annual</w:t>
            </w:r>
          </w:p>
          <w:p w:rsidR="000E7D57" w:rsidRPr="00617B70" w:rsidRDefault="006956DF" w:rsidP="002F4E09">
            <w:pPr>
              <w:widowControl/>
              <w:tabs>
                <w:tab w:val="left" w:pos="360"/>
              </w:tabs>
              <w:spacing w:after="58"/>
              <w:jc w:val="center"/>
              <w:rPr>
                <w:rFonts w:ascii="Times New Roman" w:hAnsi="Times New Roman"/>
                <w:i/>
                <w:iCs/>
              </w:rPr>
            </w:pPr>
            <w:r w:rsidRPr="00617B70">
              <w:rPr>
                <w:rFonts w:ascii="Times New Roman" w:hAnsi="Times New Roman"/>
                <w:i/>
                <w:iCs/>
              </w:rPr>
              <w:t>frequency</w:t>
            </w:r>
          </w:p>
        </w:tc>
        <w:tc>
          <w:tcPr>
            <w:tcW w:w="1800" w:type="dxa"/>
            <w:tcBorders>
              <w:top w:val="single" w:sz="8" w:space="0" w:color="000000"/>
              <w:bottom w:val="nil"/>
            </w:tcBorders>
            <w:vAlign w:val="center"/>
          </w:tcPr>
          <w:p w:rsidR="00905999" w:rsidRPr="00617B70" w:rsidRDefault="00905999" w:rsidP="002F4E09">
            <w:pPr>
              <w:widowControl/>
              <w:tabs>
                <w:tab w:val="left" w:pos="360"/>
              </w:tabs>
              <w:spacing w:after="58"/>
              <w:jc w:val="center"/>
              <w:rPr>
                <w:rFonts w:ascii="Times New Roman" w:hAnsi="Times New Roman"/>
                <w:i/>
                <w:iCs/>
              </w:rPr>
            </w:pPr>
            <w:r w:rsidRPr="00617B70">
              <w:rPr>
                <w:rFonts w:ascii="Times New Roman" w:hAnsi="Times New Roman"/>
                <w:i/>
                <w:iCs/>
              </w:rPr>
              <w:t>Estimated</w:t>
            </w:r>
          </w:p>
          <w:p w:rsidR="00905999" w:rsidRPr="00617B70" w:rsidRDefault="006956DF" w:rsidP="002F4E09">
            <w:pPr>
              <w:widowControl/>
              <w:tabs>
                <w:tab w:val="left" w:pos="360"/>
              </w:tabs>
              <w:spacing w:after="58"/>
              <w:jc w:val="center"/>
              <w:rPr>
                <w:rFonts w:ascii="Times New Roman" w:hAnsi="Times New Roman"/>
                <w:i/>
                <w:iCs/>
              </w:rPr>
            </w:pPr>
            <w:r w:rsidRPr="00617B70">
              <w:rPr>
                <w:rFonts w:ascii="Times New Roman" w:hAnsi="Times New Roman"/>
                <w:i/>
                <w:iCs/>
              </w:rPr>
              <w:t>average hours</w:t>
            </w:r>
          </w:p>
          <w:p w:rsidR="000E7D57" w:rsidRPr="00617B70" w:rsidRDefault="006956DF" w:rsidP="002F4E09">
            <w:pPr>
              <w:widowControl/>
              <w:tabs>
                <w:tab w:val="left" w:pos="360"/>
              </w:tabs>
              <w:spacing w:after="58"/>
              <w:jc w:val="center"/>
              <w:rPr>
                <w:rFonts w:ascii="Times New Roman" w:hAnsi="Times New Roman"/>
                <w:i/>
                <w:iCs/>
              </w:rPr>
            </w:pPr>
            <w:r w:rsidRPr="00617B70">
              <w:rPr>
                <w:rFonts w:ascii="Times New Roman" w:hAnsi="Times New Roman"/>
                <w:i/>
                <w:iCs/>
              </w:rPr>
              <w:t>per response</w:t>
            </w:r>
          </w:p>
        </w:tc>
        <w:tc>
          <w:tcPr>
            <w:tcW w:w="1800" w:type="dxa"/>
            <w:tcBorders>
              <w:top w:val="single" w:sz="8" w:space="0" w:color="000000"/>
              <w:bottom w:val="nil"/>
            </w:tcBorders>
            <w:vAlign w:val="center"/>
          </w:tcPr>
          <w:p w:rsidR="00905999" w:rsidRPr="00617B70" w:rsidRDefault="00905999" w:rsidP="002F4E09">
            <w:pPr>
              <w:widowControl/>
              <w:tabs>
                <w:tab w:val="left" w:pos="360"/>
              </w:tabs>
              <w:spacing w:after="58"/>
              <w:jc w:val="center"/>
              <w:rPr>
                <w:rFonts w:ascii="Times New Roman" w:hAnsi="Times New Roman"/>
                <w:i/>
                <w:iCs/>
              </w:rPr>
            </w:pPr>
            <w:r w:rsidRPr="00617B70">
              <w:rPr>
                <w:rFonts w:ascii="Times New Roman" w:hAnsi="Times New Roman"/>
                <w:i/>
                <w:iCs/>
              </w:rPr>
              <w:t>Estimated</w:t>
            </w:r>
          </w:p>
          <w:p w:rsidR="00554870" w:rsidRPr="00617B70" w:rsidRDefault="00440498" w:rsidP="00440498">
            <w:pPr>
              <w:widowControl/>
              <w:tabs>
                <w:tab w:val="left" w:pos="360"/>
              </w:tabs>
              <w:spacing w:after="58"/>
              <w:jc w:val="center"/>
              <w:rPr>
                <w:rFonts w:ascii="Times New Roman" w:hAnsi="Times New Roman"/>
                <w:i/>
                <w:iCs/>
              </w:rPr>
            </w:pPr>
            <w:r w:rsidRPr="00617B70">
              <w:rPr>
                <w:rFonts w:ascii="Times New Roman" w:hAnsi="Times New Roman"/>
                <w:i/>
                <w:iCs/>
              </w:rPr>
              <w:t>a</w:t>
            </w:r>
            <w:r w:rsidR="006956DF" w:rsidRPr="00617B70">
              <w:rPr>
                <w:rFonts w:ascii="Times New Roman" w:hAnsi="Times New Roman"/>
                <w:i/>
                <w:iCs/>
              </w:rPr>
              <w:t>nnual</w:t>
            </w:r>
            <w:r w:rsidRPr="00617B70">
              <w:rPr>
                <w:rFonts w:ascii="Times New Roman" w:hAnsi="Times New Roman"/>
                <w:i/>
                <w:iCs/>
              </w:rPr>
              <w:t xml:space="preserve"> </w:t>
            </w:r>
            <w:r w:rsidR="002F4E09" w:rsidRPr="00617B70">
              <w:rPr>
                <w:rFonts w:ascii="Times New Roman" w:hAnsi="Times New Roman"/>
                <w:i/>
                <w:iCs/>
              </w:rPr>
              <w:t>b</w:t>
            </w:r>
            <w:r w:rsidR="006956DF" w:rsidRPr="00617B70">
              <w:rPr>
                <w:rFonts w:ascii="Times New Roman" w:hAnsi="Times New Roman"/>
                <w:i/>
                <w:iCs/>
              </w:rPr>
              <w:t>urden</w:t>
            </w:r>
          </w:p>
          <w:p w:rsidR="000E7D57" w:rsidRPr="00617B70" w:rsidRDefault="006956DF" w:rsidP="00440498">
            <w:pPr>
              <w:widowControl/>
              <w:tabs>
                <w:tab w:val="left" w:pos="360"/>
              </w:tabs>
              <w:spacing w:after="58"/>
              <w:jc w:val="center"/>
              <w:rPr>
                <w:rFonts w:ascii="Times New Roman" w:hAnsi="Times New Roman"/>
                <w:i/>
                <w:iCs/>
              </w:rPr>
            </w:pPr>
            <w:r w:rsidRPr="00617B70">
              <w:rPr>
                <w:rFonts w:ascii="Times New Roman" w:hAnsi="Times New Roman"/>
                <w:i/>
                <w:iCs/>
              </w:rPr>
              <w:t>hours</w:t>
            </w:r>
          </w:p>
        </w:tc>
      </w:tr>
      <w:tr w:rsidR="00905999" w:rsidRPr="00617B70" w:rsidTr="00E43A59">
        <w:trPr>
          <w:trHeight w:val="469"/>
        </w:trPr>
        <w:tc>
          <w:tcPr>
            <w:tcW w:w="2160" w:type="dxa"/>
            <w:tcBorders>
              <w:top w:val="nil"/>
            </w:tcBorders>
            <w:vAlign w:val="bottom"/>
          </w:tcPr>
          <w:p w:rsidR="00905999" w:rsidRPr="00880346" w:rsidRDefault="00880346" w:rsidP="002F4E09">
            <w:pPr>
              <w:widowControl/>
              <w:tabs>
                <w:tab w:val="left" w:pos="360"/>
              </w:tabs>
              <w:spacing w:after="58"/>
              <w:rPr>
                <w:rFonts w:ascii="Times New Roman" w:hAnsi="Times New Roman"/>
              </w:rPr>
            </w:pPr>
            <w:r w:rsidRPr="00880346">
              <w:rPr>
                <w:rFonts w:ascii="Times New Roman" w:hAnsi="Times New Roman"/>
              </w:rPr>
              <w:t>FR 2225</w:t>
            </w:r>
          </w:p>
        </w:tc>
        <w:tc>
          <w:tcPr>
            <w:tcW w:w="1800" w:type="dxa"/>
            <w:tcBorders>
              <w:top w:val="nil"/>
            </w:tcBorders>
            <w:vAlign w:val="bottom"/>
          </w:tcPr>
          <w:p w:rsidR="00905999" w:rsidRPr="00617B70" w:rsidRDefault="00880346" w:rsidP="00440498">
            <w:pPr>
              <w:widowControl/>
              <w:tabs>
                <w:tab w:val="left" w:pos="360"/>
              </w:tabs>
              <w:spacing w:after="58"/>
              <w:jc w:val="center"/>
              <w:rPr>
                <w:rFonts w:ascii="Times New Roman" w:hAnsi="Times New Roman"/>
              </w:rPr>
            </w:pPr>
            <w:r>
              <w:rPr>
                <w:rFonts w:ascii="Times New Roman" w:hAnsi="Times New Roman"/>
              </w:rPr>
              <w:t>51</w:t>
            </w:r>
          </w:p>
        </w:tc>
        <w:tc>
          <w:tcPr>
            <w:tcW w:w="1800" w:type="dxa"/>
            <w:tcBorders>
              <w:top w:val="nil"/>
            </w:tcBorders>
            <w:vAlign w:val="bottom"/>
          </w:tcPr>
          <w:p w:rsidR="00905999" w:rsidRPr="00617B70" w:rsidRDefault="00880346" w:rsidP="002F4E09">
            <w:pPr>
              <w:widowControl/>
              <w:tabs>
                <w:tab w:val="left" w:pos="360"/>
              </w:tabs>
              <w:spacing w:after="58"/>
              <w:jc w:val="center"/>
              <w:rPr>
                <w:rFonts w:ascii="Times New Roman" w:hAnsi="Times New Roman"/>
              </w:rPr>
            </w:pPr>
            <w:r>
              <w:rPr>
                <w:rFonts w:ascii="Times New Roman" w:hAnsi="Times New Roman"/>
              </w:rPr>
              <w:t>1</w:t>
            </w:r>
          </w:p>
        </w:tc>
        <w:tc>
          <w:tcPr>
            <w:tcW w:w="1800" w:type="dxa"/>
            <w:tcBorders>
              <w:top w:val="nil"/>
            </w:tcBorders>
            <w:vAlign w:val="bottom"/>
          </w:tcPr>
          <w:p w:rsidR="00905999" w:rsidRPr="00617B70" w:rsidRDefault="00880346" w:rsidP="006B33A6">
            <w:pPr>
              <w:widowControl/>
              <w:tabs>
                <w:tab w:val="left" w:pos="360"/>
              </w:tabs>
              <w:spacing w:after="58"/>
              <w:jc w:val="center"/>
              <w:rPr>
                <w:rFonts w:ascii="Times New Roman" w:hAnsi="Times New Roman"/>
              </w:rPr>
            </w:pPr>
            <w:r>
              <w:rPr>
                <w:rFonts w:ascii="Times New Roman" w:hAnsi="Times New Roman"/>
              </w:rPr>
              <w:t>1</w:t>
            </w:r>
          </w:p>
        </w:tc>
        <w:tc>
          <w:tcPr>
            <w:tcW w:w="1800" w:type="dxa"/>
            <w:tcBorders>
              <w:top w:val="nil"/>
            </w:tcBorders>
            <w:vAlign w:val="bottom"/>
          </w:tcPr>
          <w:p w:rsidR="00905999" w:rsidRPr="00617B70" w:rsidRDefault="00554870" w:rsidP="00554870">
            <w:pPr>
              <w:widowControl/>
              <w:tabs>
                <w:tab w:val="right" w:pos="1230"/>
              </w:tabs>
              <w:spacing w:after="58"/>
              <w:rPr>
                <w:rFonts w:ascii="Times New Roman" w:hAnsi="Times New Roman"/>
              </w:rPr>
            </w:pPr>
            <w:r w:rsidRPr="00617B70">
              <w:rPr>
                <w:rFonts w:ascii="Times New Roman" w:hAnsi="Times New Roman"/>
              </w:rPr>
              <w:tab/>
            </w:r>
            <w:r w:rsidR="00C82260" w:rsidRPr="00617B70">
              <w:rPr>
                <w:rFonts w:ascii="Times New Roman" w:hAnsi="Times New Roman"/>
              </w:rPr>
              <w:fldChar w:fldCharType="begin"/>
            </w:r>
            <w:r w:rsidR="00440498" w:rsidRPr="00617B70">
              <w:rPr>
                <w:rFonts w:ascii="Times New Roman" w:hAnsi="Times New Roman"/>
              </w:rPr>
              <w:instrText xml:space="preserve"> =b2*c2*d2 \# "#,##0" </w:instrText>
            </w:r>
            <w:r w:rsidR="00C82260" w:rsidRPr="00617B70">
              <w:rPr>
                <w:rFonts w:ascii="Times New Roman" w:hAnsi="Times New Roman"/>
              </w:rPr>
              <w:fldChar w:fldCharType="separate"/>
            </w:r>
            <w:r w:rsidR="00880346">
              <w:rPr>
                <w:rFonts w:ascii="Times New Roman" w:hAnsi="Times New Roman"/>
                <w:noProof/>
              </w:rPr>
              <w:t xml:space="preserve">  51</w:t>
            </w:r>
            <w:r w:rsidR="00C82260" w:rsidRPr="00617B70">
              <w:rPr>
                <w:rFonts w:ascii="Times New Roman" w:hAnsi="Times New Roman"/>
                <w:noProof/>
              </w:rPr>
              <w:fldChar w:fldCharType="end"/>
            </w:r>
          </w:p>
        </w:tc>
      </w:tr>
    </w:tbl>
    <w:p w:rsidR="00844FD2" w:rsidRPr="00617B70" w:rsidRDefault="00844FD2" w:rsidP="00804EB1">
      <w:pPr>
        <w:widowControl/>
        <w:jc w:val="both"/>
        <w:rPr>
          <w:rFonts w:ascii="Times New Roman" w:hAnsi="Times New Roman"/>
          <w:highlight w:val="yellow"/>
        </w:rPr>
      </w:pPr>
    </w:p>
    <w:p w:rsidR="00880346" w:rsidRPr="00F72DC7" w:rsidRDefault="00880346" w:rsidP="002F4E09">
      <w:pPr>
        <w:widowControl/>
        <w:ind w:firstLine="720"/>
        <w:rPr>
          <w:rFonts w:ascii="Times New Roman" w:hAnsi="Times New Roman"/>
          <w:sz w:val="20"/>
          <w:vertAlign w:val="superscript"/>
        </w:rPr>
      </w:pPr>
      <w:r>
        <w:rPr>
          <w:rFonts w:ascii="Times New Roman" w:hAnsi="Times New Roman"/>
        </w:rPr>
        <w:t>The total cost to Federal Reserve respondents is estimated to be $2,</w:t>
      </w:r>
      <w:r w:rsidR="00E43A59">
        <w:rPr>
          <w:rFonts w:ascii="Times New Roman" w:hAnsi="Times New Roman"/>
        </w:rPr>
        <w:t>596</w:t>
      </w:r>
      <w:r>
        <w:rPr>
          <w:rFonts w:ascii="Times New Roman" w:hAnsi="Times New Roman"/>
        </w:rPr>
        <w:t>.</w:t>
      </w:r>
      <w:r w:rsidR="00396B74" w:rsidRPr="00396B74">
        <w:rPr>
          <w:rStyle w:val="FootnoteReference"/>
          <w:rFonts w:ascii="Times New Roman" w:hAnsi="Times New Roman"/>
          <w:vertAlign w:val="superscript"/>
        </w:rPr>
        <w:footnoteReference w:id="8"/>
      </w:r>
    </w:p>
    <w:p w:rsidR="000E7D57" w:rsidRPr="00617B70" w:rsidRDefault="000E7D57" w:rsidP="002F4E09">
      <w:pPr>
        <w:widowControl/>
        <w:autoSpaceDE/>
        <w:autoSpaceDN/>
        <w:adjustRightInd/>
        <w:rPr>
          <w:rFonts w:ascii="Times New Roman" w:hAnsi="Times New Roman"/>
        </w:rPr>
      </w:pPr>
      <w:r w:rsidRPr="00617B70">
        <w:rPr>
          <w:rFonts w:ascii="Times New Roman" w:hAnsi="Times New Roman"/>
          <w:b/>
          <w:bCs/>
        </w:rPr>
        <w:t>Sensitive Questions</w:t>
      </w:r>
    </w:p>
    <w:p w:rsidR="000E7D57" w:rsidRPr="00617B70" w:rsidRDefault="000E7D57" w:rsidP="002F4E09">
      <w:pPr>
        <w:widowControl/>
        <w:tabs>
          <w:tab w:val="left" w:pos="360"/>
        </w:tabs>
        <w:rPr>
          <w:rFonts w:ascii="Times New Roman" w:hAnsi="Times New Roman"/>
        </w:rPr>
      </w:pPr>
    </w:p>
    <w:p w:rsidR="000E7D57" w:rsidRPr="00617B70" w:rsidRDefault="000E7D57" w:rsidP="002F4E09">
      <w:pPr>
        <w:pStyle w:val="BodyTextIndent3"/>
        <w:widowControl/>
        <w:rPr>
          <w:rFonts w:ascii="Times New Roman" w:hAnsi="Times New Roman"/>
        </w:rPr>
      </w:pPr>
      <w:r w:rsidRPr="00617B70">
        <w:rPr>
          <w:rFonts w:ascii="Times New Roman" w:hAnsi="Times New Roman"/>
        </w:rPr>
        <w:t>This collection of information contains no questions of a sensitive nature, as defined by OMB guidelines.</w:t>
      </w:r>
    </w:p>
    <w:p w:rsidR="009030D8" w:rsidRPr="00617B70" w:rsidRDefault="009030D8" w:rsidP="002F4E09">
      <w:pPr>
        <w:widowControl/>
        <w:tabs>
          <w:tab w:val="left" w:pos="360"/>
        </w:tabs>
        <w:rPr>
          <w:rFonts w:ascii="Times New Roman" w:hAnsi="Times New Roman"/>
          <w:bCs/>
          <w:highlight w:val="yellow"/>
        </w:rPr>
      </w:pPr>
    </w:p>
    <w:p w:rsidR="000E7D57" w:rsidRPr="00617B70" w:rsidRDefault="000E7D57" w:rsidP="002F4E09">
      <w:pPr>
        <w:widowControl/>
        <w:tabs>
          <w:tab w:val="left" w:pos="360"/>
        </w:tabs>
        <w:rPr>
          <w:rFonts w:ascii="Times New Roman" w:hAnsi="Times New Roman"/>
          <w:b/>
          <w:bCs/>
        </w:rPr>
      </w:pPr>
      <w:r w:rsidRPr="00617B70">
        <w:rPr>
          <w:rFonts w:ascii="Times New Roman" w:hAnsi="Times New Roman"/>
          <w:b/>
          <w:bCs/>
        </w:rPr>
        <w:t>Estimate of Cost to the Federal Reserve System</w:t>
      </w:r>
    </w:p>
    <w:p w:rsidR="00E95C27" w:rsidRPr="00617B70" w:rsidRDefault="00E95C27" w:rsidP="009030D8">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highlight w:val="yellow"/>
        </w:rPr>
      </w:pPr>
    </w:p>
    <w:p w:rsidR="00F72DC7" w:rsidRDefault="00F72DC7" w:rsidP="00DF0C56">
      <w:pPr>
        <w:widowControl/>
        <w:ind w:firstLine="720"/>
        <w:rPr>
          <w:rFonts w:ascii="Times New Roman" w:hAnsi="Times New Roman"/>
        </w:rPr>
      </w:pPr>
      <w:r>
        <w:rPr>
          <w:rFonts w:ascii="Times New Roman" w:hAnsi="Times New Roman"/>
        </w:rPr>
        <w:t>The estimated annual cost to the Federal Reserve Banks for collecting and processing this</w:t>
      </w:r>
      <w:r w:rsidR="00DF0C56">
        <w:rPr>
          <w:rFonts w:ascii="Times New Roman" w:hAnsi="Times New Roman"/>
        </w:rPr>
        <w:t xml:space="preserve"> </w:t>
      </w:r>
      <w:r>
        <w:rPr>
          <w:rFonts w:ascii="Times New Roman" w:hAnsi="Times New Roman"/>
        </w:rPr>
        <w:t xml:space="preserve">report </w:t>
      </w:r>
      <w:r w:rsidR="002B45A8">
        <w:rPr>
          <w:rFonts w:ascii="Times New Roman" w:hAnsi="Times New Roman"/>
        </w:rPr>
        <w:t>is $5,400</w:t>
      </w:r>
      <w:r>
        <w:rPr>
          <w:rFonts w:ascii="Times New Roman" w:hAnsi="Times New Roman"/>
        </w:rPr>
        <w:t>. Responses are not transmitted to the Federal Reserve Board.</w:t>
      </w:r>
    </w:p>
    <w:sectPr w:rsidR="00F72DC7" w:rsidSect="00635C35">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A59" w:rsidRDefault="00E43A59">
      <w:r>
        <w:separator/>
      </w:r>
    </w:p>
  </w:endnote>
  <w:endnote w:type="continuationSeparator" w:id="0">
    <w:p w:rsidR="00E43A59" w:rsidRDefault="00E4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59" w:rsidRPr="00E30374" w:rsidRDefault="00E43A59" w:rsidP="00E30374">
    <w:pPr>
      <w:pStyle w:val="Footer"/>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59" w:rsidRPr="00E30374" w:rsidRDefault="00E43A59" w:rsidP="00DC2A42">
    <w:pPr>
      <w:pStyle w:val="Footer"/>
      <w:tabs>
        <w:tab w:val="clear" w:pos="4320"/>
        <w:tab w:val="clear" w:pos="8640"/>
      </w:tabs>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175DF5">
      <w:rPr>
        <w:rStyle w:val="PageNumber"/>
        <w:rFonts w:ascii="Times New Roman" w:hAnsi="Times New Roman"/>
        <w:noProof/>
      </w:rPr>
      <w:t>3</w:t>
    </w:r>
    <w:r w:rsidRPr="00E30374">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A59" w:rsidRDefault="00E43A59">
      <w:r>
        <w:separator/>
      </w:r>
    </w:p>
  </w:footnote>
  <w:footnote w:type="continuationSeparator" w:id="0">
    <w:p w:rsidR="00E43A59" w:rsidRDefault="00E43A59">
      <w:r>
        <w:continuationSeparator/>
      </w:r>
    </w:p>
  </w:footnote>
  <w:footnote w:id="1">
    <w:p w:rsidR="00E43A59" w:rsidRPr="000816C8" w:rsidRDefault="00E43A59" w:rsidP="00FF4BEA">
      <w:pPr>
        <w:widowControl/>
        <w:rPr>
          <w:rFonts w:ascii="Times New Roman" w:hAnsi="Times New Roman"/>
          <w:sz w:val="20"/>
          <w:szCs w:val="20"/>
        </w:rPr>
      </w:pPr>
      <w:r w:rsidRPr="000816C8">
        <w:rPr>
          <w:rStyle w:val="FootnoteReference"/>
          <w:rFonts w:ascii="Times New Roman" w:hAnsi="Times New Roman"/>
          <w:sz w:val="20"/>
          <w:szCs w:val="20"/>
          <w:vertAlign w:val="superscript"/>
        </w:rPr>
        <w:footnoteRef/>
      </w:r>
      <w:r w:rsidRPr="000816C8">
        <w:rPr>
          <w:rFonts w:ascii="Times New Roman" w:hAnsi="Times New Roman"/>
          <w:sz w:val="20"/>
          <w:szCs w:val="20"/>
        </w:rPr>
        <w:t xml:space="preserve"> The Administrative Reserve Bank is responsible for managing an institution’s account relationship with the Federal Reserve.</w:t>
      </w:r>
    </w:p>
  </w:footnote>
  <w:footnote w:id="2">
    <w:p w:rsidR="00E43A59" w:rsidRPr="000816C8" w:rsidRDefault="00E43A59" w:rsidP="00FF4BEA">
      <w:pPr>
        <w:widowControl/>
        <w:rPr>
          <w:rFonts w:ascii="Times New Roman" w:hAnsi="Times New Roman"/>
          <w:sz w:val="20"/>
          <w:szCs w:val="20"/>
        </w:rPr>
      </w:pPr>
      <w:r w:rsidRPr="000816C8">
        <w:rPr>
          <w:rStyle w:val="FootnoteReference"/>
          <w:rFonts w:ascii="Times New Roman" w:hAnsi="Times New Roman"/>
          <w:sz w:val="20"/>
          <w:szCs w:val="20"/>
          <w:vertAlign w:val="superscript"/>
        </w:rPr>
        <w:footnoteRef/>
      </w:r>
      <w:r w:rsidRPr="000816C8">
        <w:rPr>
          <w:rFonts w:ascii="Times New Roman" w:hAnsi="Times New Roman"/>
          <w:sz w:val="20"/>
          <w:szCs w:val="20"/>
        </w:rPr>
        <w:t xml:space="preserve"> Most FBOs that are ranked SOSA 3 do not qualify for a positive net debit cap. </w:t>
      </w:r>
      <w:r>
        <w:rPr>
          <w:rFonts w:ascii="Times New Roman" w:hAnsi="Times New Roman"/>
          <w:sz w:val="20"/>
          <w:szCs w:val="20"/>
        </w:rPr>
        <w:t xml:space="preserve"> </w:t>
      </w:r>
      <w:proofErr w:type="gramStart"/>
      <w:r w:rsidRPr="000816C8">
        <w:rPr>
          <w:rFonts w:ascii="Times New Roman" w:hAnsi="Times New Roman"/>
          <w:sz w:val="20"/>
          <w:szCs w:val="20"/>
        </w:rPr>
        <w:t>In the event a Reserve Bank grants a net debit cap or extends intraday credit to a financially healthy SOSA 3-ranked FBO, the financially healthy</w:t>
      </w:r>
      <w:r w:rsidRPr="00E43A59">
        <w:rPr>
          <w:rFonts w:ascii="Times New Roman" w:hAnsi="Times New Roman"/>
          <w:sz w:val="20"/>
          <w:szCs w:val="20"/>
        </w:rPr>
        <w:t xml:space="preserve"> SOSA 3-ranked FBOs will have their U.S. capital equivalency based on their “Net due to related depository institutions” as reported on the Report of Assets and Liabilities of U.S. Branches and Agencies of Foreign Banks (FFIEC 002), Schedule RAL, Item 5.a, Column A, for the most recent quarter.</w:t>
      </w:r>
      <w:proofErr w:type="gramEnd"/>
    </w:p>
  </w:footnote>
  <w:footnote w:id="3">
    <w:p w:rsidR="00E43A59" w:rsidRPr="000816C8" w:rsidRDefault="00E43A59" w:rsidP="0009717A">
      <w:pPr>
        <w:pStyle w:val="FootnoteText"/>
        <w:rPr>
          <w:rFonts w:ascii="Times New Roman" w:hAnsi="Times New Roman"/>
          <w:sz w:val="20"/>
        </w:rPr>
      </w:pPr>
      <w:r w:rsidRPr="000816C8">
        <w:rPr>
          <w:rStyle w:val="FootnoteReference"/>
          <w:rFonts w:ascii="Times New Roman" w:hAnsi="Times New Roman"/>
          <w:sz w:val="20"/>
          <w:vertAlign w:val="superscript"/>
        </w:rPr>
        <w:footnoteRef/>
      </w:r>
      <w:r w:rsidRPr="000816C8">
        <w:rPr>
          <w:rFonts w:ascii="Times New Roman" w:hAnsi="Times New Roman"/>
          <w:sz w:val="20"/>
          <w:vertAlign w:val="superscript"/>
        </w:rPr>
        <w:t xml:space="preserve"> </w:t>
      </w:r>
      <w:r w:rsidRPr="000816C8">
        <w:rPr>
          <w:rFonts w:ascii="Times New Roman" w:hAnsi="Times New Roman"/>
          <w:snapToGrid/>
          <w:sz w:val="20"/>
        </w:rPr>
        <w:t>See 50 FR 21120 (</w:t>
      </w:r>
      <w:smartTag w:uri="urn:schemas-microsoft-com:office:smarttags" w:element="date">
        <w:smartTagPr>
          <w:attr w:name="Year" w:val="1985"/>
          <w:attr w:name="Day" w:val="22"/>
          <w:attr w:name="Month" w:val="5"/>
        </w:smartTagPr>
        <w:r w:rsidRPr="000816C8">
          <w:rPr>
            <w:rFonts w:ascii="Times New Roman" w:hAnsi="Times New Roman"/>
            <w:snapToGrid/>
            <w:sz w:val="20"/>
          </w:rPr>
          <w:t>May 22, 1985</w:t>
        </w:r>
      </w:smartTag>
      <w:r w:rsidRPr="000816C8">
        <w:rPr>
          <w:rFonts w:ascii="Times New Roman" w:hAnsi="Times New Roman"/>
          <w:snapToGrid/>
          <w:sz w:val="20"/>
        </w:rPr>
        <w:t>).</w:t>
      </w:r>
    </w:p>
  </w:footnote>
  <w:footnote w:id="4">
    <w:p w:rsidR="00E43A59" w:rsidRPr="000816C8" w:rsidRDefault="00E43A59" w:rsidP="0009717A">
      <w:pPr>
        <w:pStyle w:val="FootnoteText"/>
        <w:rPr>
          <w:rFonts w:ascii="Times New Roman" w:hAnsi="Times New Roman"/>
          <w:sz w:val="20"/>
        </w:rPr>
      </w:pPr>
      <w:r w:rsidRPr="000816C8">
        <w:rPr>
          <w:rStyle w:val="FootnoteReference"/>
          <w:rFonts w:ascii="Times New Roman" w:hAnsi="Times New Roman"/>
          <w:sz w:val="20"/>
          <w:vertAlign w:val="superscript"/>
        </w:rPr>
        <w:footnoteRef/>
      </w:r>
      <w:r w:rsidRPr="000816C8">
        <w:rPr>
          <w:rFonts w:ascii="Times New Roman" w:hAnsi="Times New Roman"/>
          <w:sz w:val="20"/>
        </w:rPr>
        <w:t xml:space="preserve"> </w:t>
      </w:r>
      <w:r w:rsidRPr="000816C8">
        <w:rPr>
          <w:rFonts w:ascii="Times New Roman" w:hAnsi="Times New Roman"/>
          <w:snapToGrid/>
          <w:sz w:val="20"/>
        </w:rPr>
        <w:t>In December 2008, the Board published its revised Federal Reserve Policy on Payment System Risk.  See 73 FR 79109 (December 24, 2008).</w:t>
      </w:r>
      <w:r w:rsidRPr="000816C8">
        <w:rPr>
          <w:rFonts w:ascii="Times New Roman" w:hAnsi="Times New Roman"/>
          <w:sz w:val="20"/>
        </w:rPr>
        <w:t xml:space="preserve">  </w:t>
      </w:r>
    </w:p>
  </w:footnote>
  <w:footnote w:id="5">
    <w:p w:rsidR="00E43A59" w:rsidRPr="000816C8" w:rsidRDefault="00E43A59" w:rsidP="0009717A">
      <w:pPr>
        <w:pStyle w:val="FootnoteText"/>
        <w:rPr>
          <w:rFonts w:ascii="Times New Roman" w:hAnsi="Times New Roman"/>
          <w:sz w:val="20"/>
        </w:rPr>
      </w:pPr>
      <w:r w:rsidRPr="000816C8">
        <w:rPr>
          <w:rStyle w:val="FootnoteReference"/>
          <w:rFonts w:ascii="Times New Roman" w:hAnsi="Times New Roman"/>
          <w:bCs/>
          <w:sz w:val="20"/>
          <w:vertAlign w:val="superscript"/>
        </w:rPr>
        <w:footnoteRef/>
      </w:r>
      <w:r w:rsidRPr="000816C8">
        <w:rPr>
          <w:rFonts w:ascii="Times New Roman" w:hAnsi="Times New Roman"/>
          <w:sz w:val="20"/>
        </w:rPr>
        <w:t xml:space="preserve"> U.S. branches and agencies of foreign banks are entities contained within and controlled by a foreign banking</w:t>
      </w:r>
      <w:r w:rsidRPr="0009717A">
        <w:rPr>
          <w:rFonts w:ascii="Times New Roman" w:hAnsi="Times New Roman"/>
          <w:sz w:val="20"/>
        </w:rPr>
        <w:t xml:space="preserve"> </w:t>
      </w:r>
      <w:r w:rsidRPr="000816C8">
        <w:rPr>
          <w:rFonts w:ascii="Times New Roman" w:hAnsi="Times New Roman"/>
          <w:sz w:val="20"/>
        </w:rPr>
        <w:t>organization.  For the definition of “branch” and “agency”, refer to 12 U.S.C. 3101 and 12 C.F.R. Part 211.21</w:t>
      </w:r>
    </w:p>
  </w:footnote>
  <w:footnote w:id="6">
    <w:p w:rsidR="00E43A59" w:rsidRPr="000816C8" w:rsidRDefault="00E43A59" w:rsidP="0009717A">
      <w:pPr>
        <w:pStyle w:val="FootnoteText"/>
        <w:rPr>
          <w:rFonts w:ascii="Times New Roman" w:hAnsi="Times New Roman"/>
          <w:sz w:val="20"/>
        </w:rPr>
      </w:pPr>
      <w:r w:rsidRPr="000816C8">
        <w:rPr>
          <w:rStyle w:val="FootnoteReference"/>
          <w:rFonts w:ascii="Times New Roman" w:hAnsi="Times New Roman"/>
          <w:sz w:val="20"/>
          <w:vertAlign w:val="superscript"/>
        </w:rPr>
        <w:footnoteRef/>
      </w:r>
      <w:r w:rsidRPr="000816C8">
        <w:rPr>
          <w:rFonts w:ascii="Times New Roman" w:hAnsi="Times New Roman"/>
          <w:sz w:val="20"/>
        </w:rPr>
        <w:t xml:space="preserve"> Transfer risk relates to the FBO’s ability to access and transmit U.S. dollars, which is an essential factor in determining whether an FBO can support its U.S. operations.  </w:t>
      </w:r>
    </w:p>
  </w:footnote>
  <w:footnote w:id="7">
    <w:p w:rsidR="00E43A59" w:rsidRPr="000816C8" w:rsidRDefault="00E43A59" w:rsidP="0009717A">
      <w:pPr>
        <w:pStyle w:val="FootnoteText"/>
        <w:rPr>
          <w:sz w:val="20"/>
        </w:rPr>
      </w:pPr>
      <w:r w:rsidRPr="000816C8">
        <w:rPr>
          <w:rStyle w:val="FootnoteReference"/>
          <w:rFonts w:ascii="Times New Roman" w:hAnsi="Times New Roman"/>
          <w:sz w:val="20"/>
          <w:vertAlign w:val="superscript"/>
        </w:rPr>
        <w:footnoteRef/>
      </w:r>
      <w:r w:rsidRPr="000816C8">
        <w:rPr>
          <w:rFonts w:ascii="Times New Roman" w:hAnsi="Times New Roman"/>
          <w:sz w:val="20"/>
        </w:rPr>
        <w:t xml:space="preserve"> The U.S. capital equivalency fractions are detailed in the </w:t>
      </w:r>
      <w:r w:rsidRPr="000816C8">
        <w:rPr>
          <w:rFonts w:ascii="Times New Roman" w:hAnsi="Times New Roman"/>
          <w:i/>
          <w:sz w:val="20"/>
        </w:rPr>
        <w:t xml:space="preserve">Guide to the Federal Reserve’s Payment System Risk Policy on Daylight Credit </w:t>
      </w:r>
      <w:r w:rsidRPr="000816C8">
        <w:rPr>
          <w:rFonts w:ascii="Times New Roman" w:hAnsi="Times New Roman"/>
          <w:sz w:val="20"/>
        </w:rPr>
        <w:t>available at</w:t>
      </w:r>
      <w:r w:rsidRPr="000816C8">
        <w:rPr>
          <w:rFonts w:ascii="Times New Roman" w:hAnsi="Times New Roman"/>
          <w:i/>
          <w:sz w:val="20"/>
        </w:rPr>
        <w:t xml:space="preserve"> </w:t>
      </w:r>
      <w:r w:rsidRPr="000816C8">
        <w:rPr>
          <w:rFonts w:ascii="Times New Roman" w:hAnsi="Times New Roman"/>
          <w:sz w:val="20"/>
        </w:rPr>
        <w:t>http://www.federalreserve.gov/paymentsystems/psr_guide.htm.</w:t>
      </w:r>
    </w:p>
  </w:footnote>
  <w:footnote w:id="8">
    <w:p w:rsidR="00E43A59" w:rsidRDefault="00E43A59" w:rsidP="00396B74">
      <w:pPr>
        <w:widowControl/>
      </w:pPr>
      <w:r w:rsidRPr="00396B74">
        <w:rPr>
          <w:rStyle w:val="FootnoteReference"/>
          <w:vertAlign w:val="superscript"/>
        </w:rPr>
        <w:footnoteRef/>
      </w:r>
      <w:r>
        <w:t xml:space="preserve"> </w:t>
      </w:r>
      <w:r w:rsidRPr="00E43A59">
        <w:rPr>
          <w:rFonts w:ascii="Times New Roman" w:hAnsi="Times New Roman"/>
          <w:sz w:val="20"/>
          <w:szCs w:val="20"/>
        </w:rPr>
        <w:t xml:space="preserve">Total cost to the public was estimated using the following formula: percent of staff time, multiplied by annual burden hours, multiplied by hourly rates (30% Office &amp; Administrative Support at $18, 45% Financial Managers at $61, 15% Lawyers at $63, and 10% Chief Executives at $86).  Hourly rate for each occupational group are the (rounded) mean hourly wages from the Bureau of Labor and Statistics (BLS), Occupational Employment and Wages 2013, </w:t>
      </w:r>
      <w:hyperlink r:id="rId1" w:history="1">
        <w:r w:rsidRPr="00EF36C9">
          <w:rPr>
            <w:rStyle w:val="Hyperlink"/>
            <w:rFonts w:ascii="Times New Roman" w:hAnsi="Times New Roman"/>
            <w:sz w:val="20"/>
            <w:szCs w:val="20"/>
          </w:rPr>
          <w:t>www.bls.gov/news.release/ocwage.nr0.htm</w:t>
        </w:r>
      </w:hyperlink>
      <w:r>
        <w:rPr>
          <w:rFonts w:ascii="Times New Roman" w:hAnsi="Times New Roman"/>
          <w:sz w:val="20"/>
          <w:szCs w:val="20"/>
        </w:rPr>
        <w:t xml:space="preserve">  </w:t>
      </w:r>
      <w:r w:rsidRPr="00E43A59">
        <w:rPr>
          <w:rFonts w:ascii="Times New Roman" w:hAnsi="Times New Roman"/>
          <w:sz w:val="20"/>
          <w:szCs w:val="20"/>
        </w:rPr>
        <w:t xml:space="preserve">Occupations are defined using the BLS Occupational Classification System, </w:t>
      </w:r>
      <w:hyperlink r:id="rId2" w:history="1">
        <w:r w:rsidRPr="00EF36C9">
          <w:rPr>
            <w:rStyle w:val="Hyperlink"/>
            <w:rFonts w:ascii="Times New Roman" w:hAnsi="Times New Roman"/>
            <w:sz w:val="20"/>
            <w:szCs w:val="20"/>
          </w:rPr>
          <w:t>www.bls.gov/soc/</w:t>
        </w:r>
      </w:hyperlink>
      <w:r>
        <w:rPr>
          <w:rFonts w:ascii="Times New Roman" w:hAnsi="Times New Roman"/>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4422494"/>
    <w:lvl w:ilvl="0">
      <w:numFmt w:val="bullet"/>
      <w:lvlText w:val="*"/>
      <w:lvlJc w:val="left"/>
      <w:pPr>
        <w:ind w:left="0" w:firstLine="0"/>
      </w:pPr>
    </w:lvl>
  </w:abstractNum>
  <w:abstractNum w:abstractNumId="1">
    <w:nsid w:val="04667168"/>
    <w:multiLevelType w:val="hybridMultilevel"/>
    <w:tmpl w:val="F64677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F2C98"/>
    <w:multiLevelType w:val="multilevel"/>
    <w:tmpl w:val="165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A30B8"/>
    <w:multiLevelType w:val="multilevel"/>
    <w:tmpl w:val="71A4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C52D3E"/>
    <w:multiLevelType w:val="hybridMultilevel"/>
    <w:tmpl w:val="DF22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2F7379"/>
    <w:multiLevelType w:val="hybridMultilevel"/>
    <w:tmpl w:val="4EFC83F2"/>
    <w:lvl w:ilvl="0" w:tplc="4404C2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0F1C5430"/>
    <w:multiLevelType w:val="hybridMultilevel"/>
    <w:tmpl w:val="0174259C"/>
    <w:lvl w:ilvl="0" w:tplc="2B1C4450">
      <w:start w:val="1"/>
      <w:numFmt w:val="bullet"/>
      <w:lvlText w:val=""/>
      <w:lvlJc w:val="left"/>
      <w:pPr>
        <w:tabs>
          <w:tab w:val="num" w:pos="360"/>
        </w:tabs>
        <w:ind w:left="360" w:hanging="360"/>
      </w:pPr>
      <w:rPr>
        <w:rFonts w:ascii="Symbol" w:hAnsi="Symbol" w:hint="default"/>
      </w:rPr>
    </w:lvl>
    <w:lvl w:ilvl="1" w:tplc="6EF2ADDA">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0">
    <w:nsid w:val="14122AE0"/>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9EA61F1"/>
    <w:multiLevelType w:val="hybridMultilevel"/>
    <w:tmpl w:val="8078E350"/>
    <w:lvl w:ilvl="0" w:tplc="AC0A7DDA">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17714D9"/>
    <w:multiLevelType w:val="hybridMultilevel"/>
    <w:tmpl w:val="0F30E0DC"/>
    <w:lvl w:ilvl="0" w:tplc="72046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CA1643"/>
    <w:multiLevelType w:val="hybridMultilevel"/>
    <w:tmpl w:val="6FE4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49484C"/>
    <w:multiLevelType w:val="hybridMultilevel"/>
    <w:tmpl w:val="7FC4DFB0"/>
    <w:lvl w:ilvl="0" w:tplc="40DA40F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1053E3"/>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89E318D"/>
    <w:multiLevelType w:val="multilevel"/>
    <w:tmpl w:val="4AB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C31965"/>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6D2CEF"/>
    <w:multiLevelType w:val="hybridMultilevel"/>
    <w:tmpl w:val="D5A6024A"/>
    <w:lvl w:ilvl="0" w:tplc="53845F9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026423E"/>
    <w:multiLevelType w:val="hybridMultilevel"/>
    <w:tmpl w:val="1EC8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4C407A76"/>
    <w:multiLevelType w:val="hybridMultilevel"/>
    <w:tmpl w:val="B9B4A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D673E47"/>
    <w:multiLevelType w:val="multilevel"/>
    <w:tmpl w:val="B0C4C8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2">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33">
    <w:nsid w:val="5DDB7585"/>
    <w:multiLevelType w:val="hybridMultilevel"/>
    <w:tmpl w:val="7D9C4C0C"/>
    <w:lvl w:ilvl="0" w:tplc="844CF8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FA8088F"/>
    <w:multiLevelType w:val="hybridMultilevel"/>
    <w:tmpl w:val="01C2DA0E"/>
    <w:lvl w:ilvl="0" w:tplc="844CF81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FA87FA4"/>
    <w:multiLevelType w:val="hybridMultilevel"/>
    <w:tmpl w:val="0BD66C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2311BD"/>
    <w:multiLevelType w:val="singleLevel"/>
    <w:tmpl w:val="785E5116"/>
    <w:lvl w:ilvl="0">
      <w:start w:val="1"/>
      <w:numFmt w:val="lowerLetter"/>
      <w:lvlText w:val="(%1)"/>
      <w:lvlJc w:val="left"/>
      <w:pPr>
        <w:tabs>
          <w:tab w:val="num" w:pos="504"/>
        </w:tabs>
        <w:ind w:left="504" w:hanging="504"/>
      </w:pPr>
    </w:lvl>
  </w:abstractNum>
  <w:abstractNum w:abstractNumId="37">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C9A1AB5"/>
    <w:multiLevelType w:val="hybridMultilevel"/>
    <w:tmpl w:val="22B60DE2"/>
    <w:lvl w:ilvl="0" w:tplc="F95CC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B7566D"/>
    <w:multiLevelType w:val="hybridMultilevel"/>
    <w:tmpl w:val="AFA25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992C69"/>
    <w:multiLevelType w:val="hybridMultilevel"/>
    <w:tmpl w:val="565A5038"/>
    <w:lvl w:ilvl="0" w:tplc="00565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4454DB7"/>
    <w:multiLevelType w:val="hybridMultilevel"/>
    <w:tmpl w:val="4D46E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677C0E"/>
    <w:multiLevelType w:val="multilevel"/>
    <w:tmpl w:val="0516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7A60EB"/>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E780506"/>
    <w:multiLevelType w:val="hybridMultilevel"/>
    <w:tmpl w:val="3D462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F44205E"/>
    <w:multiLevelType w:val="hybridMultilevel"/>
    <w:tmpl w:val="6FDCDB0C"/>
    <w:lvl w:ilvl="0" w:tplc="DA08FF7A">
      <w:start w:val="1"/>
      <w:numFmt w:val="upp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1"/>
  </w:num>
  <w:num w:numId="3">
    <w:abstractNumId w:val="25"/>
  </w:num>
  <w:num w:numId="4">
    <w:abstractNumId w:val="27"/>
  </w:num>
  <w:num w:numId="5">
    <w:abstractNumId w:val="31"/>
  </w:num>
  <w:num w:numId="6">
    <w:abstractNumId w:val="38"/>
  </w:num>
  <w:num w:numId="7">
    <w:abstractNumId w:val="5"/>
  </w:num>
  <w:num w:numId="8">
    <w:abstractNumId w:val="21"/>
  </w:num>
  <w:num w:numId="9">
    <w:abstractNumId w:val="29"/>
  </w:num>
  <w:num w:numId="10">
    <w:abstractNumId w:val="13"/>
  </w:num>
  <w:num w:numId="11">
    <w:abstractNumId w:val="26"/>
  </w:num>
  <w:num w:numId="12">
    <w:abstractNumId w:val="24"/>
  </w:num>
  <w:num w:numId="13">
    <w:abstractNumId w:val="8"/>
  </w:num>
  <w:num w:numId="14">
    <w:abstractNumId w:val="41"/>
  </w:num>
  <w:num w:numId="15">
    <w:abstractNumId w:val="42"/>
  </w:num>
  <w:num w:numId="16">
    <w:abstractNumId w:val="36"/>
  </w:num>
  <w:num w:numId="17">
    <w:abstractNumId w:val="30"/>
  </w:num>
  <w:num w:numId="18">
    <w:abstractNumId w:val="14"/>
  </w:num>
  <w:num w:numId="19">
    <w:abstractNumId w:val="28"/>
  </w:num>
  <w:num w:numId="20">
    <w:abstractNumId w:val="17"/>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2"/>
  </w:num>
  <w:num w:numId="23">
    <w:abstractNumId w:val="44"/>
  </w:num>
  <w:num w:numId="24">
    <w:abstractNumId w:val="4"/>
  </w:num>
  <w:num w:numId="25">
    <w:abstractNumId w:val="19"/>
  </w:num>
  <w:num w:numId="26">
    <w:abstractNumId w:val="20"/>
  </w:num>
  <w:num w:numId="27">
    <w:abstractNumId w:val="10"/>
  </w:num>
  <w:num w:numId="28">
    <w:abstractNumId w:val="18"/>
  </w:num>
  <w:num w:numId="29">
    <w:abstractNumId w:val="3"/>
  </w:num>
  <w:num w:numId="30">
    <w:abstractNumId w:val="45"/>
  </w:num>
  <w:num w:numId="31">
    <w:abstractNumId w:val="37"/>
  </w:num>
  <w:num w:numId="32">
    <w:abstractNumId w:val="9"/>
  </w:num>
  <w:num w:numId="33">
    <w:abstractNumId w:val="12"/>
  </w:num>
  <w:num w:numId="34">
    <w:abstractNumId w:val="34"/>
  </w:num>
  <w:num w:numId="35">
    <w:abstractNumId w:val="46"/>
  </w:num>
  <w:num w:numId="36">
    <w:abstractNumId w:val="22"/>
  </w:num>
  <w:num w:numId="37">
    <w:abstractNumId w:val="7"/>
  </w:num>
  <w:num w:numId="38">
    <w:abstractNumId w:val="33"/>
  </w:num>
  <w:num w:numId="39">
    <w:abstractNumId w:val="40"/>
  </w:num>
  <w:num w:numId="40">
    <w:abstractNumId w:val="16"/>
  </w:num>
  <w:num w:numId="41">
    <w:abstractNumId w:val="43"/>
  </w:num>
  <w:num w:numId="42">
    <w:abstractNumId w:val="35"/>
  </w:num>
  <w:num w:numId="43">
    <w:abstractNumId w:val="1"/>
  </w:num>
  <w:num w:numId="44">
    <w:abstractNumId w:val="15"/>
  </w:num>
  <w:num w:numId="45">
    <w:abstractNumId w:val="39"/>
  </w:num>
  <w:num w:numId="46">
    <w:abstractNumId w:val="47"/>
  </w:num>
  <w:num w:numId="47">
    <w:abstractNumId w:val="6"/>
  </w:num>
  <w:num w:numId="4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54"/>
    <w:rsid w:val="00002869"/>
    <w:rsid w:val="00005013"/>
    <w:rsid w:val="00007446"/>
    <w:rsid w:val="000074E7"/>
    <w:rsid w:val="000105B8"/>
    <w:rsid w:val="00012B13"/>
    <w:rsid w:val="000141E4"/>
    <w:rsid w:val="0001528D"/>
    <w:rsid w:val="000264EE"/>
    <w:rsid w:val="00036870"/>
    <w:rsid w:val="00047E28"/>
    <w:rsid w:val="000501B9"/>
    <w:rsid w:val="00052329"/>
    <w:rsid w:val="000625B7"/>
    <w:rsid w:val="000671C4"/>
    <w:rsid w:val="000816C8"/>
    <w:rsid w:val="0008523F"/>
    <w:rsid w:val="000915A5"/>
    <w:rsid w:val="00091E64"/>
    <w:rsid w:val="00092890"/>
    <w:rsid w:val="00094DEB"/>
    <w:rsid w:val="00095BE0"/>
    <w:rsid w:val="0009717A"/>
    <w:rsid w:val="000A2224"/>
    <w:rsid w:val="000A49D8"/>
    <w:rsid w:val="000A6006"/>
    <w:rsid w:val="000A68A2"/>
    <w:rsid w:val="000C6B98"/>
    <w:rsid w:val="000C748A"/>
    <w:rsid w:val="000D35C9"/>
    <w:rsid w:val="000D5407"/>
    <w:rsid w:val="000D65B1"/>
    <w:rsid w:val="000E56BA"/>
    <w:rsid w:val="000E6C81"/>
    <w:rsid w:val="000E7D57"/>
    <w:rsid w:val="000F753D"/>
    <w:rsid w:val="00116160"/>
    <w:rsid w:val="00116759"/>
    <w:rsid w:val="00116C8A"/>
    <w:rsid w:val="00121799"/>
    <w:rsid w:val="00124320"/>
    <w:rsid w:val="00133F74"/>
    <w:rsid w:val="001449E9"/>
    <w:rsid w:val="00146AE4"/>
    <w:rsid w:val="00154ECF"/>
    <w:rsid w:val="001566B1"/>
    <w:rsid w:val="00156996"/>
    <w:rsid w:val="0015741C"/>
    <w:rsid w:val="001606EC"/>
    <w:rsid w:val="00161507"/>
    <w:rsid w:val="00162427"/>
    <w:rsid w:val="001701E1"/>
    <w:rsid w:val="00170C07"/>
    <w:rsid w:val="001752D8"/>
    <w:rsid w:val="00175DF5"/>
    <w:rsid w:val="00190AA3"/>
    <w:rsid w:val="001A0BB4"/>
    <w:rsid w:val="001A43B5"/>
    <w:rsid w:val="001B4B66"/>
    <w:rsid w:val="001B6A3F"/>
    <w:rsid w:val="001B77FC"/>
    <w:rsid w:val="001C7250"/>
    <w:rsid w:val="001D21C2"/>
    <w:rsid w:val="001D32C4"/>
    <w:rsid w:val="001E1A4C"/>
    <w:rsid w:val="001E2954"/>
    <w:rsid w:val="001E66E3"/>
    <w:rsid w:val="001E6FA6"/>
    <w:rsid w:val="001F77EE"/>
    <w:rsid w:val="00202671"/>
    <w:rsid w:val="00204FBD"/>
    <w:rsid w:val="00216084"/>
    <w:rsid w:val="00221070"/>
    <w:rsid w:val="002215FD"/>
    <w:rsid w:val="00231F67"/>
    <w:rsid w:val="00235289"/>
    <w:rsid w:val="00237554"/>
    <w:rsid w:val="00241C7C"/>
    <w:rsid w:val="0024250B"/>
    <w:rsid w:val="00242E7C"/>
    <w:rsid w:val="00252AFB"/>
    <w:rsid w:val="0025415A"/>
    <w:rsid w:val="002653AA"/>
    <w:rsid w:val="00267316"/>
    <w:rsid w:val="00270E58"/>
    <w:rsid w:val="00271AAB"/>
    <w:rsid w:val="00273BAC"/>
    <w:rsid w:val="00280202"/>
    <w:rsid w:val="002802E6"/>
    <w:rsid w:val="002813DF"/>
    <w:rsid w:val="00283C3E"/>
    <w:rsid w:val="002854E4"/>
    <w:rsid w:val="00292A69"/>
    <w:rsid w:val="002A03BA"/>
    <w:rsid w:val="002B09AA"/>
    <w:rsid w:val="002B45A8"/>
    <w:rsid w:val="002B46B7"/>
    <w:rsid w:val="002B4F98"/>
    <w:rsid w:val="002C7A05"/>
    <w:rsid w:val="002D6951"/>
    <w:rsid w:val="002D6E00"/>
    <w:rsid w:val="002D6F1D"/>
    <w:rsid w:val="002D7244"/>
    <w:rsid w:val="002E04D3"/>
    <w:rsid w:val="002F1C8C"/>
    <w:rsid w:val="002F4E09"/>
    <w:rsid w:val="002F769E"/>
    <w:rsid w:val="00305816"/>
    <w:rsid w:val="003104F9"/>
    <w:rsid w:val="00322830"/>
    <w:rsid w:val="00324758"/>
    <w:rsid w:val="00327178"/>
    <w:rsid w:val="00344444"/>
    <w:rsid w:val="00354091"/>
    <w:rsid w:val="003632CB"/>
    <w:rsid w:val="0036795B"/>
    <w:rsid w:val="00372A03"/>
    <w:rsid w:val="00375044"/>
    <w:rsid w:val="00377BA2"/>
    <w:rsid w:val="00381901"/>
    <w:rsid w:val="00381BAF"/>
    <w:rsid w:val="0038298E"/>
    <w:rsid w:val="00382E61"/>
    <w:rsid w:val="00386650"/>
    <w:rsid w:val="00391648"/>
    <w:rsid w:val="00391E54"/>
    <w:rsid w:val="00392A4F"/>
    <w:rsid w:val="00393797"/>
    <w:rsid w:val="00393BF6"/>
    <w:rsid w:val="00396B74"/>
    <w:rsid w:val="003C7568"/>
    <w:rsid w:val="003D1F45"/>
    <w:rsid w:val="003D6199"/>
    <w:rsid w:val="003E1198"/>
    <w:rsid w:val="003E1961"/>
    <w:rsid w:val="003F1631"/>
    <w:rsid w:val="003F24AA"/>
    <w:rsid w:val="003F36CE"/>
    <w:rsid w:val="0040040A"/>
    <w:rsid w:val="00400B04"/>
    <w:rsid w:val="00402C6C"/>
    <w:rsid w:val="00404DA8"/>
    <w:rsid w:val="0041218D"/>
    <w:rsid w:val="00413420"/>
    <w:rsid w:val="00414C5D"/>
    <w:rsid w:val="0041718F"/>
    <w:rsid w:val="004208AA"/>
    <w:rsid w:val="00427620"/>
    <w:rsid w:val="0042780D"/>
    <w:rsid w:val="00440498"/>
    <w:rsid w:val="0045585A"/>
    <w:rsid w:val="00472307"/>
    <w:rsid w:val="00485E5D"/>
    <w:rsid w:val="00494299"/>
    <w:rsid w:val="00495AA5"/>
    <w:rsid w:val="004A0112"/>
    <w:rsid w:val="004A0E01"/>
    <w:rsid w:val="004A11C3"/>
    <w:rsid w:val="004A1A72"/>
    <w:rsid w:val="004A5F5D"/>
    <w:rsid w:val="004C57A2"/>
    <w:rsid w:val="004C6593"/>
    <w:rsid w:val="004D3778"/>
    <w:rsid w:val="004E383A"/>
    <w:rsid w:val="004E5DDD"/>
    <w:rsid w:val="004F1FE0"/>
    <w:rsid w:val="004F7F18"/>
    <w:rsid w:val="00501CDE"/>
    <w:rsid w:val="00502641"/>
    <w:rsid w:val="00506466"/>
    <w:rsid w:val="005130D2"/>
    <w:rsid w:val="00513BCD"/>
    <w:rsid w:val="00522101"/>
    <w:rsid w:val="0052281E"/>
    <w:rsid w:val="005261A0"/>
    <w:rsid w:val="00527CC3"/>
    <w:rsid w:val="00536C01"/>
    <w:rsid w:val="00541D7B"/>
    <w:rsid w:val="00554870"/>
    <w:rsid w:val="005551FD"/>
    <w:rsid w:val="00563B4C"/>
    <w:rsid w:val="0056474C"/>
    <w:rsid w:val="00564C5A"/>
    <w:rsid w:val="005739ED"/>
    <w:rsid w:val="00574E05"/>
    <w:rsid w:val="00576790"/>
    <w:rsid w:val="00581F55"/>
    <w:rsid w:val="00591647"/>
    <w:rsid w:val="00591815"/>
    <w:rsid w:val="00597A1A"/>
    <w:rsid w:val="005A5584"/>
    <w:rsid w:val="005A7761"/>
    <w:rsid w:val="005B2A15"/>
    <w:rsid w:val="005B692C"/>
    <w:rsid w:val="005C0655"/>
    <w:rsid w:val="005D0558"/>
    <w:rsid w:val="005D615A"/>
    <w:rsid w:val="005D7707"/>
    <w:rsid w:val="005E3887"/>
    <w:rsid w:val="005E3920"/>
    <w:rsid w:val="005F2454"/>
    <w:rsid w:val="005F3992"/>
    <w:rsid w:val="006007E0"/>
    <w:rsid w:val="00601EBA"/>
    <w:rsid w:val="00603405"/>
    <w:rsid w:val="00605506"/>
    <w:rsid w:val="00607487"/>
    <w:rsid w:val="00610470"/>
    <w:rsid w:val="00617B70"/>
    <w:rsid w:val="00620668"/>
    <w:rsid w:val="00621C95"/>
    <w:rsid w:val="00626F9C"/>
    <w:rsid w:val="006305AE"/>
    <w:rsid w:val="00635C35"/>
    <w:rsid w:val="00636088"/>
    <w:rsid w:val="00641F7D"/>
    <w:rsid w:val="0064234E"/>
    <w:rsid w:val="00647BEA"/>
    <w:rsid w:val="006504B4"/>
    <w:rsid w:val="00657033"/>
    <w:rsid w:val="0065742A"/>
    <w:rsid w:val="006659EA"/>
    <w:rsid w:val="00674A6A"/>
    <w:rsid w:val="006821DE"/>
    <w:rsid w:val="00683355"/>
    <w:rsid w:val="0068396F"/>
    <w:rsid w:val="00683AAD"/>
    <w:rsid w:val="00690A42"/>
    <w:rsid w:val="0069439F"/>
    <w:rsid w:val="006956DF"/>
    <w:rsid w:val="00696912"/>
    <w:rsid w:val="006A1A48"/>
    <w:rsid w:val="006B33A6"/>
    <w:rsid w:val="006B7575"/>
    <w:rsid w:val="006C6A53"/>
    <w:rsid w:val="006C7464"/>
    <w:rsid w:val="006D431C"/>
    <w:rsid w:val="006D6A0F"/>
    <w:rsid w:val="006E304E"/>
    <w:rsid w:val="006E5F8D"/>
    <w:rsid w:val="006F6697"/>
    <w:rsid w:val="007009BE"/>
    <w:rsid w:val="007040C1"/>
    <w:rsid w:val="00717B88"/>
    <w:rsid w:val="00720236"/>
    <w:rsid w:val="0072379C"/>
    <w:rsid w:val="007253F9"/>
    <w:rsid w:val="00725568"/>
    <w:rsid w:val="007268F5"/>
    <w:rsid w:val="0073413A"/>
    <w:rsid w:val="00744BA6"/>
    <w:rsid w:val="007471F7"/>
    <w:rsid w:val="00752EF8"/>
    <w:rsid w:val="007532C6"/>
    <w:rsid w:val="007543CB"/>
    <w:rsid w:val="00761031"/>
    <w:rsid w:val="00776F2A"/>
    <w:rsid w:val="00780228"/>
    <w:rsid w:val="0078216F"/>
    <w:rsid w:val="00782777"/>
    <w:rsid w:val="0078488E"/>
    <w:rsid w:val="00785DE4"/>
    <w:rsid w:val="007917B3"/>
    <w:rsid w:val="00797CC8"/>
    <w:rsid w:val="007A6A3E"/>
    <w:rsid w:val="007A7FEB"/>
    <w:rsid w:val="007B330F"/>
    <w:rsid w:val="007C6980"/>
    <w:rsid w:val="007D1245"/>
    <w:rsid w:val="007D1593"/>
    <w:rsid w:val="007D4892"/>
    <w:rsid w:val="007D6C88"/>
    <w:rsid w:val="007D7F50"/>
    <w:rsid w:val="007F722A"/>
    <w:rsid w:val="0080082A"/>
    <w:rsid w:val="00804EB1"/>
    <w:rsid w:val="008057FA"/>
    <w:rsid w:val="00805ED6"/>
    <w:rsid w:val="00810C2C"/>
    <w:rsid w:val="00810E73"/>
    <w:rsid w:val="0081793C"/>
    <w:rsid w:val="008272C2"/>
    <w:rsid w:val="008339E5"/>
    <w:rsid w:val="00837DF3"/>
    <w:rsid w:val="00841092"/>
    <w:rsid w:val="00841610"/>
    <w:rsid w:val="00844380"/>
    <w:rsid w:val="00844FD2"/>
    <w:rsid w:val="00845BC9"/>
    <w:rsid w:val="008468CC"/>
    <w:rsid w:val="0084742F"/>
    <w:rsid w:val="00852B5C"/>
    <w:rsid w:val="0085335E"/>
    <w:rsid w:val="00857C13"/>
    <w:rsid w:val="0086216E"/>
    <w:rsid w:val="008657C1"/>
    <w:rsid w:val="008748DE"/>
    <w:rsid w:val="00875D74"/>
    <w:rsid w:val="00876F55"/>
    <w:rsid w:val="00880346"/>
    <w:rsid w:val="00883923"/>
    <w:rsid w:val="00884B3B"/>
    <w:rsid w:val="00885A53"/>
    <w:rsid w:val="00890A1A"/>
    <w:rsid w:val="008B2774"/>
    <w:rsid w:val="008C4158"/>
    <w:rsid w:val="008C5044"/>
    <w:rsid w:val="008C6BB8"/>
    <w:rsid w:val="008D3D60"/>
    <w:rsid w:val="008D41D2"/>
    <w:rsid w:val="008D76A6"/>
    <w:rsid w:val="008E4E40"/>
    <w:rsid w:val="008E7AEF"/>
    <w:rsid w:val="008F349C"/>
    <w:rsid w:val="008F37A8"/>
    <w:rsid w:val="00901C03"/>
    <w:rsid w:val="009030D8"/>
    <w:rsid w:val="00905999"/>
    <w:rsid w:val="00907DB2"/>
    <w:rsid w:val="009173D5"/>
    <w:rsid w:val="0092088A"/>
    <w:rsid w:val="00922572"/>
    <w:rsid w:val="00922B6C"/>
    <w:rsid w:val="00923E35"/>
    <w:rsid w:val="00932960"/>
    <w:rsid w:val="00942B73"/>
    <w:rsid w:val="00944E3C"/>
    <w:rsid w:val="00952A84"/>
    <w:rsid w:val="009577D7"/>
    <w:rsid w:val="00963A8A"/>
    <w:rsid w:val="00965005"/>
    <w:rsid w:val="00965718"/>
    <w:rsid w:val="00965BA9"/>
    <w:rsid w:val="00971D67"/>
    <w:rsid w:val="00972322"/>
    <w:rsid w:val="00972C3E"/>
    <w:rsid w:val="009753D5"/>
    <w:rsid w:val="00983E1E"/>
    <w:rsid w:val="00984353"/>
    <w:rsid w:val="009847CB"/>
    <w:rsid w:val="00985E34"/>
    <w:rsid w:val="00992C88"/>
    <w:rsid w:val="009945D2"/>
    <w:rsid w:val="009A2181"/>
    <w:rsid w:val="009A633C"/>
    <w:rsid w:val="009A64C5"/>
    <w:rsid w:val="009B16AD"/>
    <w:rsid w:val="009B3974"/>
    <w:rsid w:val="009B4307"/>
    <w:rsid w:val="009B599D"/>
    <w:rsid w:val="009D3FDE"/>
    <w:rsid w:val="009D464A"/>
    <w:rsid w:val="009D5D32"/>
    <w:rsid w:val="009D729C"/>
    <w:rsid w:val="009E3422"/>
    <w:rsid w:val="009E4828"/>
    <w:rsid w:val="009E4B47"/>
    <w:rsid w:val="009E5D1D"/>
    <w:rsid w:val="009E798F"/>
    <w:rsid w:val="009F11BC"/>
    <w:rsid w:val="009F3291"/>
    <w:rsid w:val="009F7D24"/>
    <w:rsid w:val="00A122B1"/>
    <w:rsid w:val="00A13B1C"/>
    <w:rsid w:val="00A14104"/>
    <w:rsid w:val="00A14ABF"/>
    <w:rsid w:val="00A223C3"/>
    <w:rsid w:val="00A2542C"/>
    <w:rsid w:val="00A32C34"/>
    <w:rsid w:val="00A43A27"/>
    <w:rsid w:val="00A47075"/>
    <w:rsid w:val="00A51FE3"/>
    <w:rsid w:val="00A53833"/>
    <w:rsid w:val="00A5425D"/>
    <w:rsid w:val="00A55F7E"/>
    <w:rsid w:val="00A60777"/>
    <w:rsid w:val="00A60B66"/>
    <w:rsid w:val="00A62FBD"/>
    <w:rsid w:val="00A657BE"/>
    <w:rsid w:val="00A66054"/>
    <w:rsid w:val="00A737A2"/>
    <w:rsid w:val="00A74542"/>
    <w:rsid w:val="00A80427"/>
    <w:rsid w:val="00A80E3C"/>
    <w:rsid w:val="00A82251"/>
    <w:rsid w:val="00A85D20"/>
    <w:rsid w:val="00A863C4"/>
    <w:rsid w:val="00A873FD"/>
    <w:rsid w:val="00A87752"/>
    <w:rsid w:val="00AA0134"/>
    <w:rsid w:val="00AA044D"/>
    <w:rsid w:val="00AC35CB"/>
    <w:rsid w:val="00AC7EDC"/>
    <w:rsid w:val="00AD08DB"/>
    <w:rsid w:val="00AD33C0"/>
    <w:rsid w:val="00AD5797"/>
    <w:rsid w:val="00AF2913"/>
    <w:rsid w:val="00B00FED"/>
    <w:rsid w:val="00B0779E"/>
    <w:rsid w:val="00B17067"/>
    <w:rsid w:val="00B2384E"/>
    <w:rsid w:val="00B37A9A"/>
    <w:rsid w:val="00B42EA7"/>
    <w:rsid w:val="00B4415B"/>
    <w:rsid w:val="00B478F2"/>
    <w:rsid w:val="00B5043C"/>
    <w:rsid w:val="00B600A1"/>
    <w:rsid w:val="00B67AF0"/>
    <w:rsid w:val="00B713C1"/>
    <w:rsid w:val="00B75F9A"/>
    <w:rsid w:val="00B81626"/>
    <w:rsid w:val="00B87E5E"/>
    <w:rsid w:val="00B9295B"/>
    <w:rsid w:val="00B94085"/>
    <w:rsid w:val="00BA1D50"/>
    <w:rsid w:val="00BA3E1E"/>
    <w:rsid w:val="00BA42F4"/>
    <w:rsid w:val="00BA5648"/>
    <w:rsid w:val="00BB7D00"/>
    <w:rsid w:val="00BC4125"/>
    <w:rsid w:val="00BC7DDA"/>
    <w:rsid w:val="00BD2AB9"/>
    <w:rsid w:val="00BD2D1F"/>
    <w:rsid w:val="00BE060A"/>
    <w:rsid w:val="00BE180C"/>
    <w:rsid w:val="00BF6AC4"/>
    <w:rsid w:val="00C0250B"/>
    <w:rsid w:val="00C04D6F"/>
    <w:rsid w:val="00C07930"/>
    <w:rsid w:val="00C07AA2"/>
    <w:rsid w:val="00C13C84"/>
    <w:rsid w:val="00C14D93"/>
    <w:rsid w:val="00C14FEF"/>
    <w:rsid w:val="00C228A4"/>
    <w:rsid w:val="00C24BB8"/>
    <w:rsid w:val="00C31FE0"/>
    <w:rsid w:val="00C41BCD"/>
    <w:rsid w:val="00C53850"/>
    <w:rsid w:val="00C57BDF"/>
    <w:rsid w:val="00C60E88"/>
    <w:rsid w:val="00C61541"/>
    <w:rsid w:val="00C62561"/>
    <w:rsid w:val="00C638A0"/>
    <w:rsid w:val="00C72F1F"/>
    <w:rsid w:val="00C74BCE"/>
    <w:rsid w:val="00C7540B"/>
    <w:rsid w:val="00C8009C"/>
    <w:rsid w:val="00C8176E"/>
    <w:rsid w:val="00C81F4D"/>
    <w:rsid w:val="00C82260"/>
    <w:rsid w:val="00C850E6"/>
    <w:rsid w:val="00C857EE"/>
    <w:rsid w:val="00C858CC"/>
    <w:rsid w:val="00C86940"/>
    <w:rsid w:val="00C870A5"/>
    <w:rsid w:val="00C912E5"/>
    <w:rsid w:val="00C948D8"/>
    <w:rsid w:val="00CA49D8"/>
    <w:rsid w:val="00CB0148"/>
    <w:rsid w:val="00CB4B68"/>
    <w:rsid w:val="00CC57DD"/>
    <w:rsid w:val="00CC6BA0"/>
    <w:rsid w:val="00CC7307"/>
    <w:rsid w:val="00CD0778"/>
    <w:rsid w:val="00CD1148"/>
    <w:rsid w:val="00CD425E"/>
    <w:rsid w:val="00CD563E"/>
    <w:rsid w:val="00CD684D"/>
    <w:rsid w:val="00CE56C9"/>
    <w:rsid w:val="00CE79FF"/>
    <w:rsid w:val="00CF278D"/>
    <w:rsid w:val="00CF2FCB"/>
    <w:rsid w:val="00CF308F"/>
    <w:rsid w:val="00CF69E2"/>
    <w:rsid w:val="00CF7C8F"/>
    <w:rsid w:val="00D04052"/>
    <w:rsid w:val="00D051AC"/>
    <w:rsid w:val="00D06CD0"/>
    <w:rsid w:val="00D11DB7"/>
    <w:rsid w:val="00D1724F"/>
    <w:rsid w:val="00D235F4"/>
    <w:rsid w:val="00D25F1F"/>
    <w:rsid w:val="00D3168A"/>
    <w:rsid w:val="00D329D5"/>
    <w:rsid w:val="00D33891"/>
    <w:rsid w:val="00D354C3"/>
    <w:rsid w:val="00D367B4"/>
    <w:rsid w:val="00D420EA"/>
    <w:rsid w:val="00D43CA3"/>
    <w:rsid w:val="00D51AC3"/>
    <w:rsid w:val="00D533F6"/>
    <w:rsid w:val="00D541E3"/>
    <w:rsid w:val="00D619EE"/>
    <w:rsid w:val="00D64E42"/>
    <w:rsid w:val="00D67B1F"/>
    <w:rsid w:val="00D67DA0"/>
    <w:rsid w:val="00D739CA"/>
    <w:rsid w:val="00D90AFE"/>
    <w:rsid w:val="00D92C46"/>
    <w:rsid w:val="00D935DA"/>
    <w:rsid w:val="00D97648"/>
    <w:rsid w:val="00DA09FE"/>
    <w:rsid w:val="00DA1B67"/>
    <w:rsid w:val="00DA260F"/>
    <w:rsid w:val="00DA2EA2"/>
    <w:rsid w:val="00DA51A6"/>
    <w:rsid w:val="00DB1BC7"/>
    <w:rsid w:val="00DC2A42"/>
    <w:rsid w:val="00DC63F2"/>
    <w:rsid w:val="00DD351E"/>
    <w:rsid w:val="00DD6CD2"/>
    <w:rsid w:val="00DE027E"/>
    <w:rsid w:val="00DE51C6"/>
    <w:rsid w:val="00DE5FE3"/>
    <w:rsid w:val="00DF0C56"/>
    <w:rsid w:val="00DF1306"/>
    <w:rsid w:val="00DF4583"/>
    <w:rsid w:val="00DF527C"/>
    <w:rsid w:val="00E050A5"/>
    <w:rsid w:val="00E070A9"/>
    <w:rsid w:val="00E0732B"/>
    <w:rsid w:val="00E07713"/>
    <w:rsid w:val="00E13F4C"/>
    <w:rsid w:val="00E14183"/>
    <w:rsid w:val="00E25F85"/>
    <w:rsid w:val="00E27E2B"/>
    <w:rsid w:val="00E30374"/>
    <w:rsid w:val="00E33816"/>
    <w:rsid w:val="00E43A59"/>
    <w:rsid w:val="00E462E5"/>
    <w:rsid w:val="00E46DFB"/>
    <w:rsid w:val="00E52C44"/>
    <w:rsid w:val="00E54F77"/>
    <w:rsid w:val="00E67447"/>
    <w:rsid w:val="00E67462"/>
    <w:rsid w:val="00E70831"/>
    <w:rsid w:val="00E7111C"/>
    <w:rsid w:val="00E76F0C"/>
    <w:rsid w:val="00E76F3A"/>
    <w:rsid w:val="00E80731"/>
    <w:rsid w:val="00E816D8"/>
    <w:rsid w:val="00E87597"/>
    <w:rsid w:val="00E94147"/>
    <w:rsid w:val="00E95C27"/>
    <w:rsid w:val="00E97ABA"/>
    <w:rsid w:val="00EA0C8D"/>
    <w:rsid w:val="00EB2B27"/>
    <w:rsid w:val="00EB34CE"/>
    <w:rsid w:val="00EC19D3"/>
    <w:rsid w:val="00EC4632"/>
    <w:rsid w:val="00EC4F34"/>
    <w:rsid w:val="00ED27D0"/>
    <w:rsid w:val="00ED3A64"/>
    <w:rsid w:val="00ED613D"/>
    <w:rsid w:val="00EE57C3"/>
    <w:rsid w:val="00F01D1B"/>
    <w:rsid w:val="00F02674"/>
    <w:rsid w:val="00F027C5"/>
    <w:rsid w:val="00F0523E"/>
    <w:rsid w:val="00F07510"/>
    <w:rsid w:val="00F07C5F"/>
    <w:rsid w:val="00F1052F"/>
    <w:rsid w:val="00F1313F"/>
    <w:rsid w:val="00F207CA"/>
    <w:rsid w:val="00F26C78"/>
    <w:rsid w:val="00F37B53"/>
    <w:rsid w:val="00F54ECB"/>
    <w:rsid w:val="00F55823"/>
    <w:rsid w:val="00F566D4"/>
    <w:rsid w:val="00F61CB0"/>
    <w:rsid w:val="00F66D29"/>
    <w:rsid w:val="00F67940"/>
    <w:rsid w:val="00F72DC7"/>
    <w:rsid w:val="00F81FCB"/>
    <w:rsid w:val="00F86EC6"/>
    <w:rsid w:val="00F90733"/>
    <w:rsid w:val="00F96B80"/>
    <w:rsid w:val="00FB0DA8"/>
    <w:rsid w:val="00FB0F4F"/>
    <w:rsid w:val="00FC55DC"/>
    <w:rsid w:val="00FD6A4A"/>
    <w:rsid w:val="00FD6C6D"/>
    <w:rsid w:val="00FF1123"/>
    <w:rsid w:val="00FF13B6"/>
    <w:rsid w:val="00FF2246"/>
    <w:rsid w:val="00FF4BEA"/>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F3291"/>
  </w:style>
  <w:style w:type="paragraph" w:customStyle="1" w:styleId="Style">
    <w:name w:val="Style"/>
    <w:basedOn w:val="Normal"/>
    <w:rsid w:val="009F3291"/>
    <w:pPr>
      <w:ind w:left="360" w:hanging="360"/>
    </w:pPr>
  </w:style>
  <w:style w:type="paragraph" w:styleId="FootnoteText">
    <w:name w:val="footnote text"/>
    <w:aliases w:val="ft,Footnote Text Char1,Footnote Text Char Char"/>
    <w:basedOn w:val="Normal"/>
    <w:link w:val="FootnoteTextChar"/>
    <w:uiPriority w:val="99"/>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link w:val="HeaderChar"/>
    <w:uiPriority w:val="99"/>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uiPriority w:val="99"/>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Footnote Text Char1 Char,Footnote Text Char Char Char"/>
    <w:basedOn w:val="DefaultParagraphFont"/>
    <w:link w:val="FootnoteText"/>
    <w:uiPriority w:val="99"/>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 w:type="character" w:customStyle="1" w:styleId="Heading1Char">
    <w:name w:val="Heading 1 Char"/>
    <w:basedOn w:val="DefaultParagraphFont"/>
    <w:link w:val="Heading1"/>
    <w:rsid w:val="0024250B"/>
    <w:rPr>
      <w:rFonts w:ascii="Times" w:hAnsi="Times"/>
      <w:b/>
      <w:bCs/>
      <w:sz w:val="24"/>
      <w:szCs w:val="24"/>
    </w:rPr>
  </w:style>
  <w:style w:type="character" w:customStyle="1" w:styleId="HeaderChar">
    <w:name w:val="Header Char"/>
    <w:basedOn w:val="DefaultParagraphFont"/>
    <w:link w:val="Header"/>
    <w:uiPriority w:val="99"/>
    <w:rsid w:val="0064234E"/>
    <w:rPr>
      <w:rFonts w:ascii="Courier" w:hAnsi="Courier"/>
      <w:snapToGrid w:val="0"/>
      <w:sz w:val="24"/>
    </w:rPr>
  </w:style>
  <w:style w:type="paragraph" w:styleId="Revision">
    <w:name w:val="Revision"/>
    <w:hidden/>
    <w:uiPriority w:val="99"/>
    <w:semiHidden/>
    <w:rsid w:val="00683355"/>
    <w:rPr>
      <w:rFonts w:ascii="Times" w:hAnsi="Times"/>
      <w:sz w:val="24"/>
      <w:szCs w:val="24"/>
    </w:rPr>
  </w:style>
  <w:style w:type="paragraph" w:customStyle="1" w:styleId="a">
    <w:name w:val="_"/>
    <w:basedOn w:val="Normal"/>
    <w:rsid w:val="004F7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F3291"/>
  </w:style>
  <w:style w:type="paragraph" w:customStyle="1" w:styleId="Style">
    <w:name w:val="Style"/>
    <w:basedOn w:val="Normal"/>
    <w:rsid w:val="009F3291"/>
    <w:pPr>
      <w:ind w:left="360" w:hanging="360"/>
    </w:pPr>
  </w:style>
  <w:style w:type="paragraph" w:styleId="FootnoteText">
    <w:name w:val="footnote text"/>
    <w:aliases w:val="ft,Footnote Text Char1,Footnote Text Char Char"/>
    <w:basedOn w:val="Normal"/>
    <w:link w:val="FootnoteTextChar"/>
    <w:uiPriority w:val="99"/>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link w:val="HeaderChar"/>
    <w:uiPriority w:val="99"/>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uiPriority w:val="99"/>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Footnote Text Char1 Char,Footnote Text Char Char Char"/>
    <w:basedOn w:val="DefaultParagraphFont"/>
    <w:link w:val="FootnoteText"/>
    <w:uiPriority w:val="99"/>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 w:type="character" w:customStyle="1" w:styleId="Heading1Char">
    <w:name w:val="Heading 1 Char"/>
    <w:basedOn w:val="DefaultParagraphFont"/>
    <w:link w:val="Heading1"/>
    <w:rsid w:val="0024250B"/>
    <w:rPr>
      <w:rFonts w:ascii="Times" w:hAnsi="Times"/>
      <w:b/>
      <w:bCs/>
      <w:sz w:val="24"/>
      <w:szCs w:val="24"/>
    </w:rPr>
  </w:style>
  <w:style w:type="character" w:customStyle="1" w:styleId="HeaderChar">
    <w:name w:val="Header Char"/>
    <w:basedOn w:val="DefaultParagraphFont"/>
    <w:link w:val="Header"/>
    <w:uiPriority w:val="99"/>
    <w:rsid w:val="0064234E"/>
    <w:rPr>
      <w:rFonts w:ascii="Courier" w:hAnsi="Courier"/>
      <w:snapToGrid w:val="0"/>
      <w:sz w:val="24"/>
    </w:rPr>
  </w:style>
  <w:style w:type="paragraph" w:styleId="Revision">
    <w:name w:val="Revision"/>
    <w:hidden/>
    <w:uiPriority w:val="99"/>
    <w:semiHidden/>
    <w:rsid w:val="00683355"/>
    <w:rPr>
      <w:rFonts w:ascii="Times" w:hAnsi="Times"/>
      <w:sz w:val="24"/>
      <w:szCs w:val="24"/>
    </w:rPr>
  </w:style>
  <w:style w:type="paragraph" w:customStyle="1" w:styleId="a">
    <w:name w:val="_"/>
    <w:basedOn w:val="Normal"/>
    <w:rsid w:val="004F7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7377">
      <w:bodyDiv w:val="1"/>
      <w:marLeft w:val="0"/>
      <w:marRight w:val="0"/>
      <w:marTop w:val="0"/>
      <w:marBottom w:val="0"/>
      <w:divBdr>
        <w:top w:val="none" w:sz="0" w:space="0" w:color="auto"/>
        <w:left w:val="none" w:sz="0" w:space="0" w:color="auto"/>
        <w:bottom w:val="none" w:sz="0" w:space="0" w:color="auto"/>
        <w:right w:val="none" w:sz="0" w:space="0" w:color="auto"/>
      </w:divBdr>
    </w:div>
    <w:div w:id="901208547">
      <w:bodyDiv w:val="1"/>
      <w:marLeft w:val="0"/>
      <w:marRight w:val="0"/>
      <w:marTop w:val="0"/>
      <w:marBottom w:val="0"/>
      <w:divBdr>
        <w:top w:val="none" w:sz="0" w:space="0" w:color="auto"/>
        <w:left w:val="none" w:sz="0" w:space="0" w:color="auto"/>
        <w:bottom w:val="none" w:sz="0" w:space="0" w:color="auto"/>
        <w:right w:val="none" w:sz="0" w:space="0" w:color="auto"/>
      </w:divBdr>
    </w:div>
    <w:div w:id="1348483120">
      <w:bodyDiv w:val="1"/>
      <w:marLeft w:val="0"/>
      <w:marRight w:val="0"/>
      <w:marTop w:val="0"/>
      <w:marBottom w:val="0"/>
      <w:divBdr>
        <w:top w:val="none" w:sz="0" w:space="0" w:color="auto"/>
        <w:left w:val="none" w:sz="0" w:space="0" w:color="auto"/>
        <w:bottom w:val="none" w:sz="0" w:space="0" w:color="auto"/>
        <w:right w:val="none" w:sz="0" w:space="0" w:color="auto"/>
      </w:divBdr>
    </w:div>
    <w:div w:id="1497301030">
      <w:bodyDiv w:val="1"/>
      <w:marLeft w:val="0"/>
      <w:marRight w:val="0"/>
      <w:marTop w:val="0"/>
      <w:marBottom w:val="0"/>
      <w:divBdr>
        <w:top w:val="none" w:sz="0" w:space="0" w:color="auto"/>
        <w:left w:val="none" w:sz="0" w:space="0" w:color="auto"/>
        <w:bottom w:val="none" w:sz="0" w:space="0" w:color="auto"/>
        <w:right w:val="none" w:sz="0" w:space="0" w:color="auto"/>
      </w:divBdr>
    </w:div>
    <w:div w:id="186679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C7E6-08FD-46B7-935D-29A88D0B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CC0F4138.dotm</Template>
  <TotalTime>1</TotalTime>
  <Pages>4</Pages>
  <Words>1184</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7308</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Ayouch</dc:creator>
  <cp:lastModifiedBy>John A. Schmidt</cp:lastModifiedBy>
  <cp:revision>3</cp:revision>
  <cp:lastPrinted>2014-05-14T15:22:00Z</cp:lastPrinted>
  <dcterms:created xsi:type="dcterms:W3CDTF">2014-05-14T15:22:00Z</dcterms:created>
  <dcterms:modified xsi:type="dcterms:W3CDTF">2014-05-14T15:23:00Z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