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1DC" w:rsidRPr="00445EC7" w:rsidRDefault="000821DC" w:rsidP="002337F2">
      <w:pPr>
        <w:spacing w:line="480" w:lineRule="auto"/>
        <w:rPr>
          <w:sz w:val="48"/>
          <w:szCs w:val="48"/>
        </w:rPr>
      </w:pPr>
      <w:r w:rsidRPr="00445EC7">
        <w:rPr>
          <w:sz w:val="48"/>
          <w:szCs w:val="48"/>
        </w:rPr>
        <w:t>Supporting Statement for</w:t>
      </w:r>
    </w:p>
    <w:p w:rsidR="000821DC" w:rsidRPr="00445EC7" w:rsidRDefault="000821DC" w:rsidP="002337F2">
      <w:pPr>
        <w:spacing w:line="480" w:lineRule="auto"/>
        <w:rPr>
          <w:sz w:val="48"/>
          <w:szCs w:val="48"/>
        </w:rPr>
      </w:pPr>
      <w:r w:rsidRPr="00445EC7">
        <w:rPr>
          <w:sz w:val="48"/>
          <w:szCs w:val="48"/>
        </w:rPr>
        <w:t xml:space="preserve">Paperwork Reduction Act </w:t>
      </w:r>
    </w:p>
    <w:p w:rsidR="000821DC" w:rsidRPr="00445EC7" w:rsidRDefault="000821DC" w:rsidP="002337F2">
      <w:pPr>
        <w:spacing w:line="480" w:lineRule="auto"/>
        <w:rPr>
          <w:sz w:val="48"/>
          <w:szCs w:val="48"/>
        </w:rPr>
      </w:pPr>
      <w:r w:rsidRPr="00445EC7">
        <w:rPr>
          <w:sz w:val="48"/>
          <w:szCs w:val="48"/>
        </w:rPr>
        <w:t xml:space="preserve">Submission for </w:t>
      </w:r>
      <w:r w:rsidR="00C560D8" w:rsidRPr="00445EC7">
        <w:rPr>
          <w:sz w:val="48"/>
          <w:szCs w:val="48"/>
        </w:rPr>
        <w:t>Quality Control (QC) reviews for the Supplemental Nutrition Assistance Program (SNAP)</w:t>
      </w:r>
      <w:r w:rsidR="00500B61">
        <w:rPr>
          <w:sz w:val="48"/>
          <w:szCs w:val="48"/>
        </w:rPr>
        <w:t xml:space="preserve"> titled “Case and Procedural Case Action Review Schedule”</w:t>
      </w:r>
      <w:r w:rsidR="00C560D8" w:rsidRPr="00445EC7">
        <w:rPr>
          <w:sz w:val="48"/>
          <w:szCs w:val="48"/>
        </w:rPr>
        <w:t xml:space="preserve">.  </w:t>
      </w:r>
    </w:p>
    <w:p w:rsidR="000821DC" w:rsidRPr="00445EC7" w:rsidRDefault="000821DC" w:rsidP="002337F2">
      <w:pPr>
        <w:spacing w:line="480" w:lineRule="auto"/>
        <w:rPr>
          <w:b/>
          <w:sz w:val="48"/>
          <w:szCs w:val="48"/>
        </w:rPr>
      </w:pPr>
      <w:r w:rsidRPr="00445EC7">
        <w:rPr>
          <w:sz w:val="48"/>
          <w:szCs w:val="48"/>
        </w:rPr>
        <w:t>OMB Number 0584-0034</w:t>
      </w:r>
      <w:r w:rsidRPr="00445EC7">
        <w:rPr>
          <w:b/>
          <w:sz w:val="48"/>
          <w:szCs w:val="48"/>
        </w:rPr>
        <w:t xml:space="preserve"> </w:t>
      </w:r>
    </w:p>
    <w:p w:rsidR="000821DC" w:rsidRPr="00445EC7" w:rsidRDefault="000821DC" w:rsidP="002337F2">
      <w:pPr>
        <w:spacing w:line="480" w:lineRule="auto"/>
        <w:ind w:right="-180"/>
        <w:contextualSpacing/>
        <w:rPr>
          <w:sz w:val="48"/>
          <w:szCs w:val="48"/>
        </w:rPr>
      </w:pPr>
      <w:r w:rsidRPr="00445EC7">
        <w:rPr>
          <w:sz w:val="48"/>
          <w:szCs w:val="48"/>
        </w:rPr>
        <w:t xml:space="preserve">FNS-245 </w:t>
      </w:r>
    </w:p>
    <w:p w:rsidR="0087561A" w:rsidRPr="00445EC7" w:rsidRDefault="0087561A" w:rsidP="000821DC">
      <w:pPr>
        <w:rPr>
          <w:b/>
          <w:i/>
          <w:iCs/>
        </w:rPr>
      </w:pPr>
    </w:p>
    <w:p w:rsidR="0087561A" w:rsidRPr="00445EC7" w:rsidRDefault="0087561A" w:rsidP="000821DC">
      <w:pPr>
        <w:rPr>
          <w:b/>
          <w:i/>
          <w:iCs/>
        </w:rPr>
      </w:pPr>
    </w:p>
    <w:p w:rsidR="0087561A" w:rsidRPr="00445EC7" w:rsidRDefault="0087561A" w:rsidP="000821DC">
      <w:pPr>
        <w:rPr>
          <w:b/>
          <w:i/>
          <w:iCs/>
        </w:rPr>
      </w:pPr>
    </w:p>
    <w:p w:rsidR="0087561A" w:rsidRPr="00445EC7" w:rsidRDefault="0087561A" w:rsidP="000821DC">
      <w:pPr>
        <w:rPr>
          <w:b/>
          <w:i/>
          <w:iCs/>
        </w:rPr>
      </w:pPr>
    </w:p>
    <w:p w:rsidR="0087561A" w:rsidRPr="00445EC7" w:rsidRDefault="0087561A" w:rsidP="000821DC">
      <w:pPr>
        <w:rPr>
          <w:b/>
          <w:i/>
          <w:iCs/>
        </w:rPr>
      </w:pPr>
    </w:p>
    <w:p w:rsidR="0087561A" w:rsidRPr="00445EC7" w:rsidRDefault="0087561A" w:rsidP="000821DC">
      <w:pPr>
        <w:rPr>
          <w:b/>
          <w:i/>
          <w:iCs/>
        </w:rPr>
      </w:pPr>
    </w:p>
    <w:p w:rsidR="000821DC" w:rsidRPr="00445EC7" w:rsidRDefault="000821DC" w:rsidP="000821DC">
      <w:pPr>
        <w:rPr>
          <w:b/>
          <w:i/>
          <w:iCs/>
        </w:rPr>
      </w:pPr>
      <w:r w:rsidRPr="00445EC7">
        <w:rPr>
          <w:b/>
          <w:i/>
          <w:iCs/>
        </w:rPr>
        <w:t>Prepared by:</w:t>
      </w:r>
    </w:p>
    <w:p w:rsidR="000821DC" w:rsidRPr="00445EC7" w:rsidRDefault="000821DC" w:rsidP="000821DC">
      <w:pPr>
        <w:rPr>
          <w:b/>
        </w:rPr>
      </w:pPr>
      <w:r w:rsidRPr="00445EC7">
        <w:rPr>
          <w:b/>
        </w:rPr>
        <w:t xml:space="preserve">Tiffany </w:t>
      </w:r>
      <w:r w:rsidR="002452BD" w:rsidRPr="00445EC7">
        <w:rPr>
          <w:b/>
        </w:rPr>
        <w:t>Wilkinson</w:t>
      </w:r>
    </w:p>
    <w:p w:rsidR="000821DC" w:rsidRPr="00445EC7" w:rsidRDefault="000821DC" w:rsidP="000821DC">
      <w:smartTag w:uri="urn:schemas-microsoft-com:office:smarttags" w:element="place">
        <w:smartTag w:uri="urn:schemas-microsoft-com:office:smarttags" w:element="City">
          <w:r w:rsidRPr="00445EC7">
            <w:t>U.S.</w:t>
          </w:r>
        </w:smartTag>
      </w:smartTag>
      <w:r w:rsidRPr="00445EC7">
        <w:t xml:space="preserve"> Department of Agriculture</w:t>
      </w:r>
    </w:p>
    <w:p w:rsidR="000821DC" w:rsidRPr="00445EC7" w:rsidRDefault="000821DC" w:rsidP="000821DC">
      <w:r w:rsidRPr="00445EC7">
        <w:t>Food and Nutrition Service</w:t>
      </w:r>
    </w:p>
    <w:p w:rsidR="000821DC" w:rsidRPr="00445EC7" w:rsidRDefault="000821DC" w:rsidP="000821DC">
      <w:r w:rsidRPr="00445EC7">
        <w:t>3101 Park Center Drive</w:t>
      </w:r>
      <w:r w:rsidR="002337F2" w:rsidRPr="00445EC7">
        <w:t xml:space="preserve">, Room </w:t>
      </w:r>
      <w:r w:rsidR="002452BD" w:rsidRPr="00445EC7">
        <w:t>822</w:t>
      </w:r>
    </w:p>
    <w:p w:rsidR="000821DC" w:rsidRPr="0020448C" w:rsidRDefault="00E76570" w:rsidP="000821DC">
      <w:pPr>
        <w:rPr>
          <w:lang w:val="fr-FR"/>
        </w:rPr>
      </w:pPr>
      <w:r w:rsidRPr="0020448C">
        <w:rPr>
          <w:lang w:val="fr-FR"/>
        </w:rPr>
        <w:t>Alexandria, VA 22302</w:t>
      </w:r>
    </w:p>
    <w:p w:rsidR="000821DC" w:rsidRPr="0020448C" w:rsidRDefault="00E76570" w:rsidP="000821DC">
      <w:pPr>
        <w:rPr>
          <w:lang w:val="fr-FR"/>
        </w:rPr>
      </w:pPr>
      <w:r w:rsidRPr="0020448C">
        <w:rPr>
          <w:lang w:val="fr-FR"/>
        </w:rPr>
        <w:t>703-305-2410</w:t>
      </w:r>
    </w:p>
    <w:p w:rsidR="0087561A" w:rsidRPr="0020448C" w:rsidRDefault="00E76570" w:rsidP="000821DC">
      <w:pPr>
        <w:rPr>
          <w:lang w:val="fr-FR"/>
        </w:rPr>
      </w:pPr>
      <w:r w:rsidRPr="0020448C">
        <w:rPr>
          <w:lang w:val="fr-FR"/>
        </w:rPr>
        <w:t>Tiffany.Wilkinson@fns.usda.gov</w:t>
      </w:r>
    </w:p>
    <w:p w:rsidR="006105B8" w:rsidRPr="00445EC7" w:rsidRDefault="00E76570" w:rsidP="0087561A">
      <w:pPr>
        <w:rPr>
          <w:b/>
        </w:rPr>
      </w:pPr>
      <w:bookmarkStart w:id="0" w:name="_Toc235245386"/>
      <w:bookmarkStart w:id="1" w:name="_Toc237659379"/>
      <w:r w:rsidRPr="0020448C">
        <w:rPr>
          <w:b/>
          <w:lang w:val="fr-FR"/>
        </w:rPr>
        <w:br w:type="page"/>
      </w:r>
      <w:r w:rsidR="000821DC" w:rsidRPr="00445EC7">
        <w:rPr>
          <w:b/>
        </w:rPr>
        <w:lastRenderedPageBreak/>
        <w:t>Table of Contents</w:t>
      </w:r>
      <w:bookmarkEnd w:id="0"/>
      <w:bookmarkEnd w:id="1"/>
      <w:r w:rsidR="000821DC" w:rsidRPr="00445EC7">
        <w:rPr>
          <w:b/>
        </w:rPr>
        <w:t xml:space="preserve"> </w:t>
      </w:r>
    </w:p>
    <w:p w:rsidR="00A851B6" w:rsidRPr="00445EC7" w:rsidRDefault="00A851B6" w:rsidP="006105B8">
      <w:pPr>
        <w:keepNext/>
        <w:autoSpaceDE w:val="0"/>
        <w:autoSpaceDN w:val="0"/>
        <w:adjustRightInd w:val="0"/>
        <w:outlineLvl w:val="0"/>
        <w:rPr>
          <w:b/>
        </w:rPr>
      </w:pPr>
    </w:p>
    <w:p w:rsidR="006105B8" w:rsidRPr="00445EC7" w:rsidRDefault="006105B8" w:rsidP="006105B8">
      <w:pPr>
        <w:keepNext/>
        <w:autoSpaceDE w:val="0"/>
        <w:autoSpaceDN w:val="0"/>
        <w:adjustRightInd w:val="0"/>
        <w:outlineLvl w:val="0"/>
        <w:rPr>
          <w:u w:val="single"/>
        </w:rPr>
      </w:pPr>
      <w:r w:rsidRPr="00445EC7">
        <w:rPr>
          <w:u w:val="single"/>
        </w:rPr>
        <w:t>Justification</w:t>
      </w:r>
    </w:p>
    <w:tbl>
      <w:tblPr>
        <w:tblW w:w="0" w:type="auto"/>
        <w:tblLook w:val="04A0"/>
      </w:tblPr>
      <w:tblGrid>
        <w:gridCol w:w="456"/>
        <w:gridCol w:w="8008"/>
        <w:gridCol w:w="456"/>
      </w:tblGrid>
      <w:tr w:rsidR="00675F45" w:rsidRPr="00675F45" w:rsidTr="00A60F3F">
        <w:tc>
          <w:tcPr>
            <w:tcW w:w="0" w:type="auto"/>
            <w:shd w:val="clear" w:color="auto" w:fill="auto"/>
            <w:vAlign w:val="bottom"/>
          </w:tcPr>
          <w:p w:rsidR="00675F45" w:rsidRPr="00A60F3F" w:rsidRDefault="00675F45" w:rsidP="00A60F3F">
            <w:pPr>
              <w:jc w:val="right"/>
              <w:rPr>
                <w:color w:val="000000"/>
              </w:rPr>
            </w:pPr>
            <w:bookmarkStart w:id="2" w:name="RANGE!A1"/>
            <w:r w:rsidRPr="00A60F3F">
              <w:rPr>
                <w:color w:val="000000"/>
              </w:rPr>
              <w:t>1</w:t>
            </w:r>
            <w:bookmarkEnd w:id="2"/>
          </w:p>
        </w:tc>
        <w:tc>
          <w:tcPr>
            <w:tcW w:w="0" w:type="auto"/>
            <w:shd w:val="clear" w:color="auto" w:fill="auto"/>
            <w:vAlign w:val="bottom"/>
          </w:tcPr>
          <w:p w:rsidR="00675F45" w:rsidRPr="00A60F3F" w:rsidRDefault="00675F45">
            <w:pPr>
              <w:rPr>
                <w:color w:val="000000"/>
              </w:rPr>
            </w:pPr>
            <w:r w:rsidRPr="00A60F3F">
              <w:rPr>
                <w:color w:val="000000"/>
              </w:rPr>
              <w:t>Explanation of Circumstances That Make Collection of Data Necessary</w:t>
            </w:r>
          </w:p>
        </w:tc>
        <w:tc>
          <w:tcPr>
            <w:tcW w:w="0" w:type="auto"/>
            <w:shd w:val="clear" w:color="auto" w:fill="auto"/>
            <w:vAlign w:val="bottom"/>
          </w:tcPr>
          <w:p w:rsidR="00675F45" w:rsidRPr="00A60F3F" w:rsidRDefault="00675F45" w:rsidP="00A60F3F">
            <w:pPr>
              <w:jc w:val="right"/>
              <w:rPr>
                <w:color w:val="000000"/>
              </w:rPr>
            </w:pPr>
            <w:r w:rsidRPr="00A60F3F">
              <w:rPr>
                <w:color w:val="000000"/>
              </w:rPr>
              <w:t>3</w:t>
            </w:r>
          </w:p>
        </w:tc>
      </w:tr>
      <w:tr w:rsidR="00675F45" w:rsidRPr="00675F45" w:rsidTr="00A60F3F">
        <w:tc>
          <w:tcPr>
            <w:tcW w:w="0" w:type="auto"/>
            <w:shd w:val="clear" w:color="auto" w:fill="auto"/>
            <w:vAlign w:val="bottom"/>
          </w:tcPr>
          <w:p w:rsidR="00675F45" w:rsidRPr="00A60F3F" w:rsidRDefault="00675F45" w:rsidP="00A60F3F">
            <w:pPr>
              <w:jc w:val="right"/>
              <w:rPr>
                <w:color w:val="000000"/>
              </w:rPr>
            </w:pPr>
            <w:r w:rsidRPr="00A60F3F">
              <w:rPr>
                <w:color w:val="000000"/>
              </w:rPr>
              <w:t>2</w:t>
            </w:r>
          </w:p>
        </w:tc>
        <w:tc>
          <w:tcPr>
            <w:tcW w:w="0" w:type="auto"/>
            <w:shd w:val="clear" w:color="auto" w:fill="auto"/>
            <w:vAlign w:val="bottom"/>
          </w:tcPr>
          <w:p w:rsidR="00675F45" w:rsidRPr="00A60F3F" w:rsidRDefault="00675F45">
            <w:pPr>
              <w:rPr>
                <w:color w:val="000000"/>
              </w:rPr>
            </w:pPr>
            <w:r w:rsidRPr="00A60F3F">
              <w:rPr>
                <w:color w:val="000000"/>
              </w:rPr>
              <w:t>Purpose and Use of the Information</w:t>
            </w:r>
          </w:p>
        </w:tc>
        <w:tc>
          <w:tcPr>
            <w:tcW w:w="0" w:type="auto"/>
            <w:shd w:val="clear" w:color="auto" w:fill="auto"/>
            <w:vAlign w:val="bottom"/>
          </w:tcPr>
          <w:p w:rsidR="00675F45" w:rsidRPr="00A60F3F" w:rsidRDefault="00675F45" w:rsidP="00A60F3F">
            <w:pPr>
              <w:jc w:val="right"/>
              <w:rPr>
                <w:color w:val="000000"/>
              </w:rPr>
            </w:pPr>
            <w:r w:rsidRPr="00A60F3F">
              <w:rPr>
                <w:color w:val="000000"/>
              </w:rPr>
              <w:t>4</w:t>
            </w:r>
          </w:p>
        </w:tc>
      </w:tr>
      <w:tr w:rsidR="00675F45" w:rsidRPr="00675F45" w:rsidTr="00A60F3F">
        <w:tc>
          <w:tcPr>
            <w:tcW w:w="0" w:type="auto"/>
            <w:shd w:val="clear" w:color="auto" w:fill="auto"/>
            <w:vAlign w:val="bottom"/>
          </w:tcPr>
          <w:p w:rsidR="00675F45" w:rsidRPr="00A60F3F" w:rsidRDefault="00675F45" w:rsidP="00A60F3F">
            <w:pPr>
              <w:jc w:val="right"/>
              <w:rPr>
                <w:color w:val="000000"/>
              </w:rPr>
            </w:pPr>
            <w:r w:rsidRPr="00A60F3F">
              <w:rPr>
                <w:color w:val="000000"/>
              </w:rPr>
              <w:t>3</w:t>
            </w:r>
          </w:p>
        </w:tc>
        <w:tc>
          <w:tcPr>
            <w:tcW w:w="0" w:type="auto"/>
            <w:shd w:val="clear" w:color="auto" w:fill="auto"/>
            <w:vAlign w:val="bottom"/>
          </w:tcPr>
          <w:p w:rsidR="00675F45" w:rsidRPr="00A60F3F" w:rsidRDefault="00675F45">
            <w:pPr>
              <w:rPr>
                <w:color w:val="000000"/>
              </w:rPr>
            </w:pPr>
            <w:r w:rsidRPr="00A60F3F">
              <w:rPr>
                <w:color w:val="000000"/>
              </w:rPr>
              <w:t>Use of Information Technology to Burden Reduction</w:t>
            </w:r>
          </w:p>
        </w:tc>
        <w:tc>
          <w:tcPr>
            <w:tcW w:w="0" w:type="auto"/>
            <w:shd w:val="clear" w:color="auto" w:fill="auto"/>
            <w:vAlign w:val="bottom"/>
          </w:tcPr>
          <w:p w:rsidR="00675F45" w:rsidRPr="00A60F3F" w:rsidRDefault="00675F45" w:rsidP="00A60F3F">
            <w:pPr>
              <w:jc w:val="right"/>
              <w:rPr>
                <w:color w:val="000000"/>
              </w:rPr>
            </w:pPr>
            <w:r w:rsidRPr="00A60F3F">
              <w:rPr>
                <w:color w:val="000000"/>
              </w:rPr>
              <w:t>5</w:t>
            </w:r>
          </w:p>
        </w:tc>
      </w:tr>
      <w:tr w:rsidR="00675F45" w:rsidRPr="00675F45" w:rsidTr="00A60F3F">
        <w:tc>
          <w:tcPr>
            <w:tcW w:w="0" w:type="auto"/>
            <w:shd w:val="clear" w:color="auto" w:fill="auto"/>
            <w:vAlign w:val="bottom"/>
          </w:tcPr>
          <w:p w:rsidR="00675F45" w:rsidRPr="00A60F3F" w:rsidRDefault="00675F45" w:rsidP="00A60F3F">
            <w:pPr>
              <w:jc w:val="right"/>
              <w:rPr>
                <w:color w:val="000000"/>
              </w:rPr>
            </w:pPr>
            <w:r w:rsidRPr="00A60F3F">
              <w:rPr>
                <w:color w:val="000000"/>
              </w:rPr>
              <w:t>4</w:t>
            </w:r>
          </w:p>
        </w:tc>
        <w:tc>
          <w:tcPr>
            <w:tcW w:w="0" w:type="auto"/>
            <w:shd w:val="clear" w:color="auto" w:fill="auto"/>
            <w:vAlign w:val="bottom"/>
          </w:tcPr>
          <w:p w:rsidR="00675F45" w:rsidRPr="00A60F3F" w:rsidRDefault="00675F45">
            <w:pPr>
              <w:rPr>
                <w:color w:val="000000"/>
              </w:rPr>
            </w:pPr>
            <w:r w:rsidRPr="00A60F3F">
              <w:rPr>
                <w:color w:val="000000"/>
              </w:rPr>
              <w:t>Efforts to Identify Duplication and Use of Similar Information</w:t>
            </w:r>
          </w:p>
        </w:tc>
        <w:tc>
          <w:tcPr>
            <w:tcW w:w="0" w:type="auto"/>
            <w:shd w:val="clear" w:color="auto" w:fill="auto"/>
            <w:vAlign w:val="bottom"/>
          </w:tcPr>
          <w:p w:rsidR="00675F45" w:rsidRPr="00A60F3F" w:rsidRDefault="00675F45" w:rsidP="00A60F3F">
            <w:pPr>
              <w:jc w:val="right"/>
              <w:rPr>
                <w:color w:val="000000"/>
              </w:rPr>
            </w:pPr>
            <w:r w:rsidRPr="00A60F3F">
              <w:rPr>
                <w:color w:val="000000"/>
              </w:rPr>
              <w:t>5</w:t>
            </w:r>
          </w:p>
        </w:tc>
      </w:tr>
      <w:tr w:rsidR="00675F45" w:rsidRPr="00675F45" w:rsidTr="00A60F3F">
        <w:tc>
          <w:tcPr>
            <w:tcW w:w="0" w:type="auto"/>
            <w:shd w:val="clear" w:color="auto" w:fill="auto"/>
            <w:vAlign w:val="bottom"/>
          </w:tcPr>
          <w:p w:rsidR="00675F45" w:rsidRPr="00A60F3F" w:rsidRDefault="00675F45" w:rsidP="00A60F3F">
            <w:pPr>
              <w:jc w:val="right"/>
              <w:rPr>
                <w:color w:val="000000"/>
              </w:rPr>
            </w:pPr>
            <w:r w:rsidRPr="00A60F3F">
              <w:rPr>
                <w:color w:val="000000"/>
              </w:rPr>
              <w:t>5</w:t>
            </w:r>
          </w:p>
        </w:tc>
        <w:tc>
          <w:tcPr>
            <w:tcW w:w="0" w:type="auto"/>
            <w:shd w:val="clear" w:color="auto" w:fill="auto"/>
            <w:vAlign w:val="bottom"/>
          </w:tcPr>
          <w:p w:rsidR="00675F45" w:rsidRPr="00A60F3F" w:rsidRDefault="00675F45">
            <w:pPr>
              <w:rPr>
                <w:color w:val="000000"/>
              </w:rPr>
            </w:pPr>
            <w:r w:rsidRPr="00A60F3F">
              <w:rPr>
                <w:color w:val="000000"/>
              </w:rPr>
              <w:t>Impacts Small Businesses or Other Small Entities</w:t>
            </w:r>
          </w:p>
        </w:tc>
        <w:tc>
          <w:tcPr>
            <w:tcW w:w="0" w:type="auto"/>
            <w:shd w:val="clear" w:color="auto" w:fill="auto"/>
            <w:vAlign w:val="bottom"/>
          </w:tcPr>
          <w:p w:rsidR="00675F45" w:rsidRPr="00A60F3F" w:rsidRDefault="00675F45" w:rsidP="00A60F3F">
            <w:pPr>
              <w:jc w:val="right"/>
              <w:rPr>
                <w:color w:val="000000"/>
              </w:rPr>
            </w:pPr>
            <w:r w:rsidRPr="00A60F3F">
              <w:rPr>
                <w:color w:val="000000"/>
              </w:rPr>
              <w:t>5</w:t>
            </w:r>
          </w:p>
        </w:tc>
      </w:tr>
      <w:tr w:rsidR="00675F45" w:rsidRPr="00675F45" w:rsidTr="00A60F3F">
        <w:tc>
          <w:tcPr>
            <w:tcW w:w="0" w:type="auto"/>
            <w:shd w:val="clear" w:color="auto" w:fill="auto"/>
            <w:vAlign w:val="bottom"/>
          </w:tcPr>
          <w:p w:rsidR="00675F45" w:rsidRPr="00A60F3F" w:rsidRDefault="00675F45" w:rsidP="00A60F3F">
            <w:pPr>
              <w:jc w:val="right"/>
              <w:rPr>
                <w:color w:val="000000"/>
              </w:rPr>
            </w:pPr>
            <w:r w:rsidRPr="00A60F3F">
              <w:rPr>
                <w:color w:val="000000"/>
              </w:rPr>
              <w:t>6</w:t>
            </w:r>
          </w:p>
        </w:tc>
        <w:tc>
          <w:tcPr>
            <w:tcW w:w="0" w:type="auto"/>
            <w:shd w:val="clear" w:color="auto" w:fill="auto"/>
            <w:vAlign w:val="bottom"/>
          </w:tcPr>
          <w:p w:rsidR="00675F45" w:rsidRPr="00A60F3F" w:rsidRDefault="00675F45">
            <w:pPr>
              <w:rPr>
                <w:color w:val="000000"/>
              </w:rPr>
            </w:pPr>
            <w:r w:rsidRPr="00A60F3F">
              <w:rPr>
                <w:color w:val="000000"/>
              </w:rPr>
              <w:t>Consequences of Collecting the Information Less Frequently</w:t>
            </w:r>
          </w:p>
        </w:tc>
        <w:tc>
          <w:tcPr>
            <w:tcW w:w="0" w:type="auto"/>
            <w:shd w:val="clear" w:color="auto" w:fill="auto"/>
            <w:vAlign w:val="bottom"/>
          </w:tcPr>
          <w:p w:rsidR="00675F45" w:rsidRPr="00A60F3F" w:rsidRDefault="00675F45" w:rsidP="00A60F3F">
            <w:pPr>
              <w:jc w:val="right"/>
              <w:rPr>
                <w:color w:val="000000"/>
              </w:rPr>
            </w:pPr>
            <w:r w:rsidRPr="00A60F3F">
              <w:rPr>
                <w:color w:val="000000"/>
              </w:rPr>
              <w:t>6</w:t>
            </w:r>
          </w:p>
        </w:tc>
      </w:tr>
      <w:tr w:rsidR="00675F45" w:rsidRPr="00675F45" w:rsidTr="00A60F3F">
        <w:tc>
          <w:tcPr>
            <w:tcW w:w="0" w:type="auto"/>
            <w:shd w:val="clear" w:color="auto" w:fill="auto"/>
            <w:vAlign w:val="bottom"/>
          </w:tcPr>
          <w:p w:rsidR="00675F45" w:rsidRPr="00A60F3F" w:rsidRDefault="00675F45" w:rsidP="00A60F3F">
            <w:pPr>
              <w:jc w:val="right"/>
              <w:rPr>
                <w:color w:val="000000"/>
              </w:rPr>
            </w:pPr>
            <w:r w:rsidRPr="00A60F3F">
              <w:rPr>
                <w:color w:val="000000"/>
              </w:rPr>
              <w:t>7</w:t>
            </w:r>
          </w:p>
        </w:tc>
        <w:tc>
          <w:tcPr>
            <w:tcW w:w="0" w:type="auto"/>
            <w:shd w:val="clear" w:color="auto" w:fill="auto"/>
            <w:vAlign w:val="bottom"/>
          </w:tcPr>
          <w:p w:rsidR="00675F45" w:rsidRPr="00A60F3F" w:rsidRDefault="00675F45">
            <w:pPr>
              <w:rPr>
                <w:color w:val="000000"/>
              </w:rPr>
            </w:pPr>
            <w:r w:rsidRPr="00A60F3F">
              <w:rPr>
                <w:color w:val="000000"/>
              </w:rPr>
              <w:t>Special Circumstance Relating to the Guideline of 5 CFR 1320.5</w:t>
            </w:r>
          </w:p>
        </w:tc>
        <w:tc>
          <w:tcPr>
            <w:tcW w:w="0" w:type="auto"/>
            <w:shd w:val="clear" w:color="auto" w:fill="auto"/>
            <w:vAlign w:val="bottom"/>
          </w:tcPr>
          <w:p w:rsidR="00675F45" w:rsidRPr="00A60F3F" w:rsidRDefault="00675F45" w:rsidP="00A60F3F">
            <w:pPr>
              <w:jc w:val="right"/>
              <w:rPr>
                <w:color w:val="000000"/>
              </w:rPr>
            </w:pPr>
            <w:r w:rsidRPr="00A60F3F">
              <w:rPr>
                <w:color w:val="000000"/>
              </w:rPr>
              <w:t>6</w:t>
            </w:r>
          </w:p>
        </w:tc>
      </w:tr>
      <w:tr w:rsidR="00675F45" w:rsidRPr="00675F45" w:rsidTr="00A60F3F">
        <w:tc>
          <w:tcPr>
            <w:tcW w:w="0" w:type="auto"/>
            <w:shd w:val="clear" w:color="auto" w:fill="auto"/>
          </w:tcPr>
          <w:p w:rsidR="00675F45" w:rsidRPr="00A60F3F" w:rsidRDefault="00675F45" w:rsidP="00A60F3F">
            <w:pPr>
              <w:jc w:val="right"/>
              <w:rPr>
                <w:color w:val="000000"/>
              </w:rPr>
            </w:pPr>
            <w:r w:rsidRPr="00A60F3F">
              <w:rPr>
                <w:color w:val="000000"/>
              </w:rPr>
              <w:t>8</w:t>
            </w:r>
          </w:p>
        </w:tc>
        <w:tc>
          <w:tcPr>
            <w:tcW w:w="0" w:type="auto"/>
            <w:shd w:val="clear" w:color="auto" w:fill="auto"/>
            <w:vAlign w:val="bottom"/>
          </w:tcPr>
          <w:p w:rsidR="00675F45" w:rsidRPr="00A60F3F" w:rsidRDefault="00675F45">
            <w:pPr>
              <w:rPr>
                <w:color w:val="000000"/>
              </w:rPr>
            </w:pPr>
            <w:r w:rsidRPr="00A60F3F">
              <w:rPr>
                <w:color w:val="000000"/>
              </w:rPr>
              <w:t xml:space="preserve">Comments in Response to the Federal Register Notice and </w:t>
            </w:r>
          </w:p>
          <w:p w:rsidR="00675F45" w:rsidRPr="00A60F3F" w:rsidRDefault="00675F45">
            <w:pPr>
              <w:rPr>
                <w:color w:val="000000"/>
              </w:rPr>
            </w:pPr>
            <w:r w:rsidRPr="00A60F3F">
              <w:rPr>
                <w:color w:val="000000"/>
              </w:rPr>
              <w:t xml:space="preserve">   Efforts to Consult Outside Agency</w:t>
            </w:r>
          </w:p>
        </w:tc>
        <w:tc>
          <w:tcPr>
            <w:tcW w:w="0" w:type="auto"/>
            <w:shd w:val="clear" w:color="auto" w:fill="auto"/>
            <w:vAlign w:val="bottom"/>
          </w:tcPr>
          <w:p w:rsidR="00675F45" w:rsidRPr="00A60F3F" w:rsidRDefault="00675F45" w:rsidP="00A60F3F">
            <w:pPr>
              <w:jc w:val="right"/>
              <w:rPr>
                <w:color w:val="000000"/>
              </w:rPr>
            </w:pPr>
            <w:r w:rsidRPr="00A60F3F">
              <w:rPr>
                <w:color w:val="000000"/>
              </w:rPr>
              <w:t>7</w:t>
            </w:r>
          </w:p>
        </w:tc>
      </w:tr>
      <w:tr w:rsidR="00675F45" w:rsidRPr="00675F45" w:rsidTr="00A60F3F">
        <w:tc>
          <w:tcPr>
            <w:tcW w:w="0" w:type="auto"/>
            <w:shd w:val="clear" w:color="auto" w:fill="auto"/>
            <w:vAlign w:val="bottom"/>
          </w:tcPr>
          <w:p w:rsidR="00675F45" w:rsidRPr="00A60F3F" w:rsidRDefault="00675F45" w:rsidP="00A60F3F">
            <w:pPr>
              <w:jc w:val="right"/>
              <w:rPr>
                <w:color w:val="000000"/>
              </w:rPr>
            </w:pPr>
            <w:r w:rsidRPr="00A60F3F">
              <w:rPr>
                <w:color w:val="000000"/>
              </w:rPr>
              <w:t>9</w:t>
            </w:r>
          </w:p>
        </w:tc>
        <w:tc>
          <w:tcPr>
            <w:tcW w:w="0" w:type="auto"/>
            <w:shd w:val="clear" w:color="auto" w:fill="auto"/>
            <w:vAlign w:val="bottom"/>
          </w:tcPr>
          <w:p w:rsidR="00675F45" w:rsidRPr="00A60F3F" w:rsidRDefault="00675F45">
            <w:pPr>
              <w:rPr>
                <w:color w:val="000000"/>
              </w:rPr>
            </w:pPr>
            <w:r w:rsidRPr="00A60F3F">
              <w:rPr>
                <w:color w:val="000000"/>
              </w:rPr>
              <w:t>Explanation of Any Payment or Gift to Respondents</w:t>
            </w:r>
          </w:p>
        </w:tc>
        <w:tc>
          <w:tcPr>
            <w:tcW w:w="0" w:type="auto"/>
            <w:shd w:val="clear" w:color="auto" w:fill="auto"/>
            <w:vAlign w:val="bottom"/>
          </w:tcPr>
          <w:p w:rsidR="00675F45" w:rsidRPr="00A60F3F" w:rsidRDefault="00675F45" w:rsidP="00A60F3F">
            <w:pPr>
              <w:jc w:val="right"/>
              <w:rPr>
                <w:color w:val="000000"/>
              </w:rPr>
            </w:pPr>
            <w:r w:rsidRPr="00A60F3F">
              <w:rPr>
                <w:color w:val="000000"/>
              </w:rPr>
              <w:t>9</w:t>
            </w:r>
          </w:p>
        </w:tc>
      </w:tr>
      <w:tr w:rsidR="00675F45" w:rsidRPr="00675F45" w:rsidTr="00A60F3F">
        <w:tc>
          <w:tcPr>
            <w:tcW w:w="0" w:type="auto"/>
            <w:shd w:val="clear" w:color="auto" w:fill="auto"/>
            <w:vAlign w:val="bottom"/>
          </w:tcPr>
          <w:p w:rsidR="00675F45" w:rsidRPr="00A60F3F" w:rsidRDefault="00675F45" w:rsidP="00A60F3F">
            <w:pPr>
              <w:jc w:val="right"/>
              <w:rPr>
                <w:color w:val="000000"/>
              </w:rPr>
            </w:pPr>
            <w:r w:rsidRPr="00A60F3F">
              <w:rPr>
                <w:color w:val="000000"/>
              </w:rPr>
              <w:t>10</w:t>
            </w:r>
          </w:p>
        </w:tc>
        <w:tc>
          <w:tcPr>
            <w:tcW w:w="0" w:type="auto"/>
            <w:shd w:val="clear" w:color="auto" w:fill="auto"/>
            <w:vAlign w:val="bottom"/>
          </w:tcPr>
          <w:p w:rsidR="00675F45" w:rsidRPr="00A60F3F" w:rsidRDefault="00675F45">
            <w:pPr>
              <w:rPr>
                <w:color w:val="000000"/>
              </w:rPr>
            </w:pPr>
            <w:r w:rsidRPr="00A60F3F">
              <w:rPr>
                <w:color w:val="000000"/>
              </w:rPr>
              <w:t>Assurance of Confidentiality Provided to Respondents</w:t>
            </w:r>
          </w:p>
        </w:tc>
        <w:tc>
          <w:tcPr>
            <w:tcW w:w="0" w:type="auto"/>
            <w:shd w:val="clear" w:color="auto" w:fill="auto"/>
            <w:vAlign w:val="bottom"/>
          </w:tcPr>
          <w:p w:rsidR="00675F45" w:rsidRPr="00A60F3F" w:rsidRDefault="00675F45" w:rsidP="00A60F3F">
            <w:pPr>
              <w:jc w:val="right"/>
              <w:rPr>
                <w:color w:val="000000"/>
              </w:rPr>
            </w:pPr>
            <w:r w:rsidRPr="00A60F3F">
              <w:rPr>
                <w:color w:val="000000"/>
              </w:rPr>
              <w:t>9</w:t>
            </w:r>
          </w:p>
        </w:tc>
      </w:tr>
      <w:tr w:rsidR="00675F45" w:rsidRPr="00675F45" w:rsidTr="00A60F3F">
        <w:tc>
          <w:tcPr>
            <w:tcW w:w="0" w:type="auto"/>
            <w:shd w:val="clear" w:color="auto" w:fill="auto"/>
            <w:vAlign w:val="bottom"/>
          </w:tcPr>
          <w:p w:rsidR="00675F45" w:rsidRPr="00A60F3F" w:rsidRDefault="00675F45" w:rsidP="00A60F3F">
            <w:pPr>
              <w:jc w:val="right"/>
              <w:rPr>
                <w:color w:val="000000"/>
              </w:rPr>
            </w:pPr>
            <w:r w:rsidRPr="00A60F3F">
              <w:rPr>
                <w:color w:val="000000"/>
              </w:rPr>
              <w:t>11</w:t>
            </w:r>
          </w:p>
        </w:tc>
        <w:tc>
          <w:tcPr>
            <w:tcW w:w="0" w:type="auto"/>
            <w:shd w:val="clear" w:color="auto" w:fill="auto"/>
            <w:vAlign w:val="bottom"/>
          </w:tcPr>
          <w:p w:rsidR="00675F45" w:rsidRPr="00A60F3F" w:rsidRDefault="00675F45">
            <w:pPr>
              <w:rPr>
                <w:color w:val="000000"/>
              </w:rPr>
            </w:pPr>
            <w:r w:rsidRPr="00A60F3F">
              <w:rPr>
                <w:color w:val="000000"/>
              </w:rPr>
              <w:t>Justification for Sensitive Questions</w:t>
            </w:r>
          </w:p>
        </w:tc>
        <w:tc>
          <w:tcPr>
            <w:tcW w:w="0" w:type="auto"/>
            <w:shd w:val="clear" w:color="auto" w:fill="auto"/>
            <w:vAlign w:val="bottom"/>
          </w:tcPr>
          <w:p w:rsidR="00675F45" w:rsidRPr="00A60F3F" w:rsidRDefault="00675F45" w:rsidP="00A60F3F">
            <w:pPr>
              <w:jc w:val="right"/>
              <w:rPr>
                <w:color w:val="000000"/>
              </w:rPr>
            </w:pPr>
            <w:r w:rsidRPr="00A60F3F">
              <w:rPr>
                <w:color w:val="000000"/>
              </w:rPr>
              <w:t>9</w:t>
            </w:r>
          </w:p>
        </w:tc>
      </w:tr>
      <w:tr w:rsidR="00675F45" w:rsidRPr="00675F45" w:rsidTr="00A60F3F">
        <w:tc>
          <w:tcPr>
            <w:tcW w:w="0" w:type="auto"/>
            <w:shd w:val="clear" w:color="auto" w:fill="auto"/>
            <w:vAlign w:val="bottom"/>
          </w:tcPr>
          <w:p w:rsidR="00675F45" w:rsidRPr="00A60F3F" w:rsidRDefault="00675F45" w:rsidP="00A60F3F">
            <w:pPr>
              <w:jc w:val="right"/>
              <w:rPr>
                <w:color w:val="000000"/>
              </w:rPr>
            </w:pPr>
            <w:r w:rsidRPr="00A60F3F">
              <w:rPr>
                <w:color w:val="000000"/>
              </w:rPr>
              <w:t>12</w:t>
            </w:r>
          </w:p>
        </w:tc>
        <w:tc>
          <w:tcPr>
            <w:tcW w:w="0" w:type="auto"/>
            <w:shd w:val="clear" w:color="auto" w:fill="auto"/>
            <w:vAlign w:val="bottom"/>
          </w:tcPr>
          <w:p w:rsidR="00675F45" w:rsidRPr="00A60F3F" w:rsidRDefault="00675F45">
            <w:pPr>
              <w:rPr>
                <w:color w:val="000000"/>
              </w:rPr>
            </w:pPr>
            <w:r w:rsidRPr="00A60F3F">
              <w:rPr>
                <w:color w:val="000000"/>
              </w:rPr>
              <w:t>Estimates of Hour Burden Including Annualized Hourly Costs</w:t>
            </w:r>
          </w:p>
        </w:tc>
        <w:tc>
          <w:tcPr>
            <w:tcW w:w="0" w:type="auto"/>
            <w:shd w:val="clear" w:color="auto" w:fill="auto"/>
            <w:vAlign w:val="bottom"/>
          </w:tcPr>
          <w:p w:rsidR="00675F45" w:rsidRPr="00A60F3F" w:rsidRDefault="00675F45" w:rsidP="00A60F3F">
            <w:pPr>
              <w:jc w:val="right"/>
              <w:rPr>
                <w:color w:val="000000"/>
              </w:rPr>
            </w:pPr>
            <w:r w:rsidRPr="00A60F3F">
              <w:rPr>
                <w:color w:val="000000"/>
              </w:rPr>
              <w:t>10</w:t>
            </w:r>
          </w:p>
        </w:tc>
      </w:tr>
      <w:tr w:rsidR="00675F45" w:rsidRPr="00675F45" w:rsidTr="00A60F3F">
        <w:tc>
          <w:tcPr>
            <w:tcW w:w="0" w:type="auto"/>
            <w:shd w:val="clear" w:color="auto" w:fill="auto"/>
            <w:vAlign w:val="bottom"/>
          </w:tcPr>
          <w:p w:rsidR="00675F45" w:rsidRPr="00A60F3F" w:rsidRDefault="00675F45" w:rsidP="00A60F3F">
            <w:pPr>
              <w:jc w:val="right"/>
              <w:rPr>
                <w:color w:val="000000"/>
              </w:rPr>
            </w:pPr>
            <w:r w:rsidRPr="00A60F3F">
              <w:rPr>
                <w:color w:val="000000"/>
              </w:rPr>
              <w:t>13</w:t>
            </w:r>
          </w:p>
        </w:tc>
        <w:tc>
          <w:tcPr>
            <w:tcW w:w="0" w:type="auto"/>
            <w:shd w:val="clear" w:color="auto" w:fill="auto"/>
            <w:vAlign w:val="bottom"/>
          </w:tcPr>
          <w:p w:rsidR="00675F45" w:rsidRPr="00A60F3F" w:rsidRDefault="00675F45">
            <w:pPr>
              <w:rPr>
                <w:color w:val="000000"/>
              </w:rPr>
            </w:pPr>
            <w:r w:rsidRPr="00A60F3F">
              <w:rPr>
                <w:color w:val="000000"/>
              </w:rPr>
              <w:t>Estimates of Other Total Annual Cost Burden to Respondents or Record Keepers</w:t>
            </w:r>
          </w:p>
        </w:tc>
        <w:tc>
          <w:tcPr>
            <w:tcW w:w="0" w:type="auto"/>
            <w:shd w:val="clear" w:color="auto" w:fill="auto"/>
            <w:vAlign w:val="bottom"/>
          </w:tcPr>
          <w:p w:rsidR="00675F45" w:rsidRPr="00A60F3F" w:rsidRDefault="00675F45" w:rsidP="00A60F3F">
            <w:pPr>
              <w:jc w:val="right"/>
              <w:rPr>
                <w:color w:val="000000"/>
              </w:rPr>
            </w:pPr>
            <w:r w:rsidRPr="00A60F3F">
              <w:rPr>
                <w:color w:val="000000"/>
              </w:rPr>
              <w:t>13</w:t>
            </w:r>
          </w:p>
        </w:tc>
      </w:tr>
      <w:tr w:rsidR="00675F45" w:rsidRPr="00675F45" w:rsidTr="00A60F3F">
        <w:tc>
          <w:tcPr>
            <w:tcW w:w="0" w:type="auto"/>
            <w:shd w:val="clear" w:color="auto" w:fill="auto"/>
            <w:vAlign w:val="bottom"/>
          </w:tcPr>
          <w:p w:rsidR="00675F45" w:rsidRPr="00A60F3F" w:rsidRDefault="00675F45" w:rsidP="00A60F3F">
            <w:pPr>
              <w:jc w:val="right"/>
              <w:rPr>
                <w:color w:val="000000"/>
              </w:rPr>
            </w:pPr>
            <w:r w:rsidRPr="00A60F3F">
              <w:rPr>
                <w:color w:val="000000"/>
              </w:rPr>
              <w:t>14</w:t>
            </w:r>
          </w:p>
        </w:tc>
        <w:tc>
          <w:tcPr>
            <w:tcW w:w="0" w:type="auto"/>
            <w:shd w:val="clear" w:color="auto" w:fill="auto"/>
            <w:vAlign w:val="bottom"/>
          </w:tcPr>
          <w:p w:rsidR="00675F45" w:rsidRPr="00A60F3F" w:rsidRDefault="00675F45">
            <w:pPr>
              <w:rPr>
                <w:color w:val="000000"/>
              </w:rPr>
            </w:pPr>
            <w:r w:rsidRPr="00A60F3F">
              <w:rPr>
                <w:color w:val="000000"/>
              </w:rPr>
              <w:t>Annualized Cost to Federal Government</w:t>
            </w:r>
          </w:p>
        </w:tc>
        <w:tc>
          <w:tcPr>
            <w:tcW w:w="0" w:type="auto"/>
            <w:shd w:val="clear" w:color="auto" w:fill="auto"/>
            <w:vAlign w:val="bottom"/>
          </w:tcPr>
          <w:p w:rsidR="00675F45" w:rsidRPr="00A60F3F" w:rsidRDefault="00675F45" w:rsidP="00A60F3F">
            <w:pPr>
              <w:jc w:val="right"/>
              <w:rPr>
                <w:color w:val="000000"/>
              </w:rPr>
            </w:pPr>
            <w:r w:rsidRPr="00A60F3F">
              <w:rPr>
                <w:color w:val="000000"/>
              </w:rPr>
              <w:t>13</w:t>
            </w:r>
          </w:p>
        </w:tc>
      </w:tr>
      <w:tr w:rsidR="00675F45" w:rsidRPr="00675F45" w:rsidTr="00A60F3F">
        <w:tc>
          <w:tcPr>
            <w:tcW w:w="0" w:type="auto"/>
            <w:shd w:val="clear" w:color="auto" w:fill="auto"/>
            <w:vAlign w:val="bottom"/>
          </w:tcPr>
          <w:p w:rsidR="00675F45" w:rsidRPr="00A60F3F" w:rsidRDefault="00675F45" w:rsidP="00A60F3F">
            <w:pPr>
              <w:jc w:val="right"/>
              <w:rPr>
                <w:color w:val="000000"/>
              </w:rPr>
            </w:pPr>
            <w:r w:rsidRPr="00A60F3F">
              <w:rPr>
                <w:color w:val="000000"/>
              </w:rPr>
              <w:t>15</w:t>
            </w:r>
          </w:p>
        </w:tc>
        <w:tc>
          <w:tcPr>
            <w:tcW w:w="0" w:type="auto"/>
            <w:shd w:val="clear" w:color="auto" w:fill="auto"/>
            <w:vAlign w:val="bottom"/>
          </w:tcPr>
          <w:p w:rsidR="00675F45" w:rsidRPr="00A60F3F" w:rsidRDefault="00675F45">
            <w:pPr>
              <w:rPr>
                <w:color w:val="000000"/>
              </w:rPr>
            </w:pPr>
            <w:r w:rsidRPr="00A60F3F">
              <w:rPr>
                <w:color w:val="000000"/>
              </w:rPr>
              <w:t>Explanation for Program Changes or Adjustments</w:t>
            </w:r>
          </w:p>
        </w:tc>
        <w:tc>
          <w:tcPr>
            <w:tcW w:w="0" w:type="auto"/>
            <w:shd w:val="clear" w:color="auto" w:fill="auto"/>
            <w:vAlign w:val="bottom"/>
          </w:tcPr>
          <w:p w:rsidR="00675F45" w:rsidRPr="00A60F3F" w:rsidRDefault="00675F45" w:rsidP="00A60F3F">
            <w:pPr>
              <w:jc w:val="right"/>
              <w:rPr>
                <w:color w:val="000000"/>
              </w:rPr>
            </w:pPr>
            <w:r w:rsidRPr="00A60F3F">
              <w:rPr>
                <w:color w:val="000000"/>
              </w:rPr>
              <w:t>14</w:t>
            </w:r>
          </w:p>
        </w:tc>
      </w:tr>
      <w:tr w:rsidR="00675F45" w:rsidRPr="00675F45" w:rsidTr="00A60F3F">
        <w:tc>
          <w:tcPr>
            <w:tcW w:w="0" w:type="auto"/>
            <w:shd w:val="clear" w:color="auto" w:fill="auto"/>
            <w:vAlign w:val="bottom"/>
          </w:tcPr>
          <w:p w:rsidR="00675F45" w:rsidRPr="00A60F3F" w:rsidRDefault="00675F45" w:rsidP="00A60F3F">
            <w:pPr>
              <w:jc w:val="right"/>
              <w:rPr>
                <w:color w:val="000000"/>
              </w:rPr>
            </w:pPr>
            <w:r w:rsidRPr="00A60F3F">
              <w:rPr>
                <w:color w:val="000000"/>
              </w:rPr>
              <w:t>16</w:t>
            </w:r>
          </w:p>
        </w:tc>
        <w:tc>
          <w:tcPr>
            <w:tcW w:w="0" w:type="auto"/>
            <w:shd w:val="clear" w:color="auto" w:fill="auto"/>
            <w:vAlign w:val="bottom"/>
          </w:tcPr>
          <w:p w:rsidR="00675F45" w:rsidRPr="00A60F3F" w:rsidRDefault="00675F45">
            <w:pPr>
              <w:rPr>
                <w:color w:val="000000"/>
              </w:rPr>
            </w:pPr>
            <w:r w:rsidRPr="00A60F3F">
              <w:rPr>
                <w:color w:val="000000"/>
              </w:rPr>
              <w:t>Plans for Tabulation and Publication and Project Time Schedule</w:t>
            </w:r>
          </w:p>
        </w:tc>
        <w:tc>
          <w:tcPr>
            <w:tcW w:w="0" w:type="auto"/>
            <w:shd w:val="clear" w:color="auto" w:fill="auto"/>
            <w:vAlign w:val="bottom"/>
          </w:tcPr>
          <w:p w:rsidR="00675F45" w:rsidRPr="00A60F3F" w:rsidRDefault="00675F45" w:rsidP="00A60F3F">
            <w:pPr>
              <w:jc w:val="right"/>
              <w:rPr>
                <w:color w:val="000000"/>
              </w:rPr>
            </w:pPr>
            <w:r w:rsidRPr="00A60F3F">
              <w:rPr>
                <w:color w:val="000000"/>
              </w:rPr>
              <w:t>14</w:t>
            </w:r>
          </w:p>
        </w:tc>
      </w:tr>
      <w:tr w:rsidR="00675F45" w:rsidRPr="00675F45" w:rsidTr="00A60F3F">
        <w:tc>
          <w:tcPr>
            <w:tcW w:w="0" w:type="auto"/>
            <w:shd w:val="clear" w:color="auto" w:fill="auto"/>
            <w:vAlign w:val="bottom"/>
          </w:tcPr>
          <w:p w:rsidR="00675F45" w:rsidRPr="00A60F3F" w:rsidRDefault="00675F45" w:rsidP="00A60F3F">
            <w:pPr>
              <w:jc w:val="right"/>
              <w:rPr>
                <w:color w:val="000000"/>
              </w:rPr>
            </w:pPr>
            <w:r w:rsidRPr="00A60F3F">
              <w:rPr>
                <w:color w:val="000000"/>
              </w:rPr>
              <w:t>17</w:t>
            </w:r>
          </w:p>
        </w:tc>
        <w:tc>
          <w:tcPr>
            <w:tcW w:w="0" w:type="auto"/>
            <w:shd w:val="clear" w:color="auto" w:fill="auto"/>
            <w:vAlign w:val="bottom"/>
          </w:tcPr>
          <w:p w:rsidR="00675F45" w:rsidRPr="00A60F3F" w:rsidRDefault="00675F45">
            <w:pPr>
              <w:rPr>
                <w:color w:val="000000"/>
              </w:rPr>
            </w:pPr>
            <w:r w:rsidRPr="00A60F3F">
              <w:rPr>
                <w:color w:val="000000"/>
              </w:rPr>
              <w:t>Reason(s) Display of OMB Expiration Date is Inappropriate</w:t>
            </w:r>
          </w:p>
        </w:tc>
        <w:tc>
          <w:tcPr>
            <w:tcW w:w="0" w:type="auto"/>
            <w:shd w:val="clear" w:color="auto" w:fill="auto"/>
            <w:vAlign w:val="bottom"/>
          </w:tcPr>
          <w:p w:rsidR="00675F45" w:rsidRPr="00A60F3F" w:rsidRDefault="00675F45" w:rsidP="00A60F3F">
            <w:pPr>
              <w:jc w:val="right"/>
              <w:rPr>
                <w:color w:val="000000"/>
              </w:rPr>
            </w:pPr>
            <w:r w:rsidRPr="00A60F3F">
              <w:rPr>
                <w:color w:val="000000"/>
              </w:rPr>
              <w:t>15</w:t>
            </w:r>
          </w:p>
        </w:tc>
      </w:tr>
      <w:tr w:rsidR="00675F45" w:rsidRPr="00675F45" w:rsidTr="00A60F3F">
        <w:tc>
          <w:tcPr>
            <w:tcW w:w="0" w:type="auto"/>
            <w:shd w:val="clear" w:color="auto" w:fill="auto"/>
            <w:vAlign w:val="bottom"/>
          </w:tcPr>
          <w:p w:rsidR="00675F45" w:rsidRPr="00A60F3F" w:rsidRDefault="00675F45" w:rsidP="00A60F3F">
            <w:pPr>
              <w:jc w:val="right"/>
              <w:rPr>
                <w:color w:val="000000"/>
              </w:rPr>
            </w:pPr>
            <w:r w:rsidRPr="00A60F3F">
              <w:rPr>
                <w:color w:val="000000"/>
              </w:rPr>
              <w:t>18</w:t>
            </w:r>
          </w:p>
        </w:tc>
        <w:tc>
          <w:tcPr>
            <w:tcW w:w="0" w:type="auto"/>
            <w:shd w:val="clear" w:color="auto" w:fill="auto"/>
            <w:vAlign w:val="bottom"/>
          </w:tcPr>
          <w:p w:rsidR="00675F45" w:rsidRPr="00A60F3F" w:rsidRDefault="00675F45">
            <w:pPr>
              <w:rPr>
                <w:color w:val="000000"/>
              </w:rPr>
            </w:pPr>
            <w:r w:rsidRPr="00A60F3F">
              <w:rPr>
                <w:color w:val="000000"/>
              </w:rPr>
              <w:t>Exceptions to Certification for Paperwork Reduction Act Submission</w:t>
            </w:r>
          </w:p>
        </w:tc>
        <w:tc>
          <w:tcPr>
            <w:tcW w:w="0" w:type="auto"/>
            <w:shd w:val="clear" w:color="auto" w:fill="auto"/>
            <w:vAlign w:val="bottom"/>
          </w:tcPr>
          <w:p w:rsidR="00675F45" w:rsidRPr="00A60F3F" w:rsidRDefault="00675F45" w:rsidP="00A60F3F">
            <w:pPr>
              <w:jc w:val="right"/>
              <w:rPr>
                <w:color w:val="000000"/>
              </w:rPr>
            </w:pPr>
            <w:r w:rsidRPr="00A60F3F">
              <w:rPr>
                <w:color w:val="000000"/>
              </w:rPr>
              <w:t>15</w:t>
            </w:r>
          </w:p>
        </w:tc>
      </w:tr>
      <w:tr w:rsidR="00675F45" w:rsidRPr="00675F45" w:rsidTr="00A60F3F">
        <w:tc>
          <w:tcPr>
            <w:tcW w:w="0" w:type="auto"/>
            <w:shd w:val="clear" w:color="auto" w:fill="auto"/>
            <w:vAlign w:val="bottom"/>
          </w:tcPr>
          <w:p w:rsidR="00675F45" w:rsidRPr="00A60F3F" w:rsidRDefault="00675F45" w:rsidP="00A60F3F">
            <w:pPr>
              <w:jc w:val="right"/>
              <w:rPr>
                <w:color w:val="000000"/>
              </w:rPr>
            </w:pPr>
            <w:r w:rsidRPr="00A60F3F">
              <w:rPr>
                <w:color w:val="000000"/>
              </w:rPr>
              <w:t>19</w:t>
            </w:r>
          </w:p>
        </w:tc>
        <w:tc>
          <w:tcPr>
            <w:tcW w:w="0" w:type="auto"/>
            <w:shd w:val="clear" w:color="auto" w:fill="auto"/>
            <w:vAlign w:val="bottom"/>
          </w:tcPr>
          <w:p w:rsidR="00675F45" w:rsidRPr="00A60F3F" w:rsidRDefault="00675F45">
            <w:pPr>
              <w:rPr>
                <w:color w:val="000000"/>
              </w:rPr>
            </w:pPr>
            <w:r w:rsidRPr="00A60F3F">
              <w:rPr>
                <w:color w:val="000000"/>
              </w:rPr>
              <w:t>Information collection related to the Customer Service Center</w:t>
            </w:r>
          </w:p>
        </w:tc>
        <w:tc>
          <w:tcPr>
            <w:tcW w:w="0" w:type="auto"/>
            <w:shd w:val="clear" w:color="auto" w:fill="auto"/>
            <w:vAlign w:val="bottom"/>
          </w:tcPr>
          <w:p w:rsidR="00675F45" w:rsidRPr="00A60F3F" w:rsidRDefault="00675F45" w:rsidP="00A60F3F">
            <w:pPr>
              <w:jc w:val="right"/>
              <w:rPr>
                <w:color w:val="000000"/>
              </w:rPr>
            </w:pPr>
            <w:r w:rsidRPr="00A60F3F">
              <w:rPr>
                <w:color w:val="000000"/>
              </w:rPr>
              <w:t>15</w:t>
            </w:r>
          </w:p>
        </w:tc>
      </w:tr>
    </w:tbl>
    <w:p w:rsidR="006105B8" w:rsidRPr="00445EC7" w:rsidRDefault="006105B8" w:rsidP="00F25E66">
      <w:pPr>
        <w:tabs>
          <w:tab w:val="left" w:pos="630"/>
          <w:tab w:val="left" w:pos="960"/>
          <w:tab w:val="left" w:pos="990"/>
          <w:tab w:val="right" w:leader="dot" w:pos="9360"/>
        </w:tabs>
        <w:spacing w:before="80" w:after="80"/>
      </w:pPr>
    </w:p>
    <w:p w:rsidR="0044137F" w:rsidRPr="00445EC7" w:rsidRDefault="0044137F" w:rsidP="0044137F">
      <w:pPr>
        <w:tabs>
          <w:tab w:val="left" w:pos="660"/>
          <w:tab w:val="left" w:pos="990"/>
        </w:tabs>
        <w:spacing w:before="40" w:after="40"/>
      </w:pPr>
      <w:r w:rsidRPr="00445EC7">
        <w:t>A</w:t>
      </w:r>
      <w:r w:rsidRPr="00445EC7">
        <w:tab/>
        <w:t>FNS-245</w:t>
      </w:r>
    </w:p>
    <w:p w:rsidR="0044137F" w:rsidRPr="00445EC7" w:rsidRDefault="0044137F" w:rsidP="0044137F">
      <w:pPr>
        <w:tabs>
          <w:tab w:val="left" w:pos="660"/>
          <w:tab w:val="left" w:pos="990"/>
        </w:tabs>
        <w:spacing w:before="40" w:after="40"/>
      </w:pPr>
      <w:r w:rsidRPr="00445EC7">
        <w:t xml:space="preserve">B </w:t>
      </w:r>
      <w:r w:rsidRPr="00445EC7">
        <w:tab/>
        <w:t xml:space="preserve">FNS 245 Coding Instructions from FNS 310 HB; Pages </w:t>
      </w:r>
    </w:p>
    <w:p w:rsidR="0044137F" w:rsidRPr="0020448C" w:rsidRDefault="0044137F" w:rsidP="0044137F">
      <w:pPr>
        <w:tabs>
          <w:tab w:val="left" w:pos="660"/>
          <w:tab w:val="left" w:pos="990"/>
        </w:tabs>
        <w:spacing w:before="40" w:after="40"/>
        <w:ind w:left="960" w:hanging="960"/>
        <w:rPr>
          <w:lang w:val="fr-FR"/>
        </w:rPr>
      </w:pPr>
      <w:r w:rsidRPr="0020448C">
        <w:rPr>
          <w:lang w:val="fr-FR"/>
        </w:rPr>
        <w:t>C</w:t>
      </w:r>
      <w:r w:rsidRPr="0020448C">
        <w:rPr>
          <w:lang w:val="fr-FR"/>
        </w:rPr>
        <w:tab/>
        <w:t>Public Comment M. Davis</w:t>
      </w:r>
    </w:p>
    <w:p w:rsidR="0044137F" w:rsidRPr="0020448C" w:rsidRDefault="0044137F" w:rsidP="0044137F">
      <w:pPr>
        <w:tabs>
          <w:tab w:val="left" w:pos="660"/>
          <w:tab w:val="left" w:pos="990"/>
        </w:tabs>
        <w:spacing w:before="40" w:after="40"/>
        <w:ind w:left="960" w:hanging="960"/>
        <w:rPr>
          <w:lang w:val="fr-FR"/>
        </w:rPr>
      </w:pPr>
      <w:r w:rsidRPr="0020448C">
        <w:rPr>
          <w:lang w:val="fr-FR"/>
        </w:rPr>
        <w:t>D        FNS Response M. Davis</w:t>
      </w:r>
    </w:p>
    <w:p w:rsidR="0044137F" w:rsidRDefault="0044137F" w:rsidP="0044137F">
      <w:pPr>
        <w:tabs>
          <w:tab w:val="left" w:pos="660"/>
          <w:tab w:val="left" w:pos="990"/>
        </w:tabs>
        <w:spacing w:before="40" w:after="40"/>
        <w:ind w:left="960" w:hanging="960"/>
      </w:pPr>
      <w:r>
        <w:t>E</w:t>
      </w:r>
      <w:r>
        <w:tab/>
        <w:t>Public Comment C. Stratemeyer</w:t>
      </w:r>
    </w:p>
    <w:p w:rsidR="0044137F" w:rsidRPr="00445EC7" w:rsidRDefault="0044137F" w:rsidP="0044137F">
      <w:pPr>
        <w:tabs>
          <w:tab w:val="left" w:pos="660"/>
          <w:tab w:val="left" w:pos="990"/>
        </w:tabs>
        <w:spacing w:before="40" w:after="40"/>
        <w:ind w:left="960" w:hanging="960"/>
      </w:pPr>
      <w:r>
        <w:t>F</w:t>
      </w:r>
      <w:r>
        <w:tab/>
        <w:t>FNS Response C. Stratemeyer</w:t>
      </w:r>
    </w:p>
    <w:p w:rsidR="000821DC" w:rsidRPr="00445EC7" w:rsidRDefault="00B53BCF" w:rsidP="00B53BCF">
      <w:pPr>
        <w:tabs>
          <w:tab w:val="left" w:pos="660"/>
          <w:tab w:val="left" w:pos="990"/>
        </w:tabs>
        <w:spacing w:before="40" w:after="40"/>
        <w:ind w:left="960" w:hanging="960"/>
        <w:rPr>
          <w:b/>
        </w:rPr>
      </w:pPr>
      <w:r w:rsidRPr="00445EC7">
        <w:br w:type="page"/>
      </w:r>
    </w:p>
    <w:p w:rsidR="00ED7327" w:rsidRPr="00445EC7" w:rsidRDefault="00F304EE" w:rsidP="00186346">
      <w:pPr>
        <w:numPr>
          <w:ilvl w:val="0"/>
          <w:numId w:val="10"/>
        </w:numPr>
        <w:spacing w:line="480" w:lineRule="auto"/>
        <w:ind w:left="90" w:right="-180" w:firstLine="0"/>
        <w:contextualSpacing/>
        <w:rPr>
          <w:b/>
          <w:u w:val="single"/>
        </w:rPr>
      </w:pPr>
      <w:r w:rsidRPr="00445EC7">
        <w:rPr>
          <w:b/>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B043E" w:rsidRPr="00445EC7" w:rsidRDefault="00EB043E" w:rsidP="00EB043E">
      <w:pPr>
        <w:spacing w:line="480" w:lineRule="auto"/>
        <w:ind w:right="-180"/>
        <w:contextualSpacing/>
        <w:rPr>
          <w:b/>
          <w:u w:val="single"/>
        </w:rPr>
      </w:pPr>
    </w:p>
    <w:p w:rsidR="008854D7" w:rsidRDefault="00687FFC" w:rsidP="0020448C">
      <w:pPr>
        <w:spacing w:line="480" w:lineRule="auto"/>
      </w:pPr>
      <w:r>
        <w:t xml:space="preserve">This is a revision of a currently approved collection; </w:t>
      </w:r>
      <w:r w:rsidR="00500B61">
        <w:t>we are requesting a name change for this information collection from ‘‘Negative QC Review Schedule’’ to ‘‘Case and Procedural Case Action Review Schedule’’. W</w:t>
      </w:r>
      <w:r>
        <w:t xml:space="preserve">e are also seeking the three-year renewal at this time.  </w:t>
      </w:r>
      <w:r w:rsidR="0042567F" w:rsidRPr="00445EC7">
        <w:t xml:space="preserve">State agencies are required to perform Quality Control (QC) reviews for </w:t>
      </w:r>
      <w:r w:rsidR="00954625" w:rsidRPr="00445EC7">
        <w:t>the Supplemental Nutrition Assistance Program</w:t>
      </w:r>
      <w:r w:rsidR="0042567F" w:rsidRPr="00445EC7">
        <w:t xml:space="preserve"> (</w:t>
      </w:r>
      <w:r w:rsidR="00954625" w:rsidRPr="00445EC7">
        <w:t>SNAP</w:t>
      </w:r>
      <w:r w:rsidR="0042567F" w:rsidRPr="00445EC7">
        <w:t>).  The FNS-245 (</w:t>
      </w:r>
      <w:r w:rsidR="003C3E7D">
        <w:t>Case and Procedural</w:t>
      </w:r>
      <w:r w:rsidR="0042567F" w:rsidRPr="00445EC7">
        <w:t xml:space="preserve"> Case Action Review Schedule), is for </w:t>
      </w:r>
      <w:r w:rsidR="009C2249">
        <w:t>S</w:t>
      </w:r>
      <w:r w:rsidR="0042567F" w:rsidRPr="00445EC7">
        <w:t xml:space="preserve">tate use to collect QC data and information on the status of </w:t>
      </w:r>
      <w:r w:rsidR="00E548E4">
        <w:t>case and p</w:t>
      </w:r>
      <w:r w:rsidR="00933DA1">
        <w:t xml:space="preserve">rocedural </w:t>
      </w:r>
      <w:r w:rsidR="0042567F" w:rsidRPr="00445EC7">
        <w:t xml:space="preserve">reviews. Instructions for completing Form FNS-245 are in </w:t>
      </w:r>
      <w:r w:rsidR="008B4BAA">
        <w:t xml:space="preserve">the </w:t>
      </w:r>
      <w:r w:rsidR="0042567F" w:rsidRPr="00445EC7">
        <w:t>Food and Nutrition Service (FNS) Handbook 310</w:t>
      </w:r>
      <w:r w:rsidR="008B4BAA">
        <w:t>, which</w:t>
      </w:r>
      <w:r w:rsidR="008854D7">
        <w:t xml:space="preserve"> is provided in this information collection request</w:t>
      </w:r>
      <w:r w:rsidR="0042567F" w:rsidRPr="00445EC7">
        <w:t>.</w:t>
      </w:r>
    </w:p>
    <w:p w:rsidR="00933DA1" w:rsidRPr="00445EC7" w:rsidRDefault="00933DA1" w:rsidP="00186346">
      <w:pPr>
        <w:spacing w:line="480" w:lineRule="auto"/>
        <w:ind w:right="-180"/>
        <w:contextualSpacing/>
      </w:pPr>
    </w:p>
    <w:p w:rsidR="00933DA1" w:rsidRDefault="00933DA1" w:rsidP="007B3F18">
      <w:pPr>
        <w:spacing w:line="480" w:lineRule="auto"/>
      </w:pPr>
      <w:r>
        <w:t>New QC procedures for Negative cases (now referred to as Case and</w:t>
      </w:r>
      <w:r w:rsidR="00793A8E">
        <w:t xml:space="preserve"> Procedural cases)</w:t>
      </w:r>
      <w:r>
        <w:t xml:space="preserve"> went into effect for the 2012 QC review year.  SNAP has determined the form associated with the reporting of thes</w:t>
      </w:r>
      <w:r w:rsidR="00793A8E">
        <w:t>e cases  needed</w:t>
      </w:r>
      <w:r>
        <w:t xml:space="preserve"> to be updated to reflect the new  name and  reorganized in order to not only  streamline the data  elements being </w:t>
      </w:r>
      <w:r w:rsidR="00793A8E">
        <w:t>reported, but to also add</w:t>
      </w:r>
      <w:r>
        <w:t xml:space="preserve"> nine data elements to more  effectively and efficiently record what is </w:t>
      </w:r>
      <w:r w:rsidR="00793A8E">
        <w:t>now</w:t>
      </w:r>
      <w:r>
        <w:t xml:space="preserve"> being reviewed.  </w:t>
      </w:r>
    </w:p>
    <w:p w:rsidR="0042567F" w:rsidRPr="00445EC7" w:rsidRDefault="00793A8E" w:rsidP="00186346">
      <w:pPr>
        <w:spacing w:line="480" w:lineRule="auto"/>
        <w:ind w:right="-180"/>
        <w:contextualSpacing/>
      </w:pPr>
      <w:r>
        <w:br/>
      </w:r>
      <w:r w:rsidR="0042567F" w:rsidRPr="00445EC7">
        <w:t xml:space="preserve">The legislative basis for the QC system is </w:t>
      </w:r>
      <w:r w:rsidR="00500B61">
        <w:t>S</w:t>
      </w:r>
      <w:r w:rsidR="00500B61" w:rsidRPr="00445EC7">
        <w:t xml:space="preserve">ection </w:t>
      </w:r>
      <w:r w:rsidR="0042567F" w:rsidRPr="00445EC7">
        <w:t xml:space="preserve">16 of the Food </w:t>
      </w:r>
      <w:r w:rsidR="00490982" w:rsidRPr="00445EC7">
        <w:t>and Nutrition Act</w:t>
      </w:r>
      <w:r w:rsidR="002E2143">
        <w:t xml:space="preserve"> of 2008, hereafter referred to as “the Act”</w:t>
      </w:r>
      <w:r w:rsidR="0042567F" w:rsidRPr="00445EC7">
        <w:t xml:space="preserve">.  Part 275, Subpart C, of </w:t>
      </w:r>
      <w:r w:rsidR="00954625" w:rsidRPr="00445EC7">
        <w:t>SNAP</w:t>
      </w:r>
      <w:r w:rsidR="0042567F" w:rsidRPr="00445EC7">
        <w:t xml:space="preserve"> regulations implements the </w:t>
      </w:r>
      <w:r w:rsidR="0042567F" w:rsidRPr="00445EC7">
        <w:lastRenderedPageBreak/>
        <w:t xml:space="preserve">legislative mandates found in </w:t>
      </w:r>
      <w:r w:rsidR="002E2143">
        <w:t>the Act</w:t>
      </w:r>
      <w:r w:rsidR="0042567F" w:rsidRPr="00445EC7">
        <w:t xml:space="preserve">.  The regulatory basis for the QC reporting </w:t>
      </w:r>
      <w:r w:rsidR="00904E45" w:rsidRPr="00445EC7">
        <w:t xml:space="preserve">requirements </w:t>
      </w:r>
      <w:r w:rsidR="00490982" w:rsidRPr="00445EC7">
        <w:t xml:space="preserve">is </w:t>
      </w:r>
      <w:r w:rsidR="0042567F" w:rsidRPr="00445EC7">
        <w:t>provided by 7 CFR 275.14(d) and 7 CFR 275.2</w:t>
      </w:r>
      <w:r w:rsidR="008259B9" w:rsidRPr="00445EC7">
        <w:t>1</w:t>
      </w:r>
      <w:r w:rsidR="0042567F" w:rsidRPr="00445EC7">
        <w:t>.</w:t>
      </w:r>
    </w:p>
    <w:p w:rsidR="0042567F" w:rsidRPr="00445EC7" w:rsidRDefault="0042567F" w:rsidP="00186346">
      <w:pPr>
        <w:spacing w:line="480" w:lineRule="auto"/>
        <w:ind w:right="-180"/>
        <w:contextualSpacing/>
      </w:pPr>
    </w:p>
    <w:p w:rsidR="0042567F" w:rsidRPr="00445EC7" w:rsidRDefault="0042567F" w:rsidP="00186346">
      <w:pPr>
        <w:spacing w:line="480" w:lineRule="auto"/>
        <w:ind w:right="-180"/>
        <w:contextualSpacing/>
      </w:pPr>
      <w:r w:rsidRPr="00445EC7">
        <w:t xml:space="preserve">The legislative basis for the recordkeeping requirements is </w:t>
      </w:r>
      <w:r w:rsidR="002E2143">
        <w:t>s</w:t>
      </w:r>
      <w:r w:rsidR="002E2143" w:rsidRPr="00445EC7">
        <w:t xml:space="preserve">ection </w:t>
      </w:r>
      <w:r w:rsidRPr="00445EC7">
        <w:t>11(a) of the</w:t>
      </w:r>
      <w:r w:rsidR="002E2143">
        <w:t xml:space="preserve"> </w:t>
      </w:r>
      <w:r w:rsidR="00490982" w:rsidRPr="00445EC7">
        <w:t xml:space="preserve">Act.  </w:t>
      </w:r>
      <w:r w:rsidR="00954625" w:rsidRPr="00445EC7">
        <w:t>SNAP</w:t>
      </w:r>
      <w:r w:rsidRPr="00445EC7">
        <w:t xml:space="preserve"> regulations, in Section 272.1(f), specify that program records are to be retained for a period of three years from the </w:t>
      </w:r>
      <w:r w:rsidR="00A7600A">
        <w:t>date of fiscal or administrative closure</w:t>
      </w:r>
      <w:r w:rsidRPr="00445EC7">
        <w:t>.</w:t>
      </w:r>
    </w:p>
    <w:p w:rsidR="00ED7327" w:rsidRPr="00445EC7" w:rsidRDefault="00ED7327" w:rsidP="00186346">
      <w:pPr>
        <w:spacing w:line="480" w:lineRule="auto"/>
        <w:ind w:right="-180"/>
        <w:contextualSpacing/>
      </w:pPr>
    </w:p>
    <w:p w:rsidR="00A1784D" w:rsidRPr="00445EC7" w:rsidRDefault="00F304EE" w:rsidP="00186346">
      <w:pPr>
        <w:numPr>
          <w:ilvl w:val="0"/>
          <w:numId w:val="10"/>
        </w:numPr>
        <w:spacing w:line="480" w:lineRule="auto"/>
        <w:ind w:left="90" w:right="-180" w:firstLine="0"/>
        <w:contextualSpacing/>
        <w:rPr>
          <w:b/>
          <w:u w:val="single"/>
        </w:rPr>
      </w:pPr>
      <w:r w:rsidRPr="00445EC7">
        <w:rPr>
          <w:b/>
          <w:u w:val="single"/>
        </w:rPr>
        <w:t>Indicate how, by whom, how frequently, and for what purpose the information is to be used.  Except for a new collection, indicate the actual use the agency has made of the information received from the current collection</w:t>
      </w:r>
      <w:r w:rsidR="00AE2E0F" w:rsidRPr="00445EC7">
        <w:rPr>
          <w:b/>
          <w:u w:val="single"/>
        </w:rPr>
        <w:t>:</w:t>
      </w:r>
      <w:r w:rsidR="00A1784D" w:rsidRPr="00445EC7">
        <w:rPr>
          <w:b/>
          <w:u w:val="single"/>
        </w:rPr>
        <w:t xml:space="preserve"> </w:t>
      </w:r>
    </w:p>
    <w:p w:rsidR="00720B47" w:rsidRPr="00445EC7" w:rsidRDefault="00720B47" w:rsidP="00720B47">
      <w:pPr>
        <w:spacing w:line="480" w:lineRule="auto"/>
        <w:ind w:right="-180"/>
        <w:contextualSpacing/>
        <w:rPr>
          <w:b/>
          <w:u w:val="single"/>
        </w:rPr>
      </w:pPr>
    </w:p>
    <w:p w:rsidR="00A16F49" w:rsidRDefault="0042567F" w:rsidP="00186346">
      <w:pPr>
        <w:tabs>
          <w:tab w:val="left" w:pos="-720"/>
          <w:tab w:val="left" w:pos="0"/>
        </w:tabs>
        <w:suppressAutoHyphens/>
        <w:spacing w:line="480" w:lineRule="auto"/>
        <w:ind w:right="-180"/>
      </w:pPr>
      <w:r w:rsidRPr="00445EC7">
        <w:t xml:space="preserve">The FNS-245 serves as the data collection form for </w:t>
      </w:r>
      <w:r w:rsidR="00551ECF">
        <w:t>c</w:t>
      </w:r>
      <w:r w:rsidR="00F33728">
        <w:t xml:space="preserve">ase and </w:t>
      </w:r>
      <w:r w:rsidR="00551ECF">
        <w:t>p</w:t>
      </w:r>
      <w:r w:rsidR="00F33728">
        <w:t>rocedural</w:t>
      </w:r>
      <w:r w:rsidR="00F33728" w:rsidRPr="00445EC7">
        <w:t xml:space="preserve"> </w:t>
      </w:r>
      <w:r w:rsidRPr="00445EC7">
        <w:t xml:space="preserve">case action reviews.  </w:t>
      </w:r>
      <w:r w:rsidR="00F33728">
        <w:t>Case and Procedural</w:t>
      </w:r>
      <w:r w:rsidR="00F33728" w:rsidRPr="00445EC7">
        <w:t xml:space="preserve"> </w:t>
      </w:r>
      <w:r w:rsidR="00933DA1">
        <w:t>cases</w:t>
      </w:r>
      <w:r w:rsidRPr="00445EC7">
        <w:t xml:space="preserve"> include the denial, termination or suspension of benefits.  The form consists of four sections and is used to record data in </w:t>
      </w:r>
      <w:r w:rsidR="00551ECF">
        <w:t>case and procedural</w:t>
      </w:r>
      <w:r w:rsidR="00551ECF" w:rsidRPr="00445EC7">
        <w:t xml:space="preserve"> </w:t>
      </w:r>
      <w:r w:rsidRPr="00445EC7">
        <w:t>case</w:t>
      </w:r>
      <w:r w:rsidR="00551ECF">
        <w:t xml:space="preserve"> action</w:t>
      </w:r>
      <w:r w:rsidRPr="00445EC7">
        <w:t xml:space="preserve"> reviews only.  The first section, Case Management Information, is designed for </w:t>
      </w:r>
      <w:r w:rsidR="00123F66">
        <w:t>S</w:t>
      </w:r>
      <w:r w:rsidRPr="00445EC7">
        <w:t>tate</w:t>
      </w:r>
      <w:r w:rsidR="00B12380" w:rsidRPr="00445EC7">
        <w:t>-related management</w:t>
      </w:r>
      <w:r w:rsidRPr="00445EC7">
        <w:t xml:space="preserve"> </w:t>
      </w:r>
      <w:r w:rsidR="00B12380" w:rsidRPr="00445EC7">
        <w:t xml:space="preserve">tool </w:t>
      </w:r>
      <w:r w:rsidRPr="00445EC7">
        <w:t>use</w:t>
      </w:r>
      <w:r w:rsidR="002E2143">
        <w:t>.  T</w:t>
      </w:r>
      <w:r w:rsidR="002E2143" w:rsidRPr="00445EC7">
        <w:t xml:space="preserve">he </w:t>
      </w:r>
      <w:r w:rsidRPr="00445EC7">
        <w:t>second section, Identifying Information, provides space for information about the household</w:t>
      </w:r>
      <w:r w:rsidR="002E2143">
        <w:t>.  T</w:t>
      </w:r>
      <w:r w:rsidRPr="00445EC7">
        <w:t xml:space="preserve">he third section, Analysis of Review Activity, </w:t>
      </w:r>
      <w:r w:rsidR="00B12380" w:rsidRPr="00445EC7">
        <w:t>is</w:t>
      </w:r>
      <w:r w:rsidRPr="00445EC7">
        <w:t xml:space="preserve"> for </w:t>
      </w:r>
      <w:r w:rsidR="00B12380" w:rsidRPr="00445EC7">
        <w:t xml:space="preserve">coding </w:t>
      </w:r>
      <w:r w:rsidRPr="00445EC7">
        <w:t>compliance with notice requirements</w:t>
      </w:r>
      <w:r w:rsidR="002E2143">
        <w:t>.  T</w:t>
      </w:r>
      <w:r w:rsidR="00B12380" w:rsidRPr="00445EC7">
        <w:t xml:space="preserve">he </w:t>
      </w:r>
      <w:r w:rsidRPr="00445EC7">
        <w:t xml:space="preserve">fourth section, Description of Variances, provides for the detailed coding of each distinct variance identified in the </w:t>
      </w:r>
      <w:r w:rsidR="0077502F">
        <w:t>r</w:t>
      </w:r>
      <w:r w:rsidRPr="00445EC7">
        <w:t xml:space="preserve">eview and the recorded reasons for the agency’s action.  </w:t>
      </w:r>
      <w:r w:rsidR="00B12380" w:rsidRPr="00445EC7">
        <w:t xml:space="preserve">All information will be </w:t>
      </w:r>
      <w:r w:rsidR="00500B61">
        <w:t xml:space="preserve">previously </w:t>
      </w:r>
      <w:r w:rsidR="00B12380" w:rsidRPr="00445EC7">
        <w:t xml:space="preserve">provided by the household through a SNAP application or through the interview process with an eligibility worker.  The </w:t>
      </w:r>
      <w:r w:rsidR="00123F66">
        <w:t>S</w:t>
      </w:r>
      <w:r w:rsidR="00B12380" w:rsidRPr="00445EC7">
        <w:t xml:space="preserve">tate agency will use the </w:t>
      </w:r>
      <w:r w:rsidR="00500B61">
        <w:t xml:space="preserve">extant </w:t>
      </w:r>
      <w:r w:rsidR="00B12380" w:rsidRPr="00445EC7">
        <w:t>collected data to input into the worksheet.</w:t>
      </w:r>
    </w:p>
    <w:p w:rsidR="00876843" w:rsidRPr="00445EC7" w:rsidRDefault="00876843" w:rsidP="00186346">
      <w:pPr>
        <w:tabs>
          <w:tab w:val="left" w:pos="-720"/>
          <w:tab w:val="left" w:pos="0"/>
        </w:tabs>
        <w:suppressAutoHyphens/>
        <w:spacing w:line="480" w:lineRule="auto"/>
        <w:ind w:right="-180"/>
      </w:pPr>
    </w:p>
    <w:p w:rsidR="00B12380" w:rsidRPr="00445EC7" w:rsidRDefault="00F304EE" w:rsidP="00186346">
      <w:pPr>
        <w:numPr>
          <w:ilvl w:val="0"/>
          <w:numId w:val="10"/>
        </w:numPr>
        <w:tabs>
          <w:tab w:val="left" w:pos="-630"/>
        </w:tabs>
        <w:spacing w:line="480" w:lineRule="auto"/>
        <w:ind w:left="0" w:right="-180" w:firstLine="0"/>
        <w:contextualSpacing/>
        <w:rPr>
          <w:b/>
        </w:rPr>
      </w:pPr>
      <w:r w:rsidRPr="00445EC7">
        <w:rPr>
          <w:b/>
          <w:u w:val="single"/>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A05197" w:rsidRPr="00445EC7">
        <w:rPr>
          <w:b/>
          <w:u w:val="single"/>
        </w:rPr>
        <w:t>:</w:t>
      </w:r>
      <w:r w:rsidR="00A1784D" w:rsidRPr="00445EC7">
        <w:rPr>
          <w:b/>
        </w:rPr>
        <w:t xml:space="preserve"> </w:t>
      </w:r>
    </w:p>
    <w:p w:rsidR="00E93E4F" w:rsidRPr="00445EC7" w:rsidRDefault="00E93E4F" w:rsidP="00B12380">
      <w:pPr>
        <w:tabs>
          <w:tab w:val="left" w:pos="-630"/>
        </w:tabs>
        <w:spacing w:line="480" w:lineRule="auto"/>
        <w:ind w:right="-180"/>
        <w:contextualSpacing/>
      </w:pPr>
    </w:p>
    <w:p w:rsidR="00136834" w:rsidRPr="00445EC7" w:rsidRDefault="00136834" w:rsidP="00186346">
      <w:pPr>
        <w:spacing w:line="480" w:lineRule="auto"/>
        <w:ind w:right="-180"/>
        <w:contextualSpacing/>
      </w:pPr>
      <w:r w:rsidRPr="00445EC7">
        <w:t xml:space="preserve">In compliance with the E-Government Act, 2002 (E-Gov), FNS has reviewed the QC review and sampling process.  We have made every effort to streamline and automate the process.  </w:t>
      </w:r>
    </w:p>
    <w:p w:rsidR="001C0EFD" w:rsidRPr="00445EC7" w:rsidRDefault="001C0EFD" w:rsidP="00186346">
      <w:pPr>
        <w:spacing w:line="480" w:lineRule="auto"/>
        <w:ind w:right="-180"/>
        <w:contextualSpacing/>
      </w:pPr>
      <w:r w:rsidRPr="00445EC7">
        <w:t xml:space="preserve">The FNS-245 serves as both the data summary entry form that the QC reviewer completes during each </w:t>
      </w:r>
      <w:r w:rsidR="00551ECF">
        <w:t xml:space="preserve">case and procedural </w:t>
      </w:r>
      <w:r w:rsidRPr="00445EC7">
        <w:t>case</w:t>
      </w:r>
      <w:r w:rsidR="003C3E7D">
        <w:t xml:space="preserve"> action</w:t>
      </w:r>
      <w:r w:rsidRPr="00445EC7">
        <w:t xml:space="preserve"> review and, subsequently as the data input document for direct data entry into the </w:t>
      </w:r>
      <w:r w:rsidR="0039409E" w:rsidRPr="00445EC7">
        <w:t>SNAP Quality Control System (SNAPQCS)</w:t>
      </w:r>
      <w:r w:rsidRPr="00445EC7">
        <w:t>.  Therefore, while data is manually collected</w:t>
      </w:r>
      <w:r w:rsidR="004F4610">
        <w:t xml:space="preserve"> by State Agencies</w:t>
      </w:r>
      <w:r w:rsidRPr="00445EC7">
        <w:t xml:space="preserve">, it is electronically submitted </w:t>
      </w:r>
      <w:r w:rsidR="00080859" w:rsidRPr="00445EC7">
        <w:t xml:space="preserve">via a virtual network connection to </w:t>
      </w:r>
      <w:r w:rsidR="0039409E" w:rsidRPr="00445EC7">
        <w:t>a web-based</w:t>
      </w:r>
      <w:r w:rsidR="00080859" w:rsidRPr="00445EC7">
        <w:t xml:space="preserve"> database </w:t>
      </w:r>
      <w:r w:rsidRPr="00445EC7">
        <w:t>for tabulation and analysis.</w:t>
      </w:r>
    </w:p>
    <w:p w:rsidR="00357047" w:rsidRPr="00445EC7" w:rsidRDefault="00357047" w:rsidP="00186346">
      <w:pPr>
        <w:spacing w:line="480" w:lineRule="auto"/>
        <w:ind w:right="-180"/>
        <w:contextualSpacing/>
      </w:pPr>
    </w:p>
    <w:p w:rsidR="00AE2E0F" w:rsidRPr="00445EC7" w:rsidRDefault="00F304EE" w:rsidP="00186346">
      <w:pPr>
        <w:numPr>
          <w:ilvl w:val="0"/>
          <w:numId w:val="10"/>
        </w:numPr>
        <w:spacing w:line="480" w:lineRule="auto"/>
        <w:ind w:left="0" w:right="-180" w:firstLine="0"/>
        <w:contextualSpacing/>
        <w:rPr>
          <w:b/>
        </w:rPr>
      </w:pPr>
      <w:r w:rsidRPr="00445EC7">
        <w:rPr>
          <w:b/>
          <w:u w:val="single"/>
        </w:rPr>
        <w:t>Describe efforts to identify duplication.  Show specifically why any similar information already available cannot be used or modified for use for the purpose described in item 2 above</w:t>
      </w:r>
      <w:r w:rsidR="00A05197" w:rsidRPr="00445EC7">
        <w:rPr>
          <w:b/>
          <w:u w:val="single"/>
        </w:rPr>
        <w:t>:</w:t>
      </w:r>
    </w:p>
    <w:p w:rsidR="00A1784D" w:rsidRPr="00445EC7" w:rsidRDefault="00A1784D" w:rsidP="00186346">
      <w:pPr>
        <w:spacing w:line="480" w:lineRule="auto"/>
        <w:ind w:right="-180"/>
        <w:contextualSpacing/>
        <w:rPr>
          <w:b/>
        </w:rPr>
      </w:pPr>
    </w:p>
    <w:p w:rsidR="001C0EFD" w:rsidRPr="00445EC7" w:rsidRDefault="001C0EFD" w:rsidP="00EB21B4">
      <w:pPr>
        <w:tabs>
          <w:tab w:val="left" w:pos="-720"/>
          <w:tab w:val="left" w:pos="0"/>
        </w:tabs>
        <w:suppressAutoHyphens/>
        <w:spacing w:line="480" w:lineRule="auto"/>
      </w:pPr>
      <w:r w:rsidRPr="00445EC7">
        <w:t>There is no duplication of effort since there is no similar data available.</w:t>
      </w:r>
      <w:r w:rsidR="00EB21B4" w:rsidRPr="00445EC7">
        <w:t xml:space="preserve"> FNS solely monitors the QC reviews for (SNAP)</w:t>
      </w:r>
      <w:r w:rsidR="004F4610">
        <w:t xml:space="preserve"> to ensure program integrity</w:t>
      </w:r>
      <w:r w:rsidR="00EB21B4" w:rsidRPr="00445EC7">
        <w:t xml:space="preserve">.  </w:t>
      </w:r>
    </w:p>
    <w:p w:rsidR="001C0EFD" w:rsidRPr="00445EC7" w:rsidRDefault="001C0EFD" w:rsidP="00186346">
      <w:pPr>
        <w:spacing w:line="480" w:lineRule="auto"/>
        <w:ind w:right="-180"/>
        <w:contextualSpacing/>
        <w:rPr>
          <w:b/>
        </w:rPr>
      </w:pPr>
    </w:p>
    <w:p w:rsidR="00AE2E0F" w:rsidRPr="00445EC7" w:rsidRDefault="00F304EE" w:rsidP="00186346">
      <w:pPr>
        <w:numPr>
          <w:ilvl w:val="0"/>
          <w:numId w:val="10"/>
        </w:numPr>
        <w:spacing w:line="480" w:lineRule="auto"/>
        <w:ind w:left="0" w:right="-180" w:firstLine="0"/>
        <w:contextualSpacing/>
        <w:rPr>
          <w:b/>
          <w:u w:val="single"/>
        </w:rPr>
      </w:pPr>
      <w:r w:rsidRPr="00445EC7">
        <w:rPr>
          <w:b/>
          <w:u w:val="single"/>
        </w:rPr>
        <w:t>If the collection of information impacts small businesses or other small entities, describe any methods used to minimize burden</w:t>
      </w:r>
      <w:r w:rsidR="00A1784D" w:rsidRPr="00445EC7">
        <w:rPr>
          <w:b/>
          <w:u w:val="single"/>
        </w:rPr>
        <w:t>:</w:t>
      </w:r>
      <w:r w:rsidR="00A1784D" w:rsidRPr="00445EC7">
        <w:rPr>
          <w:b/>
        </w:rPr>
        <w:t xml:space="preserve">  </w:t>
      </w:r>
    </w:p>
    <w:p w:rsidR="0042567F" w:rsidRPr="00445EC7" w:rsidRDefault="0042567F" w:rsidP="00186346">
      <w:pPr>
        <w:tabs>
          <w:tab w:val="left" w:pos="450"/>
        </w:tabs>
        <w:spacing w:line="480" w:lineRule="auto"/>
        <w:ind w:right="-180"/>
        <w:contextualSpacing/>
        <w:rPr>
          <w:b/>
        </w:rPr>
      </w:pPr>
    </w:p>
    <w:p w:rsidR="004425E6" w:rsidRPr="00445EC7" w:rsidRDefault="004425E6" w:rsidP="004425E6">
      <w:pPr>
        <w:tabs>
          <w:tab w:val="left" w:pos="-720"/>
        </w:tabs>
        <w:suppressAutoHyphens/>
        <w:spacing w:line="480" w:lineRule="auto"/>
        <w:rPr>
          <w:spacing w:val="-3"/>
        </w:rPr>
      </w:pPr>
      <w:r w:rsidRPr="00445EC7">
        <w:t>FNS has determined that the requirements for this information collection do not adversely impact small businesses or other small entities</w:t>
      </w:r>
      <w:r w:rsidR="00FF5366" w:rsidRPr="00445EC7">
        <w:t xml:space="preserve">. </w:t>
      </w:r>
      <w:r w:rsidR="00AC44DD" w:rsidRPr="00445EC7">
        <w:t xml:space="preserve"> </w:t>
      </w:r>
      <w:r w:rsidR="00FF5366" w:rsidRPr="00445EC7">
        <w:t>T</w:t>
      </w:r>
      <w:r w:rsidR="00EB21B4" w:rsidRPr="00445EC7">
        <w:t>here are smaller</w:t>
      </w:r>
      <w:r w:rsidR="00AC44DD" w:rsidRPr="00445EC7">
        <w:t xml:space="preserve"> </w:t>
      </w:r>
      <w:r w:rsidR="00EB21B4" w:rsidRPr="00445EC7">
        <w:t>S</w:t>
      </w:r>
      <w:r w:rsidR="00AC44DD" w:rsidRPr="00445EC7">
        <w:t xml:space="preserve">tate </w:t>
      </w:r>
      <w:r w:rsidR="00FF5366" w:rsidRPr="00445EC7">
        <w:t>agencies; however</w:t>
      </w:r>
      <w:r w:rsidR="00AC44DD" w:rsidRPr="00445EC7">
        <w:t xml:space="preserve"> </w:t>
      </w:r>
      <w:r w:rsidR="00EB21B4" w:rsidRPr="00445EC7">
        <w:t xml:space="preserve">they </w:t>
      </w:r>
      <w:r w:rsidR="00AC44DD" w:rsidRPr="00445EC7">
        <w:t xml:space="preserve">provide the </w:t>
      </w:r>
      <w:r w:rsidR="00EB21B4" w:rsidRPr="00445EC7">
        <w:t xml:space="preserve">same </w:t>
      </w:r>
      <w:r w:rsidR="00AC44DD" w:rsidRPr="00445EC7">
        <w:t>data</w:t>
      </w:r>
      <w:r w:rsidR="00EB21B4" w:rsidRPr="00445EC7">
        <w:t xml:space="preserve"> as larger State agencies</w:t>
      </w:r>
      <w:r w:rsidR="00AC44DD" w:rsidRPr="00445EC7">
        <w:t xml:space="preserve"> </w:t>
      </w:r>
      <w:r w:rsidR="009A2EBF" w:rsidRPr="00445EC7">
        <w:t>for</w:t>
      </w:r>
      <w:r w:rsidR="00AC44DD" w:rsidRPr="00445EC7">
        <w:t xml:space="preserve"> this collection.</w:t>
      </w:r>
    </w:p>
    <w:p w:rsidR="006E48EA" w:rsidRPr="00445EC7" w:rsidRDefault="006E48EA" w:rsidP="00186346">
      <w:pPr>
        <w:tabs>
          <w:tab w:val="left" w:pos="450"/>
        </w:tabs>
        <w:spacing w:line="480" w:lineRule="auto"/>
        <w:ind w:right="-180"/>
        <w:contextualSpacing/>
        <w:rPr>
          <w:b/>
        </w:rPr>
      </w:pPr>
    </w:p>
    <w:p w:rsidR="00A1784D" w:rsidRPr="00445EC7" w:rsidRDefault="00F304EE" w:rsidP="00186346">
      <w:pPr>
        <w:numPr>
          <w:ilvl w:val="0"/>
          <w:numId w:val="10"/>
        </w:numPr>
        <w:tabs>
          <w:tab w:val="left" w:pos="-1260"/>
        </w:tabs>
        <w:spacing w:line="480" w:lineRule="auto"/>
        <w:ind w:left="0" w:right="-180" w:firstLine="0"/>
        <w:contextualSpacing/>
        <w:rPr>
          <w:b/>
          <w:u w:val="single"/>
        </w:rPr>
      </w:pPr>
      <w:r w:rsidRPr="00445EC7">
        <w:rPr>
          <w:b/>
          <w:u w:val="single"/>
        </w:rPr>
        <w:t>Describe the consequence to Federal program or policy activities if the collection is not conducted or is conducted less frequently, as well as any technical or legal obstacles to reducing burden</w:t>
      </w:r>
      <w:r w:rsidR="00AE2E0F" w:rsidRPr="00445EC7">
        <w:rPr>
          <w:b/>
          <w:u w:val="single"/>
        </w:rPr>
        <w:t>:</w:t>
      </w:r>
    </w:p>
    <w:p w:rsidR="00720B47" w:rsidRPr="00445EC7" w:rsidRDefault="00720B47" w:rsidP="00720B47">
      <w:pPr>
        <w:tabs>
          <w:tab w:val="left" w:pos="-1260"/>
        </w:tabs>
        <w:spacing w:line="480" w:lineRule="auto"/>
        <w:ind w:right="-180"/>
        <w:contextualSpacing/>
        <w:rPr>
          <w:b/>
          <w:u w:val="single"/>
        </w:rPr>
      </w:pPr>
    </w:p>
    <w:p w:rsidR="008B4BAA" w:rsidRDefault="00581D46" w:rsidP="00186346">
      <w:pPr>
        <w:spacing w:line="480" w:lineRule="auto"/>
        <w:ind w:right="-180"/>
        <w:contextualSpacing/>
      </w:pPr>
      <w:r>
        <w:t xml:space="preserve">FNS </w:t>
      </w:r>
      <w:r w:rsidRPr="00445EC7">
        <w:t xml:space="preserve">would not be </w:t>
      </w:r>
      <w:r>
        <w:t xml:space="preserve">able to </w:t>
      </w:r>
      <w:r w:rsidR="001C0EFD" w:rsidRPr="00445EC7">
        <w:t xml:space="preserve">effectively monitor </w:t>
      </w:r>
      <w:r>
        <w:t>i</w:t>
      </w:r>
      <w:r w:rsidRPr="00445EC7">
        <w:t>nvalid denials, terminations or suspensions</w:t>
      </w:r>
      <w:r>
        <w:t>;</w:t>
      </w:r>
      <w:r w:rsidRPr="00445EC7">
        <w:t xml:space="preserve"> </w:t>
      </w:r>
      <w:r>
        <w:t>n</w:t>
      </w:r>
      <w:r w:rsidR="001C0EFD" w:rsidRPr="00445EC7">
        <w:t xml:space="preserve">or </w:t>
      </w:r>
      <w:r>
        <w:t xml:space="preserve">would we be able to </w:t>
      </w:r>
      <w:r w:rsidR="008B4BAA">
        <w:t xml:space="preserve">identify </w:t>
      </w:r>
      <w:r w:rsidR="001C0EFD" w:rsidRPr="00445EC7">
        <w:t xml:space="preserve">related policy improvements without information obtained through the </w:t>
      </w:r>
      <w:r w:rsidR="008B4BAA">
        <w:t xml:space="preserve">case and procedural case </w:t>
      </w:r>
      <w:r w:rsidR="001C0EFD" w:rsidRPr="00445EC7">
        <w:t xml:space="preserve">review.  </w:t>
      </w:r>
    </w:p>
    <w:p w:rsidR="005E7781" w:rsidRPr="00445EC7" w:rsidRDefault="008B4BAA" w:rsidP="005E7781">
      <w:pPr>
        <w:spacing w:line="480" w:lineRule="auto"/>
        <w:ind w:right="-180"/>
        <w:contextualSpacing/>
      </w:pPr>
      <w:r>
        <w:br/>
      </w:r>
      <w:r w:rsidR="001C0EFD" w:rsidRPr="00445EC7">
        <w:t xml:space="preserve">Legal obstacles to reducing the frequency of this collection are contained in </w:t>
      </w:r>
      <w:r w:rsidR="001A36FB" w:rsidRPr="00445EC7">
        <w:t>SNAP</w:t>
      </w:r>
      <w:r w:rsidR="001C0EFD" w:rsidRPr="00445EC7">
        <w:t xml:space="preserve"> regulations</w:t>
      </w:r>
      <w:r>
        <w:t xml:space="preserve"> at </w:t>
      </w:r>
      <w:r w:rsidRPr="00445EC7">
        <w:t>7 CFR 275.14(d) and 7 CFR 275.21</w:t>
      </w:r>
      <w:r>
        <w:t>.</w:t>
      </w:r>
    </w:p>
    <w:p w:rsidR="005E7781" w:rsidRPr="00445EC7" w:rsidRDefault="005E7781" w:rsidP="005E7781">
      <w:pPr>
        <w:pStyle w:val="BodyText2"/>
        <w:numPr>
          <w:ilvl w:val="0"/>
          <w:numId w:val="10"/>
        </w:numPr>
        <w:spacing w:line="480" w:lineRule="auto"/>
        <w:ind w:left="0" w:right="-180" w:firstLine="0"/>
        <w:contextualSpacing/>
        <w:rPr>
          <w:b/>
          <w:u w:val="none"/>
        </w:rPr>
      </w:pPr>
      <w:r w:rsidRPr="00445EC7">
        <w:rPr>
          <w:b/>
          <w:bCs/>
        </w:rPr>
        <w:t>Explain any special circumstances that would cause an information collection to be conducted in a manner:</w:t>
      </w:r>
    </w:p>
    <w:p w:rsidR="005E7781" w:rsidRPr="00445EC7" w:rsidRDefault="005E7781" w:rsidP="005E7781">
      <w:pPr>
        <w:numPr>
          <w:ilvl w:val="0"/>
          <w:numId w:val="16"/>
        </w:numPr>
        <w:autoSpaceDE w:val="0"/>
        <w:autoSpaceDN w:val="0"/>
        <w:adjustRightInd w:val="0"/>
        <w:rPr>
          <w:rFonts w:eastAsia="Wingdings-Regular"/>
          <w:b/>
          <w:bCs/>
        </w:rPr>
      </w:pPr>
      <w:r w:rsidRPr="00445EC7">
        <w:rPr>
          <w:rFonts w:eastAsia="Wingdings-Regular"/>
          <w:b/>
          <w:bCs/>
        </w:rPr>
        <w:t>requiring respondents to report information to the agency more often than</w:t>
      </w:r>
    </w:p>
    <w:p w:rsidR="00397E9F" w:rsidRDefault="005E7781" w:rsidP="005E7781">
      <w:pPr>
        <w:autoSpaceDE w:val="0"/>
        <w:autoSpaceDN w:val="0"/>
        <w:adjustRightInd w:val="0"/>
        <w:ind w:left="720"/>
      </w:pPr>
      <w:r w:rsidRPr="00445EC7">
        <w:rPr>
          <w:rFonts w:eastAsia="Wingdings-Regular"/>
          <w:b/>
          <w:bCs/>
        </w:rPr>
        <w:t>quarterly;</w:t>
      </w:r>
      <w:r w:rsidR="00397E9F" w:rsidRPr="00397E9F">
        <w:t xml:space="preserve"> </w:t>
      </w:r>
    </w:p>
    <w:p w:rsidR="00397E9F" w:rsidRDefault="00397E9F" w:rsidP="005E7781">
      <w:pPr>
        <w:autoSpaceDE w:val="0"/>
        <w:autoSpaceDN w:val="0"/>
        <w:adjustRightInd w:val="0"/>
        <w:ind w:left="720"/>
      </w:pPr>
    </w:p>
    <w:p w:rsidR="005E7781" w:rsidRDefault="00397E9F" w:rsidP="005E7781">
      <w:pPr>
        <w:autoSpaceDE w:val="0"/>
        <w:autoSpaceDN w:val="0"/>
        <w:adjustRightInd w:val="0"/>
        <w:ind w:left="720"/>
        <w:rPr>
          <w:rFonts w:eastAsia="Wingdings-Regular"/>
          <w:b/>
          <w:bCs/>
        </w:rPr>
      </w:pPr>
      <w:r w:rsidRPr="00445EC7">
        <w:t>State agencies are required to select</w:t>
      </w:r>
      <w:r>
        <w:t>,</w:t>
      </w:r>
      <w:r w:rsidRPr="00445EC7">
        <w:t xml:space="preserve"> conduct</w:t>
      </w:r>
      <w:r>
        <w:t>, and report on</w:t>
      </w:r>
      <w:r w:rsidRPr="00445EC7">
        <w:t xml:space="preserve"> </w:t>
      </w:r>
      <w:r>
        <w:t>QC</w:t>
      </w:r>
      <w:r w:rsidRPr="00445EC7">
        <w:t xml:space="preserve"> reviews on a monthly, ongoing basis</w:t>
      </w:r>
      <w:r w:rsidR="00676756">
        <w:t>.</w:t>
      </w:r>
    </w:p>
    <w:p w:rsidR="00397E9F" w:rsidRPr="00445EC7" w:rsidRDefault="00397E9F" w:rsidP="005E7781">
      <w:pPr>
        <w:autoSpaceDE w:val="0"/>
        <w:autoSpaceDN w:val="0"/>
        <w:adjustRightInd w:val="0"/>
        <w:ind w:left="720"/>
        <w:rPr>
          <w:rFonts w:eastAsia="Wingdings-Regular"/>
          <w:b/>
          <w:bCs/>
        </w:rPr>
      </w:pPr>
    </w:p>
    <w:p w:rsidR="005E7781" w:rsidRPr="00445EC7" w:rsidRDefault="005E7781" w:rsidP="005E7781">
      <w:pPr>
        <w:numPr>
          <w:ilvl w:val="0"/>
          <w:numId w:val="16"/>
        </w:numPr>
        <w:autoSpaceDE w:val="0"/>
        <w:autoSpaceDN w:val="0"/>
        <w:adjustRightInd w:val="0"/>
        <w:rPr>
          <w:rFonts w:eastAsia="Wingdings-Regular"/>
          <w:b/>
          <w:bCs/>
        </w:rPr>
      </w:pPr>
      <w:r w:rsidRPr="00445EC7">
        <w:rPr>
          <w:rFonts w:eastAsia="Wingdings-Regular"/>
          <w:b/>
          <w:bCs/>
        </w:rPr>
        <w:t>requiring respondents to prepare a written response to a collection of information in</w:t>
      </w:r>
    </w:p>
    <w:p w:rsidR="005E7781" w:rsidRDefault="005E7781" w:rsidP="005E7781">
      <w:pPr>
        <w:autoSpaceDE w:val="0"/>
        <w:autoSpaceDN w:val="0"/>
        <w:adjustRightInd w:val="0"/>
        <w:ind w:left="720"/>
        <w:rPr>
          <w:rFonts w:eastAsia="Wingdings-Regular"/>
          <w:b/>
          <w:bCs/>
        </w:rPr>
      </w:pPr>
      <w:r w:rsidRPr="00445EC7">
        <w:rPr>
          <w:rFonts w:eastAsia="Wingdings-Regular"/>
          <w:b/>
          <w:bCs/>
        </w:rPr>
        <w:t>fewer than 30 days after receipt of it;</w:t>
      </w:r>
    </w:p>
    <w:p w:rsidR="008B4BAA" w:rsidRPr="0020448C" w:rsidRDefault="008B4BAA" w:rsidP="005E7781">
      <w:pPr>
        <w:autoSpaceDE w:val="0"/>
        <w:autoSpaceDN w:val="0"/>
        <w:adjustRightInd w:val="0"/>
        <w:ind w:left="720"/>
        <w:rPr>
          <w:rFonts w:eastAsia="Wingdings-Regular"/>
          <w:bCs/>
        </w:rPr>
      </w:pPr>
      <w:r w:rsidRPr="0020448C">
        <w:rPr>
          <w:rFonts w:eastAsia="Wingdings-Regular"/>
          <w:bCs/>
        </w:rPr>
        <w:t>not applicable</w:t>
      </w:r>
      <w:r w:rsidR="0020448C" w:rsidRPr="0020448C">
        <w:rPr>
          <w:rFonts w:eastAsia="Wingdings-Regular"/>
          <w:bCs/>
        </w:rPr>
        <w:br/>
      </w:r>
    </w:p>
    <w:p w:rsidR="005E7781" w:rsidRDefault="005E7781" w:rsidP="005E7781">
      <w:pPr>
        <w:numPr>
          <w:ilvl w:val="0"/>
          <w:numId w:val="16"/>
        </w:numPr>
        <w:autoSpaceDE w:val="0"/>
        <w:autoSpaceDN w:val="0"/>
        <w:adjustRightInd w:val="0"/>
        <w:rPr>
          <w:rFonts w:eastAsia="Wingdings-Regular"/>
          <w:b/>
          <w:bCs/>
        </w:rPr>
      </w:pPr>
      <w:r w:rsidRPr="00445EC7">
        <w:rPr>
          <w:rFonts w:eastAsia="Wingdings-Regular"/>
          <w:b/>
          <w:bCs/>
        </w:rPr>
        <w:t>requiring respondents to submit more than an original and two copies of any document;</w:t>
      </w:r>
    </w:p>
    <w:p w:rsidR="0020448C" w:rsidRPr="0020448C" w:rsidRDefault="0020448C" w:rsidP="0020448C">
      <w:pPr>
        <w:autoSpaceDE w:val="0"/>
        <w:autoSpaceDN w:val="0"/>
        <w:adjustRightInd w:val="0"/>
        <w:ind w:left="720"/>
        <w:rPr>
          <w:rFonts w:eastAsia="Wingdings-Regular"/>
          <w:bCs/>
        </w:rPr>
      </w:pPr>
      <w:r w:rsidRPr="0020448C">
        <w:rPr>
          <w:rFonts w:eastAsia="Wingdings-Regular"/>
          <w:bCs/>
        </w:rPr>
        <w:lastRenderedPageBreak/>
        <w:t>not applicable</w:t>
      </w:r>
      <w:r w:rsidRPr="0020448C">
        <w:rPr>
          <w:rFonts w:eastAsia="Wingdings-Regular"/>
          <w:bCs/>
        </w:rPr>
        <w:br/>
      </w:r>
    </w:p>
    <w:p w:rsidR="005E7781" w:rsidRPr="00445EC7" w:rsidRDefault="005E7781" w:rsidP="005E7781">
      <w:pPr>
        <w:numPr>
          <w:ilvl w:val="0"/>
          <w:numId w:val="16"/>
        </w:numPr>
        <w:autoSpaceDE w:val="0"/>
        <w:autoSpaceDN w:val="0"/>
        <w:adjustRightInd w:val="0"/>
        <w:rPr>
          <w:rFonts w:eastAsia="Wingdings-Regular"/>
          <w:b/>
          <w:bCs/>
        </w:rPr>
      </w:pPr>
      <w:r w:rsidRPr="00445EC7">
        <w:rPr>
          <w:rFonts w:eastAsia="Wingdings-Regular"/>
          <w:b/>
          <w:bCs/>
        </w:rPr>
        <w:t>requiring respondents to retain records, other than health, medical, government</w:t>
      </w:r>
    </w:p>
    <w:p w:rsidR="005E7781" w:rsidRPr="00445EC7" w:rsidRDefault="005E7781" w:rsidP="005E7781">
      <w:pPr>
        <w:autoSpaceDE w:val="0"/>
        <w:autoSpaceDN w:val="0"/>
        <w:adjustRightInd w:val="0"/>
        <w:ind w:left="720"/>
        <w:rPr>
          <w:rFonts w:eastAsia="Wingdings-Regular"/>
          <w:b/>
          <w:bCs/>
        </w:rPr>
      </w:pPr>
      <w:r w:rsidRPr="00445EC7">
        <w:rPr>
          <w:rFonts w:eastAsia="Wingdings-Regular"/>
          <w:b/>
          <w:bCs/>
        </w:rPr>
        <w:t>contract, grant-in-aid, or tax records for more than three years;</w:t>
      </w:r>
      <w:r w:rsidR="0020448C">
        <w:rPr>
          <w:rFonts w:eastAsia="Wingdings-Regular"/>
          <w:b/>
          <w:bCs/>
        </w:rPr>
        <w:br/>
      </w:r>
      <w:r w:rsidR="0020448C">
        <w:rPr>
          <w:rFonts w:eastAsia="Wingdings-Regular"/>
          <w:b/>
          <w:bCs/>
        </w:rPr>
        <w:br/>
      </w:r>
      <w:r w:rsidR="0020448C" w:rsidRPr="00445EC7">
        <w:t xml:space="preserve">SNAP regulations, in Section 272.1(f), specify that program records are to be retained for a period of three years from the </w:t>
      </w:r>
      <w:r w:rsidR="0020448C">
        <w:t>date of fiscal or administrative closure</w:t>
      </w:r>
      <w:r w:rsidR="0020448C" w:rsidRPr="00445EC7">
        <w:t>.</w:t>
      </w:r>
      <w:r w:rsidR="0020448C">
        <w:t xml:space="preserve">  </w:t>
      </w:r>
      <w:r w:rsidR="00FE78F7">
        <w:t xml:space="preserve">The date of </w:t>
      </w:r>
      <w:r w:rsidR="0020448C">
        <w:t xml:space="preserve">an administrative closure </w:t>
      </w:r>
      <w:r w:rsidR="00FE78F7">
        <w:t>c</w:t>
      </w:r>
      <w:r w:rsidR="0020448C">
        <w:t>ould cause the case to be kept more than three years after the initial case review.</w:t>
      </w:r>
      <w:r w:rsidR="0020448C">
        <w:br/>
      </w:r>
    </w:p>
    <w:p w:rsidR="005E7781" w:rsidRPr="00445EC7" w:rsidRDefault="005E7781" w:rsidP="005E7781">
      <w:pPr>
        <w:numPr>
          <w:ilvl w:val="0"/>
          <w:numId w:val="16"/>
        </w:numPr>
        <w:autoSpaceDE w:val="0"/>
        <w:autoSpaceDN w:val="0"/>
        <w:adjustRightInd w:val="0"/>
        <w:rPr>
          <w:rFonts w:eastAsia="Wingdings-Regular"/>
          <w:b/>
          <w:bCs/>
        </w:rPr>
      </w:pPr>
      <w:r w:rsidRPr="00445EC7">
        <w:rPr>
          <w:rFonts w:eastAsia="Wingdings-Regular"/>
          <w:b/>
          <w:bCs/>
        </w:rPr>
        <w:t>in connection with a statistical survey, that is not designed to produce valid and reliable results that can be generalized to the universe of study;</w:t>
      </w:r>
      <w:r w:rsidR="0020448C">
        <w:rPr>
          <w:rFonts w:eastAsia="Wingdings-Regular"/>
          <w:b/>
          <w:bCs/>
        </w:rPr>
        <w:br/>
      </w:r>
      <w:r w:rsidR="0020448C">
        <w:rPr>
          <w:rFonts w:eastAsia="Wingdings-Regular"/>
          <w:bCs/>
        </w:rPr>
        <w:t>not applicable</w:t>
      </w:r>
      <w:r w:rsidR="0020448C">
        <w:rPr>
          <w:rFonts w:eastAsia="Wingdings-Regular"/>
          <w:bCs/>
        </w:rPr>
        <w:br/>
      </w:r>
    </w:p>
    <w:p w:rsidR="005E7781" w:rsidRPr="00445EC7" w:rsidRDefault="005E7781" w:rsidP="005E7781">
      <w:pPr>
        <w:numPr>
          <w:ilvl w:val="0"/>
          <w:numId w:val="16"/>
        </w:numPr>
        <w:autoSpaceDE w:val="0"/>
        <w:autoSpaceDN w:val="0"/>
        <w:adjustRightInd w:val="0"/>
        <w:rPr>
          <w:rFonts w:eastAsia="Wingdings-Regular"/>
          <w:b/>
          <w:bCs/>
        </w:rPr>
      </w:pPr>
      <w:r w:rsidRPr="00445EC7">
        <w:rPr>
          <w:rFonts w:eastAsia="Wingdings-Regular"/>
          <w:b/>
          <w:bCs/>
        </w:rPr>
        <w:t>requiring the use of a statistical data classification that has not been reviewed and</w:t>
      </w:r>
    </w:p>
    <w:p w:rsidR="005E7781" w:rsidRPr="0020448C" w:rsidRDefault="005E7781" w:rsidP="005E7781">
      <w:pPr>
        <w:autoSpaceDE w:val="0"/>
        <w:autoSpaceDN w:val="0"/>
        <w:adjustRightInd w:val="0"/>
        <w:ind w:left="720"/>
        <w:rPr>
          <w:rFonts w:eastAsia="Wingdings-Regular"/>
          <w:bCs/>
        </w:rPr>
      </w:pPr>
      <w:r w:rsidRPr="00445EC7">
        <w:rPr>
          <w:rFonts w:eastAsia="Wingdings-Regular"/>
          <w:b/>
          <w:bCs/>
        </w:rPr>
        <w:t>approved by OMB;</w:t>
      </w:r>
      <w:r w:rsidR="0020448C">
        <w:rPr>
          <w:rFonts w:eastAsia="Wingdings-Regular"/>
          <w:b/>
          <w:bCs/>
        </w:rPr>
        <w:br/>
      </w:r>
      <w:r w:rsidR="0020448C">
        <w:rPr>
          <w:rFonts w:eastAsia="Wingdings-Regular"/>
          <w:bCs/>
        </w:rPr>
        <w:t>not applicable</w:t>
      </w:r>
      <w:r w:rsidR="0020448C">
        <w:rPr>
          <w:rFonts w:eastAsia="Wingdings-Regular"/>
          <w:bCs/>
        </w:rPr>
        <w:br/>
      </w:r>
    </w:p>
    <w:p w:rsidR="005E7781" w:rsidRPr="00445EC7" w:rsidRDefault="005E7781" w:rsidP="005E7781">
      <w:pPr>
        <w:numPr>
          <w:ilvl w:val="0"/>
          <w:numId w:val="16"/>
        </w:numPr>
        <w:autoSpaceDE w:val="0"/>
        <w:autoSpaceDN w:val="0"/>
        <w:adjustRightInd w:val="0"/>
        <w:rPr>
          <w:rFonts w:eastAsia="Wingdings-Regular"/>
          <w:b/>
          <w:bCs/>
        </w:rPr>
      </w:pPr>
      <w:r w:rsidRPr="00445EC7">
        <w:rPr>
          <w:rFonts w:eastAsia="Wingdings-Regula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0020448C">
        <w:rPr>
          <w:rFonts w:eastAsia="Wingdings-Regular"/>
          <w:b/>
          <w:bCs/>
        </w:rPr>
        <w:br/>
      </w:r>
      <w:r w:rsidR="0020448C" w:rsidRPr="0020448C">
        <w:rPr>
          <w:rFonts w:eastAsia="Wingdings-Regular"/>
          <w:bCs/>
        </w:rPr>
        <w:t>not applicable</w:t>
      </w:r>
      <w:r w:rsidR="0020448C">
        <w:rPr>
          <w:rFonts w:eastAsia="Wingdings-Regular"/>
          <w:bCs/>
        </w:rPr>
        <w:br/>
      </w:r>
    </w:p>
    <w:p w:rsidR="005E7781" w:rsidRPr="00445EC7" w:rsidRDefault="005E7781" w:rsidP="005E7781">
      <w:pPr>
        <w:numPr>
          <w:ilvl w:val="0"/>
          <w:numId w:val="16"/>
        </w:numPr>
        <w:autoSpaceDE w:val="0"/>
        <w:autoSpaceDN w:val="0"/>
        <w:adjustRightInd w:val="0"/>
        <w:rPr>
          <w:rFonts w:eastAsia="Wingdings-Regular"/>
          <w:b/>
          <w:bCs/>
        </w:rPr>
      </w:pPr>
      <w:r w:rsidRPr="00445EC7">
        <w:rPr>
          <w:rFonts w:eastAsia="Wingdings-Regular"/>
          <w:b/>
          <w:bCs/>
        </w:rPr>
        <w:t>requiring respondents to submit proprietary trade secret, or other confidential</w:t>
      </w:r>
    </w:p>
    <w:p w:rsidR="005E7781" w:rsidRPr="00445EC7" w:rsidRDefault="005E7781" w:rsidP="005E7781">
      <w:pPr>
        <w:autoSpaceDE w:val="0"/>
        <w:autoSpaceDN w:val="0"/>
        <w:adjustRightInd w:val="0"/>
        <w:ind w:left="360" w:firstLine="360"/>
        <w:rPr>
          <w:rFonts w:eastAsia="Wingdings-Regular"/>
          <w:b/>
          <w:bCs/>
        </w:rPr>
      </w:pPr>
      <w:r w:rsidRPr="00445EC7">
        <w:rPr>
          <w:rFonts w:eastAsia="Wingdings-Regular"/>
          <w:b/>
          <w:bCs/>
        </w:rPr>
        <w:t>information unless the agency can demonstrate that it has instituted procedures to</w:t>
      </w:r>
    </w:p>
    <w:p w:rsidR="001A36FB" w:rsidRPr="00445EC7" w:rsidRDefault="005E7781" w:rsidP="0020448C">
      <w:pPr>
        <w:pStyle w:val="BodyText2"/>
        <w:spacing w:line="480" w:lineRule="auto"/>
        <w:ind w:left="720" w:right="-180"/>
        <w:contextualSpacing/>
      </w:pPr>
      <w:r w:rsidRPr="00445EC7">
        <w:rPr>
          <w:rFonts w:eastAsia="Wingdings-Regular"/>
          <w:b/>
          <w:bCs/>
          <w:u w:val="none"/>
        </w:rPr>
        <w:t>protect the information's confidentiality to the extent permitted by law.</w:t>
      </w:r>
      <w:r w:rsidR="0020448C">
        <w:rPr>
          <w:rFonts w:eastAsia="Wingdings-Regular"/>
          <w:b/>
          <w:bCs/>
          <w:u w:val="none"/>
        </w:rPr>
        <w:br/>
      </w:r>
      <w:r w:rsidR="0020448C" w:rsidRPr="0020448C">
        <w:rPr>
          <w:rFonts w:eastAsia="Wingdings-Regular"/>
          <w:bCs/>
          <w:u w:val="none"/>
        </w:rPr>
        <w:t>not applicable</w:t>
      </w:r>
      <w:r w:rsidR="0020448C">
        <w:rPr>
          <w:rFonts w:eastAsia="Wingdings-Regular"/>
          <w:bCs/>
          <w:u w:val="none"/>
        </w:rPr>
        <w:br/>
      </w:r>
    </w:p>
    <w:p w:rsidR="00F304EE" w:rsidRDefault="00F304EE" w:rsidP="00F304EE">
      <w:pPr>
        <w:numPr>
          <w:ilvl w:val="0"/>
          <w:numId w:val="10"/>
        </w:numPr>
        <w:spacing w:line="480" w:lineRule="auto"/>
        <w:ind w:left="0" w:right="-180" w:firstLine="0"/>
        <w:contextualSpacing/>
        <w:rPr>
          <w:b/>
          <w:u w:val="single"/>
        </w:rPr>
      </w:pPr>
      <w:r w:rsidRPr="00445EC7">
        <w:rPr>
          <w:b/>
          <w:u w:val="single"/>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8854D7" w:rsidRDefault="008854D7">
      <w:pPr>
        <w:spacing w:line="480" w:lineRule="auto"/>
        <w:ind w:right="-180"/>
        <w:contextualSpacing/>
        <w:rPr>
          <w:b/>
          <w:u w:val="single"/>
        </w:rPr>
      </w:pPr>
    </w:p>
    <w:p w:rsidR="008854D7" w:rsidRDefault="00353A66">
      <w:pPr>
        <w:spacing w:line="480" w:lineRule="auto"/>
        <w:rPr>
          <w:color w:val="000000"/>
        </w:rPr>
      </w:pPr>
      <w:r w:rsidRPr="007B3F18">
        <w:t xml:space="preserve">Notice of this collection was published in the Federal Register on </w:t>
      </w:r>
      <w:r w:rsidRPr="008461D9">
        <w:t xml:space="preserve">January 16, 2014 </w:t>
      </w:r>
      <w:r w:rsidRPr="007B3F18">
        <w:t xml:space="preserve">(Volume 79, Number 11, Page </w:t>
      </w:r>
      <w:r w:rsidRPr="007B3F18">
        <w:rPr>
          <w:color w:val="000000"/>
        </w:rPr>
        <w:t>2815).</w:t>
      </w:r>
      <w:r w:rsidRPr="008461D9">
        <w:rPr>
          <w:color w:val="000000"/>
        </w:rPr>
        <w:t xml:space="preserve">  We received</w:t>
      </w:r>
      <w:r>
        <w:rPr>
          <w:color w:val="000000"/>
        </w:rPr>
        <w:t xml:space="preserve"> 2 </w:t>
      </w:r>
      <w:r w:rsidRPr="007B3F18">
        <w:rPr>
          <w:color w:val="000000"/>
        </w:rPr>
        <w:t>comments</w:t>
      </w:r>
      <w:r>
        <w:rPr>
          <w:color w:val="000000"/>
        </w:rPr>
        <w:t xml:space="preserve">.  One commenter agreed with the </w:t>
      </w:r>
      <w:r>
        <w:rPr>
          <w:color w:val="000000"/>
        </w:rPr>
        <w:lastRenderedPageBreak/>
        <w:t xml:space="preserve">reorganization of the form and was satisfied with the changes made, while the other commenter was not only concerned about the form’s usability after its reorganization, but believed some of the information being collected was repetitive.  Both commenters were concerned the learning curve to get used to the new form would create further burden for its users.  </w:t>
      </w:r>
    </w:p>
    <w:p w:rsidR="008854D7" w:rsidRDefault="008854D7">
      <w:pPr>
        <w:spacing w:line="480" w:lineRule="auto"/>
        <w:ind w:left="720"/>
        <w:rPr>
          <w:color w:val="000000"/>
        </w:rPr>
      </w:pPr>
    </w:p>
    <w:p w:rsidR="008854D7" w:rsidRDefault="00353A66" w:rsidP="0020448C">
      <w:pPr>
        <w:spacing w:line="480" w:lineRule="auto"/>
        <w:rPr>
          <w:color w:val="000000"/>
        </w:rPr>
      </w:pPr>
      <w:r>
        <w:rPr>
          <w:color w:val="000000"/>
        </w:rPr>
        <w:t xml:space="preserve">After analyzing the questions, FNS informed both commenters that we understood there would be a learning curve with the new form, but that the form itself should </w:t>
      </w:r>
      <w:r w:rsidR="005072FB">
        <w:rPr>
          <w:color w:val="000000"/>
        </w:rPr>
        <w:t>pose no additional burden once fully train</w:t>
      </w:r>
      <w:r>
        <w:rPr>
          <w:color w:val="000000"/>
        </w:rPr>
        <w:t>e</w:t>
      </w:r>
      <w:r w:rsidR="005072FB">
        <w:rPr>
          <w:color w:val="000000"/>
        </w:rPr>
        <w:t>d</w:t>
      </w:r>
      <w:r>
        <w:rPr>
          <w:color w:val="000000"/>
        </w:rPr>
        <w:t>.  In addition, we addressed the questions regarding the reorganization and explained how the items in question were not redundant and that some of the items had not changed from the form’s previous version.  Overall FNS plans to move forward with the new version as proposed.</w:t>
      </w:r>
    </w:p>
    <w:p w:rsidR="00F304EE" w:rsidRPr="00445EC7" w:rsidRDefault="00F304EE" w:rsidP="00F304EE">
      <w:pPr>
        <w:spacing w:line="480" w:lineRule="auto"/>
        <w:ind w:right="-180"/>
        <w:contextualSpacing/>
        <w:rPr>
          <w:b/>
          <w:u w:val="single"/>
        </w:rPr>
      </w:pPr>
    </w:p>
    <w:p w:rsidR="00A1784D" w:rsidRPr="008461D9" w:rsidRDefault="00F304EE" w:rsidP="00F304EE">
      <w:pPr>
        <w:spacing w:line="480" w:lineRule="auto"/>
        <w:ind w:right="-180"/>
        <w:contextualSpacing/>
        <w:rPr>
          <w:b/>
          <w:u w:val="single"/>
        </w:rPr>
      </w:pPr>
      <w:r w:rsidRPr="00445EC7">
        <w:rPr>
          <w:b/>
          <w:u w:val="single"/>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r w:rsidR="00F5188E" w:rsidRPr="00445EC7">
        <w:rPr>
          <w:b/>
          <w:u w:val="single"/>
        </w:rPr>
        <w:t>:</w:t>
      </w:r>
      <w:r w:rsidRPr="00445EC7">
        <w:rPr>
          <w:b/>
          <w:u w:val="single"/>
        </w:rPr>
        <w:br/>
      </w:r>
    </w:p>
    <w:p w:rsidR="00702C2F" w:rsidRPr="00445EC7" w:rsidRDefault="001049E9" w:rsidP="00702C2F">
      <w:pPr>
        <w:pStyle w:val="BodyText2"/>
        <w:spacing w:line="480" w:lineRule="auto"/>
        <w:ind w:right="-180"/>
        <w:contextualSpacing/>
        <w:rPr>
          <w:u w:val="none"/>
        </w:rPr>
      </w:pPr>
      <w:r w:rsidRPr="00445EC7">
        <w:rPr>
          <w:u w:val="none"/>
        </w:rPr>
        <w:t xml:space="preserve">FNS attends an annual meeting with the National Association of Program Information and Performance Measurement (NAPIPM) organization and </w:t>
      </w:r>
      <w:r w:rsidR="00123F66" w:rsidRPr="00445EC7">
        <w:rPr>
          <w:u w:val="none"/>
        </w:rPr>
        <w:t xml:space="preserve">holds calls regularly </w:t>
      </w:r>
      <w:r w:rsidR="00123F66">
        <w:rPr>
          <w:u w:val="none"/>
        </w:rPr>
        <w:t xml:space="preserve">with </w:t>
      </w:r>
      <w:r w:rsidRPr="00445EC7">
        <w:rPr>
          <w:u w:val="none"/>
        </w:rPr>
        <w:t>the Quality Control Technical Advisory Group (QC TAG) of this organization</w:t>
      </w:r>
      <w:r w:rsidR="00702C2F" w:rsidRPr="00445EC7">
        <w:rPr>
          <w:u w:val="none"/>
        </w:rPr>
        <w:t xml:space="preserve">, an association made up of </w:t>
      </w:r>
      <w:r w:rsidR="002E2143">
        <w:rPr>
          <w:u w:val="none"/>
        </w:rPr>
        <w:t>S</w:t>
      </w:r>
      <w:r w:rsidR="002E2143" w:rsidRPr="00445EC7">
        <w:rPr>
          <w:u w:val="none"/>
        </w:rPr>
        <w:t xml:space="preserve">tate </w:t>
      </w:r>
      <w:r w:rsidR="00702C2F" w:rsidRPr="00445EC7">
        <w:rPr>
          <w:u w:val="none"/>
        </w:rPr>
        <w:t xml:space="preserve">SNAP QC Directors, to discuss various QC topics including FNS worksheet 245.  In our </w:t>
      </w:r>
      <w:r w:rsidR="00702C2F" w:rsidRPr="008461D9">
        <w:rPr>
          <w:u w:val="none"/>
        </w:rPr>
        <w:t xml:space="preserve">discussions on </w:t>
      </w:r>
      <w:r w:rsidRPr="008461D9">
        <w:rPr>
          <w:u w:val="none"/>
        </w:rPr>
        <w:t xml:space="preserve">the </w:t>
      </w:r>
      <w:r w:rsidR="00702C2F" w:rsidRPr="008461D9">
        <w:rPr>
          <w:u w:val="none"/>
        </w:rPr>
        <w:t>FNS 245 we covered various areas from coding to modernization of the form</w:t>
      </w:r>
      <w:r w:rsidRPr="008461D9">
        <w:rPr>
          <w:u w:val="none"/>
        </w:rPr>
        <w:t>;</w:t>
      </w:r>
      <w:r w:rsidR="00702C2F" w:rsidRPr="008461D9">
        <w:rPr>
          <w:u w:val="none"/>
        </w:rPr>
        <w:t xml:space="preserve"> </w:t>
      </w:r>
      <w:r w:rsidR="00702C2F" w:rsidRPr="008461D9">
        <w:rPr>
          <w:u w:val="none"/>
        </w:rPr>
        <w:lastRenderedPageBreak/>
        <w:t>however</w:t>
      </w:r>
      <w:r w:rsidRPr="008461D9">
        <w:rPr>
          <w:u w:val="none"/>
        </w:rPr>
        <w:t>,</w:t>
      </w:r>
      <w:r w:rsidR="00702C2F" w:rsidRPr="008461D9">
        <w:rPr>
          <w:u w:val="none"/>
        </w:rPr>
        <w:t xml:space="preserve"> aside from the </w:t>
      </w:r>
      <w:r w:rsidR="008461D9" w:rsidRPr="007B3F18">
        <w:rPr>
          <w:u w:val="none"/>
        </w:rPr>
        <w:t xml:space="preserve">two </w:t>
      </w:r>
      <w:r w:rsidR="00702C2F" w:rsidRPr="008461D9">
        <w:rPr>
          <w:u w:val="none"/>
        </w:rPr>
        <w:t>60 day notice comment</w:t>
      </w:r>
      <w:r w:rsidR="008461D9" w:rsidRPr="007B3F18">
        <w:rPr>
          <w:u w:val="none"/>
        </w:rPr>
        <w:t>s</w:t>
      </w:r>
      <w:r w:rsidR="00702C2F" w:rsidRPr="008461D9">
        <w:rPr>
          <w:u w:val="none"/>
        </w:rPr>
        <w:t xml:space="preserve">, </w:t>
      </w:r>
      <w:r w:rsidR="00445EC7" w:rsidRPr="008461D9">
        <w:rPr>
          <w:u w:val="none"/>
        </w:rPr>
        <w:t xml:space="preserve">we </w:t>
      </w:r>
      <w:r w:rsidR="008461D9" w:rsidRPr="007B3F18">
        <w:rPr>
          <w:u w:val="none"/>
        </w:rPr>
        <w:t>did</w:t>
      </w:r>
      <w:r w:rsidR="008461D9" w:rsidRPr="008461D9">
        <w:rPr>
          <w:u w:val="none"/>
        </w:rPr>
        <w:t xml:space="preserve"> </w:t>
      </w:r>
      <w:r w:rsidR="00445EC7" w:rsidRPr="008461D9">
        <w:rPr>
          <w:u w:val="none"/>
        </w:rPr>
        <w:t xml:space="preserve">not received </w:t>
      </w:r>
      <w:r w:rsidR="008461D9" w:rsidRPr="007B3F18">
        <w:rPr>
          <w:u w:val="none"/>
        </w:rPr>
        <w:t xml:space="preserve">additional </w:t>
      </w:r>
      <w:r w:rsidR="00445EC7" w:rsidRPr="008461D9">
        <w:rPr>
          <w:u w:val="none"/>
        </w:rPr>
        <w:t>comment</w:t>
      </w:r>
      <w:r w:rsidR="00123F66" w:rsidRPr="008461D9">
        <w:rPr>
          <w:u w:val="none"/>
        </w:rPr>
        <w:t>s</w:t>
      </w:r>
      <w:r w:rsidR="00445EC7" w:rsidRPr="008461D9">
        <w:rPr>
          <w:u w:val="none"/>
        </w:rPr>
        <w:t xml:space="preserve"> regarding the changes for this collection.</w:t>
      </w:r>
    </w:p>
    <w:p w:rsidR="00A1784D" w:rsidRPr="00445EC7" w:rsidRDefault="00A1784D" w:rsidP="00186346">
      <w:pPr>
        <w:pStyle w:val="BodyText2"/>
        <w:spacing w:line="480" w:lineRule="auto"/>
        <w:ind w:right="-180"/>
        <w:contextualSpacing/>
        <w:rPr>
          <w:u w:val="none"/>
        </w:rPr>
      </w:pPr>
    </w:p>
    <w:p w:rsidR="00A1784D" w:rsidRPr="00445EC7" w:rsidRDefault="00F304EE" w:rsidP="00186346">
      <w:pPr>
        <w:pStyle w:val="BodyText2"/>
        <w:numPr>
          <w:ilvl w:val="0"/>
          <w:numId w:val="10"/>
        </w:numPr>
        <w:spacing w:line="480" w:lineRule="auto"/>
        <w:ind w:left="90" w:right="-180" w:firstLine="0"/>
        <w:contextualSpacing/>
        <w:rPr>
          <w:b/>
          <w:u w:val="none"/>
        </w:rPr>
      </w:pPr>
      <w:r w:rsidRPr="00445EC7">
        <w:rPr>
          <w:b/>
        </w:rPr>
        <w:t>Explain any decision to provide any payment or gift to respondents, other than remuneration of contractors or grantees</w:t>
      </w:r>
      <w:r w:rsidR="00AE2E0F" w:rsidRPr="00445EC7">
        <w:rPr>
          <w:b/>
        </w:rPr>
        <w:t>:</w:t>
      </w:r>
      <w:r w:rsidR="00A1784D" w:rsidRPr="00445EC7">
        <w:rPr>
          <w:b/>
          <w:u w:val="none"/>
        </w:rPr>
        <w:t xml:space="preserve"> </w:t>
      </w:r>
    </w:p>
    <w:p w:rsidR="00720B47" w:rsidRPr="00445EC7" w:rsidRDefault="00720B47" w:rsidP="00720B47">
      <w:pPr>
        <w:pStyle w:val="BodyText2"/>
        <w:spacing w:line="480" w:lineRule="auto"/>
        <w:ind w:right="-180"/>
        <w:contextualSpacing/>
        <w:rPr>
          <w:b/>
          <w:u w:val="none"/>
        </w:rPr>
      </w:pPr>
    </w:p>
    <w:p w:rsidR="00A1784D" w:rsidRPr="00445EC7" w:rsidRDefault="001C0EFD" w:rsidP="00186346">
      <w:pPr>
        <w:pStyle w:val="BodyText2"/>
        <w:spacing w:line="480" w:lineRule="auto"/>
        <w:ind w:right="-180"/>
        <w:contextualSpacing/>
        <w:rPr>
          <w:u w:val="none"/>
        </w:rPr>
      </w:pPr>
      <w:r w:rsidRPr="00445EC7">
        <w:rPr>
          <w:u w:val="none"/>
        </w:rPr>
        <w:t>No payments or gifts are made to respondents</w:t>
      </w:r>
      <w:r w:rsidR="00F5188E" w:rsidRPr="00445EC7">
        <w:rPr>
          <w:u w:val="none"/>
        </w:rPr>
        <w:t>.</w:t>
      </w:r>
    </w:p>
    <w:p w:rsidR="001C0EFD" w:rsidRPr="00445EC7" w:rsidRDefault="001C0EFD" w:rsidP="00186346">
      <w:pPr>
        <w:pStyle w:val="BodyText2"/>
        <w:spacing w:line="480" w:lineRule="auto"/>
        <w:ind w:right="-180"/>
        <w:contextualSpacing/>
        <w:rPr>
          <w:u w:val="none"/>
        </w:rPr>
      </w:pPr>
    </w:p>
    <w:p w:rsidR="00A1784D" w:rsidRPr="00445EC7" w:rsidRDefault="00F304EE" w:rsidP="00186346">
      <w:pPr>
        <w:pStyle w:val="BodyText2"/>
        <w:numPr>
          <w:ilvl w:val="0"/>
          <w:numId w:val="10"/>
        </w:numPr>
        <w:spacing w:line="480" w:lineRule="auto"/>
        <w:ind w:left="0" w:right="-180" w:firstLine="0"/>
        <w:contextualSpacing/>
      </w:pPr>
      <w:r w:rsidRPr="00445EC7">
        <w:rPr>
          <w:b/>
        </w:rPr>
        <w:t>Describe any assurance of confidentiality provided to respondents and the basis for the assurance in statute, regulation, or agency policy</w:t>
      </w:r>
      <w:r w:rsidR="00AE2E0F" w:rsidRPr="00445EC7">
        <w:rPr>
          <w:b/>
        </w:rPr>
        <w:t>:</w:t>
      </w:r>
    </w:p>
    <w:p w:rsidR="00720B47" w:rsidRPr="00445EC7" w:rsidRDefault="00720B47" w:rsidP="00720B47">
      <w:pPr>
        <w:pStyle w:val="BodyText2"/>
        <w:spacing w:line="480" w:lineRule="auto"/>
        <w:ind w:right="-180"/>
        <w:contextualSpacing/>
      </w:pPr>
    </w:p>
    <w:p w:rsidR="001C0EFD" w:rsidRPr="00445EC7" w:rsidRDefault="001C0EFD" w:rsidP="00186346">
      <w:pPr>
        <w:pStyle w:val="BodyText2"/>
        <w:spacing w:line="480" w:lineRule="auto"/>
        <w:ind w:right="-180"/>
        <w:contextualSpacing/>
        <w:rPr>
          <w:u w:val="none"/>
        </w:rPr>
      </w:pPr>
      <w:r w:rsidRPr="00445EC7">
        <w:rPr>
          <w:u w:val="none"/>
        </w:rPr>
        <w:t xml:space="preserve">Information gathered from </w:t>
      </w:r>
      <w:r w:rsidR="001049E9" w:rsidRPr="00445EC7">
        <w:rPr>
          <w:u w:val="none"/>
        </w:rPr>
        <w:t>S</w:t>
      </w:r>
      <w:r w:rsidRPr="00445EC7">
        <w:rPr>
          <w:u w:val="none"/>
        </w:rPr>
        <w:t>tate agency records and information gathered in interviews during</w:t>
      </w:r>
      <w:r w:rsidR="00702461" w:rsidRPr="007B3F18">
        <w:rPr>
          <w:u w:val="none"/>
        </w:rPr>
        <w:t xml:space="preserve"> </w:t>
      </w:r>
      <w:r w:rsidR="00933DA1">
        <w:rPr>
          <w:u w:val="none"/>
        </w:rPr>
        <w:t>case</w:t>
      </w:r>
      <w:r w:rsidR="003C3E7D">
        <w:rPr>
          <w:u w:val="none"/>
        </w:rPr>
        <w:t xml:space="preserve"> action</w:t>
      </w:r>
      <w:r w:rsidRPr="00793A8E">
        <w:rPr>
          <w:u w:val="none"/>
        </w:rPr>
        <w:t xml:space="preserve"> reviews</w:t>
      </w:r>
      <w:r w:rsidRPr="00445EC7">
        <w:rPr>
          <w:u w:val="none"/>
        </w:rPr>
        <w:t xml:space="preserve"> (FNS-245) </w:t>
      </w:r>
      <w:r w:rsidR="00702461">
        <w:rPr>
          <w:u w:val="none"/>
        </w:rPr>
        <w:t>are</w:t>
      </w:r>
      <w:r w:rsidR="00702461" w:rsidRPr="00445EC7">
        <w:rPr>
          <w:u w:val="none"/>
        </w:rPr>
        <w:t xml:space="preserve"> </w:t>
      </w:r>
      <w:r w:rsidRPr="00445EC7">
        <w:rPr>
          <w:u w:val="none"/>
        </w:rPr>
        <w:t xml:space="preserve">subject to the same </w:t>
      </w:r>
      <w:r w:rsidR="00F56015">
        <w:rPr>
          <w:u w:val="none"/>
        </w:rPr>
        <w:t>privacy safeguards</w:t>
      </w:r>
      <w:r w:rsidR="00F56015" w:rsidRPr="00445EC7">
        <w:rPr>
          <w:u w:val="none"/>
        </w:rPr>
        <w:t xml:space="preserve"> </w:t>
      </w:r>
      <w:r w:rsidRPr="00445EC7">
        <w:rPr>
          <w:u w:val="none"/>
        </w:rPr>
        <w:t xml:space="preserve">as information obtained from households applying for </w:t>
      </w:r>
      <w:r w:rsidR="001A36FB" w:rsidRPr="00445EC7">
        <w:rPr>
          <w:u w:val="none"/>
        </w:rPr>
        <w:t>SNAP</w:t>
      </w:r>
      <w:r w:rsidRPr="00445EC7">
        <w:rPr>
          <w:u w:val="none"/>
        </w:rPr>
        <w:t xml:space="preserve"> benefits.  Section 11(e)(8) of the </w:t>
      </w:r>
      <w:r w:rsidR="00490982" w:rsidRPr="00445EC7">
        <w:rPr>
          <w:u w:val="none"/>
        </w:rPr>
        <w:t>Act</w:t>
      </w:r>
      <w:r w:rsidRPr="00445EC7">
        <w:rPr>
          <w:u w:val="none"/>
        </w:rPr>
        <w:t xml:space="preserve"> mandates that each </w:t>
      </w:r>
      <w:r w:rsidR="001049E9" w:rsidRPr="00445EC7">
        <w:rPr>
          <w:u w:val="none"/>
        </w:rPr>
        <w:t>S</w:t>
      </w:r>
      <w:r w:rsidRPr="00445EC7">
        <w:rPr>
          <w:u w:val="none"/>
        </w:rPr>
        <w:t xml:space="preserve">tate agency shall provide "safeguards which limit the use or disclosure of information obtained from applicant households to persons directly connected with the administration or enforcement of the provisions of this Act, regulations issued pursuant to this Act, Federal Assistance programs, or federally assisted State programs...".  Section 272.1(c) of </w:t>
      </w:r>
      <w:r w:rsidR="00954625" w:rsidRPr="00445EC7">
        <w:rPr>
          <w:u w:val="none"/>
        </w:rPr>
        <w:t>SNAP</w:t>
      </w:r>
      <w:r w:rsidRPr="00445EC7">
        <w:rPr>
          <w:u w:val="none"/>
        </w:rPr>
        <w:t xml:space="preserve"> regulations implements this legislative mandate.  The findings of negative case reviews, when compiled</w:t>
      </w:r>
      <w:r w:rsidR="003026AE">
        <w:rPr>
          <w:u w:val="none"/>
        </w:rPr>
        <w:t>,</w:t>
      </w:r>
      <w:r w:rsidRPr="00445EC7">
        <w:rPr>
          <w:u w:val="none"/>
        </w:rPr>
        <w:t xml:space="preserve"> do not identify the recipient by name.</w:t>
      </w:r>
      <w:r w:rsidR="009F0EA9" w:rsidRPr="00445EC7">
        <w:rPr>
          <w:u w:val="none"/>
        </w:rPr>
        <w:br/>
      </w:r>
    </w:p>
    <w:p w:rsidR="00A1784D" w:rsidRPr="00445EC7" w:rsidRDefault="00F304EE" w:rsidP="00186346">
      <w:pPr>
        <w:pStyle w:val="BodyText2"/>
        <w:numPr>
          <w:ilvl w:val="0"/>
          <w:numId w:val="10"/>
        </w:numPr>
        <w:spacing w:line="480" w:lineRule="auto"/>
        <w:ind w:left="90" w:right="-180" w:firstLine="0"/>
        <w:contextualSpacing/>
        <w:rPr>
          <w:u w:val="none"/>
        </w:rPr>
      </w:pPr>
      <w:r w:rsidRPr="00445EC7">
        <w:rPr>
          <w:b/>
        </w:rPr>
        <w:t xml:space="preserve">Provide additional justification for any questions of a sensitive nature, such as sexual behavior or attitudes, religious beliefs, and other matters that are commonly considered </w:t>
      </w:r>
      <w:r w:rsidRPr="00445EC7">
        <w:rPr>
          <w:b/>
        </w:rPr>
        <w:lastRenderedPageBreak/>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A05197" w:rsidRPr="00445EC7">
        <w:rPr>
          <w:b/>
        </w:rPr>
        <w:t>:</w:t>
      </w:r>
    </w:p>
    <w:p w:rsidR="003B5940" w:rsidRPr="00445EC7" w:rsidRDefault="003B5940" w:rsidP="003B5940">
      <w:pPr>
        <w:pStyle w:val="BodyText2"/>
        <w:spacing w:line="480" w:lineRule="auto"/>
        <w:rPr>
          <w:u w:val="none"/>
        </w:rPr>
      </w:pPr>
      <w:r w:rsidRPr="00445EC7">
        <w:rPr>
          <w:u w:val="none"/>
        </w:rPr>
        <w:t>There are no questions of a sensitive nature on the FNS 245.</w:t>
      </w:r>
    </w:p>
    <w:p w:rsidR="00A1784D" w:rsidRPr="00445EC7" w:rsidRDefault="00A1784D" w:rsidP="00186346">
      <w:pPr>
        <w:pStyle w:val="BodyText2"/>
        <w:spacing w:line="480" w:lineRule="auto"/>
        <w:ind w:right="-180"/>
        <w:contextualSpacing/>
        <w:rPr>
          <w:b/>
          <w:u w:val="none"/>
        </w:rPr>
      </w:pPr>
    </w:p>
    <w:p w:rsidR="00F304EE" w:rsidRPr="00445EC7" w:rsidRDefault="00F304EE" w:rsidP="00F304EE">
      <w:pPr>
        <w:pStyle w:val="BodyText2"/>
        <w:numPr>
          <w:ilvl w:val="0"/>
          <w:numId w:val="10"/>
        </w:numPr>
        <w:spacing w:line="480" w:lineRule="auto"/>
        <w:ind w:left="90" w:right="-180" w:firstLine="0"/>
        <w:contextualSpacing/>
        <w:rPr>
          <w:b/>
        </w:rPr>
      </w:pPr>
      <w:r w:rsidRPr="00445EC7">
        <w:rPr>
          <w:b/>
        </w:rPr>
        <w:t>Provide estimates of the hour burden of the collection of information.  The statement should:</w:t>
      </w:r>
    </w:p>
    <w:p w:rsidR="00F304EE" w:rsidRPr="00445EC7" w:rsidRDefault="00F304EE" w:rsidP="00F304EE">
      <w:pPr>
        <w:pStyle w:val="BodyText2"/>
        <w:numPr>
          <w:ilvl w:val="0"/>
          <w:numId w:val="13"/>
        </w:numPr>
        <w:spacing w:line="480" w:lineRule="auto"/>
        <w:ind w:right="-180"/>
        <w:contextualSpacing/>
        <w:rPr>
          <w:b/>
        </w:rPr>
      </w:pPr>
      <w:r w:rsidRPr="00445EC7">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A1784D" w:rsidRPr="00445EC7" w:rsidRDefault="00F304EE" w:rsidP="00F304EE">
      <w:pPr>
        <w:pStyle w:val="BodyText2"/>
        <w:numPr>
          <w:ilvl w:val="0"/>
          <w:numId w:val="13"/>
        </w:numPr>
        <w:spacing w:line="480" w:lineRule="auto"/>
        <w:ind w:right="-180"/>
        <w:contextualSpacing/>
        <w:rPr>
          <w:b/>
        </w:rPr>
      </w:pPr>
      <w:r w:rsidRPr="00445EC7">
        <w:rPr>
          <w:b/>
        </w:rPr>
        <w:t>Provide estimates of annualized cost to respondents for the hour burdens for collections of information, identifying and using appropriate wage rate categories:</w:t>
      </w:r>
    </w:p>
    <w:p w:rsidR="001C0EFD" w:rsidRPr="00445EC7" w:rsidRDefault="001C0EFD" w:rsidP="00186346">
      <w:pPr>
        <w:pStyle w:val="BodyText2"/>
        <w:spacing w:line="480" w:lineRule="auto"/>
        <w:ind w:right="-180"/>
        <w:contextualSpacing/>
        <w:rPr>
          <w:u w:val="none"/>
        </w:rPr>
      </w:pPr>
      <w:r w:rsidRPr="00445EC7">
        <w:rPr>
          <w:u w:val="none"/>
        </w:rPr>
        <w:t xml:space="preserve">There are 53 </w:t>
      </w:r>
      <w:r w:rsidR="00BF71FC" w:rsidRPr="00445EC7">
        <w:rPr>
          <w:u w:val="none"/>
        </w:rPr>
        <w:t>s</w:t>
      </w:r>
      <w:r w:rsidRPr="00445EC7">
        <w:rPr>
          <w:u w:val="none"/>
        </w:rPr>
        <w:t xml:space="preserve">tate agencies required to conduct QC reviews of the negative cases as part of the Performance Reporting System.  The number of </w:t>
      </w:r>
      <w:r w:rsidR="00CF638B">
        <w:rPr>
          <w:u w:val="none"/>
        </w:rPr>
        <w:t xml:space="preserve">case and procedural </w:t>
      </w:r>
      <w:r w:rsidRPr="00445EC7">
        <w:rPr>
          <w:u w:val="none"/>
        </w:rPr>
        <w:t xml:space="preserve">cases that must be selected and reviewed by each </w:t>
      </w:r>
      <w:r w:rsidR="00BF71FC" w:rsidRPr="00445EC7">
        <w:rPr>
          <w:u w:val="none"/>
        </w:rPr>
        <w:t>s</w:t>
      </w:r>
      <w:r w:rsidRPr="00445EC7">
        <w:rPr>
          <w:u w:val="none"/>
        </w:rPr>
        <w:t xml:space="preserve">tate agency during each annual review period is determined based on its size and the </w:t>
      </w:r>
      <w:r w:rsidR="00BF71FC" w:rsidRPr="00445EC7">
        <w:rPr>
          <w:u w:val="none"/>
        </w:rPr>
        <w:t>s</w:t>
      </w:r>
      <w:r w:rsidRPr="00445EC7">
        <w:rPr>
          <w:u w:val="none"/>
        </w:rPr>
        <w:t xml:space="preserve">tate's choice of sampling options.  </w:t>
      </w:r>
      <w:r w:rsidR="008753F1">
        <w:rPr>
          <w:u w:val="none"/>
        </w:rPr>
        <w:t xml:space="preserve">We also estimate there will be approximately 775.1887 total annual responses per </w:t>
      </w:r>
      <w:r w:rsidR="0020448C">
        <w:rPr>
          <w:u w:val="none"/>
        </w:rPr>
        <w:t>State</w:t>
      </w:r>
      <w:r w:rsidR="008753F1">
        <w:rPr>
          <w:u w:val="none"/>
        </w:rPr>
        <w:t xml:space="preserve"> agenc</w:t>
      </w:r>
      <w:r w:rsidR="0020448C">
        <w:rPr>
          <w:u w:val="none"/>
        </w:rPr>
        <w:t>y</w:t>
      </w:r>
      <w:r w:rsidR="001B55E6">
        <w:rPr>
          <w:u w:val="none"/>
        </w:rPr>
        <w:t xml:space="preserve"> and</w:t>
      </w:r>
      <w:r w:rsidRPr="00445EC7">
        <w:rPr>
          <w:u w:val="none"/>
        </w:rPr>
        <w:t xml:space="preserve"> an annual </w:t>
      </w:r>
      <w:r w:rsidR="00CF638B">
        <w:rPr>
          <w:u w:val="none"/>
        </w:rPr>
        <w:t xml:space="preserve">case and procedural case </w:t>
      </w:r>
      <w:r w:rsidRPr="00445EC7">
        <w:rPr>
          <w:u w:val="none"/>
        </w:rPr>
        <w:t xml:space="preserve">sample of </w:t>
      </w:r>
      <w:r w:rsidR="008727DF">
        <w:rPr>
          <w:u w:val="none"/>
        </w:rPr>
        <w:t>41,085</w:t>
      </w:r>
      <w:r w:rsidRPr="00445EC7">
        <w:rPr>
          <w:u w:val="none"/>
        </w:rPr>
        <w:t xml:space="preserve"> cases nationwide.  </w:t>
      </w:r>
      <w:r w:rsidR="001B55E6">
        <w:rPr>
          <w:u w:val="none"/>
        </w:rPr>
        <w:t>In addition, we</w:t>
      </w:r>
      <w:r w:rsidR="001B55E6" w:rsidRPr="00445EC7">
        <w:rPr>
          <w:u w:val="none"/>
        </w:rPr>
        <w:t xml:space="preserve"> </w:t>
      </w:r>
      <w:r w:rsidRPr="00445EC7">
        <w:rPr>
          <w:u w:val="none"/>
        </w:rPr>
        <w:t xml:space="preserve">estimate that </w:t>
      </w:r>
      <w:r w:rsidR="00BF71FC" w:rsidRPr="00445EC7">
        <w:rPr>
          <w:u w:val="none"/>
        </w:rPr>
        <w:t>s</w:t>
      </w:r>
      <w:r w:rsidRPr="00445EC7">
        <w:rPr>
          <w:u w:val="none"/>
        </w:rPr>
        <w:t xml:space="preserve">tate agencies will need an average </w:t>
      </w:r>
      <w:r w:rsidR="007E74E7" w:rsidRPr="00445EC7">
        <w:rPr>
          <w:u w:val="none"/>
        </w:rPr>
        <w:t>of 2.9406</w:t>
      </w:r>
      <w:r w:rsidR="00367CC9" w:rsidRPr="00445EC7">
        <w:rPr>
          <w:u w:val="none"/>
        </w:rPr>
        <w:t xml:space="preserve"> </w:t>
      </w:r>
      <w:r w:rsidRPr="00445EC7">
        <w:rPr>
          <w:u w:val="none"/>
        </w:rPr>
        <w:t xml:space="preserve">hours per response for reporting on the FNS-245.  This burden totals </w:t>
      </w:r>
      <w:r w:rsidR="00445EC7">
        <w:rPr>
          <w:u w:val="none"/>
        </w:rPr>
        <w:t>approximatel</w:t>
      </w:r>
      <w:r w:rsidR="008727DF">
        <w:rPr>
          <w:u w:val="none"/>
        </w:rPr>
        <w:t>y 120,814.5542</w:t>
      </w:r>
      <w:r w:rsidR="00367CC9" w:rsidRPr="00445EC7">
        <w:rPr>
          <w:u w:val="none"/>
        </w:rPr>
        <w:t xml:space="preserve"> </w:t>
      </w:r>
      <w:r w:rsidRPr="00445EC7">
        <w:rPr>
          <w:u w:val="none"/>
        </w:rPr>
        <w:t>hours per year.</w:t>
      </w:r>
    </w:p>
    <w:p w:rsidR="001C0EFD" w:rsidRPr="00445EC7" w:rsidRDefault="001C0EFD" w:rsidP="00186346">
      <w:pPr>
        <w:pStyle w:val="BodyText2"/>
        <w:spacing w:line="480" w:lineRule="auto"/>
        <w:ind w:right="-180"/>
        <w:contextualSpacing/>
        <w:rPr>
          <w:u w:val="none"/>
        </w:rPr>
      </w:pPr>
    </w:p>
    <w:p w:rsidR="005A29F8" w:rsidRDefault="001C0EFD" w:rsidP="00186346">
      <w:pPr>
        <w:pStyle w:val="BodyText2"/>
        <w:spacing w:line="480" w:lineRule="auto"/>
        <w:ind w:right="-180"/>
        <w:contextualSpacing/>
        <w:rPr>
          <w:u w:val="none"/>
        </w:rPr>
      </w:pPr>
      <w:r w:rsidRPr="00445EC7">
        <w:rPr>
          <w:u w:val="none"/>
        </w:rPr>
        <w:lastRenderedPageBreak/>
        <w:tab/>
        <w:t xml:space="preserve">In addition, each of the 53 </w:t>
      </w:r>
      <w:r w:rsidR="00BF71FC" w:rsidRPr="00445EC7">
        <w:rPr>
          <w:u w:val="none"/>
        </w:rPr>
        <w:t>s</w:t>
      </w:r>
      <w:r w:rsidRPr="00445EC7">
        <w:rPr>
          <w:u w:val="none"/>
        </w:rPr>
        <w:t xml:space="preserve">tate agencies </w:t>
      </w:r>
      <w:r w:rsidR="00CF638B">
        <w:rPr>
          <w:u w:val="none"/>
        </w:rPr>
        <w:t>are</w:t>
      </w:r>
      <w:r w:rsidR="00CF638B" w:rsidRPr="00445EC7">
        <w:rPr>
          <w:u w:val="none"/>
        </w:rPr>
        <w:t xml:space="preserve"> </w:t>
      </w:r>
      <w:r w:rsidRPr="00445EC7">
        <w:rPr>
          <w:u w:val="none"/>
        </w:rPr>
        <w:t>required to maintain records of the Form</w:t>
      </w:r>
      <w:r w:rsidR="005A29F8">
        <w:rPr>
          <w:u w:val="none"/>
        </w:rPr>
        <w:t xml:space="preserve"> </w:t>
      </w:r>
    </w:p>
    <w:p w:rsidR="001C0EFD" w:rsidRPr="00445EC7" w:rsidRDefault="001C0EFD" w:rsidP="00186346">
      <w:pPr>
        <w:pStyle w:val="BodyText2"/>
        <w:spacing w:line="480" w:lineRule="auto"/>
        <w:ind w:right="-180"/>
        <w:contextualSpacing/>
        <w:rPr>
          <w:u w:val="none"/>
        </w:rPr>
      </w:pPr>
      <w:r w:rsidRPr="00445EC7">
        <w:rPr>
          <w:u w:val="none"/>
        </w:rPr>
        <w:t>FNS-</w:t>
      </w:r>
      <w:r w:rsidR="005A29F8">
        <w:rPr>
          <w:u w:val="none"/>
        </w:rPr>
        <w:t>2</w:t>
      </w:r>
      <w:r w:rsidRPr="00445EC7">
        <w:rPr>
          <w:u w:val="none"/>
        </w:rPr>
        <w:t xml:space="preserve">45 for the recordkeeping requirement.  </w:t>
      </w:r>
      <w:r w:rsidR="00C467E2">
        <w:rPr>
          <w:u w:val="none"/>
        </w:rPr>
        <w:t xml:space="preserve">FNS estimates 775.1887 total annual records will be maintained by state agencies.  </w:t>
      </w:r>
      <w:r w:rsidRPr="00445EC7">
        <w:rPr>
          <w:u w:val="none"/>
        </w:rPr>
        <w:t xml:space="preserve">We estimate the </w:t>
      </w:r>
      <w:r w:rsidR="00367CC9" w:rsidRPr="00445EC7">
        <w:rPr>
          <w:u w:val="none"/>
        </w:rPr>
        <w:t>burden is</w:t>
      </w:r>
      <w:r w:rsidRPr="00445EC7">
        <w:rPr>
          <w:u w:val="none"/>
        </w:rPr>
        <w:t xml:space="preserve"> 0.0236 hours per record.  This </w:t>
      </w:r>
      <w:r w:rsidR="00367CC9" w:rsidRPr="00445EC7">
        <w:rPr>
          <w:u w:val="none"/>
        </w:rPr>
        <w:t xml:space="preserve">record keeping </w:t>
      </w:r>
      <w:r w:rsidRPr="00445EC7">
        <w:rPr>
          <w:u w:val="none"/>
        </w:rPr>
        <w:t xml:space="preserve">burden totals </w:t>
      </w:r>
      <w:r w:rsidR="007E74E7" w:rsidRPr="00445EC7">
        <w:rPr>
          <w:u w:val="none"/>
        </w:rPr>
        <w:t xml:space="preserve">approximately </w:t>
      </w:r>
      <w:r w:rsidR="008727DF">
        <w:rPr>
          <w:u w:val="none"/>
        </w:rPr>
        <w:t>969.6060</w:t>
      </w:r>
      <w:r w:rsidR="008727DF" w:rsidRPr="00445EC7">
        <w:rPr>
          <w:u w:val="none"/>
        </w:rPr>
        <w:t xml:space="preserve"> </w:t>
      </w:r>
      <w:r w:rsidRPr="00445EC7">
        <w:rPr>
          <w:u w:val="none"/>
        </w:rPr>
        <w:t>hours per year.</w:t>
      </w:r>
    </w:p>
    <w:p w:rsidR="000821DC" w:rsidRPr="00445EC7" w:rsidRDefault="000821DC" w:rsidP="00186346">
      <w:pPr>
        <w:pStyle w:val="BodyText2"/>
        <w:spacing w:line="480" w:lineRule="auto"/>
        <w:ind w:right="-180"/>
        <w:contextualSpacing/>
        <w:rPr>
          <w:u w:val="none"/>
        </w:rPr>
      </w:pPr>
    </w:p>
    <w:p w:rsidR="001C0EFD" w:rsidRPr="00445EC7" w:rsidRDefault="001C0EFD" w:rsidP="00186346">
      <w:pPr>
        <w:pStyle w:val="BodyText2"/>
        <w:spacing w:line="480" w:lineRule="auto"/>
        <w:ind w:right="-180"/>
        <w:contextualSpacing/>
        <w:rPr>
          <w:u w:val="none"/>
        </w:rPr>
      </w:pPr>
      <w:r w:rsidRPr="00445EC7">
        <w:rPr>
          <w:u w:val="none"/>
        </w:rPr>
        <w:tab/>
        <w:t xml:space="preserve">We estimate the total annual reporting and recordkeeping burden for the FNS-245 to be </w:t>
      </w:r>
      <w:r w:rsidR="00FA54C3">
        <w:rPr>
          <w:u w:val="none"/>
        </w:rPr>
        <w:t>12</w:t>
      </w:r>
      <w:r w:rsidR="008727DF">
        <w:rPr>
          <w:u w:val="none"/>
        </w:rPr>
        <w:t>1,784.1602</w:t>
      </w:r>
      <w:r w:rsidR="007E74E7" w:rsidRPr="00445EC7">
        <w:rPr>
          <w:u w:val="none"/>
        </w:rPr>
        <w:t xml:space="preserve"> </w:t>
      </w:r>
      <w:r w:rsidRPr="00445EC7">
        <w:rPr>
          <w:u w:val="none"/>
        </w:rPr>
        <w:t xml:space="preserve">hours.  The above burdens were arrived at by adding together the estimated reporting burden </w:t>
      </w:r>
      <w:r w:rsidR="00490982" w:rsidRPr="00445EC7">
        <w:rPr>
          <w:u w:val="none"/>
        </w:rPr>
        <w:t>and</w:t>
      </w:r>
      <w:r w:rsidRPr="00445EC7">
        <w:rPr>
          <w:u w:val="none"/>
        </w:rPr>
        <w:t xml:space="preserve"> the estimated recordkeeping burden.</w:t>
      </w:r>
    </w:p>
    <w:p w:rsidR="00C37858" w:rsidRPr="00445EC7" w:rsidRDefault="00C37858" w:rsidP="00186346">
      <w:pPr>
        <w:pStyle w:val="BodyText2"/>
        <w:spacing w:line="480" w:lineRule="auto"/>
        <w:ind w:right="-180"/>
        <w:contextualSpacing/>
        <w:rPr>
          <w:u w:val="none"/>
        </w:rPr>
      </w:pPr>
    </w:p>
    <w:p w:rsidR="001C0EFD" w:rsidRPr="00445EC7" w:rsidRDefault="00C37858" w:rsidP="00186346">
      <w:pPr>
        <w:pStyle w:val="BodyText2"/>
        <w:spacing w:line="480" w:lineRule="auto"/>
        <w:ind w:right="-180"/>
        <w:contextualSpacing/>
        <w:rPr>
          <w:u w:val="none"/>
        </w:rPr>
      </w:pPr>
      <w:r w:rsidRPr="00445EC7">
        <w:rPr>
          <w:u w:val="none"/>
        </w:rPr>
        <w:t>The burden</w:t>
      </w:r>
      <w:r w:rsidR="001C0EFD" w:rsidRPr="00445EC7">
        <w:rPr>
          <w:u w:val="none"/>
        </w:rPr>
        <w:t xml:space="preserve"> described above </w:t>
      </w:r>
      <w:r w:rsidRPr="00445EC7">
        <w:rPr>
          <w:u w:val="none"/>
        </w:rPr>
        <w:t>was</w:t>
      </w:r>
      <w:r w:rsidR="001C0EFD" w:rsidRPr="00445EC7">
        <w:rPr>
          <w:u w:val="none"/>
        </w:rPr>
        <w:t xml:space="preserve"> estimated as follows:</w:t>
      </w:r>
    </w:p>
    <w:p w:rsidR="003E529E" w:rsidRPr="00445EC7" w:rsidRDefault="003E529E" w:rsidP="003E529E">
      <w:pPr>
        <w:rPr>
          <w:b/>
          <w:bCs/>
          <w:sz w:val="20"/>
          <w:szCs w:val="20"/>
          <w:u w:val="single"/>
        </w:rPr>
      </w:pPr>
      <w:r w:rsidRPr="00445EC7">
        <w:rPr>
          <w:b/>
        </w:rPr>
        <w:t xml:space="preserve">Table A. 12.1 </w:t>
      </w:r>
      <w:r w:rsidR="00647FC8" w:rsidRPr="00445EC7">
        <w:rPr>
          <w:b/>
          <w:bCs/>
        </w:rPr>
        <w:t>Reporting</w:t>
      </w:r>
      <w:r w:rsidR="00647FC8" w:rsidRPr="00445EC7">
        <w:rPr>
          <w:b/>
        </w:rPr>
        <w:t xml:space="preserve"> </w:t>
      </w:r>
      <w:r w:rsidRPr="00445EC7">
        <w:rPr>
          <w:b/>
        </w:rPr>
        <w:t xml:space="preserve">Estimates of Hour Burden </w:t>
      </w:r>
    </w:p>
    <w:p w:rsidR="00BF37F0" w:rsidRPr="00445EC7" w:rsidRDefault="00BF37F0" w:rsidP="00186346">
      <w:pPr>
        <w:pStyle w:val="BodyText2"/>
        <w:spacing w:line="480" w:lineRule="auto"/>
        <w:ind w:right="-180"/>
        <w:contextualSpacing/>
        <w:rPr>
          <w:u w:val="non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60"/>
        <w:gridCol w:w="1170"/>
        <w:gridCol w:w="1710"/>
        <w:gridCol w:w="1662"/>
        <w:gridCol w:w="1350"/>
        <w:gridCol w:w="2316"/>
      </w:tblGrid>
      <w:tr w:rsidR="005A29F8" w:rsidRPr="00445EC7" w:rsidTr="007B3F18">
        <w:trPr>
          <w:trHeight w:val="690"/>
        </w:trPr>
        <w:tc>
          <w:tcPr>
            <w:tcW w:w="1260" w:type="dxa"/>
            <w:shd w:val="pct10" w:color="auto" w:fill="auto"/>
            <w:vAlign w:val="center"/>
          </w:tcPr>
          <w:p w:rsidR="005A29F8" w:rsidRPr="004B5AA1" w:rsidRDefault="005A29F8" w:rsidP="00EB043E">
            <w:pPr>
              <w:pStyle w:val="BodyText2"/>
              <w:spacing w:line="480" w:lineRule="auto"/>
              <w:ind w:right="12"/>
              <w:contextualSpacing/>
              <w:jc w:val="center"/>
              <w:rPr>
                <w:sz w:val="18"/>
                <w:szCs w:val="18"/>
                <w:u w:val="none"/>
              </w:rPr>
            </w:pPr>
            <w:r w:rsidRPr="004B5AA1">
              <w:rPr>
                <w:sz w:val="18"/>
                <w:szCs w:val="18"/>
                <w:u w:val="none"/>
              </w:rPr>
              <w:t>Form Number</w:t>
            </w:r>
          </w:p>
        </w:tc>
        <w:tc>
          <w:tcPr>
            <w:tcW w:w="1170" w:type="dxa"/>
            <w:shd w:val="pct10" w:color="auto" w:fill="auto"/>
            <w:vAlign w:val="center"/>
          </w:tcPr>
          <w:p w:rsidR="005A29F8" w:rsidRPr="004B5AA1" w:rsidRDefault="005A29F8" w:rsidP="00EB043E">
            <w:pPr>
              <w:pStyle w:val="BodyText2"/>
              <w:spacing w:line="480" w:lineRule="auto"/>
              <w:ind w:right="12"/>
              <w:contextualSpacing/>
              <w:jc w:val="center"/>
              <w:rPr>
                <w:sz w:val="18"/>
                <w:szCs w:val="18"/>
                <w:u w:val="none"/>
              </w:rPr>
            </w:pPr>
            <w:r w:rsidRPr="004B5AA1">
              <w:rPr>
                <w:sz w:val="18"/>
                <w:szCs w:val="18"/>
                <w:u w:val="none"/>
              </w:rPr>
              <w:t>No. of Respondents</w:t>
            </w:r>
          </w:p>
        </w:tc>
        <w:tc>
          <w:tcPr>
            <w:tcW w:w="1710" w:type="dxa"/>
            <w:shd w:val="pct10" w:color="auto" w:fill="auto"/>
            <w:vAlign w:val="center"/>
          </w:tcPr>
          <w:p w:rsidR="005A29F8" w:rsidRPr="004B5AA1" w:rsidRDefault="005A29F8" w:rsidP="00EB043E">
            <w:pPr>
              <w:pStyle w:val="BodyText2"/>
              <w:spacing w:line="480" w:lineRule="auto"/>
              <w:ind w:right="-18"/>
              <w:contextualSpacing/>
              <w:jc w:val="center"/>
              <w:rPr>
                <w:sz w:val="18"/>
                <w:szCs w:val="18"/>
                <w:u w:val="none"/>
              </w:rPr>
            </w:pPr>
            <w:r w:rsidRPr="004B5AA1">
              <w:rPr>
                <w:sz w:val="18"/>
                <w:szCs w:val="18"/>
                <w:u w:val="none"/>
              </w:rPr>
              <w:t>Est. No. of Responses per Respondent</w:t>
            </w:r>
          </w:p>
        </w:tc>
        <w:tc>
          <w:tcPr>
            <w:tcW w:w="1662" w:type="dxa"/>
            <w:shd w:val="pct10" w:color="auto" w:fill="auto"/>
            <w:vAlign w:val="center"/>
          </w:tcPr>
          <w:p w:rsidR="005A29F8" w:rsidRPr="004B5AA1" w:rsidRDefault="005A29F8" w:rsidP="00186346">
            <w:pPr>
              <w:pStyle w:val="BodyText2"/>
              <w:spacing w:line="480" w:lineRule="auto"/>
              <w:ind w:right="-180"/>
              <w:contextualSpacing/>
              <w:jc w:val="center"/>
              <w:rPr>
                <w:sz w:val="18"/>
                <w:szCs w:val="18"/>
                <w:u w:val="none"/>
              </w:rPr>
            </w:pPr>
            <w:r w:rsidRPr="004B5AA1">
              <w:rPr>
                <w:sz w:val="18"/>
                <w:szCs w:val="18"/>
                <w:u w:val="none"/>
              </w:rPr>
              <w:t>Est. Total Annual Responses</w:t>
            </w:r>
          </w:p>
        </w:tc>
        <w:tc>
          <w:tcPr>
            <w:tcW w:w="1350" w:type="dxa"/>
            <w:shd w:val="pct10" w:color="auto" w:fill="auto"/>
            <w:vAlign w:val="center"/>
          </w:tcPr>
          <w:p w:rsidR="005A29F8" w:rsidRPr="004B5AA1" w:rsidRDefault="005A29F8" w:rsidP="00186346">
            <w:pPr>
              <w:pStyle w:val="BodyText2"/>
              <w:spacing w:line="480" w:lineRule="auto"/>
              <w:ind w:right="-180"/>
              <w:contextualSpacing/>
              <w:jc w:val="center"/>
              <w:rPr>
                <w:sz w:val="18"/>
                <w:szCs w:val="18"/>
                <w:u w:val="none"/>
              </w:rPr>
            </w:pPr>
            <w:r w:rsidRPr="004B5AA1">
              <w:rPr>
                <w:sz w:val="18"/>
                <w:szCs w:val="18"/>
                <w:u w:val="none"/>
              </w:rPr>
              <w:t>No. Hours per Response</w:t>
            </w:r>
          </w:p>
        </w:tc>
        <w:tc>
          <w:tcPr>
            <w:tcW w:w="2316" w:type="dxa"/>
            <w:shd w:val="pct10" w:color="auto" w:fill="auto"/>
            <w:vAlign w:val="center"/>
          </w:tcPr>
          <w:p w:rsidR="005A29F8" w:rsidRPr="004B5AA1" w:rsidRDefault="005A29F8" w:rsidP="00186346">
            <w:pPr>
              <w:pStyle w:val="BodyText2"/>
              <w:spacing w:line="480" w:lineRule="auto"/>
              <w:ind w:right="-180"/>
              <w:contextualSpacing/>
              <w:jc w:val="center"/>
              <w:rPr>
                <w:sz w:val="18"/>
                <w:szCs w:val="18"/>
                <w:u w:val="none"/>
              </w:rPr>
            </w:pPr>
            <w:r w:rsidRPr="004B5AA1">
              <w:rPr>
                <w:sz w:val="18"/>
                <w:szCs w:val="18"/>
                <w:u w:val="none"/>
              </w:rPr>
              <w:t>Estimated</w:t>
            </w:r>
            <w:r w:rsidRPr="004B5AA1">
              <w:rPr>
                <w:sz w:val="18"/>
                <w:szCs w:val="18"/>
                <w:u w:val="none"/>
              </w:rPr>
              <w:br/>
              <w:t>Total Burden Hours</w:t>
            </w:r>
          </w:p>
        </w:tc>
      </w:tr>
      <w:tr w:rsidR="005A29F8" w:rsidRPr="00445EC7" w:rsidTr="007B3F18">
        <w:trPr>
          <w:trHeight w:val="476"/>
        </w:trPr>
        <w:tc>
          <w:tcPr>
            <w:tcW w:w="1260" w:type="dxa"/>
            <w:vAlign w:val="center"/>
          </w:tcPr>
          <w:p w:rsidR="005A29F8" w:rsidRPr="00445EC7" w:rsidRDefault="005A29F8" w:rsidP="00367CC9">
            <w:pPr>
              <w:jc w:val="center"/>
              <w:rPr>
                <w:color w:val="000000"/>
                <w:szCs w:val="18"/>
              </w:rPr>
            </w:pPr>
            <w:r w:rsidRPr="00445EC7">
              <w:rPr>
                <w:szCs w:val="18"/>
              </w:rPr>
              <w:t>FNS-245</w:t>
            </w:r>
          </w:p>
        </w:tc>
        <w:tc>
          <w:tcPr>
            <w:tcW w:w="1170" w:type="dxa"/>
            <w:vAlign w:val="center"/>
          </w:tcPr>
          <w:p w:rsidR="005A29F8" w:rsidRPr="00445EC7" w:rsidRDefault="005A29F8" w:rsidP="00367CC9">
            <w:pPr>
              <w:jc w:val="center"/>
              <w:rPr>
                <w:color w:val="000000"/>
                <w:szCs w:val="18"/>
              </w:rPr>
            </w:pPr>
            <w:r w:rsidRPr="00445EC7">
              <w:rPr>
                <w:color w:val="000000"/>
                <w:szCs w:val="18"/>
              </w:rPr>
              <w:t>53.00</w:t>
            </w:r>
          </w:p>
        </w:tc>
        <w:tc>
          <w:tcPr>
            <w:tcW w:w="1710" w:type="dxa"/>
            <w:vAlign w:val="center"/>
          </w:tcPr>
          <w:p w:rsidR="005A29F8" w:rsidRPr="00445EC7" w:rsidRDefault="00D625F9" w:rsidP="00D625F9">
            <w:pPr>
              <w:jc w:val="center"/>
              <w:rPr>
                <w:color w:val="000000"/>
                <w:szCs w:val="18"/>
              </w:rPr>
            </w:pPr>
            <w:r>
              <w:rPr>
                <w:color w:val="000000"/>
                <w:szCs w:val="18"/>
              </w:rPr>
              <w:t>775.1887</w:t>
            </w:r>
          </w:p>
        </w:tc>
        <w:tc>
          <w:tcPr>
            <w:tcW w:w="1662" w:type="dxa"/>
            <w:vAlign w:val="center"/>
          </w:tcPr>
          <w:p w:rsidR="005A29F8" w:rsidRPr="00445EC7" w:rsidRDefault="00D625F9" w:rsidP="00367CC9">
            <w:pPr>
              <w:jc w:val="center"/>
              <w:rPr>
                <w:color w:val="000000"/>
                <w:szCs w:val="18"/>
              </w:rPr>
            </w:pPr>
            <w:r>
              <w:rPr>
                <w:color w:val="000000"/>
                <w:szCs w:val="18"/>
              </w:rPr>
              <w:t>41,085</w:t>
            </w:r>
          </w:p>
        </w:tc>
        <w:tc>
          <w:tcPr>
            <w:tcW w:w="1350" w:type="dxa"/>
            <w:vAlign w:val="center"/>
          </w:tcPr>
          <w:p w:rsidR="005A29F8" w:rsidRPr="00445EC7" w:rsidRDefault="005A29F8" w:rsidP="00367CC9">
            <w:pPr>
              <w:jc w:val="center"/>
              <w:rPr>
                <w:color w:val="000000"/>
                <w:szCs w:val="18"/>
              </w:rPr>
            </w:pPr>
            <w:r w:rsidRPr="00445EC7">
              <w:rPr>
                <w:color w:val="000000"/>
                <w:szCs w:val="18"/>
              </w:rPr>
              <w:t>2.9406</w:t>
            </w:r>
          </w:p>
        </w:tc>
        <w:tc>
          <w:tcPr>
            <w:tcW w:w="2316" w:type="dxa"/>
            <w:vAlign w:val="center"/>
          </w:tcPr>
          <w:p w:rsidR="005A29F8" w:rsidRPr="00445EC7" w:rsidRDefault="00D625F9" w:rsidP="00367CC9">
            <w:pPr>
              <w:jc w:val="center"/>
              <w:rPr>
                <w:color w:val="000000"/>
                <w:szCs w:val="18"/>
              </w:rPr>
            </w:pPr>
            <w:r>
              <w:rPr>
                <w:color w:val="000000"/>
                <w:szCs w:val="18"/>
              </w:rPr>
              <w:t>120,814.55</w:t>
            </w:r>
            <w:r w:rsidR="008727DF">
              <w:rPr>
                <w:color w:val="000000"/>
                <w:szCs w:val="18"/>
              </w:rPr>
              <w:t>42</w:t>
            </w:r>
          </w:p>
        </w:tc>
      </w:tr>
    </w:tbl>
    <w:p w:rsidR="001C0EFD" w:rsidRPr="00445EC7" w:rsidRDefault="001C0EFD" w:rsidP="00186346">
      <w:pPr>
        <w:pStyle w:val="BodyText2"/>
        <w:spacing w:line="480" w:lineRule="auto"/>
        <w:ind w:right="-180"/>
        <w:contextualSpacing/>
        <w:rPr>
          <w:u w:val="none"/>
        </w:rPr>
      </w:pPr>
    </w:p>
    <w:p w:rsidR="00892AD9" w:rsidRPr="00445EC7" w:rsidRDefault="003E529E" w:rsidP="00186346">
      <w:pPr>
        <w:pStyle w:val="BodyText2"/>
        <w:spacing w:line="480" w:lineRule="auto"/>
        <w:ind w:right="-180"/>
        <w:contextualSpacing/>
        <w:rPr>
          <w:b/>
          <w:u w:val="none"/>
        </w:rPr>
      </w:pPr>
      <w:r w:rsidRPr="00445EC7">
        <w:rPr>
          <w:b/>
          <w:u w:val="none"/>
        </w:rPr>
        <w:t>Table A. 12.2 Record</w:t>
      </w:r>
      <w:r w:rsidR="00647FC8" w:rsidRPr="00445EC7">
        <w:rPr>
          <w:b/>
          <w:u w:val="none"/>
        </w:rPr>
        <w:t xml:space="preserve"> K</w:t>
      </w:r>
      <w:r w:rsidRPr="00445EC7">
        <w:rPr>
          <w:b/>
          <w:u w:val="none"/>
        </w:rPr>
        <w:t>eeping Burde</w:t>
      </w:r>
      <w:r w:rsidR="00892AD9" w:rsidRPr="00445EC7">
        <w:rPr>
          <w:b/>
          <w:u w:val="none"/>
        </w:rPr>
        <w:t>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97"/>
        <w:gridCol w:w="1360"/>
        <w:gridCol w:w="1954"/>
        <w:gridCol w:w="1662"/>
        <w:gridCol w:w="1628"/>
        <w:gridCol w:w="1775"/>
      </w:tblGrid>
      <w:tr w:rsidR="005A29F8" w:rsidRPr="00445EC7" w:rsidTr="005A29F8">
        <w:trPr>
          <w:trHeight w:val="690"/>
        </w:trPr>
        <w:tc>
          <w:tcPr>
            <w:tcW w:w="625" w:type="pct"/>
            <w:shd w:val="pct10" w:color="auto" w:fill="auto"/>
            <w:vAlign w:val="center"/>
          </w:tcPr>
          <w:p w:rsidR="005A29F8" w:rsidRPr="004B5AA1" w:rsidRDefault="005A29F8" w:rsidP="00186346">
            <w:pPr>
              <w:pStyle w:val="BodyText2"/>
              <w:spacing w:line="480" w:lineRule="auto"/>
              <w:ind w:right="-180"/>
              <w:contextualSpacing/>
              <w:jc w:val="center"/>
              <w:rPr>
                <w:sz w:val="18"/>
                <w:szCs w:val="18"/>
                <w:u w:val="none"/>
              </w:rPr>
            </w:pPr>
            <w:r w:rsidRPr="004B5AA1">
              <w:rPr>
                <w:sz w:val="18"/>
                <w:szCs w:val="18"/>
                <w:u w:val="none"/>
              </w:rPr>
              <w:t xml:space="preserve">Form </w:t>
            </w:r>
          </w:p>
          <w:p w:rsidR="005A29F8" w:rsidRPr="004B5AA1" w:rsidRDefault="005A29F8" w:rsidP="00186346">
            <w:pPr>
              <w:pStyle w:val="BodyText2"/>
              <w:spacing w:line="480" w:lineRule="auto"/>
              <w:ind w:right="-180"/>
              <w:contextualSpacing/>
              <w:jc w:val="center"/>
              <w:rPr>
                <w:sz w:val="18"/>
                <w:szCs w:val="18"/>
                <w:u w:val="none"/>
              </w:rPr>
            </w:pPr>
            <w:r w:rsidRPr="004B5AA1">
              <w:rPr>
                <w:sz w:val="18"/>
                <w:szCs w:val="18"/>
                <w:u w:val="none"/>
              </w:rPr>
              <w:t>Number</w:t>
            </w:r>
          </w:p>
        </w:tc>
        <w:tc>
          <w:tcPr>
            <w:tcW w:w="710" w:type="pct"/>
            <w:shd w:val="pct10" w:color="auto" w:fill="auto"/>
            <w:vAlign w:val="center"/>
          </w:tcPr>
          <w:p w:rsidR="005A29F8" w:rsidRPr="004B5AA1" w:rsidRDefault="005A29F8" w:rsidP="00186346">
            <w:pPr>
              <w:pStyle w:val="BodyText2"/>
              <w:spacing w:line="480" w:lineRule="auto"/>
              <w:ind w:right="-180"/>
              <w:contextualSpacing/>
              <w:jc w:val="center"/>
              <w:rPr>
                <w:sz w:val="18"/>
                <w:szCs w:val="18"/>
                <w:u w:val="none"/>
              </w:rPr>
            </w:pPr>
            <w:r w:rsidRPr="004B5AA1">
              <w:rPr>
                <w:sz w:val="18"/>
                <w:szCs w:val="18"/>
                <w:u w:val="none"/>
              </w:rPr>
              <w:t>No. of</w:t>
            </w:r>
            <w:r w:rsidRPr="004B5AA1">
              <w:rPr>
                <w:sz w:val="18"/>
                <w:szCs w:val="18"/>
                <w:u w:val="none"/>
              </w:rPr>
              <w:br/>
              <w:t xml:space="preserve"> Respondents</w:t>
            </w:r>
          </w:p>
        </w:tc>
        <w:tc>
          <w:tcPr>
            <w:tcW w:w="1020" w:type="pct"/>
            <w:shd w:val="pct10" w:color="auto" w:fill="auto"/>
            <w:vAlign w:val="center"/>
          </w:tcPr>
          <w:p w:rsidR="005A29F8" w:rsidRPr="004B5AA1" w:rsidRDefault="005A29F8" w:rsidP="00EB043E">
            <w:pPr>
              <w:pStyle w:val="BodyText2"/>
              <w:spacing w:line="480" w:lineRule="auto"/>
              <w:ind w:right="-18"/>
              <w:contextualSpacing/>
              <w:jc w:val="center"/>
              <w:rPr>
                <w:sz w:val="18"/>
                <w:szCs w:val="18"/>
                <w:u w:val="none"/>
              </w:rPr>
            </w:pPr>
            <w:r w:rsidRPr="004B5AA1">
              <w:rPr>
                <w:sz w:val="18"/>
                <w:szCs w:val="18"/>
                <w:u w:val="none"/>
              </w:rPr>
              <w:t>Est. No. of Responses per Respondent</w:t>
            </w:r>
          </w:p>
        </w:tc>
        <w:tc>
          <w:tcPr>
            <w:tcW w:w="868" w:type="pct"/>
            <w:shd w:val="pct10" w:color="auto" w:fill="auto"/>
            <w:vAlign w:val="center"/>
          </w:tcPr>
          <w:p w:rsidR="005A29F8" w:rsidRPr="004B5AA1" w:rsidRDefault="005A29F8" w:rsidP="00186346">
            <w:pPr>
              <w:pStyle w:val="BodyText2"/>
              <w:spacing w:line="480" w:lineRule="auto"/>
              <w:ind w:right="-180"/>
              <w:contextualSpacing/>
              <w:jc w:val="center"/>
              <w:rPr>
                <w:sz w:val="18"/>
                <w:szCs w:val="18"/>
                <w:u w:val="none"/>
              </w:rPr>
            </w:pPr>
            <w:r w:rsidRPr="004B5AA1">
              <w:rPr>
                <w:sz w:val="18"/>
                <w:szCs w:val="18"/>
                <w:u w:val="none"/>
              </w:rPr>
              <w:t>Est. Total Annual Responses</w:t>
            </w:r>
          </w:p>
        </w:tc>
        <w:tc>
          <w:tcPr>
            <w:tcW w:w="850" w:type="pct"/>
            <w:shd w:val="pct10" w:color="auto" w:fill="auto"/>
            <w:vAlign w:val="center"/>
          </w:tcPr>
          <w:p w:rsidR="005A29F8" w:rsidRPr="004B5AA1" w:rsidRDefault="005A29F8" w:rsidP="00186346">
            <w:pPr>
              <w:pStyle w:val="BodyText2"/>
              <w:spacing w:line="480" w:lineRule="auto"/>
              <w:ind w:right="-180"/>
              <w:contextualSpacing/>
              <w:jc w:val="center"/>
              <w:rPr>
                <w:sz w:val="18"/>
                <w:szCs w:val="18"/>
                <w:u w:val="none"/>
              </w:rPr>
            </w:pPr>
            <w:r w:rsidRPr="004B5AA1">
              <w:rPr>
                <w:sz w:val="18"/>
                <w:szCs w:val="18"/>
                <w:u w:val="none"/>
              </w:rPr>
              <w:t>No. Hours per Response</w:t>
            </w:r>
          </w:p>
        </w:tc>
        <w:tc>
          <w:tcPr>
            <w:tcW w:w="927" w:type="pct"/>
            <w:shd w:val="pct10" w:color="auto" w:fill="auto"/>
            <w:vAlign w:val="center"/>
          </w:tcPr>
          <w:p w:rsidR="005A29F8" w:rsidRPr="004B5AA1" w:rsidRDefault="005A29F8" w:rsidP="00186346">
            <w:pPr>
              <w:pStyle w:val="BodyText2"/>
              <w:spacing w:line="480" w:lineRule="auto"/>
              <w:ind w:right="-180"/>
              <w:contextualSpacing/>
              <w:jc w:val="center"/>
              <w:rPr>
                <w:sz w:val="18"/>
                <w:szCs w:val="18"/>
                <w:u w:val="none"/>
              </w:rPr>
            </w:pPr>
            <w:r w:rsidRPr="004B5AA1">
              <w:rPr>
                <w:sz w:val="18"/>
                <w:szCs w:val="18"/>
                <w:u w:val="none"/>
              </w:rPr>
              <w:t>Estimated</w:t>
            </w:r>
            <w:r w:rsidRPr="004B5AA1">
              <w:rPr>
                <w:sz w:val="18"/>
                <w:szCs w:val="18"/>
                <w:u w:val="none"/>
              </w:rPr>
              <w:br/>
              <w:t>Total Burden Hours</w:t>
            </w:r>
          </w:p>
        </w:tc>
      </w:tr>
      <w:tr w:rsidR="005A29F8" w:rsidRPr="00445EC7" w:rsidTr="005A29F8">
        <w:trPr>
          <w:trHeight w:val="413"/>
        </w:trPr>
        <w:tc>
          <w:tcPr>
            <w:tcW w:w="625" w:type="pct"/>
            <w:vAlign w:val="center"/>
          </w:tcPr>
          <w:p w:rsidR="005A29F8" w:rsidRPr="00445EC7" w:rsidRDefault="005A29F8" w:rsidP="00367CC9">
            <w:pPr>
              <w:jc w:val="center"/>
              <w:rPr>
                <w:color w:val="000000"/>
                <w:szCs w:val="18"/>
              </w:rPr>
            </w:pPr>
            <w:r w:rsidRPr="00445EC7">
              <w:rPr>
                <w:szCs w:val="18"/>
              </w:rPr>
              <w:t>FNS-245</w:t>
            </w:r>
          </w:p>
        </w:tc>
        <w:tc>
          <w:tcPr>
            <w:tcW w:w="710" w:type="pct"/>
            <w:vAlign w:val="center"/>
          </w:tcPr>
          <w:p w:rsidR="005A29F8" w:rsidRPr="00445EC7" w:rsidRDefault="005A29F8" w:rsidP="00367CC9">
            <w:pPr>
              <w:jc w:val="center"/>
              <w:rPr>
                <w:color w:val="000000"/>
                <w:szCs w:val="18"/>
              </w:rPr>
            </w:pPr>
            <w:r w:rsidRPr="00445EC7">
              <w:rPr>
                <w:color w:val="000000"/>
                <w:szCs w:val="18"/>
              </w:rPr>
              <w:t>53.00</w:t>
            </w:r>
          </w:p>
        </w:tc>
        <w:tc>
          <w:tcPr>
            <w:tcW w:w="1020" w:type="pct"/>
            <w:vAlign w:val="center"/>
          </w:tcPr>
          <w:p w:rsidR="005A29F8" w:rsidRPr="00445EC7" w:rsidRDefault="00D625F9" w:rsidP="00367CC9">
            <w:pPr>
              <w:jc w:val="center"/>
              <w:rPr>
                <w:color w:val="000000"/>
                <w:szCs w:val="18"/>
              </w:rPr>
            </w:pPr>
            <w:r>
              <w:rPr>
                <w:color w:val="000000"/>
                <w:szCs w:val="18"/>
              </w:rPr>
              <w:t>775.1887</w:t>
            </w:r>
          </w:p>
        </w:tc>
        <w:tc>
          <w:tcPr>
            <w:tcW w:w="868" w:type="pct"/>
            <w:vAlign w:val="center"/>
          </w:tcPr>
          <w:p w:rsidR="005A29F8" w:rsidRPr="00445EC7" w:rsidRDefault="00D625F9" w:rsidP="00367CC9">
            <w:pPr>
              <w:jc w:val="center"/>
              <w:rPr>
                <w:color w:val="000000"/>
                <w:szCs w:val="18"/>
              </w:rPr>
            </w:pPr>
            <w:r>
              <w:rPr>
                <w:color w:val="000000"/>
                <w:szCs w:val="18"/>
              </w:rPr>
              <w:t>41,085</w:t>
            </w:r>
          </w:p>
        </w:tc>
        <w:tc>
          <w:tcPr>
            <w:tcW w:w="850" w:type="pct"/>
            <w:vAlign w:val="center"/>
          </w:tcPr>
          <w:p w:rsidR="005A29F8" w:rsidRPr="00445EC7" w:rsidRDefault="005A29F8" w:rsidP="00367CC9">
            <w:pPr>
              <w:jc w:val="center"/>
              <w:rPr>
                <w:color w:val="000000"/>
                <w:szCs w:val="18"/>
              </w:rPr>
            </w:pPr>
            <w:r w:rsidRPr="00445EC7">
              <w:rPr>
                <w:color w:val="000000"/>
                <w:szCs w:val="18"/>
              </w:rPr>
              <w:t>0.0236</w:t>
            </w:r>
          </w:p>
        </w:tc>
        <w:tc>
          <w:tcPr>
            <w:tcW w:w="927" w:type="pct"/>
            <w:vAlign w:val="center"/>
          </w:tcPr>
          <w:p w:rsidR="005A29F8" w:rsidRPr="00445EC7" w:rsidRDefault="00D625F9" w:rsidP="00367CC9">
            <w:pPr>
              <w:jc w:val="center"/>
              <w:rPr>
                <w:color w:val="000000"/>
                <w:szCs w:val="18"/>
              </w:rPr>
            </w:pPr>
            <w:r>
              <w:rPr>
                <w:color w:val="000000"/>
                <w:szCs w:val="18"/>
              </w:rPr>
              <w:t>969.6060</w:t>
            </w:r>
          </w:p>
        </w:tc>
      </w:tr>
    </w:tbl>
    <w:p w:rsidR="001C0EFD" w:rsidRDefault="001C0EFD" w:rsidP="00186346">
      <w:pPr>
        <w:pStyle w:val="BodyText2"/>
        <w:spacing w:line="480" w:lineRule="auto"/>
        <w:ind w:right="-180"/>
        <w:contextualSpacing/>
        <w:rPr>
          <w:u w:val="none"/>
        </w:rPr>
      </w:pPr>
    </w:p>
    <w:p w:rsidR="0053686A" w:rsidRPr="00897BAE" w:rsidRDefault="001B55E6" w:rsidP="0053686A">
      <w:pPr>
        <w:pStyle w:val="ListParagraph"/>
        <w:tabs>
          <w:tab w:val="left" w:pos="1080"/>
        </w:tabs>
        <w:suppressAutoHyphens/>
        <w:ind w:left="0"/>
        <w:rPr>
          <w:b/>
          <w:sz w:val="22"/>
          <w:szCs w:val="22"/>
        </w:rPr>
      </w:pPr>
      <w:r>
        <w:rPr>
          <w:b/>
        </w:rPr>
        <w:br w:type="page"/>
      </w:r>
      <w:r w:rsidR="0053686A" w:rsidRPr="00445EC7">
        <w:rPr>
          <w:b/>
        </w:rPr>
        <w:lastRenderedPageBreak/>
        <w:t>Table A. 12.</w:t>
      </w:r>
      <w:r w:rsidR="0053686A">
        <w:rPr>
          <w:b/>
        </w:rPr>
        <w:t>3</w:t>
      </w:r>
      <w:r w:rsidR="0053686A" w:rsidRPr="00445EC7">
        <w:rPr>
          <w:b/>
        </w:rPr>
        <w:t xml:space="preserve"> </w:t>
      </w:r>
      <w:r w:rsidR="0053686A" w:rsidRPr="00897BAE">
        <w:rPr>
          <w:b/>
          <w:sz w:val="22"/>
          <w:szCs w:val="22"/>
        </w:rPr>
        <w:t>Combined Reporting and Recordkeeping Burden Hours</w:t>
      </w:r>
    </w:p>
    <w:p w:rsidR="0053686A" w:rsidRPr="00897BAE" w:rsidRDefault="0053686A" w:rsidP="0053686A">
      <w:pPr>
        <w:pStyle w:val="ListParagraph"/>
        <w:tabs>
          <w:tab w:val="left" w:pos="1080"/>
        </w:tabs>
        <w:suppressAutoHyphens/>
        <w:ind w:left="2340"/>
        <w:rPr>
          <w:b/>
          <w:sz w:val="22"/>
          <w:szCs w:val="22"/>
        </w:rPr>
      </w:pPr>
    </w:p>
    <w:tbl>
      <w:tblPr>
        <w:tblW w:w="11020" w:type="dxa"/>
        <w:jc w:val="center"/>
        <w:tblInd w:w="91" w:type="dxa"/>
        <w:tblLook w:val="04A0"/>
      </w:tblPr>
      <w:tblGrid>
        <w:gridCol w:w="1620"/>
        <w:gridCol w:w="1920"/>
        <w:gridCol w:w="1603"/>
        <w:gridCol w:w="1640"/>
        <w:gridCol w:w="1363"/>
        <w:gridCol w:w="1240"/>
        <w:gridCol w:w="1634"/>
      </w:tblGrid>
      <w:tr w:rsidR="0053686A" w:rsidRPr="00897BAE" w:rsidTr="00E71A48">
        <w:trPr>
          <w:trHeight w:val="315"/>
          <w:jc w:val="center"/>
        </w:trPr>
        <w:tc>
          <w:tcPr>
            <w:tcW w:w="11020" w:type="dxa"/>
            <w:gridSpan w:val="7"/>
            <w:tcBorders>
              <w:top w:val="single" w:sz="8" w:space="0" w:color="auto"/>
              <w:left w:val="single" w:sz="8" w:space="0" w:color="auto"/>
              <w:bottom w:val="single" w:sz="8" w:space="0" w:color="auto"/>
              <w:right w:val="single" w:sz="8" w:space="0" w:color="000000"/>
            </w:tcBorders>
            <w:shd w:val="clear" w:color="auto" w:fill="auto"/>
            <w:hideMark/>
          </w:tcPr>
          <w:p w:rsidR="0053686A" w:rsidRPr="00897BAE" w:rsidRDefault="0053686A" w:rsidP="00E71A48">
            <w:pPr>
              <w:jc w:val="center"/>
              <w:rPr>
                <w:b/>
                <w:bCs/>
                <w:sz w:val="22"/>
                <w:szCs w:val="22"/>
              </w:rPr>
            </w:pPr>
            <w:r w:rsidRPr="00897BAE">
              <w:rPr>
                <w:b/>
                <w:bCs/>
                <w:sz w:val="22"/>
                <w:szCs w:val="22"/>
              </w:rPr>
              <w:t>Reporting Burden</w:t>
            </w:r>
          </w:p>
        </w:tc>
      </w:tr>
      <w:tr w:rsidR="0053686A" w:rsidRPr="00897BAE" w:rsidTr="00E71A48">
        <w:trPr>
          <w:trHeight w:val="585"/>
          <w:jc w:val="center"/>
        </w:trPr>
        <w:tc>
          <w:tcPr>
            <w:tcW w:w="1620" w:type="dxa"/>
            <w:vMerge w:val="restart"/>
            <w:tcBorders>
              <w:top w:val="nil"/>
              <w:left w:val="single" w:sz="8" w:space="0" w:color="auto"/>
              <w:bottom w:val="single" w:sz="8" w:space="0" w:color="000000"/>
              <w:right w:val="single" w:sz="4" w:space="0" w:color="auto"/>
            </w:tcBorders>
            <w:shd w:val="clear" w:color="auto" w:fill="auto"/>
            <w:noWrap/>
            <w:hideMark/>
          </w:tcPr>
          <w:p w:rsidR="0053686A" w:rsidRPr="00897BAE" w:rsidRDefault="0053686A" w:rsidP="00E71A48">
            <w:pPr>
              <w:rPr>
                <w:b/>
                <w:bCs/>
                <w:sz w:val="22"/>
                <w:szCs w:val="22"/>
              </w:rPr>
            </w:pPr>
            <w:r w:rsidRPr="00897BAE">
              <w:rPr>
                <w:b/>
                <w:bCs/>
                <w:sz w:val="22"/>
                <w:szCs w:val="22"/>
              </w:rPr>
              <w:t>Affected Public</w:t>
            </w:r>
          </w:p>
        </w:tc>
        <w:tc>
          <w:tcPr>
            <w:tcW w:w="1920"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53686A" w:rsidRPr="00897BAE" w:rsidRDefault="0053686A" w:rsidP="00E71A48">
            <w:pPr>
              <w:jc w:val="center"/>
              <w:rPr>
                <w:b/>
                <w:bCs/>
                <w:sz w:val="22"/>
                <w:szCs w:val="22"/>
              </w:rPr>
            </w:pPr>
            <w:r w:rsidRPr="00897BAE">
              <w:rPr>
                <w:b/>
                <w:bCs/>
                <w:sz w:val="22"/>
                <w:szCs w:val="22"/>
              </w:rPr>
              <w:t>Requirement</w:t>
            </w:r>
          </w:p>
        </w:tc>
        <w:tc>
          <w:tcPr>
            <w:tcW w:w="1603"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53686A" w:rsidRPr="00897BAE" w:rsidRDefault="0053686A" w:rsidP="00E71A48">
            <w:pPr>
              <w:jc w:val="center"/>
              <w:rPr>
                <w:b/>
                <w:bCs/>
                <w:sz w:val="22"/>
                <w:szCs w:val="22"/>
              </w:rPr>
            </w:pPr>
            <w:r w:rsidRPr="00897BAE">
              <w:rPr>
                <w:b/>
                <w:bCs/>
                <w:sz w:val="22"/>
                <w:szCs w:val="22"/>
              </w:rPr>
              <w:t xml:space="preserve">Estimated </w:t>
            </w:r>
          </w:p>
          <w:p w:rsidR="0053686A" w:rsidRPr="00897BAE" w:rsidRDefault="0053686A" w:rsidP="00E71A48">
            <w:pPr>
              <w:jc w:val="center"/>
              <w:rPr>
                <w:b/>
                <w:bCs/>
                <w:sz w:val="22"/>
                <w:szCs w:val="22"/>
              </w:rPr>
            </w:pPr>
            <w:r w:rsidRPr="00897BAE">
              <w:rPr>
                <w:b/>
                <w:bCs/>
                <w:sz w:val="22"/>
                <w:szCs w:val="22"/>
              </w:rPr>
              <w:t># of Respondents</w:t>
            </w:r>
          </w:p>
        </w:tc>
        <w:tc>
          <w:tcPr>
            <w:tcW w:w="1640" w:type="dxa"/>
            <w:vMerge w:val="restart"/>
            <w:tcBorders>
              <w:top w:val="nil"/>
              <w:left w:val="single" w:sz="4" w:space="0" w:color="auto"/>
              <w:bottom w:val="single" w:sz="8" w:space="0" w:color="000000"/>
              <w:right w:val="single" w:sz="4" w:space="0" w:color="auto"/>
            </w:tcBorders>
            <w:shd w:val="clear" w:color="auto" w:fill="auto"/>
            <w:hideMark/>
          </w:tcPr>
          <w:p w:rsidR="0053686A" w:rsidRPr="00897BAE" w:rsidRDefault="0053686A" w:rsidP="00E71A48">
            <w:pPr>
              <w:jc w:val="center"/>
              <w:rPr>
                <w:b/>
                <w:bCs/>
                <w:sz w:val="22"/>
                <w:szCs w:val="22"/>
              </w:rPr>
            </w:pPr>
            <w:r w:rsidRPr="00897BAE">
              <w:rPr>
                <w:b/>
                <w:bCs/>
                <w:sz w:val="22"/>
                <w:szCs w:val="22"/>
              </w:rPr>
              <w:t>Responses Annually per Respondent</w:t>
            </w:r>
          </w:p>
        </w:tc>
        <w:tc>
          <w:tcPr>
            <w:tcW w:w="1363" w:type="dxa"/>
            <w:vMerge w:val="restart"/>
            <w:tcBorders>
              <w:top w:val="nil"/>
              <w:left w:val="single" w:sz="4" w:space="0" w:color="auto"/>
              <w:bottom w:val="single" w:sz="8" w:space="0" w:color="000000"/>
              <w:right w:val="single" w:sz="4" w:space="0" w:color="auto"/>
            </w:tcBorders>
            <w:shd w:val="clear" w:color="auto" w:fill="auto"/>
            <w:hideMark/>
          </w:tcPr>
          <w:p w:rsidR="0053686A" w:rsidRPr="00897BAE" w:rsidRDefault="0053686A" w:rsidP="00E71A48">
            <w:pPr>
              <w:jc w:val="center"/>
              <w:rPr>
                <w:b/>
                <w:bCs/>
                <w:sz w:val="22"/>
                <w:szCs w:val="22"/>
              </w:rPr>
            </w:pPr>
            <w:r w:rsidRPr="00897BAE">
              <w:rPr>
                <w:b/>
                <w:bCs/>
                <w:sz w:val="22"/>
                <w:szCs w:val="22"/>
              </w:rPr>
              <w:t>Total Annual Responses (Col. bxc)</w:t>
            </w:r>
          </w:p>
        </w:tc>
        <w:tc>
          <w:tcPr>
            <w:tcW w:w="1240" w:type="dxa"/>
            <w:vMerge w:val="restart"/>
            <w:tcBorders>
              <w:top w:val="nil"/>
              <w:left w:val="single" w:sz="4" w:space="0" w:color="auto"/>
              <w:bottom w:val="single" w:sz="8" w:space="0" w:color="000000"/>
              <w:right w:val="single" w:sz="4" w:space="0" w:color="auto"/>
            </w:tcBorders>
            <w:shd w:val="clear" w:color="auto" w:fill="auto"/>
            <w:hideMark/>
          </w:tcPr>
          <w:p w:rsidR="0053686A" w:rsidRPr="00897BAE" w:rsidRDefault="0053686A" w:rsidP="00E71A48">
            <w:pPr>
              <w:jc w:val="center"/>
              <w:rPr>
                <w:b/>
                <w:bCs/>
                <w:sz w:val="22"/>
                <w:szCs w:val="22"/>
              </w:rPr>
            </w:pPr>
            <w:r w:rsidRPr="00897BAE">
              <w:rPr>
                <w:b/>
                <w:bCs/>
                <w:sz w:val="22"/>
                <w:szCs w:val="22"/>
              </w:rPr>
              <w:t>Estimated Avg. # of Hours per Response</w:t>
            </w:r>
          </w:p>
        </w:tc>
        <w:tc>
          <w:tcPr>
            <w:tcW w:w="1634" w:type="dxa"/>
            <w:vMerge w:val="restart"/>
            <w:tcBorders>
              <w:top w:val="nil"/>
              <w:left w:val="single" w:sz="4" w:space="0" w:color="auto"/>
              <w:bottom w:val="single" w:sz="8" w:space="0" w:color="000000"/>
              <w:right w:val="single" w:sz="8" w:space="0" w:color="auto"/>
            </w:tcBorders>
            <w:shd w:val="clear" w:color="auto" w:fill="auto"/>
            <w:hideMark/>
          </w:tcPr>
          <w:p w:rsidR="0053686A" w:rsidRPr="00897BAE" w:rsidRDefault="0053686A" w:rsidP="00E71A48">
            <w:pPr>
              <w:jc w:val="center"/>
              <w:rPr>
                <w:b/>
                <w:bCs/>
                <w:sz w:val="22"/>
                <w:szCs w:val="22"/>
              </w:rPr>
            </w:pPr>
            <w:r w:rsidRPr="00897BAE">
              <w:rPr>
                <w:b/>
                <w:bCs/>
                <w:sz w:val="22"/>
                <w:szCs w:val="22"/>
              </w:rPr>
              <w:t>Estimated Total Hours (Col. dxe)</w:t>
            </w:r>
          </w:p>
        </w:tc>
      </w:tr>
      <w:tr w:rsidR="0053686A" w:rsidRPr="00897BAE" w:rsidTr="0020448C">
        <w:trPr>
          <w:trHeight w:val="585"/>
          <w:jc w:val="center"/>
        </w:trPr>
        <w:tc>
          <w:tcPr>
            <w:tcW w:w="1620" w:type="dxa"/>
            <w:vMerge/>
            <w:tcBorders>
              <w:top w:val="nil"/>
              <w:left w:val="single" w:sz="8" w:space="0" w:color="auto"/>
              <w:bottom w:val="single" w:sz="8" w:space="0" w:color="000000"/>
              <w:right w:val="single" w:sz="4" w:space="0" w:color="auto"/>
            </w:tcBorders>
            <w:vAlign w:val="center"/>
            <w:hideMark/>
          </w:tcPr>
          <w:p w:rsidR="0053686A" w:rsidRPr="00897BAE" w:rsidRDefault="0053686A" w:rsidP="00E71A48">
            <w:pPr>
              <w:rPr>
                <w:b/>
                <w:bCs/>
                <w:sz w:val="22"/>
                <w:szCs w:val="22"/>
              </w:rPr>
            </w:pPr>
          </w:p>
        </w:tc>
        <w:tc>
          <w:tcPr>
            <w:tcW w:w="1920" w:type="dxa"/>
            <w:vMerge/>
            <w:tcBorders>
              <w:top w:val="single" w:sz="8" w:space="0" w:color="auto"/>
              <w:left w:val="single" w:sz="4" w:space="0" w:color="auto"/>
              <w:bottom w:val="single" w:sz="8" w:space="0" w:color="000000"/>
              <w:right w:val="single" w:sz="4" w:space="0" w:color="auto"/>
            </w:tcBorders>
            <w:vAlign w:val="center"/>
            <w:hideMark/>
          </w:tcPr>
          <w:p w:rsidR="0053686A" w:rsidRPr="00897BAE" w:rsidRDefault="0053686A" w:rsidP="00E71A48">
            <w:pPr>
              <w:rPr>
                <w:b/>
                <w:bCs/>
                <w:sz w:val="22"/>
                <w:szCs w:val="22"/>
              </w:rPr>
            </w:pPr>
          </w:p>
        </w:tc>
        <w:tc>
          <w:tcPr>
            <w:tcW w:w="1603" w:type="dxa"/>
            <w:vMerge/>
            <w:tcBorders>
              <w:top w:val="single" w:sz="8" w:space="0" w:color="auto"/>
              <w:left w:val="single" w:sz="4" w:space="0" w:color="auto"/>
              <w:bottom w:val="single" w:sz="8" w:space="0" w:color="000000"/>
              <w:right w:val="single" w:sz="4" w:space="0" w:color="auto"/>
            </w:tcBorders>
            <w:vAlign w:val="center"/>
            <w:hideMark/>
          </w:tcPr>
          <w:p w:rsidR="0053686A" w:rsidRPr="00897BAE" w:rsidRDefault="0053686A" w:rsidP="00E71A48">
            <w:pPr>
              <w:rPr>
                <w:b/>
                <w:bCs/>
                <w:sz w:val="22"/>
                <w:szCs w:val="22"/>
              </w:rPr>
            </w:pPr>
          </w:p>
        </w:tc>
        <w:tc>
          <w:tcPr>
            <w:tcW w:w="1640" w:type="dxa"/>
            <w:vMerge/>
            <w:tcBorders>
              <w:top w:val="nil"/>
              <w:left w:val="single" w:sz="4" w:space="0" w:color="auto"/>
              <w:bottom w:val="single" w:sz="8" w:space="0" w:color="000000"/>
              <w:right w:val="single" w:sz="4" w:space="0" w:color="auto"/>
            </w:tcBorders>
            <w:vAlign w:val="center"/>
            <w:hideMark/>
          </w:tcPr>
          <w:p w:rsidR="0053686A" w:rsidRPr="00897BAE" w:rsidRDefault="0053686A" w:rsidP="00E71A48">
            <w:pPr>
              <w:rPr>
                <w:b/>
                <w:bCs/>
                <w:sz w:val="22"/>
                <w:szCs w:val="22"/>
              </w:rPr>
            </w:pPr>
          </w:p>
        </w:tc>
        <w:tc>
          <w:tcPr>
            <w:tcW w:w="1363" w:type="dxa"/>
            <w:vMerge/>
            <w:tcBorders>
              <w:top w:val="nil"/>
              <w:left w:val="single" w:sz="4" w:space="0" w:color="auto"/>
              <w:bottom w:val="single" w:sz="8" w:space="0" w:color="000000"/>
              <w:right w:val="single" w:sz="4" w:space="0" w:color="auto"/>
            </w:tcBorders>
            <w:vAlign w:val="center"/>
            <w:hideMark/>
          </w:tcPr>
          <w:p w:rsidR="0053686A" w:rsidRPr="00897BAE" w:rsidRDefault="0053686A" w:rsidP="00E71A48">
            <w:pPr>
              <w:rPr>
                <w:b/>
                <w:bCs/>
                <w:sz w:val="22"/>
                <w:szCs w:val="22"/>
              </w:rPr>
            </w:pPr>
          </w:p>
        </w:tc>
        <w:tc>
          <w:tcPr>
            <w:tcW w:w="1240" w:type="dxa"/>
            <w:vMerge/>
            <w:tcBorders>
              <w:top w:val="nil"/>
              <w:left w:val="single" w:sz="4" w:space="0" w:color="auto"/>
              <w:bottom w:val="single" w:sz="8" w:space="0" w:color="000000"/>
              <w:right w:val="single" w:sz="4" w:space="0" w:color="auto"/>
            </w:tcBorders>
            <w:vAlign w:val="center"/>
            <w:hideMark/>
          </w:tcPr>
          <w:p w:rsidR="0053686A" w:rsidRPr="00897BAE" w:rsidRDefault="0053686A" w:rsidP="00E71A48">
            <w:pPr>
              <w:rPr>
                <w:b/>
                <w:bCs/>
                <w:sz w:val="22"/>
                <w:szCs w:val="22"/>
              </w:rPr>
            </w:pPr>
          </w:p>
        </w:tc>
        <w:tc>
          <w:tcPr>
            <w:tcW w:w="1634" w:type="dxa"/>
            <w:vMerge/>
            <w:tcBorders>
              <w:top w:val="nil"/>
              <w:left w:val="single" w:sz="4" w:space="0" w:color="auto"/>
              <w:bottom w:val="single" w:sz="8" w:space="0" w:color="000000"/>
              <w:right w:val="single" w:sz="8" w:space="0" w:color="auto"/>
            </w:tcBorders>
            <w:vAlign w:val="center"/>
            <w:hideMark/>
          </w:tcPr>
          <w:p w:rsidR="0053686A" w:rsidRPr="00897BAE" w:rsidRDefault="0053686A" w:rsidP="00E71A48">
            <w:pPr>
              <w:rPr>
                <w:b/>
                <w:bCs/>
                <w:sz w:val="22"/>
                <w:szCs w:val="22"/>
              </w:rPr>
            </w:pPr>
          </w:p>
        </w:tc>
      </w:tr>
      <w:tr w:rsidR="0053686A" w:rsidRPr="00897BAE" w:rsidTr="0020448C">
        <w:trPr>
          <w:trHeight w:val="600"/>
          <w:jc w:val="center"/>
        </w:trPr>
        <w:tc>
          <w:tcPr>
            <w:tcW w:w="1620" w:type="dxa"/>
            <w:tcBorders>
              <w:top w:val="nil"/>
              <w:left w:val="single" w:sz="8" w:space="0" w:color="auto"/>
              <w:bottom w:val="single" w:sz="4" w:space="0" w:color="auto"/>
              <w:right w:val="single" w:sz="4" w:space="0" w:color="auto"/>
            </w:tcBorders>
            <w:shd w:val="clear" w:color="auto" w:fill="auto"/>
            <w:noWrap/>
            <w:vAlign w:val="bottom"/>
            <w:hideMark/>
          </w:tcPr>
          <w:p w:rsidR="0053686A" w:rsidRPr="00897BAE" w:rsidRDefault="0053686A" w:rsidP="00E71A48">
            <w:pPr>
              <w:rPr>
                <w:sz w:val="22"/>
                <w:szCs w:val="22"/>
              </w:rPr>
            </w:pPr>
            <w:r w:rsidRPr="00897BAE">
              <w:rPr>
                <w:sz w:val="22"/>
                <w:szCs w:val="22"/>
              </w:rPr>
              <w:t>State Agencies Reporting</w:t>
            </w:r>
          </w:p>
        </w:tc>
        <w:tc>
          <w:tcPr>
            <w:tcW w:w="1920" w:type="dxa"/>
            <w:vMerge w:val="restart"/>
            <w:tcBorders>
              <w:top w:val="single" w:sz="8" w:space="0" w:color="000000"/>
              <w:left w:val="single" w:sz="4" w:space="0" w:color="auto"/>
              <w:bottom w:val="single" w:sz="4" w:space="0" w:color="auto"/>
              <w:right w:val="single" w:sz="4" w:space="0" w:color="auto"/>
            </w:tcBorders>
            <w:shd w:val="clear" w:color="auto" w:fill="auto"/>
            <w:noWrap/>
            <w:vAlign w:val="bottom"/>
            <w:hideMark/>
          </w:tcPr>
          <w:p w:rsidR="0053686A" w:rsidRPr="00897BAE" w:rsidRDefault="0053686A" w:rsidP="0053686A">
            <w:pPr>
              <w:jc w:val="center"/>
              <w:rPr>
                <w:sz w:val="22"/>
                <w:szCs w:val="22"/>
              </w:rPr>
            </w:pPr>
            <w:r>
              <w:rPr>
                <w:sz w:val="22"/>
                <w:szCs w:val="22"/>
              </w:rPr>
              <w:t>FNS-245</w:t>
            </w:r>
          </w:p>
        </w:tc>
        <w:tc>
          <w:tcPr>
            <w:tcW w:w="1603" w:type="dxa"/>
            <w:tcBorders>
              <w:top w:val="nil"/>
              <w:left w:val="single" w:sz="4" w:space="0" w:color="auto"/>
              <w:bottom w:val="single" w:sz="4" w:space="0" w:color="auto"/>
              <w:right w:val="single" w:sz="4" w:space="0" w:color="auto"/>
            </w:tcBorders>
            <w:shd w:val="clear" w:color="auto" w:fill="auto"/>
            <w:vAlign w:val="bottom"/>
            <w:hideMark/>
          </w:tcPr>
          <w:p w:rsidR="0053686A" w:rsidRPr="00897BAE" w:rsidRDefault="0053686A" w:rsidP="00E71A48">
            <w:pPr>
              <w:jc w:val="center"/>
              <w:rPr>
                <w:sz w:val="22"/>
                <w:szCs w:val="22"/>
              </w:rPr>
            </w:pPr>
            <w:r w:rsidRPr="00897BAE">
              <w:rPr>
                <w:sz w:val="22"/>
                <w:szCs w:val="22"/>
              </w:rPr>
              <w:t>53</w:t>
            </w:r>
          </w:p>
        </w:tc>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53686A" w:rsidRPr="00897BAE" w:rsidRDefault="0053686A" w:rsidP="0053686A">
            <w:pPr>
              <w:jc w:val="center"/>
              <w:rPr>
                <w:sz w:val="22"/>
                <w:szCs w:val="22"/>
              </w:rPr>
            </w:pPr>
            <w:r>
              <w:rPr>
                <w:sz w:val="22"/>
                <w:szCs w:val="22"/>
              </w:rPr>
              <w:t>775.1887</w:t>
            </w:r>
          </w:p>
        </w:tc>
        <w:tc>
          <w:tcPr>
            <w:tcW w:w="1363" w:type="dxa"/>
            <w:tcBorders>
              <w:top w:val="nil"/>
              <w:left w:val="single" w:sz="4" w:space="0" w:color="auto"/>
              <w:bottom w:val="single" w:sz="4" w:space="0" w:color="auto"/>
              <w:right w:val="single" w:sz="4" w:space="0" w:color="auto"/>
            </w:tcBorders>
            <w:shd w:val="clear" w:color="auto" w:fill="auto"/>
            <w:vAlign w:val="bottom"/>
            <w:hideMark/>
          </w:tcPr>
          <w:p w:rsidR="0053686A" w:rsidRPr="00897BAE" w:rsidRDefault="0053686A" w:rsidP="00E71A48">
            <w:pPr>
              <w:jc w:val="center"/>
              <w:rPr>
                <w:sz w:val="22"/>
                <w:szCs w:val="22"/>
              </w:rPr>
            </w:pPr>
            <w:r>
              <w:rPr>
                <w:sz w:val="22"/>
                <w:szCs w:val="22"/>
              </w:rPr>
              <w:t>41,085</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53686A" w:rsidRPr="00897BAE" w:rsidRDefault="0053686A" w:rsidP="00E71A48">
            <w:pPr>
              <w:jc w:val="center"/>
              <w:rPr>
                <w:sz w:val="22"/>
                <w:szCs w:val="22"/>
              </w:rPr>
            </w:pPr>
            <w:r>
              <w:rPr>
                <w:sz w:val="22"/>
                <w:szCs w:val="22"/>
              </w:rPr>
              <w:t>2.9406</w:t>
            </w:r>
          </w:p>
        </w:tc>
        <w:tc>
          <w:tcPr>
            <w:tcW w:w="1634" w:type="dxa"/>
            <w:tcBorders>
              <w:top w:val="nil"/>
              <w:left w:val="single" w:sz="4" w:space="0" w:color="auto"/>
              <w:bottom w:val="single" w:sz="4" w:space="0" w:color="auto"/>
              <w:right w:val="single" w:sz="8" w:space="0" w:color="auto"/>
            </w:tcBorders>
            <w:shd w:val="clear" w:color="auto" w:fill="auto"/>
            <w:noWrap/>
            <w:vAlign w:val="bottom"/>
            <w:hideMark/>
          </w:tcPr>
          <w:p w:rsidR="0053686A" w:rsidRPr="00897BAE" w:rsidRDefault="0053686A" w:rsidP="00E71A48">
            <w:pPr>
              <w:jc w:val="center"/>
              <w:rPr>
                <w:sz w:val="22"/>
                <w:szCs w:val="22"/>
              </w:rPr>
            </w:pPr>
            <w:r>
              <w:rPr>
                <w:sz w:val="22"/>
                <w:szCs w:val="22"/>
              </w:rPr>
              <w:t>120,814.5542</w:t>
            </w:r>
          </w:p>
        </w:tc>
      </w:tr>
      <w:tr w:rsidR="0053686A" w:rsidRPr="00897BAE" w:rsidTr="0020448C">
        <w:trPr>
          <w:trHeight w:val="566"/>
          <w:jc w:val="center"/>
        </w:trPr>
        <w:tc>
          <w:tcPr>
            <w:tcW w:w="1620" w:type="dxa"/>
            <w:tcBorders>
              <w:top w:val="nil"/>
              <w:left w:val="single" w:sz="8" w:space="0" w:color="auto"/>
              <w:bottom w:val="single" w:sz="4" w:space="0" w:color="auto"/>
              <w:right w:val="single" w:sz="4" w:space="0" w:color="auto"/>
            </w:tcBorders>
            <w:shd w:val="clear" w:color="auto" w:fill="auto"/>
            <w:noWrap/>
            <w:vAlign w:val="bottom"/>
            <w:hideMark/>
          </w:tcPr>
          <w:p w:rsidR="0053686A" w:rsidRPr="00897BAE" w:rsidRDefault="0053686A" w:rsidP="00E71A48">
            <w:pPr>
              <w:rPr>
                <w:sz w:val="22"/>
                <w:szCs w:val="22"/>
              </w:rPr>
            </w:pPr>
            <w:r w:rsidRPr="00897BAE">
              <w:rPr>
                <w:sz w:val="22"/>
                <w:szCs w:val="22"/>
              </w:rPr>
              <w:t>State Agencies Recordkeeping</w:t>
            </w:r>
          </w:p>
        </w:tc>
        <w:tc>
          <w:tcPr>
            <w:tcW w:w="1920" w:type="dxa"/>
            <w:vMerge/>
            <w:tcBorders>
              <w:left w:val="single" w:sz="4" w:space="0" w:color="auto"/>
              <w:bottom w:val="single" w:sz="4" w:space="0" w:color="auto"/>
              <w:right w:val="single" w:sz="4" w:space="0" w:color="auto"/>
            </w:tcBorders>
            <w:shd w:val="clear" w:color="auto" w:fill="auto"/>
            <w:noWrap/>
            <w:vAlign w:val="bottom"/>
            <w:hideMark/>
          </w:tcPr>
          <w:p w:rsidR="0053686A" w:rsidRPr="00897BAE" w:rsidRDefault="0053686A" w:rsidP="00E71A48">
            <w:pPr>
              <w:jc w:val="center"/>
              <w:rPr>
                <w:sz w:val="22"/>
                <w:szCs w:val="22"/>
              </w:rPr>
            </w:pPr>
          </w:p>
        </w:tc>
        <w:tc>
          <w:tcPr>
            <w:tcW w:w="16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686A" w:rsidRPr="00897BAE" w:rsidRDefault="0053686A" w:rsidP="00E71A48">
            <w:pPr>
              <w:jc w:val="center"/>
              <w:rPr>
                <w:sz w:val="22"/>
                <w:szCs w:val="22"/>
              </w:rPr>
            </w:pPr>
            <w:r w:rsidRPr="00897BAE">
              <w:rPr>
                <w:sz w:val="22"/>
                <w:szCs w:val="22"/>
              </w:rPr>
              <w:t>53</w:t>
            </w:r>
          </w:p>
        </w:tc>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53686A" w:rsidRPr="00897BAE" w:rsidRDefault="0053686A" w:rsidP="00E71A48">
            <w:pPr>
              <w:jc w:val="center"/>
              <w:rPr>
                <w:sz w:val="22"/>
                <w:szCs w:val="22"/>
              </w:rPr>
            </w:pPr>
            <w:r>
              <w:rPr>
                <w:sz w:val="22"/>
                <w:szCs w:val="22"/>
              </w:rPr>
              <w:t>775.1887</w:t>
            </w:r>
          </w:p>
        </w:tc>
        <w:tc>
          <w:tcPr>
            <w:tcW w:w="1363" w:type="dxa"/>
            <w:tcBorders>
              <w:top w:val="nil"/>
              <w:left w:val="single" w:sz="4" w:space="0" w:color="auto"/>
              <w:bottom w:val="single" w:sz="4" w:space="0" w:color="auto"/>
              <w:right w:val="single" w:sz="4" w:space="0" w:color="auto"/>
            </w:tcBorders>
            <w:shd w:val="clear" w:color="auto" w:fill="auto"/>
            <w:vAlign w:val="bottom"/>
            <w:hideMark/>
          </w:tcPr>
          <w:p w:rsidR="0053686A" w:rsidRPr="00897BAE" w:rsidRDefault="0053686A" w:rsidP="00E71A48">
            <w:pPr>
              <w:jc w:val="center"/>
              <w:rPr>
                <w:sz w:val="22"/>
                <w:szCs w:val="22"/>
              </w:rPr>
            </w:pPr>
            <w:r>
              <w:rPr>
                <w:sz w:val="22"/>
                <w:szCs w:val="22"/>
              </w:rPr>
              <w:t>41.085</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53686A" w:rsidRPr="00897BAE" w:rsidRDefault="0053686A" w:rsidP="0053686A">
            <w:pPr>
              <w:jc w:val="center"/>
              <w:rPr>
                <w:sz w:val="22"/>
                <w:szCs w:val="22"/>
              </w:rPr>
            </w:pPr>
            <w:r>
              <w:rPr>
                <w:sz w:val="22"/>
                <w:szCs w:val="22"/>
              </w:rPr>
              <w:t>0.0236</w:t>
            </w:r>
          </w:p>
        </w:tc>
        <w:tc>
          <w:tcPr>
            <w:tcW w:w="1634" w:type="dxa"/>
            <w:tcBorders>
              <w:top w:val="nil"/>
              <w:left w:val="single" w:sz="4" w:space="0" w:color="auto"/>
              <w:bottom w:val="single" w:sz="4" w:space="0" w:color="auto"/>
              <w:right w:val="single" w:sz="8" w:space="0" w:color="auto"/>
            </w:tcBorders>
            <w:shd w:val="clear" w:color="auto" w:fill="auto"/>
            <w:noWrap/>
            <w:vAlign w:val="bottom"/>
            <w:hideMark/>
          </w:tcPr>
          <w:p w:rsidR="0053686A" w:rsidRPr="00897BAE" w:rsidRDefault="0053686A" w:rsidP="00E71A48">
            <w:pPr>
              <w:jc w:val="center"/>
              <w:rPr>
                <w:sz w:val="22"/>
                <w:szCs w:val="22"/>
              </w:rPr>
            </w:pPr>
            <w:r>
              <w:rPr>
                <w:sz w:val="22"/>
                <w:szCs w:val="22"/>
              </w:rPr>
              <w:t>969.6060</w:t>
            </w:r>
          </w:p>
        </w:tc>
      </w:tr>
      <w:tr w:rsidR="0053686A" w:rsidRPr="00897BAE" w:rsidTr="00E71A48">
        <w:trPr>
          <w:trHeight w:val="710"/>
          <w:jc w:val="center"/>
        </w:trPr>
        <w:tc>
          <w:tcPr>
            <w:tcW w:w="3540" w:type="dxa"/>
            <w:gridSpan w:val="2"/>
            <w:tcBorders>
              <w:top w:val="single" w:sz="4" w:space="0" w:color="auto"/>
              <w:left w:val="single" w:sz="8" w:space="0" w:color="auto"/>
              <w:bottom w:val="single" w:sz="8" w:space="0" w:color="auto"/>
              <w:right w:val="single" w:sz="4" w:space="0" w:color="000000"/>
            </w:tcBorders>
            <w:shd w:val="clear" w:color="auto" w:fill="auto"/>
            <w:vAlign w:val="bottom"/>
            <w:hideMark/>
          </w:tcPr>
          <w:p w:rsidR="0053686A" w:rsidRPr="00897BAE" w:rsidRDefault="0053686A" w:rsidP="00E71A48">
            <w:pPr>
              <w:rPr>
                <w:b/>
                <w:bCs/>
                <w:sz w:val="22"/>
                <w:szCs w:val="22"/>
              </w:rPr>
            </w:pPr>
            <w:r w:rsidRPr="00897BAE">
              <w:rPr>
                <w:b/>
                <w:bCs/>
                <w:sz w:val="22"/>
                <w:szCs w:val="22"/>
              </w:rPr>
              <w:t>Grand Total Reporting &amp; Recordkeeping Burden Hours</w:t>
            </w:r>
          </w:p>
        </w:tc>
        <w:tc>
          <w:tcPr>
            <w:tcW w:w="1603" w:type="dxa"/>
            <w:tcBorders>
              <w:top w:val="single" w:sz="4" w:space="0" w:color="auto"/>
              <w:left w:val="nil"/>
              <w:bottom w:val="single" w:sz="8" w:space="0" w:color="auto"/>
              <w:right w:val="single" w:sz="4" w:space="0" w:color="000000"/>
            </w:tcBorders>
            <w:shd w:val="clear" w:color="auto" w:fill="auto"/>
            <w:vAlign w:val="bottom"/>
            <w:hideMark/>
          </w:tcPr>
          <w:p w:rsidR="0053686A" w:rsidRPr="00897BAE" w:rsidRDefault="0053686A" w:rsidP="00E71A48">
            <w:pPr>
              <w:jc w:val="center"/>
              <w:rPr>
                <w:b/>
                <w:bCs/>
                <w:sz w:val="22"/>
                <w:szCs w:val="22"/>
              </w:rPr>
            </w:pPr>
            <w:r w:rsidRPr="00897BAE">
              <w:rPr>
                <w:b/>
                <w:bCs/>
                <w:sz w:val="22"/>
                <w:szCs w:val="22"/>
              </w:rPr>
              <w:t>53</w:t>
            </w:r>
          </w:p>
        </w:tc>
        <w:tc>
          <w:tcPr>
            <w:tcW w:w="1640" w:type="dxa"/>
            <w:tcBorders>
              <w:top w:val="nil"/>
              <w:left w:val="nil"/>
              <w:bottom w:val="single" w:sz="8" w:space="0" w:color="auto"/>
              <w:right w:val="single" w:sz="4" w:space="0" w:color="auto"/>
            </w:tcBorders>
            <w:shd w:val="clear" w:color="auto" w:fill="auto"/>
            <w:noWrap/>
            <w:vAlign w:val="bottom"/>
            <w:hideMark/>
          </w:tcPr>
          <w:p w:rsidR="0053686A" w:rsidRPr="00897BAE" w:rsidRDefault="0053686A" w:rsidP="00E71A48">
            <w:pPr>
              <w:jc w:val="center"/>
              <w:rPr>
                <w:b/>
                <w:bCs/>
                <w:sz w:val="22"/>
                <w:szCs w:val="22"/>
              </w:rPr>
            </w:pPr>
            <w:r w:rsidRPr="00897BAE">
              <w:rPr>
                <w:b/>
                <w:bCs/>
                <w:sz w:val="22"/>
                <w:szCs w:val="22"/>
              </w:rPr>
              <w:t>----</w:t>
            </w:r>
          </w:p>
        </w:tc>
        <w:tc>
          <w:tcPr>
            <w:tcW w:w="1363" w:type="dxa"/>
            <w:tcBorders>
              <w:top w:val="nil"/>
              <w:left w:val="nil"/>
              <w:bottom w:val="single" w:sz="8" w:space="0" w:color="auto"/>
              <w:right w:val="single" w:sz="4" w:space="0" w:color="auto"/>
            </w:tcBorders>
            <w:shd w:val="clear" w:color="auto" w:fill="auto"/>
            <w:vAlign w:val="bottom"/>
            <w:hideMark/>
          </w:tcPr>
          <w:p w:rsidR="0053686A" w:rsidRPr="00897BAE" w:rsidRDefault="00E71A48" w:rsidP="00E71A48">
            <w:pPr>
              <w:jc w:val="center"/>
              <w:rPr>
                <w:b/>
                <w:bCs/>
                <w:sz w:val="22"/>
                <w:szCs w:val="22"/>
              </w:rPr>
            </w:pPr>
            <w:r>
              <w:rPr>
                <w:b/>
                <w:bCs/>
                <w:sz w:val="22"/>
                <w:szCs w:val="22"/>
              </w:rPr>
              <w:t>82,170</w:t>
            </w:r>
          </w:p>
        </w:tc>
        <w:tc>
          <w:tcPr>
            <w:tcW w:w="1240" w:type="dxa"/>
            <w:tcBorders>
              <w:top w:val="nil"/>
              <w:left w:val="nil"/>
              <w:bottom w:val="single" w:sz="8" w:space="0" w:color="auto"/>
              <w:right w:val="single" w:sz="4" w:space="0" w:color="auto"/>
            </w:tcBorders>
            <w:shd w:val="clear" w:color="auto" w:fill="auto"/>
            <w:noWrap/>
            <w:vAlign w:val="bottom"/>
            <w:hideMark/>
          </w:tcPr>
          <w:p w:rsidR="0053686A" w:rsidRPr="00897BAE" w:rsidRDefault="0053686A" w:rsidP="00E71A48">
            <w:pPr>
              <w:jc w:val="center"/>
              <w:rPr>
                <w:b/>
                <w:bCs/>
                <w:sz w:val="22"/>
                <w:szCs w:val="22"/>
              </w:rPr>
            </w:pPr>
            <w:r w:rsidRPr="00897BAE">
              <w:rPr>
                <w:b/>
                <w:bCs/>
                <w:sz w:val="22"/>
                <w:szCs w:val="22"/>
              </w:rPr>
              <w:t>----</w:t>
            </w:r>
          </w:p>
        </w:tc>
        <w:tc>
          <w:tcPr>
            <w:tcW w:w="1634" w:type="dxa"/>
            <w:tcBorders>
              <w:top w:val="nil"/>
              <w:left w:val="nil"/>
              <w:bottom w:val="single" w:sz="8" w:space="0" w:color="auto"/>
              <w:right w:val="single" w:sz="8" w:space="0" w:color="auto"/>
            </w:tcBorders>
            <w:shd w:val="clear" w:color="auto" w:fill="auto"/>
            <w:noWrap/>
            <w:vAlign w:val="bottom"/>
            <w:hideMark/>
          </w:tcPr>
          <w:p w:rsidR="0053686A" w:rsidRPr="00897BAE" w:rsidRDefault="00FD0210" w:rsidP="00E71A48">
            <w:pPr>
              <w:jc w:val="center"/>
              <w:rPr>
                <w:b/>
                <w:bCs/>
                <w:sz w:val="22"/>
                <w:szCs w:val="22"/>
              </w:rPr>
            </w:pPr>
            <w:r>
              <w:rPr>
                <w:b/>
                <w:bCs/>
                <w:sz w:val="22"/>
                <w:szCs w:val="22"/>
              </w:rPr>
              <w:t>121,784.1602</w:t>
            </w:r>
          </w:p>
        </w:tc>
      </w:tr>
    </w:tbl>
    <w:p w:rsidR="0053686A" w:rsidRPr="00445EC7" w:rsidRDefault="0053686A" w:rsidP="00186346">
      <w:pPr>
        <w:pStyle w:val="BodyText2"/>
        <w:spacing w:line="480" w:lineRule="auto"/>
        <w:ind w:right="-180"/>
        <w:contextualSpacing/>
        <w:rPr>
          <w:u w:val="none"/>
        </w:rPr>
      </w:pPr>
    </w:p>
    <w:p w:rsidR="000900FC" w:rsidRPr="00445EC7" w:rsidRDefault="000900FC" w:rsidP="000900FC">
      <w:pPr>
        <w:pStyle w:val="BodyText2"/>
        <w:spacing w:line="480" w:lineRule="auto"/>
        <w:ind w:right="-180"/>
        <w:contextualSpacing/>
        <w:rPr>
          <w:b/>
          <w:u w:val="none"/>
        </w:rPr>
      </w:pPr>
      <w:r w:rsidRPr="00445EC7">
        <w:rPr>
          <w:b/>
          <w:u w:val="none"/>
        </w:rPr>
        <w:t xml:space="preserve">II </w:t>
      </w:r>
      <w:r w:rsidRPr="00445EC7">
        <w:rPr>
          <w:b/>
          <w:u w:val="none"/>
        </w:rPr>
        <w:tab/>
        <w:t>Provide estimates of annualized costs to respondents for the hour burden for collections of information, identifying and using the appropriate wage categories</w:t>
      </w:r>
    </w:p>
    <w:p w:rsidR="000900FC" w:rsidRPr="00445EC7" w:rsidRDefault="000900FC" w:rsidP="00186346">
      <w:pPr>
        <w:pStyle w:val="BodyText2"/>
        <w:spacing w:line="480" w:lineRule="auto"/>
        <w:ind w:right="-180"/>
        <w:contextualSpacing/>
        <w:rPr>
          <w:u w:val="none"/>
        </w:rPr>
      </w:pPr>
    </w:p>
    <w:p w:rsidR="001C0EFD" w:rsidRPr="00445EC7" w:rsidRDefault="003E529E" w:rsidP="00186346">
      <w:pPr>
        <w:pStyle w:val="BodyText2"/>
        <w:spacing w:line="480" w:lineRule="auto"/>
        <w:ind w:right="-180"/>
        <w:contextualSpacing/>
        <w:rPr>
          <w:u w:val="none"/>
        </w:rPr>
      </w:pPr>
      <w:r w:rsidRPr="00445EC7">
        <w:rPr>
          <w:b/>
          <w:u w:val="none"/>
        </w:rPr>
        <w:t>Table A. 12.</w:t>
      </w:r>
      <w:r w:rsidR="0053686A">
        <w:rPr>
          <w:b/>
          <w:u w:val="none"/>
        </w:rPr>
        <w:t>4</w:t>
      </w:r>
      <w:r w:rsidR="0053686A" w:rsidRPr="00445EC7">
        <w:rPr>
          <w:b/>
          <w:u w:val="none"/>
        </w:rPr>
        <w:t xml:space="preserve">   </w:t>
      </w:r>
      <w:r w:rsidRPr="00445EC7">
        <w:rPr>
          <w:b/>
          <w:u w:val="none"/>
        </w:rPr>
        <w:t>Estimates of Annualized Cost to Respondents</w:t>
      </w:r>
      <w:r w:rsidRPr="00445EC7" w:rsidDel="003E529E">
        <w:rPr>
          <w:i/>
          <w:u w:val="none"/>
        </w:rPr>
        <w:t xml:space="preserve"> </w:t>
      </w:r>
    </w:p>
    <w:tbl>
      <w:tblPr>
        <w:tblW w:w="8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8"/>
        <w:gridCol w:w="1778"/>
        <w:gridCol w:w="1511"/>
        <w:gridCol w:w="1728"/>
        <w:gridCol w:w="2194"/>
      </w:tblGrid>
      <w:tr w:rsidR="00AB1D7B" w:rsidRPr="00445EC7" w:rsidTr="00AB1D7B">
        <w:trPr>
          <w:trHeight w:val="1047"/>
          <w:jc w:val="center"/>
        </w:trPr>
        <w:tc>
          <w:tcPr>
            <w:tcW w:w="1778" w:type="dxa"/>
            <w:shd w:val="clear" w:color="000000" w:fill="C0C0C0"/>
            <w:vAlign w:val="center"/>
          </w:tcPr>
          <w:p w:rsidR="00AB1D7B" w:rsidRPr="00445EC7" w:rsidRDefault="00AB1D7B" w:rsidP="00AB1D7B">
            <w:pPr>
              <w:jc w:val="center"/>
              <w:rPr>
                <w:bCs/>
                <w:sz w:val="20"/>
                <w:szCs w:val="20"/>
              </w:rPr>
            </w:pPr>
            <w:r w:rsidRPr="00AB1D7B">
              <w:rPr>
                <w:bCs/>
                <w:sz w:val="20"/>
                <w:szCs w:val="20"/>
              </w:rPr>
              <w:t>Type of Respondents</w:t>
            </w:r>
          </w:p>
        </w:tc>
        <w:tc>
          <w:tcPr>
            <w:tcW w:w="1778" w:type="dxa"/>
            <w:shd w:val="clear" w:color="000000" w:fill="C0C0C0"/>
            <w:vAlign w:val="center"/>
          </w:tcPr>
          <w:p w:rsidR="00AB1D7B" w:rsidRPr="00445EC7" w:rsidRDefault="00AB1D7B" w:rsidP="005A29F8">
            <w:pPr>
              <w:jc w:val="center"/>
              <w:rPr>
                <w:bCs/>
                <w:sz w:val="20"/>
                <w:szCs w:val="20"/>
              </w:rPr>
            </w:pPr>
            <w:r w:rsidRPr="00445EC7">
              <w:rPr>
                <w:bCs/>
                <w:sz w:val="20"/>
                <w:szCs w:val="20"/>
              </w:rPr>
              <w:t>Number</w:t>
            </w:r>
            <w:r w:rsidRPr="00445EC7">
              <w:rPr>
                <w:bCs/>
                <w:sz w:val="20"/>
                <w:szCs w:val="20"/>
              </w:rPr>
              <w:br/>
              <w:t>of</w:t>
            </w:r>
            <w:r w:rsidRPr="00445EC7">
              <w:rPr>
                <w:bCs/>
                <w:sz w:val="20"/>
                <w:szCs w:val="20"/>
              </w:rPr>
              <w:br/>
              <w:t>Negative Sample Cases Per Annum</w:t>
            </w:r>
          </w:p>
        </w:tc>
        <w:tc>
          <w:tcPr>
            <w:tcW w:w="1511" w:type="dxa"/>
            <w:shd w:val="clear" w:color="000000" w:fill="C0C0C0"/>
            <w:vAlign w:val="center"/>
          </w:tcPr>
          <w:p w:rsidR="00AB1D7B" w:rsidRPr="00445EC7" w:rsidRDefault="00AB1D7B" w:rsidP="005A29F8">
            <w:pPr>
              <w:jc w:val="center"/>
              <w:rPr>
                <w:bCs/>
                <w:sz w:val="20"/>
                <w:szCs w:val="20"/>
              </w:rPr>
            </w:pPr>
            <w:r w:rsidRPr="00445EC7">
              <w:rPr>
                <w:bCs/>
                <w:sz w:val="20"/>
                <w:szCs w:val="20"/>
              </w:rPr>
              <w:t>Average Time Per Response</w:t>
            </w:r>
          </w:p>
        </w:tc>
        <w:tc>
          <w:tcPr>
            <w:tcW w:w="1728" w:type="dxa"/>
            <w:shd w:val="clear" w:color="000000" w:fill="C0C0C0"/>
            <w:vAlign w:val="center"/>
          </w:tcPr>
          <w:p w:rsidR="00AB1D7B" w:rsidRPr="00445EC7" w:rsidRDefault="00AB1D7B" w:rsidP="005A29F8">
            <w:pPr>
              <w:jc w:val="center"/>
              <w:rPr>
                <w:bCs/>
                <w:sz w:val="20"/>
                <w:szCs w:val="20"/>
              </w:rPr>
            </w:pPr>
            <w:r w:rsidRPr="00445EC7">
              <w:rPr>
                <w:bCs/>
                <w:sz w:val="20"/>
                <w:szCs w:val="20"/>
              </w:rPr>
              <w:t xml:space="preserve">Hourly </w:t>
            </w:r>
            <w:r w:rsidRPr="00445EC7">
              <w:rPr>
                <w:bCs/>
                <w:sz w:val="20"/>
                <w:szCs w:val="20"/>
              </w:rPr>
              <w:br/>
              <w:t>Wage</w:t>
            </w:r>
            <w:r w:rsidRPr="00445EC7">
              <w:rPr>
                <w:bCs/>
                <w:sz w:val="20"/>
                <w:szCs w:val="20"/>
              </w:rPr>
              <w:br/>
              <w:t>Rate</w:t>
            </w:r>
          </w:p>
        </w:tc>
        <w:tc>
          <w:tcPr>
            <w:tcW w:w="2194" w:type="dxa"/>
            <w:shd w:val="clear" w:color="000000" w:fill="C0C0C0"/>
            <w:vAlign w:val="center"/>
          </w:tcPr>
          <w:p w:rsidR="00AB1D7B" w:rsidRPr="00445EC7" w:rsidRDefault="00AB1D7B" w:rsidP="005A29F8">
            <w:pPr>
              <w:jc w:val="center"/>
              <w:rPr>
                <w:bCs/>
                <w:sz w:val="20"/>
                <w:szCs w:val="20"/>
              </w:rPr>
            </w:pPr>
            <w:r w:rsidRPr="00445EC7">
              <w:rPr>
                <w:bCs/>
                <w:sz w:val="20"/>
                <w:szCs w:val="20"/>
              </w:rPr>
              <w:t>Total</w:t>
            </w:r>
          </w:p>
          <w:p w:rsidR="00AB1D7B" w:rsidRPr="00445EC7" w:rsidRDefault="00AB1D7B" w:rsidP="005A29F8">
            <w:pPr>
              <w:jc w:val="center"/>
              <w:rPr>
                <w:bCs/>
                <w:sz w:val="20"/>
                <w:szCs w:val="20"/>
              </w:rPr>
            </w:pPr>
            <w:r w:rsidRPr="00445EC7">
              <w:rPr>
                <w:bCs/>
                <w:sz w:val="20"/>
                <w:szCs w:val="20"/>
              </w:rPr>
              <w:t>Respondent</w:t>
            </w:r>
            <w:r w:rsidRPr="00445EC7">
              <w:rPr>
                <w:bCs/>
                <w:sz w:val="20"/>
                <w:szCs w:val="20"/>
              </w:rPr>
              <w:br/>
              <w:t>Cost</w:t>
            </w:r>
          </w:p>
        </w:tc>
      </w:tr>
      <w:tr w:rsidR="00AB1D7B" w:rsidRPr="00445EC7" w:rsidTr="00AB1D7B">
        <w:trPr>
          <w:trHeight w:val="889"/>
          <w:jc w:val="center"/>
        </w:trPr>
        <w:tc>
          <w:tcPr>
            <w:tcW w:w="1778" w:type="dxa"/>
            <w:vAlign w:val="center"/>
          </w:tcPr>
          <w:p w:rsidR="00AB1D7B" w:rsidRPr="00445EC7" w:rsidRDefault="00AB1D7B" w:rsidP="00AB1D7B">
            <w:pPr>
              <w:ind w:hanging="3"/>
              <w:jc w:val="center"/>
              <w:rPr>
                <w:bCs/>
                <w:sz w:val="20"/>
                <w:szCs w:val="20"/>
              </w:rPr>
            </w:pPr>
            <w:r w:rsidRPr="00445EC7">
              <w:rPr>
                <w:bCs/>
                <w:sz w:val="20"/>
                <w:szCs w:val="20"/>
              </w:rPr>
              <w:t>FNS -245</w:t>
            </w:r>
          </w:p>
          <w:p w:rsidR="00AB1D7B" w:rsidRDefault="00AB1D7B" w:rsidP="00AB1D7B">
            <w:pPr>
              <w:jc w:val="center"/>
              <w:rPr>
                <w:color w:val="000000"/>
                <w:sz w:val="18"/>
                <w:szCs w:val="18"/>
              </w:rPr>
            </w:pPr>
            <w:r w:rsidRPr="00445EC7">
              <w:rPr>
                <w:bCs/>
                <w:sz w:val="20"/>
                <w:szCs w:val="20"/>
              </w:rPr>
              <w:t>State Agencies</w:t>
            </w:r>
          </w:p>
        </w:tc>
        <w:tc>
          <w:tcPr>
            <w:tcW w:w="1778" w:type="dxa"/>
            <w:shd w:val="clear" w:color="auto" w:fill="auto"/>
            <w:noWrap/>
            <w:vAlign w:val="center"/>
          </w:tcPr>
          <w:p w:rsidR="00AB1D7B" w:rsidRPr="00445EC7" w:rsidRDefault="00AB1D7B" w:rsidP="005A29F8">
            <w:pPr>
              <w:jc w:val="center"/>
              <w:rPr>
                <w:sz w:val="18"/>
                <w:szCs w:val="18"/>
              </w:rPr>
            </w:pPr>
            <w:r>
              <w:rPr>
                <w:color w:val="000000"/>
                <w:sz w:val="18"/>
                <w:szCs w:val="18"/>
              </w:rPr>
              <w:t>41,085</w:t>
            </w:r>
          </w:p>
        </w:tc>
        <w:tc>
          <w:tcPr>
            <w:tcW w:w="1511" w:type="dxa"/>
            <w:shd w:val="clear" w:color="auto" w:fill="auto"/>
            <w:noWrap/>
            <w:vAlign w:val="center"/>
          </w:tcPr>
          <w:p w:rsidR="00AB1D7B" w:rsidRPr="00445EC7" w:rsidRDefault="00AB1D7B" w:rsidP="005A29F8">
            <w:pPr>
              <w:jc w:val="center"/>
              <w:rPr>
                <w:sz w:val="18"/>
                <w:szCs w:val="18"/>
              </w:rPr>
            </w:pPr>
            <w:r w:rsidRPr="00445EC7">
              <w:rPr>
                <w:sz w:val="18"/>
                <w:szCs w:val="18"/>
              </w:rPr>
              <w:t>2.9406</w:t>
            </w:r>
          </w:p>
        </w:tc>
        <w:tc>
          <w:tcPr>
            <w:tcW w:w="1728" w:type="dxa"/>
            <w:shd w:val="clear" w:color="000000" w:fill="FFFFFF"/>
            <w:noWrap/>
            <w:vAlign w:val="center"/>
          </w:tcPr>
          <w:p w:rsidR="00AB1D7B" w:rsidRPr="00445EC7" w:rsidRDefault="00AB1D7B" w:rsidP="00DE06FD">
            <w:pPr>
              <w:jc w:val="center"/>
              <w:rPr>
                <w:sz w:val="18"/>
                <w:szCs w:val="18"/>
              </w:rPr>
            </w:pPr>
            <w:r w:rsidRPr="00445EC7">
              <w:rPr>
                <w:color w:val="000000"/>
                <w:sz w:val="18"/>
                <w:szCs w:val="18"/>
              </w:rPr>
              <w:t>$</w:t>
            </w:r>
            <w:r>
              <w:rPr>
                <w:color w:val="000000"/>
                <w:sz w:val="18"/>
                <w:szCs w:val="18"/>
              </w:rPr>
              <w:t>13.19</w:t>
            </w:r>
          </w:p>
        </w:tc>
        <w:tc>
          <w:tcPr>
            <w:tcW w:w="2194" w:type="dxa"/>
            <w:shd w:val="clear" w:color="auto" w:fill="auto"/>
            <w:vAlign w:val="center"/>
          </w:tcPr>
          <w:p w:rsidR="00AB1D7B" w:rsidRPr="00445EC7" w:rsidRDefault="00AB1D7B" w:rsidP="00DE06FD">
            <w:pPr>
              <w:jc w:val="center"/>
              <w:rPr>
                <w:sz w:val="18"/>
                <w:szCs w:val="18"/>
              </w:rPr>
            </w:pPr>
            <w:r w:rsidRPr="00445EC7">
              <w:rPr>
                <w:color w:val="000000"/>
                <w:sz w:val="18"/>
                <w:szCs w:val="18"/>
              </w:rPr>
              <w:t>$</w:t>
            </w:r>
            <w:r>
              <w:rPr>
                <w:color w:val="000000"/>
                <w:sz w:val="18"/>
                <w:szCs w:val="18"/>
              </w:rPr>
              <w:t>1,593,543.93</w:t>
            </w:r>
          </w:p>
        </w:tc>
      </w:tr>
      <w:tr w:rsidR="00AB1D7B" w:rsidRPr="00445EC7" w:rsidTr="00AB1D7B">
        <w:trPr>
          <w:trHeight w:val="681"/>
          <w:jc w:val="center"/>
        </w:trPr>
        <w:tc>
          <w:tcPr>
            <w:tcW w:w="1778" w:type="dxa"/>
            <w:vAlign w:val="center"/>
          </w:tcPr>
          <w:p w:rsidR="00AB1D7B" w:rsidRPr="00445EC7" w:rsidRDefault="00AB1D7B" w:rsidP="00AB1D7B">
            <w:pPr>
              <w:ind w:hanging="3"/>
              <w:jc w:val="center"/>
              <w:rPr>
                <w:bCs/>
                <w:sz w:val="20"/>
                <w:szCs w:val="20"/>
              </w:rPr>
            </w:pPr>
            <w:r w:rsidRPr="00445EC7">
              <w:rPr>
                <w:bCs/>
                <w:sz w:val="20"/>
                <w:szCs w:val="20"/>
              </w:rPr>
              <w:t>FNS -245</w:t>
            </w:r>
          </w:p>
          <w:p w:rsidR="00AB1D7B" w:rsidRDefault="00AB1D7B" w:rsidP="00AB1D7B">
            <w:pPr>
              <w:jc w:val="center"/>
              <w:rPr>
                <w:sz w:val="18"/>
                <w:szCs w:val="18"/>
              </w:rPr>
            </w:pPr>
            <w:r w:rsidRPr="00445EC7">
              <w:rPr>
                <w:bCs/>
                <w:sz w:val="20"/>
                <w:szCs w:val="20"/>
              </w:rPr>
              <w:t>State Agencies</w:t>
            </w:r>
          </w:p>
        </w:tc>
        <w:tc>
          <w:tcPr>
            <w:tcW w:w="1778" w:type="dxa"/>
            <w:shd w:val="clear" w:color="auto" w:fill="auto"/>
            <w:noWrap/>
            <w:vAlign w:val="center"/>
          </w:tcPr>
          <w:p w:rsidR="00AB1D7B" w:rsidRPr="00445EC7" w:rsidRDefault="00AB1D7B" w:rsidP="005A29F8">
            <w:pPr>
              <w:jc w:val="center"/>
              <w:rPr>
                <w:sz w:val="18"/>
                <w:szCs w:val="18"/>
              </w:rPr>
            </w:pPr>
            <w:r>
              <w:rPr>
                <w:sz w:val="18"/>
                <w:szCs w:val="18"/>
              </w:rPr>
              <w:t>41,085</w:t>
            </w:r>
          </w:p>
        </w:tc>
        <w:tc>
          <w:tcPr>
            <w:tcW w:w="1511" w:type="dxa"/>
            <w:shd w:val="clear" w:color="auto" w:fill="auto"/>
            <w:noWrap/>
            <w:vAlign w:val="center"/>
          </w:tcPr>
          <w:p w:rsidR="00AB1D7B" w:rsidRPr="00445EC7" w:rsidRDefault="00AB1D7B" w:rsidP="005A29F8">
            <w:pPr>
              <w:jc w:val="center"/>
              <w:rPr>
                <w:sz w:val="18"/>
                <w:szCs w:val="18"/>
              </w:rPr>
            </w:pPr>
            <w:r w:rsidRPr="00445EC7">
              <w:rPr>
                <w:sz w:val="18"/>
                <w:szCs w:val="18"/>
              </w:rPr>
              <w:t>0.0236</w:t>
            </w:r>
          </w:p>
        </w:tc>
        <w:tc>
          <w:tcPr>
            <w:tcW w:w="1728" w:type="dxa"/>
            <w:shd w:val="clear" w:color="000000" w:fill="FFFFFF"/>
            <w:noWrap/>
            <w:vAlign w:val="center"/>
          </w:tcPr>
          <w:p w:rsidR="00AB1D7B" w:rsidRPr="00445EC7" w:rsidRDefault="00AB1D7B" w:rsidP="00DE06FD">
            <w:pPr>
              <w:jc w:val="center"/>
              <w:rPr>
                <w:sz w:val="18"/>
                <w:szCs w:val="18"/>
              </w:rPr>
            </w:pPr>
            <w:r w:rsidRPr="00445EC7">
              <w:rPr>
                <w:sz w:val="18"/>
                <w:szCs w:val="18"/>
              </w:rPr>
              <w:t>$</w:t>
            </w:r>
            <w:r>
              <w:rPr>
                <w:sz w:val="18"/>
                <w:szCs w:val="18"/>
              </w:rPr>
              <w:t>13.19</w:t>
            </w:r>
          </w:p>
        </w:tc>
        <w:tc>
          <w:tcPr>
            <w:tcW w:w="2194" w:type="dxa"/>
            <w:shd w:val="clear" w:color="auto" w:fill="auto"/>
            <w:vAlign w:val="center"/>
          </w:tcPr>
          <w:p w:rsidR="00AB1D7B" w:rsidRPr="00445EC7" w:rsidRDefault="00AB1D7B" w:rsidP="005A29F8">
            <w:pPr>
              <w:jc w:val="center"/>
              <w:rPr>
                <w:sz w:val="18"/>
                <w:szCs w:val="18"/>
              </w:rPr>
            </w:pPr>
            <w:r w:rsidRPr="00445EC7">
              <w:rPr>
                <w:sz w:val="18"/>
                <w:szCs w:val="18"/>
              </w:rPr>
              <w:t>$</w:t>
            </w:r>
            <w:r>
              <w:rPr>
                <w:sz w:val="18"/>
                <w:szCs w:val="18"/>
              </w:rPr>
              <w:t>12,789.10</w:t>
            </w:r>
          </w:p>
        </w:tc>
      </w:tr>
    </w:tbl>
    <w:p w:rsidR="00171841" w:rsidRPr="00445EC7" w:rsidRDefault="00171841" w:rsidP="00186346">
      <w:pPr>
        <w:pStyle w:val="BodyText2"/>
        <w:spacing w:line="480" w:lineRule="auto"/>
        <w:ind w:right="-180"/>
        <w:contextualSpacing/>
      </w:pPr>
    </w:p>
    <w:p w:rsidR="008F0A3E" w:rsidRPr="00445EC7" w:rsidRDefault="008F0A3E" w:rsidP="008F0A3E">
      <w:pPr>
        <w:spacing w:line="480" w:lineRule="auto"/>
      </w:pPr>
      <w:r w:rsidRPr="00445EC7">
        <w:t>The cost to the public is based on $</w:t>
      </w:r>
      <w:r w:rsidR="00DE06FD">
        <w:t>26.38</w:t>
      </w:r>
      <w:r w:rsidRPr="00445EC7">
        <w:t xml:space="preserve"> per hour.  The rate to State agencies after 50 percent reimbursement by FNS is $</w:t>
      </w:r>
      <w:r w:rsidR="00DE06FD">
        <w:t>13.19</w:t>
      </w:r>
      <w:r w:rsidRPr="00445EC7">
        <w:t>.  Based on these figures the estimated total cost to respondents for the reporting and recordkeeping burdens after FNS reimbursement is $</w:t>
      </w:r>
      <w:r w:rsidR="00DE06FD">
        <w:t>1,606,333.03</w:t>
      </w:r>
      <w:r w:rsidR="008B25D7">
        <w:t>.</w:t>
      </w:r>
    </w:p>
    <w:p w:rsidR="00030DA1" w:rsidRPr="00445EC7" w:rsidRDefault="00555057" w:rsidP="00030DA1">
      <w:pPr>
        <w:spacing w:line="480" w:lineRule="auto"/>
        <w:rPr>
          <w:color w:val="000000"/>
        </w:rPr>
      </w:pPr>
      <w:r w:rsidRPr="00445EC7">
        <w:rPr>
          <w:color w:val="000000"/>
        </w:rPr>
        <w:t xml:space="preserve"> </w:t>
      </w:r>
    </w:p>
    <w:p w:rsidR="00A1784D" w:rsidRPr="00445EC7" w:rsidRDefault="008F0A3E" w:rsidP="00186346">
      <w:pPr>
        <w:pStyle w:val="BodyText2"/>
        <w:spacing w:line="480" w:lineRule="auto"/>
        <w:ind w:right="-180"/>
        <w:contextualSpacing/>
        <w:rPr>
          <w:u w:val="none"/>
        </w:rPr>
      </w:pPr>
      <w:r w:rsidRPr="00445EC7">
        <w:rPr>
          <w:u w:val="none"/>
        </w:rPr>
        <w:lastRenderedPageBreak/>
        <w:t>To estimate public cost, FNS consulted with the U.S. Department of Labor’s May 20</w:t>
      </w:r>
      <w:r w:rsidR="00DE06FD">
        <w:rPr>
          <w:u w:val="none"/>
        </w:rPr>
        <w:t>12</w:t>
      </w:r>
      <w:r w:rsidRPr="00445EC7">
        <w:rPr>
          <w:u w:val="none"/>
        </w:rPr>
        <w:t xml:space="preserve"> Occupational and Wage statistics – 21-1029 Community and Social Services Occupations (</w:t>
      </w:r>
      <w:hyperlink r:id="rId8" w:history="1">
        <w:r w:rsidRPr="00445EC7">
          <w:rPr>
            <w:rStyle w:val="Hyperlink"/>
          </w:rPr>
          <w:t>http://www.bls.gov/oes/current/oes211029.htm</w:t>
        </w:r>
      </w:hyperlink>
      <w:r w:rsidRPr="00445EC7">
        <w:rPr>
          <w:u w:val="none"/>
        </w:rPr>
        <w:t>).</w:t>
      </w:r>
    </w:p>
    <w:p w:rsidR="008F0A3E" w:rsidRDefault="008F0A3E" w:rsidP="00186346">
      <w:pPr>
        <w:pStyle w:val="BodyText2"/>
        <w:spacing w:line="480" w:lineRule="auto"/>
        <w:ind w:right="-180"/>
        <w:contextualSpacing/>
        <w:rPr>
          <w:u w:val="none"/>
        </w:rPr>
      </w:pPr>
    </w:p>
    <w:p w:rsidR="00675F45" w:rsidRPr="00445EC7" w:rsidRDefault="00675F45" w:rsidP="00186346">
      <w:pPr>
        <w:pStyle w:val="BodyText2"/>
        <w:spacing w:line="480" w:lineRule="auto"/>
        <w:ind w:right="-180"/>
        <w:contextualSpacing/>
        <w:rPr>
          <w:u w:val="none"/>
        </w:rPr>
      </w:pPr>
    </w:p>
    <w:p w:rsidR="00A1784D" w:rsidRPr="00445EC7" w:rsidRDefault="00F304EE" w:rsidP="00186346">
      <w:pPr>
        <w:pStyle w:val="BodyText2"/>
        <w:numPr>
          <w:ilvl w:val="0"/>
          <w:numId w:val="10"/>
        </w:numPr>
        <w:tabs>
          <w:tab w:val="left" w:pos="-630"/>
        </w:tabs>
        <w:spacing w:line="480" w:lineRule="auto"/>
        <w:ind w:left="0" w:right="-180" w:firstLine="0"/>
        <w:contextualSpacing/>
        <w:rPr>
          <w:b/>
        </w:rPr>
      </w:pPr>
      <w:r w:rsidRPr="00445EC7">
        <w:rPr>
          <w:b/>
        </w:rPr>
        <w:t xml:space="preserve">Provide estimates of the total annual cost burden </w:t>
      </w:r>
      <w:r w:rsidR="00433048" w:rsidRPr="00445EC7">
        <w:rPr>
          <w:b/>
        </w:rPr>
        <w:t>to respondents</w:t>
      </w:r>
      <w:r w:rsidRPr="00445EC7">
        <w:rPr>
          <w:b/>
        </w:rPr>
        <w:t xml:space="preserve">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r w:rsidR="00A05197" w:rsidRPr="00445EC7">
        <w:rPr>
          <w:b/>
        </w:rPr>
        <w:t>:</w:t>
      </w:r>
    </w:p>
    <w:p w:rsidR="00720B47" w:rsidRPr="00445EC7" w:rsidRDefault="00720B47" w:rsidP="00720B47">
      <w:pPr>
        <w:pStyle w:val="BodyText2"/>
        <w:tabs>
          <w:tab w:val="left" w:pos="-630"/>
        </w:tabs>
        <w:spacing w:line="480" w:lineRule="auto"/>
        <w:ind w:right="-180"/>
        <w:contextualSpacing/>
        <w:rPr>
          <w:b/>
        </w:rPr>
      </w:pPr>
    </w:p>
    <w:p w:rsidR="003B5940" w:rsidRPr="00445EC7" w:rsidRDefault="00A1784D" w:rsidP="00186346">
      <w:pPr>
        <w:pStyle w:val="BodyText2"/>
        <w:spacing w:line="480" w:lineRule="auto"/>
        <w:ind w:right="-180"/>
        <w:contextualSpacing/>
        <w:rPr>
          <w:u w:val="none"/>
        </w:rPr>
      </w:pPr>
      <w:r w:rsidRPr="00445EC7">
        <w:rPr>
          <w:u w:val="none"/>
        </w:rPr>
        <w:t>There are no capital</w:t>
      </w:r>
      <w:r w:rsidR="00555057" w:rsidRPr="00445EC7">
        <w:rPr>
          <w:u w:val="none"/>
        </w:rPr>
        <w:t>/</w:t>
      </w:r>
      <w:r w:rsidRPr="00445EC7">
        <w:rPr>
          <w:u w:val="none"/>
        </w:rPr>
        <w:t xml:space="preserve">start-up </w:t>
      </w:r>
      <w:r w:rsidR="0089558F">
        <w:rPr>
          <w:u w:val="none"/>
        </w:rPr>
        <w:t xml:space="preserve">costs for this collection, but there is $150,000 in </w:t>
      </w:r>
      <w:r w:rsidR="00555057" w:rsidRPr="00445EC7">
        <w:rPr>
          <w:u w:val="none"/>
        </w:rPr>
        <w:t xml:space="preserve">ongoing operation/ </w:t>
      </w:r>
      <w:r w:rsidRPr="00445EC7">
        <w:rPr>
          <w:u w:val="none"/>
        </w:rPr>
        <w:t>maintenance cost</w:t>
      </w:r>
      <w:r w:rsidR="00555057" w:rsidRPr="00445EC7">
        <w:rPr>
          <w:u w:val="none"/>
        </w:rPr>
        <w:t>s</w:t>
      </w:r>
      <w:r w:rsidR="0089558F">
        <w:rPr>
          <w:u w:val="none"/>
        </w:rPr>
        <w:t xml:space="preserve"> annually</w:t>
      </w:r>
      <w:r w:rsidRPr="00445EC7">
        <w:rPr>
          <w:u w:val="none"/>
        </w:rPr>
        <w:t xml:space="preserve"> associated with this </w:t>
      </w:r>
      <w:r w:rsidR="00555057" w:rsidRPr="00445EC7">
        <w:rPr>
          <w:u w:val="none"/>
        </w:rPr>
        <w:t>information collection</w:t>
      </w:r>
      <w:r w:rsidR="003B5940" w:rsidRPr="00445EC7">
        <w:rPr>
          <w:u w:val="none"/>
        </w:rPr>
        <w:t>.</w:t>
      </w:r>
    </w:p>
    <w:p w:rsidR="00A1784D" w:rsidRPr="00445EC7" w:rsidRDefault="00A1784D" w:rsidP="00186346">
      <w:pPr>
        <w:pStyle w:val="BodyText2"/>
        <w:spacing w:line="480" w:lineRule="auto"/>
        <w:ind w:right="-180"/>
        <w:contextualSpacing/>
        <w:rPr>
          <w:b/>
          <w:u w:val="none"/>
        </w:rPr>
      </w:pPr>
    </w:p>
    <w:p w:rsidR="006105B8" w:rsidRPr="00445EC7" w:rsidRDefault="00F304EE" w:rsidP="006105B8">
      <w:pPr>
        <w:pStyle w:val="BodyText2"/>
        <w:numPr>
          <w:ilvl w:val="0"/>
          <w:numId w:val="10"/>
        </w:numPr>
        <w:spacing w:line="480" w:lineRule="auto"/>
        <w:ind w:left="0" w:right="-180" w:firstLine="0"/>
        <w:contextualSpacing/>
        <w:rPr>
          <w:u w:val="none"/>
        </w:rPr>
      </w:pPr>
      <w:r w:rsidRPr="00445EC7">
        <w:rPr>
          <w:b/>
        </w:rPr>
        <w:t>Provide estimates of annualized cost to the Federal government.  Also, provide a description of the method used to estimate cost and any other expense that would not have been incurred without this collection of information</w:t>
      </w:r>
      <w:r w:rsidR="00AE2E0F" w:rsidRPr="00445EC7">
        <w:rPr>
          <w:b/>
        </w:rPr>
        <w:t>:</w:t>
      </w:r>
      <w:r w:rsidR="00A1784D" w:rsidRPr="00445EC7">
        <w:rPr>
          <w:b/>
        </w:rPr>
        <w:t xml:space="preserve"> </w:t>
      </w:r>
    </w:p>
    <w:p w:rsidR="006105B8" w:rsidRPr="00445EC7" w:rsidRDefault="006105B8" w:rsidP="006105B8">
      <w:pPr>
        <w:pStyle w:val="BodyText2"/>
        <w:spacing w:line="480" w:lineRule="auto"/>
        <w:ind w:right="-180"/>
        <w:contextualSpacing/>
        <w:rPr>
          <w:u w:val="none"/>
        </w:rPr>
      </w:pPr>
    </w:p>
    <w:p w:rsidR="00555057" w:rsidRPr="00445EC7" w:rsidRDefault="00555057" w:rsidP="00555057">
      <w:pPr>
        <w:pStyle w:val="BodyText2"/>
        <w:spacing w:line="480" w:lineRule="auto"/>
      </w:pPr>
      <w:r w:rsidRPr="00445EC7">
        <w:rPr>
          <w:u w:val="none"/>
        </w:rPr>
        <w:t xml:space="preserve">The annual cost to the Federal Government to collect and use the data for the FNS-245 is estimated at </w:t>
      </w:r>
      <w:r w:rsidR="005E731C" w:rsidRPr="00121703">
        <w:rPr>
          <w:u w:val="none"/>
        </w:rPr>
        <w:t>$</w:t>
      </w:r>
      <w:r w:rsidR="006A761F" w:rsidRPr="00121703">
        <w:rPr>
          <w:u w:val="none"/>
        </w:rPr>
        <w:t>2,698,397.53</w:t>
      </w:r>
      <w:r w:rsidR="005E731C" w:rsidRPr="00445EC7">
        <w:rPr>
          <w:u w:val="none"/>
        </w:rPr>
        <w:t xml:space="preserve">  </w:t>
      </w:r>
      <w:r w:rsidRPr="00445EC7">
        <w:rPr>
          <w:u w:val="none"/>
        </w:rPr>
        <w:t xml:space="preserve">This cost includes (1) the cost of printing reporting forms; (2) reviewing and approving the data, data entry and retrieval; </w:t>
      </w:r>
      <w:r w:rsidR="005E731C" w:rsidRPr="00445EC7">
        <w:rPr>
          <w:u w:val="none"/>
        </w:rPr>
        <w:t xml:space="preserve">and </w:t>
      </w:r>
      <w:r w:rsidRPr="00445EC7">
        <w:rPr>
          <w:u w:val="none"/>
        </w:rPr>
        <w:t xml:space="preserve">(3) automated system </w:t>
      </w:r>
      <w:r w:rsidR="005161B0" w:rsidRPr="00445EC7">
        <w:rPr>
          <w:u w:val="none"/>
        </w:rPr>
        <w:t>costs</w:t>
      </w:r>
      <w:r w:rsidR="005E731C" w:rsidRPr="00445EC7">
        <w:rPr>
          <w:u w:val="none"/>
        </w:rPr>
        <w:t xml:space="preserve"> [</w:t>
      </w:r>
      <w:r w:rsidR="005161B0" w:rsidRPr="00445EC7">
        <w:rPr>
          <w:u w:val="none"/>
        </w:rPr>
        <w:t>includes</w:t>
      </w:r>
      <w:r w:rsidR="005E731C" w:rsidRPr="00445EC7">
        <w:rPr>
          <w:u w:val="none"/>
        </w:rPr>
        <w:t xml:space="preserve"> system monitoring and salaries].</w:t>
      </w:r>
      <w:r w:rsidRPr="00445EC7">
        <w:rPr>
          <w:u w:val="none"/>
        </w:rPr>
        <w:t xml:space="preserve">  These costs are operational costs only. </w:t>
      </w:r>
    </w:p>
    <w:p w:rsidR="00D31CB0" w:rsidRPr="00445EC7" w:rsidRDefault="00D31CB0" w:rsidP="00BA684D">
      <w:pPr>
        <w:pStyle w:val="BodyText2"/>
        <w:spacing w:line="480" w:lineRule="auto"/>
        <w:ind w:right="-180"/>
        <w:contextualSpacing/>
        <w:rPr>
          <w:u w:val="none"/>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1638"/>
        <w:gridCol w:w="1561"/>
        <w:gridCol w:w="1595"/>
        <w:gridCol w:w="1595"/>
        <w:gridCol w:w="1595"/>
        <w:gridCol w:w="1592"/>
      </w:tblGrid>
      <w:tr w:rsidR="00801A50" w:rsidRPr="00897BAE" w:rsidTr="007B3F18">
        <w:trPr>
          <w:trHeight w:val="933"/>
        </w:trPr>
        <w:tc>
          <w:tcPr>
            <w:tcW w:w="855" w:type="pct"/>
            <w:vAlign w:val="center"/>
          </w:tcPr>
          <w:p w:rsidR="00801A50" w:rsidRPr="00897BAE" w:rsidRDefault="00801A50" w:rsidP="00500B61">
            <w:pPr>
              <w:suppressAutoHyphens/>
              <w:jc w:val="center"/>
              <w:rPr>
                <w:b/>
                <w:sz w:val="22"/>
                <w:szCs w:val="22"/>
              </w:rPr>
            </w:pPr>
            <w:r w:rsidRPr="00897BAE">
              <w:rPr>
                <w:b/>
                <w:sz w:val="22"/>
                <w:szCs w:val="22"/>
              </w:rPr>
              <w:lastRenderedPageBreak/>
              <w:t>Requirement</w:t>
            </w:r>
          </w:p>
          <w:p w:rsidR="00801A50" w:rsidRPr="00897BAE" w:rsidRDefault="00801A50" w:rsidP="00500B61">
            <w:pPr>
              <w:suppressAutoHyphens/>
              <w:jc w:val="center"/>
              <w:rPr>
                <w:b/>
                <w:sz w:val="22"/>
                <w:szCs w:val="22"/>
              </w:rPr>
            </w:pPr>
            <w:r w:rsidRPr="00897BAE">
              <w:rPr>
                <w:b/>
                <w:sz w:val="22"/>
                <w:szCs w:val="22"/>
              </w:rPr>
              <w:t>Regional Offices</w:t>
            </w:r>
          </w:p>
        </w:tc>
        <w:tc>
          <w:tcPr>
            <w:tcW w:w="815" w:type="pct"/>
            <w:vAlign w:val="center"/>
          </w:tcPr>
          <w:p w:rsidR="00801A50" w:rsidRPr="00897BAE" w:rsidRDefault="00801A50" w:rsidP="00500B61">
            <w:pPr>
              <w:suppressAutoHyphens/>
              <w:jc w:val="center"/>
              <w:rPr>
                <w:b/>
                <w:sz w:val="22"/>
                <w:szCs w:val="22"/>
              </w:rPr>
            </w:pPr>
            <w:r w:rsidRPr="00897BAE">
              <w:rPr>
                <w:b/>
                <w:sz w:val="22"/>
                <w:szCs w:val="22"/>
              </w:rPr>
              <w:t>Total Responses Per Year</w:t>
            </w:r>
          </w:p>
        </w:tc>
        <w:tc>
          <w:tcPr>
            <w:tcW w:w="833" w:type="pct"/>
            <w:vAlign w:val="center"/>
          </w:tcPr>
          <w:p w:rsidR="00801A50" w:rsidRPr="00897BAE" w:rsidRDefault="00801A50" w:rsidP="00500B61">
            <w:pPr>
              <w:suppressAutoHyphens/>
              <w:jc w:val="center"/>
              <w:rPr>
                <w:b/>
                <w:sz w:val="22"/>
                <w:szCs w:val="22"/>
              </w:rPr>
            </w:pPr>
            <w:r w:rsidRPr="00897BAE">
              <w:rPr>
                <w:b/>
                <w:sz w:val="22"/>
                <w:szCs w:val="22"/>
              </w:rPr>
              <w:t>Hrs Per Response</w:t>
            </w:r>
          </w:p>
        </w:tc>
        <w:tc>
          <w:tcPr>
            <w:tcW w:w="833" w:type="pct"/>
            <w:vAlign w:val="center"/>
          </w:tcPr>
          <w:p w:rsidR="00801A50" w:rsidRPr="00897BAE" w:rsidRDefault="00801A50" w:rsidP="00500B61">
            <w:pPr>
              <w:suppressAutoHyphens/>
              <w:jc w:val="center"/>
              <w:rPr>
                <w:b/>
                <w:sz w:val="22"/>
                <w:szCs w:val="22"/>
              </w:rPr>
            </w:pPr>
            <w:r w:rsidRPr="00897BAE">
              <w:rPr>
                <w:b/>
                <w:sz w:val="22"/>
                <w:szCs w:val="22"/>
              </w:rPr>
              <w:t>Regional Office Respondents</w:t>
            </w:r>
            <w:r w:rsidR="006A761F">
              <w:rPr>
                <w:b/>
                <w:sz w:val="22"/>
                <w:szCs w:val="22"/>
              </w:rPr>
              <w:br/>
              <w:t>(46)</w:t>
            </w:r>
            <w:r w:rsidR="006A761F">
              <w:rPr>
                <w:b/>
                <w:sz w:val="22"/>
                <w:szCs w:val="22"/>
              </w:rPr>
              <w:br/>
            </w:r>
            <w:r w:rsidRPr="00897BAE">
              <w:rPr>
                <w:b/>
                <w:sz w:val="22"/>
                <w:szCs w:val="22"/>
              </w:rPr>
              <w:t xml:space="preserve"> per Response</w:t>
            </w:r>
          </w:p>
        </w:tc>
        <w:tc>
          <w:tcPr>
            <w:tcW w:w="833" w:type="pct"/>
            <w:vAlign w:val="center"/>
          </w:tcPr>
          <w:p w:rsidR="00801A50" w:rsidRPr="00897BAE" w:rsidRDefault="00801A50" w:rsidP="00500B61">
            <w:pPr>
              <w:suppressAutoHyphens/>
              <w:jc w:val="center"/>
              <w:rPr>
                <w:b/>
                <w:sz w:val="22"/>
                <w:szCs w:val="22"/>
              </w:rPr>
            </w:pPr>
            <w:r w:rsidRPr="00897BAE">
              <w:rPr>
                <w:b/>
                <w:sz w:val="22"/>
                <w:szCs w:val="22"/>
              </w:rPr>
              <w:t>Regional Ofc Salary</w:t>
            </w:r>
          </w:p>
          <w:p w:rsidR="00801A50" w:rsidRDefault="00801A50" w:rsidP="00500B61">
            <w:pPr>
              <w:suppressAutoHyphens/>
              <w:jc w:val="center"/>
              <w:rPr>
                <w:b/>
                <w:sz w:val="22"/>
                <w:szCs w:val="22"/>
              </w:rPr>
            </w:pPr>
            <w:r w:rsidRPr="00897BAE">
              <w:rPr>
                <w:b/>
                <w:sz w:val="22"/>
                <w:szCs w:val="22"/>
              </w:rPr>
              <w:t>GS11/2</w:t>
            </w:r>
          </w:p>
          <w:p w:rsidR="00801A50" w:rsidRPr="00897BAE" w:rsidRDefault="00801A50" w:rsidP="00500B61">
            <w:pPr>
              <w:suppressAutoHyphens/>
              <w:jc w:val="center"/>
              <w:rPr>
                <w:b/>
                <w:sz w:val="22"/>
                <w:szCs w:val="22"/>
              </w:rPr>
            </w:pPr>
            <w:r>
              <w:rPr>
                <w:b/>
                <w:sz w:val="22"/>
                <w:szCs w:val="22"/>
              </w:rPr>
              <w:t>2012</w:t>
            </w:r>
          </w:p>
        </w:tc>
        <w:tc>
          <w:tcPr>
            <w:tcW w:w="831" w:type="pct"/>
          </w:tcPr>
          <w:p w:rsidR="00801A50" w:rsidRPr="00897BAE" w:rsidRDefault="00801A50" w:rsidP="00500B61">
            <w:pPr>
              <w:suppressAutoHyphens/>
              <w:jc w:val="center"/>
              <w:rPr>
                <w:b/>
                <w:sz w:val="22"/>
                <w:szCs w:val="22"/>
              </w:rPr>
            </w:pPr>
          </w:p>
          <w:p w:rsidR="00801A50" w:rsidRPr="00897BAE" w:rsidRDefault="00801A50" w:rsidP="00500B61">
            <w:pPr>
              <w:suppressAutoHyphens/>
              <w:jc w:val="center"/>
              <w:rPr>
                <w:b/>
                <w:sz w:val="22"/>
                <w:szCs w:val="22"/>
              </w:rPr>
            </w:pPr>
            <w:r w:rsidRPr="00897BAE">
              <w:rPr>
                <w:b/>
                <w:sz w:val="22"/>
                <w:szCs w:val="22"/>
              </w:rPr>
              <w:t>Regional Office Salary Costs</w:t>
            </w:r>
          </w:p>
          <w:p w:rsidR="00801A50" w:rsidRPr="00897BAE" w:rsidRDefault="00801A50" w:rsidP="00500B61">
            <w:pPr>
              <w:suppressAutoHyphens/>
              <w:jc w:val="center"/>
              <w:rPr>
                <w:b/>
                <w:sz w:val="22"/>
                <w:szCs w:val="22"/>
              </w:rPr>
            </w:pPr>
          </w:p>
          <w:p w:rsidR="00801A50" w:rsidRPr="00897BAE" w:rsidRDefault="00801A50" w:rsidP="00500B61">
            <w:pPr>
              <w:suppressAutoHyphens/>
              <w:rPr>
                <w:b/>
                <w:sz w:val="22"/>
                <w:szCs w:val="22"/>
              </w:rPr>
            </w:pPr>
          </w:p>
        </w:tc>
      </w:tr>
      <w:tr w:rsidR="006950C5" w:rsidRPr="00897BAE" w:rsidTr="007B3F18">
        <w:trPr>
          <w:trHeight w:val="768"/>
        </w:trPr>
        <w:tc>
          <w:tcPr>
            <w:tcW w:w="855" w:type="pct"/>
            <w:vAlign w:val="center"/>
          </w:tcPr>
          <w:p w:rsidR="006950C5" w:rsidRPr="00897BAE" w:rsidRDefault="003645FA" w:rsidP="00500B61">
            <w:pPr>
              <w:suppressAutoHyphens/>
              <w:jc w:val="center"/>
              <w:rPr>
                <w:b/>
                <w:sz w:val="22"/>
                <w:szCs w:val="22"/>
              </w:rPr>
            </w:pPr>
            <w:r>
              <w:rPr>
                <w:b/>
                <w:sz w:val="22"/>
                <w:szCs w:val="22"/>
              </w:rPr>
              <w:t>Reviewing/</w:t>
            </w:r>
            <w:r>
              <w:rPr>
                <w:b/>
                <w:sz w:val="22"/>
                <w:szCs w:val="22"/>
              </w:rPr>
              <w:br/>
              <w:t>Approving</w:t>
            </w:r>
          </w:p>
        </w:tc>
        <w:tc>
          <w:tcPr>
            <w:tcW w:w="815" w:type="pct"/>
            <w:vAlign w:val="center"/>
          </w:tcPr>
          <w:p w:rsidR="006950C5" w:rsidRPr="00897BAE" w:rsidRDefault="006A761F" w:rsidP="00500B61">
            <w:pPr>
              <w:jc w:val="center"/>
              <w:rPr>
                <w:color w:val="000000"/>
                <w:sz w:val="22"/>
                <w:szCs w:val="22"/>
              </w:rPr>
            </w:pPr>
            <w:r>
              <w:rPr>
                <w:color w:val="000000"/>
                <w:sz w:val="22"/>
                <w:szCs w:val="22"/>
              </w:rPr>
              <w:t>12,215</w:t>
            </w:r>
          </w:p>
        </w:tc>
        <w:tc>
          <w:tcPr>
            <w:tcW w:w="833" w:type="pct"/>
            <w:vAlign w:val="center"/>
          </w:tcPr>
          <w:p w:rsidR="006950C5" w:rsidRPr="00897BAE" w:rsidRDefault="006950C5" w:rsidP="00500B61">
            <w:pPr>
              <w:jc w:val="center"/>
              <w:rPr>
                <w:color w:val="000000"/>
                <w:sz w:val="22"/>
                <w:szCs w:val="22"/>
              </w:rPr>
            </w:pPr>
            <w:r>
              <w:rPr>
                <w:color w:val="000000"/>
                <w:sz w:val="22"/>
                <w:szCs w:val="22"/>
              </w:rPr>
              <w:t>2.9406</w:t>
            </w:r>
          </w:p>
        </w:tc>
        <w:tc>
          <w:tcPr>
            <w:tcW w:w="833" w:type="pct"/>
            <w:vAlign w:val="center"/>
          </w:tcPr>
          <w:p w:rsidR="006950C5" w:rsidRPr="00897BAE" w:rsidRDefault="006A761F" w:rsidP="00500B61">
            <w:pPr>
              <w:jc w:val="center"/>
              <w:rPr>
                <w:color w:val="000000"/>
                <w:sz w:val="22"/>
                <w:szCs w:val="22"/>
              </w:rPr>
            </w:pPr>
            <w:r>
              <w:rPr>
                <w:color w:val="000000"/>
                <w:sz w:val="22"/>
                <w:szCs w:val="22"/>
              </w:rPr>
              <w:t>265.5434</w:t>
            </w:r>
          </w:p>
        </w:tc>
        <w:tc>
          <w:tcPr>
            <w:tcW w:w="833" w:type="pct"/>
            <w:vAlign w:val="center"/>
          </w:tcPr>
          <w:p w:rsidR="006950C5" w:rsidRPr="00897BAE" w:rsidRDefault="006950C5" w:rsidP="00500B61">
            <w:pPr>
              <w:jc w:val="center"/>
              <w:rPr>
                <w:color w:val="000000"/>
                <w:sz w:val="22"/>
                <w:szCs w:val="22"/>
              </w:rPr>
            </w:pPr>
            <w:r w:rsidRPr="00897BAE">
              <w:rPr>
                <w:color w:val="000000"/>
                <w:sz w:val="22"/>
                <w:szCs w:val="22"/>
              </w:rPr>
              <w:t>$24.90</w:t>
            </w:r>
          </w:p>
        </w:tc>
        <w:tc>
          <w:tcPr>
            <w:tcW w:w="831" w:type="pct"/>
            <w:vAlign w:val="center"/>
          </w:tcPr>
          <w:p w:rsidR="006950C5" w:rsidRPr="00897BAE" w:rsidRDefault="006A761F" w:rsidP="00500B61">
            <w:pPr>
              <w:jc w:val="center"/>
              <w:rPr>
                <w:color w:val="000000"/>
                <w:sz w:val="22"/>
                <w:szCs w:val="22"/>
              </w:rPr>
            </w:pPr>
            <w:r>
              <w:rPr>
                <w:color w:val="000000"/>
                <w:sz w:val="22"/>
                <w:szCs w:val="22"/>
              </w:rPr>
              <w:t>$894,393.78</w:t>
            </w:r>
          </w:p>
        </w:tc>
      </w:tr>
    </w:tbl>
    <w:p w:rsidR="009B10AC" w:rsidRDefault="009B10AC" w:rsidP="00BA684D">
      <w:pPr>
        <w:pStyle w:val="BodyText2"/>
        <w:spacing w:line="480" w:lineRule="auto"/>
        <w:ind w:right="-180"/>
        <w:contextualSpacing/>
        <w:rPr>
          <w:u w:val="none"/>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1815"/>
        <w:gridCol w:w="1352"/>
        <w:gridCol w:w="1679"/>
        <w:gridCol w:w="1571"/>
        <w:gridCol w:w="1571"/>
        <w:gridCol w:w="1571"/>
      </w:tblGrid>
      <w:tr w:rsidR="00801A50" w:rsidRPr="00897BAE" w:rsidTr="007B3F18">
        <w:trPr>
          <w:trHeight w:val="559"/>
        </w:trPr>
        <w:tc>
          <w:tcPr>
            <w:tcW w:w="949" w:type="pct"/>
            <w:vAlign w:val="center"/>
          </w:tcPr>
          <w:p w:rsidR="00801A50" w:rsidRPr="00897BAE" w:rsidRDefault="00801A50" w:rsidP="00500B61">
            <w:pPr>
              <w:suppressAutoHyphens/>
              <w:jc w:val="center"/>
              <w:rPr>
                <w:b/>
                <w:sz w:val="22"/>
                <w:szCs w:val="22"/>
              </w:rPr>
            </w:pPr>
            <w:r w:rsidRPr="00897BAE">
              <w:rPr>
                <w:b/>
                <w:sz w:val="22"/>
                <w:szCs w:val="22"/>
              </w:rPr>
              <w:t>Requirement</w:t>
            </w:r>
          </w:p>
          <w:p w:rsidR="00801A50" w:rsidRPr="00897BAE" w:rsidRDefault="00801A50" w:rsidP="003764E6">
            <w:pPr>
              <w:suppressAutoHyphens/>
              <w:jc w:val="center"/>
              <w:rPr>
                <w:b/>
                <w:sz w:val="22"/>
                <w:szCs w:val="22"/>
              </w:rPr>
            </w:pPr>
            <w:r w:rsidRPr="00897BAE">
              <w:rPr>
                <w:b/>
                <w:sz w:val="22"/>
                <w:szCs w:val="22"/>
              </w:rPr>
              <w:t>National Office</w:t>
            </w:r>
          </w:p>
        </w:tc>
        <w:tc>
          <w:tcPr>
            <w:tcW w:w="707" w:type="pct"/>
            <w:vAlign w:val="center"/>
          </w:tcPr>
          <w:p w:rsidR="00801A50" w:rsidRPr="00897BAE" w:rsidRDefault="00801A50" w:rsidP="00500B61">
            <w:pPr>
              <w:suppressAutoHyphens/>
              <w:jc w:val="center"/>
              <w:rPr>
                <w:b/>
                <w:sz w:val="22"/>
                <w:szCs w:val="22"/>
              </w:rPr>
            </w:pPr>
            <w:r w:rsidRPr="00897BAE">
              <w:rPr>
                <w:b/>
                <w:sz w:val="22"/>
                <w:szCs w:val="22"/>
              </w:rPr>
              <w:t>Total Responses Per Year</w:t>
            </w:r>
          </w:p>
        </w:tc>
        <w:tc>
          <w:tcPr>
            <w:tcW w:w="878" w:type="pct"/>
            <w:vAlign w:val="center"/>
          </w:tcPr>
          <w:p w:rsidR="00801A50" w:rsidRPr="00897BAE" w:rsidRDefault="00801A50" w:rsidP="00500B61">
            <w:pPr>
              <w:suppressAutoHyphens/>
              <w:jc w:val="center"/>
              <w:rPr>
                <w:b/>
                <w:sz w:val="22"/>
                <w:szCs w:val="22"/>
              </w:rPr>
            </w:pPr>
            <w:r w:rsidRPr="00897BAE">
              <w:rPr>
                <w:b/>
                <w:sz w:val="22"/>
                <w:szCs w:val="22"/>
              </w:rPr>
              <w:t>Hrs Per Response</w:t>
            </w:r>
          </w:p>
        </w:tc>
        <w:tc>
          <w:tcPr>
            <w:tcW w:w="822" w:type="pct"/>
            <w:vAlign w:val="center"/>
          </w:tcPr>
          <w:p w:rsidR="00801A50" w:rsidRPr="00897BAE" w:rsidRDefault="00801A50" w:rsidP="00500B61">
            <w:pPr>
              <w:suppressAutoHyphens/>
              <w:jc w:val="center"/>
              <w:rPr>
                <w:b/>
                <w:sz w:val="22"/>
                <w:szCs w:val="22"/>
              </w:rPr>
            </w:pPr>
            <w:r w:rsidRPr="00897BAE">
              <w:rPr>
                <w:b/>
                <w:sz w:val="22"/>
                <w:szCs w:val="22"/>
              </w:rPr>
              <w:t xml:space="preserve">N.O Respondents </w:t>
            </w:r>
            <w:r w:rsidR="006A761F">
              <w:rPr>
                <w:b/>
                <w:sz w:val="22"/>
                <w:szCs w:val="22"/>
              </w:rPr>
              <w:t xml:space="preserve">(1) </w:t>
            </w:r>
            <w:r w:rsidRPr="00897BAE">
              <w:rPr>
                <w:b/>
                <w:sz w:val="22"/>
                <w:szCs w:val="22"/>
              </w:rPr>
              <w:t>per Response</w:t>
            </w:r>
          </w:p>
        </w:tc>
        <w:tc>
          <w:tcPr>
            <w:tcW w:w="822" w:type="pct"/>
          </w:tcPr>
          <w:p w:rsidR="00801A50" w:rsidRPr="00897BAE" w:rsidRDefault="00801A50" w:rsidP="00500B61">
            <w:pPr>
              <w:suppressAutoHyphens/>
              <w:jc w:val="center"/>
              <w:rPr>
                <w:b/>
                <w:sz w:val="22"/>
                <w:szCs w:val="22"/>
              </w:rPr>
            </w:pPr>
            <w:r w:rsidRPr="00897BAE">
              <w:rPr>
                <w:b/>
                <w:sz w:val="22"/>
                <w:szCs w:val="22"/>
              </w:rPr>
              <w:t>N.O</w:t>
            </w:r>
            <w:r>
              <w:rPr>
                <w:b/>
                <w:sz w:val="22"/>
                <w:szCs w:val="22"/>
              </w:rPr>
              <w:t xml:space="preserve"> 2012</w:t>
            </w:r>
          </w:p>
          <w:p w:rsidR="00801A50" w:rsidRPr="00897BAE" w:rsidRDefault="00801A50" w:rsidP="00500B61">
            <w:pPr>
              <w:suppressAutoHyphens/>
              <w:jc w:val="center"/>
              <w:rPr>
                <w:b/>
                <w:sz w:val="22"/>
                <w:szCs w:val="22"/>
              </w:rPr>
            </w:pPr>
            <w:r w:rsidRPr="00897BAE">
              <w:rPr>
                <w:b/>
                <w:sz w:val="22"/>
                <w:szCs w:val="22"/>
              </w:rPr>
              <w:t>Salary</w:t>
            </w:r>
          </w:p>
          <w:p w:rsidR="00801A50" w:rsidRPr="00897BAE" w:rsidRDefault="00801A50" w:rsidP="00500B61">
            <w:pPr>
              <w:suppressAutoHyphens/>
              <w:jc w:val="center"/>
              <w:rPr>
                <w:b/>
                <w:sz w:val="22"/>
                <w:szCs w:val="22"/>
              </w:rPr>
            </w:pPr>
            <w:r w:rsidRPr="00897BAE">
              <w:rPr>
                <w:b/>
                <w:sz w:val="22"/>
                <w:szCs w:val="22"/>
              </w:rPr>
              <w:t>GS 12/6 base</w:t>
            </w:r>
          </w:p>
        </w:tc>
        <w:tc>
          <w:tcPr>
            <w:tcW w:w="822" w:type="pct"/>
          </w:tcPr>
          <w:p w:rsidR="00801A50" w:rsidRPr="00897BAE" w:rsidRDefault="00801A50" w:rsidP="00500B61">
            <w:pPr>
              <w:suppressAutoHyphens/>
              <w:jc w:val="center"/>
              <w:rPr>
                <w:b/>
                <w:sz w:val="22"/>
                <w:szCs w:val="22"/>
              </w:rPr>
            </w:pPr>
            <w:r w:rsidRPr="00897BAE">
              <w:rPr>
                <w:b/>
                <w:sz w:val="22"/>
                <w:szCs w:val="22"/>
              </w:rPr>
              <w:t>National Office Salary Costs</w:t>
            </w:r>
          </w:p>
        </w:tc>
      </w:tr>
      <w:tr w:rsidR="006950C5" w:rsidRPr="00897BAE" w:rsidTr="007B3F18">
        <w:trPr>
          <w:trHeight w:val="559"/>
        </w:trPr>
        <w:tc>
          <w:tcPr>
            <w:tcW w:w="949" w:type="pct"/>
            <w:vAlign w:val="center"/>
          </w:tcPr>
          <w:p w:rsidR="006950C5" w:rsidRPr="00897BAE" w:rsidRDefault="003645FA" w:rsidP="00500B61">
            <w:pPr>
              <w:suppressAutoHyphens/>
              <w:jc w:val="center"/>
              <w:rPr>
                <w:b/>
                <w:sz w:val="22"/>
                <w:szCs w:val="22"/>
              </w:rPr>
            </w:pPr>
            <w:r>
              <w:rPr>
                <w:b/>
                <w:sz w:val="22"/>
                <w:szCs w:val="22"/>
              </w:rPr>
              <w:t>Reviewing/</w:t>
            </w:r>
            <w:r>
              <w:rPr>
                <w:b/>
                <w:sz w:val="22"/>
                <w:szCs w:val="22"/>
              </w:rPr>
              <w:br/>
              <w:t>Approving</w:t>
            </w:r>
          </w:p>
        </w:tc>
        <w:tc>
          <w:tcPr>
            <w:tcW w:w="707" w:type="pct"/>
            <w:vAlign w:val="center"/>
          </w:tcPr>
          <w:p w:rsidR="006950C5" w:rsidRPr="00897BAE" w:rsidRDefault="006A761F" w:rsidP="00500B61">
            <w:pPr>
              <w:jc w:val="center"/>
              <w:rPr>
                <w:color w:val="000000"/>
                <w:sz w:val="22"/>
                <w:szCs w:val="22"/>
              </w:rPr>
            </w:pPr>
            <w:r>
              <w:rPr>
                <w:color w:val="000000"/>
                <w:sz w:val="22"/>
                <w:szCs w:val="22"/>
              </w:rPr>
              <w:t>461</w:t>
            </w:r>
          </w:p>
        </w:tc>
        <w:tc>
          <w:tcPr>
            <w:tcW w:w="878" w:type="pct"/>
            <w:vAlign w:val="center"/>
          </w:tcPr>
          <w:p w:rsidR="006950C5" w:rsidRPr="00897BAE" w:rsidRDefault="009C3BBF" w:rsidP="009C3BBF">
            <w:pPr>
              <w:jc w:val="center"/>
              <w:rPr>
                <w:color w:val="000000"/>
                <w:sz w:val="22"/>
                <w:szCs w:val="22"/>
              </w:rPr>
            </w:pPr>
            <w:r>
              <w:rPr>
                <w:color w:val="000000"/>
                <w:sz w:val="22"/>
                <w:szCs w:val="22"/>
              </w:rPr>
              <w:t>2.9406</w:t>
            </w:r>
          </w:p>
        </w:tc>
        <w:tc>
          <w:tcPr>
            <w:tcW w:w="822" w:type="pct"/>
            <w:vAlign w:val="center"/>
          </w:tcPr>
          <w:p w:rsidR="006950C5" w:rsidRPr="00897BAE" w:rsidRDefault="006A761F" w:rsidP="00500B61">
            <w:pPr>
              <w:jc w:val="center"/>
              <w:rPr>
                <w:color w:val="000000"/>
                <w:sz w:val="22"/>
                <w:szCs w:val="22"/>
              </w:rPr>
            </w:pPr>
            <w:r>
              <w:rPr>
                <w:color w:val="000000"/>
                <w:sz w:val="22"/>
                <w:szCs w:val="22"/>
              </w:rPr>
              <w:t>1</w:t>
            </w:r>
          </w:p>
        </w:tc>
        <w:tc>
          <w:tcPr>
            <w:tcW w:w="822" w:type="pct"/>
            <w:vAlign w:val="center"/>
          </w:tcPr>
          <w:p w:rsidR="006950C5" w:rsidRPr="00897BAE" w:rsidRDefault="006950C5" w:rsidP="00500B61">
            <w:pPr>
              <w:jc w:val="center"/>
              <w:rPr>
                <w:color w:val="000000"/>
                <w:sz w:val="22"/>
                <w:szCs w:val="22"/>
              </w:rPr>
            </w:pPr>
            <w:r w:rsidRPr="00897BAE">
              <w:rPr>
                <w:color w:val="000000"/>
                <w:sz w:val="22"/>
                <w:szCs w:val="22"/>
              </w:rPr>
              <w:t>$33.69</w:t>
            </w:r>
          </w:p>
        </w:tc>
        <w:tc>
          <w:tcPr>
            <w:tcW w:w="822" w:type="pct"/>
            <w:vAlign w:val="center"/>
          </w:tcPr>
          <w:p w:rsidR="006950C5" w:rsidRPr="00897BAE" w:rsidRDefault="006A761F" w:rsidP="00500B61">
            <w:pPr>
              <w:jc w:val="center"/>
              <w:rPr>
                <w:color w:val="000000"/>
                <w:sz w:val="22"/>
                <w:szCs w:val="22"/>
              </w:rPr>
            </w:pPr>
            <w:r>
              <w:rPr>
                <w:color w:val="000000"/>
                <w:sz w:val="22"/>
                <w:szCs w:val="22"/>
              </w:rPr>
              <w:t>$45,670.72</w:t>
            </w:r>
          </w:p>
        </w:tc>
      </w:tr>
    </w:tbl>
    <w:p w:rsidR="00801A50" w:rsidRPr="00445EC7" w:rsidRDefault="00801A50" w:rsidP="00BA684D">
      <w:pPr>
        <w:pStyle w:val="BodyText2"/>
        <w:spacing w:line="480" w:lineRule="auto"/>
        <w:ind w:right="-180"/>
        <w:contextualSpacing/>
        <w:rPr>
          <w:u w:val="none"/>
        </w:rPr>
      </w:pPr>
    </w:p>
    <w:tbl>
      <w:tblPr>
        <w:tblW w:w="9574" w:type="dxa"/>
        <w:tblInd w:w="18" w:type="dxa"/>
        <w:tblLayout w:type="fixed"/>
        <w:tblLook w:val="04A0"/>
      </w:tblPr>
      <w:tblGrid>
        <w:gridCol w:w="1595"/>
        <w:gridCol w:w="1596"/>
        <w:gridCol w:w="1596"/>
        <w:gridCol w:w="1595"/>
        <w:gridCol w:w="1596"/>
        <w:gridCol w:w="1596"/>
      </w:tblGrid>
      <w:tr w:rsidR="003645FA" w:rsidRPr="00A3711D" w:rsidTr="00500B61">
        <w:trPr>
          <w:trHeight w:val="1022"/>
        </w:trPr>
        <w:tc>
          <w:tcPr>
            <w:tcW w:w="1595" w:type="dxa"/>
            <w:tcBorders>
              <w:top w:val="single" w:sz="12" w:space="0" w:color="auto"/>
              <w:left w:val="single" w:sz="12" w:space="0" w:color="auto"/>
              <w:bottom w:val="single" w:sz="4" w:space="0" w:color="auto"/>
              <w:right w:val="single" w:sz="4" w:space="0" w:color="auto"/>
            </w:tcBorders>
            <w:shd w:val="clear" w:color="000000" w:fill="auto"/>
            <w:noWrap/>
            <w:vAlign w:val="center"/>
            <w:hideMark/>
          </w:tcPr>
          <w:p w:rsidR="003645FA" w:rsidRPr="00A3711D" w:rsidRDefault="003645FA" w:rsidP="00500B61">
            <w:pPr>
              <w:jc w:val="center"/>
              <w:rPr>
                <w:b/>
                <w:sz w:val="20"/>
                <w:szCs w:val="20"/>
              </w:rPr>
            </w:pPr>
            <w:r w:rsidRPr="00A3711D">
              <w:rPr>
                <w:b/>
                <w:sz w:val="20"/>
                <w:szCs w:val="20"/>
              </w:rPr>
              <w:t>Worksheet</w:t>
            </w:r>
          </w:p>
        </w:tc>
        <w:tc>
          <w:tcPr>
            <w:tcW w:w="1596" w:type="dxa"/>
            <w:tcBorders>
              <w:top w:val="single" w:sz="12" w:space="0" w:color="auto"/>
              <w:left w:val="nil"/>
              <w:bottom w:val="single" w:sz="4" w:space="0" w:color="auto"/>
              <w:right w:val="single" w:sz="4" w:space="0" w:color="auto"/>
            </w:tcBorders>
            <w:shd w:val="clear" w:color="000000" w:fill="auto"/>
            <w:vAlign w:val="center"/>
            <w:hideMark/>
          </w:tcPr>
          <w:p w:rsidR="003645FA" w:rsidRPr="00A3711D" w:rsidRDefault="003645FA" w:rsidP="00500B61">
            <w:pPr>
              <w:jc w:val="center"/>
              <w:rPr>
                <w:b/>
                <w:sz w:val="20"/>
                <w:szCs w:val="20"/>
              </w:rPr>
            </w:pPr>
            <w:r w:rsidRPr="00A3711D">
              <w:rPr>
                <w:b/>
                <w:sz w:val="20"/>
                <w:szCs w:val="20"/>
              </w:rPr>
              <w:t>Printing Costs</w:t>
            </w:r>
          </w:p>
        </w:tc>
        <w:tc>
          <w:tcPr>
            <w:tcW w:w="1596" w:type="dxa"/>
            <w:tcBorders>
              <w:top w:val="single" w:sz="12" w:space="0" w:color="auto"/>
              <w:left w:val="nil"/>
              <w:bottom w:val="single" w:sz="4" w:space="0" w:color="auto"/>
              <w:right w:val="single" w:sz="4" w:space="0" w:color="auto"/>
            </w:tcBorders>
            <w:shd w:val="clear" w:color="000000" w:fill="auto"/>
            <w:vAlign w:val="center"/>
            <w:hideMark/>
          </w:tcPr>
          <w:p w:rsidR="003645FA" w:rsidRPr="00A3711D" w:rsidRDefault="003645FA" w:rsidP="00500B61">
            <w:pPr>
              <w:jc w:val="center"/>
              <w:rPr>
                <w:b/>
                <w:sz w:val="20"/>
                <w:szCs w:val="20"/>
              </w:rPr>
            </w:pPr>
            <w:r w:rsidRPr="00A3711D">
              <w:rPr>
                <w:b/>
                <w:sz w:val="20"/>
                <w:szCs w:val="20"/>
              </w:rPr>
              <w:t>Federal Salary Costs from Reviewing/</w:t>
            </w:r>
            <w:r w:rsidRPr="00A3711D">
              <w:rPr>
                <w:b/>
                <w:sz w:val="20"/>
                <w:szCs w:val="20"/>
              </w:rPr>
              <w:br/>
              <w:t>Approving cases</w:t>
            </w:r>
          </w:p>
        </w:tc>
        <w:tc>
          <w:tcPr>
            <w:tcW w:w="1595" w:type="dxa"/>
            <w:tcBorders>
              <w:top w:val="single" w:sz="12" w:space="0" w:color="auto"/>
              <w:left w:val="nil"/>
              <w:bottom w:val="single" w:sz="4" w:space="0" w:color="auto"/>
              <w:right w:val="single" w:sz="4" w:space="0" w:color="auto"/>
            </w:tcBorders>
            <w:shd w:val="clear" w:color="000000" w:fill="auto"/>
            <w:vAlign w:val="center"/>
            <w:hideMark/>
          </w:tcPr>
          <w:p w:rsidR="003645FA" w:rsidRPr="00A3711D" w:rsidRDefault="003645FA" w:rsidP="00500B61">
            <w:pPr>
              <w:jc w:val="center"/>
              <w:rPr>
                <w:b/>
                <w:sz w:val="20"/>
                <w:szCs w:val="20"/>
              </w:rPr>
            </w:pPr>
            <w:r w:rsidRPr="00A3711D">
              <w:rPr>
                <w:b/>
                <w:sz w:val="20"/>
                <w:szCs w:val="20"/>
              </w:rPr>
              <w:t>Federal Share of SA’s costs</w:t>
            </w:r>
          </w:p>
        </w:tc>
        <w:tc>
          <w:tcPr>
            <w:tcW w:w="1596" w:type="dxa"/>
            <w:tcBorders>
              <w:top w:val="single" w:sz="12" w:space="0" w:color="auto"/>
              <w:left w:val="nil"/>
              <w:bottom w:val="single" w:sz="4" w:space="0" w:color="auto"/>
              <w:right w:val="single" w:sz="4" w:space="0" w:color="auto"/>
            </w:tcBorders>
            <w:shd w:val="clear" w:color="000000" w:fill="auto"/>
            <w:vAlign w:val="center"/>
            <w:hideMark/>
          </w:tcPr>
          <w:p w:rsidR="003645FA" w:rsidRPr="00A3711D" w:rsidRDefault="003645FA" w:rsidP="00500B61">
            <w:pPr>
              <w:jc w:val="center"/>
              <w:rPr>
                <w:b/>
                <w:sz w:val="20"/>
                <w:szCs w:val="20"/>
              </w:rPr>
            </w:pPr>
            <w:r w:rsidRPr="00A3711D">
              <w:rPr>
                <w:b/>
                <w:sz w:val="20"/>
                <w:szCs w:val="20"/>
              </w:rPr>
              <w:t xml:space="preserve">Automated System Costs </w:t>
            </w:r>
          </w:p>
          <w:p w:rsidR="003645FA" w:rsidRPr="00A3711D" w:rsidRDefault="003645FA" w:rsidP="00500B61">
            <w:pPr>
              <w:jc w:val="center"/>
              <w:rPr>
                <w:b/>
                <w:sz w:val="20"/>
                <w:szCs w:val="20"/>
              </w:rPr>
            </w:pPr>
            <w:r w:rsidRPr="00A3711D">
              <w:rPr>
                <w:b/>
                <w:sz w:val="16"/>
                <w:szCs w:val="20"/>
              </w:rPr>
              <w:t>(incl. Monitoring)</w:t>
            </w:r>
          </w:p>
        </w:tc>
        <w:tc>
          <w:tcPr>
            <w:tcW w:w="1596" w:type="dxa"/>
            <w:tcBorders>
              <w:top w:val="single" w:sz="12" w:space="0" w:color="auto"/>
              <w:left w:val="nil"/>
              <w:bottom w:val="single" w:sz="4" w:space="0" w:color="auto"/>
              <w:right w:val="single" w:sz="12" w:space="0" w:color="auto"/>
            </w:tcBorders>
            <w:shd w:val="clear" w:color="000000" w:fill="auto"/>
            <w:vAlign w:val="center"/>
            <w:hideMark/>
          </w:tcPr>
          <w:p w:rsidR="003645FA" w:rsidRPr="00A3711D" w:rsidRDefault="003645FA" w:rsidP="00500B61">
            <w:pPr>
              <w:jc w:val="center"/>
              <w:rPr>
                <w:b/>
                <w:sz w:val="20"/>
                <w:szCs w:val="20"/>
              </w:rPr>
            </w:pPr>
            <w:r w:rsidRPr="00A3711D">
              <w:rPr>
                <w:b/>
                <w:sz w:val="20"/>
                <w:szCs w:val="20"/>
              </w:rPr>
              <w:t>Total Federal Costs</w:t>
            </w:r>
          </w:p>
        </w:tc>
      </w:tr>
      <w:tr w:rsidR="003645FA" w:rsidRPr="00933B12" w:rsidTr="00500B61">
        <w:trPr>
          <w:trHeight w:val="273"/>
        </w:trPr>
        <w:tc>
          <w:tcPr>
            <w:tcW w:w="1595" w:type="dxa"/>
            <w:tcBorders>
              <w:top w:val="nil"/>
              <w:left w:val="single" w:sz="12" w:space="0" w:color="auto"/>
              <w:bottom w:val="single" w:sz="12" w:space="0" w:color="auto"/>
              <w:right w:val="single" w:sz="4" w:space="0" w:color="auto"/>
            </w:tcBorders>
            <w:shd w:val="clear" w:color="auto" w:fill="auto"/>
            <w:noWrap/>
            <w:vAlign w:val="center"/>
            <w:hideMark/>
          </w:tcPr>
          <w:p w:rsidR="003645FA" w:rsidRPr="00933B12" w:rsidRDefault="003645FA" w:rsidP="00500B61">
            <w:pPr>
              <w:jc w:val="center"/>
              <w:rPr>
                <w:sz w:val="20"/>
                <w:szCs w:val="20"/>
              </w:rPr>
            </w:pPr>
            <w:r w:rsidRPr="00933B12">
              <w:rPr>
                <w:sz w:val="20"/>
                <w:szCs w:val="20"/>
              </w:rPr>
              <w:t>FNS-245</w:t>
            </w:r>
          </w:p>
        </w:tc>
        <w:tc>
          <w:tcPr>
            <w:tcW w:w="1596" w:type="dxa"/>
            <w:tcBorders>
              <w:top w:val="nil"/>
              <w:left w:val="nil"/>
              <w:bottom w:val="single" w:sz="12" w:space="0" w:color="auto"/>
              <w:right w:val="single" w:sz="4" w:space="0" w:color="auto"/>
            </w:tcBorders>
            <w:shd w:val="clear" w:color="auto" w:fill="auto"/>
            <w:vAlign w:val="center"/>
            <w:hideMark/>
          </w:tcPr>
          <w:p w:rsidR="003645FA" w:rsidRPr="00933B12" w:rsidRDefault="003645FA" w:rsidP="00500B61">
            <w:pPr>
              <w:jc w:val="center"/>
              <w:rPr>
                <w:sz w:val="20"/>
                <w:szCs w:val="20"/>
              </w:rPr>
            </w:pPr>
            <w:r w:rsidRPr="00933B12">
              <w:rPr>
                <w:sz w:val="20"/>
                <w:szCs w:val="20"/>
              </w:rPr>
              <w:t>$2,000</w:t>
            </w:r>
          </w:p>
        </w:tc>
        <w:tc>
          <w:tcPr>
            <w:tcW w:w="1596" w:type="dxa"/>
            <w:tcBorders>
              <w:top w:val="nil"/>
              <w:left w:val="nil"/>
              <w:bottom w:val="single" w:sz="12" w:space="0" w:color="auto"/>
              <w:right w:val="single" w:sz="4" w:space="0" w:color="auto"/>
            </w:tcBorders>
            <w:shd w:val="clear" w:color="auto" w:fill="auto"/>
            <w:vAlign w:val="center"/>
          </w:tcPr>
          <w:p w:rsidR="003645FA" w:rsidRPr="00933B12" w:rsidRDefault="006A761F" w:rsidP="00500B61">
            <w:pPr>
              <w:jc w:val="center"/>
              <w:rPr>
                <w:sz w:val="20"/>
                <w:szCs w:val="20"/>
              </w:rPr>
            </w:pPr>
            <w:r>
              <w:rPr>
                <w:sz w:val="20"/>
                <w:szCs w:val="20"/>
              </w:rPr>
              <w:t>$940,064.50</w:t>
            </w:r>
          </w:p>
        </w:tc>
        <w:tc>
          <w:tcPr>
            <w:tcW w:w="1595" w:type="dxa"/>
            <w:tcBorders>
              <w:top w:val="nil"/>
              <w:left w:val="nil"/>
              <w:bottom w:val="single" w:sz="12" w:space="0" w:color="auto"/>
              <w:right w:val="single" w:sz="4" w:space="0" w:color="auto"/>
            </w:tcBorders>
            <w:shd w:val="clear" w:color="auto" w:fill="auto"/>
            <w:vAlign w:val="center"/>
          </w:tcPr>
          <w:p w:rsidR="003645FA" w:rsidRPr="00933B12" w:rsidRDefault="003645FA" w:rsidP="00500B61">
            <w:pPr>
              <w:jc w:val="center"/>
              <w:rPr>
                <w:sz w:val="20"/>
                <w:szCs w:val="20"/>
              </w:rPr>
            </w:pPr>
            <w:r w:rsidRPr="00B2281D">
              <w:rPr>
                <w:sz w:val="20"/>
                <w:szCs w:val="20"/>
              </w:rPr>
              <w:t>1,606,333.03</w:t>
            </w:r>
          </w:p>
        </w:tc>
        <w:tc>
          <w:tcPr>
            <w:tcW w:w="1596" w:type="dxa"/>
            <w:tcBorders>
              <w:top w:val="nil"/>
              <w:left w:val="nil"/>
              <w:bottom w:val="single" w:sz="12" w:space="0" w:color="auto"/>
              <w:right w:val="single" w:sz="4" w:space="0" w:color="auto"/>
            </w:tcBorders>
            <w:shd w:val="clear" w:color="auto" w:fill="auto"/>
            <w:vAlign w:val="center"/>
          </w:tcPr>
          <w:p w:rsidR="003645FA" w:rsidRPr="00933B12" w:rsidRDefault="003645FA" w:rsidP="00500B61">
            <w:pPr>
              <w:jc w:val="center"/>
              <w:rPr>
                <w:sz w:val="20"/>
                <w:szCs w:val="20"/>
              </w:rPr>
            </w:pPr>
            <w:r w:rsidRPr="00933B12">
              <w:rPr>
                <w:sz w:val="20"/>
                <w:szCs w:val="20"/>
              </w:rPr>
              <w:t>$150,000</w:t>
            </w:r>
          </w:p>
        </w:tc>
        <w:tc>
          <w:tcPr>
            <w:tcW w:w="1596" w:type="dxa"/>
            <w:tcBorders>
              <w:top w:val="nil"/>
              <w:left w:val="nil"/>
              <w:bottom w:val="single" w:sz="12" w:space="0" w:color="auto"/>
              <w:right w:val="single" w:sz="12" w:space="0" w:color="auto"/>
            </w:tcBorders>
            <w:shd w:val="clear" w:color="auto" w:fill="auto"/>
            <w:vAlign w:val="center"/>
            <w:hideMark/>
          </w:tcPr>
          <w:p w:rsidR="003645FA" w:rsidRPr="00933B12" w:rsidRDefault="006A761F" w:rsidP="00500B61">
            <w:pPr>
              <w:jc w:val="center"/>
              <w:rPr>
                <w:sz w:val="20"/>
                <w:szCs w:val="20"/>
              </w:rPr>
            </w:pPr>
            <w:r>
              <w:rPr>
                <w:sz w:val="20"/>
                <w:szCs w:val="20"/>
              </w:rPr>
              <w:t>$</w:t>
            </w:r>
            <w:r w:rsidRPr="006A761F">
              <w:rPr>
                <w:sz w:val="20"/>
                <w:szCs w:val="20"/>
              </w:rPr>
              <w:t xml:space="preserve">2,698,397.53  </w:t>
            </w:r>
          </w:p>
        </w:tc>
      </w:tr>
    </w:tbl>
    <w:p w:rsidR="00FD0417" w:rsidRPr="00445EC7" w:rsidRDefault="00FD0417" w:rsidP="00BA684D">
      <w:pPr>
        <w:pStyle w:val="BodyText2"/>
        <w:spacing w:line="480" w:lineRule="auto"/>
        <w:ind w:right="-180"/>
        <w:contextualSpacing/>
        <w:rPr>
          <w:u w:val="none"/>
        </w:rPr>
      </w:pPr>
    </w:p>
    <w:p w:rsidR="00A1784D" w:rsidRPr="00445EC7" w:rsidRDefault="00F304EE" w:rsidP="00F304EE">
      <w:pPr>
        <w:pStyle w:val="BodyText2"/>
        <w:numPr>
          <w:ilvl w:val="0"/>
          <w:numId w:val="10"/>
        </w:numPr>
        <w:tabs>
          <w:tab w:val="left" w:pos="90"/>
        </w:tabs>
        <w:spacing w:line="480" w:lineRule="auto"/>
        <w:ind w:left="0" w:right="-187" w:firstLine="0"/>
        <w:contextualSpacing/>
        <w:rPr>
          <w:b/>
        </w:rPr>
      </w:pPr>
      <w:r w:rsidRPr="00445EC7">
        <w:rPr>
          <w:b/>
        </w:rPr>
        <w:t>Explain the reasons for any program changes or adjustments reported in Items 13 or 14 of the OMB Form 83-i</w:t>
      </w:r>
    </w:p>
    <w:p w:rsidR="00350A86" w:rsidRPr="00445EC7" w:rsidRDefault="00350A86" w:rsidP="00350A86">
      <w:pPr>
        <w:pStyle w:val="BodyText2"/>
        <w:tabs>
          <w:tab w:val="left" w:pos="90"/>
        </w:tabs>
        <w:spacing w:line="480" w:lineRule="auto"/>
        <w:ind w:right="-180"/>
        <w:contextualSpacing/>
        <w:rPr>
          <w:b/>
        </w:rPr>
      </w:pPr>
    </w:p>
    <w:p w:rsidR="000E266A" w:rsidRPr="000E266A" w:rsidRDefault="000E266A" w:rsidP="000E266A">
      <w:pPr>
        <w:spacing w:line="480" w:lineRule="auto"/>
      </w:pPr>
      <w:r w:rsidRPr="000E266A">
        <w:t>This is a revision of a currently approved information collection.  The total Case and Procedural SNAP case selection increased from 40,775 Negative cases in FY 2010 to 41,085 case and procedural case action cases in FY 2012.  The overall reporting and recordkeeping burden associated with the completion of the FNS-245 has increased from 120,812 hours to 121,784 hours the number of responses increased from 40,775 in FY 2010 to 41,085 cases in FY 2012..  This resulted in program adjustment of approximately 972 burden hours caused by an increase in the number of cases.</w:t>
      </w:r>
    </w:p>
    <w:p w:rsidR="000E266A" w:rsidRPr="00445EC7" w:rsidRDefault="000E266A" w:rsidP="00940742">
      <w:pPr>
        <w:spacing w:line="480" w:lineRule="auto"/>
      </w:pPr>
    </w:p>
    <w:p w:rsidR="00F64FEA" w:rsidRPr="00445EC7" w:rsidRDefault="00F64FEA" w:rsidP="00186346">
      <w:pPr>
        <w:pStyle w:val="BodyText2"/>
        <w:spacing w:line="480" w:lineRule="auto"/>
        <w:ind w:right="-180"/>
        <w:contextualSpacing/>
        <w:rPr>
          <w:u w:val="none"/>
        </w:rPr>
      </w:pPr>
    </w:p>
    <w:p w:rsidR="00A1784D" w:rsidRPr="00445EC7" w:rsidRDefault="00F304EE" w:rsidP="00186346">
      <w:pPr>
        <w:pStyle w:val="BodyText2"/>
        <w:numPr>
          <w:ilvl w:val="0"/>
          <w:numId w:val="10"/>
        </w:numPr>
        <w:spacing w:line="480" w:lineRule="auto"/>
        <w:ind w:left="90" w:right="-180" w:firstLine="0"/>
        <w:contextualSpacing/>
        <w:rPr>
          <w:b/>
        </w:rPr>
      </w:pPr>
      <w:r w:rsidRPr="00445EC7">
        <w:rPr>
          <w:b/>
        </w:rPr>
        <w:t>For collections of information whose results are planned to be published, outline plans for tabulation and publication</w:t>
      </w:r>
      <w:r w:rsidR="00AE2E0F" w:rsidRPr="00445EC7">
        <w:rPr>
          <w:b/>
        </w:rPr>
        <w:t>:</w:t>
      </w:r>
    </w:p>
    <w:p w:rsidR="00601B79" w:rsidRPr="00445EC7" w:rsidRDefault="00601B79" w:rsidP="00601B79">
      <w:pPr>
        <w:pStyle w:val="BodyText2"/>
        <w:spacing w:line="480" w:lineRule="auto"/>
        <w:ind w:right="-180"/>
        <w:contextualSpacing/>
        <w:rPr>
          <w:b/>
        </w:rPr>
      </w:pPr>
    </w:p>
    <w:p w:rsidR="001C0EFD" w:rsidRPr="00445EC7" w:rsidRDefault="001C0EFD" w:rsidP="00186346">
      <w:pPr>
        <w:pStyle w:val="BodyText2"/>
        <w:spacing w:line="480" w:lineRule="auto"/>
        <w:ind w:right="-180"/>
        <w:contextualSpacing/>
        <w:rPr>
          <w:u w:val="none"/>
        </w:rPr>
      </w:pPr>
      <w:r w:rsidRPr="00445EC7">
        <w:rPr>
          <w:u w:val="none"/>
        </w:rPr>
        <w:t>Data tabulation is achieved through established computer programs.</w:t>
      </w:r>
    </w:p>
    <w:p w:rsidR="001C0EFD" w:rsidRPr="00445EC7" w:rsidRDefault="001C0EFD" w:rsidP="00186346">
      <w:pPr>
        <w:pStyle w:val="BodyText2"/>
        <w:spacing w:line="480" w:lineRule="auto"/>
        <w:ind w:right="-180"/>
        <w:contextualSpacing/>
        <w:rPr>
          <w:u w:val="none"/>
        </w:rPr>
      </w:pPr>
    </w:p>
    <w:p w:rsidR="00387B81" w:rsidRPr="00445EC7" w:rsidRDefault="001C0EFD" w:rsidP="00387B81">
      <w:pPr>
        <w:pStyle w:val="BodyText2"/>
        <w:spacing w:line="480" w:lineRule="auto"/>
        <w:ind w:right="-180"/>
        <w:contextualSpacing/>
        <w:rPr>
          <w:u w:val="none"/>
        </w:rPr>
      </w:pPr>
      <w:r w:rsidRPr="00445EC7">
        <w:rPr>
          <w:u w:val="none"/>
        </w:rPr>
        <w:t xml:space="preserve">Data included in this collection of information is gathered throughout each annual (fiscal year) review period.  The data is then published in </w:t>
      </w:r>
      <w:r w:rsidR="00954625" w:rsidRPr="00445EC7">
        <w:rPr>
          <w:u w:val="none"/>
        </w:rPr>
        <w:t>the SNAP</w:t>
      </w:r>
      <w:r w:rsidRPr="00445EC7">
        <w:rPr>
          <w:u w:val="none"/>
        </w:rPr>
        <w:t xml:space="preserve"> QC Annual Report.  This report presents official </w:t>
      </w:r>
      <w:r w:rsidR="00BE6E08" w:rsidRPr="00445EC7">
        <w:rPr>
          <w:u w:val="none"/>
        </w:rPr>
        <w:t>QC</w:t>
      </w:r>
      <w:r w:rsidRPr="00445EC7">
        <w:rPr>
          <w:u w:val="none"/>
        </w:rPr>
        <w:t xml:space="preserve"> error rates, and related data for the United States, individual </w:t>
      </w:r>
      <w:r w:rsidR="00BF71FC" w:rsidRPr="00445EC7">
        <w:rPr>
          <w:u w:val="none"/>
        </w:rPr>
        <w:t>s</w:t>
      </w:r>
      <w:r w:rsidRPr="00445EC7">
        <w:rPr>
          <w:u w:val="none"/>
        </w:rPr>
        <w:t xml:space="preserve">tates, Guam, the Virgin Islands and the District of </w:t>
      </w:r>
      <w:r w:rsidRPr="002717FF">
        <w:rPr>
          <w:u w:val="none"/>
        </w:rPr>
        <w:t xml:space="preserve">Columbia.  </w:t>
      </w:r>
      <w:r w:rsidR="005D2194" w:rsidRPr="002717FF">
        <w:rPr>
          <w:u w:val="none"/>
        </w:rPr>
        <w:t>The SNAP QC Annual Report will be published approximately one year after the end of each annual review period and is sent</w:t>
      </w:r>
      <w:r w:rsidR="005D2194" w:rsidRPr="002717FF" w:rsidDel="005D2194">
        <w:rPr>
          <w:u w:val="none"/>
        </w:rPr>
        <w:t xml:space="preserve"> </w:t>
      </w:r>
      <w:r w:rsidR="00387B81" w:rsidRPr="002717FF">
        <w:rPr>
          <w:u w:val="none"/>
        </w:rPr>
        <w:t>to</w:t>
      </w:r>
      <w:r w:rsidR="00387B81" w:rsidRPr="00445EC7">
        <w:rPr>
          <w:u w:val="none"/>
        </w:rPr>
        <w:t xml:space="preserve"> each region and state electronically though our PartnerWeb application.</w:t>
      </w:r>
    </w:p>
    <w:p w:rsidR="007E74E7" w:rsidRDefault="007E74E7" w:rsidP="007E74E7">
      <w:pPr>
        <w:pStyle w:val="BodyText2"/>
        <w:spacing w:line="480" w:lineRule="auto"/>
        <w:ind w:right="-180"/>
        <w:contextualSpacing/>
        <w:rPr>
          <w:b/>
        </w:rPr>
      </w:pPr>
    </w:p>
    <w:p w:rsidR="00A1784D" w:rsidRPr="00445EC7" w:rsidRDefault="00F304EE" w:rsidP="00186346">
      <w:pPr>
        <w:pStyle w:val="BodyText2"/>
        <w:numPr>
          <w:ilvl w:val="0"/>
          <w:numId w:val="10"/>
        </w:numPr>
        <w:spacing w:line="480" w:lineRule="auto"/>
        <w:ind w:left="0" w:right="-180" w:firstLine="0"/>
        <w:contextualSpacing/>
        <w:rPr>
          <w:b/>
        </w:rPr>
      </w:pPr>
      <w:r w:rsidRPr="00445EC7">
        <w:rPr>
          <w:b/>
        </w:rPr>
        <w:t>If seeking approval to not display the expiration date for OMB approval of the information collection, explain the reasons that display would be inappropriate</w:t>
      </w:r>
      <w:r w:rsidR="00AE2E0F" w:rsidRPr="00445EC7">
        <w:rPr>
          <w:b/>
        </w:rPr>
        <w:t>:</w:t>
      </w:r>
    </w:p>
    <w:p w:rsidR="00720B47" w:rsidRPr="00445EC7" w:rsidRDefault="00720B47" w:rsidP="00186346">
      <w:pPr>
        <w:pStyle w:val="BodyText2"/>
        <w:spacing w:line="480" w:lineRule="auto"/>
        <w:ind w:right="-180"/>
        <w:contextualSpacing/>
        <w:rPr>
          <w:u w:val="none"/>
        </w:rPr>
      </w:pPr>
    </w:p>
    <w:p w:rsidR="00A1784D" w:rsidRPr="00445EC7" w:rsidRDefault="00292E8F" w:rsidP="00186346">
      <w:pPr>
        <w:pStyle w:val="BodyText2"/>
        <w:spacing w:line="480" w:lineRule="auto"/>
        <w:ind w:right="-180"/>
        <w:contextualSpacing/>
        <w:rPr>
          <w:u w:val="none"/>
        </w:rPr>
      </w:pPr>
      <w:r w:rsidRPr="00445EC7">
        <w:rPr>
          <w:u w:val="none"/>
        </w:rPr>
        <w:t xml:space="preserve">FNS </w:t>
      </w:r>
      <w:r w:rsidR="00632A7F">
        <w:rPr>
          <w:u w:val="none"/>
        </w:rPr>
        <w:t>will be displaying the expiration date on the new form.</w:t>
      </w:r>
    </w:p>
    <w:p w:rsidR="00F304EE" w:rsidRPr="00445EC7" w:rsidRDefault="00F304EE" w:rsidP="00186346">
      <w:pPr>
        <w:pStyle w:val="BodyText2"/>
        <w:spacing w:line="480" w:lineRule="auto"/>
        <w:ind w:right="-180"/>
        <w:contextualSpacing/>
        <w:rPr>
          <w:u w:val="none"/>
        </w:rPr>
      </w:pPr>
    </w:p>
    <w:p w:rsidR="00A1784D" w:rsidRPr="00445EC7" w:rsidRDefault="00F304EE" w:rsidP="00F304EE">
      <w:pPr>
        <w:pStyle w:val="BodyText2"/>
        <w:numPr>
          <w:ilvl w:val="0"/>
          <w:numId w:val="10"/>
        </w:numPr>
        <w:tabs>
          <w:tab w:val="left" w:pos="540"/>
        </w:tabs>
        <w:spacing w:line="480" w:lineRule="auto"/>
        <w:ind w:left="0" w:right="-187" w:firstLine="0"/>
        <w:contextualSpacing/>
        <w:rPr>
          <w:b/>
        </w:rPr>
      </w:pPr>
      <w:r w:rsidRPr="00445EC7">
        <w:rPr>
          <w:b/>
        </w:rPr>
        <w:t>Explain each exception to the certification statement identified in Item 19 "Certification for Paperwork Reduction Act.":</w:t>
      </w:r>
    </w:p>
    <w:p w:rsidR="00F304EE" w:rsidRPr="00445EC7" w:rsidRDefault="00F304EE" w:rsidP="000E266A">
      <w:pPr>
        <w:pStyle w:val="BodyText2"/>
        <w:spacing w:line="480" w:lineRule="auto"/>
        <w:ind w:right="-180"/>
        <w:contextualSpacing/>
        <w:rPr>
          <w:b/>
        </w:rPr>
      </w:pPr>
      <w:r w:rsidRPr="00445EC7">
        <w:rPr>
          <w:u w:val="none"/>
        </w:rPr>
        <w:t>This information collection conforms to the requirements of 5 CFR 1320.9.  There are no exceptions to the certification statement.</w:t>
      </w:r>
    </w:p>
    <w:p w:rsidR="00F304EE" w:rsidRPr="00186346" w:rsidRDefault="00F304EE" w:rsidP="00186346">
      <w:pPr>
        <w:pStyle w:val="BodyText2"/>
        <w:spacing w:line="480" w:lineRule="auto"/>
        <w:ind w:right="-180"/>
        <w:contextualSpacing/>
        <w:rPr>
          <w:u w:val="none"/>
        </w:rPr>
      </w:pPr>
    </w:p>
    <w:sectPr w:rsidR="00F304EE" w:rsidRPr="00186346" w:rsidSect="00AB1D7B">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AA1" w:rsidRDefault="004B5AA1">
      <w:r>
        <w:separator/>
      </w:r>
    </w:p>
  </w:endnote>
  <w:endnote w:type="continuationSeparator" w:id="0">
    <w:p w:rsidR="004B5AA1" w:rsidRDefault="004B5A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A48" w:rsidRDefault="00F5732A">
    <w:pPr>
      <w:pStyle w:val="Footer"/>
      <w:framePr w:wrap="around" w:vAnchor="text" w:hAnchor="margin" w:xAlign="center" w:y="1"/>
      <w:rPr>
        <w:rStyle w:val="PageNumber"/>
      </w:rPr>
    </w:pPr>
    <w:r>
      <w:rPr>
        <w:rStyle w:val="PageNumber"/>
      </w:rPr>
      <w:fldChar w:fldCharType="begin"/>
    </w:r>
    <w:r w:rsidR="00E71A48">
      <w:rPr>
        <w:rStyle w:val="PageNumber"/>
      </w:rPr>
      <w:instrText xml:space="preserve">PAGE  </w:instrText>
    </w:r>
    <w:r>
      <w:rPr>
        <w:rStyle w:val="PageNumber"/>
      </w:rPr>
      <w:fldChar w:fldCharType="end"/>
    </w:r>
  </w:p>
  <w:p w:rsidR="00E71A48" w:rsidRDefault="00E71A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A48" w:rsidRDefault="00F5732A">
    <w:pPr>
      <w:pStyle w:val="Footer"/>
      <w:framePr w:wrap="around" w:vAnchor="text" w:hAnchor="margin" w:xAlign="center" w:y="1"/>
      <w:rPr>
        <w:rStyle w:val="PageNumber"/>
      </w:rPr>
    </w:pPr>
    <w:r>
      <w:rPr>
        <w:rStyle w:val="PageNumber"/>
      </w:rPr>
      <w:fldChar w:fldCharType="begin"/>
    </w:r>
    <w:r w:rsidR="00E71A48">
      <w:rPr>
        <w:rStyle w:val="PageNumber"/>
      </w:rPr>
      <w:instrText xml:space="preserve">PAGE  </w:instrText>
    </w:r>
    <w:r>
      <w:rPr>
        <w:rStyle w:val="PageNumber"/>
      </w:rPr>
      <w:fldChar w:fldCharType="separate"/>
    </w:r>
    <w:r w:rsidR="000E266A">
      <w:rPr>
        <w:rStyle w:val="PageNumber"/>
        <w:noProof/>
      </w:rPr>
      <w:t>14</w:t>
    </w:r>
    <w:r>
      <w:rPr>
        <w:rStyle w:val="PageNumber"/>
      </w:rPr>
      <w:fldChar w:fldCharType="end"/>
    </w:r>
  </w:p>
  <w:p w:rsidR="00E71A48" w:rsidRDefault="00E71A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AA1" w:rsidRDefault="004B5AA1">
      <w:r>
        <w:separator/>
      </w:r>
    </w:p>
  </w:footnote>
  <w:footnote w:type="continuationSeparator" w:id="0">
    <w:p w:rsidR="004B5AA1" w:rsidRDefault="004B5A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1233F"/>
    <w:multiLevelType w:val="hybridMultilevel"/>
    <w:tmpl w:val="CEAE9D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D4BD7"/>
    <w:multiLevelType w:val="hybridMultilevel"/>
    <w:tmpl w:val="5B1CB9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B019F"/>
    <w:multiLevelType w:val="hybridMultilevel"/>
    <w:tmpl w:val="BD808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7454C9"/>
    <w:multiLevelType w:val="hybridMultilevel"/>
    <w:tmpl w:val="B28AE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F71461"/>
    <w:multiLevelType w:val="hybridMultilevel"/>
    <w:tmpl w:val="40BE045E"/>
    <w:lvl w:ilvl="0" w:tplc="04090015">
      <w:start w:val="1"/>
      <w:numFmt w:val="upperLetter"/>
      <w:lvlText w:val="%1."/>
      <w:lvlJc w:val="left"/>
      <w:pPr>
        <w:tabs>
          <w:tab w:val="num" w:pos="720"/>
        </w:tabs>
        <w:ind w:left="720" w:hanging="360"/>
      </w:pPr>
      <w:rPr>
        <w:rFonts w:hint="default"/>
      </w:rPr>
    </w:lvl>
    <w:lvl w:ilvl="1" w:tplc="83E68C4E">
      <w:start w:val="1"/>
      <w:numFmt w:val="decimal"/>
      <w:lvlText w:val="%2."/>
      <w:lvlJc w:val="left"/>
      <w:pPr>
        <w:tabs>
          <w:tab w:val="num" w:pos="1350"/>
        </w:tabs>
        <w:ind w:left="1350" w:hanging="360"/>
      </w:pPr>
      <w:rPr>
        <w:rFonts w:hint="default"/>
      </w:rPr>
    </w:lvl>
    <w:lvl w:ilvl="2" w:tplc="CEBC7FCC">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406DEF"/>
    <w:multiLevelType w:val="hybridMultilevel"/>
    <w:tmpl w:val="92601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E135FC"/>
    <w:multiLevelType w:val="hybridMultilevel"/>
    <w:tmpl w:val="12909C5A"/>
    <w:lvl w:ilvl="0" w:tplc="2AF4507A">
      <w:start w:val="1"/>
      <w:numFmt w:val="upperLetter"/>
      <w:lvlText w:val="%1."/>
      <w:lvlJc w:val="left"/>
      <w:pPr>
        <w:ind w:left="900" w:hanging="360"/>
      </w:pPr>
      <w:rPr>
        <w:b w:val="0"/>
      </w:rPr>
    </w:lvl>
    <w:lvl w:ilvl="1" w:tplc="04090019">
      <w:start w:val="1"/>
      <w:numFmt w:val="lowerLetter"/>
      <w:lvlText w:val="%2."/>
      <w:lvlJc w:val="left"/>
      <w:pPr>
        <w:ind w:left="1440" w:hanging="360"/>
      </w:pPr>
    </w:lvl>
    <w:lvl w:ilvl="2" w:tplc="B372952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B312C4"/>
    <w:multiLevelType w:val="hybridMultilevel"/>
    <w:tmpl w:val="F072EA3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86B1EBE"/>
    <w:multiLevelType w:val="hybridMultilevel"/>
    <w:tmpl w:val="4440BDD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47734F0D"/>
    <w:multiLevelType w:val="hybridMultilevel"/>
    <w:tmpl w:val="48FA357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A5D1924"/>
    <w:multiLevelType w:val="hybridMultilevel"/>
    <w:tmpl w:val="C3A66046"/>
    <w:lvl w:ilvl="0" w:tplc="B3BE2B7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A25C18"/>
    <w:multiLevelType w:val="hybridMultilevel"/>
    <w:tmpl w:val="8B58378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68B55FA"/>
    <w:multiLevelType w:val="hybridMultilevel"/>
    <w:tmpl w:val="52248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3406CD"/>
    <w:multiLevelType w:val="hybridMultilevel"/>
    <w:tmpl w:val="1D6C3D2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1984B4A"/>
    <w:multiLevelType w:val="hybridMultilevel"/>
    <w:tmpl w:val="DD72DC22"/>
    <w:lvl w:ilvl="0" w:tplc="CF044E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7B41F5"/>
    <w:multiLevelType w:val="hybridMultilevel"/>
    <w:tmpl w:val="35186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D662F8"/>
    <w:multiLevelType w:val="hybridMultilevel"/>
    <w:tmpl w:val="D35AB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9"/>
  </w:num>
  <w:num w:numId="4">
    <w:abstractNumId w:val="7"/>
  </w:num>
  <w:num w:numId="5">
    <w:abstractNumId w:val="4"/>
  </w:num>
  <w:num w:numId="6">
    <w:abstractNumId w:val="2"/>
  </w:num>
  <w:num w:numId="7">
    <w:abstractNumId w:val="14"/>
  </w:num>
  <w:num w:numId="8">
    <w:abstractNumId w:val="1"/>
  </w:num>
  <w:num w:numId="9">
    <w:abstractNumId w:val="0"/>
  </w:num>
  <w:num w:numId="10">
    <w:abstractNumId w:val="10"/>
  </w:num>
  <w:num w:numId="11">
    <w:abstractNumId w:val="5"/>
  </w:num>
  <w:num w:numId="12">
    <w:abstractNumId w:val="3"/>
  </w:num>
  <w:num w:numId="13">
    <w:abstractNumId w:val="8"/>
  </w:num>
  <w:num w:numId="14">
    <w:abstractNumId w:val="16"/>
  </w:num>
  <w:num w:numId="15">
    <w:abstractNumId w:val="15"/>
  </w:num>
  <w:num w:numId="16">
    <w:abstractNumId w:val="12"/>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stylePaneFormatFilter w:val="3F01"/>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E2BC6"/>
    <w:rsid w:val="00000BEB"/>
    <w:rsid w:val="00003C2F"/>
    <w:rsid w:val="00020D28"/>
    <w:rsid w:val="00026159"/>
    <w:rsid w:val="00026B97"/>
    <w:rsid w:val="00027030"/>
    <w:rsid w:val="00030767"/>
    <w:rsid w:val="00030DA1"/>
    <w:rsid w:val="00037481"/>
    <w:rsid w:val="00041CC8"/>
    <w:rsid w:val="00043479"/>
    <w:rsid w:val="00046147"/>
    <w:rsid w:val="0004665C"/>
    <w:rsid w:val="00046FB5"/>
    <w:rsid w:val="00054C2C"/>
    <w:rsid w:val="00057D10"/>
    <w:rsid w:val="00060FE9"/>
    <w:rsid w:val="000621AD"/>
    <w:rsid w:val="00071CF3"/>
    <w:rsid w:val="00072D15"/>
    <w:rsid w:val="000759EA"/>
    <w:rsid w:val="00076518"/>
    <w:rsid w:val="00076816"/>
    <w:rsid w:val="00080859"/>
    <w:rsid w:val="000821DC"/>
    <w:rsid w:val="0008684A"/>
    <w:rsid w:val="000900FC"/>
    <w:rsid w:val="000A1A2E"/>
    <w:rsid w:val="000C0B3F"/>
    <w:rsid w:val="000C3945"/>
    <w:rsid w:val="000C7D86"/>
    <w:rsid w:val="000E1FC8"/>
    <w:rsid w:val="000E266A"/>
    <w:rsid w:val="000F28E4"/>
    <w:rsid w:val="000F2E04"/>
    <w:rsid w:val="000F55F5"/>
    <w:rsid w:val="000F7E6C"/>
    <w:rsid w:val="001049E9"/>
    <w:rsid w:val="00114763"/>
    <w:rsid w:val="001205F8"/>
    <w:rsid w:val="00121703"/>
    <w:rsid w:val="00123F66"/>
    <w:rsid w:val="00131E46"/>
    <w:rsid w:val="001365B5"/>
    <w:rsid w:val="00136834"/>
    <w:rsid w:val="00140465"/>
    <w:rsid w:val="00141CB1"/>
    <w:rsid w:val="00147AFB"/>
    <w:rsid w:val="00154142"/>
    <w:rsid w:val="001619AF"/>
    <w:rsid w:val="00165401"/>
    <w:rsid w:val="0017147F"/>
    <w:rsid w:val="00171841"/>
    <w:rsid w:val="0018254D"/>
    <w:rsid w:val="00186346"/>
    <w:rsid w:val="00195B1B"/>
    <w:rsid w:val="001A1932"/>
    <w:rsid w:val="001A36FB"/>
    <w:rsid w:val="001B165D"/>
    <w:rsid w:val="001B382D"/>
    <w:rsid w:val="001B539D"/>
    <w:rsid w:val="001B55E6"/>
    <w:rsid w:val="001B5707"/>
    <w:rsid w:val="001B5A21"/>
    <w:rsid w:val="001C0EFD"/>
    <w:rsid w:val="001C5668"/>
    <w:rsid w:val="001D0C25"/>
    <w:rsid w:val="001D5AB0"/>
    <w:rsid w:val="001D690F"/>
    <w:rsid w:val="001E08C4"/>
    <w:rsid w:val="001E2BC6"/>
    <w:rsid w:val="001F4C20"/>
    <w:rsid w:val="001F5B4E"/>
    <w:rsid w:val="00203780"/>
    <w:rsid w:val="0020448C"/>
    <w:rsid w:val="00216A62"/>
    <w:rsid w:val="00221192"/>
    <w:rsid w:val="00221492"/>
    <w:rsid w:val="0022598A"/>
    <w:rsid w:val="00230EFE"/>
    <w:rsid w:val="002337F2"/>
    <w:rsid w:val="00235BE8"/>
    <w:rsid w:val="0024055E"/>
    <w:rsid w:val="00242E0A"/>
    <w:rsid w:val="00244A03"/>
    <w:rsid w:val="002452BD"/>
    <w:rsid w:val="0025001C"/>
    <w:rsid w:val="002504E5"/>
    <w:rsid w:val="002519AB"/>
    <w:rsid w:val="00260A08"/>
    <w:rsid w:val="00262733"/>
    <w:rsid w:val="002667FE"/>
    <w:rsid w:val="0026780B"/>
    <w:rsid w:val="002717FF"/>
    <w:rsid w:val="0027361F"/>
    <w:rsid w:val="002753AD"/>
    <w:rsid w:val="002800A4"/>
    <w:rsid w:val="00280303"/>
    <w:rsid w:val="002853A1"/>
    <w:rsid w:val="0028713D"/>
    <w:rsid w:val="00292E8F"/>
    <w:rsid w:val="002936C9"/>
    <w:rsid w:val="00296B63"/>
    <w:rsid w:val="002A24C2"/>
    <w:rsid w:val="002A31F6"/>
    <w:rsid w:val="002A34AB"/>
    <w:rsid w:val="002B4589"/>
    <w:rsid w:val="002C47A8"/>
    <w:rsid w:val="002D1F54"/>
    <w:rsid w:val="002D29A7"/>
    <w:rsid w:val="002D6B4B"/>
    <w:rsid w:val="002D7EE1"/>
    <w:rsid w:val="002E2143"/>
    <w:rsid w:val="002E3288"/>
    <w:rsid w:val="002E6AF8"/>
    <w:rsid w:val="002F0A4F"/>
    <w:rsid w:val="002F4CA1"/>
    <w:rsid w:val="002F6AD3"/>
    <w:rsid w:val="003011F8"/>
    <w:rsid w:val="003026AE"/>
    <w:rsid w:val="00307724"/>
    <w:rsid w:val="00307ED8"/>
    <w:rsid w:val="00327769"/>
    <w:rsid w:val="00331CE0"/>
    <w:rsid w:val="0033261A"/>
    <w:rsid w:val="00350A86"/>
    <w:rsid w:val="00353A66"/>
    <w:rsid w:val="00356B52"/>
    <w:rsid w:val="00357047"/>
    <w:rsid w:val="003645FA"/>
    <w:rsid w:val="00367CC9"/>
    <w:rsid w:val="00371843"/>
    <w:rsid w:val="00372093"/>
    <w:rsid w:val="003764E6"/>
    <w:rsid w:val="003771C4"/>
    <w:rsid w:val="0038200C"/>
    <w:rsid w:val="00382551"/>
    <w:rsid w:val="00383501"/>
    <w:rsid w:val="003842B9"/>
    <w:rsid w:val="00387B81"/>
    <w:rsid w:val="0039224E"/>
    <w:rsid w:val="00393D3F"/>
    <w:rsid w:val="0039409E"/>
    <w:rsid w:val="00397E9F"/>
    <w:rsid w:val="003A3278"/>
    <w:rsid w:val="003A3F21"/>
    <w:rsid w:val="003A546C"/>
    <w:rsid w:val="003B0DB0"/>
    <w:rsid w:val="003B47C0"/>
    <w:rsid w:val="003B5940"/>
    <w:rsid w:val="003C078A"/>
    <w:rsid w:val="003C3E7D"/>
    <w:rsid w:val="003D0F3F"/>
    <w:rsid w:val="003E141A"/>
    <w:rsid w:val="003E529E"/>
    <w:rsid w:val="003E5FE0"/>
    <w:rsid w:val="003F25E8"/>
    <w:rsid w:val="003F4BE8"/>
    <w:rsid w:val="003F65A9"/>
    <w:rsid w:val="003F6659"/>
    <w:rsid w:val="004062E0"/>
    <w:rsid w:val="0041198D"/>
    <w:rsid w:val="00413E63"/>
    <w:rsid w:val="0041623B"/>
    <w:rsid w:val="00420CD4"/>
    <w:rsid w:val="00421CED"/>
    <w:rsid w:val="0042567F"/>
    <w:rsid w:val="0042642C"/>
    <w:rsid w:val="00433048"/>
    <w:rsid w:val="004338D3"/>
    <w:rsid w:val="0044060B"/>
    <w:rsid w:val="0044137F"/>
    <w:rsid w:val="004425E6"/>
    <w:rsid w:val="00445EC7"/>
    <w:rsid w:val="00446A1F"/>
    <w:rsid w:val="00451FF0"/>
    <w:rsid w:val="00452250"/>
    <w:rsid w:val="00455A37"/>
    <w:rsid w:val="00455AFA"/>
    <w:rsid w:val="004651A8"/>
    <w:rsid w:val="00466DF8"/>
    <w:rsid w:val="00471320"/>
    <w:rsid w:val="004748C4"/>
    <w:rsid w:val="00477A19"/>
    <w:rsid w:val="00482B80"/>
    <w:rsid w:val="00490982"/>
    <w:rsid w:val="00491498"/>
    <w:rsid w:val="00492716"/>
    <w:rsid w:val="00493975"/>
    <w:rsid w:val="00493A3F"/>
    <w:rsid w:val="00493A58"/>
    <w:rsid w:val="004A33EC"/>
    <w:rsid w:val="004A54BD"/>
    <w:rsid w:val="004A5A97"/>
    <w:rsid w:val="004B5AA1"/>
    <w:rsid w:val="004C125B"/>
    <w:rsid w:val="004C45A1"/>
    <w:rsid w:val="004D013C"/>
    <w:rsid w:val="004D4041"/>
    <w:rsid w:val="004D586E"/>
    <w:rsid w:val="004D6CDF"/>
    <w:rsid w:val="004E43F9"/>
    <w:rsid w:val="004F083F"/>
    <w:rsid w:val="004F4610"/>
    <w:rsid w:val="004F66E2"/>
    <w:rsid w:val="004F7047"/>
    <w:rsid w:val="00500970"/>
    <w:rsid w:val="00500B61"/>
    <w:rsid w:val="00504791"/>
    <w:rsid w:val="005050E5"/>
    <w:rsid w:val="0050562C"/>
    <w:rsid w:val="00505A75"/>
    <w:rsid w:val="005072FB"/>
    <w:rsid w:val="00511727"/>
    <w:rsid w:val="005161B0"/>
    <w:rsid w:val="005179EF"/>
    <w:rsid w:val="0053329B"/>
    <w:rsid w:val="00533A0F"/>
    <w:rsid w:val="0053686A"/>
    <w:rsid w:val="005407A7"/>
    <w:rsid w:val="00542019"/>
    <w:rsid w:val="005427DE"/>
    <w:rsid w:val="00546A07"/>
    <w:rsid w:val="00551ECF"/>
    <w:rsid w:val="00555057"/>
    <w:rsid w:val="0056344D"/>
    <w:rsid w:val="00565573"/>
    <w:rsid w:val="005656CD"/>
    <w:rsid w:val="005702E8"/>
    <w:rsid w:val="00573F79"/>
    <w:rsid w:val="00574C9C"/>
    <w:rsid w:val="00577EC6"/>
    <w:rsid w:val="00580441"/>
    <w:rsid w:val="00581D46"/>
    <w:rsid w:val="00585516"/>
    <w:rsid w:val="00587130"/>
    <w:rsid w:val="00587B94"/>
    <w:rsid w:val="00596649"/>
    <w:rsid w:val="00597E82"/>
    <w:rsid w:val="00597EB2"/>
    <w:rsid w:val="005A1364"/>
    <w:rsid w:val="005A29F8"/>
    <w:rsid w:val="005A5D39"/>
    <w:rsid w:val="005A7571"/>
    <w:rsid w:val="005B3EF3"/>
    <w:rsid w:val="005B4073"/>
    <w:rsid w:val="005C2544"/>
    <w:rsid w:val="005C3B75"/>
    <w:rsid w:val="005C5C30"/>
    <w:rsid w:val="005D2194"/>
    <w:rsid w:val="005E731C"/>
    <w:rsid w:val="005E7781"/>
    <w:rsid w:val="005F093C"/>
    <w:rsid w:val="005F0FCA"/>
    <w:rsid w:val="005F3AB4"/>
    <w:rsid w:val="005F4BD1"/>
    <w:rsid w:val="00601B79"/>
    <w:rsid w:val="0060205C"/>
    <w:rsid w:val="006105B8"/>
    <w:rsid w:val="00621792"/>
    <w:rsid w:val="006222AE"/>
    <w:rsid w:val="00625420"/>
    <w:rsid w:val="0062667F"/>
    <w:rsid w:val="00626CCE"/>
    <w:rsid w:val="0062702E"/>
    <w:rsid w:val="006324A5"/>
    <w:rsid w:val="00632A7F"/>
    <w:rsid w:val="00637637"/>
    <w:rsid w:val="00637D38"/>
    <w:rsid w:val="0064183E"/>
    <w:rsid w:val="00647019"/>
    <w:rsid w:val="00647FC8"/>
    <w:rsid w:val="00653D08"/>
    <w:rsid w:val="006563B0"/>
    <w:rsid w:val="00663B5D"/>
    <w:rsid w:val="006649B2"/>
    <w:rsid w:val="00675470"/>
    <w:rsid w:val="00675F45"/>
    <w:rsid w:val="00676756"/>
    <w:rsid w:val="00682E07"/>
    <w:rsid w:val="00687FFC"/>
    <w:rsid w:val="006939E4"/>
    <w:rsid w:val="00693F74"/>
    <w:rsid w:val="006950C5"/>
    <w:rsid w:val="006A761F"/>
    <w:rsid w:val="006B2354"/>
    <w:rsid w:val="006B6B5B"/>
    <w:rsid w:val="006C17D0"/>
    <w:rsid w:val="006D1D73"/>
    <w:rsid w:val="006D5809"/>
    <w:rsid w:val="006E48EA"/>
    <w:rsid w:val="006E6DDE"/>
    <w:rsid w:val="006F1E0D"/>
    <w:rsid w:val="006F488B"/>
    <w:rsid w:val="0070076A"/>
    <w:rsid w:val="00700862"/>
    <w:rsid w:val="007014A0"/>
    <w:rsid w:val="00702461"/>
    <w:rsid w:val="00702C2F"/>
    <w:rsid w:val="00720878"/>
    <w:rsid w:val="00720B47"/>
    <w:rsid w:val="00724ACB"/>
    <w:rsid w:val="00731415"/>
    <w:rsid w:val="0073180A"/>
    <w:rsid w:val="0073292A"/>
    <w:rsid w:val="0074194A"/>
    <w:rsid w:val="00746761"/>
    <w:rsid w:val="00752747"/>
    <w:rsid w:val="00755060"/>
    <w:rsid w:val="007613CC"/>
    <w:rsid w:val="007633CC"/>
    <w:rsid w:val="00763594"/>
    <w:rsid w:val="0076705E"/>
    <w:rsid w:val="007725D2"/>
    <w:rsid w:val="0077502F"/>
    <w:rsid w:val="00775CF5"/>
    <w:rsid w:val="00776306"/>
    <w:rsid w:val="007852DC"/>
    <w:rsid w:val="0079289D"/>
    <w:rsid w:val="00792A44"/>
    <w:rsid w:val="00793A8E"/>
    <w:rsid w:val="00794714"/>
    <w:rsid w:val="007A01C2"/>
    <w:rsid w:val="007A6482"/>
    <w:rsid w:val="007A71E2"/>
    <w:rsid w:val="007B3F18"/>
    <w:rsid w:val="007B7368"/>
    <w:rsid w:val="007D23CF"/>
    <w:rsid w:val="007E6F8F"/>
    <w:rsid w:val="007E74E7"/>
    <w:rsid w:val="007F440B"/>
    <w:rsid w:val="007F4BB8"/>
    <w:rsid w:val="007F68DF"/>
    <w:rsid w:val="00800538"/>
    <w:rsid w:val="00801A50"/>
    <w:rsid w:val="00803102"/>
    <w:rsid w:val="0080722F"/>
    <w:rsid w:val="00815A52"/>
    <w:rsid w:val="00817299"/>
    <w:rsid w:val="008259B6"/>
    <w:rsid w:val="008259B9"/>
    <w:rsid w:val="00837B9E"/>
    <w:rsid w:val="008461D9"/>
    <w:rsid w:val="0085504F"/>
    <w:rsid w:val="00856980"/>
    <w:rsid w:val="00863C7D"/>
    <w:rsid w:val="0086548E"/>
    <w:rsid w:val="00865E07"/>
    <w:rsid w:val="008661CB"/>
    <w:rsid w:val="00866457"/>
    <w:rsid w:val="008705AF"/>
    <w:rsid w:val="008727DF"/>
    <w:rsid w:val="00873127"/>
    <w:rsid w:val="00875020"/>
    <w:rsid w:val="008753F1"/>
    <w:rsid w:val="0087561A"/>
    <w:rsid w:val="00876843"/>
    <w:rsid w:val="00884B94"/>
    <w:rsid w:val="0088518E"/>
    <w:rsid w:val="008854D7"/>
    <w:rsid w:val="008855ED"/>
    <w:rsid w:val="00886FC3"/>
    <w:rsid w:val="00891D4E"/>
    <w:rsid w:val="00892AD9"/>
    <w:rsid w:val="00893977"/>
    <w:rsid w:val="0089558F"/>
    <w:rsid w:val="008A25C5"/>
    <w:rsid w:val="008A733F"/>
    <w:rsid w:val="008B092E"/>
    <w:rsid w:val="008B25D7"/>
    <w:rsid w:val="008B4950"/>
    <w:rsid w:val="008B4BAA"/>
    <w:rsid w:val="008C34E1"/>
    <w:rsid w:val="008C355D"/>
    <w:rsid w:val="008C4296"/>
    <w:rsid w:val="008C576F"/>
    <w:rsid w:val="008D039B"/>
    <w:rsid w:val="008D5A83"/>
    <w:rsid w:val="008E3D81"/>
    <w:rsid w:val="008E429F"/>
    <w:rsid w:val="008F0A3E"/>
    <w:rsid w:val="008F13E7"/>
    <w:rsid w:val="008F6FA4"/>
    <w:rsid w:val="00902984"/>
    <w:rsid w:val="00904E45"/>
    <w:rsid w:val="00921ADD"/>
    <w:rsid w:val="00926BF4"/>
    <w:rsid w:val="00927556"/>
    <w:rsid w:val="00930CD7"/>
    <w:rsid w:val="00933B12"/>
    <w:rsid w:val="00933DA1"/>
    <w:rsid w:val="00940742"/>
    <w:rsid w:val="009449E0"/>
    <w:rsid w:val="00952A2B"/>
    <w:rsid w:val="00954625"/>
    <w:rsid w:val="00955084"/>
    <w:rsid w:val="0095576D"/>
    <w:rsid w:val="009561FE"/>
    <w:rsid w:val="00962624"/>
    <w:rsid w:val="00962647"/>
    <w:rsid w:val="00965FA0"/>
    <w:rsid w:val="009711EB"/>
    <w:rsid w:val="009732FD"/>
    <w:rsid w:val="00985A01"/>
    <w:rsid w:val="00997A3D"/>
    <w:rsid w:val="009A2AFB"/>
    <w:rsid w:val="009A2EBF"/>
    <w:rsid w:val="009A4AE8"/>
    <w:rsid w:val="009B10AC"/>
    <w:rsid w:val="009C2249"/>
    <w:rsid w:val="009C3BBF"/>
    <w:rsid w:val="009C4277"/>
    <w:rsid w:val="009C5280"/>
    <w:rsid w:val="009C6A4F"/>
    <w:rsid w:val="009D0E27"/>
    <w:rsid w:val="009D4A90"/>
    <w:rsid w:val="009E052E"/>
    <w:rsid w:val="009F0EA9"/>
    <w:rsid w:val="009F5879"/>
    <w:rsid w:val="00A02C6D"/>
    <w:rsid w:val="00A05197"/>
    <w:rsid w:val="00A057AD"/>
    <w:rsid w:val="00A112D6"/>
    <w:rsid w:val="00A16F49"/>
    <w:rsid w:val="00A1784D"/>
    <w:rsid w:val="00A207FB"/>
    <w:rsid w:val="00A2547D"/>
    <w:rsid w:val="00A256E2"/>
    <w:rsid w:val="00A3711D"/>
    <w:rsid w:val="00A455F7"/>
    <w:rsid w:val="00A46222"/>
    <w:rsid w:val="00A47854"/>
    <w:rsid w:val="00A51110"/>
    <w:rsid w:val="00A60948"/>
    <w:rsid w:val="00A60F3F"/>
    <w:rsid w:val="00A61530"/>
    <w:rsid w:val="00A65F46"/>
    <w:rsid w:val="00A6632C"/>
    <w:rsid w:val="00A7549C"/>
    <w:rsid w:val="00A7600A"/>
    <w:rsid w:val="00A7773B"/>
    <w:rsid w:val="00A806BA"/>
    <w:rsid w:val="00A80FD2"/>
    <w:rsid w:val="00A840B6"/>
    <w:rsid w:val="00A847DF"/>
    <w:rsid w:val="00A851B6"/>
    <w:rsid w:val="00A90C95"/>
    <w:rsid w:val="00A9130C"/>
    <w:rsid w:val="00A91465"/>
    <w:rsid w:val="00A96078"/>
    <w:rsid w:val="00AA4E01"/>
    <w:rsid w:val="00AA68A1"/>
    <w:rsid w:val="00AA69BD"/>
    <w:rsid w:val="00AB1113"/>
    <w:rsid w:val="00AB1D7B"/>
    <w:rsid w:val="00AB22DE"/>
    <w:rsid w:val="00AB6720"/>
    <w:rsid w:val="00AC08F2"/>
    <w:rsid w:val="00AC44DD"/>
    <w:rsid w:val="00AC473B"/>
    <w:rsid w:val="00AE10E7"/>
    <w:rsid w:val="00AE2E0F"/>
    <w:rsid w:val="00AE6476"/>
    <w:rsid w:val="00AF4A56"/>
    <w:rsid w:val="00B0473F"/>
    <w:rsid w:val="00B12380"/>
    <w:rsid w:val="00B12665"/>
    <w:rsid w:val="00B162C8"/>
    <w:rsid w:val="00B25C3A"/>
    <w:rsid w:val="00B33442"/>
    <w:rsid w:val="00B35D5D"/>
    <w:rsid w:val="00B41E03"/>
    <w:rsid w:val="00B45649"/>
    <w:rsid w:val="00B536BE"/>
    <w:rsid w:val="00B53BCF"/>
    <w:rsid w:val="00B5543D"/>
    <w:rsid w:val="00B55F88"/>
    <w:rsid w:val="00B66D80"/>
    <w:rsid w:val="00B67249"/>
    <w:rsid w:val="00B71067"/>
    <w:rsid w:val="00B826D4"/>
    <w:rsid w:val="00B857B5"/>
    <w:rsid w:val="00B956C4"/>
    <w:rsid w:val="00BA0223"/>
    <w:rsid w:val="00BA42B3"/>
    <w:rsid w:val="00BA684D"/>
    <w:rsid w:val="00BB0F86"/>
    <w:rsid w:val="00BB2307"/>
    <w:rsid w:val="00BD3393"/>
    <w:rsid w:val="00BD7032"/>
    <w:rsid w:val="00BE2771"/>
    <w:rsid w:val="00BE3AD8"/>
    <w:rsid w:val="00BE6E08"/>
    <w:rsid w:val="00BE77FE"/>
    <w:rsid w:val="00BF37F0"/>
    <w:rsid w:val="00BF4E06"/>
    <w:rsid w:val="00BF71FC"/>
    <w:rsid w:val="00C01C85"/>
    <w:rsid w:val="00C0729C"/>
    <w:rsid w:val="00C11E51"/>
    <w:rsid w:val="00C14216"/>
    <w:rsid w:val="00C20524"/>
    <w:rsid w:val="00C2468E"/>
    <w:rsid w:val="00C37858"/>
    <w:rsid w:val="00C37E1C"/>
    <w:rsid w:val="00C44E78"/>
    <w:rsid w:val="00C4544C"/>
    <w:rsid w:val="00C45C66"/>
    <w:rsid w:val="00C467E2"/>
    <w:rsid w:val="00C560D8"/>
    <w:rsid w:val="00C61CC1"/>
    <w:rsid w:val="00C61DC7"/>
    <w:rsid w:val="00C61E46"/>
    <w:rsid w:val="00C6616F"/>
    <w:rsid w:val="00C661C3"/>
    <w:rsid w:val="00C6732F"/>
    <w:rsid w:val="00C815D5"/>
    <w:rsid w:val="00C877E1"/>
    <w:rsid w:val="00C95526"/>
    <w:rsid w:val="00C95E05"/>
    <w:rsid w:val="00C965D3"/>
    <w:rsid w:val="00CA427A"/>
    <w:rsid w:val="00CB194C"/>
    <w:rsid w:val="00CB1C2F"/>
    <w:rsid w:val="00CB7A3B"/>
    <w:rsid w:val="00CC2524"/>
    <w:rsid w:val="00CC2BE8"/>
    <w:rsid w:val="00CD5F38"/>
    <w:rsid w:val="00CE0480"/>
    <w:rsid w:val="00CE3302"/>
    <w:rsid w:val="00CE342E"/>
    <w:rsid w:val="00CF0133"/>
    <w:rsid w:val="00CF0CDC"/>
    <w:rsid w:val="00CF4C7D"/>
    <w:rsid w:val="00CF638B"/>
    <w:rsid w:val="00D01FA3"/>
    <w:rsid w:val="00D10945"/>
    <w:rsid w:val="00D129D0"/>
    <w:rsid w:val="00D31CB0"/>
    <w:rsid w:val="00D47900"/>
    <w:rsid w:val="00D47A7E"/>
    <w:rsid w:val="00D519B4"/>
    <w:rsid w:val="00D5669D"/>
    <w:rsid w:val="00D6057D"/>
    <w:rsid w:val="00D61E42"/>
    <w:rsid w:val="00D625F9"/>
    <w:rsid w:val="00D672FF"/>
    <w:rsid w:val="00D7039B"/>
    <w:rsid w:val="00D80D92"/>
    <w:rsid w:val="00D823DA"/>
    <w:rsid w:val="00D82E5C"/>
    <w:rsid w:val="00D91317"/>
    <w:rsid w:val="00D91A8A"/>
    <w:rsid w:val="00D94B7E"/>
    <w:rsid w:val="00D94FF7"/>
    <w:rsid w:val="00DA1435"/>
    <w:rsid w:val="00DA68A1"/>
    <w:rsid w:val="00DA6A20"/>
    <w:rsid w:val="00DA7A5E"/>
    <w:rsid w:val="00DC1841"/>
    <w:rsid w:val="00DD323D"/>
    <w:rsid w:val="00DD6FA2"/>
    <w:rsid w:val="00DE06FD"/>
    <w:rsid w:val="00DE49B5"/>
    <w:rsid w:val="00DE62EF"/>
    <w:rsid w:val="00DF3B28"/>
    <w:rsid w:val="00E00834"/>
    <w:rsid w:val="00E02D65"/>
    <w:rsid w:val="00E02F12"/>
    <w:rsid w:val="00E172EA"/>
    <w:rsid w:val="00E256CA"/>
    <w:rsid w:val="00E2763E"/>
    <w:rsid w:val="00E27CEF"/>
    <w:rsid w:val="00E33C1E"/>
    <w:rsid w:val="00E35F0D"/>
    <w:rsid w:val="00E53B44"/>
    <w:rsid w:val="00E548E4"/>
    <w:rsid w:val="00E57014"/>
    <w:rsid w:val="00E66D1A"/>
    <w:rsid w:val="00E70D87"/>
    <w:rsid w:val="00E71A48"/>
    <w:rsid w:val="00E71DAD"/>
    <w:rsid w:val="00E73F99"/>
    <w:rsid w:val="00E75513"/>
    <w:rsid w:val="00E76570"/>
    <w:rsid w:val="00E86CDF"/>
    <w:rsid w:val="00E9004F"/>
    <w:rsid w:val="00E93E4F"/>
    <w:rsid w:val="00EA00F3"/>
    <w:rsid w:val="00EA0A8A"/>
    <w:rsid w:val="00EA12D4"/>
    <w:rsid w:val="00EA515D"/>
    <w:rsid w:val="00EB043E"/>
    <w:rsid w:val="00EB21B4"/>
    <w:rsid w:val="00EB5A61"/>
    <w:rsid w:val="00EC13DC"/>
    <w:rsid w:val="00EC54F6"/>
    <w:rsid w:val="00EC6A44"/>
    <w:rsid w:val="00ED7327"/>
    <w:rsid w:val="00EE3B38"/>
    <w:rsid w:val="00EE497B"/>
    <w:rsid w:val="00EE5811"/>
    <w:rsid w:val="00EE6433"/>
    <w:rsid w:val="00EE7B14"/>
    <w:rsid w:val="00EF4CBB"/>
    <w:rsid w:val="00EF53EC"/>
    <w:rsid w:val="00EF7CE4"/>
    <w:rsid w:val="00F01069"/>
    <w:rsid w:val="00F01CF7"/>
    <w:rsid w:val="00F02D17"/>
    <w:rsid w:val="00F05496"/>
    <w:rsid w:val="00F1044F"/>
    <w:rsid w:val="00F11876"/>
    <w:rsid w:val="00F12A54"/>
    <w:rsid w:val="00F13736"/>
    <w:rsid w:val="00F14B83"/>
    <w:rsid w:val="00F206FD"/>
    <w:rsid w:val="00F20B6B"/>
    <w:rsid w:val="00F25E66"/>
    <w:rsid w:val="00F30179"/>
    <w:rsid w:val="00F304EE"/>
    <w:rsid w:val="00F33728"/>
    <w:rsid w:val="00F349D1"/>
    <w:rsid w:val="00F41D37"/>
    <w:rsid w:val="00F43AD7"/>
    <w:rsid w:val="00F5188E"/>
    <w:rsid w:val="00F534E3"/>
    <w:rsid w:val="00F53879"/>
    <w:rsid w:val="00F56015"/>
    <w:rsid w:val="00F56878"/>
    <w:rsid w:val="00F56DF6"/>
    <w:rsid w:val="00F5732A"/>
    <w:rsid w:val="00F64FEA"/>
    <w:rsid w:val="00F659C6"/>
    <w:rsid w:val="00F66A60"/>
    <w:rsid w:val="00F71A87"/>
    <w:rsid w:val="00F724AF"/>
    <w:rsid w:val="00F75595"/>
    <w:rsid w:val="00F75D2B"/>
    <w:rsid w:val="00F8476E"/>
    <w:rsid w:val="00F849B4"/>
    <w:rsid w:val="00F91770"/>
    <w:rsid w:val="00F92768"/>
    <w:rsid w:val="00F92D11"/>
    <w:rsid w:val="00FA2CF7"/>
    <w:rsid w:val="00FA54C3"/>
    <w:rsid w:val="00FA6FE6"/>
    <w:rsid w:val="00FB5B78"/>
    <w:rsid w:val="00FC5AB6"/>
    <w:rsid w:val="00FD0210"/>
    <w:rsid w:val="00FD03B0"/>
    <w:rsid w:val="00FD0417"/>
    <w:rsid w:val="00FD23B2"/>
    <w:rsid w:val="00FD3C77"/>
    <w:rsid w:val="00FD6799"/>
    <w:rsid w:val="00FE78F7"/>
    <w:rsid w:val="00FF24D6"/>
    <w:rsid w:val="00FF536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7FE"/>
    <w:rPr>
      <w:sz w:val="24"/>
      <w:szCs w:val="24"/>
    </w:rPr>
  </w:style>
  <w:style w:type="paragraph" w:styleId="Heading1">
    <w:name w:val="heading 1"/>
    <w:basedOn w:val="Normal"/>
    <w:next w:val="Normal"/>
    <w:qFormat/>
    <w:rsid w:val="002667FE"/>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667FE"/>
    <w:pPr>
      <w:ind w:right="-360"/>
    </w:pPr>
  </w:style>
  <w:style w:type="paragraph" w:styleId="BodyText2">
    <w:name w:val="Body Text 2"/>
    <w:basedOn w:val="Normal"/>
    <w:link w:val="BodyText2Char"/>
    <w:rsid w:val="002667FE"/>
    <w:pPr>
      <w:ind w:right="-360"/>
    </w:pPr>
    <w:rPr>
      <w:u w:val="single"/>
    </w:rPr>
  </w:style>
  <w:style w:type="paragraph" w:styleId="Footer">
    <w:name w:val="footer"/>
    <w:basedOn w:val="Normal"/>
    <w:rsid w:val="002667FE"/>
    <w:pPr>
      <w:tabs>
        <w:tab w:val="center" w:pos="4320"/>
        <w:tab w:val="right" w:pos="8640"/>
      </w:tabs>
    </w:pPr>
  </w:style>
  <w:style w:type="character" w:styleId="PageNumber">
    <w:name w:val="page number"/>
    <w:basedOn w:val="DefaultParagraphFont"/>
    <w:rsid w:val="002667FE"/>
  </w:style>
  <w:style w:type="paragraph" w:styleId="BalloonText">
    <w:name w:val="Balloon Text"/>
    <w:basedOn w:val="Normal"/>
    <w:link w:val="BalloonTextChar"/>
    <w:rsid w:val="00837B9E"/>
    <w:rPr>
      <w:rFonts w:ascii="Tahoma" w:hAnsi="Tahoma"/>
      <w:sz w:val="16"/>
      <w:szCs w:val="16"/>
    </w:rPr>
  </w:style>
  <w:style w:type="character" w:customStyle="1" w:styleId="BalloonTextChar">
    <w:name w:val="Balloon Text Char"/>
    <w:link w:val="BalloonText"/>
    <w:rsid w:val="00837B9E"/>
    <w:rPr>
      <w:rFonts w:ascii="Tahoma" w:hAnsi="Tahoma" w:cs="Tahoma"/>
      <w:sz w:val="16"/>
      <w:szCs w:val="16"/>
    </w:rPr>
  </w:style>
  <w:style w:type="character" w:styleId="CommentReference">
    <w:name w:val="annotation reference"/>
    <w:semiHidden/>
    <w:rsid w:val="00CB7A3B"/>
    <w:rPr>
      <w:sz w:val="16"/>
      <w:szCs w:val="16"/>
    </w:rPr>
  </w:style>
  <w:style w:type="paragraph" w:styleId="CommentText">
    <w:name w:val="annotation text"/>
    <w:basedOn w:val="Normal"/>
    <w:link w:val="CommentTextChar"/>
    <w:rsid w:val="00CB7A3B"/>
    <w:rPr>
      <w:sz w:val="20"/>
      <w:szCs w:val="20"/>
    </w:rPr>
  </w:style>
  <w:style w:type="paragraph" w:styleId="CommentSubject">
    <w:name w:val="annotation subject"/>
    <w:basedOn w:val="CommentText"/>
    <w:next w:val="CommentText"/>
    <w:semiHidden/>
    <w:rsid w:val="00CB7A3B"/>
    <w:rPr>
      <w:b/>
      <w:bCs/>
    </w:rPr>
  </w:style>
  <w:style w:type="character" w:styleId="Hyperlink">
    <w:name w:val="Hyperlink"/>
    <w:rsid w:val="00493A58"/>
    <w:rPr>
      <w:color w:val="0000FF"/>
      <w:u w:val="single"/>
    </w:rPr>
  </w:style>
  <w:style w:type="paragraph" w:styleId="BlockText">
    <w:name w:val="Block Text"/>
    <w:basedOn w:val="Normal"/>
    <w:rsid w:val="0042567F"/>
    <w:pPr>
      <w:widowControl w:val="0"/>
      <w:tabs>
        <w:tab w:val="left" w:pos="-720"/>
      </w:tabs>
      <w:suppressAutoHyphens/>
      <w:overflowPunct w:val="0"/>
      <w:autoSpaceDE w:val="0"/>
      <w:autoSpaceDN w:val="0"/>
      <w:adjustRightInd w:val="0"/>
      <w:ind w:left="720" w:right="720"/>
      <w:textAlignment w:val="baseline"/>
    </w:pPr>
    <w:rPr>
      <w:rFonts w:ascii="CG Times" w:hAnsi="CG Times"/>
      <w:szCs w:val="20"/>
    </w:rPr>
  </w:style>
  <w:style w:type="table" w:styleId="TableGrid">
    <w:name w:val="Table Grid"/>
    <w:basedOn w:val="TableNormal"/>
    <w:rsid w:val="00F66A6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mmentTextChar">
    <w:name w:val="Comment Text Char"/>
    <w:basedOn w:val="DefaultParagraphFont"/>
    <w:link w:val="CommentText"/>
    <w:rsid w:val="00307ED8"/>
  </w:style>
  <w:style w:type="paragraph" w:styleId="Revision">
    <w:name w:val="Revision"/>
    <w:hidden/>
    <w:uiPriority w:val="99"/>
    <w:semiHidden/>
    <w:rsid w:val="00892AD9"/>
    <w:rPr>
      <w:sz w:val="24"/>
      <w:szCs w:val="24"/>
    </w:rPr>
  </w:style>
  <w:style w:type="paragraph" w:styleId="Header">
    <w:name w:val="header"/>
    <w:basedOn w:val="Normal"/>
    <w:link w:val="HeaderChar"/>
    <w:rsid w:val="00043479"/>
    <w:pPr>
      <w:tabs>
        <w:tab w:val="center" w:pos="4680"/>
        <w:tab w:val="right" w:pos="9360"/>
      </w:tabs>
    </w:pPr>
  </w:style>
  <w:style w:type="character" w:customStyle="1" w:styleId="HeaderChar">
    <w:name w:val="Header Char"/>
    <w:link w:val="Header"/>
    <w:rsid w:val="00043479"/>
    <w:rPr>
      <w:sz w:val="24"/>
      <w:szCs w:val="24"/>
    </w:rPr>
  </w:style>
  <w:style w:type="character" w:customStyle="1" w:styleId="BodyText2Char">
    <w:name w:val="Body Text 2 Char"/>
    <w:link w:val="BodyText2"/>
    <w:rsid w:val="003B5940"/>
    <w:rPr>
      <w:sz w:val="24"/>
      <w:szCs w:val="24"/>
      <w:u w:val="single"/>
    </w:rPr>
  </w:style>
  <w:style w:type="character" w:styleId="FollowedHyperlink">
    <w:name w:val="FollowedHyperlink"/>
    <w:rsid w:val="00D625F9"/>
    <w:rPr>
      <w:color w:val="800080"/>
      <w:u w:val="single"/>
    </w:rPr>
  </w:style>
  <w:style w:type="paragraph" w:styleId="ListParagraph">
    <w:name w:val="List Paragraph"/>
    <w:basedOn w:val="Normal"/>
    <w:uiPriority w:val="34"/>
    <w:qFormat/>
    <w:rsid w:val="005368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353874">
      <w:bodyDiv w:val="1"/>
      <w:marLeft w:val="0"/>
      <w:marRight w:val="0"/>
      <w:marTop w:val="0"/>
      <w:marBottom w:val="0"/>
      <w:divBdr>
        <w:top w:val="none" w:sz="0" w:space="0" w:color="auto"/>
        <w:left w:val="none" w:sz="0" w:space="0" w:color="auto"/>
        <w:bottom w:val="none" w:sz="0" w:space="0" w:color="auto"/>
        <w:right w:val="none" w:sz="0" w:space="0" w:color="auto"/>
      </w:divBdr>
    </w:div>
    <w:div w:id="215043414">
      <w:bodyDiv w:val="1"/>
      <w:marLeft w:val="0"/>
      <w:marRight w:val="0"/>
      <w:marTop w:val="0"/>
      <w:marBottom w:val="0"/>
      <w:divBdr>
        <w:top w:val="none" w:sz="0" w:space="0" w:color="auto"/>
        <w:left w:val="none" w:sz="0" w:space="0" w:color="auto"/>
        <w:bottom w:val="none" w:sz="0" w:space="0" w:color="auto"/>
        <w:right w:val="none" w:sz="0" w:space="0" w:color="auto"/>
      </w:divBdr>
    </w:div>
    <w:div w:id="260189757">
      <w:bodyDiv w:val="1"/>
      <w:marLeft w:val="0"/>
      <w:marRight w:val="0"/>
      <w:marTop w:val="0"/>
      <w:marBottom w:val="0"/>
      <w:divBdr>
        <w:top w:val="none" w:sz="0" w:space="0" w:color="auto"/>
        <w:left w:val="none" w:sz="0" w:space="0" w:color="auto"/>
        <w:bottom w:val="none" w:sz="0" w:space="0" w:color="auto"/>
        <w:right w:val="none" w:sz="0" w:space="0" w:color="auto"/>
      </w:divBdr>
    </w:div>
    <w:div w:id="339115217">
      <w:bodyDiv w:val="1"/>
      <w:marLeft w:val="0"/>
      <w:marRight w:val="0"/>
      <w:marTop w:val="0"/>
      <w:marBottom w:val="0"/>
      <w:divBdr>
        <w:top w:val="none" w:sz="0" w:space="0" w:color="auto"/>
        <w:left w:val="none" w:sz="0" w:space="0" w:color="auto"/>
        <w:bottom w:val="none" w:sz="0" w:space="0" w:color="auto"/>
        <w:right w:val="none" w:sz="0" w:space="0" w:color="auto"/>
      </w:divBdr>
    </w:div>
    <w:div w:id="388649726">
      <w:bodyDiv w:val="1"/>
      <w:marLeft w:val="0"/>
      <w:marRight w:val="0"/>
      <w:marTop w:val="0"/>
      <w:marBottom w:val="0"/>
      <w:divBdr>
        <w:top w:val="none" w:sz="0" w:space="0" w:color="auto"/>
        <w:left w:val="none" w:sz="0" w:space="0" w:color="auto"/>
        <w:bottom w:val="none" w:sz="0" w:space="0" w:color="auto"/>
        <w:right w:val="none" w:sz="0" w:space="0" w:color="auto"/>
      </w:divBdr>
    </w:div>
    <w:div w:id="513418700">
      <w:bodyDiv w:val="1"/>
      <w:marLeft w:val="0"/>
      <w:marRight w:val="0"/>
      <w:marTop w:val="0"/>
      <w:marBottom w:val="0"/>
      <w:divBdr>
        <w:top w:val="none" w:sz="0" w:space="0" w:color="auto"/>
        <w:left w:val="none" w:sz="0" w:space="0" w:color="auto"/>
        <w:bottom w:val="none" w:sz="0" w:space="0" w:color="auto"/>
        <w:right w:val="none" w:sz="0" w:space="0" w:color="auto"/>
      </w:divBdr>
    </w:div>
    <w:div w:id="551118867">
      <w:bodyDiv w:val="1"/>
      <w:marLeft w:val="0"/>
      <w:marRight w:val="0"/>
      <w:marTop w:val="0"/>
      <w:marBottom w:val="0"/>
      <w:divBdr>
        <w:top w:val="none" w:sz="0" w:space="0" w:color="auto"/>
        <w:left w:val="none" w:sz="0" w:space="0" w:color="auto"/>
        <w:bottom w:val="none" w:sz="0" w:space="0" w:color="auto"/>
        <w:right w:val="none" w:sz="0" w:space="0" w:color="auto"/>
      </w:divBdr>
    </w:div>
    <w:div w:id="561989118">
      <w:bodyDiv w:val="1"/>
      <w:marLeft w:val="0"/>
      <w:marRight w:val="0"/>
      <w:marTop w:val="0"/>
      <w:marBottom w:val="0"/>
      <w:divBdr>
        <w:top w:val="none" w:sz="0" w:space="0" w:color="auto"/>
        <w:left w:val="none" w:sz="0" w:space="0" w:color="auto"/>
        <w:bottom w:val="none" w:sz="0" w:space="0" w:color="auto"/>
        <w:right w:val="none" w:sz="0" w:space="0" w:color="auto"/>
      </w:divBdr>
    </w:div>
    <w:div w:id="564725806">
      <w:bodyDiv w:val="1"/>
      <w:marLeft w:val="0"/>
      <w:marRight w:val="0"/>
      <w:marTop w:val="0"/>
      <w:marBottom w:val="0"/>
      <w:divBdr>
        <w:top w:val="none" w:sz="0" w:space="0" w:color="auto"/>
        <w:left w:val="none" w:sz="0" w:space="0" w:color="auto"/>
        <w:bottom w:val="none" w:sz="0" w:space="0" w:color="auto"/>
        <w:right w:val="none" w:sz="0" w:space="0" w:color="auto"/>
      </w:divBdr>
    </w:div>
    <w:div w:id="731731577">
      <w:bodyDiv w:val="1"/>
      <w:marLeft w:val="0"/>
      <w:marRight w:val="0"/>
      <w:marTop w:val="0"/>
      <w:marBottom w:val="0"/>
      <w:divBdr>
        <w:top w:val="none" w:sz="0" w:space="0" w:color="auto"/>
        <w:left w:val="none" w:sz="0" w:space="0" w:color="auto"/>
        <w:bottom w:val="none" w:sz="0" w:space="0" w:color="auto"/>
        <w:right w:val="none" w:sz="0" w:space="0" w:color="auto"/>
      </w:divBdr>
    </w:div>
    <w:div w:id="755055200">
      <w:bodyDiv w:val="1"/>
      <w:marLeft w:val="0"/>
      <w:marRight w:val="0"/>
      <w:marTop w:val="0"/>
      <w:marBottom w:val="0"/>
      <w:divBdr>
        <w:top w:val="none" w:sz="0" w:space="0" w:color="auto"/>
        <w:left w:val="none" w:sz="0" w:space="0" w:color="auto"/>
        <w:bottom w:val="none" w:sz="0" w:space="0" w:color="auto"/>
        <w:right w:val="none" w:sz="0" w:space="0" w:color="auto"/>
      </w:divBdr>
    </w:div>
    <w:div w:id="775290998">
      <w:bodyDiv w:val="1"/>
      <w:marLeft w:val="0"/>
      <w:marRight w:val="0"/>
      <w:marTop w:val="0"/>
      <w:marBottom w:val="0"/>
      <w:divBdr>
        <w:top w:val="none" w:sz="0" w:space="0" w:color="auto"/>
        <w:left w:val="none" w:sz="0" w:space="0" w:color="auto"/>
        <w:bottom w:val="none" w:sz="0" w:space="0" w:color="auto"/>
        <w:right w:val="none" w:sz="0" w:space="0" w:color="auto"/>
      </w:divBdr>
    </w:div>
    <w:div w:id="804200918">
      <w:bodyDiv w:val="1"/>
      <w:marLeft w:val="0"/>
      <w:marRight w:val="0"/>
      <w:marTop w:val="0"/>
      <w:marBottom w:val="0"/>
      <w:divBdr>
        <w:top w:val="none" w:sz="0" w:space="0" w:color="auto"/>
        <w:left w:val="none" w:sz="0" w:space="0" w:color="auto"/>
        <w:bottom w:val="none" w:sz="0" w:space="0" w:color="auto"/>
        <w:right w:val="none" w:sz="0" w:space="0" w:color="auto"/>
      </w:divBdr>
    </w:div>
    <w:div w:id="855313683">
      <w:bodyDiv w:val="1"/>
      <w:marLeft w:val="0"/>
      <w:marRight w:val="0"/>
      <w:marTop w:val="0"/>
      <w:marBottom w:val="0"/>
      <w:divBdr>
        <w:top w:val="none" w:sz="0" w:space="0" w:color="auto"/>
        <w:left w:val="none" w:sz="0" w:space="0" w:color="auto"/>
        <w:bottom w:val="none" w:sz="0" w:space="0" w:color="auto"/>
        <w:right w:val="none" w:sz="0" w:space="0" w:color="auto"/>
      </w:divBdr>
    </w:div>
    <w:div w:id="902258962">
      <w:bodyDiv w:val="1"/>
      <w:marLeft w:val="0"/>
      <w:marRight w:val="0"/>
      <w:marTop w:val="0"/>
      <w:marBottom w:val="0"/>
      <w:divBdr>
        <w:top w:val="none" w:sz="0" w:space="0" w:color="auto"/>
        <w:left w:val="none" w:sz="0" w:space="0" w:color="auto"/>
        <w:bottom w:val="none" w:sz="0" w:space="0" w:color="auto"/>
        <w:right w:val="none" w:sz="0" w:space="0" w:color="auto"/>
      </w:divBdr>
    </w:div>
    <w:div w:id="1106654605">
      <w:bodyDiv w:val="1"/>
      <w:marLeft w:val="0"/>
      <w:marRight w:val="0"/>
      <w:marTop w:val="0"/>
      <w:marBottom w:val="0"/>
      <w:divBdr>
        <w:top w:val="none" w:sz="0" w:space="0" w:color="auto"/>
        <w:left w:val="none" w:sz="0" w:space="0" w:color="auto"/>
        <w:bottom w:val="none" w:sz="0" w:space="0" w:color="auto"/>
        <w:right w:val="none" w:sz="0" w:space="0" w:color="auto"/>
      </w:divBdr>
    </w:div>
    <w:div w:id="1129472535">
      <w:bodyDiv w:val="1"/>
      <w:marLeft w:val="0"/>
      <w:marRight w:val="0"/>
      <w:marTop w:val="0"/>
      <w:marBottom w:val="0"/>
      <w:divBdr>
        <w:top w:val="none" w:sz="0" w:space="0" w:color="auto"/>
        <w:left w:val="none" w:sz="0" w:space="0" w:color="auto"/>
        <w:bottom w:val="none" w:sz="0" w:space="0" w:color="auto"/>
        <w:right w:val="none" w:sz="0" w:space="0" w:color="auto"/>
      </w:divBdr>
    </w:div>
    <w:div w:id="1253205074">
      <w:bodyDiv w:val="1"/>
      <w:marLeft w:val="0"/>
      <w:marRight w:val="0"/>
      <w:marTop w:val="0"/>
      <w:marBottom w:val="0"/>
      <w:divBdr>
        <w:top w:val="none" w:sz="0" w:space="0" w:color="auto"/>
        <w:left w:val="none" w:sz="0" w:space="0" w:color="auto"/>
        <w:bottom w:val="none" w:sz="0" w:space="0" w:color="auto"/>
        <w:right w:val="none" w:sz="0" w:space="0" w:color="auto"/>
      </w:divBdr>
    </w:div>
    <w:div w:id="1319847705">
      <w:bodyDiv w:val="1"/>
      <w:marLeft w:val="0"/>
      <w:marRight w:val="0"/>
      <w:marTop w:val="0"/>
      <w:marBottom w:val="0"/>
      <w:divBdr>
        <w:top w:val="none" w:sz="0" w:space="0" w:color="auto"/>
        <w:left w:val="none" w:sz="0" w:space="0" w:color="auto"/>
        <w:bottom w:val="none" w:sz="0" w:space="0" w:color="auto"/>
        <w:right w:val="none" w:sz="0" w:space="0" w:color="auto"/>
      </w:divBdr>
    </w:div>
    <w:div w:id="1360163655">
      <w:bodyDiv w:val="1"/>
      <w:marLeft w:val="0"/>
      <w:marRight w:val="0"/>
      <w:marTop w:val="0"/>
      <w:marBottom w:val="0"/>
      <w:divBdr>
        <w:top w:val="none" w:sz="0" w:space="0" w:color="auto"/>
        <w:left w:val="none" w:sz="0" w:space="0" w:color="auto"/>
        <w:bottom w:val="none" w:sz="0" w:space="0" w:color="auto"/>
        <w:right w:val="none" w:sz="0" w:space="0" w:color="auto"/>
      </w:divBdr>
    </w:div>
    <w:div w:id="1516765841">
      <w:bodyDiv w:val="1"/>
      <w:marLeft w:val="0"/>
      <w:marRight w:val="0"/>
      <w:marTop w:val="0"/>
      <w:marBottom w:val="0"/>
      <w:divBdr>
        <w:top w:val="none" w:sz="0" w:space="0" w:color="auto"/>
        <w:left w:val="none" w:sz="0" w:space="0" w:color="auto"/>
        <w:bottom w:val="none" w:sz="0" w:space="0" w:color="auto"/>
        <w:right w:val="none" w:sz="0" w:space="0" w:color="auto"/>
      </w:divBdr>
    </w:div>
    <w:div w:id="1588610438">
      <w:bodyDiv w:val="1"/>
      <w:marLeft w:val="0"/>
      <w:marRight w:val="0"/>
      <w:marTop w:val="0"/>
      <w:marBottom w:val="0"/>
      <w:divBdr>
        <w:top w:val="none" w:sz="0" w:space="0" w:color="auto"/>
        <w:left w:val="none" w:sz="0" w:space="0" w:color="auto"/>
        <w:bottom w:val="none" w:sz="0" w:space="0" w:color="auto"/>
        <w:right w:val="none" w:sz="0" w:space="0" w:color="auto"/>
      </w:divBdr>
    </w:div>
    <w:div w:id="1704866168">
      <w:bodyDiv w:val="1"/>
      <w:marLeft w:val="0"/>
      <w:marRight w:val="0"/>
      <w:marTop w:val="0"/>
      <w:marBottom w:val="0"/>
      <w:divBdr>
        <w:top w:val="none" w:sz="0" w:space="0" w:color="auto"/>
        <w:left w:val="none" w:sz="0" w:space="0" w:color="auto"/>
        <w:bottom w:val="none" w:sz="0" w:space="0" w:color="auto"/>
        <w:right w:val="none" w:sz="0" w:space="0" w:color="auto"/>
      </w:divBdr>
    </w:div>
    <w:div w:id="1726947822">
      <w:bodyDiv w:val="1"/>
      <w:marLeft w:val="0"/>
      <w:marRight w:val="0"/>
      <w:marTop w:val="0"/>
      <w:marBottom w:val="0"/>
      <w:divBdr>
        <w:top w:val="none" w:sz="0" w:space="0" w:color="auto"/>
        <w:left w:val="none" w:sz="0" w:space="0" w:color="auto"/>
        <w:bottom w:val="none" w:sz="0" w:space="0" w:color="auto"/>
        <w:right w:val="none" w:sz="0" w:space="0" w:color="auto"/>
      </w:divBdr>
    </w:div>
    <w:div w:id="1885943889">
      <w:bodyDiv w:val="1"/>
      <w:marLeft w:val="0"/>
      <w:marRight w:val="0"/>
      <w:marTop w:val="0"/>
      <w:marBottom w:val="0"/>
      <w:divBdr>
        <w:top w:val="none" w:sz="0" w:space="0" w:color="auto"/>
        <w:left w:val="none" w:sz="0" w:space="0" w:color="auto"/>
        <w:bottom w:val="none" w:sz="0" w:space="0" w:color="auto"/>
        <w:right w:val="none" w:sz="0" w:space="0" w:color="auto"/>
      </w:divBdr>
    </w:div>
    <w:div w:id="2003661061">
      <w:bodyDiv w:val="1"/>
      <w:marLeft w:val="0"/>
      <w:marRight w:val="0"/>
      <w:marTop w:val="0"/>
      <w:marBottom w:val="0"/>
      <w:divBdr>
        <w:top w:val="none" w:sz="0" w:space="0" w:color="auto"/>
        <w:left w:val="none" w:sz="0" w:space="0" w:color="auto"/>
        <w:bottom w:val="none" w:sz="0" w:space="0" w:color="auto"/>
        <w:right w:val="none" w:sz="0" w:space="0" w:color="auto"/>
      </w:divBdr>
    </w:div>
    <w:div w:id="2022200345">
      <w:bodyDiv w:val="1"/>
      <w:marLeft w:val="0"/>
      <w:marRight w:val="0"/>
      <w:marTop w:val="0"/>
      <w:marBottom w:val="0"/>
      <w:divBdr>
        <w:top w:val="none" w:sz="0" w:space="0" w:color="auto"/>
        <w:left w:val="none" w:sz="0" w:space="0" w:color="auto"/>
        <w:bottom w:val="none" w:sz="0" w:space="0" w:color="auto"/>
        <w:right w:val="none" w:sz="0" w:space="0" w:color="auto"/>
      </w:divBdr>
    </w:div>
    <w:div w:id="2073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211029.ht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34F93-5FEF-47CA-8524-225955199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3171</Words>
  <Characters>17654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Action:   Request for an Extension of a Currently Approved Information Collection</vt:lpstr>
    </vt:vector>
  </TitlesOfParts>
  <Company>USDA-FNS</Company>
  <LinksUpToDate>false</LinksUpToDate>
  <CharactersWithSpaces>20784</CharactersWithSpaces>
  <SharedDoc>false</SharedDoc>
  <HLinks>
    <vt:vector size="6" baseType="variant">
      <vt:variant>
        <vt:i4>1441872</vt:i4>
      </vt:variant>
      <vt:variant>
        <vt:i4>0</vt:i4>
      </vt:variant>
      <vt:variant>
        <vt:i4>0</vt:i4>
      </vt:variant>
      <vt:variant>
        <vt:i4>5</vt:i4>
      </vt:variant>
      <vt:variant>
        <vt:lpwstr>http://www.bls.gov/oes/current/oes211029.htm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Request for an Extension of a Currently Approved Information Collection</dc:title>
  <dc:creator>Administrator</dc:creator>
  <cp:lastModifiedBy>Windows User</cp:lastModifiedBy>
  <cp:revision>2</cp:revision>
  <cp:lastPrinted>2012-08-24T13:07:00Z</cp:lastPrinted>
  <dcterms:created xsi:type="dcterms:W3CDTF">2014-09-16T19:26:00Z</dcterms:created>
  <dcterms:modified xsi:type="dcterms:W3CDTF">2014-09-16T19:26:00Z</dcterms:modified>
</cp:coreProperties>
</file>