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D5" w:rsidRDefault="00CB68D5" w:rsidP="00CB68D5">
      <w:pPr>
        <w:pStyle w:val="AppHeading1"/>
      </w:pPr>
      <w:r>
        <w:t>Appendix BBBB</w:t>
      </w:r>
      <w:r w:rsidR="003B3833">
        <w:t>:</w:t>
      </w:r>
      <w:r>
        <w:br/>
        <w:t>National Agricultural Statistics Service Comments</w:t>
      </w:r>
    </w:p>
    <w:p w:rsidR="00CB68D5" w:rsidRDefault="00CB68D5" w:rsidP="00CB68D5">
      <w:pPr>
        <w:pStyle w:val="AppHeading1"/>
        <w:sectPr w:rsidR="00CB68D5" w:rsidSect="00E840A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72"/>
        </w:sectPr>
      </w:pPr>
    </w:p>
    <w:p w:rsidR="00ED6F09" w:rsidRDefault="0042328C" w:rsidP="0042328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NASS Review of OMB Documents</w:t>
      </w:r>
    </w:p>
    <w:p w:rsidR="0042328C" w:rsidRDefault="0042328C" w:rsidP="0055223C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FNS WIC </w:t>
      </w:r>
      <w:r w:rsidR="00ED6F09">
        <w:rPr>
          <w:b/>
          <w:sz w:val="28"/>
          <w:szCs w:val="28"/>
        </w:rPr>
        <w:t xml:space="preserve">Nutrition </w:t>
      </w:r>
      <w:r w:rsidRPr="001E2EA4">
        <w:rPr>
          <w:b/>
          <w:sz w:val="28"/>
          <w:szCs w:val="28"/>
        </w:rPr>
        <w:t>Study</w:t>
      </w:r>
    </w:p>
    <w:p w:rsidR="0042328C" w:rsidRPr="001E2EA4" w:rsidRDefault="0042328C" w:rsidP="0042328C">
      <w:pPr>
        <w:jc w:val="center"/>
        <w:rPr>
          <w:b/>
          <w:sz w:val="28"/>
          <w:szCs w:val="28"/>
        </w:rPr>
      </w:pPr>
    </w:p>
    <w:p w:rsidR="0042328C" w:rsidRDefault="0042328C" w:rsidP="0042328C">
      <w:pPr>
        <w:ind w:left="360"/>
        <w:rPr>
          <w:b/>
        </w:rPr>
      </w:pPr>
    </w:p>
    <w:p w:rsidR="0042328C" w:rsidRPr="00ED6F09" w:rsidRDefault="0042328C" w:rsidP="0042328C">
      <w:pPr>
        <w:ind w:left="360"/>
      </w:pPr>
      <w:r>
        <w:rPr>
          <w:b/>
        </w:rPr>
        <w:t>I.  Study Purpose</w:t>
      </w:r>
      <w:r w:rsidR="00A806D8">
        <w:rPr>
          <w:b/>
        </w:rPr>
        <w:t xml:space="preserve"> and Objectives</w:t>
      </w:r>
    </w:p>
    <w:p w:rsidR="0042328C" w:rsidRDefault="0042328C" w:rsidP="0042328C">
      <w:pPr>
        <w:ind w:left="360"/>
      </w:pPr>
    </w:p>
    <w:p w:rsidR="0042328C" w:rsidRPr="00ED6F09" w:rsidRDefault="00ED6F09" w:rsidP="0042328C">
      <w:pPr>
        <w:ind w:left="360"/>
      </w:pPr>
      <w:r>
        <w:t xml:space="preserve">The </w:t>
      </w:r>
      <w:r w:rsidR="00D324E8">
        <w:t xml:space="preserve">proposal clearly states the </w:t>
      </w:r>
      <w:r>
        <w:t>purpose</w:t>
      </w:r>
      <w:r w:rsidR="00104FEB">
        <w:t xml:space="preserve"> </w:t>
      </w:r>
      <w:r>
        <w:t xml:space="preserve">of the </w:t>
      </w:r>
      <w:r w:rsidR="00104FEB">
        <w:t>s</w:t>
      </w:r>
      <w:r w:rsidR="00D324E8">
        <w:t>tudy</w:t>
      </w:r>
      <w:r w:rsidR="00104FEB">
        <w:t>. The objectives define what the study is supposed to accomplish</w:t>
      </w:r>
      <w:r w:rsidR="00EA55BB">
        <w:t>,</w:t>
      </w:r>
      <w:r w:rsidR="00104FEB">
        <w:t xml:space="preserve"> and </w:t>
      </w:r>
      <w:r w:rsidR="00D324E8">
        <w:t xml:space="preserve">also </w:t>
      </w:r>
      <w:r w:rsidR="00104FEB">
        <w:t>establish benchmarks that can be used to</w:t>
      </w:r>
      <w:r w:rsidR="00EA55BB">
        <w:t xml:space="preserve"> carry out and</w:t>
      </w:r>
      <w:r w:rsidR="00104FEB">
        <w:t xml:space="preserve"> evaluate the study. </w:t>
      </w:r>
      <w:r w:rsidR="00835675" w:rsidRPr="00ED6F09">
        <w:t xml:space="preserve"> </w:t>
      </w:r>
    </w:p>
    <w:p w:rsidR="0042328C" w:rsidRPr="00ED6F09" w:rsidRDefault="0042328C" w:rsidP="0042328C">
      <w:pPr>
        <w:ind w:left="360"/>
      </w:pPr>
    </w:p>
    <w:p w:rsidR="0042328C" w:rsidRPr="00104FEB" w:rsidRDefault="0042328C" w:rsidP="0042328C">
      <w:pPr>
        <w:ind w:left="360"/>
      </w:pPr>
      <w:r w:rsidRPr="001E2EA4">
        <w:rPr>
          <w:b/>
        </w:rPr>
        <w:t>I</w:t>
      </w:r>
      <w:r>
        <w:rPr>
          <w:b/>
        </w:rPr>
        <w:t>I</w:t>
      </w:r>
      <w:r w:rsidRPr="001E2EA4">
        <w:rPr>
          <w:b/>
        </w:rPr>
        <w:t xml:space="preserve">. Sample </w:t>
      </w:r>
      <w:r w:rsidR="0001510E">
        <w:rPr>
          <w:b/>
        </w:rPr>
        <w:t>Design</w:t>
      </w:r>
      <w:r w:rsidRPr="00104FEB">
        <w:t xml:space="preserve"> </w:t>
      </w:r>
    </w:p>
    <w:p w:rsidR="0042328C" w:rsidRDefault="0042328C" w:rsidP="0042328C">
      <w:pPr>
        <w:ind w:left="360"/>
      </w:pPr>
    </w:p>
    <w:p w:rsidR="00104FEB" w:rsidRDefault="0001510E" w:rsidP="0042328C">
      <w:pPr>
        <w:ind w:left="360"/>
      </w:pPr>
      <w:r>
        <w:t>The design</w:t>
      </w:r>
      <w:r w:rsidR="00104FEB">
        <w:t xml:space="preserve"> of the samples fall into </w:t>
      </w:r>
      <w:r w:rsidR="000C6A36">
        <w:t>these</w:t>
      </w:r>
      <w:r w:rsidR="00104FEB">
        <w:t xml:space="preserve"> categories:</w:t>
      </w:r>
    </w:p>
    <w:p w:rsidR="00104FEB" w:rsidRDefault="00104FEB" w:rsidP="0042328C">
      <w:pPr>
        <w:ind w:left="360"/>
      </w:pPr>
      <w:r>
        <w:tab/>
      </w:r>
    </w:p>
    <w:p w:rsidR="00104FEB" w:rsidRDefault="00D862F4" w:rsidP="0055694D">
      <w:pPr>
        <w:pStyle w:val="ListParagraph"/>
        <w:numPr>
          <w:ilvl w:val="0"/>
          <w:numId w:val="1"/>
        </w:numPr>
      </w:pPr>
      <w:r>
        <w:t>Phase</w:t>
      </w:r>
      <w:r w:rsidR="0055694D">
        <w:t xml:space="preserve"> I</w:t>
      </w:r>
      <w:r w:rsidR="004E2B9C">
        <w:t xml:space="preserve"> sample is designed </w:t>
      </w:r>
      <w:r w:rsidR="00D20BBE">
        <w:t>appropriately</w:t>
      </w:r>
      <w:r w:rsidR="00BC00F5">
        <w:t xml:space="preserve"> to  “provide a comprehensive nationally representative description of WIC nutrition education”</w:t>
      </w:r>
      <w:r w:rsidR="001E1997">
        <w:t xml:space="preserve"> and to provide a basis for Phase II</w:t>
      </w:r>
      <w:r w:rsidR="0001510E">
        <w:t xml:space="preserve"> sampling</w:t>
      </w:r>
      <w:r w:rsidR="00D20BBE">
        <w:t>:</w:t>
      </w:r>
    </w:p>
    <w:p w:rsidR="0055694D" w:rsidRDefault="0055694D" w:rsidP="0042328C">
      <w:pPr>
        <w:ind w:left="360"/>
      </w:pPr>
      <w:r>
        <w:tab/>
      </w:r>
      <w:r>
        <w:tab/>
      </w:r>
    </w:p>
    <w:p w:rsidR="0076281A" w:rsidRDefault="00AB3A3C" w:rsidP="0055694D">
      <w:pPr>
        <w:pStyle w:val="ListParagraph"/>
        <w:numPr>
          <w:ilvl w:val="1"/>
          <w:numId w:val="1"/>
        </w:numPr>
      </w:pPr>
      <w:r>
        <w:t>Stage 1</w:t>
      </w:r>
      <w:r w:rsidR="001A50A9">
        <w:t>(Local Agencies)</w:t>
      </w:r>
      <w:r>
        <w:t xml:space="preserve">:   The sample </w:t>
      </w:r>
      <w:r w:rsidR="00A57E18">
        <w:t>design will</w:t>
      </w:r>
      <w:r w:rsidR="0055694D">
        <w:t xml:space="preserve"> accomplish the task </w:t>
      </w:r>
      <w:r w:rsidR="00DE06C6">
        <w:t>of selecting</w:t>
      </w:r>
      <w:r w:rsidR="0055694D">
        <w:t xml:space="preserve"> the required number </w:t>
      </w:r>
      <w:r w:rsidR="00DE06C6">
        <w:t>of local</w:t>
      </w:r>
      <w:r w:rsidR="0055694D">
        <w:t xml:space="preserve"> agencies for </w:t>
      </w:r>
      <w:r w:rsidR="00D862F4">
        <w:t>Phase</w:t>
      </w:r>
      <w:r w:rsidR="0055694D">
        <w:t xml:space="preserve"> 1. The use of a stratified sampling design is useful in separating the agencies by type and allowing for a more efficient design. The use of</w:t>
      </w:r>
      <w:r w:rsidR="008644DB">
        <w:t xml:space="preserve"> </w:t>
      </w:r>
      <w:r w:rsidR="006F0E15">
        <w:t>a probability</w:t>
      </w:r>
      <w:r w:rsidR="0055694D">
        <w:t xml:space="preserve"> proportional to size </w:t>
      </w:r>
      <w:r w:rsidR="008644DB">
        <w:t>design</w:t>
      </w:r>
      <w:r w:rsidR="00394174">
        <w:t xml:space="preserve"> in the stratum </w:t>
      </w:r>
      <w:r w:rsidR="006F0E15">
        <w:t>with “</w:t>
      </w:r>
      <w:r w:rsidR="00394174">
        <w:t>All Other Local Agencies</w:t>
      </w:r>
      <w:r w:rsidR="006F0E15">
        <w:t>” will</w:t>
      </w:r>
      <w:r w:rsidR="008644DB">
        <w:t xml:space="preserve"> allow the inclusion of the agencies with the greatest impact (because of size) in the sample.</w:t>
      </w:r>
      <w:r w:rsidR="00DE06C6">
        <w:t xml:space="preserve"> The selection </w:t>
      </w:r>
      <w:r w:rsidR="00D20BBE">
        <w:t>of a</w:t>
      </w:r>
      <w:r w:rsidR="00DE06C6">
        <w:t xml:space="preserve"> reserve sample will allow the required sample</w:t>
      </w:r>
      <w:r w:rsidR="0076281A">
        <w:t xml:space="preserve"> </w:t>
      </w:r>
      <w:r w:rsidR="00DE06C6">
        <w:t>size</w:t>
      </w:r>
    </w:p>
    <w:p w:rsidR="00104FEB" w:rsidRDefault="00DE06C6" w:rsidP="0076281A">
      <w:pPr>
        <w:pStyle w:val="ListParagraph"/>
        <w:ind w:left="2160"/>
      </w:pPr>
      <w:r>
        <w:t xml:space="preserve"> to be achieved in case of </w:t>
      </w:r>
      <w:r w:rsidR="00394174">
        <w:t>nonresponse</w:t>
      </w:r>
      <w:r>
        <w:t>.</w:t>
      </w:r>
    </w:p>
    <w:p w:rsidR="008644DB" w:rsidRDefault="008644DB" w:rsidP="008644DB">
      <w:pPr>
        <w:pStyle w:val="ListParagraph"/>
        <w:ind w:left="1440"/>
      </w:pPr>
    </w:p>
    <w:p w:rsidR="00C22BDB" w:rsidRDefault="00C35ACA" w:rsidP="00442AA4">
      <w:pPr>
        <w:pStyle w:val="ListParagraph"/>
        <w:numPr>
          <w:ilvl w:val="1"/>
          <w:numId w:val="1"/>
        </w:numPr>
      </w:pPr>
      <w:r>
        <w:t>Stag</w:t>
      </w:r>
      <w:r w:rsidR="00057C2C">
        <w:t>e</w:t>
      </w:r>
      <w:r>
        <w:t xml:space="preserve"> 2</w:t>
      </w:r>
      <w:r w:rsidR="001A50A9">
        <w:t>(Site)</w:t>
      </w:r>
      <w:r>
        <w:t xml:space="preserve">: </w:t>
      </w:r>
      <w:r w:rsidR="00DE06C6">
        <w:t xml:space="preserve"> A systematic random sample will achieve the goal </w:t>
      </w:r>
      <w:r w:rsidR="00351FDD">
        <w:t>of having</w:t>
      </w:r>
      <w:r w:rsidR="00DE06C6">
        <w:t xml:space="preserve"> an adequate range of case loads</w:t>
      </w:r>
      <w:r w:rsidR="0041781C">
        <w:t xml:space="preserve"> (with</w:t>
      </w:r>
      <w:r w:rsidR="00442AA4">
        <w:t xml:space="preserve"> geographic and </w:t>
      </w:r>
      <w:r w:rsidR="0041781C">
        <w:t xml:space="preserve">nutrition education </w:t>
      </w:r>
      <w:r w:rsidR="00442AA4">
        <w:t>delivery mode diversity</w:t>
      </w:r>
      <w:r w:rsidR="0041781C">
        <w:t xml:space="preserve">) </w:t>
      </w:r>
      <w:r w:rsidR="00442AA4">
        <w:t>in</w:t>
      </w:r>
      <w:r w:rsidR="00DE06C6">
        <w:t xml:space="preserve"> the sample</w:t>
      </w:r>
      <w:r w:rsidR="004C2927">
        <w:t xml:space="preserve"> from the agencies selected in stage 1</w:t>
      </w:r>
      <w:r w:rsidR="00C22BDB">
        <w:t>.</w:t>
      </w:r>
      <w:r w:rsidR="00442AA4">
        <w:t xml:space="preserve"> </w:t>
      </w:r>
    </w:p>
    <w:p w:rsidR="001A50A9" w:rsidRDefault="001A50A9" w:rsidP="001A50A9">
      <w:pPr>
        <w:pStyle w:val="ListParagraph"/>
        <w:ind w:left="2160"/>
      </w:pPr>
    </w:p>
    <w:p w:rsidR="001A50A9" w:rsidRDefault="001A50A9" w:rsidP="00442AA4">
      <w:pPr>
        <w:pStyle w:val="ListParagraph"/>
        <w:numPr>
          <w:ilvl w:val="1"/>
          <w:numId w:val="1"/>
        </w:numPr>
      </w:pPr>
      <w:r>
        <w:t xml:space="preserve">Site Sub-sample: In-depth telephone interviews with respondents to this sample will provide the information needed to </w:t>
      </w:r>
      <w:r w:rsidR="001D70FD">
        <w:t>describe</w:t>
      </w:r>
      <w:r w:rsidR="00B61D99">
        <w:t xml:space="preserve"> the nutrition education process</w:t>
      </w:r>
      <w:r w:rsidR="00FA7197">
        <w:t>,</w:t>
      </w:r>
      <w:r w:rsidR="001D70FD">
        <w:t xml:space="preserve"> and</w:t>
      </w:r>
      <w:r w:rsidR="000C2513">
        <w:t xml:space="preserve"> provide</w:t>
      </w:r>
      <w:r w:rsidR="001D70FD">
        <w:t xml:space="preserve"> information for Phase II sampling</w:t>
      </w:r>
      <w:r w:rsidR="00B61D99">
        <w:t>.</w:t>
      </w:r>
    </w:p>
    <w:p w:rsidR="0028646B" w:rsidRDefault="0028646B" w:rsidP="00A27A2B">
      <w:pPr>
        <w:pStyle w:val="ListParagraph"/>
        <w:ind w:left="2160"/>
      </w:pPr>
    </w:p>
    <w:p w:rsidR="00590237" w:rsidRDefault="00D862F4" w:rsidP="00A27A2B">
      <w:pPr>
        <w:pStyle w:val="ListParagraph"/>
        <w:numPr>
          <w:ilvl w:val="0"/>
          <w:numId w:val="1"/>
        </w:numPr>
      </w:pPr>
      <w:r>
        <w:t>Phase</w:t>
      </w:r>
      <w:r w:rsidR="009959A8" w:rsidRPr="00D20BBE">
        <w:t xml:space="preserve"> II</w:t>
      </w:r>
      <w:r w:rsidR="00D20BBE" w:rsidRPr="00D20BBE">
        <w:t xml:space="preserve"> </w:t>
      </w:r>
      <w:r w:rsidR="0076281A">
        <w:t>sampling</w:t>
      </w:r>
      <w:r w:rsidR="00D20BBE" w:rsidRPr="00D20BBE">
        <w:t xml:space="preserve"> objectives are stated to “</w:t>
      </w:r>
      <w:r w:rsidR="00A27A2B" w:rsidRPr="006E0CCA">
        <w:t>to capitalize on the variability of WIC nutrition education to enable using a dose-response design. At the same time, we plan to employ a sampling procedure that would be scalable to a national study that yields nationally representative estimates</w:t>
      </w:r>
      <w:r w:rsidR="00A27A2B">
        <w:t>”</w:t>
      </w:r>
      <w:r w:rsidR="00D20BBE" w:rsidRPr="00D20BBE">
        <w:t>. The</w:t>
      </w:r>
      <w:r w:rsidR="00D20BBE">
        <w:t xml:space="preserve"> study will accomplish </w:t>
      </w:r>
      <w:r w:rsidR="00AB3A3C">
        <w:t xml:space="preserve">these objectives </w:t>
      </w:r>
      <w:r w:rsidR="00D20BBE">
        <w:t>by</w:t>
      </w:r>
    </w:p>
    <w:p w:rsidR="00590237" w:rsidRDefault="00590237" w:rsidP="003F75A3">
      <w:r>
        <w:t xml:space="preserve"> </w:t>
      </w:r>
      <w:r w:rsidR="003F75A3">
        <w:t xml:space="preserve"> </w:t>
      </w:r>
    </w:p>
    <w:p w:rsidR="00590237" w:rsidRDefault="00590237" w:rsidP="00590237">
      <w:pPr>
        <w:pStyle w:val="ListParagraph"/>
        <w:numPr>
          <w:ilvl w:val="1"/>
          <w:numId w:val="1"/>
        </w:numPr>
      </w:pPr>
      <w:r>
        <w:lastRenderedPageBreak/>
        <w:t>Utilizing a process in site selection</w:t>
      </w:r>
      <w:r w:rsidR="002539FE">
        <w:t xml:space="preserve"> (from Phase I </w:t>
      </w:r>
      <w:r w:rsidR="00BE496B">
        <w:t xml:space="preserve">interview </w:t>
      </w:r>
      <w:r w:rsidR="002539FE">
        <w:t>sites)</w:t>
      </w:r>
      <w:r>
        <w:t xml:space="preserve"> that ensures diversity in geographic location, population characteristics, and type of nutrition education.  </w:t>
      </w:r>
    </w:p>
    <w:p w:rsidR="00590237" w:rsidRDefault="00590237" w:rsidP="00590237">
      <w:pPr>
        <w:ind w:left="2160"/>
      </w:pPr>
    </w:p>
    <w:p w:rsidR="009959A8" w:rsidRDefault="00020A19" w:rsidP="009959A8">
      <w:pPr>
        <w:pStyle w:val="ListParagraph"/>
        <w:numPr>
          <w:ilvl w:val="1"/>
          <w:numId w:val="1"/>
        </w:numPr>
      </w:pPr>
      <w:r>
        <w:t xml:space="preserve">Creating a multiple </w:t>
      </w:r>
      <w:r w:rsidRPr="006E0CCA">
        <w:t>component index of dosage of nutrition education</w:t>
      </w:r>
      <w:r>
        <w:t xml:space="preserve"> to use </w:t>
      </w:r>
      <w:r w:rsidR="00312619">
        <w:t>in ranking</w:t>
      </w:r>
      <w:r w:rsidR="00BF5489">
        <w:t xml:space="preserve"> and </w:t>
      </w:r>
      <w:r>
        <w:t>selecting a subset of sites from the</w:t>
      </w:r>
      <w:r w:rsidR="009F5AE0">
        <w:t xml:space="preserve"> Phase I</w:t>
      </w:r>
      <w:r>
        <w:t xml:space="preserve"> site interviews.</w:t>
      </w:r>
    </w:p>
    <w:p w:rsidR="0042328C" w:rsidRDefault="0042328C" w:rsidP="0042328C">
      <w:pPr>
        <w:ind w:left="360"/>
      </w:pPr>
    </w:p>
    <w:p w:rsidR="0042328C" w:rsidRDefault="0042328C" w:rsidP="0042328C">
      <w:pPr>
        <w:ind w:left="360"/>
        <w:rPr>
          <w:b/>
        </w:rPr>
      </w:pPr>
      <w:r>
        <w:rPr>
          <w:b/>
        </w:rPr>
        <w:t>III</w:t>
      </w:r>
      <w:r w:rsidRPr="00F638CC">
        <w:rPr>
          <w:b/>
        </w:rPr>
        <w:t>. Data Collection Instruments</w:t>
      </w:r>
    </w:p>
    <w:p w:rsidR="00B94893" w:rsidRDefault="00B94893" w:rsidP="0042328C">
      <w:pPr>
        <w:ind w:left="360"/>
        <w:rPr>
          <w:b/>
        </w:rPr>
      </w:pPr>
    </w:p>
    <w:p w:rsidR="00B94893" w:rsidRDefault="00AF3C7C" w:rsidP="0042328C">
      <w:pPr>
        <w:ind w:left="360"/>
      </w:pPr>
      <w:r>
        <w:t xml:space="preserve">The data collection </w:t>
      </w:r>
      <w:r w:rsidR="00E304E7">
        <w:t xml:space="preserve">instruments are exhaustive and well designed. They should </w:t>
      </w:r>
      <w:r w:rsidR="00312619">
        <w:t xml:space="preserve"> </w:t>
      </w:r>
    </w:p>
    <w:p w:rsidR="0042328C" w:rsidRPr="00104FEB" w:rsidRDefault="00312619" w:rsidP="0042328C">
      <w:pPr>
        <w:ind w:left="360"/>
      </w:pPr>
      <w:r>
        <w:t>achieve</w:t>
      </w:r>
      <w:r w:rsidR="00E304E7">
        <w:t xml:space="preserve"> the</w:t>
      </w:r>
      <w:r w:rsidR="00202531">
        <w:t xml:space="preserve"> data collection</w:t>
      </w:r>
      <w:r w:rsidR="00E304E7">
        <w:t xml:space="preserve"> goals of the </w:t>
      </w:r>
      <w:r w:rsidR="003D65FD">
        <w:t>study</w:t>
      </w:r>
      <w:r w:rsidR="00E304E7">
        <w:t>.</w:t>
      </w:r>
      <w:r w:rsidR="00D862F4">
        <w:t xml:space="preserve"> </w:t>
      </w:r>
      <w:r w:rsidR="00580A73">
        <w:t xml:space="preserve"> </w:t>
      </w:r>
    </w:p>
    <w:p w:rsidR="0042328C" w:rsidRPr="00104FEB" w:rsidRDefault="00835675" w:rsidP="0042328C">
      <w:pPr>
        <w:ind w:left="360"/>
      </w:pPr>
      <w:r w:rsidRPr="00104FEB">
        <w:t xml:space="preserve"> </w:t>
      </w:r>
      <w:r w:rsidR="00787929">
        <w:rPr>
          <w:b/>
        </w:rPr>
        <w:t xml:space="preserve"> </w:t>
      </w:r>
    </w:p>
    <w:p w:rsidR="0042328C" w:rsidRDefault="0042328C" w:rsidP="0042328C">
      <w:pPr>
        <w:ind w:left="360"/>
      </w:pPr>
      <w:r w:rsidRPr="00F638CC">
        <w:rPr>
          <w:b/>
        </w:rPr>
        <w:t>I</w:t>
      </w:r>
      <w:r>
        <w:rPr>
          <w:b/>
        </w:rPr>
        <w:t>V</w:t>
      </w:r>
      <w:r w:rsidRPr="00F638CC">
        <w:rPr>
          <w:b/>
        </w:rPr>
        <w:t>. Data Collection Procedures</w:t>
      </w:r>
      <w:r w:rsidRPr="00104FEB">
        <w:t xml:space="preserve"> </w:t>
      </w:r>
    </w:p>
    <w:p w:rsidR="00B94893" w:rsidRDefault="00B94893" w:rsidP="0042328C">
      <w:pPr>
        <w:ind w:left="360"/>
      </w:pPr>
    </w:p>
    <w:p w:rsidR="004B66E4" w:rsidRDefault="007C6FB5" w:rsidP="0042328C">
      <w:pPr>
        <w:ind w:left="360"/>
      </w:pPr>
      <w:r>
        <w:t xml:space="preserve">The use of web based surveys in </w:t>
      </w:r>
      <w:r w:rsidR="00D862F4">
        <w:t>Phase</w:t>
      </w:r>
      <w:r>
        <w:t xml:space="preserve"> I</w:t>
      </w:r>
      <w:r w:rsidR="004B66E4">
        <w:t xml:space="preserve"> – stage 1</w:t>
      </w:r>
      <w:r>
        <w:t xml:space="preserve"> is cost efficien</w:t>
      </w:r>
      <w:r w:rsidR="00284D2C">
        <w:t>,</w:t>
      </w:r>
      <w:r>
        <w:t>t since the respondents are supervisors/administrators and the response rate should be high for this population.</w:t>
      </w:r>
      <w:r w:rsidR="004B66E4">
        <w:t xml:space="preserve"> Using telephone interviews for </w:t>
      </w:r>
      <w:r w:rsidR="00D862F4">
        <w:t>Phase</w:t>
      </w:r>
      <w:r w:rsidR="004B66E4">
        <w:t xml:space="preserve"> I – stage 2 is appropriate in order to get the more detailed information that is needed.</w:t>
      </w:r>
    </w:p>
    <w:p w:rsidR="00024698" w:rsidRDefault="00024698" w:rsidP="0042328C">
      <w:pPr>
        <w:ind w:left="360"/>
      </w:pPr>
    </w:p>
    <w:p w:rsidR="00292FDA" w:rsidRDefault="00B94893" w:rsidP="0042328C">
      <w:pPr>
        <w:ind w:left="360"/>
      </w:pPr>
      <w:r>
        <w:t>Collection of the WIC participant data in three stages (base, interim and final) is appropriate for the estimation methods</w:t>
      </w:r>
      <w:r w:rsidR="00F0439A">
        <w:t xml:space="preserve"> (such </w:t>
      </w:r>
      <w:r w:rsidR="00F45BEB">
        <w:t xml:space="preserve">as </w:t>
      </w:r>
      <w:r w:rsidR="00F0439A">
        <w:t>difference-in-difference estimates</w:t>
      </w:r>
      <w:r w:rsidR="007C6FB5">
        <w:t xml:space="preserve">) </w:t>
      </w:r>
      <w:r w:rsidR="00F45BEB">
        <w:t xml:space="preserve">that </w:t>
      </w:r>
      <w:r w:rsidR="007C6FB5">
        <w:t>will</w:t>
      </w:r>
      <w:r>
        <w:t xml:space="preserve"> be used for the study.</w:t>
      </w:r>
      <w:r w:rsidR="007C6FB5">
        <w:t xml:space="preserve">   </w:t>
      </w:r>
    </w:p>
    <w:p w:rsidR="00292FDA" w:rsidRDefault="00292FDA" w:rsidP="0042328C">
      <w:pPr>
        <w:ind w:left="360"/>
      </w:pPr>
    </w:p>
    <w:p w:rsidR="00542F86" w:rsidRDefault="00542F86" w:rsidP="0042328C">
      <w:pPr>
        <w:ind w:left="360"/>
      </w:pPr>
      <w:r>
        <w:t xml:space="preserve">The data collection plan for </w:t>
      </w:r>
      <w:r w:rsidR="00D862F4">
        <w:t>Phase</w:t>
      </w:r>
      <w:r>
        <w:t xml:space="preserve"> II is thorough. It is well thought-out</w:t>
      </w:r>
      <w:r w:rsidR="00ED5322">
        <w:t>, and</w:t>
      </w:r>
    </w:p>
    <w:p w:rsidR="007C77A9" w:rsidRDefault="00312619" w:rsidP="0042328C">
      <w:pPr>
        <w:ind w:left="360"/>
      </w:pPr>
      <w:r>
        <w:t>s</w:t>
      </w:r>
      <w:r w:rsidR="003844F7">
        <w:t>hould achieve the</w:t>
      </w:r>
      <w:r w:rsidR="003C5228">
        <w:t xml:space="preserve"> </w:t>
      </w:r>
      <w:r w:rsidR="00ED5322">
        <w:t>study objectives</w:t>
      </w:r>
      <w:r w:rsidR="00542F86">
        <w:t>.</w:t>
      </w:r>
    </w:p>
    <w:p w:rsidR="0042328C" w:rsidRPr="00104FEB" w:rsidRDefault="0042328C" w:rsidP="0042328C">
      <w:pPr>
        <w:ind w:left="360"/>
      </w:pPr>
    </w:p>
    <w:p w:rsidR="0042328C" w:rsidRDefault="0042328C" w:rsidP="0042328C">
      <w:pPr>
        <w:ind w:left="360"/>
      </w:pPr>
      <w:r w:rsidRPr="00104FEB">
        <w:t xml:space="preserve"> </w:t>
      </w:r>
      <w:r w:rsidRPr="00604CA8">
        <w:rPr>
          <w:b/>
        </w:rPr>
        <w:t>V. Statistical Methods</w:t>
      </w:r>
      <w:r w:rsidRPr="00104FEB">
        <w:t xml:space="preserve"> </w:t>
      </w:r>
    </w:p>
    <w:p w:rsidR="00F11786" w:rsidRDefault="00F11786" w:rsidP="0042328C">
      <w:pPr>
        <w:ind w:left="360"/>
      </w:pPr>
    </w:p>
    <w:p w:rsidR="00F11786" w:rsidRDefault="006A1913" w:rsidP="0042328C">
      <w:pPr>
        <w:ind w:left="360"/>
      </w:pPr>
      <w:r>
        <w:t xml:space="preserve">The statistical methods </w:t>
      </w:r>
      <w:r w:rsidR="0033196B">
        <w:t xml:space="preserve">outlined in the proposal </w:t>
      </w:r>
      <w:r>
        <w:t xml:space="preserve">are suitable for the objectives of the </w:t>
      </w:r>
      <w:r w:rsidR="003D65FD">
        <w:t>study</w:t>
      </w:r>
      <w:r>
        <w:t xml:space="preserve"> and for the struct</w:t>
      </w:r>
      <w:r w:rsidR="0033196B">
        <w:t>ure/characteristics of the data:</w:t>
      </w:r>
      <w:r>
        <w:t xml:space="preserve"> </w:t>
      </w:r>
    </w:p>
    <w:p w:rsidR="007C77A9" w:rsidRDefault="007C77A9" w:rsidP="0042328C">
      <w:pPr>
        <w:ind w:left="360"/>
      </w:pPr>
    </w:p>
    <w:p w:rsidR="007C77A9" w:rsidRDefault="007C77A9" w:rsidP="007C77A9">
      <w:pPr>
        <w:pStyle w:val="ListParagraph"/>
        <w:numPr>
          <w:ilvl w:val="0"/>
          <w:numId w:val="3"/>
        </w:numPr>
      </w:pPr>
      <w:r>
        <w:t xml:space="preserve">To accomplish </w:t>
      </w:r>
      <w:r w:rsidR="003D65FD">
        <w:t>study</w:t>
      </w:r>
      <w:r>
        <w:t xml:space="preserve"> objectives:</w:t>
      </w:r>
    </w:p>
    <w:p w:rsidR="00BF5489" w:rsidRDefault="00BF5489" w:rsidP="00BF5489">
      <w:pPr>
        <w:pStyle w:val="ListParagraph"/>
        <w:ind w:left="1440"/>
      </w:pPr>
    </w:p>
    <w:p w:rsidR="007C77A9" w:rsidRDefault="007C77A9" w:rsidP="007C77A9">
      <w:pPr>
        <w:pStyle w:val="ListParagraph"/>
        <w:numPr>
          <w:ilvl w:val="1"/>
          <w:numId w:val="3"/>
        </w:numPr>
      </w:pPr>
      <w:r>
        <w:t xml:space="preserve">Segmentation of WIC participants into three sub populations will provide information on how programs </w:t>
      </w:r>
      <w:r w:rsidR="00BF5489">
        <w:t>affect</w:t>
      </w:r>
      <w:r>
        <w:t xml:space="preserve"> each group.</w:t>
      </w:r>
    </w:p>
    <w:p w:rsidR="0033196B" w:rsidRDefault="0033196B" w:rsidP="0033196B">
      <w:pPr>
        <w:pStyle w:val="ListParagraph"/>
        <w:ind w:left="2160"/>
      </w:pPr>
    </w:p>
    <w:p w:rsidR="00BF5489" w:rsidRDefault="007C77A9" w:rsidP="00355E24">
      <w:pPr>
        <w:pStyle w:val="ListParagraph"/>
        <w:numPr>
          <w:ilvl w:val="1"/>
          <w:numId w:val="3"/>
        </w:numPr>
      </w:pPr>
      <w:r>
        <w:t>Analyses</w:t>
      </w:r>
      <w:r w:rsidR="00D7058A">
        <w:t>/comparisons</w:t>
      </w:r>
      <w:r>
        <w:t xml:space="preserve"> of the data for the base, interim and final periods will allow </w:t>
      </w:r>
      <w:r w:rsidR="00D7058A">
        <w:t xml:space="preserve">researchers to assess the </w:t>
      </w:r>
      <w:r w:rsidR="00BF5489">
        <w:t>impact</w:t>
      </w:r>
      <w:r w:rsidR="00D7058A">
        <w:t xml:space="preserve"> of </w:t>
      </w:r>
      <w:r w:rsidR="00E72789">
        <w:t>the nutrition</w:t>
      </w:r>
      <w:r w:rsidR="00D7058A">
        <w:t xml:space="preserve"> </w:t>
      </w:r>
      <w:r w:rsidR="00BF5489">
        <w:t xml:space="preserve">education </w:t>
      </w:r>
      <w:r w:rsidR="00D7058A">
        <w:t>programs</w:t>
      </w:r>
      <w:r w:rsidR="007E70DA">
        <w:t xml:space="preserve"> over time</w:t>
      </w:r>
      <w:r w:rsidR="00D7058A">
        <w:t>.</w:t>
      </w:r>
      <w:r w:rsidR="007E70DA">
        <w:t xml:space="preserve"> Difference-in-difference estimates will depict how recipients of higher dosage </w:t>
      </w:r>
      <w:r w:rsidR="00355E24">
        <w:t xml:space="preserve">respond </w:t>
      </w:r>
      <w:r w:rsidR="007E70DA">
        <w:t>differ</w:t>
      </w:r>
      <w:r w:rsidR="00355E24">
        <w:t>ently</w:t>
      </w:r>
      <w:r w:rsidR="007E70DA">
        <w:t xml:space="preserve"> from recipients of lower dosage.</w:t>
      </w:r>
    </w:p>
    <w:p w:rsidR="00BF5489" w:rsidRDefault="00BF5489" w:rsidP="00BF5489">
      <w:pPr>
        <w:pStyle w:val="ListParagraph"/>
      </w:pPr>
    </w:p>
    <w:p w:rsidR="00BF5489" w:rsidRDefault="00683A5D" w:rsidP="00BF5489">
      <w:pPr>
        <w:pStyle w:val="ListParagraph"/>
        <w:numPr>
          <w:ilvl w:val="1"/>
          <w:numId w:val="3"/>
        </w:numPr>
      </w:pPr>
      <w:r>
        <w:t>Supplementing the</w:t>
      </w:r>
      <w:r w:rsidR="00BF5489">
        <w:t xml:space="preserve"> quantitative data with qualitative data (focus groups, etc.), </w:t>
      </w:r>
      <w:r w:rsidR="00355E24">
        <w:t>will</w:t>
      </w:r>
      <w:r w:rsidR="00BF5489">
        <w:t xml:space="preserve"> provide an enhanced </w:t>
      </w:r>
      <w:r w:rsidR="00F866D6">
        <w:t>assessment</w:t>
      </w:r>
      <w:r w:rsidR="00BF5489">
        <w:t xml:space="preserve"> of the education process</w:t>
      </w:r>
      <w:r w:rsidR="00355E24">
        <w:t xml:space="preserve"> and its impact</w:t>
      </w:r>
      <w:r w:rsidR="00BF5489">
        <w:t>.</w:t>
      </w:r>
    </w:p>
    <w:p w:rsidR="00441B72" w:rsidRDefault="00441B72" w:rsidP="00441B72">
      <w:pPr>
        <w:pStyle w:val="ListParagraph"/>
        <w:numPr>
          <w:ilvl w:val="0"/>
          <w:numId w:val="3"/>
        </w:numPr>
      </w:pPr>
      <w:r>
        <w:lastRenderedPageBreak/>
        <w:t xml:space="preserve">To </w:t>
      </w:r>
      <w:r w:rsidR="000F159C">
        <w:t xml:space="preserve"> evaluate/</w:t>
      </w:r>
      <w:r>
        <w:t>accommodate the data structure:</w:t>
      </w:r>
    </w:p>
    <w:p w:rsidR="00441B72" w:rsidRDefault="00441B72" w:rsidP="00441B72">
      <w:pPr>
        <w:pStyle w:val="ListParagraph"/>
        <w:ind w:left="1440"/>
      </w:pPr>
    </w:p>
    <w:p w:rsidR="00FE61E2" w:rsidRDefault="001B1B40" w:rsidP="00FE61E2">
      <w:pPr>
        <w:pStyle w:val="ListParagraph"/>
        <w:numPr>
          <w:ilvl w:val="1"/>
          <w:numId w:val="3"/>
        </w:numPr>
      </w:pPr>
      <w:r>
        <w:t>N</w:t>
      </w:r>
      <w:r w:rsidR="000F159C">
        <w:t xml:space="preserve">onresponse bias analysis </w:t>
      </w:r>
      <w:r w:rsidR="009B1882">
        <w:t>(</w:t>
      </w:r>
      <w:r w:rsidR="00D862F4">
        <w:t>Phase</w:t>
      </w:r>
      <w:r w:rsidR="009B1882">
        <w:t xml:space="preserve"> I</w:t>
      </w:r>
      <w:r w:rsidR="00EC5384">
        <w:t>) will</w:t>
      </w:r>
      <w:r w:rsidR="000F159C">
        <w:t xml:space="preserve"> determine the difference between respondents and nonrespondents. This will assist</w:t>
      </w:r>
      <w:r>
        <w:t xml:space="preserve"> in</w:t>
      </w:r>
      <w:r w:rsidR="000F159C">
        <w:t xml:space="preserve"> the interpretation of the study results.</w:t>
      </w:r>
    </w:p>
    <w:p w:rsidR="00A75A32" w:rsidRDefault="00A75A32" w:rsidP="00A75A32">
      <w:pPr>
        <w:pStyle w:val="ListParagraph"/>
        <w:ind w:left="2160"/>
      </w:pPr>
    </w:p>
    <w:p w:rsidR="00A75A32" w:rsidRDefault="00A75A32" w:rsidP="00FE61E2">
      <w:pPr>
        <w:pStyle w:val="ListParagraph"/>
        <w:numPr>
          <w:ilvl w:val="1"/>
          <w:numId w:val="3"/>
        </w:numPr>
      </w:pPr>
      <w:r>
        <w:t>Analysis of Participant survey</w:t>
      </w:r>
      <w:r w:rsidR="00FF5610">
        <w:t>s</w:t>
      </w:r>
      <w:r>
        <w:t xml:space="preserve"> data over time</w:t>
      </w:r>
      <w:r w:rsidR="00284D2C">
        <w:t xml:space="preserve"> will allow </w:t>
      </w:r>
      <w:r>
        <w:t>test</w:t>
      </w:r>
      <w:r w:rsidR="00284D2C">
        <w:t>ing</w:t>
      </w:r>
      <w:r>
        <w:t xml:space="preserve"> </w:t>
      </w:r>
      <w:r w:rsidR="00284D2C">
        <w:t>to</w:t>
      </w:r>
      <w:r>
        <w:t xml:space="preserve"> </w:t>
      </w:r>
      <w:r w:rsidR="00284D2C">
        <w:t>determine if the data adheres to the model(s) assumptions. It will also assist in the selection of the appropriate estimation techniques, depending on the results of the tests</w:t>
      </w:r>
      <w:r>
        <w:t>.</w:t>
      </w:r>
    </w:p>
    <w:p w:rsidR="00DF3600" w:rsidRDefault="00DF3600" w:rsidP="00DF3600">
      <w:pPr>
        <w:pStyle w:val="ListParagraph"/>
        <w:ind w:left="2160"/>
      </w:pPr>
    </w:p>
    <w:p w:rsidR="00DF3600" w:rsidRDefault="00184BBC" w:rsidP="002F033C">
      <w:pPr>
        <w:pStyle w:val="ListParagraph"/>
        <w:numPr>
          <w:ilvl w:val="1"/>
          <w:numId w:val="3"/>
        </w:numPr>
      </w:pPr>
      <w:r>
        <w:t>A</w:t>
      </w:r>
      <w:r w:rsidR="009B1882">
        <w:t>ttrition analysis to examine the differences between</w:t>
      </w:r>
      <w:r>
        <w:t xml:space="preserve"> </w:t>
      </w:r>
      <w:r w:rsidR="0033196B">
        <w:t>t</w:t>
      </w:r>
      <w:r w:rsidR="009B1882">
        <w:t>hose who completed a stage of t</w:t>
      </w:r>
      <w:r>
        <w:t>he study</w:t>
      </w:r>
      <w:r w:rsidR="006B676D">
        <w:t xml:space="preserve">, </w:t>
      </w:r>
      <w:r>
        <w:t xml:space="preserve"> and those that did not</w:t>
      </w:r>
      <w:r w:rsidR="006B676D">
        <w:t xml:space="preserve">, </w:t>
      </w:r>
      <w:r>
        <w:t xml:space="preserve"> </w:t>
      </w:r>
      <w:r w:rsidR="009B1882">
        <w:t xml:space="preserve">will </w:t>
      </w:r>
      <w:r w:rsidR="00836EC4">
        <w:t xml:space="preserve">help to </w:t>
      </w:r>
      <w:r w:rsidR="002C0B88">
        <w:t>determine</w:t>
      </w:r>
      <w:r w:rsidR="00836EC4">
        <w:t xml:space="preserve"> if the results of the study are valid for</w:t>
      </w:r>
      <w:r>
        <w:t xml:space="preserve"> </w:t>
      </w:r>
      <w:r w:rsidR="00836EC4">
        <w:t>the member</w:t>
      </w:r>
      <w:r w:rsidR="0033196B">
        <w:t>s</w:t>
      </w:r>
      <w:r w:rsidR="00836EC4">
        <w:t xml:space="preserve"> of the WIC population that are like those that </w:t>
      </w:r>
      <w:r w:rsidR="00E710CB">
        <w:t xml:space="preserve">did not </w:t>
      </w:r>
      <w:r w:rsidR="00836EC4">
        <w:t>complete the stud</w:t>
      </w:r>
      <w:r w:rsidR="00DF3600">
        <w:t xml:space="preserve">y. </w:t>
      </w:r>
    </w:p>
    <w:p w:rsidR="00DF3600" w:rsidRDefault="00DF3600" w:rsidP="002F033C">
      <w:pPr>
        <w:pStyle w:val="ListParagraph"/>
        <w:ind w:left="2160"/>
      </w:pPr>
    </w:p>
    <w:p w:rsidR="006C717F" w:rsidRDefault="002C0B88" w:rsidP="00DF3600">
      <w:pPr>
        <w:pStyle w:val="ListParagraph"/>
        <w:numPr>
          <w:ilvl w:val="1"/>
          <w:numId w:val="3"/>
        </w:numPr>
      </w:pPr>
      <w:r>
        <w:t>M</w:t>
      </w:r>
      <w:r w:rsidR="00DF3600">
        <w:t xml:space="preserve">ixed effects models </w:t>
      </w:r>
      <w:r>
        <w:t xml:space="preserve"> is appropriate for the analyses </w:t>
      </w:r>
      <w:r w:rsidR="00EC5384">
        <w:t>given that</w:t>
      </w:r>
      <w:r w:rsidR="00DF3600">
        <w:t xml:space="preserve"> the measurements on the partici</w:t>
      </w:r>
      <w:r w:rsidR="003E1F78">
        <w:t>pants will clearly be clustered:</w:t>
      </w:r>
      <w:r w:rsidR="006C717F">
        <w:t xml:space="preserve"> </w:t>
      </w:r>
    </w:p>
    <w:p w:rsidR="006C717F" w:rsidRDefault="006C717F" w:rsidP="006C717F">
      <w:pPr>
        <w:pStyle w:val="ListParagraph"/>
        <w:ind w:left="2160"/>
      </w:pPr>
    </w:p>
    <w:p w:rsidR="006C717F" w:rsidRDefault="006C717F" w:rsidP="006C717F">
      <w:pPr>
        <w:ind w:left="2520" w:firstLine="360"/>
      </w:pPr>
      <w:r>
        <w:t>L</w:t>
      </w:r>
      <w:r w:rsidR="00DF3600">
        <w:t xml:space="preserve">ocal agency </w:t>
      </w:r>
      <w:r w:rsidR="00134DF1">
        <w:t>→ WIC</w:t>
      </w:r>
      <w:r w:rsidR="00DF3600">
        <w:t xml:space="preserve"> </w:t>
      </w:r>
      <w:r w:rsidR="00134DF1">
        <w:t>site →</w:t>
      </w:r>
      <w:r>
        <w:t xml:space="preserve"> WIC participant</w:t>
      </w:r>
    </w:p>
    <w:p w:rsidR="006C717F" w:rsidRDefault="006C717F" w:rsidP="006C717F">
      <w:pPr>
        <w:ind w:left="1800"/>
      </w:pPr>
    </w:p>
    <w:p w:rsidR="00DF3600" w:rsidRDefault="003E1F78" w:rsidP="006C717F">
      <w:pPr>
        <w:ind w:left="2145"/>
      </w:pPr>
      <w:r>
        <w:t xml:space="preserve">The data will also be correlated because of </w:t>
      </w:r>
      <w:r w:rsidR="00DF3600">
        <w:t>repeated m</w:t>
      </w:r>
      <w:r>
        <w:t>easurements on WIC participants</w:t>
      </w:r>
      <w:r w:rsidR="00DF3600">
        <w:t>. The mixed effects models allow the researchers to model the form of the correlation. These models are</w:t>
      </w:r>
      <w:r w:rsidR="00C277F8">
        <w:t xml:space="preserve"> also appropriate</w:t>
      </w:r>
      <w:r w:rsidR="00DF3600">
        <w:t xml:space="preserve"> because they allow for the real possibility of attrition of the WIC participants </w:t>
      </w:r>
      <w:r w:rsidR="002C0B88">
        <w:t>(</w:t>
      </w:r>
      <w:r w:rsidR="00DF3600">
        <w:t xml:space="preserve">given that the </w:t>
      </w:r>
      <w:r w:rsidR="006C717F">
        <w:t xml:space="preserve">data </w:t>
      </w:r>
      <w:r w:rsidR="00BC0981">
        <w:t>is missing</w:t>
      </w:r>
      <w:r w:rsidR="00DF3600">
        <w:t xml:space="preserve"> at random</w:t>
      </w:r>
      <w:r w:rsidR="002C0B88">
        <w:t>)</w:t>
      </w:r>
      <w:r w:rsidR="00DF3600">
        <w:t>.</w:t>
      </w:r>
    </w:p>
    <w:p w:rsidR="009D2528" w:rsidRDefault="009D2528" w:rsidP="009D2528"/>
    <w:p w:rsidR="00BC0981" w:rsidRDefault="006F1AF1" w:rsidP="00960DDC">
      <w:pPr>
        <w:pStyle w:val="ListParagraph"/>
        <w:numPr>
          <w:ilvl w:val="1"/>
          <w:numId w:val="3"/>
        </w:numPr>
      </w:pPr>
      <w:r>
        <w:t>G</w:t>
      </w:r>
      <w:r w:rsidR="009E57E4">
        <w:t xml:space="preserve">eneralized </w:t>
      </w:r>
      <w:r w:rsidR="00BC0981">
        <w:t xml:space="preserve">linear mixed </w:t>
      </w:r>
      <w:r w:rsidR="009E57E4">
        <w:t>models</w:t>
      </w:r>
      <w:r>
        <w:t xml:space="preserve"> and logistical mixed models   give</w:t>
      </w:r>
      <w:r w:rsidR="009E57E4">
        <w:t xml:space="preserve"> the researchers tools with a lot of flexibility for statistical estimation</w:t>
      </w:r>
      <w:r>
        <w:t xml:space="preserve"> </w:t>
      </w:r>
      <w:r w:rsidR="00590E8A">
        <w:t>f</w:t>
      </w:r>
      <w:r w:rsidR="00960DDC">
        <w:t>rom complex data that may not follow the expected assumptions</w:t>
      </w:r>
      <w:r w:rsidR="009E57E4">
        <w:t xml:space="preserve">. </w:t>
      </w:r>
    </w:p>
    <w:p w:rsidR="0033196B" w:rsidRDefault="0033196B" w:rsidP="00960DDC">
      <w:pPr>
        <w:pStyle w:val="ListParagraph"/>
        <w:ind w:left="2160"/>
      </w:pPr>
    </w:p>
    <w:p w:rsidR="00027601" w:rsidRDefault="006F1AF1" w:rsidP="00590E8A">
      <w:pPr>
        <w:pStyle w:val="ListParagraph"/>
        <w:numPr>
          <w:ilvl w:val="1"/>
          <w:numId w:val="3"/>
        </w:numPr>
      </w:pPr>
      <w:r>
        <w:t>The proposal specifies</w:t>
      </w:r>
      <w:r w:rsidR="0033196B">
        <w:t xml:space="preserve"> techniques appropriate for the estimation </w:t>
      </w:r>
      <w:r w:rsidR="00E5354F">
        <w:t>of standard</w:t>
      </w:r>
      <w:r w:rsidR="0033196B">
        <w:t xml:space="preserve"> errors from complex data.</w:t>
      </w:r>
    </w:p>
    <w:p w:rsidR="00B94893" w:rsidRDefault="00B94893" w:rsidP="0042328C">
      <w:pPr>
        <w:ind w:left="360"/>
      </w:pPr>
    </w:p>
    <w:p w:rsidR="002377F9" w:rsidRDefault="0042328C" w:rsidP="0042328C">
      <w:pPr>
        <w:ind w:left="360"/>
        <w:rPr>
          <w:b/>
        </w:rPr>
      </w:pPr>
      <w:r w:rsidRPr="00161030">
        <w:rPr>
          <w:b/>
        </w:rPr>
        <w:t>VI.</w:t>
      </w:r>
      <w:r>
        <w:rPr>
          <w:b/>
        </w:rPr>
        <w:t xml:space="preserve"> Overall Project Design</w:t>
      </w:r>
    </w:p>
    <w:p w:rsidR="0042328C" w:rsidRDefault="0042328C" w:rsidP="0042328C">
      <w:pPr>
        <w:ind w:left="360"/>
        <w:rPr>
          <w:b/>
        </w:rPr>
      </w:pPr>
    </w:p>
    <w:p w:rsidR="001462F7" w:rsidRDefault="00835675" w:rsidP="00B9015D">
      <w:pPr>
        <w:ind w:left="360"/>
      </w:pPr>
      <w:r>
        <w:t xml:space="preserve"> </w:t>
      </w:r>
      <w:r w:rsidR="001D0FE3">
        <w:t xml:space="preserve">This study </w:t>
      </w:r>
      <w:r w:rsidR="009B2641">
        <w:t xml:space="preserve"> is well designed. The </w:t>
      </w:r>
      <w:r w:rsidR="00312858">
        <w:t xml:space="preserve">methods used </w:t>
      </w:r>
      <w:r w:rsidR="002B2E92">
        <w:t>should provide</w:t>
      </w:r>
      <w:r w:rsidR="00EF696E">
        <w:t xml:space="preserve"> a </w:t>
      </w:r>
      <w:r w:rsidR="00917F53">
        <w:t xml:space="preserve">good </w:t>
      </w:r>
      <w:r w:rsidR="00AD59B6">
        <w:t>u</w:t>
      </w:r>
      <w:r w:rsidR="00917F53">
        <w:t>nderstanding</w:t>
      </w:r>
      <w:r w:rsidR="00013847">
        <w:t xml:space="preserve"> </w:t>
      </w:r>
      <w:r w:rsidR="005F59BC">
        <w:t>of WIC</w:t>
      </w:r>
      <w:r w:rsidR="00013847">
        <w:t xml:space="preserve"> nutrition education program</w:t>
      </w:r>
      <w:r w:rsidR="0020046F">
        <w:t>s</w:t>
      </w:r>
      <w:r w:rsidR="008777FC">
        <w:t xml:space="preserve"> and their impact</w:t>
      </w:r>
      <w:r w:rsidR="0020046F">
        <w:t xml:space="preserve">. </w:t>
      </w:r>
      <w:r w:rsidR="00A639A2">
        <w:t xml:space="preserve"> </w:t>
      </w:r>
      <w:r w:rsidR="00BD1C37">
        <w:t>The data collection procedure</w:t>
      </w:r>
      <w:r w:rsidR="005F59BC">
        <w:t xml:space="preserve"> and the</w:t>
      </w:r>
      <w:r w:rsidR="00BD1C37">
        <w:t xml:space="preserve"> correspondence to the participants should be effective in</w:t>
      </w:r>
      <w:r w:rsidR="005F59BC">
        <w:t xml:space="preserve"> obtaining the data required.</w:t>
      </w:r>
      <w:r w:rsidR="00BD1C37">
        <w:t xml:space="preserve">  </w:t>
      </w:r>
      <w:r w:rsidR="002B2E92">
        <w:t>T</w:t>
      </w:r>
      <w:r w:rsidR="00A639A2">
        <w:t xml:space="preserve">he </w:t>
      </w:r>
      <w:r w:rsidR="00B9015D">
        <w:t>sampling methodology is sound and</w:t>
      </w:r>
      <w:r w:rsidR="00CC1A2D">
        <w:t xml:space="preserve"> the</w:t>
      </w:r>
      <w:r w:rsidR="00B9015D">
        <w:t xml:space="preserve"> </w:t>
      </w:r>
      <w:r w:rsidR="00027601">
        <w:t xml:space="preserve">statistical </w:t>
      </w:r>
      <w:r w:rsidR="006B676D">
        <w:t>methods take</w:t>
      </w:r>
      <w:r w:rsidR="005F59BC">
        <w:t xml:space="preserve"> </w:t>
      </w:r>
      <w:r w:rsidR="00A639A2">
        <w:t xml:space="preserve">into </w:t>
      </w:r>
      <w:r w:rsidR="008777FC">
        <w:t xml:space="preserve">account </w:t>
      </w:r>
      <w:r w:rsidR="002B2E92">
        <w:t xml:space="preserve">the objectives of the project and the </w:t>
      </w:r>
      <w:r w:rsidR="00AD59B6">
        <w:t>complexity of the data</w:t>
      </w:r>
      <w:r w:rsidR="008777FC">
        <w:t xml:space="preserve">.  </w:t>
      </w:r>
      <w:r w:rsidR="00B9015D">
        <w:t xml:space="preserve"> </w:t>
      </w:r>
    </w:p>
    <w:p w:rsidR="001462F7" w:rsidRDefault="001462F7" w:rsidP="0042328C">
      <w:pPr>
        <w:ind w:left="360"/>
      </w:pPr>
    </w:p>
    <w:p w:rsidR="00741F85" w:rsidRDefault="008777FC" w:rsidP="0020006C">
      <w:pPr>
        <w:pStyle w:val="ListParagraph"/>
        <w:ind w:left="2160"/>
      </w:pPr>
      <w:r>
        <w:t xml:space="preserve"> </w:t>
      </w:r>
    </w:p>
    <w:sectPr w:rsidR="00741F85" w:rsidSect="00F348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DA6" w:rsidRDefault="00993DA6" w:rsidP="00993DA6">
      <w:r>
        <w:separator/>
      </w:r>
    </w:p>
  </w:endnote>
  <w:endnote w:type="continuationSeparator" w:id="0">
    <w:p w:rsidR="00993DA6" w:rsidRDefault="00993DA6" w:rsidP="00993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0AD" w:rsidRDefault="00993DA6">
    <w:pPr>
      <w:pStyle w:val="Footer"/>
    </w:pPr>
    <w:r>
      <w:t>EEEE-</w:t>
    </w:r>
    <w:r w:rsidR="000A6F81">
      <w:fldChar w:fldCharType="begin"/>
    </w:r>
    <w:r>
      <w:instrText xml:space="preserve"> PAGE   \* MERGEFORMAT </w:instrText>
    </w:r>
    <w:r w:rsidR="000A6F81">
      <w:fldChar w:fldCharType="separate"/>
    </w:r>
    <w:r>
      <w:rPr>
        <w:noProof/>
      </w:rPr>
      <w:t>4</w:t>
    </w:r>
    <w:r w:rsidR="000A6F81"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609" w:rsidRDefault="00993DA6" w:rsidP="00E840AD">
    <w:pPr>
      <w:pStyle w:val="Footer"/>
      <w:jc w:val="right"/>
    </w:pPr>
    <w:r>
      <w:t>BBBB-</w:t>
    </w:r>
    <w:r w:rsidR="000A6F81">
      <w:fldChar w:fldCharType="begin"/>
    </w:r>
    <w:r>
      <w:instrText xml:space="preserve"> PAGE   \* MERGEFORMAT </w:instrText>
    </w:r>
    <w:r w:rsidR="000A6F81">
      <w:fldChar w:fldCharType="separate"/>
    </w:r>
    <w:r w:rsidR="003B3833">
      <w:rPr>
        <w:noProof/>
      </w:rPr>
      <w:t>4</w:t>
    </w:r>
    <w:r w:rsidR="000A6F81"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609" w:rsidRPr="00E840AD" w:rsidRDefault="003B3833" w:rsidP="00E840AD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DA6" w:rsidRDefault="00993DA6" w:rsidP="00993DA6">
      <w:r>
        <w:separator/>
      </w:r>
    </w:p>
  </w:footnote>
  <w:footnote w:type="continuationSeparator" w:id="0">
    <w:p w:rsidR="00993DA6" w:rsidRDefault="00993DA6" w:rsidP="00993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0AD" w:rsidRDefault="00993DA6">
    <w:pPr>
      <w:pStyle w:val="Header"/>
    </w:pPr>
    <w:r>
      <w:t>Supporting Justification for OMB Clearance for the WIC Nutrition Education Study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0AD" w:rsidRDefault="00993DA6" w:rsidP="00993DA6">
    <w:pPr>
      <w:pStyle w:val="Header"/>
      <w:jc w:val="right"/>
    </w:pPr>
    <w:r>
      <w:t>Appendix BBBB: NASS Comments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609" w:rsidRDefault="003B3833" w:rsidP="000323F8">
    <w:pPr>
      <w:ind w:left="-9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22D"/>
    <w:multiLevelType w:val="hybridMultilevel"/>
    <w:tmpl w:val="69E866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D56E4A"/>
    <w:multiLevelType w:val="hybridMultilevel"/>
    <w:tmpl w:val="94620D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1B86BA4"/>
    <w:multiLevelType w:val="hybridMultilevel"/>
    <w:tmpl w:val="95CC44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3717FD6"/>
    <w:multiLevelType w:val="hybridMultilevel"/>
    <w:tmpl w:val="05AC0FB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E6F4514"/>
    <w:multiLevelType w:val="hybridMultilevel"/>
    <w:tmpl w:val="A1F6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B0F71"/>
    <w:multiLevelType w:val="hybridMultilevel"/>
    <w:tmpl w:val="04A6C0B2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6">
    <w:nsid w:val="2A9D7B0B"/>
    <w:multiLevelType w:val="hybridMultilevel"/>
    <w:tmpl w:val="5C3E0A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E834E69"/>
    <w:multiLevelType w:val="hybridMultilevel"/>
    <w:tmpl w:val="9CA608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572E47E7"/>
    <w:multiLevelType w:val="hybridMultilevel"/>
    <w:tmpl w:val="64407C3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7D8342D"/>
    <w:multiLevelType w:val="hybridMultilevel"/>
    <w:tmpl w:val="A38A6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EA5498"/>
    <w:multiLevelType w:val="hybridMultilevel"/>
    <w:tmpl w:val="108AE5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71440E12"/>
    <w:multiLevelType w:val="hybridMultilevel"/>
    <w:tmpl w:val="D13467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3FA7BF4"/>
    <w:multiLevelType w:val="hybridMultilevel"/>
    <w:tmpl w:val="E0303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FE676DC"/>
    <w:multiLevelType w:val="hybridMultilevel"/>
    <w:tmpl w:val="2C8A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5"/>
  </w:num>
  <w:num w:numId="5">
    <w:abstractNumId w:val="4"/>
  </w:num>
  <w:num w:numId="6">
    <w:abstractNumId w:val="13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2328C"/>
    <w:rsid w:val="00013847"/>
    <w:rsid w:val="0001510E"/>
    <w:rsid w:val="00020A19"/>
    <w:rsid w:val="00024698"/>
    <w:rsid w:val="00027601"/>
    <w:rsid w:val="00046878"/>
    <w:rsid w:val="00053F64"/>
    <w:rsid w:val="00057C2C"/>
    <w:rsid w:val="000645CF"/>
    <w:rsid w:val="0007655E"/>
    <w:rsid w:val="000A6F81"/>
    <w:rsid w:val="000C2513"/>
    <w:rsid w:val="000C6A36"/>
    <w:rsid w:val="000D4482"/>
    <w:rsid w:val="000F159C"/>
    <w:rsid w:val="00101F9D"/>
    <w:rsid w:val="00104FEB"/>
    <w:rsid w:val="001175E6"/>
    <w:rsid w:val="00134DF1"/>
    <w:rsid w:val="001350FB"/>
    <w:rsid w:val="001378D4"/>
    <w:rsid w:val="001462F7"/>
    <w:rsid w:val="00184BBC"/>
    <w:rsid w:val="001A50A9"/>
    <w:rsid w:val="001B1B40"/>
    <w:rsid w:val="001D0FE3"/>
    <w:rsid w:val="001D70FD"/>
    <w:rsid w:val="001E1997"/>
    <w:rsid w:val="0020006C"/>
    <w:rsid w:val="0020046F"/>
    <w:rsid w:val="00202531"/>
    <w:rsid w:val="002377F9"/>
    <w:rsid w:val="002539FE"/>
    <w:rsid w:val="00257B48"/>
    <w:rsid w:val="00284D2C"/>
    <w:rsid w:val="0028646B"/>
    <w:rsid w:val="00292FDA"/>
    <w:rsid w:val="002A7256"/>
    <w:rsid w:val="002B2E92"/>
    <w:rsid w:val="002B33A4"/>
    <w:rsid w:val="002C0B88"/>
    <w:rsid w:val="002F00C4"/>
    <w:rsid w:val="002F033C"/>
    <w:rsid w:val="002F7D37"/>
    <w:rsid w:val="00312619"/>
    <w:rsid w:val="00312858"/>
    <w:rsid w:val="0033196B"/>
    <w:rsid w:val="00346545"/>
    <w:rsid w:val="00351FDD"/>
    <w:rsid w:val="00355E24"/>
    <w:rsid w:val="003661A8"/>
    <w:rsid w:val="003844F7"/>
    <w:rsid w:val="00394174"/>
    <w:rsid w:val="003B3833"/>
    <w:rsid w:val="003C5228"/>
    <w:rsid w:val="003D65FD"/>
    <w:rsid w:val="003E1F78"/>
    <w:rsid w:val="003F75A3"/>
    <w:rsid w:val="0041781C"/>
    <w:rsid w:val="0042328C"/>
    <w:rsid w:val="004331BE"/>
    <w:rsid w:val="00441B72"/>
    <w:rsid w:val="00442AA4"/>
    <w:rsid w:val="0045498A"/>
    <w:rsid w:val="004769B5"/>
    <w:rsid w:val="004A5934"/>
    <w:rsid w:val="004B66E4"/>
    <w:rsid w:val="004C2927"/>
    <w:rsid w:val="004E2B9C"/>
    <w:rsid w:val="004E4014"/>
    <w:rsid w:val="004F44F4"/>
    <w:rsid w:val="004F4F68"/>
    <w:rsid w:val="00506D25"/>
    <w:rsid w:val="00542F86"/>
    <w:rsid w:val="0055223C"/>
    <w:rsid w:val="0055694D"/>
    <w:rsid w:val="00567C37"/>
    <w:rsid w:val="00580A73"/>
    <w:rsid w:val="00590237"/>
    <w:rsid w:val="00590E8A"/>
    <w:rsid w:val="005A55A4"/>
    <w:rsid w:val="005C072E"/>
    <w:rsid w:val="005F59BC"/>
    <w:rsid w:val="00625C78"/>
    <w:rsid w:val="0064622F"/>
    <w:rsid w:val="00683A5D"/>
    <w:rsid w:val="00684B84"/>
    <w:rsid w:val="006A1913"/>
    <w:rsid w:val="006B676D"/>
    <w:rsid w:val="006C0E25"/>
    <w:rsid w:val="006C717F"/>
    <w:rsid w:val="006F0E15"/>
    <w:rsid w:val="006F1AF1"/>
    <w:rsid w:val="006F6DC5"/>
    <w:rsid w:val="00741F85"/>
    <w:rsid w:val="007623BB"/>
    <w:rsid w:val="0076281A"/>
    <w:rsid w:val="00787929"/>
    <w:rsid w:val="00791203"/>
    <w:rsid w:val="00794DAC"/>
    <w:rsid w:val="007C6FB5"/>
    <w:rsid w:val="007C77A9"/>
    <w:rsid w:val="007E70DA"/>
    <w:rsid w:val="008134A3"/>
    <w:rsid w:val="00835675"/>
    <w:rsid w:val="00836EC4"/>
    <w:rsid w:val="00851DC2"/>
    <w:rsid w:val="008554D8"/>
    <w:rsid w:val="008644DB"/>
    <w:rsid w:val="008777FC"/>
    <w:rsid w:val="008C1EE6"/>
    <w:rsid w:val="00917F53"/>
    <w:rsid w:val="00960DDC"/>
    <w:rsid w:val="00993DA6"/>
    <w:rsid w:val="009959A8"/>
    <w:rsid w:val="00996DB8"/>
    <w:rsid w:val="009B1882"/>
    <w:rsid w:val="009B2641"/>
    <w:rsid w:val="009C4F31"/>
    <w:rsid w:val="009C7144"/>
    <w:rsid w:val="009D2528"/>
    <w:rsid w:val="009E57E4"/>
    <w:rsid w:val="009F5AE0"/>
    <w:rsid w:val="00A27A2B"/>
    <w:rsid w:val="00A467DD"/>
    <w:rsid w:val="00A47212"/>
    <w:rsid w:val="00A57E18"/>
    <w:rsid w:val="00A639A2"/>
    <w:rsid w:val="00A719F6"/>
    <w:rsid w:val="00A75A32"/>
    <w:rsid w:val="00A774B8"/>
    <w:rsid w:val="00A806D8"/>
    <w:rsid w:val="00A82DCF"/>
    <w:rsid w:val="00A95575"/>
    <w:rsid w:val="00AB3A3C"/>
    <w:rsid w:val="00AC0B11"/>
    <w:rsid w:val="00AD54CF"/>
    <w:rsid w:val="00AD59B6"/>
    <w:rsid w:val="00AF3C7C"/>
    <w:rsid w:val="00B259D5"/>
    <w:rsid w:val="00B40B08"/>
    <w:rsid w:val="00B61D99"/>
    <w:rsid w:val="00B74399"/>
    <w:rsid w:val="00B9015D"/>
    <w:rsid w:val="00B94893"/>
    <w:rsid w:val="00BA7627"/>
    <w:rsid w:val="00BC00F5"/>
    <w:rsid w:val="00BC0981"/>
    <w:rsid w:val="00BD1C37"/>
    <w:rsid w:val="00BD6CDC"/>
    <w:rsid w:val="00BD7D4B"/>
    <w:rsid w:val="00BE4078"/>
    <w:rsid w:val="00BE496B"/>
    <w:rsid w:val="00BF5489"/>
    <w:rsid w:val="00C02590"/>
    <w:rsid w:val="00C22BDB"/>
    <w:rsid w:val="00C277F8"/>
    <w:rsid w:val="00C32AC1"/>
    <w:rsid w:val="00C35ACA"/>
    <w:rsid w:val="00C36B51"/>
    <w:rsid w:val="00C44985"/>
    <w:rsid w:val="00C4696C"/>
    <w:rsid w:val="00C516EC"/>
    <w:rsid w:val="00CB68D5"/>
    <w:rsid w:val="00CC1A2D"/>
    <w:rsid w:val="00D20BBE"/>
    <w:rsid w:val="00D229BB"/>
    <w:rsid w:val="00D23C80"/>
    <w:rsid w:val="00D324E8"/>
    <w:rsid w:val="00D7058A"/>
    <w:rsid w:val="00D862F4"/>
    <w:rsid w:val="00DC7C09"/>
    <w:rsid w:val="00DE06C6"/>
    <w:rsid w:val="00DF3600"/>
    <w:rsid w:val="00E30314"/>
    <w:rsid w:val="00E304E7"/>
    <w:rsid w:val="00E5354F"/>
    <w:rsid w:val="00E5404A"/>
    <w:rsid w:val="00E710CB"/>
    <w:rsid w:val="00E72789"/>
    <w:rsid w:val="00EA55BB"/>
    <w:rsid w:val="00EC1337"/>
    <w:rsid w:val="00EC5384"/>
    <w:rsid w:val="00ED5322"/>
    <w:rsid w:val="00ED6F09"/>
    <w:rsid w:val="00EF696E"/>
    <w:rsid w:val="00F0439A"/>
    <w:rsid w:val="00F11786"/>
    <w:rsid w:val="00F12271"/>
    <w:rsid w:val="00F235DD"/>
    <w:rsid w:val="00F34848"/>
    <w:rsid w:val="00F45BEB"/>
    <w:rsid w:val="00F866D6"/>
    <w:rsid w:val="00F90896"/>
    <w:rsid w:val="00F97C18"/>
    <w:rsid w:val="00FA7197"/>
    <w:rsid w:val="00FD62C9"/>
    <w:rsid w:val="00FE61E2"/>
    <w:rsid w:val="00FF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8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94D"/>
    <w:pPr>
      <w:ind w:left="720"/>
      <w:contextualSpacing/>
    </w:pPr>
  </w:style>
  <w:style w:type="paragraph" w:customStyle="1" w:styleId="Tablesource-1">
    <w:name w:val="Table source-1"/>
    <w:basedOn w:val="Normal"/>
    <w:qFormat/>
    <w:rsid w:val="00C32AC1"/>
    <w:pPr>
      <w:spacing w:before="60"/>
    </w:pPr>
    <w:rPr>
      <w:rFonts w:ascii="Lucida Sans" w:hAnsi="Lucida Sans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0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7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7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7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72E"/>
    <w:rPr>
      <w:rFonts w:ascii="Tahoma" w:eastAsia="Times New Roman" w:hAnsi="Tahoma" w:cs="Tahoma"/>
      <w:sz w:val="16"/>
      <w:szCs w:val="16"/>
    </w:rPr>
  </w:style>
  <w:style w:type="paragraph" w:customStyle="1" w:styleId="AppHeading1">
    <w:name w:val="App Heading 1"/>
    <w:basedOn w:val="Heading1"/>
    <w:rsid w:val="00CB68D5"/>
    <w:pPr>
      <w:keepLines w:val="0"/>
      <w:spacing w:before="240" w:after="240"/>
      <w:jc w:val="center"/>
    </w:pPr>
    <w:rPr>
      <w:rFonts w:ascii="Verdana" w:eastAsia="MS Mincho" w:hAnsi="Verdana" w:cs="Verdana"/>
      <w:caps/>
      <w:color w:val="auto"/>
      <w:kern w:val="28"/>
      <w:sz w:val="26"/>
      <w:szCs w:val="26"/>
    </w:rPr>
  </w:style>
  <w:style w:type="paragraph" w:styleId="Footer">
    <w:name w:val="footer"/>
    <w:basedOn w:val="Normal"/>
    <w:next w:val="Normal"/>
    <w:link w:val="FooterChar"/>
    <w:rsid w:val="00CB68D5"/>
    <w:rPr>
      <w:rFonts w:ascii="Verdana" w:eastAsia="MS Mincho" w:hAnsi="Verdana" w:cs="Verdana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CB68D5"/>
    <w:rPr>
      <w:rFonts w:ascii="Verdana" w:eastAsia="MS Mincho" w:hAnsi="Verdana" w:cs="Verdana"/>
      <w:b/>
      <w:bCs/>
      <w:sz w:val="20"/>
      <w:szCs w:val="20"/>
    </w:rPr>
  </w:style>
  <w:style w:type="paragraph" w:styleId="Header">
    <w:name w:val="header"/>
    <w:basedOn w:val="Normal"/>
    <w:next w:val="Normal"/>
    <w:link w:val="HeaderChar"/>
    <w:rsid w:val="00CB68D5"/>
    <w:pPr>
      <w:pBdr>
        <w:bottom w:val="single" w:sz="2" w:space="3" w:color="auto"/>
      </w:pBdr>
    </w:pPr>
    <w:rPr>
      <w:rFonts w:ascii="Verdana" w:eastAsia="MS Mincho" w:hAnsi="Verdana" w:cs="Verdana"/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CB68D5"/>
    <w:rPr>
      <w:rFonts w:ascii="Verdana" w:eastAsia="MS Mincho" w:hAnsi="Verdana" w:cs="Verdana"/>
      <w:i/>
      <w:iCs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6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weslfa</dc:creator>
  <cp:lastModifiedBy>KCB</cp:lastModifiedBy>
  <cp:revision>2</cp:revision>
  <cp:lastPrinted>2014-05-20T17:59:00Z</cp:lastPrinted>
  <dcterms:created xsi:type="dcterms:W3CDTF">2014-06-04T14:19:00Z</dcterms:created>
  <dcterms:modified xsi:type="dcterms:W3CDTF">2014-06-04T14:19:00Z</dcterms:modified>
</cp:coreProperties>
</file>