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C7A" w:rsidRPr="00466599" w:rsidRDefault="00364051" w:rsidP="002F5329">
      <w:pPr>
        <w:pStyle w:val="Heading2"/>
        <w:tabs>
          <w:tab w:val="left" w:pos="900"/>
        </w:tabs>
        <w:ind w:right="-180"/>
        <w:rPr>
          <w:sz w:val="28"/>
        </w:rPr>
      </w:pPr>
      <w:r w:rsidRPr="00383863">
        <w:rPr>
          <w:sz w:val="28"/>
        </w:rPr>
        <w:t>FDA</w:t>
      </w:r>
      <w:r w:rsidR="002F5329" w:rsidRPr="00383863">
        <w:rPr>
          <w:sz w:val="28"/>
        </w:rPr>
        <w:t xml:space="preserve"> </w:t>
      </w:r>
      <w:r w:rsidR="003F1C7A" w:rsidRPr="00466599">
        <w:rPr>
          <w:sz w:val="28"/>
        </w:rPr>
        <w:t>DOCUMENTATION FOR THE GENERIC CLEARANCE</w:t>
      </w:r>
    </w:p>
    <w:p w:rsidR="00A63790" w:rsidRPr="00923624" w:rsidRDefault="003F1C7A" w:rsidP="00A63790">
      <w:pPr>
        <w:jc w:val="center"/>
        <w:rPr>
          <w:b/>
          <w:sz w:val="28"/>
        </w:rPr>
      </w:pPr>
      <w:r w:rsidRPr="00466599">
        <w:rPr>
          <w:b/>
          <w:sz w:val="28"/>
        </w:rPr>
        <w:t xml:space="preserve">OF </w:t>
      </w:r>
      <w:r w:rsidR="00B8264F" w:rsidRPr="00466599">
        <w:rPr>
          <w:b/>
          <w:sz w:val="28"/>
        </w:rPr>
        <w:t>PRETESTING O</w:t>
      </w:r>
      <w:r w:rsidR="000529EF" w:rsidRPr="00466599">
        <w:rPr>
          <w:b/>
          <w:sz w:val="28"/>
        </w:rPr>
        <w:t>F</w:t>
      </w:r>
      <w:r w:rsidR="00984D67" w:rsidRPr="00466599">
        <w:rPr>
          <w:b/>
          <w:sz w:val="28"/>
        </w:rPr>
        <w:t xml:space="preserve"> TOBACCO COMMUNICATIONS</w:t>
      </w:r>
      <w:r w:rsidR="004770B7">
        <w:rPr>
          <w:b/>
          <w:sz w:val="28"/>
        </w:rPr>
        <w:t xml:space="preserve"> </w:t>
      </w:r>
      <w:r w:rsidR="00C46395" w:rsidRPr="00923624">
        <w:rPr>
          <w:b/>
          <w:sz w:val="28"/>
        </w:rPr>
        <w:t>(0910-</w:t>
      </w:r>
      <w:r w:rsidR="00B8264F" w:rsidRPr="00923624">
        <w:rPr>
          <w:b/>
          <w:sz w:val="28"/>
        </w:rPr>
        <w:t>0</w:t>
      </w:r>
      <w:r w:rsidR="00B8264F">
        <w:rPr>
          <w:b/>
          <w:sz w:val="28"/>
        </w:rPr>
        <w:t>674</w:t>
      </w:r>
      <w:r w:rsidR="003D0EC1" w:rsidRPr="00923624">
        <w:rPr>
          <w:b/>
          <w:sz w:val="28"/>
        </w:rPr>
        <w:t>)</w:t>
      </w:r>
    </w:p>
    <w:p w:rsidR="00A63790" w:rsidRPr="00923624" w:rsidRDefault="00135820" w:rsidP="00A63790">
      <w:pPr>
        <w:rPr>
          <w:sz w:val="18"/>
          <w:szCs w:val="18"/>
        </w:rPr>
      </w:pPr>
      <w:r>
        <w:rPr>
          <w:noProof/>
          <w:sz w:val="18"/>
          <w:szCs w:val="18"/>
          <w:lang w:bidi="he-IL"/>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pt" to="46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" strokeweight="1.5pt"/>
            </w:pict>
          </mc:Fallback>
        </mc:AlternateContent>
      </w:r>
    </w:p>
    <w:p w:rsidR="00B41016" w:rsidRPr="00923624" w:rsidRDefault="00B41016" w:rsidP="00A63790">
      <w:pPr>
        <w:rPr>
          <w:sz w:val="20"/>
          <w:szCs w:val="20"/>
        </w:rPr>
      </w:pPr>
    </w:p>
    <w:p w:rsidR="003F1C7A" w:rsidRPr="00923624" w:rsidRDefault="003F1C7A" w:rsidP="00591525">
      <w:pPr>
        <w:spacing w:before="120"/>
      </w:pPr>
      <w:r w:rsidRPr="00923624">
        <w:rPr>
          <w:b/>
        </w:rPr>
        <w:t>TITLE OF INFORMATION COLLECTION:</w:t>
      </w:r>
      <w:r w:rsidRPr="00923624">
        <w:t xml:space="preserve">  </w:t>
      </w:r>
      <w:r w:rsidR="00320FA4" w:rsidRPr="00320FA4">
        <w:t xml:space="preserve">Rural Smokeless Creative Concept Testing – Focus Groups with Rural </w:t>
      </w:r>
      <w:r w:rsidR="00623B73">
        <w:t>Youth</w:t>
      </w:r>
    </w:p>
    <w:p w:rsidR="003F1C7A" w:rsidRPr="00923624" w:rsidRDefault="003F1C7A"/>
    <w:p w:rsidR="003F1C7A" w:rsidRPr="00F125CB" w:rsidRDefault="003F1C7A">
      <w:pPr>
        <w:spacing w:after="120"/>
      </w:pPr>
      <w:r w:rsidRPr="00F125CB">
        <w:rPr>
          <w:b/>
        </w:rPr>
        <w:t>DESCRIPTION OF THIS SPECIFIC COLLECTION</w:t>
      </w:r>
      <w:r w:rsidRPr="00F125CB">
        <w:t xml:space="preserve"> </w:t>
      </w:r>
    </w:p>
    <w:p w:rsidR="003F1C7A" w:rsidRPr="00F125CB" w:rsidRDefault="0049419A" w:rsidP="000B207F">
      <w:pPr>
        <w:numPr>
          <w:ilvl w:val="0"/>
          <w:numId w:val="15"/>
        </w:numPr>
        <w:tabs>
          <w:tab w:val="clear" w:pos="900"/>
          <w:tab w:val="num" w:pos="360"/>
        </w:tabs>
        <w:ind w:left="0" w:firstLine="0"/>
      </w:pPr>
      <w:r w:rsidRPr="00F125CB">
        <w:rPr>
          <w:b/>
        </w:rPr>
        <w:t xml:space="preserve">Statement of </w:t>
      </w:r>
      <w:r w:rsidR="003B7C9B" w:rsidRPr="00F125CB">
        <w:rPr>
          <w:b/>
        </w:rPr>
        <w:t>N</w:t>
      </w:r>
      <w:r w:rsidR="00F12AEE" w:rsidRPr="00F125CB">
        <w:rPr>
          <w:b/>
        </w:rPr>
        <w:t>eed</w:t>
      </w:r>
      <w:r w:rsidR="003F1C7A" w:rsidRPr="00F125CB">
        <w:t xml:space="preserve"> </w:t>
      </w:r>
    </w:p>
    <w:p w:rsidR="00DE3180" w:rsidRPr="00F125CB" w:rsidRDefault="00DE3180" w:rsidP="00DE3180">
      <w:pPr>
        <w:pStyle w:val="ListParagraph"/>
        <w:ind w:left="360"/>
      </w:pPr>
      <w:r w:rsidRPr="00F125CB">
        <w:t>The Food and Drug Administration’s (FDA) Center for Tobacco Products (CTP) is seeking OMB approval under generic clearance 0910-</w:t>
      </w:r>
      <w:r w:rsidR="00B8264F" w:rsidRPr="00F125CB">
        <w:t xml:space="preserve">0674 </w:t>
      </w:r>
      <w:r w:rsidRPr="00F125CB">
        <w:t xml:space="preserve">to conduct focus groups with rural </w:t>
      </w:r>
      <w:r w:rsidR="00A758E0" w:rsidRPr="00F125CB">
        <w:t xml:space="preserve">males </w:t>
      </w:r>
      <w:r w:rsidRPr="00F125CB">
        <w:t xml:space="preserve">aged 12–17 </w:t>
      </w:r>
      <w:r w:rsidR="00A758E0" w:rsidRPr="00F125CB">
        <w:t xml:space="preserve">who are current smokeless tobacco </w:t>
      </w:r>
      <w:r w:rsidR="0095334B" w:rsidRPr="00F125CB">
        <w:t>experimenters</w:t>
      </w:r>
      <w:r w:rsidR="00A758E0" w:rsidRPr="00F125CB">
        <w:t xml:space="preserve"> or susceptible to smokeless tobacco use.  The purpose of the focus groups is </w:t>
      </w:r>
      <w:r w:rsidRPr="00F125CB">
        <w:t xml:space="preserve">to understand their reactions to different youth </w:t>
      </w:r>
      <w:r w:rsidR="004770B7" w:rsidRPr="00F125CB">
        <w:t xml:space="preserve">smokeless </w:t>
      </w:r>
      <w:r w:rsidRPr="00F125CB">
        <w:t xml:space="preserve">tobacco prevention campaign </w:t>
      </w:r>
      <w:r w:rsidR="0095334B" w:rsidRPr="00F125CB">
        <w:t>creative concepts.</w:t>
      </w:r>
    </w:p>
    <w:p w:rsidR="009F62C9" w:rsidRPr="00F125CB" w:rsidRDefault="009F62C9" w:rsidP="008311AE">
      <w:r w:rsidRPr="00F125CB">
        <w:t xml:space="preserve">  </w:t>
      </w:r>
    </w:p>
    <w:p w:rsidR="00591525" w:rsidRPr="00F125CB" w:rsidRDefault="0049419A" w:rsidP="000B207F">
      <w:pPr>
        <w:numPr>
          <w:ilvl w:val="0"/>
          <w:numId w:val="15"/>
        </w:numPr>
        <w:tabs>
          <w:tab w:val="clear" w:pos="900"/>
          <w:tab w:val="num" w:pos="360"/>
        </w:tabs>
        <w:ind w:left="0" w:firstLine="0"/>
      </w:pPr>
      <w:r w:rsidRPr="00F125CB">
        <w:rPr>
          <w:b/>
        </w:rPr>
        <w:t xml:space="preserve">Intended </w:t>
      </w:r>
      <w:r w:rsidR="00FB49C6" w:rsidRPr="00F125CB">
        <w:rPr>
          <w:b/>
        </w:rPr>
        <w:t>U</w:t>
      </w:r>
      <w:r w:rsidR="00F12AEE" w:rsidRPr="00F125CB">
        <w:rPr>
          <w:b/>
        </w:rPr>
        <w:t>se</w:t>
      </w:r>
      <w:r w:rsidRPr="00F125CB">
        <w:rPr>
          <w:b/>
        </w:rPr>
        <w:t xml:space="preserve"> of </w:t>
      </w:r>
      <w:r w:rsidR="00FB49C6" w:rsidRPr="00F125CB">
        <w:rPr>
          <w:b/>
        </w:rPr>
        <w:t>I</w:t>
      </w:r>
      <w:r w:rsidRPr="00F125CB">
        <w:rPr>
          <w:b/>
        </w:rPr>
        <w:t>nformation</w:t>
      </w:r>
      <w:r w:rsidR="003F1C7A" w:rsidRPr="00F125CB">
        <w:t xml:space="preserve">  </w:t>
      </w:r>
    </w:p>
    <w:p w:rsidR="004770B7" w:rsidRPr="00F125CB" w:rsidRDefault="004770B7" w:rsidP="004770B7">
      <w:pPr>
        <w:pStyle w:val="Default"/>
        <w:ind w:left="360"/>
      </w:pPr>
      <w:r w:rsidRPr="00F125CB">
        <w:t>The information will inform CTP’s efforts to develop and implement public education campaign messaging related to preventing smokeless tobacco use among rural youth aged 12–17, with a focus on those most susceptible to use</w:t>
      </w:r>
      <w:r w:rsidR="00243BD3">
        <w:t>—</w:t>
      </w:r>
      <w:r w:rsidR="00243BD3" w:rsidRPr="00CF6C6A">
        <w:t>White (non-Hispanic) males</w:t>
      </w:r>
      <w:r w:rsidRPr="00F125CB">
        <w:t>.</w:t>
      </w:r>
    </w:p>
    <w:p w:rsidR="004770B7" w:rsidRPr="00F125CB" w:rsidRDefault="004770B7" w:rsidP="004770B7">
      <w:pPr>
        <w:pStyle w:val="Default"/>
        <w:ind w:left="360"/>
      </w:pPr>
    </w:p>
    <w:p w:rsidR="004770B7" w:rsidRPr="00F125CB" w:rsidRDefault="004770B7" w:rsidP="004770B7">
      <w:pPr>
        <w:pStyle w:val="Default"/>
        <w:ind w:left="360"/>
      </w:pPr>
      <w:r w:rsidRPr="00F125CB">
        <w:t xml:space="preserve">The project is designed to explore reactions to various </w:t>
      </w:r>
      <w:r w:rsidR="00E45C9E">
        <w:t>creative</w:t>
      </w:r>
      <w:r w:rsidRPr="00F125CB">
        <w:t xml:space="preserve"> concepts </w:t>
      </w:r>
      <w:r w:rsidR="00E45C9E">
        <w:t xml:space="preserve">and brand stimuli </w:t>
      </w:r>
      <w:r w:rsidRPr="00F125CB">
        <w:t xml:space="preserve">intended to </w:t>
      </w:r>
      <w:r w:rsidRPr="00243BD3">
        <w:t xml:space="preserve">prevent youth </w:t>
      </w:r>
      <w:r w:rsidRPr="00F8538B">
        <w:t xml:space="preserve">smokeless tobacco use. The focus group research will consist of exposing rural youth </w:t>
      </w:r>
      <w:r w:rsidR="00FE2A38" w:rsidRPr="00F8538B">
        <w:t xml:space="preserve">to </w:t>
      </w:r>
      <w:r w:rsidRPr="00F8538B">
        <w:t xml:space="preserve">up to </w:t>
      </w:r>
      <w:r w:rsidR="00243BD3" w:rsidRPr="00F8538B">
        <w:t>four</w:t>
      </w:r>
      <w:r w:rsidRPr="00F8538B">
        <w:t xml:space="preserve"> </w:t>
      </w:r>
      <w:r w:rsidR="00243BD3" w:rsidRPr="00F8538B">
        <w:t xml:space="preserve">creative concepts and three brand </w:t>
      </w:r>
      <w:r w:rsidR="00F8538B" w:rsidRPr="00F8538B">
        <w:t>stimuli</w:t>
      </w:r>
      <w:r w:rsidRPr="00F8538B">
        <w:t xml:space="preserve"> and </w:t>
      </w:r>
      <w:r w:rsidR="000169AA" w:rsidRPr="00F8538B">
        <w:t>gathering their feedback and reactions</w:t>
      </w:r>
      <w:r w:rsidRPr="00F8538B">
        <w:t xml:space="preserve">. </w:t>
      </w:r>
      <w:r w:rsidR="000169AA" w:rsidRPr="00F8538B">
        <w:t xml:space="preserve">A </w:t>
      </w:r>
      <w:r w:rsidRPr="00F8538B">
        <w:t>moderator will prompt youth to answer questions regarding understanding, relevance, appeal, and motivation</w:t>
      </w:r>
      <w:r w:rsidRPr="00F125CB">
        <w:t xml:space="preserve"> of the concepts </w:t>
      </w:r>
      <w:r w:rsidR="000169AA" w:rsidRPr="00F125CB">
        <w:t>presented</w:t>
      </w:r>
      <w:r w:rsidR="00A758E0" w:rsidRPr="00F125CB">
        <w:t xml:space="preserve">.  Focus group results will be used to identify </w:t>
      </w:r>
      <w:r w:rsidRPr="00F125CB">
        <w:t xml:space="preserve">the most promising </w:t>
      </w:r>
      <w:r w:rsidR="00272104" w:rsidRPr="00F125CB">
        <w:t>creative</w:t>
      </w:r>
      <w:r w:rsidRPr="00F125CB">
        <w:t xml:space="preserve"> </w:t>
      </w:r>
      <w:r w:rsidR="00E45C9E">
        <w:t xml:space="preserve">and branding </w:t>
      </w:r>
      <w:r w:rsidRPr="00F125CB">
        <w:t>concepts</w:t>
      </w:r>
      <w:r w:rsidR="00A758E0" w:rsidRPr="00F125CB">
        <w:t>,</w:t>
      </w:r>
      <w:r w:rsidRPr="00F125CB">
        <w:t xml:space="preserve"> </w:t>
      </w:r>
      <w:r w:rsidR="00A758E0" w:rsidRPr="00F125CB">
        <w:t xml:space="preserve">which </w:t>
      </w:r>
      <w:r w:rsidRPr="00F125CB">
        <w:t xml:space="preserve">will serve as the foundation for </w:t>
      </w:r>
      <w:r w:rsidR="00272104" w:rsidRPr="00F125CB">
        <w:t xml:space="preserve">final </w:t>
      </w:r>
      <w:r w:rsidRPr="00F125CB">
        <w:t>creative development</w:t>
      </w:r>
      <w:r w:rsidR="00272104" w:rsidRPr="00F125CB">
        <w:t xml:space="preserve"> and production</w:t>
      </w:r>
      <w:r w:rsidRPr="00F125CB">
        <w:t>.</w:t>
      </w:r>
    </w:p>
    <w:p w:rsidR="00591525" w:rsidRPr="00F125CB" w:rsidRDefault="00C85927" w:rsidP="000169AA">
      <w:pPr>
        <w:ind w:left="360"/>
      </w:pPr>
      <w:r w:rsidRPr="00F125CB">
        <w:t xml:space="preserve"> </w:t>
      </w:r>
    </w:p>
    <w:p w:rsidR="003F1C7A" w:rsidRPr="00F125CB" w:rsidRDefault="0049419A" w:rsidP="000B207F">
      <w:pPr>
        <w:numPr>
          <w:ilvl w:val="0"/>
          <w:numId w:val="15"/>
        </w:numPr>
        <w:tabs>
          <w:tab w:val="clear" w:pos="900"/>
          <w:tab w:val="num" w:pos="0"/>
          <w:tab w:val="num" w:pos="360"/>
        </w:tabs>
        <w:ind w:left="0" w:firstLine="0"/>
      </w:pPr>
      <w:r w:rsidRPr="00F125CB">
        <w:rPr>
          <w:b/>
        </w:rPr>
        <w:t xml:space="preserve">Description of </w:t>
      </w:r>
      <w:r w:rsidR="00FB49C6" w:rsidRPr="00F125CB">
        <w:rPr>
          <w:b/>
        </w:rPr>
        <w:t>R</w:t>
      </w:r>
      <w:r w:rsidR="00F12AEE" w:rsidRPr="00F125CB">
        <w:rPr>
          <w:b/>
        </w:rPr>
        <w:t>espondents</w:t>
      </w:r>
      <w:r w:rsidR="003F1C7A" w:rsidRPr="00F125CB">
        <w:t xml:space="preserve"> </w:t>
      </w:r>
    </w:p>
    <w:p w:rsidR="003473AD" w:rsidRDefault="003473AD" w:rsidP="003473AD">
      <w:pPr>
        <w:ind w:left="360"/>
      </w:pPr>
      <w:r>
        <w:t xml:space="preserve">In order to develop the appropriate messaging to inform the public, it is important for the FDA to conduct qualitative </w:t>
      </w:r>
      <w:r w:rsidR="00272104">
        <w:t>creative</w:t>
      </w:r>
      <w:r>
        <w:t xml:space="preserve"> concept testing research with </w:t>
      </w:r>
      <w:r w:rsidRPr="008A3201">
        <w:t>youth at-risk for initiating smokeless tobacco use</w:t>
      </w:r>
      <w:r w:rsidR="008A3201" w:rsidRPr="008A3201">
        <w:t xml:space="preserve"> and those who have experi</w:t>
      </w:r>
      <w:r w:rsidR="00EA37E7">
        <w:t>mented with</w:t>
      </w:r>
      <w:r w:rsidR="008A3201" w:rsidRPr="008A3201">
        <w:t xml:space="preserve"> using it</w:t>
      </w:r>
      <w:r w:rsidRPr="008A3201">
        <w:t>.</w:t>
      </w:r>
      <w:r>
        <w:t xml:space="preserve">   </w:t>
      </w:r>
    </w:p>
    <w:p w:rsidR="003473AD" w:rsidRDefault="003473AD" w:rsidP="00DD40A4">
      <w:pPr>
        <w:ind w:left="360"/>
      </w:pPr>
    </w:p>
    <w:p w:rsidR="00DD40A4" w:rsidRDefault="00DD40A4" w:rsidP="00DD40A4">
      <w:pPr>
        <w:ind w:left="360"/>
      </w:pPr>
      <w:r>
        <w:t>According to an analysis of the National Survey on Drug Use and Health, the use of smokeless tobacco is two to three times higher in rural areas of the United States compared to metropolitan areas</w:t>
      </w:r>
      <w:r w:rsidRPr="000E4601">
        <w:t xml:space="preserve"> (SAMHSA, 2007). </w:t>
      </w:r>
      <w:r w:rsidRPr="000E4601">
        <w:rPr>
          <w:sz w:val="18"/>
          <w:szCs w:val="18"/>
        </w:rPr>
        <w:t xml:space="preserve"> </w:t>
      </w:r>
      <w:r w:rsidRPr="000E4601">
        <w:t>Furthermore, smokeless tobacco use among White (non-Hispanic) males is roughly double the average for all rural youth, indicating the high level of risk for this particular demographic segment (Johnson, 2012).</w:t>
      </w:r>
    </w:p>
    <w:p w:rsidR="00DD40A4" w:rsidRDefault="00DD40A4" w:rsidP="00DD40A4">
      <w:pPr>
        <w:ind w:left="360"/>
      </w:pPr>
    </w:p>
    <w:p w:rsidR="00DD40A4" w:rsidRPr="001B111F" w:rsidRDefault="006B770F" w:rsidP="008C3AF0">
      <w:pPr>
        <w:ind w:left="360"/>
        <w:rPr>
          <w:color w:val="808080"/>
        </w:rPr>
      </w:pPr>
      <w:r>
        <w:rPr>
          <w:b/>
        </w:rPr>
        <w:br w:type="page"/>
      </w:r>
      <w:r w:rsidR="008C3AF0" w:rsidDel="008C3AF0">
        <w:rPr>
          <w:b/>
        </w:rPr>
        <w:lastRenderedPageBreak/>
        <w:t xml:space="preserve"> </w:t>
      </w:r>
    </w:p>
    <w:p w:rsidR="006971FB" w:rsidRDefault="006971FB" w:rsidP="00E1673D"/>
    <w:p w:rsidR="00940419" w:rsidRPr="007030FA" w:rsidRDefault="003473AD" w:rsidP="00E1673D">
      <w:pPr>
        <w:rPr>
          <w:color w:val="808080"/>
        </w:rPr>
      </w:pPr>
      <w:r w:rsidRPr="007030FA">
        <w:t xml:space="preserve">Consistent with these findings, the </w:t>
      </w:r>
      <w:r w:rsidR="00476B64" w:rsidRPr="007030FA">
        <w:t>participants</w:t>
      </w:r>
      <w:r w:rsidRPr="007030FA">
        <w:t xml:space="preserve"> for this study</w:t>
      </w:r>
      <w:r w:rsidR="00476B64" w:rsidRPr="007030FA">
        <w:t xml:space="preserve"> will </w:t>
      </w:r>
      <w:r w:rsidR="000D5EB1" w:rsidRPr="007030FA">
        <w:t xml:space="preserve">consist of </w:t>
      </w:r>
      <w:r w:rsidR="00817F26" w:rsidRPr="007030FA">
        <w:t>White (non-Hispanic) males</w:t>
      </w:r>
      <w:r w:rsidR="00476B64" w:rsidRPr="007030FA">
        <w:t xml:space="preserve"> aged 12–1</w:t>
      </w:r>
      <w:r w:rsidR="00D62093" w:rsidRPr="007030FA">
        <w:t>7</w:t>
      </w:r>
      <w:r w:rsidR="00476B64" w:rsidRPr="007030FA">
        <w:t xml:space="preserve"> </w:t>
      </w:r>
      <w:r w:rsidR="008C3AF0" w:rsidRPr="00623B73">
        <w:t>(n =</w:t>
      </w:r>
      <w:r w:rsidR="007030FA" w:rsidRPr="00623B73">
        <w:t xml:space="preserve"> </w:t>
      </w:r>
      <w:r w:rsidR="00623B73" w:rsidRPr="00623B73">
        <w:t>192</w:t>
      </w:r>
      <w:r w:rsidR="007030FA" w:rsidRPr="00623B73">
        <w:t>)</w:t>
      </w:r>
      <w:r w:rsidR="008C3AF0" w:rsidRPr="007030FA">
        <w:t xml:space="preserve"> </w:t>
      </w:r>
      <w:r w:rsidR="00476B64" w:rsidRPr="007030FA">
        <w:t xml:space="preserve">who </w:t>
      </w:r>
      <w:r w:rsidR="000D5EB1" w:rsidRPr="007030FA">
        <w:t>currently reside in</w:t>
      </w:r>
      <w:r w:rsidR="00476B64" w:rsidRPr="007030FA">
        <w:t xml:space="preserve"> non-metro </w:t>
      </w:r>
      <w:r w:rsidR="000D5EB1" w:rsidRPr="007030FA">
        <w:t>counties</w:t>
      </w:r>
      <w:r w:rsidR="008C3AF0" w:rsidRPr="007030FA">
        <w:t xml:space="preserve"> and are current smokeless tobacco </w:t>
      </w:r>
      <w:r w:rsidR="0095334B" w:rsidRPr="007030FA">
        <w:t>experimenters</w:t>
      </w:r>
      <w:r w:rsidR="008C3AF0" w:rsidRPr="007030FA">
        <w:t xml:space="preserve"> or susceptible to smokeless tobacco use</w:t>
      </w:r>
      <w:r w:rsidR="00817F26" w:rsidRPr="007030FA">
        <w:t>.</w:t>
      </w:r>
      <w:r w:rsidR="001F28D7" w:rsidRPr="007030FA">
        <w:t xml:space="preserve"> </w:t>
      </w:r>
      <w:r w:rsidR="006971FB" w:rsidRPr="006971FB">
        <w:t>We estimate three children are needed to be screened for every focus group participant. A total of 576 respondents will be screened, and one third of those (192) respondents will participate in the actual focus group.</w:t>
      </w:r>
      <w:r w:rsidR="006971FB">
        <w:t xml:space="preserve"> </w:t>
      </w:r>
      <w:r w:rsidR="00940419" w:rsidRPr="007030FA">
        <w:t xml:space="preserve">The study will consist of </w:t>
      </w:r>
      <w:r w:rsidR="0095334B" w:rsidRPr="007030FA">
        <w:t>twenty four (24</w:t>
      </w:r>
      <w:r w:rsidR="00940419" w:rsidRPr="007030FA">
        <w:t>) focus groups</w:t>
      </w:r>
      <w:r w:rsidR="00272104" w:rsidRPr="007030FA">
        <w:t xml:space="preserve"> across four different </w:t>
      </w:r>
      <w:r w:rsidR="00231DD8" w:rsidRPr="007030FA">
        <w:t>markets</w:t>
      </w:r>
      <w:r w:rsidR="00940419" w:rsidRPr="007030FA">
        <w:t xml:space="preserve">, with </w:t>
      </w:r>
      <w:r w:rsidR="00623B73">
        <w:t>eight</w:t>
      </w:r>
      <w:r w:rsidR="00623B73" w:rsidRPr="007030FA">
        <w:t xml:space="preserve"> </w:t>
      </w:r>
      <w:r w:rsidR="00940419" w:rsidRPr="007030FA">
        <w:t>(</w:t>
      </w:r>
      <w:r w:rsidR="00623B73">
        <w:t>8</w:t>
      </w:r>
      <w:r w:rsidR="0095334B" w:rsidRPr="007030FA">
        <w:t xml:space="preserve">) </w:t>
      </w:r>
      <w:r w:rsidR="00940419" w:rsidRPr="007030FA">
        <w:t xml:space="preserve">participants per group.  </w:t>
      </w:r>
      <w:r w:rsidR="00075339" w:rsidRPr="007030FA">
        <w:t>Groups will be</w:t>
      </w:r>
      <w:r w:rsidR="00231DD8" w:rsidRPr="007030FA">
        <w:t xml:space="preserve"> held in rural school districts</w:t>
      </w:r>
      <w:r w:rsidR="00075339" w:rsidRPr="007030FA">
        <w:t xml:space="preserve"> primarily segmented by age</w:t>
      </w:r>
      <w:r w:rsidR="00231DD8" w:rsidRPr="007030FA">
        <w:t xml:space="preserve">—12 to 14 and 15 to </w:t>
      </w:r>
      <w:r w:rsidR="004909E1" w:rsidRPr="007030FA">
        <w:t xml:space="preserve">17. </w:t>
      </w:r>
      <w:r w:rsidR="00856DC2" w:rsidRPr="007030FA">
        <w:t xml:space="preserve">Groups will also be </w:t>
      </w:r>
      <w:r w:rsidR="00231DD8" w:rsidRPr="007030FA">
        <w:t xml:space="preserve">separated by smokeless tobacco </w:t>
      </w:r>
      <w:r w:rsidR="00231DD8" w:rsidRPr="00466599">
        <w:t>category (i.e.</w:t>
      </w:r>
      <w:r w:rsidR="00243BD3" w:rsidRPr="00466599">
        <w:t xml:space="preserve">, </w:t>
      </w:r>
      <w:r w:rsidR="00231DD8" w:rsidRPr="00466599">
        <w:t xml:space="preserve">current smokeless tobacco experimenters or susceptible to smokeless tobacco use). The mix of smokeless tobacco </w:t>
      </w:r>
      <w:r w:rsidR="00F8538B" w:rsidRPr="00466599">
        <w:t>status</w:t>
      </w:r>
      <w:r w:rsidR="00231DD8" w:rsidRPr="00466599">
        <w:t xml:space="preserve"> groups </w:t>
      </w:r>
      <w:r w:rsidR="007030FA" w:rsidRPr="00466599">
        <w:t xml:space="preserve">(i.e., experimenter </w:t>
      </w:r>
      <w:r w:rsidR="00F8538B" w:rsidRPr="00466599">
        <w:t xml:space="preserve">group </w:t>
      </w:r>
      <w:r w:rsidR="007030FA" w:rsidRPr="00466599">
        <w:t>vs. at-risk</w:t>
      </w:r>
      <w:r w:rsidR="00F8538B" w:rsidRPr="00466599">
        <w:t xml:space="preserve"> group</w:t>
      </w:r>
      <w:r w:rsidR="007030FA" w:rsidRPr="00466599">
        <w:t xml:space="preserve">) </w:t>
      </w:r>
      <w:r w:rsidR="00F8538B" w:rsidRPr="00466599">
        <w:t xml:space="preserve">will be determined </w:t>
      </w:r>
      <w:r w:rsidR="00231DD8" w:rsidRPr="00466599">
        <w:t xml:space="preserve">as recruiting </w:t>
      </w:r>
      <w:r w:rsidR="00FE2A38" w:rsidRPr="00466599">
        <w:t>permits</w:t>
      </w:r>
      <w:r w:rsidR="007030FA" w:rsidRPr="00466599">
        <w:t xml:space="preserve"> within each school district</w:t>
      </w:r>
      <w:r w:rsidR="00231DD8" w:rsidRPr="00466599">
        <w:t>.</w:t>
      </w:r>
    </w:p>
    <w:p w:rsidR="00272104" w:rsidRPr="007030FA" w:rsidRDefault="00272104" w:rsidP="00E1673D">
      <w:pPr>
        <w:rPr>
          <w:color w:val="808080"/>
        </w:rPr>
      </w:pPr>
    </w:p>
    <w:tbl>
      <w:tblPr>
        <w:tblW w:w="10350" w:type="dxa"/>
        <w:tblInd w:w="-43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80"/>
        <w:gridCol w:w="1530"/>
        <w:gridCol w:w="3780"/>
        <w:gridCol w:w="1620"/>
        <w:gridCol w:w="990"/>
        <w:gridCol w:w="1350"/>
      </w:tblGrid>
      <w:tr w:rsidR="00856DC2" w:rsidRPr="007030FA" w:rsidTr="00243BD3">
        <w:trPr>
          <w:trHeight w:val="160"/>
        </w:trPr>
        <w:tc>
          <w:tcPr>
            <w:tcW w:w="1080" w:type="dxa"/>
            <w:tcBorders>
              <w:top w:val="single" w:sz="6" w:space="0" w:color="000000"/>
              <w:left w:val="single" w:sz="6" w:space="0" w:color="000000"/>
              <w:bottom w:val="single" w:sz="6" w:space="0" w:color="000000"/>
              <w:right w:val="single" w:sz="6" w:space="0" w:color="000000"/>
            </w:tcBorders>
            <w:vAlign w:val="center"/>
          </w:tcPr>
          <w:p w:rsidR="00856DC2" w:rsidRPr="007030FA" w:rsidRDefault="00856DC2" w:rsidP="003C0D20">
            <w:pPr>
              <w:jc w:val="center"/>
              <w:rPr>
                <w:sz w:val="22"/>
                <w:szCs w:val="22"/>
              </w:rPr>
            </w:pPr>
            <w:r w:rsidRPr="007030FA">
              <w:rPr>
                <w:b/>
                <w:bCs/>
                <w:sz w:val="22"/>
                <w:szCs w:val="22"/>
              </w:rPr>
              <w:t>Rural School District</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856DC2" w:rsidRPr="007030FA" w:rsidRDefault="00856DC2" w:rsidP="003C0D20">
            <w:pPr>
              <w:jc w:val="center"/>
              <w:rPr>
                <w:sz w:val="22"/>
                <w:szCs w:val="22"/>
              </w:rPr>
            </w:pPr>
            <w:r w:rsidRPr="007030FA">
              <w:rPr>
                <w:b/>
                <w:bCs/>
                <w:sz w:val="22"/>
                <w:szCs w:val="22"/>
              </w:rPr>
              <w:t>Region</w:t>
            </w:r>
          </w:p>
        </w:tc>
        <w:tc>
          <w:tcPr>
            <w:tcW w:w="3780" w:type="dxa"/>
            <w:tcBorders>
              <w:top w:val="single" w:sz="6" w:space="0" w:color="000000"/>
              <w:left w:val="single" w:sz="6" w:space="0" w:color="000000"/>
              <w:bottom w:val="single" w:sz="6" w:space="0" w:color="000000"/>
              <w:right w:val="single" w:sz="6" w:space="0" w:color="000000"/>
            </w:tcBorders>
            <w:vAlign w:val="center"/>
          </w:tcPr>
          <w:p w:rsidR="00856DC2" w:rsidRPr="007030FA" w:rsidRDefault="00856DC2" w:rsidP="003C0D20">
            <w:pPr>
              <w:jc w:val="center"/>
              <w:rPr>
                <w:sz w:val="22"/>
                <w:szCs w:val="22"/>
              </w:rPr>
            </w:pPr>
            <w:r w:rsidRPr="007030FA">
              <w:rPr>
                <w:b/>
                <w:bCs/>
                <w:sz w:val="22"/>
                <w:szCs w:val="22"/>
              </w:rPr>
              <w:t>Possible DMAs</w:t>
            </w:r>
          </w:p>
        </w:tc>
        <w:tc>
          <w:tcPr>
            <w:tcW w:w="1620" w:type="dxa"/>
            <w:tcBorders>
              <w:top w:val="single" w:sz="6" w:space="0" w:color="000000"/>
              <w:left w:val="single" w:sz="6" w:space="0" w:color="000000"/>
              <w:bottom w:val="single" w:sz="6" w:space="0" w:color="000000"/>
              <w:right w:val="single" w:sz="6" w:space="0" w:color="000000"/>
            </w:tcBorders>
            <w:vAlign w:val="center"/>
          </w:tcPr>
          <w:p w:rsidR="00856DC2" w:rsidRPr="007030FA" w:rsidRDefault="00856DC2" w:rsidP="003C0D20">
            <w:pPr>
              <w:jc w:val="center"/>
              <w:rPr>
                <w:sz w:val="22"/>
                <w:szCs w:val="22"/>
              </w:rPr>
            </w:pPr>
            <w:r w:rsidRPr="007030FA">
              <w:rPr>
                <w:b/>
                <w:bCs/>
                <w:sz w:val="22"/>
                <w:szCs w:val="22"/>
              </w:rPr>
              <w:t>Age Range</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856DC2" w:rsidRPr="007030FA" w:rsidRDefault="00856DC2" w:rsidP="003C0D20">
            <w:pPr>
              <w:jc w:val="center"/>
              <w:rPr>
                <w:sz w:val="22"/>
                <w:szCs w:val="22"/>
              </w:rPr>
            </w:pPr>
            <w:r w:rsidRPr="007030FA">
              <w:rPr>
                <w:b/>
                <w:bCs/>
                <w:sz w:val="22"/>
                <w:szCs w:val="22"/>
              </w:rPr>
              <w:t># of focus groups</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856DC2" w:rsidRPr="007030FA" w:rsidRDefault="00856DC2" w:rsidP="00623B73">
            <w:pPr>
              <w:jc w:val="center"/>
              <w:rPr>
                <w:sz w:val="22"/>
                <w:szCs w:val="22"/>
              </w:rPr>
            </w:pPr>
            <w:r w:rsidRPr="007030FA">
              <w:rPr>
                <w:b/>
                <w:bCs/>
                <w:sz w:val="22"/>
                <w:szCs w:val="22"/>
              </w:rPr>
              <w:t xml:space="preserve"># of participants </w:t>
            </w:r>
          </w:p>
        </w:tc>
      </w:tr>
      <w:tr w:rsidR="00856DC2" w:rsidRPr="007030FA" w:rsidTr="00243BD3">
        <w:trPr>
          <w:trHeight w:val="372"/>
        </w:trPr>
        <w:tc>
          <w:tcPr>
            <w:tcW w:w="1080" w:type="dxa"/>
            <w:vMerge w:val="restart"/>
            <w:tcBorders>
              <w:top w:val="single" w:sz="6" w:space="0" w:color="000000"/>
              <w:left w:val="single" w:sz="6" w:space="0" w:color="000000"/>
              <w:right w:val="single" w:sz="6" w:space="0" w:color="000000"/>
            </w:tcBorders>
            <w:shd w:val="clear" w:color="auto" w:fill="F2F2F2"/>
            <w:vAlign w:val="center"/>
          </w:tcPr>
          <w:p w:rsidR="00856DC2" w:rsidRPr="007030FA" w:rsidRDefault="00856DC2" w:rsidP="003C0D20">
            <w:pPr>
              <w:jc w:val="center"/>
              <w:rPr>
                <w:bCs/>
                <w:sz w:val="22"/>
                <w:szCs w:val="22"/>
              </w:rPr>
            </w:pPr>
            <w:r w:rsidRPr="007030FA">
              <w:rPr>
                <w:bCs/>
                <w:sz w:val="22"/>
                <w:szCs w:val="22"/>
              </w:rPr>
              <w:t>#1</w:t>
            </w:r>
          </w:p>
        </w:tc>
        <w:tc>
          <w:tcPr>
            <w:tcW w:w="1530" w:type="dxa"/>
            <w:vMerge w:val="restart"/>
            <w:tcBorders>
              <w:top w:val="single" w:sz="6" w:space="0" w:color="000000"/>
              <w:left w:val="single" w:sz="6" w:space="0" w:color="000000"/>
              <w:right w:val="single" w:sz="6" w:space="0" w:color="000000"/>
            </w:tcBorders>
            <w:shd w:val="clear" w:color="auto" w:fill="F2F2F2"/>
            <w:tcMar>
              <w:top w:w="80" w:type="dxa"/>
              <w:left w:w="80" w:type="dxa"/>
              <w:bottom w:w="80" w:type="dxa"/>
              <w:right w:w="80" w:type="dxa"/>
            </w:tcMar>
            <w:vAlign w:val="center"/>
          </w:tcPr>
          <w:p w:rsidR="00856DC2" w:rsidRPr="007030FA" w:rsidRDefault="00856DC2" w:rsidP="003C0D20">
            <w:pPr>
              <w:jc w:val="center"/>
              <w:rPr>
                <w:bCs/>
                <w:sz w:val="22"/>
                <w:szCs w:val="22"/>
              </w:rPr>
            </w:pPr>
            <w:r w:rsidRPr="007030FA">
              <w:rPr>
                <w:bCs/>
                <w:sz w:val="22"/>
                <w:szCs w:val="22"/>
              </w:rPr>
              <w:t>Southeast</w:t>
            </w:r>
          </w:p>
        </w:tc>
        <w:tc>
          <w:tcPr>
            <w:tcW w:w="3780" w:type="dxa"/>
            <w:vMerge w:val="restart"/>
            <w:tcBorders>
              <w:top w:val="single" w:sz="6" w:space="0" w:color="000000"/>
              <w:left w:val="single" w:sz="6" w:space="0" w:color="000000"/>
              <w:right w:val="single" w:sz="6" w:space="0" w:color="000000"/>
            </w:tcBorders>
            <w:shd w:val="clear" w:color="auto" w:fill="F2F2F2"/>
            <w:vAlign w:val="center"/>
          </w:tcPr>
          <w:p w:rsidR="00856DC2" w:rsidRPr="007030FA" w:rsidRDefault="00856DC2" w:rsidP="00856DC2">
            <w:pPr>
              <w:rPr>
                <w:sz w:val="22"/>
                <w:szCs w:val="22"/>
              </w:rPr>
            </w:pPr>
            <w:r w:rsidRPr="007030FA">
              <w:rPr>
                <w:sz w:val="22"/>
                <w:szCs w:val="22"/>
              </w:rPr>
              <w:t>Tri-Cities, TN-VA</w:t>
            </w:r>
          </w:p>
          <w:p w:rsidR="00856DC2" w:rsidRPr="007030FA" w:rsidRDefault="00856DC2" w:rsidP="00856DC2">
            <w:pPr>
              <w:rPr>
                <w:sz w:val="22"/>
                <w:szCs w:val="22"/>
              </w:rPr>
            </w:pPr>
            <w:r w:rsidRPr="007030FA">
              <w:rPr>
                <w:sz w:val="22"/>
                <w:szCs w:val="22"/>
              </w:rPr>
              <w:t>Clarksburg-Weston, WV</w:t>
            </w:r>
          </w:p>
          <w:p w:rsidR="00856DC2" w:rsidRPr="007030FA" w:rsidRDefault="00856DC2" w:rsidP="00856DC2">
            <w:pPr>
              <w:rPr>
                <w:sz w:val="22"/>
                <w:szCs w:val="22"/>
              </w:rPr>
            </w:pPr>
            <w:r w:rsidRPr="007030FA">
              <w:rPr>
                <w:sz w:val="22"/>
                <w:szCs w:val="22"/>
              </w:rPr>
              <w:t>Bluefield-Beckley-Oak Hill, WV</w:t>
            </w:r>
          </w:p>
          <w:p w:rsidR="00856DC2" w:rsidRPr="007030FA" w:rsidRDefault="00856DC2" w:rsidP="00856DC2">
            <w:pPr>
              <w:rPr>
                <w:sz w:val="22"/>
                <w:szCs w:val="22"/>
              </w:rPr>
            </w:pPr>
            <w:r w:rsidRPr="007030FA">
              <w:rPr>
                <w:sz w:val="22"/>
                <w:szCs w:val="22"/>
              </w:rPr>
              <w:t>Paducah et al., KY-MO-IL</w:t>
            </w:r>
          </w:p>
        </w:tc>
        <w:tc>
          <w:tcPr>
            <w:tcW w:w="1620" w:type="dxa"/>
            <w:tcBorders>
              <w:top w:val="single" w:sz="6" w:space="0" w:color="000000"/>
              <w:left w:val="single" w:sz="6" w:space="0" w:color="000000"/>
              <w:right w:val="single" w:sz="6" w:space="0" w:color="000000"/>
            </w:tcBorders>
            <w:shd w:val="clear" w:color="auto" w:fill="F2F2F2"/>
            <w:vAlign w:val="center"/>
          </w:tcPr>
          <w:p w:rsidR="00856DC2" w:rsidRPr="007030FA" w:rsidRDefault="00856DC2" w:rsidP="00243BD3">
            <w:pPr>
              <w:jc w:val="center"/>
              <w:rPr>
                <w:sz w:val="22"/>
                <w:szCs w:val="22"/>
              </w:rPr>
            </w:pPr>
            <w:r w:rsidRPr="007030FA">
              <w:rPr>
                <w:sz w:val="22"/>
                <w:szCs w:val="22"/>
              </w:rPr>
              <w:t xml:space="preserve">12–14 </w:t>
            </w:r>
          </w:p>
        </w:tc>
        <w:tc>
          <w:tcPr>
            <w:tcW w:w="990"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rsidR="00856DC2" w:rsidRPr="007030FA" w:rsidRDefault="00856DC2" w:rsidP="003C0D20">
            <w:pPr>
              <w:jc w:val="center"/>
              <w:rPr>
                <w:sz w:val="22"/>
                <w:szCs w:val="22"/>
              </w:rPr>
            </w:pPr>
            <w:r w:rsidRPr="007030FA">
              <w:rPr>
                <w:sz w:val="22"/>
                <w:szCs w:val="22"/>
              </w:rPr>
              <w:t>2</w:t>
            </w:r>
          </w:p>
        </w:tc>
        <w:tc>
          <w:tcPr>
            <w:tcW w:w="1350"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rsidR="00856DC2" w:rsidRPr="007030FA" w:rsidRDefault="00623B73" w:rsidP="003C0D20">
            <w:pPr>
              <w:jc w:val="center"/>
              <w:rPr>
                <w:sz w:val="22"/>
                <w:szCs w:val="22"/>
              </w:rPr>
            </w:pPr>
            <w:r>
              <w:rPr>
                <w:sz w:val="22"/>
                <w:szCs w:val="22"/>
              </w:rPr>
              <w:t>16</w:t>
            </w:r>
          </w:p>
        </w:tc>
      </w:tr>
      <w:tr w:rsidR="008779C6" w:rsidRPr="007030FA" w:rsidTr="008779C6">
        <w:trPr>
          <w:trHeight w:val="373"/>
        </w:trPr>
        <w:tc>
          <w:tcPr>
            <w:tcW w:w="1080" w:type="dxa"/>
            <w:vMerge/>
            <w:tcBorders>
              <w:left w:val="single" w:sz="6" w:space="0" w:color="000000"/>
              <w:bottom w:val="single" w:sz="6" w:space="0" w:color="000000"/>
              <w:right w:val="single" w:sz="6" w:space="0" w:color="000000"/>
            </w:tcBorders>
            <w:shd w:val="clear" w:color="auto" w:fill="F2F2F2"/>
            <w:vAlign w:val="center"/>
          </w:tcPr>
          <w:p w:rsidR="008779C6" w:rsidRPr="007030FA" w:rsidRDefault="008779C6" w:rsidP="003C0D20">
            <w:pPr>
              <w:jc w:val="center"/>
              <w:rPr>
                <w:bCs/>
                <w:sz w:val="22"/>
                <w:szCs w:val="22"/>
              </w:rPr>
            </w:pPr>
          </w:p>
        </w:tc>
        <w:tc>
          <w:tcPr>
            <w:tcW w:w="1530" w:type="dxa"/>
            <w:vMerge/>
            <w:tcBorders>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rsidR="008779C6" w:rsidRPr="007030FA" w:rsidRDefault="008779C6" w:rsidP="003C0D20">
            <w:pPr>
              <w:jc w:val="center"/>
              <w:rPr>
                <w:bCs/>
                <w:sz w:val="22"/>
                <w:szCs w:val="22"/>
              </w:rPr>
            </w:pPr>
          </w:p>
        </w:tc>
        <w:tc>
          <w:tcPr>
            <w:tcW w:w="3780" w:type="dxa"/>
            <w:vMerge/>
            <w:tcBorders>
              <w:left w:val="single" w:sz="6" w:space="0" w:color="000000"/>
              <w:bottom w:val="single" w:sz="6" w:space="0" w:color="000000"/>
              <w:right w:val="single" w:sz="6" w:space="0" w:color="000000"/>
            </w:tcBorders>
            <w:shd w:val="clear" w:color="auto" w:fill="F2F2F2"/>
            <w:vAlign w:val="center"/>
          </w:tcPr>
          <w:p w:rsidR="008779C6" w:rsidRPr="007030FA" w:rsidRDefault="008779C6" w:rsidP="00856DC2">
            <w:pPr>
              <w:rPr>
                <w:sz w:val="22"/>
                <w:szCs w:val="22"/>
              </w:rPr>
            </w:pPr>
          </w:p>
        </w:tc>
        <w:tc>
          <w:tcPr>
            <w:tcW w:w="1620" w:type="dxa"/>
            <w:tcBorders>
              <w:left w:val="single" w:sz="6" w:space="0" w:color="000000"/>
              <w:bottom w:val="single" w:sz="6" w:space="0" w:color="000000"/>
              <w:right w:val="single" w:sz="6" w:space="0" w:color="000000"/>
            </w:tcBorders>
            <w:shd w:val="clear" w:color="auto" w:fill="F2F2F2"/>
            <w:vAlign w:val="center"/>
          </w:tcPr>
          <w:p w:rsidR="008779C6" w:rsidRPr="007030FA" w:rsidRDefault="008779C6" w:rsidP="00243BD3">
            <w:pPr>
              <w:jc w:val="center"/>
              <w:rPr>
                <w:sz w:val="22"/>
                <w:szCs w:val="22"/>
              </w:rPr>
            </w:pPr>
            <w:r w:rsidRPr="007030FA">
              <w:rPr>
                <w:sz w:val="22"/>
                <w:szCs w:val="22"/>
              </w:rPr>
              <w:t xml:space="preserve">15–17 </w:t>
            </w:r>
          </w:p>
        </w:tc>
        <w:tc>
          <w:tcPr>
            <w:tcW w:w="990"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rsidR="008779C6" w:rsidRPr="007030FA" w:rsidRDefault="008779C6" w:rsidP="003C0D20">
            <w:pPr>
              <w:jc w:val="center"/>
              <w:rPr>
                <w:sz w:val="22"/>
                <w:szCs w:val="22"/>
              </w:rPr>
            </w:pPr>
            <w:r w:rsidRPr="007030FA">
              <w:rPr>
                <w:sz w:val="22"/>
                <w:szCs w:val="22"/>
              </w:rPr>
              <w:t>4</w:t>
            </w:r>
          </w:p>
        </w:tc>
        <w:tc>
          <w:tcPr>
            <w:tcW w:w="1350"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rsidR="008779C6" w:rsidRPr="007030FA" w:rsidRDefault="00623B73" w:rsidP="00623B73">
            <w:pPr>
              <w:jc w:val="center"/>
            </w:pPr>
            <w:r>
              <w:rPr>
                <w:sz w:val="22"/>
                <w:szCs w:val="22"/>
              </w:rPr>
              <w:t>32</w:t>
            </w:r>
          </w:p>
        </w:tc>
      </w:tr>
      <w:tr w:rsidR="008779C6" w:rsidRPr="007030FA" w:rsidTr="008779C6">
        <w:trPr>
          <w:trHeight w:val="257"/>
        </w:trPr>
        <w:tc>
          <w:tcPr>
            <w:tcW w:w="1080" w:type="dxa"/>
            <w:vMerge w:val="restart"/>
            <w:tcBorders>
              <w:top w:val="single" w:sz="6" w:space="0" w:color="000000"/>
              <w:left w:val="single" w:sz="6" w:space="0" w:color="000000"/>
              <w:right w:val="single" w:sz="6" w:space="0" w:color="000000"/>
            </w:tcBorders>
            <w:vAlign w:val="center"/>
          </w:tcPr>
          <w:p w:rsidR="008779C6" w:rsidRPr="007030FA" w:rsidRDefault="008779C6" w:rsidP="003C0D20">
            <w:pPr>
              <w:jc w:val="center"/>
              <w:rPr>
                <w:bCs/>
                <w:sz w:val="22"/>
                <w:szCs w:val="22"/>
              </w:rPr>
            </w:pPr>
            <w:r w:rsidRPr="007030FA">
              <w:rPr>
                <w:bCs/>
                <w:sz w:val="22"/>
                <w:szCs w:val="22"/>
              </w:rPr>
              <w:t>#2</w:t>
            </w:r>
          </w:p>
        </w:tc>
        <w:tc>
          <w:tcPr>
            <w:tcW w:w="1530" w:type="dxa"/>
            <w:vMerge w:val="restart"/>
            <w:tcBorders>
              <w:top w:val="single" w:sz="6" w:space="0" w:color="000000"/>
              <w:left w:val="single" w:sz="6" w:space="0" w:color="000000"/>
              <w:right w:val="single" w:sz="6" w:space="0" w:color="000000"/>
            </w:tcBorders>
            <w:shd w:val="clear" w:color="auto" w:fill="auto"/>
            <w:tcMar>
              <w:top w:w="80" w:type="dxa"/>
              <w:left w:w="80" w:type="dxa"/>
              <w:bottom w:w="80" w:type="dxa"/>
              <w:right w:w="80" w:type="dxa"/>
            </w:tcMar>
            <w:vAlign w:val="center"/>
          </w:tcPr>
          <w:p w:rsidR="008779C6" w:rsidRPr="007030FA" w:rsidRDefault="003044A6" w:rsidP="003C0D20">
            <w:pPr>
              <w:jc w:val="center"/>
              <w:rPr>
                <w:sz w:val="22"/>
                <w:szCs w:val="22"/>
              </w:rPr>
            </w:pPr>
            <w:r>
              <w:rPr>
                <w:bCs/>
                <w:sz w:val="22"/>
                <w:szCs w:val="22"/>
              </w:rPr>
              <w:t>“</w:t>
            </w:r>
            <w:r w:rsidR="008779C6" w:rsidRPr="00051C63">
              <w:rPr>
                <w:bCs/>
                <w:sz w:val="22"/>
                <w:szCs w:val="22"/>
              </w:rPr>
              <w:t>Tex-</w:t>
            </w:r>
            <w:proofErr w:type="spellStart"/>
            <w:r w:rsidR="008779C6" w:rsidRPr="00051C63">
              <w:rPr>
                <w:bCs/>
                <w:sz w:val="22"/>
                <w:szCs w:val="22"/>
              </w:rPr>
              <w:t>ish</w:t>
            </w:r>
            <w:proofErr w:type="spellEnd"/>
            <w:r>
              <w:rPr>
                <w:bCs/>
                <w:sz w:val="22"/>
                <w:szCs w:val="22"/>
              </w:rPr>
              <w:t>”</w:t>
            </w:r>
          </w:p>
        </w:tc>
        <w:tc>
          <w:tcPr>
            <w:tcW w:w="3780" w:type="dxa"/>
            <w:vMerge w:val="restart"/>
            <w:tcBorders>
              <w:top w:val="single" w:sz="6" w:space="0" w:color="000000"/>
              <w:left w:val="single" w:sz="6" w:space="0" w:color="000000"/>
              <w:right w:val="single" w:sz="6" w:space="0" w:color="000000"/>
            </w:tcBorders>
            <w:vAlign w:val="center"/>
          </w:tcPr>
          <w:p w:rsidR="008779C6" w:rsidRPr="007030FA" w:rsidRDefault="008779C6" w:rsidP="00856DC2">
            <w:pPr>
              <w:rPr>
                <w:sz w:val="22"/>
                <w:szCs w:val="22"/>
              </w:rPr>
            </w:pPr>
            <w:r w:rsidRPr="007030FA">
              <w:rPr>
                <w:sz w:val="22"/>
                <w:szCs w:val="22"/>
              </w:rPr>
              <w:t>Sherman-Ada, TX-OK</w:t>
            </w:r>
          </w:p>
          <w:p w:rsidR="008779C6" w:rsidRPr="007030FA" w:rsidRDefault="008779C6" w:rsidP="00856DC2">
            <w:pPr>
              <w:rPr>
                <w:sz w:val="22"/>
                <w:szCs w:val="22"/>
              </w:rPr>
            </w:pPr>
            <w:r w:rsidRPr="007030FA">
              <w:rPr>
                <w:sz w:val="22"/>
                <w:szCs w:val="22"/>
              </w:rPr>
              <w:t>Oklahoma, OK</w:t>
            </w:r>
          </w:p>
          <w:p w:rsidR="008779C6" w:rsidRPr="007030FA" w:rsidRDefault="008779C6" w:rsidP="00856DC2">
            <w:pPr>
              <w:rPr>
                <w:sz w:val="22"/>
                <w:szCs w:val="22"/>
              </w:rPr>
            </w:pPr>
            <w:r w:rsidRPr="007030FA">
              <w:rPr>
                <w:sz w:val="22"/>
                <w:szCs w:val="22"/>
              </w:rPr>
              <w:t>Little Rock et al., AR</w:t>
            </w:r>
          </w:p>
        </w:tc>
        <w:tc>
          <w:tcPr>
            <w:tcW w:w="1620" w:type="dxa"/>
            <w:tcBorders>
              <w:top w:val="single" w:sz="6" w:space="0" w:color="000000"/>
              <w:left w:val="single" w:sz="6" w:space="0" w:color="000000"/>
              <w:right w:val="single" w:sz="6" w:space="0" w:color="000000"/>
            </w:tcBorders>
            <w:vAlign w:val="center"/>
          </w:tcPr>
          <w:p w:rsidR="008779C6" w:rsidRPr="007030FA" w:rsidRDefault="008779C6" w:rsidP="00243BD3">
            <w:pPr>
              <w:jc w:val="center"/>
              <w:rPr>
                <w:sz w:val="22"/>
                <w:szCs w:val="22"/>
              </w:rPr>
            </w:pPr>
            <w:r w:rsidRPr="007030FA">
              <w:rPr>
                <w:sz w:val="22"/>
                <w:szCs w:val="22"/>
              </w:rPr>
              <w:t xml:space="preserve">12–14 </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8779C6" w:rsidRPr="007030FA" w:rsidRDefault="008779C6" w:rsidP="003C0D20">
            <w:pPr>
              <w:jc w:val="center"/>
              <w:rPr>
                <w:sz w:val="22"/>
                <w:szCs w:val="22"/>
              </w:rPr>
            </w:pPr>
            <w:r w:rsidRPr="007030FA">
              <w:rPr>
                <w:sz w:val="22"/>
                <w:szCs w:val="22"/>
              </w:rPr>
              <w:t>2</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8779C6" w:rsidRPr="007030FA" w:rsidRDefault="00623B73" w:rsidP="008779C6">
            <w:pPr>
              <w:jc w:val="center"/>
            </w:pPr>
            <w:r>
              <w:rPr>
                <w:sz w:val="22"/>
                <w:szCs w:val="22"/>
              </w:rPr>
              <w:t>16</w:t>
            </w:r>
          </w:p>
        </w:tc>
      </w:tr>
      <w:tr w:rsidR="008779C6" w:rsidRPr="007030FA" w:rsidTr="008779C6">
        <w:trPr>
          <w:trHeight w:val="258"/>
        </w:trPr>
        <w:tc>
          <w:tcPr>
            <w:tcW w:w="1080" w:type="dxa"/>
            <w:vMerge/>
            <w:tcBorders>
              <w:left w:val="single" w:sz="6" w:space="0" w:color="000000"/>
              <w:bottom w:val="single" w:sz="6" w:space="0" w:color="000000"/>
              <w:right w:val="single" w:sz="6" w:space="0" w:color="000000"/>
            </w:tcBorders>
            <w:vAlign w:val="center"/>
          </w:tcPr>
          <w:p w:rsidR="008779C6" w:rsidRPr="007030FA" w:rsidRDefault="008779C6" w:rsidP="003C0D20">
            <w:pPr>
              <w:jc w:val="center"/>
              <w:rPr>
                <w:sz w:val="22"/>
                <w:szCs w:val="22"/>
              </w:rPr>
            </w:pPr>
          </w:p>
        </w:tc>
        <w:tc>
          <w:tcPr>
            <w:tcW w:w="1530" w:type="dxa"/>
            <w:vMerge/>
            <w:tcBorders>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8779C6" w:rsidRPr="007030FA" w:rsidRDefault="008779C6" w:rsidP="003C0D20">
            <w:pPr>
              <w:jc w:val="center"/>
              <w:rPr>
                <w:sz w:val="22"/>
                <w:szCs w:val="22"/>
              </w:rPr>
            </w:pPr>
          </w:p>
        </w:tc>
        <w:tc>
          <w:tcPr>
            <w:tcW w:w="3780" w:type="dxa"/>
            <w:vMerge/>
            <w:tcBorders>
              <w:left w:val="single" w:sz="6" w:space="0" w:color="000000"/>
              <w:bottom w:val="single" w:sz="6" w:space="0" w:color="000000"/>
              <w:right w:val="single" w:sz="6" w:space="0" w:color="000000"/>
            </w:tcBorders>
            <w:vAlign w:val="center"/>
          </w:tcPr>
          <w:p w:rsidR="008779C6" w:rsidRPr="007030FA" w:rsidRDefault="008779C6" w:rsidP="00856DC2">
            <w:pPr>
              <w:rPr>
                <w:sz w:val="22"/>
                <w:szCs w:val="22"/>
              </w:rPr>
            </w:pPr>
          </w:p>
        </w:tc>
        <w:tc>
          <w:tcPr>
            <w:tcW w:w="1620" w:type="dxa"/>
            <w:tcBorders>
              <w:left w:val="single" w:sz="6" w:space="0" w:color="000000"/>
              <w:bottom w:val="single" w:sz="6" w:space="0" w:color="000000"/>
              <w:right w:val="single" w:sz="6" w:space="0" w:color="000000"/>
            </w:tcBorders>
            <w:vAlign w:val="center"/>
          </w:tcPr>
          <w:p w:rsidR="008779C6" w:rsidRPr="007030FA" w:rsidRDefault="008779C6" w:rsidP="00243BD3">
            <w:pPr>
              <w:jc w:val="center"/>
              <w:rPr>
                <w:sz w:val="22"/>
                <w:szCs w:val="22"/>
              </w:rPr>
            </w:pPr>
            <w:r w:rsidRPr="007030FA">
              <w:rPr>
                <w:sz w:val="22"/>
                <w:szCs w:val="22"/>
              </w:rPr>
              <w:t>15–17</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8779C6" w:rsidRPr="007030FA" w:rsidRDefault="008779C6" w:rsidP="003C0D20">
            <w:pPr>
              <w:jc w:val="center"/>
              <w:rPr>
                <w:sz w:val="22"/>
                <w:szCs w:val="22"/>
              </w:rPr>
            </w:pPr>
            <w:r w:rsidRPr="007030FA">
              <w:rPr>
                <w:sz w:val="22"/>
                <w:szCs w:val="22"/>
              </w:rPr>
              <w:t>4</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8779C6" w:rsidRPr="007030FA" w:rsidRDefault="00623B73" w:rsidP="00623B73">
            <w:pPr>
              <w:jc w:val="center"/>
            </w:pPr>
            <w:r>
              <w:rPr>
                <w:sz w:val="22"/>
                <w:szCs w:val="22"/>
              </w:rPr>
              <w:t>32</w:t>
            </w:r>
          </w:p>
        </w:tc>
      </w:tr>
      <w:tr w:rsidR="008779C6" w:rsidRPr="007030FA" w:rsidTr="008779C6">
        <w:trPr>
          <w:trHeight w:val="372"/>
        </w:trPr>
        <w:tc>
          <w:tcPr>
            <w:tcW w:w="1080" w:type="dxa"/>
            <w:vMerge w:val="restart"/>
            <w:tcBorders>
              <w:top w:val="single" w:sz="6" w:space="0" w:color="000000"/>
              <w:left w:val="single" w:sz="6" w:space="0" w:color="000000"/>
              <w:right w:val="single" w:sz="6" w:space="0" w:color="000000"/>
            </w:tcBorders>
            <w:shd w:val="clear" w:color="auto" w:fill="F2F2F2"/>
            <w:vAlign w:val="center"/>
          </w:tcPr>
          <w:p w:rsidR="008779C6" w:rsidRPr="007030FA" w:rsidRDefault="008779C6" w:rsidP="003C0D20">
            <w:pPr>
              <w:jc w:val="center"/>
              <w:rPr>
                <w:bCs/>
                <w:sz w:val="22"/>
                <w:szCs w:val="22"/>
              </w:rPr>
            </w:pPr>
            <w:r w:rsidRPr="007030FA">
              <w:rPr>
                <w:bCs/>
                <w:sz w:val="22"/>
                <w:szCs w:val="22"/>
              </w:rPr>
              <w:t>#3</w:t>
            </w:r>
          </w:p>
        </w:tc>
        <w:tc>
          <w:tcPr>
            <w:tcW w:w="1530" w:type="dxa"/>
            <w:vMerge w:val="restart"/>
            <w:tcBorders>
              <w:top w:val="single" w:sz="6" w:space="0" w:color="000000"/>
              <w:left w:val="single" w:sz="6" w:space="0" w:color="000000"/>
              <w:right w:val="single" w:sz="6" w:space="0" w:color="000000"/>
            </w:tcBorders>
            <w:shd w:val="clear" w:color="auto" w:fill="F2F2F2"/>
            <w:tcMar>
              <w:top w:w="80" w:type="dxa"/>
              <w:left w:w="80" w:type="dxa"/>
              <w:bottom w:w="80" w:type="dxa"/>
              <w:right w:w="80" w:type="dxa"/>
            </w:tcMar>
            <w:vAlign w:val="center"/>
          </w:tcPr>
          <w:p w:rsidR="008779C6" w:rsidRPr="007030FA" w:rsidRDefault="008779C6" w:rsidP="003C0D20">
            <w:pPr>
              <w:jc w:val="center"/>
              <w:rPr>
                <w:bCs/>
                <w:sz w:val="22"/>
                <w:szCs w:val="22"/>
              </w:rPr>
            </w:pPr>
            <w:r w:rsidRPr="007030FA">
              <w:rPr>
                <w:bCs/>
                <w:sz w:val="22"/>
                <w:szCs w:val="22"/>
              </w:rPr>
              <w:t>Great Lakes</w:t>
            </w:r>
          </w:p>
        </w:tc>
        <w:tc>
          <w:tcPr>
            <w:tcW w:w="3780" w:type="dxa"/>
            <w:vMerge w:val="restart"/>
            <w:tcBorders>
              <w:top w:val="single" w:sz="6" w:space="0" w:color="000000"/>
              <w:left w:val="single" w:sz="6" w:space="0" w:color="000000"/>
              <w:right w:val="single" w:sz="6" w:space="0" w:color="000000"/>
            </w:tcBorders>
            <w:shd w:val="clear" w:color="auto" w:fill="F2F2F2"/>
            <w:vAlign w:val="center"/>
          </w:tcPr>
          <w:p w:rsidR="008779C6" w:rsidRPr="007030FA" w:rsidRDefault="008779C6" w:rsidP="00856DC2">
            <w:pPr>
              <w:rPr>
                <w:sz w:val="22"/>
                <w:szCs w:val="22"/>
              </w:rPr>
            </w:pPr>
            <w:r w:rsidRPr="007030FA">
              <w:rPr>
                <w:sz w:val="22"/>
                <w:szCs w:val="22"/>
              </w:rPr>
              <w:t>Traverse City et al., MI</w:t>
            </w:r>
          </w:p>
          <w:p w:rsidR="008779C6" w:rsidRPr="007030FA" w:rsidRDefault="008779C6" w:rsidP="00856DC2">
            <w:pPr>
              <w:rPr>
                <w:sz w:val="22"/>
                <w:szCs w:val="22"/>
              </w:rPr>
            </w:pPr>
            <w:r w:rsidRPr="007030FA">
              <w:rPr>
                <w:sz w:val="22"/>
                <w:szCs w:val="22"/>
              </w:rPr>
              <w:t>Marquette, MI</w:t>
            </w:r>
          </w:p>
          <w:p w:rsidR="008779C6" w:rsidRPr="007030FA" w:rsidRDefault="008779C6" w:rsidP="00856DC2">
            <w:pPr>
              <w:rPr>
                <w:sz w:val="22"/>
                <w:szCs w:val="22"/>
              </w:rPr>
            </w:pPr>
            <w:r w:rsidRPr="007030FA">
              <w:rPr>
                <w:sz w:val="22"/>
                <w:szCs w:val="22"/>
              </w:rPr>
              <w:t>Ottumwa-Kirksville, IA-MO</w:t>
            </w:r>
          </w:p>
          <w:p w:rsidR="008779C6" w:rsidRPr="007030FA" w:rsidRDefault="008779C6" w:rsidP="00856DC2">
            <w:pPr>
              <w:rPr>
                <w:sz w:val="22"/>
                <w:szCs w:val="22"/>
              </w:rPr>
            </w:pPr>
            <w:r w:rsidRPr="007030FA">
              <w:rPr>
                <w:sz w:val="22"/>
                <w:szCs w:val="22"/>
              </w:rPr>
              <w:t>Quincy et al., IL-MO-IA</w:t>
            </w:r>
          </w:p>
        </w:tc>
        <w:tc>
          <w:tcPr>
            <w:tcW w:w="1620" w:type="dxa"/>
            <w:tcBorders>
              <w:top w:val="single" w:sz="6" w:space="0" w:color="000000"/>
              <w:left w:val="single" w:sz="6" w:space="0" w:color="000000"/>
              <w:right w:val="single" w:sz="6" w:space="0" w:color="000000"/>
            </w:tcBorders>
            <w:shd w:val="clear" w:color="auto" w:fill="F2F2F2"/>
            <w:vAlign w:val="center"/>
          </w:tcPr>
          <w:p w:rsidR="008779C6" w:rsidRPr="007030FA" w:rsidRDefault="008779C6" w:rsidP="0026378D">
            <w:pPr>
              <w:jc w:val="center"/>
              <w:rPr>
                <w:sz w:val="22"/>
                <w:szCs w:val="22"/>
              </w:rPr>
            </w:pPr>
            <w:r w:rsidRPr="007030FA">
              <w:rPr>
                <w:sz w:val="22"/>
                <w:szCs w:val="22"/>
              </w:rPr>
              <w:t xml:space="preserve">12–14 </w:t>
            </w:r>
          </w:p>
        </w:tc>
        <w:tc>
          <w:tcPr>
            <w:tcW w:w="990"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rsidR="008779C6" w:rsidRPr="007030FA" w:rsidRDefault="008779C6" w:rsidP="003C0D20">
            <w:pPr>
              <w:jc w:val="center"/>
              <w:rPr>
                <w:sz w:val="22"/>
                <w:szCs w:val="22"/>
              </w:rPr>
            </w:pPr>
            <w:r w:rsidRPr="007030FA">
              <w:rPr>
                <w:sz w:val="22"/>
                <w:szCs w:val="22"/>
              </w:rPr>
              <w:t>2</w:t>
            </w:r>
          </w:p>
        </w:tc>
        <w:tc>
          <w:tcPr>
            <w:tcW w:w="1350"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rsidR="008779C6" w:rsidRPr="007030FA" w:rsidRDefault="00623B73" w:rsidP="008779C6">
            <w:pPr>
              <w:jc w:val="center"/>
            </w:pPr>
            <w:r>
              <w:rPr>
                <w:sz w:val="22"/>
                <w:szCs w:val="22"/>
              </w:rPr>
              <w:t>16</w:t>
            </w:r>
          </w:p>
        </w:tc>
      </w:tr>
      <w:tr w:rsidR="008779C6" w:rsidRPr="007030FA" w:rsidTr="008779C6">
        <w:trPr>
          <w:trHeight w:val="373"/>
        </w:trPr>
        <w:tc>
          <w:tcPr>
            <w:tcW w:w="1080" w:type="dxa"/>
            <w:vMerge/>
            <w:tcBorders>
              <w:left w:val="single" w:sz="6" w:space="0" w:color="000000"/>
              <w:bottom w:val="single" w:sz="6" w:space="0" w:color="000000"/>
              <w:right w:val="single" w:sz="6" w:space="0" w:color="000000"/>
            </w:tcBorders>
            <w:shd w:val="clear" w:color="auto" w:fill="F2F2F2"/>
            <w:vAlign w:val="center"/>
          </w:tcPr>
          <w:p w:rsidR="008779C6" w:rsidRPr="007030FA" w:rsidRDefault="008779C6" w:rsidP="003C0D20">
            <w:pPr>
              <w:jc w:val="center"/>
              <w:rPr>
                <w:bCs/>
                <w:sz w:val="22"/>
                <w:szCs w:val="22"/>
              </w:rPr>
            </w:pPr>
          </w:p>
        </w:tc>
        <w:tc>
          <w:tcPr>
            <w:tcW w:w="1530" w:type="dxa"/>
            <w:vMerge/>
            <w:tcBorders>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rsidR="008779C6" w:rsidRPr="007030FA" w:rsidRDefault="008779C6" w:rsidP="003C0D20">
            <w:pPr>
              <w:jc w:val="center"/>
              <w:rPr>
                <w:bCs/>
                <w:sz w:val="22"/>
                <w:szCs w:val="22"/>
              </w:rPr>
            </w:pPr>
          </w:p>
        </w:tc>
        <w:tc>
          <w:tcPr>
            <w:tcW w:w="3780" w:type="dxa"/>
            <w:vMerge/>
            <w:tcBorders>
              <w:left w:val="single" w:sz="6" w:space="0" w:color="000000"/>
              <w:bottom w:val="single" w:sz="6" w:space="0" w:color="000000"/>
              <w:right w:val="single" w:sz="6" w:space="0" w:color="000000"/>
            </w:tcBorders>
            <w:shd w:val="clear" w:color="auto" w:fill="F2F2F2"/>
            <w:vAlign w:val="center"/>
          </w:tcPr>
          <w:p w:rsidR="008779C6" w:rsidRPr="007030FA" w:rsidRDefault="008779C6" w:rsidP="00856DC2">
            <w:pPr>
              <w:rPr>
                <w:sz w:val="22"/>
                <w:szCs w:val="22"/>
              </w:rPr>
            </w:pPr>
          </w:p>
        </w:tc>
        <w:tc>
          <w:tcPr>
            <w:tcW w:w="1620" w:type="dxa"/>
            <w:tcBorders>
              <w:left w:val="single" w:sz="6" w:space="0" w:color="000000"/>
              <w:bottom w:val="single" w:sz="6" w:space="0" w:color="000000"/>
              <w:right w:val="single" w:sz="6" w:space="0" w:color="000000"/>
            </w:tcBorders>
            <w:shd w:val="clear" w:color="auto" w:fill="F2F2F2"/>
            <w:vAlign w:val="center"/>
          </w:tcPr>
          <w:p w:rsidR="008779C6" w:rsidRPr="007030FA" w:rsidRDefault="008779C6" w:rsidP="0026378D">
            <w:pPr>
              <w:jc w:val="center"/>
              <w:rPr>
                <w:sz w:val="22"/>
                <w:szCs w:val="22"/>
              </w:rPr>
            </w:pPr>
            <w:r w:rsidRPr="007030FA">
              <w:rPr>
                <w:sz w:val="22"/>
                <w:szCs w:val="22"/>
              </w:rPr>
              <w:t>15–17</w:t>
            </w:r>
          </w:p>
        </w:tc>
        <w:tc>
          <w:tcPr>
            <w:tcW w:w="990"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rsidR="008779C6" w:rsidRPr="007030FA" w:rsidRDefault="008779C6" w:rsidP="003C0D20">
            <w:pPr>
              <w:jc w:val="center"/>
              <w:rPr>
                <w:sz w:val="22"/>
                <w:szCs w:val="22"/>
              </w:rPr>
            </w:pPr>
            <w:r w:rsidRPr="007030FA">
              <w:rPr>
                <w:sz w:val="22"/>
                <w:szCs w:val="22"/>
              </w:rPr>
              <w:t>4</w:t>
            </w:r>
          </w:p>
        </w:tc>
        <w:tc>
          <w:tcPr>
            <w:tcW w:w="1350"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rsidR="008779C6" w:rsidRPr="007030FA" w:rsidRDefault="00623B73" w:rsidP="00623B73">
            <w:pPr>
              <w:jc w:val="center"/>
            </w:pPr>
            <w:r>
              <w:rPr>
                <w:sz w:val="22"/>
                <w:szCs w:val="22"/>
              </w:rPr>
              <w:t>32</w:t>
            </w:r>
          </w:p>
        </w:tc>
      </w:tr>
      <w:tr w:rsidR="008779C6" w:rsidRPr="007030FA" w:rsidTr="008779C6">
        <w:trPr>
          <w:trHeight w:val="372"/>
        </w:trPr>
        <w:tc>
          <w:tcPr>
            <w:tcW w:w="1080" w:type="dxa"/>
            <w:vMerge w:val="restart"/>
            <w:tcBorders>
              <w:top w:val="single" w:sz="6" w:space="0" w:color="000000"/>
              <w:left w:val="single" w:sz="6" w:space="0" w:color="000000"/>
              <w:right w:val="single" w:sz="6" w:space="0" w:color="000000"/>
            </w:tcBorders>
            <w:vAlign w:val="center"/>
          </w:tcPr>
          <w:p w:rsidR="008779C6" w:rsidRPr="007030FA" w:rsidRDefault="008779C6" w:rsidP="003C0D20">
            <w:pPr>
              <w:jc w:val="center"/>
              <w:rPr>
                <w:bCs/>
                <w:sz w:val="22"/>
                <w:szCs w:val="22"/>
              </w:rPr>
            </w:pPr>
            <w:r w:rsidRPr="007030FA">
              <w:rPr>
                <w:bCs/>
                <w:sz w:val="22"/>
                <w:szCs w:val="22"/>
              </w:rPr>
              <w:t>#4</w:t>
            </w:r>
          </w:p>
        </w:tc>
        <w:tc>
          <w:tcPr>
            <w:tcW w:w="1530" w:type="dxa"/>
            <w:vMerge w:val="restart"/>
            <w:tcBorders>
              <w:top w:val="single" w:sz="6" w:space="0" w:color="000000"/>
              <w:left w:val="single" w:sz="6" w:space="0" w:color="000000"/>
              <w:right w:val="single" w:sz="6" w:space="0" w:color="000000"/>
            </w:tcBorders>
            <w:shd w:val="clear" w:color="auto" w:fill="auto"/>
            <w:tcMar>
              <w:top w:w="80" w:type="dxa"/>
              <w:left w:w="80" w:type="dxa"/>
              <w:bottom w:w="80" w:type="dxa"/>
              <w:right w:w="80" w:type="dxa"/>
            </w:tcMar>
            <w:vAlign w:val="center"/>
          </w:tcPr>
          <w:p w:rsidR="008779C6" w:rsidRPr="007030FA" w:rsidRDefault="008779C6" w:rsidP="003C0D20">
            <w:pPr>
              <w:jc w:val="center"/>
              <w:rPr>
                <w:bCs/>
                <w:sz w:val="22"/>
                <w:szCs w:val="22"/>
              </w:rPr>
            </w:pPr>
            <w:r w:rsidRPr="007030FA">
              <w:rPr>
                <w:bCs/>
                <w:sz w:val="22"/>
                <w:szCs w:val="22"/>
              </w:rPr>
              <w:t>Rocky Sky</w:t>
            </w:r>
          </w:p>
        </w:tc>
        <w:tc>
          <w:tcPr>
            <w:tcW w:w="3780" w:type="dxa"/>
            <w:vMerge w:val="restart"/>
            <w:tcBorders>
              <w:top w:val="single" w:sz="6" w:space="0" w:color="000000"/>
              <w:left w:val="single" w:sz="6" w:space="0" w:color="000000"/>
              <w:right w:val="single" w:sz="6" w:space="0" w:color="000000"/>
            </w:tcBorders>
            <w:vAlign w:val="center"/>
          </w:tcPr>
          <w:p w:rsidR="008779C6" w:rsidRPr="007030FA" w:rsidRDefault="008779C6" w:rsidP="00856DC2">
            <w:pPr>
              <w:rPr>
                <w:sz w:val="22"/>
                <w:szCs w:val="22"/>
              </w:rPr>
            </w:pPr>
            <w:r w:rsidRPr="007030FA">
              <w:rPr>
                <w:sz w:val="22"/>
                <w:szCs w:val="22"/>
              </w:rPr>
              <w:t>Sioux Falls et al., SD</w:t>
            </w:r>
          </w:p>
          <w:p w:rsidR="008779C6" w:rsidRPr="007030FA" w:rsidRDefault="008779C6" w:rsidP="00856DC2">
            <w:pPr>
              <w:rPr>
                <w:sz w:val="22"/>
                <w:szCs w:val="22"/>
              </w:rPr>
            </w:pPr>
            <w:r w:rsidRPr="007030FA">
              <w:rPr>
                <w:sz w:val="22"/>
                <w:szCs w:val="22"/>
              </w:rPr>
              <w:t>Butte-Bozeman, MT</w:t>
            </w:r>
          </w:p>
          <w:p w:rsidR="008779C6" w:rsidRPr="007030FA" w:rsidRDefault="008779C6" w:rsidP="00856DC2">
            <w:pPr>
              <w:rPr>
                <w:sz w:val="22"/>
                <w:szCs w:val="22"/>
              </w:rPr>
            </w:pPr>
            <w:r w:rsidRPr="007030FA">
              <w:rPr>
                <w:sz w:val="22"/>
                <w:szCs w:val="22"/>
              </w:rPr>
              <w:t>Minot-</w:t>
            </w:r>
            <w:proofErr w:type="spellStart"/>
            <w:r w:rsidRPr="007030FA">
              <w:rPr>
                <w:sz w:val="22"/>
                <w:szCs w:val="22"/>
              </w:rPr>
              <w:t>Bismark</w:t>
            </w:r>
            <w:proofErr w:type="spellEnd"/>
            <w:r w:rsidRPr="007030FA">
              <w:rPr>
                <w:sz w:val="22"/>
                <w:szCs w:val="22"/>
              </w:rPr>
              <w:t>-Dickinson, ND</w:t>
            </w:r>
          </w:p>
          <w:p w:rsidR="008779C6" w:rsidRPr="007030FA" w:rsidRDefault="008779C6" w:rsidP="00856DC2">
            <w:pPr>
              <w:rPr>
                <w:sz w:val="22"/>
                <w:szCs w:val="22"/>
              </w:rPr>
            </w:pPr>
            <w:r w:rsidRPr="007030FA">
              <w:rPr>
                <w:sz w:val="22"/>
                <w:szCs w:val="22"/>
              </w:rPr>
              <w:t>Twin Falls, ID</w:t>
            </w:r>
          </w:p>
        </w:tc>
        <w:tc>
          <w:tcPr>
            <w:tcW w:w="1620" w:type="dxa"/>
            <w:tcBorders>
              <w:top w:val="single" w:sz="6" w:space="0" w:color="000000"/>
              <w:left w:val="single" w:sz="6" w:space="0" w:color="000000"/>
              <w:right w:val="single" w:sz="6" w:space="0" w:color="000000"/>
            </w:tcBorders>
            <w:vAlign w:val="center"/>
          </w:tcPr>
          <w:p w:rsidR="008779C6" w:rsidRPr="007030FA" w:rsidRDefault="008779C6" w:rsidP="0026378D">
            <w:pPr>
              <w:jc w:val="center"/>
              <w:rPr>
                <w:sz w:val="22"/>
                <w:szCs w:val="22"/>
              </w:rPr>
            </w:pPr>
            <w:r w:rsidRPr="007030FA">
              <w:rPr>
                <w:sz w:val="22"/>
                <w:szCs w:val="22"/>
              </w:rPr>
              <w:t xml:space="preserve">12–14 </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8779C6" w:rsidRPr="007030FA" w:rsidRDefault="008779C6" w:rsidP="003C0D20">
            <w:pPr>
              <w:jc w:val="center"/>
              <w:rPr>
                <w:sz w:val="22"/>
                <w:szCs w:val="22"/>
              </w:rPr>
            </w:pPr>
            <w:r w:rsidRPr="007030FA">
              <w:rPr>
                <w:sz w:val="22"/>
                <w:szCs w:val="22"/>
              </w:rPr>
              <w:t>2</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8779C6" w:rsidRPr="007030FA" w:rsidRDefault="00623B73" w:rsidP="008779C6">
            <w:pPr>
              <w:jc w:val="center"/>
            </w:pPr>
            <w:r>
              <w:rPr>
                <w:sz w:val="22"/>
                <w:szCs w:val="22"/>
              </w:rPr>
              <w:t>16</w:t>
            </w:r>
          </w:p>
        </w:tc>
      </w:tr>
      <w:tr w:rsidR="008779C6" w:rsidRPr="007030FA" w:rsidTr="008779C6">
        <w:trPr>
          <w:trHeight w:val="373"/>
        </w:trPr>
        <w:tc>
          <w:tcPr>
            <w:tcW w:w="1080" w:type="dxa"/>
            <w:vMerge/>
            <w:tcBorders>
              <w:left w:val="single" w:sz="6" w:space="0" w:color="000000"/>
              <w:right w:val="single" w:sz="6" w:space="0" w:color="000000"/>
            </w:tcBorders>
          </w:tcPr>
          <w:p w:rsidR="008779C6" w:rsidRPr="007030FA" w:rsidRDefault="008779C6" w:rsidP="003C0D20">
            <w:pPr>
              <w:jc w:val="center"/>
              <w:rPr>
                <w:b/>
                <w:bCs/>
                <w:sz w:val="22"/>
                <w:szCs w:val="22"/>
              </w:rPr>
            </w:pPr>
          </w:p>
        </w:tc>
        <w:tc>
          <w:tcPr>
            <w:tcW w:w="1530" w:type="dxa"/>
            <w:vMerge/>
            <w:tcBorders>
              <w:left w:val="single" w:sz="6" w:space="0" w:color="000000"/>
              <w:right w:val="single" w:sz="6" w:space="0" w:color="000000"/>
            </w:tcBorders>
            <w:shd w:val="clear" w:color="auto" w:fill="auto"/>
            <w:tcMar>
              <w:top w:w="80" w:type="dxa"/>
              <w:left w:w="80" w:type="dxa"/>
              <w:bottom w:w="80" w:type="dxa"/>
              <w:right w:w="80" w:type="dxa"/>
            </w:tcMar>
          </w:tcPr>
          <w:p w:rsidR="008779C6" w:rsidRPr="007030FA" w:rsidRDefault="008779C6" w:rsidP="003C0D20">
            <w:pPr>
              <w:jc w:val="center"/>
              <w:rPr>
                <w:b/>
                <w:bCs/>
                <w:sz w:val="22"/>
                <w:szCs w:val="22"/>
              </w:rPr>
            </w:pPr>
          </w:p>
        </w:tc>
        <w:tc>
          <w:tcPr>
            <w:tcW w:w="3780" w:type="dxa"/>
            <w:vMerge/>
            <w:tcBorders>
              <w:left w:val="single" w:sz="6" w:space="0" w:color="000000"/>
              <w:right w:val="single" w:sz="6" w:space="0" w:color="000000"/>
            </w:tcBorders>
            <w:vAlign w:val="center"/>
          </w:tcPr>
          <w:p w:rsidR="008779C6" w:rsidRPr="007030FA" w:rsidRDefault="008779C6" w:rsidP="003C0D20">
            <w:pPr>
              <w:jc w:val="center"/>
              <w:rPr>
                <w:sz w:val="22"/>
                <w:szCs w:val="22"/>
              </w:rPr>
            </w:pPr>
          </w:p>
        </w:tc>
        <w:tc>
          <w:tcPr>
            <w:tcW w:w="1620" w:type="dxa"/>
            <w:tcBorders>
              <w:left w:val="single" w:sz="6" w:space="0" w:color="000000"/>
              <w:right w:val="single" w:sz="6" w:space="0" w:color="000000"/>
            </w:tcBorders>
            <w:vAlign w:val="center"/>
          </w:tcPr>
          <w:p w:rsidR="008779C6" w:rsidRPr="007030FA" w:rsidRDefault="008779C6" w:rsidP="0026378D">
            <w:pPr>
              <w:jc w:val="center"/>
              <w:rPr>
                <w:sz w:val="22"/>
                <w:szCs w:val="22"/>
              </w:rPr>
            </w:pPr>
            <w:r w:rsidRPr="007030FA">
              <w:rPr>
                <w:sz w:val="22"/>
                <w:szCs w:val="22"/>
              </w:rPr>
              <w:t>15–17</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8779C6" w:rsidRPr="007030FA" w:rsidRDefault="008779C6" w:rsidP="003C0D20">
            <w:pPr>
              <w:jc w:val="center"/>
              <w:rPr>
                <w:sz w:val="22"/>
                <w:szCs w:val="22"/>
              </w:rPr>
            </w:pPr>
            <w:r w:rsidRPr="007030FA">
              <w:rPr>
                <w:sz w:val="22"/>
                <w:szCs w:val="22"/>
              </w:rPr>
              <w:t>4</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8779C6" w:rsidRPr="007030FA" w:rsidRDefault="00623B73" w:rsidP="00623B73">
            <w:pPr>
              <w:jc w:val="center"/>
            </w:pPr>
            <w:r>
              <w:rPr>
                <w:sz w:val="22"/>
                <w:szCs w:val="22"/>
              </w:rPr>
              <w:t>32</w:t>
            </w:r>
          </w:p>
        </w:tc>
      </w:tr>
      <w:tr w:rsidR="004909E1" w:rsidRPr="007030FA" w:rsidTr="004909E1">
        <w:trPr>
          <w:trHeight w:val="373"/>
        </w:trPr>
        <w:tc>
          <w:tcPr>
            <w:tcW w:w="8010" w:type="dxa"/>
            <w:gridSpan w:val="4"/>
            <w:tcBorders>
              <w:left w:val="single" w:sz="6" w:space="0" w:color="000000"/>
              <w:bottom w:val="single" w:sz="6" w:space="0" w:color="000000"/>
              <w:right w:val="single" w:sz="6" w:space="0" w:color="000000"/>
            </w:tcBorders>
            <w:vAlign w:val="center"/>
          </w:tcPr>
          <w:p w:rsidR="004909E1" w:rsidRPr="007030FA" w:rsidRDefault="004909E1" w:rsidP="004909E1">
            <w:pPr>
              <w:jc w:val="right"/>
              <w:rPr>
                <w:b/>
                <w:sz w:val="22"/>
                <w:szCs w:val="22"/>
              </w:rPr>
            </w:pPr>
            <w:r w:rsidRPr="007030FA">
              <w:rPr>
                <w:b/>
                <w:sz w:val="22"/>
                <w:szCs w:val="22"/>
              </w:rPr>
              <w:t>TOTALS</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909E1" w:rsidRPr="007030FA" w:rsidRDefault="004909E1" w:rsidP="003C0D20">
            <w:pPr>
              <w:jc w:val="center"/>
              <w:rPr>
                <w:b/>
                <w:sz w:val="22"/>
                <w:szCs w:val="22"/>
              </w:rPr>
            </w:pPr>
            <w:r w:rsidRPr="007030FA">
              <w:rPr>
                <w:b/>
                <w:sz w:val="22"/>
                <w:szCs w:val="22"/>
              </w:rPr>
              <w:t>24</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909E1" w:rsidRPr="007030FA" w:rsidRDefault="00466599" w:rsidP="00466599">
            <w:pPr>
              <w:jc w:val="both"/>
              <w:rPr>
                <w:b/>
                <w:sz w:val="22"/>
                <w:szCs w:val="22"/>
              </w:rPr>
            </w:pPr>
            <w:r>
              <w:rPr>
                <w:b/>
                <w:sz w:val="22"/>
                <w:szCs w:val="22"/>
              </w:rPr>
              <w:t xml:space="preserve">      192</w:t>
            </w:r>
          </w:p>
        </w:tc>
      </w:tr>
    </w:tbl>
    <w:p w:rsidR="00940419" w:rsidRDefault="00940419" w:rsidP="000B207F">
      <w:pPr>
        <w:ind w:left="360"/>
        <w:rPr>
          <w:color w:val="808080"/>
        </w:rPr>
      </w:pPr>
      <w:r w:rsidRPr="007030FA">
        <w:rPr>
          <w:color w:val="808080"/>
        </w:rPr>
        <w:t xml:space="preserve"> </w:t>
      </w:r>
    </w:p>
    <w:p w:rsidR="005F5CD1" w:rsidRDefault="005F5CD1" w:rsidP="000B207F">
      <w:pPr>
        <w:ind w:left="360"/>
        <w:rPr>
          <w:color w:val="808080"/>
        </w:rPr>
      </w:pPr>
    </w:p>
    <w:p w:rsidR="005F5CD1" w:rsidRPr="007030FA" w:rsidRDefault="005F5CD1" w:rsidP="000B207F">
      <w:pPr>
        <w:ind w:left="360"/>
        <w:rPr>
          <w:color w:val="808080"/>
        </w:rPr>
      </w:pPr>
    </w:p>
    <w:p w:rsidR="003F1C7A" w:rsidRPr="007030FA" w:rsidRDefault="000E7C99" w:rsidP="000B207F">
      <w:pPr>
        <w:numPr>
          <w:ilvl w:val="0"/>
          <w:numId w:val="15"/>
        </w:numPr>
        <w:tabs>
          <w:tab w:val="clear" w:pos="900"/>
          <w:tab w:val="num" w:pos="0"/>
          <w:tab w:val="num" w:pos="360"/>
        </w:tabs>
        <w:ind w:left="360"/>
      </w:pPr>
      <w:r w:rsidRPr="007030FA">
        <w:rPr>
          <w:b/>
        </w:rPr>
        <w:t xml:space="preserve">Date(s) </w:t>
      </w:r>
      <w:r w:rsidR="00915E13" w:rsidRPr="007030FA">
        <w:rPr>
          <w:b/>
        </w:rPr>
        <w:t xml:space="preserve">to be </w:t>
      </w:r>
      <w:r w:rsidR="00940419" w:rsidRPr="007030FA">
        <w:rPr>
          <w:b/>
        </w:rPr>
        <w:t>c</w:t>
      </w:r>
      <w:r w:rsidRPr="007030FA">
        <w:rPr>
          <w:b/>
        </w:rPr>
        <w:t>onducted</w:t>
      </w:r>
      <w:r w:rsidR="00940419" w:rsidRPr="007030FA">
        <w:rPr>
          <w:b/>
        </w:rPr>
        <w:t>:</w:t>
      </w:r>
      <w:r w:rsidR="00E415F0" w:rsidRPr="007030FA">
        <w:rPr>
          <w:b/>
        </w:rPr>
        <w:t xml:space="preserve"> </w:t>
      </w:r>
    </w:p>
    <w:p w:rsidR="006D39FA" w:rsidRPr="00A33DBF" w:rsidRDefault="006E7330" w:rsidP="00F53998">
      <w:pPr>
        <w:ind w:left="360"/>
      </w:pPr>
      <w:r w:rsidRPr="007030FA">
        <w:t xml:space="preserve">The </w:t>
      </w:r>
      <w:r w:rsidR="00E33DE4" w:rsidRPr="007030FA">
        <w:t xml:space="preserve">focus groups will </w:t>
      </w:r>
      <w:r w:rsidR="00774795" w:rsidRPr="007030FA">
        <w:t xml:space="preserve">take place </w:t>
      </w:r>
      <w:r w:rsidR="003044A6">
        <w:t>October</w:t>
      </w:r>
      <w:r w:rsidR="00115F69">
        <w:t xml:space="preserve"> 2014 – </w:t>
      </w:r>
      <w:r w:rsidR="003044A6">
        <w:t>March</w:t>
      </w:r>
      <w:r w:rsidR="00115F69">
        <w:t xml:space="preserve"> 2015</w:t>
      </w:r>
      <w:r w:rsidR="00D711EA" w:rsidRPr="00466599">
        <w:t xml:space="preserve">. </w:t>
      </w:r>
      <w:r w:rsidR="006D39FA" w:rsidRPr="00466599">
        <w:t xml:space="preserve">A total of </w:t>
      </w:r>
      <w:r w:rsidR="00856DC2" w:rsidRPr="00466599">
        <w:t>twenty</w:t>
      </w:r>
      <w:r w:rsidR="00504A3B">
        <w:t>-</w:t>
      </w:r>
      <w:r w:rsidR="00856DC2" w:rsidRPr="00466599">
        <w:t>four</w:t>
      </w:r>
      <w:r w:rsidR="006D39FA" w:rsidRPr="00466599">
        <w:t xml:space="preserve"> focus groups </w:t>
      </w:r>
      <w:r w:rsidR="00590466" w:rsidRPr="00466599">
        <w:t>(</w:t>
      </w:r>
      <w:r w:rsidR="00466599" w:rsidRPr="00466599">
        <w:t>8</w:t>
      </w:r>
      <w:r w:rsidR="00B20C7C" w:rsidRPr="00466599">
        <w:t xml:space="preserve"> participants each</w:t>
      </w:r>
      <w:r w:rsidR="00590466" w:rsidRPr="00466599">
        <w:t>)</w:t>
      </w:r>
      <w:r w:rsidR="00B20C7C" w:rsidRPr="00466599">
        <w:t xml:space="preserve"> </w:t>
      </w:r>
      <w:r w:rsidR="006D39FA" w:rsidRPr="00466599">
        <w:t xml:space="preserve">will be conducted </w:t>
      </w:r>
      <w:r w:rsidR="00940419" w:rsidRPr="00466599">
        <w:t xml:space="preserve">in </w:t>
      </w:r>
      <w:r w:rsidR="00D62093" w:rsidRPr="00466599">
        <w:t>four</w:t>
      </w:r>
      <w:r w:rsidR="006D39FA" w:rsidRPr="00466599">
        <w:t xml:space="preserve"> rural </w:t>
      </w:r>
      <w:r w:rsidR="00856DC2" w:rsidRPr="00466599">
        <w:t xml:space="preserve">school districts, </w:t>
      </w:r>
      <w:r w:rsidR="00856DC2" w:rsidRPr="00623B73">
        <w:t>from each of</w:t>
      </w:r>
      <w:r w:rsidR="00856DC2" w:rsidRPr="00466599">
        <w:t xml:space="preserve"> the target regions</w:t>
      </w:r>
      <w:r w:rsidR="00940419" w:rsidRPr="00466599">
        <w:t xml:space="preserve">: </w:t>
      </w:r>
      <w:r w:rsidR="00856DC2" w:rsidRPr="00466599">
        <w:t xml:space="preserve">Southeast, </w:t>
      </w:r>
      <w:r w:rsidR="003044A6">
        <w:t>“</w:t>
      </w:r>
      <w:r w:rsidR="00856DC2" w:rsidRPr="00051C63">
        <w:t>Tex-</w:t>
      </w:r>
      <w:proofErr w:type="spellStart"/>
      <w:r w:rsidR="00856DC2" w:rsidRPr="00051C63">
        <w:t>ish</w:t>
      </w:r>
      <w:proofErr w:type="spellEnd"/>
      <w:r w:rsidR="003044A6">
        <w:t>”</w:t>
      </w:r>
      <w:r w:rsidR="00856DC2" w:rsidRPr="00051C63">
        <w:t>,</w:t>
      </w:r>
      <w:r w:rsidR="00856DC2" w:rsidRPr="007030FA">
        <w:t xml:space="preserve"> Great Lakes, and Rocky Sky</w:t>
      </w:r>
      <w:r w:rsidR="00940419" w:rsidRPr="007030FA">
        <w:t>.  The selection of these</w:t>
      </w:r>
      <w:r w:rsidR="00075339" w:rsidRPr="007030FA">
        <w:t xml:space="preserve"> rural</w:t>
      </w:r>
      <w:r w:rsidR="00940419" w:rsidRPr="007030FA">
        <w:t xml:space="preserve"> markets was based on the prevalence of youth smokeless tobacco use</w:t>
      </w:r>
      <w:r w:rsidR="00075339" w:rsidRPr="007030FA">
        <w:t xml:space="preserve"> in these areas and their collective regional diversity.</w:t>
      </w:r>
      <w:r w:rsidR="00075339">
        <w:t xml:space="preserve"> </w:t>
      </w:r>
    </w:p>
    <w:p w:rsidR="006D39FA" w:rsidRPr="00383863" w:rsidRDefault="006D39FA" w:rsidP="00446217">
      <w:pPr>
        <w:ind w:left="360"/>
      </w:pPr>
    </w:p>
    <w:p w:rsidR="00413A19" w:rsidRDefault="00413A19">
      <w:pPr>
        <w:rPr>
          <w:b/>
        </w:rPr>
      </w:pPr>
      <w:r>
        <w:rPr>
          <w:b/>
        </w:rPr>
        <w:br w:type="page"/>
      </w:r>
    </w:p>
    <w:p w:rsidR="00E70808" w:rsidRPr="00E70808" w:rsidRDefault="00E70808" w:rsidP="00E70808">
      <w:pPr>
        <w:numPr>
          <w:ilvl w:val="0"/>
          <w:numId w:val="15"/>
        </w:numPr>
        <w:tabs>
          <w:tab w:val="left" w:pos="0"/>
          <w:tab w:val="num" w:pos="360"/>
        </w:tabs>
        <w:ind w:left="0" w:firstLine="0"/>
        <w:rPr>
          <w:b/>
        </w:rPr>
      </w:pPr>
      <w:r w:rsidRPr="00E70808">
        <w:rPr>
          <w:b/>
        </w:rPr>
        <w:lastRenderedPageBreak/>
        <w:t>How the Information is being collected:</w:t>
      </w:r>
    </w:p>
    <w:p w:rsidR="00F125CB" w:rsidRPr="00545CE7" w:rsidRDefault="00504A3B" w:rsidP="00F125CB">
      <w:pPr>
        <w:pStyle w:val="Default"/>
        <w:ind w:left="360"/>
      </w:pPr>
      <w:proofErr w:type="spellStart"/>
      <w:r w:rsidRPr="00A04BB0">
        <w:rPr>
          <w:bCs/>
          <w:szCs w:val="20"/>
        </w:rPr>
        <w:t>Sensis</w:t>
      </w:r>
      <w:proofErr w:type="spellEnd"/>
      <w:r w:rsidRPr="00A04BB0">
        <w:rPr>
          <w:bCs/>
          <w:szCs w:val="20"/>
        </w:rPr>
        <w:t xml:space="preserve"> is an advertising </w:t>
      </w:r>
      <w:r>
        <w:rPr>
          <w:bCs/>
          <w:szCs w:val="20"/>
        </w:rPr>
        <w:t>company partnering with FDA’s Center for Tobacco Products</w:t>
      </w:r>
      <w:r w:rsidRPr="00A04BB0">
        <w:rPr>
          <w:bCs/>
          <w:szCs w:val="20"/>
        </w:rPr>
        <w:t xml:space="preserve"> to create a smokeless tobacco prevention campaign.   </w:t>
      </w:r>
      <w:r w:rsidR="00FE1993" w:rsidRPr="00383863">
        <w:t>For the focus groups, t</w:t>
      </w:r>
      <w:r w:rsidR="006E7330" w:rsidRPr="00383863">
        <w:t>he information is being collected by contractor</w:t>
      </w:r>
      <w:r w:rsidR="00856DC2">
        <w:t>s</w:t>
      </w:r>
      <w:r w:rsidR="00F20DED" w:rsidRPr="00383863">
        <w:t xml:space="preserve">, </w:t>
      </w:r>
      <w:proofErr w:type="spellStart"/>
      <w:r w:rsidR="00FE1993" w:rsidRPr="00383863">
        <w:t>Fors</w:t>
      </w:r>
      <w:proofErr w:type="spellEnd"/>
      <w:r w:rsidR="00FE1993" w:rsidRPr="00383863">
        <w:t xml:space="preserve"> Marsh Group</w:t>
      </w:r>
      <w:r w:rsidR="00856DC2">
        <w:t xml:space="preserve"> and Michael </w:t>
      </w:r>
      <w:r w:rsidR="00856DC2" w:rsidRPr="00243BD3">
        <w:t>Cohen Group</w:t>
      </w:r>
      <w:r w:rsidR="00F20DED" w:rsidRPr="00243BD3">
        <w:t>,</w:t>
      </w:r>
      <w:r w:rsidR="006E7330" w:rsidRPr="00243BD3">
        <w:t xml:space="preserve"> who will conduct </w:t>
      </w:r>
      <w:r w:rsidR="004B441A" w:rsidRPr="00243BD3">
        <w:t xml:space="preserve">all </w:t>
      </w:r>
      <w:r w:rsidR="00243BD3" w:rsidRPr="00243BD3">
        <w:t>twenty four</w:t>
      </w:r>
      <w:r w:rsidR="004B441A" w:rsidRPr="00243BD3">
        <w:t xml:space="preserve"> </w:t>
      </w:r>
      <w:r w:rsidR="00165152" w:rsidRPr="00243BD3">
        <w:t>focus</w:t>
      </w:r>
      <w:r w:rsidR="00165152" w:rsidRPr="00383863">
        <w:t xml:space="preserve"> group </w:t>
      </w:r>
      <w:r w:rsidR="006E7330" w:rsidRPr="00383863">
        <w:t>session</w:t>
      </w:r>
      <w:r w:rsidR="00ED3D2C" w:rsidRPr="00383863">
        <w:t>s</w:t>
      </w:r>
      <w:r w:rsidR="00DD40A4">
        <w:t xml:space="preserve">. </w:t>
      </w:r>
      <w:r w:rsidR="00721E52">
        <w:t>Each focus group will last 90 minutes</w:t>
      </w:r>
      <w:r w:rsidR="00873F2B">
        <w:t>.</w:t>
      </w:r>
      <w:r w:rsidR="00721E52">
        <w:t xml:space="preserve"> </w:t>
      </w:r>
      <w:r w:rsidR="00DD40A4">
        <w:t xml:space="preserve">The sessions will be live and </w:t>
      </w:r>
      <w:r w:rsidR="006E7330" w:rsidRPr="00383863">
        <w:t>face-to-face</w:t>
      </w:r>
      <w:r w:rsidR="00DD40A4">
        <w:t xml:space="preserve">. </w:t>
      </w:r>
      <w:r w:rsidR="00F125CB">
        <w:t xml:space="preserve">Recruitment and screening will take place onsite at the schools. Youth </w:t>
      </w:r>
      <w:r w:rsidR="00165152" w:rsidRPr="00F125CB">
        <w:t>A</w:t>
      </w:r>
      <w:r w:rsidR="00407C96" w:rsidRPr="00F125CB">
        <w:t>ssent will be obtained</w:t>
      </w:r>
      <w:r w:rsidR="00165152" w:rsidRPr="00F125CB">
        <w:t xml:space="preserve"> </w:t>
      </w:r>
      <w:r w:rsidR="00FB2785" w:rsidRPr="00F125CB">
        <w:t xml:space="preserve">from participants </w:t>
      </w:r>
      <w:r w:rsidR="00F125CB" w:rsidRPr="00F125CB">
        <w:t xml:space="preserve">during screening </w:t>
      </w:r>
      <w:r w:rsidR="00165152" w:rsidRPr="00F125CB">
        <w:t>and prior to the focus group session (written</w:t>
      </w:r>
      <w:r w:rsidR="00873F2B" w:rsidRPr="00F125CB">
        <w:t>, via online form</w:t>
      </w:r>
      <w:r w:rsidR="00165152" w:rsidRPr="00F125CB">
        <w:t>).</w:t>
      </w:r>
      <w:r w:rsidR="00F125CB">
        <w:t xml:space="preserve"> </w:t>
      </w:r>
      <w:r w:rsidR="00F125CB" w:rsidRPr="00545CE7">
        <w:t>We will implement procedures for obtaining “passive” (opt-out) parent/guardian consent for students ages 13-17</w:t>
      </w:r>
      <w:r w:rsidR="00F125CB">
        <w:t xml:space="preserve"> unless a school district or principal requires “active” (signed) consent from all parents and guardians.  Following screening, a</w:t>
      </w:r>
      <w:r w:rsidR="00F125CB" w:rsidRPr="00545CE7">
        <w:t>ssenting participants will be asked to obtain “active” (signed) or “passive” (</w:t>
      </w:r>
      <w:proofErr w:type="gramStart"/>
      <w:r w:rsidR="00F125CB" w:rsidRPr="00545CE7">
        <w:t>opt-out</w:t>
      </w:r>
      <w:proofErr w:type="gramEnd"/>
      <w:r w:rsidR="00F125CB" w:rsidRPr="00545CE7">
        <w:t xml:space="preserve">) consent from their parent/guardian within </w:t>
      </w:r>
      <w:r w:rsidR="00F125CB" w:rsidRPr="00623B73">
        <w:t>24 hours. In all cases where the Parent/Guardian opt-out procedures are followed, there will be a 24 hour minimum grace period</w:t>
      </w:r>
      <w:r w:rsidR="00F125CB">
        <w:t xml:space="preserve"> between when the Notification form is provided to the student and when the student is scheduled to participate in a focus group. This grace period is required to allow adequate time for parents/guardians who wish to opt-out to do so. </w:t>
      </w:r>
      <w:r w:rsidR="00F125CB" w:rsidRPr="00545CE7">
        <w:t xml:space="preserve">Eligible students who are 12 years old must obtain “active” (signed) consent from their parent/guardian before they can participate. We will also use the “active” (signed) parent/guardian consent for 13-17 year olds in schools where the local principal requires it (i.e., will not approve parental opt-out). </w:t>
      </w:r>
    </w:p>
    <w:p w:rsidR="00FB2785" w:rsidRPr="00383863" w:rsidRDefault="003473AD" w:rsidP="00FB2785">
      <w:pPr>
        <w:ind w:left="360"/>
      </w:pPr>
      <w:r>
        <w:t xml:space="preserve"> </w:t>
      </w:r>
    </w:p>
    <w:p w:rsidR="00DD557F" w:rsidRPr="002C1674" w:rsidRDefault="00783501" w:rsidP="00FB2785">
      <w:pPr>
        <w:ind w:left="360"/>
      </w:pPr>
      <w:r w:rsidRPr="00383863">
        <w:t>The groups will be</w:t>
      </w:r>
      <w:r w:rsidR="00753FEC" w:rsidRPr="00383863">
        <w:t xml:space="preserve"> </w:t>
      </w:r>
      <w:r w:rsidR="00F20DED" w:rsidRPr="00383863">
        <w:t xml:space="preserve">led </w:t>
      </w:r>
      <w:r w:rsidR="00753FEC" w:rsidRPr="00383863">
        <w:t xml:space="preserve">by a professional moderator </w:t>
      </w:r>
      <w:r w:rsidR="00FB49C6" w:rsidRPr="00383863">
        <w:t>f</w:t>
      </w:r>
      <w:r w:rsidR="002517C9" w:rsidRPr="00383863">
        <w:t xml:space="preserve">ollowing </w:t>
      </w:r>
      <w:r w:rsidR="00FB49C6" w:rsidRPr="00383863">
        <w:t>loosely structured guide</w:t>
      </w:r>
      <w:r w:rsidR="002517C9" w:rsidRPr="00383863">
        <w:t>s that allow</w:t>
      </w:r>
      <w:r w:rsidR="00753FEC" w:rsidRPr="00383863">
        <w:t xml:space="preserve"> respondents to talk openly </w:t>
      </w:r>
      <w:r w:rsidR="002517C9" w:rsidRPr="00383863">
        <w:t xml:space="preserve">and </w:t>
      </w:r>
      <w:r w:rsidR="00753FEC" w:rsidRPr="00383863">
        <w:t xml:space="preserve">change direction as the discussion unfolds and new topics </w:t>
      </w:r>
      <w:r w:rsidR="00753FEC" w:rsidRPr="002C1674">
        <w:t xml:space="preserve">emerge. </w:t>
      </w:r>
      <w:r w:rsidR="002517C9" w:rsidRPr="002C1674">
        <w:t>The discussion guide</w:t>
      </w:r>
      <w:r w:rsidR="00F62A64" w:rsidRPr="002C1674">
        <w:t xml:space="preserve"> is </w:t>
      </w:r>
      <w:r w:rsidR="002517C9" w:rsidRPr="002C1674">
        <w:t xml:space="preserve">grouped into </w:t>
      </w:r>
      <w:r w:rsidR="002C1674" w:rsidRPr="002C1674">
        <w:t>s</w:t>
      </w:r>
      <w:r w:rsidR="00C843AE">
        <w:t>ix</w:t>
      </w:r>
      <w:r w:rsidR="002517C9" w:rsidRPr="002C1674">
        <w:t xml:space="preserve"> sections </w:t>
      </w:r>
      <w:r w:rsidR="00807D72" w:rsidRPr="002C1674">
        <w:t xml:space="preserve">(see </w:t>
      </w:r>
      <w:r w:rsidR="00807D72" w:rsidRPr="00F47436">
        <w:t xml:space="preserve">Appendix </w:t>
      </w:r>
      <w:r w:rsidR="00F47436" w:rsidRPr="00F47436">
        <w:t>B</w:t>
      </w:r>
      <w:r w:rsidR="00F47436">
        <w:t xml:space="preserve"> </w:t>
      </w:r>
      <w:r w:rsidR="00807D72" w:rsidRPr="00F47436">
        <w:t>f</w:t>
      </w:r>
      <w:r w:rsidR="00807D72" w:rsidRPr="002C1674">
        <w:t>or full protocol)</w:t>
      </w:r>
      <w:r w:rsidR="00DD557F" w:rsidRPr="002C1674">
        <w:t>:</w:t>
      </w:r>
      <w:r w:rsidR="002517C9" w:rsidRPr="002C1674">
        <w:t xml:space="preserve"> </w:t>
      </w:r>
    </w:p>
    <w:p w:rsidR="00DD557F" w:rsidRPr="007030FA" w:rsidRDefault="002C1674" w:rsidP="00DD557F">
      <w:pPr>
        <w:numPr>
          <w:ilvl w:val="0"/>
          <w:numId w:val="42"/>
        </w:numPr>
      </w:pPr>
      <w:r w:rsidRPr="007030FA">
        <w:rPr>
          <w:u w:val="single"/>
        </w:rPr>
        <w:t>Introduction to Focus Group</w:t>
      </w:r>
      <w:r w:rsidR="00DE2BAB" w:rsidRPr="007030FA">
        <w:rPr>
          <w:u w:val="single"/>
        </w:rPr>
        <w:t>/</w:t>
      </w:r>
      <w:r w:rsidR="004D0819" w:rsidRPr="007030FA">
        <w:rPr>
          <w:u w:val="single"/>
        </w:rPr>
        <w:t>Icebreaker</w:t>
      </w:r>
      <w:r w:rsidR="00F050D0" w:rsidRPr="007030FA">
        <w:rPr>
          <w:u w:val="single"/>
        </w:rPr>
        <w:t xml:space="preserve"> (</w:t>
      </w:r>
      <w:r w:rsidR="004D0819" w:rsidRPr="007030FA">
        <w:rPr>
          <w:u w:val="single"/>
        </w:rPr>
        <w:t>5</w:t>
      </w:r>
      <w:r w:rsidR="00F050D0" w:rsidRPr="007030FA">
        <w:rPr>
          <w:u w:val="single"/>
        </w:rPr>
        <w:t xml:space="preserve"> min)</w:t>
      </w:r>
      <w:r w:rsidRPr="007030FA">
        <w:t>: moderator will introduce him/herself to the participants and review the purpose of the focus groups</w:t>
      </w:r>
      <w:r w:rsidR="00F050D0" w:rsidRPr="007030FA">
        <w:t>. Participants will engage in an ice-breaker</w:t>
      </w:r>
      <w:r w:rsidR="004D0819" w:rsidRPr="007030FA">
        <w:t xml:space="preserve"> to introduce </w:t>
      </w:r>
      <w:r w:rsidR="00C843AE" w:rsidRPr="007030FA">
        <w:t>them</w:t>
      </w:r>
      <w:r w:rsidR="004D0819" w:rsidRPr="007030FA">
        <w:t>selves to group</w:t>
      </w:r>
      <w:r w:rsidR="00DE2BAB" w:rsidRPr="007030FA">
        <w:t>.</w:t>
      </w:r>
      <w:r w:rsidR="00F63B3C" w:rsidRPr="007030FA">
        <w:t xml:space="preserve">  </w:t>
      </w:r>
    </w:p>
    <w:p w:rsidR="0026776D" w:rsidRPr="00466599" w:rsidRDefault="000A2FF8" w:rsidP="00DD557F">
      <w:pPr>
        <w:numPr>
          <w:ilvl w:val="0"/>
          <w:numId w:val="42"/>
        </w:numPr>
      </w:pPr>
      <w:r w:rsidRPr="00466599">
        <w:rPr>
          <w:u w:val="single"/>
        </w:rPr>
        <w:t xml:space="preserve">Warm-up Activities </w:t>
      </w:r>
      <w:r w:rsidR="00466599">
        <w:rPr>
          <w:u w:val="single"/>
        </w:rPr>
        <w:t>5</w:t>
      </w:r>
      <w:r w:rsidR="00F050D0" w:rsidRPr="00466599">
        <w:rPr>
          <w:u w:val="single"/>
        </w:rPr>
        <w:t xml:space="preserve"> min)</w:t>
      </w:r>
      <w:r w:rsidR="002C1674" w:rsidRPr="00466599">
        <w:t xml:space="preserve">: moderator will </w:t>
      </w:r>
      <w:r w:rsidR="0040778F" w:rsidRPr="00466599">
        <w:t xml:space="preserve">ask participants </w:t>
      </w:r>
      <w:r w:rsidRPr="00466599">
        <w:t>about commercials they like, popular brands, and their activities/hobbies</w:t>
      </w:r>
      <w:r w:rsidR="002C1674" w:rsidRPr="00466599">
        <w:t xml:space="preserve">. This </w:t>
      </w:r>
      <w:r w:rsidR="00DE2BAB" w:rsidRPr="00466599">
        <w:t xml:space="preserve">discussion </w:t>
      </w:r>
      <w:r w:rsidR="002C1674" w:rsidRPr="00466599">
        <w:t xml:space="preserve">will </w:t>
      </w:r>
      <w:r w:rsidR="0040778F" w:rsidRPr="00466599">
        <w:t>serve as a warm-up activity to get participants comfortable talking in the group</w:t>
      </w:r>
      <w:r w:rsidR="002C1674" w:rsidRPr="00466599">
        <w:t xml:space="preserve">. </w:t>
      </w:r>
    </w:p>
    <w:p w:rsidR="00C24E75" w:rsidRPr="007030FA" w:rsidRDefault="004D0819" w:rsidP="00DD557F">
      <w:pPr>
        <w:numPr>
          <w:ilvl w:val="0"/>
          <w:numId w:val="42"/>
        </w:numPr>
      </w:pPr>
      <w:r w:rsidRPr="00466599">
        <w:rPr>
          <w:u w:val="single"/>
        </w:rPr>
        <w:t>Creative</w:t>
      </w:r>
      <w:r w:rsidR="002C1674" w:rsidRPr="00466599">
        <w:rPr>
          <w:u w:val="single"/>
        </w:rPr>
        <w:t xml:space="preserve"> Concepts</w:t>
      </w:r>
      <w:r w:rsidR="00F050D0" w:rsidRPr="00466599">
        <w:rPr>
          <w:u w:val="single"/>
        </w:rPr>
        <w:t xml:space="preserve"> (</w:t>
      </w:r>
      <w:r w:rsidR="00466599" w:rsidRPr="00466599">
        <w:rPr>
          <w:u w:val="single"/>
        </w:rPr>
        <w:t>50</w:t>
      </w:r>
      <w:r w:rsidR="00F130D6" w:rsidRPr="00466599">
        <w:rPr>
          <w:u w:val="single"/>
        </w:rPr>
        <w:t xml:space="preserve"> </w:t>
      </w:r>
      <w:r w:rsidR="00F050D0" w:rsidRPr="00466599">
        <w:rPr>
          <w:u w:val="single"/>
        </w:rPr>
        <w:t>min)</w:t>
      </w:r>
      <w:r w:rsidR="00F63B3C" w:rsidRPr="00466599">
        <w:t xml:space="preserve">:  </w:t>
      </w:r>
      <w:r w:rsidR="002C1674" w:rsidRPr="00466599">
        <w:t xml:space="preserve">moderator will present the </w:t>
      </w:r>
      <w:r w:rsidR="0040778F" w:rsidRPr="00466599">
        <w:t>creative</w:t>
      </w:r>
      <w:r w:rsidR="002C1674" w:rsidRPr="00466599">
        <w:t xml:space="preserve"> concepts one by one in random order</w:t>
      </w:r>
      <w:r w:rsidR="00CD0D45" w:rsidRPr="00466599">
        <w:t xml:space="preserve"> (see Appendix</w:t>
      </w:r>
      <w:r w:rsidR="00CD0D45" w:rsidRPr="007030FA">
        <w:t xml:space="preserve"> D: Creative Concept &amp; Branding Stimuli)</w:t>
      </w:r>
      <w:r w:rsidR="002C1674" w:rsidRPr="007030FA">
        <w:t xml:space="preserve">. After viewing each concept, participants will complete </w:t>
      </w:r>
      <w:r w:rsidR="00243BD3" w:rsidRPr="007030FA">
        <w:t xml:space="preserve">an individual rating exercise (see Appendix C: </w:t>
      </w:r>
      <w:r w:rsidR="002C1674" w:rsidRPr="007030FA">
        <w:t>Participant Rating Sheet) and then the moderator will facilitate a group discussion reviewing their reactions to the concept</w:t>
      </w:r>
      <w:r w:rsidR="002517C9" w:rsidRPr="007030FA">
        <w:t xml:space="preserve">. </w:t>
      </w:r>
      <w:r w:rsidR="007545F5" w:rsidRPr="007030FA">
        <w:t xml:space="preserve"> </w:t>
      </w:r>
    </w:p>
    <w:p w:rsidR="00DE2BAB" w:rsidRPr="007030FA" w:rsidRDefault="00C843AE" w:rsidP="00DD557F">
      <w:pPr>
        <w:numPr>
          <w:ilvl w:val="0"/>
          <w:numId w:val="42"/>
        </w:numPr>
      </w:pPr>
      <w:r w:rsidRPr="007030FA">
        <w:rPr>
          <w:u w:val="single"/>
        </w:rPr>
        <w:t>Branding Stimuli</w:t>
      </w:r>
      <w:r w:rsidR="00DE2BAB" w:rsidRPr="007030FA">
        <w:rPr>
          <w:u w:val="single"/>
        </w:rPr>
        <w:t xml:space="preserve"> (1</w:t>
      </w:r>
      <w:r w:rsidRPr="007030FA">
        <w:rPr>
          <w:u w:val="single"/>
        </w:rPr>
        <w:t>5</w:t>
      </w:r>
      <w:r w:rsidR="00DE2BAB" w:rsidRPr="007030FA">
        <w:rPr>
          <w:u w:val="single"/>
        </w:rPr>
        <w:t xml:space="preserve"> min)</w:t>
      </w:r>
      <w:r w:rsidR="00DE2BAB" w:rsidRPr="007030FA">
        <w:t xml:space="preserve">: </w:t>
      </w:r>
      <w:r w:rsidR="0040778F" w:rsidRPr="007030FA">
        <w:t>moderator will present the branding concepts one by one in random order</w:t>
      </w:r>
      <w:r w:rsidR="00243BD3" w:rsidRPr="007030FA">
        <w:t xml:space="preserve"> (see Appendix </w:t>
      </w:r>
      <w:r w:rsidR="00CD0D45" w:rsidRPr="007030FA">
        <w:t>D: Creative Concept &amp; Branding Stimuli)</w:t>
      </w:r>
      <w:r w:rsidR="0040778F" w:rsidRPr="007030FA">
        <w:t xml:space="preserve">. After viewing each brand stimuli, the moderator will facilitate a group discussion reviewing their reactions to the concept.  </w:t>
      </w:r>
    </w:p>
    <w:p w:rsidR="0026776D" w:rsidRPr="007030FA" w:rsidRDefault="002C1674" w:rsidP="00DD557F">
      <w:pPr>
        <w:numPr>
          <w:ilvl w:val="0"/>
          <w:numId w:val="42"/>
        </w:numPr>
      </w:pPr>
      <w:r w:rsidRPr="007030FA">
        <w:rPr>
          <w:u w:val="single"/>
        </w:rPr>
        <w:t>Comparison</w:t>
      </w:r>
      <w:r w:rsidR="00F050D0" w:rsidRPr="007030FA">
        <w:rPr>
          <w:u w:val="single"/>
        </w:rPr>
        <w:t xml:space="preserve"> (</w:t>
      </w:r>
      <w:r w:rsidR="004662F8" w:rsidRPr="007030FA">
        <w:rPr>
          <w:u w:val="single"/>
        </w:rPr>
        <w:t>10</w:t>
      </w:r>
      <w:r w:rsidR="00F050D0" w:rsidRPr="007030FA">
        <w:rPr>
          <w:u w:val="single"/>
        </w:rPr>
        <w:t xml:space="preserve"> min)</w:t>
      </w:r>
      <w:r w:rsidR="00F63B3C" w:rsidRPr="007030FA">
        <w:t xml:space="preserve">:  </w:t>
      </w:r>
      <w:r w:rsidRPr="007030FA">
        <w:t xml:space="preserve">moderator will ask participants to </w:t>
      </w:r>
      <w:r w:rsidR="0040778F" w:rsidRPr="007030FA">
        <w:t xml:space="preserve">write responses to </w:t>
      </w:r>
      <w:r w:rsidR="001472BE" w:rsidRPr="007030FA">
        <w:t>three</w:t>
      </w:r>
      <w:r w:rsidR="0040778F" w:rsidRPr="007030FA">
        <w:t xml:space="preserve"> comparison questions including their favorite concept, least favorite concept</w:t>
      </w:r>
      <w:r w:rsidR="001472BE" w:rsidRPr="007030FA">
        <w:t>, and favorite branding logo on colored cards</w:t>
      </w:r>
      <w:r w:rsidR="001D7BD2" w:rsidRPr="007030FA">
        <w:t xml:space="preserve"> and facilitate a discussion </w:t>
      </w:r>
      <w:r w:rsidR="0040778F" w:rsidRPr="007030FA">
        <w:t>about their responses</w:t>
      </w:r>
      <w:r w:rsidR="001D7BD2" w:rsidRPr="007030FA">
        <w:t>.</w:t>
      </w:r>
    </w:p>
    <w:p w:rsidR="00E720E4" w:rsidRPr="007030FA" w:rsidRDefault="00C24E75" w:rsidP="002C1674">
      <w:pPr>
        <w:numPr>
          <w:ilvl w:val="0"/>
          <w:numId w:val="42"/>
        </w:numPr>
      </w:pPr>
      <w:r w:rsidRPr="007030FA">
        <w:rPr>
          <w:u w:val="single"/>
        </w:rPr>
        <w:t>Closing</w:t>
      </w:r>
      <w:r w:rsidR="00F130D6" w:rsidRPr="007030FA">
        <w:rPr>
          <w:u w:val="single"/>
        </w:rPr>
        <w:t xml:space="preserve"> (5 min)</w:t>
      </w:r>
      <w:r w:rsidR="0030387A" w:rsidRPr="007030FA">
        <w:t xml:space="preserve">: </w:t>
      </w:r>
      <w:r w:rsidRPr="007030FA">
        <w:t xml:space="preserve">the moderator will wrap up </w:t>
      </w:r>
      <w:r w:rsidR="0012033B" w:rsidRPr="007030FA">
        <w:t xml:space="preserve">with </w:t>
      </w:r>
      <w:r w:rsidRPr="007030FA">
        <w:t>any remaining comments</w:t>
      </w:r>
      <w:r w:rsidR="00FE2A38" w:rsidRPr="007030FA">
        <w:t>, thank,</w:t>
      </w:r>
      <w:r w:rsidR="002C1674" w:rsidRPr="007030FA">
        <w:t xml:space="preserve"> and debrief participants</w:t>
      </w:r>
      <w:r w:rsidR="001D7BD2" w:rsidRPr="007030FA">
        <w:t xml:space="preserve">. </w:t>
      </w:r>
    </w:p>
    <w:p w:rsidR="00413A19" w:rsidRDefault="00413A19">
      <w:pPr>
        <w:rPr>
          <w:b/>
        </w:rPr>
      </w:pPr>
    </w:p>
    <w:p w:rsidR="00E70808" w:rsidRPr="00F125CB" w:rsidRDefault="00E70808" w:rsidP="00620E8B">
      <w:pPr>
        <w:numPr>
          <w:ilvl w:val="0"/>
          <w:numId w:val="15"/>
        </w:numPr>
        <w:tabs>
          <w:tab w:val="num" w:pos="360"/>
        </w:tabs>
        <w:ind w:left="0" w:firstLine="0"/>
      </w:pPr>
      <w:r w:rsidRPr="00F125CB">
        <w:rPr>
          <w:b/>
        </w:rPr>
        <w:lastRenderedPageBreak/>
        <w:t>Confidentiality of Respondents</w:t>
      </w:r>
    </w:p>
    <w:p w:rsidR="00E70808" w:rsidRPr="00E70808" w:rsidRDefault="00E70808" w:rsidP="001472BE">
      <w:pPr>
        <w:ind w:left="360"/>
      </w:pPr>
      <w:r w:rsidRPr="00E70808">
        <w:t xml:space="preserve">All data will be collected with assurance that the respondents' answers will remain private to the extent allowable by the law. The assent and consent forms contain a statement that no one will be able to link the respondent’s identity to his responses. The following measures will be used to </w:t>
      </w:r>
      <w:r w:rsidR="00A250B0">
        <w:t xml:space="preserve">answers </w:t>
      </w:r>
      <w:r w:rsidR="00C843AE">
        <w:t>remain</w:t>
      </w:r>
      <w:r w:rsidR="00A250B0">
        <w:t xml:space="preserve"> private to the extent allowable by law:</w:t>
      </w:r>
      <w:r w:rsidRPr="00E70808">
        <w:t xml:space="preserve"> </w:t>
      </w:r>
      <w:r w:rsidR="00C843AE" w:rsidRPr="00545CE7">
        <w:t>(1) Full names of the participants are never used on any focus group materials (typed lists of participants, IP addresses, transcripts, reports, or during the audio recorded discussion) – instead each participant will be assigned a unique ID and will be referred to only by their first name and last initial (James M.); (2) Transcripts and reports do not contain any personally identifying information and are stored securely on a password-protected computer; (3) Quotes that might be used in the final report to illustrate a discussion-derived theme are not attributed to the individual</w:t>
      </w:r>
      <w:r w:rsidR="00C843AE">
        <w:t xml:space="preserve">; (4) </w:t>
      </w:r>
      <w:r w:rsidR="00C843AE" w:rsidRPr="003C7E07">
        <w:t xml:space="preserve"> Any sessions that are live</w:t>
      </w:r>
      <w:r w:rsidR="00A60E22">
        <w:t xml:space="preserve"> </w:t>
      </w:r>
      <w:r w:rsidR="00C843AE" w:rsidRPr="003C7E07">
        <w:t xml:space="preserve">streamed for real-time observation will be </w:t>
      </w:r>
      <w:r w:rsidR="00C843AE">
        <w:t xml:space="preserve">accessed </w:t>
      </w:r>
      <w:r w:rsidR="00C843AE" w:rsidRPr="003C7E07">
        <w:t>via a secure connection by invitation only. The live</w:t>
      </w:r>
      <w:r w:rsidR="00A60E22">
        <w:t xml:space="preserve"> </w:t>
      </w:r>
      <w:r w:rsidR="00C843AE" w:rsidRPr="003C7E07">
        <w:t>stream feed will not be recorded and cannot be replayed</w:t>
      </w:r>
      <w:r w:rsidR="00C843AE">
        <w:t>; thus, no personally identifying information will be captured or stored</w:t>
      </w:r>
      <w:r w:rsidR="00C843AE" w:rsidRPr="003C7E07">
        <w:t>.</w:t>
      </w:r>
    </w:p>
    <w:p w:rsidR="00E70808" w:rsidRPr="00E70808" w:rsidRDefault="00E70808" w:rsidP="001472BE">
      <w:pPr>
        <w:ind w:left="360"/>
      </w:pPr>
    </w:p>
    <w:p w:rsidR="00E70808" w:rsidRPr="00E70808" w:rsidRDefault="00E70808" w:rsidP="001472BE">
      <w:pPr>
        <w:ind w:left="360"/>
      </w:pPr>
      <w:r w:rsidRPr="00E70808">
        <w:t xml:space="preserve">Researchers will never tie respondents’ personal information to their answers. Additionally, discussion interviewers will not ask participants to provide identifying information as part of their responses, and no identifying information will be included in the data files delivered by contractors to the agency. All analyses will be done in the aggregate and respondent information will not be appended to the data file used. </w:t>
      </w:r>
    </w:p>
    <w:p w:rsidR="00E70808" w:rsidRPr="00E70808" w:rsidRDefault="00E70808" w:rsidP="001472BE">
      <w:pPr>
        <w:ind w:left="360"/>
      </w:pPr>
    </w:p>
    <w:p w:rsidR="00E70808" w:rsidRPr="00E70808" w:rsidRDefault="00E70808" w:rsidP="001472BE">
      <w:pPr>
        <w:ind w:left="360"/>
      </w:pPr>
      <w:r w:rsidRPr="00E70808">
        <w:t xml:space="preserve">Because tobacco use by adolescents is illegal in most states, any information collected about their tobacco use behavior is sensitive. </w:t>
      </w:r>
      <w:r w:rsidR="00C843AE" w:rsidRPr="00545CE7">
        <w:t xml:space="preserve">In this study, such sensitive information is necessary to obtain </w:t>
      </w:r>
      <w:r w:rsidR="00C843AE">
        <w:t xml:space="preserve">during the screening process </w:t>
      </w:r>
      <w:r w:rsidR="00C843AE" w:rsidRPr="00545CE7">
        <w:t xml:space="preserve">to ensure that focus group participants are truly representative of the campaign’s target audience.  </w:t>
      </w:r>
      <w:r w:rsidRPr="00E70808">
        <w:t>To determine group categorization</w:t>
      </w:r>
      <w:r w:rsidR="00C843AE">
        <w:t xml:space="preserve"> </w:t>
      </w:r>
      <w:r w:rsidR="00C843AE" w:rsidRPr="00E70808">
        <w:t>(“at risk” and “experimenter”)</w:t>
      </w:r>
      <w:r w:rsidRPr="00E70808">
        <w:t xml:space="preserve">, the screener asks a series of questions including (see </w:t>
      </w:r>
      <w:r w:rsidR="00FE2A38">
        <w:t xml:space="preserve">Appendix A: </w:t>
      </w:r>
      <w:r w:rsidRPr="00E70808">
        <w:t>Screener):</w:t>
      </w:r>
    </w:p>
    <w:p w:rsidR="00E70808" w:rsidRPr="00E70808" w:rsidRDefault="00E70808" w:rsidP="00E70808">
      <w:pPr>
        <w:numPr>
          <w:ilvl w:val="0"/>
          <w:numId w:val="46"/>
        </w:numPr>
      </w:pPr>
      <w:r w:rsidRPr="00E70808">
        <w:t>Have ever tried smokeless tobacco</w:t>
      </w:r>
    </w:p>
    <w:p w:rsidR="00C843AE" w:rsidRDefault="00C843AE" w:rsidP="00C843AE">
      <w:pPr>
        <w:numPr>
          <w:ilvl w:val="1"/>
          <w:numId w:val="46"/>
        </w:numPr>
      </w:pPr>
      <w:r>
        <w:t xml:space="preserve">If yes: </w:t>
      </w:r>
    </w:p>
    <w:p w:rsidR="00C843AE" w:rsidRPr="00C843AE" w:rsidRDefault="00C843AE" w:rsidP="00C843AE">
      <w:pPr>
        <w:numPr>
          <w:ilvl w:val="2"/>
          <w:numId w:val="46"/>
        </w:numPr>
      </w:pPr>
      <w:r>
        <w:rPr>
          <w:bCs/>
        </w:rPr>
        <w:t>H</w:t>
      </w:r>
      <w:r w:rsidRPr="00545CE7">
        <w:rPr>
          <w:bCs/>
        </w:rPr>
        <w:t xml:space="preserve">ave used chewing tobacco, snuff, or dip at least </w:t>
      </w:r>
      <w:r w:rsidRPr="00CD0D45">
        <w:rPr>
          <w:bCs/>
        </w:rPr>
        <w:t>20 times</w:t>
      </w:r>
      <w:r w:rsidRPr="00545CE7">
        <w:rPr>
          <w:bCs/>
        </w:rPr>
        <w:t xml:space="preserve"> in </w:t>
      </w:r>
      <w:r>
        <w:rPr>
          <w:bCs/>
        </w:rPr>
        <w:t>entire life</w:t>
      </w:r>
    </w:p>
    <w:p w:rsidR="00C843AE" w:rsidRDefault="00C843AE" w:rsidP="00C843AE">
      <w:pPr>
        <w:numPr>
          <w:ilvl w:val="1"/>
          <w:numId w:val="46"/>
        </w:numPr>
      </w:pPr>
      <w:r>
        <w:t xml:space="preserve">If no: </w:t>
      </w:r>
    </w:p>
    <w:p w:rsidR="00E70808" w:rsidRPr="00E70808" w:rsidRDefault="00E70808" w:rsidP="00C843AE">
      <w:pPr>
        <w:numPr>
          <w:ilvl w:val="2"/>
          <w:numId w:val="46"/>
        </w:numPr>
      </w:pPr>
      <w:r w:rsidRPr="00E70808">
        <w:t>Likelihood to use smokeless tobacco soon</w:t>
      </w:r>
    </w:p>
    <w:p w:rsidR="00E70808" w:rsidRPr="00E70808" w:rsidRDefault="00E70808" w:rsidP="00C843AE">
      <w:pPr>
        <w:numPr>
          <w:ilvl w:val="2"/>
          <w:numId w:val="46"/>
        </w:numPr>
      </w:pPr>
      <w:r w:rsidRPr="00E70808">
        <w:t>Likelihood to use smokeless tobacco in the next year</w:t>
      </w:r>
    </w:p>
    <w:p w:rsidR="00E70808" w:rsidRPr="00E70808" w:rsidRDefault="00E70808" w:rsidP="00C843AE">
      <w:pPr>
        <w:numPr>
          <w:ilvl w:val="2"/>
          <w:numId w:val="46"/>
        </w:numPr>
      </w:pPr>
      <w:r w:rsidRPr="00E70808">
        <w:t>Likelihood to use smokeless tobacco if one of their best friends offered it to them</w:t>
      </w:r>
    </w:p>
    <w:p w:rsidR="00E70808" w:rsidRPr="00E70808" w:rsidRDefault="00E70808" w:rsidP="001472BE"/>
    <w:p w:rsidR="00E70808" w:rsidRPr="00E70808" w:rsidRDefault="00C843AE" w:rsidP="001472BE">
      <w:pPr>
        <w:ind w:left="360"/>
      </w:pPr>
      <w:r w:rsidRPr="00545CE7">
        <w:t xml:space="preserve">Additionally, smokeless tobacco usage may come up in the focus group discussions. For this reason, the following process is in place to protect this sensitive data.  Recruiters will inform school staff, parent(s)/guardian(s) and youth that they will not divulge the youth’s responses to the smokeless tobacco-related questions and/or their smokeless tobacco usage status to school staff or parent(s)/guardian(s). Raw data that include sensitive information are not retained once the data have been extracted and aggregated. The information never becomes part of a system of records containing permanent identifiers that can be used for retrieval. Tobacco-specific questions will only be discussed under conditions that protect the youth’s privacy as detailed in the previous section. </w:t>
      </w:r>
      <w:r>
        <w:t xml:space="preserve">The </w:t>
      </w:r>
      <w:r w:rsidR="00E70808" w:rsidRPr="00E70808">
        <w:t>informed consent form</w:t>
      </w:r>
      <w:r w:rsidR="00FE2A38">
        <w:t xml:space="preserve"> and notification of research</w:t>
      </w:r>
      <w:r w:rsidR="00E70808" w:rsidRPr="00E70808">
        <w:t xml:space="preserve"> will include language telling parents/guardians that the researchers will not share </w:t>
      </w:r>
      <w:r w:rsidR="00E70808" w:rsidRPr="00E70808">
        <w:lastRenderedPageBreak/>
        <w:t>any information their son provides about his tobacco-related attitudes, beliefs and behaviors. Additionally, recruiters will share the nondisclosure policy of the youth’s tobacco-related responses to youth during the screening process.</w:t>
      </w:r>
      <w:r>
        <w:t xml:space="preserve"> </w:t>
      </w:r>
      <w:r w:rsidR="00FE2A38">
        <w:t>The research team</w:t>
      </w:r>
      <w:r w:rsidRPr="00545CE7">
        <w:t xml:space="preserve"> will</w:t>
      </w:r>
      <w:r w:rsidR="00FE2A38">
        <w:t xml:space="preserve"> also</w:t>
      </w:r>
      <w:r w:rsidRPr="00545CE7">
        <w:t xml:space="preserve"> inform school staff that they will not divulge the youth’s responses to the smokeless tobacco-related questions and/or their smokeless tobacco usage status</w:t>
      </w:r>
      <w:r w:rsidR="00FE2A38">
        <w:t xml:space="preserve"> to the school or parent(s)/guardian(s).</w:t>
      </w:r>
    </w:p>
    <w:p w:rsidR="00E70808" w:rsidRPr="00E70808" w:rsidRDefault="00E70808" w:rsidP="001472BE">
      <w:pPr>
        <w:ind w:left="360"/>
      </w:pPr>
    </w:p>
    <w:p w:rsidR="00C843AE" w:rsidRPr="00F125CB" w:rsidRDefault="00C843AE" w:rsidP="001472BE">
      <w:pPr>
        <w:pStyle w:val="Default"/>
        <w:ind w:left="360"/>
      </w:pPr>
      <w:r w:rsidRPr="00545CE7">
        <w:t>Sessions will not be video recorded, but, when possible, will be live</w:t>
      </w:r>
      <w:r w:rsidR="00A60E22">
        <w:t xml:space="preserve"> </w:t>
      </w:r>
      <w:r w:rsidRPr="00545CE7">
        <w:t>streamed.  As mentioned, because the groups will not be held in traditional focus group facilities, there will be no two-way mirror observation.  Live</w:t>
      </w:r>
      <w:r w:rsidR="00A60E22">
        <w:t xml:space="preserve"> </w:t>
      </w:r>
      <w:r w:rsidRPr="00545CE7">
        <w:t xml:space="preserve">streaming will allow additional study personnel from FDA, </w:t>
      </w:r>
      <w:proofErr w:type="spellStart"/>
      <w:r w:rsidR="00FE2A38" w:rsidRPr="00A04BB0">
        <w:t>Sensis</w:t>
      </w:r>
      <w:proofErr w:type="spellEnd"/>
      <w:r w:rsidR="00FE2A38">
        <w:t xml:space="preserve">, </w:t>
      </w:r>
      <w:proofErr w:type="spellStart"/>
      <w:r w:rsidRPr="00545CE7">
        <w:t>Fors</w:t>
      </w:r>
      <w:proofErr w:type="spellEnd"/>
      <w:r w:rsidRPr="00545CE7">
        <w:t xml:space="preserve"> Marsh Group</w:t>
      </w:r>
      <w:r w:rsidR="00FE2A38">
        <w:t>, and Michael Cohen Group</w:t>
      </w:r>
      <w:r w:rsidRPr="00545CE7">
        <w:t xml:space="preserve"> to observe without the burden of travel.  If used, live</w:t>
      </w:r>
      <w:r w:rsidR="00A60E22">
        <w:t xml:space="preserve"> </w:t>
      </w:r>
      <w:r w:rsidRPr="00545CE7">
        <w:t>streaming will not be recorded and will be utilized only for real-time observation. Sessions will be audiotaped; however, only the people analyzing the data will have access to these recordings to serve as a memory aid for report development.  Participants and their parents/guardians will be informed of the audio recording and possibility of live</w:t>
      </w:r>
      <w:r w:rsidR="00A60E22">
        <w:t xml:space="preserve"> </w:t>
      </w:r>
      <w:r w:rsidRPr="00545CE7">
        <w:t>streaming in the consent/assent forms</w:t>
      </w:r>
      <w:r w:rsidR="00FE2A38">
        <w:t xml:space="preserve"> and notification of research</w:t>
      </w:r>
      <w:r w:rsidRPr="00545CE7">
        <w:t xml:space="preserve">. Transcripts of the audio recordings will be used to assist in campaign development and to provide FDA with a written record of the sessions. Identifying information will not be included in the transcripts or reports delivered to the agency. </w:t>
      </w:r>
      <w:r w:rsidRPr="00115F69">
        <w:t xml:space="preserve">All data received by FDA will remain stored on a password protected </w:t>
      </w:r>
      <w:r w:rsidR="00115F69" w:rsidRPr="00115F69">
        <w:t>computer</w:t>
      </w:r>
      <w:r w:rsidR="00115F69">
        <w:t>.</w:t>
      </w:r>
      <w:r w:rsidR="00115F69" w:rsidRPr="00115F69">
        <w:t xml:space="preserve"> After three years, all of the collected data will be destroyed by securely shredding documents or permanently deleting electronic information.</w:t>
      </w:r>
    </w:p>
    <w:p w:rsidR="00E70808" w:rsidRPr="00F125CB" w:rsidRDefault="00E70808" w:rsidP="00620E8B"/>
    <w:p w:rsidR="00716027" w:rsidRPr="00F125CB" w:rsidRDefault="00716027" w:rsidP="000B207F">
      <w:pPr>
        <w:numPr>
          <w:ilvl w:val="0"/>
          <w:numId w:val="15"/>
        </w:numPr>
        <w:tabs>
          <w:tab w:val="num" w:pos="360"/>
        </w:tabs>
        <w:ind w:left="0" w:firstLine="0"/>
      </w:pPr>
      <w:r w:rsidRPr="00F125CB">
        <w:rPr>
          <w:b/>
        </w:rPr>
        <w:t xml:space="preserve">Amount and </w:t>
      </w:r>
      <w:r w:rsidR="00E415F0" w:rsidRPr="00F125CB">
        <w:rPr>
          <w:b/>
        </w:rPr>
        <w:t>J</w:t>
      </w:r>
      <w:r w:rsidRPr="00F125CB">
        <w:rPr>
          <w:b/>
        </w:rPr>
        <w:t xml:space="preserve">ustification for any </w:t>
      </w:r>
      <w:r w:rsidR="00E415F0" w:rsidRPr="00F125CB">
        <w:rPr>
          <w:b/>
        </w:rPr>
        <w:t>P</w:t>
      </w:r>
      <w:r w:rsidRPr="00F125CB">
        <w:rPr>
          <w:b/>
        </w:rPr>
        <w:t xml:space="preserve">roposed </w:t>
      </w:r>
      <w:r w:rsidR="00E415F0" w:rsidRPr="00F125CB">
        <w:rPr>
          <w:b/>
        </w:rPr>
        <w:t>I</w:t>
      </w:r>
      <w:r w:rsidRPr="00F125CB">
        <w:rPr>
          <w:b/>
        </w:rPr>
        <w:t>ncentive</w:t>
      </w:r>
    </w:p>
    <w:p w:rsidR="00C843AE" w:rsidRPr="00545CE7" w:rsidRDefault="00C843AE" w:rsidP="00C843AE">
      <w:pPr>
        <w:pStyle w:val="Default"/>
        <w:ind w:left="360"/>
      </w:pPr>
      <w:r w:rsidRPr="00A04BB0">
        <w:t>Eligible participants who show up for the focus group will receive $25</w:t>
      </w:r>
      <w:r w:rsidR="00A04BB0">
        <w:t xml:space="preserve"> as a token of appreciation</w:t>
      </w:r>
      <w:r w:rsidRPr="00545CE7">
        <w:t xml:space="preserve">. The proposed incentive amount will be provided to participants for their entire burden time, which includes screening time, obtaining active/passive parental consent, and participating in the </w:t>
      </w:r>
      <w:r>
        <w:t>9</w:t>
      </w:r>
      <w:r w:rsidRPr="00545CE7">
        <w:t xml:space="preserve">0-minute focus group session. </w:t>
      </w:r>
    </w:p>
    <w:p w:rsidR="00EF55A6" w:rsidRDefault="00EF55A6" w:rsidP="00817F26"/>
    <w:p w:rsidR="000F3E29" w:rsidRPr="000E4601" w:rsidRDefault="000F3E29" w:rsidP="000F3E29">
      <w:pPr>
        <w:pStyle w:val="Default"/>
        <w:ind w:left="360"/>
      </w:pPr>
      <w:r>
        <w:t xml:space="preserve">As participants often have competing demands for their time, incentives are used to encourage participation in research. </w:t>
      </w:r>
      <w:r>
        <w:rPr>
          <w:lang w:val="en"/>
        </w:rPr>
        <w:t xml:space="preserve">The use of incentives treats participants justly and with respect by recognizing and acknowledging the effort they expend to participate. </w:t>
      </w:r>
      <w:r>
        <w:t xml:space="preserve">When applied in a reasonable manner, incentives are not an </w:t>
      </w:r>
      <w:r w:rsidRPr="000E4601">
        <w:t>unjust inducement and are an approach that acknowledges respondents for their participation (Halpern, 2004).</w:t>
      </w:r>
    </w:p>
    <w:p w:rsidR="000F3E29" w:rsidRPr="000E4601" w:rsidRDefault="000F3E29" w:rsidP="000F3E29">
      <w:pPr>
        <w:pStyle w:val="Default"/>
        <w:ind w:left="360"/>
      </w:pPr>
    </w:p>
    <w:p w:rsidR="000F3E29" w:rsidRDefault="000F3E29" w:rsidP="000F3E29">
      <w:pPr>
        <w:pStyle w:val="Default"/>
        <w:ind w:left="360"/>
      </w:pPr>
      <w:r w:rsidRPr="000E4601">
        <w:t xml:space="preserve">Incentives must be high enough to </w:t>
      </w:r>
      <w:r w:rsidRPr="000E4601">
        <w:rPr>
          <w:lang w:val="en"/>
        </w:rPr>
        <w:t xml:space="preserve">equalize the burden placed on respondents in respect to their time and cost of participation, </w:t>
      </w:r>
      <w:r w:rsidRPr="000E4601">
        <w:t xml:space="preserve">as well as provide enough incentive to participate in the study rather than another activity </w:t>
      </w:r>
      <w:r w:rsidRPr="000E4601">
        <w:rPr>
          <w:lang w:val="en"/>
        </w:rPr>
        <w:t xml:space="preserve">(Russell, 2000).  </w:t>
      </w:r>
      <w:r w:rsidRPr="000E4601">
        <w:t xml:space="preserve">If the incentive is not adequate, participants may agree to participate and then not show up or drop out early. Low participation may result in inadequate data collection or, in the worst cases, loss of government funds associated with recruitment, facility rental, and moderator and observer time (Morgan, 1998).  </w:t>
      </w:r>
      <w:r w:rsidRPr="000E4601">
        <w:rPr>
          <w:lang w:val="en"/>
        </w:rPr>
        <w:t xml:space="preserve">Incentives </w:t>
      </w:r>
      <w:r w:rsidRPr="000E4601">
        <w:t>are also necessary</w:t>
      </w:r>
      <w:r w:rsidRPr="000E4601">
        <w:rPr>
          <w:lang w:val="en"/>
        </w:rPr>
        <w:t xml:space="preserve"> to ensure adequate representation among</w:t>
      </w:r>
      <w:r w:rsidRPr="000E4601">
        <w:t xml:space="preserve"> harder-to-recruit populations such as youth, low socio-economic groups, and high risk populations (current or former tobacco users and those susceptible to tobacco use) (</w:t>
      </w:r>
      <w:proofErr w:type="spellStart"/>
      <w:r w:rsidRPr="000E4601">
        <w:t>Groth</w:t>
      </w:r>
      <w:proofErr w:type="spellEnd"/>
      <w:r w:rsidRPr="000E4601">
        <w:t>, 2010).</w:t>
      </w:r>
    </w:p>
    <w:p w:rsidR="000F3E29" w:rsidRDefault="000F3E29" w:rsidP="000F3E29">
      <w:pPr>
        <w:pStyle w:val="Default"/>
        <w:ind w:left="360"/>
      </w:pPr>
    </w:p>
    <w:p w:rsidR="000F3E29" w:rsidRDefault="000F3E29" w:rsidP="000F3E29">
      <w:pPr>
        <w:pStyle w:val="Default"/>
        <w:ind w:left="360"/>
      </w:pPr>
      <w:r w:rsidRPr="00C843AE">
        <w:lastRenderedPageBreak/>
        <w:t>In the context of this study, the target population is considered a harder-to-recruit population on multiple accounts (youth aged 12-17 who are also susceptible to</w:t>
      </w:r>
      <w:r w:rsidR="00FE2A38">
        <w:t xml:space="preserve"> or currently experimenting with smokeless</w:t>
      </w:r>
      <w:r w:rsidRPr="00C843AE">
        <w:t xml:space="preserve"> tobacco use and located in rural counties). Thus, it is critical to provide adequate incentives to encourage participation among the limited number of potential youth </w:t>
      </w:r>
      <w:r w:rsidR="00EC5674" w:rsidRPr="00C843AE">
        <w:t>participants</w:t>
      </w:r>
      <w:r w:rsidRPr="00C843AE">
        <w:t>.</w:t>
      </w:r>
      <w:r>
        <w:t xml:space="preserve"> </w:t>
      </w:r>
    </w:p>
    <w:p w:rsidR="000F3E29" w:rsidRDefault="000F3E29" w:rsidP="000F3E29">
      <w:pPr>
        <w:autoSpaceDE w:val="0"/>
        <w:autoSpaceDN w:val="0"/>
        <w:adjustRightInd w:val="0"/>
        <w:ind w:left="360"/>
      </w:pPr>
    </w:p>
    <w:p w:rsidR="00C843AE" w:rsidRPr="00545CE7" w:rsidRDefault="00C843AE" w:rsidP="00C843AE">
      <w:pPr>
        <w:pStyle w:val="Default"/>
        <w:ind w:left="360"/>
      </w:pPr>
      <w:r w:rsidRPr="00545CE7">
        <w:t>In the market research community, incentives are standard practice for all work conducted and are suggested by organizations that set the standards for conducting ethical market research among human subjects (CASRO Code of Standards and Ethics for Survey Research).  In other focus groups conducted in schools with youth by M</w:t>
      </w:r>
      <w:r w:rsidR="00FE2A38">
        <w:t xml:space="preserve">ichael </w:t>
      </w:r>
      <w:r w:rsidRPr="00545CE7">
        <w:t>C</w:t>
      </w:r>
      <w:r w:rsidR="00FE2A38">
        <w:t xml:space="preserve">ohen </w:t>
      </w:r>
      <w:r w:rsidRPr="00545CE7">
        <w:t>G</w:t>
      </w:r>
      <w:r w:rsidR="00FE2A38">
        <w:t>roup</w:t>
      </w:r>
      <w:r w:rsidRPr="00545CE7">
        <w:t xml:space="preserve">, similar incentive values were offered. An incentive less than $25 per interview will greatly inhibit the ability to successfully recruit participants who will show up for their focus group session. As a minimal intervention study with low burden, the incentive amount is considered appropriate.  </w:t>
      </w:r>
    </w:p>
    <w:p w:rsidR="000F3E29" w:rsidRDefault="000F3E29" w:rsidP="000F3E29">
      <w:pPr>
        <w:pStyle w:val="Default"/>
        <w:ind w:left="360"/>
      </w:pPr>
    </w:p>
    <w:p w:rsidR="00C843AE" w:rsidRPr="00545CE7" w:rsidRDefault="00C843AE" w:rsidP="00C843AE">
      <w:pPr>
        <w:pStyle w:val="Default"/>
        <w:ind w:left="360"/>
      </w:pPr>
      <w:r w:rsidRPr="00545CE7">
        <w:t xml:space="preserve">The participation incentive will be paid directly to the participant via a </w:t>
      </w:r>
      <w:r w:rsidR="00FE2A38">
        <w:t xml:space="preserve">VISA </w:t>
      </w:r>
      <w:r w:rsidRPr="00545CE7">
        <w:t>gift card</w:t>
      </w:r>
      <w:r w:rsidR="00FE2A38">
        <w:t xml:space="preserve"> </w:t>
      </w:r>
      <w:r w:rsidRPr="00545CE7">
        <w:t xml:space="preserve">that functions as a prepaid debit card (participants will </w:t>
      </w:r>
      <w:r w:rsidRPr="00545CE7">
        <w:rPr>
          <w:b/>
          <w:bCs/>
        </w:rPr>
        <w:t>not</w:t>
      </w:r>
      <w:r w:rsidRPr="00545CE7">
        <w:t xml:space="preserve"> be required to pay any potential fees associated with activating the card). </w:t>
      </w:r>
      <w:r>
        <w:t xml:space="preserve">There are several benefits to paying participants with a gift card versus cash </w:t>
      </w:r>
      <w:r w:rsidRPr="00CD0D45">
        <w:t>or check, including (1) Providing gift cards will prevent research staff from having to carry around large sums of cash while on campus, (2) Any sensitivity toward paying youth with cash is avoided (i.e., ability to use cash for illicit substances like drugs, alcohol or tobacco), and (3) Any issues preventing participants and/or their parent/guardian from cashing a check (e.g., no bank account) are avoided.</w:t>
      </w:r>
      <w:r>
        <w:t xml:space="preserve"> </w:t>
      </w:r>
    </w:p>
    <w:p w:rsidR="00BD0917" w:rsidRPr="00383863" w:rsidRDefault="00DE73D6" w:rsidP="000B207F">
      <w:pPr>
        <w:ind w:left="360"/>
        <w:rPr>
          <w:lang w:val="en"/>
        </w:rPr>
      </w:pPr>
      <w:r w:rsidRPr="00383863">
        <w:rPr>
          <w:lang w:val="en"/>
        </w:rPr>
        <w:t xml:space="preserve"> </w:t>
      </w:r>
    </w:p>
    <w:p w:rsidR="00716027" w:rsidRPr="00F125CB" w:rsidRDefault="00716027" w:rsidP="000B207F">
      <w:pPr>
        <w:numPr>
          <w:ilvl w:val="0"/>
          <w:numId w:val="15"/>
        </w:numPr>
        <w:tabs>
          <w:tab w:val="num" w:pos="360"/>
        </w:tabs>
        <w:ind w:left="0" w:firstLine="0"/>
      </w:pPr>
      <w:r w:rsidRPr="00F125CB">
        <w:rPr>
          <w:b/>
        </w:rPr>
        <w:t>Questi</w:t>
      </w:r>
      <w:r w:rsidR="008735DE" w:rsidRPr="00F125CB">
        <w:rPr>
          <w:b/>
        </w:rPr>
        <w:t>ons of a Sensitive Nature</w:t>
      </w:r>
      <w:r w:rsidRPr="00F125CB">
        <w:rPr>
          <w:b/>
        </w:rPr>
        <w:t xml:space="preserve"> </w:t>
      </w:r>
    </w:p>
    <w:p w:rsidR="00C843AE" w:rsidRPr="00545CE7" w:rsidRDefault="00C843AE" w:rsidP="00C843AE">
      <w:pPr>
        <w:ind w:left="360"/>
      </w:pPr>
      <w:r w:rsidRPr="00F125CB">
        <w:t>It is important to evaluate the creative concepts</w:t>
      </w:r>
      <w:r w:rsidRPr="00545CE7">
        <w:t xml:space="preserve"> for the rural smokeless campaign with youth who are at-risk for using or are experimenting with smokeless tobacco. This means excluding outliers within the target (i.e., youth who are “closed” to using smokeless tobacco and youth who </w:t>
      </w:r>
      <w:r w:rsidRPr="00CD0D45">
        <w:t>have used smokeless tobacco more than 20 times).</w:t>
      </w:r>
      <w:r w:rsidRPr="00545CE7">
        <w:t xml:space="preserve"> In order to identify these youth, we need to ask potentially sensitive questions regarding their own tobacco use behavior and intentions. These questions are potentially sensitive since tobacco use among adolescents under 18 years of age is illegal in some states and sales to youth under 18 years of age is illegal in all states. </w:t>
      </w:r>
      <w:r>
        <w:t>Guardians of youth p</w:t>
      </w:r>
      <w:r w:rsidRPr="0055636A">
        <w:t xml:space="preserve">articipants will be made aware that </w:t>
      </w:r>
      <w:r>
        <w:t>FDA/CTP</w:t>
      </w:r>
      <w:r w:rsidRPr="0055636A">
        <w:t xml:space="preserve"> do</w:t>
      </w:r>
      <w:r>
        <w:t>es</w:t>
      </w:r>
      <w:r w:rsidRPr="0055636A">
        <w:t xml:space="preserve"> not encourage the use or sale of tobacco products.</w:t>
      </w:r>
    </w:p>
    <w:p w:rsidR="0000767D" w:rsidRPr="00383863" w:rsidRDefault="0000767D" w:rsidP="0000767D">
      <w:pPr>
        <w:pStyle w:val="ListParagraph"/>
      </w:pPr>
    </w:p>
    <w:p w:rsidR="00716027" w:rsidRPr="00F125CB" w:rsidRDefault="00742714" w:rsidP="00E415F0">
      <w:pPr>
        <w:numPr>
          <w:ilvl w:val="0"/>
          <w:numId w:val="15"/>
        </w:numPr>
        <w:tabs>
          <w:tab w:val="num" w:pos="360"/>
        </w:tabs>
        <w:ind w:left="0" w:firstLine="0"/>
      </w:pPr>
      <w:r w:rsidRPr="00383863">
        <w:rPr>
          <w:b/>
        </w:rPr>
        <w:t xml:space="preserve"> </w:t>
      </w:r>
      <w:r w:rsidR="00716027" w:rsidRPr="00F125CB">
        <w:rPr>
          <w:b/>
        </w:rPr>
        <w:t xml:space="preserve">Description of Statistical Methods </w:t>
      </w:r>
    </w:p>
    <w:p w:rsidR="00716027" w:rsidRPr="00383863" w:rsidRDefault="001E45D5" w:rsidP="000B207F">
      <w:pPr>
        <w:pStyle w:val="ListParagraph"/>
        <w:ind w:left="450"/>
      </w:pPr>
      <w:r w:rsidRPr="00383863">
        <w:t>Focus groups are</w:t>
      </w:r>
      <w:r w:rsidR="0000767D" w:rsidRPr="00383863">
        <w:t xml:space="preserve"> based on qualitative methods and </w:t>
      </w:r>
      <w:r w:rsidRPr="00383863">
        <w:t>are</w:t>
      </w:r>
      <w:r w:rsidR="0000767D" w:rsidRPr="00383863">
        <w:t xml:space="preserve"> not intended to yield results that are statistically projectable</w:t>
      </w:r>
      <w:r w:rsidRPr="00383863">
        <w:t xml:space="preserve">.  </w:t>
      </w:r>
      <w:r w:rsidR="000E4601">
        <w:t xml:space="preserve">Data will be analyzed with standard qualitative data analysis procedures to identify emergent themes and </w:t>
      </w:r>
      <w:r w:rsidR="00CD0D45">
        <w:t xml:space="preserve">patterns; this may include using content coding software, such as </w:t>
      </w:r>
      <w:proofErr w:type="spellStart"/>
      <w:r w:rsidR="00CD0D45">
        <w:t>NVivo</w:t>
      </w:r>
      <w:proofErr w:type="spellEnd"/>
      <w:r w:rsidR="00CD0D45">
        <w:t xml:space="preserve">. </w:t>
      </w:r>
      <w:r w:rsidR="000E4601">
        <w:rPr>
          <w:rFonts w:cs="Calibri"/>
        </w:rPr>
        <w:t xml:space="preserve">Participants will not be re-contacted for any reason for this study. </w:t>
      </w:r>
    </w:p>
    <w:p w:rsidR="00716027" w:rsidRPr="00383863" w:rsidRDefault="00716027" w:rsidP="00716027">
      <w:pPr>
        <w:ind w:left="360"/>
      </w:pPr>
    </w:p>
    <w:p w:rsidR="00413A19" w:rsidRDefault="00413A19">
      <w:pPr>
        <w:rPr>
          <w:b/>
        </w:rPr>
      </w:pPr>
      <w:r>
        <w:rPr>
          <w:b/>
        </w:rPr>
        <w:br w:type="page"/>
      </w:r>
    </w:p>
    <w:p w:rsidR="00D553ED" w:rsidRPr="00D553ED" w:rsidRDefault="003F1C7A" w:rsidP="000B207F">
      <w:pPr>
        <w:tabs>
          <w:tab w:val="left" w:pos="1440"/>
          <w:tab w:val="left" w:pos="4320"/>
        </w:tabs>
        <w:ind w:left="450"/>
        <w:rPr>
          <w:i/>
        </w:rPr>
      </w:pPr>
      <w:r w:rsidRPr="00F125CB">
        <w:rPr>
          <w:b/>
        </w:rPr>
        <w:lastRenderedPageBreak/>
        <w:t>BURDEN HOUR COMPUTATION</w:t>
      </w:r>
      <w:r w:rsidRPr="00F125CB">
        <w:t xml:space="preserve"> </w:t>
      </w:r>
    </w:p>
    <w:p w:rsidR="000821F7" w:rsidRDefault="000821F7" w:rsidP="000821F7">
      <w:pPr>
        <w:tabs>
          <w:tab w:val="left" w:pos="1440"/>
          <w:tab w:val="left" w:pos="4320"/>
        </w:tabs>
        <w:ind w:left="450"/>
        <w:rPr>
          <w:b/>
          <w:i/>
          <w:sz w:val="18"/>
          <w:szCs w:val="18"/>
        </w:rPr>
      </w:pPr>
      <w:r>
        <w:rPr>
          <w:b/>
          <w:i/>
          <w:sz w:val="18"/>
          <w:szCs w:val="18"/>
        </w:rPr>
        <w:t>Screener | estimated participation time: 5 minutes</w:t>
      </w:r>
    </w:p>
    <w:p w:rsidR="0089235A" w:rsidRDefault="000821F7" w:rsidP="000B207F">
      <w:pPr>
        <w:tabs>
          <w:tab w:val="left" w:pos="1440"/>
          <w:tab w:val="left" w:pos="4320"/>
        </w:tabs>
        <w:ind w:left="450"/>
        <w:rPr>
          <w:b/>
          <w:i/>
          <w:sz w:val="18"/>
          <w:szCs w:val="18"/>
        </w:rPr>
      </w:pPr>
      <w:r>
        <w:rPr>
          <w:b/>
          <w:i/>
          <w:sz w:val="18"/>
          <w:szCs w:val="18"/>
        </w:rPr>
        <w:t>Youth/</w:t>
      </w:r>
      <w:r w:rsidR="0089235A">
        <w:rPr>
          <w:b/>
          <w:i/>
          <w:sz w:val="18"/>
          <w:szCs w:val="18"/>
        </w:rPr>
        <w:t>Parent Assent/Opt-out</w:t>
      </w:r>
      <w:r w:rsidR="002E4F08">
        <w:rPr>
          <w:b/>
          <w:i/>
          <w:sz w:val="18"/>
          <w:szCs w:val="18"/>
        </w:rPr>
        <w:t xml:space="preserve"> |</w:t>
      </w:r>
      <w:r w:rsidR="0089235A">
        <w:rPr>
          <w:b/>
          <w:i/>
          <w:sz w:val="18"/>
          <w:szCs w:val="18"/>
        </w:rPr>
        <w:t xml:space="preserve"> </w:t>
      </w:r>
      <w:r w:rsidR="000124E8">
        <w:rPr>
          <w:b/>
          <w:i/>
          <w:sz w:val="18"/>
          <w:szCs w:val="18"/>
        </w:rPr>
        <w:t>estimated</w:t>
      </w:r>
      <w:r w:rsidR="002E4F08">
        <w:rPr>
          <w:b/>
          <w:i/>
          <w:sz w:val="18"/>
          <w:szCs w:val="18"/>
        </w:rPr>
        <w:t xml:space="preserve"> participation time: </w:t>
      </w:r>
      <w:r w:rsidR="0089235A">
        <w:rPr>
          <w:b/>
          <w:i/>
          <w:sz w:val="18"/>
          <w:szCs w:val="18"/>
        </w:rPr>
        <w:t>5 minutes</w:t>
      </w:r>
    </w:p>
    <w:p w:rsidR="002E4F08" w:rsidRDefault="002E4F08" w:rsidP="000B207F">
      <w:pPr>
        <w:tabs>
          <w:tab w:val="left" w:pos="1440"/>
          <w:tab w:val="left" w:pos="4320"/>
        </w:tabs>
        <w:ind w:left="450"/>
        <w:rPr>
          <w:b/>
          <w:i/>
          <w:sz w:val="18"/>
          <w:szCs w:val="18"/>
        </w:rPr>
      </w:pPr>
      <w:r>
        <w:rPr>
          <w:b/>
          <w:i/>
          <w:sz w:val="18"/>
          <w:szCs w:val="18"/>
        </w:rPr>
        <w:t>Focus Group Discussion: 90 minutes</w:t>
      </w:r>
    </w:p>
    <w:p w:rsidR="006F31BD" w:rsidRDefault="006F31BD" w:rsidP="000B207F">
      <w:pPr>
        <w:tabs>
          <w:tab w:val="left" w:pos="1440"/>
          <w:tab w:val="left" w:pos="4320"/>
        </w:tabs>
        <w:ind w:left="450"/>
        <w:rPr>
          <w:b/>
          <w:i/>
          <w:sz w:val="18"/>
          <w:szCs w:val="18"/>
        </w:rPr>
      </w:pPr>
    </w:p>
    <w:p w:rsidR="0089235A" w:rsidRPr="0030179C" w:rsidRDefault="0089235A" w:rsidP="0089235A">
      <w:pPr>
        <w:ind w:left="720"/>
        <w:rPr>
          <w:i/>
          <w:sz w:val="21"/>
          <w:szCs w:val="21"/>
        </w:rPr>
      </w:pPr>
      <w:r w:rsidRPr="0030179C">
        <w:rPr>
          <w:i/>
          <w:sz w:val="21"/>
          <w:szCs w:val="21"/>
        </w:rPr>
        <w:t xml:space="preserve">Burden calculation = Number of responses (*) </w:t>
      </w:r>
      <w:proofErr w:type="gramStart"/>
      <w:r w:rsidRPr="0030179C">
        <w:rPr>
          <w:i/>
          <w:sz w:val="21"/>
          <w:szCs w:val="21"/>
        </w:rPr>
        <w:t>( Estimated</w:t>
      </w:r>
      <w:proofErr w:type="gramEnd"/>
      <w:r w:rsidRPr="0030179C">
        <w:rPr>
          <w:i/>
          <w:sz w:val="21"/>
          <w:szCs w:val="21"/>
        </w:rPr>
        <w:t xml:space="preserve"> participation time in minutes/</w:t>
      </w:r>
      <w:r w:rsidR="000821F7">
        <w:rPr>
          <w:i/>
          <w:sz w:val="21"/>
          <w:szCs w:val="21"/>
        </w:rPr>
        <w:t>9</w:t>
      </w:r>
      <w:r w:rsidRPr="0030179C">
        <w:rPr>
          <w:i/>
          <w:sz w:val="21"/>
          <w:szCs w:val="21"/>
        </w:rPr>
        <w:t>0 )</w:t>
      </w:r>
    </w:p>
    <w:p w:rsidR="0089235A" w:rsidRPr="00D553ED" w:rsidRDefault="0089235A" w:rsidP="000B207F">
      <w:pPr>
        <w:tabs>
          <w:tab w:val="left" w:pos="1440"/>
          <w:tab w:val="left" w:pos="4320"/>
        </w:tabs>
        <w:ind w:left="450"/>
        <w:rPr>
          <w:b/>
          <w:i/>
          <w:sz w:val="18"/>
          <w:szCs w:val="18"/>
        </w:rPr>
      </w:pPr>
    </w:p>
    <w:tbl>
      <w:tblPr>
        <w:tblW w:w="9527" w:type="dxa"/>
        <w:jc w:val="center"/>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0"/>
        <w:gridCol w:w="2134"/>
        <w:gridCol w:w="2161"/>
        <w:gridCol w:w="2152"/>
      </w:tblGrid>
      <w:tr w:rsidR="002E4F08" w:rsidRPr="00383863" w:rsidTr="00051C63">
        <w:trPr>
          <w:trHeight w:val="275"/>
          <w:jc w:val="center"/>
        </w:trPr>
        <w:tc>
          <w:tcPr>
            <w:tcW w:w="3080" w:type="dxa"/>
            <w:tcBorders>
              <w:bottom w:val="single" w:sz="4" w:space="0" w:color="auto"/>
            </w:tcBorders>
            <w:shd w:val="clear" w:color="auto" w:fill="E0E0E0"/>
            <w:vAlign w:val="center"/>
          </w:tcPr>
          <w:p w:rsidR="006F31BD" w:rsidRPr="00383863" w:rsidRDefault="006F31BD" w:rsidP="001B1710">
            <w:pPr>
              <w:rPr>
                <w:b/>
              </w:rPr>
            </w:pPr>
            <w:r w:rsidRPr="00383863">
              <w:rPr>
                <w:b/>
              </w:rPr>
              <w:t>Type/Category of Respondent</w:t>
            </w:r>
          </w:p>
        </w:tc>
        <w:tc>
          <w:tcPr>
            <w:tcW w:w="2134" w:type="dxa"/>
            <w:tcBorders>
              <w:bottom w:val="single" w:sz="4" w:space="0" w:color="auto"/>
            </w:tcBorders>
            <w:shd w:val="clear" w:color="auto" w:fill="E0E0E0"/>
            <w:vAlign w:val="center"/>
          </w:tcPr>
          <w:p w:rsidR="006F31BD" w:rsidRPr="00383863" w:rsidRDefault="006F31BD" w:rsidP="0089235A">
            <w:pPr>
              <w:jc w:val="center"/>
              <w:rPr>
                <w:b/>
              </w:rPr>
            </w:pPr>
            <w:r w:rsidRPr="00383863">
              <w:rPr>
                <w:b/>
              </w:rPr>
              <w:t xml:space="preserve">No. of </w:t>
            </w:r>
            <w:r w:rsidR="0089235A">
              <w:rPr>
                <w:b/>
              </w:rPr>
              <w:t>Respondents</w:t>
            </w:r>
          </w:p>
        </w:tc>
        <w:tc>
          <w:tcPr>
            <w:tcW w:w="2161" w:type="dxa"/>
            <w:tcBorders>
              <w:bottom w:val="single" w:sz="4" w:space="0" w:color="auto"/>
            </w:tcBorders>
            <w:shd w:val="clear" w:color="auto" w:fill="E0E0E0"/>
            <w:vAlign w:val="center"/>
          </w:tcPr>
          <w:p w:rsidR="006F31BD" w:rsidRPr="00383863" w:rsidRDefault="006F31BD" w:rsidP="001B1710">
            <w:pPr>
              <w:jc w:val="center"/>
              <w:rPr>
                <w:b/>
              </w:rPr>
            </w:pPr>
            <w:r w:rsidRPr="00383863">
              <w:rPr>
                <w:b/>
              </w:rPr>
              <w:t>Participation Time</w:t>
            </w:r>
            <w:r>
              <w:rPr>
                <w:b/>
              </w:rPr>
              <w:t xml:space="preserve"> </w:t>
            </w:r>
          </w:p>
          <w:p w:rsidR="006F31BD" w:rsidRPr="00383863" w:rsidRDefault="006F31BD" w:rsidP="001B1710">
            <w:pPr>
              <w:jc w:val="center"/>
              <w:rPr>
                <w:b/>
              </w:rPr>
            </w:pPr>
            <w:r w:rsidRPr="00383863">
              <w:rPr>
                <w:b/>
              </w:rPr>
              <w:t>(minutes)</w:t>
            </w:r>
          </w:p>
        </w:tc>
        <w:tc>
          <w:tcPr>
            <w:tcW w:w="2152" w:type="dxa"/>
            <w:tcBorders>
              <w:bottom w:val="single" w:sz="4" w:space="0" w:color="auto"/>
            </w:tcBorders>
            <w:shd w:val="clear" w:color="auto" w:fill="E0E0E0"/>
            <w:vAlign w:val="center"/>
          </w:tcPr>
          <w:p w:rsidR="006F31BD" w:rsidRPr="00383863" w:rsidRDefault="006F31BD" w:rsidP="001B1710">
            <w:pPr>
              <w:jc w:val="center"/>
              <w:rPr>
                <w:b/>
              </w:rPr>
            </w:pPr>
            <w:r w:rsidRPr="00383863">
              <w:rPr>
                <w:b/>
              </w:rPr>
              <w:t>Burden</w:t>
            </w:r>
          </w:p>
          <w:p w:rsidR="006F31BD" w:rsidRPr="00383863" w:rsidRDefault="006F31BD" w:rsidP="001B1710">
            <w:pPr>
              <w:jc w:val="center"/>
              <w:rPr>
                <w:b/>
              </w:rPr>
            </w:pPr>
            <w:r w:rsidRPr="00383863">
              <w:rPr>
                <w:b/>
              </w:rPr>
              <w:t>(hours)</w:t>
            </w:r>
          </w:p>
        </w:tc>
      </w:tr>
      <w:tr w:rsidR="006971FB" w:rsidRPr="00383863" w:rsidTr="00854737">
        <w:trPr>
          <w:trHeight w:val="275"/>
          <w:jc w:val="center"/>
        </w:trPr>
        <w:tc>
          <w:tcPr>
            <w:tcW w:w="9527" w:type="dxa"/>
            <w:gridSpan w:val="4"/>
            <w:shd w:val="clear" w:color="auto" w:fill="FFFFFF" w:themeFill="background1"/>
          </w:tcPr>
          <w:p w:rsidR="006971FB" w:rsidRPr="00051C63" w:rsidRDefault="006971FB" w:rsidP="00413A19">
            <w:r>
              <w:t>Screened</w:t>
            </w:r>
            <w:r w:rsidRPr="007F2620">
              <w:t xml:space="preserve"> P</w:t>
            </w:r>
            <w:r>
              <w:t>otential P</w:t>
            </w:r>
            <w:r w:rsidRPr="007F2620">
              <w:t>articipants</w:t>
            </w:r>
          </w:p>
        </w:tc>
      </w:tr>
      <w:tr w:rsidR="002E4F08" w:rsidRPr="00383863" w:rsidTr="00051C63">
        <w:trPr>
          <w:trHeight w:val="275"/>
          <w:jc w:val="center"/>
        </w:trPr>
        <w:tc>
          <w:tcPr>
            <w:tcW w:w="3080" w:type="dxa"/>
            <w:shd w:val="clear" w:color="auto" w:fill="FFFFFF" w:themeFill="background1"/>
            <w:vAlign w:val="center"/>
          </w:tcPr>
          <w:p w:rsidR="006F31BD" w:rsidRPr="006F31BD" w:rsidRDefault="006F31BD" w:rsidP="003044A6">
            <w:r w:rsidRPr="006F31BD">
              <w:t>12-14 years old:</w:t>
            </w:r>
            <w:r>
              <w:t xml:space="preserve"> </w:t>
            </w:r>
            <w:r w:rsidR="003044A6">
              <w:t>(</w:t>
            </w:r>
            <w:r w:rsidR="0089235A">
              <w:t>Screener</w:t>
            </w:r>
            <w:r w:rsidR="003044A6">
              <w:rPr>
                <w:sz w:val="22"/>
                <w:szCs w:val="22"/>
              </w:rPr>
              <w:t>, Youth Assent/Parental Consent or Opt Out)</w:t>
            </w:r>
          </w:p>
        </w:tc>
        <w:tc>
          <w:tcPr>
            <w:tcW w:w="2134" w:type="dxa"/>
            <w:shd w:val="clear" w:color="auto" w:fill="FFFFFF" w:themeFill="background1"/>
            <w:vAlign w:val="center"/>
          </w:tcPr>
          <w:p w:rsidR="006F31BD" w:rsidRPr="00051C63" w:rsidRDefault="003044A6" w:rsidP="009E41B4">
            <w:pPr>
              <w:jc w:val="center"/>
            </w:pPr>
            <w:r w:rsidRPr="00051C63">
              <w:t>192</w:t>
            </w:r>
          </w:p>
        </w:tc>
        <w:tc>
          <w:tcPr>
            <w:tcW w:w="2161" w:type="dxa"/>
            <w:shd w:val="clear" w:color="auto" w:fill="FFFFFF" w:themeFill="background1"/>
            <w:vAlign w:val="center"/>
          </w:tcPr>
          <w:p w:rsidR="006F31BD" w:rsidRPr="00051C63" w:rsidRDefault="003044A6" w:rsidP="001B1710">
            <w:pPr>
              <w:jc w:val="center"/>
            </w:pPr>
            <w:r w:rsidRPr="00051C63">
              <w:t>10</w:t>
            </w:r>
          </w:p>
        </w:tc>
        <w:tc>
          <w:tcPr>
            <w:tcW w:w="2152" w:type="dxa"/>
            <w:shd w:val="clear" w:color="auto" w:fill="FFFFFF" w:themeFill="background1"/>
            <w:vAlign w:val="center"/>
          </w:tcPr>
          <w:p w:rsidR="006F31BD" w:rsidRPr="00051C63" w:rsidRDefault="003044A6" w:rsidP="001B1710">
            <w:pPr>
              <w:jc w:val="center"/>
            </w:pPr>
            <w:r w:rsidRPr="00051C63">
              <w:t>32</w:t>
            </w:r>
          </w:p>
        </w:tc>
      </w:tr>
      <w:tr w:rsidR="002E4F08" w:rsidRPr="00383863" w:rsidTr="00051C63">
        <w:trPr>
          <w:trHeight w:val="275"/>
          <w:jc w:val="center"/>
        </w:trPr>
        <w:tc>
          <w:tcPr>
            <w:tcW w:w="3080" w:type="dxa"/>
            <w:shd w:val="clear" w:color="auto" w:fill="FFFFFF" w:themeFill="background1"/>
            <w:vAlign w:val="center"/>
          </w:tcPr>
          <w:p w:rsidR="006F31BD" w:rsidRPr="006F31BD" w:rsidRDefault="006F31BD" w:rsidP="001B1710">
            <w:r w:rsidRPr="006F31BD">
              <w:t>15-17 years old:</w:t>
            </w:r>
            <w:r w:rsidR="0089235A">
              <w:t xml:space="preserve"> </w:t>
            </w:r>
            <w:r w:rsidR="003044A6">
              <w:t>(Screener</w:t>
            </w:r>
            <w:r w:rsidR="003044A6">
              <w:rPr>
                <w:sz w:val="22"/>
                <w:szCs w:val="22"/>
              </w:rPr>
              <w:t>, Youth Assent/Parental Consent or Opt Out)</w:t>
            </w:r>
          </w:p>
        </w:tc>
        <w:tc>
          <w:tcPr>
            <w:tcW w:w="2134" w:type="dxa"/>
            <w:shd w:val="clear" w:color="auto" w:fill="FFFFFF" w:themeFill="background1"/>
            <w:vAlign w:val="center"/>
          </w:tcPr>
          <w:p w:rsidR="006F31BD" w:rsidRPr="00051C63" w:rsidRDefault="003044A6" w:rsidP="009E41B4">
            <w:pPr>
              <w:jc w:val="center"/>
            </w:pPr>
            <w:r w:rsidRPr="00051C63">
              <w:t>384</w:t>
            </w:r>
          </w:p>
        </w:tc>
        <w:tc>
          <w:tcPr>
            <w:tcW w:w="2161" w:type="dxa"/>
            <w:shd w:val="clear" w:color="auto" w:fill="FFFFFF" w:themeFill="background1"/>
            <w:vAlign w:val="center"/>
          </w:tcPr>
          <w:p w:rsidR="006F31BD" w:rsidRPr="00051C63" w:rsidRDefault="003044A6" w:rsidP="001B1710">
            <w:pPr>
              <w:jc w:val="center"/>
            </w:pPr>
            <w:r w:rsidRPr="00051C63">
              <w:t>10</w:t>
            </w:r>
          </w:p>
        </w:tc>
        <w:tc>
          <w:tcPr>
            <w:tcW w:w="2152" w:type="dxa"/>
            <w:shd w:val="clear" w:color="auto" w:fill="FFFFFF" w:themeFill="background1"/>
            <w:vAlign w:val="center"/>
          </w:tcPr>
          <w:p w:rsidR="006F31BD" w:rsidRPr="00051C63" w:rsidRDefault="000821F7" w:rsidP="001B1710">
            <w:pPr>
              <w:jc w:val="center"/>
            </w:pPr>
            <w:r w:rsidRPr="00051C63">
              <w:t>64</w:t>
            </w:r>
          </w:p>
        </w:tc>
      </w:tr>
      <w:tr w:rsidR="00E92C7E" w:rsidRPr="00383863" w:rsidTr="00413A19">
        <w:trPr>
          <w:trHeight w:val="275"/>
          <w:jc w:val="center"/>
        </w:trPr>
        <w:tc>
          <w:tcPr>
            <w:tcW w:w="3080" w:type="dxa"/>
            <w:tcBorders>
              <w:bottom w:val="single" w:sz="4" w:space="0" w:color="auto"/>
            </w:tcBorders>
            <w:shd w:val="clear" w:color="auto" w:fill="FFFFFF" w:themeFill="background1"/>
            <w:vAlign w:val="center"/>
          </w:tcPr>
          <w:p w:rsidR="00E92C7E" w:rsidRPr="00A00211" w:rsidRDefault="00E92C7E" w:rsidP="00E92C7E">
            <w:pPr>
              <w:rPr>
                <w:b/>
                <w:bCs/>
              </w:rPr>
            </w:pPr>
            <w:r w:rsidRPr="00A00211">
              <w:rPr>
                <w:b/>
                <w:bCs/>
              </w:rPr>
              <w:t>Screened</w:t>
            </w:r>
          </w:p>
        </w:tc>
        <w:tc>
          <w:tcPr>
            <w:tcW w:w="2134" w:type="dxa"/>
            <w:tcBorders>
              <w:bottom w:val="single" w:sz="4" w:space="0" w:color="auto"/>
            </w:tcBorders>
            <w:shd w:val="clear" w:color="auto" w:fill="FFFFFF" w:themeFill="background1"/>
            <w:vAlign w:val="center"/>
          </w:tcPr>
          <w:p w:rsidR="00E92C7E" w:rsidRPr="00051C63" w:rsidRDefault="005F5CD1" w:rsidP="009E41B4">
            <w:pPr>
              <w:jc w:val="center"/>
            </w:pPr>
            <w:r>
              <w:t>576</w:t>
            </w:r>
          </w:p>
        </w:tc>
        <w:tc>
          <w:tcPr>
            <w:tcW w:w="2161" w:type="dxa"/>
            <w:tcBorders>
              <w:bottom w:val="single" w:sz="4" w:space="0" w:color="auto"/>
            </w:tcBorders>
            <w:shd w:val="clear" w:color="auto" w:fill="FFFFFF" w:themeFill="background1"/>
            <w:vAlign w:val="center"/>
          </w:tcPr>
          <w:p w:rsidR="00E92C7E" w:rsidRPr="00051C63" w:rsidRDefault="00E92C7E" w:rsidP="001B1710">
            <w:pPr>
              <w:jc w:val="center"/>
            </w:pPr>
          </w:p>
        </w:tc>
        <w:tc>
          <w:tcPr>
            <w:tcW w:w="2152" w:type="dxa"/>
            <w:tcBorders>
              <w:bottom w:val="single" w:sz="4" w:space="0" w:color="auto"/>
            </w:tcBorders>
            <w:shd w:val="clear" w:color="auto" w:fill="FFFFFF" w:themeFill="background1"/>
            <w:vAlign w:val="center"/>
          </w:tcPr>
          <w:p w:rsidR="00E92C7E" w:rsidRPr="00051C63" w:rsidRDefault="00E92C7E" w:rsidP="001B1710">
            <w:pPr>
              <w:jc w:val="center"/>
            </w:pPr>
          </w:p>
        </w:tc>
      </w:tr>
      <w:tr w:rsidR="006971FB" w:rsidRPr="00383863" w:rsidTr="00413A19">
        <w:trPr>
          <w:trHeight w:val="275"/>
          <w:jc w:val="center"/>
        </w:trPr>
        <w:tc>
          <w:tcPr>
            <w:tcW w:w="9527" w:type="dxa"/>
            <w:gridSpan w:val="4"/>
            <w:shd w:val="clear" w:color="auto" w:fill="A6A6A6" w:themeFill="background1" w:themeFillShade="A6"/>
            <w:vAlign w:val="center"/>
          </w:tcPr>
          <w:p w:rsidR="006971FB" w:rsidRPr="00051C63" w:rsidRDefault="006971FB" w:rsidP="001B1710">
            <w:pPr>
              <w:jc w:val="center"/>
            </w:pPr>
          </w:p>
        </w:tc>
      </w:tr>
      <w:tr w:rsidR="006971FB" w:rsidRPr="00383863" w:rsidTr="00C96F09">
        <w:trPr>
          <w:trHeight w:val="275"/>
          <w:jc w:val="center"/>
        </w:trPr>
        <w:tc>
          <w:tcPr>
            <w:tcW w:w="9527" w:type="dxa"/>
            <w:gridSpan w:val="4"/>
            <w:shd w:val="clear" w:color="auto" w:fill="FFFFFF" w:themeFill="background1"/>
            <w:vAlign w:val="center"/>
          </w:tcPr>
          <w:p w:rsidR="006971FB" w:rsidRPr="00051C63" w:rsidRDefault="006971FB" w:rsidP="00413A19">
            <w:r>
              <w:t>Actual Participants</w:t>
            </w:r>
          </w:p>
        </w:tc>
      </w:tr>
      <w:tr w:rsidR="002E4F08" w:rsidRPr="00383863" w:rsidTr="00051C63">
        <w:trPr>
          <w:trHeight w:val="275"/>
          <w:jc w:val="center"/>
        </w:trPr>
        <w:tc>
          <w:tcPr>
            <w:tcW w:w="3080" w:type="dxa"/>
          </w:tcPr>
          <w:p w:rsidR="006F31BD" w:rsidRPr="00383863" w:rsidRDefault="006F31BD" w:rsidP="003044A6">
            <w:r w:rsidRPr="00272104">
              <w:rPr>
                <w:sz w:val="22"/>
                <w:szCs w:val="22"/>
              </w:rPr>
              <w:t>12–14</w:t>
            </w:r>
            <w:r>
              <w:rPr>
                <w:sz w:val="22"/>
                <w:szCs w:val="22"/>
              </w:rPr>
              <w:t xml:space="preserve"> years old: </w:t>
            </w:r>
            <w:r w:rsidR="003044A6">
              <w:rPr>
                <w:sz w:val="22"/>
                <w:szCs w:val="22"/>
              </w:rPr>
              <w:t>(Focus Group Discussion)</w:t>
            </w:r>
          </w:p>
        </w:tc>
        <w:tc>
          <w:tcPr>
            <w:tcW w:w="2134" w:type="dxa"/>
            <w:vAlign w:val="center"/>
          </w:tcPr>
          <w:p w:rsidR="006F31BD" w:rsidRPr="00CD0D45" w:rsidRDefault="006F31BD" w:rsidP="000F6659">
            <w:pPr>
              <w:jc w:val="center"/>
            </w:pPr>
            <w:r>
              <w:t>64</w:t>
            </w:r>
          </w:p>
        </w:tc>
        <w:tc>
          <w:tcPr>
            <w:tcW w:w="2161" w:type="dxa"/>
            <w:vAlign w:val="center"/>
          </w:tcPr>
          <w:p w:rsidR="006F31BD" w:rsidRPr="00051C63" w:rsidRDefault="003044A6" w:rsidP="00F125CB">
            <w:pPr>
              <w:jc w:val="center"/>
            </w:pPr>
            <w:r w:rsidRPr="00051C63">
              <w:t>90</w:t>
            </w:r>
          </w:p>
        </w:tc>
        <w:tc>
          <w:tcPr>
            <w:tcW w:w="2152" w:type="dxa"/>
            <w:vAlign w:val="center"/>
          </w:tcPr>
          <w:p w:rsidR="006F31BD" w:rsidRPr="00CD0D45" w:rsidRDefault="003044A6" w:rsidP="00EE7B11">
            <w:pPr>
              <w:jc w:val="center"/>
            </w:pPr>
            <w:r>
              <w:t>96</w:t>
            </w:r>
          </w:p>
        </w:tc>
      </w:tr>
      <w:tr w:rsidR="002E4F08" w:rsidRPr="00383863" w:rsidTr="00051C63">
        <w:trPr>
          <w:trHeight w:val="275"/>
          <w:jc w:val="center"/>
        </w:trPr>
        <w:tc>
          <w:tcPr>
            <w:tcW w:w="3080" w:type="dxa"/>
          </w:tcPr>
          <w:p w:rsidR="006F31BD" w:rsidRDefault="006F31BD" w:rsidP="003044A6">
            <w:r w:rsidRPr="00272104">
              <w:rPr>
                <w:sz w:val="22"/>
                <w:szCs w:val="22"/>
              </w:rPr>
              <w:t>1</w:t>
            </w:r>
            <w:r>
              <w:rPr>
                <w:sz w:val="22"/>
                <w:szCs w:val="22"/>
              </w:rPr>
              <w:t>5</w:t>
            </w:r>
            <w:r w:rsidRPr="00272104">
              <w:rPr>
                <w:sz w:val="22"/>
                <w:szCs w:val="22"/>
              </w:rPr>
              <w:t>–1</w:t>
            </w:r>
            <w:r>
              <w:rPr>
                <w:sz w:val="22"/>
                <w:szCs w:val="22"/>
              </w:rPr>
              <w:t xml:space="preserve">7 years old: </w:t>
            </w:r>
            <w:r w:rsidR="003044A6">
              <w:rPr>
                <w:sz w:val="22"/>
                <w:szCs w:val="22"/>
              </w:rPr>
              <w:t>(Focus Group Discussion)</w:t>
            </w:r>
          </w:p>
        </w:tc>
        <w:tc>
          <w:tcPr>
            <w:tcW w:w="2134" w:type="dxa"/>
            <w:vAlign w:val="center"/>
          </w:tcPr>
          <w:p w:rsidR="006F31BD" w:rsidRPr="00CD0D45" w:rsidRDefault="006F31BD" w:rsidP="000F6659">
            <w:pPr>
              <w:jc w:val="center"/>
            </w:pPr>
            <w:r>
              <w:t>128</w:t>
            </w:r>
          </w:p>
        </w:tc>
        <w:tc>
          <w:tcPr>
            <w:tcW w:w="2161" w:type="dxa"/>
            <w:vAlign w:val="center"/>
          </w:tcPr>
          <w:p w:rsidR="006F31BD" w:rsidRPr="00051C63" w:rsidRDefault="003044A6" w:rsidP="00F125CB">
            <w:pPr>
              <w:jc w:val="center"/>
            </w:pPr>
            <w:r w:rsidRPr="00051C63">
              <w:t>90</w:t>
            </w:r>
          </w:p>
        </w:tc>
        <w:tc>
          <w:tcPr>
            <w:tcW w:w="2152" w:type="dxa"/>
            <w:vAlign w:val="center"/>
          </w:tcPr>
          <w:p w:rsidR="006F31BD" w:rsidRPr="00CD0D45" w:rsidRDefault="003044A6" w:rsidP="001B1710">
            <w:pPr>
              <w:jc w:val="center"/>
            </w:pPr>
            <w:r>
              <w:t>192</w:t>
            </w:r>
          </w:p>
        </w:tc>
      </w:tr>
      <w:tr w:rsidR="00E92C7E" w:rsidRPr="00383863" w:rsidTr="00413A19">
        <w:trPr>
          <w:trHeight w:val="275"/>
          <w:jc w:val="center"/>
        </w:trPr>
        <w:tc>
          <w:tcPr>
            <w:tcW w:w="3080" w:type="dxa"/>
            <w:tcBorders>
              <w:bottom w:val="single" w:sz="4" w:space="0" w:color="auto"/>
            </w:tcBorders>
          </w:tcPr>
          <w:p w:rsidR="00E92C7E" w:rsidRPr="00272104" w:rsidRDefault="00E92C7E" w:rsidP="003044A6">
            <w:pPr>
              <w:rPr>
                <w:sz w:val="22"/>
                <w:szCs w:val="22"/>
              </w:rPr>
            </w:pPr>
            <w:r>
              <w:rPr>
                <w:sz w:val="22"/>
                <w:szCs w:val="22"/>
              </w:rPr>
              <w:t xml:space="preserve">Participants </w:t>
            </w:r>
          </w:p>
        </w:tc>
        <w:tc>
          <w:tcPr>
            <w:tcW w:w="2134" w:type="dxa"/>
            <w:tcBorders>
              <w:bottom w:val="single" w:sz="4" w:space="0" w:color="auto"/>
            </w:tcBorders>
            <w:vAlign w:val="center"/>
          </w:tcPr>
          <w:p w:rsidR="00E92C7E" w:rsidRDefault="00E92C7E" w:rsidP="000F6659">
            <w:pPr>
              <w:jc w:val="center"/>
            </w:pPr>
            <w:r>
              <w:t>192</w:t>
            </w:r>
          </w:p>
        </w:tc>
        <w:tc>
          <w:tcPr>
            <w:tcW w:w="2161" w:type="dxa"/>
            <w:tcBorders>
              <w:bottom w:val="single" w:sz="4" w:space="0" w:color="auto"/>
            </w:tcBorders>
            <w:vAlign w:val="center"/>
          </w:tcPr>
          <w:p w:rsidR="00E92C7E" w:rsidRPr="00051C63" w:rsidRDefault="00E92C7E" w:rsidP="00F125CB">
            <w:pPr>
              <w:jc w:val="center"/>
            </w:pPr>
          </w:p>
        </w:tc>
        <w:tc>
          <w:tcPr>
            <w:tcW w:w="2152" w:type="dxa"/>
            <w:tcBorders>
              <w:bottom w:val="single" w:sz="4" w:space="0" w:color="auto"/>
            </w:tcBorders>
            <w:vAlign w:val="center"/>
          </w:tcPr>
          <w:p w:rsidR="00E92C7E" w:rsidRDefault="00E92C7E" w:rsidP="001B1710">
            <w:pPr>
              <w:jc w:val="center"/>
            </w:pPr>
          </w:p>
        </w:tc>
      </w:tr>
      <w:tr w:rsidR="00A94562" w:rsidRPr="00383863" w:rsidTr="00413A19">
        <w:trPr>
          <w:trHeight w:val="275"/>
          <w:jc w:val="center"/>
        </w:trPr>
        <w:tc>
          <w:tcPr>
            <w:tcW w:w="9527" w:type="dxa"/>
            <w:gridSpan w:val="4"/>
            <w:shd w:val="clear" w:color="auto" w:fill="A6A6A6" w:themeFill="background1" w:themeFillShade="A6"/>
          </w:tcPr>
          <w:p w:rsidR="00A94562" w:rsidRDefault="00A94562" w:rsidP="000821F7">
            <w:pPr>
              <w:jc w:val="center"/>
              <w:rPr>
                <w:b/>
              </w:rPr>
            </w:pPr>
          </w:p>
        </w:tc>
      </w:tr>
      <w:tr w:rsidR="002E4F08" w:rsidRPr="00383863" w:rsidTr="00051C63">
        <w:trPr>
          <w:trHeight w:val="275"/>
          <w:jc w:val="center"/>
        </w:trPr>
        <w:tc>
          <w:tcPr>
            <w:tcW w:w="3080" w:type="dxa"/>
          </w:tcPr>
          <w:p w:rsidR="006F31BD" w:rsidRPr="00383863" w:rsidRDefault="006F31BD">
            <w:pPr>
              <w:jc w:val="center"/>
              <w:rPr>
                <w:b/>
              </w:rPr>
            </w:pPr>
            <w:r w:rsidRPr="00383863">
              <w:rPr>
                <w:b/>
              </w:rPr>
              <w:t>Total</w:t>
            </w:r>
            <w:r w:rsidR="006971FB">
              <w:rPr>
                <w:b/>
              </w:rPr>
              <w:t xml:space="preserve"> </w:t>
            </w:r>
            <w:r w:rsidR="006971FB" w:rsidRPr="00413A19">
              <w:rPr>
                <w:b/>
                <w:vertAlign w:val="superscript"/>
              </w:rPr>
              <w:t>1</w:t>
            </w:r>
          </w:p>
        </w:tc>
        <w:tc>
          <w:tcPr>
            <w:tcW w:w="2134" w:type="dxa"/>
            <w:vAlign w:val="center"/>
          </w:tcPr>
          <w:p w:rsidR="006F31BD" w:rsidRPr="00CD0D45" w:rsidRDefault="006971FB" w:rsidP="003044A6">
            <w:pPr>
              <w:jc w:val="center"/>
              <w:rPr>
                <w:b/>
              </w:rPr>
            </w:pPr>
            <w:r>
              <w:rPr>
                <w:b/>
              </w:rPr>
              <w:t>576</w:t>
            </w:r>
          </w:p>
        </w:tc>
        <w:tc>
          <w:tcPr>
            <w:tcW w:w="2161" w:type="dxa"/>
            <w:vAlign w:val="center"/>
          </w:tcPr>
          <w:p w:rsidR="006F31BD" w:rsidRPr="00CD0D45" w:rsidRDefault="006F31BD" w:rsidP="006016F4">
            <w:pPr>
              <w:jc w:val="center"/>
              <w:rPr>
                <w:b/>
              </w:rPr>
            </w:pPr>
          </w:p>
        </w:tc>
        <w:tc>
          <w:tcPr>
            <w:tcW w:w="2152" w:type="dxa"/>
            <w:vAlign w:val="center"/>
          </w:tcPr>
          <w:p w:rsidR="006F31BD" w:rsidRPr="00CD0D45" w:rsidRDefault="000821F7" w:rsidP="000821F7">
            <w:pPr>
              <w:jc w:val="center"/>
              <w:rPr>
                <w:b/>
              </w:rPr>
            </w:pPr>
            <w:r>
              <w:rPr>
                <w:b/>
              </w:rPr>
              <w:t>384</w:t>
            </w:r>
          </w:p>
        </w:tc>
      </w:tr>
    </w:tbl>
    <w:p w:rsidR="001472BE" w:rsidRPr="00413A19" w:rsidRDefault="006971FB" w:rsidP="00F16B10">
      <w:pPr>
        <w:rPr>
          <w:b/>
          <w:sz w:val="18"/>
          <w:szCs w:val="18"/>
        </w:rPr>
      </w:pPr>
      <w:r w:rsidRPr="00413A19">
        <w:rPr>
          <w:b/>
          <w:sz w:val="18"/>
          <w:szCs w:val="18"/>
          <w:vertAlign w:val="superscript"/>
        </w:rPr>
        <w:t xml:space="preserve">1 </w:t>
      </w:r>
      <w:r w:rsidRPr="00413A19">
        <w:rPr>
          <w:b/>
          <w:sz w:val="18"/>
          <w:szCs w:val="18"/>
        </w:rPr>
        <w:t xml:space="preserve">The total number of respondents </w:t>
      </w:r>
      <w:bookmarkStart w:id="0" w:name="_GoBack"/>
      <w:bookmarkEnd w:id="0"/>
      <w:r w:rsidR="002A2D2E" w:rsidRPr="00413A19">
        <w:rPr>
          <w:b/>
          <w:sz w:val="18"/>
          <w:szCs w:val="18"/>
        </w:rPr>
        <w:t>is</w:t>
      </w:r>
      <w:r w:rsidRPr="00413A19">
        <w:rPr>
          <w:b/>
          <w:sz w:val="18"/>
          <w:szCs w:val="18"/>
        </w:rPr>
        <w:t xml:space="preserve"> 576; one-third of those (192) represent the total number of participants in this study.</w:t>
      </w:r>
    </w:p>
    <w:p w:rsidR="006971FB" w:rsidRDefault="006971FB" w:rsidP="00F16B10">
      <w:pPr>
        <w:rPr>
          <w:rFonts w:ascii="Arial" w:hAnsi="Arial"/>
          <w:b/>
          <w:sz w:val="22"/>
          <w:szCs w:val="22"/>
        </w:rPr>
      </w:pPr>
    </w:p>
    <w:p w:rsidR="00F16B10" w:rsidRPr="00BF0581" w:rsidRDefault="00F16B10" w:rsidP="00F16B10">
      <w:pPr>
        <w:rPr>
          <w:rFonts w:ascii="Arial" w:hAnsi="Arial"/>
          <w:sz w:val="22"/>
          <w:szCs w:val="22"/>
        </w:rPr>
      </w:pPr>
      <w:r w:rsidRPr="008779C6">
        <w:rPr>
          <w:rFonts w:ascii="Arial" w:hAnsi="Arial"/>
          <w:b/>
          <w:sz w:val="22"/>
          <w:szCs w:val="22"/>
        </w:rPr>
        <w:t xml:space="preserve">REQUESTED APPROVAL DATE: </w:t>
      </w:r>
      <w:r w:rsidR="00865B59">
        <w:rPr>
          <w:rFonts w:ascii="Arial" w:hAnsi="Arial"/>
          <w:b/>
          <w:sz w:val="22"/>
          <w:szCs w:val="22"/>
        </w:rPr>
        <w:t>August 29, 2014</w:t>
      </w:r>
    </w:p>
    <w:p w:rsidR="00F16B10" w:rsidRDefault="00F16B10" w:rsidP="00F16B10">
      <w:pPr>
        <w:rPr>
          <w:rFonts w:ascii="Arial" w:hAnsi="Arial"/>
          <w:b/>
          <w:sz w:val="22"/>
          <w:szCs w:val="22"/>
        </w:rPr>
      </w:pPr>
    </w:p>
    <w:p w:rsidR="00F16B10" w:rsidRDefault="00F16B10" w:rsidP="00F16B10">
      <w:pPr>
        <w:rPr>
          <w:rFonts w:ascii="Arial" w:hAnsi="Arial"/>
          <w:b/>
          <w:sz w:val="22"/>
          <w:szCs w:val="22"/>
        </w:rPr>
      </w:pPr>
      <w:r>
        <w:rPr>
          <w:rFonts w:ascii="Arial" w:hAnsi="Arial"/>
          <w:b/>
          <w:sz w:val="22"/>
          <w:szCs w:val="22"/>
        </w:rPr>
        <w:t xml:space="preserve">NAME OF PRA ANALYST &amp; PROGRAM CONTACT: </w:t>
      </w:r>
    </w:p>
    <w:p w:rsidR="00F16B10" w:rsidRDefault="00F16B10" w:rsidP="00F16B10">
      <w:pPr>
        <w:rPr>
          <w:rFonts w:ascii="Arial" w:hAnsi="Arial"/>
          <w:b/>
          <w:sz w:val="22"/>
          <w:szCs w:val="22"/>
        </w:rPr>
      </w:pPr>
      <w:r>
        <w:rPr>
          <w:rFonts w:ascii="Arial" w:hAnsi="Arial"/>
          <w:b/>
          <w:sz w:val="22"/>
          <w:szCs w:val="22"/>
        </w:rPr>
        <w:t>PRA Analyst</w:t>
      </w:r>
      <w:r>
        <w:rPr>
          <w:rFonts w:ascii="Arial" w:hAnsi="Arial"/>
          <w:b/>
          <w:sz w:val="22"/>
          <w:szCs w:val="22"/>
        </w:rPr>
        <w:tab/>
      </w:r>
      <w:r>
        <w:rPr>
          <w:rFonts w:ascii="Arial" w:hAnsi="Arial"/>
          <w:b/>
          <w:sz w:val="22"/>
          <w:szCs w:val="22"/>
        </w:rPr>
        <w:tab/>
        <w:t>Jonna Capezzuto</w:t>
      </w:r>
    </w:p>
    <w:p w:rsidR="00F16B10" w:rsidRDefault="00F16B10" w:rsidP="00F16B10">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t>301-796-3794</w:t>
      </w:r>
    </w:p>
    <w:p w:rsidR="00F16B10" w:rsidRDefault="00F16B10" w:rsidP="00F16B10">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t>Jonna</w:t>
      </w:r>
      <w:r w:rsidR="00A0583B">
        <w:rPr>
          <w:rFonts w:ascii="Arial" w:hAnsi="Arial"/>
          <w:b/>
          <w:sz w:val="22"/>
          <w:szCs w:val="22"/>
        </w:rPr>
        <w:t>lynn</w:t>
      </w:r>
      <w:r>
        <w:rPr>
          <w:rFonts w:ascii="Arial" w:hAnsi="Arial"/>
          <w:b/>
          <w:sz w:val="22"/>
          <w:szCs w:val="22"/>
        </w:rPr>
        <w:t>.Capezzuto@fda.hhs.gov</w:t>
      </w:r>
    </w:p>
    <w:p w:rsidR="00F16B10" w:rsidRDefault="00F16B10" w:rsidP="00F16B10">
      <w:pPr>
        <w:rPr>
          <w:rFonts w:ascii="Arial" w:hAnsi="Arial"/>
          <w:b/>
          <w:sz w:val="22"/>
          <w:szCs w:val="22"/>
        </w:rPr>
      </w:pPr>
    </w:p>
    <w:p w:rsidR="00F16B10" w:rsidRDefault="00F16B10" w:rsidP="00F16B10">
      <w:pPr>
        <w:rPr>
          <w:rFonts w:ascii="Arial" w:hAnsi="Arial"/>
          <w:b/>
          <w:sz w:val="22"/>
          <w:szCs w:val="22"/>
        </w:rPr>
      </w:pPr>
      <w:r>
        <w:rPr>
          <w:rFonts w:ascii="Arial" w:hAnsi="Arial"/>
          <w:b/>
          <w:sz w:val="22"/>
          <w:szCs w:val="22"/>
        </w:rPr>
        <w:t>Program Contact</w:t>
      </w:r>
      <w:r>
        <w:rPr>
          <w:rFonts w:ascii="Arial" w:hAnsi="Arial"/>
          <w:b/>
          <w:sz w:val="22"/>
          <w:szCs w:val="22"/>
        </w:rPr>
        <w:tab/>
        <w:t>Tesfa Alexander</w:t>
      </w:r>
    </w:p>
    <w:p w:rsidR="00F16B10" w:rsidRDefault="00F16B10" w:rsidP="00F16B10">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t>301-796-9335</w:t>
      </w:r>
    </w:p>
    <w:p w:rsidR="00F16B10" w:rsidRDefault="00F16B10" w:rsidP="00F16B10">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t>Tesfa.Alexander@fda.hhs.gov</w:t>
      </w:r>
    </w:p>
    <w:p w:rsidR="001472BE" w:rsidRDefault="001472BE" w:rsidP="00F16B10">
      <w:pPr>
        <w:rPr>
          <w:rFonts w:ascii="Arial" w:hAnsi="Arial"/>
          <w:b/>
          <w:sz w:val="22"/>
          <w:szCs w:val="22"/>
        </w:rPr>
      </w:pPr>
    </w:p>
    <w:p w:rsidR="00F16B10" w:rsidRPr="00DF1834" w:rsidRDefault="00F16B10" w:rsidP="00F16B10">
      <w:pPr>
        <w:rPr>
          <w:rFonts w:ascii="Arial" w:hAnsi="Arial"/>
          <w:b/>
          <w:sz w:val="22"/>
          <w:szCs w:val="22"/>
        </w:rPr>
      </w:pPr>
      <w:r>
        <w:rPr>
          <w:rFonts w:ascii="Arial" w:hAnsi="Arial"/>
          <w:b/>
          <w:sz w:val="22"/>
          <w:szCs w:val="22"/>
        </w:rPr>
        <w:t xml:space="preserve">FDA CENTER: Center for Tobacco Products (FDA/CTP) </w:t>
      </w:r>
    </w:p>
    <w:p w:rsidR="000E4601" w:rsidRDefault="000E4601" w:rsidP="000D6CE7">
      <w:pPr>
        <w:tabs>
          <w:tab w:val="left" w:pos="5670"/>
        </w:tabs>
        <w:suppressAutoHyphens/>
        <w:ind w:firstLine="720"/>
      </w:pPr>
    </w:p>
    <w:p w:rsidR="000E4601" w:rsidRDefault="000E4601" w:rsidP="000E4601">
      <w:pPr>
        <w:jc w:val="center"/>
        <w:rPr>
          <w:u w:val="single"/>
        </w:rPr>
      </w:pPr>
    </w:p>
    <w:p w:rsidR="000E4601" w:rsidRDefault="00817F26" w:rsidP="000E4601">
      <w:pPr>
        <w:jc w:val="center"/>
        <w:rPr>
          <w:u w:val="single"/>
        </w:rPr>
      </w:pPr>
      <w:r>
        <w:rPr>
          <w:u w:val="single"/>
        </w:rPr>
        <w:br w:type="page"/>
      </w:r>
      <w:r w:rsidR="000E4601">
        <w:rPr>
          <w:u w:val="single"/>
        </w:rPr>
        <w:lastRenderedPageBreak/>
        <w:t>References</w:t>
      </w:r>
    </w:p>
    <w:p w:rsidR="000E4601" w:rsidRDefault="000E4601" w:rsidP="000E4601">
      <w:pPr>
        <w:ind w:left="720" w:hanging="720"/>
      </w:pPr>
    </w:p>
    <w:p w:rsidR="000E4601" w:rsidRDefault="000E4601" w:rsidP="000E4601">
      <w:pPr>
        <w:ind w:left="720" w:hanging="720"/>
      </w:pPr>
      <w:proofErr w:type="gramStart"/>
      <w:r>
        <w:t>CASRO.</w:t>
      </w:r>
      <w:proofErr w:type="gramEnd"/>
      <w:r>
        <w:t xml:space="preserve">  (2013) </w:t>
      </w:r>
      <w:r>
        <w:rPr>
          <w:u w:val="single"/>
        </w:rPr>
        <w:t>CASRO Code of Standards and Ethics</w:t>
      </w:r>
      <w:r>
        <w:t xml:space="preserve">, Available at: </w:t>
      </w:r>
      <w:hyperlink r:id="rId9" w:history="1">
        <w:r>
          <w:rPr>
            <w:rStyle w:val="Hyperlink"/>
          </w:rPr>
          <w:t>http://www.casro.org/?page=TheCASROCode</w:t>
        </w:r>
      </w:hyperlink>
      <w:r>
        <w:t xml:space="preserve"> Accessed on: 06/07/2013</w:t>
      </w:r>
    </w:p>
    <w:p w:rsidR="000E4601" w:rsidRDefault="000E4601" w:rsidP="000E4601">
      <w:pPr>
        <w:ind w:left="720" w:hanging="720"/>
      </w:pPr>
    </w:p>
    <w:p w:rsidR="000E4601" w:rsidRDefault="000E4601" w:rsidP="000E4601">
      <w:pPr>
        <w:ind w:left="720" w:hanging="720"/>
      </w:pPr>
      <w:proofErr w:type="spellStart"/>
      <w:r>
        <w:t>Groth</w:t>
      </w:r>
      <w:proofErr w:type="spellEnd"/>
      <w:r>
        <w:t xml:space="preserve">, S.W. (2010). </w:t>
      </w:r>
      <w:r>
        <w:rPr>
          <w:u w:val="single"/>
          <w:lang w:val="en"/>
        </w:rPr>
        <w:t>Honorarium or coercion: use of incentives for participants in clinical research</w:t>
      </w:r>
      <w:r>
        <w:rPr>
          <w:i/>
          <w:iCs/>
          <w:u w:val="single"/>
          <w:lang w:val="en"/>
        </w:rPr>
        <w:t>.</w:t>
      </w:r>
      <w:r>
        <w:rPr>
          <w:i/>
          <w:iCs/>
          <w:lang w:val="en"/>
        </w:rPr>
        <w:t xml:space="preserve"> </w:t>
      </w:r>
      <w:proofErr w:type="gramStart"/>
      <w:r>
        <w:rPr>
          <w:rStyle w:val="int"/>
          <w:i/>
          <w:iCs/>
          <w:lang w:val="en"/>
        </w:rPr>
        <w:t>Journal of the New York State Nurses Association</w:t>
      </w:r>
      <w:r>
        <w:rPr>
          <w:rStyle w:val="int"/>
          <w:lang w:val="en"/>
        </w:rPr>
        <w:t>.</w:t>
      </w:r>
      <w:proofErr w:type="gramEnd"/>
    </w:p>
    <w:p w:rsidR="000E4601" w:rsidRDefault="000E4601" w:rsidP="000E4601">
      <w:pPr>
        <w:ind w:left="720" w:hanging="720"/>
        <w:rPr>
          <w:lang w:val="en"/>
        </w:rPr>
      </w:pPr>
    </w:p>
    <w:p w:rsidR="000E4601" w:rsidRDefault="000E4601" w:rsidP="000E4601">
      <w:pPr>
        <w:ind w:left="720" w:hanging="720"/>
      </w:pPr>
      <w:proofErr w:type="gramStart"/>
      <w:r>
        <w:rPr>
          <w:lang w:val="en"/>
        </w:rPr>
        <w:t xml:space="preserve">Halpern, S.D., </w:t>
      </w:r>
      <w:proofErr w:type="spellStart"/>
      <w:r>
        <w:rPr>
          <w:lang w:val="en"/>
        </w:rPr>
        <w:t>Karlawish</w:t>
      </w:r>
      <w:proofErr w:type="spellEnd"/>
      <w:r>
        <w:rPr>
          <w:lang w:val="en"/>
        </w:rPr>
        <w:t xml:space="preserve">, J.H., </w:t>
      </w:r>
      <w:proofErr w:type="spellStart"/>
      <w:r>
        <w:rPr>
          <w:lang w:val="en"/>
        </w:rPr>
        <w:t>Casarett</w:t>
      </w:r>
      <w:proofErr w:type="spellEnd"/>
      <w:r>
        <w:rPr>
          <w:lang w:val="en"/>
        </w:rPr>
        <w:t>, D., Berlin, J.A., &amp; Asch, D.A. (2004).</w:t>
      </w:r>
      <w:proofErr w:type="gramEnd"/>
      <w:r>
        <w:rPr>
          <w:lang w:val="en"/>
        </w:rPr>
        <w:t xml:space="preserve"> </w:t>
      </w:r>
      <w:r>
        <w:rPr>
          <w:u w:val="single"/>
          <w:lang w:val="en"/>
        </w:rPr>
        <w:t>Empirical assessment of whether moderate payments are undue or unjust inducements for participation in clinical trials.</w:t>
      </w:r>
      <w:r>
        <w:rPr>
          <w:lang w:val="en"/>
        </w:rPr>
        <w:t xml:space="preserve"> </w:t>
      </w:r>
      <w:r>
        <w:rPr>
          <w:i/>
          <w:iCs/>
          <w:lang w:val="en"/>
        </w:rPr>
        <w:t>Archives of Internal Medicine, 164</w:t>
      </w:r>
      <w:r>
        <w:rPr>
          <w:lang w:val="en"/>
        </w:rPr>
        <w:t xml:space="preserve">(7), </w:t>
      </w:r>
      <w:proofErr w:type="gramStart"/>
      <w:r>
        <w:rPr>
          <w:lang w:val="en"/>
        </w:rPr>
        <w:t>80l-803</w:t>
      </w:r>
      <w:proofErr w:type="gramEnd"/>
      <w:r>
        <w:rPr>
          <w:lang w:val="en"/>
        </w:rPr>
        <w:t>.</w:t>
      </w:r>
    </w:p>
    <w:p w:rsidR="000E4601" w:rsidRDefault="000E4601" w:rsidP="000E4601">
      <w:pPr>
        <w:ind w:left="720" w:hanging="720"/>
      </w:pPr>
    </w:p>
    <w:p w:rsidR="000E4601" w:rsidRDefault="000E4601" w:rsidP="000E4601">
      <w:pPr>
        <w:ind w:left="720" w:hanging="720"/>
      </w:pPr>
      <w:proofErr w:type="gramStart"/>
      <w:r>
        <w:t xml:space="preserve">Johnston, L. D., O'Malley, P. M., Bachman, J. G., &amp; </w:t>
      </w:r>
      <w:proofErr w:type="spellStart"/>
      <w:r>
        <w:t>Schulenberg</w:t>
      </w:r>
      <w:proofErr w:type="spellEnd"/>
      <w:r>
        <w:t>, J. E. (2012).</w:t>
      </w:r>
      <w:proofErr w:type="gramEnd"/>
      <w:r>
        <w:t xml:space="preserve"> </w:t>
      </w:r>
      <w:proofErr w:type="gramStart"/>
      <w:r>
        <w:rPr>
          <w:i/>
          <w:iCs/>
        </w:rPr>
        <w:t>Monitoring the Future national survey results on drug use, 1975-2011.</w:t>
      </w:r>
      <w:proofErr w:type="gramEnd"/>
      <w:r>
        <w:rPr>
          <w:i/>
          <w:iCs/>
        </w:rPr>
        <w:t xml:space="preserve"> Volume I: Secondary school students</w:t>
      </w:r>
      <w:r>
        <w:t xml:space="preserve">. Ann Arbor: Institute for Social Research, </w:t>
      </w:r>
      <w:proofErr w:type="gramStart"/>
      <w:r>
        <w:t>The</w:t>
      </w:r>
      <w:proofErr w:type="gramEnd"/>
      <w:r>
        <w:t xml:space="preserve"> University of Michigan, 760 pp.</w:t>
      </w:r>
    </w:p>
    <w:p w:rsidR="000E4601" w:rsidRDefault="000E4601" w:rsidP="000E4601">
      <w:pPr>
        <w:ind w:left="720" w:hanging="720"/>
      </w:pPr>
    </w:p>
    <w:p w:rsidR="000E4601" w:rsidRDefault="000E4601" w:rsidP="000E4601">
      <w:pPr>
        <w:ind w:left="720" w:hanging="720"/>
      </w:pPr>
      <w:proofErr w:type="gramStart"/>
      <w:r>
        <w:t xml:space="preserve">Morgan, D.L. and A.N. </w:t>
      </w:r>
      <w:proofErr w:type="spellStart"/>
      <w:r>
        <w:t>Scannell</w:t>
      </w:r>
      <w:proofErr w:type="spellEnd"/>
      <w:r>
        <w:t>.</w:t>
      </w:r>
      <w:proofErr w:type="gramEnd"/>
      <w:r>
        <w:t xml:space="preserve"> </w:t>
      </w:r>
      <w:proofErr w:type="gramStart"/>
      <w:r>
        <w:t>(1998)  Planning Focus Groups.</w:t>
      </w:r>
      <w:proofErr w:type="gramEnd"/>
      <w:r>
        <w:t xml:space="preserve"> Thousand Oaks, CA: Sage.</w:t>
      </w:r>
    </w:p>
    <w:p w:rsidR="000E4601" w:rsidRDefault="000E4601" w:rsidP="000E4601">
      <w:pPr>
        <w:ind w:left="720" w:hanging="720"/>
      </w:pPr>
    </w:p>
    <w:p w:rsidR="000E4601" w:rsidRDefault="000E4601" w:rsidP="000E4601">
      <w:pPr>
        <w:spacing w:line="336" w:lineRule="atLeast"/>
        <w:ind w:left="720" w:hanging="720"/>
        <w:rPr>
          <w:color w:val="333300"/>
          <w:lang w:val="en"/>
        </w:rPr>
      </w:pPr>
      <w:r>
        <w:t xml:space="preserve">Russell, M.L., </w:t>
      </w:r>
      <w:proofErr w:type="spellStart"/>
      <w:r>
        <w:t>Moralejo</w:t>
      </w:r>
      <w:proofErr w:type="spellEnd"/>
      <w:r>
        <w:t xml:space="preserve">, D.G., Burgess, E.D. (2000).  </w:t>
      </w:r>
      <w:proofErr w:type="gramStart"/>
      <w:r>
        <w:rPr>
          <w:i/>
        </w:rPr>
        <w:t>Paying research subjects: participants’ perspectives.</w:t>
      </w:r>
      <w:proofErr w:type="gramEnd"/>
      <w:r>
        <w:rPr>
          <w:i/>
          <w:iCs/>
          <w:color w:val="333300"/>
          <w:lang w:val="en"/>
        </w:rPr>
        <w:t xml:space="preserve"> J Med </w:t>
      </w:r>
      <w:r w:rsidRPr="00601470">
        <w:rPr>
          <w:i/>
          <w:iCs/>
          <w:color w:val="333300"/>
          <w:lang w:val="en"/>
        </w:rPr>
        <w:t xml:space="preserve">Ethics </w:t>
      </w:r>
      <w:r w:rsidRPr="00601470">
        <w:rPr>
          <w:color w:val="333300"/>
          <w:lang w:val="en"/>
        </w:rPr>
        <w:t>2000</w:t>
      </w:r>
      <w:proofErr w:type="gramStart"/>
      <w:r w:rsidRPr="00601470">
        <w:rPr>
          <w:color w:val="333300"/>
          <w:lang w:val="en"/>
        </w:rPr>
        <w:t>;</w:t>
      </w:r>
      <w:r w:rsidRPr="00601470">
        <w:rPr>
          <w:bCs/>
          <w:color w:val="333300"/>
          <w:lang w:val="en"/>
        </w:rPr>
        <w:t>26</w:t>
      </w:r>
      <w:r w:rsidRPr="00601470">
        <w:rPr>
          <w:color w:val="333300"/>
          <w:lang w:val="en"/>
        </w:rPr>
        <w:t>:126</w:t>
      </w:r>
      <w:proofErr w:type="gramEnd"/>
      <w:r>
        <w:rPr>
          <w:color w:val="333300"/>
          <w:lang w:val="en"/>
        </w:rPr>
        <w:t xml:space="preserve">-130 doi:10.1136/jme.26.2.126 </w:t>
      </w:r>
    </w:p>
    <w:p w:rsidR="000E4601" w:rsidRDefault="000E4601" w:rsidP="000E4601">
      <w:pPr>
        <w:ind w:left="720" w:hanging="720"/>
      </w:pPr>
    </w:p>
    <w:p w:rsidR="000E4601" w:rsidRDefault="000E4601" w:rsidP="00E6104B">
      <w:pPr>
        <w:ind w:left="720" w:hanging="720"/>
      </w:pPr>
      <w:r>
        <w:t>SAMHSA, Office of Applied Studies, National Survey on Drug Use and Health, 2007.</w:t>
      </w:r>
    </w:p>
    <w:sectPr w:rsidR="000E4601" w:rsidSect="004770B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7E0" w:rsidRDefault="007767E0">
      <w:r>
        <w:separator/>
      </w:r>
    </w:p>
  </w:endnote>
  <w:endnote w:type="continuationSeparator" w:id="0">
    <w:p w:rsidR="007767E0" w:rsidRDefault="00776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7E0" w:rsidRDefault="007767E0">
      <w:r>
        <w:separator/>
      </w:r>
    </w:p>
  </w:footnote>
  <w:footnote w:type="continuationSeparator" w:id="0">
    <w:p w:rsidR="007767E0" w:rsidRDefault="007767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0B7" w:rsidRDefault="004770B7" w:rsidP="004770B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4AC3270"/>
    <w:multiLevelType w:val="hybridMultilevel"/>
    <w:tmpl w:val="4DE607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5E06D6B"/>
    <w:multiLevelType w:val="hybridMultilevel"/>
    <w:tmpl w:val="E71A8D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7460F09"/>
    <w:multiLevelType w:val="hybridMultilevel"/>
    <w:tmpl w:val="181C5C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74E331F"/>
    <w:multiLevelType w:val="multilevel"/>
    <w:tmpl w:val="88E65A68"/>
    <w:lvl w:ilvl="0">
      <w:start w:val="1"/>
      <w:numFmt w:val="decimal"/>
      <w:lvlText w:val="%1."/>
      <w:lvlJc w:val="left"/>
      <w:pPr>
        <w:tabs>
          <w:tab w:val="num" w:pos="1080"/>
        </w:tabs>
        <w:ind w:left="1080" w:hanging="360"/>
      </w:pPr>
      <w:rPr>
        <w:rFonts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9">
    <w:nsid w:val="1AE32D8A"/>
    <w:multiLevelType w:val="multilevel"/>
    <w:tmpl w:val="6E8E9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FD03303"/>
    <w:multiLevelType w:val="multilevel"/>
    <w:tmpl w:val="793C8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13">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71E6AF6"/>
    <w:multiLevelType w:val="multilevel"/>
    <w:tmpl w:val="6F4E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96637A"/>
    <w:multiLevelType w:val="multilevel"/>
    <w:tmpl w:val="2AD69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4207A3"/>
    <w:multiLevelType w:val="multilevel"/>
    <w:tmpl w:val="4B267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BB33B4C"/>
    <w:multiLevelType w:val="hybridMultilevel"/>
    <w:tmpl w:val="17BCDC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C707D3C"/>
    <w:multiLevelType w:val="multilevel"/>
    <w:tmpl w:val="50AE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DBC4539"/>
    <w:multiLevelType w:val="hybridMultilevel"/>
    <w:tmpl w:val="D3783C50"/>
    <w:lvl w:ilvl="0" w:tplc="8C58803E">
      <w:start w:val="1"/>
      <w:numFmt w:val="bullet"/>
      <w:lvlText w:val=""/>
      <w:lvlJc w:val="left"/>
      <w:pPr>
        <w:ind w:left="1440" w:hanging="360"/>
      </w:pPr>
      <w:rPr>
        <w:rFonts w:ascii="Symbol" w:hAnsi="Symbol" w:hint="default"/>
        <w:b w:val="0"/>
        <w:i w:val="0"/>
        <w:strike w:val="0"/>
        <w:dstrike w:val="0"/>
        <w:color w:val="000000"/>
        <w:sz w:val="24"/>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DF42421"/>
    <w:multiLevelType w:val="multilevel"/>
    <w:tmpl w:val="9C2CA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E093BE8"/>
    <w:multiLevelType w:val="hybridMultilevel"/>
    <w:tmpl w:val="1E7283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23">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37E8044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394E2F6B"/>
    <w:multiLevelType w:val="hybridMultilevel"/>
    <w:tmpl w:val="9F7A8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7">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FF31FA2"/>
    <w:multiLevelType w:val="hybridMultilevel"/>
    <w:tmpl w:val="8DFA24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028774C"/>
    <w:multiLevelType w:val="hybridMultilevel"/>
    <w:tmpl w:val="051444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45953252"/>
    <w:multiLevelType w:val="hybridMultilevel"/>
    <w:tmpl w:val="F95A9D8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7D44FCC"/>
    <w:multiLevelType w:val="multilevel"/>
    <w:tmpl w:val="2534B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B1F7E1F"/>
    <w:multiLevelType w:val="multilevel"/>
    <w:tmpl w:val="65AC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B767977"/>
    <w:multiLevelType w:val="hybridMultilevel"/>
    <w:tmpl w:val="23E8CD00"/>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36">
    <w:nsid w:val="622A274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35878A3"/>
    <w:multiLevelType w:val="hybridMultilevel"/>
    <w:tmpl w:val="CAC20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63E22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40">
    <w:nsid w:val="6B975CBA"/>
    <w:multiLevelType w:val="multilevel"/>
    <w:tmpl w:val="4C50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C0D07D9"/>
    <w:multiLevelType w:val="hybridMultilevel"/>
    <w:tmpl w:val="1A627F40"/>
    <w:lvl w:ilvl="0" w:tplc="16BED450">
      <w:start w:val="1"/>
      <w:numFmt w:val="decimal"/>
      <w:lvlText w:val="%1."/>
      <w:lvlJc w:val="left"/>
      <w:pPr>
        <w:tabs>
          <w:tab w:val="num" w:pos="900"/>
        </w:tabs>
        <w:ind w:left="900" w:hanging="360"/>
      </w:pPr>
      <w:rPr>
        <w:b/>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42">
    <w:nsid w:val="706B0213"/>
    <w:multiLevelType w:val="hybridMultilevel"/>
    <w:tmpl w:val="6980B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5120362"/>
    <w:multiLevelType w:val="multilevel"/>
    <w:tmpl w:val="FCB8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45">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46">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45"/>
  </w:num>
  <w:num w:numId="3">
    <w:abstractNumId w:val="44"/>
  </w:num>
  <w:num w:numId="4">
    <w:abstractNumId w:val="46"/>
  </w:num>
  <w:num w:numId="5">
    <w:abstractNumId w:val="4"/>
  </w:num>
  <w:num w:numId="6">
    <w:abstractNumId w:val="2"/>
  </w:num>
  <w:num w:numId="7">
    <w:abstractNumId w:val="26"/>
  </w:num>
  <w:num w:numId="8">
    <w:abstractNumId w:val="39"/>
  </w:num>
  <w:num w:numId="9">
    <w:abstractNumId w:val="27"/>
  </w:num>
  <w:num w:numId="10">
    <w:abstractNumId w:val="3"/>
  </w:num>
  <w:num w:numId="11">
    <w:abstractNumId w:val="10"/>
  </w:num>
  <w:num w:numId="12">
    <w:abstractNumId w:val="13"/>
  </w:num>
  <w:num w:numId="13">
    <w:abstractNumId w:val="1"/>
  </w:num>
  <w:num w:numId="14">
    <w:abstractNumId w:val="23"/>
  </w:num>
  <w:num w:numId="15">
    <w:abstractNumId w:val="41"/>
  </w:num>
  <w:num w:numId="16">
    <w:abstractNumId w:val="33"/>
  </w:num>
  <w:num w:numId="17">
    <w:abstractNumId w:val="0"/>
  </w:num>
  <w:num w:numId="18">
    <w:abstractNumId w:val="22"/>
  </w:num>
  <w:num w:numId="19">
    <w:abstractNumId w:val="12"/>
  </w:num>
  <w:num w:numId="20">
    <w:abstractNumId w:val="16"/>
  </w:num>
  <w:num w:numId="21">
    <w:abstractNumId w:val="43"/>
  </w:num>
  <w:num w:numId="22">
    <w:abstractNumId w:val="15"/>
  </w:num>
  <w:num w:numId="23">
    <w:abstractNumId w:val="32"/>
  </w:num>
  <w:num w:numId="24">
    <w:abstractNumId w:val="14"/>
  </w:num>
  <w:num w:numId="25">
    <w:abstractNumId w:val="40"/>
  </w:num>
  <w:num w:numId="26">
    <w:abstractNumId w:val="9"/>
  </w:num>
  <w:num w:numId="27">
    <w:abstractNumId w:val="34"/>
  </w:num>
  <w:num w:numId="28">
    <w:abstractNumId w:val="11"/>
  </w:num>
  <w:num w:numId="29">
    <w:abstractNumId w:val="18"/>
  </w:num>
  <w:num w:numId="30">
    <w:abstractNumId w:val="20"/>
  </w:num>
  <w:num w:numId="31">
    <w:abstractNumId w:val="8"/>
  </w:num>
  <w:num w:numId="32">
    <w:abstractNumId w:val="24"/>
  </w:num>
  <w:num w:numId="33">
    <w:abstractNumId w:val="38"/>
  </w:num>
  <w:num w:numId="34">
    <w:abstractNumId w:val="31"/>
  </w:num>
  <w:num w:numId="35">
    <w:abstractNumId w:val="36"/>
  </w:num>
  <w:num w:numId="36">
    <w:abstractNumId w:val="28"/>
  </w:num>
  <w:num w:numId="37">
    <w:abstractNumId w:val="21"/>
  </w:num>
  <w:num w:numId="38">
    <w:abstractNumId w:val="42"/>
  </w:num>
  <w:num w:numId="39">
    <w:abstractNumId w:val="5"/>
  </w:num>
  <w:num w:numId="40">
    <w:abstractNumId w:val="30"/>
  </w:num>
  <w:num w:numId="41">
    <w:abstractNumId w:val="19"/>
  </w:num>
  <w:num w:numId="42">
    <w:abstractNumId w:val="7"/>
  </w:num>
  <w:num w:numId="43">
    <w:abstractNumId w:val="17"/>
  </w:num>
  <w:num w:numId="44">
    <w:abstractNumId w:val="25"/>
  </w:num>
  <w:num w:numId="45">
    <w:abstractNumId w:val="35"/>
  </w:num>
  <w:num w:numId="46">
    <w:abstractNumId w:val="6"/>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0BD5"/>
    <w:rsid w:val="00001BC7"/>
    <w:rsid w:val="00003EAD"/>
    <w:rsid w:val="00005D48"/>
    <w:rsid w:val="00006013"/>
    <w:rsid w:val="0000767D"/>
    <w:rsid w:val="000124E8"/>
    <w:rsid w:val="000169AA"/>
    <w:rsid w:val="00022163"/>
    <w:rsid w:val="000255A7"/>
    <w:rsid w:val="00032922"/>
    <w:rsid w:val="0003316C"/>
    <w:rsid w:val="00034B12"/>
    <w:rsid w:val="000355DF"/>
    <w:rsid w:val="00035B5C"/>
    <w:rsid w:val="000503D8"/>
    <w:rsid w:val="00051A59"/>
    <w:rsid w:val="00051C63"/>
    <w:rsid w:val="000529EF"/>
    <w:rsid w:val="00064AEC"/>
    <w:rsid w:val="000666E7"/>
    <w:rsid w:val="00067128"/>
    <w:rsid w:val="00070CD2"/>
    <w:rsid w:val="000710FD"/>
    <w:rsid w:val="0007291F"/>
    <w:rsid w:val="00075339"/>
    <w:rsid w:val="0007627B"/>
    <w:rsid w:val="000821F7"/>
    <w:rsid w:val="00086022"/>
    <w:rsid w:val="00086D1A"/>
    <w:rsid w:val="000A2178"/>
    <w:rsid w:val="000A2FF8"/>
    <w:rsid w:val="000A525C"/>
    <w:rsid w:val="000A6A3B"/>
    <w:rsid w:val="000B207F"/>
    <w:rsid w:val="000B4455"/>
    <w:rsid w:val="000B5F12"/>
    <w:rsid w:val="000C386B"/>
    <w:rsid w:val="000D5EB1"/>
    <w:rsid w:val="000D6CE7"/>
    <w:rsid w:val="000E4601"/>
    <w:rsid w:val="000E6D63"/>
    <w:rsid w:val="000E7C99"/>
    <w:rsid w:val="000F1CDA"/>
    <w:rsid w:val="000F3E29"/>
    <w:rsid w:val="000F6659"/>
    <w:rsid w:val="00115F69"/>
    <w:rsid w:val="0012033B"/>
    <w:rsid w:val="001236AA"/>
    <w:rsid w:val="00126247"/>
    <w:rsid w:val="00126D06"/>
    <w:rsid w:val="00132EF8"/>
    <w:rsid w:val="00133B52"/>
    <w:rsid w:val="00133C36"/>
    <w:rsid w:val="00134940"/>
    <w:rsid w:val="00135820"/>
    <w:rsid w:val="00140343"/>
    <w:rsid w:val="00144F81"/>
    <w:rsid w:val="0014552A"/>
    <w:rsid w:val="00146282"/>
    <w:rsid w:val="00146ED6"/>
    <w:rsid w:val="001472BE"/>
    <w:rsid w:val="00147AEE"/>
    <w:rsid w:val="00150089"/>
    <w:rsid w:val="00156CD8"/>
    <w:rsid w:val="00161B6E"/>
    <w:rsid w:val="00161EF8"/>
    <w:rsid w:val="001628EB"/>
    <w:rsid w:val="00165152"/>
    <w:rsid w:val="0017013C"/>
    <w:rsid w:val="00172A6E"/>
    <w:rsid w:val="001763E6"/>
    <w:rsid w:val="00182316"/>
    <w:rsid w:val="00190AA2"/>
    <w:rsid w:val="0019356A"/>
    <w:rsid w:val="001A1F8D"/>
    <w:rsid w:val="001A24D8"/>
    <w:rsid w:val="001A5716"/>
    <w:rsid w:val="001A5D98"/>
    <w:rsid w:val="001A68F4"/>
    <w:rsid w:val="001B0D8F"/>
    <w:rsid w:val="001B111F"/>
    <w:rsid w:val="001B1710"/>
    <w:rsid w:val="001B5507"/>
    <w:rsid w:val="001B576D"/>
    <w:rsid w:val="001B79B5"/>
    <w:rsid w:val="001C0117"/>
    <w:rsid w:val="001C076C"/>
    <w:rsid w:val="001C20AA"/>
    <w:rsid w:val="001D19B4"/>
    <w:rsid w:val="001D7BD2"/>
    <w:rsid w:val="001E1BAF"/>
    <w:rsid w:val="001E227D"/>
    <w:rsid w:val="001E2C3A"/>
    <w:rsid w:val="001E2C8C"/>
    <w:rsid w:val="001E45D5"/>
    <w:rsid w:val="001E4818"/>
    <w:rsid w:val="001F079D"/>
    <w:rsid w:val="001F09C0"/>
    <w:rsid w:val="001F28D7"/>
    <w:rsid w:val="001F2B80"/>
    <w:rsid w:val="001F4822"/>
    <w:rsid w:val="00201F64"/>
    <w:rsid w:val="00202F51"/>
    <w:rsid w:val="002114E7"/>
    <w:rsid w:val="00224786"/>
    <w:rsid w:val="00231DD8"/>
    <w:rsid w:val="002345B6"/>
    <w:rsid w:val="00237A28"/>
    <w:rsid w:val="00243BD3"/>
    <w:rsid w:val="002517C9"/>
    <w:rsid w:val="00252085"/>
    <w:rsid w:val="00253FBB"/>
    <w:rsid w:val="00255B16"/>
    <w:rsid w:val="00255DBE"/>
    <w:rsid w:val="002563A5"/>
    <w:rsid w:val="00257C96"/>
    <w:rsid w:val="00260CF9"/>
    <w:rsid w:val="0026378D"/>
    <w:rsid w:val="0026776D"/>
    <w:rsid w:val="00272104"/>
    <w:rsid w:val="002726F3"/>
    <w:rsid w:val="00275069"/>
    <w:rsid w:val="002769B3"/>
    <w:rsid w:val="00277390"/>
    <w:rsid w:val="00280653"/>
    <w:rsid w:val="00281416"/>
    <w:rsid w:val="0028729C"/>
    <w:rsid w:val="00294F26"/>
    <w:rsid w:val="0029759B"/>
    <w:rsid w:val="00297F4D"/>
    <w:rsid w:val="002A2D2E"/>
    <w:rsid w:val="002A2DB3"/>
    <w:rsid w:val="002A6022"/>
    <w:rsid w:val="002B6197"/>
    <w:rsid w:val="002B757E"/>
    <w:rsid w:val="002C1075"/>
    <w:rsid w:val="002C1674"/>
    <w:rsid w:val="002C3E3D"/>
    <w:rsid w:val="002C5290"/>
    <w:rsid w:val="002D5B76"/>
    <w:rsid w:val="002E1D61"/>
    <w:rsid w:val="002E3F15"/>
    <w:rsid w:val="002E4F08"/>
    <w:rsid w:val="002E5568"/>
    <w:rsid w:val="002F298F"/>
    <w:rsid w:val="002F45CB"/>
    <w:rsid w:val="002F4AAB"/>
    <w:rsid w:val="002F5329"/>
    <w:rsid w:val="0030387A"/>
    <w:rsid w:val="003044A6"/>
    <w:rsid w:val="003073BF"/>
    <w:rsid w:val="00310B3D"/>
    <w:rsid w:val="00320FA4"/>
    <w:rsid w:val="00323933"/>
    <w:rsid w:val="00341E44"/>
    <w:rsid w:val="0034296C"/>
    <w:rsid w:val="003473AD"/>
    <w:rsid w:val="00354DB5"/>
    <w:rsid w:val="00364051"/>
    <w:rsid w:val="0036426B"/>
    <w:rsid w:val="003657E7"/>
    <w:rsid w:val="00367EEE"/>
    <w:rsid w:val="00371FFE"/>
    <w:rsid w:val="00376F18"/>
    <w:rsid w:val="00381A92"/>
    <w:rsid w:val="00383863"/>
    <w:rsid w:val="0038452A"/>
    <w:rsid w:val="00386A8C"/>
    <w:rsid w:val="00387BB3"/>
    <w:rsid w:val="00391584"/>
    <w:rsid w:val="00393E74"/>
    <w:rsid w:val="00394075"/>
    <w:rsid w:val="003B7ADD"/>
    <w:rsid w:val="003B7C9B"/>
    <w:rsid w:val="003C0D20"/>
    <w:rsid w:val="003D0EC1"/>
    <w:rsid w:val="003D0FBE"/>
    <w:rsid w:val="003E0B9A"/>
    <w:rsid w:val="003F1C7A"/>
    <w:rsid w:val="003F20C4"/>
    <w:rsid w:val="003F3FC8"/>
    <w:rsid w:val="00400122"/>
    <w:rsid w:val="0040143E"/>
    <w:rsid w:val="00405BD9"/>
    <w:rsid w:val="0040778F"/>
    <w:rsid w:val="00407C96"/>
    <w:rsid w:val="00411149"/>
    <w:rsid w:val="00413A19"/>
    <w:rsid w:val="00421DCA"/>
    <w:rsid w:val="00426B23"/>
    <w:rsid w:val="00427B28"/>
    <w:rsid w:val="00431851"/>
    <w:rsid w:val="00432F45"/>
    <w:rsid w:val="00446217"/>
    <w:rsid w:val="004519CA"/>
    <w:rsid w:val="00460107"/>
    <w:rsid w:val="00463900"/>
    <w:rsid w:val="00463C6A"/>
    <w:rsid w:val="00465E13"/>
    <w:rsid w:val="004662F8"/>
    <w:rsid w:val="00466599"/>
    <w:rsid w:val="00476B64"/>
    <w:rsid w:val="004770B7"/>
    <w:rsid w:val="00480064"/>
    <w:rsid w:val="00480427"/>
    <w:rsid w:val="00486FE5"/>
    <w:rsid w:val="00487BBE"/>
    <w:rsid w:val="004909E1"/>
    <w:rsid w:val="0049419A"/>
    <w:rsid w:val="004954BC"/>
    <w:rsid w:val="0049584F"/>
    <w:rsid w:val="00496559"/>
    <w:rsid w:val="004977AD"/>
    <w:rsid w:val="004A0BD1"/>
    <w:rsid w:val="004A1F3F"/>
    <w:rsid w:val="004A50ED"/>
    <w:rsid w:val="004B0A62"/>
    <w:rsid w:val="004B3545"/>
    <w:rsid w:val="004B441A"/>
    <w:rsid w:val="004B694D"/>
    <w:rsid w:val="004D0819"/>
    <w:rsid w:val="004E5E04"/>
    <w:rsid w:val="004F0DEC"/>
    <w:rsid w:val="00500C62"/>
    <w:rsid w:val="00501437"/>
    <w:rsid w:val="00504A3B"/>
    <w:rsid w:val="00505F42"/>
    <w:rsid w:val="00506745"/>
    <w:rsid w:val="00513D64"/>
    <w:rsid w:val="0052010F"/>
    <w:rsid w:val="00523148"/>
    <w:rsid w:val="005418B5"/>
    <w:rsid w:val="00550EF0"/>
    <w:rsid w:val="0055111D"/>
    <w:rsid w:val="00551125"/>
    <w:rsid w:val="00560978"/>
    <w:rsid w:val="00561F60"/>
    <w:rsid w:val="00564091"/>
    <w:rsid w:val="005713AD"/>
    <w:rsid w:val="005727BC"/>
    <w:rsid w:val="00577315"/>
    <w:rsid w:val="00590466"/>
    <w:rsid w:val="00591525"/>
    <w:rsid w:val="005920D5"/>
    <w:rsid w:val="005A18A4"/>
    <w:rsid w:val="005A5221"/>
    <w:rsid w:val="005A7E31"/>
    <w:rsid w:val="005B1D78"/>
    <w:rsid w:val="005B721E"/>
    <w:rsid w:val="005C6A01"/>
    <w:rsid w:val="005C711F"/>
    <w:rsid w:val="005E05EB"/>
    <w:rsid w:val="005E23BA"/>
    <w:rsid w:val="005E26B4"/>
    <w:rsid w:val="005E4981"/>
    <w:rsid w:val="005E58F5"/>
    <w:rsid w:val="005F0F04"/>
    <w:rsid w:val="005F13E8"/>
    <w:rsid w:val="005F3AAC"/>
    <w:rsid w:val="005F5CD1"/>
    <w:rsid w:val="00601470"/>
    <w:rsid w:val="006016F4"/>
    <w:rsid w:val="00601EC2"/>
    <w:rsid w:val="006073F7"/>
    <w:rsid w:val="00612762"/>
    <w:rsid w:val="00616E1F"/>
    <w:rsid w:val="00620E8B"/>
    <w:rsid w:val="00621CCF"/>
    <w:rsid w:val="00623B73"/>
    <w:rsid w:val="0062567E"/>
    <w:rsid w:val="0062769E"/>
    <w:rsid w:val="006338BB"/>
    <w:rsid w:val="00634877"/>
    <w:rsid w:val="0064353E"/>
    <w:rsid w:val="00643808"/>
    <w:rsid w:val="00645D7A"/>
    <w:rsid w:val="00647B25"/>
    <w:rsid w:val="00653B3C"/>
    <w:rsid w:val="00654E42"/>
    <w:rsid w:val="00657726"/>
    <w:rsid w:val="006579A4"/>
    <w:rsid w:val="00664783"/>
    <w:rsid w:val="0066486E"/>
    <w:rsid w:val="00665175"/>
    <w:rsid w:val="00667736"/>
    <w:rsid w:val="00675C4B"/>
    <w:rsid w:val="006827A5"/>
    <w:rsid w:val="006877F2"/>
    <w:rsid w:val="00692DA1"/>
    <w:rsid w:val="00696B03"/>
    <w:rsid w:val="006971FB"/>
    <w:rsid w:val="006A68A6"/>
    <w:rsid w:val="006B2879"/>
    <w:rsid w:val="006B2C2A"/>
    <w:rsid w:val="006B3EA9"/>
    <w:rsid w:val="006B42D9"/>
    <w:rsid w:val="006B770F"/>
    <w:rsid w:val="006B7EB5"/>
    <w:rsid w:val="006C5145"/>
    <w:rsid w:val="006D39FA"/>
    <w:rsid w:val="006D3B31"/>
    <w:rsid w:val="006D3F60"/>
    <w:rsid w:val="006E076D"/>
    <w:rsid w:val="006E7330"/>
    <w:rsid w:val="006F01AB"/>
    <w:rsid w:val="006F107B"/>
    <w:rsid w:val="006F31BD"/>
    <w:rsid w:val="00702165"/>
    <w:rsid w:val="007030FA"/>
    <w:rsid w:val="00705B4F"/>
    <w:rsid w:val="00706EE3"/>
    <w:rsid w:val="00710031"/>
    <w:rsid w:val="00711B80"/>
    <w:rsid w:val="00712E8D"/>
    <w:rsid w:val="00716027"/>
    <w:rsid w:val="0071784F"/>
    <w:rsid w:val="007202F0"/>
    <w:rsid w:val="00721E52"/>
    <w:rsid w:val="00722087"/>
    <w:rsid w:val="00722B7C"/>
    <w:rsid w:val="00726391"/>
    <w:rsid w:val="007359BC"/>
    <w:rsid w:val="00742714"/>
    <w:rsid w:val="00743810"/>
    <w:rsid w:val="0074463A"/>
    <w:rsid w:val="00744F5B"/>
    <w:rsid w:val="0074607F"/>
    <w:rsid w:val="007529F4"/>
    <w:rsid w:val="00753FEC"/>
    <w:rsid w:val="007545F5"/>
    <w:rsid w:val="0075463F"/>
    <w:rsid w:val="0075710B"/>
    <w:rsid w:val="00760A54"/>
    <w:rsid w:val="00762E2F"/>
    <w:rsid w:val="00762F17"/>
    <w:rsid w:val="00772B68"/>
    <w:rsid w:val="00774157"/>
    <w:rsid w:val="00774795"/>
    <w:rsid w:val="00774F9B"/>
    <w:rsid w:val="007767E0"/>
    <w:rsid w:val="00783501"/>
    <w:rsid w:val="00784C7B"/>
    <w:rsid w:val="00787901"/>
    <w:rsid w:val="0079256C"/>
    <w:rsid w:val="00792EBB"/>
    <w:rsid w:val="0079414A"/>
    <w:rsid w:val="00795336"/>
    <w:rsid w:val="007A3D92"/>
    <w:rsid w:val="007A4331"/>
    <w:rsid w:val="007A45B8"/>
    <w:rsid w:val="007A516F"/>
    <w:rsid w:val="007B045B"/>
    <w:rsid w:val="007B303D"/>
    <w:rsid w:val="007B5475"/>
    <w:rsid w:val="007C036E"/>
    <w:rsid w:val="007D0C66"/>
    <w:rsid w:val="007D3AB0"/>
    <w:rsid w:val="007D492C"/>
    <w:rsid w:val="007D7B82"/>
    <w:rsid w:val="007E4AEE"/>
    <w:rsid w:val="007E7947"/>
    <w:rsid w:val="00803A8C"/>
    <w:rsid w:val="008044A8"/>
    <w:rsid w:val="00807D72"/>
    <w:rsid w:val="00813BE0"/>
    <w:rsid w:val="00814758"/>
    <w:rsid w:val="00814D05"/>
    <w:rsid w:val="00817F26"/>
    <w:rsid w:val="008217E0"/>
    <w:rsid w:val="00823811"/>
    <w:rsid w:val="00830839"/>
    <w:rsid w:val="00830CD0"/>
    <w:rsid w:val="008311AE"/>
    <w:rsid w:val="008442CD"/>
    <w:rsid w:val="00844BF4"/>
    <w:rsid w:val="00846DF0"/>
    <w:rsid w:val="00847A32"/>
    <w:rsid w:val="00856DC2"/>
    <w:rsid w:val="00865B59"/>
    <w:rsid w:val="00871518"/>
    <w:rsid w:val="008735DE"/>
    <w:rsid w:val="00873F2B"/>
    <w:rsid w:val="00876094"/>
    <w:rsid w:val="008766DC"/>
    <w:rsid w:val="008779C6"/>
    <w:rsid w:val="00882AE4"/>
    <w:rsid w:val="00884C18"/>
    <w:rsid w:val="008863D0"/>
    <w:rsid w:val="0089235A"/>
    <w:rsid w:val="008A3201"/>
    <w:rsid w:val="008A3701"/>
    <w:rsid w:val="008A590F"/>
    <w:rsid w:val="008B383C"/>
    <w:rsid w:val="008B50FC"/>
    <w:rsid w:val="008B67D6"/>
    <w:rsid w:val="008B6893"/>
    <w:rsid w:val="008B702B"/>
    <w:rsid w:val="008B7F6D"/>
    <w:rsid w:val="008C0657"/>
    <w:rsid w:val="008C3AF0"/>
    <w:rsid w:val="008C7402"/>
    <w:rsid w:val="008D0A25"/>
    <w:rsid w:val="008E2CC8"/>
    <w:rsid w:val="008E6145"/>
    <w:rsid w:val="008F1246"/>
    <w:rsid w:val="008F521C"/>
    <w:rsid w:val="008F6E91"/>
    <w:rsid w:val="009037AC"/>
    <w:rsid w:val="00904A55"/>
    <w:rsid w:val="00906777"/>
    <w:rsid w:val="00906E49"/>
    <w:rsid w:val="00912E88"/>
    <w:rsid w:val="0091370C"/>
    <w:rsid w:val="00915E13"/>
    <w:rsid w:val="00916F43"/>
    <w:rsid w:val="00922CD0"/>
    <w:rsid w:val="00922CD2"/>
    <w:rsid w:val="00923624"/>
    <w:rsid w:val="00932D64"/>
    <w:rsid w:val="00933286"/>
    <w:rsid w:val="00933C29"/>
    <w:rsid w:val="00936784"/>
    <w:rsid w:val="00940419"/>
    <w:rsid w:val="00941A43"/>
    <w:rsid w:val="00946211"/>
    <w:rsid w:val="00947ED5"/>
    <w:rsid w:val="0095334B"/>
    <w:rsid w:val="009535C8"/>
    <w:rsid w:val="00956270"/>
    <w:rsid w:val="00960A49"/>
    <w:rsid w:val="0096214E"/>
    <w:rsid w:val="00964E36"/>
    <w:rsid w:val="0096570C"/>
    <w:rsid w:val="009721DA"/>
    <w:rsid w:val="00980A7B"/>
    <w:rsid w:val="00984D67"/>
    <w:rsid w:val="009855C1"/>
    <w:rsid w:val="00991304"/>
    <w:rsid w:val="00992B1F"/>
    <w:rsid w:val="009950C2"/>
    <w:rsid w:val="009A227F"/>
    <w:rsid w:val="009A4056"/>
    <w:rsid w:val="009A70C3"/>
    <w:rsid w:val="009A7554"/>
    <w:rsid w:val="009A783C"/>
    <w:rsid w:val="009B0C30"/>
    <w:rsid w:val="009B4544"/>
    <w:rsid w:val="009C3DB3"/>
    <w:rsid w:val="009C493F"/>
    <w:rsid w:val="009C7E6E"/>
    <w:rsid w:val="009D5635"/>
    <w:rsid w:val="009E1AA6"/>
    <w:rsid w:val="009E41B4"/>
    <w:rsid w:val="009F03C4"/>
    <w:rsid w:val="009F23A2"/>
    <w:rsid w:val="009F2DCE"/>
    <w:rsid w:val="009F62C9"/>
    <w:rsid w:val="00A00211"/>
    <w:rsid w:val="00A009C5"/>
    <w:rsid w:val="00A00B08"/>
    <w:rsid w:val="00A04BB0"/>
    <w:rsid w:val="00A0583B"/>
    <w:rsid w:val="00A075C9"/>
    <w:rsid w:val="00A113C4"/>
    <w:rsid w:val="00A12943"/>
    <w:rsid w:val="00A138DB"/>
    <w:rsid w:val="00A22D65"/>
    <w:rsid w:val="00A2457B"/>
    <w:rsid w:val="00A250B0"/>
    <w:rsid w:val="00A26557"/>
    <w:rsid w:val="00A269BE"/>
    <w:rsid w:val="00A26BA5"/>
    <w:rsid w:val="00A3235F"/>
    <w:rsid w:val="00A33DBF"/>
    <w:rsid w:val="00A34351"/>
    <w:rsid w:val="00A362A7"/>
    <w:rsid w:val="00A428AA"/>
    <w:rsid w:val="00A44BF9"/>
    <w:rsid w:val="00A44FD0"/>
    <w:rsid w:val="00A51068"/>
    <w:rsid w:val="00A53963"/>
    <w:rsid w:val="00A56BE1"/>
    <w:rsid w:val="00A56BFB"/>
    <w:rsid w:val="00A573BE"/>
    <w:rsid w:val="00A60686"/>
    <w:rsid w:val="00A60E22"/>
    <w:rsid w:val="00A63790"/>
    <w:rsid w:val="00A63E04"/>
    <w:rsid w:val="00A64954"/>
    <w:rsid w:val="00A64F6C"/>
    <w:rsid w:val="00A65298"/>
    <w:rsid w:val="00A70BE8"/>
    <w:rsid w:val="00A713EA"/>
    <w:rsid w:val="00A72180"/>
    <w:rsid w:val="00A758E0"/>
    <w:rsid w:val="00A81EF5"/>
    <w:rsid w:val="00A82DCC"/>
    <w:rsid w:val="00A85A14"/>
    <w:rsid w:val="00A90982"/>
    <w:rsid w:val="00A92B36"/>
    <w:rsid w:val="00A94208"/>
    <w:rsid w:val="00A94562"/>
    <w:rsid w:val="00AA0314"/>
    <w:rsid w:val="00AB0FA6"/>
    <w:rsid w:val="00AB48BA"/>
    <w:rsid w:val="00AB64A3"/>
    <w:rsid w:val="00AC3283"/>
    <w:rsid w:val="00AC642C"/>
    <w:rsid w:val="00AD4112"/>
    <w:rsid w:val="00AE2B4B"/>
    <w:rsid w:val="00AF0D75"/>
    <w:rsid w:val="00AF0EBA"/>
    <w:rsid w:val="00AF348C"/>
    <w:rsid w:val="00AF437A"/>
    <w:rsid w:val="00AF7CBE"/>
    <w:rsid w:val="00B05BE6"/>
    <w:rsid w:val="00B07F07"/>
    <w:rsid w:val="00B14302"/>
    <w:rsid w:val="00B17F2E"/>
    <w:rsid w:val="00B20991"/>
    <w:rsid w:val="00B20C7C"/>
    <w:rsid w:val="00B20DA4"/>
    <w:rsid w:val="00B21339"/>
    <w:rsid w:val="00B3249B"/>
    <w:rsid w:val="00B35C80"/>
    <w:rsid w:val="00B378CA"/>
    <w:rsid w:val="00B40175"/>
    <w:rsid w:val="00B41016"/>
    <w:rsid w:val="00B44049"/>
    <w:rsid w:val="00B4446C"/>
    <w:rsid w:val="00B44B01"/>
    <w:rsid w:val="00B56E26"/>
    <w:rsid w:val="00B5713B"/>
    <w:rsid w:val="00B60BFB"/>
    <w:rsid w:val="00B767D8"/>
    <w:rsid w:val="00B77894"/>
    <w:rsid w:val="00B8264F"/>
    <w:rsid w:val="00B85840"/>
    <w:rsid w:val="00B86FEF"/>
    <w:rsid w:val="00B9458D"/>
    <w:rsid w:val="00B96D05"/>
    <w:rsid w:val="00BB54B9"/>
    <w:rsid w:val="00BC0933"/>
    <w:rsid w:val="00BC2CCF"/>
    <w:rsid w:val="00BC3385"/>
    <w:rsid w:val="00BC3A63"/>
    <w:rsid w:val="00BC4F9A"/>
    <w:rsid w:val="00BD0917"/>
    <w:rsid w:val="00BD0D1C"/>
    <w:rsid w:val="00BE420A"/>
    <w:rsid w:val="00BF277E"/>
    <w:rsid w:val="00BF5CDC"/>
    <w:rsid w:val="00BF7F6E"/>
    <w:rsid w:val="00C02672"/>
    <w:rsid w:val="00C02EA3"/>
    <w:rsid w:val="00C24E75"/>
    <w:rsid w:val="00C30CAC"/>
    <w:rsid w:val="00C343DA"/>
    <w:rsid w:val="00C40FAE"/>
    <w:rsid w:val="00C46395"/>
    <w:rsid w:val="00C65EEE"/>
    <w:rsid w:val="00C70ACE"/>
    <w:rsid w:val="00C7226B"/>
    <w:rsid w:val="00C72C4D"/>
    <w:rsid w:val="00C7649F"/>
    <w:rsid w:val="00C843AE"/>
    <w:rsid w:val="00C84E22"/>
    <w:rsid w:val="00C85927"/>
    <w:rsid w:val="00C94A48"/>
    <w:rsid w:val="00CA225E"/>
    <w:rsid w:val="00CA45CC"/>
    <w:rsid w:val="00CA4CDA"/>
    <w:rsid w:val="00CA796C"/>
    <w:rsid w:val="00CB6836"/>
    <w:rsid w:val="00CC50FB"/>
    <w:rsid w:val="00CC6877"/>
    <w:rsid w:val="00CD03BC"/>
    <w:rsid w:val="00CD0D45"/>
    <w:rsid w:val="00CD5B1C"/>
    <w:rsid w:val="00CE1902"/>
    <w:rsid w:val="00CE4073"/>
    <w:rsid w:val="00CE57C2"/>
    <w:rsid w:val="00CE68BF"/>
    <w:rsid w:val="00CF10F4"/>
    <w:rsid w:val="00CF3E71"/>
    <w:rsid w:val="00CF5D5F"/>
    <w:rsid w:val="00CF6C6A"/>
    <w:rsid w:val="00D20C2A"/>
    <w:rsid w:val="00D2312A"/>
    <w:rsid w:val="00D30DBA"/>
    <w:rsid w:val="00D340AB"/>
    <w:rsid w:val="00D3778F"/>
    <w:rsid w:val="00D542D4"/>
    <w:rsid w:val="00D553ED"/>
    <w:rsid w:val="00D61A31"/>
    <w:rsid w:val="00D62093"/>
    <w:rsid w:val="00D666DD"/>
    <w:rsid w:val="00D711EA"/>
    <w:rsid w:val="00D75178"/>
    <w:rsid w:val="00D81830"/>
    <w:rsid w:val="00D84D26"/>
    <w:rsid w:val="00D850A6"/>
    <w:rsid w:val="00D86307"/>
    <w:rsid w:val="00D920C0"/>
    <w:rsid w:val="00D97ED0"/>
    <w:rsid w:val="00DB475F"/>
    <w:rsid w:val="00DC47DF"/>
    <w:rsid w:val="00DC76EE"/>
    <w:rsid w:val="00DD0611"/>
    <w:rsid w:val="00DD1CCA"/>
    <w:rsid w:val="00DD40A4"/>
    <w:rsid w:val="00DD557F"/>
    <w:rsid w:val="00DD6106"/>
    <w:rsid w:val="00DD7836"/>
    <w:rsid w:val="00DD7E6D"/>
    <w:rsid w:val="00DE2BAB"/>
    <w:rsid w:val="00DE3036"/>
    <w:rsid w:val="00DE3180"/>
    <w:rsid w:val="00DE73D6"/>
    <w:rsid w:val="00DF04B4"/>
    <w:rsid w:val="00DF377B"/>
    <w:rsid w:val="00E05341"/>
    <w:rsid w:val="00E1673D"/>
    <w:rsid w:val="00E202E6"/>
    <w:rsid w:val="00E215FA"/>
    <w:rsid w:val="00E21BF6"/>
    <w:rsid w:val="00E21D2B"/>
    <w:rsid w:val="00E24EAA"/>
    <w:rsid w:val="00E25DA0"/>
    <w:rsid w:val="00E26798"/>
    <w:rsid w:val="00E27FFE"/>
    <w:rsid w:val="00E304CC"/>
    <w:rsid w:val="00E3201C"/>
    <w:rsid w:val="00E33AC4"/>
    <w:rsid w:val="00E33DE4"/>
    <w:rsid w:val="00E36807"/>
    <w:rsid w:val="00E37C86"/>
    <w:rsid w:val="00E415F0"/>
    <w:rsid w:val="00E41D0D"/>
    <w:rsid w:val="00E45BA0"/>
    <w:rsid w:val="00E45C9E"/>
    <w:rsid w:val="00E6104B"/>
    <w:rsid w:val="00E629FF"/>
    <w:rsid w:val="00E65FF4"/>
    <w:rsid w:val="00E66B1F"/>
    <w:rsid w:val="00E67610"/>
    <w:rsid w:val="00E70808"/>
    <w:rsid w:val="00E720E4"/>
    <w:rsid w:val="00E82352"/>
    <w:rsid w:val="00E83F55"/>
    <w:rsid w:val="00E85BB7"/>
    <w:rsid w:val="00E86BFB"/>
    <w:rsid w:val="00E9192B"/>
    <w:rsid w:val="00E92C7E"/>
    <w:rsid w:val="00EA0586"/>
    <w:rsid w:val="00EA37E7"/>
    <w:rsid w:val="00EA3930"/>
    <w:rsid w:val="00EB76C1"/>
    <w:rsid w:val="00EC0AD2"/>
    <w:rsid w:val="00EC5674"/>
    <w:rsid w:val="00ED3D2C"/>
    <w:rsid w:val="00ED4BAA"/>
    <w:rsid w:val="00EE43AB"/>
    <w:rsid w:val="00EE43B6"/>
    <w:rsid w:val="00EE5D2B"/>
    <w:rsid w:val="00EE7334"/>
    <w:rsid w:val="00EE7B11"/>
    <w:rsid w:val="00EE7FA9"/>
    <w:rsid w:val="00EF4543"/>
    <w:rsid w:val="00EF55A6"/>
    <w:rsid w:val="00EF7311"/>
    <w:rsid w:val="00F0185B"/>
    <w:rsid w:val="00F01FDB"/>
    <w:rsid w:val="00F0327E"/>
    <w:rsid w:val="00F050D0"/>
    <w:rsid w:val="00F125CB"/>
    <w:rsid w:val="00F12AEE"/>
    <w:rsid w:val="00F130D6"/>
    <w:rsid w:val="00F16B10"/>
    <w:rsid w:val="00F20DED"/>
    <w:rsid w:val="00F23654"/>
    <w:rsid w:val="00F2600E"/>
    <w:rsid w:val="00F3704A"/>
    <w:rsid w:val="00F42EEA"/>
    <w:rsid w:val="00F47436"/>
    <w:rsid w:val="00F53998"/>
    <w:rsid w:val="00F55DBF"/>
    <w:rsid w:val="00F56174"/>
    <w:rsid w:val="00F60ECB"/>
    <w:rsid w:val="00F62A64"/>
    <w:rsid w:val="00F63491"/>
    <w:rsid w:val="00F63B3C"/>
    <w:rsid w:val="00F6444F"/>
    <w:rsid w:val="00F66AEB"/>
    <w:rsid w:val="00F77585"/>
    <w:rsid w:val="00F82DB2"/>
    <w:rsid w:val="00F8315B"/>
    <w:rsid w:val="00F84F44"/>
    <w:rsid w:val="00F8538B"/>
    <w:rsid w:val="00F865E5"/>
    <w:rsid w:val="00F9655C"/>
    <w:rsid w:val="00FA44AB"/>
    <w:rsid w:val="00FA5B5C"/>
    <w:rsid w:val="00FB2785"/>
    <w:rsid w:val="00FB39EA"/>
    <w:rsid w:val="00FB49C6"/>
    <w:rsid w:val="00FB4F14"/>
    <w:rsid w:val="00FB50DC"/>
    <w:rsid w:val="00FB6C39"/>
    <w:rsid w:val="00FC2737"/>
    <w:rsid w:val="00FC2821"/>
    <w:rsid w:val="00FC40E6"/>
    <w:rsid w:val="00FC43AF"/>
    <w:rsid w:val="00FD1339"/>
    <w:rsid w:val="00FD5FD0"/>
    <w:rsid w:val="00FE0B7A"/>
    <w:rsid w:val="00FE1677"/>
    <w:rsid w:val="00FE1993"/>
    <w:rsid w:val="00FE1A38"/>
    <w:rsid w:val="00FE2680"/>
    <w:rsid w:val="00FE2A38"/>
    <w:rsid w:val="00FF5A3C"/>
    <w:rsid w:val="00FF5D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ind w:right="-360"/>
      <w:outlineLvl w:val="0"/>
    </w:pPr>
    <w:rPr>
      <w:b/>
      <w:bCs/>
      <w:lang w:val="x-none" w:eastAsia="x-non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uiPriority w:val="99"/>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rsid w:val="00AF0D75"/>
    <w:rPr>
      <w:sz w:val="16"/>
      <w:szCs w:val="16"/>
    </w:rPr>
  </w:style>
  <w:style w:type="paragraph" w:styleId="CommentText">
    <w:name w:val="annotation text"/>
    <w:basedOn w:val="Normal"/>
    <w:link w:val="CommentTextChar"/>
    <w:uiPriority w:val="99"/>
    <w:semiHidden/>
    <w:rsid w:val="00AF0D75"/>
    <w:rPr>
      <w:sz w:val="20"/>
      <w:szCs w:val="20"/>
    </w:rPr>
  </w:style>
  <w:style w:type="paragraph" w:styleId="CommentSubject">
    <w:name w:val="annotation subject"/>
    <w:basedOn w:val="CommentText"/>
    <w:next w:val="CommentText"/>
    <w:semiHidden/>
    <w:rsid w:val="00AF0D75"/>
    <w:rPr>
      <w:b/>
      <w:bCs/>
    </w:rPr>
  </w:style>
  <w:style w:type="character" w:customStyle="1" w:styleId="apple-style-span">
    <w:name w:val="apple-style-span"/>
    <w:basedOn w:val="DefaultParagraphFont"/>
    <w:rsid w:val="00371FFE"/>
  </w:style>
  <w:style w:type="paragraph" w:styleId="FootnoteText">
    <w:name w:val="footnote text"/>
    <w:basedOn w:val="Normal"/>
    <w:link w:val="FootnoteTextChar"/>
    <w:uiPriority w:val="99"/>
    <w:semiHidden/>
    <w:unhideWhenUsed/>
    <w:rsid w:val="00F865E5"/>
    <w:rPr>
      <w:sz w:val="20"/>
      <w:szCs w:val="20"/>
    </w:rPr>
  </w:style>
  <w:style w:type="character" w:customStyle="1" w:styleId="FootnoteTextChar">
    <w:name w:val="Footnote Text Char"/>
    <w:basedOn w:val="DefaultParagraphFont"/>
    <w:link w:val="FootnoteText"/>
    <w:uiPriority w:val="99"/>
    <w:semiHidden/>
    <w:rsid w:val="00F865E5"/>
  </w:style>
  <w:style w:type="character" w:styleId="FootnoteReference">
    <w:name w:val="footnote reference"/>
    <w:uiPriority w:val="99"/>
    <w:semiHidden/>
    <w:unhideWhenUsed/>
    <w:rsid w:val="00F865E5"/>
    <w:rPr>
      <w:vertAlign w:val="superscript"/>
    </w:rPr>
  </w:style>
  <w:style w:type="character" w:customStyle="1" w:styleId="int">
    <w:name w:val="int"/>
    <w:rsid w:val="00E33AC4"/>
  </w:style>
  <w:style w:type="character" w:customStyle="1" w:styleId="Heading1Char">
    <w:name w:val="Heading 1 Char"/>
    <w:link w:val="Heading1"/>
    <w:rsid w:val="00DE73D6"/>
    <w:rPr>
      <w:b/>
      <w:bCs/>
      <w:sz w:val="24"/>
      <w:szCs w:val="24"/>
    </w:rPr>
  </w:style>
  <w:style w:type="paragraph" w:styleId="Revision">
    <w:name w:val="Revision"/>
    <w:hidden/>
    <w:uiPriority w:val="99"/>
    <w:semiHidden/>
    <w:rsid w:val="0075463F"/>
    <w:rPr>
      <w:sz w:val="24"/>
      <w:szCs w:val="24"/>
    </w:rPr>
  </w:style>
  <w:style w:type="character" w:customStyle="1" w:styleId="CommentTextChar">
    <w:name w:val="Comment Text Char"/>
    <w:link w:val="CommentText"/>
    <w:uiPriority w:val="99"/>
    <w:semiHidden/>
    <w:rsid w:val="00742714"/>
  </w:style>
  <w:style w:type="paragraph" w:styleId="EndnoteText">
    <w:name w:val="endnote text"/>
    <w:basedOn w:val="Normal"/>
    <w:link w:val="EndnoteTextChar"/>
    <w:uiPriority w:val="99"/>
    <w:semiHidden/>
    <w:unhideWhenUsed/>
    <w:rsid w:val="0029759B"/>
    <w:rPr>
      <w:sz w:val="20"/>
      <w:szCs w:val="20"/>
    </w:rPr>
  </w:style>
  <w:style w:type="character" w:customStyle="1" w:styleId="EndnoteTextChar">
    <w:name w:val="Endnote Text Char"/>
    <w:basedOn w:val="DefaultParagraphFont"/>
    <w:link w:val="EndnoteText"/>
    <w:uiPriority w:val="99"/>
    <w:semiHidden/>
    <w:rsid w:val="0029759B"/>
  </w:style>
  <w:style w:type="character" w:styleId="EndnoteReference">
    <w:name w:val="endnote reference"/>
    <w:uiPriority w:val="99"/>
    <w:semiHidden/>
    <w:unhideWhenUsed/>
    <w:rsid w:val="0029759B"/>
    <w:rPr>
      <w:vertAlign w:val="superscript"/>
    </w:rPr>
  </w:style>
  <w:style w:type="paragraph" w:customStyle="1" w:styleId="Default">
    <w:name w:val="Default"/>
    <w:rsid w:val="004770B7"/>
    <w:pPr>
      <w:autoSpaceDE w:val="0"/>
      <w:autoSpaceDN w:val="0"/>
      <w:adjustRightInd w:val="0"/>
    </w:pPr>
    <w:rPr>
      <w:rFonts w:eastAsia="Calibri"/>
      <w:color w:val="000000"/>
      <w:sz w:val="24"/>
      <w:szCs w:val="24"/>
    </w:rPr>
  </w:style>
  <w:style w:type="table" w:styleId="TableGrid">
    <w:name w:val="Table Grid"/>
    <w:basedOn w:val="TableNormal"/>
    <w:uiPriority w:val="59"/>
    <w:rsid w:val="006D39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A92B36"/>
    <w:rPr>
      <w:color w:val="800080"/>
      <w:u w:val="single"/>
    </w:rPr>
  </w:style>
  <w:style w:type="paragraph" w:customStyle="1" w:styleId="MediumGrid1-Accent21">
    <w:name w:val="Medium Grid 1 - Accent 21"/>
    <w:rsid w:val="00F125CB"/>
    <w:pPr>
      <w:pBdr>
        <w:top w:val="nil"/>
        <w:left w:val="nil"/>
        <w:bottom w:val="nil"/>
        <w:right w:val="nil"/>
        <w:between w:val="nil"/>
        <w:bar w:val="nil"/>
      </w:pBdr>
      <w:ind w:left="720"/>
    </w:pPr>
    <w:rPr>
      <w:color w:val="000000"/>
      <w:sz w:val="24"/>
      <w:szCs w:val="24"/>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ind w:right="-360"/>
      <w:outlineLvl w:val="0"/>
    </w:pPr>
    <w:rPr>
      <w:b/>
      <w:bCs/>
      <w:lang w:val="x-none" w:eastAsia="x-non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uiPriority w:val="99"/>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rsid w:val="00AF0D75"/>
    <w:rPr>
      <w:sz w:val="16"/>
      <w:szCs w:val="16"/>
    </w:rPr>
  </w:style>
  <w:style w:type="paragraph" w:styleId="CommentText">
    <w:name w:val="annotation text"/>
    <w:basedOn w:val="Normal"/>
    <w:link w:val="CommentTextChar"/>
    <w:uiPriority w:val="99"/>
    <w:semiHidden/>
    <w:rsid w:val="00AF0D75"/>
    <w:rPr>
      <w:sz w:val="20"/>
      <w:szCs w:val="20"/>
    </w:rPr>
  </w:style>
  <w:style w:type="paragraph" w:styleId="CommentSubject">
    <w:name w:val="annotation subject"/>
    <w:basedOn w:val="CommentText"/>
    <w:next w:val="CommentText"/>
    <w:semiHidden/>
    <w:rsid w:val="00AF0D75"/>
    <w:rPr>
      <w:b/>
      <w:bCs/>
    </w:rPr>
  </w:style>
  <w:style w:type="character" w:customStyle="1" w:styleId="apple-style-span">
    <w:name w:val="apple-style-span"/>
    <w:basedOn w:val="DefaultParagraphFont"/>
    <w:rsid w:val="00371FFE"/>
  </w:style>
  <w:style w:type="paragraph" w:styleId="FootnoteText">
    <w:name w:val="footnote text"/>
    <w:basedOn w:val="Normal"/>
    <w:link w:val="FootnoteTextChar"/>
    <w:uiPriority w:val="99"/>
    <w:semiHidden/>
    <w:unhideWhenUsed/>
    <w:rsid w:val="00F865E5"/>
    <w:rPr>
      <w:sz w:val="20"/>
      <w:szCs w:val="20"/>
    </w:rPr>
  </w:style>
  <w:style w:type="character" w:customStyle="1" w:styleId="FootnoteTextChar">
    <w:name w:val="Footnote Text Char"/>
    <w:basedOn w:val="DefaultParagraphFont"/>
    <w:link w:val="FootnoteText"/>
    <w:uiPriority w:val="99"/>
    <w:semiHidden/>
    <w:rsid w:val="00F865E5"/>
  </w:style>
  <w:style w:type="character" w:styleId="FootnoteReference">
    <w:name w:val="footnote reference"/>
    <w:uiPriority w:val="99"/>
    <w:semiHidden/>
    <w:unhideWhenUsed/>
    <w:rsid w:val="00F865E5"/>
    <w:rPr>
      <w:vertAlign w:val="superscript"/>
    </w:rPr>
  </w:style>
  <w:style w:type="character" w:customStyle="1" w:styleId="int">
    <w:name w:val="int"/>
    <w:rsid w:val="00E33AC4"/>
  </w:style>
  <w:style w:type="character" w:customStyle="1" w:styleId="Heading1Char">
    <w:name w:val="Heading 1 Char"/>
    <w:link w:val="Heading1"/>
    <w:rsid w:val="00DE73D6"/>
    <w:rPr>
      <w:b/>
      <w:bCs/>
      <w:sz w:val="24"/>
      <w:szCs w:val="24"/>
    </w:rPr>
  </w:style>
  <w:style w:type="paragraph" w:styleId="Revision">
    <w:name w:val="Revision"/>
    <w:hidden/>
    <w:uiPriority w:val="99"/>
    <w:semiHidden/>
    <w:rsid w:val="0075463F"/>
    <w:rPr>
      <w:sz w:val="24"/>
      <w:szCs w:val="24"/>
    </w:rPr>
  </w:style>
  <w:style w:type="character" w:customStyle="1" w:styleId="CommentTextChar">
    <w:name w:val="Comment Text Char"/>
    <w:link w:val="CommentText"/>
    <w:uiPriority w:val="99"/>
    <w:semiHidden/>
    <w:rsid w:val="00742714"/>
  </w:style>
  <w:style w:type="paragraph" w:styleId="EndnoteText">
    <w:name w:val="endnote text"/>
    <w:basedOn w:val="Normal"/>
    <w:link w:val="EndnoteTextChar"/>
    <w:uiPriority w:val="99"/>
    <w:semiHidden/>
    <w:unhideWhenUsed/>
    <w:rsid w:val="0029759B"/>
    <w:rPr>
      <w:sz w:val="20"/>
      <w:szCs w:val="20"/>
    </w:rPr>
  </w:style>
  <w:style w:type="character" w:customStyle="1" w:styleId="EndnoteTextChar">
    <w:name w:val="Endnote Text Char"/>
    <w:basedOn w:val="DefaultParagraphFont"/>
    <w:link w:val="EndnoteText"/>
    <w:uiPriority w:val="99"/>
    <w:semiHidden/>
    <w:rsid w:val="0029759B"/>
  </w:style>
  <w:style w:type="character" w:styleId="EndnoteReference">
    <w:name w:val="endnote reference"/>
    <w:uiPriority w:val="99"/>
    <w:semiHidden/>
    <w:unhideWhenUsed/>
    <w:rsid w:val="0029759B"/>
    <w:rPr>
      <w:vertAlign w:val="superscript"/>
    </w:rPr>
  </w:style>
  <w:style w:type="paragraph" w:customStyle="1" w:styleId="Default">
    <w:name w:val="Default"/>
    <w:rsid w:val="004770B7"/>
    <w:pPr>
      <w:autoSpaceDE w:val="0"/>
      <w:autoSpaceDN w:val="0"/>
      <w:adjustRightInd w:val="0"/>
    </w:pPr>
    <w:rPr>
      <w:rFonts w:eastAsia="Calibri"/>
      <w:color w:val="000000"/>
      <w:sz w:val="24"/>
      <w:szCs w:val="24"/>
    </w:rPr>
  </w:style>
  <w:style w:type="table" w:styleId="TableGrid">
    <w:name w:val="Table Grid"/>
    <w:basedOn w:val="TableNormal"/>
    <w:uiPriority w:val="59"/>
    <w:rsid w:val="006D39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A92B36"/>
    <w:rPr>
      <w:color w:val="800080"/>
      <w:u w:val="single"/>
    </w:rPr>
  </w:style>
  <w:style w:type="paragraph" w:customStyle="1" w:styleId="MediumGrid1-Accent21">
    <w:name w:val="Medium Grid 1 - Accent 21"/>
    <w:rsid w:val="00F125CB"/>
    <w:pPr>
      <w:pBdr>
        <w:top w:val="nil"/>
        <w:left w:val="nil"/>
        <w:bottom w:val="nil"/>
        <w:right w:val="nil"/>
        <w:between w:val="nil"/>
        <w:bar w:val="nil"/>
      </w:pBdr>
      <w:ind w:left="720"/>
    </w:pPr>
    <w:rPr>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99318">
      <w:bodyDiv w:val="1"/>
      <w:marLeft w:val="0"/>
      <w:marRight w:val="0"/>
      <w:marTop w:val="0"/>
      <w:marBottom w:val="0"/>
      <w:divBdr>
        <w:top w:val="none" w:sz="0" w:space="0" w:color="auto"/>
        <w:left w:val="none" w:sz="0" w:space="0" w:color="auto"/>
        <w:bottom w:val="none" w:sz="0" w:space="0" w:color="auto"/>
        <w:right w:val="none" w:sz="0" w:space="0" w:color="auto"/>
      </w:divBdr>
      <w:divsChild>
        <w:div w:id="1437486592">
          <w:marLeft w:val="0"/>
          <w:marRight w:val="0"/>
          <w:marTop w:val="0"/>
          <w:marBottom w:val="0"/>
          <w:divBdr>
            <w:top w:val="none" w:sz="0" w:space="0" w:color="auto"/>
            <w:left w:val="none" w:sz="0" w:space="0" w:color="auto"/>
            <w:bottom w:val="none" w:sz="0" w:space="0" w:color="auto"/>
            <w:right w:val="none" w:sz="0" w:space="0" w:color="auto"/>
          </w:divBdr>
          <w:divsChild>
            <w:div w:id="1927811292">
              <w:marLeft w:val="0"/>
              <w:marRight w:val="0"/>
              <w:marTop w:val="0"/>
              <w:marBottom w:val="0"/>
              <w:divBdr>
                <w:top w:val="none" w:sz="0" w:space="0" w:color="auto"/>
                <w:left w:val="none" w:sz="0" w:space="0" w:color="auto"/>
                <w:bottom w:val="none" w:sz="0" w:space="0" w:color="auto"/>
                <w:right w:val="none" w:sz="0" w:space="0" w:color="auto"/>
              </w:divBdr>
              <w:divsChild>
                <w:div w:id="455876893">
                  <w:marLeft w:val="0"/>
                  <w:marRight w:val="0"/>
                  <w:marTop w:val="0"/>
                  <w:marBottom w:val="0"/>
                  <w:divBdr>
                    <w:top w:val="none" w:sz="0" w:space="0" w:color="auto"/>
                    <w:left w:val="none" w:sz="0" w:space="0" w:color="auto"/>
                    <w:bottom w:val="none" w:sz="0" w:space="0" w:color="auto"/>
                    <w:right w:val="none" w:sz="0" w:space="0" w:color="auto"/>
                  </w:divBdr>
                  <w:divsChild>
                    <w:div w:id="1589994310">
                      <w:marLeft w:val="0"/>
                      <w:marRight w:val="0"/>
                      <w:marTop w:val="0"/>
                      <w:marBottom w:val="0"/>
                      <w:divBdr>
                        <w:top w:val="none" w:sz="0" w:space="0" w:color="auto"/>
                        <w:left w:val="none" w:sz="0" w:space="0" w:color="auto"/>
                        <w:bottom w:val="none" w:sz="0" w:space="0" w:color="auto"/>
                        <w:right w:val="none" w:sz="0" w:space="0" w:color="auto"/>
                      </w:divBdr>
                      <w:divsChild>
                        <w:div w:id="6504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3078597">
      <w:bodyDiv w:val="1"/>
      <w:marLeft w:val="0"/>
      <w:marRight w:val="0"/>
      <w:marTop w:val="0"/>
      <w:marBottom w:val="0"/>
      <w:divBdr>
        <w:top w:val="none" w:sz="0" w:space="0" w:color="auto"/>
        <w:left w:val="none" w:sz="0" w:space="0" w:color="auto"/>
        <w:bottom w:val="none" w:sz="0" w:space="0" w:color="auto"/>
        <w:right w:val="none" w:sz="0" w:space="0" w:color="auto"/>
      </w:divBdr>
    </w:div>
    <w:div w:id="347679417">
      <w:bodyDiv w:val="1"/>
      <w:marLeft w:val="0"/>
      <w:marRight w:val="0"/>
      <w:marTop w:val="0"/>
      <w:marBottom w:val="0"/>
      <w:divBdr>
        <w:top w:val="none" w:sz="0" w:space="0" w:color="auto"/>
        <w:left w:val="none" w:sz="0" w:space="0" w:color="auto"/>
        <w:bottom w:val="none" w:sz="0" w:space="0" w:color="auto"/>
        <w:right w:val="none" w:sz="0" w:space="0" w:color="auto"/>
      </w:divBdr>
    </w:div>
    <w:div w:id="367872393">
      <w:bodyDiv w:val="1"/>
      <w:marLeft w:val="0"/>
      <w:marRight w:val="0"/>
      <w:marTop w:val="0"/>
      <w:marBottom w:val="0"/>
      <w:divBdr>
        <w:top w:val="none" w:sz="0" w:space="0" w:color="auto"/>
        <w:left w:val="none" w:sz="0" w:space="0" w:color="auto"/>
        <w:bottom w:val="none" w:sz="0" w:space="0" w:color="auto"/>
        <w:right w:val="none" w:sz="0" w:space="0" w:color="auto"/>
      </w:divBdr>
      <w:divsChild>
        <w:div w:id="240721235">
          <w:marLeft w:val="0"/>
          <w:marRight w:val="0"/>
          <w:marTop w:val="0"/>
          <w:marBottom w:val="0"/>
          <w:divBdr>
            <w:top w:val="none" w:sz="0" w:space="0" w:color="auto"/>
            <w:left w:val="none" w:sz="0" w:space="0" w:color="auto"/>
            <w:bottom w:val="none" w:sz="0" w:space="0" w:color="auto"/>
            <w:right w:val="none" w:sz="0" w:space="0" w:color="auto"/>
          </w:divBdr>
        </w:div>
      </w:divsChild>
    </w:div>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474300565">
      <w:bodyDiv w:val="1"/>
      <w:marLeft w:val="0"/>
      <w:marRight w:val="0"/>
      <w:marTop w:val="0"/>
      <w:marBottom w:val="0"/>
      <w:divBdr>
        <w:top w:val="none" w:sz="0" w:space="0" w:color="auto"/>
        <w:left w:val="none" w:sz="0" w:space="0" w:color="auto"/>
        <w:bottom w:val="none" w:sz="0" w:space="0" w:color="auto"/>
        <w:right w:val="none" w:sz="0" w:space="0" w:color="auto"/>
      </w:divBdr>
      <w:divsChild>
        <w:div w:id="59911615">
          <w:marLeft w:val="0"/>
          <w:marRight w:val="0"/>
          <w:marTop w:val="0"/>
          <w:marBottom w:val="0"/>
          <w:divBdr>
            <w:top w:val="none" w:sz="0" w:space="0" w:color="auto"/>
            <w:left w:val="none" w:sz="0" w:space="0" w:color="auto"/>
            <w:bottom w:val="none" w:sz="0" w:space="0" w:color="auto"/>
            <w:right w:val="none" w:sz="0" w:space="0" w:color="auto"/>
          </w:divBdr>
          <w:divsChild>
            <w:div w:id="769198144">
              <w:marLeft w:val="0"/>
              <w:marRight w:val="0"/>
              <w:marTop w:val="0"/>
              <w:marBottom w:val="0"/>
              <w:divBdr>
                <w:top w:val="none" w:sz="0" w:space="0" w:color="auto"/>
                <w:left w:val="none" w:sz="0" w:space="0" w:color="auto"/>
                <w:bottom w:val="none" w:sz="0" w:space="0" w:color="auto"/>
                <w:right w:val="none" w:sz="0" w:space="0" w:color="auto"/>
              </w:divBdr>
              <w:divsChild>
                <w:div w:id="1887377314">
                  <w:marLeft w:val="0"/>
                  <w:marRight w:val="0"/>
                  <w:marTop w:val="0"/>
                  <w:marBottom w:val="0"/>
                  <w:divBdr>
                    <w:top w:val="none" w:sz="0" w:space="0" w:color="auto"/>
                    <w:left w:val="none" w:sz="0" w:space="0" w:color="auto"/>
                    <w:bottom w:val="none" w:sz="0" w:space="0" w:color="auto"/>
                    <w:right w:val="none" w:sz="0" w:space="0" w:color="auto"/>
                  </w:divBdr>
                  <w:divsChild>
                    <w:div w:id="516193198">
                      <w:marLeft w:val="0"/>
                      <w:marRight w:val="0"/>
                      <w:marTop w:val="0"/>
                      <w:marBottom w:val="0"/>
                      <w:divBdr>
                        <w:top w:val="none" w:sz="0" w:space="0" w:color="auto"/>
                        <w:left w:val="none" w:sz="0" w:space="0" w:color="auto"/>
                        <w:bottom w:val="none" w:sz="0" w:space="0" w:color="auto"/>
                        <w:right w:val="none" w:sz="0" w:space="0" w:color="auto"/>
                      </w:divBdr>
                      <w:divsChild>
                        <w:div w:id="193019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3963">
      <w:bodyDiv w:val="1"/>
      <w:marLeft w:val="0"/>
      <w:marRight w:val="0"/>
      <w:marTop w:val="0"/>
      <w:marBottom w:val="0"/>
      <w:divBdr>
        <w:top w:val="none" w:sz="0" w:space="0" w:color="auto"/>
        <w:left w:val="none" w:sz="0" w:space="0" w:color="auto"/>
        <w:bottom w:val="none" w:sz="0" w:space="0" w:color="auto"/>
        <w:right w:val="none" w:sz="0" w:space="0" w:color="auto"/>
      </w:divBdr>
      <w:divsChild>
        <w:div w:id="37359048">
          <w:marLeft w:val="0"/>
          <w:marRight w:val="0"/>
          <w:marTop w:val="0"/>
          <w:marBottom w:val="0"/>
          <w:divBdr>
            <w:top w:val="none" w:sz="0" w:space="0" w:color="auto"/>
            <w:left w:val="none" w:sz="0" w:space="0" w:color="auto"/>
            <w:bottom w:val="none" w:sz="0" w:space="0" w:color="auto"/>
            <w:right w:val="none" w:sz="0" w:space="0" w:color="auto"/>
          </w:divBdr>
        </w:div>
        <w:div w:id="121509911">
          <w:marLeft w:val="0"/>
          <w:marRight w:val="0"/>
          <w:marTop w:val="0"/>
          <w:marBottom w:val="0"/>
          <w:divBdr>
            <w:top w:val="none" w:sz="0" w:space="0" w:color="auto"/>
            <w:left w:val="none" w:sz="0" w:space="0" w:color="auto"/>
            <w:bottom w:val="none" w:sz="0" w:space="0" w:color="auto"/>
            <w:right w:val="none" w:sz="0" w:space="0" w:color="auto"/>
          </w:divBdr>
        </w:div>
        <w:div w:id="240338619">
          <w:marLeft w:val="0"/>
          <w:marRight w:val="0"/>
          <w:marTop w:val="0"/>
          <w:marBottom w:val="0"/>
          <w:divBdr>
            <w:top w:val="none" w:sz="0" w:space="0" w:color="auto"/>
            <w:left w:val="none" w:sz="0" w:space="0" w:color="auto"/>
            <w:bottom w:val="none" w:sz="0" w:space="0" w:color="auto"/>
            <w:right w:val="none" w:sz="0" w:space="0" w:color="auto"/>
          </w:divBdr>
        </w:div>
        <w:div w:id="274219389">
          <w:marLeft w:val="0"/>
          <w:marRight w:val="0"/>
          <w:marTop w:val="0"/>
          <w:marBottom w:val="0"/>
          <w:divBdr>
            <w:top w:val="none" w:sz="0" w:space="0" w:color="auto"/>
            <w:left w:val="none" w:sz="0" w:space="0" w:color="auto"/>
            <w:bottom w:val="none" w:sz="0" w:space="0" w:color="auto"/>
            <w:right w:val="none" w:sz="0" w:space="0" w:color="auto"/>
          </w:divBdr>
        </w:div>
        <w:div w:id="388117335">
          <w:marLeft w:val="0"/>
          <w:marRight w:val="0"/>
          <w:marTop w:val="0"/>
          <w:marBottom w:val="0"/>
          <w:divBdr>
            <w:top w:val="none" w:sz="0" w:space="0" w:color="auto"/>
            <w:left w:val="none" w:sz="0" w:space="0" w:color="auto"/>
            <w:bottom w:val="none" w:sz="0" w:space="0" w:color="auto"/>
            <w:right w:val="none" w:sz="0" w:space="0" w:color="auto"/>
          </w:divBdr>
        </w:div>
        <w:div w:id="503982311">
          <w:marLeft w:val="0"/>
          <w:marRight w:val="0"/>
          <w:marTop w:val="0"/>
          <w:marBottom w:val="0"/>
          <w:divBdr>
            <w:top w:val="none" w:sz="0" w:space="0" w:color="auto"/>
            <w:left w:val="none" w:sz="0" w:space="0" w:color="auto"/>
            <w:bottom w:val="none" w:sz="0" w:space="0" w:color="auto"/>
            <w:right w:val="none" w:sz="0" w:space="0" w:color="auto"/>
          </w:divBdr>
        </w:div>
        <w:div w:id="518590332">
          <w:marLeft w:val="0"/>
          <w:marRight w:val="0"/>
          <w:marTop w:val="0"/>
          <w:marBottom w:val="0"/>
          <w:divBdr>
            <w:top w:val="none" w:sz="0" w:space="0" w:color="auto"/>
            <w:left w:val="none" w:sz="0" w:space="0" w:color="auto"/>
            <w:bottom w:val="none" w:sz="0" w:space="0" w:color="auto"/>
            <w:right w:val="none" w:sz="0" w:space="0" w:color="auto"/>
          </w:divBdr>
        </w:div>
        <w:div w:id="626663484">
          <w:marLeft w:val="0"/>
          <w:marRight w:val="0"/>
          <w:marTop w:val="0"/>
          <w:marBottom w:val="0"/>
          <w:divBdr>
            <w:top w:val="none" w:sz="0" w:space="0" w:color="auto"/>
            <w:left w:val="none" w:sz="0" w:space="0" w:color="auto"/>
            <w:bottom w:val="none" w:sz="0" w:space="0" w:color="auto"/>
            <w:right w:val="none" w:sz="0" w:space="0" w:color="auto"/>
          </w:divBdr>
        </w:div>
        <w:div w:id="746725624">
          <w:marLeft w:val="0"/>
          <w:marRight w:val="0"/>
          <w:marTop w:val="0"/>
          <w:marBottom w:val="0"/>
          <w:divBdr>
            <w:top w:val="none" w:sz="0" w:space="0" w:color="auto"/>
            <w:left w:val="none" w:sz="0" w:space="0" w:color="auto"/>
            <w:bottom w:val="none" w:sz="0" w:space="0" w:color="auto"/>
            <w:right w:val="none" w:sz="0" w:space="0" w:color="auto"/>
          </w:divBdr>
        </w:div>
        <w:div w:id="834342689">
          <w:marLeft w:val="0"/>
          <w:marRight w:val="0"/>
          <w:marTop w:val="0"/>
          <w:marBottom w:val="0"/>
          <w:divBdr>
            <w:top w:val="none" w:sz="0" w:space="0" w:color="auto"/>
            <w:left w:val="none" w:sz="0" w:space="0" w:color="auto"/>
            <w:bottom w:val="none" w:sz="0" w:space="0" w:color="auto"/>
            <w:right w:val="none" w:sz="0" w:space="0" w:color="auto"/>
          </w:divBdr>
        </w:div>
        <w:div w:id="943074085">
          <w:marLeft w:val="0"/>
          <w:marRight w:val="0"/>
          <w:marTop w:val="0"/>
          <w:marBottom w:val="0"/>
          <w:divBdr>
            <w:top w:val="none" w:sz="0" w:space="0" w:color="auto"/>
            <w:left w:val="none" w:sz="0" w:space="0" w:color="auto"/>
            <w:bottom w:val="none" w:sz="0" w:space="0" w:color="auto"/>
            <w:right w:val="none" w:sz="0" w:space="0" w:color="auto"/>
          </w:divBdr>
        </w:div>
        <w:div w:id="1002470748">
          <w:marLeft w:val="0"/>
          <w:marRight w:val="0"/>
          <w:marTop w:val="0"/>
          <w:marBottom w:val="0"/>
          <w:divBdr>
            <w:top w:val="none" w:sz="0" w:space="0" w:color="auto"/>
            <w:left w:val="none" w:sz="0" w:space="0" w:color="auto"/>
            <w:bottom w:val="none" w:sz="0" w:space="0" w:color="auto"/>
            <w:right w:val="none" w:sz="0" w:space="0" w:color="auto"/>
          </w:divBdr>
        </w:div>
        <w:div w:id="1109159943">
          <w:marLeft w:val="0"/>
          <w:marRight w:val="0"/>
          <w:marTop w:val="0"/>
          <w:marBottom w:val="0"/>
          <w:divBdr>
            <w:top w:val="none" w:sz="0" w:space="0" w:color="auto"/>
            <w:left w:val="none" w:sz="0" w:space="0" w:color="auto"/>
            <w:bottom w:val="none" w:sz="0" w:space="0" w:color="auto"/>
            <w:right w:val="none" w:sz="0" w:space="0" w:color="auto"/>
          </w:divBdr>
        </w:div>
        <w:div w:id="1213807917">
          <w:marLeft w:val="0"/>
          <w:marRight w:val="0"/>
          <w:marTop w:val="0"/>
          <w:marBottom w:val="0"/>
          <w:divBdr>
            <w:top w:val="none" w:sz="0" w:space="0" w:color="auto"/>
            <w:left w:val="none" w:sz="0" w:space="0" w:color="auto"/>
            <w:bottom w:val="none" w:sz="0" w:space="0" w:color="auto"/>
            <w:right w:val="none" w:sz="0" w:space="0" w:color="auto"/>
          </w:divBdr>
        </w:div>
        <w:div w:id="1335524527">
          <w:marLeft w:val="0"/>
          <w:marRight w:val="0"/>
          <w:marTop w:val="0"/>
          <w:marBottom w:val="0"/>
          <w:divBdr>
            <w:top w:val="none" w:sz="0" w:space="0" w:color="auto"/>
            <w:left w:val="none" w:sz="0" w:space="0" w:color="auto"/>
            <w:bottom w:val="none" w:sz="0" w:space="0" w:color="auto"/>
            <w:right w:val="none" w:sz="0" w:space="0" w:color="auto"/>
          </w:divBdr>
        </w:div>
        <w:div w:id="1363745945">
          <w:marLeft w:val="0"/>
          <w:marRight w:val="0"/>
          <w:marTop w:val="0"/>
          <w:marBottom w:val="0"/>
          <w:divBdr>
            <w:top w:val="none" w:sz="0" w:space="0" w:color="auto"/>
            <w:left w:val="none" w:sz="0" w:space="0" w:color="auto"/>
            <w:bottom w:val="none" w:sz="0" w:space="0" w:color="auto"/>
            <w:right w:val="none" w:sz="0" w:space="0" w:color="auto"/>
          </w:divBdr>
        </w:div>
        <w:div w:id="1491412247">
          <w:marLeft w:val="0"/>
          <w:marRight w:val="0"/>
          <w:marTop w:val="0"/>
          <w:marBottom w:val="0"/>
          <w:divBdr>
            <w:top w:val="none" w:sz="0" w:space="0" w:color="auto"/>
            <w:left w:val="none" w:sz="0" w:space="0" w:color="auto"/>
            <w:bottom w:val="none" w:sz="0" w:space="0" w:color="auto"/>
            <w:right w:val="none" w:sz="0" w:space="0" w:color="auto"/>
          </w:divBdr>
        </w:div>
        <w:div w:id="1581863988">
          <w:marLeft w:val="0"/>
          <w:marRight w:val="0"/>
          <w:marTop w:val="100"/>
          <w:marBottom w:val="100"/>
          <w:divBdr>
            <w:top w:val="none" w:sz="0" w:space="0" w:color="auto"/>
            <w:left w:val="none" w:sz="0" w:space="0" w:color="auto"/>
            <w:bottom w:val="none" w:sz="0" w:space="0" w:color="auto"/>
            <w:right w:val="none" w:sz="0" w:space="0" w:color="auto"/>
          </w:divBdr>
        </w:div>
        <w:div w:id="1714380181">
          <w:marLeft w:val="0"/>
          <w:marRight w:val="0"/>
          <w:marTop w:val="0"/>
          <w:marBottom w:val="0"/>
          <w:divBdr>
            <w:top w:val="none" w:sz="0" w:space="0" w:color="auto"/>
            <w:left w:val="none" w:sz="0" w:space="0" w:color="auto"/>
            <w:bottom w:val="none" w:sz="0" w:space="0" w:color="auto"/>
            <w:right w:val="none" w:sz="0" w:space="0" w:color="auto"/>
          </w:divBdr>
        </w:div>
        <w:div w:id="1760441161">
          <w:marLeft w:val="0"/>
          <w:marRight w:val="0"/>
          <w:marTop w:val="0"/>
          <w:marBottom w:val="0"/>
          <w:divBdr>
            <w:top w:val="none" w:sz="0" w:space="0" w:color="auto"/>
            <w:left w:val="none" w:sz="0" w:space="0" w:color="auto"/>
            <w:bottom w:val="none" w:sz="0" w:space="0" w:color="auto"/>
            <w:right w:val="none" w:sz="0" w:space="0" w:color="auto"/>
          </w:divBdr>
        </w:div>
        <w:div w:id="1912306273">
          <w:marLeft w:val="0"/>
          <w:marRight w:val="0"/>
          <w:marTop w:val="0"/>
          <w:marBottom w:val="0"/>
          <w:divBdr>
            <w:top w:val="none" w:sz="0" w:space="0" w:color="auto"/>
            <w:left w:val="none" w:sz="0" w:space="0" w:color="auto"/>
            <w:bottom w:val="none" w:sz="0" w:space="0" w:color="auto"/>
            <w:right w:val="none" w:sz="0" w:space="0" w:color="auto"/>
          </w:divBdr>
        </w:div>
        <w:div w:id="1994334238">
          <w:marLeft w:val="0"/>
          <w:marRight w:val="0"/>
          <w:marTop w:val="0"/>
          <w:marBottom w:val="0"/>
          <w:divBdr>
            <w:top w:val="none" w:sz="0" w:space="0" w:color="auto"/>
            <w:left w:val="none" w:sz="0" w:space="0" w:color="auto"/>
            <w:bottom w:val="none" w:sz="0" w:space="0" w:color="auto"/>
            <w:right w:val="none" w:sz="0" w:space="0" w:color="auto"/>
          </w:divBdr>
        </w:div>
        <w:div w:id="2003464360">
          <w:marLeft w:val="0"/>
          <w:marRight w:val="0"/>
          <w:marTop w:val="0"/>
          <w:marBottom w:val="0"/>
          <w:divBdr>
            <w:top w:val="none" w:sz="0" w:space="0" w:color="auto"/>
            <w:left w:val="none" w:sz="0" w:space="0" w:color="auto"/>
            <w:bottom w:val="none" w:sz="0" w:space="0" w:color="auto"/>
            <w:right w:val="none" w:sz="0" w:space="0" w:color="auto"/>
          </w:divBdr>
        </w:div>
        <w:div w:id="2009013658">
          <w:marLeft w:val="0"/>
          <w:marRight w:val="0"/>
          <w:marTop w:val="0"/>
          <w:marBottom w:val="0"/>
          <w:divBdr>
            <w:top w:val="none" w:sz="0" w:space="0" w:color="auto"/>
            <w:left w:val="none" w:sz="0" w:space="0" w:color="auto"/>
            <w:bottom w:val="none" w:sz="0" w:space="0" w:color="auto"/>
            <w:right w:val="none" w:sz="0" w:space="0" w:color="auto"/>
          </w:divBdr>
        </w:div>
        <w:div w:id="2046901293">
          <w:marLeft w:val="0"/>
          <w:marRight w:val="0"/>
          <w:marTop w:val="0"/>
          <w:marBottom w:val="0"/>
          <w:divBdr>
            <w:top w:val="none" w:sz="0" w:space="0" w:color="auto"/>
            <w:left w:val="none" w:sz="0" w:space="0" w:color="auto"/>
            <w:bottom w:val="none" w:sz="0" w:space="0" w:color="auto"/>
            <w:right w:val="none" w:sz="0" w:space="0" w:color="auto"/>
          </w:divBdr>
        </w:div>
        <w:div w:id="2060663020">
          <w:marLeft w:val="0"/>
          <w:marRight w:val="0"/>
          <w:marTop w:val="0"/>
          <w:marBottom w:val="0"/>
          <w:divBdr>
            <w:top w:val="none" w:sz="0" w:space="0" w:color="auto"/>
            <w:left w:val="none" w:sz="0" w:space="0" w:color="auto"/>
            <w:bottom w:val="none" w:sz="0" w:space="0" w:color="auto"/>
            <w:right w:val="none" w:sz="0" w:space="0" w:color="auto"/>
          </w:divBdr>
        </w:div>
      </w:divsChild>
    </w:div>
    <w:div w:id="847869253">
      <w:bodyDiv w:val="1"/>
      <w:marLeft w:val="0"/>
      <w:marRight w:val="0"/>
      <w:marTop w:val="0"/>
      <w:marBottom w:val="0"/>
      <w:divBdr>
        <w:top w:val="none" w:sz="0" w:space="0" w:color="auto"/>
        <w:left w:val="none" w:sz="0" w:space="0" w:color="auto"/>
        <w:bottom w:val="none" w:sz="0" w:space="0" w:color="auto"/>
        <w:right w:val="none" w:sz="0" w:space="0" w:color="auto"/>
      </w:divBdr>
      <w:divsChild>
        <w:div w:id="1230530315">
          <w:marLeft w:val="0"/>
          <w:marRight w:val="0"/>
          <w:marTop w:val="0"/>
          <w:marBottom w:val="0"/>
          <w:divBdr>
            <w:top w:val="none" w:sz="0" w:space="0" w:color="auto"/>
            <w:left w:val="none" w:sz="0" w:space="0" w:color="auto"/>
            <w:bottom w:val="none" w:sz="0" w:space="0" w:color="auto"/>
            <w:right w:val="none" w:sz="0" w:space="0" w:color="auto"/>
          </w:divBdr>
          <w:divsChild>
            <w:div w:id="1169175951">
              <w:marLeft w:val="0"/>
              <w:marRight w:val="0"/>
              <w:marTop w:val="0"/>
              <w:marBottom w:val="0"/>
              <w:divBdr>
                <w:top w:val="none" w:sz="0" w:space="0" w:color="auto"/>
                <w:left w:val="none" w:sz="0" w:space="0" w:color="auto"/>
                <w:bottom w:val="none" w:sz="0" w:space="0" w:color="auto"/>
                <w:right w:val="none" w:sz="0" w:space="0" w:color="auto"/>
              </w:divBdr>
              <w:divsChild>
                <w:div w:id="1515026182">
                  <w:marLeft w:val="0"/>
                  <w:marRight w:val="0"/>
                  <w:marTop w:val="0"/>
                  <w:marBottom w:val="0"/>
                  <w:divBdr>
                    <w:top w:val="none" w:sz="0" w:space="0" w:color="auto"/>
                    <w:left w:val="none" w:sz="0" w:space="0" w:color="auto"/>
                    <w:bottom w:val="none" w:sz="0" w:space="0" w:color="auto"/>
                    <w:right w:val="none" w:sz="0" w:space="0" w:color="auto"/>
                  </w:divBdr>
                  <w:divsChild>
                    <w:div w:id="1192186641">
                      <w:marLeft w:val="0"/>
                      <w:marRight w:val="0"/>
                      <w:marTop w:val="0"/>
                      <w:marBottom w:val="0"/>
                      <w:divBdr>
                        <w:top w:val="none" w:sz="0" w:space="0" w:color="auto"/>
                        <w:left w:val="none" w:sz="0" w:space="0" w:color="auto"/>
                        <w:bottom w:val="none" w:sz="0" w:space="0" w:color="auto"/>
                        <w:right w:val="none" w:sz="0" w:space="0" w:color="auto"/>
                      </w:divBdr>
                      <w:divsChild>
                        <w:div w:id="124290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921815">
      <w:bodyDiv w:val="1"/>
      <w:marLeft w:val="0"/>
      <w:marRight w:val="0"/>
      <w:marTop w:val="0"/>
      <w:marBottom w:val="0"/>
      <w:divBdr>
        <w:top w:val="none" w:sz="0" w:space="0" w:color="auto"/>
        <w:left w:val="none" w:sz="0" w:space="0" w:color="auto"/>
        <w:bottom w:val="none" w:sz="0" w:space="0" w:color="auto"/>
        <w:right w:val="none" w:sz="0" w:space="0" w:color="auto"/>
      </w:divBdr>
      <w:divsChild>
        <w:div w:id="369452437">
          <w:marLeft w:val="0"/>
          <w:marRight w:val="0"/>
          <w:marTop w:val="0"/>
          <w:marBottom w:val="0"/>
          <w:divBdr>
            <w:top w:val="none" w:sz="0" w:space="0" w:color="auto"/>
            <w:left w:val="none" w:sz="0" w:space="0" w:color="auto"/>
            <w:bottom w:val="none" w:sz="0" w:space="0" w:color="auto"/>
            <w:right w:val="none" w:sz="0" w:space="0" w:color="auto"/>
          </w:divBdr>
          <w:divsChild>
            <w:div w:id="343018834">
              <w:marLeft w:val="0"/>
              <w:marRight w:val="0"/>
              <w:marTop w:val="0"/>
              <w:marBottom w:val="0"/>
              <w:divBdr>
                <w:top w:val="none" w:sz="0" w:space="0" w:color="auto"/>
                <w:left w:val="none" w:sz="0" w:space="0" w:color="auto"/>
                <w:bottom w:val="none" w:sz="0" w:space="0" w:color="auto"/>
                <w:right w:val="none" w:sz="0" w:space="0" w:color="auto"/>
              </w:divBdr>
              <w:divsChild>
                <w:div w:id="279844512">
                  <w:marLeft w:val="0"/>
                  <w:marRight w:val="0"/>
                  <w:marTop w:val="0"/>
                  <w:marBottom w:val="0"/>
                  <w:divBdr>
                    <w:top w:val="none" w:sz="0" w:space="0" w:color="auto"/>
                    <w:left w:val="none" w:sz="0" w:space="0" w:color="auto"/>
                    <w:bottom w:val="none" w:sz="0" w:space="0" w:color="auto"/>
                    <w:right w:val="none" w:sz="0" w:space="0" w:color="auto"/>
                  </w:divBdr>
                  <w:divsChild>
                    <w:div w:id="1999386144">
                      <w:marLeft w:val="0"/>
                      <w:marRight w:val="0"/>
                      <w:marTop w:val="0"/>
                      <w:marBottom w:val="0"/>
                      <w:divBdr>
                        <w:top w:val="none" w:sz="0" w:space="0" w:color="auto"/>
                        <w:left w:val="none" w:sz="0" w:space="0" w:color="auto"/>
                        <w:bottom w:val="none" w:sz="0" w:space="0" w:color="auto"/>
                        <w:right w:val="none" w:sz="0" w:space="0" w:color="auto"/>
                      </w:divBdr>
                      <w:divsChild>
                        <w:div w:id="159698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0765364">
      <w:bodyDiv w:val="1"/>
      <w:marLeft w:val="0"/>
      <w:marRight w:val="0"/>
      <w:marTop w:val="0"/>
      <w:marBottom w:val="0"/>
      <w:divBdr>
        <w:top w:val="none" w:sz="0" w:space="0" w:color="auto"/>
        <w:left w:val="none" w:sz="0" w:space="0" w:color="auto"/>
        <w:bottom w:val="none" w:sz="0" w:space="0" w:color="auto"/>
        <w:right w:val="none" w:sz="0" w:space="0" w:color="auto"/>
      </w:divBdr>
    </w:div>
    <w:div w:id="1059285003">
      <w:bodyDiv w:val="1"/>
      <w:marLeft w:val="0"/>
      <w:marRight w:val="0"/>
      <w:marTop w:val="0"/>
      <w:marBottom w:val="0"/>
      <w:divBdr>
        <w:top w:val="none" w:sz="0" w:space="0" w:color="auto"/>
        <w:left w:val="none" w:sz="0" w:space="0" w:color="auto"/>
        <w:bottom w:val="none" w:sz="0" w:space="0" w:color="auto"/>
        <w:right w:val="none" w:sz="0" w:space="0" w:color="auto"/>
      </w:divBdr>
    </w:div>
    <w:div w:id="1156071347">
      <w:bodyDiv w:val="1"/>
      <w:marLeft w:val="0"/>
      <w:marRight w:val="0"/>
      <w:marTop w:val="0"/>
      <w:marBottom w:val="0"/>
      <w:divBdr>
        <w:top w:val="none" w:sz="0" w:space="0" w:color="auto"/>
        <w:left w:val="none" w:sz="0" w:space="0" w:color="auto"/>
        <w:bottom w:val="none" w:sz="0" w:space="0" w:color="auto"/>
        <w:right w:val="none" w:sz="0" w:space="0" w:color="auto"/>
      </w:divBdr>
    </w:div>
    <w:div w:id="1415930620">
      <w:bodyDiv w:val="1"/>
      <w:marLeft w:val="0"/>
      <w:marRight w:val="0"/>
      <w:marTop w:val="0"/>
      <w:marBottom w:val="0"/>
      <w:divBdr>
        <w:top w:val="none" w:sz="0" w:space="0" w:color="auto"/>
        <w:left w:val="none" w:sz="0" w:space="0" w:color="auto"/>
        <w:bottom w:val="none" w:sz="0" w:space="0" w:color="auto"/>
        <w:right w:val="none" w:sz="0" w:space="0" w:color="auto"/>
      </w:divBdr>
    </w:div>
    <w:div w:id="1517112485">
      <w:bodyDiv w:val="1"/>
      <w:marLeft w:val="0"/>
      <w:marRight w:val="0"/>
      <w:marTop w:val="0"/>
      <w:marBottom w:val="0"/>
      <w:divBdr>
        <w:top w:val="none" w:sz="0" w:space="0" w:color="auto"/>
        <w:left w:val="none" w:sz="0" w:space="0" w:color="auto"/>
        <w:bottom w:val="none" w:sz="0" w:space="0" w:color="auto"/>
        <w:right w:val="none" w:sz="0" w:space="0" w:color="auto"/>
      </w:divBdr>
      <w:divsChild>
        <w:div w:id="218590043">
          <w:marLeft w:val="0"/>
          <w:marRight w:val="0"/>
          <w:marTop w:val="0"/>
          <w:marBottom w:val="0"/>
          <w:divBdr>
            <w:top w:val="none" w:sz="0" w:space="0" w:color="auto"/>
            <w:left w:val="none" w:sz="0" w:space="0" w:color="auto"/>
            <w:bottom w:val="none" w:sz="0" w:space="0" w:color="auto"/>
            <w:right w:val="none" w:sz="0" w:space="0" w:color="auto"/>
          </w:divBdr>
        </w:div>
        <w:div w:id="306010109">
          <w:marLeft w:val="0"/>
          <w:marRight w:val="0"/>
          <w:marTop w:val="0"/>
          <w:marBottom w:val="0"/>
          <w:divBdr>
            <w:top w:val="none" w:sz="0" w:space="0" w:color="auto"/>
            <w:left w:val="none" w:sz="0" w:space="0" w:color="auto"/>
            <w:bottom w:val="none" w:sz="0" w:space="0" w:color="auto"/>
            <w:right w:val="none" w:sz="0" w:space="0" w:color="auto"/>
          </w:divBdr>
        </w:div>
        <w:div w:id="320042216">
          <w:marLeft w:val="0"/>
          <w:marRight w:val="0"/>
          <w:marTop w:val="0"/>
          <w:marBottom w:val="0"/>
          <w:divBdr>
            <w:top w:val="none" w:sz="0" w:space="0" w:color="auto"/>
            <w:left w:val="none" w:sz="0" w:space="0" w:color="auto"/>
            <w:bottom w:val="none" w:sz="0" w:space="0" w:color="auto"/>
            <w:right w:val="none" w:sz="0" w:space="0" w:color="auto"/>
          </w:divBdr>
        </w:div>
        <w:div w:id="506678789">
          <w:marLeft w:val="0"/>
          <w:marRight w:val="0"/>
          <w:marTop w:val="0"/>
          <w:marBottom w:val="0"/>
          <w:divBdr>
            <w:top w:val="none" w:sz="0" w:space="0" w:color="auto"/>
            <w:left w:val="none" w:sz="0" w:space="0" w:color="auto"/>
            <w:bottom w:val="none" w:sz="0" w:space="0" w:color="auto"/>
            <w:right w:val="none" w:sz="0" w:space="0" w:color="auto"/>
          </w:divBdr>
        </w:div>
        <w:div w:id="514199705">
          <w:marLeft w:val="0"/>
          <w:marRight w:val="0"/>
          <w:marTop w:val="0"/>
          <w:marBottom w:val="0"/>
          <w:divBdr>
            <w:top w:val="none" w:sz="0" w:space="0" w:color="auto"/>
            <w:left w:val="none" w:sz="0" w:space="0" w:color="auto"/>
            <w:bottom w:val="none" w:sz="0" w:space="0" w:color="auto"/>
            <w:right w:val="none" w:sz="0" w:space="0" w:color="auto"/>
          </w:divBdr>
        </w:div>
        <w:div w:id="594557890">
          <w:marLeft w:val="0"/>
          <w:marRight w:val="0"/>
          <w:marTop w:val="0"/>
          <w:marBottom w:val="0"/>
          <w:divBdr>
            <w:top w:val="none" w:sz="0" w:space="0" w:color="auto"/>
            <w:left w:val="none" w:sz="0" w:space="0" w:color="auto"/>
            <w:bottom w:val="none" w:sz="0" w:space="0" w:color="auto"/>
            <w:right w:val="none" w:sz="0" w:space="0" w:color="auto"/>
          </w:divBdr>
        </w:div>
        <w:div w:id="624389689">
          <w:marLeft w:val="0"/>
          <w:marRight w:val="0"/>
          <w:marTop w:val="0"/>
          <w:marBottom w:val="0"/>
          <w:divBdr>
            <w:top w:val="none" w:sz="0" w:space="0" w:color="auto"/>
            <w:left w:val="none" w:sz="0" w:space="0" w:color="auto"/>
            <w:bottom w:val="none" w:sz="0" w:space="0" w:color="auto"/>
            <w:right w:val="none" w:sz="0" w:space="0" w:color="auto"/>
          </w:divBdr>
        </w:div>
        <w:div w:id="649672190">
          <w:marLeft w:val="0"/>
          <w:marRight w:val="0"/>
          <w:marTop w:val="0"/>
          <w:marBottom w:val="0"/>
          <w:divBdr>
            <w:top w:val="none" w:sz="0" w:space="0" w:color="auto"/>
            <w:left w:val="none" w:sz="0" w:space="0" w:color="auto"/>
            <w:bottom w:val="none" w:sz="0" w:space="0" w:color="auto"/>
            <w:right w:val="none" w:sz="0" w:space="0" w:color="auto"/>
          </w:divBdr>
        </w:div>
        <w:div w:id="653417947">
          <w:marLeft w:val="0"/>
          <w:marRight w:val="0"/>
          <w:marTop w:val="0"/>
          <w:marBottom w:val="0"/>
          <w:divBdr>
            <w:top w:val="none" w:sz="0" w:space="0" w:color="auto"/>
            <w:left w:val="none" w:sz="0" w:space="0" w:color="auto"/>
            <w:bottom w:val="none" w:sz="0" w:space="0" w:color="auto"/>
            <w:right w:val="none" w:sz="0" w:space="0" w:color="auto"/>
          </w:divBdr>
        </w:div>
        <w:div w:id="708188215">
          <w:marLeft w:val="0"/>
          <w:marRight w:val="0"/>
          <w:marTop w:val="0"/>
          <w:marBottom w:val="0"/>
          <w:divBdr>
            <w:top w:val="none" w:sz="0" w:space="0" w:color="auto"/>
            <w:left w:val="none" w:sz="0" w:space="0" w:color="auto"/>
            <w:bottom w:val="none" w:sz="0" w:space="0" w:color="auto"/>
            <w:right w:val="none" w:sz="0" w:space="0" w:color="auto"/>
          </w:divBdr>
        </w:div>
        <w:div w:id="833686697">
          <w:marLeft w:val="0"/>
          <w:marRight w:val="0"/>
          <w:marTop w:val="0"/>
          <w:marBottom w:val="0"/>
          <w:divBdr>
            <w:top w:val="none" w:sz="0" w:space="0" w:color="auto"/>
            <w:left w:val="none" w:sz="0" w:space="0" w:color="auto"/>
            <w:bottom w:val="none" w:sz="0" w:space="0" w:color="auto"/>
            <w:right w:val="none" w:sz="0" w:space="0" w:color="auto"/>
          </w:divBdr>
        </w:div>
        <w:div w:id="834879243">
          <w:marLeft w:val="0"/>
          <w:marRight w:val="0"/>
          <w:marTop w:val="0"/>
          <w:marBottom w:val="0"/>
          <w:divBdr>
            <w:top w:val="none" w:sz="0" w:space="0" w:color="auto"/>
            <w:left w:val="none" w:sz="0" w:space="0" w:color="auto"/>
            <w:bottom w:val="none" w:sz="0" w:space="0" w:color="auto"/>
            <w:right w:val="none" w:sz="0" w:space="0" w:color="auto"/>
          </w:divBdr>
        </w:div>
        <w:div w:id="874806259">
          <w:marLeft w:val="0"/>
          <w:marRight w:val="0"/>
          <w:marTop w:val="0"/>
          <w:marBottom w:val="0"/>
          <w:divBdr>
            <w:top w:val="none" w:sz="0" w:space="0" w:color="auto"/>
            <w:left w:val="none" w:sz="0" w:space="0" w:color="auto"/>
            <w:bottom w:val="none" w:sz="0" w:space="0" w:color="auto"/>
            <w:right w:val="none" w:sz="0" w:space="0" w:color="auto"/>
          </w:divBdr>
        </w:div>
        <w:div w:id="916674090">
          <w:marLeft w:val="0"/>
          <w:marRight w:val="0"/>
          <w:marTop w:val="0"/>
          <w:marBottom w:val="0"/>
          <w:divBdr>
            <w:top w:val="none" w:sz="0" w:space="0" w:color="auto"/>
            <w:left w:val="none" w:sz="0" w:space="0" w:color="auto"/>
            <w:bottom w:val="none" w:sz="0" w:space="0" w:color="auto"/>
            <w:right w:val="none" w:sz="0" w:space="0" w:color="auto"/>
          </w:divBdr>
        </w:div>
        <w:div w:id="930743255">
          <w:marLeft w:val="0"/>
          <w:marRight w:val="0"/>
          <w:marTop w:val="0"/>
          <w:marBottom w:val="0"/>
          <w:divBdr>
            <w:top w:val="none" w:sz="0" w:space="0" w:color="auto"/>
            <w:left w:val="none" w:sz="0" w:space="0" w:color="auto"/>
            <w:bottom w:val="none" w:sz="0" w:space="0" w:color="auto"/>
            <w:right w:val="none" w:sz="0" w:space="0" w:color="auto"/>
          </w:divBdr>
        </w:div>
        <w:div w:id="936711355">
          <w:marLeft w:val="0"/>
          <w:marRight w:val="0"/>
          <w:marTop w:val="0"/>
          <w:marBottom w:val="0"/>
          <w:divBdr>
            <w:top w:val="none" w:sz="0" w:space="0" w:color="auto"/>
            <w:left w:val="none" w:sz="0" w:space="0" w:color="auto"/>
            <w:bottom w:val="none" w:sz="0" w:space="0" w:color="auto"/>
            <w:right w:val="none" w:sz="0" w:space="0" w:color="auto"/>
          </w:divBdr>
        </w:div>
        <w:div w:id="963510550">
          <w:marLeft w:val="0"/>
          <w:marRight w:val="0"/>
          <w:marTop w:val="0"/>
          <w:marBottom w:val="0"/>
          <w:divBdr>
            <w:top w:val="none" w:sz="0" w:space="0" w:color="auto"/>
            <w:left w:val="none" w:sz="0" w:space="0" w:color="auto"/>
            <w:bottom w:val="none" w:sz="0" w:space="0" w:color="auto"/>
            <w:right w:val="none" w:sz="0" w:space="0" w:color="auto"/>
          </w:divBdr>
        </w:div>
        <w:div w:id="1402829366">
          <w:marLeft w:val="0"/>
          <w:marRight w:val="0"/>
          <w:marTop w:val="0"/>
          <w:marBottom w:val="0"/>
          <w:divBdr>
            <w:top w:val="none" w:sz="0" w:space="0" w:color="auto"/>
            <w:left w:val="none" w:sz="0" w:space="0" w:color="auto"/>
            <w:bottom w:val="none" w:sz="0" w:space="0" w:color="auto"/>
            <w:right w:val="none" w:sz="0" w:space="0" w:color="auto"/>
          </w:divBdr>
        </w:div>
        <w:div w:id="1445223274">
          <w:marLeft w:val="0"/>
          <w:marRight w:val="0"/>
          <w:marTop w:val="0"/>
          <w:marBottom w:val="0"/>
          <w:divBdr>
            <w:top w:val="none" w:sz="0" w:space="0" w:color="auto"/>
            <w:left w:val="none" w:sz="0" w:space="0" w:color="auto"/>
            <w:bottom w:val="none" w:sz="0" w:space="0" w:color="auto"/>
            <w:right w:val="none" w:sz="0" w:space="0" w:color="auto"/>
          </w:divBdr>
        </w:div>
        <w:div w:id="1767385121">
          <w:marLeft w:val="0"/>
          <w:marRight w:val="0"/>
          <w:marTop w:val="0"/>
          <w:marBottom w:val="0"/>
          <w:divBdr>
            <w:top w:val="none" w:sz="0" w:space="0" w:color="auto"/>
            <w:left w:val="none" w:sz="0" w:space="0" w:color="auto"/>
            <w:bottom w:val="none" w:sz="0" w:space="0" w:color="auto"/>
            <w:right w:val="none" w:sz="0" w:space="0" w:color="auto"/>
          </w:divBdr>
        </w:div>
        <w:div w:id="1785418990">
          <w:marLeft w:val="0"/>
          <w:marRight w:val="0"/>
          <w:marTop w:val="0"/>
          <w:marBottom w:val="0"/>
          <w:divBdr>
            <w:top w:val="none" w:sz="0" w:space="0" w:color="auto"/>
            <w:left w:val="none" w:sz="0" w:space="0" w:color="auto"/>
            <w:bottom w:val="none" w:sz="0" w:space="0" w:color="auto"/>
            <w:right w:val="none" w:sz="0" w:space="0" w:color="auto"/>
          </w:divBdr>
        </w:div>
        <w:div w:id="1851555478">
          <w:marLeft w:val="0"/>
          <w:marRight w:val="0"/>
          <w:marTop w:val="0"/>
          <w:marBottom w:val="0"/>
          <w:divBdr>
            <w:top w:val="none" w:sz="0" w:space="0" w:color="auto"/>
            <w:left w:val="none" w:sz="0" w:space="0" w:color="auto"/>
            <w:bottom w:val="none" w:sz="0" w:space="0" w:color="auto"/>
            <w:right w:val="none" w:sz="0" w:space="0" w:color="auto"/>
          </w:divBdr>
        </w:div>
        <w:div w:id="1866022473">
          <w:marLeft w:val="0"/>
          <w:marRight w:val="0"/>
          <w:marTop w:val="100"/>
          <w:marBottom w:val="100"/>
          <w:divBdr>
            <w:top w:val="none" w:sz="0" w:space="0" w:color="auto"/>
            <w:left w:val="none" w:sz="0" w:space="0" w:color="auto"/>
            <w:bottom w:val="none" w:sz="0" w:space="0" w:color="auto"/>
            <w:right w:val="none" w:sz="0" w:space="0" w:color="auto"/>
          </w:divBdr>
        </w:div>
        <w:div w:id="1965231382">
          <w:marLeft w:val="0"/>
          <w:marRight w:val="0"/>
          <w:marTop w:val="0"/>
          <w:marBottom w:val="0"/>
          <w:divBdr>
            <w:top w:val="none" w:sz="0" w:space="0" w:color="auto"/>
            <w:left w:val="none" w:sz="0" w:space="0" w:color="auto"/>
            <w:bottom w:val="none" w:sz="0" w:space="0" w:color="auto"/>
            <w:right w:val="none" w:sz="0" w:space="0" w:color="auto"/>
          </w:divBdr>
        </w:div>
        <w:div w:id="1986546609">
          <w:marLeft w:val="0"/>
          <w:marRight w:val="0"/>
          <w:marTop w:val="0"/>
          <w:marBottom w:val="0"/>
          <w:divBdr>
            <w:top w:val="none" w:sz="0" w:space="0" w:color="auto"/>
            <w:left w:val="none" w:sz="0" w:space="0" w:color="auto"/>
            <w:bottom w:val="none" w:sz="0" w:space="0" w:color="auto"/>
            <w:right w:val="none" w:sz="0" w:space="0" w:color="auto"/>
          </w:divBdr>
        </w:div>
        <w:div w:id="1992129270">
          <w:marLeft w:val="0"/>
          <w:marRight w:val="0"/>
          <w:marTop w:val="0"/>
          <w:marBottom w:val="0"/>
          <w:divBdr>
            <w:top w:val="none" w:sz="0" w:space="0" w:color="auto"/>
            <w:left w:val="none" w:sz="0" w:space="0" w:color="auto"/>
            <w:bottom w:val="none" w:sz="0" w:space="0" w:color="auto"/>
            <w:right w:val="none" w:sz="0" w:space="0" w:color="auto"/>
          </w:divBdr>
        </w:div>
      </w:divsChild>
    </w:div>
    <w:div w:id="1777478787">
      <w:bodyDiv w:val="1"/>
      <w:marLeft w:val="0"/>
      <w:marRight w:val="0"/>
      <w:marTop w:val="0"/>
      <w:marBottom w:val="0"/>
      <w:divBdr>
        <w:top w:val="none" w:sz="0" w:space="0" w:color="auto"/>
        <w:left w:val="none" w:sz="0" w:space="0" w:color="auto"/>
        <w:bottom w:val="none" w:sz="0" w:space="0" w:color="auto"/>
        <w:right w:val="none" w:sz="0" w:space="0" w:color="auto"/>
      </w:divBdr>
      <w:divsChild>
        <w:div w:id="665060839">
          <w:marLeft w:val="0"/>
          <w:marRight w:val="0"/>
          <w:marTop w:val="0"/>
          <w:marBottom w:val="0"/>
          <w:divBdr>
            <w:top w:val="none" w:sz="0" w:space="0" w:color="auto"/>
            <w:left w:val="none" w:sz="0" w:space="0" w:color="auto"/>
            <w:bottom w:val="none" w:sz="0" w:space="0" w:color="auto"/>
            <w:right w:val="none" w:sz="0" w:space="0" w:color="auto"/>
          </w:divBdr>
        </w:div>
        <w:div w:id="887379101">
          <w:marLeft w:val="0"/>
          <w:marRight w:val="0"/>
          <w:marTop w:val="0"/>
          <w:marBottom w:val="0"/>
          <w:divBdr>
            <w:top w:val="none" w:sz="0" w:space="0" w:color="auto"/>
            <w:left w:val="none" w:sz="0" w:space="0" w:color="auto"/>
            <w:bottom w:val="none" w:sz="0" w:space="0" w:color="auto"/>
            <w:right w:val="none" w:sz="0" w:space="0" w:color="auto"/>
          </w:divBdr>
        </w:div>
        <w:div w:id="1027368393">
          <w:marLeft w:val="0"/>
          <w:marRight w:val="0"/>
          <w:marTop w:val="0"/>
          <w:marBottom w:val="0"/>
          <w:divBdr>
            <w:top w:val="none" w:sz="0" w:space="0" w:color="auto"/>
            <w:left w:val="none" w:sz="0" w:space="0" w:color="auto"/>
            <w:bottom w:val="none" w:sz="0" w:space="0" w:color="auto"/>
            <w:right w:val="none" w:sz="0" w:space="0" w:color="auto"/>
          </w:divBdr>
        </w:div>
        <w:div w:id="1538926473">
          <w:marLeft w:val="0"/>
          <w:marRight w:val="0"/>
          <w:marTop w:val="0"/>
          <w:marBottom w:val="0"/>
          <w:divBdr>
            <w:top w:val="none" w:sz="0" w:space="0" w:color="auto"/>
            <w:left w:val="none" w:sz="0" w:space="0" w:color="auto"/>
            <w:bottom w:val="none" w:sz="0" w:space="0" w:color="auto"/>
            <w:right w:val="none" w:sz="0" w:space="0" w:color="auto"/>
          </w:divBdr>
        </w:div>
        <w:div w:id="1549954929">
          <w:marLeft w:val="0"/>
          <w:marRight w:val="0"/>
          <w:marTop w:val="0"/>
          <w:marBottom w:val="0"/>
          <w:divBdr>
            <w:top w:val="none" w:sz="0" w:space="0" w:color="auto"/>
            <w:left w:val="none" w:sz="0" w:space="0" w:color="auto"/>
            <w:bottom w:val="none" w:sz="0" w:space="0" w:color="auto"/>
            <w:right w:val="none" w:sz="0" w:space="0" w:color="auto"/>
          </w:divBdr>
        </w:div>
        <w:div w:id="1864125431">
          <w:marLeft w:val="0"/>
          <w:marRight w:val="0"/>
          <w:marTop w:val="0"/>
          <w:marBottom w:val="0"/>
          <w:divBdr>
            <w:top w:val="none" w:sz="0" w:space="0" w:color="auto"/>
            <w:left w:val="none" w:sz="0" w:space="0" w:color="auto"/>
            <w:bottom w:val="none" w:sz="0" w:space="0" w:color="auto"/>
            <w:right w:val="none" w:sz="0" w:space="0" w:color="auto"/>
          </w:divBdr>
        </w:div>
        <w:div w:id="2083988902">
          <w:marLeft w:val="0"/>
          <w:marRight w:val="0"/>
          <w:marTop w:val="0"/>
          <w:marBottom w:val="0"/>
          <w:divBdr>
            <w:top w:val="none" w:sz="0" w:space="0" w:color="auto"/>
            <w:left w:val="none" w:sz="0" w:space="0" w:color="auto"/>
            <w:bottom w:val="none" w:sz="0" w:space="0" w:color="auto"/>
            <w:right w:val="none" w:sz="0" w:space="0" w:color="auto"/>
          </w:divBdr>
        </w:div>
      </w:divsChild>
    </w:div>
    <w:div w:id="1961764650">
      <w:bodyDiv w:val="1"/>
      <w:marLeft w:val="0"/>
      <w:marRight w:val="0"/>
      <w:marTop w:val="0"/>
      <w:marBottom w:val="0"/>
      <w:divBdr>
        <w:top w:val="none" w:sz="0" w:space="0" w:color="auto"/>
        <w:left w:val="none" w:sz="0" w:space="0" w:color="auto"/>
        <w:bottom w:val="none" w:sz="0" w:space="0" w:color="auto"/>
        <w:right w:val="none" w:sz="0" w:space="0" w:color="auto"/>
      </w:divBdr>
      <w:divsChild>
        <w:div w:id="1410930486">
          <w:marLeft w:val="0"/>
          <w:marRight w:val="0"/>
          <w:marTop w:val="0"/>
          <w:marBottom w:val="0"/>
          <w:divBdr>
            <w:top w:val="none" w:sz="0" w:space="0" w:color="auto"/>
            <w:left w:val="none" w:sz="0" w:space="0" w:color="auto"/>
            <w:bottom w:val="none" w:sz="0" w:space="0" w:color="auto"/>
            <w:right w:val="none" w:sz="0" w:space="0" w:color="auto"/>
          </w:divBdr>
          <w:divsChild>
            <w:div w:id="1643660749">
              <w:marLeft w:val="0"/>
              <w:marRight w:val="0"/>
              <w:marTop w:val="0"/>
              <w:marBottom w:val="0"/>
              <w:divBdr>
                <w:top w:val="none" w:sz="0" w:space="0" w:color="auto"/>
                <w:left w:val="none" w:sz="0" w:space="0" w:color="auto"/>
                <w:bottom w:val="none" w:sz="0" w:space="0" w:color="auto"/>
                <w:right w:val="none" w:sz="0" w:space="0" w:color="auto"/>
              </w:divBdr>
              <w:divsChild>
                <w:div w:id="1957641967">
                  <w:marLeft w:val="0"/>
                  <w:marRight w:val="0"/>
                  <w:marTop w:val="0"/>
                  <w:marBottom w:val="0"/>
                  <w:divBdr>
                    <w:top w:val="none" w:sz="0" w:space="0" w:color="auto"/>
                    <w:left w:val="none" w:sz="0" w:space="0" w:color="auto"/>
                    <w:bottom w:val="none" w:sz="0" w:space="0" w:color="auto"/>
                    <w:right w:val="none" w:sz="0" w:space="0" w:color="auto"/>
                  </w:divBdr>
                  <w:divsChild>
                    <w:div w:id="1687755591">
                      <w:marLeft w:val="0"/>
                      <w:marRight w:val="0"/>
                      <w:marTop w:val="0"/>
                      <w:marBottom w:val="0"/>
                      <w:divBdr>
                        <w:top w:val="none" w:sz="0" w:space="0" w:color="auto"/>
                        <w:left w:val="none" w:sz="0" w:space="0" w:color="auto"/>
                        <w:bottom w:val="none" w:sz="0" w:space="0" w:color="auto"/>
                        <w:right w:val="none" w:sz="0" w:space="0" w:color="auto"/>
                      </w:divBdr>
                      <w:divsChild>
                        <w:div w:id="129906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294126">
      <w:bodyDiv w:val="1"/>
      <w:marLeft w:val="0"/>
      <w:marRight w:val="0"/>
      <w:marTop w:val="0"/>
      <w:marBottom w:val="0"/>
      <w:divBdr>
        <w:top w:val="none" w:sz="0" w:space="0" w:color="auto"/>
        <w:left w:val="none" w:sz="0" w:space="0" w:color="auto"/>
        <w:bottom w:val="none" w:sz="0" w:space="0" w:color="auto"/>
        <w:right w:val="none" w:sz="0" w:space="0" w:color="auto"/>
      </w:divBdr>
    </w:div>
    <w:div w:id="208961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asro.org/?page=TheCASRO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47774-8719-466A-ADAB-336E03BC2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2973</Words>
  <Characters>16879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SSI</Company>
  <LinksUpToDate>false</LinksUpToDate>
  <CharactersWithSpaces>19813</CharactersWithSpaces>
  <SharedDoc>false</SharedDoc>
  <HLinks>
    <vt:vector size="6" baseType="variant">
      <vt:variant>
        <vt:i4>6422626</vt:i4>
      </vt:variant>
      <vt:variant>
        <vt:i4>0</vt:i4>
      </vt:variant>
      <vt:variant>
        <vt:i4>0</vt:i4>
      </vt:variant>
      <vt:variant>
        <vt:i4>5</vt:i4>
      </vt:variant>
      <vt:variant>
        <vt:lpwstr>http://www.casro.org/?page=TheCASROCode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MERC OMB MEP</dc:subject>
  <cp:lastModifiedBy>Gittleson, Daniel</cp:lastModifiedBy>
  <cp:revision>3</cp:revision>
  <cp:lastPrinted>2014-08-05T13:56:00Z</cp:lastPrinted>
  <dcterms:created xsi:type="dcterms:W3CDTF">2014-08-07T20:15:00Z</dcterms:created>
  <dcterms:modified xsi:type="dcterms:W3CDTF">2014-08-07T20:24:00Z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