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Pr="000D0C09" w:rsidRDefault="00364051" w:rsidP="002F5329">
      <w:pPr>
        <w:pStyle w:val="Heading2"/>
        <w:tabs>
          <w:tab w:val="left" w:pos="900"/>
        </w:tabs>
        <w:ind w:right="-180"/>
        <w:rPr>
          <w:sz w:val="28"/>
        </w:rPr>
      </w:pPr>
      <w:bookmarkStart w:id="0" w:name="_GoBack"/>
      <w:bookmarkEnd w:id="0"/>
      <w:r w:rsidRPr="000D0C09">
        <w:rPr>
          <w:sz w:val="28"/>
        </w:rPr>
        <w:t>FDA</w:t>
      </w:r>
      <w:r w:rsidR="002F5329" w:rsidRPr="000D0C09">
        <w:rPr>
          <w:sz w:val="28"/>
        </w:rPr>
        <w:t xml:space="preserve"> </w:t>
      </w:r>
      <w:r w:rsidR="003F1C7A" w:rsidRPr="000D0C09">
        <w:rPr>
          <w:sz w:val="28"/>
        </w:rPr>
        <w:t>DOCUMENTATION FOR THE GENERIC CLEARANCE</w:t>
      </w:r>
    </w:p>
    <w:p w:rsidR="00A63790" w:rsidRPr="00124E2C" w:rsidRDefault="003F1C7A" w:rsidP="00A63790">
      <w:pPr>
        <w:jc w:val="center"/>
        <w:rPr>
          <w:b/>
        </w:rPr>
      </w:pPr>
      <w:r w:rsidRPr="000D0C09">
        <w:rPr>
          <w:b/>
          <w:sz w:val="28"/>
        </w:rPr>
        <w:t xml:space="preserve">OF </w:t>
      </w:r>
      <w:r w:rsidR="008A075B" w:rsidRPr="000D0C09">
        <w:rPr>
          <w:b/>
          <w:sz w:val="28"/>
        </w:rPr>
        <w:t>PRE</w:t>
      </w:r>
      <w:r w:rsidR="00B8264F" w:rsidRPr="000D0C09">
        <w:rPr>
          <w:b/>
          <w:sz w:val="28"/>
        </w:rPr>
        <w:t>TESTING O</w:t>
      </w:r>
      <w:r w:rsidR="000529EF" w:rsidRPr="000D0C09">
        <w:rPr>
          <w:b/>
          <w:sz w:val="28"/>
        </w:rPr>
        <w:t>F</w:t>
      </w:r>
      <w:r w:rsidR="00984D67" w:rsidRPr="000D0C09">
        <w:rPr>
          <w:b/>
          <w:sz w:val="28"/>
        </w:rPr>
        <w:t xml:space="preserve"> TOBACCO COMMUNICATIONS</w:t>
      </w:r>
      <w:r w:rsidR="004770B7" w:rsidRPr="000D0C09">
        <w:rPr>
          <w:b/>
          <w:sz w:val="28"/>
        </w:rPr>
        <w:t xml:space="preserve"> </w:t>
      </w:r>
      <w:r w:rsidR="00C46395" w:rsidRPr="000D0C09">
        <w:rPr>
          <w:b/>
          <w:sz w:val="28"/>
        </w:rPr>
        <w:t>(0910-</w:t>
      </w:r>
      <w:r w:rsidR="00B8264F" w:rsidRPr="000D0C09">
        <w:rPr>
          <w:b/>
          <w:sz w:val="28"/>
        </w:rPr>
        <w:t>0674</w:t>
      </w:r>
      <w:r w:rsidR="003D0EC1" w:rsidRPr="000D0C09">
        <w:rPr>
          <w:b/>
          <w:sz w:val="28"/>
        </w:rPr>
        <w:t>)</w:t>
      </w:r>
    </w:p>
    <w:p w:rsidR="00B41016" w:rsidRPr="00124E2C" w:rsidRDefault="00135820" w:rsidP="00A63790">
      <w:r w:rsidRPr="00124E2C">
        <w:rPr>
          <w:noProof/>
          <w:lang w:bidi="he-IL"/>
        </w:rPr>
        <mc:AlternateContent>
          <mc:Choice Requires="wps">
            <w:drawing>
              <wp:anchor distT="0" distB="0" distL="114300" distR="114300" simplePos="0" relativeHeight="251657728" behindDoc="0" locked="0" layoutInCell="1" allowOverlap="1" wp14:anchorId="283AFA5B" wp14:editId="79A33618">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rsidR="003F1C7A" w:rsidRPr="00B46993" w:rsidRDefault="003F1C7A" w:rsidP="00591525">
      <w:pPr>
        <w:spacing w:before="120"/>
      </w:pPr>
      <w:r w:rsidRPr="000D0C09">
        <w:rPr>
          <w:b/>
        </w:rPr>
        <w:t>TITLE OF INFORMATION COLLECTION:</w:t>
      </w:r>
      <w:r w:rsidRPr="000D0C09">
        <w:t xml:space="preserve">  </w:t>
      </w:r>
      <w:r w:rsidR="00124E2C" w:rsidRPr="00EA5A01">
        <w:t>Quantitative Study of Youth Reactions to Rough-Cut Advertising Designed to Prevent</w:t>
      </w:r>
      <w:r w:rsidR="008749CA">
        <w:t xml:space="preserve"> </w:t>
      </w:r>
      <w:r w:rsidR="00124E2C">
        <w:t xml:space="preserve">Smokeless </w:t>
      </w:r>
      <w:r w:rsidR="00124E2C" w:rsidRPr="00EA5A01">
        <w:t>T</w:t>
      </w:r>
      <w:r w:rsidR="00124E2C">
        <w:t>obacco Use Among Rural Youth</w:t>
      </w:r>
      <w:r w:rsidR="008F6379" w:rsidRPr="000D0C09">
        <w:t>; OMB Control Number</w:t>
      </w:r>
      <w:r w:rsidR="008F6379" w:rsidRPr="00B46993">
        <w:t xml:space="preserve"> 0910-0674</w:t>
      </w:r>
    </w:p>
    <w:p w:rsidR="003F1C7A" w:rsidRPr="000D0C09" w:rsidRDefault="003F1C7A"/>
    <w:p w:rsidR="003F1C7A" w:rsidRPr="000D0C09" w:rsidRDefault="003F1C7A">
      <w:pPr>
        <w:spacing w:after="120"/>
      </w:pPr>
      <w:r w:rsidRPr="000D0C09">
        <w:rPr>
          <w:b/>
        </w:rPr>
        <w:t>DESCRIPTION OF THIS SPECIFIC COLLECTION</w:t>
      </w:r>
      <w:r w:rsidRPr="000D0C09">
        <w:t xml:space="preserve"> </w:t>
      </w:r>
    </w:p>
    <w:p w:rsidR="003F1C7A" w:rsidRPr="000D0C09" w:rsidRDefault="0049419A" w:rsidP="000B207F">
      <w:pPr>
        <w:numPr>
          <w:ilvl w:val="0"/>
          <w:numId w:val="15"/>
        </w:numPr>
        <w:tabs>
          <w:tab w:val="clear" w:pos="900"/>
          <w:tab w:val="num" w:pos="360"/>
        </w:tabs>
        <w:ind w:left="0" w:firstLine="0"/>
      </w:pPr>
      <w:r w:rsidRPr="000D0C09">
        <w:rPr>
          <w:b/>
        </w:rPr>
        <w:t xml:space="preserve">Statement of </w:t>
      </w:r>
      <w:r w:rsidR="003B7C9B" w:rsidRPr="000D0C09">
        <w:rPr>
          <w:b/>
        </w:rPr>
        <w:t>N</w:t>
      </w:r>
      <w:r w:rsidR="00F12AEE" w:rsidRPr="000D0C09">
        <w:rPr>
          <w:b/>
        </w:rPr>
        <w:t>eed</w:t>
      </w:r>
      <w:r w:rsidR="003F1C7A" w:rsidRPr="000D0C09">
        <w:t xml:space="preserve"> </w:t>
      </w:r>
    </w:p>
    <w:p w:rsidR="00DE3180" w:rsidRPr="000D0C09" w:rsidRDefault="00DE3180" w:rsidP="00DE3180">
      <w:pPr>
        <w:pStyle w:val="ListParagraph"/>
        <w:ind w:left="360"/>
      </w:pPr>
      <w:r w:rsidRPr="000D0C09">
        <w:t>The Food and Drug Administration’s (FDA) Center for Tobacco Products (CTP) is seeking OMB approval under generic clearance 0910-</w:t>
      </w:r>
      <w:r w:rsidR="00B8264F" w:rsidRPr="000D0C09">
        <w:t xml:space="preserve">0674 </w:t>
      </w:r>
      <w:r w:rsidRPr="000D0C09">
        <w:t xml:space="preserve">to conduct </w:t>
      </w:r>
      <w:r w:rsidR="00000239" w:rsidRPr="000D0C09">
        <w:t>surveys</w:t>
      </w:r>
      <w:r w:rsidRPr="000D0C09">
        <w:t xml:space="preserve"> with rural </w:t>
      </w:r>
      <w:r w:rsidR="004F048B" w:rsidRPr="000D0C09">
        <w:t xml:space="preserve">white </w:t>
      </w:r>
      <w:r w:rsidR="00A758E0" w:rsidRPr="000D0C09">
        <w:t xml:space="preserve">males </w:t>
      </w:r>
      <w:r w:rsidRPr="000D0C09">
        <w:t xml:space="preserve">aged 12–17 </w:t>
      </w:r>
      <w:r w:rsidR="00A758E0" w:rsidRPr="000D0C09">
        <w:t xml:space="preserve">who are current smokeless tobacco </w:t>
      </w:r>
      <w:r w:rsidR="0095334B" w:rsidRPr="000D0C09">
        <w:t>experimenters</w:t>
      </w:r>
      <w:r w:rsidR="00A758E0" w:rsidRPr="000D0C09">
        <w:t xml:space="preserve"> or susceptible to smokeless tob</w:t>
      </w:r>
      <w:r w:rsidR="002538BB" w:rsidRPr="000D0C09">
        <w:t>acco use</w:t>
      </w:r>
      <w:r w:rsidR="008F6379" w:rsidRPr="000D0C09">
        <w:t xml:space="preserve"> (N=</w:t>
      </w:r>
      <w:r w:rsidR="00426FC5">
        <w:t>798</w:t>
      </w:r>
      <w:r w:rsidR="008F6379" w:rsidRPr="000D0C09">
        <w:t>)</w:t>
      </w:r>
      <w:r w:rsidR="002538BB" w:rsidRPr="000D0C09">
        <w:t xml:space="preserve">.  The purpose of the surveys </w:t>
      </w:r>
      <w:r w:rsidR="00A758E0" w:rsidRPr="000D0C09">
        <w:t xml:space="preserve">is </w:t>
      </w:r>
      <w:r w:rsidRPr="000D0C09">
        <w:t xml:space="preserve">to understand their reactions to different youth </w:t>
      </w:r>
      <w:r w:rsidR="004770B7" w:rsidRPr="000D0C09">
        <w:t xml:space="preserve">smokeless </w:t>
      </w:r>
      <w:r w:rsidRPr="000D0C09">
        <w:t xml:space="preserve">tobacco prevention campaign </w:t>
      </w:r>
      <w:r w:rsidR="00793202" w:rsidRPr="000D0C09">
        <w:t>rough cut advertisements</w:t>
      </w:r>
      <w:r w:rsidR="0095334B" w:rsidRPr="000D0C09">
        <w:t>.</w:t>
      </w:r>
      <w:r w:rsidR="0022510D" w:rsidRPr="000D0C09">
        <w:t xml:space="preserve"> </w:t>
      </w:r>
      <w:r w:rsidR="0022510D" w:rsidRPr="000D0C09">
        <w:rPr>
          <w:color w:val="000000"/>
        </w:rPr>
        <w:t>Research results will be used to</w:t>
      </w:r>
      <w:r w:rsidR="0022510D" w:rsidRPr="000D0C09">
        <w:t xml:space="preserve"> assess whether rough-cut advertisements provide an understandable and engaging message about the harms of smokeless tobacco use without potential unintended adverse or counterproductive effects</w:t>
      </w:r>
      <w:r w:rsidR="0022510D" w:rsidRPr="000D0C09">
        <w:rPr>
          <w:color w:val="000000"/>
        </w:rPr>
        <w:t>.</w:t>
      </w:r>
    </w:p>
    <w:p w:rsidR="009F62C9" w:rsidRPr="000D0C09" w:rsidRDefault="009F62C9" w:rsidP="008311AE">
      <w:r w:rsidRPr="000D0C09">
        <w:t xml:space="preserve">  </w:t>
      </w:r>
    </w:p>
    <w:p w:rsidR="00591525" w:rsidRPr="000D0C09" w:rsidRDefault="0049419A" w:rsidP="000B207F">
      <w:pPr>
        <w:numPr>
          <w:ilvl w:val="0"/>
          <w:numId w:val="15"/>
        </w:numPr>
        <w:tabs>
          <w:tab w:val="clear" w:pos="900"/>
          <w:tab w:val="num" w:pos="360"/>
        </w:tabs>
        <w:ind w:left="0" w:firstLine="0"/>
      </w:pPr>
      <w:r w:rsidRPr="000D0C09">
        <w:rPr>
          <w:b/>
        </w:rPr>
        <w:t xml:space="preserve">Intended </w:t>
      </w:r>
      <w:r w:rsidR="00FB49C6" w:rsidRPr="000D0C09">
        <w:rPr>
          <w:b/>
        </w:rPr>
        <w:t>U</w:t>
      </w:r>
      <w:r w:rsidR="00F12AEE" w:rsidRPr="000D0C09">
        <w:rPr>
          <w:b/>
        </w:rPr>
        <w:t>se</w:t>
      </w:r>
      <w:r w:rsidRPr="000D0C09">
        <w:rPr>
          <w:b/>
        </w:rPr>
        <w:t xml:space="preserve"> of </w:t>
      </w:r>
      <w:r w:rsidR="00FB49C6" w:rsidRPr="000D0C09">
        <w:rPr>
          <w:b/>
        </w:rPr>
        <w:t>I</w:t>
      </w:r>
      <w:r w:rsidRPr="000D0C09">
        <w:rPr>
          <w:b/>
        </w:rPr>
        <w:t>nformation</w:t>
      </w:r>
      <w:r w:rsidR="003F1C7A" w:rsidRPr="000D0C09">
        <w:t xml:space="preserve">  </w:t>
      </w:r>
    </w:p>
    <w:p w:rsidR="008A075B" w:rsidRPr="00124E2C" w:rsidRDefault="004770B7" w:rsidP="00124E2C">
      <w:pPr>
        <w:pStyle w:val="Default"/>
        <w:ind w:left="360"/>
      </w:pPr>
      <w:r w:rsidRPr="000D0C09">
        <w:t>The information will inform CTP’s efforts to develop and implement public education campaign messaging related to preventing smokeless tobacco use among rural youth aged 12–17, with a focus on those most susceptible to use</w:t>
      </w:r>
      <w:r w:rsidR="00243BD3" w:rsidRPr="000D0C09">
        <w:t>—</w:t>
      </w:r>
      <w:r w:rsidR="004F048B" w:rsidRPr="000D0C09">
        <w:t>w</w:t>
      </w:r>
      <w:r w:rsidR="00243BD3" w:rsidRPr="000D0C09">
        <w:t>hite males</w:t>
      </w:r>
      <w:r w:rsidRPr="000D0C09">
        <w:t>.</w:t>
      </w:r>
      <w:r w:rsidR="009E4294" w:rsidRPr="000D0C09">
        <w:t xml:space="preserve"> </w:t>
      </w:r>
      <w:r w:rsidR="00780891" w:rsidRPr="00700C79">
        <w:t xml:space="preserve">Surveys will be conducted to explore the target audience’s reactions to five rough-cut advertisements. The sample of participants will be divided into exposure and control groups. Participants in exposure groups will view two advertisements each. Participants in the control group will </w:t>
      </w:r>
      <w:r w:rsidR="00B7597A" w:rsidRPr="00700C79">
        <w:t xml:space="preserve">not </w:t>
      </w:r>
      <w:r w:rsidR="00780891" w:rsidRPr="00700C79">
        <w:t xml:space="preserve">take the portion of the survey focusing on </w:t>
      </w:r>
      <w:r w:rsidR="00B7597A" w:rsidRPr="00124E2C">
        <w:t>reactions to the rough cut ads</w:t>
      </w:r>
      <w:r w:rsidR="00780891" w:rsidRPr="00124E2C">
        <w:t xml:space="preserve">. </w:t>
      </w:r>
      <w:r w:rsidR="008A075B" w:rsidRPr="00124E2C">
        <w:t xml:space="preserve">The study will answer the following questions: </w:t>
      </w:r>
    </w:p>
    <w:p w:rsidR="008A075B" w:rsidRPr="00124E2C" w:rsidRDefault="008A075B" w:rsidP="00124E2C">
      <w:pPr>
        <w:pStyle w:val="Default"/>
        <w:ind w:left="360"/>
      </w:pPr>
    </w:p>
    <w:p w:rsidR="008A075B" w:rsidRPr="000D0C09" w:rsidRDefault="008A075B" w:rsidP="008A075B">
      <w:pPr>
        <w:numPr>
          <w:ilvl w:val="0"/>
          <w:numId w:val="49"/>
        </w:numPr>
      </w:pPr>
      <w:r w:rsidRPr="000D0C09">
        <w:t>Do the rough-cut advertisements provide understandable messages about the harms of smokeless tobacco use?</w:t>
      </w:r>
    </w:p>
    <w:p w:rsidR="008A075B" w:rsidRPr="000D0C09" w:rsidRDefault="008A075B" w:rsidP="008A075B">
      <w:pPr>
        <w:numPr>
          <w:ilvl w:val="0"/>
          <w:numId w:val="49"/>
        </w:numPr>
      </w:pPr>
      <w:r w:rsidRPr="000D0C09">
        <w:t>Do the rough-cut advertisements provide engaging messages about the harms of smokeless tobacco use?</w:t>
      </w:r>
    </w:p>
    <w:p w:rsidR="00780891" w:rsidRPr="00124E2C" w:rsidRDefault="008A075B" w:rsidP="00124E2C">
      <w:pPr>
        <w:numPr>
          <w:ilvl w:val="0"/>
          <w:numId w:val="49"/>
        </w:numPr>
      </w:pPr>
      <w:r w:rsidRPr="000D0C09">
        <w:t xml:space="preserve">Do the rough-cut advertisements have any potential unintended adverse or counterproductive effects related to beliefs around the harms of smokeless tobacco use? </w:t>
      </w:r>
    </w:p>
    <w:p w:rsidR="00591525" w:rsidRPr="000D0C09" w:rsidRDefault="00C85927" w:rsidP="000169AA">
      <w:pPr>
        <w:ind w:left="360"/>
      </w:pPr>
      <w:r w:rsidRPr="000D0C09">
        <w:t xml:space="preserve"> </w:t>
      </w:r>
    </w:p>
    <w:p w:rsidR="003F1C7A" w:rsidRPr="00B46993" w:rsidRDefault="0049419A" w:rsidP="000B207F">
      <w:pPr>
        <w:numPr>
          <w:ilvl w:val="0"/>
          <w:numId w:val="15"/>
        </w:numPr>
        <w:tabs>
          <w:tab w:val="clear" w:pos="900"/>
          <w:tab w:val="num" w:pos="0"/>
          <w:tab w:val="num" w:pos="360"/>
        </w:tabs>
        <w:ind w:left="0" w:firstLine="0"/>
      </w:pPr>
      <w:r w:rsidRPr="00B46993">
        <w:rPr>
          <w:b/>
        </w:rPr>
        <w:t xml:space="preserve">Description of </w:t>
      </w:r>
      <w:r w:rsidR="00FB49C6" w:rsidRPr="00B46993">
        <w:rPr>
          <w:b/>
        </w:rPr>
        <w:t>R</w:t>
      </w:r>
      <w:r w:rsidR="00F12AEE" w:rsidRPr="00B46993">
        <w:rPr>
          <w:b/>
        </w:rPr>
        <w:t>espondents</w:t>
      </w:r>
      <w:r w:rsidR="003F1C7A" w:rsidRPr="00B46993">
        <w:t xml:space="preserve"> </w:t>
      </w:r>
    </w:p>
    <w:p w:rsidR="00940419" w:rsidRPr="00124E2C" w:rsidRDefault="0022510D" w:rsidP="000D0C09">
      <w:pPr>
        <w:ind w:left="360"/>
      </w:pPr>
      <w:r w:rsidRPr="00B46993">
        <w:t>P</w:t>
      </w:r>
      <w:r w:rsidR="00476B64" w:rsidRPr="00B46993">
        <w:t>articipants</w:t>
      </w:r>
      <w:r w:rsidR="003473AD" w:rsidRPr="000D0C09">
        <w:t xml:space="preserve"> for this study</w:t>
      </w:r>
      <w:r w:rsidR="00476B64" w:rsidRPr="000D0C09">
        <w:t xml:space="preserve"> will </w:t>
      </w:r>
      <w:r w:rsidR="000D5EB1" w:rsidRPr="000D0C09">
        <w:t xml:space="preserve">consist of </w:t>
      </w:r>
      <w:r w:rsidR="00165515" w:rsidRPr="000D0C09">
        <w:t>w</w:t>
      </w:r>
      <w:r w:rsidR="00817F26" w:rsidRPr="000D0C09">
        <w:t>hite males</w:t>
      </w:r>
      <w:r w:rsidR="00476B64" w:rsidRPr="000D0C09">
        <w:t xml:space="preserve"> aged 12–1</w:t>
      </w:r>
      <w:r w:rsidR="00D62093" w:rsidRPr="000D0C09">
        <w:t>7</w:t>
      </w:r>
      <w:r w:rsidR="00476B64" w:rsidRPr="000D0C09">
        <w:t xml:space="preserve"> </w:t>
      </w:r>
      <w:r w:rsidR="008C3AF0" w:rsidRPr="000D0C09">
        <w:t>(n =</w:t>
      </w:r>
      <w:r w:rsidR="007030FA" w:rsidRPr="000D0C09">
        <w:t xml:space="preserve"> </w:t>
      </w:r>
      <w:r w:rsidR="00426FC5">
        <w:t>798</w:t>
      </w:r>
      <w:r w:rsidR="007030FA" w:rsidRPr="000D0C09">
        <w:t>)</w:t>
      </w:r>
      <w:r w:rsidR="008C3AF0" w:rsidRPr="000D0C09">
        <w:t xml:space="preserve"> </w:t>
      </w:r>
      <w:r w:rsidR="00476B64" w:rsidRPr="000D0C09">
        <w:t xml:space="preserve">who </w:t>
      </w:r>
      <w:r w:rsidR="000D5EB1" w:rsidRPr="000D0C09">
        <w:t>currently reside in</w:t>
      </w:r>
      <w:r w:rsidR="00476B64" w:rsidRPr="000D0C09">
        <w:t xml:space="preserve"> non-metro </w:t>
      </w:r>
      <w:r w:rsidR="000D5EB1" w:rsidRPr="000D0C09">
        <w:t>counties</w:t>
      </w:r>
      <w:r w:rsidR="008C3AF0" w:rsidRPr="000D0C09">
        <w:t xml:space="preserve"> and are </w:t>
      </w:r>
      <w:r w:rsidRPr="000D0C09">
        <w:t xml:space="preserve">experimenting with </w:t>
      </w:r>
      <w:r w:rsidR="008C3AF0" w:rsidRPr="000D0C09">
        <w:t xml:space="preserve">smokeless tobacco </w:t>
      </w:r>
      <w:r w:rsidR="00165515" w:rsidRPr="000D0C09">
        <w:t xml:space="preserve">(i.e., have tried smokeless tobacco, but have used it less than 100 times in their lifetime) </w:t>
      </w:r>
      <w:r w:rsidR="008C3AF0" w:rsidRPr="000D0C09">
        <w:t xml:space="preserve">or </w:t>
      </w:r>
      <w:r w:rsidRPr="000D0C09">
        <w:t>are at-risk for</w:t>
      </w:r>
      <w:r w:rsidR="008C3AF0" w:rsidRPr="000D0C09">
        <w:t xml:space="preserve"> smokeless tobacco use</w:t>
      </w:r>
      <w:r w:rsidR="00165515" w:rsidRPr="000D0C09">
        <w:t xml:space="preserve"> (i.e., indicate that they are curious about smokeless tobacco, would use smokeless it in the future, and/or would use it if a friend offered it to them)</w:t>
      </w:r>
      <w:r w:rsidR="00817F26" w:rsidRPr="000D0C09">
        <w:t>.</w:t>
      </w:r>
      <w:r w:rsidR="001F28D7" w:rsidRPr="000D0C09">
        <w:t xml:space="preserve"> </w:t>
      </w:r>
      <w:r w:rsidR="00165515" w:rsidRPr="000D0C09">
        <w:t>Based on prior research that has been conducted for this campaign</w:t>
      </w:r>
      <w:r w:rsidR="00302C53" w:rsidRPr="000D0C09">
        <w:t>, it</w:t>
      </w:r>
      <w:r w:rsidR="00165515" w:rsidRPr="000D0C09">
        <w:t xml:space="preserve"> is </w:t>
      </w:r>
      <w:r w:rsidR="006971FB" w:rsidRPr="000D0C09">
        <w:t>estimate</w:t>
      </w:r>
      <w:r w:rsidR="00165515" w:rsidRPr="000D0C09">
        <w:t>d that</w:t>
      </w:r>
      <w:r w:rsidR="006971FB" w:rsidRPr="000D0C09">
        <w:t xml:space="preserve"> </w:t>
      </w:r>
      <w:r w:rsidR="0044680B">
        <w:t>three</w:t>
      </w:r>
      <w:r w:rsidR="006971FB" w:rsidRPr="000D0C09">
        <w:t xml:space="preserve"> </w:t>
      </w:r>
      <w:r w:rsidR="004425D9" w:rsidRPr="000D0C09">
        <w:t>youth</w:t>
      </w:r>
      <w:r w:rsidR="006971FB" w:rsidRPr="000D0C09">
        <w:t xml:space="preserve"> </w:t>
      </w:r>
      <w:r w:rsidR="00165515" w:rsidRPr="000D0C09">
        <w:t xml:space="preserve">will </w:t>
      </w:r>
      <w:r w:rsidR="006971FB" w:rsidRPr="000D0C09">
        <w:t xml:space="preserve">need to be screened for every </w:t>
      </w:r>
      <w:r w:rsidR="00165515" w:rsidRPr="000D0C09">
        <w:t xml:space="preserve">one youth that is enrolled as a </w:t>
      </w:r>
      <w:r w:rsidR="004425D9" w:rsidRPr="000D0C09">
        <w:t>survey participant. A</w:t>
      </w:r>
      <w:r w:rsidR="00165515" w:rsidRPr="000D0C09">
        <w:t xml:space="preserve">n estimated </w:t>
      </w:r>
      <w:r w:rsidR="0044680B">
        <w:t>2,</w:t>
      </w:r>
      <w:r w:rsidR="00426FC5">
        <w:t>394</w:t>
      </w:r>
      <w:r w:rsidR="006971FB" w:rsidRPr="000D0C09">
        <w:t xml:space="preserve"> </w:t>
      </w:r>
      <w:r w:rsidR="00165515" w:rsidRPr="000D0C09">
        <w:t xml:space="preserve">youth </w:t>
      </w:r>
      <w:r w:rsidR="006971FB" w:rsidRPr="000D0C09">
        <w:t>will be screened, and one</w:t>
      </w:r>
      <w:r w:rsidR="0044680B">
        <w:t>-third</w:t>
      </w:r>
      <w:r w:rsidR="007A187D" w:rsidRPr="000D0C09">
        <w:t xml:space="preserve"> of those (</w:t>
      </w:r>
      <w:r w:rsidR="00165515" w:rsidRPr="000D0C09">
        <w:t>N=</w:t>
      </w:r>
      <w:r w:rsidR="00426FC5">
        <w:t>798</w:t>
      </w:r>
      <w:r w:rsidR="006971FB" w:rsidRPr="000D0C09">
        <w:t xml:space="preserve">) respondents will participate in </w:t>
      </w:r>
      <w:r w:rsidR="006971FB" w:rsidRPr="000D0C09">
        <w:lastRenderedPageBreak/>
        <w:t xml:space="preserve">the actual </w:t>
      </w:r>
      <w:r w:rsidR="007A187D" w:rsidRPr="000D0C09">
        <w:t>survey</w:t>
      </w:r>
      <w:r w:rsidR="006971FB" w:rsidRPr="000D0C09">
        <w:t xml:space="preserve">. </w:t>
      </w:r>
      <w:r w:rsidRPr="000D0C09">
        <w:t xml:space="preserve"> </w:t>
      </w:r>
      <w:r w:rsidRPr="00B46993">
        <w:t>A</w:t>
      </w:r>
      <w:r w:rsidR="0097149B" w:rsidRPr="00B46993">
        <w:t xml:space="preserve"> total of </w:t>
      </w:r>
      <w:r w:rsidR="00A602E1">
        <w:t>570</w:t>
      </w:r>
      <w:r w:rsidR="0097149B" w:rsidRPr="000D0C09">
        <w:t xml:space="preserve"> participants will be in the ad view group, and</w:t>
      </w:r>
      <w:r w:rsidRPr="000D0C09">
        <w:t xml:space="preserve"> another </w:t>
      </w:r>
      <w:r w:rsidR="00A602E1">
        <w:t>228</w:t>
      </w:r>
      <w:r w:rsidR="00B00E59">
        <w:t xml:space="preserve"> </w:t>
      </w:r>
      <w:r w:rsidRPr="000D0C09">
        <w:t xml:space="preserve">participants will </w:t>
      </w:r>
      <w:r w:rsidRPr="00B46993">
        <w:t>not view a rough-cut advertisement.</w:t>
      </w:r>
    </w:p>
    <w:p w:rsidR="005F5CD1" w:rsidRPr="00B46993" w:rsidRDefault="005F5CD1" w:rsidP="00705CC5">
      <w:pPr>
        <w:rPr>
          <w:color w:val="808080"/>
        </w:rPr>
      </w:pPr>
    </w:p>
    <w:tbl>
      <w:tblPr>
        <w:tblW w:w="8748" w:type="dxa"/>
        <w:tblInd w:w="468" w:type="dxa"/>
        <w:tblLayout w:type="fixed"/>
        <w:tblLook w:val="04A0" w:firstRow="1" w:lastRow="0" w:firstColumn="1" w:lastColumn="0" w:noHBand="0" w:noVBand="1"/>
      </w:tblPr>
      <w:tblGrid>
        <w:gridCol w:w="2694"/>
        <w:gridCol w:w="1995"/>
        <w:gridCol w:w="2095"/>
        <w:gridCol w:w="1964"/>
      </w:tblGrid>
      <w:tr w:rsidR="0022510D" w:rsidRPr="000D0C09" w:rsidTr="00124E2C">
        <w:trPr>
          <w:trHeight w:val="29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10D" w:rsidRPr="00124E2C" w:rsidRDefault="0022510D" w:rsidP="00654E99">
            <w:pPr>
              <w:jc w:val="center"/>
              <w:rPr>
                <w:b/>
              </w:rPr>
            </w:pP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rsidR="0022510D" w:rsidRPr="00124E2C" w:rsidRDefault="0022510D" w:rsidP="00654E99">
            <w:pPr>
              <w:jc w:val="center"/>
              <w:rPr>
                <w:b/>
              </w:rPr>
            </w:pPr>
            <w:r w:rsidRPr="00124E2C">
              <w:rPr>
                <w:b/>
              </w:rPr>
              <w:t>Ad View Group</w:t>
            </w:r>
            <w:r w:rsidR="00700C79">
              <w:rPr>
                <w:b/>
              </w:rPr>
              <w:t>*</w:t>
            </w:r>
          </w:p>
        </w:tc>
        <w:tc>
          <w:tcPr>
            <w:tcW w:w="2095" w:type="dxa"/>
            <w:tcBorders>
              <w:top w:val="single" w:sz="4" w:space="0" w:color="auto"/>
              <w:left w:val="nil"/>
              <w:bottom w:val="single" w:sz="4" w:space="0" w:color="auto"/>
              <w:right w:val="single" w:sz="4" w:space="0" w:color="auto"/>
            </w:tcBorders>
          </w:tcPr>
          <w:p w:rsidR="0022510D" w:rsidRPr="00124E2C" w:rsidRDefault="0022510D" w:rsidP="00654E99">
            <w:pPr>
              <w:jc w:val="center"/>
              <w:rPr>
                <w:b/>
              </w:rPr>
            </w:pPr>
          </w:p>
          <w:p w:rsidR="0022510D" w:rsidRPr="00124E2C" w:rsidDel="00EA703D" w:rsidRDefault="0022510D" w:rsidP="00654E99">
            <w:pPr>
              <w:jc w:val="center"/>
              <w:rPr>
                <w:b/>
              </w:rPr>
            </w:pPr>
            <w:r w:rsidRPr="00124E2C">
              <w:rPr>
                <w:b/>
              </w:rPr>
              <w:t>No Ad View Group</w:t>
            </w:r>
            <w:r w:rsidR="00700C79">
              <w:rPr>
                <w:b/>
              </w:rPr>
              <w:t>*</w:t>
            </w:r>
          </w:p>
        </w:tc>
        <w:tc>
          <w:tcPr>
            <w:tcW w:w="1964" w:type="dxa"/>
            <w:tcBorders>
              <w:top w:val="single" w:sz="4" w:space="0" w:color="auto"/>
              <w:left w:val="nil"/>
              <w:bottom w:val="single" w:sz="4" w:space="0" w:color="auto"/>
              <w:right w:val="single" w:sz="4" w:space="0" w:color="auto"/>
            </w:tcBorders>
          </w:tcPr>
          <w:p w:rsidR="0022510D" w:rsidRPr="00124E2C" w:rsidRDefault="0022510D" w:rsidP="00654E99">
            <w:pPr>
              <w:jc w:val="center"/>
              <w:rPr>
                <w:b/>
              </w:rPr>
            </w:pPr>
          </w:p>
          <w:p w:rsidR="0022510D" w:rsidRPr="00124E2C" w:rsidRDefault="0022510D" w:rsidP="00654E99">
            <w:pPr>
              <w:jc w:val="center"/>
              <w:rPr>
                <w:b/>
              </w:rPr>
            </w:pPr>
            <w:r w:rsidRPr="00124E2C">
              <w:rPr>
                <w:b/>
              </w:rPr>
              <w:t>Total</w:t>
            </w:r>
          </w:p>
        </w:tc>
      </w:tr>
      <w:tr w:rsidR="0022510D" w:rsidRPr="000D0C09" w:rsidTr="00124E2C">
        <w:trPr>
          <w:trHeight w:val="29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22510D" w:rsidRPr="00124E2C" w:rsidRDefault="0022510D" w:rsidP="00654E99">
            <w:pPr>
              <w:jc w:val="center"/>
            </w:pPr>
            <w:r w:rsidRPr="00124E2C">
              <w:t>Experimenters</w:t>
            </w:r>
          </w:p>
        </w:tc>
        <w:tc>
          <w:tcPr>
            <w:tcW w:w="1995" w:type="dxa"/>
            <w:tcBorders>
              <w:top w:val="nil"/>
              <w:left w:val="nil"/>
              <w:bottom w:val="single" w:sz="4" w:space="0" w:color="auto"/>
              <w:right w:val="single" w:sz="4" w:space="0" w:color="auto"/>
            </w:tcBorders>
            <w:shd w:val="clear" w:color="auto" w:fill="auto"/>
            <w:noWrap/>
            <w:vAlign w:val="bottom"/>
            <w:hideMark/>
          </w:tcPr>
          <w:p w:rsidR="0022510D" w:rsidRPr="00302C53" w:rsidRDefault="00A602E1" w:rsidP="00654E99">
            <w:pPr>
              <w:jc w:val="center"/>
            </w:pPr>
            <w:r>
              <w:t>285</w:t>
            </w:r>
          </w:p>
        </w:tc>
        <w:tc>
          <w:tcPr>
            <w:tcW w:w="2095" w:type="dxa"/>
            <w:tcBorders>
              <w:top w:val="nil"/>
              <w:left w:val="nil"/>
              <w:bottom w:val="single" w:sz="4" w:space="0" w:color="auto"/>
              <w:right w:val="single" w:sz="4" w:space="0" w:color="auto"/>
            </w:tcBorders>
          </w:tcPr>
          <w:p w:rsidR="0022510D" w:rsidRPr="00302C53" w:rsidRDefault="0022510D" w:rsidP="00654E99">
            <w:pPr>
              <w:jc w:val="center"/>
            </w:pPr>
          </w:p>
          <w:p w:rsidR="0022510D" w:rsidRPr="00302C53" w:rsidDel="00EA703D" w:rsidRDefault="00A602E1" w:rsidP="00654E99">
            <w:pPr>
              <w:jc w:val="center"/>
            </w:pPr>
            <w:r>
              <w:t>114</w:t>
            </w:r>
          </w:p>
        </w:tc>
        <w:tc>
          <w:tcPr>
            <w:tcW w:w="1964" w:type="dxa"/>
            <w:tcBorders>
              <w:top w:val="nil"/>
              <w:left w:val="nil"/>
              <w:bottom w:val="single" w:sz="4" w:space="0" w:color="auto"/>
              <w:right w:val="single" w:sz="4" w:space="0" w:color="auto"/>
            </w:tcBorders>
          </w:tcPr>
          <w:p w:rsidR="0022510D" w:rsidRPr="00124E2C" w:rsidRDefault="0022510D" w:rsidP="00654E99">
            <w:pPr>
              <w:jc w:val="center"/>
            </w:pPr>
          </w:p>
          <w:p w:rsidR="0022510D" w:rsidRPr="00124E2C" w:rsidRDefault="00426FC5" w:rsidP="00654E99">
            <w:pPr>
              <w:jc w:val="center"/>
            </w:pPr>
            <w:r>
              <w:t>399</w:t>
            </w:r>
          </w:p>
        </w:tc>
      </w:tr>
      <w:tr w:rsidR="0022510D" w:rsidRPr="000D0C09" w:rsidTr="005737F0">
        <w:trPr>
          <w:trHeight w:val="29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22510D" w:rsidRPr="00124E2C" w:rsidRDefault="0022510D" w:rsidP="00654E99">
            <w:pPr>
              <w:jc w:val="center"/>
            </w:pPr>
            <w:r w:rsidRPr="00124E2C">
              <w:t>At-Risk</w:t>
            </w:r>
          </w:p>
        </w:tc>
        <w:tc>
          <w:tcPr>
            <w:tcW w:w="1995" w:type="dxa"/>
            <w:tcBorders>
              <w:top w:val="nil"/>
              <w:left w:val="nil"/>
              <w:bottom w:val="single" w:sz="4" w:space="0" w:color="auto"/>
              <w:right w:val="single" w:sz="4" w:space="0" w:color="auto"/>
            </w:tcBorders>
            <w:shd w:val="clear" w:color="auto" w:fill="auto"/>
            <w:noWrap/>
            <w:vAlign w:val="bottom"/>
            <w:hideMark/>
          </w:tcPr>
          <w:p w:rsidR="0022510D" w:rsidRPr="00302C53" w:rsidRDefault="00A602E1" w:rsidP="00654E99">
            <w:pPr>
              <w:jc w:val="center"/>
            </w:pPr>
            <w:r>
              <w:t>285</w:t>
            </w:r>
          </w:p>
        </w:tc>
        <w:tc>
          <w:tcPr>
            <w:tcW w:w="2095" w:type="dxa"/>
            <w:tcBorders>
              <w:top w:val="nil"/>
              <w:left w:val="nil"/>
              <w:bottom w:val="single" w:sz="4" w:space="0" w:color="auto"/>
              <w:right w:val="single" w:sz="4" w:space="0" w:color="auto"/>
            </w:tcBorders>
          </w:tcPr>
          <w:p w:rsidR="0022510D" w:rsidRPr="00302C53" w:rsidRDefault="0022510D" w:rsidP="00654E99">
            <w:pPr>
              <w:jc w:val="center"/>
            </w:pPr>
          </w:p>
          <w:p w:rsidR="0022510D" w:rsidRPr="00302C53" w:rsidDel="00EA703D" w:rsidRDefault="00A602E1" w:rsidP="00654E99">
            <w:pPr>
              <w:jc w:val="center"/>
            </w:pPr>
            <w:r>
              <w:t>114</w:t>
            </w:r>
          </w:p>
        </w:tc>
        <w:tc>
          <w:tcPr>
            <w:tcW w:w="1964" w:type="dxa"/>
            <w:tcBorders>
              <w:top w:val="nil"/>
              <w:left w:val="nil"/>
              <w:bottom w:val="single" w:sz="4" w:space="0" w:color="auto"/>
              <w:right w:val="single" w:sz="4" w:space="0" w:color="auto"/>
            </w:tcBorders>
          </w:tcPr>
          <w:p w:rsidR="0022510D" w:rsidRPr="00124E2C" w:rsidRDefault="0022510D" w:rsidP="00654E99">
            <w:pPr>
              <w:jc w:val="center"/>
            </w:pPr>
          </w:p>
          <w:p w:rsidR="0022510D" w:rsidRPr="00124E2C" w:rsidRDefault="00426FC5" w:rsidP="00124E2C">
            <w:pPr>
              <w:jc w:val="center"/>
            </w:pPr>
            <w:r>
              <w:t>399</w:t>
            </w:r>
          </w:p>
        </w:tc>
      </w:tr>
      <w:tr w:rsidR="0022510D" w:rsidRPr="000D0C09" w:rsidTr="005737F0">
        <w:trPr>
          <w:trHeight w:val="29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22510D" w:rsidRPr="00124E2C" w:rsidRDefault="0022510D" w:rsidP="00B00E59">
            <w:pPr>
              <w:jc w:val="center"/>
              <w:rPr>
                <w:b/>
              </w:rPr>
            </w:pPr>
            <w:r w:rsidRPr="00124E2C">
              <w:rPr>
                <w:b/>
              </w:rPr>
              <w:t>Total Respondents</w:t>
            </w:r>
          </w:p>
        </w:tc>
        <w:tc>
          <w:tcPr>
            <w:tcW w:w="1995" w:type="dxa"/>
            <w:tcBorders>
              <w:top w:val="nil"/>
              <w:left w:val="nil"/>
              <w:bottom w:val="single" w:sz="4" w:space="0" w:color="auto"/>
              <w:right w:val="single" w:sz="4" w:space="0" w:color="auto"/>
            </w:tcBorders>
          </w:tcPr>
          <w:p w:rsidR="0022510D" w:rsidRPr="00124E2C" w:rsidRDefault="0022510D" w:rsidP="00654E99">
            <w:pPr>
              <w:jc w:val="center"/>
              <w:rPr>
                <w:b/>
              </w:rPr>
            </w:pPr>
          </w:p>
          <w:p w:rsidR="0022510D" w:rsidRPr="00124E2C" w:rsidRDefault="00B00E59" w:rsidP="00654E99">
            <w:pPr>
              <w:jc w:val="center"/>
              <w:rPr>
                <w:b/>
              </w:rPr>
            </w:pPr>
            <w:r>
              <w:rPr>
                <w:b/>
              </w:rPr>
              <w:t>570</w:t>
            </w:r>
          </w:p>
        </w:tc>
        <w:tc>
          <w:tcPr>
            <w:tcW w:w="2095" w:type="dxa"/>
            <w:tcBorders>
              <w:top w:val="single" w:sz="4" w:space="0" w:color="auto"/>
              <w:left w:val="single" w:sz="4" w:space="0" w:color="auto"/>
              <w:bottom w:val="single" w:sz="4" w:space="0" w:color="auto"/>
              <w:right w:val="single" w:sz="4" w:space="0" w:color="auto"/>
            </w:tcBorders>
          </w:tcPr>
          <w:p w:rsidR="0022510D" w:rsidRDefault="0022510D" w:rsidP="00654E99">
            <w:pPr>
              <w:jc w:val="center"/>
              <w:rPr>
                <w:b/>
              </w:rPr>
            </w:pPr>
          </w:p>
          <w:p w:rsidR="005737F0" w:rsidRPr="00124E2C" w:rsidRDefault="005737F0" w:rsidP="00654E99">
            <w:pPr>
              <w:jc w:val="center"/>
              <w:rPr>
                <w:b/>
              </w:rPr>
            </w:pPr>
            <w:r>
              <w:rPr>
                <w:b/>
              </w:rPr>
              <w:t>228</w:t>
            </w:r>
          </w:p>
        </w:tc>
        <w:tc>
          <w:tcPr>
            <w:tcW w:w="1964" w:type="dxa"/>
            <w:tcBorders>
              <w:top w:val="single" w:sz="4" w:space="0" w:color="auto"/>
              <w:left w:val="single" w:sz="4" w:space="0" w:color="auto"/>
              <w:bottom w:val="single" w:sz="4" w:space="0" w:color="auto"/>
              <w:right w:val="single" w:sz="4" w:space="0" w:color="auto"/>
            </w:tcBorders>
          </w:tcPr>
          <w:p w:rsidR="0022510D" w:rsidRPr="00124E2C" w:rsidRDefault="0022510D" w:rsidP="00654E99">
            <w:pPr>
              <w:jc w:val="center"/>
              <w:rPr>
                <w:b/>
              </w:rPr>
            </w:pPr>
          </w:p>
          <w:p w:rsidR="0022510D" w:rsidRPr="00124E2C" w:rsidRDefault="00426FC5" w:rsidP="00654E99">
            <w:pPr>
              <w:jc w:val="center"/>
              <w:rPr>
                <w:b/>
              </w:rPr>
            </w:pPr>
            <w:r>
              <w:rPr>
                <w:b/>
              </w:rPr>
              <w:t>798</w:t>
            </w:r>
          </w:p>
        </w:tc>
      </w:tr>
    </w:tbl>
    <w:p w:rsidR="0022510D" w:rsidRPr="00124E2C" w:rsidRDefault="00700C79" w:rsidP="00124E2C">
      <w:pPr>
        <w:ind w:left="360"/>
        <w:rPr>
          <w:sz w:val="20"/>
          <w:szCs w:val="20"/>
        </w:rPr>
      </w:pPr>
      <w:r w:rsidRPr="00124E2C">
        <w:rPr>
          <w:sz w:val="20"/>
          <w:szCs w:val="20"/>
        </w:rPr>
        <w:t xml:space="preserve">*The overall sample will be </w:t>
      </w:r>
      <w:r w:rsidR="00426FC5">
        <w:rPr>
          <w:sz w:val="20"/>
          <w:szCs w:val="20"/>
        </w:rPr>
        <w:t>798</w:t>
      </w:r>
      <w:r w:rsidRPr="00124E2C">
        <w:rPr>
          <w:sz w:val="20"/>
          <w:szCs w:val="20"/>
        </w:rPr>
        <w:t>, but cell sizes may vary slightly, depending on participant enrollment and randomization.</w:t>
      </w:r>
    </w:p>
    <w:p w:rsidR="005F5CD1" w:rsidRPr="000D0C09" w:rsidRDefault="005F5CD1" w:rsidP="000B207F">
      <w:pPr>
        <w:ind w:left="360"/>
        <w:rPr>
          <w:color w:val="808080"/>
        </w:rPr>
      </w:pPr>
    </w:p>
    <w:p w:rsidR="003F1C7A" w:rsidRPr="000D0C09" w:rsidRDefault="000E7C99" w:rsidP="000B207F">
      <w:pPr>
        <w:numPr>
          <w:ilvl w:val="0"/>
          <w:numId w:val="15"/>
        </w:numPr>
        <w:tabs>
          <w:tab w:val="clear" w:pos="900"/>
          <w:tab w:val="num" w:pos="0"/>
          <w:tab w:val="num" w:pos="360"/>
        </w:tabs>
        <w:ind w:left="360"/>
      </w:pPr>
      <w:r w:rsidRPr="000D0C09">
        <w:rPr>
          <w:b/>
        </w:rPr>
        <w:t xml:space="preserve">Date(s) </w:t>
      </w:r>
      <w:r w:rsidR="00915E13" w:rsidRPr="000D0C09">
        <w:rPr>
          <w:b/>
        </w:rPr>
        <w:t xml:space="preserve">to be </w:t>
      </w:r>
      <w:r w:rsidR="00940419" w:rsidRPr="000D0C09">
        <w:rPr>
          <w:b/>
        </w:rPr>
        <w:t>c</w:t>
      </w:r>
      <w:r w:rsidRPr="000D0C09">
        <w:rPr>
          <w:b/>
        </w:rPr>
        <w:t>onducted</w:t>
      </w:r>
      <w:r w:rsidR="00940419" w:rsidRPr="000D0C09">
        <w:rPr>
          <w:b/>
        </w:rPr>
        <w:t>:</w:t>
      </w:r>
      <w:r w:rsidR="00E415F0" w:rsidRPr="000D0C09">
        <w:rPr>
          <w:b/>
        </w:rPr>
        <w:t xml:space="preserve"> </w:t>
      </w:r>
    </w:p>
    <w:p w:rsidR="006D39FA" w:rsidRPr="000D0C09" w:rsidRDefault="006E7330" w:rsidP="00F53998">
      <w:pPr>
        <w:ind w:left="360"/>
      </w:pPr>
      <w:r w:rsidRPr="000D0C09">
        <w:t xml:space="preserve">The </w:t>
      </w:r>
      <w:r w:rsidR="00700C79">
        <w:t>study</w:t>
      </w:r>
      <w:r w:rsidR="00E33DE4" w:rsidRPr="000D0C09">
        <w:t xml:space="preserve"> </w:t>
      </w:r>
      <w:r w:rsidR="00FF472A">
        <w:t>is projected to</w:t>
      </w:r>
      <w:r w:rsidR="00FF472A" w:rsidRPr="000D0C09">
        <w:t xml:space="preserve"> </w:t>
      </w:r>
      <w:r w:rsidR="00774795" w:rsidRPr="000D0C09">
        <w:t>take place</w:t>
      </w:r>
      <w:r w:rsidR="00FF472A">
        <w:t xml:space="preserve"> between</w:t>
      </w:r>
      <w:r w:rsidR="00774795" w:rsidRPr="000D0C09">
        <w:t xml:space="preserve"> </w:t>
      </w:r>
      <w:r w:rsidR="00700C79" w:rsidRPr="006A55F8">
        <w:t>Septembe</w:t>
      </w:r>
      <w:r w:rsidR="003044A6" w:rsidRPr="006A55F8">
        <w:t>r</w:t>
      </w:r>
      <w:r w:rsidR="007A187D" w:rsidRPr="006A55F8">
        <w:t xml:space="preserve"> </w:t>
      </w:r>
      <w:r w:rsidR="0097149B" w:rsidRPr="006A55F8">
        <w:t xml:space="preserve">1, </w:t>
      </w:r>
      <w:r w:rsidR="007A187D" w:rsidRPr="006A55F8">
        <w:t>2015</w:t>
      </w:r>
      <w:r w:rsidR="00115F69" w:rsidRPr="006A55F8">
        <w:t xml:space="preserve"> – </w:t>
      </w:r>
      <w:r w:rsidR="00700C79" w:rsidRPr="00124E2C">
        <w:t>August 31</w:t>
      </w:r>
      <w:r w:rsidR="0097149B" w:rsidRPr="006A55F8">
        <w:t xml:space="preserve">, </w:t>
      </w:r>
      <w:r w:rsidR="00115F69" w:rsidRPr="006A55F8">
        <w:t>201</w:t>
      </w:r>
      <w:r w:rsidR="008F6379" w:rsidRPr="006A55F8">
        <w:t>6</w:t>
      </w:r>
      <w:r w:rsidR="00700C79" w:rsidRPr="00124E2C">
        <w:t>, pending study approval</w:t>
      </w:r>
      <w:r w:rsidR="00D711EA" w:rsidRPr="006A55F8">
        <w:t xml:space="preserve">. </w:t>
      </w:r>
    </w:p>
    <w:p w:rsidR="00413A19" w:rsidRPr="000D0C09" w:rsidRDefault="00413A19">
      <w:pPr>
        <w:rPr>
          <w:b/>
        </w:rPr>
      </w:pPr>
    </w:p>
    <w:p w:rsidR="00E70808" w:rsidRPr="000D0C09" w:rsidRDefault="00E70808" w:rsidP="00E70808">
      <w:pPr>
        <w:numPr>
          <w:ilvl w:val="0"/>
          <w:numId w:val="15"/>
        </w:numPr>
        <w:tabs>
          <w:tab w:val="left" w:pos="0"/>
          <w:tab w:val="num" w:pos="360"/>
        </w:tabs>
        <w:ind w:left="0" w:firstLine="0"/>
        <w:rPr>
          <w:b/>
        </w:rPr>
      </w:pPr>
      <w:r w:rsidRPr="000D0C09">
        <w:rPr>
          <w:b/>
        </w:rPr>
        <w:t>How the Information is being collected:</w:t>
      </w:r>
    </w:p>
    <w:p w:rsidR="00645E60" w:rsidRPr="000D0C09" w:rsidRDefault="000B7EA3" w:rsidP="00645E60">
      <w:pPr>
        <w:pStyle w:val="Default"/>
        <w:ind w:left="360"/>
        <w:jc w:val="both"/>
      </w:pPr>
      <w:r w:rsidRPr="00B46993">
        <w:t>The information is</w:t>
      </w:r>
      <w:r w:rsidR="00645E60" w:rsidRPr="00B46993">
        <w:t xml:space="preserve"> being collected by research staff from</w:t>
      </w:r>
      <w:r w:rsidR="00645E60" w:rsidRPr="000D0C09">
        <w:t xml:space="preserve"> </w:t>
      </w:r>
      <w:r w:rsidR="009E4294" w:rsidRPr="000D0C09">
        <w:t>Fors Marsh Group</w:t>
      </w:r>
      <w:r w:rsidR="00645E60" w:rsidRPr="000D0C09">
        <w:t xml:space="preserve"> and </w:t>
      </w:r>
      <w:r w:rsidR="009E4294" w:rsidRPr="000D0C09">
        <w:t>Michael Cohen Group</w:t>
      </w:r>
      <w:r w:rsidR="00645E60" w:rsidRPr="000D0C09">
        <w:t xml:space="preserve"> who will administer the surveys in a series of school-based survey sessions with eligible students. </w:t>
      </w:r>
      <w:r w:rsidR="0097149B" w:rsidRPr="000D0C09">
        <w:t xml:space="preserve">Depending on school preferences, </w:t>
      </w:r>
      <w:r w:rsidR="00645E60" w:rsidRPr="000D0C09">
        <w:t>surveys</w:t>
      </w:r>
      <w:r w:rsidR="0097149B" w:rsidRPr="000D0C09">
        <w:t xml:space="preserve"> will be administered</w:t>
      </w:r>
      <w:r w:rsidR="00645E60" w:rsidRPr="000D0C09">
        <w:t xml:space="preserve"> during elective periods, lunch periods, or when other extra-curricular activities are taking place at the school. </w:t>
      </w:r>
    </w:p>
    <w:p w:rsidR="00645E60" w:rsidRPr="000D0C09" w:rsidRDefault="00645E60" w:rsidP="00645E60">
      <w:pPr>
        <w:pStyle w:val="Default"/>
        <w:ind w:left="900"/>
        <w:jc w:val="both"/>
      </w:pPr>
    </w:p>
    <w:p w:rsidR="00645E60" w:rsidRPr="000D0C09" w:rsidRDefault="00645E60" w:rsidP="00645E60">
      <w:pPr>
        <w:pStyle w:val="Default"/>
        <w:ind w:left="360"/>
        <w:jc w:val="both"/>
      </w:pPr>
      <w:r w:rsidRPr="000D0C09">
        <w:t>The administration of surveys will be conducted as follows. Once participants are identified as eligible and given proper time for parental notification and/or consent, they will be notified of the time and location of their survey appointment. Upon arrival, students will be given a brief overview of the study and instruction on how to complete the survey</w:t>
      </w:r>
      <w:r w:rsidR="00580668">
        <w:t xml:space="preserve"> [3 minutes]</w:t>
      </w:r>
      <w:r w:rsidRPr="000D0C09">
        <w:t>. Participants will then complete the survey</w:t>
      </w:r>
      <w:r w:rsidR="00580668">
        <w:t xml:space="preserve"> </w:t>
      </w:r>
      <w:r w:rsidR="009318C3">
        <w:t>[1</w:t>
      </w:r>
      <w:r w:rsidR="00580668">
        <w:t>5 minutes]</w:t>
      </w:r>
      <w:r w:rsidRPr="000D0C09">
        <w:t xml:space="preserve">. Upon completion of the survey, participants will be given incentives </w:t>
      </w:r>
      <w:r w:rsidR="0097149B" w:rsidRPr="000D0C09">
        <w:t xml:space="preserve">for taking part in the study </w:t>
      </w:r>
      <w:r w:rsidRPr="000D0C09">
        <w:t>and instructed to return to their ongoing classes</w:t>
      </w:r>
      <w:r w:rsidR="00580668">
        <w:t xml:space="preserve"> [2 minutes]</w:t>
      </w:r>
      <w:r w:rsidRPr="000D0C09">
        <w:t xml:space="preserve">. </w:t>
      </w:r>
    </w:p>
    <w:p w:rsidR="00645E60" w:rsidRPr="000D0C09" w:rsidRDefault="00645E60" w:rsidP="00F76347">
      <w:pPr>
        <w:pStyle w:val="Default"/>
        <w:jc w:val="both"/>
      </w:pPr>
    </w:p>
    <w:p w:rsidR="00645E60" w:rsidRPr="000D0C09" w:rsidRDefault="0097149B" w:rsidP="00645E60">
      <w:pPr>
        <w:ind w:left="360"/>
        <w:jc w:val="both"/>
      </w:pPr>
      <w:r w:rsidRPr="000D0C09">
        <w:t>In the</w:t>
      </w:r>
      <w:r w:rsidR="00645E60" w:rsidRPr="000D0C09">
        <w:t xml:space="preserve"> event </w:t>
      </w:r>
      <w:r w:rsidRPr="000D0C09">
        <w:t xml:space="preserve">that participants </w:t>
      </w:r>
      <w:r w:rsidR="00645E60" w:rsidRPr="000D0C09">
        <w:t>are unable to take the survey while in school</w:t>
      </w:r>
      <w:r w:rsidRPr="000D0C09">
        <w:t>, they will be provided with an in-home option.</w:t>
      </w:r>
      <w:r w:rsidR="00645E60" w:rsidRPr="000D0C09">
        <w:t xml:space="preserve"> The survey will be identical to the tablet-based version except properly rendered for standard internet browsers. This option will only be employed if students are entirely unavailable to take the survey during the school-based process described above. The students will be given a card with a URL directing them to the survey. This option will only be employed if additional participants are needed and there are difficulties in scheduling times to take the survey in schools.  IP addresses will not be collected by the online survey system, and survey links and access codes that are uniquely coded for each participant will not be used to identify participants or link them to the results. No first- or third-party cookies will be stored during questionnaire completion and/or during the gift card distribution process.  Although 12 year-olds are part of the campaign target audience, at home administration will only be used as an option among those 13-17 in order to adhere to regulations set forth in the Children’s Online Privacy Protection Act (COPPA). </w:t>
      </w:r>
    </w:p>
    <w:p w:rsidR="00413A19" w:rsidRPr="000D0C09" w:rsidRDefault="00413A19">
      <w:pPr>
        <w:rPr>
          <w:b/>
        </w:rPr>
      </w:pPr>
    </w:p>
    <w:p w:rsidR="00F76347" w:rsidRPr="000D0C09" w:rsidRDefault="00F76347" w:rsidP="00F76347">
      <w:pPr>
        <w:ind w:left="360"/>
      </w:pPr>
      <w:r w:rsidRPr="000D0C09">
        <w:t>Participants selected to view advertisements (Ad View Group) will first be provided with questions about their exposure to smokeless tobacco use and lifetime smokeless tobacco use.  Following these questions, participants will view a rough-cut advertisement and will then be prompted to complete a questionnaire designed to assess whether the advertisement provides an understandable and engaging message about the harms of smokeless tobacco use. They will then view a second advertisement and will then be prompted to complete the same questionnaire provided after viewing the first advertisement.</w:t>
      </w:r>
    </w:p>
    <w:p w:rsidR="00F76347" w:rsidRPr="000D0C09" w:rsidRDefault="00F76347" w:rsidP="00F76347">
      <w:pPr>
        <w:ind w:left="360"/>
      </w:pPr>
    </w:p>
    <w:p w:rsidR="00F76347" w:rsidRPr="00700C79" w:rsidRDefault="00F76347" w:rsidP="00F76347">
      <w:pPr>
        <w:widowControl w:val="0"/>
        <w:autoSpaceDE w:val="0"/>
        <w:autoSpaceDN w:val="0"/>
        <w:adjustRightInd w:val="0"/>
        <w:ind w:left="360"/>
      </w:pPr>
      <w:r w:rsidRPr="000D0C09">
        <w:t xml:space="preserve">Following completion of the advertisement questions, participants will be provided with general questions about their attitudes and beliefs about the harms of smokeless tobacco use as well as additional demographic questions. The questions targeting general attitudes and beliefs about the harms of smokeless tobacco use are being collected to assess potential unintended consequences. </w:t>
      </w:r>
    </w:p>
    <w:p w:rsidR="00F76347" w:rsidRPr="00700C79" w:rsidRDefault="00F76347" w:rsidP="00F76347">
      <w:pPr>
        <w:widowControl w:val="0"/>
        <w:autoSpaceDE w:val="0"/>
        <w:autoSpaceDN w:val="0"/>
        <w:adjustRightInd w:val="0"/>
      </w:pPr>
    </w:p>
    <w:p w:rsidR="00F76347" w:rsidRPr="000D0C09" w:rsidRDefault="00F76347" w:rsidP="00F76347">
      <w:pPr>
        <w:widowControl w:val="0"/>
        <w:autoSpaceDE w:val="0"/>
        <w:autoSpaceDN w:val="0"/>
        <w:adjustRightInd w:val="0"/>
        <w:ind w:left="360"/>
      </w:pPr>
      <w:r w:rsidRPr="000D0C09">
        <w:t>Participants selected not to view any advertisements (No Ad View Group) will only be provided with the questions about exposure to smokeless tobacco use and lifetime use, the questions about attitudes and beliefs around the harms of smokeless tobacco use, and the additional demographic questions. Participants who do not view any advertisements are being included to measure for unintended consequences.</w:t>
      </w:r>
    </w:p>
    <w:p w:rsidR="00F76347" w:rsidRPr="000D0C09" w:rsidRDefault="00F76347">
      <w:pPr>
        <w:rPr>
          <w:b/>
        </w:rPr>
      </w:pPr>
    </w:p>
    <w:p w:rsidR="00E70808" w:rsidRPr="000D0C09" w:rsidRDefault="00E70808" w:rsidP="00620E8B">
      <w:pPr>
        <w:numPr>
          <w:ilvl w:val="0"/>
          <w:numId w:val="15"/>
        </w:numPr>
        <w:tabs>
          <w:tab w:val="num" w:pos="360"/>
        </w:tabs>
        <w:ind w:left="0" w:firstLine="0"/>
      </w:pPr>
      <w:r w:rsidRPr="000D0C09">
        <w:rPr>
          <w:b/>
        </w:rPr>
        <w:t>Confidentiality of Respondents</w:t>
      </w:r>
    </w:p>
    <w:p w:rsidR="0098079A" w:rsidRPr="000D0C09" w:rsidRDefault="0098079A" w:rsidP="00B00E59">
      <w:pPr>
        <w:ind w:left="540"/>
        <w:jc w:val="both"/>
      </w:pPr>
      <w:r w:rsidRPr="000D0C09">
        <w:t xml:space="preserve">All data will be collected with an assurance that the respondents' responses will remain private to the extent allowable by law. Each participant will be assigned a unique ID and will be referred to only by their first name and last initial (James M.) during the recruitment process. The following measures will be used to ensure </w:t>
      </w:r>
      <w:r w:rsidR="00B00E59">
        <w:t>privacy</w:t>
      </w:r>
      <w:r w:rsidR="00B00E59" w:rsidRPr="000D0C09">
        <w:t xml:space="preserve"> </w:t>
      </w:r>
      <w:r w:rsidRPr="000D0C09">
        <w:t xml:space="preserve">once the survey process begins: (1) Full names of the participants are never used on any survey materials – instead we will only use the participant unique ID during the survey process; (2) The surveys do not ask for the recording of any personally identifying information and any lists or logs with first names are stored securely on a password-protected computer; and (3) given responses to the survey are not attributed to the individual. No identifying information will be included in any data, reports or slides delivered to the FDA.   </w:t>
      </w:r>
    </w:p>
    <w:p w:rsidR="0098079A" w:rsidRPr="000D0C09" w:rsidRDefault="0098079A" w:rsidP="0098079A">
      <w:pPr>
        <w:pStyle w:val="ListParagraph"/>
        <w:ind w:left="900"/>
        <w:jc w:val="both"/>
      </w:pPr>
    </w:p>
    <w:p w:rsidR="0098079A" w:rsidRPr="000D0C09" w:rsidRDefault="0098079A" w:rsidP="00124E2C">
      <w:pPr>
        <w:ind w:left="540"/>
      </w:pPr>
      <w:r w:rsidRPr="000D0C09">
        <w:rPr>
          <w:b/>
          <w:i/>
        </w:rPr>
        <w:t xml:space="preserve">Personally Identifying Information. </w:t>
      </w:r>
      <w:r w:rsidRPr="000D0C09">
        <w:t xml:space="preserve"> The </w:t>
      </w:r>
      <w:r w:rsidR="00AE4A96" w:rsidRPr="000D0C09">
        <w:t xml:space="preserve">youth </w:t>
      </w:r>
      <w:r w:rsidRPr="000D0C09">
        <w:t xml:space="preserve">assent and </w:t>
      </w:r>
      <w:r w:rsidR="00AE4A96" w:rsidRPr="000D0C09">
        <w:t xml:space="preserve">parental </w:t>
      </w:r>
      <w:r w:rsidRPr="000D0C09">
        <w:t>consent</w:t>
      </w:r>
      <w:r w:rsidR="00AE4A96" w:rsidRPr="000D0C09">
        <w:t>/opt-out</w:t>
      </w:r>
      <w:r w:rsidRPr="000D0C09">
        <w:t xml:space="preserve"> forms contain a statement that no one will be able to link the respondent’s identity to his responses. The survey will not ask participants to provide identifying information as part of their responses, and no identifying information will be included in the data files delivered by contractors to the FDA. The contractor will not share personal information regarding participants with any third party without the participant’s permission unless it is required by law to protect their rights or to comply with judicial proceedings, court order, or other legal process. All identifying information, including information collected during screening will be kept on a password-protected computer by the PI in locked cabinets for a period of </w:t>
      </w:r>
      <w:r w:rsidR="00AE4A96" w:rsidRPr="000D0C09">
        <w:t xml:space="preserve">at least </w:t>
      </w:r>
      <w:r w:rsidRPr="000D0C09">
        <w:t xml:space="preserve">three years, and then will be destroyed either by the shredding of documents or the permanent deletion of electronic information. </w:t>
      </w:r>
    </w:p>
    <w:p w:rsidR="0098079A" w:rsidRPr="000D0C09" w:rsidRDefault="0098079A" w:rsidP="00124E2C">
      <w:pPr>
        <w:pStyle w:val="Default"/>
        <w:ind w:left="540"/>
      </w:pPr>
    </w:p>
    <w:p w:rsidR="0098079A" w:rsidRPr="000D0C09" w:rsidRDefault="0098079A" w:rsidP="00124E2C">
      <w:pPr>
        <w:ind w:left="540"/>
      </w:pPr>
      <w:r w:rsidRPr="000D0C09">
        <w:lastRenderedPageBreak/>
        <w:t>All data will be reported in aggregate form such that data collected cannot be traced back to particular participants or schools.  Researchers will never tie respondents’ personal information to their answers. All analyses will also be done in the aggregate and respondent information will not be appended to the data file used.</w:t>
      </w:r>
    </w:p>
    <w:p w:rsidR="0098079A" w:rsidRPr="000D0C09" w:rsidRDefault="0098079A" w:rsidP="00124E2C">
      <w:pPr>
        <w:pStyle w:val="Default"/>
        <w:ind w:left="900"/>
        <w:rPr>
          <w:color w:val="auto"/>
        </w:rPr>
      </w:pPr>
    </w:p>
    <w:p w:rsidR="0098079A" w:rsidRPr="000D0C09" w:rsidRDefault="0098079A" w:rsidP="00124E2C">
      <w:pPr>
        <w:pStyle w:val="Default"/>
        <w:ind w:left="540"/>
      </w:pPr>
      <w:r w:rsidRPr="000D0C09">
        <w:rPr>
          <w:b/>
          <w:i/>
        </w:rPr>
        <w:t xml:space="preserve">Data Security. </w:t>
      </w:r>
      <w:r w:rsidR="00AE4A96" w:rsidRPr="000D0C09">
        <w:rPr>
          <w:color w:val="auto"/>
        </w:rPr>
        <w:t>In–school d</w:t>
      </w:r>
      <w:r w:rsidRPr="000D0C09">
        <w:rPr>
          <w:color w:val="auto"/>
        </w:rPr>
        <w:t xml:space="preserve">ata will be collected via electronic tablet (e.g., iPad) and paper in the event a backup is required.  </w:t>
      </w:r>
      <w:r w:rsidRPr="000D0C09">
        <w:rPr>
          <w:bCs/>
          <w:color w:val="auto"/>
          <w:bdr w:val="none" w:sz="0" w:space="0" w:color="auto" w:frame="1"/>
        </w:rPr>
        <w:t xml:space="preserve">FMG ensures encryption of electronic data, and all data will be encrypted in transit using HTTPS. </w:t>
      </w:r>
      <w:r w:rsidR="00AE4A96" w:rsidRPr="000D0C09">
        <w:rPr>
          <w:color w:val="auto"/>
        </w:rPr>
        <w:t xml:space="preserve">In-home data will be collected via an online survey.  As noted above, </w:t>
      </w:r>
      <w:r w:rsidR="00AE4A96" w:rsidRPr="000D0C09">
        <w:t xml:space="preserve">IP addresses will not be collected by the online survey system, and survey links and access codes that are uniquely coded for each participant will not be used to identify participants or link them to the results. No first- or third-party cookies will be stored during questionnaire completion and/or during the gift card distribution process.  </w:t>
      </w:r>
      <w:r w:rsidRPr="000D0C09">
        <w:t xml:space="preserve">All data received by FDA will remain stored </w:t>
      </w:r>
      <w:r w:rsidR="00AE4A96" w:rsidRPr="000D0C09">
        <w:t xml:space="preserve">in a locked filing cabinet or </w:t>
      </w:r>
      <w:r w:rsidRPr="000D0C09">
        <w:t>on a password protected computer or server. After three years, all of the collected data will be destroyed by securely shredding documents or permanently deleting electronic information.</w:t>
      </w:r>
    </w:p>
    <w:p w:rsidR="002D7143" w:rsidRPr="000D0C09" w:rsidRDefault="002D7143" w:rsidP="00AE4A96">
      <w:pPr>
        <w:pStyle w:val="Default"/>
        <w:ind w:left="360"/>
      </w:pPr>
    </w:p>
    <w:p w:rsidR="002D7143" w:rsidRPr="000D0C09" w:rsidRDefault="002D7143" w:rsidP="002D7143">
      <w:pPr>
        <w:pStyle w:val="Default"/>
        <w:numPr>
          <w:ilvl w:val="0"/>
          <w:numId w:val="15"/>
        </w:numPr>
        <w:tabs>
          <w:tab w:val="clear" w:pos="900"/>
        </w:tabs>
        <w:ind w:left="360"/>
      </w:pPr>
      <w:r w:rsidRPr="000D0C09">
        <w:rPr>
          <w:b/>
        </w:rPr>
        <w:t>Amount and Justification for any Proposed Incentive</w:t>
      </w:r>
    </w:p>
    <w:p w:rsidR="002D7143" w:rsidRPr="000D0C09" w:rsidRDefault="00AE4A96" w:rsidP="007A187D">
      <w:pPr>
        <w:ind w:left="540"/>
      </w:pPr>
      <w:r w:rsidRPr="000D0C09">
        <w:t>The amount of the incentive is $2</w:t>
      </w:r>
      <w:r w:rsidR="00060848">
        <w:t>0</w:t>
      </w:r>
      <w:r w:rsidRPr="000D0C09">
        <w:t>, which will be provided in the form of a prepaid gift card.</w:t>
      </w:r>
      <w:r w:rsidR="002D7143" w:rsidRPr="000D0C09">
        <w:t xml:space="preserve"> The amount proposed for the incentive will be provided to participants for their entire burden time, which includes screening time, obtaining active/passive parental consent, and participating in the survey. </w:t>
      </w:r>
    </w:p>
    <w:p w:rsidR="002D7143" w:rsidRPr="000D0C09" w:rsidRDefault="002D7143" w:rsidP="002D7143"/>
    <w:p w:rsidR="002D7143" w:rsidRPr="000D0C09" w:rsidRDefault="002D7143" w:rsidP="007A187D">
      <w:pPr>
        <w:pStyle w:val="Default"/>
        <w:ind w:left="540"/>
      </w:pPr>
      <w:r w:rsidRPr="000D0C09">
        <w:t xml:space="preserve">Incentives must be high enough to </w:t>
      </w:r>
      <w:r w:rsidRPr="000D0C09">
        <w:rPr>
          <w:lang w:val="en"/>
        </w:rPr>
        <w:t xml:space="preserve">equalize the burden placed on respondents in respect to their time and cost of participation, </w:t>
      </w:r>
      <w:r w:rsidRPr="000D0C09">
        <w:t xml:space="preserve">as well as provide enough incentive to participate in the study rather than another activity </w:t>
      </w:r>
      <w:r w:rsidRPr="000D0C09">
        <w:rPr>
          <w:lang w:val="en"/>
        </w:rPr>
        <w:t xml:space="preserve">(Russell, </w:t>
      </w:r>
      <w:r w:rsidR="000D0C09" w:rsidRPr="000D0C09">
        <w:rPr>
          <w:lang w:val="en"/>
        </w:rPr>
        <w:t xml:space="preserve">Moralejo, &amp; Burgess, </w:t>
      </w:r>
      <w:r w:rsidRPr="000D0C09">
        <w:rPr>
          <w:lang w:val="en"/>
        </w:rPr>
        <w:t xml:space="preserve">2000).  Incentives are now common practice in most all forms of survey research as a method of ensuring adequate response rates (Singer </w:t>
      </w:r>
      <w:r w:rsidR="000D0C09" w:rsidRPr="000D0C09">
        <w:rPr>
          <w:lang w:val="en"/>
        </w:rPr>
        <w:t>&amp;</w:t>
      </w:r>
      <w:r w:rsidRPr="000D0C09">
        <w:rPr>
          <w:lang w:val="en"/>
        </w:rPr>
        <w:t xml:space="preserve"> Ye, 2013). </w:t>
      </w:r>
      <w:r w:rsidRPr="000D0C09">
        <w:t>If the incentive is not sufficient, participants may agree to participate and then not show up or drop out early. Low participation may result in inadequate data collection or, in the worst cases, loss of government funds associated with recruitment</w:t>
      </w:r>
      <w:r w:rsidR="000D0C09" w:rsidRPr="000D0C09">
        <w:t xml:space="preserve"> and staff </w:t>
      </w:r>
      <w:r w:rsidRPr="000D0C09">
        <w:t>time (Morgan</w:t>
      </w:r>
      <w:r w:rsidR="000D0C09" w:rsidRPr="000D0C09">
        <w:t xml:space="preserve"> &amp; Scannell</w:t>
      </w:r>
      <w:r w:rsidRPr="000D0C09">
        <w:t xml:space="preserve">, 1998).  </w:t>
      </w:r>
      <w:r w:rsidRPr="000D0C09">
        <w:rPr>
          <w:lang w:val="en"/>
        </w:rPr>
        <w:t xml:space="preserve">Incentives </w:t>
      </w:r>
      <w:r w:rsidRPr="000D0C09">
        <w:t>are also necessary</w:t>
      </w:r>
      <w:r w:rsidRPr="000D0C09">
        <w:rPr>
          <w:lang w:val="en"/>
        </w:rPr>
        <w:t xml:space="preserve"> to ensure adequate representation among</w:t>
      </w:r>
      <w:r w:rsidRPr="000D0C09">
        <w:t xml:space="preserve"> harder-to-recruit populations such as youth, low socioeconomic groups, and high risk populations (current or former tobacco users and those susceptible to tobacco use) (Groth, 2010).</w:t>
      </w:r>
    </w:p>
    <w:p w:rsidR="002D7143" w:rsidRPr="000D0C09" w:rsidRDefault="002D7143" w:rsidP="002D7143">
      <w:pPr>
        <w:pStyle w:val="Default"/>
        <w:ind w:left="900"/>
      </w:pPr>
    </w:p>
    <w:p w:rsidR="00A924F4" w:rsidRPr="000D0C09" w:rsidRDefault="00A924F4" w:rsidP="00A924F4">
      <w:pPr>
        <w:pStyle w:val="Default"/>
        <w:tabs>
          <w:tab w:val="left" w:pos="540"/>
        </w:tabs>
        <w:ind w:left="540"/>
      </w:pPr>
      <w:r w:rsidRPr="000D0C09">
        <w:t>Given the specific parameters</w:t>
      </w:r>
      <w:r w:rsidR="002D7143" w:rsidRPr="000D0C09">
        <w:t xml:space="preserve"> of this study, the target population is considered a harder-to-recruit population on multiple accounts (youth aged 12-17 who are also susceptible to or currently experimenting with smokeless tobacco use and located in rural counties).</w:t>
      </w:r>
      <w:r w:rsidR="00975222" w:rsidRPr="000D0C09">
        <w:t xml:space="preserve"> </w:t>
      </w:r>
      <w:r w:rsidRPr="000D0C09">
        <w:t xml:space="preserve">In the previous round of research for this study, which involved focus groups with a sample of the same population, an average of only 37 students per school were eligible based on their smokeless tobacco status. With a hard to reach population, ensuring high participation rates among the qualified sample is instrumental to reducing recruiting and travel costs to reach these individuals. Incentives are effective in motivating participation among a qualified sample (Singer </w:t>
      </w:r>
      <w:r w:rsidR="000D0C09" w:rsidRPr="000D0C09">
        <w:t xml:space="preserve">&amp; </w:t>
      </w:r>
      <w:r w:rsidRPr="000D0C09">
        <w:t xml:space="preserve">Kulka, 2002). Thus, it is critical to provide adequate incentives to encourage participation among the limited number of potential youth participants. </w:t>
      </w:r>
    </w:p>
    <w:p w:rsidR="002D7143" w:rsidRPr="000D0C09" w:rsidRDefault="002D7143" w:rsidP="002D7143">
      <w:pPr>
        <w:autoSpaceDE w:val="0"/>
        <w:autoSpaceDN w:val="0"/>
        <w:adjustRightInd w:val="0"/>
      </w:pPr>
    </w:p>
    <w:p w:rsidR="002D7143" w:rsidRPr="000D0C09" w:rsidRDefault="000D0C09" w:rsidP="007A187D">
      <w:pPr>
        <w:autoSpaceDE w:val="0"/>
        <w:autoSpaceDN w:val="0"/>
        <w:adjustRightInd w:val="0"/>
        <w:ind w:left="540"/>
      </w:pPr>
      <w:r w:rsidRPr="000D0C09">
        <w:lastRenderedPageBreak/>
        <w:t>I</w:t>
      </w:r>
      <w:r w:rsidR="002D7143" w:rsidRPr="000D0C09">
        <w:t>ncentives are standard practice for all work conducted and are suggested by organizations that set the standards for conducting ethical market research among human subjects (CASRO Code of Standards and Ethics for Survey Research).  The same incentive proposed for this study was used in the last round of research in this campaign and response rates were near 100%. An incentive less than $2</w:t>
      </w:r>
      <w:r w:rsidR="00060848">
        <w:t>0</w:t>
      </w:r>
      <w:r w:rsidR="002D7143" w:rsidRPr="000D0C09">
        <w:t xml:space="preserve"> per survey could potentially inhibit the ability to successfully recruit participants who will show up for the survey. In terms of response quality there is little evidence so far suggesting that an incentive of this amount will have any negative effect (Singer </w:t>
      </w:r>
      <w:r w:rsidRPr="000D0C09">
        <w:t xml:space="preserve">&amp; </w:t>
      </w:r>
      <w:r w:rsidR="002D7143" w:rsidRPr="000D0C09">
        <w:t xml:space="preserve">Couper, 2008; Singer </w:t>
      </w:r>
      <w:r w:rsidRPr="000D0C09">
        <w:t xml:space="preserve">&amp; </w:t>
      </w:r>
      <w:r w:rsidR="002D7143" w:rsidRPr="000D0C09">
        <w:t xml:space="preserve">Ye, 2013). As a minimal intervention study with low burden, the incentive amount is considered appropriate and based in precedent.  </w:t>
      </w:r>
    </w:p>
    <w:p w:rsidR="002D7143" w:rsidRPr="000D0C09" w:rsidRDefault="002D7143" w:rsidP="007A187D">
      <w:pPr>
        <w:pStyle w:val="Default"/>
        <w:ind w:left="540"/>
      </w:pPr>
    </w:p>
    <w:p w:rsidR="002D7143" w:rsidRPr="000D0C09" w:rsidRDefault="002D7143" w:rsidP="007A187D">
      <w:pPr>
        <w:pStyle w:val="Default"/>
        <w:ind w:left="540"/>
      </w:pPr>
      <w:r w:rsidRPr="000D0C09">
        <w:t xml:space="preserve">The participation incentive will be paid directly to the participant via a pre-paid gift card that functions as a debit card (participants will </w:t>
      </w:r>
      <w:r w:rsidRPr="000D0C09">
        <w:rPr>
          <w:b/>
          <w:bCs/>
        </w:rPr>
        <w:t>not</w:t>
      </w:r>
      <w:r w:rsidRPr="000D0C09">
        <w:t xml:space="preserve"> be required to pay any potential fees associated with activating the card). There are several benefits to paying participants with a gift card versus cash or check, including</w:t>
      </w:r>
      <w:r w:rsidR="000D0C09" w:rsidRPr="000D0C09">
        <w:t>:</w:t>
      </w:r>
      <w:r w:rsidRPr="000D0C09">
        <w:t xml:space="preserve"> (1) Providing gift cards will prevent research staff from having to carry around large sums of cash while on campus, (2) Any sensitivity toward paying youth with cash is avoided (i.e., ability to use cash for illicit substances like drugs, alcohol or tobacco), and (3) Any issues preventing participants and/or their parent/guardian from cashing a check (e.g., no bank account) are avoided. </w:t>
      </w:r>
    </w:p>
    <w:p w:rsidR="00BD0917" w:rsidRPr="000D0C09" w:rsidRDefault="00BD0917" w:rsidP="002D7143">
      <w:pPr>
        <w:rPr>
          <w:lang w:val="en"/>
        </w:rPr>
      </w:pPr>
    </w:p>
    <w:p w:rsidR="00716027" w:rsidRPr="000D0C09" w:rsidRDefault="00716027" w:rsidP="000B207F">
      <w:pPr>
        <w:numPr>
          <w:ilvl w:val="0"/>
          <w:numId w:val="15"/>
        </w:numPr>
        <w:tabs>
          <w:tab w:val="num" w:pos="360"/>
        </w:tabs>
        <w:ind w:left="0" w:firstLine="0"/>
      </w:pPr>
      <w:r w:rsidRPr="000D0C09">
        <w:rPr>
          <w:b/>
        </w:rPr>
        <w:t>Questi</w:t>
      </w:r>
      <w:r w:rsidR="008735DE" w:rsidRPr="000D0C09">
        <w:rPr>
          <w:b/>
        </w:rPr>
        <w:t>ons of a Sensitive Nature</w:t>
      </w:r>
      <w:r w:rsidRPr="000D0C09">
        <w:rPr>
          <w:b/>
        </w:rPr>
        <w:t xml:space="preserve"> </w:t>
      </w:r>
    </w:p>
    <w:p w:rsidR="000D0C09" w:rsidRPr="000D0C09" w:rsidRDefault="000D0C09" w:rsidP="000D0C09">
      <w:pPr>
        <w:pStyle w:val="Default"/>
        <w:ind w:left="540" w:right="-180"/>
      </w:pPr>
      <w:r w:rsidRPr="000D0C09">
        <w:t>Some studies require the inclusion of people who match selected characteristics of the target audience that the FDA is trying to reach. This may require asking questions about race/ethnicity,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rsidR="000D0C09" w:rsidRPr="000D0C09" w:rsidRDefault="000D0C09" w:rsidP="007A187D">
      <w:pPr>
        <w:pStyle w:val="Default"/>
        <w:ind w:left="540"/>
        <w:jc w:val="both"/>
      </w:pPr>
    </w:p>
    <w:p w:rsidR="000D0C09" w:rsidRPr="000D0C09" w:rsidRDefault="000D0C09" w:rsidP="00124E2C">
      <w:pPr>
        <w:pStyle w:val="Default"/>
        <w:ind w:left="540" w:right="-180"/>
      </w:pPr>
      <w:r w:rsidRPr="000D0C09">
        <w:t xml:space="preserve">FDA tobacco use communications may be concerned with the prevention of premature mortality from heart disease and oral and respiratory cancers, and some projects may involve asking questions about (or discussing) how one perceives his own personal risk for serious illness. This information is needed to gain a better understanding of the target audience so that the messages, strategies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rsidR="000D0C09" w:rsidRPr="000D0C09" w:rsidRDefault="000D0C09" w:rsidP="00124E2C">
      <w:pPr>
        <w:pStyle w:val="Default"/>
        <w:ind w:left="540" w:right="-180"/>
      </w:pPr>
    </w:p>
    <w:p w:rsidR="009D746F" w:rsidRPr="000D0C09" w:rsidRDefault="000D0C09" w:rsidP="00124E2C">
      <w:pPr>
        <w:pStyle w:val="Default"/>
        <w:ind w:left="540" w:right="-180"/>
        <w:rPr>
          <w:b/>
          <w:i/>
        </w:rPr>
      </w:pPr>
      <w:r w:rsidRPr="000D0C09">
        <w:t xml:space="preserve">FDA tobacco communications may also be concerned with discouraging tobacco use by youth before they start. This study will </w:t>
      </w:r>
      <w:r w:rsidR="009D746F" w:rsidRPr="000D0C09">
        <w:t xml:space="preserve">copy test the rough-cut advertisements for the rural smokeless campaign with youth who are at-risk for using or are experimenting with smokeless tobacco. This means excluding youth who are “closed” to using smokeless tobacco and youth who have used smokeless tobacco more than 100 times or currently use </w:t>
      </w:r>
      <w:r w:rsidR="009D746F" w:rsidRPr="000D0C09">
        <w:lastRenderedPageBreak/>
        <w:t>smokeless tobacco “about every day” or “more than once a day</w:t>
      </w:r>
      <w:r w:rsidRPr="000D0C09">
        <w:t>.</w:t>
      </w:r>
      <w:r w:rsidR="009D746F" w:rsidRPr="000D0C09">
        <w:t xml:space="preserve">” In order to identify these youth, we need to ask potentially sensitive questions regarding their own tobacco use behavior and intentions. These questions are potentially sensitive since tobacco use among adolescents under 18 years of age is illegal in </w:t>
      </w:r>
      <w:r w:rsidRPr="000D0C09">
        <w:t xml:space="preserve">most </w:t>
      </w:r>
      <w:r w:rsidR="009D746F" w:rsidRPr="000D0C09">
        <w:t>states and sales to youth under 18 years of age is illegal in all states. Guardians of youth participants will be made aware that FDA/CTP does not encourage the use or sale of tobacco products.</w:t>
      </w:r>
    </w:p>
    <w:p w:rsidR="003750B2" w:rsidRPr="000D0C09" w:rsidRDefault="003750B2" w:rsidP="009D746F"/>
    <w:p w:rsidR="00716027" w:rsidRPr="000D0C09" w:rsidRDefault="00742714" w:rsidP="003750B2">
      <w:pPr>
        <w:numPr>
          <w:ilvl w:val="0"/>
          <w:numId w:val="15"/>
        </w:numPr>
        <w:tabs>
          <w:tab w:val="num" w:pos="360"/>
        </w:tabs>
        <w:ind w:left="0" w:firstLine="0"/>
      </w:pPr>
      <w:r w:rsidRPr="000D0C09">
        <w:rPr>
          <w:b/>
        </w:rPr>
        <w:t xml:space="preserve"> </w:t>
      </w:r>
      <w:r w:rsidR="00716027" w:rsidRPr="000D0C09">
        <w:rPr>
          <w:b/>
        </w:rPr>
        <w:t xml:space="preserve">Description of </w:t>
      </w:r>
      <w:r w:rsidR="003750B2" w:rsidRPr="000D0C09">
        <w:rPr>
          <w:b/>
        </w:rPr>
        <w:t>Data Analysis</w:t>
      </w:r>
      <w:r w:rsidR="00716027" w:rsidRPr="000D0C09">
        <w:rPr>
          <w:b/>
        </w:rPr>
        <w:t xml:space="preserve"> </w:t>
      </w:r>
    </w:p>
    <w:p w:rsidR="003750B2" w:rsidRPr="000D0C09" w:rsidRDefault="003750B2" w:rsidP="007A187D">
      <w:pPr>
        <w:ind w:left="540"/>
        <w:jc w:val="both"/>
      </w:pPr>
      <w:r w:rsidRPr="000D0C09">
        <w:t xml:space="preserve">The surveys will yield quantitative data that can be used for certain types of statistical analyses. Statistical software (such as R, SPSS or Stata) will be used to clean and organize the data before analyses. The analyses may include but are not limited to comparisons of means, </w:t>
      </w:r>
      <w:r w:rsidRPr="000D0C09">
        <w:rPr>
          <w:i/>
        </w:rPr>
        <w:t>t</w:t>
      </w:r>
      <w:r w:rsidRPr="000D0C09">
        <w:t xml:space="preserve">-tests, calculation of summary statistics and cross-tabulations and any appropriate estimates of uncertainty. Although some statistics will be calculated, the convenience sampling procedures for the survey do not allow for results that are nationally representative and any point estimates may not represent the population at-large. </w:t>
      </w:r>
    </w:p>
    <w:p w:rsidR="00716027" w:rsidRPr="000D0C09" w:rsidRDefault="00716027" w:rsidP="000B207F">
      <w:pPr>
        <w:pStyle w:val="ListParagraph"/>
        <w:ind w:left="450"/>
      </w:pPr>
    </w:p>
    <w:p w:rsidR="006F31BD" w:rsidRPr="00124E2C" w:rsidRDefault="003F1C7A" w:rsidP="000D0C09">
      <w:pPr>
        <w:tabs>
          <w:tab w:val="left" w:pos="1440"/>
          <w:tab w:val="left" w:pos="4320"/>
        </w:tabs>
        <w:rPr>
          <w:b/>
          <w:i/>
        </w:rPr>
      </w:pPr>
      <w:r w:rsidRPr="000D0C09">
        <w:rPr>
          <w:b/>
        </w:rPr>
        <w:t>BURDEN HOUR COMPUTATION</w:t>
      </w:r>
      <w:r w:rsidRPr="000D0C09">
        <w:t xml:space="preserve"> </w:t>
      </w:r>
    </w:p>
    <w:p w:rsidR="0089235A" w:rsidRPr="00124E2C" w:rsidRDefault="00BE106A" w:rsidP="000D0C09">
      <w:pPr>
        <w:rPr>
          <w:i/>
        </w:rPr>
      </w:pPr>
      <w:r w:rsidRPr="00124E2C">
        <w:rPr>
          <w:i/>
        </w:rPr>
        <w:t>Burden calculation = Number of respon</w:t>
      </w:r>
      <w:r w:rsidR="0044680B">
        <w:rPr>
          <w:i/>
        </w:rPr>
        <w:t>dents</w:t>
      </w:r>
      <w:r w:rsidRPr="00124E2C">
        <w:rPr>
          <w:i/>
        </w:rPr>
        <w:t>* Estimated participation time in minutes/60</w:t>
      </w:r>
    </w:p>
    <w:p w:rsidR="0089235A" w:rsidRPr="00124E2C" w:rsidRDefault="0089235A" w:rsidP="000B207F">
      <w:pPr>
        <w:tabs>
          <w:tab w:val="left" w:pos="1440"/>
          <w:tab w:val="left" w:pos="4320"/>
        </w:tabs>
        <w:ind w:left="450"/>
        <w:rPr>
          <w:b/>
          <w:i/>
        </w:rPr>
      </w:pPr>
    </w:p>
    <w:tbl>
      <w:tblPr>
        <w:tblW w:w="9527"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2134"/>
        <w:gridCol w:w="2161"/>
        <w:gridCol w:w="2152"/>
      </w:tblGrid>
      <w:tr w:rsidR="002E4F08" w:rsidRPr="000D0C09" w:rsidTr="00051C63">
        <w:trPr>
          <w:trHeight w:val="275"/>
          <w:jc w:val="center"/>
        </w:trPr>
        <w:tc>
          <w:tcPr>
            <w:tcW w:w="3080" w:type="dxa"/>
            <w:tcBorders>
              <w:bottom w:val="single" w:sz="4" w:space="0" w:color="auto"/>
            </w:tcBorders>
            <w:shd w:val="clear" w:color="auto" w:fill="E0E0E0"/>
            <w:vAlign w:val="center"/>
          </w:tcPr>
          <w:p w:rsidR="006F31BD" w:rsidRPr="00B46993" w:rsidRDefault="006F31BD" w:rsidP="001B1710">
            <w:pPr>
              <w:rPr>
                <w:b/>
              </w:rPr>
            </w:pPr>
            <w:r w:rsidRPr="000D0C09">
              <w:rPr>
                <w:b/>
              </w:rPr>
              <w:t>Type/Category of Respondent</w:t>
            </w:r>
          </w:p>
        </w:tc>
        <w:tc>
          <w:tcPr>
            <w:tcW w:w="2134" w:type="dxa"/>
            <w:tcBorders>
              <w:bottom w:val="single" w:sz="4" w:space="0" w:color="auto"/>
            </w:tcBorders>
            <w:shd w:val="clear" w:color="auto" w:fill="E0E0E0"/>
            <w:vAlign w:val="center"/>
          </w:tcPr>
          <w:p w:rsidR="006F31BD" w:rsidRPr="000D0C09" w:rsidRDefault="006F31BD" w:rsidP="0089235A">
            <w:pPr>
              <w:jc w:val="center"/>
              <w:rPr>
                <w:b/>
              </w:rPr>
            </w:pPr>
            <w:r w:rsidRPr="00B46993">
              <w:rPr>
                <w:b/>
              </w:rPr>
              <w:t xml:space="preserve">No. of </w:t>
            </w:r>
            <w:r w:rsidR="0089235A" w:rsidRPr="000D0C09">
              <w:rPr>
                <w:b/>
              </w:rPr>
              <w:t>Respondents</w:t>
            </w:r>
          </w:p>
        </w:tc>
        <w:tc>
          <w:tcPr>
            <w:tcW w:w="2161" w:type="dxa"/>
            <w:tcBorders>
              <w:bottom w:val="single" w:sz="4" w:space="0" w:color="auto"/>
            </w:tcBorders>
            <w:shd w:val="clear" w:color="auto" w:fill="E0E0E0"/>
            <w:vAlign w:val="center"/>
          </w:tcPr>
          <w:p w:rsidR="006F31BD" w:rsidRPr="000D0C09" w:rsidRDefault="006F31BD" w:rsidP="001B1710">
            <w:pPr>
              <w:jc w:val="center"/>
              <w:rPr>
                <w:b/>
              </w:rPr>
            </w:pPr>
            <w:r w:rsidRPr="000D0C09">
              <w:rPr>
                <w:b/>
              </w:rPr>
              <w:t xml:space="preserve">Participation Time </w:t>
            </w:r>
          </w:p>
          <w:p w:rsidR="006F31BD" w:rsidRPr="000D0C09" w:rsidRDefault="006F31BD" w:rsidP="001B1710">
            <w:pPr>
              <w:jc w:val="center"/>
              <w:rPr>
                <w:b/>
              </w:rPr>
            </w:pPr>
            <w:r w:rsidRPr="000D0C09">
              <w:rPr>
                <w:b/>
              </w:rPr>
              <w:t>(minutes)</w:t>
            </w:r>
          </w:p>
        </w:tc>
        <w:tc>
          <w:tcPr>
            <w:tcW w:w="2152" w:type="dxa"/>
            <w:tcBorders>
              <w:bottom w:val="single" w:sz="4" w:space="0" w:color="auto"/>
            </w:tcBorders>
            <w:shd w:val="clear" w:color="auto" w:fill="E0E0E0"/>
            <w:vAlign w:val="center"/>
          </w:tcPr>
          <w:p w:rsidR="006F31BD" w:rsidRPr="000D0C09" w:rsidRDefault="006F31BD" w:rsidP="001B1710">
            <w:pPr>
              <w:jc w:val="center"/>
              <w:rPr>
                <w:b/>
              </w:rPr>
            </w:pPr>
            <w:r w:rsidRPr="000D0C09">
              <w:rPr>
                <w:b/>
              </w:rPr>
              <w:t>Burden</w:t>
            </w:r>
          </w:p>
          <w:p w:rsidR="006F31BD" w:rsidRPr="000D0C09" w:rsidRDefault="006F31BD" w:rsidP="001B1710">
            <w:pPr>
              <w:jc w:val="center"/>
              <w:rPr>
                <w:b/>
              </w:rPr>
            </w:pPr>
            <w:r w:rsidRPr="000D0C09">
              <w:rPr>
                <w:b/>
              </w:rPr>
              <w:t>(hours)</w:t>
            </w:r>
          </w:p>
        </w:tc>
      </w:tr>
      <w:tr w:rsidR="006971FB" w:rsidRPr="000D0C09" w:rsidTr="00854737">
        <w:trPr>
          <w:trHeight w:val="275"/>
          <w:jc w:val="center"/>
        </w:trPr>
        <w:tc>
          <w:tcPr>
            <w:tcW w:w="9527" w:type="dxa"/>
            <w:gridSpan w:val="4"/>
            <w:shd w:val="clear" w:color="auto" w:fill="FFFFFF" w:themeFill="background1"/>
          </w:tcPr>
          <w:p w:rsidR="006971FB" w:rsidRPr="000D0C09" w:rsidRDefault="006971FB" w:rsidP="00124E2C">
            <w:pPr>
              <w:jc w:val="center"/>
            </w:pPr>
            <w:r w:rsidRPr="000D0C09">
              <w:t>Screened Potential Participants</w:t>
            </w:r>
          </w:p>
        </w:tc>
      </w:tr>
      <w:tr w:rsidR="00580668" w:rsidRPr="000D0C09" w:rsidTr="00051C63">
        <w:trPr>
          <w:trHeight w:val="275"/>
          <w:jc w:val="center"/>
        </w:trPr>
        <w:tc>
          <w:tcPr>
            <w:tcW w:w="3080" w:type="dxa"/>
            <w:shd w:val="clear" w:color="auto" w:fill="FFFFFF" w:themeFill="background1"/>
            <w:vAlign w:val="center"/>
          </w:tcPr>
          <w:p w:rsidR="00580668" w:rsidRPr="000D0C09" w:rsidRDefault="00580668" w:rsidP="00580668">
            <w:r w:rsidRPr="000D0C09">
              <w:t>12-17 years old: (Screener</w:t>
            </w:r>
            <w:r w:rsidRPr="00124E2C">
              <w:t>, Youth Assent</w:t>
            </w:r>
            <w:r>
              <w:t>)</w:t>
            </w:r>
          </w:p>
        </w:tc>
        <w:tc>
          <w:tcPr>
            <w:tcW w:w="2134" w:type="dxa"/>
            <w:vMerge w:val="restart"/>
            <w:shd w:val="clear" w:color="auto" w:fill="FFFFFF" w:themeFill="background1"/>
            <w:vAlign w:val="center"/>
          </w:tcPr>
          <w:p w:rsidR="00580668" w:rsidRPr="00B46993" w:rsidRDefault="00580668" w:rsidP="009E41B4">
            <w:pPr>
              <w:jc w:val="center"/>
            </w:pPr>
            <w:r>
              <w:t>2,394</w:t>
            </w:r>
          </w:p>
        </w:tc>
        <w:tc>
          <w:tcPr>
            <w:tcW w:w="2161" w:type="dxa"/>
            <w:shd w:val="clear" w:color="auto" w:fill="FFFFFF" w:themeFill="background1"/>
            <w:vAlign w:val="center"/>
          </w:tcPr>
          <w:p w:rsidR="00580668" w:rsidRPr="000D0C09" w:rsidRDefault="00580668" w:rsidP="001B1710">
            <w:pPr>
              <w:jc w:val="center"/>
            </w:pPr>
            <w:r w:rsidRPr="000D0C09">
              <w:t>10</w:t>
            </w:r>
          </w:p>
        </w:tc>
        <w:tc>
          <w:tcPr>
            <w:tcW w:w="2152" w:type="dxa"/>
            <w:shd w:val="clear" w:color="auto" w:fill="FFFFFF" w:themeFill="background1"/>
            <w:vAlign w:val="center"/>
          </w:tcPr>
          <w:p w:rsidR="00580668" w:rsidRPr="000D0C09" w:rsidRDefault="00580668" w:rsidP="001B1710">
            <w:pPr>
              <w:jc w:val="center"/>
            </w:pPr>
            <w:r>
              <w:t>399</w:t>
            </w:r>
          </w:p>
        </w:tc>
      </w:tr>
      <w:tr w:rsidR="00580668" w:rsidRPr="000D0C09" w:rsidTr="00051C63">
        <w:trPr>
          <w:trHeight w:val="275"/>
          <w:jc w:val="center"/>
        </w:trPr>
        <w:tc>
          <w:tcPr>
            <w:tcW w:w="3080" w:type="dxa"/>
            <w:shd w:val="clear" w:color="auto" w:fill="FFFFFF" w:themeFill="background1"/>
            <w:vAlign w:val="center"/>
          </w:tcPr>
          <w:p w:rsidR="00580668" w:rsidRPr="000D0C09" w:rsidRDefault="00580668" w:rsidP="003044A6">
            <w:r>
              <w:t>Parental Consent or Opt Out</w:t>
            </w:r>
          </w:p>
        </w:tc>
        <w:tc>
          <w:tcPr>
            <w:tcW w:w="2134" w:type="dxa"/>
            <w:vMerge/>
            <w:shd w:val="clear" w:color="auto" w:fill="FFFFFF" w:themeFill="background1"/>
            <w:vAlign w:val="center"/>
          </w:tcPr>
          <w:p w:rsidR="00580668" w:rsidRDefault="00580668" w:rsidP="009E41B4">
            <w:pPr>
              <w:jc w:val="center"/>
            </w:pPr>
          </w:p>
        </w:tc>
        <w:tc>
          <w:tcPr>
            <w:tcW w:w="2161" w:type="dxa"/>
            <w:shd w:val="clear" w:color="auto" w:fill="FFFFFF" w:themeFill="background1"/>
            <w:vAlign w:val="center"/>
          </w:tcPr>
          <w:p w:rsidR="00580668" w:rsidRPr="000D0C09" w:rsidRDefault="00580668" w:rsidP="001B1710">
            <w:pPr>
              <w:jc w:val="center"/>
            </w:pPr>
            <w:r>
              <w:t>5</w:t>
            </w:r>
          </w:p>
        </w:tc>
        <w:tc>
          <w:tcPr>
            <w:tcW w:w="2152" w:type="dxa"/>
            <w:shd w:val="clear" w:color="auto" w:fill="FFFFFF" w:themeFill="background1"/>
            <w:vAlign w:val="center"/>
          </w:tcPr>
          <w:p w:rsidR="00580668" w:rsidRDefault="00580668" w:rsidP="001B1710">
            <w:pPr>
              <w:jc w:val="center"/>
            </w:pPr>
            <w:r>
              <w:t>200</w:t>
            </w:r>
          </w:p>
        </w:tc>
      </w:tr>
      <w:tr w:rsidR="006971FB" w:rsidRPr="000D0C09" w:rsidTr="00413A19">
        <w:trPr>
          <w:trHeight w:val="275"/>
          <w:jc w:val="center"/>
        </w:trPr>
        <w:tc>
          <w:tcPr>
            <w:tcW w:w="9527" w:type="dxa"/>
            <w:gridSpan w:val="4"/>
            <w:shd w:val="clear" w:color="auto" w:fill="A6A6A6" w:themeFill="background1" w:themeFillShade="A6"/>
            <w:vAlign w:val="center"/>
          </w:tcPr>
          <w:p w:rsidR="006971FB" w:rsidRPr="000D0C09" w:rsidRDefault="006971FB" w:rsidP="001B1710">
            <w:pPr>
              <w:jc w:val="center"/>
            </w:pPr>
          </w:p>
        </w:tc>
      </w:tr>
      <w:tr w:rsidR="006971FB" w:rsidRPr="000D0C09" w:rsidTr="00C96F09">
        <w:trPr>
          <w:trHeight w:val="275"/>
          <w:jc w:val="center"/>
        </w:trPr>
        <w:tc>
          <w:tcPr>
            <w:tcW w:w="9527" w:type="dxa"/>
            <w:gridSpan w:val="4"/>
            <w:shd w:val="clear" w:color="auto" w:fill="FFFFFF" w:themeFill="background1"/>
            <w:vAlign w:val="center"/>
          </w:tcPr>
          <w:p w:rsidR="006971FB" w:rsidRPr="000D0C09" w:rsidRDefault="006971FB" w:rsidP="00124E2C">
            <w:pPr>
              <w:jc w:val="center"/>
            </w:pPr>
            <w:r w:rsidRPr="000D0C09">
              <w:t>Actual Participants</w:t>
            </w:r>
          </w:p>
        </w:tc>
      </w:tr>
      <w:tr w:rsidR="002E4F08" w:rsidRPr="000D0C09" w:rsidTr="00051C63">
        <w:trPr>
          <w:trHeight w:val="275"/>
          <w:jc w:val="center"/>
        </w:trPr>
        <w:tc>
          <w:tcPr>
            <w:tcW w:w="3080" w:type="dxa"/>
          </w:tcPr>
          <w:p w:rsidR="006F31BD" w:rsidRPr="000D0C09" w:rsidRDefault="008A2061" w:rsidP="008A2061">
            <w:r w:rsidRPr="00124E2C">
              <w:t>12–17</w:t>
            </w:r>
            <w:r w:rsidR="006F31BD" w:rsidRPr="00124E2C">
              <w:t xml:space="preserve">years old: </w:t>
            </w:r>
            <w:r w:rsidR="003044A6" w:rsidRPr="00124E2C">
              <w:t>(</w:t>
            </w:r>
            <w:r w:rsidRPr="00124E2C">
              <w:t>Surveys</w:t>
            </w:r>
            <w:r w:rsidR="003044A6" w:rsidRPr="00124E2C">
              <w:t>)</w:t>
            </w:r>
          </w:p>
        </w:tc>
        <w:tc>
          <w:tcPr>
            <w:tcW w:w="2134" w:type="dxa"/>
            <w:vAlign w:val="center"/>
          </w:tcPr>
          <w:p w:rsidR="006F31BD" w:rsidRPr="00B46993" w:rsidRDefault="00790B31" w:rsidP="000F6659">
            <w:pPr>
              <w:jc w:val="center"/>
            </w:pPr>
            <w:r>
              <w:t>798</w:t>
            </w:r>
          </w:p>
        </w:tc>
        <w:tc>
          <w:tcPr>
            <w:tcW w:w="2161" w:type="dxa"/>
            <w:vAlign w:val="center"/>
          </w:tcPr>
          <w:p w:rsidR="006F31BD" w:rsidRPr="000D0C09" w:rsidRDefault="008A2061" w:rsidP="00F125CB">
            <w:pPr>
              <w:jc w:val="center"/>
            </w:pPr>
            <w:r w:rsidRPr="000D0C09">
              <w:t>2</w:t>
            </w:r>
            <w:r w:rsidR="003044A6" w:rsidRPr="000D0C09">
              <w:t>0</w:t>
            </w:r>
          </w:p>
        </w:tc>
        <w:tc>
          <w:tcPr>
            <w:tcW w:w="2152" w:type="dxa"/>
            <w:vAlign w:val="center"/>
          </w:tcPr>
          <w:p w:rsidR="006F31BD" w:rsidRPr="000D0C09" w:rsidRDefault="00382517" w:rsidP="00EE7B11">
            <w:pPr>
              <w:jc w:val="center"/>
            </w:pPr>
            <w:r>
              <w:t>266</w:t>
            </w:r>
          </w:p>
        </w:tc>
      </w:tr>
      <w:tr w:rsidR="00A94562" w:rsidRPr="000D0C09" w:rsidTr="00413A19">
        <w:trPr>
          <w:trHeight w:val="275"/>
          <w:jc w:val="center"/>
        </w:trPr>
        <w:tc>
          <w:tcPr>
            <w:tcW w:w="9527" w:type="dxa"/>
            <w:gridSpan w:val="4"/>
            <w:shd w:val="clear" w:color="auto" w:fill="A6A6A6" w:themeFill="background1" w:themeFillShade="A6"/>
          </w:tcPr>
          <w:p w:rsidR="00A94562" w:rsidRPr="000D0C09" w:rsidRDefault="00A94562" w:rsidP="000821F7">
            <w:pPr>
              <w:jc w:val="center"/>
              <w:rPr>
                <w:b/>
              </w:rPr>
            </w:pPr>
          </w:p>
        </w:tc>
      </w:tr>
      <w:tr w:rsidR="002E4F08" w:rsidRPr="000D0C09" w:rsidTr="00051C63">
        <w:trPr>
          <w:trHeight w:val="275"/>
          <w:jc w:val="center"/>
        </w:trPr>
        <w:tc>
          <w:tcPr>
            <w:tcW w:w="3080" w:type="dxa"/>
          </w:tcPr>
          <w:p w:rsidR="006F31BD" w:rsidRPr="000D0C09" w:rsidRDefault="006F31BD">
            <w:pPr>
              <w:jc w:val="center"/>
              <w:rPr>
                <w:b/>
              </w:rPr>
            </w:pPr>
            <w:r w:rsidRPr="000D0C09">
              <w:rPr>
                <w:b/>
              </w:rPr>
              <w:t>Total</w:t>
            </w:r>
            <w:r w:rsidR="006971FB" w:rsidRPr="000D0C09">
              <w:rPr>
                <w:b/>
              </w:rPr>
              <w:t xml:space="preserve"> </w:t>
            </w:r>
            <w:r w:rsidR="006971FB" w:rsidRPr="000D0C09">
              <w:rPr>
                <w:b/>
                <w:vertAlign w:val="superscript"/>
              </w:rPr>
              <w:t>1</w:t>
            </w:r>
          </w:p>
        </w:tc>
        <w:tc>
          <w:tcPr>
            <w:tcW w:w="2134" w:type="dxa"/>
            <w:vAlign w:val="center"/>
          </w:tcPr>
          <w:p w:rsidR="006F31BD" w:rsidRPr="000D0C09" w:rsidRDefault="00382517" w:rsidP="003044A6">
            <w:pPr>
              <w:jc w:val="center"/>
              <w:rPr>
                <w:b/>
              </w:rPr>
            </w:pPr>
            <w:r>
              <w:rPr>
                <w:b/>
              </w:rPr>
              <w:t>2,394</w:t>
            </w:r>
          </w:p>
        </w:tc>
        <w:tc>
          <w:tcPr>
            <w:tcW w:w="2161" w:type="dxa"/>
            <w:vAlign w:val="center"/>
          </w:tcPr>
          <w:p w:rsidR="006F31BD" w:rsidRPr="000D0C09" w:rsidRDefault="006F31BD" w:rsidP="006016F4">
            <w:pPr>
              <w:jc w:val="center"/>
              <w:rPr>
                <w:b/>
              </w:rPr>
            </w:pPr>
          </w:p>
        </w:tc>
        <w:tc>
          <w:tcPr>
            <w:tcW w:w="2152" w:type="dxa"/>
            <w:vAlign w:val="center"/>
          </w:tcPr>
          <w:p w:rsidR="006F31BD" w:rsidRPr="000D0C09" w:rsidRDefault="00580668" w:rsidP="000821F7">
            <w:pPr>
              <w:jc w:val="center"/>
              <w:rPr>
                <w:b/>
              </w:rPr>
            </w:pPr>
            <w:r>
              <w:rPr>
                <w:b/>
              </w:rPr>
              <w:t>865</w:t>
            </w:r>
          </w:p>
        </w:tc>
      </w:tr>
    </w:tbl>
    <w:p w:rsidR="001472BE" w:rsidRPr="00124E2C" w:rsidRDefault="006971FB" w:rsidP="00F16B10">
      <w:pPr>
        <w:rPr>
          <w:b/>
          <w:sz w:val="20"/>
          <w:szCs w:val="20"/>
        </w:rPr>
      </w:pPr>
      <w:r w:rsidRPr="00124E2C">
        <w:rPr>
          <w:b/>
          <w:sz w:val="20"/>
          <w:szCs w:val="20"/>
          <w:vertAlign w:val="superscript"/>
        </w:rPr>
        <w:t xml:space="preserve">1 </w:t>
      </w:r>
      <w:r w:rsidRPr="00124E2C">
        <w:rPr>
          <w:b/>
          <w:sz w:val="20"/>
          <w:szCs w:val="20"/>
        </w:rPr>
        <w:t xml:space="preserve">The total number of respondents </w:t>
      </w:r>
      <w:r w:rsidR="00382517">
        <w:rPr>
          <w:b/>
          <w:sz w:val="20"/>
          <w:szCs w:val="20"/>
        </w:rPr>
        <w:t>is</w:t>
      </w:r>
      <w:r w:rsidR="005175F4" w:rsidRPr="00124E2C">
        <w:rPr>
          <w:b/>
          <w:sz w:val="20"/>
          <w:szCs w:val="20"/>
        </w:rPr>
        <w:t xml:space="preserve"> </w:t>
      </w:r>
      <w:r w:rsidR="0044680B">
        <w:rPr>
          <w:b/>
          <w:sz w:val="20"/>
          <w:szCs w:val="20"/>
        </w:rPr>
        <w:t>2,280</w:t>
      </w:r>
      <w:r w:rsidRPr="00124E2C">
        <w:rPr>
          <w:b/>
          <w:sz w:val="20"/>
          <w:szCs w:val="20"/>
        </w:rPr>
        <w:t>; one-</w:t>
      </w:r>
      <w:r w:rsidR="0044680B">
        <w:rPr>
          <w:b/>
          <w:sz w:val="20"/>
          <w:szCs w:val="20"/>
        </w:rPr>
        <w:t>third</w:t>
      </w:r>
      <w:r w:rsidR="005175F4" w:rsidRPr="00124E2C">
        <w:rPr>
          <w:b/>
          <w:sz w:val="20"/>
          <w:szCs w:val="20"/>
        </w:rPr>
        <w:t xml:space="preserve"> of those (</w:t>
      </w:r>
      <w:r w:rsidR="00382517">
        <w:rPr>
          <w:b/>
          <w:sz w:val="20"/>
          <w:szCs w:val="20"/>
        </w:rPr>
        <w:t>798</w:t>
      </w:r>
      <w:r w:rsidRPr="00124E2C">
        <w:rPr>
          <w:b/>
          <w:sz w:val="20"/>
          <w:szCs w:val="20"/>
        </w:rPr>
        <w:t>) represent the total number of participants in this study.</w:t>
      </w:r>
    </w:p>
    <w:p w:rsidR="006971FB" w:rsidRPr="00124E2C" w:rsidRDefault="006971FB" w:rsidP="00F16B10">
      <w:pPr>
        <w:rPr>
          <w:b/>
        </w:rPr>
      </w:pPr>
    </w:p>
    <w:p w:rsidR="00F16B10" w:rsidRPr="00124E2C" w:rsidRDefault="00F16B10" w:rsidP="00F16B10">
      <w:r w:rsidRPr="00124E2C">
        <w:rPr>
          <w:b/>
        </w:rPr>
        <w:t xml:space="preserve">REQUESTED APPROVAL DATE: </w:t>
      </w:r>
      <w:r w:rsidR="00A501AF" w:rsidRPr="00A501AF">
        <w:rPr>
          <w:b/>
        </w:rPr>
        <w:t>August 24, 2016</w:t>
      </w:r>
    </w:p>
    <w:p w:rsidR="00F16B10" w:rsidRPr="00124E2C" w:rsidRDefault="00F16B10" w:rsidP="00F16B10">
      <w:pPr>
        <w:rPr>
          <w:b/>
        </w:rPr>
      </w:pPr>
    </w:p>
    <w:p w:rsidR="00F16B10" w:rsidRPr="00124E2C" w:rsidRDefault="00F16B10" w:rsidP="00F16B10">
      <w:pPr>
        <w:rPr>
          <w:b/>
        </w:rPr>
      </w:pPr>
      <w:r w:rsidRPr="00124E2C">
        <w:rPr>
          <w:b/>
        </w:rPr>
        <w:t xml:space="preserve">NAME OF PRA ANALYST &amp; PROGRAM CONTACT: </w:t>
      </w:r>
    </w:p>
    <w:p w:rsidR="00FF472A" w:rsidRPr="00FF472A" w:rsidRDefault="00F16B10" w:rsidP="00FF472A">
      <w:pPr>
        <w:jc w:val="both"/>
        <w:rPr>
          <w:rFonts w:ascii="Arial" w:eastAsia="Calibri" w:hAnsi="Arial" w:cs="Arial"/>
          <w:b/>
        </w:rPr>
      </w:pPr>
      <w:r w:rsidRPr="00124E2C">
        <w:rPr>
          <w:b/>
        </w:rPr>
        <w:t>PRA Analyst</w:t>
      </w:r>
      <w:r w:rsidRPr="00124E2C">
        <w:rPr>
          <w:b/>
        </w:rPr>
        <w:tab/>
      </w:r>
      <w:r w:rsidRPr="00124E2C">
        <w:rPr>
          <w:b/>
        </w:rPr>
        <w:tab/>
      </w:r>
    </w:p>
    <w:p w:rsidR="00FF472A" w:rsidRPr="00683884" w:rsidRDefault="00FF472A" w:rsidP="00683884">
      <w:pPr>
        <w:ind w:left="1440" w:firstLine="720"/>
        <w:rPr>
          <w:b/>
        </w:rPr>
      </w:pPr>
      <w:r w:rsidRPr="00683884">
        <w:rPr>
          <w:b/>
        </w:rPr>
        <w:t>Amber Sanford</w:t>
      </w:r>
    </w:p>
    <w:p w:rsidR="00FF472A" w:rsidRPr="00683884" w:rsidRDefault="00FF472A" w:rsidP="00683884">
      <w:pPr>
        <w:rPr>
          <w:b/>
        </w:rPr>
      </w:pPr>
      <w:r w:rsidRPr="00683884">
        <w:rPr>
          <w:b/>
        </w:rPr>
        <w:tab/>
      </w:r>
      <w:r w:rsidRPr="00683884">
        <w:rPr>
          <w:b/>
        </w:rPr>
        <w:tab/>
      </w:r>
      <w:r w:rsidRPr="00683884">
        <w:rPr>
          <w:b/>
        </w:rPr>
        <w:tab/>
        <w:t>301-796-8867</w:t>
      </w:r>
    </w:p>
    <w:p w:rsidR="00FF472A" w:rsidRPr="00683884" w:rsidRDefault="00FF472A" w:rsidP="00683884">
      <w:pPr>
        <w:rPr>
          <w:b/>
        </w:rPr>
      </w:pPr>
      <w:r w:rsidRPr="00683884">
        <w:rPr>
          <w:b/>
        </w:rPr>
        <w:tab/>
      </w:r>
      <w:r w:rsidRPr="00683884">
        <w:rPr>
          <w:b/>
        </w:rPr>
        <w:tab/>
      </w:r>
      <w:r w:rsidRPr="00683884">
        <w:rPr>
          <w:b/>
        </w:rPr>
        <w:tab/>
        <w:t>Amber.Sanford@fda.hhs.gov</w:t>
      </w:r>
    </w:p>
    <w:p w:rsidR="00F16B10" w:rsidRPr="00124E2C" w:rsidRDefault="00F16B10" w:rsidP="00F16B10">
      <w:pPr>
        <w:rPr>
          <w:b/>
        </w:rPr>
      </w:pPr>
    </w:p>
    <w:p w:rsidR="00F16B10" w:rsidRPr="00124E2C" w:rsidRDefault="00F16B10" w:rsidP="00F16B10">
      <w:pPr>
        <w:rPr>
          <w:b/>
        </w:rPr>
      </w:pPr>
      <w:r w:rsidRPr="00124E2C">
        <w:rPr>
          <w:b/>
        </w:rPr>
        <w:t>Program Contact</w:t>
      </w:r>
      <w:r w:rsidRPr="00124E2C">
        <w:rPr>
          <w:b/>
        </w:rPr>
        <w:tab/>
        <w:t>Tesfa Alexander</w:t>
      </w:r>
    </w:p>
    <w:p w:rsidR="00F16B10" w:rsidRPr="00124E2C" w:rsidRDefault="00F16B10" w:rsidP="00F16B10">
      <w:pPr>
        <w:rPr>
          <w:b/>
        </w:rPr>
      </w:pPr>
      <w:r w:rsidRPr="00124E2C">
        <w:rPr>
          <w:b/>
        </w:rPr>
        <w:tab/>
      </w:r>
      <w:r w:rsidRPr="00124E2C">
        <w:rPr>
          <w:b/>
        </w:rPr>
        <w:tab/>
      </w:r>
      <w:r w:rsidRPr="00124E2C">
        <w:rPr>
          <w:b/>
        </w:rPr>
        <w:tab/>
        <w:t>301-796-9335</w:t>
      </w:r>
    </w:p>
    <w:p w:rsidR="00F16B10" w:rsidRPr="00124E2C" w:rsidRDefault="00F16B10" w:rsidP="00F16B10">
      <w:pPr>
        <w:rPr>
          <w:b/>
        </w:rPr>
      </w:pPr>
      <w:r w:rsidRPr="00124E2C">
        <w:rPr>
          <w:b/>
        </w:rPr>
        <w:tab/>
      </w:r>
      <w:r w:rsidRPr="00124E2C">
        <w:rPr>
          <w:b/>
        </w:rPr>
        <w:tab/>
      </w:r>
      <w:r w:rsidRPr="00124E2C">
        <w:rPr>
          <w:b/>
        </w:rPr>
        <w:tab/>
        <w:t>Tesfa.Alexander@fda.hhs.gov</w:t>
      </w:r>
    </w:p>
    <w:p w:rsidR="001472BE" w:rsidRPr="00124E2C" w:rsidRDefault="001472BE" w:rsidP="00F16B10">
      <w:pPr>
        <w:rPr>
          <w:b/>
        </w:rPr>
      </w:pPr>
    </w:p>
    <w:p w:rsidR="000E4601" w:rsidRPr="00B46993" w:rsidRDefault="00F16B10" w:rsidP="00D77642">
      <w:pPr>
        <w:rPr>
          <w:u w:val="single"/>
        </w:rPr>
      </w:pPr>
      <w:r w:rsidRPr="00124E2C">
        <w:rPr>
          <w:b/>
        </w:rPr>
        <w:t>FDA CENTER: Center for Tobacco Products (FDA/CTP</w:t>
      </w:r>
      <w:r w:rsidR="00817F26" w:rsidRPr="00B46993">
        <w:rPr>
          <w:u w:val="single"/>
        </w:rPr>
        <w:br w:type="page"/>
      </w:r>
      <w:r w:rsidR="000E4601" w:rsidRPr="00B46993">
        <w:rPr>
          <w:u w:val="single"/>
        </w:rPr>
        <w:lastRenderedPageBreak/>
        <w:t>References</w:t>
      </w:r>
    </w:p>
    <w:p w:rsidR="000E4601" w:rsidRPr="00B46993" w:rsidRDefault="000E4601" w:rsidP="000E4601">
      <w:pPr>
        <w:ind w:left="720" w:hanging="720"/>
      </w:pPr>
    </w:p>
    <w:p w:rsidR="000E4601" w:rsidRPr="00B46993" w:rsidRDefault="000E4601" w:rsidP="000E4601">
      <w:pPr>
        <w:ind w:left="720" w:hanging="720"/>
      </w:pPr>
      <w:r w:rsidRPr="000D0C09">
        <w:t xml:space="preserve">CASRO.  (2013) </w:t>
      </w:r>
      <w:r w:rsidRPr="000D0C09">
        <w:rPr>
          <w:u w:val="single"/>
        </w:rPr>
        <w:t>CASRO Code of Standards and Ethics</w:t>
      </w:r>
      <w:r w:rsidRPr="000D0C09">
        <w:t xml:space="preserve">, Available at: </w:t>
      </w:r>
      <w:hyperlink r:id="rId9" w:history="1">
        <w:r w:rsidRPr="00B46993">
          <w:rPr>
            <w:rStyle w:val="Hyperlink"/>
          </w:rPr>
          <w:t>http://www.casro.org/?page=TheCASROCode</w:t>
        </w:r>
      </w:hyperlink>
      <w:r w:rsidRPr="000D0C09">
        <w:t xml:space="preserve"> Accessed on: 06/07/2013</w:t>
      </w:r>
    </w:p>
    <w:p w:rsidR="000E4601" w:rsidRPr="00B46993" w:rsidRDefault="000E4601" w:rsidP="00B22D99"/>
    <w:p w:rsidR="000E4601" w:rsidRPr="000D0C09" w:rsidRDefault="000E4601" w:rsidP="000E4601">
      <w:pPr>
        <w:ind w:left="720" w:hanging="720"/>
      </w:pPr>
      <w:r w:rsidRPr="00B46993">
        <w:t xml:space="preserve">Groth, S.W. (2010). </w:t>
      </w:r>
      <w:r w:rsidRPr="000D0C09">
        <w:rPr>
          <w:u w:val="single"/>
          <w:lang w:val="en"/>
        </w:rPr>
        <w:t>Honorarium or coercion: use of incentives for participants in clinical research</w:t>
      </w:r>
      <w:r w:rsidRPr="000D0C09">
        <w:rPr>
          <w:i/>
          <w:iCs/>
          <w:u w:val="single"/>
          <w:lang w:val="en"/>
        </w:rPr>
        <w:t>.</w:t>
      </w:r>
      <w:r w:rsidRPr="000D0C09">
        <w:rPr>
          <w:i/>
          <w:iCs/>
          <w:lang w:val="en"/>
        </w:rPr>
        <w:t xml:space="preserve"> </w:t>
      </w:r>
      <w:r w:rsidRPr="000D0C09">
        <w:rPr>
          <w:rStyle w:val="int"/>
          <w:i/>
          <w:iCs/>
          <w:lang w:val="en"/>
        </w:rPr>
        <w:t>Journal of the New York State Nurses Association</w:t>
      </w:r>
      <w:r w:rsidRPr="000D0C09">
        <w:rPr>
          <w:rStyle w:val="int"/>
          <w:lang w:val="en"/>
        </w:rPr>
        <w:t>.</w:t>
      </w:r>
    </w:p>
    <w:p w:rsidR="000E4601" w:rsidRPr="000D0C09" w:rsidRDefault="000E4601" w:rsidP="000E4601">
      <w:pPr>
        <w:ind w:left="720" w:hanging="720"/>
        <w:rPr>
          <w:lang w:val="en"/>
        </w:rPr>
      </w:pPr>
    </w:p>
    <w:p w:rsidR="000E4601" w:rsidRPr="000D0C09" w:rsidRDefault="000E4601" w:rsidP="000E4601">
      <w:pPr>
        <w:ind w:left="720" w:hanging="720"/>
      </w:pPr>
      <w:r w:rsidRPr="000D0C09">
        <w:rPr>
          <w:lang w:val="en"/>
        </w:rPr>
        <w:t xml:space="preserve">Halpern, S.D., Karlawish, J.H., Casarett, D., Berlin, J.A., &amp; Asch, D.A. (2004). </w:t>
      </w:r>
      <w:r w:rsidRPr="000D0C09">
        <w:rPr>
          <w:u w:val="single"/>
          <w:lang w:val="en"/>
        </w:rPr>
        <w:t>Empirical assessment of whether moderate payments are undue or unjust inducements for participation in clinical trials.</w:t>
      </w:r>
      <w:r w:rsidRPr="000D0C09">
        <w:rPr>
          <w:lang w:val="en"/>
        </w:rPr>
        <w:t xml:space="preserve"> </w:t>
      </w:r>
      <w:r w:rsidRPr="000D0C09">
        <w:rPr>
          <w:i/>
          <w:iCs/>
          <w:lang w:val="en"/>
        </w:rPr>
        <w:t>Archives of Internal Medicine, 164</w:t>
      </w:r>
      <w:r w:rsidRPr="000D0C09">
        <w:rPr>
          <w:lang w:val="en"/>
        </w:rPr>
        <w:t>(7), 80l-803.</w:t>
      </w:r>
    </w:p>
    <w:p w:rsidR="000E4601" w:rsidRPr="000D0C09" w:rsidRDefault="000E4601" w:rsidP="000E4601">
      <w:pPr>
        <w:ind w:left="720" w:hanging="720"/>
      </w:pPr>
    </w:p>
    <w:p w:rsidR="000E4601" w:rsidRPr="000D0C09" w:rsidRDefault="000E4601" w:rsidP="000E4601">
      <w:pPr>
        <w:ind w:left="720" w:hanging="720"/>
      </w:pPr>
      <w:r w:rsidRPr="000D0C09">
        <w:t xml:space="preserve">Johnston, L. D., O'Malley, P. M., Bachman, J. G., &amp; Schulenberg, J. E. (2012). </w:t>
      </w:r>
      <w:r w:rsidRPr="000D0C09">
        <w:rPr>
          <w:i/>
          <w:iCs/>
        </w:rPr>
        <w:t>Monitoring the Future national survey results on drug use, 1975-2011. Volume I: Secondary school students</w:t>
      </w:r>
      <w:r w:rsidRPr="000D0C09">
        <w:t>. Ann Arbor: Institute for Social Research, The University of Michigan, 760 pp.</w:t>
      </w:r>
    </w:p>
    <w:p w:rsidR="000E4601" w:rsidRPr="000D0C09" w:rsidRDefault="000E4601" w:rsidP="000E4601">
      <w:pPr>
        <w:ind w:left="720" w:hanging="720"/>
      </w:pPr>
    </w:p>
    <w:p w:rsidR="000E4601" w:rsidRPr="000D0C09" w:rsidRDefault="000E4601" w:rsidP="000E4601">
      <w:pPr>
        <w:ind w:left="720" w:hanging="720"/>
      </w:pPr>
      <w:r w:rsidRPr="000D0C09">
        <w:t>Morgan, D.L. and A.N. Scannell. (1998)  Planning Focus Groups. Thousand Oaks, CA: Sage.</w:t>
      </w:r>
    </w:p>
    <w:p w:rsidR="000E4601" w:rsidRPr="000D0C09" w:rsidRDefault="000E4601" w:rsidP="000E4601">
      <w:pPr>
        <w:ind w:left="720" w:hanging="720"/>
      </w:pPr>
    </w:p>
    <w:p w:rsidR="000E4601" w:rsidRPr="000D0C09" w:rsidRDefault="000E4601" w:rsidP="000E4601">
      <w:pPr>
        <w:spacing w:line="336" w:lineRule="atLeast"/>
        <w:ind w:left="720" w:hanging="720"/>
        <w:rPr>
          <w:color w:val="333300"/>
          <w:lang w:val="en"/>
        </w:rPr>
      </w:pPr>
      <w:r w:rsidRPr="000D0C09">
        <w:t xml:space="preserve">Russell, M.L., Moralejo, D.G., Burgess, E.D. (2000).  </w:t>
      </w:r>
      <w:r w:rsidRPr="000D0C09">
        <w:rPr>
          <w:i/>
        </w:rPr>
        <w:t>Paying research subjects: participants’ perspectives.</w:t>
      </w:r>
      <w:r w:rsidRPr="000D0C09">
        <w:rPr>
          <w:i/>
          <w:iCs/>
          <w:color w:val="333300"/>
          <w:lang w:val="en"/>
        </w:rPr>
        <w:t xml:space="preserve"> J Med Ethics </w:t>
      </w:r>
      <w:r w:rsidRPr="000D0C09">
        <w:rPr>
          <w:color w:val="333300"/>
          <w:lang w:val="en"/>
        </w:rPr>
        <w:t>2000;</w:t>
      </w:r>
      <w:r w:rsidRPr="000D0C09">
        <w:rPr>
          <w:bCs/>
          <w:color w:val="333300"/>
          <w:lang w:val="en"/>
        </w:rPr>
        <w:t>26</w:t>
      </w:r>
      <w:r w:rsidRPr="000D0C09">
        <w:rPr>
          <w:color w:val="333300"/>
          <w:lang w:val="en"/>
        </w:rPr>
        <w:t xml:space="preserve">:126-130 doi:10.1136/jme.26.2.126 </w:t>
      </w:r>
    </w:p>
    <w:p w:rsidR="002D7143" w:rsidRPr="000D0C09" w:rsidRDefault="002D7143" w:rsidP="002D7143">
      <w:pPr>
        <w:rPr>
          <w:rStyle w:val="Hyperlink"/>
        </w:rPr>
      </w:pPr>
    </w:p>
    <w:p w:rsidR="002D7143" w:rsidRPr="000D0C09" w:rsidRDefault="002D7143" w:rsidP="002D7143">
      <w:pPr>
        <w:pStyle w:val="ListParagraph"/>
        <w:ind w:left="0"/>
      </w:pPr>
      <w:r w:rsidRPr="00124E2C">
        <w:t xml:space="preserve">SAMHSA, Office of Applied Studies, National Survey on Drug Use and Health, 2013-2014. </w:t>
      </w:r>
    </w:p>
    <w:p w:rsidR="002D7143" w:rsidRPr="000D0C09" w:rsidRDefault="002D7143" w:rsidP="002D7143">
      <w:pPr>
        <w:pStyle w:val="ListParagraph"/>
        <w:ind w:left="900"/>
        <w:rPr>
          <w:b/>
        </w:rPr>
      </w:pPr>
    </w:p>
    <w:p w:rsidR="002D7143" w:rsidRPr="000D0C09" w:rsidRDefault="002D7143" w:rsidP="002D7143">
      <w:pPr>
        <w:pStyle w:val="ListParagraph"/>
        <w:ind w:hanging="720"/>
        <w:rPr>
          <w:b/>
        </w:rPr>
      </w:pPr>
      <w:r w:rsidRPr="000D0C09">
        <w:rPr>
          <w:color w:val="222222"/>
          <w:shd w:val="clear" w:color="auto" w:fill="FFFFFF"/>
        </w:rPr>
        <w:t>Singer, E., &amp; Kulka, R. A. (2002). Paying respondents for survey participation.</w:t>
      </w:r>
      <w:r w:rsidRPr="000D0C09">
        <w:rPr>
          <w:i/>
          <w:iCs/>
          <w:color w:val="222222"/>
          <w:shd w:val="clear" w:color="auto" w:fill="FFFFFF"/>
        </w:rPr>
        <w:t>Studies of welfare populations: Data collection and research issues</w:t>
      </w:r>
      <w:r w:rsidRPr="000D0C09">
        <w:rPr>
          <w:color w:val="222222"/>
          <w:shd w:val="clear" w:color="auto" w:fill="FFFFFF"/>
        </w:rPr>
        <w:t>, 105-128.</w:t>
      </w:r>
    </w:p>
    <w:p w:rsidR="002D7143" w:rsidRPr="000D0C09" w:rsidRDefault="002D7143" w:rsidP="002D7143">
      <w:pPr>
        <w:pStyle w:val="ListParagraph"/>
        <w:ind w:left="900"/>
        <w:rPr>
          <w:b/>
        </w:rPr>
      </w:pPr>
    </w:p>
    <w:p w:rsidR="002D7143" w:rsidRPr="000D0C09" w:rsidRDefault="002D7143" w:rsidP="002D7143">
      <w:pPr>
        <w:pStyle w:val="ListParagraph"/>
        <w:ind w:hanging="720"/>
        <w:rPr>
          <w:b/>
        </w:rPr>
      </w:pPr>
      <w:r w:rsidRPr="000D0C09">
        <w:rPr>
          <w:color w:val="222222"/>
          <w:shd w:val="clear" w:color="auto" w:fill="FFFFFF"/>
        </w:rPr>
        <w:t>Singer, E., &amp; Couper, M. P. (2008). Do incentives exert undue influence on survey participation? Experimental evidence.</w:t>
      </w:r>
      <w:r w:rsidRPr="000D0C09">
        <w:rPr>
          <w:rStyle w:val="apple-converted-space"/>
          <w:color w:val="222222"/>
          <w:shd w:val="clear" w:color="auto" w:fill="FFFFFF"/>
        </w:rPr>
        <w:t> </w:t>
      </w:r>
      <w:r w:rsidRPr="000D0C09">
        <w:rPr>
          <w:i/>
          <w:iCs/>
          <w:color w:val="222222"/>
          <w:shd w:val="clear" w:color="auto" w:fill="FFFFFF"/>
        </w:rPr>
        <w:t>Journal of Empirical Research on Human Research Ethics</w:t>
      </w:r>
      <w:r w:rsidRPr="000D0C09">
        <w:rPr>
          <w:color w:val="222222"/>
          <w:shd w:val="clear" w:color="auto" w:fill="FFFFFF"/>
        </w:rPr>
        <w:t>,</w:t>
      </w:r>
      <w:r w:rsidRPr="000D0C09">
        <w:rPr>
          <w:rStyle w:val="apple-converted-space"/>
          <w:color w:val="222222"/>
          <w:shd w:val="clear" w:color="auto" w:fill="FFFFFF"/>
        </w:rPr>
        <w:t> </w:t>
      </w:r>
      <w:r w:rsidRPr="000D0C09">
        <w:rPr>
          <w:i/>
          <w:iCs/>
          <w:color w:val="222222"/>
          <w:shd w:val="clear" w:color="auto" w:fill="FFFFFF"/>
        </w:rPr>
        <w:t>3</w:t>
      </w:r>
      <w:r w:rsidRPr="000D0C09">
        <w:rPr>
          <w:color w:val="222222"/>
          <w:shd w:val="clear" w:color="auto" w:fill="FFFFFF"/>
        </w:rPr>
        <w:t>(3), 49-56.</w:t>
      </w:r>
    </w:p>
    <w:p w:rsidR="002D7143" w:rsidRPr="000D0C09" w:rsidRDefault="002D7143" w:rsidP="002D7143">
      <w:pPr>
        <w:pStyle w:val="ListParagraph"/>
        <w:ind w:left="900"/>
      </w:pPr>
    </w:p>
    <w:p w:rsidR="002D7143" w:rsidRPr="000D0C09" w:rsidRDefault="002D7143" w:rsidP="002D7143">
      <w:pPr>
        <w:pStyle w:val="ListParagraph"/>
        <w:ind w:hanging="720"/>
      </w:pPr>
      <w:r w:rsidRPr="000D0C09">
        <w:rPr>
          <w:color w:val="222222"/>
          <w:shd w:val="clear" w:color="auto" w:fill="FFFFFF"/>
        </w:rPr>
        <w:t>Singer, E., &amp; Ye, C. (2013). The use and effects of incentives in surveys.</w:t>
      </w:r>
      <w:r w:rsidRPr="000D0C09">
        <w:rPr>
          <w:rStyle w:val="apple-converted-space"/>
          <w:color w:val="222222"/>
          <w:shd w:val="clear" w:color="auto" w:fill="FFFFFF"/>
        </w:rPr>
        <w:t> </w:t>
      </w:r>
      <w:r w:rsidRPr="000D0C09">
        <w:rPr>
          <w:i/>
          <w:iCs/>
          <w:color w:val="222222"/>
          <w:shd w:val="clear" w:color="auto" w:fill="FFFFFF"/>
        </w:rPr>
        <w:t>The ANNALS of the American Academy of Political and Social Science</w:t>
      </w:r>
      <w:r w:rsidRPr="000D0C09">
        <w:rPr>
          <w:color w:val="222222"/>
          <w:shd w:val="clear" w:color="auto" w:fill="FFFFFF"/>
        </w:rPr>
        <w:t>,</w:t>
      </w:r>
      <w:r w:rsidRPr="000D0C09">
        <w:rPr>
          <w:rStyle w:val="apple-converted-space"/>
          <w:color w:val="222222"/>
          <w:shd w:val="clear" w:color="auto" w:fill="FFFFFF"/>
        </w:rPr>
        <w:t> </w:t>
      </w:r>
      <w:r w:rsidRPr="000D0C09">
        <w:rPr>
          <w:i/>
          <w:iCs/>
          <w:color w:val="222222"/>
          <w:shd w:val="clear" w:color="auto" w:fill="FFFFFF"/>
        </w:rPr>
        <w:t>645</w:t>
      </w:r>
      <w:r w:rsidRPr="000D0C09">
        <w:rPr>
          <w:color w:val="222222"/>
          <w:shd w:val="clear" w:color="auto" w:fill="FFFFFF"/>
        </w:rPr>
        <w:t>(1), 112-141.</w:t>
      </w:r>
    </w:p>
    <w:p w:rsidR="000E4601" w:rsidRPr="000D0C09" w:rsidRDefault="000E4601" w:rsidP="002D7143">
      <w:pPr>
        <w:ind w:left="720" w:hanging="720"/>
      </w:pPr>
    </w:p>
    <w:sectPr w:rsidR="000E4601" w:rsidRPr="000D0C09" w:rsidSect="004770B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DF4" w:rsidRDefault="006B3DF4">
      <w:r>
        <w:separator/>
      </w:r>
    </w:p>
  </w:endnote>
  <w:endnote w:type="continuationSeparator" w:id="0">
    <w:p w:rsidR="006B3DF4" w:rsidRDefault="006B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78880"/>
      <w:docPartObj>
        <w:docPartGallery w:val="Page Numbers (Bottom of Page)"/>
        <w:docPartUnique/>
      </w:docPartObj>
    </w:sdtPr>
    <w:sdtEndPr>
      <w:rPr>
        <w:noProof/>
      </w:rPr>
    </w:sdtEndPr>
    <w:sdtContent>
      <w:p w:rsidR="00B46993" w:rsidRDefault="00B46993">
        <w:pPr>
          <w:pStyle w:val="Footer"/>
          <w:jc w:val="right"/>
        </w:pPr>
        <w:r>
          <w:fldChar w:fldCharType="begin"/>
        </w:r>
        <w:r>
          <w:instrText xml:space="preserve"> PAGE   \* MERGEFORMAT </w:instrText>
        </w:r>
        <w:r>
          <w:fldChar w:fldCharType="separate"/>
        </w:r>
        <w:r w:rsidR="00093D21">
          <w:rPr>
            <w:noProof/>
          </w:rPr>
          <w:t>7</w:t>
        </w:r>
        <w:r>
          <w:rPr>
            <w:noProof/>
          </w:rPr>
          <w:fldChar w:fldCharType="end"/>
        </w:r>
      </w:p>
    </w:sdtContent>
  </w:sdt>
  <w:p w:rsidR="00B46993" w:rsidRDefault="00B46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DF4" w:rsidRDefault="006B3DF4">
      <w:r>
        <w:separator/>
      </w:r>
    </w:p>
  </w:footnote>
  <w:footnote w:type="continuationSeparator" w:id="0">
    <w:p w:rsidR="006B3DF4" w:rsidRDefault="006B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B7" w:rsidRDefault="004770B7" w:rsidP="004770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91F3A"/>
    <w:multiLevelType w:val="hybridMultilevel"/>
    <w:tmpl w:val="44E0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4AC3270"/>
    <w:multiLevelType w:val="hybridMultilevel"/>
    <w:tmpl w:val="4DE6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E06D6B"/>
    <w:multiLevelType w:val="hybridMultilevel"/>
    <w:tmpl w:val="E71A8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460F09"/>
    <w:multiLevelType w:val="hybridMultilevel"/>
    <w:tmpl w:val="181C5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4E331F"/>
    <w:multiLevelType w:val="multilevel"/>
    <w:tmpl w:val="88E65A68"/>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nsid w:val="1AE32D8A"/>
    <w:multiLevelType w:val="multilevel"/>
    <w:tmpl w:val="6E8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D03303"/>
    <w:multiLevelType w:val="multilevel"/>
    <w:tmpl w:val="793C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1E6AF6"/>
    <w:multiLevelType w:val="multilevel"/>
    <w:tmpl w:val="6F4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6637A"/>
    <w:multiLevelType w:val="multilevel"/>
    <w:tmpl w:val="2AD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4207A3"/>
    <w:multiLevelType w:val="multilevel"/>
    <w:tmpl w:val="4B2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33B4C"/>
    <w:multiLevelType w:val="hybridMultilevel"/>
    <w:tmpl w:val="17BCD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707D3C"/>
    <w:multiLevelType w:val="multilevel"/>
    <w:tmpl w:val="50AE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BC4539"/>
    <w:multiLevelType w:val="hybridMultilevel"/>
    <w:tmpl w:val="D3783C50"/>
    <w:lvl w:ilvl="0" w:tplc="8C58803E">
      <w:start w:val="1"/>
      <w:numFmt w:val="bullet"/>
      <w:lvlText w:val=""/>
      <w:lvlJc w:val="left"/>
      <w:pPr>
        <w:ind w:left="1440" w:hanging="360"/>
      </w:pPr>
      <w:rPr>
        <w:rFonts w:ascii="Symbol" w:hAnsi="Symbol" w:hint="default"/>
        <w:b w:val="0"/>
        <w:i w:val="0"/>
        <w:strike w:val="0"/>
        <w:dstrike w:val="0"/>
        <w:color w:val="000000"/>
        <w:sz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DF42421"/>
    <w:multiLevelType w:val="multilevel"/>
    <w:tmpl w:val="9C2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093BE8"/>
    <w:multiLevelType w:val="hybridMultilevel"/>
    <w:tmpl w:val="1E72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4">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7E804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94E2F6B"/>
    <w:multiLevelType w:val="hybridMultilevel"/>
    <w:tmpl w:val="9F7A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F31FA2"/>
    <w:multiLevelType w:val="hybridMultilevel"/>
    <w:tmpl w:val="8DFA2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028774C"/>
    <w:multiLevelType w:val="hybridMultilevel"/>
    <w:tmpl w:val="05144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953252"/>
    <w:multiLevelType w:val="hybridMultilevel"/>
    <w:tmpl w:val="F95A9D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7D44FCC"/>
    <w:multiLevelType w:val="multilevel"/>
    <w:tmpl w:val="253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B1F7E1F"/>
    <w:multiLevelType w:val="multilevel"/>
    <w:tmpl w:val="65A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767977"/>
    <w:multiLevelType w:val="hybridMultilevel"/>
    <w:tmpl w:val="23E8CD0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8">
    <w:nsid w:val="622A27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35878A3"/>
    <w:multiLevelType w:val="hybridMultilevel"/>
    <w:tmpl w:val="CAC20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63E22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2">
    <w:nsid w:val="6B975CBA"/>
    <w:multiLevelType w:val="multilevel"/>
    <w:tmpl w:val="4C50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0D07D9"/>
    <w:multiLevelType w:val="hybridMultilevel"/>
    <w:tmpl w:val="8170246E"/>
    <w:lvl w:ilvl="0" w:tplc="16BED450">
      <w:start w:val="1"/>
      <w:numFmt w:val="decimal"/>
      <w:lvlText w:val="%1."/>
      <w:lvlJc w:val="left"/>
      <w:pPr>
        <w:tabs>
          <w:tab w:val="num" w:pos="900"/>
        </w:tabs>
        <w:ind w:left="900" w:hanging="360"/>
      </w:pPr>
      <w:rPr>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4">
    <w:nsid w:val="706B0213"/>
    <w:multiLevelType w:val="hybridMultilevel"/>
    <w:tmpl w:val="6980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120362"/>
    <w:multiLevelType w:val="multilevel"/>
    <w:tmpl w:val="FCB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7"/>
  </w:num>
  <w:num w:numId="3">
    <w:abstractNumId w:val="46"/>
  </w:num>
  <w:num w:numId="4">
    <w:abstractNumId w:val="48"/>
  </w:num>
  <w:num w:numId="5">
    <w:abstractNumId w:val="5"/>
  </w:num>
  <w:num w:numId="6">
    <w:abstractNumId w:val="2"/>
  </w:num>
  <w:num w:numId="7">
    <w:abstractNumId w:val="27"/>
  </w:num>
  <w:num w:numId="8">
    <w:abstractNumId w:val="41"/>
  </w:num>
  <w:num w:numId="9">
    <w:abstractNumId w:val="28"/>
  </w:num>
  <w:num w:numId="10">
    <w:abstractNumId w:val="3"/>
  </w:num>
  <w:num w:numId="11">
    <w:abstractNumId w:val="11"/>
  </w:num>
  <w:num w:numId="12">
    <w:abstractNumId w:val="14"/>
  </w:num>
  <w:num w:numId="13">
    <w:abstractNumId w:val="1"/>
  </w:num>
  <w:num w:numId="14">
    <w:abstractNumId w:val="24"/>
  </w:num>
  <w:num w:numId="15">
    <w:abstractNumId w:val="43"/>
  </w:num>
  <w:num w:numId="16">
    <w:abstractNumId w:val="35"/>
  </w:num>
  <w:num w:numId="17">
    <w:abstractNumId w:val="0"/>
  </w:num>
  <w:num w:numId="18">
    <w:abstractNumId w:val="23"/>
  </w:num>
  <w:num w:numId="19">
    <w:abstractNumId w:val="13"/>
  </w:num>
  <w:num w:numId="20">
    <w:abstractNumId w:val="17"/>
  </w:num>
  <w:num w:numId="21">
    <w:abstractNumId w:val="45"/>
  </w:num>
  <w:num w:numId="22">
    <w:abstractNumId w:val="16"/>
  </w:num>
  <w:num w:numId="23">
    <w:abstractNumId w:val="33"/>
  </w:num>
  <w:num w:numId="24">
    <w:abstractNumId w:val="15"/>
  </w:num>
  <w:num w:numId="25">
    <w:abstractNumId w:val="42"/>
  </w:num>
  <w:num w:numId="26">
    <w:abstractNumId w:val="10"/>
  </w:num>
  <w:num w:numId="27">
    <w:abstractNumId w:val="36"/>
  </w:num>
  <w:num w:numId="28">
    <w:abstractNumId w:val="12"/>
  </w:num>
  <w:num w:numId="29">
    <w:abstractNumId w:val="19"/>
  </w:num>
  <w:num w:numId="30">
    <w:abstractNumId w:val="21"/>
  </w:num>
  <w:num w:numId="31">
    <w:abstractNumId w:val="9"/>
  </w:num>
  <w:num w:numId="32">
    <w:abstractNumId w:val="25"/>
  </w:num>
  <w:num w:numId="33">
    <w:abstractNumId w:val="40"/>
  </w:num>
  <w:num w:numId="34">
    <w:abstractNumId w:val="32"/>
  </w:num>
  <w:num w:numId="35">
    <w:abstractNumId w:val="38"/>
  </w:num>
  <w:num w:numId="36">
    <w:abstractNumId w:val="29"/>
  </w:num>
  <w:num w:numId="37">
    <w:abstractNumId w:val="22"/>
  </w:num>
  <w:num w:numId="38">
    <w:abstractNumId w:val="44"/>
  </w:num>
  <w:num w:numId="39">
    <w:abstractNumId w:val="6"/>
  </w:num>
  <w:num w:numId="40">
    <w:abstractNumId w:val="31"/>
  </w:num>
  <w:num w:numId="41">
    <w:abstractNumId w:val="20"/>
  </w:num>
  <w:num w:numId="42">
    <w:abstractNumId w:val="8"/>
  </w:num>
  <w:num w:numId="43">
    <w:abstractNumId w:val="18"/>
  </w:num>
  <w:num w:numId="44">
    <w:abstractNumId w:val="26"/>
  </w:num>
  <w:num w:numId="45">
    <w:abstractNumId w:val="37"/>
  </w:num>
  <w:num w:numId="46">
    <w:abstractNumId w:val="7"/>
  </w:num>
  <w:num w:numId="47">
    <w:abstractNumId w:val="39"/>
  </w:num>
  <w:num w:numId="48">
    <w:abstractNumId w:val="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239"/>
    <w:rsid w:val="00000BD5"/>
    <w:rsid w:val="00001BC7"/>
    <w:rsid w:val="00003EAD"/>
    <w:rsid w:val="00005D48"/>
    <w:rsid w:val="00006013"/>
    <w:rsid w:val="0000767D"/>
    <w:rsid w:val="000124E8"/>
    <w:rsid w:val="000169AA"/>
    <w:rsid w:val="00022163"/>
    <w:rsid w:val="000255A7"/>
    <w:rsid w:val="00026470"/>
    <w:rsid w:val="00027E35"/>
    <w:rsid w:val="00032922"/>
    <w:rsid w:val="0003316C"/>
    <w:rsid w:val="00034B12"/>
    <w:rsid w:val="000355DF"/>
    <w:rsid w:val="00035B5C"/>
    <w:rsid w:val="000503D8"/>
    <w:rsid w:val="00051A59"/>
    <w:rsid w:val="00051C63"/>
    <w:rsid w:val="000529EF"/>
    <w:rsid w:val="000536EA"/>
    <w:rsid w:val="00060848"/>
    <w:rsid w:val="00064AEC"/>
    <w:rsid w:val="000666E7"/>
    <w:rsid w:val="00067128"/>
    <w:rsid w:val="00070CD2"/>
    <w:rsid w:val="000710FD"/>
    <w:rsid w:val="0007291F"/>
    <w:rsid w:val="00075339"/>
    <w:rsid w:val="0007627B"/>
    <w:rsid w:val="000821F7"/>
    <w:rsid w:val="00086022"/>
    <w:rsid w:val="00086D1A"/>
    <w:rsid w:val="000924BE"/>
    <w:rsid w:val="00093D21"/>
    <w:rsid w:val="000A2178"/>
    <w:rsid w:val="000A2FF8"/>
    <w:rsid w:val="000A4DCD"/>
    <w:rsid w:val="000A525C"/>
    <w:rsid w:val="000A6A3B"/>
    <w:rsid w:val="000B207F"/>
    <w:rsid w:val="000B4455"/>
    <w:rsid w:val="000B5F12"/>
    <w:rsid w:val="000B7EA3"/>
    <w:rsid w:val="000C386B"/>
    <w:rsid w:val="000D0C09"/>
    <w:rsid w:val="000D5EB1"/>
    <w:rsid w:val="000D6CE7"/>
    <w:rsid w:val="000E4601"/>
    <w:rsid w:val="000E6D63"/>
    <w:rsid w:val="000E7C99"/>
    <w:rsid w:val="000F1CDA"/>
    <w:rsid w:val="000F3E29"/>
    <w:rsid w:val="000F6659"/>
    <w:rsid w:val="001147A6"/>
    <w:rsid w:val="00115F69"/>
    <w:rsid w:val="0012033B"/>
    <w:rsid w:val="001236AA"/>
    <w:rsid w:val="00124E2C"/>
    <w:rsid w:val="00126247"/>
    <w:rsid w:val="00126D06"/>
    <w:rsid w:val="00132EF8"/>
    <w:rsid w:val="001330CB"/>
    <w:rsid w:val="00133B52"/>
    <w:rsid w:val="00133C36"/>
    <w:rsid w:val="00134940"/>
    <w:rsid w:val="00135820"/>
    <w:rsid w:val="00140343"/>
    <w:rsid w:val="00144F81"/>
    <w:rsid w:val="0014552A"/>
    <w:rsid w:val="00146282"/>
    <w:rsid w:val="00146ED6"/>
    <w:rsid w:val="001472BE"/>
    <w:rsid w:val="00147AEE"/>
    <w:rsid w:val="00150089"/>
    <w:rsid w:val="00156CD8"/>
    <w:rsid w:val="00161B6E"/>
    <w:rsid w:val="00161EF8"/>
    <w:rsid w:val="001628EB"/>
    <w:rsid w:val="00165152"/>
    <w:rsid w:val="00165515"/>
    <w:rsid w:val="0017013C"/>
    <w:rsid w:val="00172A6E"/>
    <w:rsid w:val="001763E6"/>
    <w:rsid w:val="00182316"/>
    <w:rsid w:val="0018268C"/>
    <w:rsid w:val="00190AA2"/>
    <w:rsid w:val="0019356A"/>
    <w:rsid w:val="001A1F8D"/>
    <w:rsid w:val="001A24D8"/>
    <w:rsid w:val="001A5716"/>
    <w:rsid w:val="001A5D98"/>
    <w:rsid w:val="001A68F4"/>
    <w:rsid w:val="001B0D8F"/>
    <w:rsid w:val="001B111F"/>
    <w:rsid w:val="001B1710"/>
    <w:rsid w:val="001B5507"/>
    <w:rsid w:val="001B576D"/>
    <w:rsid w:val="001B79B5"/>
    <w:rsid w:val="001C0117"/>
    <w:rsid w:val="001C076C"/>
    <w:rsid w:val="001C20AA"/>
    <w:rsid w:val="001D06EA"/>
    <w:rsid w:val="001D19B4"/>
    <w:rsid w:val="001D7BD2"/>
    <w:rsid w:val="001E1BAF"/>
    <w:rsid w:val="001E227D"/>
    <w:rsid w:val="001E2C3A"/>
    <w:rsid w:val="001E2C8C"/>
    <w:rsid w:val="001E45D5"/>
    <w:rsid w:val="001E4818"/>
    <w:rsid w:val="001F079D"/>
    <w:rsid w:val="001F09C0"/>
    <w:rsid w:val="001F28D7"/>
    <w:rsid w:val="001F2B80"/>
    <w:rsid w:val="001F4822"/>
    <w:rsid w:val="00201F64"/>
    <w:rsid w:val="00202F51"/>
    <w:rsid w:val="002114E7"/>
    <w:rsid w:val="00224786"/>
    <w:rsid w:val="0022510D"/>
    <w:rsid w:val="00231DD8"/>
    <w:rsid w:val="002345B6"/>
    <w:rsid w:val="00237A28"/>
    <w:rsid w:val="00243BD3"/>
    <w:rsid w:val="002517C9"/>
    <w:rsid w:val="00252085"/>
    <w:rsid w:val="002538BB"/>
    <w:rsid w:val="00253FBB"/>
    <w:rsid w:val="00255B16"/>
    <w:rsid w:val="00255DBE"/>
    <w:rsid w:val="002563A5"/>
    <w:rsid w:val="00257C96"/>
    <w:rsid w:val="00260CF9"/>
    <w:rsid w:val="0026378D"/>
    <w:rsid w:val="0026776D"/>
    <w:rsid w:val="00272104"/>
    <w:rsid w:val="002726F3"/>
    <w:rsid w:val="00275069"/>
    <w:rsid w:val="002769B3"/>
    <w:rsid w:val="00277390"/>
    <w:rsid w:val="00280653"/>
    <w:rsid w:val="00281416"/>
    <w:rsid w:val="0028729C"/>
    <w:rsid w:val="00294F26"/>
    <w:rsid w:val="0029759B"/>
    <w:rsid w:val="00297F4D"/>
    <w:rsid w:val="002A2DB3"/>
    <w:rsid w:val="002A6022"/>
    <w:rsid w:val="002B6197"/>
    <w:rsid w:val="002B757E"/>
    <w:rsid w:val="002C1075"/>
    <w:rsid w:val="002C1674"/>
    <w:rsid w:val="002C3E3D"/>
    <w:rsid w:val="002C5290"/>
    <w:rsid w:val="002D5B76"/>
    <w:rsid w:val="002D7143"/>
    <w:rsid w:val="002E1D61"/>
    <w:rsid w:val="002E3F15"/>
    <w:rsid w:val="002E4F08"/>
    <w:rsid w:val="002E5568"/>
    <w:rsid w:val="002F298F"/>
    <w:rsid w:val="002F45CB"/>
    <w:rsid w:val="002F4AAB"/>
    <w:rsid w:val="002F5329"/>
    <w:rsid w:val="00302C53"/>
    <w:rsid w:val="0030387A"/>
    <w:rsid w:val="003044A6"/>
    <w:rsid w:val="003073BF"/>
    <w:rsid w:val="00310B3D"/>
    <w:rsid w:val="00320FA4"/>
    <w:rsid w:val="00323933"/>
    <w:rsid w:val="00340BE1"/>
    <w:rsid w:val="00341E44"/>
    <w:rsid w:val="0034296C"/>
    <w:rsid w:val="003473AD"/>
    <w:rsid w:val="00354DB5"/>
    <w:rsid w:val="00364051"/>
    <w:rsid w:val="0036426B"/>
    <w:rsid w:val="003657E7"/>
    <w:rsid w:val="00367EEE"/>
    <w:rsid w:val="00371FFE"/>
    <w:rsid w:val="003750B2"/>
    <w:rsid w:val="00376F18"/>
    <w:rsid w:val="00381A92"/>
    <w:rsid w:val="00382517"/>
    <w:rsid w:val="00383863"/>
    <w:rsid w:val="0038452A"/>
    <w:rsid w:val="00386A8C"/>
    <w:rsid w:val="00387BB3"/>
    <w:rsid w:val="00391584"/>
    <w:rsid w:val="00393E74"/>
    <w:rsid w:val="00394075"/>
    <w:rsid w:val="003B7ADD"/>
    <w:rsid w:val="003B7C9B"/>
    <w:rsid w:val="003C0D20"/>
    <w:rsid w:val="003D0EC1"/>
    <w:rsid w:val="003D0FBE"/>
    <w:rsid w:val="003E0B9A"/>
    <w:rsid w:val="003F1C7A"/>
    <w:rsid w:val="003F20C4"/>
    <w:rsid w:val="003F3FC8"/>
    <w:rsid w:val="00400122"/>
    <w:rsid w:val="0040143E"/>
    <w:rsid w:val="00405BD9"/>
    <w:rsid w:val="0040778F"/>
    <w:rsid w:val="00407C96"/>
    <w:rsid w:val="00411149"/>
    <w:rsid w:val="00413A19"/>
    <w:rsid w:val="00421DCA"/>
    <w:rsid w:val="00426B23"/>
    <w:rsid w:val="00426FC5"/>
    <w:rsid w:val="00427B28"/>
    <w:rsid w:val="00431851"/>
    <w:rsid w:val="00432F45"/>
    <w:rsid w:val="004425D9"/>
    <w:rsid w:val="00446217"/>
    <w:rsid w:val="0044680B"/>
    <w:rsid w:val="00450DA6"/>
    <w:rsid w:val="004519CA"/>
    <w:rsid w:val="00460107"/>
    <w:rsid w:val="00463900"/>
    <w:rsid w:val="00463C6A"/>
    <w:rsid w:val="00465E13"/>
    <w:rsid w:val="004662F8"/>
    <w:rsid w:val="00466599"/>
    <w:rsid w:val="00476B64"/>
    <w:rsid w:val="004770B7"/>
    <w:rsid w:val="00480064"/>
    <w:rsid w:val="00480427"/>
    <w:rsid w:val="00486FE5"/>
    <w:rsid w:val="00487BBE"/>
    <w:rsid w:val="004909E1"/>
    <w:rsid w:val="0049419A"/>
    <w:rsid w:val="004954BC"/>
    <w:rsid w:val="0049584F"/>
    <w:rsid w:val="00496559"/>
    <w:rsid w:val="004977AD"/>
    <w:rsid w:val="004A0BD1"/>
    <w:rsid w:val="004A1F3F"/>
    <w:rsid w:val="004A50ED"/>
    <w:rsid w:val="004A5B40"/>
    <w:rsid w:val="004B0A62"/>
    <w:rsid w:val="004B3545"/>
    <w:rsid w:val="004B441A"/>
    <w:rsid w:val="004B694D"/>
    <w:rsid w:val="004D0819"/>
    <w:rsid w:val="004E5E04"/>
    <w:rsid w:val="004F048B"/>
    <w:rsid w:val="004F0DEC"/>
    <w:rsid w:val="00500C62"/>
    <w:rsid w:val="00501437"/>
    <w:rsid w:val="00504A3B"/>
    <w:rsid w:val="00505F42"/>
    <w:rsid w:val="00506745"/>
    <w:rsid w:val="00513D64"/>
    <w:rsid w:val="00514F68"/>
    <w:rsid w:val="005175F4"/>
    <w:rsid w:val="0052010F"/>
    <w:rsid w:val="00523148"/>
    <w:rsid w:val="005418B5"/>
    <w:rsid w:val="00550EF0"/>
    <w:rsid w:val="0055111D"/>
    <w:rsid w:val="00551125"/>
    <w:rsid w:val="00560978"/>
    <w:rsid w:val="00561F60"/>
    <w:rsid w:val="00564091"/>
    <w:rsid w:val="005713AD"/>
    <w:rsid w:val="005727BC"/>
    <w:rsid w:val="005737F0"/>
    <w:rsid w:val="00577315"/>
    <w:rsid w:val="00580668"/>
    <w:rsid w:val="00590466"/>
    <w:rsid w:val="00591525"/>
    <w:rsid w:val="005920D5"/>
    <w:rsid w:val="005A18A4"/>
    <w:rsid w:val="005A5221"/>
    <w:rsid w:val="005A7A6A"/>
    <w:rsid w:val="005A7E31"/>
    <w:rsid w:val="005B1D78"/>
    <w:rsid w:val="005B3E43"/>
    <w:rsid w:val="005B721E"/>
    <w:rsid w:val="005C6A01"/>
    <w:rsid w:val="005C711F"/>
    <w:rsid w:val="005E05EB"/>
    <w:rsid w:val="005E23BA"/>
    <w:rsid w:val="005E26B4"/>
    <w:rsid w:val="005E4981"/>
    <w:rsid w:val="005E5196"/>
    <w:rsid w:val="005E58F5"/>
    <w:rsid w:val="005F0F04"/>
    <w:rsid w:val="005F13E8"/>
    <w:rsid w:val="005F3AAC"/>
    <w:rsid w:val="005F5197"/>
    <w:rsid w:val="005F5CD1"/>
    <w:rsid w:val="00601470"/>
    <w:rsid w:val="006016F4"/>
    <w:rsid w:val="00601EC2"/>
    <w:rsid w:val="006073F7"/>
    <w:rsid w:val="00612762"/>
    <w:rsid w:val="00612DE0"/>
    <w:rsid w:val="00616E1F"/>
    <w:rsid w:val="00620E8B"/>
    <w:rsid w:val="00621CCF"/>
    <w:rsid w:val="00623B73"/>
    <w:rsid w:val="0062567E"/>
    <w:rsid w:val="0062769E"/>
    <w:rsid w:val="006338BB"/>
    <w:rsid w:val="00634877"/>
    <w:rsid w:val="0064353E"/>
    <w:rsid w:val="00643808"/>
    <w:rsid w:val="00645D7A"/>
    <w:rsid w:val="00645E60"/>
    <w:rsid w:val="00647B25"/>
    <w:rsid w:val="00653B3C"/>
    <w:rsid w:val="00654E42"/>
    <w:rsid w:val="00657726"/>
    <w:rsid w:val="006579A4"/>
    <w:rsid w:val="00664783"/>
    <w:rsid w:val="0066486E"/>
    <w:rsid w:val="00665175"/>
    <w:rsid w:val="00665822"/>
    <w:rsid w:val="00667736"/>
    <w:rsid w:val="006717B8"/>
    <w:rsid w:val="00675C4B"/>
    <w:rsid w:val="006827A5"/>
    <w:rsid w:val="00683884"/>
    <w:rsid w:val="006877F2"/>
    <w:rsid w:val="00692DA1"/>
    <w:rsid w:val="00696B03"/>
    <w:rsid w:val="006971FB"/>
    <w:rsid w:val="006A55F8"/>
    <w:rsid w:val="006A68A6"/>
    <w:rsid w:val="006B2879"/>
    <w:rsid w:val="006B2C2A"/>
    <w:rsid w:val="006B3DF4"/>
    <w:rsid w:val="006B3EA9"/>
    <w:rsid w:val="006B42D9"/>
    <w:rsid w:val="006B770F"/>
    <w:rsid w:val="006B7EB5"/>
    <w:rsid w:val="006C5145"/>
    <w:rsid w:val="006D39FA"/>
    <w:rsid w:val="006D3B31"/>
    <w:rsid w:val="006D3F60"/>
    <w:rsid w:val="006D4529"/>
    <w:rsid w:val="006E076D"/>
    <w:rsid w:val="006E7330"/>
    <w:rsid w:val="006F01AB"/>
    <w:rsid w:val="006F107B"/>
    <w:rsid w:val="006F31BD"/>
    <w:rsid w:val="00700C79"/>
    <w:rsid w:val="00702165"/>
    <w:rsid w:val="007030FA"/>
    <w:rsid w:val="00705B4F"/>
    <w:rsid w:val="00705CC5"/>
    <w:rsid w:val="00706EE3"/>
    <w:rsid w:val="00710031"/>
    <w:rsid w:val="00711B80"/>
    <w:rsid w:val="00712589"/>
    <w:rsid w:val="00712E8D"/>
    <w:rsid w:val="00714270"/>
    <w:rsid w:val="00716027"/>
    <w:rsid w:val="0071784F"/>
    <w:rsid w:val="007202F0"/>
    <w:rsid w:val="00721E52"/>
    <w:rsid w:val="00722087"/>
    <w:rsid w:val="00722B7C"/>
    <w:rsid w:val="00726391"/>
    <w:rsid w:val="007359BC"/>
    <w:rsid w:val="00742714"/>
    <w:rsid w:val="00743810"/>
    <w:rsid w:val="0074463A"/>
    <w:rsid w:val="00744F5B"/>
    <w:rsid w:val="0074607F"/>
    <w:rsid w:val="007529F4"/>
    <w:rsid w:val="00753FEC"/>
    <w:rsid w:val="007545F5"/>
    <w:rsid w:val="0075463F"/>
    <w:rsid w:val="0075710B"/>
    <w:rsid w:val="00760A54"/>
    <w:rsid w:val="00762E2F"/>
    <w:rsid w:val="00762F17"/>
    <w:rsid w:val="00772B68"/>
    <w:rsid w:val="00774157"/>
    <w:rsid w:val="00774795"/>
    <w:rsid w:val="00774F9B"/>
    <w:rsid w:val="00780891"/>
    <w:rsid w:val="00783501"/>
    <w:rsid w:val="00784C7B"/>
    <w:rsid w:val="00787901"/>
    <w:rsid w:val="00790B31"/>
    <w:rsid w:val="0079256C"/>
    <w:rsid w:val="00792EBB"/>
    <w:rsid w:val="00793202"/>
    <w:rsid w:val="0079414A"/>
    <w:rsid w:val="00795336"/>
    <w:rsid w:val="007A187D"/>
    <w:rsid w:val="007A3D92"/>
    <w:rsid w:val="007A4331"/>
    <w:rsid w:val="007A45B8"/>
    <w:rsid w:val="007A516F"/>
    <w:rsid w:val="007B045B"/>
    <w:rsid w:val="007B303D"/>
    <w:rsid w:val="007B5475"/>
    <w:rsid w:val="007C036E"/>
    <w:rsid w:val="007D0C66"/>
    <w:rsid w:val="007D3AB0"/>
    <w:rsid w:val="007D492C"/>
    <w:rsid w:val="007D7B82"/>
    <w:rsid w:val="007E4AEE"/>
    <w:rsid w:val="007E5D40"/>
    <w:rsid w:val="007E7947"/>
    <w:rsid w:val="00803A8C"/>
    <w:rsid w:val="008044A8"/>
    <w:rsid w:val="00807D72"/>
    <w:rsid w:val="00813BE0"/>
    <w:rsid w:val="00814758"/>
    <w:rsid w:val="00814D05"/>
    <w:rsid w:val="00817F26"/>
    <w:rsid w:val="008217E0"/>
    <w:rsid w:val="00823811"/>
    <w:rsid w:val="00830839"/>
    <w:rsid w:val="00830CD0"/>
    <w:rsid w:val="008311AE"/>
    <w:rsid w:val="008442CD"/>
    <w:rsid w:val="00844BF4"/>
    <w:rsid w:val="00846DF0"/>
    <w:rsid w:val="00847A32"/>
    <w:rsid w:val="00856DC2"/>
    <w:rsid w:val="00871518"/>
    <w:rsid w:val="008735DE"/>
    <w:rsid w:val="00873F2B"/>
    <w:rsid w:val="008749CA"/>
    <w:rsid w:val="00876094"/>
    <w:rsid w:val="008766DC"/>
    <w:rsid w:val="008779C6"/>
    <w:rsid w:val="008804B5"/>
    <w:rsid w:val="00882AE4"/>
    <w:rsid w:val="00884C18"/>
    <w:rsid w:val="008863D0"/>
    <w:rsid w:val="0089235A"/>
    <w:rsid w:val="008A075B"/>
    <w:rsid w:val="008A2061"/>
    <w:rsid w:val="008A3201"/>
    <w:rsid w:val="008A3701"/>
    <w:rsid w:val="008A590F"/>
    <w:rsid w:val="008B383C"/>
    <w:rsid w:val="008B50FC"/>
    <w:rsid w:val="008B67D6"/>
    <w:rsid w:val="008B6893"/>
    <w:rsid w:val="008B702B"/>
    <w:rsid w:val="008B7F6D"/>
    <w:rsid w:val="008C0657"/>
    <w:rsid w:val="008C3AF0"/>
    <w:rsid w:val="008C7402"/>
    <w:rsid w:val="008D0A25"/>
    <w:rsid w:val="008D52FB"/>
    <w:rsid w:val="008E6145"/>
    <w:rsid w:val="008F1246"/>
    <w:rsid w:val="008F521C"/>
    <w:rsid w:val="008F6379"/>
    <w:rsid w:val="008F6E91"/>
    <w:rsid w:val="009037AC"/>
    <w:rsid w:val="00904A55"/>
    <w:rsid w:val="00906777"/>
    <w:rsid w:val="00906E49"/>
    <w:rsid w:val="00912E88"/>
    <w:rsid w:val="0091370C"/>
    <w:rsid w:val="00915E13"/>
    <w:rsid w:val="00916F43"/>
    <w:rsid w:val="00922CD0"/>
    <w:rsid w:val="00922CD2"/>
    <w:rsid w:val="00923624"/>
    <w:rsid w:val="00926FCE"/>
    <w:rsid w:val="009318C3"/>
    <w:rsid w:val="00931F2C"/>
    <w:rsid w:val="00932D64"/>
    <w:rsid w:val="00933286"/>
    <w:rsid w:val="00933C29"/>
    <w:rsid w:val="00936784"/>
    <w:rsid w:val="00940419"/>
    <w:rsid w:val="00941A43"/>
    <w:rsid w:val="00946211"/>
    <w:rsid w:val="00947ED5"/>
    <w:rsid w:val="0095334B"/>
    <w:rsid w:val="009535C8"/>
    <w:rsid w:val="00956270"/>
    <w:rsid w:val="00960A49"/>
    <w:rsid w:val="0096214E"/>
    <w:rsid w:val="00964E36"/>
    <w:rsid w:val="0096570C"/>
    <w:rsid w:val="0097149B"/>
    <w:rsid w:val="009721DA"/>
    <w:rsid w:val="00975222"/>
    <w:rsid w:val="0098079A"/>
    <w:rsid w:val="00980A7B"/>
    <w:rsid w:val="00984D67"/>
    <w:rsid w:val="009855C1"/>
    <w:rsid w:val="00991304"/>
    <w:rsid w:val="00992B1F"/>
    <w:rsid w:val="009950C2"/>
    <w:rsid w:val="009A227F"/>
    <w:rsid w:val="009A4056"/>
    <w:rsid w:val="009A70C3"/>
    <w:rsid w:val="009A7554"/>
    <w:rsid w:val="009A783C"/>
    <w:rsid w:val="009B0C30"/>
    <w:rsid w:val="009B4544"/>
    <w:rsid w:val="009C3DB3"/>
    <w:rsid w:val="009C493F"/>
    <w:rsid w:val="009C7E6E"/>
    <w:rsid w:val="009D5635"/>
    <w:rsid w:val="009D5B69"/>
    <w:rsid w:val="009D746F"/>
    <w:rsid w:val="009E1AA6"/>
    <w:rsid w:val="009E41B4"/>
    <w:rsid w:val="009E4294"/>
    <w:rsid w:val="009F03C4"/>
    <w:rsid w:val="009F23A2"/>
    <w:rsid w:val="009F2DCE"/>
    <w:rsid w:val="009F62C9"/>
    <w:rsid w:val="00A00211"/>
    <w:rsid w:val="00A009C5"/>
    <w:rsid w:val="00A00B08"/>
    <w:rsid w:val="00A04BB0"/>
    <w:rsid w:val="00A0583B"/>
    <w:rsid w:val="00A05D14"/>
    <w:rsid w:val="00A075C9"/>
    <w:rsid w:val="00A113C4"/>
    <w:rsid w:val="00A12943"/>
    <w:rsid w:val="00A138DB"/>
    <w:rsid w:val="00A22D65"/>
    <w:rsid w:val="00A2457B"/>
    <w:rsid w:val="00A250B0"/>
    <w:rsid w:val="00A26557"/>
    <w:rsid w:val="00A269BE"/>
    <w:rsid w:val="00A26BA5"/>
    <w:rsid w:val="00A3235F"/>
    <w:rsid w:val="00A33DBF"/>
    <w:rsid w:val="00A34351"/>
    <w:rsid w:val="00A362A7"/>
    <w:rsid w:val="00A428AA"/>
    <w:rsid w:val="00A44BF9"/>
    <w:rsid w:val="00A44FD0"/>
    <w:rsid w:val="00A501AF"/>
    <w:rsid w:val="00A51068"/>
    <w:rsid w:val="00A53963"/>
    <w:rsid w:val="00A56BE1"/>
    <w:rsid w:val="00A56BFB"/>
    <w:rsid w:val="00A573BE"/>
    <w:rsid w:val="00A602E1"/>
    <w:rsid w:val="00A60686"/>
    <w:rsid w:val="00A60E22"/>
    <w:rsid w:val="00A63790"/>
    <w:rsid w:val="00A63E04"/>
    <w:rsid w:val="00A64954"/>
    <w:rsid w:val="00A64F6C"/>
    <w:rsid w:val="00A65298"/>
    <w:rsid w:val="00A70BE8"/>
    <w:rsid w:val="00A713EA"/>
    <w:rsid w:val="00A72180"/>
    <w:rsid w:val="00A758E0"/>
    <w:rsid w:val="00A81EF5"/>
    <w:rsid w:val="00A82DCC"/>
    <w:rsid w:val="00A85A14"/>
    <w:rsid w:val="00A90982"/>
    <w:rsid w:val="00A924F4"/>
    <w:rsid w:val="00A92B36"/>
    <w:rsid w:val="00A94208"/>
    <w:rsid w:val="00A94562"/>
    <w:rsid w:val="00AA0314"/>
    <w:rsid w:val="00AB0FA6"/>
    <w:rsid w:val="00AB48BA"/>
    <w:rsid w:val="00AB64A3"/>
    <w:rsid w:val="00AC3283"/>
    <w:rsid w:val="00AC642C"/>
    <w:rsid w:val="00AD4112"/>
    <w:rsid w:val="00AE2B4B"/>
    <w:rsid w:val="00AE4A96"/>
    <w:rsid w:val="00AF0D75"/>
    <w:rsid w:val="00AF0EBA"/>
    <w:rsid w:val="00AF348C"/>
    <w:rsid w:val="00AF437A"/>
    <w:rsid w:val="00AF7CBE"/>
    <w:rsid w:val="00B00E59"/>
    <w:rsid w:val="00B05BE6"/>
    <w:rsid w:val="00B07F07"/>
    <w:rsid w:val="00B14302"/>
    <w:rsid w:val="00B17F2E"/>
    <w:rsid w:val="00B20991"/>
    <w:rsid w:val="00B20C7C"/>
    <w:rsid w:val="00B20DA4"/>
    <w:rsid w:val="00B21339"/>
    <w:rsid w:val="00B22D99"/>
    <w:rsid w:val="00B3249B"/>
    <w:rsid w:val="00B35C80"/>
    <w:rsid w:val="00B378CA"/>
    <w:rsid w:val="00B40175"/>
    <w:rsid w:val="00B41016"/>
    <w:rsid w:val="00B44049"/>
    <w:rsid w:val="00B4446C"/>
    <w:rsid w:val="00B44B01"/>
    <w:rsid w:val="00B46993"/>
    <w:rsid w:val="00B56E26"/>
    <w:rsid w:val="00B5713B"/>
    <w:rsid w:val="00B60BFB"/>
    <w:rsid w:val="00B7597A"/>
    <w:rsid w:val="00B767D8"/>
    <w:rsid w:val="00B77894"/>
    <w:rsid w:val="00B8264F"/>
    <w:rsid w:val="00B85840"/>
    <w:rsid w:val="00B86FEF"/>
    <w:rsid w:val="00B9458D"/>
    <w:rsid w:val="00B96D05"/>
    <w:rsid w:val="00BB54B9"/>
    <w:rsid w:val="00BC0933"/>
    <w:rsid w:val="00BC2CCF"/>
    <w:rsid w:val="00BC3385"/>
    <w:rsid w:val="00BC3A63"/>
    <w:rsid w:val="00BC4F9A"/>
    <w:rsid w:val="00BD0917"/>
    <w:rsid w:val="00BD0D1C"/>
    <w:rsid w:val="00BE106A"/>
    <w:rsid w:val="00BE420A"/>
    <w:rsid w:val="00BF277E"/>
    <w:rsid w:val="00BF5CDC"/>
    <w:rsid w:val="00BF7F6E"/>
    <w:rsid w:val="00C02672"/>
    <w:rsid w:val="00C02EA3"/>
    <w:rsid w:val="00C24E75"/>
    <w:rsid w:val="00C30CAC"/>
    <w:rsid w:val="00C33CDF"/>
    <w:rsid w:val="00C343DA"/>
    <w:rsid w:val="00C40FAE"/>
    <w:rsid w:val="00C46395"/>
    <w:rsid w:val="00C65EEE"/>
    <w:rsid w:val="00C70ACE"/>
    <w:rsid w:val="00C7226B"/>
    <w:rsid w:val="00C72C4D"/>
    <w:rsid w:val="00C7649F"/>
    <w:rsid w:val="00C843AE"/>
    <w:rsid w:val="00C84E22"/>
    <w:rsid w:val="00C85927"/>
    <w:rsid w:val="00CA225E"/>
    <w:rsid w:val="00CA45CC"/>
    <w:rsid w:val="00CA4CDA"/>
    <w:rsid w:val="00CA796C"/>
    <w:rsid w:val="00CB6033"/>
    <w:rsid w:val="00CB6836"/>
    <w:rsid w:val="00CC50FB"/>
    <w:rsid w:val="00CC6877"/>
    <w:rsid w:val="00CD03BC"/>
    <w:rsid w:val="00CD0D45"/>
    <w:rsid w:val="00CD5B1C"/>
    <w:rsid w:val="00CE1902"/>
    <w:rsid w:val="00CE4073"/>
    <w:rsid w:val="00CE57C2"/>
    <w:rsid w:val="00CE68BF"/>
    <w:rsid w:val="00CF10F4"/>
    <w:rsid w:val="00CF3E71"/>
    <w:rsid w:val="00CF5D5F"/>
    <w:rsid w:val="00CF6C6A"/>
    <w:rsid w:val="00D0289C"/>
    <w:rsid w:val="00D20C2A"/>
    <w:rsid w:val="00D2312A"/>
    <w:rsid w:val="00D30DBA"/>
    <w:rsid w:val="00D340AB"/>
    <w:rsid w:val="00D3778F"/>
    <w:rsid w:val="00D542D4"/>
    <w:rsid w:val="00D553ED"/>
    <w:rsid w:val="00D61A31"/>
    <w:rsid w:val="00D62093"/>
    <w:rsid w:val="00D666DD"/>
    <w:rsid w:val="00D711EA"/>
    <w:rsid w:val="00D75178"/>
    <w:rsid w:val="00D77642"/>
    <w:rsid w:val="00D81830"/>
    <w:rsid w:val="00D84D26"/>
    <w:rsid w:val="00D850A6"/>
    <w:rsid w:val="00D86307"/>
    <w:rsid w:val="00D920C0"/>
    <w:rsid w:val="00D97ED0"/>
    <w:rsid w:val="00DB475F"/>
    <w:rsid w:val="00DB5597"/>
    <w:rsid w:val="00DC47DF"/>
    <w:rsid w:val="00DC76EE"/>
    <w:rsid w:val="00DD0611"/>
    <w:rsid w:val="00DD1CCA"/>
    <w:rsid w:val="00DD40A4"/>
    <w:rsid w:val="00DD557F"/>
    <w:rsid w:val="00DD6106"/>
    <w:rsid w:val="00DD7836"/>
    <w:rsid w:val="00DD7E6D"/>
    <w:rsid w:val="00DE2BAB"/>
    <w:rsid w:val="00DE3036"/>
    <w:rsid w:val="00DE3180"/>
    <w:rsid w:val="00DE73D6"/>
    <w:rsid w:val="00DF04B4"/>
    <w:rsid w:val="00DF20A2"/>
    <w:rsid w:val="00DF377B"/>
    <w:rsid w:val="00DF7A85"/>
    <w:rsid w:val="00E05341"/>
    <w:rsid w:val="00E1673D"/>
    <w:rsid w:val="00E202E6"/>
    <w:rsid w:val="00E215FA"/>
    <w:rsid w:val="00E21BF6"/>
    <w:rsid w:val="00E21D2B"/>
    <w:rsid w:val="00E24EAA"/>
    <w:rsid w:val="00E25DA0"/>
    <w:rsid w:val="00E26798"/>
    <w:rsid w:val="00E27FFE"/>
    <w:rsid w:val="00E304CC"/>
    <w:rsid w:val="00E3201C"/>
    <w:rsid w:val="00E33AC4"/>
    <w:rsid w:val="00E33DE4"/>
    <w:rsid w:val="00E36807"/>
    <w:rsid w:val="00E37C86"/>
    <w:rsid w:val="00E415F0"/>
    <w:rsid w:val="00E41D0D"/>
    <w:rsid w:val="00E45BA0"/>
    <w:rsid w:val="00E45C9E"/>
    <w:rsid w:val="00E6104B"/>
    <w:rsid w:val="00E629FF"/>
    <w:rsid w:val="00E65FF4"/>
    <w:rsid w:val="00E66B1F"/>
    <w:rsid w:val="00E67610"/>
    <w:rsid w:val="00E70808"/>
    <w:rsid w:val="00E720E4"/>
    <w:rsid w:val="00E82352"/>
    <w:rsid w:val="00E83F55"/>
    <w:rsid w:val="00E85BB7"/>
    <w:rsid w:val="00E86BFB"/>
    <w:rsid w:val="00E9192B"/>
    <w:rsid w:val="00E92C7E"/>
    <w:rsid w:val="00EA0586"/>
    <w:rsid w:val="00EA37E7"/>
    <w:rsid w:val="00EA3930"/>
    <w:rsid w:val="00EB76C1"/>
    <w:rsid w:val="00EB79B7"/>
    <w:rsid w:val="00EC0AD2"/>
    <w:rsid w:val="00EC5674"/>
    <w:rsid w:val="00ED3D2C"/>
    <w:rsid w:val="00ED4BAA"/>
    <w:rsid w:val="00EE00B2"/>
    <w:rsid w:val="00EE43AB"/>
    <w:rsid w:val="00EE43B6"/>
    <w:rsid w:val="00EE5D2B"/>
    <w:rsid w:val="00EE5F82"/>
    <w:rsid w:val="00EE7334"/>
    <w:rsid w:val="00EE7B11"/>
    <w:rsid w:val="00EE7FA9"/>
    <w:rsid w:val="00EF4543"/>
    <w:rsid w:val="00EF55A6"/>
    <w:rsid w:val="00EF7311"/>
    <w:rsid w:val="00F0185B"/>
    <w:rsid w:val="00F01FDB"/>
    <w:rsid w:val="00F0327E"/>
    <w:rsid w:val="00F050D0"/>
    <w:rsid w:val="00F125CB"/>
    <w:rsid w:val="00F12AEE"/>
    <w:rsid w:val="00F130D6"/>
    <w:rsid w:val="00F16B10"/>
    <w:rsid w:val="00F20DED"/>
    <w:rsid w:val="00F23654"/>
    <w:rsid w:val="00F2600E"/>
    <w:rsid w:val="00F3704A"/>
    <w:rsid w:val="00F42EEA"/>
    <w:rsid w:val="00F47436"/>
    <w:rsid w:val="00F53998"/>
    <w:rsid w:val="00F55DBF"/>
    <w:rsid w:val="00F56174"/>
    <w:rsid w:val="00F60ECB"/>
    <w:rsid w:val="00F62A64"/>
    <w:rsid w:val="00F63491"/>
    <w:rsid w:val="00F63B3C"/>
    <w:rsid w:val="00F6444F"/>
    <w:rsid w:val="00F66AEB"/>
    <w:rsid w:val="00F76347"/>
    <w:rsid w:val="00F77585"/>
    <w:rsid w:val="00F82DB2"/>
    <w:rsid w:val="00F8315B"/>
    <w:rsid w:val="00F84F44"/>
    <w:rsid w:val="00F8538B"/>
    <w:rsid w:val="00F865E5"/>
    <w:rsid w:val="00F9655C"/>
    <w:rsid w:val="00F97795"/>
    <w:rsid w:val="00FA44AB"/>
    <w:rsid w:val="00FA5B5C"/>
    <w:rsid w:val="00FB2785"/>
    <w:rsid w:val="00FB39EA"/>
    <w:rsid w:val="00FB49C6"/>
    <w:rsid w:val="00FB4F14"/>
    <w:rsid w:val="00FB50DC"/>
    <w:rsid w:val="00FB6C39"/>
    <w:rsid w:val="00FC2737"/>
    <w:rsid w:val="00FC2821"/>
    <w:rsid w:val="00FC43AF"/>
    <w:rsid w:val="00FD1339"/>
    <w:rsid w:val="00FD5FD0"/>
    <w:rsid w:val="00FE0B7A"/>
    <w:rsid w:val="00FE1677"/>
    <w:rsid w:val="00FE1993"/>
    <w:rsid w:val="00FE1A38"/>
    <w:rsid w:val="00FE2680"/>
    <w:rsid w:val="00FE2A38"/>
    <w:rsid w:val="00FF472A"/>
    <w:rsid w:val="00FF5A3C"/>
    <w:rsid w:val="00FF5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ind w:right="-360"/>
      <w:outlineLvl w:val="0"/>
    </w:pPr>
    <w:rPr>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rsid w:val="00AF0D75"/>
    <w:rPr>
      <w:sz w:val="16"/>
      <w:szCs w:val="16"/>
    </w:rPr>
  </w:style>
  <w:style w:type="paragraph" w:styleId="CommentText">
    <w:name w:val="annotation text"/>
    <w:basedOn w:val="Normal"/>
    <w:link w:val="CommentTextChar"/>
    <w:uiPriority w:val="99"/>
    <w:semiHidden/>
    <w:rsid w:val="00AF0D75"/>
    <w:rPr>
      <w:sz w:val="20"/>
      <w:szCs w:val="20"/>
    </w:rPr>
  </w:style>
  <w:style w:type="paragraph" w:styleId="CommentSubject">
    <w:name w:val="annotation subject"/>
    <w:basedOn w:val="CommentText"/>
    <w:next w:val="CommentText"/>
    <w:semiHidden/>
    <w:rsid w:val="00AF0D75"/>
    <w:rPr>
      <w:b/>
      <w:bCs/>
    </w:rPr>
  </w:style>
  <w:style w:type="character" w:customStyle="1" w:styleId="apple-style-span">
    <w:name w:val="apple-style-span"/>
    <w:basedOn w:val="DefaultParagraphFont"/>
    <w:rsid w:val="00371FFE"/>
  </w:style>
  <w:style w:type="paragraph" w:styleId="FootnoteText">
    <w:name w:val="footnote text"/>
    <w:basedOn w:val="Normal"/>
    <w:link w:val="FootnoteTextChar"/>
    <w:uiPriority w:val="99"/>
    <w:semiHidden/>
    <w:unhideWhenUsed/>
    <w:rsid w:val="00F865E5"/>
    <w:rPr>
      <w:sz w:val="20"/>
      <w:szCs w:val="20"/>
    </w:rPr>
  </w:style>
  <w:style w:type="character" w:customStyle="1" w:styleId="FootnoteTextChar">
    <w:name w:val="Footnote Text Char"/>
    <w:basedOn w:val="DefaultParagraphFont"/>
    <w:link w:val="FootnoteText"/>
    <w:uiPriority w:val="99"/>
    <w:semiHidden/>
    <w:rsid w:val="00F865E5"/>
  </w:style>
  <w:style w:type="character" w:styleId="FootnoteReference">
    <w:name w:val="footnote reference"/>
    <w:uiPriority w:val="99"/>
    <w:semiHidden/>
    <w:unhideWhenUsed/>
    <w:rsid w:val="00F865E5"/>
    <w:rPr>
      <w:vertAlign w:val="superscript"/>
    </w:rPr>
  </w:style>
  <w:style w:type="character" w:customStyle="1" w:styleId="int">
    <w:name w:val="int"/>
    <w:rsid w:val="00E33AC4"/>
  </w:style>
  <w:style w:type="character" w:customStyle="1" w:styleId="Heading1Char">
    <w:name w:val="Heading 1 Char"/>
    <w:link w:val="Heading1"/>
    <w:rsid w:val="00DE73D6"/>
    <w:rPr>
      <w:b/>
      <w:bCs/>
      <w:sz w:val="24"/>
      <w:szCs w:val="24"/>
    </w:rPr>
  </w:style>
  <w:style w:type="paragraph" w:styleId="Revision">
    <w:name w:val="Revision"/>
    <w:hidden/>
    <w:uiPriority w:val="99"/>
    <w:semiHidden/>
    <w:rsid w:val="0075463F"/>
    <w:rPr>
      <w:sz w:val="24"/>
      <w:szCs w:val="24"/>
    </w:rPr>
  </w:style>
  <w:style w:type="character" w:customStyle="1" w:styleId="CommentTextChar">
    <w:name w:val="Comment Text Char"/>
    <w:link w:val="CommentText"/>
    <w:uiPriority w:val="99"/>
    <w:semiHidden/>
    <w:rsid w:val="00742714"/>
  </w:style>
  <w:style w:type="paragraph" w:styleId="EndnoteText">
    <w:name w:val="endnote text"/>
    <w:basedOn w:val="Normal"/>
    <w:link w:val="EndnoteTextChar"/>
    <w:uiPriority w:val="99"/>
    <w:semiHidden/>
    <w:unhideWhenUsed/>
    <w:rsid w:val="0029759B"/>
    <w:rPr>
      <w:sz w:val="20"/>
      <w:szCs w:val="20"/>
    </w:rPr>
  </w:style>
  <w:style w:type="character" w:customStyle="1" w:styleId="EndnoteTextChar">
    <w:name w:val="Endnote Text Char"/>
    <w:basedOn w:val="DefaultParagraphFont"/>
    <w:link w:val="EndnoteText"/>
    <w:uiPriority w:val="99"/>
    <w:semiHidden/>
    <w:rsid w:val="0029759B"/>
  </w:style>
  <w:style w:type="character" w:styleId="EndnoteReference">
    <w:name w:val="endnote reference"/>
    <w:uiPriority w:val="99"/>
    <w:semiHidden/>
    <w:unhideWhenUsed/>
    <w:rsid w:val="0029759B"/>
    <w:rPr>
      <w:vertAlign w:val="superscript"/>
    </w:rPr>
  </w:style>
  <w:style w:type="paragraph" w:customStyle="1" w:styleId="Default">
    <w:name w:val="Default"/>
    <w:rsid w:val="004770B7"/>
    <w:pPr>
      <w:autoSpaceDE w:val="0"/>
      <w:autoSpaceDN w:val="0"/>
      <w:adjustRightInd w:val="0"/>
    </w:pPr>
    <w:rPr>
      <w:rFonts w:eastAsia="Calibri"/>
      <w:color w:val="000000"/>
      <w:sz w:val="24"/>
      <w:szCs w:val="24"/>
    </w:rPr>
  </w:style>
  <w:style w:type="table" w:styleId="TableGrid">
    <w:name w:val="Table Grid"/>
    <w:basedOn w:val="TableNormal"/>
    <w:uiPriority w:val="59"/>
    <w:rsid w:val="006D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92B36"/>
    <w:rPr>
      <w:color w:val="800080"/>
      <w:u w:val="single"/>
    </w:rPr>
  </w:style>
  <w:style w:type="paragraph" w:customStyle="1" w:styleId="MediumGrid1-Accent21">
    <w:name w:val="Medium Grid 1 - Accent 21"/>
    <w:rsid w:val="00F125CB"/>
    <w:pPr>
      <w:pBdr>
        <w:top w:val="nil"/>
        <w:left w:val="nil"/>
        <w:bottom w:val="nil"/>
        <w:right w:val="nil"/>
        <w:between w:val="nil"/>
        <w:bar w:val="nil"/>
      </w:pBdr>
      <w:ind w:left="720"/>
    </w:pPr>
    <w:rPr>
      <w:color w:val="000000"/>
      <w:sz w:val="24"/>
      <w:szCs w:val="24"/>
      <w:u w:color="000000"/>
      <w:bdr w:val="nil"/>
    </w:rPr>
  </w:style>
  <w:style w:type="character" w:customStyle="1" w:styleId="apple-converted-space">
    <w:name w:val="apple-converted-space"/>
    <w:basedOn w:val="DefaultParagraphFont"/>
    <w:rsid w:val="002D7143"/>
  </w:style>
  <w:style w:type="character" w:customStyle="1" w:styleId="FooterChar">
    <w:name w:val="Footer Char"/>
    <w:basedOn w:val="DefaultParagraphFont"/>
    <w:link w:val="Footer"/>
    <w:uiPriority w:val="99"/>
    <w:rsid w:val="00B469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ind w:right="-360"/>
      <w:outlineLvl w:val="0"/>
    </w:pPr>
    <w:rPr>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rsid w:val="00AF0D75"/>
    <w:rPr>
      <w:sz w:val="16"/>
      <w:szCs w:val="16"/>
    </w:rPr>
  </w:style>
  <w:style w:type="paragraph" w:styleId="CommentText">
    <w:name w:val="annotation text"/>
    <w:basedOn w:val="Normal"/>
    <w:link w:val="CommentTextChar"/>
    <w:uiPriority w:val="99"/>
    <w:semiHidden/>
    <w:rsid w:val="00AF0D75"/>
    <w:rPr>
      <w:sz w:val="20"/>
      <w:szCs w:val="20"/>
    </w:rPr>
  </w:style>
  <w:style w:type="paragraph" w:styleId="CommentSubject">
    <w:name w:val="annotation subject"/>
    <w:basedOn w:val="CommentText"/>
    <w:next w:val="CommentText"/>
    <w:semiHidden/>
    <w:rsid w:val="00AF0D75"/>
    <w:rPr>
      <w:b/>
      <w:bCs/>
    </w:rPr>
  </w:style>
  <w:style w:type="character" w:customStyle="1" w:styleId="apple-style-span">
    <w:name w:val="apple-style-span"/>
    <w:basedOn w:val="DefaultParagraphFont"/>
    <w:rsid w:val="00371FFE"/>
  </w:style>
  <w:style w:type="paragraph" w:styleId="FootnoteText">
    <w:name w:val="footnote text"/>
    <w:basedOn w:val="Normal"/>
    <w:link w:val="FootnoteTextChar"/>
    <w:uiPriority w:val="99"/>
    <w:semiHidden/>
    <w:unhideWhenUsed/>
    <w:rsid w:val="00F865E5"/>
    <w:rPr>
      <w:sz w:val="20"/>
      <w:szCs w:val="20"/>
    </w:rPr>
  </w:style>
  <w:style w:type="character" w:customStyle="1" w:styleId="FootnoteTextChar">
    <w:name w:val="Footnote Text Char"/>
    <w:basedOn w:val="DefaultParagraphFont"/>
    <w:link w:val="FootnoteText"/>
    <w:uiPriority w:val="99"/>
    <w:semiHidden/>
    <w:rsid w:val="00F865E5"/>
  </w:style>
  <w:style w:type="character" w:styleId="FootnoteReference">
    <w:name w:val="footnote reference"/>
    <w:uiPriority w:val="99"/>
    <w:semiHidden/>
    <w:unhideWhenUsed/>
    <w:rsid w:val="00F865E5"/>
    <w:rPr>
      <w:vertAlign w:val="superscript"/>
    </w:rPr>
  </w:style>
  <w:style w:type="character" w:customStyle="1" w:styleId="int">
    <w:name w:val="int"/>
    <w:rsid w:val="00E33AC4"/>
  </w:style>
  <w:style w:type="character" w:customStyle="1" w:styleId="Heading1Char">
    <w:name w:val="Heading 1 Char"/>
    <w:link w:val="Heading1"/>
    <w:rsid w:val="00DE73D6"/>
    <w:rPr>
      <w:b/>
      <w:bCs/>
      <w:sz w:val="24"/>
      <w:szCs w:val="24"/>
    </w:rPr>
  </w:style>
  <w:style w:type="paragraph" w:styleId="Revision">
    <w:name w:val="Revision"/>
    <w:hidden/>
    <w:uiPriority w:val="99"/>
    <w:semiHidden/>
    <w:rsid w:val="0075463F"/>
    <w:rPr>
      <w:sz w:val="24"/>
      <w:szCs w:val="24"/>
    </w:rPr>
  </w:style>
  <w:style w:type="character" w:customStyle="1" w:styleId="CommentTextChar">
    <w:name w:val="Comment Text Char"/>
    <w:link w:val="CommentText"/>
    <w:uiPriority w:val="99"/>
    <w:semiHidden/>
    <w:rsid w:val="00742714"/>
  </w:style>
  <w:style w:type="paragraph" w:styleId="EndnoteText">
    <w:name w:val="endnote text"/>
    <w:basedOn w:val="Normal"/>
    <w:link w:val="EndnoteTextChar"/>
    <w:uiPriority w:val="99"/>
    <w:semiHidden/>
    <w:unhideWhenUsed/>
    <w:rsid w:val="0029759B"/>
    <w:rPr>
      <w:sz w:val="20"/>
      <w:szCs w:val="20"/>
    </w:rPr>
  </w:style>
  <w:style w:type="character" w:customStyle="1" w:styleId="EndnoteTextChar">
    <w:name w:val="Endnote Text Char"/>
    <w:basedOn w:val="DefaultParagraphFont"/>
    <w:link w:val="EndnoteText"/>
    <w:uiPriority w:val="99"/>
    <w:semiHidden/>
    <w:rsid w:val="0029759B"/>
  </w:style>
  <w:style w:type="character" w:styleId="EndnoteReference">
    <w:name w:val="endnote reference"/>
    <w:uiPriority w:val="99"/>
    <w:semiHidden/>
    <w:unhideWhenUsed/>
    <w:rsid w:val="0029759B"/>
    <w:rPr>
      <w:vertAlign w:val="superscript"/>
    </w:rPr>
  </w:style>
  <w:style w:type="paragraph" w:customStyle="1" w:styleId="Default">
    <w:name w:val="Default"/>
    <w:rsid w:val="004770B7"/>
    <w:pPr>
      <w:autoSpaceDE w:val="0"/>
      <w:autoSpaceDN w:val="0"/>
      <w:adjustRightInd w:val="0"/>
    </w:pPr>
    <w:rPr>
      <w:rFonts w:eastAsia="Calibri"/>
      <w:color w:val="000000"/>
      <w:sz w:val="24"/>
      <w:szCs w:val="24"/>
    </w:rPr>
  </w:style>
  <w:style w:type="table" w:styleId="TableGrid">
    <w:name w:val="Table Grid"/>
    <w:basedOn w:val="TableNormal"/>
    <w:uiPriority w:val="59"/>
    <w:rsid w:val="006D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92B36"/>
    <w:rPr>
      <w:color w:val="800080"/>
      <w:u w:val="single"/>
    </w:rPr>
  </w:style>
  <w:style w:type="paragraph" w:customStyle="1" w:styleId="MediumGrid1-Accent21">
    <w:name w:val="Medium Grid 1 - Accent 21"/>
    <w:rsid w:val="00F125CB"/>
    <w:pPr>
      <w:pBdr>
        <w:top w:val="nil"/>
        <w:left w:val="nil"/>
        <w:bottom w:val="nil"/>
        <w:right w:val="nil"/>
        <w:between w:val="nil"/>
        <w:bar w:val="nil"/>
      </w:pBdr>
      <w:ind w:left="720"/>
    </w:pPr>
    <w:rPr>
      <w:color w:val="000000"/>
      <w:sz w:val="24"/>
      <w:szCs w:val="24"/>
      <w:u w:color="000000"/>
      <w:bdr w:val="nil"/>
    </w:rPr>
  </w:style>
  <w:style w:type="character" w:customStyle="1" w:styleId="apple-converted-space">
    <w:name w:val="apple-converted-space"/>
    <w:basedOn w:val="DefaultParagraphFont"/>
    <w:rsid w:val="002D7143"/>
  </w:style>
  <w:style w:type="character" w:customStyle="1" w:styleId="FooterChar">
    <w:name w:val="Footer Char"/>
    <w:basedOn w:val="DefaultParagraphFont"/>
    <w:link w:val="Footer"/>
    <w:uiPriority w:val="99"/>
    <w:rsid w:val="00B469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869">
      <w:bodyDiv w:val="1"/>
      <w:marLeft w:val="0"/>
      <w:marRight w:val="0"/>
      <w:marTop w:val="0"/>
      <w:marBottom w:val="0"/>
      <w:divBdr>
        <w:top w:val="none" w:sz="0" w:space="0" w:color="auto"/>
        <w:left w:val="none" w:sz="0" w:space="0" w:color="auto"/>
        <w:bottom w:val="none" w:sz="0" w:space="0" w:color="auto"/>
        <w:right w:val="none" w:sz="0" w:space="0" w:color="auto"/>
      </w:divBdr>
      <w:divsChild>
        <w:div w:id="349181203">
          <w:marLeft w:val="0"/>
          <w:marRight w:val="0"/>
          <w:marTop w:val="0"/>
          <w:marBottom w:val="0"/>
          <w:divBdr>
            <w:top w:val="none" w:sz="0" w:space="0" w:color="auto"/>
            <w:left w:val="none" w:sz="0" w:space="0" w:color="auto"/>
            <w:bottom w:val="none" w:sz="0" w:space="0" w:color="auto"/>
            <w:right w:val="none" w:sz="0" w:space="0" w:color="auto"/>
          </w:divBdr>
        </w:div>
      </w:divsChild>
    </w:div>
    <w:div w:id="136799318">
      <w:bodyDiv w:val="1"/>
      <w:marLeft w:val="0"/>
      <w:marRight w:val="0"/>
      <w:marTop w:val="0"/>
      <w:marBottom w:val="0"/>
      <w:divBdr>
        <w:top w:val="none" w:sz="0" w:space="0" w:color="auto"/>
        <w:left w:val="none" w:sz="0" w:space="0" w:color="auto"/>
        <w:bottom w:val="none" w:sz="0" w:space="0" w:color="auto"/>
        <w:right w:val="none" w:sz="0" w:space="0" w:color="auto"/>
      </w:divBdr>
      <w:divsChild>
        <w:div w:id="1437486592">
          <w:marLeft w:val="0"/>
          <w:marRight w:val="0"/>
          <w:marTop w:val="0"/>
          <w:marBottom w:val="0"/>
          <w:divBdr>
            <w:top w:val="none" w:sz="0" w:space="0" w:color="auto"/>
            <w:left w:val="none" w:sz="0" w:space="0" w:color="auto"/>
            <w:bottom w:val="none" w:sz="0" w:space="0" w:color="auto"/>
            <w:right w:val="none" w:sz="0" w:space="0" w:color="auto"/>
          </w:divBdr>
          <w:divsChild>
            <w:div w:id="1927811292">
              <w:marLeft w:val="0"/>
              <w:marRight w:val="0"/>
              <w:marTop w:val="0"/>
              <w:marBottom w:val="0"/>
              <w:divBdr>
                <w:top w:val="none" w:sz="0" w:space="0" w:color="auto"/>
                <w:left w:val="none" w:sz="0" w:space="0" w:color="auto"/>
                <w:bottom w:val="none" w:sz="0" w:space="0" w:color="auto"/>
                <w:right w:val="none" w:sz="0" w:space="0" w:color="auto"/>
              </w:divBdr>
              <w:divsChild>
                <w:div w:id="455876893">
                  <w:marLeft w:val="0"/>
                  <w:marRight w:val="0"/>
                  <w:marTop w:val="0"/>
                  <w:marBottom w:val="0"/>
                  <w:divBdr>
                    <w:top w:val="none" w:sz="0" w:space="0" w:color="auto"/>
                    <w:left w:val="none" w:sz="0" w:space="0" w:color="auto"/>
                    <w:bottom w:val="none" w:sz="0" w:space="0" w:color="auto"/>
                    <w:right w:val="none" w:sz="0" w:space="0" w:color="auto"/>
                  </w:divBdr>
                  <w:divsChild>
                    <w:div w:id="1589994310">
                      <w:marLeft w:val="0"/>
                      <w:marRight w:val="0"/>
                      <w:marTop w:val="0"/>
                      <w:marBottom w:val="0"/>
                      <w:divBdr>
                        <w:top w:val="none" w:sz="0" w:space="0" w:color="auto"/>
                        <w:left w:val="none" w:sz="0" w:space="0" w:color="auto"/>
                        <w:bottom w:val="none" w:sz="0" w:space="0" w:color="auto"/>
                        <w:right w:val="none" w:sz="0" w:space="0" w:color="auto"/>
                      </w:divBdr>
                      <w:divsChild>
                        <w:div w:id="6504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78597">
      <w:bodyDiv w:val="1"/>
      <w:marLeft w:val="0"/>
      <w:marRight w:val="0"/>
      <w:marTop w:val="0"/>
      <w:marBottom w:val="0"/>
      <w:divBdr>
        <w:top w:val="none" w:sz="0" w:space="0" w:color="auto"/>
        <w:left w:val="none" w:sz="0" w:space="0" w:color="auto"/>
        <w:bottom w:val="none" w:sz="0" w:space="0" w:color="auto"/>
        <w:right w:val="none" w:sz="0" w:space="0" w:color="auto"/>
      </w:divBdr>
    </w:div>
    <w:div w:id="347679417">
      <w:bodyDiv w:val="1"/>
      <w:marLeft w:val="0"/>
      <w:marRight w:val="0"/>
      <w:marTop w:val="0"/>
      <w:marBottom w:val="0"/>
      <w:divBdr>
        <w:top w:val="none" w:sz="0" w:space="0" w:color="auto"/>
        <w:left w:val="none" w:sz="0" w:space="0" w:color="auto"/>
        <w:bottom w:val="none" w:sz="0" w:space="0" w:color="auto"/>
        <w:right w:val="none" w:sz="0" w:space="0" w:color="auto"/>
      </w:divBdr>
    </w:div>
    <w:div w:id="367872393">
      <w:bodyDiv w:val="1"/>
      <w:marLeft w:val="0"/>
      <w:marRight w:val="0"/>
      <w:marTop w:val="0"/>
      <w:marBottom w:val="0"/>
      <w:divBdr>
        <w:top w:val="none" w:sz="0" w:space="0" w:color="auto"/>
        <w:left w:val="none" w:sz="0" w:space="0" w:color="auto"/>
        <w:bottom w:val="none" w:sz="0" w:space="0" w:color="auto"/>
        <w:right w:val="none" w:sz="0" w:space="0" w:color="auto"/>
      </w:divBdr>
      <w:divsChild>
        <w:div w:id="240721235">
          <w:marLeft w:val="0"/>
          <w:marRight w:val="0"/>
          <w:marTop w:val="0"/>
          <w:marBottom w:val="0"/>
          <w:divBdr>
            <w:top w:val="none" w:sz="0" w:space="0" w:color="auto"/>
            <w:left w:val="none" w:sz="0" w:space="0" w:color="auto"/>
            <w:bottom w:val="none" w:sz="0" w:space="0" w:color="auto"/>
            <w:right w:val="none" w:sz="0" w:space="0" w:color="auto"/>
          </w:divBdr>
        </w:div>
      </w:divsChild>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4300565">
      <w:bodyDiv w:val="1"/>
      <w:marLeft w:val="0"/>
      <w:marRight w:val="0"/>
      <w:marTop w:val="0"/>
      <w:marBottom w:val="0"/>
      <w:divBdr>
        <w:top w:val="none" w:sz="0" w:space="0" w:color="auto"/>
        <w:left w:val="none" w:sz="0" w:space="0" w:color="auto"/>
        <w:bottom w:val="none" w:sz="0" w:space="0" w:color="auto"/>
        <w:right w:val="none" w:sz="0" w:space="0" w:color="auto"/>
      </w:divBdr>
      <w:divsChild>
        <w:div w:id="59911615">
          <w:marLeft w:val="0"/>
          <w:marRight w:val="0"/>
          <w:marTop w:val="0"/>
          <w:marBottom w:val="0"/>
          <w:divBdr>
            <w:top w:val="none" w:sz="0" w:space="0" w:color="auto"/>
            <w:left w:val="none" w:sz="0" w:space="0" w:color="auto"/>
            <w:bottom w:val="none" w:sz="0" w:space="0" w:color="auto"/>
            <w:right w:val="none" w:sz="0" w:space="0" w:color="auto"/>
          </w:divBdr>
          <w:divsChild>
            <w:div w:id="769198144">
              <w:marLeft w:val="0"/>
              <w:marRight w:val="0"/>
              <w:marTop w:val="0"/>
              <w:marBottom w:val="0"/>
              <w:divBdr>
                <w:top w:val="none" w:sz="0" w:space="0" w:color="auto"/>
                <w:left w:val="none" w:sz="0" w:space="0" w:color="auto"/>
                <w:bottom w:val="none" w:sz="0" w:space="0" w:color="auto"/>
                <w:right w:val="none" w:sz="0" w:space="0" w:color="auto"/>
              </w:divBdr>
              <w:divsChild>
                <w:div w:id="1887377314">
                  <w:marLeft w:val="0"/>
                  <w:marRight w:val="0"/>
                  <w:marTop w:val="0"/>
                  <w:marBottom w:val="0"/>
                  <w:divBdr>
                    <w:top w:val="none" w:sz="0" w:space="0" w:color="auto"/>
                    <w:left w:val="none" w:sz="0" w:space="0" w:color="auto"/>
                    <w:bottom w:val="none" w:sz="0" w:space="0" w:color="auto"/>
                    <w:right w:val="none" w:sz="0" w:space="0" w:color="auto"/>
                  </w:divBdr>
                  <w:divsChild>
                    <w:div w:id="516193198">
                      <w:marLeft w:val="0"/>
                      <w:marRight w:val="0"/>
                      <w:marTop w:val="0"/>
                      <w:marBottom w:val="0"/>
                      <w:divBdr>
                        <w:top w:val="none" w:sz="0" w:space="0" w:color="auto"/>
                        <w:left w:val="none" w:sz="0" w:space="0" w:color="auto"/>
                        <w:bottom w:val="none" w:sz="0" w:space="0" w:color="auto"/>
                        <w:right w:val="none" w:sz="0" w:space="0" w:color="auto"/>
                      </w:divBdr>
                      <w:divsChild>
                        <w:div w:id="19301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3963">
      <w:bodyDiv w:val="1"/>
      <w:marLeft w:val="0"/>
      <w:marRight w:val="0"/>
      <w:marTop w:val="0"/>
      <w:marBottom w:val="0"/>
      <w:divBdr>
        <w:top w:val="none" w:sz="0" w:space="0" w:color="auto"/>
        <w:left w:val="none" w:sz="0" w:space="0" w:color="auto"/>
        <w:bottom w:val="none" w:sz="0" w:space="0" w:color="auto"/>
        <w:right w:val="none" w:sz="0" w:space="0" w:color="auto"/>
      </w:divBdr>
      <w:divsChild>
        <w:div w:id="37359048">
          <w:marLeft w:val="0"/>
          <w:marRight w:val="0"/>
          <w:marTop w:val="0"/>
          <w:marBottom w:val="0"/>
          <w:divBdr>
            <w:top w:val="none" w:sz="0" w:space="0" w:color="auto"/>
            <w:left w:val="none" w:sz="0" w:space="0" w:color="auto"/>
            <w:bottom w:val="none" w:sz="0" w:space="0" w:color="auto"/>
            <w:right w:val="none" w:sz="0" w:space="0" w:color="auto"/>
          </w:divBdr>
        </w:div>
        <w:div w:id="121509911">
          <w:marLeft w:val="0"/>
          <w:marRight w:val="0"/>
          <w:marTop w:val="0"/>
          <w:marBottom w:val="0"/>
          <w:divBdr>
            <w:top w:val="none" w:sz="0" w:space="0" w:color="auto"/>
            <w:left w:val="none" w:sz="0" w:space="0" w:color="auto"/>
            <w:bottom w:val="none" w:sz="0" w:space="0" w:color="auto"/>
            <w:right w:val="none" w:sz="0" w:space="0" w:color="auto"/>
          </w:divBdr>
        </w:div>
        <w:div w:id="240338619">
          <w:marLeft w:val="0"/>
          <w:marRight w:val="0"/>
          <w:marTop w:val="0"/>
          <w:marBottom w:val="0"/>
          <w:divBdr>
            <w:top w:val="none" w:sz="0" w:space="0" w:color="auto"/>
            <w:left w:val="none" w:sz="0" w:space="0" w:color="auto"/>
            <w:bottom w:val="none" w:sz="0" w:space="0" w:color="auto"/>
            <w:right w:val="none" w:sz="0" w:space="0" w:color="auto"/>
          </w:divBdr>
        </w:div>
        <w:div w:id="274219389">
          <w:marLeft w:val="0"/>
          <w:marRight w:val="0"/>
          <w:marTop w:val="0"/>
          <w:marBottom w:val="0"/>
          <w:divBdr>
            <w:top w:val="none" w:sz="0" w:space="0" w:color="auto"/>
            <w:left w:val="none" w:sz="0" w:space="0" w:color="auto"/>
            <w:bottom w:val="none" w:sz="0" w:space="0" w:color="auto"/>
            <w:right w:val="none" w:sz="0" w:space="0" w:color="auto"/>
          </w:divBdr>
        </w:div>
        <w:div w:id="388117335">
          <w:marLeft w:val="0"/>
          <w:marRight w:val="0"/>
          <w:marTop w:val="0"/>
          <w:marBottom w:val="0"/>
          <w:divBdr>
            <w:top w:val="none" w:sz="0" w:space="0" w:color="auto"/>
            <w:left w:val="none" w:sz="0" w:space="0" w:color="auto"/>
            <w:bottom w:val="none" w:sz="0" w:space="0" w:color="auto"/>
            <w:right w:val="none" w:sz="0" w:space="0" w:color="auto"/>
          </w:divBdr>
        </w:div>
        <w:div w:id="503982311">
          <w:marLeft w:val="0"/>
          <w:marRight w:val="0"/>
          <w:marTop w:val="0"/>
          <w:marBottom w:val="0"/>
          <w:divBdr>
            <w:top w:val="none" w:sz="0" w:space="0" w:color="auto"/>
            <w:left w:val="none" w:sz="0" w:space="0" w:color="auto"/>
            <w:bottom w:val="none" w:sz="0" w:space="0" w:color="auto"/>
            <w:right w:val="none" w:sz="0" w:space="0" w:color="auto"/>
          </w:divBdr>
        </w:div>
        <w:div w:id="518590332">
          <w:marLeft w:val="0"/>
          <w:marRight w:val="0"/>
          <w:marTop w:val="0"/>
          <w:marBottom w:val="0"/>
          <w:divBdr>
            <w:top w:val="none" w:sz="0" w:space="0" w:color="auto"/>
            <w:left w:val="none" w:sz="0" w:space="0" w:color="auto"/>
            <w:bottom w:val="none" w:sz="0" w:space="0" w:color="auto"/>
            <w:right w:val="none" w:sz="0" w:space="0" w:color="auto"/>
          </w:divBdr>
        </w:div>
        <w:div w:id="626663484">
          <w:marLeft w:val="0"/>
          <w:marRight w:val="0"/>
          <w:marTop w:val="0"/>
          <w:marBottom w:val="0"/>
          <w:divBdr>
            <w:top w:val="none" w:sz="0" w:space="0" w:color="auto"/>
            <w:left w:val="none" w:sz="0" w:space="0" w:color="auto"/>
            <w:bottom w:val="none" w:sz="0" w:space="0" w:color="auto"/>
            <w:right w:val="none" w:sz="0" w:space="0" w:color="auto"/>
          </w:divBdr>
        </w:div>
        <w:div w:id="746725624">
          <w:marLeft w:val="0"/>
          <w:marRight w:val="0"/>
          <w:marTop w:val="0"/>
          <w:marBottom w:val="0"/>
          <w:divBdr>
            <w:top w:val="none" w:sz="0" w:space="0" w:color="auto"/>
            <w:left w:val="none" w:sz="0" w:space="0" w:color="auto"/>
            <w:bottom w:val="none" w:sz="0" w:space="0" w:color="auto"/>
            <w:right w:val="none" w:sz="0" w:space="0" w:color="auto"/>
          </w:divBdr>
        </w:div>
        <w:div w:id="834342689">
          <w:marLeft w:val="0"/>
          <w:marRight w:val="0"/>
          <w:marTop w:val="0"/>
          <w:marBottom w:val="0"/>
          <w:divBdr>
            <w:top w:val="none" w:sz="0" w:space="0" w:color="auto"/>
            <w:left w:val="none" w:sz="0" w:space="0" w:color="auto"/>
            <w:bottom w:val="none" w:sz="0" w:space="0" w:color="auto"/>
            <w:right w:val="none" w:sz="0" w:space="0" w:color="auto"/>
          </w:divBdr>
        </w:div>
        <w:div w:id="943074085">
          <w:marLeft w:val="0"/>
          <w:marRight w:val="0"/>
          <w:marTop w:val="0"/>
          <w:marBottom w:val="0"/>
          <w:divBdr>
            <w:top w:val="none" w:sz="0" w:space="0" w:color="auto"/>
            <w:left w:val="none" w:sz="0" w:space="0" w:color="auto"/>
            <w:bottom w:val="none" w:sz="0" w:space="0" w:color="auto"/>
            <w:right w:val="none" w:sz="0" w:space="0" w:color="auto"/>
          </w:divBdr>
        </w:div>
        <w:div w:id="1002470748">
          <w:marLeft w:val="0"/>
          <w:marRight w:val="0"/>
          <w:marTop w:val="0"/>
          <w:marBottom w:val="0"/>
          <w:divBdr>
            <w:top w:val="none" w:sz="0" w:space="0" w:color="auto"/>
            <w:left w:val="none" w:sz="0" w:space="0" w:color="auto"/>
            <w:bottom w:val="none" w:sz="0" w:space="0" w:color="auto"/>
            <w:right w:val="none" w:sz="0" w:space="0" w:color="auto"/>
          </w:divBdr>
        </w:div>
        <w:div w:id="1109159943">
          <w:marLeft w:val="0"/>
          <w:marRight w:val="0"/>
          <w:marTop w:val="0"/>
          <w:marBottom w:val="0"/>
          <w:divBdr>
            <w:top w:val="none" w:sz="0" w:space="0" w:color="auto"/>
            <w:left w:val="none" w:sz="0" w:space="0" w:color="auto"/>
            <w:bottom w:val="none" w:sz="0" w:space="0" w:color="auto"/>
            <w:right w:val="none" w:sz="0" w:space="0" w:color="auto"/>
          </w:divBdr>
        </w:div>
        <w:div w:id="1213807917">
          <w:marLeft w:val="0"/>
          <w:marRight w:val="0"/>
          <w:marTop w:val="0"/>
          <w:marBottom w:val="0"/>
          <w:divBdr>
            <w:top w:val="none" w:sz="0" w:space="0" w:color="auto"/>
            <w:left w:val="none" w:sz="0" w:space="0" w:color="auto"/>
            <w:bottom w:val="none" w:sz="0" w:space="0" w:color="auto"/>
            <w:right w:val="none" w:sz="0" w:space="0" w:color="auto"/>
          </w:divBdr>
        </w:div>
        <w:div w:id="1335524527">
          <w:marLeft w:val="0"/>
          <w:marRight w:val="0"/>
          <w:marTop w:val="0"/>
          <w:marBottom w:val="0"/>
          <w:divBdr>
            <w:top w:val="none" w:sz="0" w:space="0" w:color="auto"/>
            <w:left w:val="none" w:sz="0" w:space="0" w:color="auto"/>
            <w:bottom w:val="none" w:sz="0" w:space="0" w:color="auto"/>
            <w:right w:val="none" w:sz="0" w:space="0" w:color="auto"/>
          </w:divBdr>
        </w:div>
        <w:div w:id="1363745945">
          <w:marLeft w:val="0"/>
          <w:marRight w:val="0"/>
          <w:marTop w:val="0"/>
          <w:marBottom w:val="0"/>
          <w:divBdr>
            <w:top w:val="none" w:sz="0" w:space="0" w:color="auto"/>
            <w:left w:val="none" w:sz="0" w:space="0" w:color="auto"/>
            <w:bottom w:val="none" w:sz="0" w:space="0" w:color="auto"/>
            <w:right w:val="none" w:sz="0" w:space="0" w:color="auto"/>
          </w:divBdr>
        </w:div>
        <w:div w:id="1491412247">
          <w:marLeft w:val="0"/>
          <w:marRight w:val="0"/>
          <w:marTop w:val="0"/>
          <w:marBottom w:val="0"/>
          <w:divBdr>
            <w:top w:val="none" w:sz="0" w:space="0" w:color="auto"/>
            <w:left w:val="none" w:sz="0" w:space="0" w:color="auto"/>
            <w:bottom w:val="none" w:sz="0" w:space="0" w:color="auto"/>
            <w:right w:val="none" w:sz="0" w:space="0" w:color="auto"/>
          </w:divBdr>
        </w:div>
        <w:div w:id="1581863988">
          <w:marLeft w:val="0"/>
          <w:marRight w:val="0"/>
          <w:marTop w:val="100"/>
          <w:marBottom w:val="100"/>
          <w:divBdr>
            <w:top w:val="none" w:sz="0" w:space="0" w:color="auto"/>
            <w:left w:val="none" w:sz="0" w:space="0" w:color="auto"/>
            <w:bottom w:val="none" w:sz="0" w:space="0" w:color="auto"/>
            <w:right w:val="none" w:sz="0" w:space="0" w:color="auto"/>
          </w:divBdr>
        </w:div>
        <w:div w:id="1714380181">
          <w:marLeft w:val="0"/>
          <w:marRight w:val="0"/>
          <w:marTop w:val="0"/>
          <w:marBottom w:val="0"/>
          <w:divBdr>
            <w:top w:val="none" w:sz="0" w:space="0" w:color="auto"/>
            <w:left w:val="none" w:sz="0" w:space="0" w:color="auto"/>
            <w:bottom w:val="none" w:sz="0" w:space="0" w:color="auto"/>
            <w:right w:val="none" w:sz="0" w:space="0" w:color="auto"/>
          </w:divBdr>
        </w:div>
        <w:div w:id="1760441161">
          <w:marLeft w:val="0"/>
          <w:marRight w:val="0"/>
          <w:marTop w:val="0"/>
          <w:marBottom w:val="0"/>
          <w:divBdr>
            <w:top w:val="none" w:sz="0" w:space="0" w:color="auto"/>
            <w:left w:val="none" w:sz="0" w:space="0" w:color="auto"/>
            <w:bottom w:val="none" w:sz="0" w:space="0" w:color="auto"/>
            <w:right w:val="none" w:sz="0" w:space="0" w:color="auto"/>
          </w:divBdr>
        </w:div>
        <w:div w:id="1912306273">
          <w:marLeft w:val="0"/>
          <w:marRight w:val="0"/>
          <w:marTop w:val="0"/>
          <w:marBottom w:val="0"/>
          <w:divBdr>
            <w:top w:val="none" w:sz="0" w:space="0" w:color="auto"/>
            <w:left w:val="none" w:sz="0" w:space="0" w:color="auto"/>
            <w:bottom w:val="none" w:sz="0" w:space="0" w:color="auto"/>
            <w:right w:val="none" w:sz="0" w:space="0" w:color="auto"/>
          </w:divBdr>
        </w:div>
        <w:div w:id="1994334238">
          <w:marLeft w:val="0"/>
          <w:marRight w:val="0"/>
          <w:marTop w:val="0"/>
          <w:marBottom w:val="0"/>
          <w:divBdr>
            <w:top w:val="none" w:sz="0" w:space="0" w:color="auto"/>
            <w:left w:val="none" w:sz="0" w:space="0" w:color="auto"/>
            <w:bottom w:val="none" w:sz="0" w:space="0" w:color="auto"/>
            <w:right w:val="none" w:sz="0" w:space="0" w:color="auto"/>
          </w:divBdr>
        </w:div>
        <w:div w:id="2003464360">
          <w:marLeft w:val="0"/>
          <w:marRight w:val="0"/>
          <w:marTop w:val="0"/>
          <w:marBottom w:val="0"/>
          <w:divBdr>
            <w:top w:val="none" w:sz="0" w:space="0" w:color="auto"/>
            <w:left w:val="none" w:sz="0" w:space="0" w:color="auto"/>
            <w:bottom w:val="none" w:sz="0" w:space="0" w:color="auto"/>
            <w:right w:val="none" w:sz="0" w:space="0" w:color="auto"/>
          </w:divBdr>
        </w:div>
        <w:div w:id="2009013658">
          <w:marLeft w:val="0"/>
          <w:marRight w:val="0"/>
          <w:marTop w:val="0"/>
          <w:marBottom w:val="0"/>
          <w:divBdr>
            <w:top w:val="none" w:sz="0" w:space="0" w:color="auto"/>
            <w:left w:val="none" w:sz="0" w:space="0" w:color="auto"/>
            <w:bottom w:val="none" w:sz="0" w:space="0" w:color="auto"/>
            <w:right w:val="none" w:sz="0" w:space="0" w:color="auto"/>
          </w:divBdr>
        </w:div>
        <w:div w:id="2046901293">
          <w:marLeft w:val="0"/>
          <w:marRight w:val="0"/>
          <w:marTop w:val="0"/>
          <w:marBottom w:val="0"/>
          <w:divBdr>
            <w:top w:val="none" w:sz="0" w:space="0" w:color="auto"/>
            <w:left w:val="none" w:sz="0" w:space="0" w:color="auto"/>
            <w:bottom w:val="none" w:sz="0" w:space="0" w:color="auto"/>
            <w:right w:val="none" w:sz="0" w:space="0" w:color="auto"/>
          </w:divBdr>
        </w:div>
        <w:div w:id="2060663020">
          <w:marLeft w:val="0"/>
          <w:marRight w:val="0"/>
          <w:marTop w:val="0"/>
          <w:marBottom w:val="0"/>
          <w:divBdr>
            <w:top w:val="none" w:sz="0" w:space="0" w:color="auto"/>
            <w:left w:val="none" w:sz="0" w:space="0" w:color="auto"/>
            <w:bottom w:val="none" w:sz="0" w:space="0" w:color="auto"/>
            <w:right w:val="none" w:sz="0" w:space="0" w:color="auto"/>
          </w:divBdr>
        </w:div>
      </w:divsChild>
    </w:div>
    <w:div w:id="847869253">
      <w:bodyDiv w:val="1"/>
      <w:marLeft w:val="0"/>
      <w:marRight w:val="0"/>
      <w:marTop w:val="0"/>
      <w:marBottom w:val="0"/>
      <w:divBdr>
        <w:top w:val="none" w:sz="0" w:space="0" w:color="auto"/>
        <w:left w:val="none" w:sz="0" w:space="0" w:color="auto"/>
        <w:bottom w:val="none" w:sz="0" w:space="0" w:color="auto"/>
        <w:right w:val="none" w:sz="0" w:space="0" w:color="auto"/>
      </w:divBdr>
      <w:divsChild>
        <w:div w:id="1230530315">
          <w:marLeft w:val="0"/>
          <w:marRight w:val="0"/>
          <w:marTop w:val="0"/>
          <w:marBottom w:val="0"/>
          <w:divBdr>
            <w:top w:val="none" w:sz="0" w:space="0" w:color="auto"/>
            <w:left w:val="none" w:sz="0" w:space="0" w:color="auto"/>
            <w:bottom w:val="none" w:sz="0" w:space="0" w:color="auto"/>
            <w:right w:val="none" w:sz="0" w:space="0" w:color="auto"/>
          </w:divBdr>
          <w:divsChild>
            <w:div w:id="1169175951">
              <w:marLeft w:val="0"/>
              <w:marRight w:val="0"/>
              <w:marTop w:val="0"/>
              <w:marBottom w:val="0"/>
              <w:divBdr>
                <w:top w:val="none" w:sz="0" w:space="0" w:color="auto"/>
                <w:left w:val="none" w:sz="0" w:space="0" w:color="auto"/>
                <w:bottom w:val="none" w:sz="0" w:space="0" w:color="auto"/>
                <w:right w:val="none" w:sz="0" w:space="0" w:color="auto"/>
              </w:divBdr>
              <w:divsChild>
                <w:div w:id="1515026182">
                  <w:marLeft w:val="0"/>
                  <w:marRight w:val="0"/>
                  <w:marTop w:val="0"/>
                  <w:marBottom w:val="0"/>
                  <w:divBdr>
                    <w:top w:val="none" w:sz="0" w:space="0" w:color="auto"/>
                    <w:left w:val="none" w:sz="0" w:space="0" w:color="auto"/>
                    <w:bottom w:val="none" w:sz="0" w:space="0" w:color="auto"/>
                    <w:right w:val="none" w:sz="0" w:space="0" w:color="auto"/>
                  </w:divBdr>
                  <w:divsChild>
                    <w:div w:id="1192186641">
                      <w:marLeft w:val="0"/>
                      <w:marRight w:val="0"/>
                      <w:marTop w:val="0"/>
                      <w:marBottom w:val="0"/>
                      <w:divBdr>
                        <w:top w:val="none" w:sz="0" w:space="0" w:color="auto"/>
                        <w:left w:val="none" w:sz="0" w:space="0" w:color="auto"/>
                        <w:bottom w:val="none" w:sz="0" w:space="0" w:color="auto"/>
                        <w:right w:val="none" w:sz="0" w:space="0" w:color="auto"/>
                      </w:divBdr>
                      <w:divsChild>
                        <w:div w:id="12429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815">
      <w:bodyDiv w:val="1"/>
      <w:marLeft w:val="0"/>
      <w:marRight w:val="0"/>
      <w:marTop w:val="0"/>
      <w:marBottom w:val="0"/>
      <w:divBdr>
        <w:top w:val="none" w:sz="0" w:space="0" w:color="auto"/>
        <w:left w:val="none" w:sz="0" w:space="0" w:color="auto"/>
        <w:bottom w:val="none" w:sz="0" w:space="0" w:color="auto"/>
        <w:right w:val="none" w:sz="0" w:space="0" w:color="auto"/>
      </w:divBdr>
      <w:divsChild>
        <w:div w:id="369452437">
          <w:marLeft w:val="0"/>
          <w:marRight w:val="0"/>
          <w:marTop w:val="0"/>
          <w:marBottom w:val="0"/>
          <w:divBdr>
            <w:top w:val="none" w:sz="0" w:space="0" w:color="auto"/>
            <w:left w:val="none" w:sz="0" w:space="0" w:color="auto"/>
            <w:bottom w:val="none" w:sz="0" w:space="0" w:color="auto"/>
            <w:right w:val="none" w:sz="0" w:space="0" w:color="auto"/>
          </w:divBdr>
          <w:divsChild>
            <w:div w:id="343018834">
              <w:marLeft w:val="0"/>
              <w:marRight w:val="0"/>
              <w:marTop w:val="0"/>
              <w:marBottom w:val="0"/>
              <w:divBdr>
                <w:top w:val="none" w:sz="0" w:space="0" w:color="auto"/>
                <w:left w:val="none" w:sz="0" w:space="0" w:color="auto"/>
                <w:bottom w:val="none" w:sz="0" w:space="0" w:color="auto"/>
                <w:right w:val="none" w:sz="0" w:space="0" w:color="auto"/>
              </w:divBdr>
              <w:divsChild>
                <w:div w:id="279844512">
                  <w:marLeft w:val="0"/>
                  <w:marRight w:val="0"/>
                  <w:marTop w:val="0"/>
                  <w:marBottom w:val="0"/>
                  <w:divBdr>
                    <w:top w:val="none" w:sz="0" w:space="0" w:color="auto"/>
                    <w:left w:val="none" w:sz="0" w:space="0" w:color="auto"/>
                    <w:bottom w:val="none" w:sz="0" w:space="0" w:color="auto"/>
                    <w:right w:val="none" w:sz="0" w:space="0" w:color="auto"/>
                  </w:divBdr>
                  <w:divsChild>
                    <w:div w:id="1999386144">
                      <w:marLeft w:val="0"/>
                      <w:marRight w:val="0"/>
                      <w:marTop w:val="0"/>
                      <w:marBottom w:val="0"/>
                      <w:divBdr>
                        <w:top w:val="none" w:sz="0" w:space="0" w:color="auto"/>
                        <w:left w:val="none" w:sz="0" w:space="0" w:color="auto"/>
                        <w:bottom w:val="none" w:sz="0" w:space="0" w:color="auto"/>
                        <w:right w:val="none" w:sz="0" w:space="0" w:color="auto"/>
                      </w:divBdr>
                      <w:divsChild>
                        <w:div w:id="15969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65364">
      <w:bodyDiv w:val="1"/>
      <w:marLeft w:val="0"/>
      <w:marRight w:val="0"/>
      <w:marTop w:val="0"/>
      <w:marBottom w:val="0"/>
      <w:divBdr>
        <w:top w:val="none" w:sz="0" w:space="0" w:color="auto"/>
        <w:left w:val="none" w:sz="0" w:space="0" w:color="auto"/>
        <w:bottom w:val="none" w:sz="0" w:space="0" w:color="auto"/>
        <w:right w:val="none" w:sz="0" w:space="0" w:color="auto"/>
      </w:divBdr>
    </w:div>
    <w:div w:id="1059285003">
      <w:bodyDiv w:val="1"/>
      <w:marLeft w:val="0"/>
      <w:marRight w:val="0"/>
      <w:marTop w:val="0"/>
      <w:marBottom w:val="0"/>
      <w:divBdr>
        <w:top w:val="none" w:sz="0" w:space="0" w:color="auto"/>
        <w:left w:val="none" w:sz="0" w:space="0" w:color="auto"/>
        <w:bottom w:val="none" w:sz="0" w:space="0" w:color="auto"/>
        <w:right w:val="none" w:sz="0" w:space="0" w:color="auto"/>
      </w:divBdr>
    </w:div>
    <w:div w:id="1156071347">
      <w:bodyDiv w:val="1"/>
      <w:marLeft w:val="0"/>
      <w:marRight w:val="0"/>
      <w:marTop w:val="0"/>
      <w:marBottom w:val="0"/>
      <w:divBdr>
        <w:top w:val="none" w:sz="0" w:space="0" w:color="auto"/>
        <w:left w:val="none" w:sz="0" w:space="0" w:color="auto"/>
        <w:bottom w:val="none" w:sz="0" w:space="0" w:color="auto"/>
        <w:right w:val="none" w:sz="0" w:space="0" w:color="auto"/>
      </w:divBdr>
    </w:div>
    <w:div w:id="1415930620">
      <w:bodyDiv w:val="1"/>
      <w:marLeft w:val="0"/>
      <w:marRight w:val="0"/>
      <w:marTop w:val="0"/>
      <w:marBottom w:val="0"/>
      <w:divBdr>
        <w:top w:val="none" w:sz="0" w:space="0" w:color="auto"/>
        <w:left w:val="none" w:sz="0" w:space="0" w:color="auto"/>
        <w:bottom w:val="none" w:sz="0" w:space="0" w:color="auto"/>
        <w:right w:val="none" w:sz="0" w:space="0" w:color="auto"/>
      </w:divBdr>
    </w:div>
    <w:div w:id="1517112485">
      <w:bodyDiv w:val="1"/>
      <w:marLeft w:val="0"/>
      <w:marRight w:val="0"/>
      <w:marTop w:val="0"/>
      <w:marBottom w:val="0"/>
      <w:divBdr>
        <w:top w:val="none" w:sz="0" w:space="0" w:color="auto"/>
        <w:left w:val="none" w:sz="0" w:space="0" w:color="auto"/>
        <w:bottom w:val="none" w:sz="0" w:space="0" w:color="auto"/>
        <w:right w:val="none" w:sz="0" w:space="0" w:color="auto"/>
      </w:divBdr>
      <w:divsChild>
        <w:div w:id="218590043">
          <w:marLeft w:val="0"/>
          <w:marRight w:val="0"/>
          <w:marTop w:val="0"/>
          <w:marBottom w:val="0"/>
          <w:divBdr>
            <w:top w:val="none" w:sz="0" w:space="0" w:color="auto"/>
            <w:left w:val="none" w:sz="0" w:space="0" w:color="auto"/>
            <w:bottom w:val="none" w:sz="0" w:space="0" w:color="auto"/>
            <w:right w:val="none" w:sz="0" w:space="0" w:color="auto"/>
          </w:divBdr>
        </w:div>
        <w:div w:id="306010109">
          <w:marLeft w:val="0"/>
          <w:marRight w:val="0"/>
          <w:marTop w:val="0"/>
          <w:marBottom w:val="0"/>
          <w:divBdr>
            <w:top w:val="none" w:sz="0" w:space="0" w:color="auto"/>
            <w:left w:val="none" w:sz="0" w:space="0" w:color="auto"/>
            <w:bottom w:val="none" w:sz="0" w:space="0" w:color="auto"/>
            <w:right w:val="none" w:sz="0" w:space="0" w:color="auto"/>
          </w:divBdr>
        </w:div>
        <w:div w:id="320042216">
          <w:marLeft w:val="0"/>
          <w:marRight w:val="0"/>
          <w:marTop w:val="0"/>
          <w:marBottom w:val="0"/>
          <w:divBdr>
            <w:top w:val="none" w:sz="0" w:space="0" w:color="auto"/>
            <w:left w:val="none" w:sz="0" w:space="0" w:color="auto"/>
            <w:bottom w:val="none" w:sz="0" w:space="0" w:color="auto"/>
            <w:right w:val="none" w:sz="0" w:space="0" w:color="auto"/>
          </w:divBdr>
        </w:div>
        <w:div w:id="506678789">
          <w:marLeft w:val="0"/>
          <w:marRight w:val="0"/>
          <w:marTop w:val="0"/>
          <w:marBottom w:val="0"/>
          <w:divBdr>
            <w:top w:val="none" w:sz="0" w:space="0" w:color="auto"/>
            <w:left w:val="none" w:sz="0" w:space="0" w:color="auto"/>
            <w:bottom w:val="none" w:sz="0" w:space="0" w:color="auto"/>
            <w:right w:val="none" w:sz="0" w:space="0" w:color="auto"/>
          </w:divBdr>
        </w:div>
        <w:div w:id="514199705">
          <w:marLeft w:val="0"/>
          <w:marRight w:val="0"/>
          <w:marTop w:val="0"/>
          <w:marBottom w:val="0"/>
          <w:divBdr>
            <w:top w:val="none" w:sz="0" w:space="0" w:color="auto"/>
            <w:left w:val="none" w:sz="0" w:space="0" w:color="auto"/>
            <w:bottom w:val="none" w:sz="0" w:space="0" w:color="auto"/>
            <w:right w:val="none" w:sz="0" w:space="0" w:color="auto"/>
          </w:divBdr>
        </w:div>
        <w:div w:id="594557890">
          <w:marLeft w:val="0"/>
          <w:marRight w:val="0"/>
          <w:marTop w:val="0"/>
          <w:marBottom w:val="0"/>
          <w:divBdr>
            <w:top w:val="none" w:sz="0" w:space="0" w:color="auto"/>
            <w:left w:val="none" w:sz="0" w:space="0" w:color="auto"/>
            <w:bottom w:val="none" w:sz="0" w:space="0" w:color="auto"/>
            <w:right w:val="none" w:sz="0" w:space="0" w:color="auto"/>
          </w:divBdr>
        </w:div>
        <w:div w:id="624389689">
          <w:marLeft w:val="0"/>
          <w:marRight w:val="0"/>
          <w:marTop w:val="0"/>
          <w:marBottom w:val="0"/>
          <w:divBdr>
            <w:top w:val="none" w:sz="0" w:space="0" w:color="auto"/>
            <w:left w:val="none" w:sz="0" w:space="0" w:color="auto"/>
            <w:bottom w:val="none" w:sz="0" w:space="0" w:color="auto"/>
            <w:right w:val="none" w:sz="0" w:space="0" w:color="auto"/>
          </w:divBdr>
        </w:div>
        <w:div w:id="649672190">
          <w:marLeft w:val="0"/>
          <w:marRight w:val="0"/>
          <w:marTop w:val="0"/>
          <w:marBottom w:val="0"/>
          <w:divBdr>
            <w:top w:val="none" w:sz="0" w:space="0" w:color="auto"/>
            <w:left w:val="none" w:sz="0" w:space="0" w:color="auto"/>
            <w:bottom w:val="none" w:sz="0" w:space="0" w:color="auto"/>
            <w:right w:val="none" w:sz="0" w:space="0" w:color="auto"/>
          </w:divBdr>
        </w:div>
        <w:div w:id="653417947">
          <w:marLeft w:val="0"/>
          <w:marRight w:val="0"/>
          <w:marTop w:val="0"/>
          <w:marBottom w:val="0"/>
          <w:divBdr>
            <w:top w:val="none" w:sz="0" w:space="0" w:color="auto"/>
            <w:left w:val="none" w:sz="0" w:space="0" w:color="auto"/>
            <w:bottom w:val="none" w:sz="0" w:space="0" w:color="auto"/>
            <w:right w:val="none" w:sz="0" w:space="0" w:color="auto"/>
          </w:divBdr>
        </w:div>
        <w:div w:id="708188215">
          <w:marLeft w:val="0"/>
          <w:marRight w:val="0"/>
          <w:marTop w:val="0"/>
          <w:marBottom w:val="0"/>
          <w:divBdr>
            <w:top w:val="none" w:sz="0" w:space="0" w:color="auto"/>
            <w:left w:val="none" w:sz="0" w:space="0" w:color="auto"/>
            <w:bottom w:val="none" w:sz="0" w:space="0" w:color="auto"/>
            <w:right w:val="none" w:sz="0" w:space="0" w:color="auto"/>
          </w:divBdr>
        </w:div>
        <w:div w:id="833686697">
          <w:marLeft w:val="0"/>
          <w:marRight w:val="0"/>
          <w:marTop w:val="0"/>
          <w:marBottom w:val="0"/>
          <w:divBdr>
            <w:top w:val="none" w:sz="0" w:space="0" w:color="auto"/>
            <w:left w:val="none" w:sz="0" w:space="0" w:color="auto"/>
            <w:bottom w:val="none" w:sz="0" w:space="0" w:color="auto"/>
            <w:right w:val="none" w:sz="0" w:space="0" w:color="auto"/>
          </w:divBdr>
        </w:div>
        <w:div w:id="834879243">
          <w:marLeft w:val="0"/>
          <w:marRight w:val="0"/>
          <w:marTop w:val="0"/>
          <w:marBottom w:val="0"/>
          <w:divBdr>
            <w:top w:val="none" w:sz="0" w:space="0" w:color="auto"/>
            <w:left w:val="none" w:sz="0" w:space="0" w:color="auto"/>
            <w:bottom w:val="none" w:sz="0" w:space="0" w:color="auto"/>
            <w:right w:val="none" w:sz="0" w:space="0" w:color="auto"/>
          </w:divBdr>
        </w:div>
        <w:div w:id="874806259">
          <w:marLeft w:val="0"/>
          <w:marRight w:val="0"/>
          <w:marTop w:val="0"/>
          <w:marBottom w:val="0"/>
          <w:divBdr>
            <w:top w:val="none" w:sz="0" w:space="0" w:color="auto"/>
            <w:left w:val="none" w:sz="0" w:space="0" w:color="auto"/>
            <w:bottom w:val="none" w:sz="0" w:space="0" w:color="auto"/>
            <w:right w:val="none" w:sz="0" w:space="0" w:color="auto"/>
          </w:divBdr>
        </w:div>
        <w:div w:id="916674090">
          <w:marLeft w:val="0"/>
          <w:marRight w:val="0"/>
          <w:marTop w:val="0"/>
          <w:marBottom w:val="0"/>
          <w:divBdr>
            <w:top w:val="none" w:sz="0" w:space="0" w:color="auto"/>
            <w:left w:val="none" w:sz="0" w:space="0" w:color="auto"/>
            <w:bottom w:val="none" w:sz="0" w:space="0" w:color="auto"/>
            <w:right w:val="none" w:sz="0" w:space="0" w:color="auto"/>
          </w:divBdr>
        </w:div>
        <w:div w:id="930743255">
          <w:marLeft w:val="0"/>
          <w:marRight w:val="0"/>
          <w:marTop w:val="0"/>
          <w:marBottom w:val="0"/>
          <w:divBdr>
            <w:top w:val="none" w:sz="0" w:space="0" w:color="auto"/>
            <w:left w:val="none" w:sz="0" w:space="0" w:color="auto"/>
            <w:bottom w:val="none" w:sz="0" w:space="0" w:color="auto"/>
            <w:right w:val="none" w:sz="0" w:space="0" w:color="auto"/>
          </w:divBdr>
        </w:div>
        <w:div w:id="936711355">
          <w:marLeft w:val="0"/>
          <w:marRight w:val="0"/>
          <w:marTop w:val="0"/>
          <w:marBottom w:val="0"/>
          <w:divBdr>
            <w:top w:val="none" w:sz="0" w:space="0" w:color="auto"/>
            <w:left w:val="none" w:sz="0" w:space="0" w:color="auto"/>
            <w:bottom w:val="none" w:sz="0" w:space="0" w:color="auto"/>
            <w:right w:val="none" w:sz="0" w:space="0" w:color="auto"/>
          </w:divBdr>
        </w:div>
        <w:div w:id="963510550">
          <w:marLeft w:val="0"/>
          <w:marRight w:val="0"/>
          <w:marTop w:val="0"/>
          <w:marBottom w:val="0"/>
          <w:divBdr>
            <w:top w:val="none" w:sz="0" w:space="0" w:color="auto"/>
            <w:left w:val="none" w:sz="0" w:space="0" w:color="auto"/>
            <w:bottom w:val="none" w:sz="0" w:space="0" w:color="auto"/>
            <w:right w:val="none" w:sz="0" w:space="0" w:color="auto"/>
          </w:divBdr>
        </w:div>
        <w:div w:id="1402829366">
          <w:marLeft w:val="0"/>
          <w:marRight w:val="0"/>
          <w:marTop w:val="0"/>
          <w:marBottom w:val="0"/>
          <w:divBdr>
            <w:top w:val="none" w:sz="0" w:space="0" w:color="auto"/>
            <w:left w:val="none" w:sz="0" w:space="0" w:color="auto"/>
            <w:bottom w:val="none" w:sz="0" w:space="0" w:color="auto"/>
            <w:right w:val="none" w:sz="0" w:space="0" w:color="auto"/>
          </w:divBdr>
        </w:div>
        <w:div w:id="1445223274">
          <w:marLeft w:val="0"/>
          <w:marRight w:val="0"/>
          <w:marTop w:val="0"/>
          <w:marBottom w:val="0"/>
          <w:divBdr>
            <w:top w:val="none" w:sz="0" w:space="0" w:color="auto"/>
            <w:left w:val="none" w:sz="0" w:space="0" w:color="auto"/>
            <w:bottom w:val="none" w:sz="0" w:space="0" w:color="auto"/>
            <w:right w:val="none" w:sz="0" w:space="0" w:color="auto"/>
          </w:divBdr>
        </w:div>
        <w:div w:id="1767385121">
          <w:marLeft w:val="0"/>
          <w:marRight w:val="0"/>
          <w:marTop w:val="0"/>
          <w:marBottom w:val="0"/>
          <w:divBdr>
            <w:top w:val="none" w:sz="0" w:space="0" w:color="auto"/>
            <w:left w:val="none" w:sz="0" w:space="0" w:color="auto"/>
            <w:bottom w:val="none" w:sz="0" w:space="0" w:color="auto"/>
            <w:right w:val="none" w:sz="0" w:space="0" w:color="auto"/>
          </w:divBdr>
        </w:div>
        <w:div w:id="1785418990">
          <w:marLeft w:val="0"/>
          <w:marRight w:val="0"/>
          <w:marTop w:val="0"/>
          <w:marBottom w:val="0"/>
          <w:divBdr>
            <w:top w:val="none" w:sz="0" w:space="0" w:color="auto"/>
            <w:left w:val="none" w:sz="0" w:space="0" w:color="auto"/>
            <w:bottom w:val="none" w:sz="0" w:space="0" w:color="auto"/>
            <w:right w:val="none" w:sz="0" w:space="0" w:color="auto"/>
          </w:divBdr>
        </w:div>
        <w:div w:id="1851555478">
          <w:marLeft w:val="0"/>
          <w:marRight w:val="0"/>
          <w:marTop w:val="0"/>
          <w:marBottom w:val="0"/>
          <w:divBdr>
            <w:top w:val="none" w:sz="0" w:space="0" w:color="auto"/>
            <w:left w:val="none" w:sz="0" w:space="0" w:color="auto"/>
            <w:bottom w:val="none" w:sz="0" w:space="0" w:color="auto"/>
            <w:right w:val="none" w:sz="0" w:space="0" w:color="auto"/>
          </w:divBdr>
        </w:div>
        <w:div w:id="1866022473">
          <w:marLeft w:val="0"/>
          <w:marRight w:val="0"/>
          <w:marTop w:val="100"/>
          <w:marBottom w:val="100"/>
          <w:divBdr>
            <w:top w:val="none" w:sz="0" w:space="0" w:color="auto"/>
            <w:left w:val="none" w:sz="0" w:space="0" w:color="auto"/>
            <w:bottom w:val="none" w:sz="0" w:space="0" w:color="auto"/>
            <w:right w:val="none" w:sz="0" w:space="0" w:color="auto"/>
          </w:divBdr>
        </w:div>
        <w:div w:id="1965231382">
          <w:marLeft w:val="0"/>
          <w:marRight w:val="0"/>
          <w:marTop w:val="0"/>
          <w:marBottom w:val="0"/>
          <w:divBdr>
            <w:top w:val="none" w:sz="0" w:space="0" w:color="auto"/>
            <w:left w:val="none" w:sz="0" w:space="0" w:color="auto"/>
            <w:bottom w:val="none" w:sz="0" w:space="0" w:color="auto"/>
            <w:right w:val="none" w:sz="0" w:space="0" w:color="auto"/>
          </w:divBdr>
        </w:div>
        <w:div w:id="1986546609">
          <w:marLeft w:val="0"/>
          <w:marRight w:val="0"/>
          <w:marTop w:val="0"/>
          <w:marBottom w:val="0"/>
          <w:divBdr>
            <w:top w:val="none" w:sz="0" w:space="0" w:color="auto"/>
            <w:left w:val="none" w:sz="0" w:space="0" w:color="auto"/>
            <w:bottom w:val="none" w:sz="0" w:space="0" w:color="auto"/>
            <w:right w:val="none" w:sz="0" w:space="0" w:color="auto"/>
          </w:divBdr>
        </w:div>
        <w:div w:id="1992129270">
          <w:marLeft w:val="0"/>
          <w:marRight w:val="0"/>
          <w:marTop w:val="0"/>
          <w:marBottom w:val="0"/>
          <w:divBdr>
            <w:top w:val="none" w:sz="0" w:space="0" w:color="auto"/>
            <w:left w:val="none" w:sz="0" w:space="0" w:color="auto"/>
            <w:bottom w:val="none" w:sz="0" w:space="0" w:color="auto"/>
            <w:right w:val="none" w:sz="0" w:space="0" w:color="auto"/>
          </w:divBdr>
        </w:div>
      </w:divsChild>
    </w:div>
    <w:div w:id="1777478787">
      <w:bodyDiv w:val="1"/>
      <w:marLeft w:val="0"/>
      <w:marRight w:val="0"/>
      <w:marTop w:val="0"/>
      <w:marBottom w:val="0"/>
      <w:divBdr>
        <w:top w:val="none" w:sz="0" w:space="0" w:color="auto"/>
        <w:left w:val="none" w:sz="0" w:space="0" w:color="auto"/>
        <w:bottom w:val="none" w:sz="0" w:space="0" w:color="auto"/>
        <w:right w:val="none" w:sz="0" w:space="0" w:color="auto"/>
      </w:divBdr>
      <w:divsChild>
        <w:div w:id="665060839">
          <w:marLeft w:val="0"/>
          <w:marRight w:val="0"/>
          <w:marTop w:val="0"/>
          <w:marBottom w:val="0"/>
          <w:divBdr>
            <w:top w:val="none" w:sz="0" w:space="0" w:color="auto"/>
            <w:left w:val="none" w:sz="0" w:space="0" w:color="auto"/>
            <w:bottom w:val="none" w:sz="0" w:space="0" w:color="auto"/>
            <w:right w:val="none" w:sz="0" w:space="0" w:color="auto"/>
          </w:divBdr>
        </w:div>
        <w:div w:id="887379101">
          <w:marLeft w:val="0"/>
          <w:marRight w:val="0"/>
          <w:marTop w:val="0"/>
          <w:marBottom w:val="0"/>
          <w:divBdr>
            <w:top w:val="none" w:sz="0" w:space="0" w:color="auto"/>
            <w:left w:val="none" w:sz="0" w:space="0" w:color="auto"/>
            <w:bottom w:val="none" w:sz="0" w:space="0" w:color="auto"/>
            <w:right w:val="none" w:sz="0" w:space="0" w:color="auto"/>
          </w:divBdr>
        </w:div>
        <w:div w:id="1027368393">
          <w:marLeft w:val="0"/>
          <w:marRight w:val="0"/>
          <w:marTop w:val="0"/>
          <w:marBottom w:val="0"/>
          <w:divBdr>
            <w:top w:val="none" w:sz="0" w:space="0" w:color="auto"/>
            <w:left w:val="none" w:sz="0" w:space="0" w:color="auto"/>
            <w:bottom w:val="none" w:sz="0" w:space="0" w:color="auto"/>
            <w:right w:val="none" w:sz="0" w:space="0" w:color="auto"/>
          </w:divBdr>
        </w:div>
        <w:div w:id="1538926473">
          <w:marLeft w:val="0"/>
          <w:marRight w:val="0"/>
          <w:marTop w:val="0"/>
          <w:marBottom w:val="0"/>
          <w:divBdr>
            <w:top w:val="none" w:sz="0" w:space="0" w:color="auto"/>
            <w:left w:val="none" w:sz="0" w:space="0" w:color="auto"/>
            <w:bottom w:val="none" w:sz="0" w:space="0" w:color="auto"/>
            <w:right w:val="none" w:sz="0" w:space="0" w:color="auto"/>
          </w:divBdr>
        </w:div>
        <w:div w:id="1549954929">
          <w:marLeft w:val="0"/>
          <w:marRight w:val="0"/>
          <w:marTop w:val="0"/>
          <w:marBottom w:val="0"/>
          <w:divBdr>
            <w:top w:val="none" w:sz="0" w:space="0" w:color="auto"/>
            <w:left w:val="none" w:sz="0" w:space="0" w:color="auto"/>
            <w:bottom w:val="none" w:sz="0" w:space="0" w:color="auto"/>
            <w:right w:val="none" w:sz="0" w:space="0" w:color="auto"/>
          </w:divBdr>
        </w:div>
        <w:div w:id="1864125431">
          <w:marLeft w:val="0"/>
          <w:marRight w:val="0"/>
          <w:marTop w:val="0"/>
          <w:marBottom w:val="0"/>
          <w:divBdr>
            <w:top w:val="none" w:sz="0" w:space="0" w:color="auto"/>
            <w:left w:val="none" w:sz="0" w:space="0" w:color="auto"/>
            <w:bottom w:val="none" w:sz="0" w:space="0" w:color="auto"/>
            <w:right w:val="none" w:sz="0" w:space="0" w:color="auto"/>
          </w:divBdr>
        </w:div>
        <w:div w:id="2083988902">
          <w:marLeft w:val="0"/>
          <w:marRight w:val="0"/>
          <w:marTop w:val="0"/>
          <w:marBottom w:val="0"/>
          <w:divBdr>
            <w:top w:val="none" w:sz="0" w:space="0" w:color="auto"/>
            <w:left w:val="none" w:sz="0" w:space="0" w:color="auto"/>
            <w:bottom w:val="none" w:sz="0" w:space="0" w:color="auto"/>
            <w:right w:val="none" w:sz="0" w:space="0" w:color="auto"/>
          </w:divBdr>
        </w:div>
      </w:divsChild>
    </w:div>
    <w:div w:id="1961764650">
      <w:bodyDiv w:val="1"/>
      <w:marLeft w:val="0"/>
      <w:marRight w:val="0"/>
      <w:marTop w:val="0"/>
      <w:marBottom w:val="0"/>
      <w:divBdr>
        <w:top w:val="none" w:sz="0" w:space="0" w:color="auto"/>
        <w:left w:val="none" w:sz="0" w:space="0" w:color="auto"/>
        <w:bottom w:val="none" w:sz="0" w:space="0" w:color="auto"/>
        <w:right w:val="none" w:sz="0" w:space="0" w:color="auto"/>
      </w:divBdr>
      <w:divsChild>
        <w:div w:id="1410930486">
          <w:marLeft w:val="0"/>
          <w:marRight w:val="0"/>
          <w:marTop w:val="0"/>
          <w:marBottom w:val="0"/>
          <w:divBdr>
            <w:top w:val="none" w:sz="0" w:space="0" w:color="auto"/>
            <w:left w:val="none" w:sz="0" w:space="0" w:color="auto"/>
            <w:bottom w:val="none" w:sz="0" w:space="0" w:color="auto"/>
            <w:right w:val="none" w:sz="0" w:space="0" w:color="auto"/>
          </w:divBdr>
          <w:divsChild>
            <w:div w:id="1643660749">
              <w:marLeft w:val="0"/>
              <w:marRight w:val="0"/>
              <w:marTop w:val="0"/>
              <w:marBottom w:val="0"/>
              <w:divBdr>
                <w:top w:val="none" w:sz="0" w:space="0" w:color="auto"/>
                <w:left w:val="none" w:sz="0" w:space="0" w:color="auto"/>
                <w:bottom w:val="none" w:sz="0" w:space="0" w:color="auto"/>
                <w:right w:val="none" w:sz="0" w:space="0" w:color="auto"/>
              </w:divBdr>
              <w:divsChild>
                <w:div w:id="1957641967">
                  <w:marLeft w:val="0"/>
                  <w:marRight w:val="0"/>
                  <w:marTop w:val="0"/>
                  <w:marBottom w:val="0"/>
                  <w:divBdr>
                    <w:top w:val="none" w:sz="0" w:space="0" w:color="auto"/>
                    <w:left w:val="none" w:sz="0" w:space="0" w:color="auto"/>
                    <w:bottom w:val="none" w:sz="0" w:space="0" w:color="auto"/>
                    <w:right w:val="none" w:sz="0" w:space="0" w:color="auto"/>
                  </w:divBdr>
                  <w:divsChild>
                    <w:div w:id="1687755591">
                      <w:marLeft w:val="0"/>
                      <w:marRight w:val="0"/>
                      <w:marTop w:val="0"/>
                      <w:marBottom w:val="0"/>
                      <w:divBdr>
                        <w:top w:val="none" w:sz="0" w:space="0" w:color="auto"/>
                        <w:left w:val="none" w:sz="0" w:space="0" w:color="auto"/>
                        <w:bottom w:val="none" w:sz="0" w:space="0" w:color="auto"/>
                        <w:right w:val="none" w:sz="0" w:space="0" w:color="auto"/>
                      </w:divBdr>
                      <w:divsChild>
                        <w:div w:id="12990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94126">
      <w:bodyDiv w:val="1"/>
      <w:marLeft w:val="0"/>
      <w:marRight w:val="0"/>
      <w:marTop w:val="0"/>
      <w:marBottom w:val="0"/>
      <w:divBdr>
        <w:top w:val="none" w:sz="0" w:space="0" w:color="auto"/>
        <w:left w:val="none" w:sz="0" w:space="0" w:color="auto"/>
        <w:bottom w:val="none" w:sz="0" w:space="0" w:color="auto"/>
        <w:right w:val="none" w:sz="0" w:space="0" w:color="auto"/>
      </w:divBdr>
    </w:div>
    <w:div w:id="20896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sro.org/?page=TheCASRO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8AD7A-227F-45B3-8BF4-892A1C39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2949</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SSI</Company>
  <LinksUpToDate>false</LinksUpToDate>
  <CharactersWithSpaces>19454</CharactersWithSpaces>
  <SharedDoc>false</SharedDoc>
  <HLinks>
    <vt:vector size="6" baseType="variant">
      <vt:variant>
        <vt:i4>6422626</vt:i4>
      </vt:variant>
      <vt:variant>
        <vt:i4>0</vt:i4>
      </vt:variant>
      <vt:variant>
        <vt:i4>0</vt:i4>
      </vt:variant>
      <vt:variant>
        <vt:i4>5</vt:i4>
      </vt:variant>
      <vt:variant>
        <vt:lpwstr>http://www.casro.org/?page=TheCASROCode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MERC OMB MEP</dc:subject>
  <dc:creator>Cameron Wimpy</dc:creator>
  <cp:lastModifiedBy>Gittleson, Daniel</cp:lastModifiedBy>
  <cp:revision>3</cp:revision>
  <cp:lastPrinted>2014-08-05T13:56:00Z</cp:lastPrinted>
  <dcterms:created xsi:type="dcterms:W3CDTF">2015-08-10T18:39:00Z</dcterms:created>
  <dcterms:modified xsi:type="dcterms:W3CDTF">2015-08-10T20:16:00Z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