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18F92" w14:textId="77777777" w:rsidR="00AE1A37" w:rsidRDefault="00AE1A37">
      <w:pPr>
        <w:spacing w:line="480" w:lineRule="auto"/>
        <w:rPr>
          <w:b/>
        </w:rPr>
      </w:pPr>
      <w:bookmarkStart w:id="0" w:name="_GoBack"/>
      <w:bookmarkEnd w:id="0"/>
    </w:p>
    <w:p w14:paraId="78AD850A" w14:textId="77777777" w:rsidR="009D671E" w:rsidRPr="002D702D" w:rsidRDefault="009D671E" w:rsidP="009D671E">
      <w:pPr>
        <w:spacing w:line="480" w:lineRule="auto"/>
        <w:jc w:val="center"/>
        <w:rPr>
          <w:b/>
          <w:sz w:val="28"/>
          <w:szCs w:val="28"/>
        </w:rPr>
      </w:pPr>
      <w:r w:rsidRPr="009D671E">
        <w:rPr>
          <w:b/>
          <w:sz w:val="28"/>
          <w:szCs w:val="28"/>
          <w:lang w:val="en-CA"/>
        </w:rPr>
        <w:fldChar w:fldCharType="begin"/>
      </w:r>
      <w:r w:rsidRPr="009D671E">
        <w:rPr>
          <w:b/>
          <w:sz w:val="28"/>
          <w:szCs w:val="28"/>
          <w:lang w:val="en-CA"/>
        </w:rPr>
        <w:instrText xml:space="preserve"> SEQ CHAPTER \h \r 1</w:instrText>
      </w:r>
      <w:r w:rsidRPr="009D671E">
        <w:rPr>
          <w:b/>
          <w:sz w:val="28"/>
          <w:szCs w:val="28"/>
          <w:lang w:val="en-CA"/>
        </w:rPr>
        <w:fldChar w:fldCharType="end"/>
      </w:r>
      <w:r w:rsidRPr="009D671E">
        <w:rPr>
          <w:b/>
          <w:sz w:val="28"/>
          <w:szCs w:val="28"/>
        </w:rPr>
        <w:t xml:space="preserve">The </w:t>
      </w:r>
      <w:r w:rsidR="00E064C1" w:rsidRPr="00E064C1">
        <w:rPr>
          <w:b/>
          <w:sz w:val="28"/>
          <w:szCs w:val="28"/>
        </w:rPr>
        <w:t>Hispa</w:t>
      </w:r>
      <w:r w:rsidR="00E064C1" w:rsidRPr="002D702D">
        <w:rPr>
          <w:b/>
          <w:sz w:val="28"/>
          <w:szCs w:val="28"/>
        </w:rPr>
        <w:t>nic Community Health Study/ Study of Latinos (</w:t>
      </w:r>
      <w:r w:rsidR="006B185B" w:rsidRPr="002D702D">
        <w:rPr>
          <w:b/>
          <w:sz w:val="28"/>
          <w:szCs w:val="28"/>
        </w:rPr>
        <w:t>HCHS/</w:t>
      </w:r>
      <w:r w:rsidR="00E064C1" w:rsidRPr="002D702D">
        <w:rPr>
          <w:b/>
          <w:sz w:val="28"/>
          <w:szCs w:val="28"/>
        </w:rPr>
        <w:t>SOL)</w:t>
      </w:r>
    </w:p>
    <w:p w14:paraId="33D5C8E5" w14:textId="77777777" w:rsidR="00B64189" w:rsidRDefault="0082379B" w:rsidP="009D671E">
      <w:pPr>
        <w:spacing w:line="480" w:lineRule="auto"/>
        <w:jc w:val="center"/>
        <w:rPr>
          <w:b/>
          <w:sz w:val="28"/>
          <w:szCs w:val="28"/>
        </w:rPr>
      </w:pPr>
      <w:r w:rsidRPr="002D702D">
        <w:rPr>
          <w:b/>
          <w:sz w:val="28"/>
          <w:szCs w:val="28"/>
        </w:rPr>
        <w:t xml:space="preserve">Supporting Statement Part A </w:t>
      </w:r>
    </w:p>
    <w:p w14:paraId="4A4D8134" w14:textId="0259B923" w:rsidR="000665D4" w:rsidRDefault="000665D4" w:rsidP="009D671E">
      <w:pPr>
        <w:spacing w:line="480" w:lineRule="auto"/>
        <w:jc w:val="center"/>
        <w:rPr>
          <w:b/>
          <w:sz w:val="28"/>
          <w:szCs w:val="28"/>
        </w:rPr>
      </w:pPr>
      <w:r>
        <w:rPr>
          <w:b/>
          <w:sz w:val="28"/>
          <w:szCs w:val="28"/>
        </w:rPr>
        <w:t>June  2014</w:t>
      </w:r>
    </w:p>
    <w:p w14:paraId="2B88C133" w14:textId="158F788E" w:rsidR="0082379B" w:rsidRPr="002D702D" w:rsidRDefault="0082379B" w:rsidP="009D671E">
      <w:pPr>
        <w:spacing w:line="480" w:lineRule="auto"/>
        <w:jc w:val="center"/>
        <w:rPr>
          <w:b/>
          <w:sz w:val="28"/>
          <w:szCs w:val="28"/>
        </w:rPr>
      </w:pPr>
    </w:p>
    <w:p w14:paraId="38688A5C" w14:textId="5D181E92" w:rsidR="003C43CF" w:rsidRPr="007E6D34" w:rsidRDefault="00F5079F" w:rsidP="009D671E">
      <w:pPr>
        <w:spacing w:line="480" w:lineRule="auto"/>
        <w:jc w:val="center"/>
        <w:rPr>
          <w:b/>
          <w:sz w:val="28"/>
          <w:szCs w:val="28"/>
        </w:rPr>
      </w:pPr>
      <w:r w:rsidRPr="007E6D34">
        <w:rPr>
          <w:b/>
          <w:sz w:val="28"/>
          <w:szCs w:val="28"/>
        </w:rPr>
        <w:t>OMB#: 0925-058</w:t>
      </w:r>
      <w:r w:rsidR="00255BC5" w:rsidRPr="007E6D34">
        <w:rPr>
          <w:b/>
          <w:sz w:val="28"/>
          <w:szCs w:val="28"/>
        </w:rPr>
        <w:t>4</w:t>
      </w:r>
    </w:p>
    <w:p w14:paraId="1D90B42E" w14:textId="2D5C1413" w:rsidR="00AE1A37" w:rsidRPr="00582058" w:rsidRDefault="00AE1A37" w:rsidP="00AE1A37">
      <w:pPr>
        <w:spacing w:line="480" w:lineRule="auto"/>
        <w:jc w:val="center"/>
        <w:rPr>
          <w:b/>
          <w:sz w:val="28"/>
          <w:szCs w:val="28"/>
          <w:lang w:val="fr-CA"/>
        </w:rPr>
      </w:pPr>
      <w:r w:rsidRPr="00582058">
        <w:rPr>
          <w:b/>
          <w:sz w:val="28"/>
          <w:szCs w:val="28"/>
          <w:lang w:val="fr-CA"/>
        </w:rPr>
        <w:t xml:space="preserve">Contact: </w:t>
      </w:r>
      <w:r w:rsidR="00582058" w:rsidRPr="00582058">
        <w:rPr>
          <w:b/>
          <w:sz w:val="28"/>
          <w:szCs w:val="28"/>
          <w:lang w:val="fr-CA"/>
        </w:rPr>
        <w:t>Larissa Avil</w:t>
      </w:r>
      <w:r w:rsidR="00582058">
        <w:rPr>
          <w:b/>
          <w:sz w:val="28"/>
          <w:szCs w:val="28"/>
          <w:lang w:val="fr-CA"/>
        </w:rPr>
        <w:t>é</w:t>
      </w:r>
      <w:r w:rsidR="00582058" w:rsidRPr="00582058">
        <w:rPr>
          <w:b/>
          <w:sz w:val="28"/>
          <w:szCs w:val="28"/>
          <w:lang w:val="fr-CA"/>
        </w:rPr>
        <w:t>s-Santa, MD, MPH</w:t>
      </w:r>
      <w:r w:rsidR="00E73558" w:rsidRPr="00582058">
        <w:rPr>
          <w:b/>
          <w:sz w:val="28"/>
          <w:szCs w:val="28"/>
          <w:lang w:val="fr-CA"/>
        </w:rPr>
        <w:t xml:space="preserve"> </w:t>
      </w:r>
    </w:p>
    <w:p w14:paraId="535D0A7F" w14:textId="77777777" w:rsidR="00F5079F" w:rsidRPr="00582058" w:rsidRDefault="00F5079F" w:rsidP="00AE1A37">
      <w:pPr>
        <w:spacing w:line="480" w:lineRule="auto"/>
        <w:jc w:val="center"/>
        <w:rPr>
          <w:b/>
          <w:sz w:val="28"/>
          <w:szCs w:val="28"/>
        </w:rPr>
      </w:pPr>
      <w:r w:rsidRPr="00582058">
        <w:rPr>
          <w:b/>
          <w:sz w:val="28"/>
          <w:szCs w:val="28"/>
        </w:rPr>
        <w:t>National Institutes of Health/National Heart, Lung, and Blood Institute</w:t>
      </w:r>
    </w:p>
    <w:p w14:paraId="33689669" w14:textId="77777777" w:rsidR="00F5079F" w:rsidRPr="00582058" w:rsidRDefault="00F5079F" w:rsidP="00AE1A37">
      <w:pPr>
        <w:spacing w:line="480" w:lineRule="auto"/>
        <w:jc w:val="center"/>
        <w:rPr>
          <w:b/>
          <w:sz w:val="28"/>
          <w:szCs w:val="28"/>
        </w:rPr>
      </w:pPr>
      <w:r w:rsidRPr="00582058">
        <w:rPr>
          <w:b/>
          <w:sz w:val="28"/>
          <w:szCs w:val="28"/>
        </w:rPr>
        <w:t>(NIH/NHLBI)</w:t>
      </w:r>
    </w:p>
    <w:p w14:paraId="4E5EFFAD" w14:textId="77777777" w:rsidR="00AE1A37" w:rsidRPr="00AE1A37" w:rsidRDefault="00AE1A37" w:rsidP="00AE1A37">
      <w:pPr>
        <w:spacing w:line="480" w:lineRule="auto"/>
        <w:jc w:val="center"/>
        <w:rPr>
          <w:b/>
          <w:sz w:val="28"/>
          <w:szCs w:val="28"/>
        </w:rPr>
      </w:pPr>
      <w:r w:rsidRPr="00AE1A37">
        <w:rPr>
          <w:b/>
          <w:sz w:val="28"/>
          <w:szCs w:val="28"/>
        </w:rPr>
        <w:t>6701 Rockledge Drive MSC 793</w:t>
      </w:r>
      <w:r w:rsidR="00E064C1">
        <w:rPr>
          <w:b/>
          <w:sz w:val="28"/>
          <w:szCs w:val="28"/>
        </w:rPr>
        <w:t>6</w:t>
      </w:r>
    </w:p>
    <w:p w14:paraId="2D837F44" w14:textId="77777777" w:rsidR="00AE1A37" w:rsidRPr="00AE1A37" w:rsidRDefault="00AE1A37" w:rsidP="00AE1A37">
      <w:pPr>
        <w:spacing w:line="480" w:lineRule="auto"/>
        <w:jc w:val="center"/>
        <w:rPr>
          <w:b/>
          <w:sz w:val="28"/>
          <w:szCs w:val="28"/>
        </w:rPr>
      </w:pPr>
      <w:r w:rsidRPr="00AE1A37">
        <w:rPr>
          <w:b/>
          <w:sz w:val="28"/>
          <w:szCs w:val="28"/>
        </w:rPr>
        <w:t>Bethesda, MD 20892</w:t>
      </w:r>
    </w:p>
    <w:p w14:paraId="28B6315E" w14:textId="77777777" w:rsidR="00AE1A37" w:rsidRPr="00582058" w:rsidRDefault="00AE1A37" w:rsidP="00AE1A37">
      <w:pPr>
        <w:spacing w:line="480" w:lineRule="auto"/>
        <w:jc w:val="center"/>
        <w:rPr>
          <w:b/>
          <w:sz w:val="28"/>
          <w:szCs w:val="28"/>
        </w:rPr>
      </w:pPr>
      <w:r w:rsidRPr="00582058">
        <w:rPr>
          <w:b/>
          <w:sz w:val="28"/>
          <w:szCs w:val="28"/>
        </w:rPr>
        <w:t>Phone</w:t>
      </w:r>
      <w:r w:rsidR="00E73558" w:rsidRPr="00582058">
        <w:rPr>
          <w:b/>
          <w:sz w:val="28"/>
          <w:szCs w:val="28"/>
        </w:rPr>
        <w:t>:</w:t>
      </w:r>
      <w:r w:rsidRPr="00582058">
        <w:rPr>
          <w:b/>
          <w:sz w:val="28"/>
          <w:szCs w:val="28"/>
        </w:rPr>
        <w:t xml:space="preserve"> 301-435-</w:t>
      </w:r>
      <w:r w:rsidR="00582058">
        <w:rPr>
          <w:b/>
          <w:sz w:val="28"/>
          <w:szCs w:val="28"/>
        </w:rPr>
        <w:t>0450</w:t>
      </w:r>
    </w:p>
    <w:p w14:paraId="70909892" w14:textId="77777777" w:rsidR="00AE1A37" w:rsidRPr="00582058" w:rsidRDefault="00AE1A37" w:rsidP="00AE1A37">
      <w:pPr>
        <w:spacing w:line="480" w:lineRule="auto"/>
        <w:jc w:val="center"/>
        <w:rPr>
          <w:b/>
          <w:sz w:val="28"/>
          <w:szCs w:val="28"/>
        </w:rPr>
      </w:pPr>
      <w:r w:rsidRPr="00582058">
        <w:rPr>
          <w:b/>
          <w:sz w:val="28"/>
          <w:szCs w:val="28"/>
        </w:rPr>
        <w:t>FAX: 301-480-</w:t>
      </w:r>
      <w:r w:rsidR="00E73558" w:rsidRPr="00582058">
        <w:rPr>
          <w:b/>
          <w:sz w:val="28"/>
          <w:szCs w:val="28"/>
        </w:rPr>
        <w:t>1455</w:t>
      </w:r>
    </w:p>
    <w:p w14:paraId="763A066E" w14:textId="77777777" w:rsidR="00FE3635" w:rsidRPr="00582058" w:rsidRDefault="00FE3635" w:rsidP="00AE1A37">
      <w:pPr>
        <w:spacing w:line="480" w:lineRule="auto"/>
        <w:jc w:val="center"/>
        <w:rPr>
          <w:b/>
          <w:sz w:val="28"/>
          <w:szCs w:val="28"/>
        </w:rPr>
      </w:pPr>
      <w:r w:rsidRPr="00582058">
        <w:rPr>
          <w:b/>
          <w:sz w:val="28"/>
          <w:szCs w:val="28"/>
        </w:rPr>
        <w:t>E-</w:t>
      </w:r>
      <w:r w:rsidR="00E73558" w:rsidRPr="00582058">
        <w:rPr>
          <w:b/>
          <w:sz w:val="28"/>
          <w:szCs w:val="28"/>
        </w:rPr>
        <w:t>m</w:t>
      </w:r>
      <w:r w:rsidRPr="00582058">
        <w:rPr>
          <w:b/>
          <w:sz w:val="28"/>
          <w:szCs w:val="28"/>
        </w:rPr>
        <w:t>ail:</w:t>
      </w:r>
      <w:r w:rsidR="00E064C1" w:rsidRPr="00582058">
        <w:rPr>
          <w:b/>
          <w:sz w:val="28"/>
          <w:szCs w:val="28"/>
        </w:rPr>
        <w:t xml:space="preserve"> </w:t>
      </w:r>
      <w:bookmarkStart w:id="1" w:name="OLE_LINK3"/>
      <w:bookmarkStart w:id="2" w:name="OLE_LINK4"/>
      <w:r w:rsidR="00582058">
        <w:rPr>
          <w:b/>
          <w:sz w:val="28"/>
          <w:szCs w:val="28"/>
        </w:rPr>
        <w:t>avilessantal</w:t>
      </w:r>
      <w:r w:rsidR="0082379B" w:rsidRPr="00582058">
        <w:rPr>
          <w:b/>
          <w:sz w:val="28"/>
          <w:szCs w:val="28"/>
        </w:rPr>
        <w:t>@nhlbi.nih.gov</w:t>
      </w:r>
      <w:bookmarkEnd w:id="1"/>
      <w:bookmarkEnd w:id="2"/>
    </w:p>
    <w:p w14:paraId="2B15B1A8" w14:textId="77777777" w:rsidR="00AE1A37" w:rsidRPr="00582058" w:rsidRDefault="00AE1A37">
      <w:pPr>
        <w:spacing w:line="480" w:lineRule="auto"/>
        <w:rPr>
          <w:b/>
        </w:rPr>
      </w:pPr>
    </w:p>
    <w:p w14:paraId="04AE6E64" w14:textId="77777777" w:rsidR="00285E61" w:rsidRDefault="00285E61">
      <w:pPr>
        <w:widowControl/>
        <w:rPr>
          <w:b/>
        </w:rPr>
      </w:pPr>
    </w:p>
    <w:p w14:paraId="271EC48D" w14:textId="77777777" w:rsidR="00285E61" w:rsidRDefault="00285E61">
      <w:pPr>
        <w:widowControl/>
        <w:rPr>
          <w:b/>
        </w:rPr>
      </w:pPr>
      <w:r>
        <w:rPr>
          <w:b/>
        </w:rPr>
        <w:br w:type="page"/>
      </w:r>
    </w:p>
    <w:p w14:paraId="244AC50E" w14:textId="6B1531A7" w:rsidR="002B3C57" w:rsidRDefault="002B3C57">
      <w:pPr>
        <w:widowControl/>
        <w:rPr>
          <w:b/>
        </w:rPr>
      </w:pPr>
      <w:r>
        <w:rPr>
          <w:b/>
        </w:rPr>
        <w:lastRenderedPageBreak/>
        <w:t>Table of Contents</w:t>
      </w:r>
    </w:p>
    <w:p w14:paraId="06396A6E" w14:textId="77777777" w:rsidR="005B6CBE" w:rsidRDefault="005B6CBE">
      <w:pPr>
        <w:widowControl/>
        <w:rPr>
          <w:b/>
        </w:rPr>
      </w:pPr>
    </w:p>
    <w:p w14:paraId="63B4B242" w14:textId="6C2E47B6" w:rsidR="005B6CBE" w:rsidRDefault="005B6CBE">
      <w:pPr>
        <w:widowControl/>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Page</w:t>
      </w:r>
    </w:p>
    <w:p w14:paraId="7424D450" w14:textId="08423A35" w:rsidR="005B6CBE" w:rsidRDefault="005B6CBE" w:rsidP="00C435E1">
      <w:pPr>
        <w:widowControl/>
        <w:jc w:val="right"/>
      </w:pPr>
      <w:r w:rsidRPr="005B6CBE">
        <w:t>Summary of the Hispanic Community Health Study/Study of Latinos (HCHS/SOL)……</w:t>
      </w:r>
      <w:r>
        <w:t>……..</w:t>
      </w:r>
      <w:r w:rsidR="004450C3">
        <w:t xml:space="preserve"> </w:t>
      </w:r>
      <w:r w:rsidR="00DA40B3">
        <w:t>.</w:t>
      </w:r>
      <w:r w:rsidR="004450C3">
        <w:t>1</w:t>
      </w:r>
    </w:p>
    <w:p w14:paraId="10564826" w14:textId="1CF431CE" w:rsidR="005B6CBE" w:rsidRDefault="005B6CBE" w:rsidP="00C435E1">
      <w:pPr>
        <w:pStyle w:val="ListParagraph"/>
        <w:widowControl/>
        <w:numPr>
          <w:ilvl w:val="0"/>
          <w:numId w:val="28"/>
        </w:numPr>
        <w:spacing w:line="276" w:lineRule="auto"/>
        <w:ind w:left="540"/>
        <w:jc w:val="right"/>
      </w:pPr>
      <w:r>
        <w:t>Justification……………………………………………………………………………</w:t>
      </w:r>
      <w:r w:rsidR="005360DD">
        <w:t>……</w:t>
      </w:r>
      <w:r w:rsidR="00DA40B3">
        <w:t>.</w:t>
      </w:r>
      <w:r w:rsidR="004450C3">
        <w:t>3</w:t>
      </w:r>
    </w:p>
    <w:p w14:paraId="3FB42272" w14:textId="49D9EB57" w:rsidR="005B6CBE" w:rsidRDefault="005B6CBE" w:rsidP="00C435E1">
      <w:pPr>
        <w:pStyle w:val="ListParagraph"/>
        <w:widowControl/>
        <w:spacing w:line="276" w:lineRule="auto"/>
        <w:ind w:left="540"/>
        <w:jc w:val="right"/>
      </w:pPr>
      <w:r>
        <w:t>A.1. Circumstances Making the Collection of Information Necessary…………………</w:t>
      </w:r>
      <w:r w:rsidR="005360DD">
        <w:t>….</w:t>
      </w:r>
      <w:r w:rsidR="00DA40B3">
        <w:t>.</w:t>
      </w:r>
      <w:r w:rsidR="004450C3">
        <w:t>3</w:t>
      </w:r>
    </w:p>
    <w:p w14:paraId="6064B408" w14:textId="3E1F5F24" w:rsidR="005B6CBE" w:rsidRDefault="005B6CBE" w:rsidP="00C435E1">
      <w:pPr>
        <w:pStyle w:val="ListParagraph"/>
        <w:widowControl/>
        <w:spacing w:line="276" w:lineRule="auto"/>
        <w:ind w:left="540"/>
        <w:jc w:val="both"/>
      </w:pPr>
      <w:r>
        <w:t>A.2. Purpose and Use of the Information……………………………………………</w:t>
      </w:r>
      <w:r w:rsidR="005360DD">
        <w:t>……</w:t>
      </w:r>
      <w:r w:rsidR="004450C3">
        <w:t>.</w:t>
      </w:r>
      <w:r w:rsidR="005360DD">
        <w:t>.</w:t>
      </w:r>
      <w:r w:rsidR="00DA40B3">
        <w:t>.</w:t>
      </w:r>
      <w:r w:rsidR="004450C3">
        <w:t>6</w:t>
      </w:r>
    </w:p>
    <w:p w14:paraId="3721794F" w14:textId="09516293" w:rsidR="005B6CBE" w:rsidRDefault="005B6CBE" w:rsidP="00C435E1">
      <w:pPr>
        <w:pStyle w:val="ListParagraph"/>
        <w:widowControl/>
        <w:spacing w:line="276" w:lineRule="auto"/>
        <w:ind w:left="540"/>
        <w:jc w:val="both"/>
      </w:pPr>
      <w:r>
        <w:t>A.3. Use of Information Technology and Burden Reduction…………………………</w:t>
      </w:r>
      <w:r w:rsidR="005360DD">
        <w:t>…</w:t>
      </w:r>
      <w:r w:rsidR="00DA40B3">
        <w:t>….</w:t>
      </w:r>
      <w:r w:rsidR="004450C3">
        <w:t>8</w:t>
      </w:r>
    </w:p>
    <w:p w14:paraId="159B08EC" w14:textId="410E1A8E" w:rsidR="005B6CBE" w:rsidRDefault="005B6CBE" w:rsidP="00C435E1">
      <w:pPr>
        <w:pStyle w:val="ListParagraph"/>
        <w:widowControl/>
        <w:spacing w:line="276" w:lineRule="auto"/>
        <w:ind w:left="540"/>
        <w:jc w:val="both"/>
      </w:pPr>
      <w:r>
        <w:t>A.4. Efforts to Identify Duplication and Use of Similar Information………………</w:t>
      </w:r>
      <w:r w:rsidR="005360DD">
        <w:t>……</w:t>
      </w:r>
      <w:r w:rsidR="00DA40B3">
        <w:t>….</w:t>
      </w:r>
      <w:r w:rsidR="004450C3">
        <w:t>8</w:t>
      </w:r>
    </w:p>
    <w:p w14:paraId="24082DFF" w14:textId="3A805F5A" w:rsidR="005B6CBE" w:rsidRDefault="005B6CBE" w:rsidP="00C435E1">
      <w:pPr>
        <w:pStyle w:val="ListParagraph"/>
        <w:widowControl/>
        <w:spacing w:line="276" w:lineRule="auto"/>
        <w:ind w:left="540"/>
        <w:jc w:val="both"/>
      </w:pPr>
      <w:r>
        <w:t>A.5. Impact on Small Businesses or Other Small Entities………………………</w:t>
      </w:r>
      <w:r w:rsidR="005360DD">
        <w:t>…………</w:t>
      </w:r>
      <w:r w:rsidR="00DA40B3">
        <w:t>..</w:t>
      </w:r>
      <w:r w:rsidR="004450C3">
        <w:t>9</w:t>
      </w:r>
    </w:p>
    <w:p w14:paraId="10D20B80" w14:textId="5F93FF44" w:rsidR="005B6CBE" w:rsidRDefault="005B6CBE" w:rsidP="00C435E1">
      <w:pPr>
        <w:pStyle w:val="ListParagraph"/>
        <w:widowControl/>
        <w:spacing w:line="276" w:lineRule="auto"/>
        <w:ind w:left="540"/>
        <w:jc w:val="both"/>
      </w:pPr>
      <w:r>
        <w:t>A.6. Consequences of Collecting the Information Less Frequently…………………</w:t>
      </w:r>
      <w:r w:rsidR="005360DD">
        <w:t>…….</w:t>
      </w:r>
      <w:r w:rsidR="00DA40B3">
        <w:t>..</w:t>
      </w:r>
      <w:r w:rsidR="004450C3">
        <w:t>9</w:t>
      </w:r>
    </w:p>
    <w:p w14:paraId="077983EE" w14:textId="1E39CA57" w:rsidR="005B6CBE" w:rsidRDefault="005B6CBE" w:rsidP="00C435E1">
      <w:pPr>
        <w:pStyle w:val="ListParagraph"/>
        <w:widowControl/>
        <w:spacing w:line="276" w:lineRule="auto"/>
        <w:ind w:left="540"/>
        <w:jc w:val="both"/>
      </w:pPr>
      <w:r>
        <w:t>A.7. Special Circumstance Relating to the Guidelines of 5 CFR 1320.5……………</w:t>
      </w:r>
      <w:r w:rsidR="009E5118">
        <w:t>…….</w:t>
      </w:r>
      <w:r w:rsidR="004450C3">
        <w:t>10</w:t>
      </w:r>
    </w:p>
    <w:p w14:paraId="42D67C4D" w14:textId="77777777" w:rsidR="00776AB1" w:rsidRDefault="005B6CBE" w:rsidP="00776AB1">
      <w:pPr>
        <w:pStyle w:val="ListParagraph"/>
        <w:widowControl/>
        <w:spacing w:line="276" w:lineRule="auto"/>
        <w:ind w:left="1080" w:hanging="540"/>
      </w:pPr>
      <w:r>
        <w:t xml:space="preserve">A.8. Comments in Response to the Federal Register Notice and Efforts to Consult </w:t>
      </w:r>
    </w:p>
    <w:p w14:paraId="2D3D0CE7" w14:textId="5ECEF609" w:rsidR="005B6CBE" w:rsidRDefault="005B6CBE" w:rsidP="00C435E1">
      <w:pPr>
        <w:pStyle w:val="ListParagraph"/>
        <w:widowControl/>
        <w:spacing w:line="276" w:lineRule="auto"/>
        <w:ind w:left="1080"/>
        <w:jc w:val="right"/>
      </w:pPr>
      <w:r>
        <w:t>Outside Agencies………………………………………………………</w:t>
      </w:r>
      <w:r w:rsidR="009E5118">
        <w:t>……………</w:t>
      </w:r>
      <w:r w:rsidR="004450C3">
        <w:t>.10</w:t>
      </w:r>
    </w:p>
    <w:p w14:paraId="615C02D0" w14:textId="2D88CDD0" w:rsidR="003650AF" w:rsidRDefault="003650AF" w:rsidP="00C435E1">
      <w:pPr>
        <w:pStyle w:val="ListParagraph"/>
        <w:widowControl/>
        <w:spacing w:line="276" w:lineRule="auto"/>
        <w:ind w:left="1080"/>
        <w:jc w:val="right"/>
      </w:pPr>
      <w:r>
        <w:tab/>
        <w:t>A.8.1. Scientific Review</w:t>
      </w:r>
      <w:r w:rsidR="009E5118">
        <w:t>…………………………………………………………</w:t>
      </w:r>
      <w:r w:rsidR="004450C3">
        <w:t>10</w:t>
      </w:r>
    </w:p>
    <w:p w14:paraId="3357FE82" w14:textId="65640801" w:rsidR="005B6CBE" w:rsidRDefault="005B6CBE" w:rsidP="00C435E1">
      <w:pPr>
        <w:pStyle w:val="ListParagraph"/>
        <w:widowControl/>
        <w:spacing w:line="276" w:lineRule="auto"/>
        <w:ind w:left="540"/>
        <w:jc w:val="right"/>
      </w:pPr>
      <w:r>
        <w:t xml:space="preserve">A.9. </w:t>
      </w:r>
      <w:r w:rsidR="007363BC">
        <w:t>Explanation of Any Payment or Gift to Respondents………………………</w:t>
      </w:r>
      <w:r w:rsidR="003650AF">
        <w:t>………..</w:t>
      </w:r>
      <w:r w:rsidR="009E5118">
        <w:t>.</w:t>
      </w:r>
      <w:r w:rsidR="003650AF">
        <w:t>1</w:t>
      </w:r>
      <w:r w:rsidR="004450C3">
        <w:t>1</w:t>
      </w:r>
    </w:p>
    <w:p w14:paraId="3B240524" w14:textId="5C2EB0DA" w:rsidR="003650AF" w:rsidRDefault="003650AF" w:rsidP="00C435E1">
      <w:pPr>
        <w:pStyle w:val="ListParagraph"/>
        <w:widowControl/>
        <w:spacing w:line="276" w:lineRule="auto"/>
        <w:ind w:left="540"/>
        <w:jc w:val="right"/>
      </w:pPr>
      <w:r>
        <w:t>A.10 Assurance of Confidentiality Provided to Respondents……………………………</w:t>
      </w:r>
      <w:r w:rsidR="002B7BA5">
        <w:t>..12</w:t>
      </w:r>
    </w:p>
    <w:p w14:paraId="7C6C5194" w14:textId="18E9AABD" w:rsidR="007363BC" w:rsidRDefault="003650AF" w:rsidP="00C435E1">
      <w:pPr>
        <w:pStyle w:val="ListParagraph"/>
        <w:widowControl/>
        <w:spacing w:line="276" w:lineRule="auto"/>
        <w:ind w:left="1260" w:firstLine="180"/>
        <w:jc w:val="both"/>
      </w:pPr>
      <w:r>
        <w:t>A.10.1 Human Subjects Protection</w:t>
      </w:r>
      <w:r w:rsidR="008D6E1D">
        <w:t xml:space="preserve"> </w:t>
      </w:r>
      <w:r w:rsidR="007363BC">
        <w:t>………………</w:t>
      </w:r>
      <w:r>
        <w:t>…………..………………</w:t>
      </w:r>
      <w:r w:rsidR="008D6E1D">
        <w:t>….</w:t>
      </w:r>
      <w:r w:rsidR="004450C3">
        <w:t>12</w:t>
      </w:r>
    </w:p>
    <w:p w14:paraId="7404E278" w14:textId="5E3D82B9" w:rsidR="007363BC" w:rsidRDefault="003650AF" w:rsidP="00C435E1">
      <w:pPr>
        <w:pStyle w:val="ListParagraph"/>
        <w:widowControl/>
        <w:tabs>
          <w:tab w:val="left" w:pos="450"/>
        </w:tabs>
        <w:spacing w:line="276" w:lineRule="auto"/>
        <w:ind w:left="540"/>
        <w:jc w:val="both"/>
      </w:pPr>
      <w:r>
        <w:tab/>
      </w:r>
      <w:r>
        <w:tab/>
      </w:r>
      <w:r w:rsidR="007363BC">
        <w:t>A.10.</w:t>
      </w:r>
      <w:r w:rsidR="00EE0F1D">
        <w:t>2</w:t>
      </w:r>
      <w:r w:rsidR="007363BC">
        <w:t>. Field Center Security and Confidentiality</w:t>
      </w:r>
      <w:r w:rsidR="00100E43">
        <w:t>…</w:t>
      </w:r>
      <w:r>
        <w:t>.</w:t>
      </w:r>
      <w:r w:rsidR="00100E43">
        <w:t>…………</w:t>
      </w:r>
      <w:r w:rsidR="00EE0F1D">
        <w:t>………………..</w:t>
      </w:r>
      <w:r>
        <w:t>.</w:t>
      </w:r>
      <w:r w:rsidR="004450C3">
        <w:t>1</w:t>
      </w:r>
      <w:r w:rsidR="00C435E1">
        <w:t>3</w:t>
      </w:r>
    </w:p>
    <w:p w14:paraId="76BC6002" w14:textId="6C2A2CBF" w:rsidR="00EE0F1D" w:rsidRDefault="003650AF" w:rsidP="00C435E1">
      <w:pPr>
        <w:pStyle w:val="ListParagraph"/>
        <w:widowControl/>
        <w:tabs>
          <w:tab w:val="left" w:pos="450"/>
        </w:tabs>
        <w:spacing w:line="276" w:lineRule="auto"/>
        <w:ind w:left="540"/>
        <w:jc w:val="both"/>
      </w:pPr>
      <w:r>
        <w:tab/>
      </w:r>
      <w:r>
        <w:tab/>
      </w:r>
      <w:r w:rsidR="00EE0F1D">
        <w:t>A.10.3. Privacy Act…………………………</w:t>
      </w:r>
      <w:r>
        <w:t>.</w:t>
      </w:r>
      <w:r w:rsidR="00EE0F1D">
        <w:t>…………………………………</w:t>
      </w:r>
      <w:r w:rsidR="004450C3">
        <w:t>..</w:t>
      </w:r>
      <w:r w:rsidR="00C435E1">
        <w:t>.</w:t>
      </w:r>
      <w:r w:rsidR="004450C3">
        <w:t>1</w:t>
      </w:r>
      <w:r w:rsidR="00C435E1">
        <w:t>3</w:t>
      </w:r>
    </w:p>
    <w:p w14:paraId="7845D51B" w14:textId="290397C5" w:rsidR="007363BC" w:rsidRDefault="007363BC" w:rsidP="00C435E1">
      <w:pPr>
        <w:pStyle w:val="ListParagraph"/>
        <w:widowControl/>
        <w:spacing w:line="276" w:lineRule="auto"/>
        <w:ind w:left="1260" w:firstLine="180"/>
        <w:jc w:val="both"/>
      </w:pPr>
      <w:r>
        <w:t>A.10.</w:t>
      </w:r>
      <w:r w:rsidR="00EE0F1D">
        <w:t>4</w:t>
      </w:r>
      <w:r>
        <w:t>. Field Center Data Management System</w:t>
      </w:r>
      <w:r w:rsidR="00100E43">
        <w:t xml:space="preserve"> ………………</w:t>
      </w:r>
      <w:r w:rsidR="003650AF">
        <w:t>….</w:t>
      </w:r>
      <w:r w:rsidR="00100E43">
        <w:t>…</w:t>
      </w:r>
      <w:r w:rsidR="00EE0F1D">
        <w:t>…………</w:t>
      </w:r>
      <w:r w:rsidR="002B7BA5">
        <w:t>.</w:t>
      </w:r>
      <w:r w:rsidR="00C435E1">
        <w:t>.</w:t>
      </w:r>
      <w:r w:rsidR="002B7BA5">
        <w:t>13</w:t>
      </w:r>
    </w:p>
    <w:p w14:paraId="7A690ECA" w14:textId="759BEF64" w:rsidR="007363BC" w:rsidRDefault="007363BC" w:rsidP="00C435E1">
      <w:pPr>
        <w:pStyle w:val="ListParagraph"/>
        <w:widowControl/>
        <w:spacing w:line="276" w:lineRule="auto"/>
        <w:ind w:firstLine="720"/>
        <w:jc w:val="both"/>
      </w:pPr>
      <w:r>
        <w:t>A.10.</w:t>
      </w:r>
      <w:r w:rsidR="00EE0F1D">
        <w:t>5</w:t>
      </w:r>
      <w:r>
        <w:t>. Coordinating Center Security and Confidentiality</w:t>
      </w:r>
      <w:r w:rsidR="003650AF">
        <w:t>..</w:t>
      </w:r>
      <w:r w:rsidR="00100E43">
        <w:t>……</w:t>
      </w:r>
      <w:r w:rsidR="00EE0F1D">
        <w:t>………………</w:t>
      </w:r>
      <w:r w:rsidR="002B7BA5">
        <w:t>.14</w:t>
      </w:r>
    </w:p>
    <w:p w14:paraId="197FDFAA" w14:textId="6645A616" w:rsidR="00EE0F1D" w:rsidRDefault="007363BC" w:rsidP="00C435E1">
      <w:pPr>
        <w:pStyle w:val="ListParagraph"/>
        <w:widowControl/>
        <w:spacing w:line="276" w:lineRule="auto"/>
        <w:ind w:firstLine="720"/>
        <w:jc w:val="both"/>
      </w:pPr>
      <w:r>
        <w:t>A.10.</w:t>
      </w:r>
      <w:r w:rsidR="00EE0F1D">
        <w:t>6</w:t>
      </w:r>
      <w:r>
        <w:t>. Coordinating Center Data Management and Computing</w:t>
      </w:r>
      <w:r w:rsidR="00100E43">
        <w:t xml:space="preserve"> </w:t>
      </w:r>
      <w:r w:rsidR="003132C1">
        <w:t>.</w:t>
      </w:r>
      <w:r w:rsidR="00100E43">
        <w:t>………</w:t>
      </w:r>
      <w:r w:rsidR="003650AF">
        <w:t>..</w:t>
      </w:r>
      <w:r w:rsidR="00EE0F1D">
        <w:t>…….</w:t>
      </w:r>
      <w:r w:rsidR="002B7BA5">
        <w:t>15</w:t>
      </w:r>
    </w:p>
    <w:p w14:paraId="6283CEB2" w14:textId="1F7499F0" w:rsidR="007363BC" w:rsidRDefault="00EE0F1D" w:rsidP="00C435E1">
      <w:pPr>
        <w:pStyle w:val="ListParagraph"/>
        <w:widowControl/>
        <w:spacing w:line="276" w:lineRule="auto"/>
        <w:ind w:firstLine="720"/>
        <w:jc w:val="both"/>
      </w:pPr>
      <w:r>
        <w:t>A.10.7</w:t>
      </w:r>
      <w:r w:rsidR="008D6E1D">
        <w:t>.</w:t>
      </w:r>
      <w:r>
        <w:t xml:space="preserve"> Distributed Data Sets…………………………………………………</w:t>
      </w:r>
      <w:r w:rsidR="008D6E1D">
        <w:t>…</w:t>
      </w:r>
      <w:r>
        <w:t>1</w:t>
      </w:r>
      <w:r w:rsidR="004450C3">
        <w:t>5</w:t>
      </w:r>
    </w:p>
    <w:p w14:paraId="0789FB27" w14:textId="0BCC8814" w:rsidR="007363BC" w:rsidRDefault="007363BC" w:rsidP="00C435E1">
      <w:pPr>
        <w:pStyle w:val="ListParagraph"/>
        <w:widowControl/>
        <w:spacing w:line="276" w:lineRule="auto"/>
        <w:ind w:left="540"/>
        <w:jc w:val="right"/>
      </w:pPr>
      <w:r>
        <w:t>A.11. Justification for Sensitive Questions</w:t>
      </w:r>
      <w:r w:rsidR="00100E43">
        <w:t xml:space="preserve"> ……………………………………</w:t>
      </w:r>
      <w:r w:rsidR="00EE0F1D">
        <w:t>………….</w:t>
      </w:r>
      <w:r w:rsidR="003132C1">
        <w:t>.</w:t>
      </w:r>
      <w:r w:rsidR="004450C3">
        <w:t>15</w:t>
      </w:r>
    </w:p>
    <w:p w14:paraId="1DC12FAA" w14:textId="5ACDCD7F" w:rsidR="007363BC" w:rsidRDefault="007363BC" w:rsidP="00C435E1">
      <w:pPr>
        <w:pStyle w:val="ListParagraph"/>
        <w:widowControl/>
        <w:spacing w:line="276" w:lineRule="auto"/>
        <w:ind w:left="540"/>
        <w:jc w:val="right"/>
      </w:pPr>
      <w:r>
        <w:t>A.12</w:t>
      </w:r>
      <w:r w:rsidR="000958C1">
        <w:t xml:space="preserve">. Estimates of Hour Burden </w:t>
      </w:r>
      <w:r w:rsidR="00EE0F1D">
        <w:t>…………………………………………</w:t>
      </w:r>
      <w:r w:rsidR="00100E43">
        <w:t>………………</w:t>
      </w:r>
      <w:r w:rsidR="00EE0F1D">
        <w:t>.</w:t>
      </w:r>
      <w:r w:rsidR="00C435E1">
        <w:t xml:space="preserve"> 17</w:t>
      </w:r>
    </w:p>
    <w:p w14:paraId="5334F019" w14:textId="17469808" w:rsidR="000958C1" w:rsidRDefault="000958C1" w:rsidP="00C435E1">
      <w:pPr>
        <w:pStyle w:val="ListParagraph"/>
        <w:widowControl/>
        <w:spacing w:line="276" w:lineRule="auto"/>
        <w:ind w:left="540"/>
        <w:jc w:val="right"/>
      </w:pPr>
      <w:r>
        <w:t>A.13. Estimate of Other Total Annual Cost Burden to Respondents or Record Keepers</w:t>
      </w:r>
      <w:r w:rsidR="00100E43">
        <w:t>…</w:t>
      </w:r>
      <w:r w:rsidR="004450C3">
        <w:t>18</w:t>
      </w:r>
    </w:p>
    <w:p w14:paraId="4A3B8325" w14:textId="52F8FD1C" w:rsidR="000958C1" w:rsidRDefault="000958C1" w:rsidP="00C435E1">
      <w:pPr>
        <w:pStyle w:val="ListParagraph"/>
        <w:widowControl/>
        <w:spacing w:line="276" w:lineRule="auto"/>
        <w:ind w:left="540"/>
        <w:jc w:val="right"/>
      </w:pPr>
      <w:r>
        <w:t>A.14. Annualized Cost to the Federal Government</w:t>
      </w:r>
      <w:r w:rsidR="00100E43">
        <w:t>……………………………………</w:t>
      </w:r>
      <w:r w:rsidR="00CD0725">
        <w:t xml:space="preserve">…. </w:t>
      </w:r>
      <w:r w:rsidR="004450C3">
        <w:t>19</w:t>
      </w:r>
    </w:p>
    <w:p w14:paraId="011BC137" w14:textId="396E7019" w:rsidR="000958C1" w:rsidRDefault="000958C1" w:rsidP="00C435E1">
      <w:pPr>
        <w:pStyle w:val="ListParagraph"/>
        <w:widowControl/>
        <w:spacing w:line="276" w:lineRule="auto"/>
        <w:ind w:left="540"/>
        <w:jc w:val="right"/>
      </w:pPr>
      <w:r>
        <w:t>A.15. Explanation for Program Changes and Adjustments</w:t>
      </w:r>
      <w:r w:rsidR="00100E43">
        <w:t xml:space="preserve"> …………………………</w:t>
      </w:r>
      <w:r w:rsidR="00CD0725">
        <w:t xml:space="preserve">….... </w:t>
      </w:r>
      <w:r w:rsidR="004450C3">
        <w:t>20</w:t>
      </w:r>
    </w:p>
    <w:p w14:paraId="210B7D2C" w14:textId="2074D86E" w:rsidR="000958C1" w:rsidRDefault="000958C1" w:rsidP="000E2434">
      <w:pPr>
        <w:pStyle w:val="ListParagraph"/>
        <w:widowControl/>
        <w:spacing w:line="276" w:lineRule="auto"/>
        <w:ind w:left="540"/>
        <w:jc w:val="both"/>
      </w:pPr>
      <w:r>
        <w:t>A.16. Plans for Tabulation and Publications and Project Time Schedule</w:t>
      </w:r>
      <w:r w:rsidR="00100E43">
        <w:t xml:space="preserve"> ……………</w:t>
      </w:r>
      <w:r w:rsidR="00CD0725">
        <w:t xml:space="preserve">….. </w:t>
      </w:r>
      <w:r w:rsidR="002B7BA5">
        <w:t>21</w:t>
      </w:r>
    </w:p>
    <w:p w14:paraId="20FFB2BD" w14:textId="27388F92" w:rsidR="000958C1" w:rsidRDefault="000958C1" w:rsidP="000E2434">
      <w:pPr>
        <w:pStyle w:val="ListParagraph"/>
        <w:widowControl/>
        <w:spacing w:line="276" w:lineRule="auto"/>
        <w:ind w:left="540"/>
        <w:jc w:val="both"/>
      </w:pPr>
      <w:r>
        <w:t>A.17. Reason(s) Display of OMB Expiration Date is Inappropriate</w:t>
      </w:r>
      <w:r w:rsidR="00100E43">
        <w:t xml:space="preserve"> ………………</w:t>
      </w:r>
      <w:r w:rsidR="00C435E1">
        <w:t>……..</w:t>
      </w:r>
      <w:r w:rsidR="000E2434">
        <w:t>.</w:t>
      </w:r>
      <w:r w:rsidR="002B7BA5">
        <w:t>22</w:t>
      </w:r>
    </w:p>
    <w:p w14:paraId="261DF27A" w14:textId="2BEA141E" w:rsidR="000958C1" w:rsidRDefault="000958C1" w:rsidP="000E2434">
      <w:pPr>
        <w:pStyle w:val="ListParagraph"/>
        <w:widowControl/>
        <w:spacing w:line="276" w:lineRule="auto"/>
        <w:ind w:left="540"/>
        <w:jc w:val="both"/>
      </w:pPr>
      <w:r>
        <w:t>A.18. Exceptions to Certification for Paperwork Reduction Act Submissions</w:t>
      </w:r>
      <w:r w:rsidR="00100E43">
        <w:t>………</w:t>
      </w:r>
      <w:r w:rsidR="00CD0725">
        <w:t>……</w:t>
      </w:r>
      <w:r w:rsidR="002B7BA5">
        <w:t>22</w:t>
      </w:r>
    </w:p>
    <w:p w14:paraId="1A4599FA" w14:textId="521623A4" w:rsidR="00B55626" w:rsidRPr="00B55626" w:rsidRDefault="00B55626" w:rsidP="000E2434">
      <w:pPr>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40"/>
        <w:jc w:val="both"/>
      </w:pPr>
      <w:r w:rsidRPr="00B55626">
        <w:t>A.19. Certification for Paperwork Reduction Act Submissions</w:t>
      </w:r>
      <w:r w:rsidR="00CD0725">
        <w:t>…………………………...</w:t>
      </w:r>
      <w:r w:rsidR="004450C3">
        <w:t>2</w:t>
      </w:r>
      <w:r w:rsidR="002B1D8D">
        <w:t>2</w:t>
      </w:r>
    </w:p>
    <w:p w14:paraId="26DA2837" w14:textId="77777777" w:rsidR="00B55626" w:rsidRDefault="00B55626" w:rsidP="007363BC">
      <w:pPr>
        <w:pStyle w:val="ListParagraph"/>
        <w:widowControl/>
        <w:ind w:left="0"/>
      </w:pPr>
    </w:p>
    <w:p w14:paraId="392B0CD3" w14:textId="77777777" w:rsidR="005B6CBE" w:rsidRDefault="005B6CBE" w:rsidP="002B3C57">
      <w:pPr>
        <w:pStyle w:val="TOC1"/>
        <w:tabs>
          <w:tab w:val="right" w:leader="dot" w:pos="9350"/>
        </w:tabs>
      </w:pPr>
    </w:p>
    <w:p w14:paraId="3EEE810E" w14:textId="779C6C4B" w:rsidR="005B6CBE" w:rsidRDefault="002B3C57" w:rsidP="002B3C57">
      <w:pPr>
        <w:pStyle w:val="TOC1"/>
        <w:tabs>
          <w:tab w:val="right" w:leader="dot" w:pos="9350"/>
        </w:tabs>
      </w:pPr>
      <w:r>
        <w:fldChar w:fldCharType="begin"/>
      </w:r>
      <w:r>
        <w:instrText xml:space="preserve"> TOC \o "1-3" \h \z \u </w:instrText>
      </w:r>
      <w:r>
        <w:fldChar w:fldCharType="separate"/>
      </w:r>
    </w:p>
    <w:p w14:paraId="0CBB746D" w14:textId="6F960F3E" w:rsidR="002B3C57" w:rsidRDefault="002B3C57" w:rsidP="002B3C57">
      <w:pPr>
        <w:pStyle w:val="TOC2"/>
        <w:tabs>
          <w:tab w:val="right" w:leader="dot" w:pos="9350"/>
        </w:tabs>
        <w:rPr>
          <w:noProof/>
        </w:rPr>
      </w:pPr>
    </w:p>
    <w:p w14:paraId="1F4508B8" w14:textId="34F50F7F" w:rsidR="002B3C57" w:rsidRDefault="002B3C57" w:rsidP="002B3C57">
      <w:pPr>
        <w:widowControl/>
        <w:rPr>
          <w:b/>
        </w:rPr>
      </w:pPr>
      <w:r>
        <w:fldChar w:fldCharType="end"/>
      </w:r>
    </w:p>
    <w:p w14:paraId="2D538A99" w14:textId="77777777" w:rsidR="002B3C57" w:rsidRDefault="002B3C57">
      <w:pPr>
        <w:widowControl/>
        <w:rPr>
          <w:b/>
        </w:rPr>
      </w:pPr>
    </w:p>
    <w:p w14:paraId="2A3AFE5B" w14:textId="77777777" w:rsidR="004579F7" w:rsidRDefault="004579F7">
      <w:pPr>
        <w:widowControl/>
        <w:rPr>
          <w:b/>
        </w:rPr>
      </w:pPr>
    </w:p>
    <w:p w14:paraId="343CAF44" w14:textId="77777777" w:rsidR="004579F7" w:rsidRDefault="004579F7">
      <w:pPr>
        <w:widowControl/>
        <w:rPr>
          <w:b/>
        </w:rPr>
      </w:pPr>
    </w:p>
    <w:p w14:paraId="171CA51D" w14:textId="77777777" w:rsidR="004579F7" w:rsidRDefault="004579F7">
      <w:pPr>
        <w:widowControl/>
        <w:rPr>
          <w:b/>
        </w:rPr>
      </w:pPr>
    </w:p>
    <w:p w14:paraId="40F7021B" w14:textId="77777777" w:rsidR="004579F7" w:rsidRDefault="004579F7">
      <w:pPr>
        <w:widowControl/>
        <w:rPr>
          <w:b/>
        </w:rPr>
      </w:pPr>
    </w:p>
    <w:p w14:paraId="78F8EAD7" w14:textId="3CA1E780" w:rsidR="002B3C57" w:rsidRDefault="002B3C57">
      <w:pPr>
        <w:widowControl/>
        <w:rPr>
          <w:b/>
        </w:rPr>
      </w:pPr>
      <w:r>
        <w:rPr>
          <w:b/>
        </w:rPr>
        <w:lastRenderedPageBreak/>
        <w:t xml:space="preserve">List of </w:t>
      </w:r>
      <w:r w:rsidR="00AA2D9E">
        <w:rPr>
          <w:b/>
        </w:rPr>
        <w:t>Appendices</w:t>
      </w:r>
    </w:p>
    <w:p w14:paraId="69B6576A" w14:textId="77777777" w:rsidR="00874984" w:rsidRDefault="00874984">
      <w:pPr>
        <w:widowControl/>
        <w:rPr>
          <w:b/>
        </w:rPr>
      </w:pPr>
    </w:p>
    <w:p w14:paraId="13445E78" w14:textId="40E8D6B8" w:rsidR="00874984" w:rsidRDefault="00874984">
      <w:pPr>
        <w:widowControl/>
        <w:rPr>
          <w:b/>
        </w:rPr>
      </w:pPr>
      <w:r>
        <w:rPr>
          <w:b/>
        </w:rPr>
        <w:t>Supporting Statement A</w:t>
      </w:r>
    </w:p>
    <w:p w14:paraId="732763D8" w14:textId="77777777" w:rsidR="00A7575A" w:rsidRDefault="00A7575A" w:rsidP="00A7575A">
      <w:pPr>
        <w:tabs>
          <w:tab w:val="right" w:pos="8928"/>
        </w:tabs>
        <w:spacing w:line="360" w:lineRule="auto"/>
        <w:ind w:left="1320" w:hanging="1320"/>
      </w:pPr>
    </w:p>
    <w:p w14:paraId="7BD29624" w14:textId="25E739C6" w:rsidR="00A7575A" w:rsidRPr="00683D97" w:rsidRDefault="00AA2D9E" w:rsidP="00A7575A">
      <w:pPr>
        <w:tabs>
          <w:tab w:val="right" w:pos="8928"/>
        </w:tabs>
        <w:spacing w:line="360" w:lineRule="auto"/>
        <w:ind w:left="1320" w:hanging="1320"/>
      </w:pPr>
      <w:r w:rsidRPr="00683D97">
        <w:t xml:space="preserve">Appendix </w:t>
      </w:r>
      <w:r w:rsidR="00A7575A" w:rsidRPr="00683D97">
        <w:t>1-</w:t>
      </w:r>
      <w:r w:rsidR="00100E43" w:rsidRPr="00683D97">
        <w:t xml:space="preserve"> </w:t>
      </w:r>
      <w:r w:rsidR="00A7575A" w:rsidRPr="00683D97">
        <w:t>HCHS/SOL Publications</w:t>
      </w:r>
    </w:p>
    <w:p w14:paraId="0D5D9E8C" w14:textId="50309CE9" w:rsidR="006221DB" w:rsidRPr="00683D97" w:rsidRDefault="006221DB" w:rsidP="00A7575A">
      <w:pPr>
        <w:tabs>
          <w:tab w:val="right" w:pos="8928"/>
        </w:tabs>
        <w:spacing w:line="360" w:lineRule="auto"/>
        <w:ind w:left="1320" w:hanging="1320"/>
      </w:pPr>
      <w:r w:rsidRPr="00683D97">
        <w:tab/>
        <w:t>Appendix 1a Daviglus et al Prevalence of CVD risk Factors</w:t>
      </w:r>
    </w:p>
    <w:p w14:paraId="740069D0" w14:textId="371877D6" w:rsidR="006221DB" w:rsidRPr="00683D97" w:rsidRDefault="006221DB" w:rsidP="00A7575A">
      <w:pPr>
        <w:tabs>
          <w:tab w:val="right" w:pos="8928"/>
        </w:tabs>
        <w:spacing w:line="360" w:lineRule="auto"/>
        <w:ind w:left="1320" w:hanging="1320"/>
      </w:pPr>
      <w:r w:rsidRPr="00683D97">
        <w:tab/>
        <w:t>Appendix 1b LaVange et al Sampling Design SOL</w:t>
      </w:r>
    </w:p>
    <w:p w14:paraId="40BA15F3" w14:textId="03182943" w:rsidR="006221DB" w:rsidRDefault="006221DB" w:rsidP="00A7575A">
      <w:pPr>
        <w:tabs>
          <w:tab w:val="right" w:pos="8928"/>
        </w:tabs>
        <w:spacing w:line="360" w:lineRule="auto"/>
        <w:ind w:left="1320" w:hanging="1320"/>
        <w:rPr>
          <w:lang w:val="fr-CA"/>
        </w:rPr>
      </w:pPr>
      <w:r w:rsidRPr="00683D97">
        <w:tab/>
      </w:r>
      <w:r w:rsidRPr="006221DB">
        <w:rPr>
          <w:lang w:val="fr-CA"/>
        </w:rPr>
        <w:t>Appendix 1c Sorlie et al Design and Implementation SOL</w:t>
      </w:r>
    </w:p>
    <w:p w14:paraId="2379CE95" w14:textId="77777777" w:rsidR="00D348B7" w:rsidRPr="00265730" w:rsidRDefault="00D348B7" w:rsidP="00A7575A">
      <w:pPr>
        <w:tabs>
          <w:tab w:val="right" w:pos="8928"/>
        </w:tabs>
        <w:spacing w:line="360" w:lineRule="auto"/>
        <w:ind w:left="1320" w:hanging="1320"/>
        <w:rPr>
          <w:lang w:val="fr-CA"/>
        </w:rPr>
      </w:pPr>
    </w:p>
    <w:p w14:paraId="6B650D58" w14:textId="2A250C5F" w:rsidR="00A7575A" w:rsidRPr="00683D97" w:rsidRDefault="00AA2D9E" w:rsidP="00A7575A">
      <w:pPr>
        <w:tabs>
          <w:tab w:val="right" w:pos="1350"/>
        </w:tabs>
        <w:spacing w:line="360" w:lineRule="auto"/>
        <w:ind w:left="1320" w:hanging="1320"/>
      </w:pPr>
      <w:r w:rsidRPr="00683D97">
        <w:t xml:space="preserve">Appendix </w:t>
      </w:r>
      <w:r w:rsidR="00A7575A" w:rsidRPr="00683D97">
        <w:t xml:space="preserve">2 – </w:t>
      </w:r>
      <w:r w:rsidRPr="00683D97">
        <w:t>NHLBI Legislative Mandate</w:t>
      </w:r>
    </w:p>
    <w:p w14:paraId="5E5DA4CD" w14:textId="7B52FE2C" w:rsidR="00100E43" w:rsidRPr="00C036DC" w:rsidRDefault="00AA2D9E" w:rsidP="00100E43">
      <w:pPr>
        <w:tabs>
          <w:tab w:val="right" w:pos="1350"/>
        </w:tabs>
        <w:spacing w:line="360" w:lineRule="auto"/>
        <w:ind w:left="1320" w:hanging="1320"/>
      </w:pPr>
      <w:r>
        <w:t>Appendix</w:t>
      </w:r>
      <w:r w:rsidRPr="00C036DC">
        <w:t xml:space="preserve"> </w:t>
      </w:r>
      <w:r w:rsidR="00100E43">
        <w:t>3</w:t>
      </w:r>
      <w:r w:rsidR="00100E43" w:rsidRPr="00C036DC">
        <w:t xml:space="preserve"> – </w:t>
      </w:r>
      <w:r w:rsidRPr="00B513BE">
        <w:t xml:space="preserve">Comparison </w:t>
      </w:r>
      <w:r w:rsidR="00C42B70">
        <w:t xml:space="preserve">HCHS/SOL </w:t>
      </w:r>
      <w:r w:rsidRPr="00B513BE">
        <w:t>Visit 1 and Visit 2</w:t>
      </w:r>
    </w:p>
    <w:p w14:paraId="5D09C81A" w14:textId="1DA3D0BB" w:rsidR="002B3C57" w:rsidRPr="00C036DC" w:rsidRDefault="00AA2D9E" w:rsidP="002B3C57">
      <w:pPr>
        <w:tabs>
          <w:tab w:val="right" w:pos="1350"/>
        </w:tabs>
        <w:spacing w:line="360" w:lineRule="auto"/>
        <w:ind w:left="1320" w:hanging="1320"/>
      </w:pPr>
      <w:r>
        <w:t xml:space="preserve">Appendix </w:t>
      </w:r>
      <w:r w:rsidR="00D44F9C">
        <w:t>4</w:t>
      </w:r>
      <w:r w:rsidR="002B3C57" w:rsidRPr="00C036DC">
        <w:t>-</w:t>
      </w:r>
      <w:r w:rsidR="00100E43">
        <w:t xml:space="preserve"> </w:t>
      </w:r>
      <w:r>
        <w:t>Summary of 2003 Working Group Recommendation</w:t>
      </w:r>
      <w:r w:rsidR="00D939EA">
        <w:t>s</w:t>
      </w:r>
      <w:r>
        <w:t xml:space="preserve"> “Epidemiologic Research in Hispanic Populations” </w:t>
      </w:r>
    </w:p>
    <w:p w14:paraId="7BF82207" w14:textId="6C57FE1F" w:rsidR="00AA2D9E" w:rsidRDefault="00AA2D9E" w:rsidP="002B3C57">
      <w:pPr>
        <w:tabs>
          <w:tab w:val="right" w:pos="1350"/>
        </w:tabs>
        <w:spacing w:line="360" w:lineRule="auto"/>
        <w:ind w:left="1320" w:hanging="1320"/>
      </w:pPr>
      <w:r>
        <w:t xml:space="preserve">Appendix </w:t>
      </w:r>
      <w:r w:rsidR="00D44F9C">
        <w:t xml:space="preserve">5 </w:t>
      </w:r>
      <w:r>
        <w:t>– Summary of 2010 Working Group Recommendations “Future Research Opportunities in HCHS/SOL"</w:t>
      </w:r>
    </w:p>
    <w:p w14:paraId="7704378A" w14:textId="177CD32C" w:rsidR="000958C1" w:rsidRDefault="00AA2D9E" w:rsidP="002B3C57">
      <w:pPr>
        <w:tabs>
          <w:tab w:val="right" w:pos="1350"/>
        </w:tabs>
        <w:spacing w:line="360" w:lineRule="auto"/>
        <w:ind w:left="1320" w:hanging="1320"/>
      </w:pPr>
      <w:r>
        <w:t xml:space="preserve">Appendix </w:t>
      </w:r>
      <w:r w:rsidR="00D44F9C">
        <w:t>6</w:t>
      </w:r>
      <w:r w:rsidR="00D44F9C" w:rsidRPr="00C036DC">
        <w:t xml:space="preserve"> </w:t>
      </w:r>
      <w:r w:rsidR="000958C1" w:rsidRPr="00C036DC">
        <w:t xml:space="preserve">– </w:t>
      </w:r>
      <w:r>
        <w:t>NHLBI</w:t>
      </w:r>
      <w:r w:rsidR="00E60547">
        <w:t xml:space="preserve"> Advisory</w:t>
      </w:r>
      <w:r>
        <w:t xml:space="preserve"> </w:t>
      </w:r>
      <w:r w:rsidR="00E60547">
        <w:t>Council June 2011 Meeting Minutes</w:t>
      </w:r>
    </w:p>
    <w:p w14:paraId="7958E67B" w14:textId="2ABDF755" w:rsidR="00E60547" w:rsidRPr="00C036DC" w:rsidRDefault="00E60547" w:rsidP="002B3C57">
      <w:pPr>
        <w:tabs>
          <w:tab w:val="right" w:pos="1350"/>
        </w:tabs>
        <w:spacing w:line="360" w:lineRule="auto"/>
        <w:ind w:left="1320" w:hanging="1320"/>
      </w:pPr>
      <w:r>
        <w:t xml:space="preserve">Appendix </w:t>
      </w:r>
      <w:r w:rsidR="00D44F9C">
        <w:t xml:space="preserve">7 </w:t>
      </w:r>
      <w:r>
        <w:t>– NHLBI Advisory Council June 2011 Roster</w:t>
      </w:r>
    </w:p>
    <w:p w14:paraId="6DF37E1D" w14:textId="54E3EC6A" w:rsidR="002B3C57" w:rsidRPr="00C036DC" w:rsidRDefault="00AA2D9E" w:rsidP="002B3C57">
      <w:pPr>
        <w:tabs>
          <w:tab w:val="right" w:pos="8928"/>
        </w:tabs>
        <w:spacing w:line="360" w:lineRule="auto"/>
        <w:ind w:left="1320" w:hanging="1320"/>
      </w:pPr>
      <w:r>
        <w:t xml:space="preserve">Appendix </w:t>
      </w:r>
      <w:r w:rsidR="00D44F9C">
        <w:t xml:space="preserve">8 </w:t>
      </w:r>
      <w:r w:rsidR="002B3C57" w:rsidRPr="00C036DC">
        <w:t xml:space="preserve">-HCHS/SOL Observation Study Monitoring Board (OSMB) </w:t>
      </w:r>
      <w:r>
        <w:t xml:space="preserve">November 8, </w:t>
      </w:r>
      <w:r w:rsidR="002B3C57" w:rsidRPr="00C036DC">
        <w:t>2013 Meeting Minutes</w:t>
      </w:r>
      <w:r w:rsidR="00545972">
        <w:t xml:space="preserve"> and Roster</w:t>
      </w:r>
    </w:p>
    <w:p w14:paraId="5725E943" w14:textId="77777777" w:rsidR="00844922" w:rsidRDefault="00844922" w:rsidP="00844922">
      <w:pPr>
        <w:tabs>
          <w:tab w:val="right" w:pos="8928"/>
        </w:tabs>
        <w:spacing w:line="360" w:lineRule="auto"/>
        <w:ind w:left="1320" w:hanging="1320"/>
      </w:pPr>
      <w:r>
        <w:t>Appendix 9 – Articles on ethics of reimbursement or incentives to research participants</w:t>
      </w:r>
    </w:p>
    <w:p w14:paraId="7228C758" w14:textId="6282F506" w:rsidR="001D767D" w:rsidRDefault="001D767D" w:rsidP="00844922">
      <w:pPr>
        <w:tabs>
          <w:tab w:val="right" w:pos="8928"/>
        </w:tabs>
        <w:spacing w:line="360" w:lineRule="auto"/>
        <w:ind w:left="1320" w:hanging="1320"/>
      </w:pPr>
      <w:r>
        <w:tab/>
        <w:t xml:space="preserve"> </w:t>
      </w:r>
      <w:r w:rsidRPr="001D767D">
        <w:t>Appendix 9a - Grady Incentives</w:t>
      </w:r>
    </w:p>
    <w:p w14:paraId="54FEC118" w14:textId="54E75964" w:rsidR="001D767D" w:rsidRDefault="001D767D" w:rsidP="00844922">
      <w:pPr>
        <w:tabs>
          <w:tab w:val="right" w:pos="8928"/>
        </w:tabs>
        <w:spacing w:line="360" w:lineRule="auto"/>
        <w:ind w:left="1320" w:hanging="1320"/>
      </w:pPr>
      <w:r>
        <w:tab/>
      </w:r>
      <w:r w:rsidRPr="001D767D">
        <w:t>Appendix 9b - Grady payment</w:t>
      </w:r>
    </w:p>
    <w:p w14:paraId="49B87E94" w14:textId="0537FF37" w:rsidR="001774DB" w:rsidRDefault="001774DB" w:rsidP="00844922">
      <w:pPr>
        <w:tabs>
          <w:tab w:val="right" w:pos="8928"/>
        </w:tabs>
        <w:spacing w:line="360" w:lineRule="auto"/>
        <w:ind w:left="1320" w:hanging="1320"/>
      </w:pPr>
      <w:r>
        <w:t xml:space="preserve">                      </w:t>
      </w:r>
      <w:r w:rsidRPr="001774DB">
        <w:t>Appendix 9c - Kost Clinical Research Experience</w:t>
      </w:r>
    </w:p>
    <w:p w14:paraId="1F6731AE" w14:textId="77777777" w:rsidR="00D348B7" w:rsidRDefault="001D767D" w:rsidP="00D348B7">
      <w:pPr>
        <w:tabs>
          <w:tab w:val="right" w:pos="8928"/>
        </w:tabs>
        <w:spacing w:line="360" w:lineRule="auto"/>
        <w:ind w:left="1320" w:hanging="1320"/>
      </w:pPr>
      <w:r>
        <w:tab/>
      </w:r>
    </w:p>
    <w:p w14:paraId="313A1A65" w14:textId="54E9AC0A" w:rsidR="002B3C57" w:rsidRDefault="00AA2D9E" w:rsidP="00D348B7">
      <w:pPr>
        <w:tabs>
          <w:tab w:val="right" w:pos="8928"/>
        </w:tabs>
        <w:spacing w:line="360" w:lineRule="auto"/>
        <w:ind w:left="1320" w:hanging="1320"/>
      </w:pPr>
      <w:r>
        <w:t xml:space="preserve">Appendix </w:t>
      </w:r>
      <w:r w:rsidR="00844922">
        <w:t>10</w:t>
      </w:r>
      <w:r w:rsidR="00D44F9C">
        <w:t xml:space="preserve"> </w:t>
      </w:r>
      <w:r w:rsidR="002B3C57" w:rsidRPr="00C036DC">
        <w:t xml:space="preserve">-IRB </w:t>
      </w:r>
      <w:r>
        <w:t xml:space="preserve">and HIPPA </w:t>
      </w:r>
      <w:r w:rsidR="002B3C57" w:rsidRPr="00C036DC">
        <w:t>Approvals</w:t>
      </w:r>
    </w:p>
    <w:p w14:paraId="44E61642" w14:textId="78DB4D94" w:rsidR="00325A75" w:rsidRDefault="00325A75" w:rsidP="00D348B7">
      <w:pPr>
        <w:tabs>
          <w:tab w:val="right" w:pos="8928"/>
        </w:tabs>
        <w:spacing w:line="360" w:lineRule="auto"/>
        <w:ind w:left="1320" w:hanging="1320"/>
      </w:pPr>
      <w:r>
        <w:tab/>
      </w:r>
      <w:r w:rsidRPr="00325A75">
        <w:t>10a - Bronx HCHS English version</w:t>
      </w:r>
    </w:p>
    <w:p w14:paraId="103C0C39" w14:textId="78819E64" w:rsidR="00325A75" w:rsidRDefault="00325A75" w:rsidP="00D348B7">
      <w:pPr>
        <w:tabs>
          <w:tab w:val="right" w:pos="8928"/>
        </w:tabs>
        <w:spacing w:line="360" w:lineRule="auto"/>
        <w:ind w:left="1320" w:hanging="1320"/>
      </w:pPr>
      <w:r>
        <w:t xml:space="preserve">                     </w:t>
      </w:r>
      <w:r w:rsidRPr="00325A75">
        <w:t xml:space="preserve"> 10b - Bronx HCHS Spanish version</w:t>
      </w:r>
    </w:p>
    <w:p w14:paraId="1FA65BCA" w14:textId="28416E48" w:rsidR="00325A75" w:rsidRDefault="00325A75" w:rsidP="00D348B7">
      <w:pPr>
        <w:tabs>
          <w:tab w:val="right" w:pos="8928"/>
        </w:tabs>
        <w:spacing w:line="360" w:lineRule="auto"/>
        <w:ind w:left="1320" w:hanging="1320"/>
      </w:pPr>
      <w:r>
        <w:t xml:space="preserve">                      </w:t>
      </w:r>
      <w:r w:rsidRPr="00325A75">
        <w:t>10c Chicago HCHS Spanish version</w:t>
      </w:r>
    </w:p>
    <w:p w14:paraId="713079C6" w14:textId="27027FFB" w:rsidR="00325A75" w:rsidRDefault="00325A75" w:rsidP="00D348B7">
      <w:pPr>
        <w:tabs>
          <w:tab w:val="right" w:pos="8928"/>
        </w:tabs>
        <w:spacing w:line="360" w:lineRule="auto"/>
        <w:ind w:left="1320" w:hanging="1320"/>
      </w:pPr>
      <w:r>
        <w:t xml:space="preserve">                     </w:t>
      </w:r>
      <w:r w:rsidRPr="00325A75">
        <w:t xml:space="preserve"> 10d Chicago HCHS English version</w:t>
      </w:r>
    </w:p>
    <w:p w14:paraId="0E2962A5" w14:textId="16056A68" w:rsidR="00F43204" w:rsidRDefault="00F43204" w:rsidP="00D348B7">
      <w:pPr>
        <w:tabs>
          <w:tab w:val="right" w:pos="8928"/>
        </w:tabs>
        <w:spacing w:line="360" w:lineRule="auto"/>
        <w:ind w:left="1320" w:hanging="1320"/>
      </w:pPr>
      <w:r>
        <w:t xml:space="preserve">                      </w:t>
      </w:r>
      <w:r w:rsidRPr="00F43204">
        <w:t>10e Miami HCHS English version</w:t>
      </w:r>
    </w:p>
    <w:p w14:paraId="68CFD8F7" w14:textId="7AB7AEC5" w:rsidR="00F43204" w:rsidRDefault="00F43204" w:rsidP="00D348B7">
      <w:pPr>
        <w:tabs>
          <w:tab w:val="right" w:pos="8928"/>
        </w:tabs>
        <w:spacing w:line="360" w:lineRule="auto"/>
        <w:ind w:left="1320" w:hanging="1320"/>
      </w:pPr>
      <w:r>
        <w:t xml:space="preserve">                      </w:t>
      </w:r>
      <w:r w:rsidRPr="00F43204">
        <w:t>10f Miami HCHS Spanish version</w:t>
      </w:r>
    </w:p>
    <w:p w14:paraId="08C37CFC" w14:textId="47562065" w:rsidR="00F43204" w:rsidRDefault="003220A7" w:rsidP="003220A7">
      <w:pPr>
        <w:tabs>
          <w:tab w:val="right" w:pos="8928"/>
        </w:tabs>
        <w:spacing w:line="360" w:lineRule="auto"/>
      </w:pPr>
      <w:r>
        <w:t xml:space="preserve">                      </w:t>
      </w:r>
      <w:r w:rsidRPr="003220A7">
        <w:t>10g San Diego Spanish version</w:t>
      </w:r>
    </w:p>
    <w:p w14:paraId="4E258B12" w14:textId="5022FB6E" w:rsidR="003220A7" w:rsidRPr="00C036DC" w:rsidRDefault="004579F7" w:rsidP="003220A7">
      <w:pPr>
        <w:tabs>
          <w:tab w:val="right" w:pos="8928"/>
        </w:tabs>
        <w:spacing w:line="360" w:lineRule="auto"/>
      </w:pPr>
      <w:r>
        <w:t xml:space="preserve">                      10h San Diego English version</w:t>
      </w:r>
    </w:p>
    <w:p w14:paraId="591869AA" w14:textId="462F01D8" w:rsidR="00100E43" w:rsidRDefault="00AA2D9E" w:rsidP="00100E43">
      <w:pPr>
        <w:tabs>
          <w:tab w:val="right" w:pos="8928"/>
        </w:tabs>
        <w:spacing w:line="360" w:lineRule="auto"/>
        <w:ind w:left="1320" w:hanging="1320"/>
      </w:pPr>
      <w:r>
        <w:lastRenderedPageBreak/>
        <w:t xml:space="preserve">Appendix </w:t>
      </w:r>
      <w:r w:rsidR="00844922">
        <w:t>11</w:t>
      </w:r>
      <w:r w:rsidR="00D44F9C">
        <w:t xml:space="preserve"> </w:t>
      </w:r>
      <w:r>
        <w:t>- Consent Form</w:t>
      </w:r>
      <w:r w:rsidR="00100E43">
        <w:t xml:space="preserve"> </w:t>
      </w:r>
      <w:r w:rsidR="00165E34">
        <w:t>in English and Spanish</w:t>
      </w:r>
    </w:p>
    <w:p w14:paraId="4F64049A" w14:textId="7BD2F646" w:rsidR="00593AC8" w:rsidRDefault="00AA2D9E" w:rsidP="002B3C57">
      <w:pPr>
        <w:tabs>
          <w:tab w:val="right" w:pos="8928"/>
        </w:tabs>
        <w:spacing w:line="360" w:lineRule="auto"/>
        <w:ind w:left="1320" w:hanging="1320"/>
      </w:pPr>
      <w:r>
        <w:t xml:space="preserve">Appendix </w:t>
      </w:r>
      <w:r w:rsidR="00147208">
        <w:t xml:space="preserve">12 </w:t>
      </w:r>
      <w:r w:rsidR="00724C3C">
        <w:t>–</w:t>
      </w:r>
      <w:r w:rsidR="00AF0122">
        <w:t xml:space="preserve"> </w:t>
      </w:r>
      <w:r w:rsidR="00392BB1">
        <w:t>Privacy Act System Notice</w:t>
      </w:r>
    </w:p>
    <w:p w14:paraId="093A1A7C" w14:textId="2E00E790" w:rsidR="002B3C57" w:rsidRPr="00B33D20" w:rsidRDefault="00D44F9C" w:rsidP="002B3C57">
      <w:pPr>
        <w:tabs>
          <w:tab w:val="right" w:pos="8928"/>
        </w:tabs>
        <w:spacing w:line="360" w:lineRule="auto"/>
        <w:ind w:left="1320" w:hanging="1320"/>
      </w:pPr>
      <w:r>
        <w:t>Appendix</w:t>
      </w:r>
      <w:r w:rsidR="000E2434">
        <w:t xml:space="preserve"> </w:t>
      </w:r>
      <w:r w:rsidR="00147208">
        <w:t>13</w:t>
      </w:r>
      <w:r w:rsidR="000E2434">
        <w:t xml:space="preserve"> </w:t>
      </w:r>
      <w:r w:rsidR="002B3C57">
        <w:t>-</w:t>
      </w:r>
      <w:r w:rsidR="00593AC8">
        <w:t xml:space="preserve"> </w:t>
      </w:r>
      <w:r w:rsidR="00F97C1D">
        <w:t xml:space="preserve">UNC Collaborative Studies </w:t>
      </w:r>
      <w:r w:rsidR="002B3C57" w:rsidRPr="00BC4E3F">
        <w:t>Coordinating Center Privacy Policy</w:t>
      </w:r>
    </w:p>
    <w:p w14:paraId="2420F6CD" w14:textId="21BF2072" w:rsidR="002B3C57" w:rsidRDefault="00392BB1" w:rsidP="002B3C57">
      <w:pPr>
        <w:tabs>
          <w:tab w:val="right" w:pos="8928"/>
        </w:tabs>
        <w:spacing w:line="360" w:lineRule="auto"/>
        <w:ind w:left="1320" w:hanging="1320"/>
      </w:pPr>
      <w:r w:rsidRPr="00AD2CC1">
        <w:t xml:space="preserve">Appendix </w:t>
      </w:r>
      <w:r w:rsidR="00147208">
        <w:t>14</w:t>
      </w:r>
      <w:r w:rsidR="000E2434">
        <w:t xml:space="preserve"> </w:t>
      </w:r>
      <w:r w:rsidR="002B3C57" w:rsidRPr="00AD2CC1">
        <w:t xml:space="preserve">- Visit 2 Forms </w:t>
      </w:r>
      <w:r w:rsidR="00100E43" w:rsidRPr="00AD2CC1">
        <w:t>(Interviews and Procedures)</w:t>
      </w:r>
    </w:p>
    <w:p w14:paraId="1FA8E4C6" w14:textId="696EFDF5" w:rsidR="002B3C57" w:rsidRDefault="00392BB1" w:rsidP="002B3C57">
      <w:pPr>
        <w:tabs>
          <w:tab w:val="right" w:pos="8928"/>
        </w:tabs>
        <w:spacing w:line="360" w:lineRule="auto"/>
        <w:ind w:left="1320" w:hanging="1320"/>
      </w:pPr>
      <w:r>
        <w:t>Appendix</w:t>
      </w:r>
      <w:r w:rsidRPr="00E96D76">
        <w:t xml:space="preserve"> </w:t>
      </w:r>
      <w:r w:rsidR="00147208">
        <w:t>15</w:t>
      </w:r>
      <w:r w:rsidR="000E2434">
        <w:t xml:space="preserve"> </w:t>
      </w:r>
      <w:r w:rsidR="002B3C57">
        <w:t xml:space="preserve">- </w:t>
      </w:r>
      <w:r w:rsidR="002B3C57" w:rsidRPr="00423F0E">
        <w:t xml:space="preserve">Annual Follow-up </w:t>
      </w:r>
      <w:r w:rsidR="000958C1">
        <w:t>(AFU 6-1</w:t>
      </w:r>
      <w:r w:rsidR="00593AC8">
        <w:t>0</w:t>
      </w:r>
      <w:r w:rsidR="000958C1">
        <w:t xml:space="preserve">) </w:t>
      </w:r>
      <w:r w:rsidR="002B3C57" w:rsidRPr="00423F0E">
        <w:t>Form</w:t>
      </w:r>
      <w:r w:rsidR="000958C1">
        <w:t>s</w:t>
      </w:r>
    </w:p>
    <w:p w14:paraId="4850A5B4" w14:textId="01C91958" w:rsidR="005115D5" w:rsidRDefault="005115D5" w:rsidP="002B3C57">
      <w:pPr>
        <w:tabs>
          <w:tab w:val="right" w:pos="8928"/>
        </w:tabs>
        <w:spacing w:line="360" w:lineRule="auto"/>
        <w:ind w:left="1320" w:hanging="1320"/>
      </w:pPr>
      <w:r>
        <w:t xml:space="preserve">Appendix </w:t>
      </w:r>
      <w:r w:rsidR="00147208">
        <w:t>16</w:t>
      </w:r>
      <w:r w:rsidR="000E2434">
        <w:t xml:space="preserve">- </w:t>
      </w:r>
      <w:r>
        <w:t>Endpoint Informant Forms</w:t>
      </w:r>
    </w:p>
    <w:p w14:paraId="46402DF0" w14:textId="0DFEF66E" w:rsidR="002B3C57" w:rsidRDefault="005115D5" w:rsidP="002B3C57">
      <w:pPr>
        <w:tabs>
          <w:tab w:val="right" w:pos="8928"/>
        </w:tabs>
        <w:spacing w:line="360" w:lineRule="auto"/>
        <w:ind w:left="1320" w:hanging="1320"/>
      </w:pPr>
      <w:r>
        <w:t>Appendix</w:t>
      </w:r>
      <w:r w:rsidR="000E2434">
        <w:t xml:space="preserve"> </w:t>
      </w:r>
      <w:r w:rsidR="00147208">
        <w:t>17</w:t>
      </w:r>
      <w:r w:rsidR="00D44F9C">
        <w:t xml:space="preserve"> </w:t>
      </w:r>
      <w:r>
        <w:t>– HCHS/SOL Budget</w:t>
      </w:r>
    </w:p>
    <w:p w14:paraId="4CBAF2A5" w14:textId="4CB0B3E9" w:rsidR="006169D1" w:rsidRDefault="006169D1" w:rsidP="00847842">
      <w:pPr>
        <w:tabs>
          <w:tab w:val="right" w:pos="8928"/>
        </w:tabs>
        <w:spacing w:line="360" w:lineRule="auto"/>
        <w:ind w:left="1320" w:hanging="1320"/>
      </w:pPr>
      <w:r>
        <w:t xml:space="preserve">Appendix </w:t>
      </w:r>
      <w:r w:rsidR="00147208">
        <w:t>18</w:t>
      </w:r>
      <w:r w:rsidR="000E2434">
        <w:t xml:space="preserve"> </w:t>
      </w:r>
      <w:r>
        <w:t>– Samples of printed materials for study participants and communities</w:t>
      </w:r>
    </w:p>
    <w:p w14:paraId="640FBB28" w14:textId="77777777" w:rsidR="00847842" w:rsidRDefault="00847842">
      <w:pPr>
        <w:widowControl/>
        <w:rPr>
          <w:b/>
        </w:rPr>
      </w:pPr>
    </w:p>
    <w:p w14:paraId="7ADEA81D" w14:textId="77777777" w:rsidR="00874984" w:rsidRPr="00874984" w:rsidRDefault="00874984">
      <w:pPr>
        <w:widowControl/>
        <w:rPr>
          <w:b/>
        </w:rPr>
      </w:pPr>
      <w:r w:rsidRPr="00874984">
        <w:rPr>
          <w:b/>
        </w:rPr>
        <w:t>Supporting Statement B</w:t>
      </w:r>
    </w:p>
    <w:p w14:paraId="350713ED" w14:textId="77777777" w:rsidR="00874984" w:rsidRPr="00874984" w:rsidRDefault="00874984">
      <w:pPr>
        <w:widowControl/>
      </w:pPr>
    </w:p>
    <w:p w14:paraId="72DD68B9" w14:textId="504524CA" w:rsidR="00701B8A" w:rsidRPr="00874984" w:rsidRDefault="00701B8A" w:rsidP="00701B8A">
      <w:pPr>
        <w:widowControl/>
      </w:pPr>
      <w:r w:rsidRPr="00874984">
        <w:t>Appendix 1</w:t>
      </w:r>
      <w:r w:rsidR="00847842">
        <w:t>9</w:t>
      </w:r>
      <w:r w:rsidRPr="00874984">
        <w:t>– Example of QxQ</w:t>
      </w:r>
    </w:p>
    <w:p w14:paraId="6B0E717E" w14:textId="77777777" w:rsidR="00874984" w:rsidRPr="00874984" w:rsidRDefault="00874984">
      <w:pPr>
        <w:widowControl/>
      </w:pPr>
    </w:p>
    <w:p w14:paraId="35AC18B1" w14:textId="2E00CEEA" w:rsidR="00874984" w:rsidRPr="00874984" w:rsidRDefault="00847842">
      <w:pPr>
        <w:widowControl/>
      </w:pPr>
      <w:r>
        <w:t xml:space="preserve">Appendix 20 </w:t>
      </w:r>
      <w:r w:rsidR="00874984" w:rsidRPr="00874984">
        <w:t>- Sources of Questionnaires and Protocols</w:t>
      </w:r>
    </w:p>
    <w:p w14:paraId="08666AAC" w14:textId="77777777" w:rsidR="002B3C57" w:rsidRDefault="002B3C57">
      <w:pPr>
        <w:widowControl/>
        <w:rPr>
          <w:b/>
        </w:rPr>
      </w:pPr>
    </w:p>
    <w:p w14:paraId="155EB4D5" w14:textId="77777777" w:rsidR="005B6CBE" w:rsidRDefault="005B6CBE">
      <w:pPr>
        <w:widowControl/>
        <w:rPr>
          <w:b/>
        </w:rPr>
      </w:pPr>
      <w:r>
        <w:rPr>
          <w:b/>
        </w:rPr>
        <w:br w:type="page"/>
      </w:r>
    </w:p>
    <w:p w14:paraId="5C16FE6F" w14:textId="7765BF09" w:rsidR="002B3C57" w:rsidRDefault="002B3C57">
      <w:pPr>
        <w:widowControl/>
        <w:rPr>
          <w:b/>
        </w:rPr>
      </w:pPr>
      <w:r>
        <w:rPr>
          <w:b/>
        </w:rPr>
        <w:lastRenderedPageBreak/>
        <w:t>List of Tables</w:t>
      </w:r>
    </w:p>
    <w:p w14:paraId="3E1A5369" w14:textId="77777777" w:rsidR="00100E43" w:rsidRDefault="00100E43">
      <w:pPr>
        <w:widowControl/>
        <w:rPr>
          <w:b/>
        </w:rPr>
      </w:pPr>
    </w:p>
    <w:p w14:paraId="3DFD105D" w14:textId="651519FD" w:rsidR="00100E43" w:rsidRPr="00D661BE" w:rsidRDefault="00D661BE">
      <w:pPr>
        <w:widowControl/>
        <w:rPr>
          <w:smallCaps/>
          <w:szCs w:val="24"/>
        </w:rPr>
      </w:pPr>
      <w:r w:rsidRPr="00D661BE">
        <w:rPr>
          <w:smallCaps/>
          <w:szCs w:val="24"/>
        </w:rPr>
        <w:t>Table A.12.1 Estimates of Hour Burden</w:t>
      </w:r>
    </w:p>
    <w:p w14:paraId="22A770C2" w14:textId="77777777" w:rsidR="00D661BE" w:rsidRPr="00D661BE" w:rsidRDefault="00D661BE">
      <w:pPr>
        <w:widowControl/>
        <w:rPr>
          <w:szCs w:val="24"/>
        </w:rPr>
      </w:pPr>
    </w:p>
    <w:p w14:paraId="469B1565" w14:textId="5C1F733E" w:rsidR="00D661BE" w:rsidRPr="00D661BE" w:rsidRDefault="00D661BE" w:rsidP="00D66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mallCaps/>
          <w:szCs w:val="24"/>
        </w:rPr>
      </w:pPr>
      <w:r w:rsidRPr="00D661BE">
        <w:rPr>
          <w:smallCaps/>
          <w:szCs w:val="24"/>
        </w:rPr>
        <w:t xml:space="preserve">Table A.12.2 Estimates of Administration Time Burden for Examination and Questionnaires </w:t>
      </w:r>
    </w:p>
    <w:p w14:paraId="504E44FE" w14:textId="77777777" w:rsidR="00B338AC" w:rsidRPr="00D661BE" w:rsidRDefault="00B338AC" w:rsidP="00B338AC">
      <w:pPr>
        <w:widowControl/>
        <w:rPr>
          <w:szCs w:val="24"/>
        </w:rPr>
      </w:pPr>
    </w:p>
    <w:p w14:paraId="117CF30E" w14:textId="2D6C6417" w:rsidR="00100E43" w:rsidRPr="00D661BE" w:rsidRDefault="00D661BE">
      <w:pPr>
        <w:widowControl/>
        <w:rPr>
          <w:smallCaps/>
          <w:szCs w:val="24"/>
        </w:rPr>
      </w:pPr>
      <w:r w:rsidRPr="00D661BE">
        <w:rPr>
          <w:smallCaps/>
          <w:szCs w:val="24"/>
        </w:rPr>
        <w:t>Table</w:t>
      </w:r>
      <w:r w:rsidRPr="00D661BE">
        <w:rPr>
          <w:b/>
          <w:szCs w:val="24"/>
        </w:rPr>
        <w:t xml:space="preserve"> </w:t>
      </w:r>
      <w:r w:rsidRPr="00D661BE">
        <w:rPr>
          <w:smallCaps/>
          <w:szCs w:val="24"/>
        </w:rPr>
        <w:t>A.13.1 Annualized cost to Respondents</w:t>
      </w:r>
    </w:p>
    <w:p w14:paraId="693607ED" w14:textId="77777777" w:rsidR="00D661BE" w:rsidRPr="00D661BE" w:rsidRDefault="00D661BE">
      <w:pPr>
        <w:widowControl/>
        <w:rPr>
          <w:szCs w:val="24"/>
        </w:rPr>
      </w:pPr>
    </w:p>
    <w:p w14:paraId="2B88AF51" w14:textId="1787306A" w:rsidR="00100E43" w:rsidRPr="00D661BE" w:rsidRDefault="00D661BE">
      <w:pPr>
        <w:widowControl/>
        <w:rPr>
          <w:smallCaps/>
          <w:szCs w:val="24"/>
        </w:rPr>
      </w:pPr>
      <w:r w:rsidRPr="00D661BE">
        <w:rPr>
          <w:smallCaps/>
          <w:szCs w:val="24"/>
        </w:rPr>
        <w:t>Table A.14.1 Average Annualized Cost to the Federal Government</w:t>
      </w:r>
    </w:p>
    <w:p w14:paraId="182B1DD5" w14:textId="77777777" w:rsidR="00D661BE" w:rsidRDefault="00D661BE">
      <w:pPr>
        <w:widowControl/>
        <w:rPr>
          <w:smallCaps/>
          <w:szCs w:val="24"/>
        </w:rPr>
      </w:pPr>
    </w:p>
    <w:p w14:paraId="19044A95" w14:textId="77777777" w:rsidR="00D661BE" w:rsidRPr="00016BDA" w:rsidRDefault="00D661BE" w:rsidP="00D661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mallCaps/>
          <w:color w:val="000000"/>
          <w:szCs w:val="24"/>
        </w:rPr>
      </w:pPr>
      <w:r w:rsidRPr="00016BDA">
        <w:rPr>
          <w:smallCaps/>
          <w:color w:val="000000"/>
          <w:szCs w:val="24"/>
        </w:rPr>
        <w:t>Table A.16</w:t>
      </w:r>
      <w:r>
        <w:rPr>
          <w:smallCaps/>
          <w:color w:val="000000"/>
          <w:szCs w:val="24"/>
        </w:rPr>
        <w:t>.</w:t>
      </w:r>
      <w:r w:rsidRPr="00016BDA">
        <w:rPr>
          <w:smallCaps/>
          <w:color w:val="000000"/>
          <w:szCs w:val="24"/>
        </w:rPr>
        <w:t>1 HCHS/SOL Time Schedule</w:t>
      </w:r>
    </w:p>
    <w:p w14:paraId="4C319BCD" w14:textId="77777777" w:rsidR="00D661BE" w:rsidRPr="00D661BE" w:rsidRDefault="00D661BE">
      <w:pPr>
        <w:widowControl/>
        <w:rPr>
          <w:smallCaps/>
          <w:szCs w:val="24"/>
        </w:rPr>
      </w:pPr>
    </w:p>
    <w:p w14:paraId="675B1EF5" w14:textId="77777777" w:rsidR="00D661BE" w:rsidRPr="008F6A07" w:rsidRDefault="00D661BE">
      <w:pPr>
        <w:widowControl/>
      </w:pPr>
    </w:p>
    <w:p w14:paraId="4626B9AF" w14:textId="77777777" w:rsidR="00913EDD" w:rsidRDefault="00913EDD">
      <w:pPr>
        <w:widowControl/>
      </w:pPr>
    </w:p>
    <w:p w14:paraId="66CF65C6" w14:textId="77777777" w:rsidR="0090505F" w:rsidRDefault="0090505F">
      <w:pPr>
        <w:widowControl/>
        <w:rPr>
          <w:b/>
        </w:rPr>
      </w:pPr>
      <w:r>
        <w:rPr>
          <w:b/>
        </w:rPr>
        <w:br w:type="page"/>
      </w:r>
    </w:p>
    <w:p w14:paraId="6288C394" w14:textId="77777777" w:rsidR="004450C3" w:rsidRDefault="004450C3" w:rsidP="0007028F">
      <w:pPr>
        <w:spacing w:line="480" w:lineRule="auto"/>
        <w:jc w:val="center"/>
        <w:rPr>
          <w:b/>
        </w:rPr>
        <w:sectPr w:rsidR="004450C3" w:rsidSect="004450C3">
          <w:headerReference w:type="default" r:id="rId9"/>
          <w:footerReference w:type="even" r:id="rId10"/>
          <w:footerReference w:type="default" r:id="rId11"/>
          <w:endnotePr>
            <w:numFmt w:val="decimal"/>
          </w:endnotePr>
          <w:pgSz w:w="12240" w:h="15840"/>
          <w:pgMar w:top="720" w:right="1440" w:bottom="720" w:left="1440" w:header="720" w:footer="720" w:gutter="0"/>
          <w:pgNumType w:fmt="lowerRoman"/>
          <w:cols w:space="720"/>
          <w:noEndnote/>
          <w:docGrid w:linePitch="326"/>
        </w:sectPr>
      </w:pPr>
    </w:p>
    <w:p w14:paraId="63E8B9F3" w14:textId="46666DA2" w:rsidR="00E064C1" w:rsidRDefault="00AE1A37" w:rsidP="0007028F">
      <w:pPr>
        <w:spacing w:line="480" w:lineRule="auto"/>
        <w:jc w:val="center"/>
      </w:pPr>
      <w:r>
        <w:rPr>
          <w:b/>
        </w:rPr>
        <w:lastRenderedPageBreak/>
        <w:t>S</w:t>
      </w:r>
      <w:r w:rsidR="001E7A06">
        <w:rPr>
          <w:b/>
        </w:rPr>
        <w:t xml:space="preserve">ummary of the </w:t>
      </w:r>
      <w:r w:rsidR="003838D7" w:rsidRPr="003838D7">
        <w:rPr>
          <w:b/>
        </w:rPr>
        <w:t>Hispanic Community Health Study (HCHS)/Study of Latinos (SOL)</w:t>
      </w:r>
    </w:p>
    <w:p w14:paraId="72327AD6" w14:textId="59E66928" w:rsidR="00350290" w:rsidRPr="00265730" w:rsidRDefault="00E064C1" w:rsidP="008F6A07">
      <w:pPr>
        <w:spacing w:line="276" w:lineRule="auto"/>
        <w:ind w:firstLine="720"/>
        <w:rPr>
          <w:szCs w:val="24"/>
          <w:highlight w:val="yellow"/>
        </w:rPr>
      </w:pPr>
      <w:r w:rsidRPr="00265730">
        <w:rPr>
          <w:highlight w:val="yellow"/>
        </w:rPr>
        <w:t>T</w:t>
      </w:r>
      <w:bookmarkStart w:id="3" w:name="OLE_LINK1"/>
      <w:bookmarkStart w:id="4" w:name="OLE_LINK2"/>
      <w:r w:rsidR="006B4C46" w:rsidRPr="00265730">
        <w:rPr>
          <w:highlight w:val="yellow"/>
        </w:rPr>
        <w:t>h</w:t>
      </w:r>
      <w:r w:rsidR="00591745" w:rsidRPr="00265730">
        <w:rPr>
          <w:highlight w:val="yellow"/>
        </w:rPr>
        <w:t xml:space="preserve">e </w:t>
      </w:r>
      <w:r w:rsidR="00591745" w:rsidRPr="00265730">
        <w:rPr>
          <w:szCs w:val="24"/>
          <w:highlight w:val="yellow"/>
        </w:rPr>
        <w:t>H</w:t>
      </w:r>
      <w:r w:rsidRPr="00265730">
        <w:rPr>
          <w:szCs w:val="24"/>
          <w:highlight w:val="yellow"/>
        </w:rPr>
        <w:t>ispanic Community Health Study</w:t>
      </w:r>
      <w:r w:rsidR="004736A4" w:rsidRPr="00265730">
        <w:rPr>
          <w:szCs w:val="24"/>
          <w:highlight w:val="yellow"/>
        </w:rPr>
        <w:t>/</w:t>
      </w:r>
      <w:r w:rsidRPr="00265730">
        <w:rPr>
          <w:szCs w:val="24"/>
          <w:highlight w:val="yellow"/>
        </w:rPr>
        <w:t xml:space="preserve"> Study of Latinos (</w:t>
      </w:r>
      <w:r w:rsidR="004736A4" w:rsidRPr="00265730">
        <w:rPr>
          <w:szCs w:val="24"/>
          <w:highlight w:val="yellow"/>
        </w:rPr>
        <w:t>HCHS/</w:t>
      </w:r>
      <w:r w:rsidRPr="00265730">
        <w:rPr>
          <w:szCs w:val="24"/>
          <w:highlight w:val="yellow"/>
        </w:rPr>
        <w:t>S</w:t>
      </w:r>
      <w:bookmarkEnd w:id="3"/>
      <w:bookmarkEnd w:id="4"/>
      <w:r w:rsidR="004736A4" w:rsidRPr="00265730">
        <w:rPr>
          <w:szCs w:val="24"/>
          <w:highlight w:val="yellow"/>
        </w:rPr>
        <w:t xml:space="preserve">OL) </w:t>
      </w:r>
      <w:r w:rsidR="00461378" w:rsidRPr="00265730">
        <w:rPr>
          <w:szCs w:val="24"/>
          <w:highlight w:val="yellow"/>
        </w:rPr>
        <w:t>was initiated in 2006</w:t>
      </w:r>
      <w:r w:rsidR="004D70EE" w:rsidRPr="00265730">
        <w:rPr>
          <w:szCs w:val="24"/>
          <w:highlight w:val="yellow"/>
        </w:rPr>
        <w:t xml:space="preserve"> to</w:t>
      </w:r>
      <w:r w:rsidR="00FD131B" w:rsidRPr="00265730">
        <w:rPr>
          <w:szCs w:val="24"/>
          <w:highlight w:val="yellow"/>
        </w:rPr>
        <w:t xml:space="preserve">: (1) </w:t>
      </w:r>
      <w:r w:rsidR="004D70EE" w:rsidRPr="00265730">
        <w:rPr>
          <w:szCs w:val="24"/>
          <w:highlight w:val="yellow"/>
        </w:rPr>
        <w:t>study</w:t>
      </w:r>
      <w:r w:rsidR="00B64189" w:rsidRPr="00265730">
        <w:rPr>
          <w:szCs w:val="24"/>
          <w:highlight w:val="yellow"/>
        </w:rPr>
        <w:t xml:space="preserve"> </w:t>
      </w:r>
      <w:r w:rsidRPr="00265730">
        <w:rPr>
          <w:szCs w:val="24"/>
          <w:highlight w:val="yellow"/>
        </w:rPr>
        <w:t xml:space="preserve">the prevalence </w:t>
      </w:r>
      <w:r w:rsidR="00F14FEF" w:rsidRPr="00265730">
        <w:rPr>
          <w:szCs w:val="24"/>
          <w:highlight w:val="yellow"/>
        </w:rPr>
        <w:t xml:space="preserve">of </w:t>
      </w:r>
      <w:r w:rsidR="004D70EE" w:rsidRPr="00265730">
        <w:rPr>
          <w:szCs w:val="24"/>
          <w:highlight w:val="yellow"/>
        </w:rPr>
        <w:t>cardiovascular and pulmonary disease and other chronic diseases, and their risk and protective factors</w:t>
      </w:r>
      <w:r w:rsidR="00A54039" w:rsidRPr="00265730">
        <w:rPr>
          <w:szCs w:val="24"/>
          <w:highlight w:val="yellow"/>
        </w:rPr>
        <w:t>,</w:t>
      </w:r>
      <w:r w:rsidR="00F14FEF" w:rsidRPr="00265730">
        <w:rPr>
          <w:szCs w:val="24"/>
          <w:highlight w:val="yellow"/>
        </w:rPr>
        <w:t xml:space="preserve"> </w:t>
      </w:r>
      <w:r w:rsidR="003668FA" w:rsidRPr="00265730">
        <w:rPr>
          <w:szCs w:val="24"/>
          <w:highlight w:val="yellow"/>
        </w:rPr>
        <w:t xml:space="preserve"> </w:t>
      </w:r>
      <w:r w:rsidR="00FD131B" w:rsidRPr="00265730">
        <w:rPr>
          <w:szCs w:val="24"/>
          <w:highlight w:val="yellow"/>
        </w:rPr>
        <w:t xml:space="preserve">(2) </w:t>
      </w:r>
      <w:r w:rsidR="00F14FEF" w:rsidRPr="00265730">
        <w:rPr>
          <w:szCs w:val="24"/>
          <w:highlight w:val="yellow"/>
        </w:rPr>
        <w:t xml:space="preserve">understand </w:t>
      </w:r>
      <w:r w:rsidRPr="00265730">
        <w:rPr>
          <w:szCs w:val="24"/>
          <w:highlight w:val="yellow"/>
        </w:rPr>
        <w:t xml:space="preserve">their relationship to </w:t>
      </w:r>
      <w:r w:rsidR="00582058" w:rsidRPr="00265730">
        <w:rPr>
          <w:szCs w:val="24"/>
          <w:highlight w:val="yellow"/>
        </w:rPr>
        <w:t xml:space="preserve">all-cause, </w:t>
      </w:r>
      <w:r w:rsidRPr="00265730">
        <w:rPr>
          <w:szCs w:val="24"/>
          <w:highlight w:val="yellow"/>
        </w:rPr>
        <w:t xml:space="preserve">cardiovascular </w:t>
      </w:r>
      <w:r w:rsidR="00582058" w:rsidRPr="00265730">
        <w:rPr>
          <w:szCs w:val="24"/>
          <w:highlight w:val="yellow"/>
        </w:rPr>
        <w:t xml:space="preserve">and pulmonary </w:t>
      </w:r>
      <w:r w:rsidRPr="00265730">
        <w:rPr>
          <w:szCs w:val="24"/>
          <w:highlight w:val="yellow"/>
        </w:rPr>
        <w:t xml:space="preserve">morbidity and mortality, </w:t>
      </w:r>
      <w:r w:rsidR="00FD131B" w:rsidRPr="00265730">
        <w:rPr>
          <w:szCs w:val="24"/>
          <w:highlight w:val="yellow"/>
        </w:rPr>
        <w:t xml:space="preserve">and (3) understand the role of sociocultural factors (including acculturation) on the prevalence or onset of disease </w:t>
      </w:r>
      <w:r w:rsidR="00F14FEF" w:rsidRPr="00265730">
        <w:rPr>
          <w:szCs w:val="24"/>
          <w:highlight w:val="yellow"/>
        </w:rPr>
        <w:t>among over 16,</w:t>
      </w:r>
      <w:r w:rsidR="00906A06" w:rsidRPr="00265730">
        <w:rPr>
          <w:szCs w:val="24"/>
          <w:highlight w:val="yellow"/>
        </w:rPr>
        <w:t xml:space="preserve">400 </w:t>
      </w:r>
      <w:r w:rsidR="00F14FEF" w:rsidRPr="00265730">
        <w:rPr>
          <w:szCs w:val="24"/>
          <w:highlight w:val="yellow"/>
        </w:rPr>
        <w:t>Hispanics/Latinos</w:t>
      </w:r>
      <w:r w:rsidR="00A54039" w:rsidRPr="00265730">
        <w:rPr>
          <w:szCs w:val="24"/>
          <w:highlight w:val="yellow"/>
        </w:rPr>
        <w:t xml:space="preserve"> of diverse origins</w:t>
      </w:r>
      <w:r w:rsidR="00017752" w:rsidRPr="00265730">
        <w:rPr>
          <w:szCs w:val="24"/>
          <w:highlight w:val="yellow"/>
        </w:rPr>
        <w:t xml:space="preserve">, aged 18-74 years at </w:t>
      </w:r>
      <w:r w:rsidR="00281369" w:rsidRPr="00265730">
        <w:rPr>
          <w:szCs w:val="24"/>
          <w:highlight w:val="yellow"/>
        </w:rPr>
        <w:t>enrollment</w:t>
      </w:r>
      <w:r w:rsidR="00017752" w:rsidRPr="00265730">
        <w:rPr>
          <w:szCs w:val="24"/>
          <w:highlight w:val="yellow"/>
        </w:rPr>
        <w:t>,</w:t>
      </w:r>
      <w:r w:rsidR="00F14FEF" w:rsidRPr="00265730">
        <w:rPr>
          <w:szCs w:val="24"/>
          <w:highlight w:val="yellow"/>
        </w:rPr>
        <w:t xml:space="preserve"> living in four U.S. communities: San Diego, California; Chicago, Illinois; Miami, Florida, and the Bronx, New York. </w:t>
      </w:r>
      <w:r w:rsidR="00350290" w:rsidRPr="00265730">
        <w:rPr>
          <w:szCs w:val="24"/>
          <w:highlight w:val="yellow"/>
        </w:rPr>
        <w:t>In order to achieve these objectives, the HCHS/SOL ha</w:t>
      </w:r>
      <w:r w:rsidR="00FD131B" w:rsidRPr="00265730">
        <w:rPr>
          <w:szCs w:val="24"/>
          <w:highlight w:val="yellow"/>
        </w:rPr>
        <w:t>d</w:t>
      </w:r>
      <w:r w:rsidR="00350290" w:rsidRPr="00265730">
        <w:rPr>
          <w:szCs w:val="24"/>
          <w:highlight w:val="yellow"/>
        </w:rPr>
        <w:t xml:space="preserve"> two integrated components:</w:t>
      </w:r>
    </w:p>
    <w:p w14:paraId="159F6299" w14:textId="6E70B4E4" w:rsidR="00350290" w:rsidRPr="00265730" w:rsidRDefault="00350290" w:rsidP="008F6A07">
      <w:pPr>
        <w:numPr>
          <w:ilvl w:val="0"/>
          <w:numId w:val="25"/>
        </w:numPr>
        <w:spacing w:before="120" w:line="276" w:lineRule="auto"/>
        <w:rPr>
          <w:szCs w:val="24"/>
          <w:highlight w:val="yellow"/>
        </w:rPr>
      </w:pPr>
      <w:r w:rsidRPr="00265730">
        <w:rPr>
          <w:szCs w:val="24"/>
          <w:highlight w:val="yellow"/>
        </w:rPr>
        <w:t>Examination of the cohort</w:t>
      </w:r>
      <w:r w:rsidR="00A54039" w:rsidRPr="00265730">
        <w:rPr>
          <w:szCs w:val="24"/>
          <w:highlight w:val="yellow"/>
        </w:rPr>
        <w:t xml:space="preserve"> </w:t>
      </w:r>
      <w:r w:rsidRPr="00265730">
        <w:rPr>
          <w:szCs w:val="24"/>
          <w:highlight w:val="yellow"/>
        </w:rPr>
        <w:t xml:space="preserve">following a standardized protocol, which </w:t>
      </w:r>
      <w:r w:rsidR="00500C35" w:rsidRPr="00265730">
        <w:rPr>
          <w:szCs w:val="24"/>
          <w:highlight w:val="yellow"/>
        </w:rPr>
        <w:t>consisted of</w:t>
      </w:r>
      <w:r w:rsidRPr="00265730">
        <w:rPr>
          <w:szCs w:val="24"/>
          <w:highlight w:val="yellow"/>
        </w:rPr>
        <w:t xml:space="preserve"> interviews and</w:t>
      </w:r>
      <w:r w:rsidR="00B513BE" w:rsidRPr="00265730">
        <w:rPr>
          <w:szCs w:val="24"/>
          <w:highlight w:val="yellow"/>
        </w:rPr>
        <w:t xml:space="preserve"> clinical measure</w:t>
      </w:r>
      <w:r w:rsidR="00342548" w:rsidRPr="00265730">
        <w:rPr>
          <w:szCs w:val="24"/>
          <w:highlight w:val="yellow"/>
        </w:rPr>
        <w:t>ments</w:t>
      </w:r>
      <w:r w:rsidRPr="00265730">
        <w:rPr>
          <w:szCs w:val="24"/>
          <w:highlight w:val="yellow"/>
        </w:rPr>
        <w:t xml:space="preserve"> to assess physiologic</w:t>
      </w:r>
      <w:r w:rsidR="00500C35" w:rsidRPr="00265730">
        <w:rPr>
          <w:szCs w:val="24"/>
          <w:highlight w:val="yellow"/>
        </w:rPr>
        <w:t>al and biochemical measurements</w:t>
      </w:r>
      <w:r w:rsidR="00135D30" w:rsidRPr="00265730">
        <w:rPr>
          <w:szCs w:val="24"/>
          <w:highlight w:val="yellow"/>
        </w:rPr>
        <w:t xml:space="preserve"> </w:t>
      </w:r>
      <w:r w:rsidR="00500C35" w:rsidRPr="00265730">
        <w:rPr>
          <w:szCs w:val="24"/>
          <w:highlight w:val="yellow"/>
        </w:rPr>
        <w:t>including DNA</w:t>
      </w:r>
      <w:r w:rsidR="00DE5A17" w:rsidRPr="00265730">
        <w:rPr>
          <w:szCs w:val="24"/>
          <w:highlight w:val="yellow"/>
        </w:rPr>
        <w:t>/RNA</w:t>
      </w:r>
      <w:r w:rsidR="00500C35" w:rsidRPr="00265730">
        <w:rPr>
          <w:szCs w:val="24"/>
          <w:highlight w:val="yellow"/>
        </w:rPr>
        <w:t xml:space="preserve"> extraction for ancillary genetic research studies.</w:t>
      </w:r>
    </w:p>
    <w:p w14:paraId="1E964EFE" w14:textId="32636DDC" w:rsidR="00261EBB" w:rsidRPr="00265730" w:rsidRDefault="00261EBB" w:rsidP="008F6A07">
      <w:pPr>
        <w:numPr>
          <w:ilvl w:val="0"/>
          <w:numId w:val="25"/>
        </w:numPr>
        <w:spacing w:before="120" w:line="276" w:lineRule="auto"/>
        <w:rPr>
          <w:szCs w:val="24"/>
          <w:highlight w:val="yellow"/>
        </w:rPr>
      </w:pPr>
      <w:r w:rsidRPr="00265730">
        <w:rPr>
          <w:szCs w:val="24"/>
          <w:highlight w:val="yellow"/>
        </w:rPr>
        <w:t>Follow-up of the cohort, which consists o</w:t>
      </w:r>
      <w:r w:rsidR="00715E57" w:rsidRPr="00265730">
        <w:rPr>
          <w:szCs w:val="24"/>
          <w:highlight w:val="yellow"/>
        </w:rPr>
        <w:t>f</w:t>
      </w:r>
      <w:r w:rsidRPr="00265730">
        <w:rPr>
          <w:szCs w:val="24"/>
          <w:highlight w:val="yellow"/>
        </w:rPr>
        <w:t xml:space="preserve"> an annual telephone interview to assess vital status, changes in health status and medication intake, and new cardiovascular and pulmonary events</w:t>
      </w:r>
      <w:r w:rsidR="00302130" w:rsidRPr="00265730">
        <w:rPr>
          <w:szCs w:val="24"/>
          <w:highlight w:val="yellow"/>
        </w:rPr>
        <w:t xml:space="preserve"> (including fatal and non-fatal myocardial infarction</w:t>
      </w:r>
      <w:r w:rsidR="000633D7" w:rsidRPr="00265730">
        <w:rPr>
          <w:szCs w:val="24"/>
          <w:highlight w:val="yellow"/>
        </w:rPr>
        <w:t xml:space="preserve"> and heart failure; fatal and non-fatal stroke; and exacerbation of asthma and chronic obstructive pulmonary disease)</w:t>
      </w:r>
      <w:r w:rsidRPr="00265730">
        <w:rPr>
          <w:szCs w:val="24"/>
          <w:highlight w:val="yellow"/>
        </w:rPr>
        <w:t>.</w:t>
      </w:r>
    </w:p>
    <w:p w14:paraId="33BE0592" w14:textId="2AB081DB" w:rsidR="00463E90" w:rsidRPr="00265730" w:rsidRDefault="00135D30" w:rsidP="007A35A5">
      <w:pPr>
        <w:spacing w:before="120" w:line="276" w:lineRule="auto"/>
        <w:rPr>
          <w:szCs w:val="24"/>
          <w:highlight w:val="yellow"/>
        </w:rPr>
      </w:pPr>
      <w:r w:rsidRPr="00265730">
        <w:rPr>
          <w:szCs w:val="24"/>
          <w:highlight w:val="yellow"/>
        </w:rPr>
        <w:t xml:space="preserve">The recruitment of participants was based on a multi-stage random sampling of the local community. Recruitment and examination of eligible individuals took place in </w:t>
      </w:r>
      <w:r w:rsidR="00381020" w:rsidRPr="00265730">
        <w:rPr>
          <w:szCs w:val="24"/>
          <w:highlight w:val="yellow"/>
        </w:rPr>
        <w:t>three waves</w:t>
      </w:r>
      <w:r w:rsidR="00350290" w:rsidRPr="00265730">
        <w:rPr>
          <w:szCs w:val="24"/>
          <w:highlight w:val="yellow"/>
        </w:rPr>
        <w:t xml:space="preserve"> </w:t>
      </w:r>
      <w:r w:rsidR="00715E57" w:rsidRPr="00265730">
        <w:rPr>
          <w:szCs w:val="24"/>
          <w:highlight w:val="yellow"/>
        </w:rPr>
        <w:t>from</w:t>
      </w:r>
      <w:r w:rsidR="00350290" w:rsidRPr="00265730">
        <w:rPr>
          <w:szCs w:val="24"/>
          <w:highlight w:val="yellow"/>
        </w:rPr>
        <w:t xml:space="preserve"> March 2008 </w:t>
      </w:r>
      <w:r w:rsidR="00715E57" w:rsidRPr="00265730">
        <w:rPr>
          <w:szCs w:val="24"/>
          <w:highlight w:val="yellow"/>
        </w:rPr>
        <w:t>to</w:t>
      </w:r>
      <w:r w:rsidR="00350290" w:rsidRPr="00265730">
        <w:rPr>
          <w:szCs w:val="24"/>
          <w:highlight w:val="yellow"/>
        </w:rPr>
        <w:t xml:space="preserve"> June 2011</w:t>
      </w:r>
      <w:r w:rsidR="00381020" w:rsidRPr="00265730">
        <w:rPr>
          <w:szCs w:val="24"/>
          <w:highlight w:val="yellow"/>
        </w:rPr>
        <w:t>. During each wave</w:t>
      </w:r>
      <w:r w:rsidR="00715E57" w:rsidRPr="00265730">
        <w:rPr>
          <w:szCs w:val="24"/>
          <w:highlight w:val="yellow"/>
        </w:rPr>
        <w:t>,</w:t>
      </w:r>
      <w:r w:rsidR="00381020" w:rsidRPr="00265730">
        <w:rPr>
          <w:szCs w:val="24"/>
          <w:highlight w:val="yellow"/>
        </w:rPr>
        <w:t xml:space="preserve"> similar census tracts were sampled, therefore yielding very similar groups of participants that represented the local community. </w:t>
      </w:r>
      <w:r w:rsidR="00261EBB" w:rsidRPr="00265730">
        <w:rPr>
          <w:szCs w:val="24"/>
          <w:highlight w:val="yellow"/>
        </w:rPr>
        <w:t xml:space="preserve"> </w:t>
      </w:r>
      <w:r w:rsidR="00350290" w:rsidRPr="00265730">
        <w:rPr>
          <w:szCs w:val="24"/>
          <w:highlight w:val="yellow"/>
        </w:rPr>
        <w:t xml:space="preserve">The prevalence of the variables of interest has been compared, to the extent possible, among individuals who identified their ancestry with specific Hispanic groups of origin: Mexicans, Puerto Ricans, Cubans, Dominicans, Central Americans and South Americans. </w:t>
      </w:r>
      <w:r w:rsidR="00463E90" w:rsidRPr="00265730">
        <w:rPr>
          <w:szCs w:val="24"/>
          <w:highlight w:val="yellow"/>
        </w:rPr>
        <w:t xml:space="preserve">The findings of the baseline examination of the HCHS/SOL have demonstrated that the prevalence of cardiovascular risk factors </w:t>
      </w:r>
      <w:r w:rsidR="003A59F4" w:rsidRPr="00265730">
        <w:rPr>
          <w:szCs w:val="24"/>
          <w:highlight w:val="yellow"/>
        </w:rPr>
        <w:t>is</w:t>
      </w:r>
      <w:r w:rsidR="00463E90" w:rsidRPr="00265730">
        <w:rPr>
          <w:szCs w:val="24"/>
          <w:highlight w:val="yellow"/>
        </w:rPr>
        <w:t xml:space="preserve"> widespread across Hispanic groups and var</w:t>
      </w:r>
      <w:r w:rsidR="003A59F4" w:rsidRPr="00265730">
        <w:rPr>
          <w:szCs w:val="24"/>
          <w:highlight w:val="yellow"/>
        </w:rPr>
        <w:t>ies</w:t>
      </w:r>
      <w:r w:rsidR="00463E90" w:rsidRPr="00265730">
        <w:rPr>
          <w:szCs w:val="24"/>
          <w:highlight w:val="yellow"/>
        </w:rPr>
        <w:t xml:space="preserve"> according to age, gender and Hispanic group of origin.</w:t>
      </w:r>
      <w:r w:rsidR="00B513BE" w:rsidRPr="00265730">
        <w:rPr>
          <w:szCs w:val="24"/>
          <w:highlight w:val="yellow"/>
        </w:rPr>
        <w:t xml:space="preserve"> Analyses and publications of baseline findings are underway.</w:t>
      </w:r>
      <w:r w:rsidR="00463E90" w:rsidRPr="00265730">
        <w:rPr>
          <w:szCs w:val="24"/>
          <w:highlight w:val="yellow"/>
        </w:rPr>
        <w:t xml:space="preserve"> </w:t>
      </w:r>
      <w:r w:rsidR="00A54039" w:rsidRPr="00265730">
        <w:rPr>
          <w:szCs w:val="24"/>
          <w:highlight w:val="yellow"/>
        </w:rPr>
        <w:t>The</w:t>
      </w:r>
      <w:r w:rsidR="00381020" w:rsidRPr="00265730">
        <w:rPr>
          <w:szCs w:val="24"/>
          <w:highlight w:val="yellow"/>
        </w:rPr>
        <w:t xml:space="preserve"> longitudinal follow-up was initiated</w:t>
      </w:r>
      <w:r w:rsidR="00A54039" w:rsidRPr="00265730">
        <w:rPr>
          <w:szCs w:val="24"/>
          <w:highlight w:val="yellow"/>
        </w:rPr>
        <w:t xml:space="preserve"> in 2009.</w:t>
      </w:r>
      <w:r w:rsidR="00381020" w:rsidRPr="00265730">
        <w:rPr>
          <w:szCs w:val="24"/>
          <w:highlight w:val="yellow"/>
        </w:rPr>
        <w:t xml:space="preserve"> </w:t>
      </w:r>
      <w:r w:rsidR="003A59F4" w:rsidRPr="00265730">
        <w:rPr>
          <w:szCs w:val="24"/>
          <w:highlight w:val="yellow"/>
        </w:rPr>
        <w:t>T</w:t>
      </w:r>
      <w:r w:rsidR="00DC624B" w:rsidRPr="00265730">
        <w:rPr>
          <w:szCs w:val="24"/>
          <w:highlight w:val="yellow"/>
        </w:rPr>
        <w:t xml:space="preserve">o this date, participants have been followed </w:t>
      </w:r>
      <w:r w:rsidR="00DE5A17" w:rsidRPr="00265730">
        <w:rPr>
          <w:szCs w:val="24"/>
          <w:highlight w:val="yellow"/>
        </w:rPr>
        <w:t xml:space="preserve">for an average of </w:t>
      </w:r>
      <w:r w:rsidR="00DC624B" w:rsidRPr="00265730">
        <w:rPr>
          <w:szCs w:val="24"/>
          <w:highlight w:val="yellow"/>
        </w:rPr>
        <w:t>4 years.</w:t>
      </w:r>
    </w:p>
    <w:p w14:paraId="1BE870D5" w14:textId="671B1EE8" w:rsidR="00192867" w:rsidRPr="00265730" w:rsidRDefault="00135D30" w:rsidP="008F6A07">
      <w:pPr>
        <w:spacing w:before="120" w:line="276" w:lineRule="auto"/>
        <w:rPr>
          <w:szCs w:val="24"/>
          <w:highlight w:val="yellow"/>
        </w:rPr>
      </w:pPr>
      <w:r w:rsidRPr="00265730">
        <w:rPr>
          <w:szCs w:val="24"/>
          <w:highlight w:val="yellow"/>
        </w:rPr>
        <w:tab/>
      </w:r>
      <w:r w:rsidR="00FD131B" w:rsidRPr="00265730">
        <w:rPr>
          <w:szCs w:val="24"/>
          <w:highlight w:val="yellow"/>
        </w:rPr>
        <w:t xml:space="preserve">In the proposed continuation of the study, in addition to the original objectives mentioned above, the HCHS/SOL </w:t>
      </w:r>
      <w:r w:rsidR="003A59F4" w:rsidRPr="00265730">
        <w:rPr>
          <w:szCs w:val="24"/>
          <w:highlight w:val="yellow"/>
        </w:rPr>
        <w:t>also aims</w:t>
      </w:r>
      <w:r w:rsidR="00FD131B" w:rsidRPr="00265730">
        <w:rPr>
          <w:szCs w:val="24"/>
          <w:highlight w:val="yellow"/>
        </w:rPr>
        <w:t xml:space="preserve"> to: (1) understand the relationship between changes in risk or protective factor profile and the onset or progression of cardiovascular and pulmonary disease; (2) understand the relationship between changes in cardiometabolic risk profile and cardiac structure and function; (3) understand the relationship between changes in sociocultural factors (including acculturation) and changes in health</w:t>
      </w:r>
      <w:r w:rsidR="001870C7" w:rsidRPr="00265730">
        <w:rPr>
          <w:szCs w:val="24"/>
          <w:highlight w:val="yellow"/>
        </w:rPr>
        <w:t xml:space="preserve">; </w:t>
      </w:r>
      <w:r w:rsidR="00FD131B" w:rsidRPr="00265730">
        <w:rPr>
          <w:szCs w:val="24"/>
          <w:highlight w:val="yellow"/>
        </w:rPr>
        <w:t>and (4) understand the relationship between baseline cardiovascular risk profile of women of childbearing age and the incidence of select pregnancy-related complications, and in turn, future incidence of cardiovascular disease</w:t>
      </w:r>
      <w:r w:rsidR="00804527" w:rsidRPr="00265730">
        <w:rPr>
          <w:szCs w:val="24"/>
          <w:highlight w:val="yellow"/>
        </w:rPr>
        <w:t xml:space="preserve">. </w:t>
      </w:r>
      <w:r w:rsidR="004160A4" w:rsidRPr="00265730">
        <w:rPr>
          <w:szCs w:val="24"/>
          <w:highlight w:val="yellow"/>
        </w:rPr>
        <w:t xml:space="preserve">Some </w:t>
      </w:r>
      <w:r w:rsidR="00804527" w:rsidRPr="00265730">
        <w:rPr>
          <w:szCs w:val="24"/>
          <w:highlight w:val="yellow"/>
        </w:rPr>
        <w:t xml:space="preserve">activities </w:t>
      </w:r>
      <w:r w:rsidR="004160A4" w:rsidRPr="00265730">
        <w:rPr>
          <w:szCs w:val="24"/>
          <w:highlight w:val="yellow"/>
        </w:rPr>
        <w:t xml:space="preserve">to be performed during the next six years of the </w:t>
      </w:r>
      <w:r w:rsidR="00804527" w:rsidRPr="00265730">
        <w:rPr>
          <w:szCs w:val="24"/>
          <w:highlight w:val="yellow"/>
        </w:rPr>
        <w:t xml:space="preserve">HCHS/SOL will </w:t>
      </w:r>
      <w:r w:rsidR="00F7331E" w:rsidRPr="00265730">
        <w:rPr>
          <w:szCs w:val="24"/>
          <w:highlight w:val="yellow"/>
        </w:rPr>
        <w:t>continue</w:t>
      </w:r>
      <w:r w:rsidR="00804527" w:rsidRPr="00265730">
        <w:rPr>
          <w:szCs w:val="24"/>
          <w:highlight w:val="yellow"/>
        </w:rPr>
        <w:t xml:space="preserve"> to be similar to those in the previous </w:t>
      </w:r>
      <w:r w:rsidR="00F7331E" w:rsidRPr="00265730">
        <w:rPr>
          <w:szCs w:val="24"/>
          <w:highlight w:val="yellow"/>
        </w:rPr>
        <w:t xml:space="preserve">six and a half year </w:t>
      </w:r>
      <w:r w:rsidR="004160A4" w:rsidRPr="00265730">
        <w:rPr>
          <w:szCs w:val="24"/>
          <w:highlight w:val="yellow"/>
        </w:rPr>
        <w:t>period</w:t>
      </w:r>
      <w:r w:rsidR="00F7331E" w:rsidRPr="00265730">
        <w:rPr>
          <w:szCs w:val="24"/>
          <w:highlight w:val="yellow"/>
        </w:rPr>
        <w:t>,</w:t>
      </w:r>
      <w:r w:rsidR="004160A4" w:rsidRPr="00265730">
        <w:rPr>
          <w:szCs w:val="24"/>
          <w:highlight w:val="yellow"/>
        </w:rPr>
        <w:t xml:space="preserve"> </w:t>
      </w:r>
      <w:r w:rsidR="00302130" w:rsidRPr="00265730">
        <w:rPr>
          <w:szCs w:val="24"/>
          <w:highlight w:val="yellow"/>
        </w:rPr>
        <w:t>and others will be added</w:t>
      </w:r>
      <w:r w:rsidR="00804527" w:rsidRPr="00265730">
        <w:rPr>
          <w:szCs w:val="24"/>
          <w:highlight w:val="yellow"/>
        </w:rPr>
        <w:t>:</w:t>
      </w:r>
    </w:p>
    <w:p w14:paraId="3F3D5719" w14:textId="74D88EA7" w:rsidR="003D3922" w:rsidRPr="00265730" w:rsidRDefault="003D3922" w:rsidP="008F6A07">
      <w:pPr>
        <w:numPr>
          <w:ilvl w:val="0"/>
          <w:numId w:val="26"/>
        </w:numPr>
        <w:spacing w:line="276" w:lineRule="auto"/>
        <w:rPr>
          <w:szCs w:val="24"/>
          <w:highlight w:val="yellow"/>
        </w:rPr>
      </w:pPr>
      <w:r w:rsidRPr="00265730">
        <w:rPr>
          <w:szCs w:val="24"/>
          <w:highlight w:val="yellow"/>
        </w:rPr>
        <w:lastRenderedPageBreak/>
        <w:t>Perform a second examination of the cohort</w:t>
      </w:r>
      <w:r w:rsidR="00135D30" w:rsidRPr="00265730">
        <w:rPr>
          <w:szCs w:val="24"/>
          <w:highlight w:val="yellow"/>
        </w:rPr>
        <w:t>,</w:t>
      </w:r>
      <w:r w:rsidRPr="00265730">
        <w:rPr>
          <w:szCs w:val="24"/>
          <w:highlight w:val="yellow"/>
        </w:rPr>
        <w:t xml:space="preserve"> </w:t>
      </w:r>
      <w:r w:rsidR="00302130" w:rsidRPr="00265730">
        <w:rPr>
          <w:szCs w:val="24"/>
          <w:highlight w:val="yellow"/>
        </w:rPr>
        <w:t xml:space="preserve">which will include interviews and clinical </w:t>
      </w:r>
      <w:r w:rsidR="00342548" w:rsidRPr="00265730">
        <w:rPr>
          <w:szCs w:val="24"/>
          <w:highlight w:val="yellow"/>
        </w:rPr>
        <w:t>measurements</w:t>
      </w:r>
      <w:r w:rsidR="00302130" w:rsidRPr="00265730">
        <w:rPr>
          <w:szCs w:val="24"/>
          <w:highlight w:val="yellow"/>
        </w:rPr>
        <w:t xml:space="preserve">, </w:t>
      </w:r>
      <w:r w:rsidRPr="00265730">
        <w:rPr>
          <w:szCs w:val="24"/>
          <w:highlight w:val="yellow"/>
        </w:rPr>
        <w:t xml:space="preserve">to reassess select </w:t>
      </w:r>
      <w:r w:rsidR="00302130" w:rsidRPr="00265730">
        <w:rPr>
          <w:szCs w:val="24"/>
          <w:highlight w:val="yellow"/>
        </w:rPr>
        <w:t>sociodemographic, sociocultural, socioeconomic, lifestyle and cardiometabolic variables</w:t>
      </w:r>
      <w:r w:rsidR="004160A4" w:rsidRPr="00265730">
        <w:rPr>
          <w:szCs w:val="24"/>
          <w:highlight w:val="yellow"/>
        </w:rPr>
        <w:t xml:space="preserve"> evaluated at baseline</w:t>
      </w:r>
      <w:r w:rsidR="00DE1294" w:rsidRPr="00265730">
        <w:rPr>
          <w:szCs w:val="24"/>
          <w:highlight w:val="yellow"/>
        </w:rPr>
        <w:t>.</w:t>
      </w:r>
      <w:r w:rsidR="00302130" w:rsidRPr="00265730">
        <w:rPr>
          <w:szCs w:val="24"/>
          <w:highlight w:val="yellow"/>
        </w:rPr>
        <w:t xml:space="preserve"> </w:t>
      </w:r>
    </w:p>
    <w:p w14:paraId="2F432B02" w14:textId="578A7A99" w:rsidR="00302130" w:rsidRPr="00265730" w:rsidRDefault="00302130" w:rsidP="008F6A07">
      <w:pPr>
        <w:numPr>
          <w:ilvl w:val="1"/>
          <w:numId w:val="26"/>
        </w:numPr>
        <w:spacing w:before="120" w:line="276" w:lineRule="auto"/>
        <w:rPr>
          <w:szCs w:val="24"/>
          <w:highlight w:val="yellow"/>
        </w:rPr>
      </w:pPr>
      <w:r w:rsidRPr="00265730">
        <w:rPr>
          <w:szCs w:val="24"/>
          <w:highlight w:val="yellow"/>
        </w:rPr>
        <w:t xml:space="preserve">In order to assess the relationship between baseline and current cardiometabolic profile and cardiac structure and function, an echocardiogram (new </w:t>
      </w:r>
      <w:r w:rsidR="00342548" w:rsidRPr="00265730">
        <w:rPr>
          <w:szCs w:val="24"/>
          <w:highlight w:val="yellow"/>
        </w:rPr>
        <w:t xml:space="preserve">non-invasive </w:t>
      </w:r>
      <w:r w:rsidRPr="00265730">
        <w:rPr>
          <w:szCs w:val="24"/>
          <w:highlight w:val="yellow"/>
        </w:rPr>
        <w:t>procedure) will be performed during this second examination.</w:t>
      </w:r>
    </w:p>
    <w:p w14:paraId="3ED5A5CC" w14:textId="77777777" w:rsidR="00302130" w:rsidRPr="00265730" w:rsidRDefault="00302130" w:rsidP="008F6A07">
      <w:pPr>
        <w:numPr>
          <w:ilvl w:val="1"/>
          <w:numId w:val="26"/>
        </w:numPr>
        <w:spacing w:before="120" w:line="276" w:lineRule="auto"/>
        <w:rPr>
          <w:szCs w:val="24"/>
          <w:highlight w:val="yellow"/>
        </w:rPr>
      </w:pPr>
      <w:r w:rsidRPr="00265730">
        <w:rPr>
          <w:szCs w:val="24"/>
          <w:highlight w:val="yellow"/>
        </w:rPr>
        <w:t>Comprehensive reproductive history</w:t>
      </w:r>
      <w:r w:rsidR="00DE1294" w:rsidRPr="00265730">
        <w:rPr>
          <w:szCs w:val="24"/>
          <w:highlight w:val="yellow"/>
        </w:rPr>
        <w:t xml:space="preserve"> of women of childbearing age</w:t>
      </w:r>
      <w:r w:rsidRPr="00265730">
        <w:rPr>
          <w:szCs w:val="24"/>
          <w:highlight w:val="yellow"/>
        </w:rPr>
        <w:t>, including history of pre-eclampsia, eclampsia and gestational diabetes mellitus between the baseline and second examination, will also be assessed during this second examination.</w:t>
      </w:r>
    </w:p>
    <w:p w14:paraId="2546542F" w14:textId="77777777" w:rsidR="003D3922" w:rsidRPr="00265730" w:rsidRDefault="003D3922" w:rsidP="00847396">
      <w:pPr>
        <w:numPr>
          <w:ilvl w:val="0"/>
          <w:numId w:val="26"/>
        </w:numPr>
        <w:spacing w:before="120" w:line="276" w:lineRule="auto"/>
        <w:rPr>
          <w:szCs w:val="24"/>
          <w:highlight w:val="yellow"/>
        </w:rPr>
      </w:pPr>
      <w:r w:rsidRPr="00265730">
        <w:rPr>
          <w:szCs w:val="24"/>
          <w:highlight w:val="yellow"/>
        </w:rPr>
        <w:t xml:space="preserve">Continue annual follow-up of the </w:t>
      </w:r>
      <w:r w:rsidR="00302130" w:rsidRPr="00265730">
        <w:rPr>
          <w:szCs w:val="24"/>
          <w:highlight w:val="yellow"/>
        </w:rPr>
        <w:t xml:space="preserve">HCHS/SOL </w:t>
      </w:r>
      <w:r w:rsidRPr="00265730">
        <w:rPr>
          <w:szCs w:val="24"/>
          <w:highlight w:val="yellow"/>
        </w:rPr>
        <w:t>cohort</w:t>
      </w:r>
      <w:r w:rsidR="00302130" w:rsidRPr="00265730">
        <w:rPr>
          <w:szCs w:val="24"/>
          <w:highlight w:val="yellow"/>
        </w:rPr>
        <w:t xml:space="preserve"> to document the occurrence of </w:t>
      </w:r>
      <w:r w:rsidRPr="00265730">
        <w:rPr>
          <w:szCs w:val="24"/>
          <w:highlight w:val="yellow"/>
        </w:rPr>
        <w:t>cardiovascular and pulmonary endpoints</w:t>
      </w:r>
      <w:r w:rsidR="000633D7" w:rsidRPr="00265730">
        <w:rPr>
          <w:szCs w:val="24"/>
          <w:highlight w:val="yellow"/>
        </w:rPr>
        <w:t xml:space="preserve"> (mentioned above)</w:t>
      </w:r>
      <w:r w:rsidR="00302130" w:rsidRPr="00265730">
        <w:rPr>
          <w:szCs w:val="24"/>
          <w:highlight w:val="yellow"/>
        </w:rPr>
        <w:t>.</w:t>
      </w:r>
    </w:p>
    <w:p w14:paraId="16185715" w14:textId="77777777" w:rsidR="00302130" w:rsidRPr="00265730" w:rsidRDefault="000633D7" w:rsidP="008F6A07">
      <w:pPr>
        <w:numPr>
          <w:ilvl w:val="1"/>
          <w:numId w:val="26"/>
        </w:numPr>
        <w:spacing w:line="276" w:lineRule="auto"/>
        <w:rPr>
          <w:szCs w:val="24"/>
          <w:highlight w:val="yellow"/>
        </w:rPr>
      </w:pPr>
      <w:r w:rsidRPr="00265730">
        <w:rPr>
          <w:szCs w:val="24"/>
          <w:highlight w:val="yellow"/>
        </w:rPr>
        <w:t xml:space="preserve">In addition to the </w:t>
      </w:r>
      <w:r w:rsidR="00AC408A" w:rsidRPr="00265730">
        <w:rPr>
          <w:szCs w:val="24"/>
          <w:highlight w:val="yellow"/>
        </w:rPr>
        <w:t xml:space="preserve">ascertainment of the </w:t>
      </w:r>
      <w:r w:rsidRPr="00265730">
        <w:rPr>
          <w:szCs w:val="24"/>
          <w:highlight w:val="yellow"/>
        </w:rPr>
        <w:t>three primary endpoints, the incidence of pre-eclampsia, eclampsia and gestational diabetes mellitus after the second examination will be assessed.</w:t>
      </w:r>
    </w:p>
    <w:p w14:paraId="3ED18976" w14:textId="77777777" w:rsidR="00587A9A" w:rsidRPr="00265730" w:rsidRDefault="00587A9A" w:rsidP="008F6A07">
      <w:pPr>
        <w:spacing w:line="276" w:lineRule="auto"/>
        <w:ind w:firstLine="720"/>
        <w:rPr>
          <w:szCs w:val="24"/>
          <w:highlight w:val="yellow"/>
        </w:rPr>
      </w:pPr>
      <w:r w:rsidRPr="00265730">
        <w:rPr>
          <w:szCs w:val="24"/>
          <w:highlight w:val="yellow"/>
        </w:rPr>
        <w:t xml:space="preserve"> </w:t>
      </w:r>
    </w:p>
    <w:p w14:paraId="07933CA0" w14:textId="167D8A91" w:rsidR="0007741F" w:rsidRDefault="00FA0B32" w:rsidP="008F6A07">
      <w:pPr>
        <w:spacing w:line="276" w:lineRule="auto"/>
        <w:ind w:firstLine="720"/>
        <w:rPr>
          <w:color w:val="000000"/>
          <w:szCs w:val="24"/>
        </w:rPr>
      </w:pPr>
      <w:r w:rsidRPr="00265730">
        <w:rPr>
          <w:color w:val="000000"/>
          <w:szCs w:val="24"/>
          <w:highlight w:val="yellow"/>
        </w:rPr>
        <w:t xml:space="preserve">Coordination of the research activities will </w:t>
      </w:r>
      <w:r w:rsidR="00F7331E" w:rsidRPr="00265730">
        <w:rPr>
          <w:color w:val="000000"/>
          <w:szCs w:val="24"/>
          <w:highlight w:val="yellow"/>
        </w:rPr>
        <w:t xml:space="preserve">continue to </w:t>
      </w:r>
      <w:r w:rsidRPr="00265730">
        <w:rPr>
          <w:color w:val="000000"/>
          <w:szCs w:val="24"/>
          <w:highlight w:val="yellow"/>
        </w:rPr>
        <w:t xml:space="preserve">be performed by the </w:t>
      </w:r>
      <w:r w:rsidR="00F7331E" w:rsidRPr="00265730">
        <w:rPr>
          <w:color w:val="000000"/>
          <w:szCs w:val="24"/>
          <w:highlight w:val="yellow"/>
        </w:rPr>
        <w:t xml:space="preserve">HCHS/SOL </w:t>
      </w:r>
      <w:r w:rsidRPr="00265730">
        <w:rPr>
          <w:color w:val="000000"/>
          <w:szCs w:val="24"/>
          <w:highlight w:val="yellow"/>
        </w:rPr>
        <w:t>Coordinating Center</w:t>
      </w:r>
      <w:r w:rsidR="004160A4" w:rsidRPr="00265730">
        <w:rPr>
          <w:color w:val="000000"/>
          <w:szCs w:val="24"/>
          <w:highlight w:val="yellow"/>
        </w:rPr>
        <w:t xml:space="preserve"> located at the University of North Carolina at Chapel Hill</w:t>
      </w:r>
      <w:r w:rsidRPr="00265730">
        <w:rPr>
          <w:color w:val="000000"/>
          <w:szCs w:val="24"/>
          <w:highlight w:val="yellow"/>
        </w:rPr>
        <w:t xml:space="preserve">. </w:t>
      </w:r>
      <w:r w:rsidR="00135D30" w:rsidRPr="00265730">
        <w:rPr>
          <w:color w:val="000000"/>
          <w:szCs w:val="24"/>
          <w:highlight w:val="yellow"/>
        </w:rPr>
        <w:t xml:space="preserve">The </w:t>
      </w:r>
      <w:r w:rsidR="004160A4" w:rsidRPr="00265730">
        <w:rPr>
          <w:color w:val="000000"/>
          <w:szCs w:val="24"/>
          <w:highlight w:val="yellow"/>
        </w:rPr>
        <w:t xml:space="preserve">University of Illinois at Chicago will house the </w:t>
      </w:r>
      <w:r w:rsidR="00135D30" w:rsidRPr="00265730">
        <w:rPr>
          <w:color w:val="000000"/>
          <w:szCs w:val="24"/>
          <w:highlight w:val="yellow"/>
        </w:rPr>
        <w:t>Chicago Field Center (previously at Northwestern University)</w:t>
      </w:r>
      <w:r w:rsidR="00F7331E" w:rsidRPr="00265730">
        <w:rPr>
          <w:color w:val="000000"/>
          <w:szCs w:val="24"/>
          <w:highlight w:val="yellow"/>
        </w:rPr>
        <w:t>, while the other Field Centers will remain unchanged</w:t>
      </w:r>
      <w:r w:rsidR="00135D30" w:rsidRPr="00265730">
        <w:rPr>
          <w:color w:val="000000"/>
          <w:szCs w:val="24"/>
          <w:highlight w:val="yellow"/>
        </w:rPr>
        <w:t xml:space="preserve">. An Echocardiography Reading Center </w:t>
      </w:r>
      <w:r w:rsidR="004160A4" w:rsidRPr="00265730">
        <w:rPr>
          <w:color w:val="000000"/>
          <w:szCs w:val="24"/>
          <w:highlight w:val="yellow"/>
        </w:rPr>
        <w:t xml:space="preserve">housed at Brigham and Women’s Hospital </w:t>
      </w:r>
      <w:r w:rsidR="00135D30" w:rsidRPr="00265730">
        <w:rPr>
          <w:color w:val="000000"/>
          <w:szCs w:val="24"/>
          <w:highlight w:val="yellow"/>
        </w:rPr>
        <w:t>will lead the echocardiogram data collection, quality control, transmission and interpretation, and training of technicians for this component of the study. The</w:t>
      </w:r>
      <w:r w:rsidRPr="00265730">
        <w:rPr>
          <w:color w:val="000000"/>
          <w:szCs w:val="24"/>
          <w:highlight w:val="yellow"/>
        </w:rPr>
        <w:t xml:space="preserve"> duration of the new study </w:t>
      </w:r>
      <w:r w:rsidR="0000129C" w:rsidRPr="00265730">
        <w:rPr>
          <w:color w:val="000000"/>
          <w:szCs w:val="24"/>
          <w:highlight w:val="yellow"/>
        </w:rPr>
        <w:t xml:space="preserve">period </w:t>
      </w:r>
      <w:r w:rsidRPr="00265730">
        <w:rPr>
          <w:color w:val="000000"/>
          <w:szCs w:val="24"/>
          <w:highlight w:val="yellow"/>
        </w:rPr>
        <w:t xml:space="preserve">is </w:t>
      </w:r>
      <w:r w:rsidR="004160A4" w:rsidRPr="00265730">
        <w:rPr>
          <w:color w:val="000000"/>
          <w:szCs w:val="24"/>
          <w:highlight w:val="yellow"/>
        </w:rPr>
        <w:t xml:space="preserve">six </w:t>
      </w:r>
      <w:r w:rsidRPr="00265730">
        <w:rPr>
          <w:color w:val="000000"/>
          <w:szCs w:val="24"/>
          <w:highlight w:val="yellow"/>
        </w:rPr>
        <w:t>years.</w:t>
      </w:r>
      <w:r>
        <w:rPr>
          <w:color w:val="000000"/>
          <w:szCs w:val="24"/>
        </w:rPr>
        <w:t xml:space="preserve"> </w:t>
      </w:r>
    </w:p>
    <w:p w14:paraId="268BE3B3" w14:textId="77777777" w:rsidR="00614EC0" w:rsidRDefault="00614EC0" w:rsidP="008F6A07">
      <w:pPr>
        <w:spacing w:line="276" w:lineRule="auto"/>
        <w:ind w:firstLine="720"/>
        <w:rPr>
          <w:color w:val="000000"/>
          <w:szCs w:val="24"/>
        </w:rPr>
      </w:pPr>
    </w:p>
    <w:p w14:paraId="5FAB07EB" w14:textId="77777777" w:rsidR="00614EC0" w:rsidRDefault="00614EC0" w:rsidP="008F6A07">
      <w:pPr>
        <w:spacing w:line="276" w:lineRule="auto"/>
        <w:ind w:firstLine="720"/>
        <w:rPr>
          <w:color w:val="000000"/>
          <w:szCs w:val="24"/>
        </w:rPr>
      </w:pPr>
    </w:p>
    <w:p w14:paraId="67A775D1" w14:textId="77777777" w:rsidR="00614EC0" w:rsidRPr="00614EC0" w:rsidRDefault="00614EC0" w:rsidP="00614EC0">
      <w:pPr>
        <w:spacing w:line="276" w:lineRule="auto"/>
        <w:ind w:firstLine="720"/>
        <w:rPr>
          <w:highlight w:val="yellow"/>
        </w:rPr>
      </w:pPr>
      <w:r w:rsidRPr="00614EC0">
        <w:rPr>
          <w:highlight w:val="yellow"/>
        </w:rPr>
        <w:t>This second phase of the study will consist of a much shorter examination than baseline. The research questions and scope of work are more targeted towards the reassessment of cardiovascular risk factors, reassessment of select sociodemographic and sociocultural factors, and the assessment of two new cardiovascular-related components [Appendix 3]. Therefore, the duration of this second visit is expected to be approximately 3 ½ hours (versus 6 hours at baseline). Investigators may capitalize on the established study infrastructure to propose and incorporate ancillary studies funded by other, non-contract mechanisms.</w:t>
      </w:r>
    </w:p>
    <w:p w14:paraId="1E5FD1C8" w14:textId="77777777" w:rsidR="00614EC0" w:rsidRPr="00614EC0" w:rsidRDefault="00614EC0" w:rsidP="00614EC0">
      <w:pPr>
        <w:spacing w:line="276" w:lineRule="auto"/>
        <w:ind w:firstLine="720"/>
        <w:rPr>
          <w:highlight w:val="yellow"/>
        </w:rPr>
      </w:pPr>
      <w:r w:rsidRPr="00614EC0">
        <w:rPr>
          <w:highlight w:val="yellow"/>
        </w:rPr>
        <w:t xml:space="preserve"> The endpoints ascertainment will include the adjudication of pregnancy-related complications between Visit 1 and Visit 2, and thereafter. Therefore, Visit 2 will include questionnaires that will address female reproductive history and pregnancy, and continuation of AFU initiated during the first funding period. One third of the cohort is still completing AFU 3, one third is completing AFU 4, and the other third has started AFU 5. Thus, in addition to continuing these three AFU interviews (during the funding period, but before Visit 2), AFU 6-11 interviews will take place as per the timeline [Appendix 3]. AFU 6-11 interviews will include questions about pregnancies that occur after Visit 2 and health insurance status [Appendix 15, </w:t>
      </w:r>
      <w:r w:rsidRPr="00614EC0">
        <w:rPr>
          <w:highlight w:val="yellow"/>
        </w:rPr>
        <w:lastRenderedPageBreak/>
        <w:t>AFU 6-11]. AFU 6 interview will be shorter than the rest of the interviews, since it will take place close to the attendance to Visit 2, and replication of questionnaires would be avoided. Data abstraction from labor/delivery and other obstetrical or pediatric records will be added to the current medical acquisition procedures for the three original endpoints. Medical review of the diagnostic criteria and adjudication of pregnancy-related events of interest will be added to the ongoing endpoints ascertainment activities.</w:t>
      </w:r>
    </w:p>
    <w:p w14:paraId="5CFFACFD" w14:textId="77777777" w:rsidR="00614EC0" w:rsidRPr="00614EC0" w:rsidRDefault="00614EC0" w:rsidP="00614EC0">
      <w:pPr>
        <w:spacing w:line="276" w:lineRule="auto"/>
        <w:ind w:firstLine="720"/>
        <w:rPr>
          <w:highlight w:val="yellow"/>
        </w:rPr>
      </w:pPr>
      <w:r w:rsidRPr="00614EC0">
        <w:rPr>
          <w:highlight w:val="yellow"/>
        </w:rPr>
        <w:t>A participant disability questionnaire is also included in Visit 2. This questionnaire will be useful in assessing participants’ disabilities prior to the visit and help the Field Centers prepare for and accommodate that need. In addition, the information collected via this questionnaire will be used in the socioeconomic and employment analyses, and will fulfill the requirement specified in Section 4302 of the Affordable Care Act.</w:t>
      </w:r>
    </w:p>
    <w:p w14:paraId="3F5B9D8F" w14:textId="579C3CC0" w:rsidR="00614EC0" w:rsidRPr="00E064C1" w:rsidRDefault="00614EC0" w:rsidP="00614EC0">
      <w:pPr>
        <w:spacing w:line="276" w:lineRule="auto"/>
        <w:ind w:firstLine="720"/>
      </w:pPr>
      <w:r w:rsidRPr="00614EC0">
        <w:rPr>
          <w:highlight w:val="yellow"/>
        </w:rPr>
        <w:t>In addition, the Pregnancy Complications History Questionnaire (PCE/PCS) and the Tobacco Use Questionnaire (TBE/TBS) were modified based on recommendations provided by Legacy during the 60-Day Federal Register period [Public Comments]. Amendments and additions of some questions regarding the frequency of use of certain tobacco products (TBE/TBS Items #3, 13, 13.a., 13.a.1, 14, 14.a., 14.a.1, 15, 15.a, 15.a.1, 16, 16.a., 16.a.1, and 19) and smoking habits during pregnancy (PCE/PCS Items 1g and 1h) were incorporated.</w:t>
      </w:r>
    </w:p>
    <w:p w14:paraId="368987EA" w14:textId="1FD37F99" w:rsidR="001E7A06" w:rsidRDefault="0007028F" w:rsidP="00614EC0">
      <w:pPr>
        <w:widowControl/>
        <w:ind w:left="2880" w:firstLine="720"/>
        <w:rPr>
          <w:b/>
        </w:rPr>
      </w:pPr>
      <w:r>
        <w:rPr>
          <w:szCs w:val="24"/>
        </w:rPr>
        <w:br w:type="page"/>
      </w:r>
      <w:r w:rsidR="001E7A06" w:rsidRPr="0007028F">
        <w:rPr>
          <w:b/>
        </w:rPr>
        <w:lastRenderedPageBreak/>
        <w:t>Justification</w:t>
      </w:r>
    </w:p>
    <w:p w14:paraId="0FD2CF00" w14:textId="77777777" w:rsidR="00614EC0" w:rsidRPr="0007028F" w:rsidRDefault="00614EC0" w:rsidP="00614EC0">
      <w:pPr>
        <w:widowControl/>
        <w:ind w:left="2880" w:firstLine="720"/>
        <w:rPr>
          <w:b/>
        </w:rPr>
      </w:pPr>
    </w:p>
    <w:p w14:paraId="552FE1EA" w14:textId="77777777" w:rsidR="00E064C1" w:rsidRPr="0007028F" w:rsidRDefault="001E7A06" w:rsidP="0007028F">
      <w:pPr>
        <w:spacing w:line="480" w:lineRule="auto"/>
        <w:jc w:val="center"/>
        <w:rPr>
          <w:b/>
        </w:rPr>
      </w:pPr>
      <w:r w:rsidRPr="0007028F">
        <w:rPr>
          <w:b/>
        </w:rPr>
        <w:t>A.1 Circumstances Making the Collection of Information Necessary</w:t>
      </w:r>
    </w:p>
    <w:p w14:paraId="28FAB9E8" w14:textId="2E446185" w:rsidR="00E064C1" w:rsidRDefault="00462F2C" w:rsidP="00847396">
      <w:pPr>
        <w:spacing w:before="120" w:line="276" w:lineRule="auto"/>
        <w:ind w:firstLine="720"/>
      </w:pPr>
      <w:r>
        <w:t>T</w:t>
      </w:r>
      <w:r w:rsidR="00753B72" w:rsidRPr="0011494E">
        <w:rPr>
          <w:szCs w:val="24"/>
        </w:rPr>
        <w:t xml:space="preserve">he Hispanic/Latino population </w:t>
      </w:r>
      <w:r>
        <w:rPr>
          <w:szCs w:val="24"/>
        </w:rPr>
        <w:t xml:space="preserve">is the largest </w:t>
      </w:r>
      <w:r w:rsidR="00F7331E" w:rsidRPr="0011494E">
        <w:rPr>
          <w:szCs w:val="24"/>
        </w:rPr>
        <w:t xml:space="preserve">U.S. </w:t>
      </w:r>
      <w:r>
        <w:rPr>
          <w:szCs w:val="24"/>
        </w:rPr>
        <w:t>minority group</w:t>
      </w:r>
      <w:r w:rsidRPr="00265730">
        <w:rPr>
          <w:szCs w:val="24"/>
          <w:highlight w:val="yellow"/>
        </w:rPr>
        <w:t xml:space="preserve">. It </w:t>
      </w:r>
      <w:r w:rsidR="00753B72" w:rsidRPr="00265730">
        <w:rPr>
          <w:szCs w:val="24"/>
          <w:highlight w:val="yellow"/>
        </w:rPr>
        <w:t xml:space="preserve">increased by 43 percent </w:t>
      </w:r>
      <w:r w:rsidRPr="00265730">
        <w:rPr>
          <w:szCs w:val="24"/>
          <w:highlight w:val="yellow"/>
        </w:rPr>
        <w:t xml:space="preserve">between years 2000 and 2010, </w:t>
      </w:r>
      <w:r w:rsidR="00753B72" w:rsidRPr="00265730">
        <w:rPr>
          <w:szCs w:val="24"/>
          <w:highlight w:val="yellow"/>
        </w:rPr>
        <w:t>accounting for more than half of the growth in the total U.S. population during that period of time</w:t>
      </w:r>
      <w:r w:rsidRPr="00265730">
        <w:rPr>
          <w:szCs w:val="24"/>
          <w:highlight w:val="yellow"/>
        </w:rPr>
        <w:t>, and it is expected to experience a three-fold growth by 2050</w:t>
      </w:r>
      <w:r w:rsidR="00753B72" w:rsidRPr="00265730">
        <w:rPr>
          <w:szCs w:val="24"/>
          <w:highlight w:val="yellow"/>
        </w:rPr>
        <w:t>.</w:t>
      </w:r>
      <w:r w:rsidR="00753B72">
        <w:rPr>
          <w:szCs w:val="24"/>
        </w:rPr>
        <w:t xml:space="preserve"> Immigrant </w:t>
      </w:r>
      <w:r w:rsidR="00E064C1">
        <w:t xml:space="preserve">Hispanics/Latinos are influenced by factors less commonly found in </w:t>
      </w:r>
      <w:r w:rsidR="00753B72">
        <w:t xml:space="preserve">established </w:t>
      </w:r>
      <w:r w:rsidR="00E064C1">
        <w:t xml:space="preserve">U.S. population groups </w:t>
      </w:r>
      <w:r>
        <w:t xml:space="preserve">but </w:t>
      </w:r>
      <w:r w:rsidR="00F7331E">
        <w:t xml:space="preserve">also </w:t>
      </w:r>
      <w:r>
        <w:t xml:space="preserve">experienced by other immigrant groups, </w:t>
      </w:r>
      <w:r w:rsidR="00E064C1">
        <w:t xml:space="preserve">including changes in diet, </w:t>
      </w:r>
      <w:r w:rsidR="00753B72">
        <w:t xml:space="preserve">physical </w:t>
      </w:r>
      <w:r w:rsidR="00E064C1">
        <w:t xml:space="preserve">activity, </w:t>
      </w:r>
      <w:r>
        <w:t>and social network</w:t>
      </w:r>
      <w:r w:rsidR="00753B72">
        <w:t xml:space="preserve">. </w:t>
      </w:r>
      <w:r w:rsidR="00C263EC">
        <w:t>Also, Hispanics have consistently had the lowest percent of people with health insurance in the U.S. for decades.</w:t>
      </w:r>
      <w:r w:rsidR="00E064C1">
        <w:t xml:space="preserve"> </w:t>
      </w:r>
      <w:r w:rsidR="006D5A44">
        <w:t>Although often seen as one homogeneous demographic group, Hispanics</w:t>
      </w:r>
      <w:r w:rsidR="0011494E">
        <w:t xml:space="preserve"> </w:t>
      </w:r>
      <w:r w:rsidR="00E064C1">
        <w:t xml:space="preserve">consist of population groups originating from multiple geographic areas and founder populations, and with residence in the U.S for varying lengths of time, ranging from many generations to less than a year. </w:t>
      </w:r>
      <w:r w:rsidR="00D44F9C">
        <w:t xml:space="preserve">Diverse </w:t>
      </w:r>
      <w:r w:rsidR="006D5A44">
        <w:t xml:space="preserve">reasons for migration and migration patterns, </w:t>
      </w:r>
      <w:r w:rsidR="00C263EC">
        <w:t xml:space="preserve">the range of </w:t>
      </w:r>
      <w:r w:rsidR="006D5A44">
        <w:t>socioeconomic factors, and socio</w:t>
      </w:r>
      <w:r w:rsidR="00E064C1">
        <w:t xml:space="preserve">cultural and genetic backgrounds </w:t>
      </w:r>
      <w:r w:rsidR="00C263EC">
        <w:t xml:space="preserve">present among Hispanics </w:t>
      </w:r>
      <w:r w:rsidR="00612C73">
        <w:t>are</w:t>
      </w:r>
      <w:r w:rsidR="00C263EC">
        <w:t xml:space="preserve"> therefore expected to </w:t>
      </w:r>
      <w:r w:rsidR="00E064C1">
        <w:t xml:space="preserve">have </w:t>
      </w:r>
      <w:r w:rsidR="002F55B9">
        <w:t xml:space="preserve">varied </w:t>
      </w:r>
      <w:r w:rsidR="00C263EC">
        <w:t>influenc</w:t>
      </w:r>
      <w:r w:rsidR="002F55B9">
        <w:t>es on</w:t>
      </w:r>
      <w:r w:rsidR="00C263EC">
        <w:t xml:space="preserve"> </w:t>
      </w:r>
      <w:r w:rsidR="000376ED">
        <w:t xml:space="preserve">health </w:t>
      </w:r>
      <w:r w:rsidR="002F55B9">
        <w:t>maintenance and disease risk</w:t>
      </w:r>
      <w:r w:rsidR="00C263EC">
        <w:t>.</w:t>
      </w:r>
    </w:p>
    <w:p w14:paraId="3E134BCA" w14:textId="77777777" w:rsidR="00847396" w:rsidRDefault="00847396" w:rsidP="00847396">
      <w:pPr>
        <w:spacing w:before="120" w:line="276" w:lineRule="auto"/>
        <w:ind w:firstLine="720"/>
      </w:pPr>
    </w:p>
    <w:p w14:paraId="58BE3AE7" w14:textId="777EC14B" w:rsidR="00E064C1" w:rsidRDefault="006D5A44" w:rsidP="00847396">
      <w:pPr>
        <w:spacing w:before="120" w:line="276" w:lineRule="auto"/>
        <w:ind w:firstLine="720"/>
      </w:pPr>
      <w:r>
        <w:t>National data show that U.S. Hispanic/Latino populations overall have lower coronary heart disease (CHD) mortality rates than non-Hispanics/Latinos, but have an increased prevalence of obesity and diabetes</w:t>
      </w:r>
      <w:r w:rsidRPr="00265730">
        <w:rPr>
          <w:highlight w:val="yellow"/>
        </w:rPr>
        <w:t xml:space="preserve">. In addition, </w:t>
      </w:r>
      <w:r w:rsidR="00780D83" w:rsidRPr="00265730">
        <w:rPr>
          <w:highlight w:val="yellow"/>
        </w:rPr>
        <w:t xml:space="preserve">the </w:t>
      </w:r>
      <w:r w:rsidR="002F55B9" w:rsidRPr="00265730">
        <w:rPr>
          <w:highlight w:val="yellow"/>
        </w:rPr>
        <w:t xml:space="preserve">Centers for Disease Control and Prevention’s </w:t>
      </w:r>
      <w:r w:rsidR="00780D83" w:rsidRPr="00265730">
        <w:rPr>
          <w:highlight w:val="yellow"/>
        </w:rPr>
        <w:t xml:space="preserve">National Center </w:t>
      </w:r>
      <w:r w:rsidR="002F55B9" w:rsidRPr="00265730">
        <w:rPr>
          <w:highlight w:val="yellow"/>
        </w:rPr>
        <w:t>for</w:t>
      </w:r>
      <w:r w:rsidR="00780D83" w:rsidRPr="00265730">
        <w:rPr>
          <w:highlight w:val="yellow"/>
        </w:rPr>
        <w:t xml:space="preserve"> Health Statistics reported </w:t>
      </w:r>
      <w:r w:rsidR="0007028F" w:rsidRPr="00265730">
        <w:rPr>
          <w:highlight w:val="yellow"/>
        </w:rPr>
        <w:t xml:space="preserve">in </w:t>
      </w:r>
      <w:r w:rsidR="00780D83" w:rsidRPr="00265730">
        <w:rPr>
          <w:highlight w:val="yellow"/>
        </w:rPr>
        <w:t xml:space="preserve">2011 </w:t>
      </w:r>
      <w:r w:rsidRPr="00265730">
        <w:rPr>
          <w:highlight w:val="yellow"/>
        </w:rPr>
        <w:t>that Hispanics</w:t>
      </w:r>
      <w:r w:rsidR="00780D83" w:rsidRPr="00265730">
        <w:rPr>
          <w:highlight w:val="yellow"/>
        </w:rPr>
        <w:t>, especially Hispanic women, had a higher life expectancy any other racial/ethnic group</w:t>
      </w:r>
      <w:r>
        <w:t xml:space="preserve">. </w:t>
      </w:r>
      <w:r w:rsidR="00C24305">
        <w:t xml:space="preserve">These findings raise questions regarding the role that unknown or unmeasured protective factors may be exerting despite the presence of well-known adverse health factors among Hispanics living in the U.S. </w:t>
      </w:r>
      <w:r w:rsidR="00E064C1">
        <w:t xml:space="preserve">Observational data are needed to </w:t>
      </w:r>
      <w:r w:rsidR="00907985">
        <w:t xml:space="preserve">determine which </w:t>
      </w:r>
      <w:r w:rsidR="00E064C1">
        <w:t>changes associated with immigration and acculturation to living in the U.S.</w:t>
      </w:r>
      <w:r w:rsidR="00E94F4A">
        <w:t xml:space="preserve"> are related to protection from or increase</w:t>
      </w:r>
      <w:r w:rsidR="002F55B9">
        <w:t>d</w:t>
      </w:r>
      <w:r w:rsidR="00E94F4A">
        <w:t xml:space="preserve"> </w:t>
      </w:r>
      <w:r w:rsidR="00E064C1">
        <w:t>risk</w:t>
      </w:r>
      <w:r w:rsidR="00E94F4A">
        <w:t xml:space="preserve"> </w:t>
      </w:r>
      <w:r w:rsidR="002F55B9">
        <w:t xml:space="preserve">of disease </w:t>
      </w:r>
      <w:r w:rsidR="00E94F4A">
        <w:t>among Hispanics</w:t>
      </w:r>
      <w:r w:rsidR="00E064C1">
        <w:t xml:space="preserve">, and </w:t>
      </w:r>
      <w:r w:rsidR="001D1142">
        <w:t xml:space="preserve">to </w:t>
      </w:r>
      <w:r w:rsidR="00E064C1">
        <w:t xml:space="preserve">determine how best to prevent the </w:t>
      </w:r>
      <w:r w:rsidR="00E94F4A">
        <w:t xml:space="preserve">changes in </w:t>
      </w:r>
      <w:r w:rsidR="00E064C1">
        <w:t>risk factor</w:t>
      </w:r>
      <w:r w:rsidR="00E94F4A">
        <w:t>s that</w:t>
      </w:r>
      <w:r w:rsidR="00E064C1">
        <w:t xml:space="preserve"> are most harmful to health. Research </w:t>
      </w:r>
      <w:r w:rsidR="00E94F4A">
        <w:t xml:space="preserve">in </w:t>
      </w:r>
      <w:r w:rsidR="00E064C1">
        <w:t xml:space="preserve">various Hispanic/Latino groups with varying periods of residence in the U.S. can identify differences in risk factor associations not identifiable in more homogeneous U.S. populations. If the risk of some diseases, such as </w:t>
      </w:r>
      <w:r w:rsidR="009F223B">
        <w:t>CHD</w:t>
      </w:r>
      <w:r w:rsidR="00E064C1">
        <w:t>, is actually lower in Hispanics/Latinos than in non-Hispanics, or the risk of other diseases, such as asthma, obesity or diabetes</w:t>
      </w:r>
      <w:r w:rsidR="001D1142">
        <w:t>,</w:t>
      </w:r>
      <w:r w:rsidR="00E064C1">
        <w:t xml:space="preserve"> is higher in some Hispanic groups, identification of factors contributing to these differences will be relevant to both Hispanics and non-Hispanics.</w:t>
      </w:r>
    </w:p>
    <w:p w14:paraId="14E68BB5" w14:textId="1883A23D" w:rsidR="00F2597B" w:rsidRPr="00591745" w:rsidRDefault="00F2597B" w:rsidP="00847396">
      <w:pPr>
        <w:spacing w:before="120" w:line="276" w:lineRule="auto"/>
        <w:ind w:firstLine="720"/>
        <w:rPr>
          <w:rFonts w:ascii="Times New (W1)" w:hAnsi="Times New (W1)"/>
          <w:dstrike/>
        </w:rPr>
      </w:pPr>
    </w:p>
    <w:p w14:paraId="6B8A65C9" w14:textId="33062EAB" w:rsidR="00672546" w:rsidRDefault="00B77326" w:rsidP="00847396">
      <w:pPr>
        <w:spacing w:before="120" w:line="276" w:lineRule="auto"/>
        <w:ind w:firstLine="720"/>
        <w:rPr>
          <w:snapToGrid/>
          <w:szCs w:val="24"/>
        </w:rPr>
      </w:pPr>
      <w:r w:rsidRPr="00265730">
        <w:rPr>
          <w:szCs w:val="22"/>
          <w:highlight w:val="yellow"/>
        </w:rPr>
        <w:t xml:space="preserve">The Hispanic Community Health Study/Study of Latinos </w:t>
      </w:r>
      <w:r w:rsidR="0007028F" w:rsidRPr="00265730">
        <w:rPr>
          <w:szCs w:val="22"/>
          <w:highlight w:val="yellow"/>
        </w:rPr>
        <w:t xml:space="preserve">(HCHS/SOL) </w:t>
      </w:r>
      <w:hyperlink r:id="rId12" w:history="1">
        <w:r w:rsidR="00747127" w:rsidRPr="00265730">
          <w:rPr>
            <w:rStyle w:val="Hyperlink"/>
            <w:szCs w:val="22"/>
            <w:highlight w:val="yellow"/>
          </w:rPr>
          <w:t xml:space="preserve">study </w:t>
        </w:r>
        <w:r w:rsidR="00C42B70" w:rsidRPr="00265730">
          <w:rPr>
            <w:rStyle w:val="Hyperlink"/>
            <w:szCs w:val="22"/>
            <w:highlight w:val="yellow"/>
          </w:rPr>
          <w:t>design</w:t>
        </w:r>
      </w:hyperlink>
      <w:r w:rsidR="00C42B70" w:rsidRPr="00265730">
        <w:rPr>
          <w:szCs w:val="22"/>
          <w:highlight w:val="yellow"/>
        </w:rPr>
        <w:t xml:space="preserve"> </w:t>
      </w:r>
      <w:r w:rsidR="00747127" w:rsidRPr="00265730">
        <w:rPr>
          <w:szCs w:val="22"/>
          <w:highlight w:val="yellow"/>
        </w:rPr>
        <w:t xml:space="preserve">and </w:t>
      </w:r>
      <w:hyperlink r:id="rId13" w:history="1">
        <w:r w:rsidR="00747127" w:rsidRPr="00265730">
          <w:rPr>
            <w:rStyle w:val="Hyperlink"/>
            <w:szCs w:val="22"/>
            <w:highlight w:val="yellow"/>
          </w:rPr>
          <w:t>sampling design</w:t>
        </w:r>
      </w:hyperlink>
      <w:r w:rsidR="00747127" w:rsidRPr="00265730">
        <w:rPr>
          <w:szCs w:val="22"/>
          <w:highlight w:val="yellow"/>
        </w:rPr>
        <w:t xml:space="preserve"> were described in our original application submitted in 2008, and have been published in the journal Annals of Epidemiology [</w:t>
      </w:r>
      <w:r w:rsidR="00640165" w:rsidRPr="00265730">
        <w:rPr>
          <w:szCs w:val="22"/>
          <w:highlight w:val="yellow"/>
        </w:rPr>
        <w:t xml:space="preserve"> Sorlie et al and LaVange et al, </w:t>
      </w:r>
      <w:r w:rsidR="0049717C" w:rsidRPr="00265730">
        <w:rPr>
          <w:szCs w:val="22"/>
          <w:highlight w:val="yellow"/>
        </w:rPr>
        <w:t>Appendix 1</w:t>
      </w:r>
      <w:r w:rsidR="00747127" w:rsidRPr="00265730">
        <w:rPr>
          <w:szCs w:val="22"/>
          <w:highlight w:val="yellow"/>
        </w:rPr>
        <w:t xml:space="preserve">].  Following a multi-stage, random sampling of the local communities, over 16,400 individuals who self-identified as Hispanic/Latino were enrolled. </w:t>
      </w:r>
      <w:hyperlink r:id="rId14" w:history="1">
        <w:r w:rsidR="00747127" w:rsidRPr="00265730">
          <w:rPr>
            <w:rStyle w:val="Hyperlink"/>
            <w:szCs w:val="22"/>
            <w:highlight w:val="yellow"/>
          </w:rPr>
          <w:t xml:space="preserve">The breakdown of Hispanic groups </w:t>
        </w:r>
        <w:r w:rsidR="00747127" w:rsidRPr="00265730">
          <w:rPr>
            <w:rStyle w:val="Hyperlink"/>
            <w:szCs w:val="22"/>
            <w:highlight w:val="yellow"/>
          </w:rPr>
          <w:lastRenderedPageBreak/>
          <w:t>represented in the cohort</w:t>
        </w:r>
      </w:hyperlink>
      <w:r w:rsidR="00747127" w:rsidRPr="00265730">
        <w:rPr>
          <w:szCs w:val="22"/>
          <w:highlight w:val="yellow"/>
        </w:rPr>
        <w:t xml:space="preserve"> is 39% Mexican, 16% Puerto Rican, 14% Cuban, 9% Dominican, 6% Central American (mostly Nicaraguans, Guatemalans and Hondurans), 3% South American (mostly Peruvian, Colombian and Ecuadoran), and 3% Hispanics who self-identified with more than one group [</w:t>
      </w:r>
      <w:r w:rsidR="0049717C" w:rsidRPr="00265730">
        <w:rPr>
          <w:szCs w:val="22"/>
          <w:highlight w:val="yellow"/>
        </w:rPr>
        <w:t xml:space="preserve">Daviglus et al, Appendix </w:t>
      </w:r>
      <w:r w:rsidR="00640165" w:rsidRPr="00265730">
        <w:rPr>
          <w:szCs w:val="22"/>
          <w:highlight w:val="yellow"/>
        </w:rPr>
        <w:t>1</w:t>
      </w:r>
      <w:r w:rsidR="00747127" w:rsidRPr="00265730">
        <w:rPr>
          <w:szCs w:val="22"/>
          <w:highlight w:val="yellow"/>
        </w:rPr>
        <w:t>]. While most prior research on Hispanics in the U.S. has concentrated on those of Mexican origin, each Hispanic group has differing place of birth (including U.S.-born), cultural and behavioral traditions, food and nutrition practices, reasons for immigration and, from the little information currently available, health and risk of disease. Thus, research on one group will have not provided answers related to the other groups. The</w:t>
      </w:r>
      <w:r w:rsidR="00747127" w:rsidRPr="00265730">
        <w:rPr>
          <w:i/>
          <w:szCs w:val="22"/>
          <w:highlight w:val="yellow"/>
        </w:rPr>
        <w:t xml:space="preserve"> </w:t>
      </w:r>
      <w:r w:rsidR="0048058C" w:rsidRPr="00265730">
        <w:rPr>
          <w:i/>
          <w:szCs w:val="22"/>
          <w:highlight w:val="yellow"/>
        </w:rPr>
        <w:t>baseline examination</w:t>
      </w:r>
      <w:r w:rsidR="0048058C" w:rsidRPr="00265730">
        <w:rPr>
          <w:szCs w:val="22"/>
          <w:highlight w:val="yellow"/>
        </w:rPr>
        <w:t xml:space="preserve"> </w:t>
      </w:r>
      <w:r w:rsidR="00F454EA" w:rsidRPr="00265730">
        <w:rPr>
          <w:szCs w:val="22"/>
          <w:highlight w:val="yellow"/>
        </w:rPr>
        <w:t>consisted of</w:t>
      </w:r>
      <w:r w:rsidR="0048058C" w:rsidRPr="00265730">
        <w:rPr>
          <w:szCs w:val="22"/>
          <w:highlight w:val="yellow"/>
        </w:rPr>
        <w:t xml:space="preserve"> </w:t>
      </w:r>
      <w:r w:rsidR="00F454EA" w:rsidRPr="00265730">
        <w:rPr>
          <w:szCs w:val="22"/>
          <w:highlight w:val="yellow"/>
        </w:rPr>
        <w:t>a very</w:t>
      </w:r>
      <w:r w:rsidRPr="00265730">
        <w:rPr>
          <w:szCs w:val="22"/>
          <w:highlight w:val="yellow"/>
        </w:rPr>
        <w:t xml:space="preserve"> comprehensive </w:t>
      </w:r>
      <w:r w:rsidR="008665EA" w:rsidRPr="00265730">
        <w:rPr>
          <w:szCs w:val="22"/>
          <w:highlight w:val="yellow"/>
        </w:rPr>
        <w:t>data collection</w:t>
      </w:r>
      <w:r w:rsidRPr="00265730">
        <w:rPr>
          <w:szCs w:val="22"/>
          <w:highlight w:val="yellow"/>
        </w:rPr>
        <w:t xml:space="preserve">, utilizing questionnaires </w:t>
      </w:r>
      <w:r w:rsidR="00F454EA" w:rsidRPr="00265730">
        <w:rPr>
          <w:szCs w:val="22"/>
          <w:highlight w:val="yellow"/>
        </w:rPr>
        <w:t xml:space="preserve">and measurements of </w:t>
      </w:r>
      <w:r w:rsidRPr="00265730">
        <w:rPr>
          <w:szCs w:val="22"/>
          <w:highlight w:val="yellow"/>
        </w:rPr>
        <w:t>risk factors</w:t>
      </w:r>
      <w:r w:rsidR="00F454EA" w:rsidRPr="00265730">
        <w:rPr>
          <w:szCs w:val="22"/>
          <w:highlight w:val="yellow"/>
        </w:rPr>
        <w:t xml:space="preserve"> and select diseases that included </w:t>
      </w:r>
      <w:r w:rsidR="0007028F" w:rsidRPr="00265730">
        <w:rPr>
          <w:szCs w:val="22"/>
          <w:highlight w:val="yellow"/>
        </w:rPr>
        <w:t xml:space="preserve">clinical </w:t>
      </w:r>
      <w:r w:rsidR="00B513BE" w:rsidRPr="00265730">
        <w:rPr>
          <w:szCs w:val="22"/>
          <w:highlight w:val="yellow"/>
        </w:rPr>
        <w:t xml:space="preserve">measures </w:t>
      </w:r>
      <w:r w:rsidR="00F454EA" w:rsidRPr="00265730">
        <w:rPr>
          <w:szCs w:val="22"/>
          <w:highlight w:val="yellow"/>
        </w:rPr>
        <w:t xml:space="preserve">and biospecimen collection (serum, plasma, whole blood, urine </w:t>
      </w:r>
      <w:r w:rsidR="00307B38" w:rsidRPr="00265730">
        <w:rPr>
          <w:szCs w:val="22"/>
          <w:highlight w:val="yellow"/>
        </w:rPr>
        <w:t xml:space="preserve">and </w:t>
      </w:r>
      <w:r w:rsidR="00F454EA" w:rsidRPr="00265730">
        <w:rPr>
          <w:szCs w:val="22"/>
          <w:highlight w:val="yellow"/>
        </w:rPr>
        <w:t>DNA</w:t>
      </w:r>
      <w:r w:rsidR="0007028F" w:rsidRPr="00265730">
        <w:rPr>
          <w:szCs w:val="22"/>
          <w:highlight w:val="yellow"/>
        </w:rPr>
        <w:t>/RNA</w:t>
      </w:r>
      <w:r w:rsidR="00F454EA" w:rsidRPr="00265730">
        <w:rPr>
          <w:szCs w:val="22"/>
          <w:highlight w:val="yellow"/>
        </w:rPr>
        <w:t>)</w:t>
      </w:r>
      <w:r w:rsidR="0007028F" w:rsidRPr="00265730">
        <w:rPr>
          <w:szCs w:val="22"/>
          <w:highlight w:val="yellow"/>
        </w:rPr>
        <w:t>.</w:t>
      </w:r>
      <w:r w:rsidR="00F454EA" w:rsidRPr="00265730">
        <w:rPr>
          <w:szCs w:val="22"/>
          <w:highlight w:val="yellow"/>
        </w:rPr>
        <w:t xml:space="preserve"> </w:t>
      </w:r>
      <w:r w:rsidRPr="00265730">
        <w:rPr>
          <w:szCs w:val="22"/>
          <w:highlight w:val="yellow"/>
        </w:rPr>
        <w:t xml:space="preserve"> </w:t>
      </w:r>
      <w:r w:rsidR="00672546" w:rsidRPr="00265730">
        <w:rPr>
          <w:snapToGrid/>
          <w:szCs w:val="24"/>
          <w:highlight w:val="yellow"/>
        </w:rPr>
        <w:t xml:space="preserve">The data collected and measurements performed at baseline </w:t>
      </w:r>
      <w:r w:rsidR="00637FE7" w:rsidRPr="00265730">
        <w:rPr>
          <w:snapToGrid/>
          <w:szCs w:val="24"/>
          <w:highlight w:val="yellow"/>
        </w:rPr>
        <w:t>are under active analysis and publication,</w:t>
      </w:r>
      <w:r w:rsidR="00672546" w:rsidRPr="00265730">
        <w:rPr>
          <w:snapToGrid/>
          <w:szCs w:val="24"/>
          <w:highlight w:val="yellow"/>
        </w:rPr>
        <w:t xml:space="preserve"> considering </w:t>
      </w:r>
      <w:r w:rsidR="00637FE7" w:rsidRPr="00265730">
        <w:rPr>
          <w:snapToGrid/>
          <w:szCs w:val="24"/>
          <w:highlight w:val="yellow"/>
        </w:rPr>
        <w:t>several</w:t>
      </w:r>
      <w:r w:rsidR="00672546" w:rsidRPr="00265730">
        <w:rPr>
          <w:snapToGrid/>
          <w:szCs w:val="24"/>
          <w:highlight w:val="yellow"/>
        </w:rPr>
        <w:t xml:space="preserve"> analy</w:t>
      </w:r>
      <w:r w:rsidR="006A01DE" w:rsidRPr="00265730">
        <w:rPr>
          <w:snapToGrid/>
          <w:szCs w:val="24"/>
          <w:highlight w:val="yellow"/>
        </w:rPr>
        <w:t>tical approaches</w:t>
      </w:r>
      <w:r w:rsidR="00B513BE" w:rsidRPr="00265730">
        <w:rPr>
          <w:snapToGrid/>
          <w:szCs w:val="24"/>
          <w:highlight w:val="yellow"/>
        </w:rPr>
        <w:t xml:space="preserve">, </w:t>
      </w:r>
      <w:r w:rsidR="008665EA" w:rsidRPr="00265730">
        <w:rPr>
          <w:snapToGrid/>
          <w:szCs w:val="24"/>
          <w:highlight w:val="yellow"/>
        </w:rPr>
        <w:t>as</w:t>
      </w:r>
      <w:r w:rsidR="00672546" w:rsidRPr="00265730">
        <w:rPr>
          <w:snapToGrid/>
          <w:szCs w:val="24"/>
          <w:highlight w:val="yellow"/>
        </w:rPr>
        <w:t xml:space="preserve"> applicable to the </w:t>
      </w:r>
      <w:r w:rsidR="008665EA" w:rsidRPr="00265730">
        <w:rPr>
          <w:snapToGrid/>
          <w:szCs w:val="24"/>
          <w:highlight w:val="yellow"/>
        </w:rPr>
        <w:t xml:space="preserve">specific </w:t>
      </w:r>
      <w:r w:rsidR="00672546" w:rsidRPr="00265730">
        <w:rPr>
          <w:snapToGrid/>
          <w:szCs w:val="24"/>
          <w:highlight w:val="yellow"/>
        </w:rPr>
        <w:t xml:space="preserve">research question.  </w:t>
      </w:r>
      <w:r w:rsidR="00637FE7" w:rsidRPr="00265730">
        <w:rPr>
          <w:snapToGrid/>
          <w:szCs w:val="24"/>
          <w:highlight w:val="yellow"/>
        </w:rPr>
        <w:t>For example</w:t>
      </w:r>
      <w:r w:rsidR="00672546" w:rsidRPr="00265730">
        <w:rPr>
          <w:snapToGrid/>
          <w:szCs w:val="24"/>
          <w:highlight w:val="yellow"/>
        </w:rPr>
        <w:t xml:space="preserve">, the study sample supports </w:t>
      </w:r>
      <w:r w:rsidR="00637FE7" w:rsidRPr="00265730">
        <w:rPr>
          <w:snapToGrid/>
          <w:szCs w:val="24"/>
          <w:highlight w:val="yellow"/>
        </w:rPr>
        <w:t xml:space="preserve">the cross-sectional analysis of </w:t>
      </w:r>
      <w:r w:rsidR="00672546" w:rsidRPr="00265730">
        <w:rPr>
          <w:snapToGrid/>
          <w:szCs w:val="24"/>
          <w:highlight w:val="yellow"/>
        </w:rPr>
        <w:t xml:space="preserve">the prevalence </w:t>
      </w:r>
      <w:r w:rsidR="008665EA" w:rsidRPr="00265730">
        <w:rPr>
          <w:snapToGrid/>
          <w:szCs w:val="24"/>
          <w:highlight w:val="yellow"/>
        </w:rPr>
        <w:t>and distribution</w:t>
      </w:r>
      <w:r w:rsidR="00672546" w:rsidRPr="00265730">
        <w:rPr>
          <w:snapToGrid/>
          <w:szCs w:val="24"/>
          <w:highlight w:val="yellow"/>
        </w:rPr>
        <w:t xml:space="preserve"> of baseline risk factors </w:t>
      </w:r>
      <w:r w:rsidR="008665EA" w:rsidRPr="00265730">
        <w:rPr>
          <w:snapToGrid/>
          <w:szCs w:val="24"/>
          <w:highlight w:val="yellow"/>
        </w:rPr>
        <w:t xml:space="preserve">and diagnosed diseases </w:t>
      </w:r>
      <w:r w:rsidR="00637FE7" w:rsidRPr="00265730">
        <w:rPr>
          <w:snapToGrid/>
          <w:szCs w:val="24"/>
          <w:highlight w:val="yellow"/>
        </w:rPr>
        <w:t xml:space="preserve">among different age, gender and Hispanic groups, and/or Field Center. </w:t>
      </w:r>
      <w:r w:rsidR="0007028F" w:rsidRPr="00265730">
        <w:rPr>
          <w:snapToGrid/>
          <w:szCs w:val="24"/>
          <w:highlight w:val="yellow"/>
        </w:rPr>
        <w:t>In addition,</w:t>
      </w:r>
      <w:r w:rsidR="00672546" w:rsidRPr="00265730">
        <w:rPr>
          <w:snapToGrid/>
          <w:szCs w:val="24"/>
          <w:highlight w:val="yellow"/>
        </w:rPr>
        <w:t xml:space="preserve"> the study sample </w:t>
      </w:r>
      <w:r w:rsidR="0007028F" w:rsidRPr="00265730">
        <w:rPr>
          <w:snapToGrid/>
          <w:szCs w:val="24"/>
          <w:highlight w:val="yellow"/>
        </w:rPr>
        <w:t xml:space="preserve">size </w:t>
      </w:r>
      <w:r w:rsidR="00672546" w:rsidRPr="00265730">
        <w:rPr>
          <w:snapToGrid/>
          <w:szCs w:val="24"/>
          <w:highlight w:val="yellow"/>
        </w:rPr>
        <w:t>supports evaluation of the relationships between the various risk factors, demographic factors, cultural factors</w:t>
      </w:r>
      <w:r w:rsidR="008665EA" w:rsidRPr="00265730">
        <w:rPr>
          <w:snapToGrid/>
          <w:szCs w:val="24"/>
          <w:highlight w:val="yellow"/>
        </w:rPr>
        <w:t>, and prevalent diseases identified</w:t>
      </w:r>
      <w:r w:rsidR="00672546" w:rsidRPr="00265730">
        <w:rPr>
          <w:snapToGrid/>
          <w:szCs w:val="24"/>
          <w:highlight w:val="yellow"/>
        </w:rPr>
        <w:t xml:space="preserve"> at baseline.</w:t>
      </w:r>
      <w:r w:rsidR="00672546" w:rsidRPr="002D702D">
        <w:rPr>
          <w:snapToGrid/>
          <w:szCs w:val="24"/>
        </w:rPr>
        <w:t xml:space="preserve"> </w:t>
      </w:r>
    </w:p>
    <w:p w14:paraId="3D7A4331" w14:textId="77777777" w:rsidR="0007028F" w:rsidRDefault="0007028F" w:rsidP="00847396">
      <w:pPr>
        <w:spacing w:before="120" w:line="276" w:lineRule="auto"/>
        <w:ind w:firstLine="720"/>
        <w:rPr>
          <w:snapToGrid/>
          <w:szCs w:val="24"/>
        </w:rPr>
      </w:pPr>
    </w:p>
    <w:p w14:paraId="376FB15A" w14:textId="18CF8147" w:rsidR="00672546" w:rsidRDefault="003320D7" w:rsidP="00847396">
      <w:pPr>
        <w:widowControl/>
        <w:autoSpaceDE w:val="0"/>
        <w:autoSpaceDN w:val="0"/>
        <w:adjustRightInd w:val="0"/>
        <w:spacing w:before="120" w:line="276" w:lineRule="auto"/>
        <w:ind w:firstLine="720"/>
        <w:rPr>
          <w:snapToGrid/>
          <w:szCs w:val="24"/>
        </w:rPr>
      </w:pPr>
      <w:r w:rsidRPr="00265730">
        <w:rPr>
          <w:highlight w:val="yellow"/>
        </w:rPr>
        <w:t xml:space="preserve">Upon completion of the baseline examination, </w:t>
      </w:r>
      <w:r w:rsidRPr="00265730">
        <w:rPr>
          <w:i/>
          <w:highlight w:val="yellow"/>
        </w:rPr>
        <w:t>the longitudinal component</w:t>
      </w:r>
      <w:r w:rsidRPr="00265730">
        <w:rPr>
          <w:highlight w:val="yellow"/>
        </w:rPr>
        <w:t xml:space="preserve"> of the study was initiated.</w:t>
      </w:r>
      <w:r w:rsidR="00731955" w:rsidRPr="00265730">
        <w:rPr>
          <w:snapToGrid/>
          <w:szCs w:val="24"/>
          <w:highlight w:val="yellow"/>
        </w:rPr>
        <w:t xml:space="preserve"> </w:t>
      </w:r>
      <w:r w:rsidRPr="00265730">
        <w:rPr>
          <w:highlight w:val="yellow"/>
        </w:rPr>
        <w:t>The relationship between cardiovascular risk or protective profile and cardiovascular events, for example, would only be understood through a</w:t>
      </w:r>
      <w:r w:rsidR="00C772FF" w:rsidRPr="00265730">
        <w:rPr>
          <w:highlight w:val="yellow"/>
        </w:rPr>
        <w:t xml:space="preserve"> longitudinal</w:t>
      </w:r>
      <w:r w:rsidRPr="00265730">
        <w:rPr>
          <w:highlight w:val="yellow"/>
        </w:rPr>
        <w:t xml:space="preserve"> observational phase and systematic ascertainment of select endpoints. Before the inception of the HCHS/SOL, knowledge about cardiovascular mortality and its risk factors among Hispanics in the U.S. was based on studies of Mexican or Mexican American communities or national death data.  </w:t>
      </w:r>
      <w:r w:rsidR="0048058C" w:rsidRPr="00265730">
        <w:rPr>
          <w:highlight w:val="yellow"/>
        </w:rPr>
        <w:t>The HCHS/SOL, as a l</w:t>
      </w:r>
      <w:r w:rsidR="00591745" w:rsidRPr="00265730">
        <w:rPr>
          <w:rFonts w:ascii="Times New (W1)" w:hAnsi="Times New (W1)"/>
          <w:highlight w:val="yellow"/>
        </w:rPr>
        <w:t xml:space="preserve">ongitudinal cohort </w:t>
      </w:r>
      <w:r w:rsidR="0048058C" w:rsidRPr="00265730">
        <w:rPr>
          <w:rFonts w:ascii="Times New (W1)" w:hAnsi="Times New (W1)"/>
          <w:highlight w:val="yellow"/>
        </w:rPr>
        <w:t xml:space="preserve">study </w:t>
      </w:r>
      <w:r w:rsidR="00591745" w:rsidRPr="00265730">
        <w:rPr>
          <w:rFonts w:ascii="Times New (W1)" w:hAnsi="Times New (W1)"/>
          <w:highlight w:val="yellow"/>
        </w:rPr>
        <w:t xml:space="preserve">in Hispanic/Latino </w:t>
      </w:r>
      <w:r w:rsidR="0048058C" w:rsidRPr="00265730">
        <w:rPr>
          <w:rFonts w:ascii="Times New (W1)" w:hAnsi="Times New (W1)"/>
          <w:highlight w:val="yellow"/>
        </w:rPr>
        <w:t>health</w:t>
      </w:r>
      <w:r w:rsidR="00637FE7" w:rsidRPr="00265730">
        <w:rPr>
          <w:rFonts w:ascii="Times New (W1)" w:hAnsi="Times New (W1)"/>
          <w:highlight w:val="yellow"/>
        </w:rPr>
        <w:t>,</w:t>
      </w:r>
      <w:r w:rsidR="0048058C" w:rsidRPr="00265730">
        <w:rPr>
          <w:rFonts w:ascii="Times New (W1)" w:hAnsi="Times New (W1)"/>
          <w:highlight w:val="yellow"/>
        </w:rPr>
        <w:t xml:space="preserve"> meets the need</w:t>
      </w:r>
      <w:r w:rsidR="00591745" w:rsidRPr="00265730">
        <w:rPr>
          <w:rFonts w:ascii="Times New (W1)" w:hAnsi="Times New (W1)"/>
          <w:highlight w:val="yellow"/>
        </w:rPr>
        <w:t xml:space="preserve"> </w:t>
      </w:r>
      <w:r w:rsidR="00EE577E" w:rsidRPr="00265730">
        <w:rPr>
          <w:rFonts w:ascii="Times New (W1)" w:hAnsi="Times New (W1)"/>
          <w:highlight w:val="yellow"/>
        </w:rPr>
        <w:t>about understanding</w:t>
      </w:r>
      <w:r w:rsidR="00591745" w:rsidRPr="00265730">
        <w:rPr>
          <w:rFonts w:ascii="Times New (W1)" w:hAnsi="Times New (W1)"/>
          <w:highlight w:val="yellow"/>
        </w:rPr>
        <w:t xml:space="preserve"> the development of risk factors and disease </w:t>
      </w:r>
      <w:r w:rsidR="00FD7BF0" w:rsidRPr="00265730">
        <w:rPr>
          <w:rFonts w:ascii="Times New (W1)" w:hAnsi="Times New (W1)"/>
          <w:highlight w:val="yellow"/>
        </w:rPr>
        <w:t>among</w:t>
      </w:r>
      <w:r w:rsidR="00A34580" w:rsidRPr="00265730">
        <w:rPr>
          <w:rFonts w:ascii="Times New (W1)" w:hAnsi="Times New (W1)"/>
          <w:highlight w:val="yellow"/>
        </w:rPr>
        <w:t xml:space="preserve"> </w:t>
      </w:r>
      <w:r w:rsidR="00FD7BF0" w:rsidRPr="00265730">
        <w:rPr>
          <w:rFonts w:ascii="Times New (W1)" w:hAnsi="Times New (W1)"/>
          <w:highlight w:val="yellow"/>
        </w:rPr>
        <w:t xml:space="preserve">diverse </w:t>
      </w:r>
      <w:r w:rsidR="00A34580" w:rsidRPr="00265730">
        <w:rPr>
          <w:rFonts w:ascii="Times New (W1)" w:hAnsi="Times New (W1)"/>
          <w:highlight w:val="yellow"/>
        </w:rPr>
        <w:t xml:space="preserve">Hispanic </w:t>
      </w:r>
      <w:r w:rsidR="00591745" w:rsidRPr="00265730">
        <w:rPr>
          <w:rFonts w:ascii="Times New (W1)" w:hAnsi="Times New (W1)"/>
          <w:highlight w:val="yellow"/>
        </w:rPr>
        <w:t xml:space="preserve">populations.  </w:t>
      </w:r>
      <w:r w:rsidR="00342548" w:rsidRPr="00265730">
        <w:rPr>
          <w:snapToGrid/>
          <w:szCs w:val="24"/>
          <w:highlight w:val="yellow"/>
        </w:rPr>
        <w:t>However, the number of cardiovascular incidents that happened during the planned follow-up period (average of three-and-a-half years) of the first study phase was too small (less than 100) for appropriately powered correlation analyses, but is consistent with lower rates of cardiovascular disease reported for Hispanics than is seen in the general population.</w:t>
      </w:r>
    </w:p>
    <w:p w14:paraId="52F3A1BC" w14:textId="77777777" w:rsidR="00B77326" w:rsidRDefault="00B77326" w:rsidP="00847396">
      <w:pPr>
        <w:spacing w:before="120" w:line="276" w:lineRule="auto"/>
        <w:ind w:firstLine="720"/>
        <w:rPr>
          <w:rFonts w:ascii="Times New (W1)" w:hAnsi="Times New (W1)"/>
        </w:rPr>
      </w:pPr>
    </w:p>
    <w:p w14:paraId="38A301F5" w14:textId="016B4A84" w:rsidR="0017500D" w:rsidRPr="00265730" w:rsidRDefault="00AE7263" w:rsidP="00847396">
      <w:pPr>
        <w:widowControl/>
        <w:autoSpaceDE w:val="0"/>
        <w:autoSpaceDN w:val="0"/>
        <w:adjustRightInd w:val="0"/>
        <w:spacing w:before="120" w:line="276" w:lineRule="auto"/>
        <w:ind w:firstLine="720"/>
        <w:rPr>
          <w:snapToGrid/>
          <w:szCs w:val="24"/>
          <w:highlight w:val="yellow"/>
        </w:rPr>
      </w:pPr>
      <w:r w:rsidRPr="00265730">
        <w:rPr>
          <w:snapToGrid/>
          <w:szCs w:val="24"/>
          <w:highlight w:val="yellow"/>
        </w:rPr>
        <w:t xml:space="preserve">Therefore, </w:t>
      </w:r>
      <w:r w:rsidR="00185DB2" w:rsidRPr="00265730">
        <w:rPr>
          <w:snapToGrid/>
          <w:szCs w:val="24"/>
          <w:highlight w:val="yellow"/>
        </w:rPr>
        <w:t xml:space="preserve">in 2011, the National Heart, Lung, and Blood Institute </w:t>
      </w:r>
      <w:r w:rsidR="003D43DA" w:rsidRPr="00265730">
        <w:rPr>
          <w:snapToGrid/>
          <w:szCs w:val="24"/>
          <w:highlight w:val="yellow"/>
        </w:rPr>
        <w:t xml:space="preserve">(NHLBI) </w:t>
      </w:r>
      <w:r w:rsidR="00185DB2" w:rsidRPr="00265730">
        <w:rPr>
          <w:snapToGrid/>
          <w:szCs w:val="24"/>
          <w:highlight w:val="yellow"/>
        </w:rPr>
        <w:t>approved the renew</w:t>
      </w:r>
      <w:r w:rsidR="00BE4A93" w:rsidRPr="00265730">
        <w:rPr>
          <w:snapToGrid/>
          <w:szCs w:val="24"/>
          <w:highlight w:val="yellow"/>
        </w:rPr>
        <w:t>al</w:t>
      </w:r>
      <w:r w:rsidR="00185DB2" w:rsidRPr="00265730">
        <w:rPr>
          <w:snapToGrid/>
          <w:szCs w:val="24"/>
          <w:highlight w:val="yellow"/>
        </w:rPr>
        <w:t xml:space="preserve"> the funding of the HCHS/SOL. </w:t>
      </w:r>
      <w:r w:rsidR="0047754B" w:rsidRPr="00265730">
        <w:rPr>
          <w:snapToGrid/>
          <w:szCs w:val="24"/>
          <w:highlight w:val="yellow"/>
        </w:rPr>
        <w:t xml:space="preserve">This new study </w:t>
      </w:r>
      <w:r w:rsidR="00BE4A93" w:rsidRPr="00265730">
        <w:rPr>
          <w:snapToGrid/>
          <w:szCs w:val="24"/>
          <w:highlight w:val="yellow"/>
        </w:rPr>
        <w:t xml:space="preserve">phase </w:t>
      </w:r>
      <w:r w:rsidR="0047754B" w:rsidRPr="00265730">
        <w:rPr>
          <w:snapToGrid/>
          <w:szCs w:val="24"/>
          <w:highlight w:val="yellow"/>
        </w:rPr>
        <w:t xml:space="preserve">will have three main components: </w:t>
      </w:r>
      <w:r w:rsidR="006A01DE" w:rsidRPr="00265730">
        <w:rPr>
          <w:snapToGrid/>
          <w:szCs w:val="24"/>
          <w:highlight w:val="yellow"/>
        </w:rPr>
        <w:t xml:space="preserve">continuation of the </w:t>
      </w:r>
      <w:r w:rsidR="0047754B" w:rsidRPr="00265730">
        <w:rPr>
          <w:snapToGrid/>
          <w:szCs w:val="24"/>
          <w:highlight w:val="yellow"/>
        </w:rPr>
        <w:t xml:space="preserve">longitudinal follow-up, re-assessment of select </w:t>
      </w:r>
      <w:r w:rsidR="00835FC8" w:rsidRPr="00265730">
        <w:rPr>
          <w:snapToGrid/>
          <w:szCs w:val="24"/>
          <w:highlight w:val="yellow"/>
        </w:rPr>
        <w:t xml:space="preserve">cardiovascular </w:t>
      </w:r>
      <w:r w:rsidR="0047754B" w:rsidRPr="00265730">
        <w:rPr>
          <w:snapToGrid/>
          <w:szCs w:val="24"/>
          <w:highlight w:val="yellow"/>
        </w:rPr>
        <w:t xml:space="preserve">variables evaluated at baseline, and the assessment of new variables. </w:t>
      </w:r>
    </w:p>
    <w:p w14:paraId="664FE8C0" w14:textId="4C6FC392" w:rsidR="0017500D" w:rsidRPr="00265730" w:rsidRDefault="0017500D" w:rsidP="00847396">
      <w:pPr>
        <w:widowControl/>
        <w:autoSpaceDE w:val="0"/>
        <w:autoSpaceDN w:val="0"/>
        <w:adjustRightInd w:val="0"/>
        <w:spacing w:before="120" w:line="276" w:lineRule="auto"/>
        <w:ind w:firstLine="720"/>
        <w:rPr>
          <w:snapToGrid/>
          <w:szCs w:val="24"/>
          <w:highlight w:val="yellow"/>
        </w:rPr>
      </w:pPr>
    </w:p>
    <w:p w14:paraId="22A10124" w14:textId="75E9088C" w:rsidR="0017500D" w:rsidRPr="00265730" w:rsidRDefault="00185DB2" w:rsidP="00847396">
      <w:pPr>
        <w:widowControl/>
        <w:autoSpaceDE w:val="0"/>
        <w:autoSpaceDN w:val="0"/>
        <w:adjustRightInd w:val="0"/>
        <w:spacing w:before="120" w:line="276" w:lineRule="auto"/>
        <w:ind w:firstLine="720"/>
        <w:rPr>
          <w:snapToGrid/>
          <w:szCs w:val="24"/>
          <w:highlight w:val="yellow"/>
        </w:rPr>
      </w:pPr>
      <w:r w:rsidRPr="00265730">
        <w:rPr>
          <w:snapToGrid/>
          <w:szCs w:val="24"/>
          <w:highlight w:val="yellow"/>
        </w:rPr>
        <w:t>T</w:t>
      </w:r>
      <w:r w:rsidR="00AE7263" w:rsidRPr="00265730">
        <w:rPr>
          <w:snapToGrid/>
          <w:szCs w:val="24"/>
          <w:highlight w:val="yellow"/>
        </w:rPr>
        <w:t xml:space="preserve">he </w:t>
      </w:r>
      <w:r w:rsidR="00AE7263" w:rsidRPr="00265730">
        <w:rPr>
          <w:i/>
          <w:snapToGrid/>
          <w:szCs w:val="24"/>
          <w:highlight w:val="yellow"/>
        </w:rPr>
        <w:t>continuation of the longitudinal phase</w:t>
      </w:r>
      <w:r w:rsidR="00AE7263" w:rsidRPr="00265730">
        <w:rPr>
          <w:snapToGrid/>
          <w:szCs w:val="24"/>
          <w:highlight w:val="yellow"/>
        </w:rPr>
        <w:t xml:space="preserve"> of this unique cohort of Hispanic individuals </w:t>
      </w:r>
      <w:r w:rsidR="001A0E54" w:rsidRPr="00265730">
        <w:rPr>
          <w:snapToGrid/>
          <w:szCs w:val="24"/>
          <w:highlight w:val="yellow"/>
        </w:rPr>
        <w:t xml:space="preserve">will allow for a better powered analysis of the relationship between baseline </w:t>
      </w:r>
      <w:r w:rsidR="0047754B" w:rsidRPr="00265730">
        <w:rPr>
          <w:snapToGrid/>
          <w:szCs w:val="24"/>
          <w:highlight w:val="yellow"/>
        </w:rPr>
        <w:t xml:space="preserve">general health and </w:t>
      </w:r>
      <w:r w:rsidR="001A0E54" w:rsidRPr="00265730">
        <w:rPr>
          <w:snapToGrid/>
          <w:szCs w:val="24"/>
          <w:highlight w:val="yellow"/>
        </w:rPr>
        <w:lastRenderedPageBreak/>
        <w:t>cardiovascular profile and incident events,</w:t>
      </w:r>
      <w:r w:rsidR="0047754B" w:rsidRPr="00265730">
        <w:rPr>
          <w:snapToGrid/>
          <w:szCs w:val="24"/>
          <w:highlight w:val="yellow"/>
        </w:rPr>
        <w:t xml:space="preserve"> specifically all-cause mortality, and fatal and non-fatal heart, stroke and pulmonary events. </w:t>
      </w:r>
      <w:r w:rsidR="00110722" w:rsidRPr="00265730">
        <w:rPr>
          <w:snapToGrid/>
          <w:szCs w:val="24"/>
          <w:highlight w:val="yellow"/>
        </w:rPr>
        <w:t xml:space="preserve">At baseline, approximately </w:t>
      </w:r>
      <w:r w:rsidR="00906A06" w:rsidRPr="00265730">
        <w:rPr>
          <w:snapToGrid/>
          <w:szCs w:val="24"/>
          <w:highlight w:val="yellow"/>
        </w:rPr>
        <w:t>53</w:t>
      </w:r>
      <w:r w:rsidR="00110722" w:rsidRPr="00265730">
        <w:rPr>
          <w:snapToGrid/>
          <w:szCs w:val="24"/>
          <w:highlight w:val="yellow"/>
        </w:rPr>
        <w:t xml:space="preserve">% of </w:t>
      </w:r>
      <w:r w:rsidR="00906A06" w:rsidRPr="00265730">
        <w:rPr>
          <w:snapToGrid/>
          <w:szCs w:val="24"/>
          <w:highlight w:val="yellow"/>
        </w:rPr>
        <w:t>individuals aged 18-64 years had health insurance, whereas approximately 83% of those 65 years or older did.</w:t>
      </w:r>
      <w:r w:rsidR="00110722" w:rsidRPr="00265730">
        <w:rPr>
          <w:snapToGrid/>
          <w:szCs w:val="24"/>
          <w:highlight w:val="yellow"/>
        </w:rPr>
        <w:t xml:space="preserve"> </w:t>
      </w:r>
      <w:r w:rsidR="00C772FF" w:rsidRPr="00265730">
        <w:rPr>
          <w:snapToGrid/>
          <w:szCs w:val="24"/>
          <w:highlight w:val="yellow"/>
        </w:rPr>
        <w:t>T</w:t>
      </w:r>
      <w:r w:rsidR="00B41B71" w:rsidRPr="00265730">
        <w:rPr>
          <w:snapToGrid/>
          <w:szCs w:val="24"/>
          <w:highlight w:val="yellow"/>
        </w:rPr>
        <w:t xml:space="preserve">he continuation of the </w:t>
      </w:r>
      <w:r w:rsidR="0047754B" w:rsidRPr="00265730">
        <w:rPr>
          <w:snapToGrid/>
          <w:szCs w:val="24"/>
          <w:highlight w:val="yellow"/>
        </w:rPr>
        <w:t>longitudinal phase w</w:t>
      </w:r>
      <w:r w:rsidR="00B41B71" w:rsidRPr="00265730">
        <w:rPr>
          <w:snapToGrid/>
          <w:szCs w:val="24"/>
          <w:highlight w:val="yellow"/>
        </w:rPr>
        <w:t>ill provide the opportunity for more</w:t>
      </w:r>
      <w:r w:rsidR="001A0E54" w:rsidRPr="00265730">
        <w:rPr>
          <w:snapToGrid/>
          <w:szCs w:val="24"/>
          <w:highlight w:val="yellow"/>
        </w:rPr>
        <w:t xml:space="preserve"> detailed and complex analysis of other cohort characteristics, for example, </w:t>
      </w:r>
      <w:r w:rsidR="00B41B71" w:rsidRPr="00265730">
        <w:rPr>
          <w:snapToGrid/>
          <w:szCs w:val="24"/>
          <w:highlight w:val="yellow"/>
        </w:rPr>
        <w:t xml:space="preserve">the relationship between health insurance status and </w:t>
      </w:r>
      <w:r w:rsidR="001A0E54" w:rsidRPr="00265730">
        <w:rPr>
          <w:snapToGrid/>
          <w:szCs w:val="24"/>
          <w:highlight w:val="yellow"/>
        </w:rPr>
        <w:t>access to health care</w:t>
      </w:r>
      <w:r w:rsidR="00B41B71" w:rsidRPr="00265730">
        <w:rPr>
          <w:snapToGrid/>
          <w:szCs w:val="24"/>
          <w:highlight w:val="yellow"/>
        </w:rPr>
        <w:t xml:space="preserve"> and select </w:t>
      </w:r>
      <w:r w:rsidR="006A01DE" w:rsidRPr="00265730">
        <w:rPr>
          <w:snapToGrid/>
          <w:szCs w:val="24"/>
          <w:highlight w:val="yellow"/>
        </w:rPr>
        <w:t xml:space="preserve">health </w:t>
      </w:r>
      <w:r w:rsidR="00B41B71" w:rsidRPr="00265730">
        <w:rPr>
          <w:snapToGrid/>
          <w:szCs w:val="24"/>
          <w:highlight w:val="yellow"/>
        </w:rPr>
        <w:t>endpoints</w:t>
      </w:r>
      <w:r w:rsidR="001A0E54" w:rsidRPr="00265730">
        <w:rPr>
          <w:snapToGrid/>
          <w:szCs w:val="24"/>
          <w:highlight w:val="yellow"/>
        </w:rPr>
        <w:t xml:space="preserve">. </w:t>
      </w:r>
    </w:p>
    <w:p w14:paraId="7198EA25" w14:textId="77777777" w:rsidR="0017500D" w:rsidRPr="00265730" w:rsidRDefault="0017500D" w:rsidP="00847396">
      <w:pPr>
        <w:widowControl/>
        <w:autoSpaceDE w:val="0"/>
        <w:autoSpaceDN w:val="0"/>
        <w:adjustRightInd w:val="0"/>
        <w:spacing w:before="120" w:line="276" w:lineRule="auto"/>
        <w:ind w:firstLine="720"/>
        <w:rPr>
          <w:snapToGrid/>
          <w:szCs w:val="24"/>
          <w:highlight w:val="yellow"/>
        </w:rPr>
      </w:pPr>
    </w:p>
    <w:p w14:paraId="46413EC4" w14:textId="506507C9" w:rsidR="0017500D" w:rsidRPr="00265730" w:rsidRDefault="001A0E54" w:rsidP="00847396">
      <w:pPr>
        <w:widowControl/>
        <w:autoSpaceDE w:val="0"/>
        <w:autoSpaceDN w:val="0"/>
        <w:adjustRightInd w:val="0"/>
        <w:spacing w:before="120" w:line="276" w:lineRule="auto"/>
        <w:ind w:firstLine="720"/>
        <w:rPr>
          <w:snapToGrid/>
          <w:szCs w:val="24"/>
          <w:highlight w:val="yellow"/>
        </w:rPr>
      </w:pPr>
      <w:r w:rsidRPr="00265730">
        <w:rPr>
          <w:snapToGrid/>
          <w:szCs w:val="24"/>
          <w:highlight w:val="yellow"/>
        </w:rPr>
        <w:t>The re-assessment of</w:t>
      </w:r>
      <w:r w:rsidR="00B41B71" w:rsidRPr="00265730">
        <w:rPr>
          <w:snapToGrid/>
          <w:szCs w:val="24"/>
          <w:highlight w:val="yellow"/>
        </w:rPr>
        <w:t xml:space="preserve"> select variables studied at baseline</w:t>
      </w:r>
      <w:r w:rsidRPr="00265730">
        <w:rPr>
          <w:snapToGrid/>
          <w:szCs w:val="24"/>
          <w:highlight w:val="yellow"/>
        </w:rPr>
        <w:t xml:space="preserve"> will provide the opportunity </w:t>
      </w:r>
      <w:r w:rsidR="00C772FF" w:rsidRPr="00265730">
        <w:rPr>
          <w:snapToGrid/>
          <w:szCs w:val="24"/>
          <w:highlight w:val="yellow"/>
        </w:rPr>
        <w:t>to</w:t>
      </w:r>
      <w:r w:rsidR="003C230B" w:rsidRPr="00265730">
        <w:rPr>
          <w:snapToGrid/>
          <w:szCs w:val="24"/>
          <w:highlight w:val="yellow"/>
        </w:rPr>
        <w:t xml:space="preserve"> </w:t>
      </w:r>
      <w:r w:rsidRPr="00265730">
        <w:rPr>
          <w:snapToGrid/>
          <w:szCs w:val="24"/>
          <w:highlight w:val="yellow"/>
        </w:rPr>
        <w:t xml:space="preserve">understand differences in patterns of onset of disease among the different Hispanic groups and the mediators of these differences. </w:t>
      </w:r>
      <w:r w:rsidR="003C230B" w:rsidRPr="00265730">
        <w:rPr>
          <w:snapToGrid/>
          <w:szCs w:val="24"/>
          <w:highlight w:val="yellow"/>
        </w:rPr>
        <w:t xml:space="preserve">Due to their heterogeneity, </w:t>
      </w:r>
      <w:r w:rsidR="00B41B71" w:rsidRPr="00265730">
        <w:rPr>
          <w:snapToGrid/>
          <w:szCs w:val="24"/>
          <w:highlight w:val="yellow"/>
        </w:rPr>
        <w:t xml:space="preserve">studying the influence of diverse metabolic, genetic, socioeconomic and sociocultural determinants of health on the onset of </w:t>
      </w:r>
      <w:r w:rsidR="009B47A3" w:rsidRPr="00265730">
        <w:rPr>
          <w:snapToGrid/>
          <w:szCs w:val="24"/>
          <w:highlight w:val="yellow"/>
        </w:rPr>
        <w:t xml:space="preserve">select diseases </w:t>
      </w:r>
      <w:r w:rsidR="003C230B" w:rsidRPr="00265730">
        <w:rPr>
          <w:snapToGrid/>
          <w:szCs w:val="24"/>
          <w:highlight w:val="yellow"/>
        </w:rPr>
        <w:t xml:space="preserve">among Hispanics </w:t>
      </w:r>
      <w:r w:rsidR="009B47A3" w:rsidRPr="00265730">
        <w:rPr>
          <w:snapToGrid/>
          <w:szCs w:val="24"/>
          <w:highlight w:val="yellow"/>
        </w:rPr>
        <w:t xml:space="preserve">will </w:t>
      </w:r>
      <w:r w:rsidR="00970FB8" w:rsidRPr="00265730">
        <w:rPr>
          <w:snapToGrid/>
          <w:szCs w:val="24"/>
          <w:highlight w:val="yellow"/>
        </w:rPr>
        <w:t xml:space="preserve">provide a foundation for </w:t>
      </w:r>
      <w:r w:rsidR="006A01DE" w:rsidRPr="00265730">
        <w:rPr>
          <w:snapToGrid/>
          <w:szCs w:val="24"/>
          <w:highlight w:val="yellow"/>
        </w:rPr>
        <w:t xml:space="preserve">understanding mechanisms of disease and </w:t>
      </w:r>
      <w:r w:rsidR="00970FB8" w:rsidRPr="00265730">
        <w:rPr>
          <w:snapToGrid/>
          <w:szCs w:val="24"/>
          <w:highlight w:val="yellow"/>
        </w:rPr>
        <w:t>more targeted preventive strategies</w:t>
      </w:r>
      <w:r w:rsidR="003C230B" w:rsidRPr="00265730">
        <w:rPr>
          <w:snapToGrid/>
          <w:szCs w:val="24"/>
          <w:highlight w:val="yellow"/>
        </w:rPr>
        <w:t xml:space="preserve"> for these populations</w:t>
      </w:r>
      <w:r w:rsidR="00970FB8" w:rsidRPr="00265730">
        <w:rPr>
          <w:snapToGrid/>
          <w:szCs w:val="24"/>
          <w:highlight w:val="yellow"/>
        </w:rPr>
        <w:t xml:space="preserve">. The variables that will be reassessed include blood pressure, anthropometric measurements, oral glucose tolerance test, </w:t>
      </w:r>
      <w:r w:rsidR="006A01DE" w:rsidRPr="00265730">
        <w:rPr>
          <w:snapToGrid/>
          <w:szCs w:val="24"/>
          <w:highlight w:val="yellow"/>
        </w:rPr>
        <w:t xml:space="preserve">hemoglobin A1c, </w:t>
      </w:r>
      <w:r w:rsidR="00970FB8" w:rsidRPr="00265730">
        <w:rPr>
          <w:snapToGrid/>
          <w:szCs w:val="24"/>
          <w:highlight w:val="yellow"/>
        </w:rPr>
        <w:t xml:space="preserve">lipids and lipoprotein profile, renal and hepatic function, sociodemographic descriptors, occupational history, sociocultural descriptors, health insurance status and utilization of health care services. </w:t>
      </w:r>
      <w:r w:rsidR="00DB4899" w:rsidRPr="00265730">
        <w:rPr>
          <w:snapToGrid/>
          <w:szCs w:val="24"/>
          <w:highlight w:val="yellow"/>
        </w:rPr>
        <w:t xml:space="preserve">Whole blood, serum, plasma and urine biospecimens will also be stored for future analyses. </w:t>
      </w:r>
    </w:p>
    <w:p w14:paraId="52486CC6" w14:textId="77777777" w:rsidR="0017500D" w:rsidRPr="00265730" w:rsidRDefault="0017500D" w:rsidP="00847396">
      <w:pPr>
        <w:widowControl/>
        <w:autoSpaceDE w:val="0"/>
        <w:autoSpaceDN w:val="0"/>
        <w:adjustRightInd w:val="0"/>
        <w:spacing w:before="120" w:line="276" w:lineRule="auto"/>
        <w:ind w:firstLine="720"/>
        <w:rPr>
          <w:snapToGrid/>
          <w:szCs w:val="24"/>
          <w:highlight w:val="yellow"/>
        </w:rPr>
      </w:pPr>
    </w:p>
    <w:p w14:paraId="55597CAA" w14:textId="5E735BF5" w:rsidR="0017500D" w:rsidRDefault="00970FB8" w:rsidP="00847396">
      <w:pPr>
        <w:widowControl/>
        <w:autoSpaceDE w:val="0"/>
        <w:autoSpaceDN w:val="0"/>
        <w:adjustRightInd w:val="0"/>
        <w:spacing w:before="120" w:line="276" w:lineRule="auto"/>
        <w:ind w:firstLine="720"/>
        <w:rPr>
          <w:snapToGrid/>
          <w:szCs w:val="24"/>
        </w:rPr>
      </w:pPr>
      <w:r w:rsidRPr="00265730">
        <w:rPr>
          <w:snapToGrid/>
          <w:szCs w:val="24"/>
          <w:highlight w:val="yellow"/>
        </w:rPr>
        <w:t>In addition</w:t>
      </w:r>
      <w:r w:rsidR="00DB4899" w:rsidRPr="00265730">
        <w:rPr>
          <w:snapToGrid/>
          <w:szCs w:val="24"/>
          <w:highlight w:val="yellow"/>
        </w:rPr>
        <w:t xml:space="preserve"> to the re-assessment of the select</w:t>
      </w:r>
      <w:r w:rsidR="00C772FF" w:rsidRPr="00265730">
        <w:rPr>
          <w:snapToGrid/>
          <w:szCs w:val="24"/>
          <w:highlight w:val="yellow"/>
        </w:rPr>
        <w:t>ed</w:t>
      </w:r>
      <w:r w:rsidR="00DB4899" w:rsidRPr="00265730">
        <w:rPr>
          <w:snapToGrid/>
          <w:szCs w:val="24"/>
          <w:highlight w:val="yellow"/>
        </w:rPr>
        <w:t xml:space="preserve"> variables</w:t>
      </w:r>
      <w:r w:rsidR="00906A06" w:rsidRPr="00265730">
        <w:rPr>
          <w:snapToGrid/>
          <w:szCs w:val="24"/>
          <w:highlight w:val="yellow"/>
        </w:rPr>
        <w:t xml:space="preserve"> mentioned above</w:t>
      </w:r>
      <w:r w:rsidR="0017500D" w:rsidRPr="00265730">
        <w:rPr>
          <w:snapToGrid/>
          <w:szCs w:val="24"/>
          <w:highlight w:val="yellow"/>
        </w:rPr>
        <w:t>,</w:t>
      </w:r>
      <w:r w:rsidRPr="00265730">
        <w:rPr>
          <w:snapToGrid/>
          <w:szCs w:val="24"/>
          <w:highlight w:val="yellow"/>
        </w:rPr>
        <w:t xml:space="preserve"> two new </w:t>
      </w:r>
      <w:r w:rsidR="00C772FF" w:rsidRPr="00265730">
        <w:rPr>
          <w:snapToGrid/>
          <w:szCs w:val="24"/>
          <w:highlight w:val="yellow"/>
        </w:rPr>
        <w:t>components</w:t>
      </w:r>
      <w:r w:rsidRPr="00265730">
        <w:rPr>
          <w:snapToGrid/>
          <w:szCs w:val="24"/>
          <w:highlight w:val="yellow"/>
        </w:rPr>
        <w:t xml:space="preserve"> will be assessed</w:t>
      </w:r>
      <w:r w:rsidR="0017500D" w:rsidRPr="00265730">
        <w:rPr>
          <w:snapToGrid/>
          <w:szCs w:val="24"/>
          <w:highlight w:val="yellow"/>
        </w:rPr>
        <w:t xml:space="preserve"> during the second visit</w:t>
      </w:r>
      <w:r w:rsidRPr="00265730">
        <w:rPr>
          <w:snapToGrid/>
          <w:szCs w:val="24"/>
          <w:highlight w:val="yellow"/>
        </w:rPr>
        <w:t>: cardiac function and structure (via echocardiography)</w:t>
      </w:r>
      <w:r w:rsidR="00C772FF" w:rsidRPr="00265730">
        <w:rPr>
          <w:snapToGrid/>
          <w:szCs w:val="24"/>
          <w:highlight w:val="yellow"/>
        </w:rPr>
        <w:t>;</w:t>
      </w:r>
      <w:r w:rsidRPr="00265730">
        <w:rPr>
          <w:snapToGrid/>
          <w:szCs w:val="24"/>
          <w:highlight w:val="yellow"/>
        </w:rPr>
        <w:t xml:space="preserve"> and detailed reproductive history in women of childbearing age</w:t>
      </w:r>
      <w:r w:rsidR="00C772FF" w:rsidRPr="00265730">
        <w:rPr>
          <w:snapToGrid/>
          <w:szCs w:val="24"/>
          <w:highlight w:val="yellow"/>
        </w:rPr>
        <w:t>, including</w:t>
      </w:r>
      <w:r w:rsidRPr="00265730">
        <w:rPr>
          <w:snapToGrid/>
          <w:szCs w:val="24"/>
          <w:highlight w:val="yellow"/>
        </w:rPr>
        <w:t xml:space="preserve"> identification of history of pre-eclampsia</w:t>
      </w:r>
      <w:r w:rsidR="008B4D89" w:rsidRPr="00265730">
        <w:rPr>
          <w:snapToGrid/>
          <w:szCs w:val="24"/>
          <w:highlight w:val="yellow"/>
        </w:rPr>
        <w:t>,</w:t>
      </w:r>
      <w:r w:rsidRPr="00265730">
        <w:rPr>
          <w:snapToGrid/>
          <w:szCs w:val="24"/>
          <w:highlight w:val="yellow"/>
        </w:rPr>
        <w:t xml:space="preserve"> eclampsia and gestational diabetes mellitus between </w:t>
      </w:r>
      <w:r w:rsidR="006A01DE" w:rsidRPr="00265730">
        <w:rPr>
          <w:snapToGrid/>
          <w:szCs w:val="24"/>
          <w:highlight w:val="yellow"/>
        </w:rPr>
        <w:t xml:space="preserve">the </w:t>
      </w:r>
      <w:r w:rsidRPr="00265730">
        <w:rPr>
          <w:snapToGrid/>
          <w:szCs w:val="24"/>
          <w:highlight w:val="yellow"/>
        </w:rPr>
        <w:t>baseline visit and Visit 2. The burden of obesity and diabetes in the Hispanic population, and specifically in this cohort,</w:t>
      </w:r>
      <w:r w:rsidR="00944DA1" w:rsidRPr="00265730">
        <w:rPr>
          <w:snapToGrid/>
          <w:szCs w:val="24"/>
          <w:highlight w:val="yellow"/>
        </w:rPr>
        <w:t xml:space="preserve"> make</w:t>
      </w:r>
      <w:r w:rsidR="00906A06" w:rsidRPr="00265730">
        <w:rPr>
          <w:snapToGrid/>
          <w:szCs w:val="24"/>
          <w:highlight w:val="yellow"/>
        </w:rPr>
        <w:t>s</w:t>
      </w:r>
      <w:r w:rsidR="00944DA1" w:rsidRPr="00265730">
        <w:rPr>
          <w:snapToGrid/>
          <w:szCs w:val="24"/>
          <w:highlight w:val="yellow"/>
        </w:rPr>
        <w:t xml:space="preserve"> the heart a target organ not only for atherosclerosis but also for </w:t>
      </w:r>
      <w:r w:rsidR="00D82402" w:rsidRPr="00265730">
        <w:rPr>
          <w:snapToGrid/>
          <w:szCs w:val="24"/>
          <w:highlight w:val="yellow"/>
        </w:rPr>
        <w:t xml:space="preserve">dysfunctional contractility and remodeling, which may eventually lead to heart failure. </w:t>
      </w:r>
      <w:r w:rsidR="008B4D89" w:rsidRPr="00265730">
        <w:rPr>
          <w:snapToGrid/>
          <w:szCs w:val="24"/>
          <w:highlight w:val="yellow"/>
        </w:rPr>
        <w:t>Because the prevalence of diabetes</w:t>
      </w:r>
      <w:r w:rsidR="006A01DE" w:rsidRPr="00265730">
        <w:rPr>
          <w:snapToGrid/>
          <w:szCs w:val="24"/>
          <w:highlight w:val="yellow"/>
        </w:rPr>
        <w:t>,</w:t>
      </w:r>
      <w:r w:rsidR="0011494E" w:rsidRPr="00265730">
        <w:rPr>
          <w:snapToGrid/>
          <w:szCs w:val="24"/>
          <w:highlight w:val="yellow"/>
        </w:rPr>
        <w:t xml:space="preserve"> </w:t>
      </w:r>
      <w:r w:rsidR="008B4D89" w:rsidRPr="00265730">
        <w:rPr>
          <w:snapToGrid/>
          <w:szCs w:val="24"/>
          <w:highlight w:val="yellow"/>
        </w:rPr>
        <w:t>obesity</w:t>
      </w:r>
      <w:r w:rsidR="006A01DE" w:rsidRPr="00265730">
        <w:rPr>
          <w:snapToGrid/>
          <w:szCs w:val="24"/>
          <w:highlight w:val="yellow"/>
        </w:rPr>
        <w:t xml:space="preserve"> and other </w:t>
      </w:r>
      <w:hyperlink r:id="rId15" w:history="1">
        <w:r w:rsidR="006A01DE" w:rsidRPr="00265730">
          <w:rPr>
            <w:rStyle w:val="Hyperlink"/>
            <w:snapToGrid/>
            <w:szCs w:val="24"/>
            <w:highlight w:val="yellow"/>
          </w:rPr>
          <w:t>cardiovascular risk factors</w:t>
        </w:r>
      </w:hyperlink>
      <w:r w:rsidR="008B4D89" w:rsidRPr="00265730">
        <w:rPr>
          <w:snapToGrid/>
          <w:szCs w:val="24"/>
          <w:highlight w:val="yellow"/>
        </w:rPr>
        <w:t xml:space="preserve"> varies across Hispanic groups and ages</w:t>
      </w:r>
      <w:r w:rsidR="006A01DE" w:rsidRPr="00265730">
        <w:rPr>
          <w:snapToGrid/>
          <w:szCs w:val="24"/>
          <w:highlight w:val="yellow"/>
        </w:rPr>
        <w:t xml:space="preserve"> [</w:t>
      </w:r>
      <w:r w:rsidR="0049717C" w:rsidRPr="00265730">
        <w:rPr>
          <w:snapToGrid/>
          <w:szCs w:val="24"/>
          <w:highlight w:val="yellow"/>
        </w:rPr>
        <w:t xml:space="preserve">Daviglus et al, Appendix </w:t>
      </w:r>
      <w:r w:rsidR="00640165" w:rsidRPr="00265730">
        <w:rPr>
          <w:snapToGrid/>
          <w:szCs w:val="24"/>
          <w:highlight w:val="yellow"/>
        </w:rPr>
        <w:t>1</w:t>
      </w:r>
      <w:r w:rsidR="006A01DE" w:rsidRPr="00265730">
        <w:rPr>
          <w:snapToGrid/>
          <w:szCs w:val="24"/>
          <w:highlight w:val="yellow"/>
        </w:rPr>
        <w:t>]</w:t>
      </w:r>
      <w:r w:rsidR="008B4D89" w:rsidRPr="00265730">
        <w:rPr>
          <w:snapToGrid/>
          <w:szCs w:val="24"/>
          <w:highlight w:val="yellow"/>
        </w:rPr>
        <w:t xml:space="preserve">, the study of the </w:t>
      </w:r>
      <w:r w:rsidR="0017500D" w:rsidRPr="00265730">
        <w:rPr>
          <w:snapToGrid/>
          <w:szCs w:val="24"/>
          <w:highlight w:val="yellow"/>
        </w:rPr>
        <w:t xml:space="preserve">variability of the </w:t>
      </w:r>
      <w:r w:rsidR="008B4D89" w:rsidRPr="00265730">
        <w:rPr>
          <w:snapToGrid/>
          <w:szCs w:val="24"/>
          <w:highlight w:val="yellow"/>
        </w:rPr>
        <w:t xml:space="preserve">interaction of these and other factors on cardiac remodeling would be a great contribution to the understanding of the pathophysiology of heart failure </w:t>
      </w:r>
      <w:r w:rsidR="00DB4899" w:rsidRPr="00265730">
        <w:rPr>
          <w:snapToGrid/>
          <w:szCs w:val="24"/>
          <w:highlight w:val="yellow"/>
        </w:rPr>
        <w:t xml:space="preserve">both among Hispanics and </w:t>
      </w:r>
      <w:r w:rsidR="008B4D89" w:rsidRPr="00265730">
        <w:rPr>
          <w:snapToGrid/>
          <w:szCs w:val="24"/>
          <w:highlight w:val="yellow"/>
        </w:rPr>
        <w:t xml:space="preserve">the general population. </w:t>
      </w:r>
      <w:r w:rsidR="0017500D" w:rsidRPr="00265730">
        <w:rPr>
          <w:snapToGrid/>
          <w:szCs w:val="24"/>
          <w:highlight w:val="yellow"/>
        </w:rPr>
        <w:t>At the same time, t</w:t>
      </w:r>
      <w:r w:rsidR="00C23C81" w:rsidRPr="00265730">
        <w:rPr>
          <w:snapToGrid/>
          <w:szCs w:val="24"/>
          <w:highlight w:val="yellow"/>
        </w:rPr>
        <w:t>he role of pre-</w:t>
      </w:r>
      <w:r w:rsidR="00342548" w:rsidRPr="00265730">
        <w:rPr>
          <w:snapToGrid/>
          <w:szCs w:val="24"/>
          <w:highlight w:val="yellow"/>
        </w:rPr>
        <w:t>eclampsia</w:t>
      </w:r>
      <w:r w:rsidR="00C23C81" w:rsidRPr="00265730">
        <w:rPr>
          <w:snapToGrid/>
          <w:szCs w:val="24"/>
          <w:highlight w:val="yellow"/>
        </w:rPr>
        <w:t>, eclamp</w:t>
      </w:r>
      <w:r w:rsidR="00342548" w:rsidRPr="00265730">
        <w:rPr>
          <w:snapToGrid/>
          <w:szCs w:val="24"/>
          <w:highlight w:val="yellow"/>
        </w:rPr>
        <w:t>s</w:t>
      </w:r>
      <w:r w:rsidR="00C23C81" w:rsidRPr="00265730">
        <w:rPr>
          <w:snapToGrid/>
          <w:szCs w:val="24"/>
          <w:highlight w:val="yellow"/>
        </w:rPr>
        <w:t xml:space="preserve">ia and gestational diabetes mellitus on the long-term of women’s cardiovascular health is not completely known. It is not clearly understood whether these pregnancy-related complications are the consequence of predisposing factors or the triggering factors for future cardiovascular disease. </w:t>
      </w:r>
      <w:r w:rsidR="00066980" w:rsidRPr="00265730">
        <w:rPr>
          <w:snapToGrid/>
          <w:szCs w:val="24"/>
          <w:highlight w:val="yellow"/>
        </w:rPr>
        <w:t>In the cohort, t</w:t>
      </w:r>
      <w:r w:rsidR="002D19F4" w:rsidRPr="00265730">
        <w:rPr>
          <w:snapToGrid/>
          <w:szCs w:val="24"/>
          <w:highlight w:val="yellow"/>
        </w:rPr>
        <w:t xml:space="preserve">here are approximately 3,800 women </w:t>
      </w:r>
      <w:r w:rsidR="00066980" w:rsidRPr="00265730">
        <w:rPr>
          <w:snapToGrid/>
          <w:szCs w:val="24"/>
          <w:highlight w:val="yellow"/>
        </w:rPr>
        <w:t>who</w:t>
      </w:r>
      <w:r w:rsidR="002D19F4" w:rsidRPr="00265730">
        <w:rPr>
          <w:snapToGrid/>
          <w:szCs w:val="24"/>
          <w:highlight w:val="yellow"/>
        </w:rPr>
        <w:t xml:space="preserve"> were of childbearing age at enrollment. </w:t>
      </w:r>
      <w:r w:rsidR="00DB4899" w:rsidRPr="00265730">
        <w:rPr>
          <w:snapToGrid/>
          <w:szCs w:val="24"/>
          <w:highlight w:val="yellow"/>
        </w:rPr>
        <w:t xml:space="preserve">Thus, the cohort offers a </w:t>
      </w:r>
      <w:r w:rsidR="0017500D" w:rsidRPr="00265730">
        <w:rPr>
          <w:snapToGrid/>
          <w:szCs w:val="24"/>
          <w:highlight w:val="yellow"/>
        </w:rPr>
        <w:t>unique</w:t>
      </w:r>
      <w:r w:rsidR="00C23C81" w:rsidRPr="00265730">
        <w:rPr>
          <w:snapToGrid/>
          <w:szCs w:val="24"/>
          <w:highlight w:val="yellow"/>
        </w:rPr>
        <w:t xml:space="preserve"> opportunity to retrospectively and prospectively e</w:t>
      </w:r>
      <w:r w:rsidR="0017500D" w:rsidRPr="00265730">
        <w:rPr>
          <w:snapToGrid/>
          <w:szCs w:val="24"/>
          <w:highlight w:val="yellow"/>
        </w:rPr>
        <w:t xml:space="preserve">valuate the relationship between baseline cardiometabolic risk profile and </w:t>
      </w:r>
      <w:r w:rsidR="00C23C81" w:rsidRPr="00265730">
        <w:rPr>
          <w:snapToGrid/>
          <w:szCs w:val="24"/>
          <w:highlight w:val="yellow"/>
        </w:rPr>
        <w:t xml:space="preserve">the incidence </w:t>
      </w:r>
      <w:r w:rsidR="00572B73" w:rsidRPr="00265730">
        <w:rPr>
          <w:snapToGrid/>
          <w:szCs w:val="24"/>
          <w:highlight w:val="yellow"/>
        </w:rPr>
        <w:t xml:space="preserve">of </w:t>
      </w:r>
      <w:r w:rsidR="00C23C81" w:rsidRPr="00265730">
        <w:rPr>
          <w:snapToGrid/>
          <w:szCs w:val="24"/>
          <w:highlight w:val="yellow"/>
        </w:rPr>
        <w:t>pre-eclampsia, eclampsia and gestational diabetes mellitus between baseline and Visit 2</w:t>
      </w:r>
      <w:r w:rsidR="00872962" w:rsidRPr="00265730">
        <w:rPr>
          <w:snapToGrid/>
          <w:szCs w:val="24"/>
          <w:highlight w:val="yellow"/>
        </w:rPr>
        <w:t>,</w:t>
      </w:r>
      <w:r w:rsidR="00C23C81" w:rsidRPr="00265730">
        <w:rPr>
          <w:snapToGrid/>
          <w:szCs w:val="24"/>
          <w:highlight w:val="yellow"/>
        </w:rPr>
        <w:t xml:space="preserve"> and thereafter.</w:t>
      </w:r>
      <w:r w:rsidR="00906A06">
        <w:rPr>
          <w:snapToGrid/>
          <w:szCs w:val="24"/>
        </w:rPr>
        <w:t xml:space="preserve"> </w:t>
      </w:r>
    </w:p>
    <w:p w14:paraId="30792B11" w14:textId="6510630B" w:rsidR="002706EB" w:rsidRPr="002706EB" w:rsidRDefault="002706EB" w:rsidP="00847396">
      <w:pPr>
        <w:widowControl/>
        <w:autoSpaceDE w:val="0"/>
        <w:autoSpaceDN w:val="0"/>
        <w:adjustRightInd w:val="0"/>
        <w:spacing w:before="120" w:line="276" w:lineRule="auto"/>
        <w:ind w:firstLine="720"/>
        <w:rPr>
          <w:snapToGrid/>
          <w:szCs w:val="24"/>
        </w:rPr>
      </w:pPr>
      <w:r w:rsidRPr="002706EB">
        <w:rPr>
          <w:snapToGrid/>
          <w:szCs w:val="24"/>
        </w:rPr>
        <w:t xml:space="preserve">  </w:t>
      </w:r>
    </w:p>
    <w:p w14:paraId="3375F069" w14:textId="46A38D54" w:rsidR="002706EB" w:rsidRDefault="004E1272" w:rsidP="00847396">
      <w:pPr>
        <w:spacing w:before="120" w:line="276" w:lineRule="auto"/>
        <w:ind w:firstLine="720"/>
      </w:pPr>
      <w:r w:rsidRPr="00265730">
        <w:rPr>
          <w:highlight w:val="yellow"/>
        </w:rPr>
        <w:lastRenderedPageBreak/>
        <w:t xml:space="preserve">The study of cardiovascular and pulmonary disease, and other chronic diseases, in the HCHS/SOL has become </w:t>
      </w:r>
      <w:r w:rsidR="00906A06" w:rsidRPr="00265730">
        <w:rPr>
          <w:highlight w:val="yellow"/>
        </w:rPr>
        <w:t xml:space="preserve">enriched </w:t>
      </w:r>
      <w:r w:rsidRPr="00265730">
        <w:rPr>
          <w:highlight w:val="yellow"/>
        </w:rPr>
        <w:t>by the incorporation of genome-wide association studies and genetic analyses. These are currently performed under a separately</w:t>
      </w:r>
      <w:r w:rsidR="0011494E" w:rsidRPr="00265730">
        <w:rPr>
          <w:highlight w:val="yellow"/>
        </w:rPr>
        <w:t xml:space="preserve"> </w:t>
      </w:r>
      <w:r w:rsidR="00906A06" w:rsidRPr="00265730">
        <w:rPr>
          <w:highlight w:val="yellow"/>
        </w:rPr>
        <w:t>approved and contract-</w:t>
      </w:r>
      <w:r w:rsidRPr="00265730">
        <w:rPr>
          <w:highlight w:val="yellow"/>
        </w:rPr>
        <w:t>funded NHLBI initiative</w:t>
      </w:r>
      <w:hyperlink r:id="rId16" w:history="1">
        <w:r w:rsidRPr="00265730">
          <w:rPr>
            <w:rStyle w:val="Hyperlink"/>
            <w:highlight w:val="yellow"/>
            <w:u w:val="none"/>
          </w:rPr>
          <w:t xml:space="preserve">, </w:t>
        </w:r>
        <w:r w:rsidRPr="00265730">
          <w:rPr>
            <w:rStyle w:val="Hyperlink"/>
            <w:highlight w:val="yellow"/>
          </w:rPr>
          <w:t>Omics in Latinos (OLa)</w:t>
        </w:r>
      </w:hyperlink>
      <w:r w:rsidRPr="00265730">
        <w:rPr>
          <w:highlight w:val="yellow"/>
        </w:rPr>
        <w:t xml:space="preserve">. While the first genetic analyses will be based on the phenotypes described at baseline, the </w:t>
      </w:r>
      <w:r w:rsidR="00FA5445" w:rsidRPr="00265730">
        <w:rPr>
          <w:highlight w:val="yellow"/>
        </w:rPr>
        <w:t xml:space="preserve">assessment of </w:t>
      </w:r>
      <w:r w:rsidR="00572B73" w:rsidRPr="00265730">
        <w:rPr>
          <w:highlight w:val="yellow"/>
        </w:rPr>
        <w:t xml:space="preserve">change in </w:t>
      </w:r>
      <w:r w:rsidR="00FA5445" w:rsidRPr="00265730">
        <w:rPr>
          <w:highlight w:val="yellow"/>
        </w:rPr>
        <w:t>the selected variables and the ascertainment of a higher number of cardiovascular and pulmonary events during the follow-up will provide a unique opportunity to perform genetic analyses in relation to risk or protective profile.</w:t>
      </w:r>
    </w:p>
    <w:p w14:paraId="6B9F4115" w14:textId="77777777" w:rsidR="00295489" w:rsidRDefault="00295489" w:rsidP="00640165">
      <w:pPr>
        <w:spacing w:before="120" w:line="276" w:lineRule="auto"/>
        <w:ind w:firstLine="720"/>
      </w:pPr>
    </w:p>
    <w:p w14:paraId="40B47C4E" w14:textId="1D361B99" w:rsidR="0017500D" w:rsidRPr="0011494E" w:rsidRDefault="00640165" w:rsidP="00640165">
      <w:pPr>
        <w:spacing w:before="120" w:line="276" w:lineRule="auto"/>
        <w:ind w:firstLine="720"/>
      </w:pPr>
      <w:r w:rsidRPr="00CD652C">
        <w:t xml:space="preserve">The study objectives are clearly within </w:t>
      </w:r>
      <w:r w:rsidR="00572B73">
        <w:t xml:space="preserve">the </w:t>
      </w:r>
      <w:r w:rsidRPr="00CD652C">
        <w:t>NHLBI mandate</w:t>
      </w:r>
      <w:r w:rsidR="00572B73">
        <w:t>,</w:t>
      </w:r>
      <w:r w:rsidRPr="00CD652C">
        <w:t xml:space="preserve"> and the Institute has the unique capability to coordinate this complex study within four different communities and over an extended period of time.  The NHLBI mandate</w:t>
      </w:r>
      <w:r>
        <w:t xml:space="preserve"> is </w:t>
      </w:r>
      <w:r w:rsidRPr="00CD652C">
        <w:t xml:space="preserve">described in the PHS </w:t>
      </w:r>
      <w:r>
        <w:t>Act, Section 421 (42</w:t>
      </w:r>
      <w:r w:rsidR="003F5C99">
        <w:t xml:space="preserve"> </w:t>
      </w:r>
      <w:r>
        <w:t xml:space="preserve">USC </w:t>
      </w:r>
      <w:r w:rsidRPr="00B84E01">
        <w:t>285b-3) [Appendix 2] and specifies provision of “investigation into the epidemiology, etiology</w:t>
      </w:r>
      <w:r w:rsidRPr="00CD652C">
        <w:t xml:space="preserve"> and prevention of all forms and aspects of heart, blood vessel, lung, and blood diseases, including investigations into the social, environmental, behavioral, nutritional, biological, and genetic determinants and influences involved in the epidemiology, etiology, and prevention of such diseases</w:t>
      </w:r>
      <w:r>
        <w:t>.</w:t>
      </w:r>
      <w:r w:rsidRPr="00CD652C">
        <w:t>”</w:t>
      </w:r>
    </w:p>
    <w:p w14:paraId="0F778B2D" w14:textId="77777777" w:rsidR="00640165" w:rsidRDefault="00640165" w:rsidP="0017500D">
      <w:pPr>
        <w:spacing w:line="480" w:lineRule="auto"/>
        <w:jc w:val="center"/>
        <w:rPr>
          <w:b/>
        </w:rPr>
      </w:pPr>
    </w:p>
    <w:p w14:paraId="4E94BFB0" w14:textId="29000AEB" w:rsidR="00E064C1" w:rsidRPr="0017500D" w:rsidRDefault="0017500D" w:rsidP="0017500D">
      <w:pPr>
        <w:spacing w:line="480" w:lineRule="auto"/>
        <w:jc w:val="center"/>
        <w:rPr>
          <w:b/>
        </w:rPr>
      </w:pPr>
      <w:r>
        <w:rPr>
          <w:b/>
        </w:rPr>
        <w:t xml:space="preserve">A.2. </w:t>
      </w:r>
      <w:r w:rsidR="001E7A06" w:rsidRPr="0017500D">
        <w:rPr>
          <w:b/>
        </w:rPr>
        <w:t>Purpose and Use of the Information Collection</w:t>
      </w:r>
    </w:p>
    <w:p w14:paraId="3B8AB115" w14:textId="44DB1CB1" w:rsidR="00DE1FC1" w:rsidRDefault="00DE1FC1" w:rsidP="00847396">
      <w:pPr>
        <w:spacing w:before="120" w:line="276" w:lineRule="auto"/>
        <w:ind w:firstLine="720"/>
        <w:rPr>
          <w:color w:val="000000"/>
          <w:szCs w:val="24"/>
        </w:rPr>
      </w:pPr>
      <w:r w:rsidRPr="00DE1FC1">
        <w:t xml:space="preserve">The </w:t>
      </w:r>
      <w:r w:rsidR="00CF0E64">
        <w:t xml:space="preserve">overall </w:t>
      </w:r>
      <w:r w:rsidRPr="00DE1FC1">
        <w:rPr>
          <w:szCs w:val="24"/>
        </w:rPr>
        <w:t xml:space="preserve">purpose </w:t>
      </w:r>
      <w:r>
        <w:rPr>
          <w:szCs w:val="24"/>
        </w:rPr>
        <w:t xml:space="preserve">of </w:t>
      </w:r>
      <w:r w:rsidR="002E49D6">
        <w:rPr>
          <w:szCs w:val="24"/>
        </w:rPr>
        <w:t xml:space="preserve">the </w:t>
      </w:r>
      <w:r w:rsidR="002E49D6" w:rsidRPr="00265730">
        <w:rPr>
          <w:szCs w:val="24"/>
          <w:highlight w:val="yellow"/>
        </w:rPr>
        <w:t xml:space="preserve">continuation of the </w:t>
      </w:r>
      <w:r w:rsidRPr="00265730">
        <w:rPr>
          <w:szCs w:val="24"/>
          <w:highlight w:val="yellow"/>
        </w:rPr>
        <w:t>HCHS/SOL</w:t>
      </w:r>
      <w:r w:rsidRPr="00DE1FC1">
        <w:rPr>
          <w:szCs w:val="24"/>
        </w:rPr>
        <w:t xml:space="preserve"> is to estimate the </w:t>
      </w:r>
      <w:r w:rsidR="002E49D6">
        <w:rPr>
          <w:szCs w:val="24"/>
        </w:rPr>
        <w:t>incidence</w:t>
      </w:r>
      <w:r w:rsidR="002E49D6" w:rsidRPr="00DE1FC1">
        <w:rPr>
          <w:szCs w:val="24"/>
        </w:rPr>
        <w:t xml:space="preserve"> </w:t>
      </w:r>
      <w:r w:rsidRPr="00DE1FC1">
        <w:rPr>
          <w:szCs w:val="24"/>
        </w:rPr>
        <w:t xml:space="preserve">of cardiovascular risk factors and risk factors for other chronic diseases, </w:t>
      </w:r>
      <w:r w:rsidR="004267A8">
        <w:rPr>
          <w:szCs w:val="24"/>
        </w:rPr>
        <w:t xml:space="preserve">and their relationship to baseline cardiometabolic and general health profile and </w:t>
      </w:r>
      <w:r w:rsidR="002E49D6">
        <w:rPr>
          <w:szCs w:val="24"/>
        </w:rPr>
        <w:t>to</w:t>
      </w:r>
      <w:r w:rsidRPr="00DE1FC1">
        <w:rPr>
          <w:szCs w:val="24"/>
        </w:rPr>
        <w:t xml:space="preserve"> the incidence of cardiovascular events (morbidity), cardiovascular mortality and all-cause mortality in a randomly selected sample of men and women who </w:t>
      </w:r>
      <w:r w:rsidR="002E49D6">
        <w:rPr>
          <w:szCs w:val="24"/>
        </w:rPr>
        <w:t xml:space="preserve">self-identified as </w:t>
      </w:r>
      <w:r w:rsidRPr="00DE1FC1">
        <w:rPr>
          <w:szCs w:val="24"/>
        </w:rPr>
        <w:t xml:space="preserve">Hispanic, </w:t>
      </w:r>
      <w:r w:rsidR="00CF0E64">
        <w:rPr>
          <w:szCs w:val="24"/>
        </w:rPr>
        <w:t xml:space="preserve">and </w:t>
      </w:r>
      <w:r w:rsidR="002E49D6">
        <w:rPr>
          <w:szCs w:val="24"/>
        </w:rPr>
        <w:t xml:space="preserve">who represent </w:t>
      </w:r>
      <w:r w:rsidRPr="00DE1FC1">
        <w:rPr>
          <w:szCs w:val="24"/>
        </w:rPr>
        <w:t xml:space="preserve">four different </w:t>
      </w:r>
      <w:r w:rsidR="002E49D6">
        <w:rPr>
          <w:szCs w:val="24"/>
        </w:rPr>
        <w:t>communities</w:t>
      </w:r>
      <w:r w:rsidRPr="00DE1FC1">
        <w:rPr>
          <w:szCs w:val="24"/>
        </w:rPr>
        <w:t xml:space="preserve"> in the U.S</w:t>
      </w:r>
      <w:r w:rsidR="00E53BED">
        <w:rPr>
          <w:szCs w:val="24"/>
        </w:rPr>
        <w:t>.</w:t>
      </w:r>
      <w:r w:rsidR="00244D09">
        <w:rPr>
          <w:szCs w:val="24"/>
        </w:rPr>
        <w:t xml:space="preserve"> </w:t>
      </w:r>
      <w:r w:rsidRPr="00DE1FC1">
        <w:rPr>
          <w:szCs w:val="24"/>
        </w:rPr>
        <w:t xml:space="preserve"> The Field Centers are located in San Diego (San Diego State University), Chicago (University of Illinois at Chicago), New York (Albert Einstein Medical College-Montefiore Medical Center), and Miami (University of Miami). Coordination of methods, instruments, training, and data analysis will take place at the University of North Carolina at Chapel Hill</w:t>
      </w:r>
      <w:r w:rsidRPr="00265730">
        <w:rPr>
          <w:szCs w:val="24"/>
          <w:highlight w:val="yellow"/>
        </w:rPr>
        <w:t>.</w:t>
      </w:r>
      <w:r w:rsidR="002E49D6" w:rsidRPr="00265730">
        <w:rPr>
          <w:szCs w:val="24"/>
          <w:highlight w:val="yellow"/>
        </w:rPr>
        <w:t xml:space="preserve"> In addition, a</w:t>
      </w:r>
      <w:r w:rsidR="008B48F2" w:rsidRPr="00265730">
        <w:rPr>
          <w:szCs w:val="24"/>
          <w:highlight w:val="yellow"/>
        </w:rPr>
        <w:t xml:space="preserve">n Echocardiography Reading Center </w:t>
      </w:r>
      <w:r w:rsidR="00906A06" w:rsidRPr="00265730">
        <w:rPr>
          <w:szCs w:val="24"/>
          <w:highlight w:val="yellow"/>
        </w:rPr>
        <w:t xml:space="preserve">at Brigham and Women’s Hospital </w:t>
      </w:r>
      <w:r w:rsidR="008B48F2" w:rsidRPr="00265730">
        <w:rPr>
          <w:szCs w:val="24"/>
          <w:highlight w:val="yellow"/>
        </w:rPr>
        <w:t>will oversee the collection of echocardiographic data and its interpretation and analysis.</w:t>
      </w:r>
    </w:p>
    <w:p w14:paraId="22BA44E5" w14:textId="77777777" w:rsidR="000D17D7" w:rsidRDefault="000D17D7" w:rsidP="00847396">
      <w:pPr>
        <w:spacing w:before="120" w:line="276" w:lineRule="auto"/>
        <w:ind w:firstLine="720"/>
        <w:rPr>
          <w:color w:val="000000"/>
          <w:szCs w:val="24"/>
        </w:rPr>
      </w:pPr>
    </w:p>
    <w:p w14:paraId="7BB91491" w14:textId="5256E3F2" w:rsidR="00BC2D72" w:rsidRDefault="001E7A06" w:rsidP="00847396">
      <w:pPr>
        <w:spacing w:before="120" w:line="276" w:lineRule="auto"/>
        <w:ind w:firstLine="720"/>
        <w:rPr>
          <w:szCs w:val="24"/>
        </w:rPr>
      </w:pPr>
      <w:r w:rsidRPr="00265730">
        <w:rPr>
          <w:color w:val="000000"/>
          <w:szCs w:val="24"/>
          <w:highlight w:val="yellow"/>
        </w:rPr>
        <w:t>The</w:t>
      </w:r>
      <w:r w:rsidR="00627207" w:rsidRPr="00265730">
        <w:rPr>
          <w:color w:val="000000"/>
          <w:szCs w:val="24"/>
          <w:highlight w:val="yellow"/>
        </w:rPr>
        <w:t xml:space="preserve"> </w:t>
      </w:r>
      <w:r w:rsidR="00CF0E64" w:rsidRPr="00265730">
        <w:rPr>
          <w:color w:val="000000"/>
          <w:szCs w:val="24"/>
          <w:highlight w:val="yellow"/>
        </w:rPr>
        <w:t xml:space="preserve">overall </w:t>
      </w:r>
      <w:r w:rsidR="00572B73" w:rsidRPr="00265730">
        <w:rPr>
          <w:color w:val="000000"/>
          <w:szCs w:val="24"/>
          <w:highlight w:val="yellow"/>
        </w:rPr>
        <w:t>objectives</w:t>
      </w:r>
      <w:r w:rsidR="00627207" w:rsidRPr="00265730">
        <w:rPr>
          <w:color w:val="000000"/>
          <w:szCs w:val="24"/>
          <w:highlight w:val="yellow"/>
        </w:rPr>
        <w:t xml:space="preserve"> </w:t>
      </w:r>
      <w:r w:rsidR="00DE1FC1" w:rsidRPr="00265730">
        <w:rPr>
          <w:color w:val="000000"/>
          <w:szCs w:val="24"/>
          <w:highlight w:val="yellow"/>
        </w:rPr>
        <w:t xml:space="preserve">will be accomplished through </w:t>
      </w:r>
      <w:r w:rsidR="00CF0E64" w:rsidRPr="00265730">
        <w:rPr>
          <w:color w:val="000000"/>
          <w:szCs w:val="24"/>
          <w:highlight w:val="yellow"/>
        </w:rPr>
        <w:t xml:space="preserve">the </w:t>
      </w:r>
      <w:r w:rsidR="008B48F2" w:rsidRPr="00265730">
        <w:rPr>
          <w:color w:val="000000"/>
          <w:szCs w:val="24"/>
          <w:highlight w:val="yellow"/>
        </w:rPr>
        <w:t xml:space="preserve">continuation of the follow-up and re-examination (Visit 2) </w:t>
      </w:r>
      <w:r w:rsidR="00747127" w:rsidRPr="00265730">
        <w:rPr>
          <w:color w:val="000000"/>
          <w:szCs w:val="24"/>
          <w:highlight w:val="yellow"/>
        </w:rPr>
        <w:t xml:space="preserve">of the cohorts recruited in </w:t>
      </w:r>
      <w:r w:rsidR="00FF7A1B" w:rsidRPr="00265730">
        <w:rPr>
          <w:color w:val="000000"/>
          <w:szCs w:val="24"/>
          <w:highlight w:val="yellow"/>
        </w:rPr>
        <w:t>each of these communities</w:t>
      </w:r>
      <w:r w:rsidR="00587A9A" w:rsidRPr="00265730">
        <w:rPr>
          <w:color w:val="000000"/>
          <w:szCs w:val="24"/>
          <w:highlight w:val="yellow"/>
        </w:rPr>
        <w:t>.</w:t>
      </w:r>
      <w:r w:rsidR="0030072D" w:rsidRPr="00265730">
        <w:rPr>
          <w:color w:val="000000"/>
          <w:szCs w:val="24"/>
          <w:highlight w:val="yellow"/>
        </w:rPr>
        <w:t xml:space="preserve"> </w:t>
      </w:r>
      <w:r w:rsidR="0030072D" w:rsidRPr="00265730">
        <w:rPr>
          <w:szCs w:val="24"/>
          <w:highlight w:val="yellow"/>
        </w:rPr>
        <w:t xml:space="preserve">The current contract period is </w:t>
      </w:r>
      <w:r w:rsidR="008B48F2" w:rsidRPr="00265730">
        <w:rPr>
          <w:szCs w:val="24"/>
          <w:highlight w:val="yellow"/>
        </w:rPr>
        <w:t>6</w:t>
      </w:r>
      <w:r w:rsidR="0030072D" w:rsidRPr="00265730">
        <w:rPr>
          <w:szCs w:val="24"/>
          <w:highlight w:val="yellow"/>
        </w:rPr>
        <w:t xml:space="preserve"> years with cohort </w:t>
      </w:r>
      <w:r w:rsidR="003D43DA" w:rsidRPr="00265730">
        <w:rPr>
          <w:szCs w:val="24"/>
          <w:highlight w:val="yellow"/>
        </w:rPr>
        <w:t>re-</w:t>
      </w:r>
      <w:r w:rsidR="0030072D" w:rsidRPr="00265730">
        <w:rPr>
          <w:szCs w:val="24"/>
          <w:highlight w:val="yellow"/>
        </w:rPr>
        <w:t xml:space="preserve">examination scheduled </w:t>
      </w:r>
      <w:r w:rsidR="00CF0E64" w:rsidRPr="00265730">
        <w:rPr>
          <w:szCs w:val="24"/>
          <w:highlight w:val="yellow"/>
        </w:rPr>
        <w:t xml:space="preserve">to occur over </w:t>
      </w:r>
      <w:r w:rsidR="00747127" w:rsidRPr="00265730">
        <w:rPr>
          <w:szCs w:val="24"/>
          <w:highlight w:val="yellow"/>
        </w:rPr>
        <w:t>a three-year period</w:t>
      </w:r>
      <w:r w:rsidR="000D17D7" w:rsidRPr="00265730">
        <w:rPr>
          <w:szCs w:val="24"/>
          <w:highlight w:val="yellow"/>
        </w:rPr>
        <w:t xml:space="preserve"> </w:t>
      </w:r>
      <w:r w:rsidR="003E303A" w:rsidRPr="00265730">
        <w:rPr>
          <w:szCs w:val="24"/>
          <w:highlight w:val="yellow"/>
        </w:rPr>
        <w:t>[</w:t>
      </w:r>
      <w:r w:rsidR="008903F6" w:rsidRPr="00265730">
        <w:rPr>
          <w:szCs w:val="24"/>
          <w:highlight w:val="yellow"/>
        </w:rPr>
        <w:t xml:space="preserve">Appendix </w:t>
      </w:r>
      <w:r w:rsidR="00640165" w:rsidRPr="00265730">
        <w:rPr>
          <w:szCs w:val="24"/>
          <w:highlight w:val="yellow"/>
        </w:rPr>
        <w:t>3</w:t>
      </w:r>
      <w:r w:rsidR="003E303A" w:rsidRPr="00265730">
        <w:rPr>
          <w:szCs w:val="24"/>
          <w:highlight w:val="yellow"/>
        </w:rPr>
        <w:t>]</w:t>
      </w:r>
      <w:r w:rsidR="0030072D" w:rsidRPr="00265730">
        <w:rPr>
          <w:szCs w:val="24"/>
          <w:highlight w:val="yellow"/>
        </w:rPr>
        <w:t xml:space="preserve">.  </w:t>
      </w:r>
      <w:r w:rsidR="00640165" w:rsidRPr="00265730">
        <w:rPr>
          <w:color w:val="000000"/>
          <w:szCs w:val="24"/>
          <w:highlight w:val="yellow"/>
        </w:rPr>
        <w:t xml:space="preserve">Visit 2 data will be collected in the form of interviews and </w:t>
      </w:r>
      <w:r w:rsidR="00B513BE" w:rsidRPr="00265730">
        <w:rPr>
          <w:color w:val="000000"/>
          <w:szCs w:val="24"/>
          <w:highlight w:val="yellow"/>
        </w:rPr>
        <w:t>clinical measures</w:t>
      </w:r>
      <w:r w:rsidR="00640165" w:rsidRPr="00265730">
        <w:rPr>
          <w:color w:val="000000"/>
          <w:szCs w:val="24"/>
          <w:highlight w:val="yellow"/>
        </w:rPr>
        <w:t xml:space="preserve">, as described in pages 11 and 12. </w:t>
      </w:r>
      <w:r w:rsidR="003D43DA" w:rsidRPr="00265730">
        <w:rPr>
          <w:szCs w:val="24"/>
          <w:highlight w:val="yellow"/>
        </w:rPr>
        <w:t>Annual f</w:t>
      </w:r>
      <w:r w:rsidR="0030072D" w:rsidRPr="00265730">
        <w:rPr>
          <w:szCs w:val="24"/>
          <w:highlight w:val="yellow"/>
        </w:rPr>
        <w:t>ollow-up</w:t>
      </w:r>
      <w:r w:rsidR="00EA384F" w:rsidRPr="00265730">
        <w:rPr>
          <w:szCs w:val="24"/>
          <w:highlight w:val="yellow"/>
        </w:rPr>
        <w:t xml:space="preserve"> </w:t>
      </w:r>
      <w:r w:rsidR="00C42B70" w:rsidRPr="00265730">
        <w:rPr>
          <w:szCs w:val="24"/>
          <w:highlight w:val="yellow"/>
        </w:rPr>
        <w:t xml:space="preserve">(AFU) </w:t>
      </w:r>
      <w:r w:rsidR="00EA384F" w:rsidRPr="00265730">
        <w:rPr>
          <w:szCs w:val="24"/>
          <w:highlight w:val="yellow"/>
        </w:rPr>
        <w:t xml:space="preserve">of the cohort </w:t>
      </w:r>
      <w:r w:rsidR="003D43DA" w:rsidRPr="00265730">
        <w:rPr>
          <w:szCs w:val="24"/>
          <w:highlight w:val="yellow"/>
        </w:rPr>
        <w:t>will continue throughout the duration of the contract (6 years).</w:t>
      </w:r>
      <w:r w:rsidR="003D43DA">
        <w:rPr>
          <w:szCs w:val="24"/>
        </w:rPr>
        <w:t xml:space="preserve"> </w:t>
      </w:r>
    </w:p>
    <w:p w14:paraId="4EE4F8DE" w14:textId="77777777" w:rsidR="00BC2D72" w:rsidRDefault="00BC2D72" w:rsidP="00847396">
      <w:pPr>
        <w:spacing w:before="120" w:line="276" w:lineRule="auto"/>
        <w:ind w:firstLine="720"/>
        <w:rPr>
          <w:szCs w:val="24"/>
        </w:rPr>
      </w:pPr>
    </w:p>
    <w:p w14:paraId="7263AB22" w14:textId="767CAA1E" w:rsidR="004267A8" w:rsidRPr="00AD13F4" w:rsidRDefault="004267A8" w:rsidP="00847396">
      <w:pPr>
        <w:spacing w:before="120" w:line="276" w:lineRule="auto"/>
        <w:ind w:firstLine="720"/>
      </w:pPr>
      <w:r w:rsidRPr="00265730">
        <w:rPr>
          <w:szCs w:val="22"/>
          <w:highlight w:val="yellow"/>
        </w:rPr>
        <w:t>The longitudinal data collection of this study has two components.  The first component is to contact individuals annually by telephone (or in person if unable to contact by phone), to ascertain current household location and contact information, to conduct a brief health history, and to identify any hospitalizations that may have taken place in the previous year.  When these hospitalizations are identified, the study (with signed permission from the participant) will obtain the medical record from the hospital, abstract relevant information and pro</w:t>
      </w:r>
      <w:r w:rsidR="00F20207" w:rsidRPr="00265730">
        <w:rPr>
          <w:szCs w:val="22"/>
          <w:highlight w:val="yellow"/>
        </w:rPr>
        <w:t>duce</w:t>
      </w:r>
      <w:r w:rsidRPr="00265730">
        <w:rPr>
          <w:szCs w:val="22"/>
          <w:highlight w:val="yellow"/>
        </w:rPr>
        <w:t xml:space="preserve"> a validated diagnosis for the disease</w:t>
      </w:r>
      <w:r w:rsidR="00F20207" w:rsidRPr="00265730">
        <w:rPr>
          <w:szCs w:val="22"/>
          <w:highlight w:val="yellow"/>
        </w:rPr>
        <w:t>, which</w:t>
      </w:r>
      <w:r w:rsidRPr="00265730">
        <w:rPr>
          <w:szCs w:val="22"/>
          <w:highlight w:val="yellow"/>
        </w:rPr>
        <w:t xml:space="preserve"> will become part of the study database.  This process will provide identification of incident occurrences of coronary heart disease, stroke, heart failure, exacerbations of chronic obstructive lung disease and asthma, and pregnancy-related complications (pre-eclampsia, eclampsia and gestational diabetes mellitus). In the time frame of this study period (6 years) the expected average follow-</w:t>
      </w:r>
      <w:r w:rsidRPr="00265730">
        <w:rPr>
          <w:highlight w:val="yellow"/>
        </w:rPr>
        <w:t>up for incident disease will be 5 ½ years.  This means that by the end of the follow-up period in the current contract, one third of the cohort would have been followed for 10 years, another third for 9 years, and the other third for 8 years</w:t>
      </w:r>
      <w:r w:rsidR="00F20207" w:rsidRPr="00265730">
        <w:rPr>
          <w:highlight w:val="yellow"/>
        </w:rPr>
        <w:t xml:space="preserve"> since the baseline exam</w:t>
      </w:r>
      <w:r w:rsidRPr="00265730">
        <w:rPr>
          <w:highlight w:val="yellow"/>
        </w:rPr>
        <w:t xml:space="preserve">. </w:t>
      </w:r>
      <w:r w:rsidR="007A35A5" w:rsidRPr="00265730">
        <w:rPr>
          <w:highlight w:val="yellow"/>
        </w:rPr>
        <w:t>The number of validated cases of myocardial infarction or coronary heart disease death in this follow-up time period is estimated to be around 100, which should bring the total number of incident myocardial infarctions or coronary heart disease deaths to approximately 266 since follow-up began.  The total number of deaths from all causes is projected to be 539</w:t>
      </w:r>
      <w:r w:rsidRPr="00265730">
        <w:rPr>
          <w:highlight w:val="yellow"/>
        </w:rPr>
        <w:t>.</w:t>
      </w:r>
      <w:r w:rsidRPr="00AD13F4">
        <w:t xml:space="preserve"> </w:t>
      </w:r>
    </w:p>
    <w:p w14:paraId="1B29AFE2" w14:textId="77777777" w:rsidR="004267A8" w:rsidRDefault="004267A8" w:rsidP="00847396">
      <w:pPr>
        <w:spacing w:before="120" w:line="276" w:lineRule="auto"/>
        <w:ind w:firstLine="720"/>
        <w:rPr>
          <w:color w:val="0000FF"/>
          <w:szCs w:val="24"/>
        </w:rPr>
      </w:pPr>
    </w:p>
    <w:p w14:paraId="52B84CEB" w14:textId="1762B75D" w:rsidR="00EB7724" w:rsidRDefault="00646007" w:rsidP="00847396">
      <w:pPr>
        <w:spacing w:before="120" w:line="276" w:lineRule="auto"/>
        <w:ind w:firstLine="720"/>
        <w:rPr>
          <w:color w:val="000000"/>
          <w:szCs w:val="24"/>
        </w:rPr>
      </w:pPr>
      <w:r w:rsidRPr="00265730">
        <w:rPr>
          <w:szCs w:val="24"/>
          <w:highlight w:val="yellow"/>
        </w:rPr>
        <w:t xml:space="preserve">Analysis of Visit 2 and follow-up data and preparation of the corresponding manuscripts will take place during this study period. </w:t>
      </w:r>
      <w:r w:rsidR="00E327CB" w:rsidRPr="00265730">
        <w:rPr>
          <w:szCs w:val="24"/>
          <w:highlight w:val="yellow"/>
        </w:rPr>
        <w:t xml:space="preserve">NHLBI will use the results to </w:t>
      </w:r>
      <w:r w:rsidR="003D43DA" w:rsidRPr="00265730">
        <w:rPr>
          <w:szCs w:val="24"/>
          <w:highlight w:val="yellow"/>
        </w:rPr>
        <w:t>describe changes in</w:t>
      </w:r>
      <w:r w:rsidR="003D43DA" w:rsidRPr="00265730">
        <w:rPr>
          <w:color w:val="000000"/>
          <w:szCs w:val="24"/>
          <w:highlight w:val="yellow"/>
        </w:rPr>
        <w:t xml:space="preserve"> </w:t>
      </w:r>
      <w:r w:rsidR="00311D01" w:rsidRPr="00265730">
        <w:rPr>
          <w:color w:val="000000"/>
          <w:szCs w:val="24"/>
          <w:highlight w:val="yellow"/>
        </w:rPr>
        <w:t xml:space="preserve">biological </w:t>
      </w:r>
      <w:r w:rsidR="003D43DA" w:rsidRPr="00265730">
        <w:rPr>
          <w:color w:val="000000"/>
          <w:szCs w:val="24"/>
          <w:highlight w:val="yellow"/>
        </w:rPr>
        <w:t>risk and protective factors</w:t>
      </w:r>
      <w:r w:rsidRPr="00265730">
        <w:rPr>
          <w:color w:val="000000"/>
          <w:szCs w:val="24"/>
          <w:highlight w:val="yellow"/>
        </w:rPr>
        <w:t>, social determinants of health</w:t>
      </w:r>
      <w:r w:rsidR="003D43DA" w:rsidRPr="00265730">
        <w:rPr>
          <w:color w:val="000000"/>
          <w:szCs w:val="24"/>
          <w:highlight w:val="yellow"/>
        </w:rPr>
        <w:t xml:space="preserve"> </w:t>
      </w:r>
      <w:r w:rsidR="00311D01" w:rsidRPr="00265730">
        <w:rPr>
          <w:color w:val="000000"/>
          <w:szCs w:val="24"/>
          <w:highlight w:val="yellow"/>
        </w:rPr>
        <w:t xml:space="preserve">and sociocultural factors </w:t>
      </w:r>
      <w:r w:rsidR="003D43DA" w:rsidRPr="00265730">
        <w:rPr>
          <w:color w:val="000000"/>
          <w:szCs w:val="24"/>
          <w:highlight w:val="yellow"/>
        </w:rPr>
        <w:t xml:space="preserve">over time, </w:t>
      </w:r>
      <w:r w:rsidR="00311D01" w:rsidRPr="00265730">
        <w:rPr>
          <w:color w:val="000000"/>
          <w:szCs w:val="24"/>
          <w:highlight w:val="yellow"/>
        </w:rPr>
        <w:t xml:space="preserve">and their relationship to </w:t>
      </w:r>
      <w:r w:rsidR="00153E2B" w:rsidRPr="00265730">
        <w:rPr>
          <w:color w:val="000000"/>
          <w:szCs w:val="24"/>
          <w:highlight w:val="yellow"/>
        </w:rPr>
        <w:t xml:space="preserve">genetics, </w:t>
      </w:r>
      <w:r w:rsidR="003D43DA" w:rsidRPr="00265730">
        <w:rPr>
          <w:color w:val="000000"/>
          <w:szCs w:val="24"/>
          <w:highlight w:val="yellow"/>
        </w:rPr>
        <w:t>onset of disease</w:t>
      </w:r>
      <w:r w:rsidR="00311D01" w:rsidRPr="00265730">
        <w:rPr>
          <w:color w:val="000000"/>
          <w:szCs w:val="24"/>
          <w:highlight w:val="yellow"/>
        </w:rPr>
        <w:t xml:space="preserve"> and fatal and non-fatal disease events in Hispanic/Latino populations</w:t>
      </w:r>
      <w:r w:rsidR="00311D01">
        <w:rPr>
          <w:color w:val="000000"/>
          <w:szCs w:val="24"/>
        </w:rPr>
        <w:t>.</w:t>
      </w:r>
      <w:r w:rsidR="00EB7724">
        <w:rPr>
          <w:color w:val="000000"/>
          <w:szCs w:val="24"/>
        </w:rPr>
        <w:t xml:space="preserve"> </w:t>
      </w:r>
    </w:p>
    <w:p w14:paraId="1F9DF44F" w14:textId="77777777" w:rsidR="00BC2D72" w:rsidRDefault="00BC2D72" w:rsidP="00847396">
      <w:pPr>
        <w:spacing w:before="120" w:line="276" w:lineRule="auto"/>
        <w:ind w:firstLine="720"/>
        <w:rPr>
          <w:color w:val="000000"/>
          <w:szCs w:val="24"/>
        </w:rPr>
      </w:pPr>
    </w:p>
    <w:p w14:paraId="036BA87E" w14:textId="55693DC4" w:rsidR="00772778" w:rsidRDefault="00EB7724" w:rsidP="00847396">
      <w:pPr>
        <w:spacing w:before="120" w:line="276" w:lineRule="auto"/>
        <w:ind w:firstLine="720"/>
        <w:rPr>
          <w:color w:val="000000"/>
          <w:szCs w:val="24"/>
        </w:rPr>
      </w:pPr>
      <w:r>
        <w:rPr>
          <w:color w:val="000000"/>
          <w:szCs w:val="24"/>
        </w:rPr>
        <w:t xml:space="preserve"> </w:t>
      </w:r>
      <w:r w:rsidRPr="00265730">
        <w:rPr>
          <w:color w:val="000000"/>
          <w:szCs w:val="24"/>
          <w:highlight w:val="yellow"/>
        </w:rPr>
        <w:t xml:space="preserve">A </w:t>
      </w:r>
      <w:r w:rsidR="00311D01" w:rsidRPr="00265730">
        <w:rPr>
          <w:color w:val="000000"/>
          <w:szCs w:val="24"/>
          <w:highlight w:val="yellow"/>
        </w:rPr>
        <w:t xml:space="preserve">re-examination and continuation of the </w:t>
      </w:r>
      <w:r w:rsidR="00C42B70" w:rsidRPr="00265730">
        <w:rPr>
          <w:color w:val="000000"/>
          <w:szCs w:val="24"/>
          <w:highlight w:val="yellow"/>
        </w:rPr>
        <w:t>AFU</w:t>
      </w:r>
      <w:r w:rsidR="00311D01" w:rsidRPr="00265730">
        <w:rPr>
          <w:color w:val="000000"/>
          <w:szCs w:val="24"/>
          <w:highlight w:val="yellow"/>
        </w:rPr>
        <w:t xml:space="preserve"> </w:t>
      </w:r>
      <w:r w:rsidRPr="00265730">
        <w:rPr>
          <w:color w:val="000000"/>
          <w:szCs w:val="24"/>
          <w:highlight w:val="yellow"/>
        </w:rPr>
        <w:t xml:space="preserve">of this population sample of </w:t>
      </w:r>
      <w:r w:rsidR="00311D01" w:rsidRPr="00265730">
        <w:rPr>
          <w:color w:val="000000"/>
          <w:szCs w:val="24"/>
          <w:highlight w:val="yellow"/>
        </w:rPr>
        <w:t>U.S.</w:t>
      </w:r>
      <w:r w:rsidR="00311D01">
        <w:rPr>
          <w:color w:val="000000"/>
          <w:szCs w:val="24"/>
        </w:rPr>
        <w:t xml:space="preserve"> </w:t>
      </w:r>
      <w:r w:rsidRPr="00AD13F4">
        <w:rPr>
          <w:color w:val="000000"/>
          <w:szCs w:val="24"/>
        </w:rPr>
        <w:t>Hispanic</w:t>
      </w:r>
      <w:r w:rsidR="00311D01">
        <w:rPr>
          <w:color w:val="000000"/>
          <w:szCs w:val="24"/>
        </w:rPr>
        <w:t>s</w:t>
      </w:r>
      <w:r w:rsidRPr="00AD13F4">
        <w:rPr>
          <w:color w:val="000000"/>
          <w:szCs w:val="24"/>
        </w:rPr>
        <w:t xml:space="preserve"> is scientifically important and has public health and policy implications.  The characterization of this </w:t>
      </w:r>
      <w:r w:rsidR="004267A8">
        <w:rPr>
          <w:color w:val="000000"/>
          <w:szCs w:val="24"/>
        </w:rPr>
        <w:t xml:space="preserve">heterogeneous </w:t>
      </w:r>
      <w:r w:rsidRPr="00AD13F4">
        <w:rPr>
          <w:color w:val="000000"/>
          <w:szCs w:val="24"/>
        </w:rPr>
        <w:t xml:space="preserve">minority </w:t>
      </w:r>
      <w:r w:rsidR="004267A8">
        <w:rPr>
          <w:color w:val="000000"/>
          <w:szCs w:val="24"/>
        </w:rPr>
        <w:t>group</w:t>
      </w:r>
      <w:r w:rsidR="004267A8" w:rsidRPr="00AD13F4">
        <w:rPr>
          <w:color w:val="000000"/>
          <w:szCs w:val="24"/>
        </w:rPr>
        <w:t xml:space="preserve"> </w:t>
      </w:r>
      <w:r w:rsidRPr="00AD13F4">
        <w:rPr>
          <w:color w:val="000000"/>
          <w:szCs w:val="24"/>
        </w:rPr>
        <w:t xml:space="preserve">(and its </w:t>
      </w:r>
      <w:r w:rsidR="00311D01">
        <w:rPr>
          <w:color w:val="000000"/>
          <w:szCs w:val="24"/>
        </w:rPr>
        <w:t>different national origins</w:t>
      </w:r>
      <w:r w:rsidRPr="00AD13F4">
        <w:rPr>
          <w:color w:val="000000"/>
          <w:szCs w:val="24"/>
        </w:rPr>
        <w:t xml:space="preserve">) </w:t>
      </w:r>
      <w:r w:rsidR="00DA0825">
        <w:rPr>
          <w:color w:val="000000"/>
          <w:szCs w:val="24"/>
        </w:rPr>
        <w:t>will</w:t>
      </w:r>
      <w:r w:rsidR="00DA0825" w:rsidRPr="00AD13F4">
        <w:rPr>
          <w:color w:val="000000"/>
          <w:szCs w:val="24"/>
        </w:rPr>
        <w:t xml:space="preserve"> </w:t>
      </w:r>
      <w:r w:rsidRPr="00AD13F4">
        <w:rPr>
          <w:color w:val="000000"/>
          <w:szCs w:val="24"/>
        </w:rPr>
        <w:t xml:space="preserve">fill gaps in current knowledge of the </w:t>
      </w:r>
      <w:r w:rsidR="004267A8">
        <w:rPr>
          <w:color w:val="000000"/>
          <w:szCs w:val="24"/>
        </w:rPr>
        <w:t xml:space="preserve">relationship between social determinants of health, sociocultural factors, risk factor profile, metabolic phenotypes and genotypes and </w:t>
      </w:r>
      <w:r w:rsidRPr="00AD13F4">
        <w:rPr>
          <w:color w:val="000000"/>
          <w:szCs w:val="24"/>
        </w:rPr>
        <w:t>objectivel</w:t>
      </w:r>
      <w:r w:rsidR="004267A8">
        <w:rPr>
          <w:color w:val="000000"/>
          <w:szCs w:val="24"/>
        </w:rPr>
        <w:t>y measured disease parameters</w:t>
      </w:r>
      <w:r w:rsidR="00DA0825">
        <w:rPr>
          <w:color w:val="000000"/>
          <w:szCs w:val="24"/>
        </w:rPr>
        <w:t>, and will be uniquely informative to health policy and clinical guideline</w:t>
      </w:r>
      <w:r w:rsidR="00DB4A65">
        <w:rPr>
          <w:color w:val="000000"/>
          <w:szCs w:val="24"/>
        </w:rPr>
        <w:t>s</w:t>
      </w:r>
      <w:r w:rsidR="00DA0825">
        <w:rPr>
          <w:color w:val="000000"/>
          <w:szCs w:val="24"/>
        </w:rPr>
        <w:t xml:space="preserve"> experts</w:t>
      </w:r>
      <w:r w:rsidR="004267A8">
        <w:rPr>
          <w:color w:val="000000"/>
          <w:szCs w:val="24"/>
        </w:rPr>
        <w:t>.</w:t>
      </w:r>
      <w:r w:rsidRPr="00AD13F4">
        <w:rPr>
          <w:color w:val="000000"/>
          <w:szCs w:val="24"/>
        </w:rPr>
        <w:t xml:space="preserve">  Since information on these attributes is fragmentary</w:t>
      </w:r>
      <w:r w:rsidR="004267A8">
        <w:rPr>
          <w:color w:val="000000"/>
          <w:szCs w:val="24"/>
        </w:rPr>
        <w:t xml:space="preserve"> among Hispanics,</w:t>
      </w:r>
      <w:r w:rsidRPr="00AD13F4">
        <w:rPr>
          <w:color w:val="000000"/>
          <w:szCs w:val="24"/>
        </w:rPr>
        <w:t xml:space="preserve"> the </w:t>
      </w:r>
      <w:r w:rsidR="00311D01" w:rsidRPr="00265730">
        <w:rPr>
          <w:color w:val="000000"/>
          <w:szCs w:val="24"/>
          <w:highlight w:val="yellow"/>
        </w:rPr>
        <w:t>re-examination</w:t>
      </w:r>
      <w:r w:rsidRPr="00AD13F4">
        <w:rPr>
          <w:color w:val="000000"/>
          <w:szCs w:val="24"/>
        </w:rPr>
        <w:t xml:space="preserve"> designed for this contract period is </w:t>
      </w:r>
      <w:r w:rsidR="00ED55B8">
        <w:rPr>
          <w:color w:val="000000"/>
          <w:szCs w:val="24"/>
        </w:rPr>
        <w:t xml:space="preserve">a </w:t>
      </w:r>
      <w:r w:rsidRPr="00AD13F4">
        <w:rPr>
          <w:color w:val="000000"/>
          <w:szCs w:val="24"/>
        </w:rPr>
        <w:t>significant and fully informative contribution to public health.</w:t>
      </w:r>
      <w:r>
        <w:rPr>
          <w:color w:val="000000"/>
          <w:szCs w:val="24"/>
        </w:rPr>
        <w:t xml:space="preserve">  </w:t>
      </w:r>
      <w:r w:rsidR="00E327CB" w:rsidRPr="0004514F">
        <w:rPr>
          <w:color w:val="000000"/>
          <w:szCs w:val="24"/>
        </w:rPr>
        <w:t>Results will be published in appropriate scientific journals, be presented at scientific meetings and</w:t>
      </w:r>
      <w:r w:rsidR="006633FF" w:rsidRPr="0004514F">
        <w:rPr>
          <w:color w:val="000000"/>
          <w:szCs w:val="24"/>
        </w:rPr>
        <w:t>,</w:t>
      </w:r>
      <w:r w:rsidR="00E327CB" w:rsidRPr="0004514F">
        <w:rPr>
          <w:color w:val="000000"/>
          <w:szCs w:val="24"/>
        </w:rPr>
        <w:t xml:space="preserve"> after full scientific evaluation, be presented as policy recommendations by </w:t>
      </w:r>
      <w:r w:rsidR="00DD05A6">
        <w:rPr>
          <w:color w:val="000000"/>
          <w:szCs w:val="24"/>
        </w:rPr>
        <w:t xml:space="preserve">the </w:t>
      </w:r>
      <w:r w:rsidR="00E327CB" w:rsidRPr="0004514F">
        <w:rPr>
          <w:color w:val="000000"/>
          <w:szCs w:val="24"/>
        </w:rPr>
        <w:t xml:space="preserve">NHLBI </w:t>
      </w:r>
      <w:r w:rsidR="00DD05A6">
        <w:rPr>
          <w:color w:val="000000"/>
          <w:szCs w:val="24"/>
        </w:rPr>
        <w:t>through</w:t>
      </w:r>
      <w:r w:rsidR="00E327CB" w:rsidRPr="0004514F">
        <w:rPr>
          <w:color w:val="000000"/>
          <w:szCs w:val="24"/>
        </w:rPr>
        <w:t xml:space="preserve"> public education and </w:t>
      </w:r>
      <w:r w:rsidR="00C8541D">
        <w:rPr>
          <w:color w:val="000000"/>
          <w:szCs w:val="24"/>
        </w:rPr>
        <w:t xml:space="preserve">health promotion and disease </w:t>
      </w:r>
      <w:r w:rsidR="00E327CB" w:rsidRPr="0004514F">
        <w:rPr>
          <w:color w:val="000000"/>
          <w:szCs w:val="24"/>
        </w:rPr>
        <w:t>prevention programs</w:t>
      </w:r>
      <w:r w:rsidR="00587A9A" w:rsidRPr="0004514F">
        <w:rPr>
          <w:color w:val="000000"/>
          <w:szCs w:val="24"/>
        </w:rPr>
        <w:t xml:space="preserve">. </w:t>
      </w:r>
      <w:r w:rsidRPr="00AD13F4">
        <w:rPr>
          <w:color w:val="000000"/>
          <w:szCs w:val="24"/>
        </w:rPr>
        <w:t xml:space="preserve">Recommendations for </w:t>
      </w:r>
      <w:r w:rsidR="00CF0E64">
        <w:rPr>
          <w:color w:val="000000"/>
          <w:szCs w:val="24"/>
        </w:rPr>
        <w:t xml:space="preserve">the future </w:t>
      </w:r>
      <w:r w:rsidRPr="00AD13F4">
        <w:rPr>
          <w:color w:val="000000"/>
          <w:szCs w:val="24"/>
        </w:rPr>
        <w:t xml:space="preserve">continuation of the study and a </w:t>
      </w:r>
      <w:r w:rsidR="00DD05A6">
        <w:rPr>
          <w:color w:val="000000"/>
          <w:szCs w:val="24"/>
        </w:rPr>
        <w:t xml:space="preserve">possible </w:t>
      </w:r>
      <w:r w:rsidRPr="00AD13F4">
        <w:rPr>
          <w:color w:val="000000"/>
          <w:szCs w:val="24"/>
        </w:rPr>
        <w:t xml:space="preserve">repeat examination of the cohort </w:t>
      </w:r>
      <w:r w:rsidR="00CF0E64">
        <w:rPr>
          <w:color w:val="000000"/>
          <w:szCs w:val="24"/>
        </w:rPr>
        <w:t>will also be pursued</w:t>
      </w:r>
      <w:r w:rsidRPr="00AD13F4">
        <w:rPr>
          <w:color w:val="000000"/>
          <w:szCs w:val="24"/>
        </w:rPr>
        <w:t>.</w:t>
      </w:r>
      <w:r>
        <w:rPr>
          <w:color w:val="000000"/>
          <w:szCs w:val="24"/>
        </w:rPr>
        <w:t xml:space="preserve"> </w:t>
      </w:r>
      <w:r w:rsidR="00587A9A" w:rsidRPr="0004514F">
        <w:rPr>
          <w:color w:val="000000"/>
          <w:szCs w:val="24"/>
        </w:rPr>
        <w:t xml:space="preserve"> </w:t>
      </w:r>
      <w:r w:rsidR="00627207" w:rsidRPr="0004514F">
        <w:rPr>
          <w:color w:val="000000"/>
          <w:szCs w:val="24"/>
        </w:rPr>
        <w:t xml:space="preserve">  </w:t>
      </w:r>
    </w:p>
    <w:p w14:paraId="1ABD457C" w14:textId="23A8CE41" w:rsidR="0030072D" w:rsidRDefault="0030072D" w:rsidP="0051107B">
      <w:pPr>
        <w:spacing w:line="480" w:lineRule="auto"/>
        <w:rPr>
          <w:color w:val="800080"/>
        </w:rPr>
      </w:pPr>
    </w:p>
    <w:p w14:paraId="6A1F7445" w14:textId="1ED225A6" w:rsidR="001E7A06" w:rsidRPr="00B366E7" w:rsidRDefault="00B366E7" w:rsidP="00B366E7">
      <w:pPr>
        <w:spacing w:line="480" w:lineRule="auto"/>
        <w:jc w:val="center"/>
        <w:rPr>
          <w:b/>
        </w:rPr>
      </w:pPr>
      <w:r w:rsidRPr="00B366E7">
        <w:rPr>
          <w:b/>
        </w:rPr>
        <w:t xml:space="preserve">A.3. </w:t>
      </w:r>
      <w:r w:rsidR="001E7A06" w:rsidRPr="00B366E7">
        <w:rPr>
          <w:b/>
        </w:rPr>
        <w:t>Use of Information Technology and Burden Reduction</w:t>
      </w:r>
    </w:p>
    <w:p w14:paraId="53BC6D2E" w14:textId="2DF8FB74" w:rsidR="003838D7" w:rsidRPr="00587A9A" w:rsidRDefault="00CB637D" w:rsidP="00847396">
      <w:pPr>
        <w:spacing w:before="120" w:line="276" w:lineRule="auto"/>
        <w:ind w:firstLine="720"/>
        <w:rPr>
          <w:color w:val="000000"/>
          <w:szCs w:val="24"/>
        </w:rPr>
      </w:pPr>
      <w:r>
        <w:t xml:space="preserve">The Privacy Impact Assessment was performed, and was determined to apply.  </w:t>
      </w:r>
      <w:r w:rsidR="00FF7A1B">
        <w:t>The HCHS/SOL use</w:t>
      </w:r>
      <w:r w:rsidR="00DA0825">
        <w:t>s</w:t>
      </w:r>
      <w:r w:rsidR="003838D7" w:rsidRPr="003838D7">
        <w:t xml:space="preserve"> state-of-art data entry and management systems which maximize data accuracy and minimize respondent burden</w:t>
      </w:r>
      <w:r w:rsidR="00052F98">
        <w:t xml:space="preserve"> using a computer assisted personal interview (CAPI) approach</w:t>
      </w:r>
      <w:r w:rsidR="003838D7" w:rsidRPr="003838D7">
        <w:t xml:space="preserve">.  The data entry system displays screens that resemble paper forms. </w:t>
      </w:r>
      <w:r w:rsidR="003838D7" w:rsidRPr="006F47C5">
        <w:rPr>
          <w:szCs w:val="24"/>
        </w:rPr>
        <w:t xml:space="preserve"> </w:t>
      </w:r>
      <w:r w:rsidR="003838D7" w:rsidRPr="00587A9A">
        <w:rPr>
          <w:color w:val="000000"/>
          <w:szCs w:val="24"/>
        </w:rPr>
        <w:t xml:space="preserve">The </w:t>
      </w:r>
      <w:r w:rsidR="00AF4A83">
        <w:rPr>
          <w:color w:val="000000"/>
          <w:szCs w:val="24"/>
        </w:rPr>
        <w:t>interviewer</w:t>
      </w:r>
      <w:r w:rsidR="003838D7" w:rsidRPr="00587A9A">
        <w:rPr>
          <w:color w:val="000000"/>
          <w:szCs w:val="24"/>
        </w:rPr>
        <w:t xml:space="preserve"> reads the items from the screen, performs the measurement or queries the participant, and keys the response into the computer. As data for a field are entered, </w:t>
      </w:r>
      <w:r w:rsidR="007A35A5">
        <w:rPr>
          <w:color w:val="000000"/>
          <w:szCs w:val="24"/>
        </w:rPr>
        <w:t>validated</w:t>
      </w:r>
      <w:r w:rsidR="007A35A5" w:rsidRPr="00587A9A">
        <w:rPr>
          <w:color w:val="000000"/>
          <w:szCs w:val="24"/>
        </w:rPr>
        <w:t xml:space="preserve"> by the system</w:t>
      </w:r>
      <w:r w:rsidR="007A35A5">
        <w:rPr>
          <w:color w:val="000000"/>
          <w:szCs w:val="24"/>
        </w:rPr>
        <w:t xml:space="preserve"> (e.g.</w:t>
      </w:r>
      <w:r w:rsidR="00295489">
        <w:rPr>
          <w:color w:val="000000"/>
          <w:szCs w:val="24"/>
        </w:rPr>
        <w:t xml:space="preserve"> </w:t>
      </w:r>
      <w:r w:rsidR="007A35A5">
        <w:rPr>
          <w:color w:val="000000"/>
          <w:szCs w:val="24"/>
        </w:rPr>
        <w:t>out of range or invalid values, impossible dates or times)</w:t>
      </w:r>
      <w:r w:rsidR="003838D7" w:rsidRPr="00587A9A">
        <w:rPr>
          <w:color w:val="000000"/>
          <w:szCs w:val="24"/>
        </w:rPr>
        <w:t xml:space="preserve">. The values failing the </w:t>
      </w:r>
      <w:r w:rsidR="00AC1FB2">
        <w:rPr>
          <w:color w:val="000000"/>
          <w:szCs w:val="24"/>
        </w:rPr>
        <w:t>quality</w:t>
      </w:r>
      <w:r w:rsidR="00AC1FB2" w:rsidRPr="00587A9A">
        <w:rPr>
          <w:color w:val="000000"/>
          <w:szCs w:val="24"/>
        </w:rPr>
        <w:t xml:space="preserve"> </w:t>
      </w:r>
      <w:r w:rsidR="003838D7" w:rsidRPr="00587A9A">
        <w:rPr>
          <w:color w:val="000000"/>
          <w:szCs w:val="24"/>
        </w:rPr>
        <w:t xml:space="preserve">checks cause an error message to be displayed </w:t>
      </w:r>
      <w:r w:rsidR="00AC1FB2">
        <w:rPr>
          <w:color w:val="000000"/>
          <w:szCs w:val="24"/>
        </w:rPr>
        <w:t>that</w:t>
      </w:r>
      <w:r w:rsidR="003838D7" w:rsidRPr="00587A9A">
        <w:rPr>
          <w:color w:val="000000"/>
          <w:szCs w:val="24"/>
        </w:rPr>
        <w:t xml:space="preserve"> prevents further entry until the problem is resolved.  The data collector can correct the value, confirm it, or flag it as “questionable” and in need of further investigation.  In addition to collecting and </w:t>
      </w:r>
      <w:r w:rsidR="00AC1FB2">
        <w:rPr>
          <w:color w:val="000000"/>
          <w:szCs w:val="24"/>
        </w:rPr>
        <w:t>check</w:t>
      </w:r>
      <w:r w:rsidR="003838D7" w:rsidRPr="00587A9A">
        <w:rPr>
          <w:color w:val="000000"/>
          <w:szCs w:val="24"/>
        </w:rPr>
        <w:t xml:space="preserve">ing the data, the system permits users to enter text into electronic “post-it notes” attached to any field as needed.  </w:t>
      </w:r>
      <w:r w:rsidR="00052F98">
        <w:rPr>
          <w:color w:val="000000"/>
          <w:szCs w:val="24"/>
        </w:rPr>
        <w:t>Automated skip rules</w:t>
      </w:r>
      <w:r w:rsidR="003838D7" w:rsidRPr="00587A9A">
        <w:rPr>
          <w:color w:val="000000"/>
          <w:szCs w:val="24"/>
        </w:rPr>
        <w:t xml:space="preserve"> rapidly direct the interviewer to the relevant sections of the interview for the particular respondent and provide for very rapid interviewer action, thus lessening the respondent burden.</w:t>
      </w:r>
    </w:p>
    <w:p w14:paraId="7EB5700C" w14:textId="77777777" w:rsidR="003838D7" w:rsidRDefault="003838D7">
      <w:pPr>
        <w:spacing w:line="480" w:lineRule="auto"/>
      </w:pPr>
    </w:p>
    <w:p w14:paraId="1198839C" w14:textId="7F189CA5" w:rsidR="001E7A06" w:rsidRPr="00B366E7" w:rsidRDefault="001E7A06" w:rsidP="00B366E7">
      <w:pPr>
        <w:spacing w:line="480" w:lineRule="auto"/>
        <w:jc w:val="center"/>
        <w:rPr>
          <w:b/>
        </w:rPr>
      </w:pPr>
      <w:r w:rsidRPr="00B366E7">
        <w:rPr>
          <w:b/>
        </w:rPr>
        <w:t>A.4. Efforts to Identify Duplication and Use of Similar Information</w:t>
      </w:r>
    </w:p>
    <w:p w14:paraId="22FDA5E8" w14:textId="33B775E4" w:rsidR="008B56B4" w:rsidRDefault="00772778" w:rsidP="00847396">
      <w:pPr>
        <w:spacing w:before="120" w:line="276" w:lineRule="auto"/>
        <w:ind w:firstLine="720"/>
        <w:rPr>
          <w:color w:val="000000"/>
          <w:szCs w:val="24"/>
        </w:rPr>
      </w:pPr>
      <w:r w:rsidRPr="008B56B4">
        <w:rPr>
          <w:color w:val="000000"/>
          <w:szCs w:val="24"/>
        </w:rPr>
        <w:t xml:space="preserve">There is no duplication of effort </w:t>
      </w:r>
      <w:r w:rsidR="00CE03BC">
        <w:rPr>
          <w:color w:val="000000"/>
          <w:szCs w:val="24"/>
        </w:rPr>
        <w:t xml:space="preserve">or similar information available </w:t>
      </w:r>
      <w:r w:rsidRPr="008B56B4">
        <w:rPr>
          <w:color w:val="000000"/>
          <w:szCs w:val="24"/>
        </w:rPr>
        <w:t xml:space="preserve">because the HCHS/SOL cohort is unique.  </w:t>
      </w:r>
      <w:r w:rsidR="00757C60" w:rsidRPr="008B56B4">
        <w:rPr>
          <w:color w:val="000000"/>
          <w:szCs w:val="24"/>
        </w:rPr>
        <w:t xml:space="preserve">The HCHS/SOL is the first and largest study to investigate disease prevalence in a standardized manner across </w:t>
      </w:r>
      <w:r w:rsidR="00AF4A83">
        <w:rPr>
          <w:color w:val="000000"/>
          <w:szCs w:val="24"/>
        </w:rPr>
        <w:t>diverse</w:t>
      </w:r>
      <w:r w:rsidR="00AF4A83" w:rsidRPr="008B56B4">
        <w:rPr>
          <w:color w:val="000000"/>
          <w:szCs w:val="24"/>
        </w:rPr>
        <w:t xml:space="preserve"> </w:t>
      </w:r>
      <w:r w:rsidR="00757C60" w:rsidRPr="008B56B4">
        <w:rPr>
          <w:color w:val="000000"/>
          <w:szCs w:val="24"/>
        </w:rPr>
        <w:t>Hispanic/Latino groups in the United States.  It includes research components that are being employed for the first time in an adult Hispanic/Latino population</w:t>
      </w:r>
      <w:r w:rsidR="008B56B4" w:rsidRPr="008B56B4">
        <w:rPr>
          <w:color w:val="000000"/>
          <w:szCs w:val="24"/>
        </w:rPr>
        <w:t xml:space="preserve"> including </w:t>
      </w:r>
      <w:r w:rsidR="00C71F94" w:rsidRPr="00E317EF">
        <w:rPr>
          <w:color w:val="000000"/>
          <w:szCs w:val="24"/>
        </w:rPr>
        <w:t xml:space="preserve">a cross-sectional comparison of the prevalence of cardiovascular risk factors among different Hispanic/Latino groups, </w:t>
      </w:r>
      <w:r w:rsidR="009B4098" w:rsidRPr="00E317EF">
        <w:rPr>
          <w:color w:val="000000"/>
          <w:szCs w:val="24"/>
        </w:rPr>
        <w:t xml:space="preserve">a longitudinal component, all-cause mortality rate across </w:t>
      </w:r>
      <w:r w:rsidR="005026E7">
        <w:rPr>
          <w:color w:val="000000"/>
          <w:szCs w:val="24"/>
        </w:rPr>
        <w:t xml:space="preserve">Hispanic </w:t>
      </w:r>
      <w:r w:rsidR="009B4098" w:rsidRPr="00E317EF">
        <w:rPr>
          <w:color w:val="000000"/>
          <w:szCs w:val="24"/>
        </w:rPr>
        <w:t xml:space="preserve">groups, assessment of cardiovascular and pulmonary causes of death, </w:t>
      </w:r>
      <w:r w:rsidR="005026E7" w:rsidRPr="00265730">
        <w:rPr>
          <w:color w:val="000000"/>
          <w:szCs w:val="24"/>
          <w:highlight w:val="yellow"/>
        </w:rPr>
        <w:t>retrospective and prospective incidence of pre-eclampsia, eclampsia and gestational diabetes mellitus</w:t>
      </w:r>
      <w:r w:rsidR="005026E7">
        <w:rPr>
          <w:color w:val="000000"/>
          <w:szCs w:val="24"/>
        </w:rPr>
        <w:t xml:space="preserve">, and </w:t>
      </w:r>
      <w:r w:rsidR="00877E5B">
        <w:rPr>
          <w:color w:val="000000"/>
          <w:szCs w:val="24"/>
        </w:rPr>
        <w:t>socioeconomic and sociocultural assessment</w:t>
      </w:r>
      <w:r w:rsidR="00AC1FB2">
        <w:rPr>
          <w:color w:val="000000"/>
          <w:szCs w:val="24"/>
        </w:rPr>
        <w:t>;</w:t>
      </w:r>
      <w:r w:rsidR="00877E5B">
        <w:rPr>
          <w:color w:val="000000"/>
          <w:szCs w:val="24"/>
        </w:rPr>
        <w:t xml:space="preserve"> </w:t>
      </w:r>
      <w:r w:rsidR="00757C60" w:rsidRPr="008B56B4">
        <w:rPr>
          <w:color w:val="000000"/>
          <w:szCs w:val="24"/>
        </w:rPr>
        <w:t xml:space="preserve"> thus, </w:t>
      </w:r>
      <w:r w:rsidR="00AC1FB2">
        <w:rPr>
          <w:color w:val="000000"/>
          <w:szCs w:val="24"/>
        </w:rPr>
        <w:t xml:space="preserve">it </w:t>
      </w:r>
      <w:r w:rsidR="00757C60" w:rsidRPr="008B56B4">
        <w:rPr>
          <w:color w:val="000000"/>
          <w:szCs w:val="24"/>
        </w:rPr>
        <w:t>does not duplicate</w:t>
      </w:r>
      <w:r w:rsidRPr="008B56B4">
        <w:rPr>
          <w:color w:val="000000"/>
          <w:szCs w:val="24"/>
        </w:rPr>
        <w:t xml:space="preserve"> previous or ongoing research </w:t>
      </w:r>
      <w:r w:rsidR="00757C60" w:rsidRPr="008B56B4">
        <w:rPr>
          <w:color w:val="000000"/>
          <w:szCs w:val="24"/>
        </w:rPr>
        <w:t>in this population.</w:t>
      </w:r>
      <w:r w:rsidRPr="008B56B4">
        <w:rPr>
          <w:color w:val="000000"/>
          <w:szCs w:val="24"/>
        </w:rPr>
        <w:t xml:space="preserve"> </w:t>
      </w:r>
    </w:p>
    <w:p w14:paraId="688B8616" w14:textId="77777777" w:rsidR="00B366E7" w:rsidRDefault="00B366E7" w:rsidP="00847396">
      <w:pPr>
        <w:spacing w:before="120" w:line="276" w:lineRule="auto"/>
        <w:ind w:firstLine="720"/>
        <w:rPr>
          <w:color w:val="000000"/>
          <w:szCs w:val="24"/>
        </w:rPr>
      </w:pPr>
    </w:p>
    <w:p w14:paraId="08FA1F83" w14:textId="66D05467" w:rsidR="00DB4A65" w:rsidRDefault="00DB4A65" w:rsidP="00847396">
      <w:pPr>
        <w:spacing w:before="120" w:line="276" w:lineRule="auto"/>
        <w:ind w:firstLine="720"/>
        <w:rPr>
          <w:color w:val="000000"/>
          <w:szCs w:val="24"/>
        </w:rPr>
      </w:pPr>
      <w:r>
        <w:rPr>
          <w:color w:val="000000"/>
          <w:szCs w:val="24"/>
        </w:rPr>
        <w:t>E</w:t>
      </w:r>
      <w:r w:rsidR="00C3328D" w:rsidRPr="008B56B4">
        <w:rPr>
          <w:color w:val="000000"/>
          <w:szCs w:val="24"/>
        </w:rPr>
        <w:t>pidemiological studies</w:t>
      </w:r>
      <w:r w:rsidR="00446ECB">
        <w:rPr>
          <w:color w:val="000000"/>
          <w:szCs w:val="24"/>
        </w:rPr>
        <w:t xml:space="preserve"> </w:t>
      </w:r>
      <w:r w:rsidR="00AC1FB2">
        <w:rPr>
          <w:color w:val="000000"/>
          <w:szCs w:val="24"/>
        </w:rPr>
        <w:t>that</w:t>
      </w:r>
      <w:r w:rsidR="00C3328D" w:rsidRPr="008B56B4">
        <w:rPr>
          <w:color w:val="000000"/>
          <w:szCs w:val="24"/>
        </w:rPr>
        <w:t xml:space="preserve"> have included Hispanics/Latinos in their </w:t>
      </w:r>
      <w:r w:rsidR="003343D8">
        <w:rPr>
          <w:color w:val="000000"/>
          <w:szCs w:val="24"/>
        </w:rPr>
        <w:t xml:space="preserve">populations </w:t>
      </w:r>
      <w:r w:rsidR="00C3328D" w:rsidRPr="008B56B4">
        <w:rPr>
          <w:color w:val="000000"/>
          <w:szCs w:val="24"/>
        </w:rPr>
        <w:t>include the</w:t>
      </w:r>
      <w:r w:rsidR="003343D8">
        <w:rPr>
          <w:color w:val="000000"/>
          <w:szCs w:val="24"/>
        </w:rPr>
        <w:t xml:space="preserve"> current</w:t>
      </w:r>
      <w:r w:rsidR="00C3328D" w:rsidRPr="008B56B4">
        <w:rPr>
          <w:color w:val="000000"/>
          <w:szCs w:val="24"/>
        </w:rPr>
        <w:t xml:space="preserve"> National Health and Examination Survey (NHANES)</w:t>
      </w:r>
      <w:r w:rsidR="003343D8">
        <w:rPr>
          <w:color w:val="000000"/>
          <w:szCs w:val="24"/>
        </w:rPr>
        <w:t xml:space="preserve">, the </w:t>
      </w:r>
      <w:r w:rsidR="00C3328D" w:rsidRPr="008B56B4">
        <w:rPr>
          <w:color w:val="000000"/>
          <w:szCs w:val="24"/>
        </w:rPr>
        <w:t xml:space="preserve">Hispanic Health and </w:t>
      </w:r>
      <w:r w:rsidR="003343D8">
        <w:rPr>
          <w:color w:val="000000"/>
          <w:szCs w:val="24"/>
        </w:rPr>
        <w:t>Nutrition Examination Survey (HHA</w:t>
      </w:r>
      <w:r w:rsidR="00C3328D" w:rsidRPr="008B56B4">
        <w:rPr>
          <w:color w:val="000000"/>
          <w:szCs w:val="24"/>
        </w:rPr>
        <w:t>NES), the Multi</w:t>
      </w:r>
      <w:r w:rsidR="00AC1FB2">
        <w:rPr>
          <w:color w:val="000000"/>
          <w:szCs w:val="24"/>
        </w:rPr>
        <w:t>-E</w:t>
      </w:r>
      <w:r w:rsidR="00C3328D" w:rsidRPr="008B56B4">
        <w:rPr>
          <w:color w:val="000000"/>
          <w:szCs w:val="24"/>
        </w:rPr>
        <w:t>thnic Study of Atherosclerosis (MESA</w:t>
      </w:r>
      <w:r w:rsidR="006633FF" w:rsidRPr="008B56B4">
        <w:rPr>
          <w:color w:val="000000"/>
          <w:szCs w:val="24"/>
        </w:rPr>
        <w:t>)</w:t>
      </w:r>
      <w:r w:rsidR="00C8541D">
        <w:rPr>
          <w:color w:val="000000"/>
          <w:szCs w:val="24"/>
        </w:rPr>
        <w:t>, the San Antonio Heart Study</w:t>
      </w:r>
      <w:r w:rsidR="00C8541D" w:rsidRPr="00265730">
        <w:rPr>
          <w:color w:val="000000"/>
          <w:szCs w:val="24"/>
          <w:highlight w:val="yellow"/>
        </w:rPr>
        <w:t xml:space="preserve">, </w:t>
      </w:r>
      <w:r w:rsidR="00877E5B" w:rsidRPr="00265730">
        <w:rPr>
          <w:color w:val="000000"/>
          <w:szCs w:val="24"/>
          <w:highlight w:val="yellow"/>
        </w:rPr>
        <w:t>the San Luis Valley Diabetes Study</w:t>
      </w:r>
      <w:r w:rsidR="00877E5B">
        <w:rPr>
          <w:color w:val="000000"/>
          <w:szCs w:val="24"/>
        </w:rPr>
        <w:t xml:space="preserve">, </w:t>
      </w:r>
      <w:r w:rsidR="00C8541D">
        <w:rPr>
          <w:color w:val="000000"/>
          <w:szCs w:val="24"/>
        </w:rPr>
        <w:t xml:space="preserve">the Corpus Christi Heart </w:t>
      </w:r>
      <w:r w:rsidR="00B35C86">
        <w:rPr>
          <w:color w:val="000000"/>
          <w:szCs w:val="24"/>
        </w:rPr>
        <w:t>Project</w:t>
      </w:r>
      <w:r w:rsidR="00CB5BF1" w:rsidRPr="00265730">
        <w:rPr>
          <w:color w:val="000000"/>
          <w:szCs w:val="24"/>
          <w:highlight w:val="yellow"/>
        </w:rPr>
        <w:t>, the Boston Puerto Rican Health Study and the Northern Manhattan Study (NOMAS)</w:t>
      </w:r>
      <w:r w:rsidR="00C8541D">
        <w:rPr>
          <w:color w:val="000000"/>
          <w:szCs w:val="24"/>
        </w:rPr>
        <w:t>.</w:t>
      </w:r>
      <w:r w:rsidR="008B56B4">
        <w:rPr>
          <w:color w:val="000000"/>
          <w:szCs w:val="24"/>
        </w:rPr>
        <w:t xml:space="preserve"> </w:t>
      </w:r>
      <w:r w:rsidR="006633FF" w:rsidRPr="008B56B4">
        <w:rPr>
          <w:color w:val="000000"/>
          <w:szCs w:val="24"/>
        </w:rPr>
        <w:t xml:space="preserve">NHANES </w:t>
      </w:r>
      <w:r w:rsidR="00C3328D" w:rsidRPr="008B56B4">
        <w:rPr>
          <w:color w:val="000000"/>
          <w:szCs w:val="24"/>
        </w:rPr>
        <w:t>consist</w:t>
      </w:r>
      <w:r w:rsidR="008B56B4">
        <w:rPr>
          <w:color w:val="000000"/>
          <w:szCs w:val="24"/>
        </w:rPr>
        <w:t>s</w:t>
      </w:r>
      <w:r w:rsidR="00C3328D" w:rsidRPr="008B56B4">
        <w:rPr>
          <w:color w:val="000000"/>
          <w:szCs w:val="24"/>
        </w:rPr>
        <w:t xml:space="preserve"> of a cross-sectional analysis of a diversity of health aspects and examinations, and d</w:t>
      </w:r>
      <w:r w:rsidR="008B56B4">
        <w:rPr>
          <w:color w:val="000000"/>
          <w:szCs w:val="24"/>
        </w:rPr>
        <w:t>oes</w:t>
      </w:r>
      <w:r w:rsidR="00C3328D" w:rsidRPr="008B56B4">
        <w:rPr>
          <w:color w:val="000000"/>
          <w:szCs w:val="24"/>
        </w:rPr>
        <w:t xml:space="preserve"> not include a longitudinal component. </w:t>
      </w:r>
      <w:r w:rsidR="009773A3" w:rsidRPr="00265730">
        <w:rPr>
          <w:color w:val="000000"/>
          <w:szCs w:val="24"/>
          <w:highlight w:val="yellow"/>
        </w:rPr>
        <w:t xml:space="preserve">The HHANES was a one-time cross-sectional study of a sample of Mexicans from </w:t>
      </w:r>
      <w:r w:rsidR="00D351BA" w:rsidRPr="00265730">
        <w:rPr>
          <w:color w:val="000000"/>
          <w:szCs w:val="24"/>
          <w:highlight w:val="yellow"/>
        </w:rPr>
        <w:t>California, Arizona, New Mexico, Colorado and Texas</w:t>
      </w:r>
      <w:r w:rsidR="009773A3" w:rsidRPr="00265730">
        <w:rPr>
          <w:color w:val="000000"/>
          <w:szCs w:val="24"/>
          <w:highlight w:val="yellow"/>
        </w:rPr>
        <w:t xml:space="preserve">, Puerto Ricans from </w:t>
      </w:r>
      <w:r w:rsidR="00D351BA" w:rsidRPr="00265730">
        <w:rPr>
          <w:color w:val="000000"/>
          <w:szCs w:val="24"/>
          <w:highlight w:val="yellow"/>
        </w:rPr>
        <w:t>New York, New Jersey and Connecticut,</w:t>
      </w:r>
      <w:r w:rsidR="009773A3" w:rsidRPr="00265730">
        <w:rPr>
          <w:color w:val="000000"/>
          <w:szCs w:val="24"/>
          <w:highlight w:val="yellow"/>
        </w:rPr>
        <w:t xml:space="preserve"> and Cubans from </w:t>
      </w:r>
      <w:r w:rsidR="00D351BA" w:rsidRPr="00265730">
        <w:rPr>
          <w:color w:val="000000"/>
          <w:szCs w:val="24"/>
          <w:highlight w:val="yellow"/>
        </w:rPr>
        <w:t xml:space="preserve">Dade County, </w:t>
      </w:r>
      <w:r w:rsidR="00D351BA" w:rsidRPr="00265730">
        <w:rPr>
          <w:color w:val="000000"/>
          <w:szCs w:val="24"/>
          <w:highlight w:val="yellow"/>
        </w:rPr>
        <w:lastRenderedPageBreak/>
        <w:t>Florida</w:t>
      </w:r>
      <w:r w:rsidR="009773A3" w:rsidRPr="00265730">
        <w:rPr>
          <w:color w:val="000000"/>
          <w:szCs w:val="24"/>
          <w:highlight w:val="yellow"/>
        </w:rPr>
        <w:t xml:space="preserve"> performed in the early 1980s. </w:t>
      </w:r>
      <w:r w:rsidR="00C3328D" w:rsidRPr="00265730">
        <w:rPr>
          <w:color w:val="000000"/>
          <w:szCs w:val="24"/>
          <w:highlight w:val="yellow"/>
        </w:rPr>
        <w:t xml:space="preserve">The </w:t>
      </w:r>
      <w:r w:rsidR="001F7D9B" w:rsidRPr="00265730">
        <w:rPr>
          <w:color w:val="000000"/>
          <w:szCs w:val="24"/>
          <w:highlight w:val="yellow"/>
        </w:rPr>
        <w:t>MESA</w:t>
      </w:r>
      <w:r w:rsidR="00C3328D" w:rsidRPr="00265730">
        <w:rPr>
          <w:color w:val="000000"/>
          <w:szCs w:val="24"/>
          <w:highlight w:val="yellow"/>
        </w:rPr>
        <w:t xml:space="preserve"> include</w:t>
      </w:r>
      <w:r w:rsidR="00AC1FB2" w:rsidRPr="00265730">
        <w:rPr>
          <w:color w:val="000000"/>
          <w:szCs w:val="24"/>
          <w:highlight w:val="yellow"/>
        </w:rPr>
        <w:t>s</w:t>
      </w:r>
      <w:r w:rsidR="00C3328D" w:rsidRPr="00265730">
        <w:rPr>
          <w:color w:val="000000"/>
          <w:szCs w:val="24"/>
          <w:highlight w:val="yellow"/>
        </w:rPr>
        <w:t xml:space="preserve"> </w:t>
      </w:r>
      <w:r w:rsidR="00B35C86" w:rsidRPr="00265730">
        <w:rPr>
          <w:color w:val="000000"/>
          <w:szCs w:val="24"/>
          <w:highlight w:val="yellow"/>
        </w:rPr>
        <w:t>approximately 1,600 individu</w:t>
      </w:r>
      <w:r w:rsidR="00632AB9" w:rsidRPr="00265730">
        <w:rPr>
          <w:color w:val="000000"/>
          <w:szCs w:val="24"/>
          <w:highlight w:val="yellow"/>
        </w:rPr>
        <w:t>als of diverse Hispanic ancestry, a small sample size to ascertain differences in incidence of cardiovascular events</w:t>
      </w:r>
      <w:r w:rsidR="00DA0825" w:rsidRPr="00265730">
        <w:rPr>
          <w:color w:val="000000"/>
          <w:szCs w:val="24"/>
          <w:highlight w:val="yellow"/>
        </w:rPr>
        <w:t xml:space="preserve"> among different Hispanic groups</w:t>
      </w:r>
      <w:r w:rsidR="00C3328D" w:rsidRPr="00265730">
        <w:rPr>
          <w:color w:val="000000"/>
          <w:szCs w:val="24"/>
          <w:highlight w:val="yellow"/>
        </w:rPr>
        <w:t>.</w:t>
      </w:r>
      <w:r w:rsidR="008B56B4" w:rsidRPr="00265730">
        <w:rPr>
          <w:color w:val="000000"/>
          <w:szCs w:val="24"/>
          <w:highlight w:val="yellow"/>
        </w:rPr>
        <w:t xml:space="preserve"> </w:t>
      </w:r>
      <w:r w:rsidR="000C3804" w:rsidRPr="00265730">
        <w:rPr>
          <w:color w:val="000000"/>
          <w:szCs w:val="24"/>
          <w:highlight w:val="yellow"/>
        </w:rPr>
        <w:t xml:space="preserve">The San Antonio Heart Study, the Corpus Christi Heart Project and the San Luis Valley Diabetes Study have focused on Hispanics of Mexican </w:t>
      </w:r>
      <w:r w:rsidR="00E75251" w:rsidRPr="00265730">
        <w:rPr>
          <w:color w:val="000000"/>
          <w:szCs w:val="24"/>
          <w:highlight w:val="yellow"/>
        </w:rPr>
        <w:t xml:space="preserve">ancestry </w:t>
      </w:r>
      <w:r w:rsidR="000C3804" w:rsidRPr="00265730">
        <w:rPr>
          <w:color w:val="000000"/>
          <w:szCs w:val="24"/>
          <w:highlight w:val="yellow"/>
        </w:rPr>
        <w:t>in Texas and Colorado, and on specific health/disease measures.</w:t>
      </w:r>
      <w:r w:rsidR="00C3328D" w:rsidRPr="00265730">
        <w:rPr>
          <w:color w:val="000000"/>
          <w:szCs w:val="24"/>
          <w:highlight w:val="yellow"/>
        </w:rPr>
        <w:t xml:space="preserve"> </w:t>
      </w:r>
      <w:r w:rsidR="009773A3" w:rsidRPr="00265730">
        <w:rPr>
          <w:color w:val="000000"/>
          <w:szCs w:val="24"/>
          <w:highlight w:val="yellow"/>
        </w:rPr>
        <w:t xml:space="preserve">The </w:t>
      </w:r>
      <w:r w:rsidR="00CB5BF1" w:rsidRPr="00265730">
        <w:rPr>
          <w:color w:val="000000"/>
          <w:szCs w:val="24"/>
          <w:highlight w:val="yellow"/>
        </w:rPr>
        <w:t>Boston Puerto Rican Health Study focuses on Puerto Ricans residents of the Boston area, and primarily evaluates the relationship between stress and diet and their effect on cardiovascular disease. The</w:t>
      </w:r>
      <w:r w:rsidR="009773A3" w:rsidRPr="00265730">
        <w:rPr>
          <w:color w:val="000000"/>
          <w:szCs w:val="24"/>
          <w:highlight w:val="yellow"/>
        </w:rPr>
        <w:t xml:space="preserve"> NOMAS </w:t>
      </w:r>
      <w:r w:rsidR="00CB5BF1" w:rsidRPr="00265730">
        <w:rPr>
          <w:color w:val="000000"/>
          <w:szCs w:val="24"/>
          <w:highlight w:val="yellow"/>
        </w:rPr>
        <w:t>is designed to investigate differences in stroke risk profile among non-Hispanic whites, blacks and Hispanics (the majority are Dominican) residents in Washington Heights, New York City.</w:t>
      </w:r>
      <w:r w:rsidR="00CB5BF1">
        <w:rPr>
          <w:color w:val="000000"/>
          <w:szCs w:val="24"/>
        </w:rPr>
        <w:t xml:space="preserve"> </w:t>
      </w:r>
      <w:r w:rsidR="009773A3">
        <w:rPr>
          <w:color w:val="000000"/>
          <w:szCs w:val="24"/>
        </w:rPr>
        <w:t xml:space="preserve"> </w:t>
      </w:r>
      <w:r>
        <w:rPr>
          <w:color w:val="000000"/>
          <w:szCs w:val="24"/>
        </w:rPr>
        <w:t>G</w:t>
      </w:r>
      <w:r w:rsidR="00C3328D" w:rsidRPr="008B56B4">
        <w:rPr>
          <w:color w:val="000000"/>
          <w:szCs w:val="24"/>
        </w:rPr>
        <w:t xml:space="preserve">iven </w:t>
      </w:r>
      <w:r>
        <w:rPr>
          <w:color w:val="000000"/>
          <w:szCs w:val="24"/>
        </w:rPr>
        <w:t xml:space="preserve">their </w:t>
      </w:r>
      <w:r w:rsidR="00C3328D" w:rsidRPr="008B56B4">
        <w:rPr>
          <w:color w:val="000000"/>
          <w:szCs w:val="24"/>
        </w:rPr>
        <w:t xml:space="preserve">cultural, </w:t>
      </w:r>
      <w:r w:rsidR="00084721">
        <w:rPr>
          <w:color w:val="000000"/>
          <w:szCs w:val="24"/>
        </w:rPr>
        <w:t>migration</w:t>
      </w:r>
      <w:r>
        <w:rPr>
          <w:color w:val="000000"/>
          <w:szCs w:val="24"/>
        </w:rPr>
        <w:t xml:space="preserve"> history and patterns</w:t>
      </w:r>
      <w:r w:rsidR="00084721">
        <w:rPr>
          <w:color w:val="000000"/>
          <w:szCs w:val="24"/>
        </w:rPr>
        <w:t xml:space="preserve">, </w:t>
      </w:r>
      <w:r>
        <w:rPr>
          <w:color w:val="000000"/>
          <w:szCs w:val="24"/>
        </w:rPr>
        <w:t xml:space="preserve">time of immigration in the U.S., years living in the U.S., </w:t>
      </w:r>
      <w:r w:rsidR="00C3328D" w:rsidRPr="008B56B4">
        <w:rPr>
          <w:color w:val="000000"/>
          <w:szCs w:val="24"/>
        </w:rPr>
        <w:t>political and socioeconomic differences (both in their countries of origin and in the U.S.), a study able to compare and follow a diversity of</w:t>
      </w:r>
      <w:r w:rsidR="00E317EF">
        <w:rPr>
          <w:color w:val="000000"/>
          <w:szCs w:val="24"/>
        </w:rPr>
        <w:t xml:space="preserve"> Hispanic/Latino</w:t>
      </w:r>
      <w:r w:rsidR="00C3328D" w:rsidRPr="008B56B4">
        <w:rPr>
          <w:color w:val="000000"/>
          <w:szCs w:val="24"/>
        </w:rPr>
        <w:t xml:space="preserve"> groups is needed.</w:t>
      </w:r>
      <w:r>
        <w:rPr>
          <w:color w:val="000000"/>
          <w:szCs w:val="24"/>
        </w:rPr>
        <w:t xml:space="preserve"> Thus, the</w:t>
      </w:r>
      <w:r w:rsidR="00772778" w:rsidRPr="008B56B4">
        <w:rPr>
          <w:color w:val="000000"/>
          <w:szCs w:val="24"/>
        </w:rPr>
        <w:t xml:space="preserve"> unique features of </w:t>
      </w:r>
      <w:r>
        <w:rPr>
          <w:color w:val="000000"/>
          <w:szCs w:val="24"/>
        </w:rPr>
        <w:t>HCHS/SOL</w:t>
      </w:r>
      <w:r w:rsidR="00772778" w:rsidRPr="008B56B4">
        <w:rPr>
          <w:color w:val="000000"/>
          <w:szCs w:val="24"/>
        </w:rPr>
        <w:t xml:space="preserve"> do not exist in an</w:t>
      </w:r>
      <w:r w:rsidR="00847396">
        <w:rPr>
          <w:color w:val="000000"/>
          <w:szCs w:val="24"/>
        </w:rPr>
        <w:t xml:space="preserve">y </w:t>
      </w:r>
      <w:r w:rsidR="00772778" w:rsidRPr="008B56B4">
        <w:rPr>
          <w:color w:val="000000"/>
          <w:szCs w:val="24"/>
        </w:rPr>
        <w:t xml:space="preserve">other study.  </w:t>
      </w:r>
    </w:p>
    <w:p w14:paraId="79114EC2" w14:textId="77777777" w:rsidR="008B56B4" w:rsidRDefault="008B56B4" w:rsidP="0038320A">
      <w:pPr>
        <w:spacing w:line="480" w:lineRule="auto"/>
        <w:rPr>
          <w:u w:val="single"/>
        </w:rPr>
      </w:pPr>
    </w:p>
    <w:p w14:paraId="28076DA0" w14:textId="77777777" w:rsidR="0038320A" w:rsidRPr="00B366E7" w:rsidRDefault="001E7A06" w:rsidP="00B366E7">
      <w:pPr>
        <w:spacing w:line="480" w:lineRule="auto"/>
        <w:jc w:val="center"/>
        <w:rPr>
          <w:b/>
        </w:rPr>
      </w:pPr>
      <w:r w:rsidRPr="00B366E7">
        <w:rPr>
          <w:b/>
        </w:rPr>
        <w:t>A.5. Impact on Small Businesses or Other Small Entities</w:t>
      </w:r>
    </w:p>
    <w:p w14:paraId="4005646C" w14:textId="1DA1B7BE" w:rsidR="001E7A06" w:rsidRDefault="001E7A06" w:rsidP="00847396">
      <w:pPr>
        <w:spacing w:before="120" w:line="276" w:lineRule="auto"/>
        <w:ind w:firstLine="720"/>
      </w:pPr>
      <w:r>
        <w:t>Physicians</w:t>
      </w:r>
      <w:r w:rsidR="008B56B4">
        <w:t xml:space="preserve"> and other health care providers, hospitals</w:t>
      </w:r>
      <w:r w:rsidR="00665952">
        <w:t>,</w:t>
      </w:r>
      <w:r w:rsidR="008B56B4">
        <w:t xml:space="preserve"> nursing</w:t>
      </w:r>
      <w:r>
        <w:t xml:space="preserve"> </w:t>
      </w:r>
      <w:r w:rsidR="001F7D9B">
        <w:t xml:space="preserve">homes and other long-term care facilities </w:t>
      </w:r>
      <w:r>
        <w:t xml:space="preserve">constitute the only small business burdened by the </w:t>
      </w:r>
      <w:r w:rsidR="002462FE">
        <w:t>HCHS</w:t>
      </w:r>
      <w:r w:rsidR="00FF7A1B">
        <w:t>/SOL</w:t>
      </w:r>
      <w:r>
        <w:t xml:space="preserve">. They are requested to provide medical information on selected patients identified by the study. These requests are limited only to essential information needed to determine the presence of </w:t>
      </w:r>
      <w:r w:rsidR="00E317EF">
        <w:t>disease events,</w:t>
      </w:r>
      <w:r w:rsidR="00C8541D">
        <w:t xml:space="preserve"> </w:t>
      </w:r>
      <w:r>
        <w:t>cardiovascular conditions</w:t>
      </w:r>
      <w:r w:rsidR="002462FE">
        <w:t>, pulmonary conditions,</w:t>
      </w:r>
      <w:r w:rsidR="00446ECB">
        <w:t xml:space="preserve"> </w:t>
      </w:r>
      <w:r w:rsidR="00446ECB" w:rsidRPr="00265730">
        <w:rPr>
          <w:highlight w:val="yellow"/>
        </w:rPr>
        <w:t>pregnancy-related complications</w:t>
      </w:r>
      <w:r w:rsidR="00446ECB">
        <w:t xml:space="preserve"> </w:t>
      </w:r>
      <w:r w:rsidR="002462FE">
        <w:t>or to clarify the cause of death</w:t>
      </w:r>
      <w:r>
        <w:t xml:space="preserve">. This information collection will not have a significant impact on </w:t>
      </w:r>
      <w:r w:rsidR="003343D8">
        <w:t>these</w:t>
      </w:r>
      <w:r>
        <w:t xml:space="preserve"> small entities.</w:t>
      </w:r>
    </w:p>
    <w:p w14:paraId="29EA6026" w14:textId="77777777" w:rsidR="006174DB" w:rsidRDefault="006174DB" w:rsidP="0038320A">
      <w:pPr>
        <w:spacing w:line="480" w:lineRule="auto"/>
      </w:pPr>
    </w:p>
    <w:p w14:paraId="1F774E46" w14:textId="77777777" w:rsidR="0038320A" w:rsidRPr="00B366E7" w:rsidRDefault="001E7A06" w:rsidP="00B366E7">
      <w:pPr>
        <w:spacing w:line="480" w:lineRule="auto"/>
        <w:jc w:val="center"/>
        <w:rPr>
          <w:b/>
        </w:rPr>
      </w:pPr>
      <w:r w:rsidRPr="00B366E7">
        <w:rPr>
          <w:b/>
        </w:rPr>
        <w:t>A.6. Consequences of Collecting the Information Less Frequently</w:t>
      </w:r>
    </w:p>
    <w:p w14:paraId="3F029D4F" w14:textId="04AFA5AB" w:rsidR="00C169BC" w:rsidRPr="00C169BC" w:rsidRDefault="00835FC8" w:rsidP="00847396">
      <w:pPr>
        <w:spacing w:line="276" w:lineRule="auto"/>
        <w:ind w:firstLine="720"/>
        <w:rPr>
          <w:color w:val="000000"/>
          <w:szCs w:val="24"/>
        </w:rPr>
      </w:pPr>
      <w:r w:rsidRPr="00265730">
        <w:rPr>
          <w:color w:val="000000"/>
          <w:szCs w:val="24"/>
          <w:highlight w:val="yellow"/>
        </w:rPr>
        <w:t>D</w:t>
      </w:r>
      <w:r w:rsidR="00C169BC" w:rsidRPr="00265730">
        <w:rPr>
          <w:color w:val="000000"/>
          <w:szCs w:val="24"/>
          <w:highlight w:val="yellow"/>
        </w:rPr>
        <w:t xml:space="preserve">ata collection will take place </w:t>
      </w:r>
      <w:r w:rsidRPr="00265730">
        <w:rPr>
          <w:color w:val="000000"/>
          <w:szCs w:val="24"/>
          <w:highlight w:val="yellow"/>
        </w:rPr>
        <w:t xml:space="preserve">during Visit 2 and at </w:t>
      </w:r>
      <w:r w:rsidR="00E60547" w:rsidRPr="00265730">
        <w:rPr>
          <w:color w:val="000000"/>
          <w:szCs w:val="24"/>
          <w:highlight w:val="yellow"/>
        </w:rPr>
        <w:t>AFU phone</w:t>
      </w:r>
      <w:r w:rsidRPr="00265730">
        <w:rPr>
          <w:color w:val="000000"/>
          <w:szCs w:val="24"/>
          <w:highlight w:val="yellow"/>
        </w:rPr>
        <w:t xml:space="preserve"> calls</w:t>
      </w:r>
      <w:r w:rsidR="00C8541D" w:rsidRPr="00835FC8">
        <w:rPr>
          <w:color w:val="000000"/>
          <w:szCs w:val="24"/>
        </w:rPr>
        <w:t>.  Participants</w:t>
      </w:r>
      <w:r w:rsidR="00C8541D">
        <w:rPr>
          <w:color w:val="000000"/>
          <w:szCs w:val="24"/>
        </w:rPr>
        <w:t xml:space="preserve"> will be contacted annually for </w:t>
      </w:r>
      <w:r w:rsidR="00571628">
        <w:rPr>
          <w:color w:val="000000"/>
          <w:szCs w:val="24"/>
        </w:rPr>
        <w:t xml:space="preserve">six </w:t>
      </w:r>
      <w:r w:rsidR="00C8541D">
        <w:rPr>
          <w:color w:val="000000"/>
          <w:szCs w:val="24"/>
        </w:rPr>
        <w:t>more years via telephone to ascertain cardio-pulmonary related events and hospitalizations.</w:t>
      </w:r>
      <w:r w:rsidR="00C169BC" w:rsidRPr="00C169BC">
        <w:rPr>
          <w:color w:val="000000"/>
          <w:szCs w:val="24"/>
        </w:rPr>
        <w:t xml:space="preserve"> </w:t>
      </w:r>
      <w:r w:rsidR="00C8541D">
        <w:rPr>
          <w:color w:val="000000"/>
          <w:szCs w:val="24"/>
        </w:rPr>
        <w:t xml:space="preserve"> </w:t>
      </w:r>
      <w:r w:rsidR="00C169BC" w:rsidRPr="00C169BC">
        <w:rPr>
          <w:color w:val="000000"/>
          <w:szCs w:val="24"/>
        </w:rPr>
        <w:t>In the case of death, the participant’s next of kin or primary physician will be contacted to confirm information obtained from death certificates. Therefore</w:t>
      </w:r>
      <w:r w:rsidR="0001243B">
        <w:rPr>
          <w:color w:val="000000"/>
          <w:szCs w:val="24"/>
        </w:rPr>
        <w:t>,</w:t>
      </w:r>
      <w:r w:rsidR="00C169BC" w:rsidRPr="00C169BC">
        <w:rPr>
          <w:color w:val="000000"/>
          <w:szCs w:val="24"/>
        </w:rPr>
        <w:t xml:space="preserve"> data from an individual participant might be collected up to </w:t>
      </w:r>
      <w:r w:rsidR="00571628">
        <w:rPr>
          <w:color w:val="000000"/>
          <w:szCs w:val="24"/>
        </w:rPr>
        <w:t>seven</w:t>
      </w:r>
      <w:r w:rsidR="00571628" w:rsidRPr="00C169BC">
        <w:rPr>
          <w:color w:val="000000"/>
          <w:szCs w:val="24"/>
        </w:rPr>
        <w:t xml:space="preserve"> </w:t>
      </w:r>
      <w:r w:rsidR="00C169BC" w:rsidRPr="00C169BC">
        <w:rPr>
          <w:color w:val="000000"/>
          <w:szCs w:val="24"/>
        </w:rPr>
        <w:t>times throughout the duration of the study.</w:t>
      </w:r>
      <w:r w:rsidR="00C8541D">
        <w:rPr>
          <w:color w:val="000000"/>
          <w:szCs w:val="24"/>
        </w:rPr>
        <w:t xml:space="preserve"> </w:t>
      </w:r>
      <w:r w:rsidR="00C169BC" w:rsidRPr="00C169BC">
        <w:rPr>
          <w:color w:val="000000"/>
          <w:szCs w:val="24"/>
        </w:rPr>
        <w:t xml:space="preserve"> </w:t>
      </w:r>
      <w:r w:rsidR="00670C8E" w:rsidRPr="00265730">
        <w:rPr>
          <w:color w:val="000000"/>
          <w:szCs w:val="24"/>
          <w:highlight w:val="yellow"/>
        </w:rPr>
        <w:t xml:space="preserve">HCHS/SOL cohort retention practices </w:t>
      </w:r>
      <w:r w:rsidR="0001243B" w:rsidRPr="00265730">
        <w:rPr>
          <w:color w:val="000000"/>
          <w:szCs w:val="24"/>
          <w:highlight w:val="yellow"/>
        </w:rPr>
        <w:t xml:space="preserve">thus far </w:t>
      </w:r>
      <w:r w:rsidR="00670C8E" w:rsidRPr="00265730">
        <w:rPr>
          <w:color w:val="000000"/>
          <w:szCs w:val="24"/>
          <w:highlight w:val="yellow"/>
        </w:rPr>
        <w:t>have demonstrated that annual contacts are absolutely necessary to maintain records of personal contact information and participants interested in the study. Although most of the participants still live in the same census tracts or close to their original neighborhood, moving and changing telephone numbers are frequently reported. Home visits have been necessary and a very effective way to learn the participant’s vital status and health information</w:t>
      </w:r>
      <w:r w:rsidR="00670C8E">
        <w:rPr>
          <w:color w:val="000000"/>
          <w:szCs w:val="24"/>
        </w:rPr>
        <w:t xml:space="preserve">. </w:t>
      </w:r>
      <w:r w:rsidR="00C169BC" w:rsidRPr="00C169BC">
        <w:rPr>
          <w:color w:val="000000"/>
          <w:szCs w:val="24"/>
        </w:rPr>
        <w:t xml:space="preserve">If data are collected less frequently, relevant information about cause and circumstances of death, changes of health status, </w:t>
      </w:r>
      <w:r w:rsidR="00DB4A65">
        <w:rPr>
          <w:color w:val="000000"/>
          <w:szCs w:val="24"/>
        </w:rPr>
        <w:t xml:space="preserve">changes in health insurance status, </w:t>
      </w:r>
      <w:r w:rsidR="00C169BC" w:rsidRPr="00C169BC">
        <w:rPr>
          <w:color w:val="000000"/>
          <w:szCs w:val="24"/>
        </w:rPr>
        <w:t xml:space="preserve">number and reasons for hospitalizations and visits to the emergency room, and </w:t>
      </w:r>
      <w:r w:rsidR="00C169BC" w:rsidRPr="00C169BC">
        <w:rPr>
          <w:color w:val="000000"/>
          <w:szCs w:val="24"/>
        </w:rPr>
        <w:lastRenderedPageBreak/>
        <w:t>tracking those participants</w:t>
      </w:r>
      <w:r w:rsidR="00C169BC">
        <w:rPr>
          <w:i/>
          <w:color w:val="3366FF"/>
          <w:szCs w:val="24"/>
        </w:rPr>
        <w:t xml:space="preserve"> </w:t>
      </w:r>
      <w:r w:rsidR="00C169BC" w:rsidRPr="00C169BC">
        <w:rPr>
          <w:color w:val="000000"/>
          <w:szCs w:val="24"/>
        </w:rPr>
        <w:t xml:space="preserve">who would move from their original geographic location will </w:t>
      </w:r>
      <w:r w:rsidR="00670C8E">
        <w:rPr>
          <w:color w:val="000000"/>
          <w:szCs w:val="24"/>
        </w:rPr>
        <w:t xml:space="preserve">definitely </w:t>
      </w:r>
      <w:r w:rsidR="00C169BC" w:rsidRPr="00C169BC">
        <w:rPr>
          <w:color w:val="000000"/>
          <w:szCs w:val="24"/>
        </w:rPr>
        <w:t>be missed.</w:t>
      </w:r>
      <w:r w:rsidR="00670C8E">
        <w:rPr>
          <w:color w:val="000000"/>
          <w:szCs w:val="24"/>
        </w:rPr>
        <w:t xml:space="preserve"> This would negatively impact the main research questions of the longitudinal component.</w:t>
      </w:r>
      <w:r w:rsidR="00DB4A65">
        <w:rPr>
          <w:color w:val="000000"/>
          <w:szCs w:val="24"/>
        </w:rPr>
        <w:t xml:space="preserve"> </w:t>
      </w:r>
    </w:p>
    <w:p w14:paraId="42415506" w14:textId="77777777" w:rsidR="00DB4A65" w:rsidRDefault="00DB4A65" w:rsidP="00847396">
      <w:pPr>
        <w:spacing w:line="276" w:lineRule="auto"/>
        <w:jc w:val="center"/>
        <w:rPr>
          <w:b/>
        </w:rPr>
      </w:pPr>
    </w:p>
    <w:p w14:paraId="27BF6E57" w14:textId="0C699CA8" w:rsidR="001E7A06" w:rsidRPr="00B366E7" w:rsidRDefault="00334FD6" w:rsidP="00B366E7">
      <w:pPr>
        <w:spacing w:line="480" w:lineRule="auto"/>
        <w:jc w:val="center"/>
        <w:rPr>
          <w:b/>
        </w:rPr>
      </w:pPr>
      <w:r w:rsidRPr="00B366E7">
        <w:rPr>
          <w:b/>
        </w:rPr>
        <w:t xml:space="preserve">A.7. </w:t>
      </w:r>
      <w:r w:rsidR="001E7A06" w:rsidRPr="00B366E7">
        <w:rPr>
          <w:b/>
        </w:rPr>
        <w:t>Special Circumstances Relating to the Guidelines of 5 CFR 1320.</w:t>
      </w:r>
    </w:p>
    <w:p w14:paraId="75F8CAC1" w14:textId="77777777" w:rsidR="001E7A06" w:rsidRDefault="001E7A06">
      <w:pPr>
        <w:spacing w:line="480" w:lineRule="auto"/>
        <w:ind w:firstLine="720"/>
      </w:pPr>
      <w:r>
        <w:t>There are no special circumstances related to the information collection.</w:t>
      </w:r>
    </w:p>
    <w:p w14:paraId="6487556F" w14:textId="5334CA73" w:rsidR="0090272C" w:rsidRDefault="0090272C">
      <w:pPr>
        <w:spacing w:line="480" w:lineRule="auto"/>
        <w:rPr>
          <w:u w:val="single"/>
        </w:rPr>
      </w:pPr>
    </w:p>
    <w:p w14:paraId="36E55EF6" w14:textId="77777777" w:rsidR="00500781" w:rsidRPr="00B366E7" w:rsidRDefault="001E7A06" w:rsidP="00B366E7">
      <w:pPr>
        <w:spacing w:line="480" w:lineRule="auto"/>
        <w:jc w:val="center"/>
        <w:rPr>
          <w:b/>
        </w:rPr>
      </w:pPr>
      <w:r w:rsidRPr="00B366E7">
        <w:rPr>
          <w:b/>
        </w:rPr>
        <w:t>A.8. Comments in Response to the Federal Register Notice and Efforts to Consult Outside Agency</w:t>
      </w:r>
    </w:p>
    <w:p w14:paraId="70A2A239" w14:textId="2511F677" w:rsidR="000915C3" w:rsidRDefault="007D7390" w:rsidP="00847396">
      <w:pPr>
        <w:spacing w:before="120" w:line="276" w:lineRule="auto"/>
        <w:ind w:firstLine="720"/>
      </w:pPr>
      <w:r w:rsidRPr="00FC703D">
        <w:rPr>
          <w:highlight w:val="yellow"/>
        </w:rPr>
        <w:t>The 60 day FRN was published on March 25, 2014 (Vol. 7</w:t>
      </w:r>
      <w:r w:rsidR="008923E5" w:rsidRPr="00FC703D">
        <w:rPr>
          <w:highlight w:val="yellow"/>
        </w:rPr>
        <w:t>9</w:t>
      </w:r>
      <w:r w:rsidRPr="00FC703D">
        <w:rPr>
          <w:highlight w:val="yellow"/>
        </w:rPr>
        <w:t xml:space="preserve">, No. </w:t>
      </w:r>
      <w:r w:rsidR="008923E5" w:rsidRPr="00FC703D">
        <w:rPr>
          <w:highlight w:val="yellow"/>
        </w:rPr>
        <w:t>57</w:t>
      </w:r>
      <w:r w:rsidRPr="00FC703D">
        <w:rPr>
          <w:highlight w:val="yellow"/>
        </w:rPr>
        <w:t>, page</w:t>
      </w:r>
      <w:r w:rsidR="008923E5" w:rsidRPr="00FC703D">
        <w:rPr>
          <w:highlight w:val="yellow"/>
        </w:rPr>
        <w:t>s 16345-1634</w:t>
      </w:r>
      <w:r w:rsidR="00B26956" w:rsidRPr="00FC703D">
        <w:rPr>
          <w:highlight w:val="yellow"/>
        </w:rPr>
        <w:t>7</w:t>
      </w:r>
      <w:r w:rsidRPr="00FC703D">
        <w:rPr>
          <w:highlight w:val="yellow"/>
        </w:rPr>
        <w:t xml:space="preserve">).  </w:t>
      </w:r>
      <w:r w:rsidR="00FC703D" w:rsidRPr="00FC703D">
        <w:rPr>
          <w:highlight w:val="yellow"/>
        </w:rPr>
        <w:t>Three</w:t>
      </w:r>
      <w:r w:rsidRPr="00FC703D">
        <w:rPr>
          <w:highlight w:val="yellow"/>
        </w:rPr>
        <w:t xml:space="preserve"> comments were received</w:t>
      </w:r>
      <w:r w:rsidR="008B5069" w:rsidRPr="00FC703D">
        <w:rPr>
          <w:highlight w:val="yellow"/>
        </w:rPr>
        <w:t>; they are attached</w:t>
      </w:r>
      <w:r w:rsidR="00FC703D" w:rsidRPr="00FC703D">
        <w:rPr>
          <w:highlight w:val="yellow"/>
        </w:rPr>
        <w:t xml:space="preserve"> in the document entitled “Public Comments.”</w:t>
      </w:r>
      <w:r w:rsidR="00C94177">
        <w:t xml:space="preserve">  </w:t>
      </w:r>
      <w:r w:rsidR="00C94177" w:rsidRPr="00C94177">
        <w:rPr>
          <w:szCs w:val="24"/>
          <w:highlight w:val="yellow"/>
        </w:rPr>
        <w:t>Based on recommendations received from the organization Legacy during this period, the Pregnancy Complications History Questionnaire (PCE/PCS) and the Tobacco Use Questionnaire (TBE/TBS) were modified. Amendments and additions of some questions regarding the frequency of use of certain tobacco products (TBE/TBS Items #3, 13, 13.a., 13.a.1, 14, 14.a., 14.a.1, 15, 15.a, 15.a.1, 16, 16.a., 16.a.1, and 19) and smoking habits during pregnancy (PCE/PCS Items 1g and 1h) were incorporated.</w:t>
      </w:r>
    </w:p>
    <w:p w14:paraId="4256EDAB" w14:textId="27099D84" w:rsidR="006779B9" w:rsidRDefault="00E618C3" w:rsidP="003E642F">
      <w:pPr>
        <w:spacing w:before="120" w:line="276" w:lineRule="auto"/>
        <w:ind w:firstLine="720"/>
      </w:pPr>
      <w:r w:rsidRPr="00E618C3">
        <w:t>Th</w:t>
      </w:r>
      <w:r>
        <w:t xml:space="preserve">e </w:t>
      </w:r>
      <w:r w:rsidR="00757C60" w:rsidRPr="00C169BC">
        <w:rPr>
          <w:color w:val="000000"/>
          <w:szCs w:val="24"/>
        </w:rPr>
        <w:t>HCHS</w:t>
      </w:r>
      <w:r w:rsidR="001B3E15" w:rsidRPr="00C169BC">
        <w:rPr>
          <w:color w:val="000000"/>
          <w:szCs w:val="24"/>
        </w:rPr>
        <w:t>/SOL</w:t>
      </w:r>
      <w:r w:rsidR="00757C60">
        <w:t xml:space="preserve"> </w:t>
      </w:r>
      <w:r w:rsidRPr="00E618C3">
        <w:t xml:space="preserve">initiative was developed by the </w:t>
      </w:r>
      <w:r w:rsidR="00670C8E">
        <w:t xml:space="preserve">Division of Cardiovascular Sciences </w:t>
      </w:r>
      <w:r w:rsidR="00A64B23">
        <w:t>(</w:t>
      </w:r>
      <w:r w:rsidR="00670C8E">
        <w:t>previously known as</w:t>
      </w:r>
      <w:r w:rsidR="00670C8E" w:rsidRPr="00670C8E">
        <w:t xml:space="preserve"> </w:t>
      </w:r>
      <w:r w:rsidR="00670C8E">
        <w:t>the Division of Prevention and Population Sciences</w:t>
      </w:r>
      <w:r w:rsidR="00A64B23">
        <w:t xml:space="preserve">) </w:t>
      </w:r>
      <w:r w:rsidR="00500781">
        <w:t>in response to a working group assembled on July 31-August 1, 2003</w:t>
      </w:r>
      <w:r w:rsidR="00A80F1D">
        <w:t xml:space="preserve"> </w:t>
      </w:r>
      <w:r w:rsidR="00500781">
        <w:t>entitled “</w:t>
      </w:r>
      <w:hyperlink r:id="rId17" w:history="1">
        <w:r w:rsidR="00500781" w:rsidRPr="00D709BF">
          <w:rPr>
            <w:rStyle w:val="Hyperlink"/>
          </w:rPr>
          <w:t>Epidemiologic Research in Hispanic Populations: Opportunities, Barriers, and Solutions</w:t>
        </w:r>
      </w:hyperlink>
      <w:r w:rsidR="00500781" w:rsidRPr="00D709BF">
        <w:t>”</w:t>
      </w:r>
      <w:r w:rsidR="00FB250C" w:rsidRPr="00D709BF">
        <w:t>[</w:t>
      </w:r>
      <w:r w:rsidR="008903F6" w:rsidRPr="00D709BF">
        <w:t xml:space="preserve">Appendix </w:t>
      </w:r>
      <w:r w:rsidR="00D44F9C">
        <w:t>4</w:t>
      </w:r>
      <w:r w:rsidR="009F4CDC" w:rsidRPr="00D709BF">
        <w:t xml:space="preserve">]. </w:t>
      </w:r>
      <w:r w:rsidR="00FA074F" w:rsidRPr="00D709BF">
        <w:t xml:space="preserve">A </w:t>
      </w:r>
      <w:r w:rsidR="00571628" w:rsidRPr="00D709BF">
        <w:t>second working</w:t>
      </w:r>
      <w:r w:rsidR="00571628">
        <w:t xml:space="preserve"> group</w:t>
      </w:r>
      <w:r w:rsidR="00FA074F">
        <w:t>,</w:t>
      </w:r>
      <w:r w:rsidR="00A80F1D">
        <w:t xml:space="preserve"> “</w:t>
      </w:r>
      <w:hyperlink r:id="rId18" w:history="1">
        <w:r w:rsidR="0061305B" w:rsidRPr="00D709BF">
          <w:rPr>
            <w:rStyle w:val="Hyperlink"/>
          </w:rPr>
          <w:t xml:space="preserve">Future </w:t>
        </w:r>
        <w:r w:rsidR="00A80F1D" w:rsidRPr="00D709BF">
          <w:rPr>
            <w:rStyle w:val="Hyperlink"/>
          </w:rPr>
          <w:t xml:space="preserve">Research Opportunities in the </w:t>
        </w:r>
        <w:r w:rsidR="0061305B" w:rsidRPr="00D709BF">
          <w:rPr>
            <w:rStyle w:val="Hyperlink"/>
          </w:rPr>
          <w:t>Hispanic Community Health Study- Study of Latinos (</w:t>
        </w:r>
        <w:r w:rsidR="00A80F1D" w:rsidRPr="00D709BF">
          <w:rPr>
            <w:rStyle w:val="Hyperlink"/>
          </w:rPr>
          <w:t>HCHS/SOL</w:t>
        </w:r>
        <w:r w:rsidR="0061305B" w:rsidRPr="00D709BF">
          <w:rPr>
            <w:rStyle w:val="Hyperlink"/>
          </w:rPr>
          <w:t>)</w:t>
        </w:r>
      </w:hyperlink>
      <w:r w:rsidR="00A80F1D" w:rsidRPr="00D709BF">
        <w:t>”</w:t>
      </w:r>
      <w:r w:rsidR="00FB250C" w:rsidRPr="00D709BF">
        <w:t xml:space="preserve"> </w:t>
      </w:r>
      <w:hyperlink r:id="rId19" w:history="1">
        <w:r w:rsidR="00FB250C" w:rsidRPr="00D709BF">
          <w:rPr>
            <w:rStyle w:val="Hyperlink"/>
            <w:color w:val="auto"/>
          </w:rPr>
          <w:t>[</w:t>
        </w:r>
      </w:hyperlink>
      <w:r w:rsidR="008903F6" w:rsidRPr="00D709BF">
        <w:t xml:space="preserve">Appendix </w:t>
      </w:r>
      <w:r w:rsidR="00D44F9C">
        <w:t>5</w:t>
      </w:r>
      <w:r w:rsidR="00A80F1D" w:rsidRPr="00D709BF">
        <w:t>]</w:t>
      </w:r>
      <w:r w:rsidR="00571628" w:rsidRPr="00D709BF">
        <w:t xml:space="preserve"> was convened on August 11, 2010, to discuss the potential</w:t>
      </w:r>
      <w:r w:rsidR="00571628">
        <w:t xml:space="preserve"> research opportunities </w:t>
      </w:r>
      <w:r w:rsidR="00BE79F6">
        <w:t xml:space="preserve">to be explored in </w:t>
      </w:r>
      <w:r w:rsidR="00616954">
        <w:t>a</w:t>
      </w:r>
      <w:r w:rsidR="00571628">
        <w:t xml:space="preserve"> continuation of the study</w:t>
      </w:r>
      <w:r w:rsidR="00BE79F6">
        <w:t xml:space="preserve">. This working group recommended the continuation of the longitudinal component of the study, the reassessment of select variables evaluated at baseline, </w:t>
      </w:r>
      <w:r w:rsidR="00670C8E">
        <w:t xml:space="preserve">the </w:t>
      </w:r>
      <w:r w:rsidR="00FA074F">
        <w:t xml:space="preserve">expansion </w:t>
      </w:r>
      <w:r w:rsidR="00670C8E">
        <w:t xml:space="preserve">of </w:t>
      </w:r>
      <w:r w:rsidR="00FA074F">
        <w:t xml:space="preserve">the evaluation of sociocultural factors, </w:t>
      </w:r>
      <w:r w:rsidR="00BE79F6">
        <w:t xml:space="preserve">and the incorporation of specific new research questions, </w:t>
      </w:r>
      <w:r w:rsidR="00BE79F6" w:rsidRPr="00265730">
        <w:rPr>
          <w:highlight w:val="yellow"/>
        </w:rPr>
        <w:t xml:space="preserve">including the </w:t>
      </w:r>
      <w:r w:rsidR="00FA074F" w:rsidRPr="00265730">
        <w:rPr>
          <w:highlight w:val="yellow"/>
        </w:rPr>
        <w:t xml:space="preserve">evaluation of cardiac structure and function and the </w:t>
      </w:r>
      <w:r w:rsidR="00BE79F6" w:rsidRPr="00265730">
        <w:rPr>
          <w:highlight w:val="yellow"/>
        </w:rPr>
        <w:t>study of pregnancy-related complications and cardiovascular disease in women</w:t>
      </w:r>
      <w:r w:rsidR="00BE79F6">
        <w:t xml:space="preserve">. </w:t>
      </w:r>
    </w:p>
    <w:p w14:paraId="1BE89715" w14:textId="77777777" w:rsidR="00A64B23" w:rsidRDefault="00A64B23" w:rsidP="000E0E7C"/>
    <w:p w14:paraId="02A3C64A" w14:textId="77777777" w:rsidR="00446ECB" w:rsidRDefault="00446ECB" w:rsidP="000E0E7C"/>
    <w:p w14:paraId="207BD635" w14:textId="2DC04F6A" w:rsidR="006779B9" w:rsidRPr="00FA074F" w:rsidRDefault="00FA074F" w:rsidP="00FA074F">
      <w:pPr>
        <w:jc w:val="center"/>
        <w:rPr>
          <w:b/>
        </w:rPr>
      </w:pPr>
      <w:r>
        <w:rPr>
          <w:b/>
        </w:rPr>
        <w:t>A.</w:t>
      </w:r>
      <w:r w:rsidR="006779B9" w:rsidRPr="00FA074F">
        <w:rPr>
          <w:b/>
        </w:rPr>
        <w:t>8.1 Scientific Review</w:t>
      </w:r>
    </w:p>
    <w:p w14:paraId="460A2C4C" w14:textId="5D1FDEDE" w:rsidR="00833C55" w:rsidRDefault="00E04076" w:rsidP="00847396">
      <w:pPr>
        <w:pStyle w:val="PlainText"/>
        <w:spacing w:before="120" w:line="276" w:lineRule="auto"/>
        <w:ind w:firstLine="720"/>
        <w:rPr>
          <w:color w:val="000000"/>
          <w:szCs w:val="24"/>
        </w:rPr>
      </w:pPr>
      <w:r w:rsidRPr="00265730">
        <w:rPr>
          <w:rFonts w:ascii="Times New Roman" w:hAnsi="Times New Roman"/>
          <w:sz w:val="24"/>
          <w:szCs w:val="22"/>
          <w:highlight w:val="yellow"/>
        </w:rPr>
        <w:t xml:space="preserve">The scientific merit of </w:t>
      </w:r>
      <w:r w:rsidR="00BE79F6" w:rsidRPr="00265730">
        <w:rPr>
          <w:rFonts w:ascii="Times New Roman" w:hAnsi="Times New Roman"/>
          <w:sz w:val="24"/>
          <w:szCs w:val="22"/>
          <w:highlight w:val="yellow"/>
        </w:rPr>
        <w:t xml:space="preserve">the </w:t>
      </w:r>
      <w:r w:rsidR="00AF3054" w:rsidRPr="00265730">
        <w:rPr>
          <w:rFonts w:ascii="Times New Roman" w:hAnsi="Times New Roman"/>
          <w:sz w:val="24"/>
          <w:szCs w:val="22"/>
          <w:highlight w:val="yellow"/>
        </w:rPr>
        <w:t xml:space="preserve">initiation and </w:t>
      </w:r>
      <w:r w:rsidR="00BE79F6" w:rsidRPr="00265730">
        <w:rPr>
          <w:rFonts w:ascii="Times New Roman" w:hAnsi="Times New Roman"/>
          <w:sz w:val="24"/>
          <w:szCs w:val="22"/>
          <w:highlight w:val="yellow"/>
        </w:rPr>
        <w:t xml:space="preserve">renewal of the </w:t>
      </w:r>
      <w:r w:rsidRPr="00265730">
        <w:rPr>
          <w:rFonts w:ascii="Times New Roman" w:hAnsi="Times New Roman"/>
          <w:sz w:val="24"/>
          <w:szCs w:val="22"/>
          <w:highlight w:val="yellow"/>
        </w:rPr>
        <w:t xml:space="preserve">study was reviewed at many steps including the final review by the </w:t>
      </w:r>
      <w:r w:rsidR="00CC2DC9" w:rsidRPr="00265730">
        <w:rPr>
          <w:rFonts w:ascii="Times New Roman" w:hAnsi="Times New Roman"/>
          <w:sz w:val="24"/>
          <w:szCs w:val="22"/>
          <w:highlight w:val="yellow"/>
        </w:rPr>
        <w:t xml:space="preserve">NHLBI </w:t>
      </w:r>
      <w:r w:rsidRPr="00265730">
        <w:rPr>
          <w:rFonts w:ascii="Times New Roman" w:hAnsi="Times New Roman"/>
          <w:sz w:val="24"/>
          <w:szCs w:val="22"/>
          <w:highlight w:val="yellow"/>
        </w:rPr>
        <w:t>Advisory Council</w:t>
      </w:r>
      <w:r w:rsidRPr="00265730">
        <w:rPr>
          <w:rFonts w:ascii="Times New Roman" w:hAnsi="Times New Roman"/>
          <w:color w:val="800080"/>
          <w:sz w:val="24"/>
          <w:szCs w:val="22"/>
          <w:highlight w:val="yellow"/>
        </w:rPr>
        <w:t xml:space="preserve"> </w:t>
      </w:r>
      <w:r w:rsidR="00AB0576" w:rsidRPr="00265730">
        <w:rPr>
          <w:rFonts w:ascii="Times New Roman" w:hAnsi="Times New Roman"/>
          <w:sz w:val="24"/>
          <w:highlight w:val="yellow"/>
        </w:rPr>
        <w:t xml:space="preserve">on </w:t>
      </w:r>
      <w:r w:rsidR="00BE79F6" w:rsidRPr="00265730">
        <w:rPr>
          <w:rFonts w:ascii="Times New Roman" w:hAnsi="Times New Roman"/>
          <w:sz w:val="24"/>
          <w:highlight w:val="yellow"/>
        </w:rPr>
        <w:t>June</w:t>
      </w:r>
      <w:r w:rsidR="00A76E43" w:rsidRPr="00265730">
        <w:rPr>
          <w:rFonts w:ascii="Times New Roman" w:hAnsi="Times New Roman"/>
          <w:sz w:val="24"/>
          <w:highlight w:val="yellow"/>
        </w:rPr>
        <w:t xml:space="preserve"> 11,</w:t>
      </w:r>
      <w:r w:rsidR="00BE79F6" w:rsidRPr="00265730">
        <w:rPr>
          <w:rFonts w:ascii="Times New Roman" w:hAnsi="Times New Roman"/>
          <w:sz w:val="24"/>
          <w:highlight w:val="yellow"/>
        </w:rPr>
        <w:t xml:space="preserve"> 2011</w:t>
      </w:r>
      <w:r w:rsidR="00AB0576" w:rsidRPr="00265730">
        <w:rPr>
          <w:rFonts w:ascii="Times New Roman" w:hAnsi="Times New Roman"/>
          <w:sz w:val="24"/>
          <w:highlight w:val="yellow"/>
        </w:rPr>
        <w:t>.</w:t>
      </w:r>
      <w:r w:rsidR="00AB0576" w:rsidRPr="00E04076">
        <w:rPr>
          <w:rFonts w:ascii="Times New Roman" w:hAnsi="Times New Roman"/>
          <w:sz w:val="24"/>
        </w:rPr>
        <w:t xml:space="preserve"> </w:t>
      </w:r>
      <w:r w:rsidR="00EC5838" w:rsidRPr="00EC5838">
        <w:rPr>
          <w:rFonts w:ascii="Times New Roman" w:hAnsi="Times New Roman" w:cs="Times New Roman"/>
          <w:sz w:val="24"/>
          <w:szCs w:val="24"/>
        </w:rPr>
        <w:t xml:space="preserve">The </w:t>
      </w:r>
      <w:r w:rsidR="00CC2DC9">
        <w:rPr>
          <w:rFonts w:ascii="Times New Roman" w:hAnsi="Times New Roman" w:cs="Times New Roman"/>
          <w:sz w:val="24"/>
          <w:szCs w:val="24"/>
        </w:rPr>
        <w:t xml:space="preserve">NHLBI </w:t>
      </w:r>
      <w:r w:rsidR="00EC5838" w:rsidRPr="00EC5838">
        <w:rPr>
          <w:rFonts w:ascii="Times New Roman" w:hAnsi="Times New Roman" w:cs="Times New Roman"/>
          <w:sz w:val="24"/>
          <w:szCs w:val="24"/>
        </w:rPr>
        <w:t xml:space="preserve">Advisory Council advises the Secretary of DHHS, the Assistant Secretary for Health, the Director of National Institutes of Health, and the Director of the National Heart, Lung, and Blood Institute on matters relating to the cause, prevention, diagnosis, and treatment of heart, blood </w:t>
      </w:r>
      <w:r w:rsidR="00EC5838" w:rsidRPr="00EC5838">
        <w:rPr>
          <w:rFonts w:ascii="Times New Roman" w:hAnsi="Times New Roman" w:cs="Times New Roman"/>
          <w:sz w:val="24"/>
          <w:szCs w:val="24"/>
        </w:rPr>
        <w:lastRenderedPageBreak/>
        <w:t xml:space="preserve">vessel, lung, and blood diseases; the use of blood and blood products and the management of blood resources; and on sleep disorders. </w:t>
      </w:r>
      <w:r w:rsidR="00EC5838" w:rsidRPr="00265730">
        <w:rPr>
          <w:rFonts w:ascii="Times New Roman" w:hAnsi="Times New Roman" w:cs="Times New Roman"/>
          <w:sz w:val="24"/>
          <w:szCs w:val="24"/>
          <w:highlight w:val="yellow"/>
        </w:rPr>
        <w:t>The Council may also make recommendations to the Director, NHLBI, respecting research conducted at the Institute. The Council meets four times a year--winter, spring, and two meetings in the fall.</w:t>
      </w:r>
      <w:r w:rsidR="00EC5838" w:rsidRPr="00DE04AE">
        <w:rPr>
          <w:rFonts w:ascii="Times New Roman" w:hAnsi="Times New Roman" w:cs="Times New Roman"/>
          <w:sz w:val="24"/>
          <w:szCs w:val="24"/>
        </w:rPr>
        <w:t xml:space="preserve"> </w:t>
      </w:r>
      <w:r w:rsidRPr="00DE04AE">
        <w:rPr>
          <w:rFonts w:ascii="Times New Roman" w:hAnsi="Times New Roman"/>
          <w:sz w:val="24"/>
          <w:szCs w:val="22"/>
        </w:rPr>
        <w:t xml:space="preserve"> </w:t>
      </w:r>
      <w:r w:rsidR="006174DB" w:rsidRPr="00265730">
        <w:rPr>
          <w:rFonts w:ascii="Times New Roman" w:hAnsi="Times New Roman" w:cs="Times New Roman"/>
          <w:color w:val="000000"/>
          <w:sz w:val="24"/>
          <w:szCs w:val="24"/>
          <w:highlight w:val="yellow"/>
        </w:rPr>
        <w:t>A copy of the relevant minutes</w:t>
      </w:r>
      <w:r w:rsidR="00565CF8" w:rsidRPr="00265730">
        <w:rPr>
          <w:rFonts w:ascii="Times New Roman" w:hAnsi="Times New Roman" w:cs="Times New Roman"/>
          <w:color w:val="000000"/>
          <w:sz w:val="24"/>
          <w:szCs w:val="24"/>
          <w:highlight w:val="yellow"/>
        </w:rPr>
        <w:t xml:space="preserve"> </w:t>
      </w:r>
      <w:r w:rsidR="006174DB" w:rsidRPr="00265730">
        <w:rPr>
          <w:rFonts w:ascii="Times New Roman" w:hAnsi="Times New Roman" w:cs="Times New Roman"/>
          <w:color w:val="000000"/>
          <w:sz w:val="24"/>
          <w:szCs w:val="24"/>
          <w:highlight w:val="yellow"/>
        </w:rPr>
        <w:t xml:space="preserve">from this </w:t>
      </w:r>
      <w:hyperlink r:id="rId20" w:history="1">
        <w:r w:rsidR="006174DB" w:rsidRPr="00265730">
          <w:rPr>
            <w:rStyle w:val="Hyperlink"/>
            <w:rFonts w:ascii="Times New Roman" w:hAnsi="Times New Roman" w:cs="Times New Roman"/>
            <w:sz w:val="24"/>
            <w:szCs w:val="24"/>
            <w:highlight w:val="yellow"/>
          </w:rPr>
          <w:t>meeting</w:t>
        </w:r>
      </w:hyperlink>
      <w:r w:rsidR="006174DB" w:rsidRPr="00265730">
        <w:rPr>
          <w:rFonts w:ascii="Times New Roman" w:hAnsi="Times New Roman" w:cs="Times New Roman"/>
          <w:color w:val="000000"/>
          <w:sz w:val="24"/>
          <w:szCs w:val="24"/>
          <w:highlight w:val="yellow"/>
        </w:rPr>
        <w:t xml:space="preserve"> and a roster of </w:t>
      </w:r>
      <w:r w:rsidR="00CC2DC9" w:rsidRPr="00265730">
        <w:rPr>
          <w:rFonts w:ascii="Times New Roman" w:hAnsi="Times New Roman" w:cs="Times New Roman"/>
          <w:color w:val="000000"/>
          <w:sz w:val="24"/>
          <w:szCs w:val="24"/>
          <w:highlight w:val="yellow"/>
        </w:rPr>
        <w:t xml:space="preserve">the June 11, 2011 </w:t>
      </w:r>
      <w:r w:rsidR="006174DB" w:rsidRPr="00265730">
        <w:rPr>
          <w:rFonts w:ascii="Times New Roman" w:hAnsi="Times New Roman" w:cs="Times New Roman"/>
          <w:color w:val="000000"/>
          <w:sz w:val="24"/>
          <w:szCs w:val="24"/>
          <w:highlight w:val="yellow"/>
        </w:rPr>
        <w:t>Council mem</w:t>
      </w:r>
      <w:r w:rsidR="001B3E15" w:rsidRPr="00265730">
        <w:rPr>
          <w:rFonts w:ascii="Times New Roman" w:hAnsi="Times New Roman" w:cs="Times New Roman"/>
          <w:color w:val="000000"/>
          <w:sz w:val="24"/>
          <w:szCs w:val="24"/>
          <w:highlight w:val="yellow"/>
        </w:rPr>
        <w:t>b</w:t>
      </w:r>
      <w:r w:rsidR="006174DB" w:rsidRPr="00265730">
        <w:rPr>
          <w:rFonts w:ascii="Times New Roman" w:hAnsi="Times New Roman" w:cs="Times New Roman"/>
          <w:color w:val="000000"/>
          <w:sz w:val="24"/>
          <w:szCs w:val="24"/>
          <w:highlight w:val="yellow"/>
        </w:rPr>
        <w:t xml:space="preserve">ers </w:t>
      </w:r>
      <w:r w:rsidR="00833C55" w:rsidRPr="00265730">
        <w:rPr>
          <w:rFonts w:ascii="Times New Roman" w:hAnsi="Times New Roman" w:cs="Times New Roman"/>
          <w:color w:val="000000"/>
          <w:sz w:val="24"/>
          <w:szCs w:val="24"/>
          <w:highlight w:val="yellow"/>
        </w:rPr>
        <w:t>are included</w:t>
      </w:r>
      <w:r w:rsidR="00B8545E" w:rsidRPr="00265730">
        <w:rPr>
          <w:rFonts w:ascii="Times New Roman" w:hAnsi="Times New Roman" w:cs="Times New Roman"/>
          <w:color w:val="000000"/>
          <w:sz w:val="24"/>
          <w:szCs w:val="24"/>
          <w:highlight w:val="yellow"/>
        </w:rPr>
        <w:t xml:space="preserve"> [</w:t>
      </w:r>
      <w:r w:rsidR="008903F6" w:rsidRPr="00265730">
        <w:rPr>
          <w:rFonts w:ascii="Times New Roman" w:hAnsi="Times New Roman" w:cs="Times New Roman"/>
          <w:color w:val="000000"/>
          <w:sz w:val="24"/>
          <w:szCs w:val="24"/>
          <w:highlight w:val="yellow"/>
        </w:rPr>
        <w:t>Appendi</w:t>
      </w:r>
      <w:r w:rsidR="00DE04AE" w:rsidRPr="00265730">
        <w:rPr>
          <w:rFonts w:ascii="Times New Roman" w:hAnsi="Times New Roman" w:cs="Times New Roman"/>
          <w:color w:val="000000"/>
          <w:sz w:val="24"/>
          <w:szCs w:val="24"/>
          <w:highlight w:val="yellow"/>
        </w:rPr>
        <w:t>ces</w:t>
      </w:r>
      <w:r w:rsidR="008903F6" w:rsidRPr="00265730">
        <w:rPr>
          <w:rFonts w:ascii="Times New Roman" w:hAnsi="Times New Roman" w:cs="Times New Roman"/>
          <w:color w:val="000000"/>
          <w:sz w:val="24"/>
          <w:szCs w:val="24"/>
          <w:highlight w:val="yellow"/>
        </w:rPr>
        <w:t xml:space="preserve"> </w:t>
      </w:r>
      <w:r w:rsidR="00D44F9C" w:rsidRPr="00265730">
        <w:rPr>
          <w:rFonts w:ascii="Times New Roman" w:hAnsi="Times New Roman" w:cs="Times New Roman"/>
          <w:color w:val="000000"/>
          <w:sz w:val="24"/>
          <w:szCs w:val="24"/>
          <w:highlight w:val="yellow"/>
        </w:rPr>
        <w:t xml:space="preserve">6 </w:t>
      </w:r>
      <w:r w:rsidR="00DE04AE" w:rsidRPr="00265730">
        <w:rPr>
          <w:rFonts w:ascii="Times New Roman" w:hAnsi="Times New Roman" w:cs="Times New Roman"/>
          <w:color w:val="000000"/>
          <w:sz w:val="24"/>
          <w:szCs w:val="24"/>
          <w:highlight w:val="yellow"/>
        </w:rPr>
        <w:t xml:space="preserve">and </w:t>
      </w:r>
      <w:r w:rsidR="00D44F9C" w:rsidRPr="00265730">
        <w:rPr>
          <w:rFonts w:ascii="Times New Roman" w:hAnsi="Times New Roman" w:cs="Times New Roman"/>
          <w:color w:val="000000"/>
          <w:sz w:val="24"/>
          <w:szCs w:val="24"/>
          <w:highlight w:val="yellow"/>
        </w:rPr>
        <w:t>7</w:t>
      </w:r>
      <w:r w:rsidR="00FB250C" w:rsidRPr="00265730">
        <w:rPr>
          <w:rFonts w:ascii="Times New Roman" w:hAnsi="Times New Roman" w:cs="Times New Roman"/>
          <w:color w:val="000000"/>
          <w:sz w:val="24"/>
          <w:szCs w:val="24"/>
          <w:highlight w:val="yellow"/>
        </w:rPr>
        <w:t>].</w:t>
      </w:r>
    </w:p>
    <w:p w14:paraId="0F523FAC" w14:textId="33DB734D" w:rsidR="00833C55" w:rsidRDefault="00833C55" w:rsidP="00847396">
      <w:pPr>
        <w:spacing w:before="120" w:line="276" w:lineRule="auto"/>
        <w:ind w:firstLine="720"/>
        <w:rPr>
          <w:color w:val="000000"/>
          <w:szCs w:val="24"/>
        </w:rPr>
      </w:pPr>
    </w:p>
    <w:p w14:paraId="30E35661" w14:textId="700E6A4A" w:rsidR="00815838" w:rsidRPr="00265730" w:rsidRDefault="00815838" w:rsidP="00847396">
      <w:pPr>
        <w:spacing w:before="120" w:line="276" w:lineRule="auto"/>
        <w:ind w:firstLine="720"/>
        <w:rPr>
          <w:color w:val="000000"/>
          <w:szCs w:val="24"/>
          <w:highlight w:val="yellow"/>
        </w:rPr>
      </w:pPr>
      <w:r w:rsidRPr="00265730">
        <w:rPr>
          <w:color w:val="000000"/>
          <w:szCs w:val="24"/>
          <w:highlight w:val="yellow"/>
        </w:rPr>
        <w:t xml:space="preserve">On </w:t>
      </w:r>
      <w:r w:rsidR="00AD2CC1" w:rsidRPr="00265730">
        <w:rPr>
          <w:color w:val="000000"/>
          <w:szCs w:val="24"/>
          <w:highlight w:val="yellow"/>
        </w:rPr>
        <w:t>July 11</w:t>
      </w:r>
      <w:r w:rsidRPr="00265730">
        <w:rPr>
          <w:color w:val="000000"/>
          <w:szCs w:val="24"/>
          <w:highlight w:val="yellow"/>
        </w:rPr>
        <w:t>, 2012, competitive Request</w:t>
      </w:r>
      <w:r w:rsidR="00C53A3A" w:rsidRPr="00265730">
        <w:rPr>
          <w:color w:val="000000"/>
          <w:szCs w:val="24"/>
          <w:highlight w:val="yellow"/>
        </w:rPr>
        <w:t>s</w:t>
      </w:r>
      <w:r w:rsidRPr="00265730">
        <w:rPr>
          <w:color w:val="000000"/>
          <w:szCs w:val="24"/>
          <w:highlight w:val="yellow"/>
        </w:rPr>
        <w:t xml:space="preserve"> </w:t>
      </w:r>
      <w:r w:rsidR="00C53A3A" w:rsidRPr="00265730">
        <w:rPr>
          <w:color w:val="000000"/>
          <w:szCs w:val="24"/>
          <w:highlight w:val="yellow"/>
        </w:rPr>
        <w:t>f</w:t>
      </w:r>
      <w:r w:rsidRPr="00265730">
        <w:rPr>
          <w:color w:val="000000"/>
          <w:szCs w:val="24"/>
          <w:highlight w:val="yellow"/>
        </w:rPr>
        <w:t xml:space="preserve">or Proposals (RFP) for the four </w:t>
      </w:r>
      <w:hyperlink r:id="rId21" w:history="1">
        <w:r w:rsidRPr="00265730">
          <w:rPr>
            <w:rStyle w:val="Hyperlink"/>
            <w:szCs w:val="24"/>
            <w:highlight w:val="yellow"/>
          </w:rPr>
          <w:t>Field Centers</w:t>
        </w:r>
      </w:hyperlink>
      <w:r w:rsidRPr="00265730">
        <w:rPr>
          <w:color w:val="000000"/>
          <w:szCs w:val="24"/>
          <w:highlight w:val="yellow"/>
        </w:rPr>
        <w:t xml:space="preserve">, a </w:t>
      </w:r>
      <w:hyperlink r:id="rId22" w:history="1">
        <w:r w:rsidRPr="00265730">
          <w:rPr>
            <w:rStyle w:val="Hyperlink"/>
            <w:szCs w:val="24"/>
            <w:highlight w:val="yellow"/>
          </w:rPr>
          <w:t>Coordinating Center</w:t>
        </w:r>
      </w:hyperlink>
      <w:r w:rsidR="00DE04AE" w:rsidRPr="00265730">
        <w:rPr>
          <w:color w:val="000000"/>
          <w:szCs w:val="24"/>
          <w:highlight w:val="yellow"/>
        </w:rPr>
        <w:t xml:space="preserve"> </w:t>
      </w:r>
      <w:r w:rsidRPr="00265730">
        <w:rPr>
          <w:color w:val="000000"/>
          <w:szCs w:val="24"/>
          <w:highlight w:val="yellow"/>
        </w:rPr>
        <w:t xml:space="preserve"> and an </w:t>
      </w:r>
      <w:hyperlink r:id="rId23" w:history="1">
        <w:r w:rsidRPr="00265730">
          <w:rPr>
            <w:rStyle w:val="Hyperlink"/>
            <w:szCs w:val="24"/>
            <w:highlight w:val="yellow"/>
          </w:rPr>
          <w:t>Echocardiography Reading Center</w:t>
        </w:r>
      </w:hyperlink>
      <w:r w:rsidRPr="00265730">
        <w:rPr>
          <w:color w:val="000000"/>
          <w:szCs w:val="24"/>
          <w:highlight w:val="yellow"/>
        </w:rPr>
        <w:t xml:space="preserve"> w</w:t>
      </w:r>
      <w:r w:rsidR="00C53A3A" w:rsidRPr="00265730">
        <w:rPr>
          <w:color w:val="000000"/>
          <w:szCs w:val="24"/>
          <w:highlight w:val="yellow"/>
        </w:rPr>
        <w:t>ere</w:t>
      </w:r>
      <w:r w:rsidRPr="00265730">
        <w:rPr>
          <w:color w:val="000000"/>
          <w:szCs w:val="24"/>
          <w:highlight w:val="yellow"/>
        </w:rPr>
        <w:t xml:space="preserve"> issued.</w:t>
      </w:r>
      <w:r w:rsidR="00C53A3A" w:rsidRPr="00265730">
        <w:rPr>
          <w:color w:val="000000"/>
          <w:szCs w:val="24"/>
          <w:highlight w:val="yellow"/>
        </w:rPr>
        <w:t xml:space="preserve"> The Center for Scientific Review convened a special external review panel to perform the primary sci</w:t>
      </w:r>
      <w:r w:rsidR="00FB250C" w:rsidRPr="00265730">
        <w:rPr>
          <w:color w:val="000000"/>
          <w:szCs w:val="24"/>
          <w:highlight w:val="yellow"/>
        </w:rPr>
        <w:t>entific review the applications on January 15, 2013</w:t>
      </w:r>
      <w:r w:rsidR="00C53A3A" w:rsidRPr="00265730">
        <w:rPr>
          <w:color w:val="000000"/>
          <w:szCs w:val="24"/>
          <w:highlight w:val="yellow"/>
        </w:rPr>
        <w:t xml:space="preserve">. </w:t>
      </w:r>
      <w:r w:rsidR="00EA0118" w:rsidRPr="00265730">
        <w:rPr>
          <w:color w:val="000000"/>
          <w:szCs w:val="24"/>
          <w:highlight w:val="yellow"/>
        </w:rPr>
        <w:t>On February 8, 2013, t</w:t>
      </w:r>
      <w:r w:rsidR="00C53A3A" w:rsidRPr="00265730">
        <w:rPr>
          <w:color w:val="000000"/>
          <w:szCs w:val="24"/>
          <w:highlight w:val="yellow"/>
        </w:rPr>
        <w:t xml:space="preserve">he NHLBI Division of Cardiovascular Sciences </w:t>
      </w:r>
      <w:r w:rsidR="00EA0118" w:rsidRPr="00265730">
        <w:rPr>
          <w:color w:val="000000"/>
          <w:szCs w:val="24"/>
          <w:highlight w:val="yellow"/>
        </w:rPr>
        <w:t xml:space="preserve">and the NHLBI Contracts Office </w:t>
      </w:r>
      <w:r w:rsidR="00C53A3A" w:rsidRPr="00265730">
        <w:rPr>
          <w:color w:val="000000"/>
          <w:szCs w:val="24"/>
          <w:highlight w:val="yellow"/>
        </w:rPr>
        <w:t>performed an internal secondary review</w:t>
      </w:r>
      <w:r w:rsidR="00EA0118" w:rsidRPr="00265730">
        <w:rPr>
          <w:color w:val="000000"/>
          <w:szCs w:val="24"/>
          <w:highlight w:val="yellow"/>
        </w:rPr>
        <w:t xml:space="preserve"> of the applications</w:t>
      </w:r>
      <w:r w:rsidR="00C53A3A" w:rsidRPr="00265730">
        <w:rPr>
          <w:color w:val="000000"/>
          <w:szCs w:val="24"/>
          <w:highlight w:val="yellow"/>
        </w:rPr>
        <w:t xml:space="preserve">. Comments and questions shared by both the primary and secondary reviewers were discussed with each of the Offerors, who submitted responses and revisions to the applications, accordingly. </w:t>
      </w:r>
    </w:p>
    <w:p w14:paraId="6D99BED3" w14:textId="77777777" w:rsidR="00C53A3A" w:rsidRPr="00265730" w:rsidRDefault="00C53A3A" w:rsidP="00847396">
      <w:pPr>
        <w:spacing w:before="120" w:line="276" w:lineRule="auto"/>
        <w:ind w:firstLine="720"/>
        <w:rPr>
          <w:color w:val="000000"/>
          <w:szCs w:val="24"/>
          <w:highlight w:val="yellow"/>
        </w:rPr>
      </w:pPr>
    </w:p>
    <w:p w14:paraId="78A87305" w14:textId="2AB5D2E0" w:rsidR="00A33D62" w:rsidRDefault="00833C55" w:rsidP="00446ECB">
      <w:pPr>
        <w:spacing w:before="120" w:line="276" w:lineRule="auto"/>
        <w:ind w:firstLine="720"/>
        <w:rPr>
          <w:color w:val="000000"/>
          <w:szCs w:val="24"/>
        </w:rPr>
      </w:pPr>
      <w:r w:rsidRPr="00265730">
        <w:rPr>
          <w:highlight w:val="yellow"/>
        </w:rPr>
        <w:t>T</w:t>
      </w:r>
      <w:r w:rsidR="00AB0576" w:rsidRPr="00265730">
        <w:rPr>
          <w:highlight w:val="yellow"/>
        </w:rPr>
        <w:t>he HCHS/SOL Observational</w:t>
      </w:r>
      <w:r w:rsidR="00E53BED" w:rsidRPr="00265730">
        <w:rPr>
          <w:highlight w:val="yellow"/>
        </w:rPr>
        <w:t xml:space="preserve"> Study </w:t>
      </w:r>
      <w:r w:rsidR="00AB0576" w:rsidRPr="00265730">
        <w:rPr>
          <w:highlight w:val="yellow"/>
        </w:rPr>
        <w:t>Monitoring Board</w:t>
      </w:r>
      <w:r w:rsidR="00E53BED" w:rsidRPr="00265730">
        <w:rPr>
          <w:highlight w:val="yellow"/>
        </w:rPr>
        <w:t xml:space="preserve"> (OSMB)</w:t>
      </w:r>
      <w:r w:rsidR="00AB0576" w:rsidRPr="00265730">
        <w:rPr>
          <w:highlight w:val="yellow"/>
        </w:rPr>
        <w:t xml:space="preserve"> </w:t>
      </w:r>
      <w:r w:rsidR="00A33D62" w:rsidRPr="00265730">
        <w:rPr>
          <w:highlight w:val="yellow"/>
        </w:rPr>
        <w:t>has met</w:t>
      </w:r>
      <w:r w:rsidR="006174DB" w:rsidRPr="00265730">
        <w:rPr>
          <w:color w:val="000000"/>
          <w:szCs w:val="24"/>
          <w:highlight w:val="yellow"/>
        </w:rPr>
        <w:t xml:space="preserve"> annually during the course of the study to advise the NHLBI</w:t>
      </w:r>
      <w:r w:rsidR="00652FE8" w:rsidRPr="00265730">
        <w:rPr>
          <w:color w:val="000000"/>
          <w:szCs w:val="24"/>
          <w:highlight w:val="yellow"/>
        </w:rPr>
        <w:t>,</w:t>
      </w:r>
      <w:r w:rsidR="006174DB" w:rsidRPr="00265730">
        <w:rPr>
          <w:color w:val="000000"/>
          <w:szCs w:val="24"/>
          <w:highlight w:val="yellow"/>
        </w:rPr>
        <w:t xml:space="preserve"> </w:t>
      </w:r>
      <w:r w:rsidR="006633FF" w:rsidRPr="00265730">
        <w:rPr>
          <w:color w:val="000000"/>
          <w:szCs w:val="24"/>
          <w:highlight w:val="yellow"/>
        </w:rPr>
        <w:t xml:space="preserve">monitor </w:t>
      </w:r>
      <w:r w:rsidR="006174DB" w:rsidRPr="00265730">
        <w:rPr>
          <w:color w:val="000000"/>
          <w:szCs w:val="24"/>
          <w:highlight w:val="yellow"/>
        </w:rPr>
        <w:t>study progress and performance</w:t>
      </w:r>
      <w:r w:rsidR="00652FE8" w:rsidRPr="00265730">
        <w:rPr>
          <w:color w:val="000000"/>
          <w:szCs w:val="24"/>
          <w:highlight w:val="yellow"/>
        </w:rPr>
        <w:t>,</w:t>
      </w:r>
      <w:r w:rsidR="006174DB" w:rsidRPr="00265730">
        <w:rPr>
          <w:color w:val="000000"/>
          <w:szCs w:val="24"/>
          <w:highlight w:val="yellow"/>
        </w:rPr>
        <w:t xml:space="preserve"> and </w:t>
      </w:r>
      <w:r w:rsidR="006633FF" w:rsidRPr="00265730">
        <w:rPr>
          <w:color w:val="000000"/>
          <w:szCs w:val="24"/>
          <w:highlight w:val="yellow"/>
        </w:rPr>
        <w:t>consider issues related to</w:t>
      </w:r>
      <w:r w:rsidR="006174DB" w:rsidRPr="00265730">
        <w:rPr>
          <w:color w:val="000000"/>
          <w:szCs w:val="24"/>
          <w:highlight w:val="yellow"/>
        </w:rPr>
        <w:t xml:space="preserve"> participant safety and privacy.</w:t>
      </w:r>
      <w:r w:rsidR="00757C60" w:rsidRPr="00265730">
        <w:rPr>
          <w:color w:val="000000"/>
          <w:szCs w:val="24"/>
          <w:highlight w:val="yellow"/>
        </w:rPr>
        <w:t xml:space="preserve">  </w:t>
      </w:r>
      <w:r w:rsidR="006174DB" w:rsidRPr="00265730">
        <w:rPr>
          <w:color w:val="000000"/>
          <w:szCs w:val="24"/>
          <w:highlight w:val="yellow"/>
        </w:rPr>
        <w:t xml:space="preserve">At the </w:t>
      </w:r>
      <w:r w:rsidR="00A33D62" w:rsidRPr="00265730">
        <w:rPr>
          <w:color w:val="000000"/>
          <w:szCs w:val="24"/>
          <w:highlight w:val="yellow"/>
        </w:rPr>
        <w:t>November 8, 2013</w:t>
      </w:r>
      <w:r w:rsidR="004D76A2" w:rsidRPr="00265730">
        <w:rPr>
          <w:color w:val="000000"/>
          <w:szCs w:val="24"/>
          <w:highlight w:val="yellow"/>
        </w:rPr>
        <w:t>,</w:t>
      </w:r>
      <w:r w:rsidR="006174DB" w:rsidRPr="00265730">
        <w:rPr>
          <w:color w:val="000000"/>
          <w:szCs w:val="24"/>
          <w:highlight w:val="yellow"/>
        </w:rPr>
        <w:t xml:space="preserve"> meeting the</w:t>
      </w:r>
      <w:r w:rsidR="00757C60" w:rsidRPr="00265730">
        <w:rPr>
          <w:color w:val="000000"/>
          <w:szCs w:val="24"/>
          <w:highlight w:val="yellow"/>
        </w:rPr>
        <w:t xml:space="preserve"> OSMB reviewed and approved the HCHS</w:t>
      </w:r>
      <w:r w:rsidR="00E53BED" w:rsidRPr="00265730">
        <w:rPr>
          <w:color w:val="000000"/>
          <w:szCs w:val="24"/>
          <w:highlight w:val="yellow"/>
        </w:rPr>
        <w:t>/SOL</w:t>
      </w:r>
      <w:r w:rsidR="00757C60" w:rsidRPr="00265730">
        <w:rPr>
          <w:color w:val="000000"/>
          <w:szCs w:val="24"/>
          <w:highlight w:val="yellow"/>
        </w:rPr>
        <w:t xml:space="preserve"> informed consent, examination protocol and interview question</w:t>
      </w:r>
      <w:r w:rsidR="00C169BC" w:rsidRPr="00265730">
        <w:rPr>
          <w:color w:val="000000"/>
          <w:szCs w:val="24"/>
          <w:highlight w:val="yellow"/>
        </w:rPr>
        <w:t>n</w:t>
      </w:r>
      <w:r w:rsidR="006633FF" w:rsidRPr="00265730">
        <w:rPr>
          <w:color w:val="000000"/>
          <w:szCs w:val="24"/>
          <w:highlight w:val="yellow"/>
        </w:rPr>
        <w:t>aires</w:t>
      </w:r>
      <w:r w:rsidR="00A33D62" w:rsidRPr="00265730">
        <w:rPr>
          <w:color w:val="000000"/>
          <w:szCs w:val="24"/>
          <w:highlight w:val="yellow"/>
        </w:rPr>
        <w:t xml:space="preserve"> for the </w:t>
      </w:r>
      <w:r w:rsidR="007B3E66" w:rsidRPr="00265730">
        <w:rPr>
          <w:color w:val="000000"/>
          <w:szCs w:val="24"/>
          <w:highlight w:val="yellow"/>
        </w:rPr>
        <w:t xml:space="preserve">second visit, and </w:t>
      </w:r>
      <w:r w:rsidR="002D702D" w:rsidRPr="00265730">
        <w:rPr>
          <w:color w:val="000000"/>
          <w:szCs w:val="24"/>
          <w:highlight w:val="yellow"/>
        </w:rPr>
        <w:t xml:space="preserve">unanimously and enthusiastically supported continuation of the study. </w:t>
      </w:r>
      <w:r w:rsidR="00EE1FFE" w:rsidRPr="00265730">
        <w:rPr>
          <w:color w:val="000000"/>
          <w:szCs w:val="24"/>
          <w:highlight w:val="yellow"/>
        </w:rPr>
        <w:t xml:space="preserve"> Minutes from the OSMB meeting</w:t>
      </w:r>
      <w:r w:rsidR="002D702D" w:rsidRPr="00265730">
        <w:rPr>
          <w:color w:val="000000"/>
          <w:szCs w:val="24"/>
          <w:highlight w:val="yellow"/>
        </w:rPr>
        <w:t>s</w:t>
      </w:r>
      <w:r w:rsidR="00446ECB" w:rsidRPr="00265730">
        <w:rPr>
          <w:color w:val="000000"/>
          <w:szCs w:val="24"/>
          <w:highlight w:val="yellow"/>
        </w:rPr>
        <w:t>, along with the OSMB roster</w:t>
      </w:r>
      <w:r w:rsidR="00EE1FFE" w:rsidRPr="00265730">
        <w:rPr>
          <w:color w:val="000000"/>
          <w:szCs w:val="24"/>
          <w:highlight w:val="yellow"/>
        </w:rPr>
        <w:t xml:space="preserve"> are included</w:t>
      </w:r>
      <w:r w:rsidR="004D76A2" w:rsidRPr="00265730">
        <w:rPr>
          <w:color w:val="000000"/>
          <w:szCs w:val="24"/>
          <w:highlight w:val="yellow"/>
        </w:rPr>
        <w:t xml:space="preserve"> [</w:t>
      </w:r>
      <w:r w:rsidR="008903F6" w:rsidRPr="00265730">
        <w:rPr>
          <w:color w:val="000000"/>
          <w:szCs w:val="24"/>
          <w:highlight w:val="yellow"/>
        </w:rPr>
        <w:t xml:space="preserve">Appendix </w:t>
      </w:r>
      <w:r w:rsidR="001917F8">
        <w:rPr>
          <w:color w:val="000000"/>
          <w:szCs w:val="24"/>
          <w:highlight w:val="yellow"/>
        </w:rPr>
        <w:t>8</w:t>
      </w:r>
      <w:r w:rsidR="00446ECB" w:rsidRPr="00265730">
        <w:rPr>
          <w:color w:val="000000"/>
          <w:szCs w:val="24"/>
          <w:highlight w:val="yellow"/>
        </w:rPr>
        <w:t>].</w:t>
      </w:r>
    </w:p>
    <w:p w14:paraId="715190D5" w14:textId="77777777" w:rsidR="00A33D62" w:rsidRDefault="00A33D62" w:rsidP="000915C3">
      <w:pPr>
        <w:rPr>
          <w:color w:val="000000"/>
          <w:szCs w:val="24"/>
        </w:rPr>
      </w:pPr>
    </w:p>
    <w:p w14:paraId="612E2BB2" w14:textId="77777777" w:rsidR="00A33D62" w:rsidRPr="00833C55" w:rsidRDefault="00A33D62" w:rsidP="000915C3">
      <w:pPr>
        <w:rPr>
          <w:color w:val="000000"/>
          <w:szCs w:val="24"/>
        </w:rPr>
      </w:pPr>
    </w:p>
    <w:p w14:paraId="434F304B" w14:textId="77777777" w:rsidR="001E7A06" w:rsidRPr="00832950" w:rsidRDefault="001E7A06" w:rsidP="00832950">
      <w:pPr>
        <w:pStyle w:val="BodyTextIndent"/>
        <w:ind w:hanging="90"/>
        <w:jc w:val="center"/>
        <w:rPr>
          <w:b/>
        </w:rPr>
      </w:pPr>
      <w:r w:rsidRPr="00832950">
        <w:rPr>
          <w:b/>
        </w:rPr>
        <w:t>A.9. Explanation of Any Payment or Gift to Respondents</w:t>
      </w:r>
    </w:p>
    <w:p w14:paraId="4FFC84E9" w14:textId="3B06C997" w:rsidR="006174DB" w:rsidRDefault="0068163F" w:rsidP="00847396">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0"/>
      </w:pPr>
      <w:r>
        <w:tab/>
      </w:r>
      <w:r w:rsidR="00ED2A85" w:rsidRPr="00565CF8">
        <w:t xml:space="preserve"> </w:t>
      </w:r>
      <w:r w:rsidR="00DD0D02" w:rsidRPr="00F04859">
        <w:rPr>
          <w:highlight w:val="yellow"/>
        </w:rPr>
        <w:t xml:space="preserve">Participants will </w:t>
      </w:r>
      <w:r w:rsidR="00832950" w:rsidRPr="00F04859">
        <w:rPr>
          <w:highlight w:val="yellow"/>
        </w:rPr>
        <w:t>not be paid for their participation</w:t>
      </w:r>
      <w:r w:rsidR="006C2E0C" w:rsidRPr="00F04859">
        <w:rPr>
          <w:highlight w:val="yellow"/>
        </w:rPr>
        <w:t xml:space="preserve">. </w:t>
      </w:r>
      <w:r w:rsidR="00EE7230" w:rsidRPr="00F04859">
        <w:rPr>
          <w:highlight w:val="yellow"/>
        </w:rPr>
        <w:t>During the proposed period, t</w:t>
      </w:r>
      <w:r w:rsidR="006C2E0C" w:rsidRPr="00F04859">
        <w:rPr>
          <w:highlight w:val="yellow"/>
        </w:rPr>
        <w:t>hey w</w:t>
      </w:r>
      <w:r w:rsidR="00832950" w:rsidRPr="00F04859">
        <w:rPr>
          <w:highlight w:val="yellow"/>
        </w:rPr>
        <w:t xml:space="preserve">ill </w:t>
      </w:r>
      <w:r w:rsidR="00DD0D02" w:rsidRPr="00F04859">
        <w:rPr>
          <w:highlight w:val="yellow"/>
        </w:rPr>
        <w:t xml:space="preserve">receive a lump sum </w:t>
      </w:r>
      <w:r w:rsidR="00550BD0" w:rsidRPr="00F04859">
        <w:rPr>
          <w:highlight w:val="yellow"/>
        </w:rPr>
        <w:t>compensation</w:t>
      </w:r>
      <w:r w:rsidR="00DD0D02" w:rsidRPr="00F04859">
        <w:rPr>
          <w:highlight w:val="yellow"/>
        </w:rPr>
        <w:t xml:space="preserve"> in the amount of</w:t>
      </w:r>
      <w:r w:rsidR="007863EB" w:rsidRPr="00F04859">
        <w:rPr>
          <w:highlight w:val="yellow"/>
        </w:rPr>
        <w:t xml:space="preserve"> $</w:t>
      </w:r>
      <w:r w:rsidR="00AD3667">
        <w:rPr>
          <w:highlight w:val="yellow"/>
        </w:rPr>
        <w:t>75</w:t>
      </w:r>
      <w:r w:rsidR="00A41B3A" w:rsidRPr="00F04859">
        <w:rPr>
          <w:highlight w:val="yellow"/>
        </w:rPr>
        <w:t xml:space="preserve"> </w:t>
      </w:r>
      <w:r w:rsidR="00DD0D02" w:rsidRPr="00F04859">
        <w:rPr>
          <w:highlight w:val="yellow"/>
        </w:rPr>
        <w:t>to cover expenses associated with participa</w:t>
      </w:r>
      <w:r w:rsidR="0062719C" w:rsidRPr="00F04859">
        <w:rPr>
          <w:highlight w:val="yellow"/>
        </w:rPr>
        <w:t>ting in the examination including</w:t>
      </w:r>
      <w:r w:rsidR="00DD0D02" w:rsidRPr="00F04859">
        <w:rPr>
          <w:highlight w:val="yellow"/>
        </w:rPr>
        <w:t xml:space="preserve"> childcare and transportation (gas, tolls, parking, public transit)</w:t>
      </w:r>
      <w:r w:rsidR="00A41B3A" w:rsidRPr="00F04859">
        <w:rPr>
          <w:highlight w:val="yellow"/>
        </w:rPr>
        <w:t>, and mobile phone/phone card charges associated to the annual phone call</w:t>
      </w:r>
      <w:r w:rsidR="00C0482F" w:rsidRPr="00F04859">
        <w:rPr>
          <w:highlight w:val="yellow"/>
        </w:rPr>
        <w:t>s</w:t>
      </w:r>
      <w:r w:rsidR="00DD0D02" w:rsidRPr="00F04859">
        <w:rPr>
          <w:highlight w:val="yellow"/>
        </w:rPr>
        <w:t>.</w:t>
      </w:r>
      <w:r w:rsidR="00AD3667">
        <w:rPr>
          <w:highlight w:val="yellow"/>
        </w:rPr>
        <w:t xml:space="preserve"> </w:t>
      </w:r>
      <w:r w:rsidR="00550BD0" w:rsidRPr="00F04859">
        <w:rPr>
          <w:highlight w:val="yellow"/>
        </w:rPr>
        <w:t>This total compensation will be made available to the HCHS/SOL participants only (not to friends, proxies, relatives or family members).</w:t>
      </w:r>
    </w:p>
    <w:p w14:paraId="18042C6D" w14:textId="3AD42E03" w:rsidR="00F04859" w:rsidRPr="00D345B4" w:rsidRDefault="00231E16" w:rsidP="00847396">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0"/>
        <w:rPr>
          <w:highlight w:val="yellow"/>
        </w:rPr>
      </w:pPr>
      <w:r w:rsidRPr="00231E16">
        <w:tab/>
      </w:r>
      <w:r w:rsidR="00F04859" w:rsidRPr="00D345B4">
        <w:rPr>
          <w:highlight w:val="yellow"/>
        </w:rPr>
        <w:t>In addition, we found some publications on the topic of payment or compensation to research subjects, and none points towards specific recommended amounts or scale</w:t>
      </w:r>
      <w:r w:rsidR="00EE54CF">
        <w:rPr>
          <w:highlight w:val="yellow"/>
        </w:rPr>
        <w:t xml:space="preserve"> </w:t>
      </w:r>
      <w:r w:rsidR="004F1565">
        <w:rPr>
          <w:highlight w:val="yellow"/>
        </w:rPr>
        <w:t>[</w:t>
      </w:r>
      <w:r w:rsidR="00844922">
        <w:rPr>
          <w:highlight w:val="yellow"/>
        </w:rPr>
        <w:t>Appendix 9</w:t>
      </w:r>
      <w:r w:rsidR="004F1565">
        <w:rPr>
          <w:highlight w:val="yellow"/>
        </w:rPr>
        <w:t>]</w:t>
      </w:r>
      <w:r w:rsidR="00F04859" w:rsidRPr="00D345B4">
        <w:rPr>
          <w:highlight w:val="yellow"/>
        </w:rPr>
        <w:t>. The perspective of bioethicists is that the value of the amount is interpreted by the subject</w:t>
      </w:r>
      <w:r w:rsidR="004F1565">
        <w:rPr>
          <w:highlight w:val="yellow"/>
        </w:rPr>
        <w:t>, and that compensation for transportation and childcare is not perceived as coercive, but well justified</w:t>
      </w:r>
      <w:r w:rsidR="00F04859" w:rsidRPr="00D345B4">
        <w:rPr>
          <w:highlight w:val="yellow"/>
        </w:rPr>
        <w:t xml:space="preserve">. </w:t>
      </w:r>
    </w:p>
    <w:p w14:paraId="6F70D953" w14:textId="77777777" w:rsidR="004F1565" w:rsidRDefault="001C6C76" w:rsidP="004F156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rPr>
          <w:sz w:val="20"/>
          <w:highlight w:val="yellow"/>
        </w:rPr>
      </w:pPr>
      <w:r w:rsidRPr="00D345B4">
        <w:rPr>
          <w:sz w:val="20"/>
          <w:highlight w:val="yellow"/>
        </w:rPr>
        <w:t>References:</w:t>
      </w:r>
    </w:p>
    <w:p w14:paraId="356CE4A2" w14:textId="1A925F6E" w:rsidR="004F1565" w:rsidRPr="00D345B4" w:rsidRDefault="004F1565" w:rsidP="004F1565">
      <w:pPr>
        <w:pStyle w:val="BodyTextIndent"/>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highlight w:val="yellow"/>
        </w:rPr>
      </w:pPr>
      <w:r w:rsidRPr="00D345B4">
        <w:rPr>
          <w:sz w:val="20"/>
          <w:highlight w:val="yellow"/>
        </w:rPr>
        <w:t>Grady C: Money for research participation: Does it jeopardize informed consent? Am J Bioethics 2001; 1: 40-44</w:t>
      </w:r>
    </w:p>
    <w:p w14:paraId="2D8BF5F7" w14:textId="77777777" w:rsidR="004F1565" w:rsidRPr="004F1565" w:rsidRDefault="004F1565" w:rsidP="004F1565">
      <w:pPr>
        <w:pStyle w:val="BodyTextIndent"/>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highlight w:val="yellow"/>
        </w:rPr>
      </w:pPr>
      <w:r w:rsidRPr="00D345B4">
        <w:rPr>
          <w:sz w:val="20"/>
          <w:highlight w:val="yellow"/>
        </w:rPr>
        <w:t>Grady C: Payment of clinical research subjects. J Clinical Investigation 2005; 115: 1681-1687</w:t>
      </w:r>
    </w:p>
    <w:p w14:paraId="5D2A5E28" w14:textId="77777777" w:rsidR="004F1565" w:rsidRDefault="004F1565" w:rsidP="001C6C76">
      <w:pPr>
        <w:pStyle w:val="BodyTextIndent"/>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0"/>
          <w:highlight w:val="yellow"/>
        </w:rPr>
      </w:pPr>
      <w:r>
        <w:rPr>
          <w:sz w:val="20"/>
          <w:highlight w:val="yellow"/>
        </w:rPr>
        <w:lastRenderedPageBreak/>
        <w:t>Grant RW, Sugarman J: Ethics in human subjects research: do incentives matter? J Med Philosophy 2004; 29: 717-738</w:t>
      </w:r>
    </w:p>
    <w:p w14:paraId="38EE2EAA" w14:textId="3D6B01E4" w:rsidR="001C6C76" w:rsidRPr="00D345B4" w:rsidRDefault="001C6C76" w:rsidP="001C6C76">
      <w:pPr>
        <w:pStyle w:val="BodyTextIndent"/>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0"/>
          <w:highlight w:val="yellow"/>
        </w:rPr>
      </w:pPr>
      <w:r w:rsidRPr="00D345B4">
        <w:rPr>
          <w:sz w:val="20"/>
          <w:highlight w:val="yellow"/>
        </w:rPr>
        <w:t>Kost RG, Lee LM, Yessis J, Coller BS, Henderson et al: Assessing research participants’ perceptions of their clinical research experiences. Clin Trans Sci 2011; 4: 403-413</w:t>
      </w:r>
    </w:p>
    <w:p w14:paraId="11B244B4" w14:textId="7F026B81" w:rsidR="004F1565" w:rsidRPr="004F1565" w:rsidRDefault="004F1565" w:rsidP="001C6C76">
      <w:pPr>
        <w:pStyle w:val="BodyTextIndent"/>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highlight w:val="yellow"/>
        </w:rPr>
      </w:pPr>
      <w:r>
        <w:rPr>
          <w:sz w:val="20"/>
          <w:highlight w:val="yellow"/>
        </w:rPr>
        <w:t>Singer E, Couper MP: Do incentives exert undue influence on survey participation? Experimental evidence. J Empir Res Hum Res Ethics 2008; 3: 49-56</w:t>
      </w:r>
    </w:p>
    <w:p w14:paraId="1AE323F5" w14:textId="0C5BEA54" w:rsidR="004F1565" w:rsidRPr="00D345B4" w:rsidRDefault="004F1565" w:rsidP="004F156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highlight w:val="yellow"/>
        </w:rPr>
      </w:pPr>
    </w:p>
    <w:p w14:paraId="2583CC6B" w14:textId="77777777" w:rsidR="00565CF8" w:rsidRPr="00565CF8" w:rsidRDefault="00565CF8" w:rsidP="006174D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p>
    <w:p w14:paraId="4C45DC51" w14:textId="322D8920" w:rsidR="001E7A06" w:rsidRPr="00832950" w:rsidRDefault="001E7A06" w:rsidP="00832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832950">
        <w:rPr>
          <w:b/>
        </w:rPr>
        <w:t>A.10. Assurance of Confidentiality Provided to Respondents</w:t>
      </w:r>
    </w:p>
    <w:p w14:paraId="2F21F927" w14:textId="7C90FA7C" w:rsidR="0054098C" w:rsidRPr="00565CF8" w:rsidRDefault="002E7EE6" w:rsidP="00863910">
      <w:pPr>
        <w:autoSpaceDE w:val="0"/>
        <w:autoSpaceDN w:val="0"/>
        <w:spacing w:line="276" w:lineRule="auto"/>
        <w:rPr>
          <w:rFonts w:cs="Arial"/>
          <w:szCs w:val="22"/>
        </w:rPr>
      </w:pPr>
      <w:r>
        <w:tab/>
        <w:t xml:space="preserve">All HCHS/SOL Principal Investigators and their institutions have agreed to comply with the Federal Privacy Act as part of their contractual agreement with the NHLBI. </w:t>
      </w:r>
      <w:r w:rsidR="00863910">
        <w:rPr>
          <w:szCs w:val="24"/>
        </w:rPr>
        <w:t xml:space="preserve">Research </w:t>
      </w:r>
      <w:r w:rsidR="00863910" w:rsidRPr="00863910">
        <w:rPr>
          <w:szCs w:val="24"/>
        </w:rPr>
        <w:t>involving human subjects shall not be conducted under this contract until the protocol has been approved by National Heart, Lung, and Blood Institute, written notice of such approval has been provided by the Contracting Officer, and the Contractor has provided to the Contracting Officer a properly completed "Protection of Human Subjects Assurance Identification/IRB Certification/Declaration of Exemption", Form OMB No. 0990-0263</w:t>
      </w:r>
      <w:r w:rsidR="00863910">
        <w:rPr>
          <w:szCs w:val="24"/>
        </w:rPr>
        <w:t xml:space="preserve"> </w:t>
      </w:r>
      <w:r w:rsidR="00863910" w:rsidRPr="00863910">
        <w:rPr>
          <w:szCs w:val="24"/>
        </w:rPr>
        <w:t>(formerly Optional Form 310) certifying IRB review and approval of the protocol. The human</w:t>
      </w:r>
      <w:r w:rsidR="00863910">
        <w:rPr>
          <w:szCs w:val="24"/>
        </w:rPr>
        <w:t xml:space="preserve"> subject certification can be met by submission of the Contractor's self-designated form, </w:t>
      </w:r>
      <w:r w:rsidR="00863910">
        <w:rPr>
          <w:b/>
          <w:bCs/>
          <w:szCs w:val="24"/>
        </w:rPr>
        <w:t xml:space="preserve">provided </w:t>
      </w:r>
      <w:r w:rsidR="00863910">
        <w:rPr>
          <w:szCs w:val="24"/>
        </w:rPr>
        <w:t xml:space="preserve">that it contains the information required by the "Protection of Human Subjects Assurance Identification/IRB Certification/Declaration of Exemption", Form OMB No. 0990-0263 (formerly Optional Form 310). </w:t>
      </w:r>
      <w:r w:rsidR="0054098C" w:rsidRPr="00AD13F4">
        <w:rPr>
          <w:rFonts w:cs="Arial"/>
          <w:szCs w:val="22"/>
        </w:rPr>
        <w:t xml:space="preserve">As </w:t>
      </w:r>
      <w:r w:rsidR="00483ED8">
        <w:rPr>
          <w:rFonts w:cs="Arial"/>
          <w:szCs w:val="22"/>
        </w:rPr>
        <w:t>each of the</w:t>
      </w:r>
      <w:r w:rsidR="00483ED8" w:rsidRPr="00AD13F4">
        <w:rPr>
          <w:rFonts w:cs="Arial"/>
          <w:szCs w:val="22"/>
        </w:rPr>
        <w:t xml:space="preserve"> </w:t>
      </w:r>
      <w:r w:rsidR="00863910">
        <w:rPr>
          <w:rFonts w:cs="Arial"/>
          <w:szCs w:val="22"/>
        </w:rPr>
        <w:t>F</w:t>
      </w:r>
      <w:r w:rsidR="0054098C" w:rsidRPr="00AD13F4">
        <w:rPr>
          <w:rFonts w:cs="Arial"/>
          <w:szCs w:val="22"/>
        </w:rPr>
        <w:t xml:space="preserve">ield </w:t>
      </w:r>
      <w:r w:rsidR="00863910">
        <w:rPr>
          <w:rFonts w:cs="Arial"/>
          <w:szCs w:val="22"/>
        </w:rPr>
        <w:t>C</w:t>
      </w:r>
      <w:r w:rsidR="0054098C" w:rsidRPr="00AD13F4">
        <w:rPr>
          <w:rFonts w:cs="Arial"/>
          <w:szCs w:val="22"/>
        </w:rPr>
        <w:t>enters</w:t>
      </w:r>
      <w:r w:rsidR="00A41B3A">
        <w:rPr>
          <w:rFonts w:cs="Arial"/>
          <w:szCs w:val="22"/>
        </w:rPr>
        <w:t>, the Echocardiography Reading Center</w:t>
      </w:r>
      <w:r w:rsidR="00C33AA7">
        <w:rPr>
          <w:rFonts w:cs="Arial"/>
          <w:szCs w:val="22"/>
        </w:rPr>
        <w:t>,</w:t>
      </w:r>
      <w:r w:rsidR="0054098C" w:rsidRPr="00AD13F4">
        <w:rPr>
          <w:rFonts w:cs="Arial"/>
          <w:szCs w:val="22"/>
        </w:rPr>
        <w:t xml:space="preserve"> and the Coordinating Center approach their respective IRB approval expiration dates, well established mechanisms at each institution are set in motion for timely</w:t>
      </w:r>
      <w:r w:rsidR="00863910">
        <w:rPr>
          <w:rFonts w:cs="Arial"/>
          <w:szCs w:val="22"/>
        </w:rPr>
        <w:t xml:space="preserve"> renewal submissions to occur. </w:t>
      </w:r>
      <w:r w:rsidR="0054098C" w:rsidRPr="00AD13F4">
        <w:rPr>
          <w:rFonts w:cs="Arial"/>
          <w:szCs w:val="22"/>
        </w:rPr>
        <w:t>Updated IRB approvals are filed with the Coordinating Center for review by the NIH and the Study</w:t>
      </w:r>
      <w:r w:rsidR="0054098C" w:rsidRPr="00565CF8">
        <w:rPr>
          <w:rFonts w:cs="Arial"/>
          <w:szCs w:val="22"/>
        </w:rPr>
        <w:t xml:space="preserve"> </w:t>
      </w:r>
      <w:r w:rsidR="00E75251" w:rsidRPr="00D709BF">
        <w:rPr>
          <w:rFonts w:cs="Arial"/>
          <w:szCs w:val="22"/>
        </w:rPr>
        <w:t>[</w:t>
      </w:r>
      <w:r w:rsidR="008903F6" w:rsidRPr="00D709BF">
        <w:rPr>
          <w:rFonts w:cs="Arial"/>
          <w:szCs w:val="22"/>
        </w:rPr>
        <w:t xml:space="preserve">Appendix </w:t>
      </w:r>
      <w:r w:rsidR="00844922">
        <w:rPr>
          <w:rFonts w:cs="Arial"/>
          <w:szCs w:val="22"/>
        </w:rPr>
        <w:t>10</w:t>
      </w:r>
      <w:r w:rsidR="00E75251" w:rsidRPr="00D709BF">
        <w:rPr>
          <w:rFonts w:cs="Arial"/>
          <w:szCs w:val="22"/>
        </w:rPr>
        <w:t>]</w:t>
      </w:r>
      <w:r w:rsidR="00844922">
        <w:rPr>
          <w:rFonts w:cs="Arial"/>
          <w:szCs w:val="22"/>
        </w:rPr>
        <w:t>.</w:t>
      </w:r>
    </w:p>
    <w:p w14:paraId="45600BF5" w14:textId="77777777" w:rsidR="00903B89" w:rsidRDefault="0090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10B79817" w14:textId="77777777" w:rsidR="002E7EE6" w:rsidRPr="00832950" w:rsidRDefault="002E7EE6"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szCs w:val="24"/>
        </w:rPr>
      </w:pPr>
      <w:r w:rsidRPr="00832950">
        <w:rPr>
          <w:b/>
          <w:szCs w:val="24"/>
        </w:rPr>
        <w:t>A.10.1 Human Subjects</w:t>
      </w:r>
      <w:r w:rsidR="005973EE" w:rsidRPr="00832950">
        <w:rPr>
          <w:b/>
          <w:szCs w:val="24"/>
        </w:rPr>
        <w:t xml:space="preserve"> Protection</w:t>
      </w:r>
    </w:p>
    <w:p w14:paraId="6E5254EA" w14:textId="5F313A05" w:rsidR="002E7EE6" w:rsidRDefault="002E7EE6"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szCs w:val="24"/>
        </w:rPr>
      </w:pPr>
      <w:r>
        <w:rPr>
          <w:szCs w:val="24"/>
        </w:rPr>
        <w:tab/>
        <w:t>Participation is this study is voluntary.  The contract stipulates that research involving human subjects is subject to an annual review to be submitted each year</w:t>
      </w:r>
      <w:r w:rsidR="003343D8">
        <w:rPr>
          <w:szCs w:val="24"/>
        </w:rPr>
        <w:t>.</w:t>
      </w:r>
      <w:r>
        <w:rPr>
          <w:szCs w:val="24"/>
        </w:rPr>
        <w:t xml:space="preserve"> Copies of the Institutional Review Board</w:t>
      </w:r>
      <w:r w:rsidR="00483ED8">
        <w:rPr>
          <w:szCs w:val="24"/>
        </w:rPr>
        <w:t xml:space="preserve"> reviews</w:t>
      </w:r>
      <w:r>
        <w:rPr>
          <w:szCs w:val="24"/>
        </w:rPr>
        <w:t xml:space="preserve"> for each field center and the Coordinating Center indicating approval of the study are </w:t>
      </w:r>
      <w:r w:rsidR="005973EE" w:rsidRPr="003343D8">
        <w:rPr>
          <w:szCs w:val="24"/>
        </w:rPr>
        <w:t>included</w:t>
      </w:r>
      <w:r>
        <w:rPr>
          <w:szCs w:val="24"/>
        </w:rPr>
        <w:t xml:space="preserve">.  The consent forms </w:t>
      </w:r>
      <w:r w:rsidR="005973EE">
        <w:rPr>
          <w:szCs w:val="24"/>
        </w:rPr>
        <w:t>in</w:t>
      </w:r>
      <w:r>
        <w:rPr>
          <w:szCs w:val="24"/>
        </w:rPr>
        <w:t xml:space="preserve"> English</w:t>
      </w:r>
      <w:r w:rsidR="005973EE">
        <w:rPr>
          <w:szCs w:val="24"/>
        </w:rPr>
        <w:t xml:space="preserve"> and </w:t>
      </w:r>
      <w:r>
        <w:rPr>
          <w:szCs w:val="24"/>
        </w:rPr>
        <w:t xml:space="preserve">Spanish describe the study to the participants, inform them of the risks and benefits of procedures and where to obtain </w:t>
      </w:r>
      <w:r w:rsidRPr="00D709BF">
        <w:rPr>
          <w:szCs w:val="24"/>
        </w:rPr>
        <w:t>information about the rights of research subjects</w:t>
      </w:r>
      <w:r w:rsidR="005973EE" w:rsidRPr="00D709BF">
        <w:rPr>
          <w:szCs w:val="24"/>
        </w:rPr>
        <w:t xml:space="preserve"> </w:t>
      </w:r>
      <w:r w:rsidR="00E75251" w:rsidRPr="00D709BF">
        <w:rPr>
          <w:szCs w:val="24"/>
        </w:rPr>
        <w:t>[</w:t>
      </w:r>
      <w:r w:rsidR="00640165" w:rsidRPr="00D709BF">
        <w:rPr>
          <w:szCs w:val="24"/>
        </w:rPr>
        <w:t xml:space="preserve">Appendix </w:t>
      </w:r>
      <w:r w:rsidR="00844922">
        <w:rPr>
          <w:szCs w:val="24"/>
        </w:rPr>
        <w:t>11</w:t>
      </w:r>
      <w:r w:rsidR="00E75251" w:rsidRPr="00D709BF">
        <w:rPr>
          <w:szCs w:val="24"/>
        </w:rPr>
        <w:t>].</w:t>
      </w:r>
      <w:r w:rsidR="003343D8" w:rsidRPr="00D709BF">
        <w:rPr>
          <w:szCs w:val="24"/>
        </w:rPr>
        <w:t xml:space="preserve">  Additiona</w:t>
      </w:r>
      <w:r w:rsidR="006704E2" w:rsidRPr="00D709BF">
        <w:rPr>
          <w:szCs w:val="24"/>
        </w:rPr>
        <w:t>l</w:t>
      </w:r>
      <w:r w:rsidR="003343D8" w:rsidRPr="00D709BF">
        <w:rPr>
          <w:szCs w:val="24"/>
        </w:rPr>
        <w:t>ly</w:t>
      </w:r>
      <w:r w:rsidR="00E75251" w:rsidRPr="00D709BF">
        <w:rPr>
          <w:szCs w:val="24"/>
        </w:rPr>
        <w:t>,</w:t>
      </w:r>
      <w:r w:rsidR="003343D8" w:rsidRPr="00D709BF">
        <w:rPr>
          <w:szCs w:val="24"/>
        </w:rPr>
        <w:t xml:space="preserve"> the HCHS</w:t>
      </w:r>
      <w:r w:rsidR="00E53BED" w:rsidRPr="00D709BF">
        <w:rPr>
          <w:szCs w:val="24"/>
        </w:rPr>
        <w:t>/SOL</w:t>
      </w:r>
      <w:r w:rsidR="003343D8">
        <w:rPr>
          <w:szCs w:val="24"/>
        </w:rPr>
        <w:t xml:space="preserve"> </w:t>
      </w:r>
      <w:r w:rsidR="00624C6E">
        <w:rPr>
          <w:szCs w:val="24"/>
        </w:rPr>
        <w:t>OSMB</w:t>
      </w:r>
      <w:r w:rsidR="003343D8">
        <w:rPr>
          <w:szCs w:val="24"/>
        </w:rPr>
        <w:t xml:space="preserve"> annually reviews any issues involving human subjects protection and participant burden and safety.</w:t>
      </w:r>
    </w:p>
    <w:p w14:paraId="67907570" w14:textId="77777777" w:rsidR="003343D8" w:rsidRDefault="003343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2BF64133" w14:textId="55F16F0D" w:rsidR="002E7EE6" w:rsidRPr="00832950" w:rsidRDefault="00832950"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szCs w:val="24"/>
        </w:rPr>
      </w:pPr>
      <w:r>
        <w:rPr>
          <w:b/>
          <w:szCs w:val="24"/>
        </w:rPr>
        <w:t xml:space="preserve">A.10.2 </w:t>
      </w:r>
      <w:r w:rsidR="002E7EE6" w:rsidRPr="00832950">
        <w:rPr>
          <w:b/>
          <w:szCs w:val="24"/>
        </w:rPr>
        <w:t>Field Center Security and Confidentiality</w:t>
      </w:r>
    </w:p>
    <w:p w14:paraId="21301081" w14:textId="5DC07A58" w:rsidR="002B0E6B" w:rsidRDefault="000B0197" w:rsidP="00B10ECA">
      <w:pPr>
        <w:spacing w:before="120" w:line="276" w:lineRule="auto"/>
        <w:ind w:firstLine="720"/>
      </w:pPr>
      <w:r w:rsidRPr="00C169BC">
        <w:rPr>
          <w:color w:val="000000"/>
          <w:szCs w:val="24"/>
        </w:rPr>
        <w:t>Field Center staff is trained i</w:t>
      </w:r>
      <w:r w:rsidR="006633FF" w:rsidRPr="00C169BC">
        <w:rPr>
          <w:color w:val="000000"/>
          <w:szCs w:val="24"/>
        </w:rPr>
        <w:t>n procedures for insuring confid</w:t>
      </w:r>
      <w:r w:rsidRPr="00C169BC">
        <w:rPr>
          <w:color w:val="000000"/>
          <w:szCs w:val="24"/>
        </w:rPr>
        <w:t xml:space="preserve">entiality of participant information.  Paper records </w:t>
      </w:r>
      <w:r w:rsidR="00483ED8">
        <w:rPr>
          <w:color w:val="000000"/>
          <w:szCs w:val="24"/>
        </w:rPr>
        <w:t>are</w:t>
      </w:r>
      <w:r w:rsidRPr="00C169BC">
        <w:rPr>
          <w:color w:val="000000"/>
          <w:szCs w:val="24"/>
        </w:rPr>
        <w:t xml:space="preserve"> kept in secure storage and when no</w:t>
      </w:r>
      <w:r w:rsidR="00E53BED">
        <w:rPr>
          <w:color w:val="000000"/>
          <w:szCs w:val="24"/>
        </w:rPr>
        <w:t xml:space="preserve"> </w:t>
      </w:r>
      <w:r w:rsidRPr="00C169BC">
        <w:rPr>
          <w:color w:val="000000"/>
          <w:szCs w:val="24"/>
        </w:rPr>
        <w:t xml:space="preserve">longer useful, will be </w:t>
      </w:r>
      <w:r w:rsidRPr="00C169BC">
        <w:rPr>
          <w:color w:val="000000"/>
          <w:szCs w:val="24"/>
        </w:rPr>
        <w:lastRenderedPageBreak/>
        <w:t>discarded based on center-specific security protocol.  The data management system provides a high level of confidentiality for the machine</w:t>
      </w:r>
      <w:r w:rsidR="00E75251">
        <w:rPr>
          <w:color w:val="000000"/>
          <w:szCs w:val="24"/>
        </w:rPr>
        <w:t>-</w:t>
      </w:r>
      <w:r w:rsidRPr="00C169BC">
        <w:rPr>
          <w:color w:val="000000"/>
          <w:szCs w:val="24"/>
        </w:rPr>
        <w:t xml:space="preserve">readable information.  Each user of the system has a password that is required to access the system.  All files are encrypted to prevent </w:t>
      </w:r>
      <w:r w:rsidR="00625E0D">
        <w:rPr>
          <w:color w:val="000000"/>
          <w:szCs w:val="24"/>
        </w:rPr>
        <w:t xml:space="preserve">unauthorized </w:t>
      </w:r>
      <w:r w:rsidRPr="00C169BC">
        <w:rPr>
          <w:color w:val="000000"/>
          <w:szCs w:val="24"/>
        </w:rPr>
        <w:t>access to the data using other software.</w:t>
      </w:r>
      <w:r w:rsidR="003F1992">
        <w:rPr>
          <w:color w:val="000000"/>
          <w:szCs w:val="24"/>
        </w:rPr>
        <w:t xml:space="preserve">  </w:t>
      </w:r>
      <w:r w:rsidR="001E7A06">
        <w:t>In publications</w:t>
      </w:r>
      <w:r w:rsidR="00903080">
        <w:t xml:space="preserve"> and internal study reports</w:t>
      </w:r>
      <w:r w:rsidR="001E7A06">
        <w:t xml:space="preserve">, the individual identities of participants and respondents </w:t>
      </w:r>
      <w:r w:rsidR="00483ED8">
        <w:t>are not</w:t>
      </w:r>
      <w:r w:rsidR="001E7A06">
        <w:t xml:space="preserve"> disclosed and data </w:t>
      </w:r>
      <w:r w:rsidR="00483ED8">
        <w:t>are</w:t>
      </w:r>
      <w:r w:rsidR="001E7A06">
        <w:t xml:space="preserve"> reported only in aggregate.  </w:t>
      </w:r>
    </w:p>
    <w:p w14:paraId="4BF5E992" w14:textId="6016D5A5" w:rsidR="000E54ED" w:rsidRDefault="000E5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p>
    <w:p w14:paraId="340E7589" w14:textId="77777777" w:rsidR="002B0E6B" w:rsidRPr="00832950" w:rsidRDefault="002B0E6B" w:rsidP="00832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832950">
        <w:rPr>
          <w:b/>
        </w:rPr>
        <w:t>A.10.3 Privacy Act</w:t>
      </w:r>
    </w:p>
    <w:p w14:paraId="7452FA40" w14:textId="5BEBA06E" w:rsidR="00483ED8" w:rsidRDefault="001E7A06"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r>
        <w:t xml:space="preserve">Information obtained from the study </w:t>
      </w:r>
      <w:r w:rsidR="00483ED8">
        <w:t>is</w:t>
      </w:r>
      <w:r>
        <w:t xml:space="preserve"> included in the Privacy Act System of Records 09-25-0200, </w:t>
      </w:r>
      <w:r w:rsidRPr="00B10ECA">
        <w:t>"Clinical, Epidemiologic and Biometric Studies of the National Institutes of Health (NIH), HHS/NIH/OD,"</w:t>
      </w:r>
      <w:r>
        <w:t xml:space="preserve"> as published in the </w:t>
      </w:r>
      <w:r w:rsidRPr="00BF16C6">
        <w:rPr>
          <w:u w:val="single"/>
        </w:rPr>
        <w:t>Federal Register</w:t>
      </w:r>
      <w:r>
        <w:t xml:space="preserve">, Vol.62, No.66/Monday, April 7, </w:t>
      </w:r>
      <w:r w:rsidRPr="00D709BF">
        <w:t>1997</w:t>
      </w:r>
      <w:r w:rsidR="0029254A" w:rsidRPr="00D709BF">
        <w:t>, pp. 16596-16602</w:t>
      </w:r>
      <w:r w:rsidR="00D36D04" w:rsidRPr="00D709BF">
        <w:t xml:space="preserve"> [</w:t>
      </w:r>
      <w:r w:rsidR="00640165" w:rsidRPr="00D709BF">
        <w:t xml:space="preserve">Appendix </w:t>
      </w:r>
      <w:r w:rsidR="001917F8">
        <w:t>1</w:t>
      </w:r>
      <w:r w:rsidR="00147208">
        <w:t>2</w:t>
      </w:r>
      <w:r w:rsidR="00D36D04" w:rsidRPr="00D709BF">
        <w:t>]</w:t>
      </w:r>
      <w:r w:rsidR="004B16F1" w:rsidRPr="00D709BF">
        <w:t>.</w:t>
      </w:r>
    </w:p>
    <w:p w14:paraId="3D437BF0" w14:textId="3BEDCDD7" w:rsidR="002B0E6B" w:rsidRDefault="002B0E6B"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r>
        <w:t xml:space="preserve">Individuals </w:t>
      </w:r>
      <w:r w:rsidR="00483ED8">
        <w:t>are</w:t>
      </w:r>
      <w:r>
        <w:t xml:space="preserve"> informed that they may refuse to participate</w:t>
      </w:r>
      <w:r w:rsidR="00E53BED">
        <w:t xml:space="preserve"> in specific procedures or the entire</w:t>
      </w:r>
      <w:r>
        <w:t xml:space="preserve"> examination and that their refusal will not result in any loss of benefits to which they might otherwise be entitled, nor will it adversely affect any medical care</w:t>
      </w:r>
      <w:r w:rsidR="000E54ED">
        <w:t>.  This is stated in the Informed Consent.</w:t>
      </w:r>
    </w:p>
    <w:p w14:paraId="60F66D98" w14:textId="15183685" w:rsidR="001E7A06" w:rsidRDefault="00903080"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pPr>
      <w:r>
        <w:tab/>
      </w:r>
      <w:r w:rsidR="001E7A06" w:rsidRPr="00265730">
        <w:rPr>
          <w:highlight w:val="yellow"/>
        </w:rPr>
        <w:t xml:space="preserve">Data </w:t>
      </w:r>
      <w:r w:rsidR="00483ED8" w:rsidRPr="00265730">
        <w:rPr>
          <w:highlight w:val="yellow"/>
        </w:rPr>
        <w:t xml:space="preserve">are </w:t>
      </w:r>
      <w:r w:rsidR="001E7A06" w:rsidRPr="00265730">
        <w:rPr>
          <w:highlight w:val="yellow"/>
        </w:rPr>
        <w:t>only made available to persons performing statistical analysis</w:t>
      </w:r>
      <w:r w:rsidRPr="00265730">
        <w:rPr>
          <w:highlight w:val="yellow"/>
        </w:rPr>
        <w:t xml:space="preserve"> following NIH limited access data use policies</w:t>
      </w:r>
      <w:r w:rsidR="001E7A06" w:rsidRPr="00265730">
        <w:rPr>
          <w:highlight w:val="yellow"/>
        </w:rPr>
        <w:t xml:space="preserve">. If outside consultants or investigators with offices outside the study site need access to the data for publications, a </w:t>
      </w:r>
      <w:r w:rsidR="005B2879" w:rsidRPr="00265730">
        <w:rPr>
          <w:highlight w:val="yellow"/>
        </w:rPr>
        <w:t xml:space="preserve">limited access data release with only the information pertinent to the approved analyses is prepared with no personal identifiers included (as described in Section A.10.6). Each recipient of limited access data must complete a data use agreement affirming that they will comply with all NIH policies. </w:t>
      </w:r>
      <w:r w:rsidR="001E7A06" w:rsidRPr="00265730">
        <w:rPr>
          <w:highlight w:val="yellow"/>
        </w:rPr>
        <w:t>All investigators maintain data security and confidentiality in accordance with their Institutional Review Board agreement. The Principal Investigators maintain data security and confidentiality in accordance</w:t>
      </w:r>
      <w:r w:rsidR="00E23B40" w:rsidRPr="00265730">
        <w:rPr>
          <w:highlight w:val="yellow"/>
        </w:rPr>
        <w:t xml:space="preserve"> </w:t>
      </w:r>
      <w:r w:rsidR="001E7A06" w:rsidRPr="00265730">
        <w:rPr>
          <w:highlight w:val="yellow"/>
        </w:rPr>
        <w:t>with guidelines of the NIH.</w:t>
      </w:r>
    </w:p>
    <w:p w14:paraId="68D73E07" w14:textId="77777777" w:rsidR="00121697" w:rsidRDefault="00121697" w:rsidP="000B0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24737C45" w14:textId="77777777" w:rsidR="000B0197" w:rsidRPr="00832950" w:rsidRDefault="000B0197"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szCs w:val="24"/>
        </w:rPr>
      </w:pPr>
      <w:r w:rsidRPr="00832950">
        <w:rPr>
          <w:b/>
          <w:szCs w:val="24"/>
        </w:rPr>
        <w:t>A.10.</w:t>
      </w:r>
      <w:r w:rsidR="00275ECA" w:rsidRPr="00832950">
        <w:rPr>
          <w:b/>
          <w:szCs w:val="24"/>
        </w:rPr>
        <w:t>4</w:t>
      </w:r>
      <w:r w:rsidRPr="00832950">
        <w:rPr>
          <w:b/>
          <w:szCs w:val="24"/>
        </w:rPr>
        <w:t>. Field Center Data Management System</w:t>
      </w:r>
    </w:p>
    <w:p w14:paraId="7D7321DA" w14:textId="24E442A2" w:rsidR="0079162B" w:rsidRPr="00406E4E" w:rsidRDefault="0079162B" w:rsidP="00B10ECA">
      <w:pPr>
        <w:pStyle w:val="BodyText1"/>
        <w:spacing w:before="120" w:line="276" w:lineRule="auto"/>
        <w:ind w:firstLine="720"/>
        <w:rPr>
          <w:rFonts w:cs="Arial"/>
        </w:rPr>
      </w:pPr>
      <w:r w:rsidRPr="00406E4E">
        <w:rPr>
          <w:rFonts w:cs="Arial"/>
        </w:rPr>
        <w:t xml:space="preserve">Data confidentiality and security </w:t>
      </w:r>
      <w:r>
        <w:rPr>
          <w:rFonts w:cs="Arial"/>
        </w:rPr>
        <w:t>are</w:t>
      </w:r>
      <w:r w:rsidRPr="00406E4E">
        <w:rPr>
          <w:rFonts w:cs="Arial"/>
        </w:rPr>
        <w:t xml:space="preserve"> applied at all levels of data acquisition, transfer and storage, </w:t>
      </w:r>
      <w:r>
        <w:rPr>
          <w:rFonts w:cs="Arial"/>
        </w:rPr>
        <w:t>for</w:t>
      </w:r>
      <w:r w:rsidRPr="00406E4E">
        <w:rPr>
          <w:rFonts w:cs="Arial"/>
        </w:rPr>
        <w:t xml:space="preserve"> all study agencies, from field centers to </w:t>
      </w:r>
      <w:r w:rsidR="00E53BED">
        <w:rPr>
          <w:rFonts w:cs="Arial"/>
        </w:rPr>
        <w:t xml:space="preserve">the </w:t>
      </w:r>
      <w:r w:rsidR="00483ED8">
        <w:rPr>
          <w:rFonts w:cs="Arial"/>
        </w:rPr>
        <w:t>C</w:t>
      </w:r>
      <w:r w:rsidRPr="00406E4E">
        <w:rPr>
          <w:rFonts w:cs="Arial"/>
        </w:rPr>
        <w:t xml:space="preserve">oordinating </w:t>
      </w:r>
      <w:r w:rsidR="00483ED8">
        <w:rPr>
          <w:rFonts w:cs="Arial"/>
        </w:rPr>
        <w:t>C</w:t>
      </w:r>
      <w:r w:rsidRPr="00406E4E">
        <w:rPr>
          <w:rFonts w:cs="Arial"/>
        </w:rPr>
        <w:t xml:space="preserve">enter. </w:t>
      </w:r>
      <w:r>
        <w:rPr>
          <w:rFonts w:cs="Arial"/>
        </w:rPr>
        <w:t xml:space="preserve"> T</w:t>
      </w:r>
      <w:r w:rsidRPr="00406E4E">
        <w:rPr>
          <w:rFonts w:cs="Arial"/>
        </w:rPr>
        <w:t xml:space="preserve">he password controlled access to the study equipment and the </w:t>
      </w:r>
      <w:r w:rsidR="005B2879">
        <w:rPr>
          <w:rFonts w:cs="Arial"/>
        </w:rPr>
        <w:t xml:space="preserve">centralized </w:t>
      </w:r>
      <w:r w:rsidR="003C72EB">
        <w:rPr>
          <w:rFonts w:cs="Arial"/>
        </w:rPr>
        <w:t>data management system (</w:t>
      </w:r>
      <w:r w:rsidRPr="00406E4E">
        <w:rPr>
          <w:rFonts w:cs="Arial"/>
        </w:rPr>
        <w:t>DMS</w:t>
      </w:r>
      <w:r w:rsidR="003C72EB">
        <w:rPr>
          <w:rFonts w:cs="Arial"/>
        </w:rPr>
        <w:t>)</w:t>
      </w:r>
      <w:r>
        <w:rPr>
          <w:rFonts w:cs="Arial"/>
        </w:rPr>
        <w:t xml:space="preserve"> is the initial level of security.  </w:t>
      </w:r>
      <w:r w:rsidR="005B2879">
        <w:rPr>
          <w:rFonts w:cs="Arial"/>
        </w:rPr>
        <w:t xml:space="preserve">Each DMS user has a unique user ID with access levels and permission controlled by a local security administrator for the study.  Field center staff are locally trained and certified in security and confidentiality procedures in collecting and handling health research data. </w:t>
      </w:r>
      <w:r>
        <w:rPr>
          <w:rFonts w:cs="Arial"/>
        </w:rPr>
        <w:t>All d</w:t>
      </w:r>
      <w:r w:rsidRPr="00406E4E">
        <w:rPr>
          <w:rFonts w:cs="Arial"/>
        </w:rPr>
        <w:t xml:space="preserve">ata collected at the field centers and in hospital record rooms are encrypted by the </w:t>
      </w:r>
      <w:r w:rsidR="005B2879">
        <w:rPr>
          <w:rFonts w:cs="Arial"/>
        </w:rPr>
        <w:t xml:space="preserve">data management </w:t>
      </w:r>
      <w:r w:rsidRPr="00406E4E">
        <w:rPr>
          <w:rFonts w:cs="Arial"/>
        </w:rPr>
        <w:t xml:space="preserve">system and can only be decrypted for display on-screen by authorized study personnel.  Personal identifiers are collected on separate forms (and transferred as separate, encrypted records).  Should paper data collection forms be used they will be retained </w:t>
      </w:r>
      <w:r w:rsidRPr="00406E4E">
        <w:rPr>
          <w:rFonts w:cs="Arial"/>
        </w:rPr>
        <w:lastRenderedPageBreak/>
        <w:t>at secure locations at the field centers until the Steering Committee acts on recommendations from the Coordinating Center to dispose of such records (e.g., incremental data closure).  The secure storage and disposition of hard copy records at field centers will follow institutional procedures at each site.</w:t>
      </w:r>
    </w:p>
    <w:p w14:paraId="695446A5" w14:textId="77777777" w:rsidR="00832950" w:rsidRDefault="00832950" w:rsidP="000B0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61135493" w14:textId="77777777" w:rsidR="000B0197" w:rsidRPr="00832950" w:rsidRDefault="000B0197"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szCs w:val="24"/>
        </w:rPr>
      </w:pPr>
      <w:r w:rsidRPr="00832950">
        <w:rPr>
          <w:b/>
          <w:szCs w:val="24"/>
        </w:rPr>
        <w:t>A.10.</w:t>
      </w:r>
      <w:r w:rsidR="00275ECA" w:rsidRPr="00832950">
        <w:rPr>
          <w:b/>
          <w:szCs w:val="24"/>
        </w:rPr>
        <w:t>5</w:t>
      </w:r>
      <w:r w:rsidR="00903080" w:rsidRPr="00832950">
        <w:rPr>
          <w:b/>
          <w:szCs w:val="24"/>
        </w:rPr>
        <w:t xml:space="preserve">. </w:t>
      </w:r>
      <w:r w:rsidRPr="00832950">
        <w:rPr>
          <w:b/>
          <w:szCs w:val="24"/>
        </w:rPr>
        <w:t>Coordinating Center Security and Confidentiality</w:t>
      </w:r>
    </w:p>
    <w:p w14:paraId="00B70E7A" w14:textId="51B17E36" w:rsidR="00283C05" w:rsidRDefault="0079162B" w:rsidP="00283C05">
      <w:pPr>
        <w:adjustRightInd w:val="0"/>
        <w:spacing w:line="276" w:lineRule="auto"/>
        <w:ind w:firstLine="720"/>
      </w:pPr>
      <w:r w:rsidRPr="00406E4E">
        <w:rPr>
          <w:rFonts w:cs="Arial"/>
        </w:rPr>
        <w:t xml:space="preserve">The DMS server </w:t>
      </w:r>
      <w:r>
        <w:rPr>
          <w:rFonts w:cs="Arial"/>
        </w:rPr>
        <w:t>is</w:t>
      </w:r>
      <w:r w:rsidRPr="00406E4E">
        <w:rPr>
          <w:rFonts w:cs="Arial"/>
        </w:rPr>
        <w:t xml:space="preserve"> housed at the Coordinating Center and exclusively managed by C</w:t>
      </w:r>
      <w:r>
        <w:rPr>
          <w:rFonts w:cs="Arial"/>
        </w:rPr>
        <w:t>oordinating Center</w:t>
      </w:r>
      <w:r w:rsidRPr="00406E4E">
        <w:rPr>
          <w:rFonts w:cs="Arial"/>
        </w:rPr>
        <w:t xml:space="preserve"> personnel.  Measures to ensure the security of the data include: restricting access to users with valid IDs and passwords; using a firewall to restrict access to the web server and to shield the UNC C</w:t>
      </w:r>
      <w:r>
        <w:rPr>
          <w:rFonts w:cs="Arial"/>
        </w:rPr>
        <w:t>oordinating Center</w:t>
      </w:r>
      <w:r w:rsidRPr="00406E4E">
        <w:rPr>
          <w:rFonts w:cs="Arial"/>
        </w:rPr>
        <w:t xml:space="preserve"> LAN from web users; using the secure sockets layer standard to provide encryption and user authentication.  All data transferred to the Coordinating Center </w:t>
      </w:r>
      <w:r>
        <w:rPr>
          <w:rFonts w:cs="Arial"/>
        </w:rPr>
        <w:t>is</w:t>
      </w:r>
      <w:r w:rsidRPr="00406E4E">
        <w:rPr>
          <w:rFonts w:cs="Arial"/>
        </w:rPr>
        <w:t xml:space="preserve"> stored, processed, and analyzed within the</w:t>
      </w:r>
      <w:r>
        <w:rPr>
          <w:rFonts w:cs="Arial"/>
        </w:rPr>
        <w:t xml:space="preserve"> Coordinating Center </w:t>
      </w:r>
      <w:r w:rsidRPr="00406E4E">
        <w:rPr>
          <w:rFonts w:cs="Arial"/>
        </w:rPr>
        <w:t>office suite</w:t>
      </w:r>
      <w:r>
        <w:rPr>
          <w:rFonts w:cs="Arial"/>
        </w:rPr>
        <w:t>, with</w:t>
      </w:r>
      <w:r w:rsidRPr="00406E4E">
        <w:rPr>
          <w:rFonts w:cs="Arial"/>
        </w:rPr>
        <w:t xml:space="preserve"> access to office space containing data cont</w:t>
      </w:r>
      <w:r w:rsidR="003C72EB">
        <w:rPr>
          <w:rFonts w:cs="Arial"/>
        </w:rPr>
        <w:t xml:space="preserve">rolled through locked doors.  </w:t>
      </w:r>
      <w:r w:rsidRPr="00406E4E">
        <w:rPr>
          <w:rFonts w:cs="Arial"/>
        </w:rPr>
        <w:t xml:space="preserve">Access to computer data files is controlled by passwords released only to the </w:t>
      </w:r>
      <w:r>
        <w:rPr>
          <w:rFonts w:cs="Arial"/>
        </w:rPr>
        <w:t xml:space="preserve">Coordinating Center </w:t>
      </w:r>
      <w:r w:rsidRPr="00406E4E">
        <w:rPr>
          <w:rFonts w:cs="Arial"/>
        </w:rPr>
        <w:t xml:space="preserve">personnel who use such files.  In addition, data files with personal identifiers (and sensitive information per designation by a study’s Steering Committee) are encrypted.  As standard practice, output mailed to a field center identifies participants only by ID number.  No individually identifiable information </w:t>
      </w:r>
      <w:r>
        <w:rPr>
          <w:rFonts w:cs="Arial"/>
        </w:rPr>
        <w:t>is</w:t>
      </w:r>
      <w:r w:rsidRPr="00406E4E">
        <w:rPr>
          <w:rFonts w:cs="Arial"/>
        </w:rPr>
        <w:t xml:space="preserve"> distributed by the Coordinating Center to any study agency other than the originating field center.  Printed material containing confidential information is discarded through supervised loading, transportation, and storage using a chain of custody control process, until the material can be recycled into paper pulp.</w:t>
      </w:r>
      <w:r>
        <w:rPr>
          <w:rFonts w:cs="Arial"/>
        </w:rPr>
        <w:t xml:space="preserve">  A</w:t>
      </w:r>
      <w:r w:rsidRPr="00406E4E">
        <w:rPr>
          <w:rFonts w:cs="Arial"/>
        </w:rPr>
        <w:t xml:space="preserve">ll </w:t>
      </w:r>
      <w:r>
        <w:rPr>
          <w:rFonts w:cs="Arial"/>
        </w:rPr>
        <w:t xml:space="preserve">Coordinating Center </w:t>
      </w:r>
      <w:r w:rsidRPr="00406E4E">
        <w:rPr>
          <w:rFonts w:cs="Arial"/>
        </w:rPr>
        <w:t xml:space="preserve">staff </w:t>
      </w:r>
      <w:r w:rsidR="00232CDC">
        <w:rPr>
          <w:rFonts w:cs="Arial"/>
        </w:rPr>
        <w:t xml:space="preserve">is </w:t>
      </w:r>
      <w:r>
        <w:rPr>
          <w:rFonts w:cs="Arial"/>
        </w:rPr>
        <w:t xml:space="preserve">required </w:t>
      </w:r>
      <w:r w:rsidRPr="00406E4E">
        <w:rPr>
          <w:rFonts w:cs="Arial"/>
        </w:rPr>
        <w:t xml:space="preserve">to complete a confidentiality certification procedure upon employment.  </w:t>
      </w:r>
      <w:r w:rsidR="00283C05" w:rsidRPr="00FE128E">
        <w:t>A</w:t>
      </w:r>
      <w:r w:rsidR="00283C05" w:rsidRPr="00CD652C">
        <w:t xml:space="preserve">ll Coordinating Center staff is instructed in procedures for maintaining data confidentiality and sign a form indicating their awareness of the </w:t>
      </w:r>
      <w:r w:rsidR="00283C05" w:rsidRPr="00D709BF">
        <w:t xml:space="preserve">necessity of maintaining confidentiality of data </w:t>
      </w:r>
      <w:r w:rsidR="00D709BF">
        <w:t>[</w:t>
      </w:r>
      <w:r w:rsidR="00283C05" w:rsidRPr="00D709BF">
        <w:t xml:space="preserve">Appendix </w:t>
      </w:r>
      <w:r w:rsidR="001917F8" w:rsidRPr="00D709BF">
        <w:t>1</w:t>
      </w:r>
      <w:r w:rsidR="00147208">
        <w:t>3</w:t>
      </w:r>
      <w:r w:rsidR="00D709BF">
        <w:t>]</w:t>
      </w:r>
      <w:r w:rsidR="00283C05" w:rsidRPr="00D709BF">
        <w:t>.  Staff is informed that any</w:t>
      </w:r>
      <w:r w:rsidR="00283C05" w:rsidRPr="00CD652C">
        <w:t xml:space="preserve"> inappropriate use or disclosure of confidential data will be cause for immediate termination of employment at the Coordinating Center.</w:t>
      </w:r>
    </w:p>
    <w:p w14:paraId="3DA072CE" w14:textId="4E5C88E7" w:rsidR="0079162B" w:rsidRDefault="0079162B" w:rsidP="00283C05">
      <w:pPr>
        <w:pStyle w:val="BodyText1"/>
        <w:spacing w:before="120" w:after="0" w:line="276" w:lineRule="auto"/>
        <w:ind w:firstLine="720"/>
        <w:rPr>
          <w:rFonts w:cs="Arial"/>
        </w:rPr>
      </w:pPr>
    </w:p>
    <w:p w14:paraId="33AC60BE" w14:textId="77777777" w:rsidR="005B2879" w:rsidRPr="00565CF8" w:rsidRDefault="005B2879" w:rsidP="005B2879">
      <w:pPr>
        <w:spacing w:before="120" w:line="276" w:lineRule="auto"/>
        <w:ind w:firstLine="720"/>
        <w:rPr>
          <w:rFonts w:cs="Arial"/>
          <w:szCs w:val="22"/>
        </w:rPr>
      </w:pPr>
      <w:r w:rsidRPr="00AD13F4">
        <w:rPr>
          <w:rFonts w:cs="Arial"/>
          <w:szCs w:val="22"/>
        </w:rPr>
        <w:t>Data collected from participants in this study will be stored in encrypted form in the database and maintained in a way that separates personal names and address from the clinical information and questionnaires.  Participant data will be de-identif</w:t>
      </w:r>
      <w:r>
        <w:rPr>
          <w:rFonts w:cs="Arial"/>
          <w:szCs w:val="22"/>
        </w:rPr>
        <w:t>i</w:t>
      </w:r>
      <w:r w:rsidRPr="00AD13F4">
        <w:rPr>
          <w:rFonts w:cs="Arial"/>
          <w:szCs w:val="22"/>
        </w:rPr>
        <w:t xml:space="preserve">ed in a manner that complies with NIH guidelines for security and confidentiality.  Only the originating field center investigator and the </w:t>
      </w:r>
      <w:r>
        <w:rPr>
          <w:rFonts w:cs="Arial"/>
          <w:szCs w:val="22"/>
        </w:rPr>
        <w:t>C</w:t>
      </w:r>
      <w:r w:rsidRPr="00AD13F4">
        <w:rPr>
          <w:rFonts w:cs="Arial"/>
          <w:szCs w:val="22"/>
        </w:rPr>
        <w:t xml:space="preserve">oordinating </w:t>
      </w:r>
      <w:r>
        <w:rPr>
          <w:rFonts w:cs="Arial"/>
          <w:szCs w:val="22"/>
        </w:rPr>
        <w:t>C</w:t>
      </w:r>
      <w:r w:rsidRPr="00AD13F4">
        <w:rPr>
          <w:rFonts w:cs="Arial"/>
          <w:szCs w:val="22"/>
        </w:rPr>
        <w:t xml:space="preserve">enter have access to personal information in order to provide individual reporting of results and referrals back to the participant. Data stored at the </w:t>
      </w:r>
      <w:r>
        <w:rPr>
          <w:rFonts w:cs="Arial"/>
          <w:szCs w:val="22"/>
        </w:rPr>
        <w:t>C</w:t>
      </w:r>
      <w:r w:rsidRPr="00AD13F4">
        <w:rPr>
          <w:rFonts w:cs="Arial"/>
          <w:szCs w:val="22"/>
        </w:rPr>
        <w:t xml:space="preserve">oordinating </w:t>
      </w:r>
      <w:r>
        <w:rPr>
          <w:rFonts w:cs="Arial"/>
          <w:szCs w:val="22"/>
        </w:rPr>
        <w:t>C</w:t>
      </w:r>
      <w:r w:rsidRPr="00AD13F4">
        <w:rPr>
          <w:rFonts w:cs="Arial"/>
          <w:szCs w:val="22"/>
        </w:rPr>
        <w:t>enter is maintained in accordance with an NIH</w:t>
      </w:r>
      <w:r>
        <w:rPr>
          <w:rFonts w:cs="Arial"/>
          <w:szCs w:val="22"/>
        </w:rPr>
        <w:t>-</w:t>
      </w:r>
      <w:r w:rsidRPr="00AD13F4">
        <w:rPr>
          <w:rFonts w:cs="Arial"/>
          <w:szCs w:val="22"/>
        </w:rPr>
        <w:t xml:space="preserve">approved information technology system security plan.  The </w:t>
      </w:r>
      <w:r>
        <w:rPr>
          <w:rFonts w:cs="Arial"/>
          <w:szCs w:val="22"/>
        </w:rPr>
        <w:t>C</w:t>
      </w:r>
      <w:r w:rsidRPr="00AD13F4">
        <w:rPr>
          <w:rFonts w:cs="Arial"/>
          <w:szCs w:val="22"/>
        </w:rPr>
        <w:t xml:space="preserve">oordinating </w:t>
      </w:r>
      <w:r>
        <w:rPr>
          <w:rFonts w:cs="Arial"/>
          <w:szCs w:val="22"/>
        </w:rPr>
        <w:t>C</w:t>
      </w:r>
      <w:r w:rsidRPr="00AD13F4">
        <w:rPr>
          <w:rFonts w:cs="Arial"/>
          <w:szCs w:val="22"/>
        </w:rPr>
        <w:t xml:space="preserve">enter on behalf of the study investigators in this multi-site study </w:t>
      </w:r>
      <w:r>
        <w:rPr>
          <w:rFonts w:cs="Arial"/>
          <w:szCs w:val="22"/>
        </w:rPr>
        <w:t>has obtained</w:t>
      </w:r>
      <w:r w:rsidRPr="00AD13F4">
        <w:rPr>
          <w:rFonts w:cs="Arial"/>
          <w:szCs w:val="22"/>
        </w:rPr>
        <w:t xml:space="preserve"> </w:t>
      </w:r>
      <w:r w:rsidRPr="003E303A">
        <w:rPr>
          <w:rFonts w:cs="Arial"/>
          <w:szCs w:val="22"/>
        </w:rPr>
        <w:t>a Certificate of Confidentiality</w:t>
      </w:r>
      <w:r w:rsidRPr="00AD13F4">
        <w:rPr>
          <w:rFonts w:cs="Arial"/>
          <w:szCs w:val="22"/>
        </w:rPr>
        <w:t xml:space="preserve"> from DHHS so that the information is further protected under those statutes.  Only information mandated by law (e.g. instances of child abuse or neglect, communicable diseases, etc.) w</w:t>
      </w:r>
      <w:r>
        <w:rPr>
          <w:rFonts w:cs="Arial"/>
          <w:szCs w:val="22"/>
        </w:rPr>
        <w:t>ill</w:t>
      </w:r>
      <w:r w:rsidRPr="00AD13F4">
        <w:rPr>
          <w:rFonts w:cs="Arial"/>
          <w:szCs w:val="22"/>
        </w:rPr>
        <w:t xml:space="preserve"> be reported to outside public health agencies or other explicitly authorized authorities.  The study, with permission of the participants, use</w:t>
      </w:r>
      <w:r>
        <w:rPr>
          <w:rFonts w:cs="Arial"/>
          <w:szCs w:val="22"/>
        </w:rPr>
        <w:t>s</w:t>
      </w:r>
      <w:r w:rsidRPr="00AD13F4">
        <w:rPr>
          <w:rFonts w:cs="Arial"/>
          <w:szCs w:val="22"/>
        </w:rPr>
        <w:t xml:space="preserve"> </w:t>
      </w:r>
      <w:r w:rsidRPr="00AD13F4">
        <w:rPr>
          <w:rFonts w:cs="Arial"/>
          <w:szCs w:val="22"/>
        </w:rPr>
        <w:lastRenderedPageBreak/>
        <w:t xml:space="preserve">identifying data to link to the National Death Index and possibly other medical databases.  In this process, the data </w:t>
      </w:r>
      <w:r>
        <w:rPr>
          <w:rFonts w:cs="Arial"/>
          <w:szCs w:val="22"/>
        </w:rPr>
        <w:t xml:space="preserve">are </w:t>
      </w:r>
      <w:r w:rsidRPr="00AD13F4">
        <w:rPr>
          <w:rFonts w:cs="Arial"/>
          <w:szCs w:val="22"/>
        </w:rPr>
        <w:t>provided and linked using the data security provisions provided by these systems.</w:t>
      </w:r>
    </w:p>
    <w:p w14:paraId="5A8DAEC3" w14:textId="77777777" w:rsidR="003F1992" w:rsidRDefault="003F1992" w:rsidP="004F6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08765A84" w14:textId="77777777" w:rsidR="000B0197" w:rsidRPr="00832950" w:rsidRDefault="000B0197"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szCs w:val="24"/>
        </w:rPr>
      </w:pPr>
      <w:r w:rsidRPr="00832950">
        <w:rPr>
          <w:b/>
          <w:szCs w:val="24"/>
        </w:rPr>
        <w:t>A.10.</w:t>
      </w:r>
      <w:r w:rsidR="00275ECA" w:rsidRPr="00832950">
        <w:rPr>
          <w:b/>
          <w:szCs w:val="24"/>
        </w:rPr>
        <w:t>6</w:t>
      </w:r>
      <w:r w:rsidR="00903080" w:rsidRPr="00832950">
        <w:rPr>
          <w:b/>
          <w:szCs w:val="24"/>
        </w:rPr>
        <w:t xml:space="preserve">. </w:t>
      </w:r>
      <w:r w:rsidRPr="00832950">
        <w:rPr>
          <w:b/>
          <w:szCs w:val="24"/>
        </w:rPr>
        <w:t>Coordinating Center Data Management and Computing</w:t>
      </w:r>
    </w:p>
    <w:p w14:paraId="3F7B2E1B" w14:textId="358619BB" w:rsidR="0079162B" w:rsidRDefault="005B2879" w:rsidP="00B10ECA">
      <w:pPr>
        <w:pStyle w:val="BodyText1"/>
        <w:spacing w:before="120" w:line="276" w:lineRule="auto"/>
        <w:ind w:firstLine="720"/>
        <w:rPr>
          <w:rFonts w:cs="Arial"/>
        </w:rPr>
      </w:pPr>
      <w:r w:rsidRPr="00406E4E">
        <w:rPr>
          <w:rFonts w:cs="Arial"/>
        </w:rPr>
        <w:t xml:space="preserve">Data </w:t>
      </w:r>
      <w:r>
        <w:rPr>
          <w:rFonts w:cs="Arial"/>
        </w:rPr>
        <w:t>are</w:t>
      </w:r>
      <w:r w:rsidRPr="00406E4E">
        <w:rPr>
          <w:rFonts w:cs="Arial"/>
        </w:rPr>
        <w:t xml:space="preserve"> retrieved from the study database and converted into SAS files on a regular s</w:t>
      </w:r>
      <w:r>
        <w:rPr>
          <w:rFonts w:cs="Arial"/>
        </w:rPr>
        <w:t xml:space="preserve">chedule (e.g., monthly). Sensitive information is stored on a confidential section of the network file server and only trained staff with a proven need to have access (e.g. recruitment, endpoints records abstraction and classification) can access certain study files.  </w:t>
      </w:r>
      <w:r w:rsidR="004F6DA7">
        <w:rPr>
          <w:rFonts w:cs="Arial"/>
        </w:rPr>
        <w:t>S</w:t>
      </w:r>
      <w:r w:rsidR="0079162B" w:rsidRPr="00406E4E">
        <w:rPr>
          <w:rFonts w:cs="Arial"/>
        </w:rPr>
        <w:t xml:space="preserve">tatistical computing </w:t>
      </w:r>
      <w:r w:rsidR="0079162B">
        <w:rPr>
          <w:rFonts w:cs="Arial"/>
        </w:rPr>
        <w:t>is</w:t>
      </w:r>
      <w:r w:rsidR="0079162B" w:rsidRPr="00406E4E">
        <w:rPr>
          <w:rFonts w:cs="Arial"/>
        </w:rPr>
        <w:t xml:space="preserve"> done using SAS software</w:t>
      </w:r>
      <w:r w:rsidR="004F6DA7">
        <w:rPr>
          <w:rFonts w:cs="Arial"/>
        </w:rPr>
        <w:t xml:space="preserve"> by well-trained, </w:t>
      </w:r>
      <w:r w:rsidR="0079162B" w:rsidRPr="00406E4E">
        <w:rPr>
          <w:rFonts w:cs="Arial"/>
        </w:rPr>
        <w:t xml:space="preserve">dedicated statistical programming staff, using a well-established statistical computing request system that has proven itself through use with many long-term, multi-center research projects managed by the </w:t>
      </w:r>
      <w:r w:rsidR="0079162B">
        <w:rPr>
          <w:rFonts w:cs="Arial"/>
        </w:rPr>
        <w:t>Coordinating Center</w:t>
      </w:r>
      <w:r w:rsidR="0079162B" w:rsidRPr="00406E4E">
        <w:rPr>
          <w:rFonts w:cs="Arial"/>
        </w:rPr>
        <w:t>. This system includes thorough documentation of requested computing, programming standards, naming conventions for datasets, programs and program results, inventorying and tracking of computing requests, procedures for program review, and permanent archival of completed programs, results, and datasets.</w:t>
      </w:r>
    </w:p>
    <w:p w14:paraId="73A48577" w14:textId="77777777" w:rsidR="003F1992" w:rsidRPr="00406E4E" w:rsidRDefault="003F1992" w:rsidP="00B10ECA">
      <w:pPr>
        <w:pStyle w:val="BodyText1"/>
        <w:spacing w:before="120" w:line="276" w:lineRule="auto"/>
        <w:ind w:firstLine="720"/>
        <w:rPr>
          <w:rFonts w:cs="Arial"/>
        </w:rPr>
      </w:pPr>
    </w:p>
    <w:p w14:paraId="09A12743" w14:textId="77777777" w:rsidR="000B0197" w:rsidRPr="00832950" w:rsidRDefault="000B0197"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szCs w:val="24"/>
        </w:rPr>
      </w:pPr>
      <w:r w:rsidRPr="00832950">
        <w:rPr>
          <w:b/>
          <w:szCs w:val="24"/>
        </w:rPr>
        <w:t>A.10.</w:t>
      </w:r>
      <w:r w:rsidR="00275ECA" w:rsidRPr="00832950">
        <w:rPr>
          <w:b/>
          <w:szCs w:val="24"/>
        </w:rPr>
        <w:t>7</w:t>
      </w:r>
      <w:r w:rsidR="00903080" w:rsidRPr="00832950">
        <w:rPr>
          <w:b/>
          <w:szCs w:val="24"/>
        </w:rPr>
        <w:t xml:space="preserve">. </w:t>
      </w:r>
      <w:r w:rsidRPr="00832950">
        <w:rPr>
          <w:b/>
          <w:szCs w:val="24"/>
        </w:rPr>
        <w:t xml:space="preserve">Distributed Data </w:t>
      </w:r>
      <w:r w:rsidR="005204E0" w:rsidRPr="00832950">
        <w:rPr>
          <w:b/>
          <w:szCs w:val="24"/>
        </w:rPr>
        <w:t>Sets</w:t>
      </w:r>
    </w:p>
    <w:p w14:paraId="066BE0BA" w14:textId="5E882BE8" w:rsidR="00A36F1D" w:rsidRDefault="004F6DA7" w:rsidP="00B10ECA">
      <w:pPr>
        <w:spacing w:before="120" w:line="276" w:lineRule="auto"/>
        <w:ind w:firstLine="720"/>
      </w:pPr>
      <w:r w:rsidRPr="00265730">
        <w:rPr>
          <w:highlight w:val="yellow"/>
        </w:rPr>
        <w:t xml:space="preserve">The </w:t>
      </w:r>
      <w:r w:rsidR="00695D48" w:rsidRPr="00265730">
        <w:rPr>
          <w:highlight w:val="yellow"/>
        </w:rPr>
        <w:t xml:space="preserve">Coordinating Center </w:t>
      </w:r>
      <w:r w:rsidRPr="00265730">
        <w:rPr>
          <w:highlight w:val="yellow"/>
        </w:rPr>
        <w:t xml:space="preserve">will </w:t>
      </w:r>
      <w:r w:rsidR="005204E0" w:rsidRPr="00265730">
        <w:rPr>
          <w:highlight w:val="yellow"/>
        </w:rPr>
        <w:t xml:space="preserve">produce </w:t>
      </w:r>
      <w:r w:rsidRPr="00265730">
        <w:rPr>
          <w:highlight w:val="yellow"/>
        </w:rPr>
        <w:t>datasets</w:t>
      </w:r>
      <w:r w:rsidR="00695D48" w:rsidRPr="00265730">
        <w:rPr>
          <w:highlight w:val="yellow"/>
        </w:rPr>
        <w:t xml:space="preserve"> and documentation</w:t>
      </w:r>
      <w:r w:rsidR="005B2879" w:rsidRPr="00265730">
        <w:rPr>
          <w:highlight w:val="yellow"/>
        </w:rPr>
        <w:t xml:space="preserve"> that</w:t>
      </w:r>
      <w:r w:rsidR="00483A7E" w:rsidRPr="00265730">
        <w:rPr>
          <w:highlight w:val="yellow"/>
        </w:rPr>
        <w:t xml:space="preserve"> meet current guidelines </w:t>
      </w:r>
      <w:r w:rsidR="00BD7676" w:rsidRPr="00265730">
        <w:rPr>
          <w:highlight w:val="yellow"/>
        </w:rPr>
        <w:t>[</w:t>
      </w:r>
      <w:hyperlink r:id="rId24" w:history="1">
        <w:r w:rsidR="00CD772A" w:rsidRPr="00265730">
          <w:rPr>
            <w:rStyle w:val="Hyperlink"/>
            <w:highlight w:val="yellow"/>
          </w:rPr>
          <w:t>http://www.nhlbi.nih.gov/funding/setpreparation.htm</w:t>
        </w:r>
      </w:hyperlink>
      <w:r w:rsidR="00BD7676" w:rsidRPr="00265730">
        <w:rPr>
          <w:rStyle w:val="Hyperlink"/>
          <w:highlight w:val="yellow"/>
        </w:rPr>
        <w:t>]</w:t>
      </w:r>
      <w:r w:rsidR="00CD772A" w:rsidRPr="00265730">
        <w:rPr>
          <w:highlight w:val="yellow"/>
        </w:rPr>
        <w:t xml:space="preserve"> </w:t>
      </w:r>
      <w:r w:rsidRPr="00265730">
        <w:rPr>
          <w:highlight w:val="yellow"/>
        </w:rPr>
        <w:t xml:space="preserve">for </w:t>
      </w:r>
      <w:r w:rsidR="00695D48" w:rsidRPr="00265730">
        <w:rPr>
          <w:highlight w:val="yellow"/>
        </w:rPr>
        <w:t>distribution to outside investigators through</w:t>
      </w:r>
      <w:r w:rsidRPr="00265730">
        <w:rPr>
          <w:highlight w:val="yellow"/>
        </w:rPr>
        <w:t xml:space="preserve"> </w:t>
      </w:r>
      <w:r w:rsidR="00695D48" w:rsidRPr="00265730">
        <w:rPr>
          <w:highlight w:val="yellow"/>
        </w:rPr>
        <w:t xml:space="preserve">the NHLBI data repository </w:t>
      </w:r>
      <w:r w:rsidRPr="00265730">
        <w:rPr>
          <w:highlight w:val="yellow"/>
        </w:rPr>
        <w:t xml:space="preserve">after closure checks are performed of the </w:t>
      </w:r>
      <w:r w:rsidR="005B2879" w:rsidRPr="00265730">
        <w:rPr>
          <w:highlight w:val="yellow"/>
        </w:rPr>
        <w:t xml:space="preserve">yearly </w:t>
      </w:r>
      <w:r w:rsidR="005D44D0" w:rsidRPr="00265730">
        <w:rPr>
          <w:highlight w:val="yellow"/>
        </w:rPr>
        <w:t xml:space="preserve">Visit 2 </w:t>
      </w:r>
      <w:r w:rsidRPr="00265730">
        <w:rPr>
          <w:highlight w:val="yellow"/>
        </w:rPr>
        <w:t>examinati</w:t>
      </w:r>
      <w:r w:rsidR="008522BE" w:rsidRPr="00265730">
        <w:rPr>
          <w:highlight w:val="yellow"/>
        </w:rPr>
        <w:t xml:space="preserve">on cohorts. </w:t>
      </w:r>
      <w:r w:rsidR="007609F1" w:rsidRPr="00265730">
        <w:rPr>
          <w:rFonts w:cs="Arial"/>
          <w:szCs w:val="22"/>
          <w:highlight w:val="yellow"/>
        </w:rPr>
        <w:t xml:space="preserve">Data sets distributed under this policy include only “limited access data”, i.e., records with personal identifiers and other variables that might enable individual participants to be identified, such as outliers, dates, and study sites, removed or otherwise modified. Datasets are only distributed to qualified researchers who agree in advance to adhere to established policies for confidentiality and distribution. Identifiable information is never released under </w:t>
      </w:r>
      <w:r w:rsidR="005D44D0" w:rsidRPr="00265730">
        <w:rPr>
          <w:rFonts w:cs="Arial"/>
          <w:szCs w:val="22"/>
          <w:highlight w:val="yellow"/>
        </w:rPr>
        <w:t xml:space="preserve">this </w:t>
      </w:r>
      <w:r w:rsidR="007609F1" w:rsidRPr="00265730">
        <w:rPr>
          <w:rFonts w:cs="Arial"/>
          <w:szCs w:val="22"/>
          <w:highlight w:val="yellow"/>
        </w:rPr>
        <w:t>policy.</w:t>
      </w:r>
      <w:r w:rsidR="007E59F0" w:rsidRPr="00265730">
        <w:rPr>
          <w:rFonts w:cs="Arial"/>
          <w:szCs w:val="22"/>
          <w:highlight w:val="yellow"/>
        </w:rPr>
        <w:t xml:space="preserve">  </w:t>
      </w:r>
      <w:r w:rsidR="005B2879" w:rsidRPr="00265730">
        <w:rPr>
          <w:highlight w:val="yellow"/>
        </w:rPr>
        <w:t xml:space="preserve">During the </w:t>
      </w:r>
      <w:r w:rsidR="00AB5B68" w:rsidRPr="00265730">
        <w:rPr>
          <w:highlight w:val="yellow"/>
        </w:rPr>
        <w:t>study funding period</w:t>
      </w:r>
      <w:r w:rsidR="005B2879" w:rsidRPr="00265730">
        <w:rPr>
          <w:highlight w:val="yellow"/>
        </w:rPr>
        <w:t xml:space="preserve">, limited access to the Visit 2 examination and outcomes data is granted only to the participating investigators at the </w:t>
      </w:r>
      <w:r w:rsidR="0019265C" w:rsidRPr="00265730">
        <w:rPr>
          <w:highlight w:val="yellow"/>
        </w:rPr>
        <w:t>F</w:t>
      </w:r>
      <w:r w:rsidR="005B2879" w:rsidRPr="00265730">
        <w:rPr>
          <w:highlight w:val="yellow"/>
        </w:rPr>
        <w:t xml:space="preserve">ield </w:t>
      </w:r>
      <w:r w:rsidR="0019265C" w:rsidRPr="00265730">
        <w:rPr>
          <w:highlight w:val="yellow"/>
        </w:rPr>
        <w:t>C</w:t>
      </w:r>
      <w:r w:rsidR="005B2879" w:rsidRPr="00265730">
        <w:rPr>
          <w:highlight w:val="yellow"/>
        </w:rPr>
        <w:t>enters</w:t>
      </w:r>
      <w:r w:rsidR="00AB5B68" w:rsidRPr="00265730">
        <w:rPr>
          <w:highlight w:val="yellow"/>
        </w:rPr>
        <w:t>, the Coordinating Center and the Echocardiography Reading Center</w:t>
      </w:r>
      <w:r w:rsidR="005B2879" w:rsidRPr="00265730">
        <w:rPr>
          <w:highlight w:val="yellow"/>
        </w:rPr>
        <w:t xml:space="preserve">. </w:t>
      </w:r>
      <w:r w:rsidR="005D44D0" w:rsidRPr="00265730">
        <w:rPr>
          <w:rFonts w:cs="Arial"/>
          <w:szCs w:val="22"/>
          <w:highlight w:val="yellow"/>
        </w:rPr>
        <w:t>Datasets and documentation are to be prepared d</w:t>
      </w:r>
      <w:r w:rsidR="008522BE" w:rsidRPr="00265730">
        <w:rPr>
          <w:highlight w:val="yellow"/>
        </w:rPr>
        <w:t xml:space="preserve">uring the </w:t>
      </w:r>
      <w:r w:rsidR="00AB5B68" w:rsidRPr="00265730">
        <w:rPr>
          <w:highlight w:val="yellow"/>
        </w:rPr>
        <w:t>study funding period</w:t>
      </w:r>
      <w:r w:rsidRPr="00265730">
        <w:rPr>
          <w:highlight w:val="yellow"/>
        </w:rPr>
        <w:t xml:space="preserve">, </w:t>
      </w:r>
      <w:r w:rsidR="005D44D0" w:rsidRPr="00265730">
        <w:rPr>
          <w:highlight w:val="yellow"/>
        </w:rPr>
        <w:t xml:space="preserve">and released through the NHLBI data repository no </w:t>
      </w:r>
      <w:r w:rsidR="00483A7E" w:rsidRPr="00265730">
        <w:rPr>
          <w:highlight w:val="yellow"/>
        </w:rPr>
        <w:t>later than</w:t>
      </w:r>
      <w:r w:rsidR="003407A9" w:rsidRPr="00265730">
        <w:rPr>
          <w:highlight w:val="yellow"/>
        </w:rPr>
        <w:t xml:space="preserve"> 3</w:t>
      </w:r>
      <w:r w:rsidR="00A41B3A" w:rsidRPr="00265730">
        <w:rPr>
          <w:highlight w:val="yellow"/>
        </w:rPr>
        <w:t xml:space="preserve"> </w:t>
      </w:r>
      <w:r w:rsidR="00483A7E" w:rsidRPr="00265730">
        <w:rPr>
          <w:highlight w:val="yellow"/>
        </w:rPr>
        <w:t xml:space="preserve">years after the end of </w:t>
      </w:r>
      <w:r w:rsidR="000D262C" w:rsidRPr="00265730">
        <w:rPr>
          <w:highlight w:val="yellow"/>
        </w:rPr>
        <w:t>the examination cycle, or two year</w:t>
      </w:r>
      <w:r w:rsidR="003407A9" w:rsidRPr="00265730">
        <w:rPr>
          <w:highlight w:val="yellow"/>
        </w:rPr>
        <w:t>s</w:t>
      </w:r>
      <w:r w:rsidR="000D262C" w:rsidRPr="00265730">
        <w:rPr>
          <w:highlight w:val="yellow"/>
        </w:rPr>
        <w:t xml:space="preserve"> after </w:t>
      </w:r>
      <w:r w:rsidR="003407A9" w:rsidRPr="00265730">
        <w:rPr>
          <w:highlight w:val="yellow"/>
        </w:rPr>
        <w:t>releasing it to the study investigators</w:t>
      </w:r>
      <w:r w:rsidR="000D262C" w:rsidRPr="00265730">
        <w:rPr>
          <w:highlight w:val="yellow"/>
        </w:rPr>
        <w:t>.</w:t>
      </w:r>
    </w:p>
    <w:p w14:paraId="7398F990" w14:textId="77777777" w:rsidR="000E54ED" w:rsidRDefault="000E54ED"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u w:val="single"/>
        </w:rPr>
      </w:pPr>
    </w:p>
    <w:p w14:paraId="4EAAF9C8" w14:textId="77777777" w:rsidR="001E7A06" w:rsidRPr="00832950" w:rsidRDefault="001E7A06"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r w:rsidRPr="00832950">
        <w:rPr>
          <w:b/>
        </w:rPr>
        <w:t>A.11. Justification for Sensitive Questions</w:t>
      </w:r>
    </w:p>
    <w:p w14:paraId="103D39DD" w14:textId="7495E423" w:rsidR="001E7A06" w:rsidRDefault="0068163F"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color w:val="000000"/>
          <w:szCs w:val="24"/>
        </w:rPr>
      </w:pPr>
      <w:r w:rsidRPr="00CD772A">
        <w:rPr>
          <w:i/>
          <w:color w:val="000000"/>
          <w:szCs w:val="24"/>
        </w:rPr>
        <w:t>Social Security Number</w:t>
      </w:r>
      <w:r w:rsidRPr="0068163F">
        <w:rPr>
          <w:color w:val="000000"/>
          <w:szCs w:val="24"/>
        </w:rPr>
        <w:t xml:space="preserve"> is not required for participation, </w:t>
      </w:r>
      <w:r w:rsidR="00314D10">
        <w:rPr>
          <w:color w:val="000000"/>
          <w:szCs w:val="24"/>
        </w:rPr>
        <w:t xml:space="preserve">but </w:t>
      </w:r>
      <w:r w:rsidRPr="0068163F">
        <w:rPr>
          <w:color w:val="000000"/>
          <w:szCs w:val="24"/>
        </w:rPr>
        <w:t xml:space="preserve">voluntary disclosure of this </w:t>
      </w:r>
      <w:r w:rsidR="00A73F6D" w:rsidRPr="0068163F">
        <w:rPr>
          <w:color w:val="000000"/>
          <w:szCs w:val="24"/>
        </w:rPr>
        <w:t xml:space="preserve">information is asked </w:t>
      </w:r>
      <w:r w:rsidR="00A73F6D">
        <w:rPr>
          <w:color w:val="000000"/>
          <w:szCs w:val="24"/>
        </w:rPr>
        <w:t>of</w:t>
      </w:r>
      <w:r w:rsidR="00A73F6D" w:rsidRPr="0068163F">
        <w:rPr>
          <w:color w:val="000000"/>
          <w:szCs w:val="24"/>
        </w:rPr>
        <w:t xml:space="preserve"> participants </w:t>
      </w:r>
      <w:r w:rsidR="00A73F6D">
        <w:rPr>
          <w:color w:val="000000"/>
          <w:szCs w:val="24"/>
        </w:rPr>
        <w:t>for</w:t>
      </w:r>
      <w:r w:rsidR="00A73F6D" w:rsidRPr="0068163F">
        <w:rPr>
          <w:color w:val="000000"/>
          <w:szCs w:val="24"/>
        </w:rPr>
        <w:t xml:space="preserve"> the pu</w:t>
      </w:r>
      <w:r w:rsidR="00A73F6D">
        <w:rPr>
          <w:color w:val="000000"/>
          <w:szCs w:val="24"/>
        </w:rPr>
        <w:t xml:space="preserve">rpose </w:t>
      </w:r>
      <w:r w:rsidRPr="0068163F">
        <w:rPr>
          <w:color w:val="000000"/>
          <w:szCs w:val="24"/>
        </w:rPr>
        <w:t xml:space="preserve">of tracking death-related information from the National Death Index and/or their local hospitals and the State Departments of Health. Participants are assured that declining to provide this information will not alter in any way their </w:t>
      </w:r>
      <w:r w:rsidRPr="0068163F">
        <w:rPr>
          <w:color w:val="000000"/>
          <w:szCs w:val="24"/>
        </w:rPr>
        <w:lastRenderedPageBreak/>
        <w:t>ability to participate in the project.</w:t>
      </w:r>
    </w:p>
    <w:p w14:paraId="00DFDDDE" w14:textId="77777777" w:rsidR="006C04E5" w:rsidRDefault="00EE1FFE"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color w:val="000000"/>
          <w:szCs w:val="24"/>
        </w:rPr>
      </w:pPr>
      <w:r>
        <w:rPr>
          <w:color w:val="000000"/>
          <w:szCs w:val="24"/>
        </w:rPr>
        <w:tab/>
      </w:r>
    </w:p>
    <w:p w14:paraId="17E17C59" w14:textId="355DFE50" w:rsidR="00EE1FFE" w:rsidRDefault="00EE1FFE"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color w:val="000000"/>
          <w:szCs w:val="24"/>
        </w:rPr>
      </w:pPr>
      <w:r w:rsidRPr="00CD772A">
        <w:rPr>
          <w:i/>
          <w:color w:val="000000"/>
          <w:szCs w:val="24"/>
        </w:rPr>
        <w:t>Alcohol consumption</w:t>
      </w:r>
      <w:r>
        <w:rPr>
          <w:color w:val="000000"/>
          <w:szCs w:val="24"/>
        </w:rPr>
        <w:t xml:space="preserve"> will be ascertained since studies have suggested that moderate levels of alcohol use may be protective for coronary heart disease. </w:t>
      </w:r>
      <w:r w:rsidR="003407A9">
        <w:rPr>
          <w:color w:val="000000"/>
          <w:szCs w:val="24"/>
        </w:rPr>
        <w:t xml:space="preserve">At the same time, excessive alcohol intake has been associated </w:t>
      </w:r>
      <w:r w:rsidR="00A73F6D">
        <w:rPr>
          <w:color w:val="000000"/>
          <w:szCs w:val="24"/>
        </w:rPr>
        <w:t xml:space="preserve">with </w:t>
      </w:r>
      <w:r w:rsidR="003407A9">
        <w:rPr>
          <w:color w:val="000000"/>
          <w:szCs w:val="24"/>
        </w:rPr>
        <w:t>cardiomyopathy, pharmacologic interaction with prescribed and over-the-counter medications, depressive symptoms and other health-related adverse effects.</w:t>
      </w:r>
    </w:p>
    <w:p w14:paraId="33E9B2F0" w14:textId="77777777" w:rsidR="006C04E5" w:rsidRDefault="00AF621A"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color w:val="000000"/>
          <w:szCs w:val="24"/>
        </w:rPr>
      </w:pPr>
      <w:r>
        <w:rPr>
          <w:color w:val="000000"/>
          <w:szCs w:val="24"/>
        </w:rPr>
        <w:tab/>
      </w:r>
    </w:p>
    <w:p w14:paraId="406C2A7D" w14:textId="6F5A2673" w:rsidR="00FE07FD" w:rsidRDefault="00AF621A"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color w:val="000000"/>
          <w:szCs w:val="24"/>
        </w:rPr>
      </w:pPr>
      <w:r w:rsidRPr="00CD772A">
        <w:rPr>
          <w:i/>
          <w:color w:val="000000"/>
          <w:szCs w:val="24"/>
        </w:rPr>
        <w:t>Current medication use</w:t>
      </w:r>
      <w:r>
        <w:rPr>
          <w:color w:val="000000"/>
          <w:szCs w:val="24"/>
        </w:rPr>
        <w:t xml:space="preserve"> is being determined since blood chemistry values </w:t>
      </w:r>
      <w:r w:rsidR="00A73F6D">
        <w:rPr>
          <w:color w:val="000000"/>
          <w:szCs w:val="24"/>
        </w:rPr>
        <w:t xml:space="preserve">may be </w:t>
      </w:r>
      <w:r>
        <w:rPr>
          <w:color w:val="000000"/>
          <w:szCs w:val="24"/>
        </w:rPr>
        <w:t xml:space="preserve">modified by pharmacologically active drugs. Thus, knowledge of the use of prescription as well as over-the-counter medication is required to interpret the blood chemistry values.  In addition, several medications are modifiers of onset and progression of clinical events (e.g. aspirin, beta blockers), and will be used as covariates in analyses. Information on use of anti-hypertensive and diabetic medications </w:t>
      </w:r>
      <w:r w:rsidR="003407A9">
        <w:rPr>
          <w:color w:val="000000"/>
          <w:szCs w:val="24"/>
        </w:rPr>
        <w:t xml:space="preserve">is </w:t>
      </w:r>
      <w:r>
        <w:rPr>
          <w:color w:val="000000"/>
          <w:szCs w:val="24"/>
        </w:rPr>
        <w:t>necessary to assess whether a participant</w:t>
      </w:r>
      <w:r w:rsidR="005908D3">
        <w:rPr>
          <w:color w:val="000000"/>
          <w:szCs w:val="24"/>
        </w:rPr>
        <w:t xml:space="preserve"> has either of these conditions.</w:t>
      </w:r>
    </w:p>
    <w:p w14:paraId="1AFB5C1D" w14:textId="77777777" w:rsidR="003E303A" w:rsidRDefault="00890197"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color w:val="000000"/>
          <w:szCs w:val="24"/>
        </w:rPr>
      </w:pPr>
      <w:r>
        <w:rPr>
          <w:color w:val="000000"/>
          <w:szCs w:val="24"/>
        </w:rPr>
        <w:tab/>
      </w:r>
    </w:p>
    <w:p w14:paraId="10A6D42E" w14:textId="3F4C04E2" w:rsidR="002D702D" w:rsidRDefault="00314D10"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color w:val="000000"/>
          <w:szCs w:val="24"/>
        </w:rPr>
      </w:pPr>
      <w:r w:rsidRPr="00265730">
        <w:rPr>
          <w:i/>
          <w:color w:val="000000"/>
          <w:szCs w:val="24"/>
          <w:highlight w:val="yellow"/>
        </w:rPr>
        <w:t>Citizenship/documentation status</w:t>
      </w:r>
      <w:r w:rsidRPr="00265730">
        <w:rPr>
          <w:color w:val="000000"/>
          <w:szCs w:val="24"/>
          <w:highlight w:val="yellow"/>
        </w:rPr>
        <w:t xml:space="preserve">: </w:t>
      </w:r>
      <w:r w:rsidR="00890197" w:rsidRPr="00265730">
        <w:rPr>
          <w:color w:val="000000"/>
          <w:szCs w:val="24"/>
          <w:highlight w:val="yellow"/>
        </w:rPr>
        <w:t xml:space="preserve">Since the Affordable Care Act </w:t>
      </w:r>
      <w:r w:rsidR="008F6A07" w:rsidRPr="00265730">
        <w:rPr>
          <w:color w:val="000000"/>
          <w:szCs w:val="24"/>
          <w:highlight w:val="yellow"/>
        </w:rPr>
        <w:t xml:space="preserve">(ACA) </w:t>
      </w:r>
      <w:r w:rsidR="00890197" w:rsidRPr="00265730">
        <w:rPr>
          <w:color w:val="000000"/>
          <w:szCs w:val="24"/>
          <w:highlight w:val="yellow"/>
        </w:rPr>
        <w:t xml:space="preserve">is expected to be </w:t>
      </w:r>
      <w:r w:rsidR="00D36D04" w:rsidRPr="00265730">
        <w:rPr>
          <w:color w:val="000000"/>
          <w:szCs w:val="24"/>
          <w:highlight w:val="yellow"/>
        </w:rPr>
        <w:t xml:space="preserve">fully implemented </w:t>
      </w:r>
      <w:r w:rsidR="00890197" w:rsidRPr="00265730">
        <w:rPr>
          <w:color w:val="000000"/>
          <w:szCs w:val="24"/>
          <w:highlight w:val="yellow"/>
        </w:rPr>
        <w:t xml:space="preserve">at the beginning of 2014 the HCHS/SOL is uniquely positioned to evaluate the effects of </w:t>
      </w:r>
      <w:r w:rsidR="00897286" w:rsidRPr="00265730">
        <w:rPr>
          <w:color w:val="000000"/>
          <w:szCs w:val="24"/>
          <w:highlight w:val="yellow"/>
        </w:rPr>
        <w:t xml:space="preserve">changes in </w:t>
      </w:r>
      <w:r w:rsidR="006F03DE" w:rsidRPr="00265730">
        <w:rPr>
          <w:color w:val="000000"/>
          <w:szCs w:val="24"/>
          <w:highlight w:val="yellow"/>
        </w:rPr>
        <w:t xml:space="preserve">eligibility </w:t>
      </w:r>
      <w:r w:rsidR="00897286" w:rsidRPr="00265730">
        <w:rPr>
          <w:color w:val="000000"/>
          <w:szCs w:val="24"/>
          <w:highlight w:val="yellow"/>
        </w:rPr>
        <w:t xml:space="preserve">for </w:t>
      </w:r>
      <w:r w:rsidR="006F03DE" w:rsidRPr="00265730">
        <w:rPr>
          <w:color w:val="000000"/>
          <w:szCs w:val="24"/>
          <w:highlight w:val="yellow"/>
        </w:rPr>
        <w:t xml:space="preserve">health insurance coverage </w:t>
      </w:r>
      <w:r w:rsidR="00897286" w:rsidRPr="00265730">
        <w:rPr>
          <w:color w:val="000000"/>
          <w:szCs w:val="24"/>
          <w:highlight w:val="yellow"/>
        </w:rPr>
        <w:t>on health outcomes of</w:t>
      </w:r>
      <w:r w:rsidR="006F03DE" w:rsidRPr="00265730">
        <w:rPr>
          <w:color w:val="000000"/>
          <w:szCs w:val="24"/>
          <w:highlight w:val="yellow"/>
        </w:rPr>
        <w:t xml:space="preserve"> Hispanics who previously were not eligible. At the same time, </w:t>
      </w:r>
      <w:r w:rsidR="008F6A07" w:rsidRPr="00265730">
        <w:rPr>
          <w:color w:val="000000"/>
          <w:szCs w:val="24"/>
          <w:highlight w:val="yellow"/>
        </w:rPr>
        <w:t xml:space="preserve">immigrants without the required documentation to live in the U.S., including some Hispanics, </w:t>
      </w:r>
      <w:r w:rsidR="006F03DE" w:rsidRPr="00265730">
        <w:rPr>
          <w:color w:val="000000"/>
          <w:szCs w:val="24"/>
          <w:highlight w:val="yellow"/>
        </w:rPr>
        <w:t xml:space="preserve">will </w:t>
      </w:r>
      <w:r w:rsidR="008F6A07" w:rsidRPr="00265730">
        <w:rPr>
          <w:color w:val="000000"/>
          <w:szCs w:val="24"/>
          <w:highlight w:val="yellow"/>
        </w:rPr>
        <w:t xml:space="preserve">not be eligible for health insurance under the ACA. </w:t>
      </w:r>
      <w:r w:rsidR="006F03DE" w:rsidRPr="00265730">
        <w:rPr>
          <w:color w:val="000000"/>
          <w:szCs w:val="24"/>
          <w:highlight w:val="yellow"/>
        </w:rPr>
        <w:t>Therefore, during th</w:t>
      </w:r>
      <w:r w:rsidR="00DF4168" w:rsidRPr="00265730">
        <w:rPr>
          <w:color w:val="000000"/>
          <w:szCs w:val="24"/>
          <w:highlight w:val="yellow"/>
        </w:rPr>
        <w:t>e continuation of the study,</w:t>
      </w:r>
      <w:r w:rsidR="006F03DE" w:rsidRPr="00265730">
        <w:rPr>
          <w:color w:val="000000"/>
          <w:szCs w:val="24"/>
          <w:highlight w:val="yellow"/>
        </w:rPr>
        <w:t xml:space="preserve"> we will </w:t>
      </w:r>
      <w:r w:rsidR="00DF4168" w:rsidRPr="00265730">
        <w:rPr>
          <w:color w:val="000000"/>
          <w:szCs w:val="24"/>
          <w:highlight w:val="yellow"/>
        </w:rPr>
        <w:t xml:space="preserve">ask </w:t>
      </w:r>
      <w:r w:rsidR="006F03DE" w:rsidRPr="00265730">
        <w:rPr>
          <w:color w:val="000000"/>
          <w:szCs w:val="24"/>
          <w:highlight w:val="yellow"/>
        </w:rPr>
        <w:t xml:space="preserve">questions about citizenship and visa status </w:t>
      </w:r>
      <w:r w:rsidR="00DF4168" w:rsidRPr="00265730">
        <w:rPr>
          <w:color w:val="000000"/>
          <w:szCs w:val="24"/>
          <w:highlight w:val="yellow"/>
        </w:rPr>
        <w:t>to HCHS/SOL participants</w:t>
      </w:r>
      <w:r w:rsidR="006F03DE" w:rsidRPr="00265730">
        <w:rPr>
          <w:color w:val="000000"/>
          <w:szCs w:val="24"/>
          <w:highlight w:val="yellow"/>
        </w:rPr>
        <w:t xml:space="preserve">. Comparing utilization of health care services and health outcomes between those who are insured and those who are not, and changes in health outcomes </w:t>
      </w:r>
      <w:r w:rsidR="00DF4168" w:rsidRPr="00265730">
        <w:rPr>
          <w:color w:val="000000"/>
          <w:szCs w:val="24"/>
          <w:highlight w:val="yellow"/>
        </w:rPr>
        <w:t xml:space="preserve">between those who have had health insurance for a long time versus those who are able to acquire it after the implementation of the ACA versus those who do not, for example, </w:t>
      </w:r>
      <w:r w:rsidR="006F03DE" w:rsidRPr="00265730">
        <w:rPr>
          <w:color w:val="000000"/>
          <w:szCs w:val="24"/>
          <w:highlight w:val="yellow"/>
        </w:rPr>
        <w:t>will be significant contribution</w:t>
      </w:r>
      <w:r w:rsidR="00DF4168" w:rsidRPr="00265730">
        <w:rPr>
          <w:color w:val="000000"/>
          <w:szCs w:val="24"/>
          <w:highlight w:val="yellow"/>
        </w:rPr>
        <w:t>s</w:t>
      </w:r>
      <w:r w:rsidR="006F03DE" w:rsidRPr="00265730">
        <w:rPr>
          <w:color w:val="000000"/>
          <w:szCs w:val="24"/>
          <w:highlight w:val="yellow"/>
        </w:rPr>
        <w:t xml:space="preserve"> to </w:t>
      </w:r>
      <w:r w:rsidR="00DF4168" w:rsidRPr="00265730">
        <w:rPr>
          <w:color w:val="000000"/>
          <w:szCs w:val="24"/>
          <w:highlight w:val="yellow"/>
        </w:rPr>
        <w:t xml:space="preserve">health policy experts and the study of </w:t>
      </w:r>
      <w:r w:rsidR="006F03DE" w:rsidRPr="00265730">
        <w:rPr>
          <w:color w:val="000000"/>
          <w:szCs w:val="24"/>
          <w:highlight w:val="yellow"/>
        </w:rPr>
        <w:t xml:space="preserve">social determinants of health </w:t>
      </w:r>
      <w:r w:rsidR="00DF4168" w:rsidRPr="00265730">
        <w:rPr>
          <w:color w:val="000000"/>
          <w:szCs w:val="24"/>
          <w:highlight w:val="yellow"/>
        </w:rPr>
        <w:t xml:space="preserve">of Hispanics and other immigrants </w:t>
      </w:r>
      <w:r w:rsidR="00A73F6D" w:rsidRPr="00265730">
        <w:rPr>
          <w:color w:val="000000"/>
          <w:szCs w:val="24"/>
          <w:highlight w:val="yellow"/>
        </w:rPr>
        <w:t xml:space="preserve">to </w:t>
      </w:r>
      <w:r w:rsidR="006F03DE" w:rsidRPr="00265730">
        <w:rPr>
          <w:color w:val="000000"/>
          <w:szCs w:val="24"/>
          <w:highlight w:val="yellow"/>
        </w:rPr>
        <w:t>the U.S</w:t>
      </w:r>
      <w:r w:rsidR="00DF4168" w:rsidRPr="00265730">
        <w:rPr>
          <w:color w:val="000000"/>
          <w:szCs w:val="24"/>
          <w:highlight w:val="yellow"/>
        </w:rPr>
        <w:t xml:space="preserve">. </w:t>
      </w:r>
      <w:r w:rsidR="006F03DE" w:rsidRPr="00265730">
        <w:rPr>
          <w:color w:val="000000"/>
          <w:szCs w:val="24"/>
          <w:highlight w:val="yellow"/>
        </w:rPr>
        <w:t xml:space="preserve">Since these questions are considered very sensitive, the Field Centers’ Advisory Community Boards were consulted on expected obstacles and how to best address them. </w:t>
      </w:r>
      <w:r w:rsidR="00EF75A1" w:rsidRPr="00265730">
        <w:rPr>
          <w:color w:val="000000"/>
          <w:szCs w:val="24"/>
          <w:highlight w:val="yellow"/>
        </w:rPr>
        <w:t xml:space="preserve">Although there is agreement that these questions are of </w:t>
      </w:r>
      <w:r w:rsidR="00A73F6D" w:rsidRPr="00265730">
        <w:rPr>
          <w:color w:val="000000"/>
          <w:szCs w:val="24"/>
          <w:highlight w:val="yellow"/>
        </w:rPr>
        <w:t xml:space="preserve">a </w:t>
      </w:r>
      <w:r w:rsidR="00EF75A1" w:rsidRPr="00265730">
        <w:rPr>
          <w:color w:val="000000"/>
          <w:szCs w:val="24"/>
          <w:highlight w:val="yellow"/>
        </w:rPr>
        <w:t>high</w:t>
      </w:r>
      <w:r w:rsidR="00A73F6D" w:rsidRPr="00265730">
        <w:rPr>
          <w:color w:val="000000"/>
          <w:szCs w:val="24"/>
          <w:highlight w:val="yellow"/>
        </w:rPr>
        <w:t>ly</w:t>
      </w:r>
      <w:r w:rsidR="00EF75A1" w:rsidRPr="00265730">
        <w:rPr>
          <w:color w:val="000000"/>
          <w:szCs w:val="24"/>
          <w:highlight w:val="yellow"/>
        </w:rPr>
        <w:t xml:space="preserve"> sensitive nature, the Advisory Boards and other </w:t>
      </w:r>
      <w:r w:rsidR="00DF4168" w:rsidRPr="00265730">
        <w:rPr>
          <w:color w:val="000000"/>
          <w:szCs w:val="24"/>
          <w:highlight w:val="yellow"/>
        </w:rPr>
        <w:t xml:space="preserve">community representatives </w:t>
      </w:r>
      <w:r w:rsidR="00EF75A1" w:rsidRPr="00265730">
        <w:rPr>
          <w:color w:val="000000"/>
          <w:szCs w:val="24"/>
          <w:highlight w:val="yellow"/>
        </w:rPr>
        <w:t xml:space="preserve">agreed that these are important questions. They recommended making these questions optional, </w:t>
      </w:r>
      <w:r w:rsidR="0048318D" w:rsidRPr="00265730">
        <w:rPr>
          <w:color w:val="000000"/>
          <w:szCs w:val="24"/>
          <w:highlight w:val="yellow"/>
        </w:rPr>
        <w:t>and administering</w:t>
      </w:r>
      <w:r w:rsidR="00EF75A1" w:rsidRPr="00265730">
        <w:rPr>
          <w:color w:val="000000"/>
          <w:szCs w:val="24"/>
          <w:highlight w:val="yellow"/>
        </w:rPr>
        <w:t xml:space="preserve"> them at the end of the examination</w:t>
      </w:r>
      <w:r w:rsidR="0048318D" w:rsidRPr="00265730">
        <w:rPr>
          <w:color w:val="000000"/>
          <w:szCs w:val="24"/>
          <w:highlight w:val="yellow"/>
        </w:rPr>
        <w:t>.</w:t>
      </w:r>
      <w:r w:rsidR="000E3A3F" w:rsidRPr="00265730">
        <w:rPr>
          <w:color w:val="000000"/>
          <w:szCs w:val="24"/>
          <w:highlight w:val="yellow"/>
        </w:rPr>
        <w:t xml:space="preserve"> These questions have been incorporated into the Health Utilization Questionnaire [</w:t>
      </w:r>
      <w:r w:rsidRPr="00265730">
        <w:rPr>
          <w:color w:val="000000"/>
          <w:szCs w:val="24"/>
          <w:highlight w:val="yellow"/>
        </w:rPr>
        <w:t>Appen</w:t>
      </w:r>
      <w:r w:rsidR="003E303A" w:rsidRPr="00265730">
        <w:rPr>
          <w:color w:val="000000"/>
          <w:szCs w:val="24"/>
          <w:highlight w:val="yellow"/>
        </w:rPr>
        <w:t>dix</w:t>
      </w:r>
      <w:r w:rsidRPr="00265730">
        <w:rPr>
          <w:color w:val="000000"/>
          <w:szCs w:val="24"/>
          <w:highlight w:val="yellow"/>
        </w:rPr>
        <w:t xml:space="preserve"> </w:t>
      </w:r>
      <w:r w:rsidR="001917F8" w:rsidRPr="00265730">
        <w:rPr>
          <w:color w:val="000000"/>
          <w:szCs w:val="24"/>
          <w:highlight w:val="yellow"/>
        </w:rPr>
        <w:t>1</w:t>
      </w:r>
      <w:r w:rsidR="00147208">
        <w:rPr>
          <w:color w:val="000000"/>
          <w:szCs w:val="24"/>
          <w:highlight w:val="yellow"/>
        </w:rPr>
        <w:t>4</w:t>
      </w:r>
      <w:r w:rsidR="000E3A3F" w:rsidRPr="00265730">
        <w:rPr>
          <w:color w:val="000000"/>
          <w:szCs w:val="24"/>
          <w:highlight w:val="yellow"/>
        </w:rPr>
        <w:t>]. Interviewers will be trained on addressing these questions in the most respectful manner and clearly explaining to participants that their responding is voluntary.</w:t>
      </w:r>
      <w:r w:rsidR="000E3A3F">
        <w:rPr>
          <w:color w:val="000000"/>
          <w:szCs w:val="24"/>
        </w:rPr>
        <w:t xml:space="preserve"> </w:t>
      </w:r>
    </w:p>
    <w:p w14:paraId="2C996EE2" w14:textId="77777777" w:rsidR="006C04E5" w:rsidRDefault="006C04E5"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hanging="630"/>
        <w:rPr>
          <w:u w:val="single"/>
        </w:rPr>
      </w:pPr>
    </w:p>
    <w:p w14:paraId="6B26A939" w14:textId="58E69969" w:rsidR="001E7A06" w:rsidRPr="006C04E5" w:rsidRDefault="001E7A06"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hanging="630"/>
        <w:jc w:val="center"/>
        <w:rPr>
          <w:b/>
        </w:rPr>
      </w:pPr>
      <w:r w:rsidRPr="006C04E5">
        <w:rPr>
          <w:b/>
        </w:rPr>
        <w:t xml:space="preserve">A.12.   Estimates of Hour Burden </w:t>
      </w:r>
    </w:p>
    <w:p w14:paraId="61F57B0D" w14:textId="2451720E" w:rsidR="00107112" w:rsidRDefault="002A6192" w:rsidP="00D34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pPr>
      <w:r>
        <w:tab/>
        <w:t xml:space="preserve">The estimates for procedure and interview burden </w:t>
      </w:r>
      <w:r w:rsidR="00107112">
        <w:t>[Tables A.12</w:t>
      </w:r>
      <w:r w:rsidR="00016BDA">
        <w:t>.</w:t>
      </w:r>
      <w:r w:rsidR="00107112">
        <w:t>1 and A.12</w:t>
      </w:r>
      <w:r w:rsidR="00016BDA">
        <w:t>.</w:t>
      </w:r>
      <w:r w:rsidR="00107112">
        <w:t xml:space="preserve">2] </w:t>
      </w:r>
      <w:r>
        <w:t xml:space="preserve">are based on </w:t>
      </w:r>
      <w:r w:rsidR="0072387B">
        <w:t>the experience during the baseline examination, previous experience in prior studies</w:t>
      </w:r>
      <w:r>
        <w:t xml:space="preserve"> using </w:t>
      </w:r>
      <w:r w:rsidR="00A73F6D">
        <w:lastRenderedPageBreak/>
        <w:t>similar protocols</w:t>
      </w:r>
      <w:r>
        <w:t>, and on staff volunteers pre-testing interview forms</w:t>
      </w:r>
      <w:r w:rsidR="00107112">
        <w:t>.</w:t>
      </w:r>
      <w:r w:rsidR="0072387B">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4"/>
        <w:gridCol w:w="3184"/>
        <w:gridCol w:w="990"/>
        <w:gridCol w:w="1170"/>
        <w:gridCol w:w="1350"/>
        <w:gridCol w:w="1350"/>
      </w:tblGrid>
      <w:tr w:rsidR="00B2609F" w:rsidRPr="00B2609F" w14:paraId="0A4C1405" w14:textId="77777777" w:rsidTr="00B2609F">
        <w:trPr>
          <w:trHeight w:val="705"/>
        </w:trPr>
        <w:tc>
          <w:tcPr>
            <w:tcW w:w="9378" w:type="dxa"/>
            <w:gridSpan w:val="6"/>
          </w:tcPr>
          <w:p w14:paraId="20BBF4A5" w14:textId="77777777" w:rsidR="00B2609F" w:rsidRPr="00B2609F" w:rsidRDefault="00B2609F" w:rsidP="00B2609F">
            <w:pPr>
              <w:jc w:val="center"/>
              <w:rPr>
                <w:smallCaps/>
                <w:highlight w:val="yellow"/>
              </w:rPr>
            </w:pPr>
            <w:r w:rsidRPr="00B2609F">
              <w:rPr>
                <w:smallCaps/>
                <w:highlight w:val="yellow"/>
              </w:rPr>
              <w:t>A.12.1 Estimates of Hour Burden</w:t>
            </w:r>
          </w:p>
          <w:p w14:paraId="65A51CBB" w14:textId="77777777" w:rsidR="00B2609F" w:rsidRPr="00B2609F" w:rsidRDefault="00B2609F" w:rsidP="00B2609F">
            <w:pPr>
              <w:jc w:val="center"/>
              <w:rPr>
                <w:sz w:val="18"/>
                <w:szCs w:val="18"/>
                <w:highlight w:val="yellow"/>
              </w:rPr>
            </w:pPr>
            <w:r w:rsidRPr="00B2609F">
              <w:rPr>
                <w:smallCaps/>
                <w:highlight w:val="yellow"/>
              </w:rPr>
              <w:t>(Appendices 11, 14 and 15)</w:t>
            </w:r>
          </w:p>
        </w:tc>
      </w:tr>
      <w:tr w:rsidR="00B2609F" w:rsidRPr="00B2609F" w14:paraId="038B8C32" w14:textId="77777777" w:rsidTr="00366CC0">
        <w:tblPrEx>
          <w:tblLook w:val="01E0" w:firstRow="1" w:lastRow="1" w:firstColumn="1" w:lastColumn="1" w:noHBand="0" w:noVBand="0"/>
        </w:tblPrEx>
        <w:tc>
          <w:tcPr>
            <w:tcW w:w="1334" w:type="dxa"/>
            <w:vAlign w:val="center"/>
          </w:tcPr>
          <w:p w14:paraId="23A8AE61" w14:textId="77777777" w:rsidR="00B2609F" w:rsidRPr="00B2609F" w:rsidRDefault="00B2609F" w:rsidP="00B2609F">
            <w:pPr>
              <w:jc w:val="center"/>
              <w:rPr>
                <w:sz w:val="18"/>
                <w:szCs w:val="18"/>
                <w:highlight w:val="yellow"/>
              </w:rPr>
            </w:pPr>
            <w:r w:rsidRPr="00B2609F">
              <w:rPr>
                <w:sz w:val="18"/>
                <w:szCs w:val="18"/>
                <w:highlight w:val="yellow"/>
              </w:rPr>
              <w:t>Type of Respondents</w:t>
            </w:r>
          </w:p>
        </w:tc>
        <w:tc>
          <w:tcPr>
            <w:tcW w:w="3184" w:type="dxa"/>
            <w:shd w:val="clear" w:color="auto" w:fill="auto"/>
            <w:vAlign w:val="center"/>
          </w:tcPr>
          <w:p w14:paraId="1936794F" w14:textId="77777777" w:rsidR="00B2609F" w:rsidRPr="00B2609F" w:rsidRDefault="00B2609F" w:rsidP="00B2609F">
            <w:pPr>
              <w:jc w:val="center"/>
              <w:rPr>
                <w:sz w:val="18"/>
                <w:szCs w:val="18"/>
                <w:highlight w:val="yellow"/>
              </w:rPr>
            </w:pPr>
            <w:r w:rsidRPr="00B2609F">
              <w:rPr>
                <w:sz w:val="18"/>
                <w:szCs w:val="18"/>
                <w:highlight w:val="yellow"/>
              </w:rPr>
              <w:t>Survey Instrument</w:t>
            </w:r>
          </w:p>
        </w:tc>
        <w:tc>
          <w:tcPr>
            <w:tcW w:w="990" w:type="dxa"/>
            <w:shd w:val="clear" w:color="auto" w:fill="auto"/>
            <w:vAlign w:val="center"/>
          </w:tcPr>
          <w:p w14:paraId="59D89CC5" w14:textId="77777777" w:rsidR="00B2609F" w:rsidRPr="00B2609F" w:rsidRDefault="00B2609F" w:rsidP="00B2609F">
            <w:pPr>
              <w:jc w:val="center"/>
              <w:rPr>
                <w:sz w:val="18"/>
                <w:szCs w:val="18"/>
                <w:highlight w:val="yellow"/>
              </w:rPr>
            </w:pPr>
            <w:r w:rsidRPr="00B2609F">
              <w:rPr>
                <w:sz w:val="18"/>
                <w:szCs w:val="18"/>
                <w:highlight w:val="yellow"/>
              </w:rPr>
              <w:t>Number of Respondents</w:t>
            </w:r>
          </w:p>
        </w:tc>
        <w:tc>
          <w:tcPr>
            <w:tcW w:w="1170" w:type="dxa"/>
            <w:shd w:val="clear" w:color="auto" w:fill="auto"/>
            <w:vAlign w:val="center"/>
          </w:tcPr>
          <w:p w14:paraId="66031FEF" w14:textId="77777777" w:rsidR="00B2609F" w:rsidRPr="00B2609F" w:rsidRDefault="00B2609F" w:rsidP="00B2609F">
            <w:pPr>
              <w:jc w:val="center"/>
              <w:rPr>
                <w:sz w:val="18"/>
                <w:szCs w:val="18"/>
                <w:highlight w:val="yellow"/>
              </w:rPr>
            </w:pPr>
            <w:r w:rsidRPr="00B2609F">
              <w:rPr>
                <w:sz w:val="18"/>
                <w:szCs w:val="18"/>
                <w:highlight w:val="yellow"/>
              </w:rPr>
              <w:t>Number of Responses Per Respondent</w:t>
            </w:r>
          </w:p>
        </w:tc>
        <w:tc>
          <w:tcPr>
            <w:tcW w:w="1350" w:type="dxa"/>
            <w:shd w:val="clear" w:color="auto" w:fill="auto"/>
            <w:vAlign w:val="center"/>
          </w:tcPr>
          <w:p w14:paraId="20ED0305" w14:textId="77777777" w:rsidR="00B2609F" w:rsidRPr="00B2609F" w:rsidRDefault="00B2609F" w:rsidP="00B2609F">
            <w:pPr>
              <w:pStyle w:val="a"/>
              <w:tabs>
                <w:tab w:val="left" w:pos="1134"/>
              </w:tabs>
              <w:ind w:left="0" w:right="0" w:hanging="18"/>
              <w:jc w:val="center"/>
              <w:rPr>
                <w:sz w:val="18"/>
                <w:szCs w:val="18"/>
                <w:highlight w:val="yellow"/>
              </w:rPr>
            </w:pPr>
            <w:r w:rsidRPr="00B2609F">
              <w:rPr>
                <w:sz w:val="18"/>
                <w:szCs w:val="18"/>
                <w:highlight w:val="yellow"/>
              </w:rPr>
              <w:t>Average Time per Response (in hours)</w:t>
            </w:r>
          </w:p>
        </w:tc>
        <w:tc>
          <w:tcPr>
            <w:tcW w:w="1350" w:type="dxa"/>
            <w:shd w:val="clear" w:color="auto" w:fill="auto"/>
            <w:vAlign w:val="center"/>
          </w:tcPr>
          <w:p w14:paraId="3F999F92" w14:textId="77777777" w:rsidR="00B2609F" w:rsidRPr="00B2609F" w:rsidRDefault="00B2609F" w:rsidP="00B2609F">
            <w:pPr>
              <w:jc w:val="center"/>
              <w:rPr>
                <w:sz w:val="18"/>
                <w:szCs w:val="18"/>
                <w:highlight w:val="yellow"/>
              </w:rPr>
            </w:pPr>
            <w:r w:rsidRPr="00B2609F">
              <w:rPr>
                <w:sz w:val="18"/>
                <w:szCs w:val="18"/>
                <w:highlight w:val="yellow"/>
              </w:rPr>
              <w:t>Total Burden Hours</w:t>
            </w:r>
          </w:p>
        </w:tc>
      </w:tr>
      <w:tr w:rsidR="00B2609F" w:rsidRPr="00B2609F" w14:paraId="0D3DE74C" w14:textId="77777777" w:rsidTr="00366CC0">
        <w:tblPrEx>
          <w:tblLook w:val="01E0" w:firstRow="1" w:lastRow="1" w:firstColumn="1" w:lastColumn="1" w:noHBand="0" w:noVBand="0"/>
        </w:tblPrEx>
        <w:tc>
          <w:tcPr>
            <w:tcW w:w="1334" w:type="dxa"/>
            <w:vMerge w:val="restart"/>
            <w:vAlign w:val="center"/>
          </w:tcPr>
          <w:p w14:paraId="1B8DF9B6" w14:textId="77777777" w:rsidR="00B2609F" w:rsidRPr="00B2609F" w:rsidRDefault="00B2609F" w:rsidP="00B2609F">
            <w:pPr>
              <w:jc w:val="center"/>
              <w:rPr>
                <w:sz w:val="18"/>
                <w:szCs w:val="18"/>
                <w:highlight w:val="yellow"/>
              </w:rPr>
            </w:pPr>
            <w:r w:rsidRPr="00B2609F">
              <w:rPr>
                <w:sz w:val="18"/>
                <w:szCs w:val="18"/>
                <w:highlight w:val="yellow"/>
              </w:rPr>
              <w:t>Participants</w:t>
            </w:r>
          </w:p>
          <w:p w14:paraId="30B180A7" w14:textId="77777777" w:rsidR="00B2609F" w:rsidRPr="00B2609F" w:rsidRDefault="00B2609F" w:rsidP="00B2609F">
            <w:pPr>
              <w:jc w:val="center"/>
              <w:rPr>
                <w:sz w:val="18"/>
                <w:szCs w:val="18"/>
                <w:highlight w:val="yellow"/>
              </w:rPr>
            </w:pPr>
            <w:r w:rsidRPr="00B2609F">
              <w:rPr>
                <w:sz w:val="18"/>
                <w:szCs w:val="18"/>
                <w:highlight w:val="yellow"/>
              </w:rPr>
              <w:t>Visit 2</w:t>
            </w:r>
          </w:p>
          <w:p w14:paraId="24A14FBA" w14:textId="77777777" w:rsidR="00B2609F" w:rsidRPr="00B2609F" w:rsidRDefault="00B2609F" w:rsidP="00B2609F">
            <w:pPr>
              <w:jc w:val="center"/>
              <w:rPr>
                <w:sz w:val="18"/>
                <w:szCs w:val="18"/>
                <w:highlight w:val="yellow"/>
              </w:rPr>
            </w:pPr>
            <w:r w:rsidRPr="00B2609F">
              <w:rPr>
                <w:sz w:val="18"/>
                <w:szCs w:val="18"/>
                <w:highlight w:val="yellow"/>
              </w:rPr>
              <w:t>Examination</w:t>
            </w:r>
          </w:p>
          <w:p w14:paraId="5B7C49DE" w14:textId="77777777" w:rsidR="00B2609F" w:rsidRPr="00B2609F" w:rsidRDefault="00B2609F" w:rsidP="00B2609F">
            <w:pPr>
              <w:jc w:val="center"/>
              <w:rPr>
                <w:rFonts w:asciiTheme="minorHAnsi" w:hAnsiTheme="minorHAnsi"/>
                <w:sz w:val="18"/>
                <w:szCs w:val="18"/>
                <w:highlight w:val="yellow"/>
              </w:rPr>
            </w:pPr>
            <w:r w:rsidRPr="00B2609F">
              <w:rPr>
                <w:sz w:val="18"/>
                <w:szCs w:val="18"/>
                <w:highlight w:val="yellow"/>
              </w:rPr>
              <w:t>(Appendices 11 and 14)</w:t>
            </w:r>
          </w:p>
        </w:tc>
        <w:tc>
          <w:tcPr>
            <w:tcW w:w="3184" w:type="dxa"/>
            <w:shd w:val="clear" w:color="auto" w:fill="auto"/>
          </w:tcPr>
          <w:p w14:paraId="4A2AA56F" w14:textId="7BADADB7"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Pre-visit scheduling &amp; safety screening</w:t>
            </w:r>
            <w:r w:rsidR="00366CC0">
              <w:rPr>
                <w:rFonts w:asciiTheme="minorHAnsi" w:hAnsiTheme="minorHAnsi"/>
                <w:sz w:val="18"/>
                <w:szCs w:val="18"/>
                <w:highlight w:val="yellow"/>
              </w:rPr>
              <w:t xml:space="preserve"> (Appendix 14 -Procedures-ELE bilingual)</w:t>
            </w:r>
          </w:p>
        </w:tc>
        <w:tc>
          <w:tcPr>
            <w:tcW w:w="990" w:type="dxa"/>
            <w:shd w:val="clear" w:color="auto" w:fill="auto"/>
          </w:tcPr>
          <w:p w14:paraId="611980B8"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2A6BF42D"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0A833A51"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2/60</w:t>
            </w:r>
          </w:p>
        </w:tc>
        <w:tc>
          <w:tcPr>
            <w:tcW w:w="1350" w:type="dxa"/>
            <w:shd w:val="clear" w:color="auto" w:fill="auto"/>
            <w:vAlign w:val="center"/>
          </w:tcPr>
          <w:p w14:paraId="6760F257"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463</w:t>
            </w:r>
          </w:p>
        </w:tc>
      </w:tr>
      <w:tr w:rsidR="00B2609F" w:rsidRPr="00B2609F" w14:paraId="171AFA53" w14:textId="77777777" w:rsidTr="00366CC0">
        <w:tblPrEx>
          <w:tblLook w:val="01E0" w:firstRow="1" w:lastRow="1" w:firstColumn="1" w:lastColumn="1" w:noHBand="0" w:noVBand="0"/>
        </w:tblPrEx>
        <w:tc>
          <w:tcPr>
            <w:tcW w:w="1334" w:type="dxa"/>
            <w:vMerge/>
            <w:vAlign w:val="center"/>
          </w:tcPr>
          <w:p w14:paraId="1ADF1379" w14:textId="77777777" w:rsidR="00B2609F" w:rsidRPr="00B2609F" w:rsidRDefault="00B2609F" w:rsidP="00B2609F">
            <w:pPr>
              <w:jc w:val="center"/>
              <w:rPr>
                <w:rFonts w:asciiTheme="minorHAnsi" w:hAnsiTheme="minorHAnsi"/>
                <w:sz w:val="18"/>
                <w:szCs w:val="18"/>
                <w:highlight w:val="yellow"/>
              </w:rPr>
            </w:pPr>
          </w:p>
        </w:tc>
        <w:tc>
          <w:tcPr>
            <w:tcW w:w="3184" w:type="dxa"/>
            <w:shd w:val="clear" w:color="auto" w:fill="auto"/>
          </w:tcPr>
          <w:p w14:paraId="7AFAB9A8" w14:textId="77777777"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Reception, informed consent (Appendix 11), medical releases</w:t>
            </w:r>
          </w:p>
        </w:tc>
        <w:tc>
          <w:tcPr>
            <w:tcW w:w="990" w:type="dxa"/>
            <w:shd w:val="clear" w:color="auto" w:fill="auto"/>
          </w:tcPr>
          <w:p w14:paraId="7FB164C7"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53742525"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29C1EA37"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20/60</w:t>
            </w:r>
          </w:p>
        </w:tc>
        <w:tc>
          <w:tcPr>
            <w:tcW w:w="1350" w:type="dxa"/>
            <w:shd w:val="clear" w:color="auto" w:fill="auto"/>
            <w:vAlign w:val="center"/>
          </w:tcPr>
          <w:p w14:paraId="0F42F76E"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4626</w:t>
            </w:r>
          </w:p>
        </w:tc>
      </w:tr>
      <w:tr w:rsidR="00B2609F" w:rsidRPr="00B2609F" w14:paraId="57151B50" w14:textId="77777777" w:rsidTr="00366CC0">
        <w:tblPrEx>
          <w:tblLook w:val="01E0" w:firstRow="1" w:lastRow="1" w:firstColumn="1" w:lastColumn="1" w:noHBand="0" w:noVBand="0"/>
        </w:tblPrEx>
        <w:tc>
          <w:tcPr>
            <w:tcW w:w="1334" w:type="dxa"/>
            <w:vMerge/>
          </w:tcPr>
          <w:p w14:paraId="010200F2" w14:textId="77777777" w:rsidR="00B2609F" w:rsidRPr="00B2609F" w:rsidRDefault="00B2609F" w:rsidP="00B2609F">
            <w:pPr>
              <w:rPr>
                <w:rFonts w:asciiTheme="minorHAnsi" w:hAnsiTheme="minorHAnsi"/>
                <w:sz w:val="18"/>
                <w:szCs w:val="18"/>
                <w:highlight w:val="yellow"/>
              </w:rPr>
            </w:pPr>
          </w:p>
        </w:tc>
        <w:tc>
          <w:tcPr>
            <w:tcW w:w="3184" w:type="dxa"/>
            <w:shd w:val="clear" w:color="auto" w:fill="auto"/>
          </w:tcPr>
          <w:p w14:paraId="44EAFFA2" w14:textId="77777777"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Ppt. disability screening</w:t>
            </w:r>
          </w:p>
        </w:tc>
        <w:tc>
          <w:tcPr>
            <w:tcW w:w="990" w:type="dxa"/>
            <w:shd w:val="clear" w:color="auto" w:fill="auto"/>
          </w:tcPr>
          <w:p w14:paraId="065DBAC7"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54D329D3"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43F87312"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4/60</w:t>
            </w:r>
          </w:p>
        </w:tc>
        <w:tc>
          <w:tcPr>
            <w:tcW w:w="1350" w:type="dxa"/>
            <w:shd w:val="clear" w:color="auto" w:fill="auto"/>
            <w:vAlign w:val="center"/>
          </w:tcPr>
          <w:p w14:paraId="2D635733"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925</w:t>
            </w:r>
          </w:p>
        </w:tc>
      </w:tr>
      <w:tr w:rsidR="00B2609F" w:rsidRPr="00B2609F" w14:paraId="5E16D431" w14:textId="77777777" w:rsidTr="00366CC0">
        <w:tblPrEx>
          <w:tblLook w:val="01E0" w:firstRow="1" w:lastRow="1" w:firstColumn="1" w:lastColumn="1" w:noHBand="0" w:noVBand="0"/>
        </w:tblPrEx>
        <w:tc>
          <w:tcPr>
            <w:tcW w:w="1334" w:type="dxa"/>
            <w:vMerge/>
          </w:tcPr>
          <w:p w14:paraId="5FC5B975" w14:textId="77777777" w:rsidR="00B2609F" w:rsidRPr="00B2609F" w:rsidRDefault="00B2609F" w:rsidP="00B2609F">
            <w:pPr>
              <w:rPr>
                <w:rFonts w:asciiTheme="minorHAnsi" w:hAnsiTheme="minorHAnsi"/>
                <w:sz w:val="18"/>
                <w:szCs w:val="18"/>
                <w:highlight w:val="yellow"/>
              </w:rPr>
            </w:pPr>
          </w:p>
        </w:tc>
        <w:tc>
          <w:tcPr>
            <w:tcW w:w="3184" w:type="dxa"/>
            <w:shd w:val="clear" w:color="auto" w:fill="auto"/>
          </w:tcPr>
          <w:p w14:paraId="3F689ED6" w14:textId="50EE3725"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Ppt. safety update and routing</w:t>
            </w:r>
            <w:r w:rsidR="00366CC0">
              <w:rPr>
                <w:rFonts w:asciiTheme="minorHAnsi" w:hAnsiTheme="minorHAnsi"/>
                <w:sz w:val="18"/>
                <w:szCs w:val="18"/>
                <w:highlight w:val="yellow"/>
              </w:rPr>
              <w:t xml:space="preserve"> (Appendix 14 -Procedures-PSE bilingual)</w:t>
            </w:r>
          </w:p>
        </w:tc>
        <w:tc>
          <w:tcPr>
            <w:tcW w:w="990" w:type="dxa"/>
            <w:shd w:val="clear" w:color="auto" w:fill="auto"/>
          </w:tcPr>
          <w:p w14:paraId="2BA24FB6"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0CD8B60A"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70CC4498"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2/60</w:t>
            </w:r>
          </w:p>
        </w:tc>
        <w:tc>
          <w:tcPr>
            <w:tcW w:w="1350" w:type="dxa"/>
            <w:shd w:val="clear" w:color="auto" w:fill="auto"/>
            <w:vAlign w:val="center"/>
          </w:tcPr>
          <w:p w14:paraId="67706670"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463</w:t>
            </w:r>
          </w:p>
        </w:tc>
      </w:tr>
      <w:tr w:rsidR="00B2609F" w:rsidRPr="00B2609F" w14:paraId="05EBD8E2" w14:textId="77777777" w:rsidTr="00366CC0">
        <w:tblPrEx>
          <w:tblLook w:val="01E0" w:firstRow="1" w:lastRow="1" w:firstColumn="1" w:lastColumn="1" w:noHBand="0" w:noVBand="0"/>
        </w:tblPrEx>
        <w:tc>
          <w:tcPr>
            <w:tcW w:w="1334" w:type="dxa"/>
            <w:vMerge/>
          </w:tcPr>
          <w:p w14:paraId="2CD73F28" w14:textId="77777777" w:rsidR="00B2609F" w:rsidRPr="00B2609F" w:rsidRDefault="00B2609F" w:rsidP="00B2609F">
            <w:pPr>
              <w:rPr>
                <w:rFonts w:asciiTheme="minorHAnsi" w:hAnsiTheme="minorHAnsi"/>
                <w:sz w:val="18"/>
                <w:szCs w:val="18"/>
                <w:highlight w:val="yellow"/>
              </w:rPr>
            </w:pPr>
          </w:p>
        </w:tc>
        <w:tc>
          <w:tcPr>
            <w:tcW w:w="3184" w:type="dxa"/>
            <w:shd w:val="clear" w:color="auto" w:fill="auto"/>
          </w:tcPr>
          <w:p w14:paraId="589EB5D3" w14:textId="71B52C19"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Change clothes, urine specimen</w:t>
            </w:r>
            <w:r w:rsidR="00366CC0">
              <w:rPr>
                <w:rFonts w:asciiTheme="minorHAnsi" w:hAnsiTheme="minorHAnsi"/>
                <w:sz w:val="18"/>
                <w:szCs w:val="18"/>
                <w:highlight w:val="yellow"/>
              </w:rPr>
              <w:t xml:space="preserve"> (Appendix 14-Procedures-BIO)*</w:t>
            </w:r>
          </w:p>
        </w:tc>
        <w:tc>
          <w:tcPr>
            <w:tcW w:w="990" w:type="dxa"/>
            <w:shd w:val="clear" w:color="auto" w:fill="auto"/>
          </w:tcPr>
          <w:p w14:paraId="5BB246C1"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6151318E"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02E6ED74"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10/60</w:t>
            </w:r>
          </w:p>
        </w:tc>
        <w:tc>
          <w:tcPr>
            <w:tcW w:w="1350" w:type="dxa"/>
            <w:shd w:val="clear" w:color="auto" w:fill="auto"/>
            <w:vAlign w:val="center"/>
          </w:tcPr>
          <w:p w14:paraId="70303EF3"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2313</w:t>
            </w:r>
          </w:p>
        </w:tc>
      </w:tr>
      <w:tr w:rsidR="00B2609F" w:rsidRPr="00B2609F" w14:paraId="5BF70F46" w14:textId="77777777" w:rsidTr="00366CC0">
        <w:tblPrEx>
          <w:tblLook w:val="01E0" w:firstRow="1" w:lastRow="1" w:firstColumn="1" w:lastColumn="1" w:noHBand="0" w:noVBand="0"/>
        </w:tblPrEx>
        <w:tc>
          <w:tcPr>
            <w:tcW w:w="1334" w:type="dxa"/>
            <w:vMerge/>
          </w:tcPr>
          <w:p w14:paraId="43EC1005" w14:textId="77777777" w:rsidR="00B2609F" w:rsidRPr="00B2609F" w:rsidRDefault="00B2609F" w:rsidP="00B2609F">
            <w:pPr>
              <w:rPr>
                <w:rFonts w:asciiTheme="minorHAnsi" w:hAnsiTheme="minorHAnsi"/>
                <w:sz w:val="18"/>
                <w:szCs w:val="18"/>
                <w:highlight w:val="yellow"/>
              </w:rPr>
            </w:pPr>
          </w:p>
        </w:tc>
        <w:tc>
          <w:tcPr>
            <w:tcW w:w="3184" w:type="dxa"/>
            <w:shd w:val="clear" w:color="auto" w:fill="auto"/>
          </w:tcPr>
          <w:p w14:paraId="522F7951" w14:textId="77777777"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 xml:space="preserve">Updated personal information </w:t>
            </w:r>
          </w:p>
        </w:tc>
        <w:tc>
          <w:tcPr>
            <w:tcW w:w="990" w:type="dxa"/>
            <w:shd w:val="clear" w:color="auto" w:fill="auto"/>
          </w:tcPr>
          <w:p w14:paraId="024DE8AE"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01E3FCEF"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226B0644"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5/60</w:t>
            </w:r>
          </w:p>
        </w:tc>
        <w:tc>
          <w:tcPr>
            <w:tcW w:w="1350" w:type="dxa"/>
            <w:shd w:val="clear" w:color="auto" w:fill="auto"/>
            <w:vAlign w:val="center"/>
          </w:tcPr>
          <w:p w14:paraId="7EDC13F8"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1157</w:t>
            </w:r>
          </w:p>
        </w:tc>
      </w:tr>
      <w:tr w:rsidR="00B2609F" w:rsidRPr="00B2609F" w14:paraId="0AE3CFB8" w14:textId="77777777" w:rsidTr="00366CC0">
        <w:tblPrEx>
          <w:tblLook w:val="01E0" w:firstRow="1" w:lastRow="1" w:firstColumn="1" w:lastColumn="1" w:noHBand="0" w:noVBand="0"/>
        </w:tblPrEx>
        <w:tc>
          <w:tcPr>
            <w:tcW w:w="1334" w:type="dxa"/>
            <w:vMerge/>
          </w:tcPr>
          <w:p w14:paraId="3011C5C6" w14:textId="77777777" w:rsidR="00B2609F" w:rsidRPr="00B2609F" w:rsidRDefault="00B2609F" w:rsidP="00B2609F">
            <w:pPr>
              <w:rPr>
                <w:rFonts w:asciiTheme="minorHAnsi" w:hAnsiTheme="minorHAnsi"/>
                <w:sz w:val="18"/>
                <w:szCs w:val="18"/>
                <w:highlight w:val="yellow"/>
              </w:rPr>
            </w:pPr>
          </w:p>
        </w:tc>
        <w:tc>
          <w:tcPr>
            <w:tcW w:w="3184" w:type="dxa"/>
            <w:shd w:val="clear" w:color="auto" w:fill="auto"/>
          </w:tcPr>
          <w:p w14:paraId="34DD1280" w14:textId="77777777"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Anthropometry</w:t>
            </w:r>
          </w:p>
        </w:tc>
        <w:tc>
          <w:tcPr>
            <w:tcW w:w="990" w:type="dxa"/>
            <w:shd w:val="clear" w:color="auto" w:fill="auto"/>
          </w:tcPr>
          <w:p w14:paraId="201B7C9D"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59884AC8"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5CA9B9E4"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7/60</w:t>
            </w:r>
          </w:p>
        </w:tc>
        <w:tc>
          <w:tcPr>
            <w:tcW w:w="1350" w:type="dxa"/>
            <w:shd w:val="clear" w:color="auto" w:fill="auto"/>
            <w:vAlign w:val="center"/>
          </w:tcPr>
          <w:p w14:paraId="764D347E"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1619</w:t>
            </w:r>
          </w:p>
        </w:tc>
      </w:tr>
      <w:tr w:rsidR="00B2609F" w:rsidRPr="00B2609F" w14:paraId="28C22113" w14:textId="77777777" w:rsidTr="00366CC0">
        <w:tblPrEx>
          <w:tblLook w:val="01E0" w:firstRow="1" w:lastRow="1" w:firstColumn="1" w:lastColumn="1" w:noHBand="0" w:noVBand="0"/>
        </w:tblPrEx>
        <w:tc>
          <w:tcPr>
            <w:tcW w:w="1334" w:type="dxa"/>
            <w:vMerge/>
          </w:tcPr>
          <w:p w14:paraId="60A488C1" w14:textId="77777777" w:rsidR="00B2609F" w:rsidRPr="00B2609F" w:rsidRDefault="00B2609F" w:rsidP="00B2609F">
            <w:pPr>
              <w:rPr>
                <w:rFonts w:asciiTheme="minorHAnsi" w:hAnsiTheme="minorHAnsi"/>
                <w:sz w:val="18"/>
                <w:szCs w:val="18"/>
                <w:highlight w:val="yellow"/>
              </w:rPr>
            </w:pPr>
          </w:p>
        </w:tc>
        <w:tc>
          <w:tcPr>
            <w:tcW w:w="3184" w:type="dxa"/>
            <w:shd w:val="clear" w:color="auto" w:fill="auto"/>
          </w:tcPr>
          <w:p w14:paraId="231F35D2" w14:textId="4E69A93A"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Determination of fasting &amp; blood draw</w:t>
            </w:r>
            <w:r w:rsidR="00366CC0">
              <w:rPr>
                <w:rFonts w:asciiTheme="minorHAnsi" w:hAnsiTheme="minorHAnsi"/>
                <w:sz w:val="18"/>
                <w:szCs w:val="18"/>
                <w:highlight w:val="yellow"/>
              </w:rPr>
              <w:t xml:space="preserve"> (Appendix 14-Procedures-BIO)*</w:t>
            </w:r>
          </w:p>
        </w:tc>
        <w:tc>
          <w:tcPr>
            <w:tcW w:w="990" w:type="dxa"/>
            <w:shd w:val="clear" w:color="auto" w:fill="auto"/>
          </w:tcPr>
          <w:p w14:paraId="7F608DBB"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362A33F9"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0C18A6A9"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11/60</w:t>
            </w:r>
          </w:p>
        </w:tc>
        <w:tc>
          <w:tcPr>
            <w:tcW w:w="1350" w:type="dxa"/>
            <w:shd w:val="clear" w:color="auto" w:fill="auto"/>
            <w:vAlign w:val="center"/>
          </w:tcPr>
          <w:p w14:paraId="28BE54A6"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2544</w:t>
            </w:r>
          </w:p>
        </w:tc>
      </w:tr>
      <w:tr w:rsidR="00B2609F" w:rsidRPr="00B2609F" w:rsidDel="008D335B" w14:paraId="5ECA9B46" w14:textId="77777777" w:rsidTr="00366CC0">
        <w:tblPrEx>
          <w:tblLook w:val="01E0" w:firstRow="1" w:lastRow="1" w:firstColumn="1" w:lastColumn="1" w:noHBand="0" w:noVBand="0"/>
        </w:tblPrEx>
        <w:tc>
          <w:tcPr>
            <w:tcW w:w="1334" w:type="dxa"/>
            <w:vMerge/>
          </w:tcPr>
          <w:p w14:paraId="3A7B954B" w14:textId="77777777" w:rsidR="00B2609F" w:rsidRPr="00B2609F" w:rsidRDefault="00B2609F" w:rsidP="00B2609F">
            <w:pPr>
              <w:rPr>
                <w:rFonts w:asciiTheme="minorHAnsi" w:hAnsiTheme="minorHAnsi"/>
                <w:sz w:val="18"/>
                <w:szCs w:val="18"/>
                <w:highlight w:val="yellow"/>
              </w:rPr>
            </w:pPr>
          </w:p>
        </w:tc>
        <w:tc>
          <w:tcPr>
            <w:tcW w:w="3184" w:type="dxa"/>
            <w:shd w:val="clear" w:color="auto" w:fill="auto"/>
          </w:tcPr>
          <w:p w14:paraId="321B2B59" w14:textId="468DF05C" w:rsidR="00B2609F" w:rsidRPr="00B2609F" w:rsidRDefault="00B2609F" w:rsidP="00B2609F">
            <w:pPr>
              <w:rPr>
                <w:rFonts w:asciiTheme="minorHAnsi" w:hAnsiTheme="minorHAnsi"/>
                <w:sz w:val="18"/>
                <w:szCs w:val="18"/>
                <w:highlight w:val="yellow"/>
              </w:rPr>
            </w:pPr>
            <w:r w:rsidRPr="00B2609F">
              <w:rPr>
                <w:rFonts w:asciiTheme="minorHAnsi" w:hAnsiTheme="minorHAnsi"/>
                <w:sz w:val="18"/>
                <w:szCs w:val="18"/>
                <w:highlight w:val="yellow"/>
              </w:rPr>
              <w:t>Determination of blood glucose, OGTT</w:t>
            </w:r>
            <w:r w:rsidR="00366CC0">
              <w:rPr>
                <w:rFonts w:asciiTheme="minorHAnsi" w:hAnsiTheme="minorHAnsi"/>
                <w:sz w:val="18"/>
                <w:szCs w:val="18"/>
                <w:highlight w:val="yellow"/>
              </w:rPr>
              <w:t xml:space="preserve"> (Appendix 14-Procedures-BIO)*</w:t>
            </w:r>
          </w:p>
        </w:tc>
        <w:tc>
          <w:tcPr>
            <w:tcW w:w="990" w:type="dxa"/>
            <w:shd w:val="clear" w:color="auto" w:fill="auto"/>
          </w:tcPr>
          <w:p w14:paraId="575ACBA6"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514382BC"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25FB4190"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6/60</w:t>
            </w:r>
          </w:p>
        </w:tc>
        <w:tc>
          <w:tcPr>
            <w:tcW w:w="1350" w:type="dxa"/>
            <w:shd w:val="clear" w:color="auto" w:fill="auto"/>
            <w:vAlign w:val="center"/>
          </w:tcPr>
          <w:p w14:paraId="330EEDEE"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1388</w:t>
            </w:r>
          </w:p>
        </w:tc>
      </w:tr>
      <w:tr w:rsidR="00B2609F" w:rsidRPr="00B2609F" w14:paraId="37F29ACD" w14:textId="77777777" w:rsidTr="00366CC0">
        <w:tblPrEx>
          <w:tblLook w:val="01E0" w:firstRow="1" w:lastRow="1" w:firstColumn="1" w:lastColumn="1" w:noHBand="0" w:noVBand="0"/>
        </w:tblPrEx>
        <w:tc>
          <w:tcPr>
            <w:tcW w:w="1334" w:type="dxa"/>
            <w:vMerge/>
          </w:tcPr>
          <w:p w14:paraId="1DB3C824"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1511BC49" w14:textId="77777777" w:rsidR="00B2609F" w:rsidRPr="00B2609F" w:rsidRDefault="00B2609F" w:rsidP="00B2609F">
            <w:pPr>
              <w:autoSpaceDE w:val="0"/>
              <w:autoSpaceDN w:val="0"/>
              <w:rPr>
                <w:rFonts w:asciiTheme="minorHAnsi" w:eastAsiaTheme="minorHAnsi" w:hAnsiTheme="minorHAnsi"/>
                <w:sz w:val="18"/>
                <w:szCs w:val="18"/>
                <w:highlight w:val="yellow"/>
              </w:rPr>
            </w:pPr>
            <w:r w:rsidRPr="00B2609F">
              <w:rPr>
                <w:rFonts w:asciiTheme="minorHAnsi" w:hAnsiTheme="minorHAnsi"/>
                <w:sz w:val="18"/>
                <w:szCs w:val="18"/>
                <w:highlight w:val="yellow"/>
              </w:rPr>
              <w:t xml:space="preserve">Seated BP </w:t>
            </w:r>
          </w:p>
        </w:tc>
        <w:tc>
          <w:tcPr>
            <w:tcW w:w="990" w:type="dxa"/>
            <w:shd w:val="clear" w:color="auto" w:fill="auto"/>
          </w:tcPr>
          <w:p w14:paraId="647100A1"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5E31FE99" w14:textId="77777777" w:rsidR="00B2609F" w:rsidRPr="00B2609F" w:rsidRDefault="00B2609F" w:rsidP="00B2609F">
            <w:pPr>
              <w:pStyle w:val="a"/>
              <w:ind w:left="0"/>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3F0112D1"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9/60</w:t>
            </w:r>
          </w:p>
        </w:tc>
        <w:tc>
          <w:tcPr>
            <w:tcW w:w="1350" w:type="dxa"/>
            <w:shd w:val="clear" w:color="auto" w:fill="auto"/>
            <w:vAlign w:val="center"/>
          </w:tcPr>
          <w:p w14:paraId="273BB099"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2082</w:t>
            </w:r>
          </w:p>
        </w:tc>
      </w:tr>
      <w:tr w:rsidR="00B2609F" w:rsidRPr="00B2609F" w14:paraId="5EB05C02" w14:textId="77777777" w:rsidTr="00366CC0">
        <w:tblPrEx>
          <w:tblLook w:val="01E0" w:firstRow="1" w:lastRow="1" w:firstColumn="1" w:lastColumn="1" w:noHBand="0" w:noVBand="0"/>
        </w:tblPrEx>
        <w:tc>
          <w:tcPr>
            <w:tcW w:w="1334" w:type="dxa"/>
            <w:vMerge/>
          </w:tcPr>
          <w:p w14:paraId="71296D4E"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5D534A70" w14:textId="77777777" w:rsidR="00B2609F" w:rsidRPr="00B2609F" w:rsidRDefault="00B2609F" w:rsidP="00B2609F">
            <w:pPr>
              <w:autoSpaceDE w:val="0"/>
              <w:autoSpaceDN w:val="0"/>
              <w:rPr>
                <w:rFonts w:asciiTheme="minorHAnsi" w:eastAsiaTheme="minorHAnsi" w:hAnsiTheme="minorHAnsi"/>
                <w:sz w:val="18"/>
                <w:szCs w:val="18"/>
                <w:highlight w:val="yellow"/>
              </w:rPr>
            </w:pPr>
            <w:r w:rsidRPr="00B2609F">
              <w:rPr>
                <w:rFonts w:asciiTheme="minorHAnsi" w:hAnsiTheme="minorHAnsi"/>
                <w:sz w:val="18"/>
                <w:szCs w:val="18"/>
                <w:highlight w:val="yellow"/>
              </w:rPr>
              <w:t>Echocardiography</w:t>
            </w:r>
          </w:p>
        </w:tc>
        <w:tc>
          <w:tcPr>
            <w:tcW w:w="990" w:type="dxa"/>
            <w:shd w:val="clear" w:color="auto" w:fill="auto"/>
          </w:tcPr>
          <w:p w14:paraId="5F5B8353"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8000</w:t>
            </w:r>
          </w:p>
        </w:tc>
        <w:tc>
          <w:tcPr>
            <w:tcW w:w="1170" w:type="dxa"/>
            <w:shd w:val="clear" w:color="auto" w:fill="auto"/>
          </w:tcPr>
          <w:p w14:paraId="54CA02C8" w14:textId="77777777" w:rsidR="00B2609F" w:rsidRPr="00B2609F" w:rsidRDefault="00B2609F" w:rsidP="00B2609F">
            <w:pPr>
              <w:pStyle w:val="a"/>
              <w:ind w:left="0"/>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64D9A79E"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30/60</w:t>
            </w:r>
          </w:p>
        </w:tc>
        <w:tc>
          <w:tcPr>
            <w:tcW w:w="1350" w:type="dxa"/>
            <w:shd w:val="clear" w:color="auto" w:fill="auto"/>
            <w:vAlign w:val="center"/>
          </w:tcPr>
          <w:p w14:paraId="0D0046FF"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4000</w:t>
            </w:r>
          </w:p>
        </w:tc>
      </w:tr>
      <w:tr w:rsidR="00B2609F" w:rsidRPr="00B2609F" w14:paraId="7C477ADC" w14:textId="77777777" w:rsidTr="00366CC0">
        <w:tblPrEx>
          <w:tblLook w:val="01E0" w:firstRow="1" w:lastRow="1" w:firstColumn="1" w:lastColumn="1" w:noHBand="0" w:noVBand="0"/>
        </w:tblPrEx>
        <w:tc>
          <w:tcPr>
            <w:tcW w:w="1334" w:type="dxa"/>
            <w:vMerge/>
          </w:tcPr>
          <w:p w14:paraId="2EC69B7C"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1447A6F6" w14:textId="26E9E1B1" w:rsidR="00B2609F" w:rsidRPr="00B2609F" w:rsidRDefault="00B2609F" w:rsidP="00B2609F">
            <w:pPr>
              <w:autoSpaceDE w:val="0"/>
              <w:autoSpaceDN w:val="0"/>
              <w:rPr>
                <w:rFonts w:asciiTheme="minorHAnsi" w:eastAsiaTheme="minorHAnsi" w:hAnsiTheme="minorHAnsi"/>
                <w:sz w:val="18"/>
                <w:szCs w:val="18"/>
                <w:highlight w:val="yellow"/>
              </w:rPr>
            </w:pPr>
            <w:r w:rsidRPr="00B2609F">
              <w:rPr>
                <w:rFonts w:asciiTheme="minorHAnsi" w:hAnsiTheme="minorHAnsi"/>
                <w:sz w:val="18"/>
                <w:szCs w:val="18"/>
                <w:highlight w:val="yellow"/>
              </w:rPr>
              <w:t>2-hour blood draw, snack</w:t>
            </w:r>
            <w:r w:rsidR="007E6D34">
              <w:rPr>
                <w:rFonts w:asciiTheme="minorHAnsi" w:hAnsiTheme="minorHAnsi"/>
                <w:sz w:val="18"/>
                <w:szCs w:val="18"/>
                <w:highlight w:val="yellow"/>
              </w:rPr>
              <w:t xml:space="preserve"> (Appendix 14-Procedures-BIO)*</w:t>
            </w:r>
          </w:p>
        </w:tc>
        <w:tc>
          <w:tcPr>
            <w:tcW w:w="990" w:type="dxa"/>
            <w:shd w:val="clear" w:color="auto" w:fill="auto"/>
          </w:tcPr>
          <w:p w14:paraId="1BDCE6B7"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048BA891" w14:textId="77777777" w:rsidR="00B2609F" w:rsidRPr="00B2609F" w:rsidRDefault="00B2609F" w:rsidP="00B2609F">
            <w:pPr>
              <w:pStyle w:val="a"/>
              <w:ind w:left="0"/>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tcPr>
          <w:p w14:paraId="7CCE6AFC"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12/60</w:t>
            </w:r>
          </w:p>
        </w:tc>
        <w:tc>
          <w:tcPr>
            <w:tcW w:w="1350" w:type="dxa"/>
            <w:shd w:val="clear" w:color="auto" w:fill="auto"/>
            <w:vAlign w:val="center"/>
          </w:tcPr>
          <w:p w14:paraId="15EB3B1D"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2776</w:t>
            </w:r>
          </w:p>
        </w:tc>
      </w:tr>
      <w:tr w:rsidR="00B2609F" w:rsidRPr="00B2609F" w14:paraId="0123D7CF" w14:textId="77777777" w:rsidTr="00366CC0">
        <w:tblPrEx>
          <w:tblLook w:val="01E0" w:firstRow="1" w:lastRow="1" w:firstColumn="1" w:lastColumn="1" w:noHBand="0" w:noVBand="0"/>
        </w:tblPrEx>
        <w:tc>
          <w:tcPr>
            <w:tcW w:w="1334" w:type="dxa"/>
            <w:vMerge/>
          </w:tcPr>
          <w:p w14:paraId="5D413405"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29758573" w14:textId="77777777" w:rsidR="00B2609F" w:rsidRPr="00B2609F" w:rsidRDefault="00B2609F" w:rsidP="00B2609F">
            <w:pPr>
              <w:autoSpaceDE w:val="0"/>
              <w:autoSpaceDN w:val="0"/>
              <w:rPr>
                <w:rFonts w:asciiTheme="minorHAnsi" w:eastAsiaTheme="minorHAnsi" w:hAnsiTheme="minorHAnsi"/>
                <w:sz w:val="18"/>
                <w:szCs w:val="18"/>
                <w:highlight w:val="yellow"/>
              </w:rPr>
            </w:pPr>
            <w:r w:rsidRPr="00B2609F">
              <w:rPr>
                <w:rFonts w:asciiTheme="minorHAnsi" w:hAnsiTheme="minorHAnsi"/>
                <w:sz w:val="18"/>
                <w:szCs w:val="18"/>
                <w:highlight w:val="yellow"/>
              </w:rPr>
              <w:t xml:space="preserve">Personal Medical History </w:t>
            </w:r>
          </w:p>
        </w:tc>
        <w:tc>
          <w:tcPr>
            <w:tcW w:w="990" w:type="dxa"/>
            <w:shd w:val="clear" w:color="auto" w:fill="auto"/>
          </w:tcPr>
          <w:p w14:paraId="1C8D5A41"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75CC4268"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381C84F8"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10/60</w:t>
            </w:r>
          </w:p>
        </w:tc>
        <w:tc>
          <w:tcPr>
            <w:tcW w:w="1350" w:type="dxa"/>
            <w:shd w:val="clear" w:color="auto" w:fill="auto"/>
            <w:vAlign w:val="center"/>
          </w:tcPr>
          <w:p w14:paraId="3925FB3B"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2313</w:t>
            </w:r>
          </w:p>
        </w:tc>
      </w:tr>
      <w:tr w:rsidR="00B2609F" w:rsidRPr="00B2609F" w14:paraId="314C905F" w14:textId="77777777" w:rsidTr="00366CC0">
        <w:tblPrEx>
          <w:tblLook w:val="01E0" w:firstRow="1" w:lastRow="1" w:firstColumn="1" w:lastColumn="1" w:noHBand="0" w:noVBand="0"/>
        </w:tblPrEx>
        <w:tc>
          <w:tcPr>
            <w:tcW w:w="1334" w:type="dxa"/>
            <w:vMerge/>
          </w:tcPr>
          <w:p w14:paraId="571ADDB7"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3CB89431"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Reproductive Medical History</w:t>
            </w:r>
          </w:p>
        </w:tc>
        <w:tc>
          <w:tcPr>
            <w:tcW w:w="990" w:type="dxa"/>
            <w:shd w:val="clear" w:color="auto" w:fill="auto"/>
          </w:tcPr>
          <w:p w14:paraId="1019F186"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9000</w:t>
            </w:r>
          </w:p>
        </w:tc>
        <w:tc>
          <w:tcPr>
            <w:tcW w:w="1170" w:type="dxa"/>
            <w:shd w:val="clear" w:color="auto" w:fill="auto"/>
          </w:tcPr>
          <w:p w14:paraId="4E534D5D"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6CCBBEA7"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9/60</w:t>
            </w:r>
          </w:p>
        </w:tc>
        <w:tc>
          <w:tcPr>
            <w:tcW w:w="1350" w:type="dxa"/>
            <w:shd w:val="clear" w:color="auto" w:fill="auto"/>
            <w:vAlign w:val="center"/>
          </w:tcPr>
          <w:p w14:paraId="5F5DECA6"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1350</w:t>
            </w:r>
          </w:p>
        </w:tc>
      </w:tr>
      <w:tr w:rsidR="00B2609F" w:rsidRPr="00B2609F" w14:paraId="1C99CB88" w14:textId="77777777" w:rsidTr="00366CC0">
        <w:tblPrEx>
          <w:tblLook w:val="01E0" w:firstRow="1" w:lastRow="1" w:firstColumn="1" w:lastColumn="1" w:noHBand="0" w:noVBand="0"/>
        </w:tblPrEx>
        <w:tc>
          <w:tcPr>
            <w:tcW w:w="1334" w:type="dxa"/>
            <w:vMerge/>
          </w:tcPr>
          <w:p w14:paraId="614B4DD9"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20F666A9"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Pregnancy Complications History</w:t>
            </w:r>
          </w:p>
        </w:tc>
        <w:tc>
          <w:tcPr>
            <w:tcW w:w="990" w:type="dxa"/>
            <w:shd w:val="clear" w:color="auto" w:fill="auto"/>
          </w:tcPr>
          <w:p w14:paraId="27CD194B"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9000</w:t>
            </w:r>
          </w:p>
        </w:tc>
        <w:tc>
          <w:tcPr>
            <w:tcW w:w="1170" w:type="dxa"/>
            <w:shd w:val="clear" w:color="auto" w:fill="auto"/>
          </w:tcPr>
          <w:p w14:paraId="0250190F"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55DDFA83"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6/60</w:t>
            </w:r>
          </w:p>
        </w:tc>
        <w:tc>
          <w:tcPr>
            <w:tcW w:w="1350" w:type="dxa"/>
            <w:shd w:val="clear" w:color="auto" w:fill="auto"/>
            <w:vAlign w:val="center"/>
          </w:tcPr>
          <w:p w14:paraId="3FE057EC"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900</w:t>
            </w:r>
          </w:p>
        </w:tc>
      </w:tr>
      <w:tr w:rsidR="00B2609F" w:rsidRPr="00B2609F" w14:paraId="6F4851B1" w14:textId="77777777" w:rsidTr="00366CC0">
        <w:tblPrEx>
          <w:tblLook w:val="01E0" w:firstRow="1" w:lastRow="1" w:firstColumn="1" w:lastColumn="1" w:noHBand="0" w:noVBand="0"/>
        </w:tblPrEx>
        <w:tc>
          <w:tcPr>
            <w:tcW w:w="1334" w:type="dxa"/>
            <w:vMerge/>
          </w:tcPr>
          <w:p w14:paraId="5321EF3B"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57E38791"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Socio-economic Status – Occupation</w:t>
            </w:r>
          </w:p>
        </w:tc>
        <w:tc>
          <w:tcPr>
            <w:tcW w:w="990" w:type="dxa"/>
            <w:shd w:val="clear" w:color="auto" w:fill="auto"/>
          </w:tcPr>
          <w:p w14:paraId="4ED4BD69"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52734906"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2BC549E4"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3/60</w:t>
            </w:r>
          </w:p>
        </w:tc>
        <w:tc>
          <w:tcPr>
            <w:tcW w:w="1350" w:type="dxa"/>
            <w:shd w:val="clear" w:color="auto" w:fill="auto"/>
            <w:vAlign w:val="center"/>
          </w:tcPr>
          <w:p w14:paraId="4AB07A15"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694</w:t>
            </w:r>
          </w:p>
        </w:tc>
      </w:tr>
      <w:tr w:rsidR="00B2609F" w:rsidRPr="00B2609F" w14:paraId="69982DEC" w14:textId="77777777" w:rsidTr="00366CC0">
        <w:tblPrEx>
          <w:tblLook w:val="01E0" w:firstRow="1" w:lastRow="1" w:firstColumn="1" w:lastColumn="1" w:noHBand="0" w:noVBand="0"/>
        </w:tblPrEx>
        <w:tc>
          <w:tcPr>
            <w:tcW w:w="1334" w:type="dxa"/>
            <w:vMerge/>
          </w:tcPr>
          <w:p w14:paraId="4472D9E1"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051D59D8"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Health Care Access and Utilization</w:t>
            </w:r>
          </w:p>
        </w:tc>
        <w:tc>
          <w:tcPr>
            <w:tcW w:w="990" w:type="dxa"/>
            <w:shd w:val="clear" w:color="auto" w:fill="auto"/>
          </w:tcPr>
          <w:p w14:paraId="520C636C"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404F09AA"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33329A06"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center"/>
          </w:tcPr>
          <w:p w14:paraId="374B94CC"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3470</w:t>
            </w:r>
          </w:p>
        </w:tc>
      </w:tr>
      <w:tr w:rsidR="00B2609F" w:rsidRPr="00B2609F" w14:paraId="775D2C9E" w14:textId="77777777" w:rsidTr="00366CC0">
        <w:tblPrEx>
          <w:tblLook w:val="01E0" w:firstRow="1" w:lastRow="1" w:firstColumn="1" w:lastColumn="1" w:noHBand="0" w:noVBand="0"/>
        </w:tblPrEx>
        <w:tc>
          <w:tcPr>
            <w:tcW w:w="1334" w:type="dxa"/>
            <w:vMerge/>
          </w:tcPr>
          <w:p w14:paraId="0E26B272"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7D986E9E"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 xml:space="preserve">Chronic Stress </w:t>
            </w:r>
          </w:p>
        </w:tc>
        <w:tc>
          <w:tcPr>
            <w:tcW w:w="990" w:type="dxa"/>
            <w:shd w:val="clear" w:color="auto" w:fill="auto"/>
          </w:tcPr>
          <w:p w14:paraId="5BD88DDF"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1DC78233"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09DA9E5F"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4/60</w:t>
            </w:r>
          </w:p>
        </w:tc>
        <w:tc>
          <w:tcPr>
            <w:tcW w:w="1350" w:type="dxa"/>
            <w:shd w:val="clear" w:color="auto" w:fill="auto"/>
            <w:vAlign w:val="center"/>
          </w:tcPr>
          <w:p w14:paraId="22FA4CB3"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925</w:t>
            </w:r>
          </w:p>
        </w:tc>
      </w:tr>
      <w:tr w:rsidR="00B2609F" w:rsidRPr="00B2609F" w14:paraId="29644484" w14:textId="77777777" w:rsidTr="00366CC0">
        <w:tblPrEx>
          <w:tblLook w:val="01E0" w:firstRow="1" w:lastRow="1" w:firstColumn="1" w:lastColumn="1" w:noHBand="0" w:noVBand="0"/>
        </w:tblPrEx>
        <w:tc>
          <w:tcPr>
            <w:tcW w:w="1334" w:type="dxa"/>
            <w:vMerge/>
          </w:tcPr>
          <w:p w14:paraId="4C858F13"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3ACEB879"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 xml:space="preserve">Family Cohesion </w:t>
            </w:r>
          </w:p>
        </w:tc>
        <w:tc>
          <w:tcPr>
            <w:tcW w:w="990" w:type="dxa"/>
            <w:shd w:val="clear" w:color="auto" w:fill="auto"/>
          </w:tcPr>
          <w:p w14:paraId="2787DB5E"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21F75DB9"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29D33B01"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5/60</w:t>
            </w:r>
          </w:p>
        </w:tc>
        <w:tc>
          <w:tcPr>
            <w:tcW w:w="1350" w:type="dxa"/>
            <w:shd w:val="clear" w:color="auto" w:fill="auto"/>
            <w:vAlign w:val="center"/>
          </w:tcPr>
          <w:p w14:paraId="278B6311"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1157</w:t>
            </w:r>
          </w:p>
        </w:tc>
      </w:tr>
      <w:tr w:rsidR="00B2609F" w:rsidRPr="00B2609F" w14:paraId="7CDA28E0" w14:textId="77777777" w:rsidTr="00366CC0">
        <w:tblPrEx>
          <w:tblLook w:val="01E0" w:firstRow="1" w:lastRow="1" w:firstColumn="1" w:lastColumn="1" w:noHBand="0" w:noVBand="0"/>
        </w:tblPrEx>
        <w:tc>
          <w:tcPr>
            <w:tcW w:w="1334" w:type="dxa"/>
            <w:vMerge/>
          </w:tcPr>
          <w:p w14:paraId="06A53E6B"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0C5846C5"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Social Support</w:t>
            </w:r>
          </w:p>
        </w:tc>
        <w:tc>
          <w:tcPr>
            <w:tcW w:w="990" w:type="dxa"/>
            <w:shd w:val="clear" w:color="auto" w:fill="auto"/>
          </w:tcPr>
          <w:p w14:paraId="319FBA60"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57BDC14D"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25AD8B4E"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3/60</w:t>
            </w:r>
          </w:p>
        </w:tc>
        <w:tc>
          <w:tcPr>
            <w:tcW w:w="1350" w:type="dxa"/>
            <w:shd w:val="clear" w:color="auto" w:fill="auto"/>
            <w:vAlign w:val="center"/>
          </w:tcPr>
          <w:p w14:paraId="0DC5EB22"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694</w:t>
            </w:r>
          </w:p>
        </w:tc>
      </w:tr>
      <w:tr w:rsidR="00B2609F" w:rsidRPr="00B2609F" w14:paraId="29758CCC" w14:textId="77777777" w:rsidTr="00366CC0">
        <w:tblPrEx>
          <w:tblLook w:val="01E0" w:firstRow="1" w:lastRow="1" w:firstColumn="1" w:lastColumn="1" w:noHBand="0" w:noVBand="0"/>
        </w:tblPrEx>
        <w:tc>
          <w:tcPr>
            <w:tcW w:w="1334" w:type="dxa"/>
            <w:vMerge/>
          </w:tcPr>
          <w:p w14:paraId="585F1C0C"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53C3F02B"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Acculturation</w:t>
            </w:r>
          </w:p>
        </w:tc>
        <w:tc>
          <w:tcPr>
            <w:tcW w:w="990" w:type="dxa"/>
            <w:shd w:val="clear" w:color="auto" w:fill="auto"/>
          </w:tcPr>
          <w:p w14:paraId="1EE18C79"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4DD6B22E"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407E7FB4"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3/60</w:t>
            </w:r>
          </w:p>
        </w:tc>
        <w:tc>
          <w:tcPr>
            <w:tcW w:w="1350" w:type="dxa"/>
            <w:shd w:val="clear" w:color="auto" w:fill="auto"/>
            <w:vAlign w:val="center"/>
          </w:tcPr>
          <w:p w14:paraId="4FF5F2EF"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694</w:t>
            </w:r>
          </w:p>
        </w:tc>
      </w:tr>
      <w:tr w:rsidR="00B2609F" w:rsidRPr="00B2609F" w14:paraId="4F07E86D" w14:textId="77777777" w:rsidTr="00366CC0">
        <w:tblPrEx>
          <w:tblLook w:val="01E0" w:firstRow="1" w:lastRow="1" w:firstColumn="1" w:lastColumn="1" w:noHBand="0" w:noVBand="0"/>
        </w:tblPrEx>
        <w:tc>
          <w:tcPr>
            <w:tcW w:w="1334" w:type="dxa"/>
            <w:vMerge/>
          </w:tcPr>
          <w:p w14:paraId="1DA73D03"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33DC59D5"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Well Being</w:t>
            </w:r>
          </w:p>
        </w:tc>
        <w:tc>
          <w:tcPr>
            <w:tcW w:w="990" w:type="dxa"/>
            <w:shd w:val="clear" w:color="auto" w:fill="auto"/>
          </w:tcPr>
          <w:p w14:paraId="276F0DA2"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6A6ABDBD"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1BFDFD37"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4/60</w:t>
            </w:r>
          </w:p>
        </w:tc>
        <w:tc>
          <w:tcPr>
            <w:tcW w:w="1350" w:type="dxa"/>
            <w:shd w:val="clear" w:color="auto" w:fill="auto"/>
            <w:vAlign w:val="center"/>
          </w:tcPr>
          <w:p w14:paraId="79E7DCA0" w14:textId="5F1453BB" w:rsidR="00B2609F" w:rsidRPr="00B2609F" w:rsidRDefault="00683D97" w:rsidP="00B2609F">
            <w:pPr>
              <w:jc w:val="center"/>
              <w:rPr>
                <w:rFonts w:ascii="Calibri" w:hAnsi="Calibri"/>
                <w:color w:val="000000"/>
                <w:sz w:val="18"/>
                <w:szCs w:val="18"/>
                <w:highlight w:val="yellow"/>
              </w:rPr>
            </w:pPr>
            <w:r>
              <w:rPr>
                <w:rFonts w:ascii="Calibri" w:hAnsi="Calibri"/>
                <w:color w:val="000000"/>
                <w:sz w:val="18"/>
                <w:szCs w:val="18"/>
                <w:highlight w:val="yellow"/>
              </w:rPr>
              <w:t>925</w:t>
            </w:r>
          </w:p>
        </w:tc>
      </w:tr>
      <w:tr w:rsidR="00B2609F" w:rsidRPr="00B2609F" w14:paraId="1475A84D" w14:textId="77777777" w:rsidTr="00366CC0">
        <w:tblPrEx>
          <w:tblLook w:val="01E0" w:firstRow="1" w:lastRow="1" w:firstColumn="1" w:lastColumn="1" w:noHBand="0" w:noVBand="0"/>
        </w:tblPrEx>
        <w:tc>
          <w:tcPr>
            <w:tcW w:w="1334" w:type="dxa"/>
            <w:vMerge/>
          </w:tcPr>
          <w:p w14:paraId="7D6C72A3"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4476DDA3" w14:textId="77777777" w:rsidR="00B2609F" w:rsidRPr="00B2609F" w:rsidRDefault="00B2609F" w:rsidP="00B2609F">
            <w:pPr>
              <w:autoSpaceDE w:val="0"/>
              <w:autoSpaceDN w:val="0"/>
              <w:ind w:left="16"/>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Abbreviated Medication Use</w:t>
            </w:r>
          </w:p>
        </w:tc>
        <w:tc>
          <w:tcPr>
            <w:tcW w:w="990" w:type="dxa"/>
            <w:shd w:val="clear" w:color="auto" w:fill="auto"/>
          </w:tcPr>
          <w:p w14:paraId="1F218AD0"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64D703CF"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27BA0985"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4/60</w:t>
            </w:r>
          </w:p>
        </w:tc>
        <w:tc>
          <w:tcPr>
            <w:tcW w:w="1350" w:type="dxa"/>
            <w:shd w:val="clear" w:color="auto" w:fill="auto"/>
            <w:vAlign w:val="center"/>
          </w:tcPr>
          <w:p w14:paraId="270C0DAF"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925</w:t>
            </w:r>
          </w:p>
        </w:tc>
      </w:tr>
      <w:tr w:rsidR="00B2609F" w:rsidRPr="00B2609F" w14:paraId="39397A7C" w14:textId="77777777" w:rsidTr="00366CC0">
        <w:tblPrEx>
          <w:tblLook w:val="01E0" w:firstRow="1" w:lastRow="1" w:firstColumn="1" w:lastColumn="1" w:noHBand="0" w:noVBand="0"/>
        </w:tblPrEx>
        <w:tc>
          <w:tcPr>
            <w:tcW w:w="1334" w:type="dxa"/>
            <w:vMerge/>
          </w:tcPr>
          <w:p w14:paraId="00C64E85"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52BEEECD"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Tobacco Use</w:t>
            </w:r>
          </w:p>
        </w:tc>
        <w:tc>
          <w:tcPr>
            <w:tcW w:w="990" w:type="dxa"/>
            <w:shd w:val="clear" w:color="auto" w:fill="auto"/>
          </w:tcPr>
          <w:p w14:paraId="01DC07F1"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712962D8"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5BC1DE72"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7/60</w:t>
            </w:r>
          </w:p>
        </w:tc>
        <w:tc>
          <w:tcPr>
            <w:tcW w:w="1350" w:type="dxa"/>
            <w:shd w:val="clear" w:color="auto" w:fill="auto"/>
            <w:vAlign w:val="center"/>
          </w:tcPr>
          <w:p w14:paraId="377FB46D"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1619</w:t>
            </w:r>
          </w:p>
        </w:tc>
      </w:tr>
      <w:tr w:rsidR="00B2609F" w:rsidRPr="00B2609F" w14:paraId="54C4E633" w14:textId="77777777" w:rsidTr="00366CC0">
        <w:tblPrEx>
          <w:tblLook w:val="01E0" w:firstRow="1" w:lastRow="1" w:firstColumn="1" w:lastColumn="1" w:noHBand="0" w:noVBand="0"/>
        </w:tblPrEx>
        <w:tc>
          <w:tcPr>
            <w:tcW w:w="1334" w:type="dxa"/>
            <w:vMerge/>
          </w:tcPr>
          <w:p w14:paraId="6D1CCC6C"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04DB4239"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Alcohol Use</w:t>
            </w:r>
          </w:p>
        </w:tc>
        <w:tc>
          <w:tcPr>
            <w:tcW w:w="990" w:type="dxa"/>
            <w:shd w:val="clear" w:color="auto" w:fill="auto"/>
          </w:tcPr>
          <w:p w14:paraId="6A884944"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096F9743"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190AABDA"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3/60</w:t>
            </w:r>
          </w:p>
        </w:tc>
        <w:tc>
          <w:tcPr>
            <w:tcW w:w="1350" w:type="dxa"/>
            <w:shd w:val="clear" w:color="auto" w:fill="auto"/>
            <w:vAlign w:val="center"/>
          </w:tcPr>
          <w:p w14:paraId="496F7AC0"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694</w:t>
            </w:r>
          </w:p>
        </w:tc>
      </w:tr>
      <w:tr w:rsidR="00B2609F" w:rsidRPr="00B2609F" w14:paraId="7DD6EB7A" w14:textId="77777777" w:rsidTr="00366CC0">
        <w:tblPrEx>
          <w:tblLook w:val="01E0" w:firstRow="1" w:lastRow="1" w:firstColumn="1" w:lastColumn="1" w:noHBand="0" w:noVBand="0"/>
        </w:tblPrEx>
        <w:tc>
          <w:tcPr>
            <w:tcW w:w="1334" w:type="dxa"/>
            <w:vMerge/>
          </w:tcPr>
          <w:p w14:paraId="20C01330"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03ACD80E" w14:textId="77777777" w:rsidR="00B2609F" w:rsidRPr="00B2609F" w:rsidRDefault="00B2609F" w:rsidP="00B2609F">
            <w:pPr>
              <w:autoSpaceDE w:val="0"/>
              <w:autoSpaceDN w:val="0"/>
              <w:jc w:val="both"/>
              <w:rPr>
                <w:rFonts w:asciiTheme="minorHAnsi" w:eastAsiaTheme="minorHAnsi" w:hAnsiTheme="minorHAnsi"/>
                <w:sz w:val="18"/>
                <w:szCs w:val="18"/>
                <w:highlight w:val="yellow"/>
              </w:rPr>
            </w:pPr>
            <w:r w:rsidRPr="00B2609F">
              <w:rPr>
                <w:rFonts w:asciiTheme="minorHAnsi" w:hAnsiTheme="minorHAnsi"/>
                <w:sz w:val="18"/>
                <w:szCs w:val="18"/>
                <w:highlight w:val="yellow"/>
              </w:rPr>
              <w:t>Participant Feedback</w:t>
            </w:r>
          </w:p>
        </w:tc>
        <w:tc>
          <w:tcPr>
            <w:tcW w:w="990" w:type="dxa"/>
            <w:shd w:val="clear" w:color="auto" w:fill="auto"/>
          </w:tcPr>
          <w:p w14:paraId="18E94CBB"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13878</w:t>
            </w:r>
          </w:p>
        </w:tc>
        <w:tc>
          <w:tcPr>
            <w:tcW w:w="1170" w:type="dxa"/>
            <w:shd w:val="clear" w:color="auto" w:fill="auto"/>
          </w:tcPr>
          <w:p w14:paraId="49316BE3" w14:textId="77777777" w:rsidR="00B2609F" w:rsidRPr="00B2609F" w:rsidRDefault="00B2609F" w:rsidP="00B2609F">
            <w:pPr>
              <w:jc w:val="center"/>
              <w:rPr>
                <w:highlight w:val="yellow"/>
              </w:rPr>
            </w:pPr>
            <w:r w:rsidRPr="00B2609F">
              <w:rPr>
                <w:rFonts w:asciiTheme="minorHAnsi" w:hAnsiTheme="minorHAnsi"/>
                <w:sz w:val="18"/>
                <w:szCs w:val="18"/>
                <w:highlight w:val="yellow"/>
              </w:rPr>
              <w:t>1</w:t>
            </w:r>
          </w:p>
        </w:tc>
        <w:tc>
          <w:tcPr>
            <w:tcW w:w="1350" w:type="dxa"/>
            <w:shd w:val="clear" w:color="auto" w:fill="auto"/>
          </w:tcPr>
          <w:p w14:paraId="0804C806"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12/60</w:t>
            </w:r>
          </w:p>
        </w:tc>
        <w:tc>
          <w:tcPr>
            <w:tcW w:w="1350" w:type="dxa"/>
            <w:shd w:val="clear" w:color="auto" w:fill="auto"/>
            <w:vAlign w:val="center"/>
          </w:tcPr>
          <w:p w14:paraId="3A7A3884" w14:textId="77777777" w:rsidR="00B2609F" w:rsidRPr="00B2609F" w:rsidRDefault="00B2609F" w:rsidP="00B2609F">
            <w:pPr>
              <w:jc w:val="center"/>
              <w:rPr>
                <w:rFonts w:ascii="Calibri" w:hAnsi="Calibri"/>
                <w:color w:val="000000"/>
                <w:sz w:val="18"/>
                <w:szCs w:val="18"/>
                <w:highlight w:val="yellow"/>
              </w:rPr>
            </w:pPr>
            <w:r w:rsidRPr="00B2609F">
              <w:rPr>
                <w:rFonts w:ascii="Calibri" w:hAnsi="Calibri"/>
                <w:color w:val="000000"/>
                <w:sz w:val="18"/>
                <w:szCs w:val="18"/>
                <w:highlight w:val="yellow"/>
              </w:rPr>
              <w:t>2776</w:t>
            </w:r>
          </w:p>
        </w:tc>
      </w:tr>
      <w:tr w:rsidR="00B2609F" w:rsidRPr="00B2609F" w14:paraId="33DC8EA7" w14:textId="77777777" w:rsidTr="00366CC0">
        <w:tblPrEx>
          <w:tblLook w:val="01E0" w:firstRow="1" w:lastRow="1" w:firstColumn="1" w:lastColumn="1" w:noHBand="0" w:noVBand="0"/>
        </w:tblPrEx>
        <w:tc>
          <w:tcPr>
            <w:tcW w:w="1334" w:type="dxa"/>
          </w:tcPr>
          <w:p w14:paraId="3914AB1F"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vAlign w:val="bottom"/>
          </w:tcPr>
          <w:p w14:paraId="68F58B37" w14:textId="77777777" w:rsidR="00B2609F" w:rsidRPr="00B2609F" w:rsidRDefault="00B2609F" w:rsidP="00B2609F">
            <w:pPr>
              <w:autoSpaceDE w:val="0"/>
              <w:autoSpaceDN w:val="0"/>
              <w:jc w:val="center"/>
              <w:rPr>
                <w:sz w:val="18"/>
                <w:szCs w:val="18"/>
                <w:highlight w:val="yellow"/>
              </w:rPr>
            </w:pPr>
            <w:r w:rsidRPr="00B2609F">
              <w:rPr>
                <w:rFonts w:asciiTheme="minorHAnsi" w:hAnsiTheme="minorHAnsi"/>
                <w:sz w:val="18"/>
                <w:szCs w:val="18"/>
                <w:highlight w:val="yellow"/>
              </w:rPr>
              <w:t>Total</w:t>
            </w:r>
          </w:p>
        </w:tc>
        <w:tc>
          <w:tcPr>
            <w:tcW w:w="990" w:type="dxa"/>
            <w:shd w:val="clear" w:color="auto" w:fill="auto"/>
            <w:vAlign w:val="bottom"/>
          </w:tcPr>
          <w:p w14:paraId="2EEABDB5" w14:textId="77777777" w:rsidR="00B2609F" w:rsidRPr="00B2609F" w:rsidRDefault="00B2609F" w:rsidP="00B2609F">
            <w:pPr>
              <w:ind w:left="18" w:right="216"/>
              <w:jc w:val="right"/>
              <w:rPr>
                <w:rFonts w:asciiTheme="minorHAnsi" w:hAnsiTheme="minorHAnsi"/>
                <w:sz w:val="18"/>
                <w:szCs w:val="18"/>
                <w:highlight w:val="yellow"/>
              </w:rPr>
            </w:pPr>
          </w:p>
        </w:tc>
        <w:tc>
          <w:tcPr>
            <w:tcW w:w="1170" w:type="dxa"/>
            <w:shd w:val="clear" w:color="auto" w:fill="auto"/>
            <w:vAlign w:val="bottom"/>
          </w:tcPr>
          <w:p w14:paraId="7E7CA4D6" w14:textId="77777777" w:rsidR="00B2609F" w:rsidRPr="00B2609F" w:rsidRDefault="00B2609F" w:rsidP="00B2609F">
            <w:pPr>
              <w:jc w:val="center"/>
              <w:rPr>
                <w:rFonts w:asciiTheme="minorHAnsi" w:hAnsiTheme="minorHAnsi"/>
                <w:sz w:val="18"/>
                <w:szCs w:val="18"/>
                <w:highlight w:val="yellow"/>
              </w:rPr>
            </w:pPr>
          </w:p>
        </w:tc>
        <w:tc>
          <w:tcPr>
            <w:tcW w:w="1350" w:type="dxa"/>
            <w:shd w:val="clear" w:color="auto" w:fill="auto"/>
            <w:vAlign w:val="bottom"/>
          </w:tcPr>
          <w:p w14:paraId="0ECCAF04"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206/60</w:t>
            </w:r>
          </w:p>
        </w:tc>
        <w:tc>
          <w:tcPr>
            <w:tcW w:w="1350" w:type="dxa"/>
            <w:shd w:val="clear" w:color="auto" w:fill="auto"/>
            <w:vAlign w:val="bottom"/>
          </w:tcPr>
          <w:p w14:paraId="5D62D6F0" w14:textId="4C0BDA34" w:rsidR="00B2609F" w:rsidRPr="00B2609F" w:rsidRDefault="00336DBD" w:rsidP="00B2609F">
            <w:pPr>
              <w:tabs>
                <w:tab w:val="left" w:pos="1134"/>
              </w:tabs>
              <w:jc w:val="center"/>
              <w:rPr>
                <w:rFonts w:ascii="Calibri" w:hAnsi="Calibri"/>
                <w:b/>
                <w:color w:val="000000"/>
                <w:sz w:val="18"/>
                <w:szCs w:val="18"/>
                <w:highlight w:val="yellow"/>
              </w:rPr>
            </w:pPr>
            <w:r>
              <w:rPr>
                <w:rFonts w:ascii="Calibri" w:hAnsi="Calibri"/>
                <w:b/>
                <w:color w:val="000000"/>
                <w:sz w:val="18"/>
                <w:szCs w:val="18"/>
                <w:highlight w:val="yellow"/>
              </w:rPr>
              <w:t>43492</w:t>
            </w:r>
          </w:p>
        </w:tc>
      </w:tr>
      <w:tr w:rsidR="00B2609F" w:rsidRPr="00B2609F" w14:paraId="565CB15D" w14:textId="77777777" w:rsidTr="00366CC0">
        <w:tblPrEx>
          <w:tblLook w:val="01E0" w:firstRow="1" w:lastRow="1" w:firstColumn="1" w:lastColumn="1" w:noHBand="0" w:noVBand="0"/>
        </w:tblPrEx>
        <w:tc>
          <w:tcPr>
            <w:tcW w:w="1334" w:type="dxa"/>
            <w:vAlign w:val="center"/>
          </w:tcPr>
          <w:p w14:paraId="2F5971DD" w14:textId="77777777" w:rsidR="00B2609F" w:rsidRPr="00B2609F" w:rsidRDefault="00B2609F" w:rsidP="00B2609F">
            <w:pPr>
              <w:pStyle w:val="a"/>
              <w:ind w:left="0"/>
              <w:jc w:val="center"/>
              <w:rPr>
                <w:sz w:val="18"/>
                <w:szCs w:val="18"/>
                <w:highlight w:val="yellow"/>
              </w:rPr>
            </w:pPr>
          </w:p>
        </w:tc>
        <w:tc>
          <w:tcPr>
            <w:tcW w:w="3184" w:type="dxa"/>
            <w:shd w:val="clear" w:color="auto" w:fill="auto"/>
            <w:vAlign w:val="bottom"/>
          </w:tcPr>
          <w:p w14:paraId="1571F2EB" w14:textId="77777777" w:rsidR="00B2609F" w:rsidRPr="00B2609F" w:rsidRDefault="00B2609F" w:rsidP="00B2609F">
            <w:pPr>
              <w:autoSpaceDE w:val="0"/>
              <w:autoSpaceDN w:val="0"/>
              <w:rPr>
                <w:rFonts w:asciiTheme="minorHAnsi" w:hAnsiTheme="minorHAnsi"/>
                <w:sz w:val="18"/>
                <w:szCs w:val="18"/>
                <w:highlight w:val="yellow"/>
              </w:rPr>
            </w:pPr>
          </w:p>
        </w:tc>
        <w:tc>
          <w:tcPr>
            <w:tcW w:w="990" w:type="dxa"/>
            <w:shd w:val="clear" w:color="auto" w:fill="auto"/>
            <w:vAlign w:val="bottom"/>
          </w:tcPr>
          <w:p w14:paraId="4F80EDB9" w14:textId="77777777" w:rsidR="00B2609F" w:rsidRPr="00B2609F" w:rsidRDefault="00B2609F" w:rsidP="00B2609F">
            <w:pPr>
              <w:ind w:left="18" w:right="216"/>
              <w:jc w:val="right"/>
              <w:rPr>
                <w:rFonts w:asciiTheme="minorHAnsi" w:hAnsiTheme="minorHAnsi"/>
                <w:sz w:val="18"/>
                <w:szCs w:val="18"/>
                <w:highlight w:val="yellow"/>
              </w:rPr>
            </w:pPr>
          </w:p>
        </w:tc>
        <w:tc>
          <w:tcPr>
            <w:tcW w:w="1170" w:type="dxa"/>
            <w:shd w:val="clear" w:color="auto" w:fill="auto"/>
            <w:vAlign w:val="bottom"/>
          </w:tcPr>
          <w:p w14:paraId="202CAF92" w14:textId="77777777" w:rsidR="00B2609F" w:rsidRPr="00B2609F" w:rsidRDefault="00B2609F" w:rsidP="00B2609F">
            <w:pPr>
              <w:jc w:val="center"/>
              <w:rPr>
                <w:rFonts w:asciiTheme="minorHAnsi" w:hAnsiTheme="minorHAnsi"/>
                <w:sz w:val="18"/>
                <w:szCs w:val="18"/>
                <w:highlight w:val="yellow"/>
              </w:rPr>
            </w:pPr>
          </w:p>
        </w:tc>
        <w:tc>
          <w:tcPr>
            <w:tcW w:w="1350" w:type="dxa"/>
            <w:shd w:val="clear" w:color="auto" w:fill="auto"/>
            <w:vAlign w:val="bottom"/>
          </w:tcPr>
          <w:p w14:paraId="6D5833F3" w14:textId="77777777" w:rsidR="00B2609F" w:rsidRPr="00B2609F" w:rsidRDefault="00B2609F" w:rsidP="00B2609F">
            <w:pPr>
              <w:pStyle w:val="a"/>
              <w:ind w:left="0" w:right="468"/>
              <w:jc w:val="right"/>
              <w:rPr>
                <w:rFonts w:asciiTheme="minorHAnsi" w:hAnsiTheme="minorHAnsi"/>
                <w:sz w:val="18"/>
                <w:szCs w:val="18"/>
                <w:highlight w:val="yellow"/>
              </w:rPr>
            </w:pPr>
          </w:p>
        </w:tc>
        <w:tc>
          <w:tcPr>
            <w:tcW w:w="1350" w:type="dxa"/>
            <w:shd w:val="clear" w:color="auto" w:fill="auto"/>
            <w:vAlign w:val="bottom"/>
          </w:tcPr>
          <w:p w14:paraId="6BCDEF28" w14:textId="77777777" w:rsidR="00B2609F" w:rsidRPr="00B2609F" w:rsidRDefault="00B2609F" w:rsidP="00B2609F">
            <w:pPr>
              <w:ind w:right="524"/>
              <w:jc w:val="right"/>
              <w:rPr>
                <w:rFonts w:ascii="Calibri" w:hAnsi="Calibri"/>
                <w:color w:val="000000"/>
                <w:sz w:val="18"/>
                <w:szCs w:val="18"/>
                <w:highlight w:val="yellow"/>
              </w:rPr>
            </w:pPr>
          </w:p>
        </w:tc>
      </w:tr>
      <w:tr w:rsidR="00B2609F" w:rsidRPr="00B2609F" w14:paraId="378035E5" w14:textId="77777777" w:rsidTr="00366CC0">
        <w:tblPrEx>
          <w:tblLook w:val="01E0" w:firstRow="1" w:lastRow="1" w:firstColumn="1" w:lastColumn="1" w:noHBand="0" w:noVBand="0"/>
        </w:tblPrEx>
        <w:tc>
          <w:tcPr>
            <w:tcW w:w="1334" w:type="dxa"/>
            <w:vMerge w:val="restart"/>
            <w:vAlign w:val="center"/>
          </w:tcPr>
          <w:p w14:paraId="3D0D22EA" w14:textId="77777777" w:rsidR="00B2609F" w:rsidRPr="00B2609F" w:rsidRDefault="00B2609F" w:rsidP="00B2609F">
            <w:pPr>
              <w:jc w:val="center"/>
              <w:rPr>
                <w:sz w:val="18"/>
                <w:szCs w:val="18"/>
                <w:highlight w:val="yellow"/>
              </w:rPr>
            </w:pPr>
            <w:r w:rsidRPr="00B2609F">
              <w:rPr>
                <w:sz w:val="18"/>
                <w:szCs w:val="18"/>
                <w:highlight w:val="yellow"/>
              </w:rPr>
              <w:t>Participants</w:t>
            </w:r>
          </w:p>
          <w:p w14:paraId="3C013497" w14:textId="77777777" w:rsidR="00B2609F" w:rsidRPr="00B2609F" w:rsidRDefault="00B2609F" w:rsidP="00B2609F">
            <w:pPr>
              <w:jc w:val="center"/>
              <w:rPr>
                <w:sz w:val="18"/>
                <w:szCs w:val="18"/>
                <w:highlight w:val="yellow"/>
              </w:rPr>
            </w:pPr>
            <w:r w:rsidRPr="00B2609F">
              <w:rPr>
                <w:sz w:val="18"/>
                <w:szCs w:val="18"/>
                <w:highlight w:val="yellow"/>
              </w:rPr>
              <w:t>AFU Phone Interview</w:t>
            </w:r>
          </w:p>
          <w:p w14:paraId="154B4692" w14:textId="77777777" w:rsidR="00B2609F" w:rsidRPr="00B2609F" w:rsidRDefault="00B2609F" w:rsidP="00B2609F">
            <w:pPr>
              <w:jc w:val="center"/>
              <w:rPr>
                <w:sz w:val="18"/>
                <w:szCs w:val="18"/>
                <w:highlight w:val="yellow"/>
              </w:rPr>
            </w:pPr>
            <w:r w:rsidRPr="00B2609F">
              <w:rPr>
                <w:sz w:val="18"/>
                <w:szCs w:val="18"/>
                <w:highlight w:val="yellow"/>
              </w:rPr>
              <w:t xml:space="preserve"> (Appendix 15)</w:t>
            </w:r>
          </w:p>
        </w:tc>
        <w:tc>
          <w:tcPr>
            <w:tcW w:w="3184" w:type="dxa"/>
            <w:shd w:val="clear" w:color="auto" w:fill="auto"/>
            <w:vAlign w:val="bottom"/>
          </w:tcPr>
          <w:p w14:paraId="03DF0DFC" w14:textId="77777777" w:rsidR="00B2609F" w:rsidRPr="00B2609F" w:rsidRDefault="00B2609F" w:rsidP="00B2609F">
            <w:pPr>
              <w:autoSpaceDE w:val="0"/>
              <w:autoSpaceDN w:val="0"/>
              <w:rPr>
                <w:rFonts w:asciiTheme="minorHAnsi" w:hAnsiTheme="minorHAnsi"/>
                <w:sz w:val="18"/>
                <w:szCs w:val="18"/>
                <w:highlight w:val="yellow"/>
              </w:rPr>
            </w:pPr>
            <w:r w:rsidRPr="00B2609F">
              <w:rPr>
                <w:rFonts w:asciiTheme="minorHAnsi" w:hAnsiTheme="minorHAnsi"/>
                <w:sz w:val="18"/>
                <w:szCs w:val="18"/>
                <w:highlight w:val="yellow"/>
              </w:rPr>
              <w:t>AFU Year 3</w:t>
            </w:r>
          </w:p>
        </w:tc>
        <w:tc>
          <w:tcPr>
            <w:tcW w:w="990" w:type="dxa"/>
            <w:shd w:val="clear" w:color="auto" w:fill="auto"/>
            <w:vAlign w:val="bottom"/>
          </w:tcPr>
          <w:p w14:paraId="1F281FD7"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3146</w:t>
            </w:r>
          </w:p>
        </w:tc>
        <w:tc>
          <w:tcPr>
            <w:tcW w:w="1170" w:type="dxa"/>
            <w:shd w:val="clear" w:color="auto" w:fill="auto"/>
            <w:vAlign w:val="bottom"/>
          </w:tcPr>
          <w:p w14:paraId="615A43C9"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5EE75733"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6C092FEB"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787</w:t>
            </w:r>
          </w:p>
        </w:tc>
      </w:tr>
      <w:tr w:rsidR="00B2609F" w:rsidRPr="00B2609F" w14:paraId="6127F9D7" w14:textId="77777777" w:rsidTr="00366CC0">
        <w:tblPrEx>
          <w:tblLook w:val="01E0" w:firstRow="1" w:lastRow="1" w:firstColumn="1" w:lastColumn="1" w:noHBand="0" w:noVBand="0"/>
        </w:tblPrEx>
        <w:tc>
          <w:tcPr>
            <w:tcW w:w="1334" w:type="dxa"/>
            <w:vMerge/>
          </w:tcPr>
          <w:p w14:paraId="4CA05ED8"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vAlign w:val="bottom"/>
          </w:tcPr>
          <w:p w14:paraId="3F635757" w14:textId="77777777" w:rsidR="00B2609F" w:rsidRPr="00B2609F" w:rsidRDefault="00B2609F" w:rsidP="00B2609F">
            <w:pPr>
              <w:autoSpaceDE w:val="0"/>
              <w:autoSpaceDN w:val="0"/>
              <w:rPr>
                <w:rFonts w:asciiTheme="minorHAnsi" w:hAnsiTheme="minorHAnsi"/>
                <w:sz w:val="18"/>
                <w:szCs w:val="18"/>
                <w:highlight w:val="yellow"/>
              </w:rPr>
            </w:pPr>
            <w:r w:rsidRPr="00B2609F">
              <w:rPr>
                <w:rFonts w:asciiTheme="minorHAnsi" w:hAnsiTheme="minorHAnsi"/>
                <w:sz w:val="18"/>
                <w:szCs w:val="18"/>
                <w:highlight w:val="yellow"/>
              </w:rPr>
              <w:t>AFU Year 4</w:t>
            </w:r>
          </w:p>
        </w:tc>
        <w:tc>
          <w:tcPr>
            <w:tcW w:w="990" w:type="dxa"/>
            <w:shd w:val="clear" w:color="auto" w:fill="auto"/>
            <w:vAlign w:val="bottom"/>
          </w:tcPr>
          <w:p w14:paraId="611A7A66"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9033</w:t>
            </w:r>
          </w:p>
        </w:tc>
        <w:tc>
          <w:tcPr>
            <w:tcW w:w="1170" w:type="dxa"/>
            <w:shd w:val="clear" w:color="auto" w:fill="auto"/>
            <w:vAlign w:val="bottom"/>
          </w:tcPr>
          <w:p w14:paraId="4FD67412"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712FA848"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4C57D8E0"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2258</w:t>
            </w:r>
          </w:p>
        </w:tc>
      </w:tr>
      <w:tr w:rsidR="00B2609F" w:rsidRPr="00B2609F" w14:paraId="1851C8B3" w14:textId="77777777" w:rsidTr="00366CC0">
        <w:tblPrEx>
          <w:tblLook w:val="01E0" w:firstRow="1" w:lastRow="1" w:firstColumn="1" w:lastColumn="1" w:noHBand="0" w:noVBand="0"/>
        </w:tblPrEx>
        <w:tc>
          <w:tcPr>
            <w:tcW w:w="1334" w:type="dxa"/>
            <w:vMerge/>
          </w:tcPr>
          <w:p w14:paraId="55A89F98"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40FF790A" w14:textId="77777777" w:rsidR="00B2609F" w:rsidRPr="00B2609F" w:rsidRDefault="00B2609F" w:rsidP="00B2609F">
            <w:pPr>
              <w:rPr>
                <w:highlight w:val="yellow"/>
              </w:rPr>
            </w:pPr>
            <w:r w:rsidRPr="00B2609F">
              <w:rPr>
                <w:rFonts w:asciiTheme="minorHAnsi" w:hAnsiTheme="minorHAnsi"/>
                <w:sz w:val="18"/>
                <w:szCs w:val="18"/>
                <w:highlight w:val="yellow"/>
              </w:rPr>
              <w:t>AFU Year 5</w:t>
            </w:r>
          </w:p>
        </w:tc>
        <w:tc>
          <w:tcPr>
            <w:tcW w:w="990" w:type="dxa"/>
            <w:shd w:val="clear" w:color="auto" w:fill="auto"/>
            <w:vAlign w:val="bottom"/>
          </w:tcPr>
          <w:p w14:paraId="23D340E9"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14259</w:t>
            </w:r>
          </w:p>
        </w:tc>
        <w:tc>
          <w:tcPr>
            <w:tcW w:w="1170" w:type="dxa"/>
            <w:shd w:val="clear" w:color="auto" w:fill="auto"/>
            <w:vAlign w:val="bottom"/>
          </w:tcPr>
          <w:p w14:paraId="7A6E0109"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692AA0AA"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23629744"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3565</w:t>
            </w:r>
          </w:p>
        </w:tc>
      </w:tr>
      <w:tr w:rsidR="00B2609F" w:rsidRPr="00B2609F" w14:paraId="446DB75C" w14:textId="77777777" w:rsidTr="00366CC0">
        <w:tblPrEx>
          <w:tblLook w:val="01E0" w:firstRow="1" w:lastRow="1" w:firstColumn="1" w:lastColumn="1" w:noHBand="0" w:noVBand="0"/>
        </w:tblPrEx>
        <w:tc>
          <w:tcPr>
            <w:tcW w:w="1334" w:type="dxa"/>
            <w:vMerge/>
          </w:tcPr>
          <w:p w14:paraId="148D28F6"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0669261C" w14:textId="77777777" w:rsidR="00B2609F" w:rsidRPr="00B2609F" w:rsidRDefault="00B2609F" w:rsidP="00B2609F">
            <w:pPr>
              <w:rPr>
                <w:highlight w:val="yellow"/>
              </w:rPr>
            </w:pPr>
            <w:r w:rsidRPr="00B2609F">
              <w:rPr>
                <w:rFonts w:asciiTheme="minorHAnsi" w:hAnsiTheme="minorHAnsi"/>
                <w:sz w:val="18"/>
                <w:szCs w:val="18"/>
                <w:highlight w:val="yellow"/>
              </w:rPr>
              <w:t>AFU Year 6</w:t>
            </w:r>
          </w:p>
        </w:tc>
        <w:tc>
          <w:tcPr>
            <w:tcW w:w="990" w:type="dxa"/>
            <w:shd w:val="clear" w:color="auto" w:fill="auto"/>
            <w:vAlign w:val="bottom"/>
          </w:tcPr>
          <w:p w14:paraId="0AE7B141"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16222</w:t>
            </w:r>
          </w:p>
        </w:tc>
        <w:tc>
          <w:tcPr>
            <w:tcW w:w="1170" w:type="dxa"/>
            <w:shd w:val="clear" w:color="auto" w:fill="auto"/>
            <w:vAlign w:val="bottom"/>
          </w:tcPr>
          <w:p w14:paraId="7587BD1D"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736EEBB5"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0155676F"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4055</w:t>
            </w:r>
          </w:p>
        </w:tc>
      </w:tr>
      <w:tr w:rsidR="00B2609F" w:rsidRPr="00B2609F" w14:paraId="64572198" w14:textId="77777777" w:rsidTr="00366CC0">
        <w:tblPrEx>
          <w:tblLook w:val="01E0" w:firstRow="1" w:lastRow="1" w:firstColumn="1" w:lastColumn="1" w:noHBand="0" w:noVBand="0"/>
        </w:tblPrEx>
        <w:tc>
          <w:tcPr>
            <w:tcW w:w="1334" w:type="dxa"/>
            <w:vMerge/>
          </w:tcPr>
          <w:p w14:paraId="40201A71"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2AA33413" w14:textId="77777777" w:rsidR="00B2609F" w:rsidRPr="00B2609F" w:rsidRDefault="00B2609F" w:rsidP="00B2609F">
            <w:pPr>
              <w:rPr>
                <w:highlight w:val="yellow"/>
              </w:rPr>
            </w:pPr>
            <w:r w:rsidRPr="00B2609F">
              <w:rPr>
                <w:rFonts w:asciiTheme="minorHAnsi" w:hAnsiTheme="minorHAnsi"/>
                <w:sz w:val="18"/>
                <w:szCs w:val="18"/>
                <w:highlight w:val="yellow"/>
              </w:rPr>
              <w:t>AFU Year 7</w:t>
            </w:r>
          </w:p>
        </w:tc>
        <w:tc>
          <w:tcPr>
            <w:tcW w:w="990" w:type="dxa"/>
            <w:shd w:val="clear" w:color="auto" w:fill="auto"/>
            <w:vAlign w:val="bottom"/>
          </w:tcPr>
          <w:p w14:paraId="52117A45"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16222</w:t>
            </w:r>
          </w:p>
        </w:tc>
        <w:tc>
          <w:tcPr>
            <w:tcW w:w="1170" w:type="dxa"/>
            <w:shd w:val="clear" w:color="auto" w:fill="auto"/>
            <w:vAlign w:val="bottom"/>
          </w:tcPr>
          <w:p w14:paraId="038C79D8"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3F2AFF9A"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6F9C9042"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4055</w:t>
            </w:r>
          </w:p>
        </w:tc>
      </w:tr>
      <w:tr w:rsidR="00B2609F" w:rsidRPr="00B2609F" w14:paraId="3A63329C" w14:textId="77777777" w:rsidTr="00366CC0">
        <w:tblPrEx>
          <w:tblLook w:val="01E0" w:firstRow="1" w:lastRow="1" w:firstColumn="1" w:lastColumn="1" w:noHBand="0" w:noVBand="0"/>
        </w:tblPrEx>
        <w:tc>
          <w:tcPr>
            <w:tcW w:w="1334" w:type="dxa"/>
            <w:vMerge/>
          </w:tcPr>
          <w:p w14:paraId="7DB0BA87"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tcPr>
          <w:p w14:paraId="7FF0C5F9" w14:textId="77777777" w:rsidR="00B2609F" w:rsidRPr="00B2609F" w:rsidRDefault="00B2609F" w:rsidP="00B2609F">
            <w:pPr>
              <w:rPr>
                <w:highlight w:val="yellow"/>
              </w:rPr>
            </w:pPr>
            <w:r w:rsidRPr="00B2609F">
              <w:rPr>
                <w:rFonts w:asciiTheme="minorHAnsi" w:hAnsiTheme="minorHAnsi"/>
                <w:sz w:val="18"/>
                <w:szCs w:val="18"/>
                <w:highlight w:val="yellow"/>
              </w:rPr>
              <w:t>AFU Year 8</w:t>
            </w:r>
          </w:p>
        </w:tc>
        <w:tc>
          <w:tcPr>
            <w:tcW w:w="990" w:type="dxa"/>
            <w:shd w:val="clear" w:color="auto" w:fill="auto"/>
            <w:vAlign w:val="bottom"/>
          </w:tcPr>
          <w:p w14:paraId="52E7E81A"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16222</w:t>
            </w:r>
          </w:p>
        </w:tc>
        <w:tc>
          <w:tcPr>
            <w:tcW w:w="1170" w:type="dxa"/>
            <w:shd w:val="clear" w:color="auto" w:fill="auto"/>
            <w:vAlign w:val="bottom"/>
          </w:tcPr>
          <w:p w14:paraId="25C01705"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553FF208"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1135073C"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4055</w:t>
            </w:r>
          </w:p>
        </w:tc>
      </w:tr>
      <w:tr w:rsidR="00B2609F" w:rsidRPr="00B2609F" w14:paraId="49C79611" w14:textId="77777777" w:rsidTr="00366CC0">
        <w:tblPrEx>
          <w:tblLook w:val="01E0" w:firstRow="1" w:lastRow="1" w:firstColumn="1" w:lastColumn="1" w:noHBand="0" w:noVBand="0"/>
        </w:tblPrEx>
        <w:tc>
          <w:tcPr>
            <w:tcW w:w="1334" w:type="dxa"/>
            <w:vMerge/>
          </w:tcPr>
          <w:p w14:paraId="0A994BCA"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vAlign w:val="bottom"/>
          </w:tcPr>
          <w:p w14:paraId="35FD31F1" w14:textId="77777777" w:rsidR="00B2609F" w:rsidRPr="00B2609F" w:rsidRDefault="00B2609F" w:rsidP="00B2609F">
            <w:pPr>
              <w:autoSpaceDE w:val="0"/>
              <w:autoSpaceDN w:val="0"/>
              <w:rPr>
                <w:rFonts w:asciiTheme="minorHAnsi" w:hAnsiTheme="minorHAnsi"/>
                <w:sz w:val="18"/>
                <w:szCs w:val="18"/>
                <w:highlight w:val="yellow"/>
              </w:rPr>
            </w:pPr>
            <w:r w:rsidRPr="00B2609F">
              <w:rPr>
                <w:rFonts w:asciiTheme="minorHAnsi" w:hAnsiTheme="minorHAnsi"/>
                <w:sz w:val="18"/>
                <w:szCs w:val="18"/>
                <w:highlight w:val="yellow"/>
              </w:rPr>
              <w:t>AFU Year 9</w:t>
            </w:r>
          </w:p>
        </w:tc>
        <w:tc>
          <w:tcPr>
            <w:tcW w:w="990" w:type="dxa"/>
            <w:shd w:val="clear" w:color="auto" w:fill="auto"/>
            <w:vAlign w:val="bottom"/>
          </w:tcPr>
          <w:p w14:paraId="4D71AECF"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16222</w:t>
            </w:r>
          </w:p>
        </w:tc>
        <w:tc>
          <w:tcPr>
            <w:tcW w:w="1170" w:type="dxa"/>
            <w:shd w:val="clear" w:color="auto" w:fill="auto"/>
            <w:vAlign w:val="bottom"/>
          </w:tcPr>
          <w:p w14:paraId="1D4C2740"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0D8A72E2"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1365F729"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4055</w:t>
            </w:r>
          </w:p>
        </w:tc>
      </w:tr>
      <w:tr w:rsidR="00B2609F" w:rsidRPr="00B2609F" w14:paraId="727DE66E" w14:textId="77777777" w:rsidTr="00366CC0">
        <w:tblPrEx>
          <w:tblLook w:val="01E0" w:firstRow="1" w:lastRow="1" w:firstColumn="1" w:lastColumn="1" w:noHBand="0" w:noVBand="0"/>
        </w:tblPrEx>
        <w:tc>
          <w:tcPr>
            <w:tcW w:w="1334" w:type="dxa"/>
            <w:vMerge/>
          </w:tcPr>
          <w:p w14:paraId="08D4F088"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vAlign w:val="bottom"/>
          </w:tcPr>
          <w:p w14:paraId="6C1C4986" w14:textId="77777777" w:rsidR="00B2609F" w:rsidRPr="00B2609F" w:rsidRDefault="00B2609F" w:rsidP="00B2609F">
            <w:pPr>
              <w:autoSpaceDE w:val="0"/>
              <w:autoSpaceDN w:val="0"/>
              <w:rPr>
                <w:rFonts w:asciiTheme="minorHAnsi" w:hAnsiTheme="minorHAnsi"/>
                <w:sz w:val="18"/>
                <w:szCs w:val="18"/>
                <w:highlight w:val="yellow"/>
              </w:rPr>
            </w:pPr>
            <w:r w:rsidRPr="00B2609F">
              <w:rPr>
                <w:rFonts w:asciiTheme="minorHAnsi" w:hAnsiTheme="minorHAnsi"/>
                <w:sz w:val="18"/>
                <w:szCs w:val="18"/>
                <w:highlight w:val="yellow"/>
              </w:rPr>
              <w:t>AFU Year 10</w:t>
            </w:r>
          </w:p>
        </w:tc>
        <w:tc>
          <w:tcPr>
            <w:tcW w:w="990" w:type="dxa"/>
            <w:shd w:val="clear" w:color="auto" w:fill="auto"/>
            <w:vAlign w:val="bottom"/>
          </w:tcPr>
          <w:p w14:paraId="143D9BC2"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16222</w:t>
            </w:r>
          </w:p>
        </w:tc>
        <w:tc>
          <w:tcPr>
            <w:tcW w:w="1170" w:type="dxa"/>
            <w:shd w:val="clear" w:color="auto" w:fill="auto"/>
            <w:vAlign w:val="bottom"/>
          </w:tcPr>
          <w:p w14:paraId="1A8D218B"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334C9096"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1B53A216"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4055</w:t>
            </w:r>
          </w:p>
        </w:tc>
      </w:tr>
      <w:tr w:rsidR="00B2609F" w:rsidRPr="00B2609F" w14:paraId="78A394BE" w14:textId="77777777" w:rsidTr="00366CC0">
        <w:tblPrEx>
          <w:tblLook w:val="01E0" w:firstRow="1" w:lastRow="1" w:firstColumn="1" w:lastColumn="1" w:noHBand="0" w:noVBand="0"/>
        </w:tblPrEx>
        <w:tc>
          <w:tcPr>
            <w:tcW w:w="1334" w:type="dxa"/>
            <w:vMerge/>
          </w:tcPr>
          <w:p w14:paraId="62FDEBE4" w14:textId="77777777" w:rsidR="00B2609F" w:rsidRPr="00B2609F" w:rsidRDefault="00B2609F" w:rsidP="00B2609F">
            <w:pPr>
              <w:pStyle w:val="a"/>
              <w:rPr>
                <w:rFonts w:asciiTheme="minorHAnsi" w:hAnsiTheme="minorHAnsi"/>
                <w:b/>
                <w:sz w:val="18"/>
                <w:szCs w:val="18"/>
                <w:highlight w:val="yellow"/>
              </w:rPr>
            </w:pPr>
          </w:p>
        </w:tc>
        <w:tc>
          <w:tcPr>
            <w:tcW w:w="3184" w:type="dxa"/>
            <w:shd w:val="clear" w:color="auto" w:fill="auto"/>
            <w:vAlign w:val="bottom"/>
          </w:tcPr>
          <w:p w14:paraId="424F7341" w14:textId="77777777" w:rsidR="00B2609F" w:rsidRPr="00B2609F" w:rsidRDefault="00B2609F" w:rsidP="00B2609F">
            <w:pPr>
              <w:autoSpaceDE w:val="0"/>
              <w:autoSpaceDN w:val="0"/>
              <w:rPr>
                <w:rFonts w:asciiTheme="minorHAnsi" w:hAnsiTheme="minorHAnsi"/>
                <w:sz w:val="18"/>
                <w:szCs w:val="18"/>
                <w:highlight w:val="yellow"/>
              </w:rPr>
            </w:pPr>
            <w:r w:rsidRPr="00B2609F">
              <w:rPr>
                <w:rFonts w:asciiTheme="minorHAnsi" w:hAnsiTheme="minorHAnsi"/>
                <w:sz w:val="18"/>
                <w:szCs w:val="18"/>
                <w:highlight w:val="yellow"/>
              </w:rPr>
              <w:t>AFU Year 11</w:t>
            </w:r>
          </w:p>
        </w:tc>
        <w:tc>
          <w:tcPr>
            <w:tcW w:w="990" w:type="dxa"/>
            <w:shd w:val="clear" w:color="auto" w:fill="auto"/>
            <w:vAlign w:val="bottom"/>
          </w:tcPr>
          <w:p w14:paraId="7D054DE4" w14:textId="77777777" w:rsidR="00B2609F" w:rsidRPr="00B2609F" w:rsidRDefault="00B2609F" w:rsidP="00B2609F">
            <w:pPr>
              <w:ind w:left="18" w:right="216"/>
              <w:jc w:val="right"/>
              <w:rPr>
                <w:rFonts w:asciiTheme="minorHAnsi" w:hAnsiTheme="minorHAnsi"/>
                <w:sz w:val="18"/>
                <w:szCs w:val="18"/>
                <w:highlight w:val="yellow"/>
              </w:rPr>
            </w:pPr>
            <w:r w:rsidRPr="00B2609F">
              <w:rPr>
                <w:rFonts w:asciiTheme="minorHAnsi" w:hAnsiTheme="minorHAnsi"/>
                <w:sz w:val="18"/>
                <w:szCs w:val="18"/>
                <w:highlight w:val="yellow"/>
              </w:rPr>
              <w:t>16222</w:t>
            </w:r>
          </w:p>
        </w:tc>
        <w:tc>
          <w:tcPr>
            <w:tcW w:w="1170" w:type="dxa"/>
            <w:shd w:val="clear" w:color="auto" w:fill="auto"/>
            <w:vAlign w:val="bottom"/>
          </w:tcPr>
          <w:p w14:paraId="4F8A1665" w14:textId="77777777" w:rsidR="00B2609F" w:rsidRPr="00B2609F" w:rsidRDefault="00B2609F" w:rsidP="00B2609F">
            <w:pPr>
              <w:jc w:val="center"/>
              <w:rPr>
                <w:rFonts w:asciiTheme="minorHAnsi" w:hAnsiTheme="minorHAnsi"/>
                <w:sz w:val="18"/>
                <w:szCs w:val="18"/>
                <w:highlight w:val="yellow"/>
              </w:rPr>
            </w:pPr>
            <w:r w:rsidRPr="00B2609F">
              <w:rPr>
                <w:rFonts w:asciiTheme="minorHAnsi" w:hAnsiTheme="minorHAnsi"/>
                <w:sz w:val="18"/>
                <w:szCs w:val="18"/>
                <w:highlight w:val="yellow"/>
              </w:rPr>
              <w:t>1</w:t>
            </w:r>
          </w:p>
        </w:tc>
        <w:tc>
          <w:tcPr>
            <w:tcW w:w="1350" w:type="dxa"/>
            <w:shd w:val="clear" w:color="auto" w:fill="auto"/>
            <w:vAlign w:val="bottom"/>
          </w:tcPr>
          <w:p w14:paraId="7F89F030" w14:textId="77777777" w:rsidR="00B2609F" w:rsidRPr="00B2609F" w:rsidRDefault="00B2609F"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15/60</w:t>
            </w:r>
          </w:p>
        </w:tc>
        <w:tc>
          <w:tcPr>
            <w:tcW w:w="1350" w:type="dxa"/>
            <w:shd w:val="clear" w:color="auto" w:fill="auto"/>
            <w:vAlign w:val="bottom"/>
          </w:tcPr>
          <w:p w14:paraId="69D056EC" w14:textId="77777777" w:rsidR="00B2609F" w:rsidRPr="00B2609F" w:rsidRDefault="00B2609F" w:rsidP="00B2609F">
            <w:pPr>
              <w:ind w:right="524"/>
              <w:jc w:val="right"/>
              <w:rPr>
                <w:rFonts w:ascii="Calibri" w:hAnsi="Calibri"/>
                <w:color w:val="000000"/>
                <w:sz w:val="18"/>
                <w:szCs w:val="18"/>
                <w:highlight w:val="yellow"/>
              </w:rPr>
            </w:pPr>
            <w:r w:rsidRPr="00B2609F">
              <w:rPr>
                <w:rFonts w:ascii="Calibri" w:hAnsi="Calibri"/>
                <w:color w:val="000000"/>
                <w:sz w:val="18"/>
                <w:szCs w:val="18"/>
                <w:highlight w:val="yellow"/>
              </w:rPr>
              <w:t>4055</w:t>
            </w:r>
          </w:p>
        </w:tc>
      </w:tr>
      <w:tr w:rsidR="00BF6593" w:rsidRPr="008338E8" w14:paraId="7E9A2F8C" w14:textId="77777777" w:rsidTr="00366CC0">
        <w:tblPrEx>
          <w:tblLook w:val="01E0" w:firstRow="1" w:lastRow="1" w:firstColumn="1" w:lastColumn="1" w:noHBand="0" w:noVBand="0"/>
        </w:tblPrEx>
        <w:tc>
          <w:tcPr>
            <w:tcW w:w="1334" w:type="dxa"/>
          </w:tcPr>
          <w:p w14:paraId="368E2447" w14:textId="77777777" w:rsidR="00BF6593" w:rsidRPr="00B2609F" w:rsidRDefault="00BF6593" w:rsidP="00B2609F">
            <w:pPr>
              <w:pStyle w:val="a"/>
              <w:rPr>
                <w:rFonts w:asciiTheme="minorHAnsi" w:hAnsiTheme="minorHAnsi"/>
                <w:b/>
                <w:sz w:val="18"/>
                <w:szCs w:val="18"/>
                <w:highlight w:val="yellow"/>
              </w:rPr>
            </w:pPr>
          </w:p>
        </w:tc>
        <w:tc>
          <w:tcPr>
            <w:tcW w:w="3184" w:type="dxa"/>
            <w:shd w:val="clear" w:color="auto" w:fill="auto"/>
            <w:vAlign w:val="bottom"/>
          </w:tcPr>
          <w:p w14:paraId="061276D0" w14:textId="77777777" w:rsidR="00BF6593" w:rsidRPr="00B2609F" w:rsidRDefault="00BF6593" w:rsidP="00B2609F">
            <w:pPr>
              <w:autoSpaceDE w:val="0"/>
              <w:autoSpaceDN w:val="0"/>
              <w:jc w:val="center"/>
              <w:rPr>
                <w:rFonts w:asciiTheme="minorHAnsi" w:hAnsiTheme="minorHAnsi"/>
                <w:sz w:val="18"/>
                <w:szCs w:val="18"/>
                <w:highlight w:val="yellow"/>
              </w:rPr>
            </w:pPr>
            <w:r w:rsidRPr="00B2609F">
              <w:rPr>
                <w:rFonts w:asciiTheme="minorHAnsi" w:hAnsiTheme="minorHAnsi"/>
                <w:sz w:val="18"/>
                <w:szCs w:val="18"/>
                <w:highlight w:val="yellow"/>
              </w:rPr>
              <w:t>Total</w:t>
            </w:r>
          </w:p>
        </w:tc>
        <w:tc>
          <w:tcPr>
            <w:tcW w:w="990" w:type="dxa"/>
            <w:shd w:val="clear" w:color="auto" w:fill="auto"/>
            <w:vAlign w:val="bottom"/>
          </w:tcPr>
          <w:p w14:paraId="0D64B3D3" w14:textId="77777777" w:rsidR="00BF6593" w:rsidRPr="00B2609F" w:rsidRDefault="00BF6593" w:rsidP="00B2609F">
            <w:pPr>
              <w:ind w:left="18" w:right="216"/>
              <w:jc w:val="right"/>
              <w:rPr>
                <w:rFonts w:asciiTheme="minorHAnsi" w:hAnsiTheme="minorHAnsi"/>
                <w:sz w:val="18"/>
                <w:szCs w:val="18"/>
                <w:highlight w:val="yellow"/>
              </w:rPr>
            </w:pPr>
          </w:p>
        </w:tc>
        <w:tc>
          <w:tcPr>
            <w:tcW w:w="1170" w:type="dxa"/>
            <w:shd w:val="clear" w:color="auto" w:fill="auto"/>
            <w:vAlign w:val="bottom"/>
          </w:tcPr>
          <w:p w14:paraId="6B536A36" w14:textId="77777777" w:rsidR="00BF6593" w:rsidRPr="00B2609F" w:rsidRDefault="00BF6593" w:rsidP="00B2609F">
            <w:pPr>
              <w:jc w:val="center"/>
              <w:rPr>
                <w:rFonts w:asciiTheme="minorHAnsi" w:hAnsiTheme="minorHAnsi"/>
                <w:sz w:val="18"/>
                <w:szCs w:val="18"/>
                <w:highlight w:val="yellow"/>
              </w:rPr>
            </w:pPr>
          </w:p>
        </w:tc>
        <w:tc>
          <w:tcPr>
            <w:tcW w:w="1350" w:type="dxa"/>
            <w:shd w:val="clear" w:color="auto" w:fill="auto"/>
            <w:vAlign w:val="bottom"/>
          </w:tcPr>
          <w:p w14:paraId="7A1E7B2C" w14:textId="77777777" w:rsidR="00BF6593" w:rsidRPr="00B2609F" w:rsidRDefault="00BF6593" w:rsidP="00B2609F">
            <w:pPr>
              <w:pStyle w:val="a"/>
              <w:ind w:left="0" w:right="468"/>
              <w:jc w:val="right"/>
              <w:rPr>
                <w:rFonts w:asciiTheme="minorHAnsi" w:hAnsiTheme="minorHAnsi"/>
                <w:sz w:val="18"/>
                <w:szCs w:val="18"/>
                <w:highlight w:val="yellow"/>
              </w:rPr>
            </w:pPr>
            <w:r w:rsidRPr="00B2609F">
              <w:rPr>
                <w:rFonts w:asciiTheme="minorHAnsi" w:hAnsiTheme="minorHAnsi"/>
                <w:sz w:val="18"/>
                <w:szCs w:val="18"/>
                <w:highlight w:val="yellow"/>
              </w:rPr>
              <w:t>120/60</w:t>
            </w:r>
          </w:p>
        </w:tc>
        <w:tc>
          <w:tcPr>
            <w:tcW w:w="1350" w:type="dxa"/>
            <w:shd w:val="clear" w:color="auto" w:fill="auto"/>
            <w:vAlign w:val="bottom"/>
          </w:tcPr>
          <w:p w14:paraId="7E6833DA" w14:textId="77777777" w:rsidR="00BF6593" w:rsidRPr="008338E8" w:rsidRDefault="00BF6593" w:rsidP="00B2609F">
            <w:pPr>
              <w:ind w:right="524"/>
              <w:jc w:val="right"/>
              <w:rPr>
                <w:rFonts w:ascii="Calibri" w:hAnsi="Calibri"/>
                <w:b/>
                <w:color w:val="000000"/>
                <w:sz w:val="18"/>
                <w:szCs w:val="18"/>
              </w:rPr>
            </w:pPr>
            <w:r w:rsidRPr="00B2609F">
              <w:rPr>
                <w:rFonts w:ascii="Calibri" w:hAnsi="Calibri"/>
                <w:b/>
                <w:color w:val="000000"/>
                <w:sz w:val="18"/>
                <w:szCs w:val="18"/>
                <w:highlight w:val="yellow"/>
              </w:rPr>
              <w:fldChar w:fldCharType="begin"/>
            </w:r>
            <w:r w:rsidRPr="00B2609F">
              <w:rPr>
                <w:rFonts w:ascii="Calibri" w:hAnsi="Calibri"/>
                <w:b/>
                <w:color w:val="000000"/>
                <w:sz w:val="18"/>
                <w:szCs w:val="18"/>
                <w:highlight w:val="yellow"/>
              </w:rPr>
              <w:instrText xml:space="preserve"> =SUM(ABOVE) </w:instrText>
            </w:r>
            <w:r w:rsidRPr="00B2609F">
              <w:rPr>
                <w:rFonts w:ascii="Calibri" w:hAnsi="Calibri"/>
                <w:b/>
                <w:color w:val="000000"/>
                <w:sz w:val="18"/>
                <w:szCs w:val="18"/>
                <w:highlight w:val="yellow"/>
              </w:rPr>
              <w:fldChar w:fldCharType="separate"/>
            </w:r>
            <w:r w:rsidRPr="00B2609F">
              <w:rPr>
                <w:rFonts w:ascii="Calibri" w:hAnsi="Calibri"/>
                <w:b/>
                <w:noProof/>
                <w:color w:val="000000"/>
                <w:sz w:val="18"/>
                <w:szCs w:val="18"/>
                <w:highlight w:val="yellow"/>
              </w:rPr>
              <w:t>30940</w:t>
            </w:r>
            <w:r w:rsidRPr="00B2609F">
              <w:rPr>
                <w:rFonts w:ascii="Calibri" w:hAnsi="Calibri"/>
                <w:b/>
                <w:color w:val="000000"/>
                <w:sz w:val="18"/>
                <w:szCs w:val="18"/>
                <w:highlight w:val="yellow"/>
              </w:rPr>
              <w:fldChar w:fldCharType="end"/>
            </w:r>
          </w:p>
        </w:tc>
      </w:tr>
    </w:tbl>
    <w:tbl>
      <w:tblPr>
        <w:tblStyle w:val="TableGrid"/>
        <w:tblW w:w="0" w:type="auto"/>
        <w:tblLook w:val="04A0" w:firstRow="1" w:lastRow="0" w:firstColumn="1" w:lastColumn="0" w:noHBand="0" w:noVBand="1"/>
      </w:tblPr>
      <w:tblGrid>
        <w:gridCol w:w="1368"/>
        <w:gridCol w:w="3150"/>
        <w:gridCol w:w="990"/>
        <w:gridCol w:w="1170"/>
        <w:gridCol w:w="1302"/>
        <w:gridCol w:w="1398"/>
      </w:tblGrid>
      <w:tr w:rsidR="00FF6529" w14:paraId="7C633872" w14:textId="77777777" w:rsidTr="002E51E4">
        <w:tc>
          <w:tcPr>
            <w:tcW w:w="1368" w:type="dxa"/>
          </w:tcPr>
          <w:p w14:paraId="222C3C32" w14:textId="77777777" w:rsidR="00FF6529" w:rsidRDefault="00FF6529"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p>
        </w:tc>
        <w:tc>
          <w:tcPr>
            <w:tcW w:w="3150" w:type="dxa"/>
          </w:tcPr>
          <w:p w14:paraId="160E05F6" w14:textId="77777777" w:rsidR="00FF6529" w:rsidRDefault="00FF6529"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p>
        </w:tc>
        <w:tc>
          <w:tcPr>
            <w:tcW w:w="990" w:type="dxa"/>
          </w:tcPr>
          <w:p w14:paraId="33075FE5" w14:textId="77777777" w:rsidR="00FF6529" w:rsidRDefault="00FF6529"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p>
        </w:tc>
        <w:tc>
          <w:tcPr>
            <w:tcW w:w="1170" w:type="dxa"/>
          </w:tcPr>
          <w:p w14:paraId="3CF6B081" w14:textId="77777777" w:rsidR="00FF6529" w:rsidRDefault="00FF6529"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p>
        </w:tc>
        <w:tc>
          <w:tcPr>
            <w:tcW w:w="1302" w:type="dxa"/>
          </w:tcPr>
          <w:p w14:paraId="5EDE164F" w14:textId="77777777" w:rsidR="00FF6529" w:rsidRDefault="00FF6529"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p>
        </w:tc>
        <w:tc>
          <w:tcPr>
            <w:tcW w:w="1398" w:type="dxa"/>
          </w:tcPr>
          <w:p w14:paraId="090ABF8D" w14:textId="77777777" w:rsidR="00FF6529" w:rsidRDefault="00FF6529"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p>
        </w:tc>
      </w:tr>
      <w:tr w:rsidR="00FF6529" w14:paraId="1F60BD53" w14:textId="77777777" w:rsidTr="002E51E4">
        <w:tc>
          <w:tcPr>
            <w:tcW w:w="1368" w:type="dxa"/>
          </w:tcPr>
          <w:p w14:paraId="05795E69" w14:textId="091C727B" w:rsidR="00FF6529" w:rsidRDefault="00FF6529" w:rsidP="00FF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r>
              <w:rPr>
                <w:sz w:val="20"/>
                <w:highlight w:val="yellow"/>
              </w:rPr>
              <w:t xml:space="preserve">Physicians and/or other </w:t>
            </w:r>
            <w:r>
              <w:rPr>
                <w:sz w:val="20"/>
                <w:highlight w:val="yellow"/>
              </w:rPr>
              <w:lastRenderedPageBreak/>
              <w:t>health care providers</w:t>
            </w:r>
          </w:p>
        </w:tc>
        <w:tc>
          <w:tcPr>
            <w:tcW w:w="3150" w:type="dxa"/>
          </w:tcPr>
          <w:p w14:paraId="1C279253" w14:textId="6269B2E8" w:rsidR="00FF6529" w:rsidRDefault="00FF6529" w:rsidP="00FF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r w:rsidRPr="00CE3EF5">
              <w:rPr>
                <w:rFonts w:asciiTheme="minorHAnsi" w:hAnsiTheme="minorHAnsi" w:cs="Arial"/>
                <w:color w:val="1A1A1A"/>
                <w:sz w:val="18"/>
                <w:szCs w:val="18"/>
                <w:highlight w:val="yellow"/>
              </w:rPr>
              <w:lastRenderedPageBreak/>
              <w:t xml:space="preserve">Hospitalization records/ physician interview   </w:t>
            </w:r>
            <w:r>
              <w:rPr>
                <w:rFonts w:asciiTheme="minorHAnsi" w:hAnsiTheme="minorHAnsi" w:cs="Arial"/>
                <w:color w:val="1A1A1A"/>
                <w:sz w:val="18"/>
                <w:szCs w:val="18"/>
                <w:highlight w:val="yellow"/>
              </w:rPr>
              <w:t>(Appendix 16, PQE)</w:t>
            </w:r>
            <w:r w:rsidRPr="00CE3EF5">
              <w:rPr>
                <w:rFonts w:asciiTheme="minorHAnsi" w:hAnsiTheme="minorHAnsi" w:cs="Arial"/>
                <w:color w:val="1A1A1A"/>
                <w:sz w:val="18"/>
                <w:szCs w:val="18"/>
                <w:highlight w:val="yellow"/>
              </w:rPr>
              <w:t xml:space="preserve">          </w:t>
            </w:r>
          </w:p>
        </w:tc>
        <w:tc>
          <w:tcPr>
            <w:tcW w:w="990" w:type="dxa"/>
          </w:tcPr>
          <w:p w14:paraId="35254C20" w14:textId="3AE12E27" w:rsidR="00FF6529" w:rsidRPr="002E51E4" w:rsidRDefault="00FF6529"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0"/>
                <w:highlight w:val="yellow"/>
              </w:rPr>
            </w:pPr>
            <w:r w:rsidRPr="002E51E4">
              <w:rPr>
                <w:rFonts w:asciiTheme="majorHAnsi" w:hAnsiTheme="majorHAnsi" w:cs="Arial"/>
                <w:sz w:val="18"/>
                <w:szCs w:val="18"/>
                <w:highlight w:val="yellow"/>
              </w:rPr>
              <w:t>1591</w:t>
            </w:r>
          </w:p>
        </w:tc>
        <w:tc>
          <w:tcPr>
            <w:tcW w:w="1170" w:type="dxa"/>
          </w:tcPr>
          <w:p w14:paraId="72E63686" w14:textId="7DE22764" w:rsidR="00FF6529" w:rsidRPr="002E51E4" w:rsidRDefault="002E51E4"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0"/>
                <w:highlight w:val="yellow"/>
              </w:rPr>
            </w:pPr>
            <w:r w:rsidRPr="002E51E4">
              <w:rPr>
                <w:rFonts w:asciiTheme="majorHAnsi" w:hAnsiTheme="majorHAnsi"/>
                <w:sz w:val="20"/>
                <w:highlight w:val="yellow"/>
              </w:rPr>
              <w:t>1</w:t>
            </w:r>
          </w:p>
        </w:tc>
        <w:tc>
          <w:tcPr>
            <w:tcW w:w="1302" w:type="dxa"/>
          </w:tcPr>
          <w:p w14:paraId="04C696CA" w14:textId="023D2A6A" w:rsidR="00FF6529" w:rsidRPr="002E51E4" w:rsidRDefault="00150922"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0"/>
                <w:highlight w:val="yellow"/>
              </w:rPr>
            </w:pPr>
            <w:r>
              <w:rPr>
                <w:rFonts w:asciiTheme="majorHAnsi" w:hAnsiTheme="majorHAnsi"/>
                <w:sz w:val="20"/>
                <w:highlight w:val="yellow"/>
              </w:rPr>
              <w:t>30/60</w:t>
            </w:r>
          </w:p>
        </w:tc>
        <w:tc>
          <w:tcPr>
            <w:tcW w:w="1398" w:type="dxa"/>
          </w:tcPr>
          <w:p w14:paraId="51936A45" w14:textId="607F2BEF" w:rsidR="00FF6529" w:rsidRPr="002E51E4" w:rsidRDefault="002E51E4"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0"/>
                <w:highlight w:val="yellow"/>
              </w:rPr>
            </w:pPr>
            <w:r w:rsidRPr="002E51E4">
              <w:rPr>
                <w:rFonts w:asciiTheme="majorHAnsi" w:hAnsiTheme="majorHAnsi" w:cs="Arial"/>
                <w:color w:val="1A1A1A"/>
                <w:sz w:val="18"/>
                <w:szCs w:val="18"/>
                <w:highlight w:val="yellow"/>
              </w:rPr>
              <w:t>796</w:t>
            </w:r>
          </w:p>
        </w:tc>
      </w:tr>
      <w:tr w:rsidR="002E51E4" w14:paraId="219756C0" w14:textId="77777777" w:rsidTr="002E51E4">
        <w:tc>
          <w:tcPr>
            <w:tcW w:w="1368" w:type="dxa"/>
          </w:tcPr>
          <w:p w14:paraId="5D4BCDFA" w14:textId="23609334" w:rsidR="002E51E4" w:rsidRDefault="002E51E4"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r>
              <w:rPr>
                <w:sz w:val="20"/>
                <w:highlight w:val="yellow"/>
              </w:rPr>
              <w:lastRenderedPageBreak/>
              <w:t>Informants</w:t>
            </w:r>
          </w:p>
        </w:tc>
        <w:tc>
          <w:tcPr>
            <w:tcW w:w="3150" w:type="dxa"/>
          </w:tcPr>
          <w:p w14:paraId="4029CBD5" w14:textId="2E6D30BA" w:rsidR="002E51E4" w:rsidRDefault="002E51E4" w:rsidP="00FF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highlight w:val="yellow"/>
              </w:rPr>
            </w:pPr>
            <w:r w:rsidRPr="00CE3EF5">
              <w:rPr>
                <w:rFonts w:asciiTheme="minorHAnsi" w:hAnsiTheme="minorHAnsi" w:cs="Arial"/>
                <w:color w:val="1A1A1A"/>
                <w:sz w:val="18"/>
                <w:szCs w:val="18"/>
                <w:highlight w:val="yellow"/>
              </w:rPr>
              <w:t>Informant Interview  Deaths (</w:t>
            </w:r>
            <w:r>
              <w:rPr>
                <w:rFonts w:asciiTheme="minorHAnsi" w:hAnsiTheme="minorHAnsi" w:cs="Arial"/>
                <w:color w:val="1A1A1A"/>
                <w:sz w:val="18"/>
                <w:szCs w:val="18"/>
                <w:highlight w:val="yellow"/>
              </w:rPr>
              <w:t>Appendix 16, IIE/IIS)</w:t>
            </w:r>
          </w:p>
        </w:tc>
        <w:tc>
          <w:tcPr>
            <w:tcW w:w="990" w:type="dxa"/>
          </w:tcPr>
          <w:p w14:paraId="1E7D8651" w14:textId="004F45B3" w:rsidR="002E51E4" w:rsidRPr="002E51E4" w:rsidRDefault="002E51E4"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0"/>
                <w:highlight w:val="yellow"/>
              </w:rPr>
            </w:pPr>
            <w:r w:rsidRPr="002E51E4">
              <w:rPr>
                <w:rFonts w:asciiTheme="majorHAnsi" w:hAnsiTheme="majorHAnsi" w:cs="Arial"/>
                <w:sz w:val="18"/>
                <w:szCs w:val="18"/>
                <w:highlight w:val="yellow"/>
              </w:rPr>
              <w:t>154</w:t>
            </w:r>
          </w:p>
        </w:tc>
        <w:tc>
          <w:tcPr>
            <w:tcW w:w="1170" w:type="dxa"/>
          </w:tcPr>
          <w:p w14:paraId="5096A665" w14:textId="680E262E" w:rsidR="002E51E4" w:rsidRPr="002E51E4" w:rsidRDefault="002E51E4"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0"/>
                <w:highlight w:val="yellow"/>
              </w:rPr>
            </w:pPr>
            <w:r w:rsidRPr="002E51E4">
              <w:rPr>
                <w:rFonts w:asciiTheme="majorHAnsi" w:hAnsiTheme="majorHAnsi"/>
                <w:sz w:val="20"/>
                <w:highlight w:val="yellow"/>
              </w:rPr>
              <w:t>1</w:t>
            </w:r>
          </w:p>
        </w:tc>
        <w:tc>
          <w:tcPr>
            <w:tcW w:w="1302" w:type="dxa"/>
          </w:tcPr>
          <w:p w14:paraId="3E7A49C8" w14:textId="7F90E551" w:rsidR="002E51E4" w:rsidRPr="002E51E4" w:rsidRDefault="00150922"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0"/>
                <w:highlight w:val="yellow"/>
              </w:rPr>
            </w:pPr>
            <w:r>
              <w:rPr>
                <w:rFonts w:asciiTheme="majorHAnsi" w:hAnsiTheme="majorHAnsi"/>
                <w:sz w:val="20"/>
                <w:highlight w:val="yellow"/>
              </w:rPr>
              <w:t>30/60</w:t>
            </w:r>
          </w:p>
        </w:tc>
        <w:tc>
          <w:tcPr>
            <w:tcW w:w="1398" w:type="dxa"/>
          </w:tcPr>
          <w:p w14:paraId="746D565E" w14:textId="6DCD73D8" w:rsidR="002E51E4" w:rsidRPr="002E51E4" w:rsidRDefault="002E51E4"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0"/>
                <w:highlight w:val="yellow"/>
              </w:rPr>
            </w:pPr>
            <w:r w:rsidRPr="002E51E4">
              <w:rPr>
                <w:rFonts w:asciiTheme="majorHAnsi" w:hAnsiTheme="majorHAnsi" w:cs="Arial"/>
                <w:color w:val="1A1A1A"/>
                <w:sz w:val="18"/>
                <w:szCs w:val="18"/>
                <w:highlight w:val="yellow"/>
              </w:rPr>
              <w:t>77</w:t>
            </w:r>
          </w:p>
        </w:tc>
      </w:tr>
      <w:tr w:rsidR="002E51E4" w:rsidRPr="002E51E4" w14:paraId="426F1C5A" w14:textId="77777777" w:rsidTr="002E51E4">
        <w:tc>
          <w:tcPr>
            <w:tcW w:w="1368" w:type="dxa"/>
          </w:tcPr>
          <w:p w14:paraId="45E7CE4E" w14:textId="77777777" w:rsidR="002E51E4" w:rsidRPr="002E51E4" w:rsidRDefault="002E51E4"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highlight w:val="yellow"/>
              </w:rPr>
            </w:pPr>
          </w:p>
        </w:tc>
        <w:tc>
          <w:tcPr>
            <w:tcW w:w="3150" w:type="dxa"/>
          </w:tcPr>
          <w:p w14:paraId="68E255E8" w14:textId="2DF3169B" w:rsidR="002E51E4" w:rsidRPr="002E51E4" w:rsidRDefault="002E51E4" w:rsidP="00FF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highlight w:val="yellow"/>
              </w:rPr>
            </w:pPr>
            <w:r w:rsidRPr="002E51E4">
              <w:rPr>
                <w:sz w:val="18"/>
                <w:szCs w:val="18"/>
                <w:highlight w:val="yellow"/>
              </w:rPr>
              <w:t>Total</w:t>
            </w:r>
          </w:p>
        </w:tc>
        <w:tc>
          <w:tcPr>
            <w:tcW w:w="990" w:type="dxa"/>
          </w:tcPr>
          <w:p w14:paraId="4E06A1BD" w14:textId="77777777" w:rsidR="002E51E4" w:rsidRPr="002E51E4" w:rsidRDefault="002E51E4"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 w:val="18"/>
                <w:szCs w:val="18"/>
                <w:highlight w:val="yellow"/>
              </w:rPr>
            </w:pPr>
          </w:p>
        </w:tc>
        <w:tc>
          <w:tcPr>
            <w:tcW w:w="1170" w:type="dxa"/>
          </w:tcPr>
          <w:p w14:paraId="6F779E2F" w14:textId="77777777" w:rsidR="002E51E4" w:rsidRPr="002E51E4" w:rsidRDefault="002E51E4"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 w:val="18"/>
                <w:szCs w:val="18"/>
                <w:highlight w:val="yellow"/>
              </w:rPr>
            </w:pPr>
          </w:p>
        </w:tc>
        <w:tc>
          <w:tcPr>
            <w:tcW w:w="1302" w:type="dxa"/>
          </w:tcPr>
          <w:p w14:paraId="5AFC58B3" w14:textId="77777777" w:rsidR="002E51E4" w:rsidRPr="002E51E4" w:rsidRDefault="002E51E4"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 w:val="18"/>
                <w:szCs w:val="18"/>
                <w:highlight w:val="yellow"/>
              </w:rPr>
            </w:pPr>
          </w:p>
        </w:tc>
        <w:tc>
          <w:tcPr>
            <w:tcW w:w="1398" w:type="dxa"/>
          </w:tcPr>
          <w:p w14:paraId="1DE3ACF6" w14:textId="01DBA07C" w:rsidR="002E51E4" w:rsidRPr="002E51E4" w:rsidRDefault="002E51E4" w:rsidP="002E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b/>
                <w:sz w:val="18"/>
                <w:szCs w:val="18"/>
                <w:highlight w:val="yellow"/>
              </w:rPr>
            </w:pPr>
            <w:r w:rsidRPr="002E51E4">
              <w:rPr>
                <w:rFonts w:asciiTheme="majorHAnsi" w:hAnsiTheme="majorHAnsi"/>
                <w:b/>
                <w:sz w:val="18"/>
                <w:szCs w:val="18"/>
                <w:highlight w:val="yellow"/>
              </w:rPr>
              <w:t>873</w:t>
            </w:r>
          </w:p>
        </w:tc>
      </w:tr>
    </w:tbl>
    <w:p w14:paraId="30E45618" w14:textId="13317DC2" w:rsidR="00107112" w:rsidRPr="00354720" w:rsidRDefault="00354720" w:rsidP="00354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354720">
        <w:rPr>
          <w:sz w:val="20"/>
          <w:highlight w:val="yellow"/>
        </w:rPr>
        <w:t xml:space="preserve">*The BIO form covers change of clothes, fasting blood glucose determination, fasting blood and urine collection, </w:t>
      </w:r>
      <w:r w:rsidR="007E6D34">
        <w:rPr>
          <w:sz w:val="20"/>
          <w:highlight w:val="yellow"/>
        </w:rPr>
        <w:t>first glucose determination, OGTT and 2h glucose draw</w:t>
      </w:r>
      <w:r>
        <w:rPr>
          <w:sz w:val="20"/>
          <w:highlight w:val="yellow"/>
        </w:rPr>
        <w:t>, as broken down in this table</w:t>
      </w:r>
      <w:r w:rsidRPr="00354720">
        <w:rPr>
          <w:sz w:val="20"/>
          <w:highlight w:val="yellow"/>
        </w:rPr>
        <w:t xml:space="preserve">. The sum of all activities is </w:t>
      </w:r>
      <w:r w:rsidR="007E6D34">
        <w:rPr>
          <w:sz w:val="20"/>
          <w:highlight w:val="yellow"/>
        </w:rPr>
        <w:t>39</w:t>
      </w:r>
      <w:r w:rsidR="00D27504">
        <w:rPr>
          <w:sz w:val="20"/>
          <w:highlight w:val="yellow"/>
        </w:rPr>
        <w:t xml:space="preserve"> min</w:t>
      </w:r>
      <w:r w:rsidRPr="00354720">
        <w:rPr>
          <w:sz w:val="20"/>
          <w:highlight w:val="yellow"/>
        </w:rPr>
        <w:t>.</w:t>
      </w:r>
    </w:p>
    <w:p w14:paraId="624F63DB" w14:textId="77777777" w:rsidR="00354720" w:rsidRDefault="00354720" w:rsidP="00590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mallCaps/>
          <w:szCs w:val="24"/>
          <w:highlight w:val="yellow"/>
        </w:rPr>
      </w:pPr>
    </w:p>
    <w:p w14:paraId="1AB6AD6A" w14:textId="77777777" w:rsidR="00354720" w:rsidRDefault="00354720" w:rsidP="00590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mallCaps/>
          <w:szCs w:val="24"/>
          <w:highlight w:val="yellow"/>
        </w:rPr>
      </w:pPr>
    </w:p>
    <w:p w14:paraId="739CA3AF" w14:textId="4FB468AF" w:rsidR="00B11DAB" w:rsidRPr="009B25C6" w:rsidRDefault="00B11DAB" w:rsidP="00590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mallCaps/>
          <w:szCs w:val="24"/>
          <w:highlight w:val="yellow"/>
        </w:rPr>
      </w:pPr>
      <w:r w:rsidRPr="009B25C6">
        <w:rPr>
          <w:smallCaps/>
          <w:szCs w:val="24"/>
          <w:highlight w:val="yellow"/>
        </w:rPr>
        <w:t>Table A.12</w:t>
      </w:r>
      <w:r w:rsidR="00016BDA" w:rsidRPr="009B25C6">
        <w:rPr>
          <w:smallCaps/>
          <w:szCs w:val="24"/>
          <w:highlight w:val="yellow"/>
        </w:rPr>
        <w:t>.</w:t>
      </w:r>
      <w:r w:rsidR="005E0223" w:rsidRPr="009B25C6">
        <w:rPr>
          <w:smallCaps/>
          <w:szCs w:val="24"/>
          <w:highlight w:val="yellow"/>
        </w:rPr>
        <w:t>2</w:t>
      </w:r>
    </w:p>
    <w:p w14:paraId="1869E927" w14:textId="2F844230" w:rsidR="004A6AA8" w:rsidRPr="009B25C6" w:rsidRDefault="00B11DAB" w:rsidP="00CD0E98">
      <w:pPr>
        <w:pStyle w:val="Title"/>
        <w:spacing w:line="240" w:lineRule="auto"/>
        <w:rPr>
          <w:rFonts w:ascii="Times New Roman" w:hAnsi="Times New Roman"/>
          <w:b w:val="0"/>
          <w:smallCaps/>
          <w:sz w:val="24"/>
          <w:szCs w:val="24"/>
          <w:highlight w:val="yellow"/>
        </w:rPr>
      </w:pPr>
      <w:r w:rsidRPr="009B25C6">
        <w:rPr>
          <w:rFonts w:ascii="Times New Roman" w:hAnsi="Times New Roman"/>
          <w:b w:val="0"/>
          <w:smallCaps/>
          <w:sz w:val="24"/>
          <w:szCs w:val="24"/>
          <w:highlight w:val="yellow"/>
        </w:rPr>
        <w:t xml:space="preserve">Estimates of Administration Time Burden for Examination and Questionnaires </w:t>
      </w:r>
      <w:r w:rsidR="00B845F5" w:rsidRPr="009B25C6">
        <w:rPr>
          <w:rFonts w:ascii="Times New Roman" w:hAnsi="Times New Roman"/>
          <w:b w:val="0"/>
          <w:smallCaps/>
          <w:sz w:val="18"/>
          <w:szCs w:val="18"/>
          <w:highlight w:val="yellow"/>
        </w:rPr>
        <w:t xml:space="preserve">(Appendices </w:t>
      </w:r>
      <w:r w:rsidR="00844922">
        <w:rPr>
          <w:rFonts w:ascii="Times New Roman" w:hAnsi="Times New Roman"/>
          <w:b w:val="0"/>
          <w:smallCaps/>
          <w:sz w:val="18"/>
          <w:szCs w:val="18"/>
          <w:highlight w:val="yellow"/>
        </w:rPr>
        <w:t>11</w:t>
      </w:r>
      <w:r w:rsidR="00B845F5" w:rsidRPr="009B25C6">
        <w:rPr>
          <w:rFonts w:ascii="Times New Roman" w:hAnsi="Times New Roman"/>
          <w:b w:val="0"/>
          <w:smallCaps/>
          <w:sz w:val="18"/>
          <w:szCs w:val="18"/>
          <w:highlight w:val="yellow"/>
        </w:rPr>
        <w:t xml:space="preserve"> and </w:t>
      </w:r>
      <w:r w:rsidR="00732D35" w:rsidRPr="009B25C6">
        <w:rPr>
          <w:rFonts w:ascii="Times New Roman" w:hAnsi="Times New Roman"/>
          <w:b w:val="0"/>
          <w:smallCaps/>
          <w:sz w:val="18"/>
          <w:szCs w:val="18"/>
          <w:highlight w:val="yellow"/>
        </w:rPr>
        <w:t>14</w:t>
      </w:r>
      <w:r w:rsidR="00B845F5" w:rsidRPr="009B25C6">
        <w:rPr>
          <w:rFonts w:ascii="Times New Roman" w:hAnsi="Times New Roman"/>
          <w:b w:val="0"/>
          <w:smallCaps/>
          <w:sz w:val="18"/>
          <w:szCs w:val="18"/>
          <w:highlight w:val="yellow"/>
        </w:rPr>
        <w:t>)</w:t>
      </w:r>
    </w:p>
    <w:tbl>
      <w:tblPr>
        <w:tblpPr w:leftFromText="180" w:rightFromText="180" w:vertAnchor="text" w:horzAnchor="page" w:tblpX="1972" w:tblpY="577"/>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2"/>
        <w:gridCol w:w="1416"/>
      </w:tblGrid>
      <w:tr w:rsidR="00B2609F" w:rsidRPr="00B2609F" w14:paraId="37A0F18F" w14:textId="77777777" w:rsidTr="00B2609F">
        <w:tc>
          <w:tcPr>
            <w:tcW w:w="6432" w:type="dxa"/>
          </w:tcPr>
          <w:p w14:paraId="00DA38B1" w14:textId="77777777" w:rsidR="00B2609F" w:rsidRPr="00B2609F" w:rsidRDefault="00B2609F" w:rsidP="00B2609F">
            <w:pPr>
              <w:tabs>
                <w:tab w:val="left" w:pos="0"/>
              </w:tabs>
              <w:suppressAutoHyphens/>
              <w:spacing w:line="240" w:lineRule="atLeast"/>
              <w:jc w:val="center"/>
              <w:rPr>
                <w:b/>
                <w:sz w:val="16"/>
                <w:szCs w:val="16"/>
                <w:highlight w:val="yellow"/>
              </w:rPr>
            </w:pPr>
            <w:r w:rsidRPr="00B2609F">
              <w:rPr>
                <w:b/>
                <w:sz w:val="16"/>
                <w:szCs w:val="16"/>
                <w:highlight w:val="yellow"/>
              </w:rPr>
              <w:t xml:space="preserve">Exam Procedure, fasting status specification (F) </w:t>
            </w:r>
          </w:p>
        </w:tc>
        <w:tc>
          <w:tcPr>
            <w:tcW w:w="1416" w:type="dxa"/>
          </w:tcPr>
          <w:p w14:paraId="4EBD9ED0" w14:textId="77777777" w:rsidR="00B2609F" w:rsidRPr="00B2609F" w:rsidRDefault="00B2609F" w:rsidP="00B2609F">
            <w:pPr>
              <w:tabs>
                <w:tab w:val="left" w:pos="0"/>
              </w:tabs>
              <w:suppressAutoHyphens/>
              <w:spacing w:line="240" w:lineRule="atLeast"/>
              <w:jc w:val="center"/>
              <w:rPr>
                <w:b/>
                <w:sz w:val="16"/>
                <w:szCs w:val="16"/>
                <w:highlight w:val="yellow"/>
              </w:rPr>
            </w:pPr>
            <w:r w:rsidRPr="00B2609F">
              <w:rPr>
                <w:b/>
                <w:sz w:val="16"/>
                <w:szCs w:val="16"/>
                <w:highlight w:val="yellow"/>
              </w:rPr>
              <w:t>Estimated time</w:t>
            </w:r>
          </w:p>
          <w:p w14:paraId="5B827A76" w14:textId="77777777" w:rsidR="00B2609F" w:rsidRPr="00B2609F" w:rsidRDefault="00B2609F" w:rsidP="00B2609F">
            <w:pPr>
              <w:tabs>
                <w:tab w:val="left" w:pos="0"/>
              </w:tabs>
              <w:suppressAutoHyphens/>
              <w:spacing w:line="240" w:lineRule="atLeast"/>
              <w:jc w:val="center"/>
              <w:rPr>
                <w:b/>
                <w:sz w:val="16"/>
                <w:szCs w:val="16"/>
                <w:highlight w:val="yellow"/>
              </w:rPr>
            </w:pPr>
            <w:r w:rsidRPr="00B2609F">
              <w:rPr>
                <w:b/>
                <w:sz w:val="16"/>
                <w:szCs w:val="16"/>
                <w:highlight w:val="yellow"/>
              </w:rPr>
              <w:t>(minutes)</w:t>
            </w:r>
          </w:p>
        </w:tc>
      </w:tr>
      <w:tr w:rsidR="00B2609F" w:rsidRPr="00B2609F" w14:paraId="444976FB" w14:textId="77777777" w:rsidTr="00B2609F">
        <w:tc>
          <w:tcPr>
            <w:tcW w:w="6432" w:type="dxa"/>
          </w:tcPr>
          <w:p w14:paraId="345FDBFB"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Fasting block</w:t>
            </w:r>
          </w:p>
        </w:tc>
        <w:tc>
          <w:tcPr>
            <w:tcW w:w="1416" w:type="dxa"/>
          </w:tcPr>
          <w:p w14:paraId="5C870EA3"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67</w:t>
            </w:r>
          </w:p>
        </w:tc>
      </w:tr>
      <w:tr w:rsidR="00B2609F" w:rsidRPr="00B2609F" w14:paraId="4BFD6308" w14:textId="77777777" w:rsidTr="00B2609F">
        <w:tc>
          <w:tcPr>
            <w:tcW w:w="6432" w:type="dxa"/>
          </w:tcPr>
          <w:p w14:paraId="51664703"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Participant scheduling and safety screening</w:t>
            </w:r>
          </w:p>
        </w:tc>
        <w:tc>
          <w:tcPr>
            <w:tcW w:w="1416" w:type="dxa"/>
          </w:tcPr>
          <w:p w14:paraId="5BBF1109"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02</w:t>
            </w:r>
          </w:p>
        </w:tc>
      </w:tr>
      <w:tr w:rsidR="00B2609F" w:rsidRPr="00B2609F" w14:paraId="4CEA340E" w14:textId="77777777" w:rsidTr="00B2609F">
        <w:tc>
          <w:tcPr>
            <w:tcW w:w="6432" w:type="dxa"/>
          </w:tcPr>
          <w:p w14:paraId="52CCFECD"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Reception, informed consent, change clothes, urine specimen</w:t>
            </w:r>
          </w:p>
        </w:tc>
        <w:tc>
          <w:tcPr>
            <w:tcW w:w="1416" w:type="dxa"/>
          </w:tcPr>
          <w:p w14:paraId="1D57D099"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30</w:t>
            </w:r>
          </w:p>
        </w:tc>
      </w:tr>
      <w:tr w:rsidR="00B2609F" w:rsidRPr="00B2609F" w14:paraId="745D7100" w14:textId="77777777" w:rsidTr="00B2609F">
        <w:tc>
          <w:tcPr>
            <w:tcW w:w="6432" w:type="dxa"/>
          </w:tcPr>
          <w:p w14:paraId="4FDBD8F3"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Participant disability screening</w:t>
            </w:r>
          </w:p>
        </w:tc>
        <w:tc>
          <w:tcPr>
            <w:tcW w:w="1416" w:type="dxa"/>
          </w:tcPr>
          <w:p w14:paraId="401EB047"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04</w:t>
            </w:r>
          </w:p>
        </w:tc>
      </w:tr>
      <w:tr w:rsidR="00B2609F" w:rsidRPr="00B2609F" w14:paraId="2299E8C3" w14:textId="77777777" w:rsidTr="00B2609F">
        <w:tc>
          <w:tcPr>
            <w:tcW w:w="6432" w:type="dxa"/>
          </w:tcPr>
          <w:p w14:paraId="3FC50BB4"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Participant safety update and exam routing</w:t>
            </w:r>
          </w:p>
        </w:tc>
        <w:tc>
          <w:tcPr>
            <w:tcW w:w="1416" w:type="dxa"/>
          </w:tcPr>
          <w:p w14:paraId="055ED83A"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02</w:t>
            </w:r>
          </w:p>
        </w:tc>
      </w:tr>
      <w:tr w:rsidR="00B2609F" w:rsidRPr="00B2609F" w14:paraId="2876FB63" w14:textId="77777777" w:rsidTr="00B2609F">
        <w:tc>
          <w:tcPr>
            <w:tcW w:w="6432" w:type="dxa"/>
          </w:tcPr>
          <w:p w14:paraId="05834374"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Updated  Personal identifiers and contacts</w:t>
            </w:r>
          </w:p>
        </w:tc>
        <w:tc>
          <w:tcPr>
            <w:tcW w:w="1416" w:type="dxa"/>
          </w:tcPr>
          <w:p w14:paraId="17BF7EFA"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05</w:t>
            </w:r>
          </w:p>
        </w:tc>
      </w:tr>
      <w:tr w:rsidR="00B2609F" w:rsidRPr="00B2609F" w14:paraId="12FDAB2C" w14:textId="77777777" w:rsidTr="00B2609F">
        <w:tc>
          <w:tcPr>
            <w:tcW w:w="6432" w:type="dxa"/>
          </w:tcPr>
          <w:p w14:paraId="7796D223"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Anthropometry (F)</w:t>
            </w:r>
          </w:p>
        </w:tc>
        <w:tc>
          <w:tcPr>
            <w:tcW w:w="1416" w:type="dxa"/>
          </w:tcPr>
          <w:p w14:paraId="70088C5C"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07</w:t>
            </w:r>
          </w:p>
        </w:tc>
      </w:tr>
      <w:tr w:rsidR="00B2609F" w:rsidRPr="00B2609F" w14:paraId="43BC109F" w14:textId="77777777" w:rsidTr="00B2609F">
        <w:tc>
          <w:tcPr>
            <w:tcW w:w="6432" w:type="dxa"/>
          </w:tcPr>
          <w:p w14:paraId="289C734E"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Determination of fasting status, phlebotomy (F), Glucose load</w:t>
            </w:r>
          </w:p>
        </w:tc>
        <w:tc>
          <w:tcPr>
            <w:tcW w:w="1416" w:type="dxa"/>
          </w:tcPr>
          <w:p w14:paraId="15003348"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17</w:t>
            </w:r>
          </w:p>
        </w:tc>
      </w:tr>
      <w:tr w:rsidR="00B2609F" w:rsidRPr="00B2609F" w14:paraId="05B00336" w14:textId="77777777" w:rsidTr="00B2609F">
        <w:tc>
          <w:tcPr>
            <w:tcW w:w="6432" w:type="dxa"/>
          </w:tcPr>
          <w:p w14:paraId="20D677D5" w14:textId="77777777" w:rsidR="00B2609F" w:rsidRPr="00B2609F" w:rsidRDefault="00B2609F" w:rsidP="00B2609F">
            <w:pPr>
              <w:tabs>
                <w:tab w:val="left" w:pos="0"/>
                <w:tab w:val="left" w:pos="2618"/>
              </w:tabs>
              <w:suppressAutoHyphens/>
              <w:spacing w:line="240" w:lineRule="atLeast"/>
              <w:rPr>
                <w:sz w:val="16"/>
                <w:szCs w:val="16"/>
                <w:highlight w:val="yellow"/>
              </w:rPr>
            </w:pPr>
          </w:p>
        </w:tc>
        <w:tc>
          <w:tcPr>
            <w:tcW w:w="1416" w:type="dxa"/>
          </w:tcPr>
          <w:p w14:paraId="5EBFF893" w14:textId="77777777" w:rsidR="00B2609F" w:rsidRPr="00B2609F" w:rsidRDefault="00B2609F" w:rsidP="00B2609F">
            <w:pPr>
              <w:tabs>
                <w:tab w:val="left" w:pos="0"/>
              </w:tabs>
              <w:suppressAutoHyphens/>
              <w:spacing w:line="240" w:lineRule="atLeast"/>
              <w:jc w:val="center"/>
              <w:rPr>
                <w:sz w:val="16"/>
                <w:szCs w:val="16"/>
                <w:highlight w:val="yellow"/>
              </w:rPr>
            </w:pPr>
          </w:p>
        </w:tc>
      </w:tr>
      <w:tr w:rsidR="00B2609F" w:rsidRPr="00B2609F" w14:paraId="7A1534C7" w14:textId="77777777" w:rsidTr="00B2609F">
        <w:tc>
          <w:tcPr>
            <w:tcW w:w="6432" w:type="dxa"/>
          </w:tcPr>
          <w:p w14:paraId="4C77DFFF" w14:textId="77777777" w:rsidR="00B2609F" w:rsidRPr="00B2609F" w:rsidRDefault="00B2609F" w:rsidP="00B2609F">
            <w:pPr>
              <w:tabs>
                <w:tab w:val="left" w:pos="0"/>
              </w:tabs>
              <w:suppressAutoHyphens/>
              <w:spacing w:line="240" w:lineRule="atLeast"/>
              <w:rPr>
                <w:sz w:val="16"/>
                <w:szCs w:val="16"/>
                <w:highlight w:val="yellow"/>
              </w:rPr>
            </w:pPr>
            <w:r w:rsidRPr="00B2609F">
              <w:rPr>
                <w:b/>
                <w:sz w:val="16"/>
                <w:szCs w:val="16"/>
                <w:highlight w:val="yellow"/>
              </w:rPr>
              <w:t>Procedures, flexible sequence</w:t>
            </w:r>
          </w:p>
        </w:tc>
        <w:tc>
          <w:tcPr>
            <w:tcW w:w="1416" w:type="dxa"/>
          </w:tcPr>
          <w:p w14:paraId="2DD90803"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51</w:t>
            </w:r>
          </w:p>
        </w:tc>
      </w:tr>
      <w:tr w:rsidR="00B2609F" w:rsidRPr="00B2609F" w14:paraId="0B8293D9" w14:textId="77777777" w:rsidTr="00B2609F">
        <w:tc>
          <w:tcPr>
            <w:tcW w:w="6432" w:type="dxa"/>
          </w:tcPr>
          <w:p w14:paraId="1A96A065" w14:textId="77777777" w:rsidR="00B2609F" w:rsidRPr="00B2609F" w:rsidRDefault="00B2609F" w:rsidP="00B2609F">
            <w:pPr>
              <w:tabs>
                <w:tab w:val="left" w:pos="0"/>
              </w:tabs>
              <w:suppressAutoHyphens/>
              <w:spacing w:line="240" w:lineRule="atLeast"/>
              <w:rPr>
                <w:b/>
                <w:sz w:val="16"/>
                <w:szCs w:val="16"/>
                <w:highlight w:val="yellow"/>
              </w:rPr>
            </w:pPr>
            <w:r w:rsidRPr="00B2609F">
              <w:rPr>
                <w:sz w:val="16"/>
                <w:szCs w:val="16"/>
                <w:highlight w:val="yellow"/>
              </w:rPr>
              <w:t xml:space="preserve">    Seated BP</w:t>
            </w:r>
          </w:p>
        </w:tc>
        <w:tc>
          <w:tcPr>
            <w:tcW w:w="1416" w:type="dxa"/>
          </w:tcPr>
          <w:p w14:paraId="1F93FDF6" w14:textId="77777777" w:rsidR="00B2609F" w:rsidRPr="00B2609F" w:rsidRDefault="00B2609F" w:rsidP="00B2609F">
            <w:pPr>
              <w:tabs>
                <w:tab w:val="left" w:pos="0"/>
              </w:tabs>
              <w:suppressAutoHyphens/>
              <w:spacing w:line="240" w:lineRule="atLeast"/>
              <w:jc w:val="center"/>
              <w:rPr>
                <w:b/>
                <w:sz w:val="16"/>
                <w:szCs w:val="16"/>
                <w:highlight w:val="yellow"/>
              </w:rPr>
            </w:pPr>
            <w:r w:rsidRPr="00B2609F">
              <w:rPr>
                <w:sz w:val="16"/>
                <w:szCs w:val="16"/>
                <w:highlight w:val="yellow"/>
              </w:rPr>
              <w:t>09</w:t>
            </w:r>
          </w:p>
        </w:tc>
      </w:tr>
      <w:tr w:rsidR="00B2609F" w:rsidRPr="00B2609F" w14:paraId="0463132F" w14:textId="77777777" w:rsidTr="00B2609F">
        <w:tc>
          <w:tcPr>
            <w:tcW w:w="6432" w:type="dxa"/>
          </w:tcPr>
          <w:p w14:paraId="2B6E9844" w14:textId="77777777" w:rsidR="00B2609F" w:rsidRPr="00B2609F" w:rsidRDefault="00B2609F" w:rsidP="00B2609F">
            <w:pPr>
              <w:tabs>
                <w:tab w:val="left" w:pos="0"/>
              </w:tabs>
              <w:suppressAutoHyphens/>
              <w:spacing w:line="240" w:lineRule="atLeast"/>
              <w:rPr>
                <w:sz w:val="16"/>
                <w:szCs w:val="16"/>
                <w:highlight w:val="yellow"/>
              </w:rPr>
            </w:pPr>
            <w:r w:rsidRPr="00B2609F">
              <w:rPr>
                <w:b/>
                <w:sz w:val="16"/>
                <w:szCs w:val="16"/>
                <w:highlight w:val="yellow"/>
              </w:rPr>
              <w:t xml:space="preserve">    </w:t>
            </w:r>
            <w:r w:rsidRPr="00B2609F">
              <w:rPr>
                <w:sz w:val="16"/>
                <w:szCs w:val="16"/>
                <w:highlight w:val="yellow"/>
              </w:rPr>
              <w:t>Echocardiogram</w:t>
            </w:r>
          </w:p>
        </w:tc>
        <w:tc>
          <w:tcPr>
            <w:tcW w:w="1416" w:type="dxa"/>
          </w:tcPr>
          <w:p w14:paraId="4CD43787"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30</w:t>
            </w:r>
          </w:p>
        </w:tc>
      </w:tr>
      <w:tr w:rsidR="00B2609F" w:rsidRPr="00B2609F" w14:paraId="10E8E3F0" w14:textId="77777777" w:rsidTr="00B2609F">
        <w:tc>
          <w:tcPr>
            <w:tcW w:w="6432" w:type="dxa"/>
          </w:tcPr>
          <w:p w14:paraId="67E39D15" w14:textId="77777777" w:rsidR="00B2609F" w:rsidRPr="00B2609F" w:rsidRDefault="00B2609F" w:rsidP="00B2609F">
            <w:pPr>
              <w:tabs>
                <w:tab w:val="left" w:pos="0"/>
              </w:tabs>
              <w:suppressAutoHyphens/>
              <w:spacing w:line="240" w:lineRule="atLeast"/>
              <w:rPr>
                <w:b/>
                <w:sz w:val="16"/>
                <w:szCs w:val="16"/>
                <w:highlight w:val="yellow"/>
              </w:rPr>
            </w:pPr>
            <w:r w:rsidRPr="00B2609F">
              <w:rPr>
                <w:sz w:val="16"/>
                <w:szCs w:val="16"/>
                <w:highlight w:val="yellow"/>
              </w:rPr>
              <w:t xml:space="preserve">    2-hour  post glucose load blood draw, snack</w:t>
            </w:r>
          </w:p>
        </w:tc>
        <w:tc>
          <w:tcPr>
            <w:tcW w:w="1416" w:type="dxa"/>
          </w:tcPr>
          <w:p w14:paraId="220E1283" w14:textId="77777777" w:rsidR="00B2609F" w:rsidRPr="00B2609F" w:rsidRDefault="00B2609F" w:rsidP="00B2609F">
            <w:pPr>
              <w:tabs>
                <w:tab w:val="left" w:pos="0"/>
              </w:tabs>
              <w:suppressAutoHyphens/>
              <w:spacing w:line="240" w:lineRule="atLeast"/>
              <w:jc w:val="center"/>
              <w:rPr>
                <w:b/>
                <w:sz w:val="16"/>
                <w:szCs w:val="16"/>
                <w:highlight w:val="yellow"/>
              </w:rPr>
            </w:pPr>
            <w:r w:rsidRPr="00B2609F">
              <w:rPr>
                <w:sz w:val="16"/>
                <w:szCs w:val="16"/>
                <w:highlight w:val="yellow"/>
              </w:rPr>
              <w:t>12</w:t>
            </w:r>
          </w:p>
        </w:tc>
      </w:tr>
      <w:tr w:rsidR="00B2609F" w:rsidRPr="00B2609F" w14:paraId="16623C1D" w14:textId="77777777" w:rsidTr="00B2609F">
        <w:tc>
          <w:tcPr>
            <w:tcW w:w="6432" w:type="dxa"/>
          </w:tcPr>
          <w:p w14:paraId="517D3871" w14:textId="77777777" w:rsidR="00B2609F" w:rsidRPr="00B2609F" w:rsidRDefault="00B2609F" w:rsidP="00B2609F">
            <w:pPr>
              <w:tabs>
                <w:tab w:val="left" w:pos="0"/>
              </w:tabs>
              <w:suppressAutoHyphens/>
              <w:spacing w:line="240" w:lineRule="atLeast"/>
              <w:rPr>
                <w:sz w:val="16"/>
                <w:szCs w:val="16"/>
                <w:highlight w:val="yellow"/>
              </w:rPr>
            </w:pPr>
          </w:p>
        </w:tc>
        <w:tc>
          <w:tcPr>
            <w:tcW w:w="1416" w:type="dxa"/>
          </w:tcPr>
          <w:p w14:paraId="4BEB211D" w14:textId="77777777" w:rsidR="00B2609F" w:rsidRPr="00B2609F" w:rsidRDefault="00B2609F" w:rsidP="00B2609F">
            <w:pPr>
              <w:tabs>
                <w:tab w:val="left" w:pos="0"/>
              </w:tabs>
              <w:suppressAutoHyphens/>
              <w:spacing w:line="240" w:lineRule="atLeast"/>
              <w:jc w:val="center"/>
              <w:rPr>
                <w:sz w:val="16"/>
                <w:szCs w:val="16"/>
                <w:highlight w:val="yellow"/>
              </w:rPr>
            </w:pPr>
          </w:p>
        </w:tc>
      </w:tr>
      <w:tr w:rsidR="00B2609F" w:rsidRPr="00B2609F" w14:paraId="37E86AF2" w14:textId="77777777" w:rsidTr="00B2609F">
        <w:tc>
          <w:tcPr>
            <w:tcW w:w="6432" w:type="dxa"/>
          </w:tcPr>
          <w:p w14:paraId="51A8F190"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Blocks of interviews, flexible sequence</w:t>
            </w:r>
          </w:p>
        </w:tc>
        <w:tc>
          <w:tcPr>
            <w:tcW w:w="1416" w:type="dxa"/>
          </w:tcPr>
          <w:p w14:paraId="5947F0A9"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76</w:t>
            </w:r>
          </w:p>
        </w:tc>
      </w:tr>
      <w:tr w:rsidR="00B2609F" w:rsidRPr="00B2609F" w14:paraId="7A8F42E0" w14:textId="77777777" w:rsidTr="00B2609F">
        <w:tc>
          <w:tcPr>
            <w:tcW w:w="6432" w:type="dxa"/>
          </w:tcPr>
          <w:p w14:paraId="6A5BA0CD" w14:textId="77777777" w:rsidR="00B2609F" w:rsidRPr="00B2609F" w:rsidRDefault="00B2609F" w:rsidP="00B2609F">
            <w:pPr>
              <w:tabs>
                <w:tab w:val="left" w:pos="0"/>
              </w:tabs>
              <w:suppressAutoHyphens/>
              <w:spacing w:line="240" w:lineRule="atLeast"/>
              <w:rPr>
                <w:b/>
                <w:sz w:val="16"/>
                <w:szCs w:val="16"/>
                <w:highlight w:val="yellow"/>
              </w:rPr>
            </w:pPr>
            <w:r w:rsidRPr="00B2609F">
              <w:rPr>
                <w:sz w:val="16"/>
                <w:szCs w:val="16"/>
                <w:highlight w:val="yellow"/>
              </w:rPr>
              <w:t xml:space="preserve">     Alcohol Use</w:t>
            </w:r>
          </w:p>
        </w:tc>
        <w:tc>
          <w:tcPr>
            <w:tcW w:w="1416" w:type="dxa"/>
          </w:tcPr>
          <w:p w14:paraId="5834BEF9" w14:textId="77777777" w:rsidR="00B2609F" w:rsidRPr="00B2609F" w:rsidRDefault="00B2609F" w:rsidP="00B2609F">
            <w:pPr>
              <w:tabs>
                <w:tab w:val="left" w:pos="0"/>
              </w:tabs>
              <w:suppressAutoHyphens/>
              <w:spacing w:line="240" w:lineRule="atLeast"/>
              <w:jc w:val="center"/>
              <w:rPr>
                <w:b/>
                <w:sz w:val="16"/>
                <w:szCs w:val="16"/>
                <w:highlight w:val="yellow"/>
              </w:rPr>
            </w:pPr>
            <w:r w:rsidRPr="00B2609F">
              <w:rPr>
                <w:sz w:val="16"/>
                <w:szCs w:val="16"/>
                <w:highlight w:val="yellow"/>
              </w:rPr>
              <w:t>03</w:t>
            </w:r>
          </w:p>
        </w:tc>
      </w:tr>
      <w:tr w:rsidR="00B2609F" w:rsidRPr="00B2609F" w14:paraId="29463F5F" w14:textId="77777777" w:rsidTr="00B2609F">
        <w:tc>
          <w:tcPr>
            <w:tcW w:w="6432" w:type="dxa"/>
          </w:tcPr>
          <w:p w14:paraId="65058535"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Socioeconomic background and occupation</w:t>
            </w:r>
          </w:p>
        </w:tc>
        <w:tc>
          <w:tcPr>
            <w:tcW w:w="1416" w:type="dxa"/>
          </w:tcPr>
          <w:p w14:paraId="1FD4296F"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03</w:t>
            </w:r>
          </w:p>
        </w:tc>
      </w:tr>
      <w:tr w:rsidR="00B2609F" w:rsidRPr="00B2609F" w14:paraId="5EA2A5F9" w14:textId="77777777" w:rsidTr="00B2609F">
        <w:tc>
          <w:tcPr>
            <w:tcW w:w="6432" w:type="dxa"/>
          </w:tcPr>
          <w:p w14:paraId="06F9F442"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Health care use </w:t>
            </w:r>
          </w:p>
        </w:tc>
        <w:tc>
          <w:tcPr>
            <w:tcW w:w="1416" w:type="dxa"/>
          </w:tcPr>
          <w:p w14:paraId="3E1C4C29"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15</w:t>
            </w:r>
          </w:p>
        </w:tc>
      </w:tr>
      <w:tr w:rsidR="00B2609F" w:rsidRPr="00B2609F" w14:paraId="7FE81FAF" w14:textId="77777777" w:rsidTr="00B2609F">
        <w:tc>
          <w:tcPr>
            <w:tcW w:w="6432" w:type="dxa"/>
          </w:tcPr>
          <w:p w14:paraId="20C61C92"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Personal Medical History</w:t>
            </w:r>
          </w:p>
        </w:tc>
        <w:tc>
          <w:tcPr>
            <w:tcW w:w="1416" w:type="dxa"/>
          </w:tcPr>
          <w:p w14:paraId="6B42E215"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10</w:t>
            </w:r>
          </w:p>
        </w:tc>
      </w:tr>
      <w:tr w:rsidR="00B2609F" w:rsidRPr="00B2609F" w14:paraId="59445BA5" w14:textId="77777777" w:rsidTr="00B2609F">
        <w:tc>
          <w:tcPr>
            <w:tcW w:w="6432" w:type="dxa"/>
          </w:tcPr>
          <w:p w14:paraId="07147789"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Medication use survey </w:t>
            </w:r>
          </w:p>
        </w:tc>
        <w:tc>
          <w:tcPr>
            <w:tcW w:w="1416" w:type="dxa"/>
          </w:tcPr>
          <w:p w14:paraId="373A7918"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04</w:t>
            </w:r>
          </w:p>
        </w:tc>
      </w:tr>
      <w:tr w:rsidR="00B2609F" w:rsidRPr="00B2609F" w14:paraId="07E22928" w14:textId="77777777" w:rsidTr="00B2609F">
        <w:tc>
          <w:tcPr>
            <w:tcW w:w="6432" w:type="dxa"/>
          </w:tcPr>
          <w:p w14:paraId="2E7C9F2F"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Reproductive History and Pregnancy Complications</w:t>
            </w:r>
          </w:p>
        </w:tc>
        <w:tc>
          <w:tcPr>
            <w:tcW w:w="1416" w:type="dxa"/>
          </w:tcPr>
          <w:p w14:paraId="7DF3AA88"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15</w:t>
            </w:r>
          </w:p>
        </w:tc>
      </w:tr>
      <w:tr w:rsidR="00B2609F" w:rsidRPr="00B2609F" w14:paraId="3553668B" w14:textId="77777777" w:rsidTr="00B2609F">
        <w:tc>
          <w:tcPr>
            <w:tcW w:w="6432" w:type="dxa"/>
          </w:tcPr>
          <w:p w14:paraId="0A519FDA"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Sociocultural- chronic stress, family cohesion, acculturation, social support</w:t>
            </w:r>
          </w:p>
        </w:tc>
        <w:tc>
          <w:tcPr>
            <w:tcW w:w="1416" w:type="dxa"/>
          </w:tcPr>
          <w:p w14:paraId="786E2A23"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15</w:t>
            </w:r>
          </w:p>
        </w:tc>
      </w:tr>
      <w:tr w:rsidR="00B2609F" w:rsidRPr="00B2609F" w14:paraId="488F7AB5" w14:textId="77777777" w:rsidTr="00B2609F">
        <w:tc>
          <w:tcPr>
            <w:tcW w:w="6432" w:type="dxa"/>
          </w:tcPr>
          <w:p w14:paraId="5B91B6A4"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 xml:space="preserve">     Tobacco use </w:t>
            </w:r>
          </w:p>
        </w:tc>
        <w:tc>
          <w:tcPr>
            <w:tcW w:w="1416" w:type="dxa"/>
          </w:tcPr>
          <w:p w14:paraId="00188ABF"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07</w:t>
            </w:r>
          </w:p>
        </w:tc>
      </w:tr>
      <w:tr w:rsidR="00B2609F" w:rsidRPr="00B2609F" w14:paraId="05B9C433" w14:textId="77777777" w:rsidTr="00B2609F">
        <w:tc>
          <w:tcPr>
            <w:tcW w:w="6432" w:type="dxa"/>
          </w:tcPr>
          <w:p w14:paraId="436349DF" w14:textId="77777777" w:rsidR="00B2609F" w:rsidRPr="00B2609F" w:rsidRDefault="00B2609F" w:rsidP="00B2609F">
            <w:pPr>
              <w:tabs>
                <w:tab w:val="left" w:pos="0"/>
                <w:tab w:val="left" w:pos="2775"/>
              </w:tabs>
              <w:suppressAutoHyphens/>
              <w:spacing w:line="240" w:lineRule="atLeast"/>
              <w:rPr>
                <w:sz w:val="16"/>
                <w:szCs w:val="16"/>
                <w:highlight w:val="yellow"/>
              </w:rPr>
            </w:pPr>
            <w:r w:rsidRPr="00B2609F">
              <w:rPr>
                <w:sz w:val="16"/>
                <w:szCs w:val="16"/>
                <w:highlight w:val="yellow"/>
              </w:rPr>
              <w:t xml:space="preserve">     Well Being </w:t>
            </w:r>
          </w:p>
        </w:tc>
        <w:tc>
          <w:tcPr>
            <w:tcW w:w="1416" w:type="dxa"/>
          </w:tcPr>
          <w:p w14:paraId="5315C880"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04</w:t>
            </w:r>
          </w:p>
        </w:tc>
      </w:tr>
      <w:tr w:rsidR="00B2609F" w:rsidRPr="00B2609F" w14:paraId="5A45AB08" w14:textId="77777777" w:rsidTr="00B2609F">
        <w:tc>
          <w:tcPr>
            <w:tcW w:w="6432" w:type="dxa"/>
          </w:tcPr>
          <w:p w14:paraId="42A88902" w14:textId="77777777" w:rsidR="00B2609F" w:rsidRPr="00B2609F" w:rsidRDefault="00B2609F" w:rsidP="00B2609F">
            <w:pPr>
              <w:tabs>
                <w:tab w:val="left" w:pos="0"/>
              </w:tabs>
              <w:suppressAutoHyphens/>
              <w:spacing w:line="240" w:lineRule="atLeast"/>
              <w:rPr>
                <w:sz w:val="16"/>
                <w:szCs w:val="16"/>
                <w:highlight w:val="yellow"/>
              </w:rPr>
            </w:pPr>
          </w:p>
        </w:tc>
        <w:tc>
          <w:tcPr>
            <w:tcW w:w="1416" w:type="dxa"/>
          </w:tcPr>
          <w:p w14:paraId="569CD935" w14:textId="77777777" w:rsidR="00B2609F" w:rsidRPr="00B2609F" w:rsidRDefault="00B2609F" w:rsidP="00B2609F">
            <w:pPr>
              <w:tabs>
                <w:tab w:val="left" w:pos="0"/>
              </w:tabs>
              <w:suppressAutoHyphens/>
              <w:spacing w:line="240" w:lineRule="atLeast"/>
              <w:jc w:val="center"/>
              <w:rPr>
                <w:sz w:val="16"/>
                <w:szCs w:val="16"/>
                <w:highlight w:val="yellow"/>
              </w:rPr>
            </w:pPr>
          </w:p>
        </w:tc>
      </w:tr>
      <w:tr w:rsidR="00B2609F" w:rsidRPr="00B2609F" w14:paraId="73E9D9AC" w14:textId="77777777" w:rsidTr="00B2609F">
        <w:tc>
          <w:tcPr>
            <w:tcW w:w="6432" w:type="dxa"/>
          </w:tcPr>
          <w:p w14:paraId="3DBF3782"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Visit Termination</w:t>
            </w:r>
          </w:p>
        </w:tc>
        <w:tc>
          <w:tcPr>
            <w:tcW w:w="1416" w:type="dxa"/>
          </w:tcPr>
          <w:p w14:paraId="6BC15BC1"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12</w:t>
            </w:r>
          </w:p>
        </w:tc>
      </w:tr>
      <w:tr w:rsidR="00B2609F" w:rsidRPr="00B2609F" w14:paraId="0D03A117" w14:textId="77777777" w:rsidTr="00B2609F">
        <w:tc>
          <w:tcPr>
            <w:tcW w:w="6432" w:type="dxa"/>
          </w:tcPr>
          <w:p w14:paraId="6D507E2A"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Change to street clothes and exit debriefing</w:t>
            </w:r>
          </w:p>
        </w:tc>
        <w:tc>
          <w:tcPr>
            <w:tcW w:w="1416" w:type="dxa"/>
          </w:tcPr>
          <w:p w14:paraId="4404F3A4"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10</w:t>
            </w:r>
          </w:p>
        </w:tc>
      </w:tr>
      <w:tr w:rsidR="00B2609F" w:rsidRPr="00B2609F" w14:paraId="617B8560" w14:textId="77777777" w:rsidTr="00B2609F">
        <w:tc>
          <w:tcPr>
            <w:tcW w:w="6432" w:type="dxa"/>
          </w:tcPr>
          <w:p w14:paraId="5F479FE8" w14:textId="77777777" w:rsidR="00B2609F" w:rsidRPr="00B2609F" w:rsidRDefault="00B2609F" w:rsidP="00B2609F">
            <w:pPr>
              <w:tabs>
                <w:tab w:val="left" w:pos="0"/>
              </w:tabs>
              <w:suppressAutoHyphens/>
              <w:spacing w:line="240" w:lineRule="atLeast"/>
              <w:rPr>
                <w:sz w:val="16"/>
                <w:szCs w:val="16"/>
                <w:highlight w:val="yellow"/>
              </w:rPr>
            </w:pPr>
            <w:r w:rsidRPr="00B2609F">
              <w:rPr>
                <w:sz w:val="16"/>
                <w:szCs w:val="16"/>
                <w:highlight w:val="yellow"/>
              </w:rPr>
              <w:t>Participant feedback questionnaire</w:t>
            </w:r>
          </w:p>
        </w:tc>
        <w:tc>
          <w:tcPr>
            <w:tcW w:w="1416" w:type="dxa"/>
          </w:tcPr>
          <w:p w14:paraId="59CE7C18" w14:textId="77777777" w:rsidR="00B2609F" w:rsidRPr="00B2609F" w:rsidRDefault="00B2609F" w:rsidP="00B2609F">
            <w:pPr>
              <w:tabs>
                <w:tab w:val="left" w:pos="0"/>
              </w:tabs>
              <w:suppressAutoHyphens/>
              <w:spacing w:line="240" w:lineRule="atLeast"/>
              <w:jc w:val="center"/>
              <w:rPr>
                <w:sz w:val="16"/>
                <w:szCs w:val="16"/>
                <w:highlight w:val="yellow"/>
              </w:rPr>
            </w:pPr>
            <w:r w:rsidRPr="00B2609F">
              <w:rPr>
                <w:sz w:val="16"/>
                <w:szCs w:val="16"/>
                <w:highlight w:val="yellow"/>
              </w:rPr>
              <w:t>02</w:t>
            </w:r>
          </w:p>
        </w:tc>
      </w:tr>
      <w:tr w:rsidR="00B2609F" w:rsidRPr="00B2609F" w14:paraId="6873EED8" w14:textId="77777777" w:rsidTr="00B2609F">
        <w:tc>
          <w:tcPr>
            <w:tcW w:w="6432" w:type="dxa"/>
          </w:tcPr>
          <w:p w14:paraId="5AB899DA" w14:textId="77777777" w:rsidR="00B2609F" w:rsidRPr="00B2609F" w:rsidRDefault="00B2609F" w:rsidP="00B2609F">
            <w:pPr>
              <w:tabs>
                <w:tab w:val="left" w:pos="0"/>
              </w:tabs>
              <w:suppressAutoHyphens/>
              <w:spacing w:line="240" w:lineRule="atLeast"/>
              <w:ind w:left="720"/>
              <w:rPr>
                <w:b/>
                <w:sz w:val="16"/>
                <w:szCs w:val="16"/>
                <w:highlight w:val="yellow"/>
              </w:rPr>
            </w:pPr>
          </w:p>
        </w:tc>
        <w:tc>
          <w:tcPr>
            <w:tcW w:w="1416" w:type="dxa"/>
          </w:tcPr>
          <w:p w14:paraId="76F32233" w14:textId="77777777" w:rsidR="00B2609F" w:rsidRPr="00B2609F" w:rsidRDefault="00B2609F" w:rsidP="00B2609F">
            <w:pPr>
              <w:tabs>
                <w:tab w:val="left" w:pos="0"/>
              </w:tabs>
              <w:suppressAutoHyphens/>
              <w:spacing w:line="240" w:lineRule="atLeast"/>
              <w:rPr>
                <w:b/>
                <w:sz w:val="16"/>
                <w:szCs w:val="16"/>
                <w:highlight w:val="yellow"/>
              </w:rPr>
            </w:pPr>
          </w:p>
        </w:tc>
      </w:tr>
      <w:tr w:rsidR="00B2609F" w:rsidRPr="00B2609F" w14:paraId="6AA84C28" w14:textId="77777777" w:rsidTr="00B2609F">
        <w:tc>
          <w:tcPr>
            <w:tcW w:w="6432" w:type="dxa"/>
          </w:tcPr>
          <w:p w14:paraId="429EB919"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Total Examination and other procedures time</w:t>
            </w:r>
          </w:p>
        </w:tc>
        <w:tc>
          <w:tcPr>
            <w:tcW w:w="1416" w:type="dxa"/>
          </w:tcPr>
          <w:p w14:paraId="5E2FCBBF"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130</w:t>
            </w:r>
          </w:p>
        </w:tc>
      </w:tr>
      <w:tr w:rsidR="00B2609F" w:rsidRPr="00B2609F" w14:paraId="547CFAAB" w14:textId="77777777" w:rsidTr="00B2609F">
        <w:tc>
          <w:tcPr>
            <w:tcW w:w="6432" w:type="dxa"/>
          </w:tcPr>
          <w:p w14:paraId="557E7857"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Total Questionnaire interview time</w:t>
            </w:r>
          </w:p>
        </w:tc>
        <w:tc>
          <w:tcPr>
            <w:tcW w:w="1416" w:type="dxa"/>
          </w:tcPr>
          <w:p w14:paraId="6FDB8B54"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76</w:t>
            </w:r>
          </w:p>
        </w:tc>
      </w:tr>
      <w:tr w:rsidR="00B2609F" w:rsidRPr="008405C8" w14:paraId="15A14F00" w14:textId="77777777" w:rsidTr="00B2609F">
        <w:tc>
          <w:tcPr>
            <w:tcW w:w="6432" w:type="dxa"/>
          </w:tcPr>
          <w:p w14:paraId="59A95433"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Total Visit 2 participant time</w:t>
            </w:r>
          </w:p>
        </w:tc>
        <w:tc>
          <w:tcPr>
            <w:tcW w:w="1416" w:type="dxa"/>
          </w:tcPr>
          <w:p w14:paraId="50101FD0" w14:textId="77777777" w:rsidR="00B2609F" w:rsidRPr="00B2609F" w:rsidRDefault="00B2609F" w:rsidP="00B2609F">
            <w:pPr>
              <w:tabs>
                <w:tab w:val="left" w:pos="0"/>
              </w:tabs>
              <w:suppressAutoHyphens/>
              <w:spacing w:line="240" w:lineRule="atLeast"/>
              <w:rPr>
                <w:b/>
                <w:sz w:val="16"/>
                <w:szCs w:val="16"/>
                <w:highlight w:val="yellow"/>
              </w:rPr>
            </w:pPr>
            <w:r w:rsidRPr="00B2609F">
              <w:rPr>
                <w:b/>
                <w:sz w:val="16"/>
                <w:szCs w:val="16"/>
                <w:highlight w:val="yellow"/>
              </w:rPr>
              <w:t>206</w:t>
            </w:r>
          </w:p>
        </w:tc>
      </w:tr>
    </w:tbl>
    <w:p w14:paraId="53AE1E7F" w14:textId="77777777" w:rsidR="004A6AA8" w:rsidRDefault="004A6AA8" w:rsidP="00546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497139F" w14:textId="77777777" w:rsidR="005E0223" w:rsidRDefault="005E02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24"/>
        </w:rPr>
      </w:pPr>
    </w:p>
    <w:p w14:paraId="1EF7DA08" w14:textId="77777777" w:rsidR="00EE5D22" w:rsidRDefault="005E0223"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szCs w:val="24"/>
        </w:rPr>
      </w:pPr>
      <w:r>
        <w:rPr>
          <w:szCs w:val="24"/>
        </w:rPr>
        <w:tab/>
      </w:r>
    </w:p>
    <w:p w14:paraId="7461DC0B" w14:textId="77777777" w:rsidR="00EE5D22" w:rsidRDefault="00EE5D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szCs w:val="24"/>
        </w:rPr>
      </w:pPr>
    </w:p>
    <w:p w14:paraId="6943871B" w14:textId="77777777" w:rsidR="00EE5D22" w:rsidRDefault="00EE5D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szCs w:val="24"/>
        </w:rPr>
      </w:pPr>
    </w:p>
    <w:p w14:paraId="74BA5933"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2BFCE533"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1FF1B01E"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15FE3988"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54F1C696"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5A5C3A76"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1F3BB622"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50C6F417"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7B8F09F7"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397E5359"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3E505885"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2B60C254"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3A0BEC74"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767AF31B"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65CD5242"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10D9AD22" w14:textId="77777777" w:rsidR="00150922" w:rsidRDefault="00150922"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5AC2128A" w14:textId="477BEEA4" w:rsidR="001E7A06" w:rsidRPr="00777D4F" w:rsidRDefault="001E7A06" w:rsidP="00B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r w:rsidRPr="00777D4F">
        <w:rPr>
          <w:b/>
        </w:rPr>
        <w:t>A.13.   Estimate of Other Total Annual Cost Burden to Respondents or Record-keepers</w:t>
      </w:r>
    </w:p>
    <w:p w14:paraId="1A0638DA" w14:textId="131F9F61" w:rsidR="004716D9" w:rsidRDefault="004716D9" w:rsidP="00471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rPr>
          <w:u w:val="single"/>
        </w:rPr>
      </w:pPr>
      <w:r>
        <w:rPr>
          <w:szCs w:val="24"/>
        </w:rPr>
        <w:tab/>
      </w:r>
      <w:r w:rsidRPr="00B141D3">
        <w:rPr>
          <w:szCs w:val="24"/>
          <w:highlight w:val="yellow"/>
        </w:rPr>
        <w:t xml:space="preserve">The annualized cost to the participants consists of the cost of their time </w:t>
      </w:r>
      <w:r w:rsidR="00F67E31">
        <w:rPr>
          <w:szCs w:val="24"/>
          <w:highlight w:val="yellow"/>
        </w:rPr>
        <w:t>(</w:t>
      </w:r>
      <w:r w:rsidRPr="00B141D3">
        <w:rPr>
          <w:szCs w:val="24"/>
          <w:highlight w:val="yellow"/>
        </w:rPr>
        <w:t>Table A.13</w:t>
      </w:r>
      <w:r w:rsidR="00016BDA" w:rsidRPr="00B141D3">
        <w:rPr>
          <w:szCs w:val="24"/>
          <w:highlight w:val="yellow"/>
        </w:rPr>
        <w:t>.</w:t>
      </w:r>
      <w:r w:rsidRPr="00B141D3">
        <w:rPr>
          <w:szCs w:val="24"/>
          <w:highlight w:val="yellow"/>
        </w:rPr>
        <w:t xml:space="preserve">1) </w:t>
      </w:r>
      <w:r w:rsidRPr="00B141D3">
        <w:rPr>
          <w:szCs w:val="24"/>
          <w:highlight w:val="yellow"/>
        </w:rPr>
        <w:lastRenderedPageBreak/>
        <w:t>for which no remuneration is given.  Assuming $10 per burden hour for participants and informants and $50 for physicians and other professional health care respondents, the estimated annual cost for time is $</w:t>
      </w:r>
      <w:r w:rsidR="00B2609F">
        <w:rPr>
          <w:szCs w:val="24"/>
          <w:highlight w:val="yellow"/>
        </w:rPr>
        <w:t>974,015</w:t>
      </w:r>
      <w:r w:rsidRPr="00B141D3">
        <w:rPr>
          <w:szCs w:val="24"/>
          <w:highlight w:val="yellow"/>
        </w:rPr>
        <w:t>.</w:t>
      </w:r>
      <w:r w:rsidR="00A94D64" w:rsidRPr="00A94D64">
        <w:t xml:space="preserve"> </w:t>
      </w:r>
      <w:r w:rsidR="00A94D64" w:rsidRPr="00A94D64">
        <w:rPr>
          <w:szCs w:val="24"/>
          <w:highlight w:val="yellow"/>
        </w:rPr>
        <w:t>The estimated hourly wage was retrieved from the Bureau of Labor Statistics in the U.S. Department of Labor.</w:t>
      </w:r>
      <w:r w:rsidR="00A94D64" w:rsidRPr="00A94D64">
        <w:rPr>
          <w:szCs w:val="24"/>
        </w:rPr>
        <w:t xml:space="preserve">  </w:t>
      </w:r>
      <w:r w:rsidRPr="00ED2CB5">
        <w:rPr>
          <w:szCs w:val="24"/>
        </w:rPr>
        <w:t xml:space="preserve"> </w:t>
      </w:r>
    </w:p>
    <w:p w14:paraId="64F697A5" w14:textId="660E2287" w:rsidR="009075E5" w:rsidRDefault="003B05FE" w:rsidP="00471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r>
        <w:t xml:space="preserve">There are no other total annual costs which apply to respondents or record keepers.  </w:t>
      </w:r>
      <w:r w:rsidR="00275ECA">
        <w:t>There are no capital c</w:t>
      </w:r>
      <w:r w:rsidR="001E7A06">
        <w:t xml:space="preserve">osts, </w:t>
      </w:r>
      <w:r w:rsidR="00275ECA">
        <w:t>o</w:t>
      </w:r>
      <w:r w:rsidR="001E7A06">
        <w:t xml:space="preserve">perating </w:t>
      </w:r>
      <w:r w:rsidR="00275ECA">
        <w:t>c</w:t>
      </w:r>
      <w:r w:rsidR="001E7A06">
        <w:t xml:space="preserve">osts, or </w:t>
      </w:r>
      <w:r w:rsidR="00275ECA">
        <w:t>m</w:t>
      </w:r>
      <w:r w:rsidR="001E7A06">
        <w:t xml:space="preserve">aintenance </w:t>
      </w:r>
      <w:r w:rsidR="00275ECA">
        <w:t>c</w:t>
      </w:r>
      <w:r w:rsidR="001E7A06">
        <w:t>ost</w:t>
      </w:r>
      <w:r w:rsidR="00275ECA">
        <w:t>s</w:t>
      </w:r>
      <w:r w:rsidR="001E7A06">
        <w:t xml:space="preserve"> to report.</w:t>
      </w:r>
    </w:p>
    <w:p w14:paraId="7208D48D" w14:textId="77777777" w:rsidR="00B2609F" w:rsidRDefault="00B2609F" w:rsidP="00471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1694"/>
        <w:gridCol w:w="1350"/>
        <w:gridCol w:w="1260"/>
        <w:gridCol w:w="1170"/>
        <w:gridCol w:w="1260"/>
      </w:tblGrid>
      <w:tr w:rsidR="00B2609F" w:rsidRPr="00CE3EF5" w14:paraId="266F4422" w14:textId="77777777" w:rsidTr="00CE3EF5">
        <w:trPr>
          <w:trHeight w:val="322"/>
        </w:trPr>
        <w:tc>
          <w:tcPr>
            <w:tcW w:w="8838" w:type="dxa"/>
            <w:gridSpan w:val="6"/>
            <w:tcBorders>
              <w:top w:val="single" w:sz="4" w:space="0" w:color="auto"/>
              <w:left w:val="single" w:sz="4" w:space="0" w:color="auto"/>
              <w:bottom w:val="single" w:sz="4" w:space="0" w:color="auto"/>
              <w:right w:val="single" w:sz="4" w:space="0" w:color="auto"/>
            </w:tcBorders>
          </w:tcPr>
          <w:p w14:paraId="0E492078" w14:textId="77777777" w:rsidR="00B2609F" w:rsidRPr="00CE3EF5" w:rsidRDefault="00B2609F" w:rsidP="00B2609F">
            <w:pPr>
              <w:autoSpaceDE w:val="0"/>
              <w:autoSpaceDN w:val="0"/>
              <w:adjustRightInd w:val="0"/>
              <w:ind w:left="1332"/>
              <w:jc w:val="center"/>
              <w:rPr>
                <w:rFonts w:asciiTheme="minorHAnsi" w:hAnsiTheme="minorHAnsi"/>
                <w:smallCaps/>
                <w:highlight w:val="yellow"/>
              </w:rPr>
            </w:pPr>
            <w:r w:rsidRPr="00CE3EF5">
              <w:rPr>
                <w:rFonts w:asciiTheme="minorHAnsi" w:hAnsiTheme="minorHAnsi"/>
                <w:smallCaps/>
                <w:highlight w:val="yellow"/>
              </w:rPr>
              <w:t>Table A.13.1 Annualized cost to Respondents</w:t>
            </w:r>
          </w:p>
        </w:tc>
      </w:tr>
      <w:tr w:rsidR="00B2609F" w:rsidRPr="00CE3EF5" w14:paraId="7687991B" w14:textId="77777777" w:rsidTr="00CE3EF5">
        <w:tblPrEx>
          <w:tblBorders>
            <w:top w:val="nil"/>
            <w:left w:val="nil"/>
            <w:bottom w:val="none" w:sz="0" w:space="0" w:color="auto"/>
            <w:right w:val="nil"/>
            <w:insideH w:val="none" w:sz="0" w:space="0" w:color="auto"/>
            <w:insideV w:val="none" w:sz="0" w:space="0" w:color="auto"/>
          </w:tblBorders>
        </w:tblPrEx>
        <w:tc>
          <w:tcPr>
            <w:tcW w:w="2104" w:type="dxa"/>
            <w:tcBorders>
              <w:top w:val="single" w:sz="8" w:space="0" w:color="000000"/>
              <w:left w:val="single" w:sz="8" w:space="0" w:color="000000"/>
              <w:bottom w:val="single" w:sz="8" w:space="0" w:color="000000"/>
              <w:right w:val="single" w:sz="8" w:space="0" w:color="000000"/>
            </w:tcBorders>
            <w:tcMar>
              <w:top w:w="140" w:type="nil"/>
              <w:right w:w="140" w:type="nil"/>
            </w:tcMar>
            <w:vAlign w:val="center"/>
          </w:tcPr>
          <w:p w14:paraId="15958A1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Form Name</w:t>
            </w:r>
          </w:p>
        </w:tc>
        <w:tc>
          <w:tcPr>
            <w:tcW w:w="1694" w:type="dxa"/>
            <w:tcBorders>
              <w:top w:val="single" w:sz="8" w:space="0" w:color="000000"/>
              <w:bottom w:val="single" w:sz="8" w:space="0" w:color="000000"/>
              <w:right w:val="single" w:sz="8" w:space="0" w:color="000000"/>
            </w:tcBorders>
            <w:tcMar>
              <w:top w:w="140" w:type="nil"/>
              <w:right w:w="140" w:type="nil"/>
            </w:tcMar>
            <w:vAlign w:val="center"/>
          </w:tcPr>
          <w:p w14:paraId="24DF87F9"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Type of Respondent</w:t>
            </w:r>
          </w:p>
        </w:tc>
        <w:tc>
          <w:tcPr>
            <w:tcW w:w="1350" w:type="dxa"/>
            <w:tcBorders>
              <w:top w:val="single" w:sz="8" w:space="0" w:color="000000"/>
              <w:bottom w:val="single" w:sz="8" w:space="0" w:color="000000"/>
              <w:right w:val="single" w:sz="8" w:space="0" w:color="000000"/>
            </w:tcBorders>
            <w:tcMar>
              <w:top w:w="140" w:type="nil"/>
              <w:right w:w="140" w:type="nil"/>
            </w:tcMar>
            <w:vAlign w:val="center"/>
          </w:tcPr>
          <w:p w14:paraId="2E701959"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Number of Respondents</w:t>
            </w:r>
          </w:p>
        </w:tc>
        <w:tc>
          <w:tcPr>
            <w:tcW w:w="1260" w:type="dxa"/>
            <w:tcBorders>
              <w:top w:val="single" w:sz="8" w:space="0" w:color="000000"/>
              <w:bottom w:val="single" w:sz="8" w:space="0" w:color="000000"/>
              <w:right w:val="single" w:sz="8" w:space="0" w:color="000000"/>
            </w:tcBorders>
            <w:tcMar>
              <w:top w:w="140" w:type="nil"/>
              <w:right w:w="140" w:type="nil"/>
            </w:tcMar>
            <w:vAlign w:val="center"/>
          </w:tcPr>
          <w:p w14:paraId="1D894686"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Total Annual Burden Hours</w:t>
            </w:r>
          </w:p>
        </w:tc>
        <w:tc>
          <w:tcPr>
            <w:tcW w:w="1170" w:type="dxa"/>
            <w:tcBorders>
              <w:top w:val="single" w:sz="8" w:space="0" w:color="000000"/>
              <w:bottom w:val="single" w:sz="8" w:space="0" w:color="000000"/>
              <w:right w:val="single" w:sz="8" w:space="0" w:color="000000"/>
            </w:tcBorders>
            <w:tcMar>
              <w:top w:w="140" w:type="nil"/>
              <w:right w:w="140" w:type="nil"/>
            </w:tcMar>
            <w:vAlign w:val="center"/>
          </w:tcPr>
          <w:p w14:paraId="3663385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Hourly Wage Rate</w:t>
            </w:r>
          </w:p>
        </w:tc>
        <w:tc>
          <w:tcPr>
            <w:tcW w:w="1260" w:type="dxa"/>
            <w:tcBorders>
              <w:top w:val="single" w:sz="8" w:space="0" w:color="000000"/>
              <w:bottom w:val="single" w:sz="8" w:space="0" w:color="000000"/>
              <w:right w:val="single" w:sz="8" w:space="0" w:color="000000"/>
            </w:tcBorders>
            <w:tcMar>
              <w:top w:w="140" w:type="nil"/>
              <w:right w:w="140" w:type="nil"/>
            </w:tcMar>
            <w:vAlign w:val="center"/>
          </w:tcPr>
          <w:p w14:paraId="1774CA7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Total Annual Cost</w:t>
            </w:r>
          </w:p>
        </w:tc>
      </w:tr>
      <w:tr w:rsidR="00B2609F" w:rsidRPr="00CE3EF5" w14:paraId="56BBF2F9"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vMerge w:val="restart"/>
            <w:tcBorders>
              <w:left w:val="single" w:sz="8" w:space="0" w:color="000000"/>
              <w:bottom w:val="single" w:sz="8" w:space="0" w:color="000000"/>
              <w:right w:val="single" w:sz="8" w:space="0" w:color="000000"/>
            </w:tcBorders>
            <w:tcMar>
              <w:top w:w="140" w:type="nil"/>
              <w:right w:w="140" w:type="nil"/>
            </w:tcMar>
            <w:vAlign w:val="center"/>
          </w:tcPr>
          <w:p w14:paraId="4B09A043"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Visit 2 Examination scheduling &amp; consent</w:t>
            </w:r>
          </w:p>
        </w:tc>
        <w:tc>
          <w:tcPr>
            <w:tcW w:w="1694" w:type="dxa"/>
            <w:vMerge w:val="restart"/>
            <w:tcBorders>
              <w:right w:val="single" w:sz="8" w:space="0" w:color="000000"/>
            </w:tcBorders>
            <w:tcMar>
              <w:top w:w="140" w:type="nil"/>
              <w:right w:w="140" w:type="nil"/>
            </w:tcMar>
            <w:vAlign w:val="center"/>
          </w:tcPr>
          <w:p w14:paraId="4B56032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 xml:space="preserve">Participant  </w:t>
            </w:r>
          </w:p>
        </w:tc>
        <w:tc>
          <w:tcPr>
            <w:tcW w:w="1350" w:type="dxa"/>
            <w:tcBorders>
              <w:bottom w:val="single" w:sz="8" w:space="0" w:color="000000"/>
              <w:right w:val="single" w:sz="8" w:space="0" w:color="000000"/>
            </w:tcBorders>
            <w:tcMar>
              <w:top w:w="140" w:type="nil"/>
              <w:right w:w="140" w:type="nil"/>
            </w:tcMar>
            <w:vAlign w:val="center"/>
          </w:tcPr>
          <w:p w14:paraId="3DC2EC32"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79EC008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463</w:t>
            </w:r>
          </w:p>
        </w:tc>
        <w:tc>
          <w:tcPr>
            <w:tcW w:w="1170" w:type="dxa"/>
            <w:vMerge w:val="restart"/>
            <w:tcBorders>
              <w:right w:val="single" w:sz="8" w:space="0" w:color="000000"/>
            </w:tcBorders>
            <w:tcMar>
              <w:top w:w="140" w:type="nil"/>
              <w:right w:w="140" w:type="nil"/>
            </w:tcMar>
            <w:vAlign w:val="center"/>
          </w:tcPr>
          <w:p w14:paraId="6DDCDDA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$10.00</w:t>
            </w:r>
          </w:p>
        </w:tc>
        <w:tc>
          <w:tcPr>
            <w:tcW w:w="1260" w:type="dxa"/>
            <w:tcBorders>
              <w:bottom w:val="single" w:sz="8" w:space="0" w:color="000000"/>
              <w:right w:val="single" w:sz="8" w:space="0" w:color="000000"/>
            </w:tcBorders>
            <w:tcMar>
              <w:top w:w="140" w:type="nil"/>
              <w:right w:w="140" w:type="nil"/>
            </w:tcMar>
            <w:vAlign w:val="center"/>
          </w:tcPr>
          <w:p w14:paraId="4D307316"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$305,455</w:t>
            </w:r>
          </w:p>
        </w:tc>
      </w:tr>
      <w:tr w:rsidR="00B2609F" w:rsidRPr="00CE3EF5" w14:paraId="07F5B994"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vMerge/>
            <w:tcBorders>
              <w:left w:val="single" w:sz="8" w:space="0" w:color="000000"/>
              <w:bottom w:val="single" w:sz="8" w:space="0" w:color="000000"/>
              <w:right w:val="single" w:sz="8" w:space="0" w:color="000000"/>
            </w:tcBorders>
            <w:tcMar>
              <w:top w:w="140" w:type="nil"/>
              <w:right w:w="140" w:type="nil"/>
            </w:tcMar>
            <w:vAlign w:val="center"/>
          </w:tcPr>
          <w:p w14:paraId="03652E73"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p>
        </w:tc>
        <w:tc>
          <w:tcPr>
            <w:tcW w:w="1694" w:type="dxa"/>
            <w:vMerge/>
            <w:tcBorders>
              <w:right w:val="single" w:sz="8" w:space="0" w:color="000000"/>
            </w:tcBorders>
            <w:tcMar>
              <w:top w:w="140" w:type="nil"/>
              <w:right w:w="140" w:type="nil"/>
            </w:tcMar>
            <w:vAlign w:val="center"/>
          </w:tcPr>
          <w:p w14:paraId="5BB3AC2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16DFF46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28AF57D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4626</w:t>
            </w:r>
          </w:p>
        </w:tc>
        <w:tc>
          <w:tcPr>
            <w:tcW w:w="1170" w:type="dxa"/>
            <w:vMerge/>
            <w:tcBorders>
              <w:right w:val="single" w:sz="8" w:space="0" w:color="000000"/>
            </w:tcBorders>
            <w:tcMar>
              <w:top w:w="140" w:type="nil"/>
              <w:right w:w="140" w:type="nil"/>
            </w:tcMar>
            <w:vAlign w:val="center"/>
          </w:tcPr>
          <w:p w14:paraId="69CA1086"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07E8C5B7"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$46,260</w:t>
            </w:r>
          </w:p>
        </w:tc>
      </w:tr>
      <w:tr w:rsidR="00B2609F" w:rsidRPr="00CE3EF5" w14:paraId="423DFAA9"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78DD09CD"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Safety screening</w:t>
            </w:r>
          </w:p>
        </w:tc>
        <w:tc>
          <w:tcPr>
            <w:tcW w:w="1694" w:type="dxa"/>
            <w:vMerge/>
            <w:tcBorders>
              <w:right w:val="single" w:sz="8" w:space="0" w:color="000000"/>
            </w:tcBorders>
            <w:tcMar>
              <w:top w:w="140" w:type="nil"/>
              <w:right w:w="140" w:type="nil"/>
            </w:tcMar>
            <w:vAlign w:val="center"/>
          </w:tcPr>
          <w:p w14:paraId="52CDEFA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41701FB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057D192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463</w:t>
            </w:r>
          </w:p>
        </w:tc>
        <w:tc>
          <w:tcPr>
            <w:tcW w:w="1170" w:type="dxa"/>
            <w:vMerge/>
            <w:tcBorders>
              <w:right w:val="single" w:sz="8" w:space="0" w:color="000000"/>
            </w:tcBorders>
            <w:tcMar>
              <w:top w:w="140" w:type="nil"/>
              <w:right w:w="140" w:type="nil"/>
            </w:tcMar>
            <w:vAlign w:val="center"/>
          </w:tcPr>
          <w:p w14:paraId="2B3AC210"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0833B1F0"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$4,630</w:t>
            </w:r>
          </w:p>
        </w:tc>
      </w:tr>
      <w:tr w:rsidR="00B2609F" w:rsidRPr="00CE3EF5" w14:paraId="31E5F947"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5EC60141"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Disability screening</w:t>
            </w:r>
          </w:p>
        </w:tc>
        <w:tc>
          <w:tcPr>
            <w:tcW w:w="1694" w:type="dxa"/>
            <w:vMerge/>
            <w:tcBorders>
              <w:right w:val="single" w:sz="8" w:space="0" w:color="000000"/>
            </w:tcBorders>
            <w:tcMar>
              <w:top w:w="140" w:type="nil"/>
              <w:right w:w="140" w:type="nil"/>
            </w:tcMar>
            <w:vAlign w:val="center"/>
          </w:tcPr>
          <w:p w14:paraId="6D2B0EF9"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27EA6A0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66F28D3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925</w:t>
            </w:r>
          </w:p>
        </w:tc>
        <w:tc>
          <w:tcPr>
            <w:tcW w:w="1170" w:type="dxa"/>
            <w:vMerge/>
            <w:tcBorders>
              <w:right w:val="single" w:sz="8" w:space="0" w:color="000000"/>
            </w:tcBorders>
            <w:tcMar>
              <w:top w:w="140" w:type="nil"/>
              <w:right w:w="140" w:type="nil"/>
            </w:tcMar>
            <w:vAlign w:val="center"/>
          </w:tcPr>
          <w:p w14:paraId="022189A6"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5BAA5E06"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$9,250</w:t>
            </w:r>
          </w:p>
        </w:tc>
      </w:tr>
      <w:tr w:rsidR="00B2609F" w:rsidRPr="00CE3EF5" w14:paraId="27E69F79"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5E98F541"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Biospecimen collection</w:t>
            </w:r>
          </w:p>
        </w:tc>
        <w:tc>
          <w:tcPr>
            <w:tcW w:w="1694" w:type="dxa"/>
            <w:vMerge/>
            <w:tcBorders>
              <w:right w:val="single" w:sz="8" w:space="0" w:color="000000"/>
            </w:tcBorders>
            <w:tcMar>
              <w:top w:w="140" w:type="nil"/>
              <w:right w:w="140" w:type="nil"/>
            </w:tcMar>
            <w:vAlign w:val="center"/>
          </w:tcPr>
          <w:p w14:paraId="2D059E00"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4B8B223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33AD7FD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2313</w:t>
            </w:r>
          </w:p>
        </w:tc>
        <w:tc>
          <w:tcPr>
            <w:tcW w:w="1170" w:type="dxa"/>
            <w:vMerge/>
            <w:tcBorders>
              <w:right w:val="single" w:sz="8" w:space="0" w:color="000000"/>
            </w:tcBorders>
            <w:tcMar>
              <w:top w:w="140" w:type="nil"/>
              <w:right w:w="140" w:type="nil"/>
            </w:tcMar>
            <w:vAlign w:val="center"/>
          </w:tcPr>
          <w:p w14:paraId="220F04D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353AB2B5"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$23,130</w:t>
            </w:r>
          </w:p>
        </w:tc>
      </w:tr>
      <w:tr w:rsidR="00B2609F" w:rsidRPr="00CE3EF5" w14:paraId="4FF95A1A"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5580B701"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Personal information</w:t>
            </w:r>
          </w:p>
        </w:tc>
        <w:tc>
          <w:tcPr>
            <w:tcW w:w="1694" w:type="dxa"/>
            <w:vMerge/>
            <w:tcBorders>
              <w:right w:val="single" w:sz="8" w:space="0" w:color="000000"/>
            </w:tcBorders>
            <w:tcMar>
              <w:top w:w="140" w:type="nil"/>
              <w:right w:w="140" w:type="nil"/>
            </w:tcMar>
            <w:vAlign w:val="center"/>
          </w:tcPr>
          <w:p w14:paraId="45F9773B"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0E5FF26C"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11E3C080"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1157</w:t>
            </w:r>
          </w:p>
        </w:tc>
        <w:tc>
          <w:tcPr>
            <w:tcW w:w="1170" w:type="dxa"/>
            <w:vMerge/>
            <w:tcBorders>
              <w:right w:val="single" w:sz="8" w:space="0" w:color="000000"/>
            </w:tcBorders>
            <w:tcMar>
              <w:top w:w="140" w:type="nil"/>
              <w:right w:w="140" w:type="nil"/>
            </w:tcMar>
            <w:vAlign w:val="center"/>
          </w:tcPr>
          <w:p w14:paraId="695CA8D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22C73999"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$11,570</w:t>
            </w:r>
          </w:p>
        </w:tc>
      </w:tr>
      <w:tr w:rsidR="00B2609F" w:rsidRPr="00CE3EF5" w14:paraId="1EC1577C"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2C028824"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Anthropometry</w:t>
            </w:r>
          </w:p>
        </w:tc>
        <w:tc>
          <w:tcPr>
            <w:tcW w:w="1694" w:type="dxa"/>
            <w:vMerge/>
            <w:tcBorders>
              <w:right w:val="single" w:sz="8" w:space="0" w:color="000000"/>
            </w:tcBorders>
            <w:tcMar>
              <w:top w:w="140" w:type="nil"/>
              <w:right w:w="140" w:type="nil"/>
            </w:tcMar>
            <w:vAlign w:val="center"/>
          </w:tcPr>
          <w:p w14:paraId="782D87B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05BD8CD9"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53D107D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1619</w:t>
            </w:r>
          </w:p>
        </w:tc>
        <w:tc>
          <w:tcPr>
            <w:tcW w:w="1170" w:type="dxa"/>
            <w:vMerge/>
            <w:tcBorders>
              <w:right w:val="single" w:sz="8" w:space="0" w:color="000000"/>
            </w:tcBorders>
            <w:tcMar>
              <w:top w:w="140" w:type="nil"/>
              <w:right w:w="140" w:type="nil"/>
            </w:tcMar>
            <w:vAlign w:val="center"/>
          </w:tcPr>
          <w:p w14:paraId="1527C1D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3144280D"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$16,190</w:t>
            </w:r>
          </w:p>
        </w:tc>
      </w:tr>
      <w:tr w:rsidR="00B2609F" w:rsidRPr="00CE3EF5" w14:paraId="41DA9F50"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7A4604F0"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Seated BP</w:t>
            </w:r>
          </w:p>
        </w:tc>
        <w:tc>
          <w:tcPr>
            <w:tcW w:w="1694" w:type="dxa"/>
            <w:vMerge/>
            <w:tcBorders>
              <w:right w:val="single" w:sz="8" w:space="0" w:color="000000"/>
            </w:tcBorders>
            <w:tcMar>
              <w:top w:w="140" w:type="nil"/>
              <w:right w:w="140" w:type="nil"/>
            </w:tcMar>
            <w:vAlign w:val="center"/>
          </w:tcPr>
          <w:p w14:paraId="6B3863AB"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6D549A5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61B117B9"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2082</w:t>
            </w:r>
          </w:p>
        </w:tc>
        <w:tc>
          <w:tcPr>
            <w:tcW w:w="1170" w:type="dxa"/>
            <w:vMerge/>
            <w:tcBorders>
              <w:right w:val="single" w:sz="8" w:space="0" w:color="000000"/>
            </w:tcBorders>
            <w:tcMar>
              <w:top w:w="140" w:type="nil"/>
              <w:right w:w="140" w:type="nil"/>
            </w:tcMar>
            <w:vAlign w:val="center"/>
          </w:tcPr>
          <w:p w14:paraId="61E80F9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1EABDA18"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$20,820</w:t>
            </w:r>
          </w:p>
        </w:tc>
      </w:tr>
      <w:tr w:rsidR="00B2609F" w:rsidRPr="00CE3EF5" w14:paraId="687F5CE3"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7B1E9CAC"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Personal Medical History</w:t>
            </w:r>
          </w:p>
        </w:tc>
        <w:tc>
          <w:tcPr>
            <w:tcW w:w="1694" w:type="dxa"/>
            <w:vMerge/>
            <w:tcBorders>
              <w:right w:val="single" w:sz="8" w:space="0" w:color="000000"/>
            </w:tcBorders>
            <w:tcMar>
              <w:top w:w="140" w:type="nil"/>
              <w:right w:w="140" w:type="nil"/>
            </w:tcMar>
            <w:vAlign w:val="center"/>
          </w:tcPr>
          <w:p w14:paraId="606D5FC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5F013C46"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4D722C7C"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2313</w:t>
            </w:r>
          </w:p>
        </w:tc>
        <w:tc>
          <w:tcPr>
            <w:tcW w:w="1170" w:type="dxa"/>
            <w:vMerge/>
            <w:tcBorders>
              <w:right w:val="single" w:sz="8" w:space="0" w:color="000000"/>
            </w:tcBorders>
            <w:tcMar>
              <w:top w:w="140" w:type="nil"/>
              <w:right w:w="140" w:type="nil"/>
            </w:tcMar>
            <w:vAlign w:val="center"/>
          </w:tcPr>
          <w:p w14:paraId="30216FD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0DCC0F9B"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$23,130</w:t>
            </w:r>
          </w:p>
        </w:tc>
      </w:tr>
      <w:tr w:rsidR="00B2609F" w:rsidRPr="00CE3EF5" w14:paraId="1832DC44"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791B576A"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Reproductive Med.Hist.</w:t>
            </w:r>
          </w:p>
        </w:tc>
        <w:tc>
          <w:tcPr>
            <w:tcW w:w="1694" w:type="dxa"/>
            <w:vMerge/>
            <w:tcBorders>
              <w:right w:val="single" w:sz="8" w:space="0" w:color="000000"/>
            </w:tcBorders>
            <w:tcMar>
              <w:top w:w="140" w:type="nil"/>
              <w:right w:w="140" w:type="nil"/>
            </w:tcMar>
            <w:vAlign w:val="center"/>
          </w:tcPr>
          <w:p w14:paraId="28F56D6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6A71DD0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9000</w:t>
            </w:r>
          </w:p>
        </w:tc>
        <w:tc>
          <w:tcPr>
            <w:tcW w:w="1260" w:type="dxa"/>
            <w:tcBorders>
              <w:bottom w:val="single" w:sz="8" w:space="0" w:color="000000"/>
              <w:right w:val="single" w:sz="8" w:space="0" w:color="000000"/>
            </w:tcBorders>
            <w:tcMar>
              <w:top w:w="140" w:type="nil"/>
              <w:right w:w="140" w:type="nil"/>
            </w:tcMar>
            <w:vAlign w:val="center"/>
          </w:tcPr>
          <w:p w14:paraId="2D3A527B"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1350</w:t>
            </w:r>
          </w:p>
        </w:tc>
        <w:tc>
          <w:tcPr>
            <w:tcW w:w="1170" w:type="dxa"/>
            <w:vMerge/>
            <w:tcBorders>
              <w:right w:val="single" w:sz="8" w:space="0" w:color="000000"/>
            </w:tcBorders>
            <w:tcMar>
              <w:top w:w="140" w:type="nil"/>
              <w:right w:w="140" w:type="nil"/>
            </w:tcMar>
            <w:vAlign w:val="center"/>
          </w:tcPr>
          <w:p w14:paraId="317AFDD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5669140B"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$13,500</w:t>
            </w:r>
          </w:p>
        </w:tc>
      </w:tr>
      <w:tr w:rsidR="00B2609F" w:rsidRPr="00CE3EF5" w14:paraId="4E205443"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7238D040"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Pregnancy Complications</w:t>
            </w:r>
          </w:p>
        </w:tc>
        <w:tc>
          <w:tcPr>
            <w:tcW w:w="1694" w:type="dxa"/>
            <w:vMerge/>
            <w:tcBorders>
              <w:right w:val="single" w:sz="8" w:space="0" w:color="000000"/>
            </w:tcBorders>
            <w:tcMar>
              <w:top w:w="140" w:type="nil"/>
              <w:right w:w="140" w:type="nil"/>
            </w:tcMar>
            <w:vAlign w:val="center"/>
          </w:tcPr>
          <w:p w14:paraId="089A2642"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1CBA60F6"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9000</w:t>
            </w:r>
          </w:p>
        </w:tc>
        <w:tc>
          <w:tcPr>
            <w:tcW w:w="1260" w:type="dxa"/>
            <w:tcBorders>
              <w:bottom w:val="single" w:sz="8" w:space="0" w:color="000000"/>
              <w:right w:val="single" w:sz="8" w:space="0" w:color="000000"/>
            </w:tcBorders>
            <w:tcMar>
              <w:top w:w="140" w:type="nil"/>
              <w:right w:w="140" w:type="nil"/>
            </w:tcMar>
            <w:vAlign w:val="center"/>
          </w:tcPr>
          <w:p w14:paraId="35266C93"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900</w:t>
            </w:r>
          </w:p>
        </w:tc>
        <w:tc>
          <w:tcPr>
            <w:tcW w:w="1170" w:type="dxa"/>
            <w:vMerge/>
            <w:tcBorders>
              <w:right w:val="single" w:sz="8" w:space="0" w:color="000000"/>
            </w:tcBorders>
            <w:tcMar>
              <w:top w:w="140" w:type="nil"/>
              <w:right w:w="140" w:type="nil"/>
            </w:tcMar>
            <w:vAlign w:val="center"/>
          </w:tcPr>
          <w:p w14:paraId="1E20078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4DCD0AB3"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$9,000</w:t>
            </w:r>
          </w:p>
        </w:tc>
      </w:tr>
      <w:tr w:rsidR="00B2609F" w:rsidRPr="00CE3EF5" w14:paraId="429C33F9"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494D6302"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Economic status</w:t>
            </w:r>
          </w:p>
        </w:tc>
        <w:tc>
          <w:tcPr>
            <w:tcW w:w="1694" w:type="dxa"/>
            <w:vMerge/>
            <w:tcBorders>
              <w:right w:val="single" w:sz="8" w:space="0" w:color="000000"/>
            </w:tcBorders>
            <w:tcMar>
              <w:top w:w="140" w:type="nil"/>
              <w:right w:w="140" w:type="nil"/>
            </w:tcMar>
            <w:vAlign w:val="center"/>
          </w:tcPr>
          <w:p w14:paraId="38DC274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70DCC48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606C9682"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694</w:t>
            </w:r>
          </w:p>
        </w:tc>
        <w:tc>
          <w:tcPr>
            <w:tcW w:w="1170" w:type="dxa"/>
            <w:vMerge/>
            <w:tcBorders>
              <w:right w:val="single" w:sz="8" w:space="0" w:color="000000"/>
            </w:tcBorders>
            <w:tcMar>
              <w:top w:w="140" w:type="nil"/>
              <w:right w:w="140" w:type="nil"/>
            </w:tcMar>
            <w:vAlign w:val="center"/>
          </w:tcPr>
          <w:p w14:paraId="40D6D1D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0C3E06EC"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$6,940</w:t>
            </w:r>
          </w:p>
        </w:tc>
      </w:tr>
      <w:tr w:rsidR="00B2609F" w:rsidRPr="00CE3EF5" w14:paraId="54B48BBD"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7D829FAF"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Health care access</w:t>
            </w:r>
          </w:p>
        </w:tc>
        <w:tc>
          <w:tcPr>
            <w:tcW w:w="1694" w:type="dxa"/>
            <w:vMerge/>
            <w:tcBorders>
              <w:right w:val="single" w:sz="8" w:space="0" w:color="000000"/>
            </w:tcBorders>
            <w:tcMar>
              <w:top w:w="140" w:type="nil"/>
              <w:right w:w="140" w:type="nil"/>
            </w:tcMar>
            <w:vAlign w:val="center"/>
          </w:tcPr>
          <w:p w14:paraId="173500A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6767A950"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0ED7524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3470</w:t>
            </w:r>
          </w:p>
        </w:tc>
        <w:tc>
          <w:tcPr>
            <w:tcW w:w="1170" w:type="dxa"/>
            <w:vMerge/>
            <w:tcBorders>
              <w:right w:val="single" w:sz="8" w:space="0" w:color="000000"/>
            </w:tcBorders>
            <w:tcMar>
              <w:top w:w="140" w:type="nil"/>
              <w:right w:w="140" w:type="nil"/>
            </w:tcMar>
            <w:vAlign w:val="center"/>
          </w:tcPr>
          <w:p w14:paraId="757D57EB"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64A2CD8D"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$34,700</w:t>
            </w:r>
          </w:p>
        </w:tc>
      </w:tr>
      <w:tr w:rsidR="00B2609F" w:rsidRPr="00CE3EF5" w14:paraId="2A2E8050"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2D61B29E"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Chronic stress</w:t>
            </w:r>
          </w:p>
        </w:tc>
        <w:tc>
          <w:tcPr>
            <w:tcW w:w="1694" w:type="dxa"/>
            <w:vMerge/>
            <w:tcBorders>
              <w:right w:val="single" w:sz="8" w:space="0" w:color="000000"/>
            </w:tcBorders>
            <w:tcMar>
              <w:top w:w="140" w:type="nil"/>
              <w:right w:w="140" w:type="nil"/>
            </w:tcMar>
            <w:vAlign w:val="center"/>
          </w:tcPr>
          <w:p w14:paraId="180E32E3"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73C2FFFC"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1AE3585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925</w:t>
            </w:r>
          </w:p>
        </w:tc>
        <w:tc>
          <w:tcPr>
            <w:tcW w:w="1170" w:type="dxa"/>
            <w:vMerge/>
            <w:tcBorders>
              <w:right w:val="single" w:sz="8" w:space="0" w:color="000000"/>
            </w:tcBorders>
            <w:tcMar>
              <w:top w:w="140" w:type="nil"/>
              <w:right w:w="140" w:type="nil"/>
            </w:tcMar>
            <w:vAlign w:val="center"/>
          </w:tcPr>
          <w:p w14:paraId="1EC1BE5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09AF6E7E"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$9,250</w:t>
            </w:r>
          </w:p>
        </w:tc>
      </w:tr>
      <w:tr w:rsidR="00B2609F" w:rsidRPr="00CE3EF5" w14:paraId="3DC9BAE2"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54FD3ACD"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Family cohesion</w:t>
            </w:r>
          </w:p>
        </w:tc>
        <w:tc>
          <w:tcPr>
            <w:tcW w:w="1694" w:type="dxa"/>
            <w:vMerge/>
            <w:tcBorders>
              <w:right w:val="single" w:sz="8" w:space="0" w:color="000000"/>
            </w:tcBorders>
            <w:tcMar>
              <w:top w:w="140" w:type="nil"/>
              <w:right w:w="140" w:type="nil"/>
            </w:tcMar>
            <w:vAlign w:val="center"/>
          </w:tcPr>
          <w:p w14:paraId="11C5BE1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6A1A363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0A9FEA1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1157</w:t>
            </w:r>
          </w:p>
        </w:tc>
        <w:tc>
          <w:tcPr>
            <w:tcW w:w="1170" w:type="dxa"/>
            <w:vMerge/>
            <w:tcBorders>
              <w:right w:val="single" w:sz="8" w:space="0" w:color="000000"/>
            </w:tcBorders>
            <w:tcMar>
              <w:top w:w="140" w:type="nil"/>
              <w:right w:w="140" w:type="nil"/>
            </w:tcMar>
            <w:vAlign w:val="center"/>
          </w:tcPr>
          <w:p w14:paraId="33E3B6E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41ED0AF2"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$11,570</w:t>
            </w:r>
          </w:p>
        </w:tc>
      </w:tr>
      <w:tr w:rsidR="00B2609F" w:rsidRPr="00CE3EF5" w14:paraId="68316F1B"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7F134930"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Social Support</w:t>
            </w:r>
          </w:p>
        </w:tc>
        <w:tc>
          <w:tcPr>
            <w:tcW w:w="1694" w:type="dxa"/>
            <w:vMerge/>
            <w:tcBorders>
              <w:right w:val="single" w:sz="8" w:space="0" w:color="000000"/>
            </w:tcBorders>
            <w:tcMar>
              <w:top w:w="140" w:type="nil"/>
              <w:right w:w="140" w:type="nil"/>
            </w:tcMar>
            <w:vAlign w:val="center"/>
          </w:tcPr>
          <w:p w14:paraId="21EBB58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6A9F6530"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7FF9D34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694</w:t>
            </w:r>
          </w:p>
        </w:tc>
        <w:tc>
          <w:tcPr>
            <w:tcW w:w="1170" w:type="dxa"/>
            <w:vMerge/>
            <w:tcBorders>
              <w:right w:val="single" w:sz="8" w:space="0" w:color="000000"/>
            </w:tcBorders>
            <w:tcMar>
              <w:top w:w="140" w:type="nil"/>
              <w:right w:w="140" w:type="nil"/>
            </w:tcMar>
            <w:vAlign w:val="center"/>
          </w:tcPr>
          <w:p w14:paraId="2E2B39C3"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4B53C821"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$6,940</w:t>
            </w:r>
          </w:p>
        </w:tc>
      </w:tr>
      <w:tr w:rsidR="00B2609F" w:rsidRPr="00CE3EF5" w14:paraId="0DE18BA5"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4B8045D6"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Acculturation</w:t>
            </w:r>
          </w:p>
        </w:tc>
        <w:tc>
          <w:tcPr>
            <w:tcW w:w="1694" w:type="dxa"/>
            <w:vMerge/>
            <w:tcBorders>
              <w:right w:val="single" w:sz="8" w:space="0" w:color="000000"/>
            </w:tcBorders>
            <w:tcMar>
              <w:top w:w="140" w:type="nil"/>
              <w:right w:w="140" w:type="nil"/>
            </w:tcMar>
            <w:vAlign w:val="center"/>
          </w:tcPr>
          <w:p w14:paraId="1303F33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199661F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39392A8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694</w:t>
            </w:r>
          </w:p>
        </w:tc>
        <w:tc>
          <w:tcPr>
            <w:tcW w:w="1170" w:type="dxa"/>
            <w:vMerge/>
            <w:tcBorders>
              <w:right w:val="single" w:sz="8" w:space="0" w:color="000000"/>
            </w:tcBorders>
            <w:tcMar>
              <w:top w:w="140" w:type="nil"/>
              <w:right w:w="140" w:type="nil"/>
            </w:tcMar>
            <w:vAlign w:val="center"/>
          </w:tcPr>
          <w:p w14:paraId="6121692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59CC4E37"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$6,940</w:t>
            </w:r>
          </w:p>
        </w:tc>
      </w:tr>
      <w:tr w:rsidR="00B2609F" w:rsidRPr="00CE3EF5" w14:paraId="4BB0D507"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20B6EF7E"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Well being</w:t>
            </w:r>
          </w:p>
        </w:tc>
        <w:tc>
          <w:tcPr>
            <w:tcW w:w="1694" w:type="dxa"/>
            <w:vMerge/>
            <w:tcBorders>
              <w:right w:val="single" w:sz="8" w:space="0" w:color="000000"/>
            </w:tcBorders>
            <w:tcMar>
              <w:top w:w="140" w:type="nil"/>
              <w:right w:w="140" w:type="nil"/>
            </w:tcMar>
            <w:vAlign w:val="center"/>
          </w:tcPr>
          <w:p w14:paraId="250E713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361B216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49DD4A0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463</w:t>
            </w:r>
          </w:p>
        </w:tc>
        <w:tc>
          <w:tcPr>
            <w:tcW w:w="1170" w:type="dxa"/>
            <w:vMerge/>
            <w:tcBorders>
              <w:right w:val="single" w:sz="8" w:space="0" w:color="000000"/>
            </w:tcBorders>
            <w:tcMar>
              <w:top w:w="140" w:type="nil"/>
              <w:right w:w="140" w:type="nil"/>
            </w:tcMar>
            <w:vAlign w:val="center"/>
          </w:tcPr>
          <w:p w14:paraId="496CDD2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706E1F3A"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$4,630</w:t>
            </w:r>
          </w:p>
        </w:tc>
      </w:tr>
      <w:tr w:rsidR="00B2609F" w:rsidRPr="00CE3EF5" w14:paraId="3F4D2437"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59E94907"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Abbrev. Medication Use</w:t>
            </w:r>
          </w:p>
        </w:tc>
        <w:tc>
          <w:tcPr>
            <w:tcW w:w="1694" w:type="dxa"/>
            <w:vMerge/>
            <w:tcBorders>
              <w:right w:val="single" w:sz="8" w:space="0" w:color="000000"/>
            </w:tcBorders>
            <w:tcMar>
              <w:top w:w="140" w:type="nil"/>
              <w:right w:w="140" w:type="nil"/>
            </w:tcMar>
            <w:vAlign w:val="center"/>
          </w:tcPr>
          <w:p w14:paraId="65A3896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4DDC0C6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0DD514F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925</w:t>
            </w:r>
          </w:p>
        </w:tc>
        <w:tc>
          <w:tcPr>
            <w:tcW w:w="1170" w:type="dxa"/>
            <w:vMerge/>
            <w:tcBorders>
              <w:right w:val="single" w:sz="8" w:space="0" w:color="000000"/>
            </w:tcBorders>
            <w:tcMar>
              <w:top w:w="140" w:type="nil"/>
              <w:right w:w="140" w:type="nil"/>
            </w:tcMar>
            <w:vAlign w:val="center"/>
          </w:tcPr>
          <w:p w14:paraId="429285D3"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0A24C2AD"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$9,250</w:t>
            </w:r>
          </w:p>
        </w:tc>
      </w:tr>
      <w:tr w:rsidR="00B2609F" w:rsidRPr="00CE3EF5" w14:paraId="7EF81D10"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0D7322C2"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Tobacco use</w:t>
            </w:r>
          </w:p>
        </w:tc>
        <w:tc>
          <w:tcPr>
            <w:tcW w:w="1694" w:type="dxa"/>
            <w:vMerge/>
            <w:tcBorders>
              <w:right w:val="single" w:sz="8" w:space="0" w:color="000000"/>
            </w:tcBorders>
            <w:tcMar>
              <w:top w:w="140" w:type="nil"/>
              <w:right w:w="140" w:type="nil"/>
            </w:tcMar>
            <w:vAlign w:val="center"/>
          </w:tcPr>
          <w:p w14:paraId="1509189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1901F1F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7AAD3E2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1619</w:t>
            </w:r>
          </w:p>
        </w:tc>
        <w:tc>
          <w:tcPr>
            <w:tcW w:w="1170" w:type="dxa"/>
            <w:vMerge/>
            <w:tcBorders>
              <w:right w:val="single" w:sz="8" w:space="0" w:color="000000"/>
            </w:tcBorders>
            <w:tcMar>
              <w:top w:w="140" w:type="nil"/>
              <w:right w:w="140" w:type="nil"/>
            </w:tcMar>
            <w:vAlign w:val="center"/>
          </w:tcPr>
          <w:p w14:paraId="6336C77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47901EBD"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$16,190</w:t>
            </w:r>
          </w:p>
        </w:tc>
      </w:tr>
      <w:tr w:rsidR="00B2609F" w:rsidRPr="00CE3EF5" w14:paraId="3207B2F9"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0F7FD7F1"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Alcohol use</w:t>
            </w:r>
          </w:p>
        </w:tc>
        <w:tc>
          <w:tcPr>
            <w:tcW w:w="1694" w:type="dxa"/>
            <w:vMerge/>
            <w:tcBorders>
              <w:right w:val="single" w:sz="8" w:space="0" w:color="000000"/>
            </w:tcBorders>
            <w:tcMar>
              <w:top w:w="140" w:type="nil"/>
              <w:right w:w="140" w:type="nil"/>
            </w:tcMar>
            <w:vAlign w:val="center"/>
          </w:tcPr>
          <w:p w14:paraId="368BE60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3004A490"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3D29F21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694</w:t>
            </w:r>
          </w:p>
        </w:tc>
        <w:tc>
          <w:tcPr>
            <w:tcW w:w="1170" w:type="dxa"/>
            <w:vMerge/>
            <w:tcBorders>
              <w:right w:val="single" w:sz="8" w:space="0" w:color="000000"/>
            </w:tcBorders>
            <w:tcMar>
              <w:top w:w="140" w:type="nil"/>
              <w:right w:w="140" w:type="nil"/>
            </w:tcMar>
            <w:vAlign w:val="center"/>
          </w:tcPr>
          <w:p w14:paraId="0D3A3F8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0EA383E5"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$6,940</w:t>
            </w:r>
          </w:p>
        </w:tc>
      </w:tr>
      <w:tr w:rsidR="00B2609F" w:rsidRPr="00CE3EF5" w14:paraId="3624CA85"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6C69B892"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Participant feedback</w:t>
            </w:r>
          </w:p>
        </w:tc>
        <w:tc>
          <w:tcPr>
            <w:tcW w:w="1694" w:type="dxa"/>
            <w:vMerge/>
            <w:tcBorders>
              <w:bottom w:val="single" w:sz="8" w:space="0" w:color="000000"/>
              <w:right w:val="single" w:sz="8" w:space="0" w:color="000000"/>
            </w:tcBorders>
            <w:tcMar>
              <w:top w:w="140" w:type="nil"/>
              <w:right w:w="140" w:type="nil"/>
            </w:tcMar>
            <w:vAlign w:val="center"/>
          </w:tcPr>
          <w:p w14:paraId="2EDAA922"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15974D0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13878</w:t>
            </w:r>
          </w:p>
        </w:tc>
        <w:tc>
          <w:tcPr>
            <w:tcW w:w="1260" w:type="dxa"/>
            <w:tcBorders>
              <w:bottom w:val="single" w:sz="8" w:space="0" w:color="000000"/>
              <w:right w:val="single" w:sz="8" w:space="0" w:color="000000"/>
            </w:tcBorders>
            <w:tcMar>
              <w:top w:w="140" w:type="nil"/>
              <w:right w:w="140" w:type="nil"/>
            </w:tcMar>
            <w:vAlign w:val="center"/>
          </w:tcPr>
          <w:p w14:paraId="6871D60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2776</w:t>
            </w:r>
          </w:p>
        </w:tc>
        <w:tc>
          <w:tcPr>
            <w:tcW w:w="1170" w:type="dxa"/>
            <w:vMerge/>
            <w:tcBorders>
              <w:bottom w:val="single" w:sz="8" w:space="0" w:color="000000"/>
              <w:right w:val="single" w:sz="8" w:space="0" w:color="000000"/>
            </w:tcBorders>
            <w:tcMar>
              <w:top w:w="140" w:type="nil"/>
              <w:right w:w="140" w:type="nil"/>
            </w:tcMar>
            <w:vAlign w:val="center"/>
          </w:tcPr>
          <w:p w14:paraId="722DEE3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67189BFB"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27,760</w:t>
            </w:r>
          </w:p>
        </w:tc>
      </w:tr>
      <w:tr w:rsidR="00B2609F" w:rsidRPr="00CE3EF5" w14:paraId="34BCD8C9"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3C7A1E18"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Annual Follow-up,  AFU Year 3 Interview</w:t>
            </w:r>
          </w:p>
        </w:tc>
        <w:tc>
          <w:tcPr>
            <w:tcW w:w="1694" w:type="dxa"/>
            <w:vMerge w:val="restart"/>
            <w:tcBorders>
              <w:right w:val="single" w:sz="8" w:space="0" w:color="000000"/>
            </w:tcBorders>
            <w:tcMar>
              <w:top w:w="140" w:type="nil"/>
              <w:right w:w="140" w:type="nil"/>
            </w:tcMar>
            <w:vAlign w:val="center"/>
          </w:tcPr>
          <w:p w14:paraId="33E1470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Participant</w:t>
            </w:r>
          </w:p>
        </w:tc>
        <w:tc>
          <w:tcPr>
            <w:tcW w:w="1350" w:type="dxa"/>
            <w:tcBorders>
              <w:bottom w:val="single" w:sz="8" w:space="0" w:color="000000"/>
              <w:right w:val="single" w:sz="8" w:space="0" w:color="000000"/>
            </w:tcBorders>
            <w:tcMar>
              <w:top w:w="140" w:type="nil"/>
              <w:right w:w="140" w:type="nil"/>
            </w:tcMar>
            <w:vAlign w:val="center"/>
          </w:tcPr>
          <w:p w14:paraId="646E95E2"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3146</w:t>
            </w:r>
          </w:p>
        </w:tc>
        <w:tc>
          <w:tcPr>
            <w:tcW w:w="1260" w:type="dxa"/>
            <w:tcBorders>
              <w:bottom w:val="single" w:sz="8" w:space="0" w:color="000000"/>
              <w:right w:val="single" w:sz="8" w:space="0" w:color="000000"/>
            </w:tcBorders>
            <w:tcMar>
              <w:top w:w="140" w:type="nil"/>
              <w:right w:w="140" w:type="nil"/>
            </w:tcMar>
            <w:vAlign w:val="center"/>
          </w:tcPr>
          <w:p w14:paraId="0178DDB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787</w:t>
            </w:r>
          </w:p>
        </w:tc>
        <w:tc>
          <w:tcPr>
            <w:tcW w:w="1170" w:type="dxa"/>
            <w:vMerge w:val="restart"/>
            <w:tcBorders>
              <w:right w:val="single" w:sz="8" w:space="0" w:color="000000"/>
            </w:tcBorders>
            <w:tcMar>
              <w:top w:w="140" w:type="nil"/>
              <w:right w:w="140" w:type="nil"/>
            </w:tcMar>
            <w:vAlign w:val="center"/>
          </w:tcPr>
          <w:p w14:paraId="14DF5EF3"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$10.00</w:t>
            </w:r>
          </w:p>
        </w:tc>
        <w:tc>
          <w:tcPr>
            <w:tcW w:w="1260" w:type="dxa"/>
            <w:tcBorders>
              <w:bottom w:val="single" w:sz="8" w:space="0" w:color="000000"/>
              <w:right w:val="single" w:sz="8" w:space="0" w:color="000000"/>
            </w:tcBorders>
            <w:tcMar>
              <w:top w:w="140" w:type="nil"/>
              <w:right w:w="140" w:type="nil"/>
            </w:tcMar>
            <w:vAlign w:val="center"/>
          </w:tcPr>
          <w:p w14:paraId="584A4819"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$7,870</w:t>
            </w:r>
          </w:p>
        </w:tc>
      </w:tr>
      <w:tr w:rsidR="00B2609F" w:rsidRPr="00CE3EF5" w14:paraId="0F7FD8DB"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4BD57641"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Year 4 Interview</w:t>
            </w:r>
          </w:p>
        </w:tc>
        <w:tc>
          <w:tcPr>
            <w:tcW w:w="1694" w:type="dxa"/>
            <w:vMerge/>
            <w:tcBorders>
              <w:right w:val="single" w:sz="8" w:space="0" w:color="000000"/>
            </w:tcBorders>
            <w:tcMar>
              <w:top w:w="140" w:type="nil"/>
              <w:right w:w="140" w:type="nil"/>
            </w:tcMar>
            <w:vAlign w:val="center"/>
          </w:tcPr>
          <w:p w14:paraId="5726704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78AE5DBC"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9033</w:t>
            </w:r>
          </w:p>
        </w:tc>
        <w:tc>
          <w:tcPr>
            <w:tcW w:w="1260" w:type="dxa"/>
            <w:tcBorders>
              <w:bottom w:val="single" w:sz="8" w:space="0" w:color="000000"/>
              <w:right w:val="single" w:sz="8" w:space="0" w:color="000000"/>
            </w:tcBorders>
            <w:tcMar>
              <w:top w:w="140" w:type="nil"/>
              <w:right w:w="140" w:type="nil"/>
            </w:tcMar>
            <w:vAlign w:val="center"/>
          </w:tcPr>
          <w:p w14:paraId="544EDE7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2258</w:t>
            </w:r>
          </w:p>
        </w:tc>
        <w:tc>
          <w:tcPr>
            <w:tcW w:w="1170" w:type="dxa"/>
            <w:vMerge/>
            <w:tcBorders>
              <w:right w:val="single" w:sz="8" w:space="0" w:color="000000"/>
            </w:tcBorders>
            <w:tcMar>
              <w:top w:w="140" w:type="nil"/>
              <w:right w:w="140" w:type="nil"/>
            </w:tcMar>
            <w:vAlign w:val="center"/>
          </w:tcPr>
          <w:p w14:paraId="70BA88D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3F21D1F1"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$22,580</w:t>
            </w:r>
          </w:p>
        </w:tc>
      </w:tr>
      <w:tr w:rsidR="00B2609F" w:rsidRPr="00CE3EF5" w14:paraId="27328BAB"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36AEF5EB"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Year 5 Interview</w:t>
            </w:r>
          </w:p>
        </w:tc>
        <w:tc>
          <w:tcPr>
            <w:tcW w:w="1694" w:type="dxa"/>
            <w:vMerge/>
            <w:tcBorders>
              <w:right w:val="single" w:sz="8" w:space="0" w:color="000000"/>
            </w:tcBorders>
            <w:tcMar>
              <w:top w:w="140" w:type="nil"/>
              <w:right w:w="140" w:type="nil"/>
            </w:tcMar>
            <w:vAlign w:val="center"/>
          </w:tcPr>
          <w:p w14:paraId="711D003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009E925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14259</w:t>
            </w:r>
          </w:p>
        </w:tc>
        <w:tc>
          <w:tcPr>
            <w:tcW w:w="1260" w:type="dxa"/>
            <w:tcBorders>
              <w:bottom w:val="single" w:sz="8" w:space="0" w:color="000000"/>
              <w:right w:val="single" w:sz="8" w:space="0" w:color="000000"/>
            </w:tcBorders>
            <w:tcMar>
              <w:top w:w="140" w:type="nil"/>
              <w:right w:w="140" w:type="nil"/>
            </w:tcMar>
            <w:vAlign w:val="center"/>
          </w:tcPr>
          <w:p w14:paraId="5E607183"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3565</w:t>
            </w:r>
          </w:p>
        </w:tc>
        <w:tc>
          <w:tcPr>
            <w:tcW w:w="1170" w:type="dxa"/>
            <w:vMerge/>
            <w:tcBorders>
              <w:right w:val="single" w:sz="8" w:space="0" w:color="000000"/>
            </w:tcBorders>
            <w:tcMar>
              <w:top w:w="140" w:type="nil"/>
              <w:right w:w="140" w:type="nil"/>
            </w:tcMar>
            <w:vAlign w:val="center"/>
          </w:tcPr>
          <w:p w14:paraId="34EF95F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665A09B0"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$35,650</w:t>
            </w:r>
          </w:p>
        </w:tc>
      </w:tr>
      <w:tr w:rsidR="00B2609F" w:rsidRPr="00CE3EF5" w14:paraId="573C2B81"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5924D3B8"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Year 6 Interview</w:t>
            </w:r>
          </w:p>
        </w:tc>
        <w:tc>
          <w:tcPr>
            <w:tcW w:w="1694" w:type="dxa"/>
            <w:vMerge/>
            <w:tcBorders>
              <w:right w:val="single" w:sz="8" w:space="0" w:color="000000"/>
            </w:tcBorders>
            <w:tcMar>
              <w:top w:w="140" w:type="nil"/>
              <w:right w:w="140" w:type="nil"/>
            </w:tcMar>
            <w:vAlign w:val="center"/>
          </w:tcPr>
          <w:p w14:paraId="74DB2750"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1680105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16222</w:t>
            </w:r>
          </w:p>
        </w:tc>
        <w:tc>
          <w:tcPr>
            <w:tcW w:w="1260" w:type="dxa"/>
            <w:tcBorders>
              <w:bottom w:val="single" w:sz="8" w:space="0" w:color="000000"/>
              <w:right w:val="single" w:sz="8" w:space="0" w:color="000000"/>
            </w:tcBorders>
            <w:tcMar>
              <w:top w:w="140" w:type="nil"/>
              <w:right w:w="140" w:type="nil"/>
            </w:tcMar>
            <w:vAlign w:val="center"/>
          </w:tcPr>
          <w:p w14:paraId="4A0093A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w:t>
            </w:r>
          </w:p>
        </w:tc>
        <w:tc>
          <w:tcPr>
            <w:tcW w:w="1170" w:type="dxa"/>
            <w:vMerge/>
            <w:tcBorders>
              <w:right w:val="single" w:sz="8" w:space="0" w:color="000000"/>
            </w:tcBorders>
            <w:tcMar>
              <w:top w:w="140" w:type="nil"/>
              <w:right w:w="140" w:type="nil"/>
            </w:tcMar>
            <w:vAlign w:val="center"/>
          </w:tcPr>
          <w:p w14:paraId="132C6B2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2A17343F"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$40,550</w:t>
            </w:r>
          </w:p>
        </w:tc>
      </w:tr>
      <w:tr w:rsidR="00B2609F" w:rsidRPr="00CE3EF5" w14:paraId="1FA95CF9"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3A5DCCCE"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Year 7 Interview</w:t>
            </w:r>
          </w:p>
        </w:tc>
        <w:tc>
          <w:tcPr>
            <w:tcW w:w="1694" w:type="dxa"/>
            <w:vMerge/>
            <w:tcBorders>
              <w:right w:val="single" w:sz="8" w:space="0" w:color="000000"/>
            </w:tcBorders>
            <w:tcMar>
              <w:top w:w="140" w:type="nil"/>
              <w:right w:w="140" w:type="nil"/>
            </w:tcMar>
            <w:vAlign w:val="center"/>
          </w:tcPr>
          <w:p w14:paraId="3B86C59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3C57FC8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16222</w:t>
            </w:r>
          </w:p>
        </w:tc>
        <w:tc>
          <w:tcPr>
            <w:tcW w:w="1260" w:type="dxa"/>
            <w:tcBorders>
              <w:bottom w:val="single" w:sz="8" w:space="0" w:color="000000"/>
              <w:right w:val="single" w:sz="8" w:space="0" w:color="000000"/>
            </w:tcBorders>
            <w:tcMar>
              <w:top w:w="140" w:type="nil"/>
              <w:right w:w="140" w:type="nil"/>
            </w:tcMar>
            <w:vAlign w:val="center"/>
          </w:tcPr>
          <w:p w14:paraId="167F1DA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w:t>
            </w:r>
          </w:p>
        </w:tc>
        <w:tc>
          <w:tcPr>
            <w:tcW w:w="1170" w:type="dxa"/>
            <w:vMerge/>
            <w:tcBorders>
              <w:right w:val="single" w:sz="8" w:space="0" w:color="000000"/>
            </w:tcBorders>
            <w:tcMar>
              <w:top w:w="140" w:type="nil"/>
              <w:right w:w="140" w:type="nil"/>
            </w:tcMar>
            <w:vAlign w:val="center"/>
          </w:tcPr>
          <w:p w14:paraId="25A2923A"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68D071C4"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$40,550</w:t>
            </w:r>
          </w:p>
        </w:tc>
      </w:tr>
      <w:tr w:rsidR="00B2609F" w:rsidRPr="00CE3EF5" w14:paraId="30AD03DB"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3F607E18"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Year 8 Interview</w:t>
            </w:r>
          </w:p>
        </w:tc>
        <w:tc>
          <w:tcPr>
            <w:tcW w:w="1694" w:type="dxa"/>
            <w:vMerge/>
            <w:tcBorders>
              <w:right w:val="single" w:sz="8" w:space="0" w:color="000000"/>
            </w:tcBorders>
            <w:tcMar>
              <w:top w:w="140" w:type="nil"/>
              <w:right w:w="140" w:type="nil"/>
            </w:tcMar>
            <w:vAlign w:val="center"/>
          </w:tcPr>
          <w:p w14:paraId="73D23D0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637D0FDC"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16222</w:t>
            </w:r>
          </w:p>
        </w:tc>
        <w:tc>
          <w:tcPr>
            <w:tcW w:w="1260" w:type="dxa"/>
            <w:tcBorders>
              <w:bottom w:val="single" w:sz="8" w:space="0" w:color="000000"/>
              <w:right w:val="single" w:sz="8" w:space="0" w:color="000000"/>
            </w:tcBorders>
            <w:tcMar>
              <w:top w:w="140" w:type="nil"/>
              <w:right w:w="140" w:type="nil"/>
            </w:tcMar>
            <w:vAlign w:val="center"/>
          </w:tcPr>
          <w:p w14:paraId="4FD6599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w:t>
            </w:r>
          </w:p>
        </w:tc>
        <w:tc>
          <w:tcPr>
            <w:tcW w:w="1170" w:type="dxa"/>
            <w:vMerge/>
            <w:tcBorders>
              <w:right w:val="single" w:sz="8" w:space="0" w:color="000000"/>
            </w:tcBorders>
            <w:tcMar>
              <w:top w:w="140" w:type="nil"/>
              <w:right w:w="140" w:type="nil"/>
            </w:tcMar>
            <w:vAlign w:val="center"/>
          </w:tcPr>
          <w:p w14:paraId="6D37DA8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12C87E96"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$40,550</w:t>
            </w:r>
          </w:p>
        </w:tc>
      </w:tr>
      <w:tr w:rsidR="00B2609F" w:rsidRPr="00CE3EF5" w14:paraId="1E521406"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7879A758"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Year 9 Interview</w:t>
            </w:r>
          </w:p>
        </w:tc>
        <w:tc>
          <w:tcPr>
            <w:tcW w:w="1694" w:type="dxa"/>
            <w:vMerge/>
            <w:tcBorders>
              <w:right w:val="single" w:sz="8" w:space="0" w:color="000000"/>
            </w:tcBorders>
            <w:tcMar>
              <w:top w:w="140" w:type="nil"/>
              <w:right w:w="140" w:type="nil"/>
            </w:tcMar>
            <w:vAlign w:val="center"/>
          </w:tcPr>
          <w:p w14:paraId="6E15E369"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58C22A8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16222</w:t>
            </w:r>
          </w:p>
        </w:tc>
        <w:tc>
          <w:tcPr>
            <w:tcW w:w="1260" w:type="dxa"/>
            <w:tcBorders>
              <w:bottom w:val="single" w:sz="8" w:space="0" w:color="000000"/>
              <w:right w:val="single" w:sz="8" w:space="0" w:color="000000"/>
            </w:tcBorders>
            <w:tcMar>
              <w:top w:w="140" w:type="nil"/>
              <w:right w:w="140" w:type="nil"/>
            </w:tcMar>
            <w:vAlign w:val="center"/>
          </w:tcPr>
          <w:p w14:paraId="2BE57E5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w:t>
            </w:r>
          </w:p>
        </w:tc>
        <w:tc>
          <w:tcPr>
            <w:tcW w:w="1170" w:type="dxa"/>
            <w:vMerge/>
            <w:tcBorders>
              <w:right w:val="single" w:sz="8" w:space="0" w:color="000000"/>
            </w:tcBorders>
            <w:tcMar>
              <w:top w:w="140" w:type="nil"/>
              <w:right w:w="140" w:type="nil"/>
            </w:tcMar>
            <w:vAlign w:val="center"/>
          </w:tcPr>
          <w:p w14:paraId="1E2CA38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318A364E"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$40,550</w:t>
            </w:r>
          </w:p>
        </w:tc>
      </w:tr>
      <w:tr w:rsidR="00B2609F" w:rsidRPr="00CE3EF5" w14:paraId="1D1AA7C9"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4DD6DACF"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Year 10 Interview</w:t>
            </w:r>
          </w:p>
        </w:tc>
        <w:tc>
          <w:tcPr>
            <w:tcW w:w="1694" w:type="dxa"/>
            <w:vMerge/>
            <w:tcBorders>
              <w:bottom w:val="single" w:sz="8" w:space="0" w:color="000000"/>
              <w:right w:val="single" w:sz="8" w:space="0" w:color="000000"/>
            </w:tcBorders>
            <w:tcMar>
              <w:top w:w="140" w:type="nil"/>
              <w:right w:w="140" w:type="nil"/>
            </w:tcMar>
            <w:vAlign w:val="center"/>
          </w:tcPr>
          <w:p w14:paraId="46950C9E"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5F11E5E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16222</w:t>
            </w:r>
          </w:p>
        </w:tc>
        <w:tc>
          <w:tcPr>
            <w:tcW w:w="1260" w:type="dxa"/>
            <w:tcBorders>
              <w:bottom w:val="single" w:sz="8" w:space="0" w:color="000000"/>
              <w:right w:val="single" w:sz="8" w:space="0" w:color="000000"/>
            </w:tcBorders>
            <w:tcMar>
              <w:top w:w="140" w:type="nil"/>
              <w:right w:w="140" w:type="nil"/>
            </w:tcMar>
            <w:vAlign w:val="center"/>
          </w:tcPr>
          <w:p w14:paraId="4CAEE82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w:t>
            </w:r>
          </w:p>
        </w:tc>
        <w:tc>
          <w:tcPr>
            <w:tcW w:w="1170" w:type="dxa"/>
            <w:vMerge/>
            <w:tcBorders>
              <w:bottom w:val="single" w:sz="8" w:space="0" w:color="000000"/>
              <w:right w:val="single" w:sz="8" w:space="0" w:color="000000"/>
            </w:tcBorders>
            <w:tcMar>
              <w:top w:w="140" w:type="nil"/>
              <w:right w:w="140" w:type="nil"/>
            </w:tcMar>
            <w:vAlign w:val="center"/>
          </w:tcPr>
          <w:p w14:paraId="6D0DE4D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49109B17"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$40,550</w:t>
            </w:r>
          </w:p>
        </w:tc>
      </w:tr>
      <w:tr w:rsidR="00B2609F" w:rsidRPr="00CE3EF5" w14:paraId="504CD197"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22A3891C" w14:textId="77777777" w:rsidR="00B2609F" w:rsidRPr="00CE3EF5" w:rsidRDefault="00B2609F" w:rsidP="00B2609F">
            <w:pPr>
              <w:autoSpaceDE w:val="0"/>
              <w:autoSpaceDN w:val="0"/>
              <w:adjustRightInd w:val="0"/>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Year 11 Interview</w:t>
            </w:r>
          </w:p>
        </w:tc>
        <w:tc>
          <w:tcPr>
            <w:tcW w:w="1694" w:type="dxa"/>
            <w:vMerge/>
            <w:tcBorders>
              <w:bottom w:val="single" w:sz="8" w:space="0" w:color="000000"/>
              <w:right w:val="single" w:sz="8" w:space="0" w:color="000000"/>
            </w:tcBorders>
            <w:tcMar>
              <w:top w:w="140" w:type="nil"/>
              <w:right w:w="140" w:type="nil"/>
            </w:tcMar>
            <w:vAlign w:val="center"/>
          </w:tcPr>
          <w:p w14:paraId="76CFCEC3"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bottom w:val="single" w:sz="8" w:space="0" w:color="000000"/>
              <w:right w:val="single" w:sz="8" w:space="0" w:color="000000"/>
            </w:tcBorders>
            <w:tcMar>
              <w:top w:w="140" w:type="nil"/>
              <w:right w:w="140" w:type="nil"/>
            </w:tcMar>
            <w:vAlign w:val="center"/>
          </w:tcPr>
          <w:p w14:paraId="1D3BF5A5"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16222</w:t>
            </w:r>
          </w:p>
        </w:tc>
        <w:tc>
          <w:tcPr>
            <w:tcW w:w="1260" w:type="dxa"/>
            <w:tcBorders>
              <w:bottom w:val="single" w:sz="8" w:space="0" w:color="000000"/>
              <w:right w:val="single" w:sz="8" w:space="0" w:color="000000"/>
            </w:tcBorders>
            <w:tcMar>
              <w:top w:w="140" w:type="nil"/>
              <w:right w:w="140" w:type="nil"/>
            </w:tcMar>
            <w:vAlign w:val="center"/>
          </w:tcPr>
          <w:p w14:paraId="204B7683"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w:t>
            </w:r>
          </w:p>
        </w:tc>
        <w:tc>
          <w:tcPr>
            <w:tcW w:w="1170" w:type="dxa"/>
            <w:vMerge/>
            <w:tcBorders>
              <w:bottom w:val="single" w:sz="8" w:space="0" w:color="000000"/>
              <w:right w:val="single" w:sz="8" w:space="0" w:color="000000"/>
            </w:tcBorders>
            <w:tcMar>
              <w:top w:w="140" w:type="nil"/>
              <w:right w:w="140" w:type="nil"/>
            </w:tcMar>
            <w:vAlign w:val="center"/>
          </w:tcPr>
          <w:p w14:paraId="0A0E429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bottom w:val="single" w:sz="8" w:space="0" w:color="000000"/>
              <w:right w:val="single" w:sz="8" w:space="0" w:color="000000"/>
            </w:tcBorders>
            <w:tcMar>
              <w:top w:w="140" w:type="nil"/>
              <w:right w:w="140" w:type="nil"/>
            </w:tcMar>
            <w:vAlign w:val="center"/>
          </w:tcPr>
          <w:p w14:paraId="601CEA13"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$40,550</w:t>
            </w:r>
          </w:p>
        </w:tc>
      </w:tr>
      <w:tr w:rsidR="00B2609F" w:rsidRPr="00CE3EF5" w14:paraId="4EE10297"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bottom w:val="single" w:sz="8" w:space="0" w:color="000000"/>
              <w:right w:val="single" w:sz="8" w:space="0" w:color="000000"/>
            </w:tcBorders>
            <w:tcMar>
              <w:top w:w="140" w:type="nil"/>
              <w:right w:w="140" w:type="nil"/>
            </w:tcMar>
            <w:vAlign w:val="center"/>
          </w:tcPr>
          <w:p w14:paraId="2E115CE8"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 xml:space="preserve">Hospitalization records/ physician interview             </w:t>
            </w:r>
          </w:p>
        </w:tc>
        <w:tc>
          <w:tcPr>
            <w:tcW w:w="1694" w:type="dxa"/>
            <w:tcBorders>
              <w:bottom w:val="single" w:sz="8" w:space="0" w:color="000000"/>
              <w:right w:val="single" w:sz="8" w:space="0" w:color="000000"/>
            </w:tcBorders>
            <w:tcMar>
              <w:top w:w="140" w:type="nil"/>
              <w:right w:w="140" w:type="nil"/>
            </w:tcMar>
            <w:vAlign w:val="center"/>
          </w:tcPr>
          <w:p w14:paraId="6B25FBF5" w14:textId="2E721884" w:rsidR="00B2609F" w:rsidRPr="00CE3EF5" w:rsidRDefault="00B2609F" w:rsidP="002E51E4">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Physician/</w:t>
            </w:r>
            <w:r w:rsidR="002E51E4">
              <w:rPr>
                <w:rFonts w:asciiTheme="minorHAnsi" w:hAnsiTheme="minorHAnsi" w:cs="Arial"/>
                <w:color w:val="1A1A1A"/>
                <w:sz w:val="18"/>
                <w:szCs w:val="18"/>
                <w:highlight w:val="yellow"/>
              </w:rPr>
              <w:t>other health care providers</w:t>
            </w:r>
          </w:p>
        </w:tc>
        <w:tc>
          <w:tcPr>
            <w:tcW w:w="1350" w:type="dxa"/>
            <w:tcBorders>
              <w:bottom w:val="single" w:sz="8" w:space="0" w:color="000000"/>
              <w:right w:val="single" w:sz="8" w:space="0" w:color="000000"/>
            </w:tcBorders>
            <w:tcMar>
              <w:top w:w="140" w:type="nil"/>
              <w:right w:w="140" w:type="nil"/>
            </w:tcMar>
            <w:vAlign w:val="center"/>
          </w:tcPr>
          <w:p w14:paraId="2B3FD16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sz w:val="18"/>
                <w:szCs w:val="18"/>
                <w:highlight w:val="yellow"/>
              </w:rPr>
              <w:t>1591</w:t>
            </w:r>
          </w:p>
        </w:tc>
        <w:tc>
          <w:tcPr>
            <w:tcW w:w="1260" w:type="dxa"/>
            <w:tcBorders>
              <w:bottom w:val="single" w:sz="8" w:space="0" w:color="000000"/>
              <w:right w:val="single" w:sz="8" w:space="0" w:color="000000"/>
            </w:tcBorders>
            <w:tcMar>
              <w:top w:w="140" w:type="nil"/>
              <w:right w:w="140" w:type="nil"/>
            </w:tcMar>
            <w:vAlign w:val="center"/>
          </w:tcPr>
          <w:p w14:paraId="4A5034F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796</w:t>
            </w:r>
          </w:p>
        </w:tc>
        <w:tc>
          <w:tcPr>
            <w:tcW w:w="1170" w:type="dxa"/>
            <w:tcBorders>
              <w:bottom w:val="single" w:sz="8" w:space="0" w:color="000000"/>
              <w:right w:val="single" w:sz="8" w:space="0" w:color="000000"/>
            </w:tcBorders>
            <w:tcMar>
              <w:top w:w="140" w:type="nil"/>
              <w:right w:w="140" w:type="nil"/>
            </w:tcMar>
            <w:vAlign w:val="center"/>
          </w:tcPr>
          <w:p w14:paraId="020C4FC2"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$50.00</w:t>
            </w:r>
          </w:p>
        </w:tc>
        <w:tc>
          <w:tcPr>
            <w:tcW w:w="1260" w:type="dxa"/>
            <w:tcBorders>
              <w:bottom w:val="single" w:sz="8" w:space="0" w:color="000000"/>
              <w:right w:val="single" w:sz="8" w:space="0" w:color="000000"/>
            </w:tcBorders>
            <w:tcMar>
              <w:top w:w="140" w:type="nil"/>
              <w:right w:w="140" w:type="nil"/>
            </w:tcMar>
            <w:vAlign w:val="center"/>
          </w:tcPr>
          <w:p w14:paraId="2D5C7429"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$39,800</w:t>
            </w:r>
          </w:p>
        </w:tc>
      </w:tr>
      <w:tr w:rsidR="00B2609F" w:rsidRPr="00CE3EF5" w14:paraId="05041C21" w14:textId="77777777" w:rsidTr="00CE3EF5">
        <w:tblPrEx>
          <w:tblBorders>
            <w:top w:val="none" w:sz="0" w:space="0" w:color="auto"/>
            <w:left w:val="nil"/>
            <w:bottom w:val="none" w:sz="0" w:space="0" w:color="auto"/>
            <w:right w:val="nil"/>
            <w:insideH w:val="none" w:sz="0" w:space="0" w:color="auto"/>
            <w:insideV w:val="none" w:sz="0" w:space="0" w:color="auto"/>
          </w:tblBorders>
        </w:tblPrEx>
        <w:tc>
          <w:tcPr>
            <w:tcW w:w="2104" w:type="dxa"/>
            <w:tcBorders>
              <w:left w:val="single" w:sz="8" w:space="0" w:color="000000"/>
              <w:right w:val="single" w:sz="8" w:space="0" w:color="000000"/>
            </w:tcBorders>
            <w:tcMar>
              <w:top w:w="140" w:type="nil"/>
              <w:right w:w="140" w:type="nil"/>
            </w:tcMar>
            <w:vAlign w:val="center"/>
          </w:tcPr>
          <w:p w14:paraId="292D467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Informant Interview  Deaths (Appendix 16)</w:t>
            </w:r>
          </w:p>
        </w:tc>
        <w:tc>
          <w:tcPr>
            <w:tcW w:w="1694" w:type="dxa"/>
            <w:tcBorders>
              <w:bottom w:val="single" w:sz="8" w:space="0" w:color="000000"/>
              <w:right w:val="single" w:sz="8" w:space="0" w:color="000000"/>
            </w:tcBorders>
            <w:tcMar>
              <w:top w:w="140" w:type="nil"/>
              <w:right w:w="140" w:type="nil"/>
            </w:tcMar>
            <w:vAlign w:val="center"/>
          </w:tcPr>
          <w:p w14:paraId="48F4A3AF"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Informant</w:t>
            </w:r>
          </w:p>
        </w:tc>
        <w:tc>
          <w:tcPr>
            <w:tcW w:w="1350" w:type="dxa"/>
            <w:tcBorders>
              <w:bottom w:val="single" w:sz="8" w:space="0" w:color="000000"/>
              <w:right w:val="single" w:sz="8" w:space="0" w:color="000000"/>
            </w:tcBorders>
            <w:tcMar>
              <w:top w:w="140" w:type="nil"/>
              <w:right w:w="140" w:type="nil"/>
            </w:tcMar>
            <w:vAlign w:val="center"/>
          </w:tcPr>
          <w:p w14:paraId="6C385EB7"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sz w:val="18"/>
                <w:szCs w:val="18"/>
                <w:highlight w:val="yellow"/>
              </w:rPr>
              <w:t>154</w:t>
            </w:r>
          </w:p>
        </w:tc>
        <w:tc>
          <w:tcPr>
            <w:tcW w:w="1260" w:type="dxa"/>
            <w:tcBorders>
              <w:bottom w:val="single" w:sz="8" w:space="0" w:color="000000"/>
              <w:right w:val="single" w:sz="8" w:space="0" w:color="000000"/>
            </w:tcBorders>
            <w:tcMar>
              <w:top w:w="140" w:type="nil"/>
              <w:right w:w="140" w:type="nil"/>
            </w:tcMar>
            <w:vAlign w:val="center"/>
          </w:tcPr>
          <w:p w14:paraId="49969322"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77</w:t>
            </w:r>
          </w:p>
        </w:tc>
        <w:tc>
          <w:tcPr>
            <w:tcW w:w="1170" w:type="dxa"/>
            <w:tcBorders>
              <w:bottom w:val="single" w:sz="8" w:space="0" w:color="000000"/>
              <w:right w:val="single" w:sz="8" w:space="0" w:color="000000"/>
            </w:tcBorders>
            <w:tcMar>
              <w:top w:w="140" w:type="nil"/>
              <w:right w:w="140" w:type="nil"/>
            </w:tcMar>
            <w:vAlign w:val="center"/>
          </w:tcPr>
          <w:p w14:paraId="3097548C"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$10.00</w:t>
            </w:r>
          </w:p>
        </w:tc>
        <w:tc>
          <w:tcPr>
            <w:tcW w:w="1260" w:type="dxa"/>
            <w:tcBorders>
              <w:bottom w:val="single" w:sz="8" w:space="0" w:color="000000"/>
              <w:right w:val="single" w:sz="8" w:space="0" w:color="000000"/>
            </w:tcBorders>
            <w:tcMar>
              <w:top w:w="140" w:type="nil"/>
              <w:right w:w="140" w:type="nil"/>
            </w:tcMar>
            <w:vAlign w:val="center"/>
          </w:tcPr>
          <w:p w14:paraId="3893467E" w14:textId="77777777" w:rsidR="00B2609F" w:rsidRPr="00CE3EF5" w:rsidRDefault="00B2609F" w:rsidP="00B2609F">
            <w:pPr>
              <w:autoSpaceDE w:val="0"/>
              <w:autoSpaceDN w:val="0"/>
              <w:adjustRightInd w:val="0"/>
              <w:jc w:val="right"/>
              <w:rPr>
                <w:rFonts w:asciiTheme="minorHAnsi" w:hAnsiTheme="minorHAnsi" w:cs="Arial"/>
                <w:color w:val="1A1A1A"/>
                <w:sz w:val="18"/>
                <w:szCs w:val="18"/>
                <w:highlight w:val="yellow"/>
              </w:rPr>
            </w:pPr>
            <w:r w:rsidRPr="00CE3EF5">
              <w:rPr>
                <w:rFonts w:asciiTheme="minorHAnsi" w:hAnsiTheme="minorHAnsi" w:cs="Arial"/>
                <w:color w:val="1A1A1A"/>
                <w:sz w:val="18"/>
                <w:szCs w:val="18"/>
                <w:highlight w:val="yellow"/>
              </w:rPr>
              <w:t>$770</w:t>
            </w:r>
          </w:p>
        </w:tc>
      </w:tr>
      <w:tr w:rsidR="00B2609F" w:rsidRPr="00814F31" w14:paraId="38997420" w14:textId="77777777" w:rsidTr="00CE3EF5">
        <w:tblPrEx>
          <w:tblBorders>
            <w:top w:val="none" w:sz="0" w:space="0" w:color="auto"/>
            <w:left w:val="nil"/>
            <w:bottom w:val="none" w:sz="0" w:space="0" w:color="auto"/>
            <w:right w:val="nil"/>
            <w:insideH w:val="none" w:sz="0" w:space="0" w:color="auto"/>
            <w:insideV w:val="none" w:sz="0" w:space="0" w:color="auto"/>
          </w:tblBorders>
        </w:tblPrEx>
        <w:trPr>
          <w:trHeight w:val="583"/>
        </w:trPr>
        <w:tc>
          <w:tcPr>
            <w:tcW w:w="2104" w:type="dxa"/>
            <w:tcBorders>
              <w:top w:val="single" w:sz="8" w:space="0" w:color="000000"/>
              <w:left w:val="single" w:sz="8" w:space="0" w:color="000000"/>
              <w:bottom w:val="single" w:sz="8" w:space="0" w:color="000000"/>
              <w:right w:val="nil"/>
            </w:tcBorders>
            <w:tcMar>
              <w:top w:w="140" w:type="nil"/>
              <w:right w:w="140" w:type="nil"/>
            </w:tcMar>
            <w:vAlign w:val="center"/>
          </w:tcPr>
          <w:p w14:paraId="09B7D4FD"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694" w:type="dxa"/>
            <w:tcBorders>
              <w:top w:val="single" w:sz="8" w:space="0" w:color="000000"/>
              <w:left w:val="nil"/>
              <w:bottom w:val="single" w:sz="8" w:space="0" w:color="000000"/>
              <w:right w:val="nil"/>
            </w:tcBorders>
            <w:tcMar>
              <w:top w:w="140" w:type="nil"/>
              <w:right w:w="140" w:type="nil"/>
            </w:tcMar>
            <w:vAlign w:val="center"/>
          </w:tcPr>
          <w:p w14:paraId="6C72ADD2"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350" w:type="dxa"/>
            <w:tcBorders>
              <w:top w:val="single" w:sz="8" w:space="0" w:color="000000"/>
              <w:left w:val="nil"/>
              <w:bottom w:val="single" w:sz="8" w:space="0" w:color="000000"/>
              <w:right w:val="nil"/>
            </w:tcBorders>
            <w:tcMar>
              <w:top w:w="140" w:type="nil"/>
              <w:right w:w="140" w:type="nil"/>
            </w:tcMar>
            <w:vAlign w:val="center"/>
          </w:tcPr>
          <w:p w14:paraId="06834F2C"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260" w:type="dxa"/>
            <w:tcBorders>
              <w:top w:val="single" w:sz="8" w:space="0" w:color="000000"/>
              <w:left w:val="nil"/>
              <w:bottom w:val="single" w:sz="8" w:space="0" w:color="000000"/>
              <w:right w:val="nil"/>
            </w:tcBorders>
            <w:tcMar>
              <w:top w:w="140" w:type="nil"/>
              <w:right w:w="140" w:type="nil"/>
            </w:tcMar>
            <w:vAlign w:val="center"/>
          </w:tcPr>
          <w:p w14:paraId="76810474"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p>
        </w:tc>
        <w:tc>
          <w:tcPr>
            <w:tcW w:w="1170" w:type="dxa"/>
            <w:tcBorders>
              <w:left w:val="nil"/>
              <w:bottom w:val="single" w:sz="8" w:space="0" w:color="000000"/>
              <w:right w:val="single" w:sz="8" w:space="0" w:color="000000"/>
            </w:tcBorders>
            <w:tcMar>
              <w:top w:w="140" w:type="nil"/>
              <w:right w:w="140" w:type="nil"/>
            </w:tcMar>
            <w:vAlign w:val="center"/>
          </w:tcPr>
          <w:p w14:paraId="4E94BC31" w14:textId="77777777" w:rsidR="00B2609F" w:rsidRPr="00CE3EF5" w:rsidRDefault="00B2609F" w:rsidP="00B2609F">
            <w:pPr>
              <w:autoSpaceDE w:val="0"/>
              <w:autoSpaceDN w:val="0"/>
              <w:adjustRightInd w:val="0"/>
              <w:jc w:val="center"/>
              <w:rPr>
                <w:rFonts w:asciiTheme="minorHAnsi" w:hAnsiTheme="minorHAnsi" w:cs="Arial"/>
                <w:color w:val="1A1A1A"/>
                <w:sz w:val="18"/>
                <w:szCs w:val="18"/>
                <w:highlight w:val="yellow"/>
              </w:rPr>
            </w:pPr>
            <w:r w:rsidRPr="00CE3EF5">
              <w:rPr>
                <w:rFonts w:asciiTheme="minorHAnsi" w:hAnsiTheme="minorHAnsi"/>
                <w:sz w:val="18"/>
                <w:szCs w:val="18"/>
                <w:highlight w:val="yellow"/>
              </w:rPr>
              <w:t>Total</w:t>
            </w:r>
          </w:p>
        </w:tc>
        <w:tc>
          <w:tcPr>
            <w:tcW w:w="1260" w:type="dxa"/>
            <w:tcBorders>
              <w:bottom w:val="single" w:sz="8" w:space="0" w:color="000000"/>
              <w:right w:val="single" w:sz="8" w:space="0" w:color="000000"/>
            </w:tcBorders>
            <w:tcMar>
              <w:top w:w="140" w:type="nil"/>
              <w:right w:w="140" w:type="nil"/>
            </w:tcMar>
            <w:vAlign w:val="center"/>
          </w:tcPr>
          <w:p w14:paraId="3B048CC7" w14:textId="77777777" w:rsidR="00B2609F" w:rsidRPr="00814F31" w:rsidRDefault="00B2609F" w:rsidP="00B2609F">
            <w:pPr>
              <w:autoSpaceDE w:val="0"/>
              <w:autoSpaceDN w:val="0"/>
              <w:adjustRightInd w:val="0"/>
              <w:jc w:val="right"/>
              <w:rPr>
                <w:rFonts w:asciiTheme="minorHAnsi" w:hAnsiTheme="minorHAnsi" w:cs="Arial"/>
                <w:b/>
                <w:color w:val="1A1A1A"/>
                <w:sz w:val="18"/>
                <w:szCs w:val="18"/>
              </w:rPr>
            </w:pPr>
            <w:r w:rsidRPr="00CE3EF5">
              <w:rPr>
                <w:rFonts w:asciiTheme="minorHAnsi" w:hAnsiTheme="minorHAnsi" w:cs="Arial"/>
                <w:b/>
                <w:color w:val="1A1A1A"/>
                <w:sz w:val="18"/>
                <w:szCs w:val="18"/>
                <w:highlight w:val="yellow"/>
              </w:rPr>
              <w:fldChar w:fldCharType="begin"/>
            </w:r>
            <w:r w:rsidRPr="00CE3EF5">
              <w:rPr>
                <w:rFonts w:asciiTheme="minorHAnsi" w:hAnsiTheme="minorHAnsi" w:cs="Arial"/>
                <w:b/>
                <w:color w:val="1A1A1A"/>
                <w:sz w:val="18"/>
                <w:szCs w:val="18"/>
                <w:highlight w:val="yellow"/>
              </w:rPr>
              <w:instrText xml:space="preserve"> =SUM(ABOVE) </w:instrText>
            </w:r>
            <w:r w:rsidRPr="00CE3EF5">
              <w:rPr>
                <w:rFonts w:asciiTheme="minorHAnsi" w:hAnsiTheme="minorHAnsi" w:cs="Arial"/>
                <w:b/>
                <w:color w:val="1A1A1A"/>
                <w:sz w:val="18"/>
                <w:szCs w:val="18"/>
                <w:highlight w:val="yellow"/>
              </w:rPr>
              <w:fldChar w:fldCharType="separate"/>
            </w:r>
            <w:r w:rsidRPr="00CE3EF5">
              <w:rPr>
                <w:rFonts w:asciiTheme="minorHAnsi" w:hAnsiTheme="minorHAnsi" w:cs="Arial"/>
                <w:b/>
                <w:noProof/>
                <w:color w:val="1A1A1A"/>
                <w:sz w:val="18"/>
                <w:szCs w:val="18"/>
                <w:highlight w:val="yellow"/>
              </w:rPr>
              <w:t>$974,015.00</w:t>
            </w:r>
            <w:r w:rsidRPr="00CE3EF5">
              <w:rPr>
                <w:rFonts w:asciiTheme="minorHAnsi" w:hAnsiTheme="minorHAnsi" w:cs="Arial"/>
                <w:b/>
                <w:color w:val="1A1A1A"/>
                <w:sz w:val="18"/>
                <w:szCs w:val="18"/>
                <w:highlight w:val="yellow"/>
              </w:rPr>
              <w:fldChar w:fldCharType="end"/>
            </w:r>
          </w:p>
        </w:tc>
      </w:tr>
    </w:tbl>
    <w:p w14:paraId="7AB37A19" w14:textId="77777777" w:rsidR="009B25C6" w:rsidRDefault="009B25C6" w:rsidP="00B10E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p>
    <w:p w14:paraId="22DCCC48" w14:textId="2CE13480" w:rsidR="001E7A06" w:rsidRPr="00777D4F" w:rsidRDefault="00777D4F" w:rsidP="00B10E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r>
        <w:rPr>
          <w:b/>
        </w:rPr>
        <w:t xml:space="preserve">A.14. </w:t>
      </w:r>
      <w:r w:rsidR="001E7A06" w:rsidRPr="00777D4F">
        <w:rPr>
          <w:b/>
        </w:rPr>
        <w:t>Annualized Cost to the Federal Government</w:t>
      </w:r>
    </w:p>
    <w:p w14:paraId="2EE70AAF" w14:textId="3BF2BBCC" w:rsidR="00E42051" w:rsidRDefault="001E7A06" w:rsidP="00E42051">
      <w:pPr>
        <w:pStyle w:val="PlainText"/>
        <w:spacing w:before="120" w:line="276" w:lineRule="auto"/>
        <w:rPr>
          <w:rFonts w:ascii="Times New Roman" w:hAnsi="Times New Roman"/>
          <w:sz w:val="24"/>
          <w:highlight w:val="yellow"/>
        </w:rPr>
      </w:pPr>
      <w:r>
        <w:tab/>
      </w:r>
      <w:r w:rsidR="003B05FE" w:rsidRPr="00FE381C">
        <w:rPr>
          <w:rFonts w:ascii="Times New Roman" w:hAnsi="Times New Roman"/>
          <w:sz w:val="24"/>
        </w:rPr>
        <w:t>The Hispanic Community Health Study</w:t>
      </w:r>
      <w:r w:rsidR="00E53BED" w:rsidRPr="00FE381C">
        <w:rPr>
          <w:rFonts w:ascii="Times New Roman" w:hAnsi="Times New Roman"/>
          <w:sz w:val="24"/>
        </w:rPr>
        <w:t>/Study of Latinos</w:t>
      </w:r>
      <w:r w:rsidR="00A712CA">
        <w:rPr>
          <w:rFonts w:ascii="Times New Roman" w:hAnsi="Times New Roman"/>
          <w:sz w:val="24"/>
        </w:rPr>
        <w:t xml:space="preserve"> is run by contractors with</w:t>
      </w:r>
      <w:r w:rsidR="0072387B" w:rsidRPr="00FE381C">
        <w:rPr>
          <w:rFonts w:ascii="Times New Roman" w:hAnsi="Times New Roman"/>
          <w:sz w:val="24"/>
        </w:rPr>
        <w:t xml:space="preserve"> </w:t>
      </w:r>
      <w:r w:rsidR="003B05FE" w:rsidRPr="00FE381C">
        <w:rPr>
          <w:rFonts w:ascii="Times New Roman" w:hAnsi="Times New Roman"/>
          <w:sz w:val="24"/>
        </w:rPr>
        <w:t xml:space="preserve">NHLBI staff </w:t>
      </w:r>
      <w:r w:rsidR="00A712CA">
        <w:rPr>
          <w:rFonts w:ascii="Times New Roman" w:hAnsi="Times New Roman"/>
          <w:sz w:val="24"/>
        </w:rPr>
        <w:t xml:space="preserve">also </w:t>
      </w:r>
      <w:r w:rsidR="003B05FE" w:rsidRPr="00FE381C">
        <w:rPr>
          <w:rFonts w:ascii="Times New Roman" w:hAnsi="Times New Roman"/>
          <w:sz w:val="24"/>
        </w:rPr>
        <w:t xml:space="preserve">contributing to the study. </w:t>
      </w:r>
      <w:r w:rsidR="00AD5D70">
        <w:rPr>
          <w:rFonts w:ascii="Times New Roman" w:hAnsi="Times New Roman"/>
          <w:sz w:val="24"/>
        </w:rPr>
        <w:t xml:space="preserve"> </w:t>
      </w:r>
      <w:r w:rsidR="00E42051" w:rsidRPr="00265730">
        <w:rPr>
          <w:rFonts w:ascii="Times New Roman" w:hAnsi="Times New Roman"/>
          <w:sz w:val="24"/>
          <w:szCs w:val="24"/>
          <w:highlight w:val="yellow"/>
        </w:rPr>
        <w:t>The</w:t>
      </w:r>
      <w:r w:rsidR="00E42051">
        <w:rPr>
          <w:rFonts w:ascii="Times New Roman" w:hAnsi="Times New Roman"/>
          <w:sz w:val="24"/>
          <w:szCs w:val="24"/>
          <w:highlight w:val="yellow"/>
        </w:rPr>
        <w:t xml:space="preserve"> total</w:t>
      </w:r>
      <w:r w:rsidR="00E42051" w:rsidRPr="00265730">
        <w:rPr>
          <w:rFonts w:ascii="Times New Roman" w:hAnsi="Times New Roman"/>
          <w:sz w:val="24"/>
          <w:szCs w:val="24"/>
          <w:highlight w:val="yellow"/>
        </w:rPr>
        <w:t xml:space="preserve"> average annualized cost to the U.S. Government for the information collection in the HCHS/SOL is $11,</w:t>
      </w:r>
      <w:r w:rsidR="0011090C">
        <w:rPr>
          <w:rFonts w:ascii="Times New Roman" w:hAnsi="Times New Roman"/>
          <w:sz w:val="24"/>
          <w:szCs w:val="24"/>
          <w:highlight w:val="yellow"/>
        </w:rPr>
        <w:t>54</w:t>
      </w:r>
      <w:r w:rsidR="0070572C">
        <w:rPr>
          <w:rFonts w:ascii="Times New Roman" w:hAnsi="Times New Roman"/>
          <w:sz w:val="24"/>
          <w:szCs w:val="24"/>
          <w:highlight w:val="yellow"/>
        </w:rPr>
        <w:t>6</w:t>
      </w:r>
      <w:r w:rsidR="00E42051" w:rsidRPr="00265730">
        <w:rPr>
          <w:rFonts w:ascii="Times New Roman" w:hAnsi="Times New Roman"/>
          <w:sz w:val="24"/>
          <w:szCs w:val="24"/>
          <w:highlight w:val="yellow"/>
        </w:rPr>
        <w:t>,</w:t>
      </w:r>
      <w:r w:rsidR="0070572C">
        <w:rPr>
          <w:rFonts w:ascii="Times New Roman" w:hAnsi="Times New Roman"/>
          <w:sz w:val="24"/>
          <w:szCs w:val="24"/>
          <w:highlight w:val="yellow"/>
        </w:rPr>
        <w:t>681</w:t>
      </w:r>
      <w:r w:rsidR="00E42051" w:rsidRPr="00265730">
        <w:rPr>
          <w:rFonts w:ascii="Times New Roman" w:hAnsi="Times New Roman"/>
          <w:sz w:val="24"/>
          <w:highlight w:val="yellow"/>
        </w:rPr>
        <w:t xml:space="preserve"> </w:t>
      </w:r>
      <w:r w:rsidR="00E42051" w:rsidRPr="00265730">
        <w:rPr>
          <w:rFonts w:ascii="Times New Roman" w:hAnsi="Times New Roman"/>
          <w:sz w:val="24"/>
          <w:szCs w:val="24"/>
          <w:highlight w:val="yellow"/>
        </w:rPr>
        <w:t>per year</w:t>
      </w:r>
      <w:r w:rsidR="00E42051">
        <w:rPr>
          <w:rFonts w:ascii="Times New Roman" w:hAnsi="Times New Roman"/>
          <w:sz w:val="24"/>
          <w:szCs w:val="24"/>
        </w:rPr>
        <w:t xml:space="preserve">.  </w:t>
      </w:r>
      <w:r w:rsidR="00E42051" w:rsidRPr="00E42051">
        <w:rPr>
          <w:rFonts w:ascii="Times New Roman" w:hAnsi="Times New Roman"/>
          <w:sz w:val="24"/>
          <w:szCs w:val="24"/>
          <w:highlight w:val="yellow"/>
        </w:rPr>
        <w:t>Of this total</w:t>
      </w:r>
      <w:r w:rsidR="0011090C">
        <w:rPr>
          <w:rFonts w:ascii="Times New Roman" w:hAnsi="Times New Roman"/>
          <w:sz w:val="24"/>
          <w:szCs w:val="24"/>
          <w:highlight w:val="yellow"/>
        </w:rPr>
        <w:t>,</w:t>
      </w:r>
      <w:r w:rsidR="00E42051" w:rsidRPr="00E42051">
        <w:rPr>
          <w:rFonts w:ascii="Times New Roman" w:hAnsi="Times New Roman"/>
          <w:sz w:val="24"/>
          <w:szCs w:val="24"/>
          <w:highlight w:val="yellow"/>
        </w:rPr>
        <w:t xml:space="preserve"> t</w:t>
      </w:r>
      <w:r w:rsidR="00E42051" w:rsidRPr="00E42051">
        <w:rPr>
          <w:rFonts w:ascii="Times New Roman" w:hAnsi="Times New Roman"/>
          <w:sz w:val="24"/>
          <w:highlight w:val="yellow"/>
        </w:rPr>
        <w:t>he</w:t>
      </w:r>
      <w:r w:rsidR="00E42051" w:rsidRPr="00265730">
        <w:rPr>
          <w:rFonts w:ascii="Times New Roman" w:hAnsi="Times New Roman"/>
          <w:sz w:val="24"/>
          <w:highlight w:val="yellow"/>
        </w:rPr>
        <w:t xml:space="preserve"> annualized cost of monitoring the project by NHLBI </w:t>
      </w:r>
      <w:r w:rsidR="00E42051">
        <w:rPr>
          <w:rFonts w:ascii="Times New Roman" w:hAnsi="Times New Roman"/>
          <w:sz w:val="24"/>
          <w:highlight w:val="yellow"/>
        </w:rPr>
        <w:t xml:space="preserve">personnel </w:t>
      </w:r>
      <w:r w:rsidR="00E42051" w:rsidRPr="00265730">
        <w:rPr>
          <w:rFonts w:ascii="Times New Roman" w:hAnsi="Times New Roman"/>
          <w:sz w:val="24"/>
          <w:highlight w:val="yellow"/>
        </w:rPr>
        <w:t>is estimated at $20</w:t>
      </w:r>
      <w:r w:rsidR="00E22CEC">
        <w:rPr>
          <w:rFonts w:ascii="Times New Roman" w:hAnsi="Times New Roman"/>
          <w:sz w:val="24"/>
          <w:highlight w:val="yellow"/>
        </w:rPr>
        <w:t>1,348</w:t>
      </w:r>
      <w:r w:rsidR="00E42051" w:rsidRPr="00265730">
        <w:rPr>
          <w:rFonts w:ascii="Times New Roman" w:hAnsi="Times New Roman"/>
          <w:sz w:val="24"/>
          <w:highlight w:val="yellow"/>
        </w:rPr>
        <w:t xml:space="preserve">. </w:t>
      </w:r>
      <w:r w:rsidR="00E42051">
        <w:rPr>
          <w:rFonts w:ascii="Times New Roman" w:hAnsi="Times New Roman"/>
          <w:sz w:val="24"/>
          <w:highlight w:val="yellow"/>
        </w:rPr>
        <w:t xml:space="preserve"> This is itemized in </w:t>
      </w:r>
      <w:r w:rsidR="00077B13">
        <w:rPr>
          <w:rFonts w:ascii="Times New Roman" w:hAnsi="Times New Roman"/>
          <w:sz w:val="24"/>
          <w:highlight w:val="yellow"/>
        </w:rPr>
        <w:t>T</w:t>
      </w:r>
      <w:r w:rsidR="00E42051">
        <w:rPr>
          <w:rFonts w:ascii="Times New Roman" w:hAnsi="Times New Roman"/>
          <w:sz w:val="24"/>
          <w:highlight w:val="yellow"/>
        </w:rPr>
        <w:t>able A14.1.</w:t>
      </w:r>
    </w:p>
    <w:p w14:paraId="75CB296C" w14:textId="77777777" w:rsidR="002E51E4" w:rsidRDefault="002E51E4" w:rsidP="00BE6EB2">
      <w:pPr>
        <w:spacing w:line="480" w:lineRule="auto"/>
        <w:jc w:val="center"/>
        <w:rPr>
          <w:smallCaps/>
          <w:sz w:val="22"/>
          <w:szCs w:val="22"/>
          <w:highlight w:val="yellow"/>
        </w:rPr>
      </w:pPr>
    </w:p>
    <w:p w14:paraId="095DEAA9" w14:textId="7FCBDA5C" w:rsidR="002210F0" w:rsidRPr="00BE6EB2" w:rsidRDefault="0070572C" w:rsidP="00BE6EB2">
      <w:pPr>
        <w:spacing w:line="480" w:lineRule="auto"/>
        <w:jc w:val="center"/>
        <w:rPr>
          <w:smallCaps/>
          <w:sz w:val="22"/>
          <w:szCs w:val="22"/>
        </w:rPr>
      </w:pPr>
      <w:r w:rsidRPr="0070572C">
        <w:rPr>
          <w:smallCaps/>
          <w:sz w:val="22"/>
          <w:szCs w:val="22"/>
          <w:highlight w:val="yellow"/>
        </w:rPr>
        <w:t>Table A.14.1 Average Annualized Cost for Monitoring the Project</w:t>
      </w:r>
    </w:p>
    <w:tbl>
      <w:tblPr>
        <w:tblW w:w="5000" w:type="pct"/>
        <w:tblLook w:val="0000" w:firstRow="0" w:lastRow="0" w:firstColumn="0" w:lastColumn="0" w:noHBand="0" w:noVBand="0"/>
      </w:tblPr>
      <w:tblGrid>
        <w:gridCol w:w="3236"/>
        <w:gridCol w:w="1911"/>
        <w:gridCol w:w="1969"/>
        <w:gridCol w:w="1230"/>
        <w:gridCol w:w="1230"/>
      </w:tblGrid>
      <w:tr w:rsidR="00841F08" w:rsidRPr="002210F0" w14:paraId="0D672112" w14:textId="77777777" w:rsidTr="00841F08">
        <w:trPr>
          <w:trHeight w:val="530"/>
        </w:trPr>
        <w:tc>
          <w:tcPr>
            <w:tcW w:w="1690" w:type="pct"/>
            <w:tcBorders>
              <w:top w:val="single" w:sz="4" w:space="0" w:color="auto"/>
              <w:left w:val="single" w:sz="4" w:space="0" w:color="auto"/>
              <w:bottom w:val="single" w:sz="4" w:space="0" w:color="auto"/>
              <w:right w:val="nil"/>
            </w:tcBorders>
          </w:tcPr>
          <w:p w14:paraId="7300020D" w14:textId="77777777" w:rsidR="00841F08" w:rsidRPr="002210F0" w:rsidRDefault="00841F08" w:rsidP="002210F0">
            <w:pPr>
              <w:widowControl/>
              <w:autoSpaceDE w:val="0"/>
              <w:autoSpaceDN w:val="0"/>
              <w:spacing w:before="120"/>
              <w:jc w:val="center"/>
              <w:rPr>
                <w:b/>
                <w:bCs/>
                <w:snapToGrid/>
                <w:szCs w:val="24"/>
                <w:highlight w:val="yellow"/>
              </w:rPr>
            </w:pPr>
            <w:r w:rsidRPr="002210F0">
              <w:rPr>
                <w:b/>
                <w:bCs/>
                <w:snapToGrid/>
                <w:szCs w:val="24"/>
                <w:highlight w:val="yellow"/>
              </w:rPr>
              <w:t>Personnel</w:t>
            </w:r>
          </w:p>
        </w:tc>
        <w:tc>
          <w:tcPr>
            <w:tcW w:w="998" w:type="pct"/>
            <w:tcBorders>
              <w:top w:val="single" w:sz="4" w:space="0" w:color="auto"/>
              <w:left w:val="nil"/>
              <w:bottom w:val="single" w:sz="4" w:space="0" w:color="auto"/>
              <w:right w:val="nil"/>
            </w:tcBorders>
          </w:tcPr>
          <w:p w14:paraId="625B9073" w14:textId="77777777" w:rsidR="00841F08" w:rsidRPr="002210F0" w:rsidRDefault="00841F08" w:rsidP="002210F0">
            <w:pPr>
              <w:widowControl/>
              <w:autoSpaceDE w:val="0"/>
              <w:autoSpaceDN w:val="0"/>
              <w:jc w:val="center"/>
              <w:rPr>
                <w:b/>
                <w:snapToGrid/>
                <w:szCs w:val="24"/>
                <w:highlight w:val="yellow"/>
              </w:rPr>
            </w:pPr>
            <w:r w:rsidRPr="002210F0">
              <w:rPr>
                <w:b/>
                <w:snapToGrid/>
                <w:szCs w:val="24"/>
                <w:highlight w:val="yellow"/>
              </w:rPr>
              <w:t>GS Grade and Step</w:t>
            </w:r>
          </w:p>
        </w:tc>
        <w:tc>
          <w:tcPr>
            <w:tcW w:w="1028" w:type="pct"/>
            <w:tcBorders>
              <w:top w:val="single" w:sz="4" w:space="0" w:color="auto"/>
              <w:left w:val="nil"/>
              <w:bottom w:val="single" w:sz="4" w:space="0" w:color="auto"/>
              <w:right w:val="nil"/>
            </w:tcBorders>
          </w:tcPr>
          <w:p w14:paraId="587E87C2" w14:textId="23EE7F78" w:rsidR="00841F08" w:rsidRPr="002210F0" w:rsidRDefault="00841F08" w:rsidP="002210F0">
            <w:pPr>
              <w:widowControl/>
              <w:autoSpaceDE w:val="0"/>
              <w:autoSpaceDN w:val="0"/>
              <w:spacing w:before="120"/>
              <w:jc w:val="center"/>
              <w:rPr>
                <w:b/>
                <w:bCs/>
                <w:snapToGrid/>
                <w:szCs w:val="24"/>
                <w:highlight w:val="yellow"/>
              </w:rPr>
            </w:pPr>
            <w:r>
              <w:rPr>
                <w:b/>
                <w:bCs/>
                <w:snapToGrid/>
                <w:szCs w:val="24"/>
                <w:highlight w:val="yellow"/>
              </w:rPr>
              <w:t>Annual Salary</w:t>
            </w:r>
          </w:p>
        </w:tc>
        <w:tc>
          <w:tcPr>
            <w:tcW w:w="642" w:type="pct"/>
            <w:tcBorders>
              <w:top w:val="single" w:sz="4" w:space="0" w:color="auto"/>
              <w:left w:val="nil"/>
              <w:bottom w:val="single" w:sz="4" w:space="0" w:color="auto"/>
              <w:right w:val="nil"/>
            </w:tcBorders>
          </w:tcPr>
          <w:p w14:paraId="6DC182FC" w14:textId="57544F99" w:rsidR="00841F08" w:rsidRPr="002210F0" w:rsidRDefault="00841F08" w:rsidP="002210F0">
            <w:pPr>
              <w:widowControl/>
              <w:autoSpaceDE w:val="0"/>
              <w:autoSpaceDN w:val="0"/>
              <w:spacing w:before="120"/>
              <w:jc w:val="center"/>
              <w:rPr>
                <w:b/>
                <w:bCs/>
                <w:snapToGrid/>
                <w:szCs w:val="24"/>
                <w:highlight w:val="yellow"/>
              </w:rPr>
            </w:pPr>
            <w:r w:rsidRPr="002210F0">
              <w:rPr>
                <w:b/>
                <w:bCs/>
                <w:snapToGrid/>
                <w:szCs w:val="24"/>
                <w:highlight w:val="yellow"/>
              </w:rPr>
              <w:t>% Time</w:t>
            </w:r>
          </w:p>
        </w:tc>
        <w:tc>
          <w:tcPr>
            <w:tcW w:w="642" w:type="pct"/>
            <w:tcBorders>
              <w:top w:val="single" w:sz="4" w:space="0" w:color="auto"/>
              <w:left w:val="nil"/>
              <w:bottom w:val="single" w:sz="4" w:space="0" w:color="auto"/>
              <w:right w:val="single" w:sz="4" w:space="0" w:color="auto"/>
            </w:tcBorders>
          </w:tcPr>
          <w:p w14:paraId="33CAFD60" w14:textId="77777777" w:rsidR="00841F08" w:rsidRPr="002210F0" w:rsidRDefault="00841F08" w:rsidP="002210F0">
            <w:pPr>
              <w:widowControl/>
              <w:autoSpaceDE w:val="0"/>
              <w:autoSpaceDN w:val="0"/>
              <w:spacing w:before="120"/>
              <w:jc w:val="center"/>
              <w:rPr>
                <w:b/>
                <w:bCs/>
                <w:snapToGrid/>
                <w:szCs w:val="24"/>
                <w:highlight w:val="yellow"/>
              </w:rPr>
            </w:pPr>
            <w:r w:rsidRPr="002210F0">
              <w:rPr>
                <w:b/>
                <w:bCs/>
                <w:snapToGrid/>
                <w:szCs w:val="24"/>
                <w:highlight w:val="yellow"/>
              </w:rPr>
              <w:t>Cost</w:t>
            </w:r>
          </w:p>
        </w:tc>
      </w:tr>
      <w:tr w:rsidR="00841F08" w:rsidRPr="002210F0" w14:paraId="162A0F3A" w14:textId="77777777" w:rsidTr="00841F08">
        <w:tc>
          <w:tcPr>
            <w:tcW w:w="1690" w:type="pct"/>
            <w:tcBorders>
              <w:top w:val="single" w:sz="4" w:space="0" w:color="auto"/>
              <w:left w:val="single" w:sz="4" w:space="0" w:color="auto"/>
              <w:right w:val="nil"/>
            </w:tcBorders>
          </w:tcPr>
          <w:p w14:paraId="486C772C" w14:textId="77777777" w:rsidR="00841F08" w:rsidRPr="002210F0" w:rsidRDefault="00841F08" w:rsidP="002210F0">
            <w:pPr>
              <w:widowControl/>
              <w:autoSpaceDE w:val="0"/>
              <w:autoSpaceDN w:val="0"/>
              <w:rPr>
                <w:snapToGrid/>
                <w:szCs w:val="24"/>
                <w:highlight w:val="yellow"/>
              </w:rPr>
            </w:pPr>
            <w:r w:rsidRPr="002210F0">
              <w:rPr>
                <w:snapToGrid/>
                <w:szCs w:val="24"/>
                <w:highlight w:val="yellow"/>
              </w:rPr>
              <w:t>Contracting Specialist</w:t>
            </w:r>
          </w:p>
        </w:tc>
        <w:tc>
          <w:tcPr>
            <w:tcW w:w="998" w:type="pct"/>
            <w:tcBorders>
              <w:top w:val="single" w:sz="4" w:space="0" w:color="auto"/>
              <w:left w:val="nil"/>
              <w:right w:val="nil"/>
            </w:tcBorders>
          </w:tcPr>
          <w:p w14:paraId="04249F57" w14:textId="77777777" w:rsidR="00841F08" w:rsidRPr="002210F0" w:rsidRDefault="00841F08" w:rsidP="002210F0">
            <w:pPr>
              <w:widowControl/>
              <w:autoSpaceDE w:val="0"/>
              <w:autoSpaceDN w:val="0"/>
              <w:jc w:val="center"/>
              <w:rPr>
                <w:snapToGrid/>
                <w:szCs w:val="24"/>
                <w:highlight w:val="yellow"/>
              </w:rPr>
            </w:pPr>
            <w:r w:rsidRPr="002210F0">
              <w:rPr>
                <w:snapToGrid/>
                <w:szCs w:val="24"/>
                <w:highlight w:val="yellow"/>
              </w:rPr>
              <w:t>11-5</w:t>
            </w:r>
          </w:p>
        </w:tc>
        <w:tc>
          <w:tcPr>
            <w:tcW w:w="1028" w:type="pct"/>
            <w:tcBorders>
              <w:top w:val="single" w:sz="4" w:space="0" w:color="auto"/>
              <w:left w:val="nil"/>
              <w:right w:val="nil"/>
            </w:tcBorders>
          </w:tcPr>
          <w:p w14:paraId="510E0835" w14:textId="5C4BFEE8" w:rsidR="00841F08" w:rsidRPr="002210F0" w:rsidRDefault="00841F08" w:rsidP="002210F0">
            <w:pPr>
              <w:widowControl/>
              <w:autoSpaceDE w:val="0"/>
              <w:autoSpaceDN w:val="0"/>
              <w:jc w:val="center"/>
              <w:rPr>
                <w:snapToGrid/>
                <w:szCs w:val="24"/>
                <w:highlight w:val="yellow"/>
              </w:rPr>
            </w:pPr>
            <w:r>
              <w:rPr>
                <w:snapToGrid/>
                <w:szCs w:val="24"/>
                <w:highlight w:val="yellow"/>
              </w:rPr>
              <w:t>$71,504</w:t>
            </w:r>
          </w:p>
        </w:tc>
        <w:tc>
          <w:tcPr>
            <w:tcW w:w="642" w:type="pct"/>
            <w:tcBorders>
              <w:top w:val="single" w:sz="4" w:space="0" w:color="auto"/>
              <w:left w:val="nil"/>
              <w:right w:val="nil"/>
            </w:tcBorders>
          </w:tcPr>
          <w:p w14:paraId="0C01839B" w14:textId="0F3A5D03" w:rsidR="00841F08" w:rsidRPr="002210F0" w:rsidRDefault="00841F08" w:rsidP="002210F0">
            <w:pPr>
              <w:widowControl/>
              <w:autoSpaceDE w:val="0"/>
              <w:autoSpaceDN w:val="0"/>
              <w:jc w:val="center"/>
              <w:rPr>
                <w:snapToGrid/>
                <w:szCs w:val="24"/>
                <w:highlight w:val="yellow"/>
              </w:rPr>
            </w:pPr>
            <w:r w:rsidRPr="002210F0">
              <w:rPr>
                <w:snapToGrid/>
                <w:szCs w:val="24"/>
                <w:highlight w:val="yellow"/>
              </w:rPr>
              <w:t>50</w:t>
            </w:r>
          </w:p>
        </w:tc>
        <w:tc>
          <w:tcPr>
            <w:tcW w:w="642" w:type="pct"/>
            <w:tcBorders>
              <w:top w:val="single" w:sz="4" w:space="0" w:color="auto"/>
              <w:left w:val="nil"/>
              <w:right w:val="single" w:sz="4" w:space="0" w:color="auto"/>
            </w:tcBorders>
          </w:tcPr>
          <w:p w14:paraId="31229139" w14:textId="77777777" w:rsidR="00841F08" w:rsidRPr="002210F0" w:rsidRDefault="00841F08" w:rsidP="002210F0">
            <w:pPr>
              <w:widowControl/>
              <w:autoSpaceDE w:val="0"/>
              <w:autoSpaceDN w:val="0"/>
              <w:jc w:val="center"/>
              <w:rPr>
                <w:snapToGrid/>
                <w:szCs w:val="24"/>
                <w:highlight w:val="yellow"/>
              </w:rPr>
            </w:pPr>
            <w:r w:rsidRPr="002210F0">
              <w:rPr>
                <w:snapToGrid/>
                <w:szCs w:val="24"/>
                <w:highlight w:val="yellow"/>
              </w:rPr>
              <w:t>$35,752</w:t>
            </w:r>
          </w:p>
        </w:tc>
      </w:tr>
      <w:tr w:rsidR="00841F08" w:rsidRPr="002210F0" w14:paraId="7BF6E983" w14:textId="77777777" w:rsidTr="00841F08">
        <w:tc>
          <w:tcPr>
            <w:tcW w:w="1690" w:type="pct"/>
            <w:tcBorders>
              <w:left w:val="single" w:sz="4" w:space="0" w:color="auto"/>
              <w:right w:val="nil"/>
            </w:tcBorders>
          </w:tcPr>
          <w:p w14:paraId="6696DD8A" w14:textId="77777777" w:rsidR="00841F08" w:rsidRPr="002210F0" w:rsidRDefault="00841F08" w:rsidP="002210F0">
            <w:pPr>
              <w:widowControl/>
              <w:autoSpaceDE w:val="0"/>
              <w:autoSpaceDN w:val="0"/>
              <w:rPr>
                <w:snapToGrid/>
                <w:szCs w:val="24"/>
                <w:highlight w:val="yellow"/>
              </w:rPr>
            </w:pPr>
            <w:r w:rsidRPr="002210F0">
              <w:rPr>
                <w:snapToGrid/>
                <w:szCs w:val="24"/>
                <w:highlight w:val="yellow"/>
              </w:rPr>
              <w:t>Contracting Officer</w:t>
            </w:r>
          </w:p>
        </w:tc>
        <w:tc>
          <w:tcPr>
            <w:tcW w:w="998" w:type="pct"/>
            <w:tcBorders>
              <w:left w:val="nil"/>
              <w:right w:val="nil"/>
            </w:tcBorders>
          </w:tcPr>
          <w:p w14:paraId="44BDDD2F" w14:textId="77777777" w:rsidR="00841F08" w:rsidRPr="002210F0" w:rsidRDefault="00841F08" w:rsidP="002210F0">
            <w:pPr>
              <w:widowControl/>
              <w:autoSpaceDE w:val="0"/>
              <w:autoSpaceDN w:val="0"/>
              <w:jc w:val="center"/>
              <w:rPr>
                <w:snapToGrid/>
                <w:szCs w:val="24"/>
                <w:highlight w:val="yellow"/>
              </w:rPr>
            </w:pPr>
            <w:r w:rsidRPr="002210F0">
              <w:rPr>
                <w:snapToGrid/>
                <w:szCs w:val="24"/>
                <w:highlight w:val="yellow"/>
              </w:rPr>
              <w:t>13-5</w:t>
            </w:r>
          </w:p>
        </w:tc>
        <w:tc>
          <w:tcPr>
            <w:tcW w:w="1028" w:type="pct"/>
            <w:tcBorders>
              <w:left w:val="nil"/>
              <w:right w:val="nil"/>
            </w:tcBorders>
          </w:tcPr>
          <w:p w14:paraId="022D748E" w14:textId="1A785C57" w:rsidR="00841F08" w:rsidRPr="002210F0" w:rsidRDefault="00841F08" w:rsidP="00841F08">
            <w:pPr>
              <w:widowControl/>
              <w:autoSpaceDE w:val="0"/>
              <w:autoSpaceDN w:val="0"/>
              <w:jc w:val="center"/>
              <w:rPr>
                <w:snapToGrid/>
                <w:szCs w:val="24"/>
                <w:highlight w:val="yellow"/>
              </w:rPr>
            </w:pPr>
            <w:r>
              <w:rPr>
                <w:snapToGrid/>
                <w:szCs w:val="24"/>
                <w:highlight w:val="yellow"/>
              </w:rPr>
              <w:t>$101,914</w:t>
            </w:r>
          </w:p>
        </w:tc>
        <w:tc>
          <w:tcPr>
            <w:tcW w:w="642" w:type="pct"/>
            <w:tcBorders>
              <w:left w:val="nil"/>
              <w:right w:val="nil"/>
            </w:tcBorders>
          </w:tcPr>
          <w:p w14:paraId="42DB3D0D" w14:textId="7D686398" w:rsidR="00841F08" w:rsidRPr="002210F0" w:rsidRDefault="00841F08" w:rsidP="00EF6DB3">
            <w:pPr>
              <w:widowControl/>
              <w:autoSpaceDE w:val="0"/>
              <w:autoSpaceDN w:val="0"/>
              <w:jc w:val="center"/>
              <w:rPr>
                <w:snapToGrid/>
                <w:szCs w:val="24"/>
                <w:highlight w:val="yellow"/>
              </w:rPr>
            </w:pPr>
            <w:r>
              <w:rPr>
                <w:snapToGrid/>
                <w:szCs w:val="24"/>
                <w:highlight w:val="yellow"/>
              </w:rPr>
              <w:t>2</w:t>
            </w:r>
            <w:r w:rsidRPr="002210F0">
              <w:rPr>
                <w:snapToGrid/>
                <w:szCs w:val="24"/>
                <w:highlight w:val="yellow"/>
              </w:rPr>
              <w:t>0</w:t>
            </w:r>
          </w:p>
        </w:tc>
        <w:tc>
          <w:tcPr>
            <w:tcW w:w="642" w:type="pct"/>
            <w:tcBorders>
              <w:left w:val="nil"/>
              <w:right w:val="single" w:sz="4" w:space="0" w:color="auto"/>
            </w:tcBorders>
          </w:tcPr>
          <w:p w14:paraId="6FC1E18E" w14:textId="60062A32" w:rsidR="00841F08" w:rsidRPr="002210F0" w:rsidRDefault="00841F08" w:rsidP="00EF6DB3">
            <w:pPr>
              <w:widowControl/>
              <w:autoSpaceDE w:val="0"/>
              <w:autoSpaceDN w:val="0"/>
              <w:jc w:val="center"/>
              <w:rPr>
                <w:snapToGrid/>
                <w:szCs w:val="24"/>
                <w:highlight w:val="yellow"/>
              </w:rPr>
            </w:pPr>
            <w:r w:rsidRPr="002210F0">
              <w:rPr>
                <w:snapToGrid/>
                <w:szCs w:val="24"/>
                <w:highlight w:val="yellow"/>
              </w:rPr>
              <w:t>$</w:t>
            </w:r>
            <w:r>
              <w:rPr>
                <w:snapToGrid/>
                <w:szCs w:val="24"/>
                <w:highlight w:val="yellow"/>
              </w:rPr>
              <w:t>2</w:t>
            </w:r>
            <w:r w:rsidRPr="002210F0">
              <w:rPr>
                <w:snapToGrid/>
                <w:szCs w:val="24"/>
                <w:highlight w:val="yellow"/>
              </w:rPr>
              <w:t>0,</w:t>
            </w:r>
            <w:r>
              <w:rPr>
                <w:snapToGrid/>
                <w:szCs w:val="24"/>
                <w:highlight w:val="yellow"/>
              </w:rPr>
              <w:t>383</w:t>
            </w:r>
          </w:p>
        </w:tc>
      </w:tr>
      <w:tr w:rsidR="00841F08" w:rsidRPr="002210F0" w14:paraId="2C61C1A4" w14:textId="77777777" w:rsidTr="00841F08">
        <w:tc>
          <w:tcPr>
            <w:tcW w:w="1690" w:type="pct"/>
            <w:tcBorders>
              <w:left w:val="single" w:sz="4" w:space="0" w:color="auto"/>
              <w:right w:val="nil"/>
            </w:tcBorders>
          </w:tcPr>
          <w:p w14:paraId="4A693A34" w14:textId="77777777" w:rsidR="00841F08" w:rsidRPr="002210F0" w:rsidRDefault="00841F08" w:rsidP="002210F0">
            <w:pPr>
              <w:widowControl/>
              <w:autoSpaceDE w:val="0"/>
              <w:autoSpaceDN w:val="0"/>
              <w:rPr>
                <w:snapToGrid/>
                <w:szCs w:val="24"/>
                <w:highlight w:val="yellow"/>
              </w:rPr>
            </w:pPr>
            <w:r w:rsidRPr="002210F0">
              <w:rPr>
                <w:snapToGrid/>
                <w:szCs w:val="24"/>
                <w:highlight w:val="yellow"/>
              </w:rPr>
              <w:t>Program Analyst</w:t>
            </w:r>
          </w:p>
        </w:tc>
        <w:tc>
          <w:tcPr>
            <w:tcW w:w="998" w:type="pct"/>
            <w:tcBorders>
              <w:left w:val="nil"/>
              <w:right w:val="nil"/>
            </w:tcBorders>
          </w:tcPr>
          <w:p w14:paraId="41EAC138" w14:textId="77777777" w:rsidR="00841F08" w:rsidRPr="002210F0" w:rsidRDefault="00841F08" w:rsidP="002210F0">
            <w:pPr>
              <w:widowControl/>
              <w:autoSpaceDE w:val="0"/>
              <w:autoSpaceDN w:val="0"/>
              <w:jc w:val="center"/>
              <w:rPr>
                <w:snapToGrid/>
                <w:szCs w:val="24"/>
                <w:highlight w:val="yellow"/>
              </w:rPr>
            </w:pPr>
            <w:r w:rsidRPr="002210F0">
              <w:rPr>
                <w:snapToGrid/>
                <w:szCs w:val="24"/>
                <w:highlight w:val="yellow"/>
              </w:rPr>
              <w:t>13-5</w:t>
            </w:r>
          </w:p>
        </w:tc>
        <w:tc>
          <w:tcPr>
            <w:tcW w:w="1028" w:type="pct"/>
            <w:tcBorders>
              <w:left w:val="nil"/>
              <w:right w:val="nil"/>
            </w:tcBorders>
          </w:tcPr>
          <w:p w14:paraId="522E584A" w14:textId="26B65D7F" w:rsidR="00841F08" w:rsidRPr="002210F0" w:rsidRDefault="00841F08" w:rsidP="00841F08">
            <w:pPr>
              <w:widowControl/>
              <w:autoSpaceDE w:val="0"/>
              <w:autoSpaceDN w:val="0"/>
              <w:jc w:val="center"/>
              <w:rPr>
                <w:snapToGrid/>
                <w:szCs w:val="24"/>
                <w:highlight w:val="yellow"/>
              </w:rPr>
            </w:pPr>
            <w:r>
              <w:rPr>
                <w:snapToGrid/>
                <w:szCs w:val="24"/>
                <w:highlight w:val="yellow"/>
              </w:rPr>
              <w:t>$101,914</w:t>
            </w:r>
          </w:p>
        </w:tc>
        <w:tc>
          <w:tcPr>
            <w:tcW w:w="642" w:type="pct"/>
            <w:tcBorders>
              <w:left w:val="nil"/>
              <w:right w:val="nil"/>
            </w:tcBorders>
          </w:tcPr>
          <w:p w14:paraId="6603637F" w14:textId="0E7A22FF" w:rsidR="00841F08" w:rsidRPr="002210F0" w:rsidRDefault="00841F08" w:rsidP="00EF6DB3">
            <w:pPr>
              <w:widowControl/>
              <w:autoSpaceDE w:val="0"/>
              <w:autoSpaceDN w:val="0"/>
              <w:jc w:val="center"/>
              <w:rPr>
                <w:snapToGrid/>
                <w:szCs w:val="24"/>
                <w:highlight w:val="yellow"/>
              </w:rPr>
            </w:pPr>
            <w:r w:rsidRPr="002210F0">
              <w:rPr>
                <w:snapToGrid/>
                <w:szCs w:val="24"/>
                <w:highlight w:val="yellow"/>
              </w:rPr>
              <w:t>1</w:t>
            </w:r>
            <w:r>
              <w:rPr>
                <w:snapToGrid/>
                <w:szCs w:val="24"/>
                <w:highlight w:val="yellow"/>
              </w:rPr>
              <w:t>0</w:t>
            </w:r>
          </w:p>
        </w:tc>
        <w:tc>
          <w:tcPr>
            <w:tcW w:w="642" w:type="pct"/>
            <w:tcBorders>
              <w:left w:val="nil"/>
              <w:right w:val="single" w:sz="4" w:space="0" w:color="auto"/>
            </w:tcBorders>
          </w:tcPr>
          <w:p w14:paraId="2B0CFD64" w14:textId="74DCBE3E" w:rsidR="00841F08" w:rsidRPr="002210F0" w:rsidRDefault="00841F08" w:rsidP="00EF6DB3">
            <w:pPr>
              <w:widowControl/>
              <w:autoSpaceDE w:val="0"/>
              <w:autoSpaceDN w:val="0"/>
              <w:jc w:val="center"/>
              <w:rPr>
                <w:snapToGrid/>
                <w:szCs w:val="24"/>
                <w:highlight w:val="yellow"/>
              </w:rPr>
            </w:pPr>
            <w:r w:rsidRPr="002210F0">
              <w:rPr>
                <w:snapToGrid/>
                <w:szCs w:val="24"/>
                <w:highlight w:val="yellow"/>
              </w:rPr>
              <w:t>$1</w:t>
            </w:r>
            <w:r>
              <w:rPr>
                <w:snapToGrid/>
                <w:szCs w:val="24"/>
                <w:highlight w:val="yellow"/>
              </w:rPr>
              <w:t>0</w:t>
            </w:r>
            <w:r w:rsidRPr="002210F0">
              <w:rPr>
                <w:snapToGrid/>
                <w:szCs w:val="24"/>
                <w:highlight w:val="yellow"/>
              </w:rPr>
              <w:t>,191</w:t>
            </w:r>
          </w:p>
        </w:tc>
      </w:tr>
      <w:tr w:rsidR="00841F08" w:rsidRPr="002210F0" w14:paraId="6BA623B9" w14:textId="77777777" w:rsidTr="00841F08">
        <w:tc>
          <w:tcPr>
            <w:tcW w:w="1690" w:type="pct"/>
            <w:tcBorders>
              <w:left w:val="single" w:sz="4" w:space="0" w:color="auto"/>
              <w:right w:val="nil"/>
            </w:tcBorders>
          </w:tcPr>
          <w:p w14:paraId="3D4E8207" w14:textId="490EB5AC" w:rsidR="00841F08" w:rsidRPr="002210F0" w:rsidRDefault="00841F08" w:rsidP="002210F0">
            <w:pPr>
              <w:widowControl/>
              <w:autoSpaceDE w:val="0"/>
              <w:autoSpaceDN w:val="0"/>
              <w:rPr>
                <w:snapToGrid/>
                <w:szCs w:val="24"/>
                <w:highlight w:val="yellow"/>
              </w:rPr>
            </w:pPr>
            <w:r w:rsidRPr="002210F0">
              <w:rPr>
                <w:snapToGrid/>
                <w:szCs w:val="24"/>
                <w:highlight w:val="yellow"/>
              </w:rPr>
              <w:t>Project Officer</w:t>
            </w:r>
          </w:p>
        </w:tc>
        <w:tc>
          <w:tcPr>
            <w:tcW w:w="998" w:type="pct"/>
            <w:tcBorders>
              <w:left w:val="nil"/>
              <w:right w:val="nil"/>
            </w:tcBorders>
          </w:tcPr>
          <w:p w14:paraId="07DF0B08" w14:textId="6064E228" w:rsidR="00841F08" w:rsidRPr="002210F0" w:rsidRDefault="00841F08" w:rsidP="00EF6DB3">
            <w:pPr>
              <w:widowControl/>
              <w:autoSpaceDE w:val="0"/>
              <w:autoSpaceDN w:val="0"/>
              <w:jc w:val="center"/>
              <w:rPr>
                <w:snapToGrid/>
                <w:szCs w:val="24"/>
                <w:highlight w:val="yellow"/>
              </w:rPr>
            </w:pPr>
            <w:r w:rsidRPr="002210F0">
              <w:rPr>
                <w:snapToGrid/>
                <w:szCs w:val="24"/>
                <w:highlight w:val="yellow"/>
              </w:rPr>
              <w:t>14-</w:t>
            </w:r>
            <w:r>
              <w:rPr>
                <w:snapToGrid/>
                <w:szCs w:val="24"/>
                <w:highlight w:val="yellow"/>
              </w:rPr>
              <w:t>10</w:t>
            </w:r>
          </w:p>
        </w:tc>
        <w:tc>
          <w:tcPr>
            <w:tcW w:w="1028" w:type="pct"/>
            <w:tcBorders>
              <w:left w:val="nil"/>
              <w:right w:val="nil"/>
            </w:tcBorders>
          </w:tcPr>
          <w:p w14:paraId="647722A8" w14:textId="7B6AE498" w:rsidR="00841F08" w:rsidRPr="002210F0" w:rsidRDefault="00841F08" w:rsidP="002210F0">
            <w:pPr>
              <w:widowControl/>
              <w:autoSpaceDE w:val="0"/>
              <w:autoSpaceDN w:val="0"/>
              <w:jc w:val="center"/>
              <w:rPr>
                <w:snapToGrid/>
                <w:szCs w:val="24"/>
                <w:highlight w:val="yellow"/>
              </w:rPr>
            </w:pPr>
            <w:r>
              <w:rPr>
                <w:snapToGrid/>
                <w:szCs w:val="24"/>
                <w:highlight w:val="yellow"/>
              </w:rPr>
              <w:t>$138,136</w:t>
            </w:r>
          </w:p>
        </w:tc>
        <w:tc>
          <w:tcPr>
            <w:tcW w:w="642" w:type="pct"/>
            <w:tcBorders>
              <w:left w:val="nil"/>
              <w:right w:val="nil"/>
            </w:tcBorders>
          </w:tcPr>
          <w:p w14:paraId="12B6E622" w14:textId="1413983C" w:rsidR="00841F08" w:rsidRPr="002210F0" w:rsidRDefault="00841F08" w:rsidP="002210F0">
            <w:pPr>
              <w:widowControl/>
              <w:autoSpaceDE w:val="0"/>
              <w:autoSpaceDN w:val="0"/>
              <w:jc w:val="center"/>
              <w:rPr>
                <w:snapToGrid/>
                <w:szCs w:val="24"/>
                <w:highlight w:val="yellow"/>
              </w:rPr>
            </w:pPr>
            <w:r w:rsidRPr="002210F0">
              <w:rPr>
                <w:snapToGrid/>
                <w:szCs w:val="24"/>
                <w:highlight w:val="yellow"/>
              </w:rPr>
              <w:t>75</w:t>
            </w:r>
          </w:p>
        </w:tc>
        <w:tc>
          <w:tcPr>
            <w:tcW w:w="642" w:type="pct"/>
            <w:tcBorders>
              <w:left w:val="nil"/>
              <w:right w:val="single" w:sz="4" w:space="0" w:color="auto"/>
            </w:tcBorders>
          </w:tcPr>
          <w:p w14:paraId="0DA770FC" w14:textId="1E6119E5" w:rsidR="00841F08" w:rsidRPr="002210F0" w:rsidRDefault="00841F08" w:rsidP="00EF6DB3">
            <w:pPr>
              <w:widowControl/>
              <w:autoSpaceDE w:val="0"/>
              <w:autoSpaceDN w:val="0"/>
              <w:jc w:val="center"/>
              <w:rPr>
                <w:snapToGrid/>
                <w:szCs w:val="24"/>
                <w:highlight w:val="yellow"/>
              </w:rPr>
            </w:pPr>
            <w:r w:rsidRPr="002210F0">
              <w:rPr>
                <w:snapToGrid/>
                <w:szCs w:val="24"/>
                <w:highlight w:val="yellow"/>
              </w:rPr>
              <w:t>$</w:t>
            </w:r>
            <w:r>
              <w:rPr>
                <w:snapToGrid/>
                <w:szCs w:val="24"/>
                <w:highlight w:val="yellow"/>
              </w:rPr>
              <w:t>103,602</w:t>
            </w:r>
          </w:p>
        </w:tc>
      </w:tr>
      <w:tr w:rsidR="00841F08" w:rsidRPr="002210F0" w14:paraId="2556FDAE" w14:textId="77777777" w:rsidTr="00841F08">
        <w:tc>
          <w:tcPr>
            <w:tcW w:w="1690" w:type="pct"/>
            <w:tcBorders>
              <w:left w:val="single" w:sz="4" w:space="0" w:color="auto"/>
              <w:right w:val="nil"/>
            </w:tcBorders>
          </w:tcPr>
          <w:p w14:paraId="5FB5688A" w14:textId="5DCF7BEB" w:rsidR="00841F08" w:rsidRPr="002210F0" w:rsidRDefault="00841F08" w:rsidP="002210F0">
            <w:pPr>
              <w:widowControl/>
              <w:autoSpaceDE w:val="0"/>
              <w:autoSpaceDN w:val="0"/>
              <w:rPr>
                <w:snapToGrid/>
                <w:szCs w:val="24"/>
                <w:highlight w:val="yellow"/>
              </w:rPr>
            </w:pPr>
            <w:r w:rsidRPr="002210F0">
              <w:rPr>
                <w:snapToGrid/>
                <w:szCs w:val="24"/>
                <w:highlight w:val="yellow"/>
              </w:rPr>
              <w:t>Branch Chief</w:t>
            </w:r>
          </w:p>
        </w:tc>
        <w:tc>
          <w:tcPr>
            <w:tcW w:w="998" w:type="pct"/>
            <w:tcBorders>
              <w:left w:val="nil"/>
              <w:right w:val="nil"/>
            </w:tcBorders>
          </w:tcPr>
          <w:p w14:paraId="4D786B65" w14:textId="567B0C29" w:rsidR="00841F08" w:rsidRPr="002210F0" w:rsidRDefault="00841F08" w:rsidP="0070572C">
            <w:pPr>
              <w:widowControl/>
              <w:autoSpaceDE w:val="0"/>
              <w:autoSpaceDN w:val="0"/>
              <w:jc w:val="center"/>
              <w:rPr>
                <w:snapToGrid/>
                <w:szCs w:val="24"/>
                <w:highlight w:val="yellow"/>
              </w:rPr>
            </w:pPr>
            <w:r w:rsidRPr="002210F0">
              <w:rPr>
                <w:snapToGrid/>
                <w:szCs w:val="24"/>
                <w:highlight w:val="yellow"/>
              </w:rPr>
              <w:t>15-</w:t>
            </w:r>
            <w:r w:rsidR="0070572C">
              <w:rPr>
                <w:snapToGrid/>
                <w:szCs w:val="24"/>
                <w:highlight w:val="yellow"/>
              </w:rPr>
              <w:t>10</w:t>
            </w:r>
          </w:p>
        </w:tc>
        <w:tc>
          <w:tcPr>
            <w:tcW w:w="1028" w:type="pct"/>
            <w:tcBorders>
              <w:left w:val="nil"/>
              <w:right w:val="nil"/>
            </w:tcBorders>
          </w:tcPr>
          <w:p w14:paraId="5110167A" w14:textId="023303E4" w:rsidR="00841F08" w:rsidRPr="002210F0" w:rsidRDefault="00841F08" w:rsidP="0070572C">
            <w:pPr>
              <w:widowControl/>
              <w:autoSpaceDE w:val="0"/>
              <w:autoSpaceDN w:val="0"/>
              <w:jc w:val="center"/>
              <w:rPr>
                <w:snapToGrid/>
                <w:szCs w:val="24"/>
                <w:highlight w:val="yellow"/>
              </w:rPr>
            </w:pPr>
            <w:r>
              <w:rPr>
                <w:snapToGrid/>
                <w:szCs w:val="24"/>
                <w:highlight w:val="yellow"/>
              </w:rPr>
              <w:t>$</w:t>
            </w:r>
            <w:r w:rsidR="0070572C">
              <w:rPr>
                <w:snapToGrid/>
                <w:szCs w:val="24"/>
                <w:highlight w:val="yellow"/>
              </w:rPr>
              <w:t>157,100</w:t>
            </w:r>
          </w:p>
        </w:tc>
        <w:tc>
          <w:tcPr>
            <w:tcW w:w="642" w:type="pct"/>
            <w:tcBorders>
              <w:left w:val="nil"/>
              <w:right w:val="nil"/>
            </w:tcBorders>
          </w:tcPr>
          <w:p w14:paraId="1FBCE5CC" w14:textId="2F9E05A9" w:rsidR="00841F08" w:rsidRPr="002210F0" w:rsidRDefault="00841F08" w:rsidP="00ED6789">
            <w:pPr>
              <w:widowControl/>
              <w:autoSpaceDE w:val="0"/>
              <w:autoSpaceDN w:val="0"/>
              <w:jc w:val="center"/>
              <w:rPr>
                <w:snapToGrid/>
                <w:szCs w:val="24"/>
                <w:highlight w:val="yellow"/>
              </w:rPr>
            </w:pPr>
            <w:r>
              <w:rPr>
                <w:snapToGrid/>
                <w:szCs w:val="24"/>
                <w:highlight w:val="yellow"/>
              </w:rPr>
              <w:t>2</w:t>
            </w:r>
            <w:r w:rsidRPr="002210F0">
              <w:rPr>
                <w:snapToGrid/>
                <w:szCs w:val="24"/>
                <w:highlight w:val="yellow"/>
              </w:rPr>
              <w:t>0</w:t>
            </w:r>
          </w:p>
        </w:tc>
        <w:tc>
          <w:tcPr>
            <w:tcW w:w="642" w:type="pct"/>
            <w:tcBorders>
              <w:left w:val="nil"/>
              <w:right w:val="single" w:sz="4" w:space="0" w:color="auto"/>
            </w:tcBorders>
          </w:tcPr>
          <w:p w14:paraId="2CC8905D" w14:textId="047C0BEC" w:rsidR="00841F08" w:rsidRPr="002210F0" w:rsidRDefault="00841F08" w:rsidP="0070572C">
            <w:pPr>
              <w:widowControl/>
              <w:autoSpaceDE w:val="0"/>
              <w:autoSpaceDN w:val="0"/>
              <w:jc w:val="center"/>
              <w:rPr>
                <w:snapToGrid/>
                <w:szCs w:val="24"/>
                <w:highlight w:val="yellow"/>
              </w:rPr>
            </w:pPr>
            <w:r w:rsidRPr="002210F0">
              <w:rPr>
                <w:snapToGrid/>
                <w:szCs w:val="24"/>
                <w:highlight w:val="yellow"/>
              </w:rPr>
              <w:t>$</w:t>
            </w:r>
            <w:r w:rsidR="0070572C">
              <w:rPr>
                <w:snapToGrid/>
                <w:szCs w:val="24"/>
                <w:highlight w:val="yellow"/>
              </w:rPr>
              <w:t>31,420</w:t>
            </w:r>
          </w:p>
        </w:tc>
      </w:tr>
      <w:tr w:rsidR="00841F08" w:rsidRPr="002210F0" w14:paraId="7390B206" w14:textId="77777777" w:rsidTr="00841F08">
        <w:tc>
          <w:tcPr>
            <w:tcW w:w="1690" w:type="pct"/>
            <w:tcBorders>
              <w:left w:val="single" w:sz="4" w:space="0" w:color="auto"/>
              <w:bottom w:val="single" w:sz="4" w:space="0" w:color="auto"/>
              <w:right w:val="nil"/>
            </w:tcBorders>
          </w:tcPr>
          <w:p w14:paraId="154EB10A" w14:textId="1E77552C" w:rsidR="00841F08" w:rsidRPr="002210F0" w:rsidRDefault="00841F08" w:rsidP="002210F0">
            <w:pPr>
              <w:widowControl/>
              <w:autoSpaceDE w:val="0"/>
              <w:autoSpaceDN w:val="0"/>
              <w:rPr>
                <w:snapToGrid/>
                <w:szCs w:val="24"/>
                <w:highlight w:val="yellow"/>
              </w:rPr>
            </w:pPr>
            <w:r w:rsidRPr="002210F0">
              <w:rPr>
                <w:snapToGrid/>
                <w:szCs w:val="24"/>
                <w:highlight w:val="yellow"/>
              </w:rPr>
              <w:t xml:space="preserve">Total cost </w:t>
            </w:r>
          </w:p>
        </w:tc>
        <w:tc>
          <w:tcPr>
            <w:tcW w:w="998" w:type="pct"/>
            <w:tcBorders>
              <w:left w:val="nil"/>
              <w:bottom w:val="single" w:sz="4" w:space="0" w:color="auto"/>
              <w:right w:val="nil"/>
            </w:tcBorders>
          </w:tcPr>
          <w:p w14:paraId="06EA8249" w14:textId="17E8884F" w:rsidR="00841F08" w:rsidRPr="002210F0" w:rsidRDefault="00841F08" w:rsidP="002210F0">
            <w:pPr>
              <w:widowControl/>
              <w:autoSpaceDE w:val="0"/>
              <w:autoSpaceDN w:val="0"/>
              <w:jc w:val="center"/>
              <w:rPr>
                <w:snapToGrid/>
                <w:szCs w:val="24"/>
                <w:highlight w:val="yellow"/>
              </w:rPr>
            </w:pPr>
          </w:p>
        </w:tc>
        <w:tc>
          <w:tcPr>
            <w:tcW w:w="1028" w:type="pct"/>
            <w:tcBorders>
              <w:left w:val="nil"/>
              <w:bottom w:val="single" w:sz="4" w:space="0" w:color="auto"/>
              <w:right w:val="nil"/>
            </w:tcBorders>
          </w:tcPr>
          <w:p w14:paraId="035661B1" w14:textId="77777777" w:rsidR="00841F08" w:rsidRPr="002210F0" w:rsidRDefault="00841F08" w:rsidP="002210F0">
            <w:pPr>
              <w:widowControl/>
              <w:autoSpaceDE w:val="0"/>
              <w:autoSpaceDN w:val="0"/>
              <w:jc w:val="center"/>
              <w:rPr>
                <w:snapToGrid/>
                <w:szCs w:val="24"/>
                <w:highlight w:val="yellow"/>
              </w:rPr>
            </w:pPr>
          </w:p>
        </w:tc>
        <w:tc>
          <w:tcPr>
            <w:tcW w:w="642" w:type="pct"/>
            <w:tcBorders>
              <w:left w:val="nil"/>
              <w:bottom w:val="single" w:sz="4" w:space="0" w:color="auto"/>
              <w:right w:val="nil"/>
            </w:tcBorders>
          </w:tcPr>
          <w:p w14:paraId="6D94E017" w14:textId="713B19B6" w:rsidR="00841F08" w:rsidRPr="002210F0" w:rsidRDefault="00841F08" w:rsidP="002210F0">
            <w:pPr>
              <w:widowControl/>
              <w:autoSpaceDE w:val="0"/>
              <w:autoSpaceDN w:val="0"/>
              <w:jc w:val="center"/>
              <w:rPr>
                <w:snapToGrid/>
                <w:szCs w:val="24"/>
                <w:highlight w:val="yellow"/>
              </w:rPr>
            </w:pPr>
          </w:p>
        </w:tc>
        <w:tc>
          <w:tcPr>
            <w:tcW w:w="642" w:type="pct"/>
            <w:tcBorders>
              <w:left w:val="nil"/>
              <w:bottom w:val="single" w:sz="4" w:space="0" w:color="auto"/>
              <w:right w:val="single" w:sz="4" w:space="0" w:color="auto"/>
            </w:tcBorders>
          </w:tcPr>
          <w:p w14:paraId="0365CDB1" w14:textId="26E56300" w:rsidR="00841F08" w:rsidRPr="002210F0" w:rsidRDefault="00841F08" w:rsidP="0070572C">
            <w:pPr>
              <w:widowControl/>
              <w:autoSpaceDE w:val="0"/>
              <w:autoSpaceDN w:val="0"/>
              <w:jc w:val="center"/>
              <w:rPr>
                <w:snapToGrid/>
                <w:szCs w:val="24"/>
                <w:highlight w:val="yellow"/>
              </w:rPr>
            </w:pPr>
            <w:r w:rsidRPr="002210F0">
              <w:rPr>
                <w:snapToGrid/>
                <w:szCs w:val="24"/>
                <w:highlight w:val="yellow"/>
              </w:rPr>
              <w:t>$</w:t>
            </w:r>
            <w:r w:rsidR="0070572C">
              <w:rPr>
                <w:snapToGrid/>
                <w:szCs w:val="24"/>
                <w:highlight w:val="yellow"/>
              </w:rPr>
              <w:t>201,348</w:t>
            </w:r>
          </w:p>
        </w:tc>
      </w:tr>
    </w:tbl>
    <w:p w14:paraId="2CC9AC23" w14:textId="77777777" w:rsidR="002210F0" w:rsidRPr="002210F0" w:rsidRDefault="002210F0" w:rsidP="002210F0">
      <w:pPr>
        <w:widowControl/>
        <w:autoSpaceDE w:val="0"/>
        <w:autoSpaceDN w:val="0"/>
        <w:ind w:firstLine="720"/>
        <w:rPr>
          <w:snapToGrid/>
          <w:szCs w:val="24"/>
        </w:rPr>
      </w:pPr>
    </w:p>
    <w:p w14:paraId="0B95A1BA" w14:textId="63527163" w:rsidR="00FE381C" w:rsidRPr="005902BD" w:rsidRDefault="00E42051" w:rsidP="00B10ECA">
      <w:pPr>
        <w:pStyle w:val="PlainText"/>
        <w:spacing w:before="120" w:line="276" w:lineRule="auto"/>
        <w:rPr>
          <w:rFonts w:ascii="Times New Roman" w:hAnsi="Times New Roman"/>
          <w:sz w:val="24"/>
          <w:szCs w:val="22"/>
        </w:rPr>
      </w:pPr>
      <w:r w:rsidRPr="00063E2A">
        <w:rPr>
          <w:rFonts w:ascii="Times New Roman" w:hAnsi="Times New Roman"/>
          <w:sz w:val="24"/>
          <w:szCs w:val="24"/>
          <w:highlight w:val="yellow"/>
        </w:rPr>
        <w:t xml:space="preserve">The annualized cost of the contracts is itemized in </w:t>
      </w:r>
      <w:r w:rsidR="00077B13">
        <w:rPr>
          <w:rFonts w:ascii="Times New Roman" w:hAnsi="Times New Roman"/>
          <w:sz w:val="24"/>
          <w:szCs w:val="24"/>
          <w:highlight w:val="yellow"/>
        </w:rPr>
        <w:t>T</w:t>
      </w:r>
      <w:r w:rsidRPr="00063E2A">
        <w:rPr>
          <w:rFonts w:ascii="Times New Roman" w:hAnsi="Times New Roman"/>
          <w:sz w:val="24"/>
          <w:szCs w:val="24"/>
          <w:highlight w:val="yellow"/>
        </w:rPr>
        <w:t xml:space="preserve">able A.14.2. </w:t>
      </w:r>
      <w:r w:rsidR="00FE381C" w:rsidRPr="00063E2A">
        <w:rPr>
          <w:rFonts w:ascii="Times New Roman" w:hAnsi="Times New Roman"/>
          <w:sz w:val="24"/>
          <w:szCs w:val="24"/>
          <w:highlight w:val="yellow"/>
        </w:rPr>
        <w:t>The annual budget currently approved for funding by NHLBI is attached</w:t>
      </w:r>
      <w:r w:rsidR="005902BD" w:rsidRPr="00063E2A">
        <w:rPr>
          <w:rFonts w:ascii="Times New Roman" w:hAnsi="Times New Roman"/>
          <w:sz w:val="24"/>
          <w:szCs w:val="24"/>
          <w:highlight w:val="yellow"/>
        </w:rPr>
        <w:t xml:space="preserve"> </w:t>
      </w:r>
      <w:r w:rsidR="00D36D04" w:rsidRPr="00063E2A">
        <w:rPr>
          <w:rFonts w:ascii="Times New Roman" w:hAnsi="Times New Roman"/>
          <w:sz w:val="24"/>
          <w:szCs w:val="24"/>
          <w:highlight w:val="yellow"/>
        </w:rPr>
        <w:t>[</w:t>
      </w:r>
      <w:r w:rsidR="00626A21" w:rsidRPr="00063E2A">
        <w:rPr>
          <w:rFonts w:ascii="Times New Roman" w:hAnsi="Times New Roman"/>
          <w:sz w:val="24"/>
          <w:szCs w:val="24"/>
          <w:highlight w:val="yellow"/>
        </w:rPr>
        <w:t xml:space="preserve">Appendix </w:t>
      </w:r>
      <w:r w:rsidR="001917F8" w:rsidRPr="00063E2A">
        <w:rPr>
          <w:rFonts w:ascii="Times New Roman" w:hAnsi="Times New Roman"/>
          <w:sz w:val="24"/>
          <w:szCs w:val="24"/>
          <w:highlight w:val="yellow"/>
        </w:rPr>
        <w:t>1</w:t>
      </w:r>
      <w:r w:rsidR="00147208">
        <w:rPr>
          <w:rFonts w:ascii="Times New Roman" w:hAnsi="Times New Roman"/>
          <w:sz w:val="24"/>
          <w:szCs w:val="24"/>
          <w:highlight w:val="yellow"/>
        </w:rPr>
        <w:t>7</w:t>
      </w:r>
      <w:r w:rsidR="00D36D04" w:rsidRPr="00063E2A">
        <w:rPr>
          <w:rFonts w:ascii="Times New Roman" w:hAnsi="Times New Roman"/>
          <w:sz w:val="24"/>
          <w:szCs w:val="24"/>
          <w:highlight w:val="yellow"/>
        </w:rPr>
        <w:t>].</w:t>
      </w:r>
      <w:r w:rsidR="00FE381C" w:rsidRPr="00063E2A">
        <w:rPr>
          <w:rFonts w:ascii="Times New Roman" w:hAnsi="Times New Roman"/>
          <w:sz w:val="24"/>
          <w:szCs w:val="24"/>
          <w:highlight w:val="yellow"/>
        </w:rPr>
        <w:t xml:space="preserve">  </w:t>
      </w:r>
      <w:r w:rsidR="00FE381C" w:rsidRPr="00063E2A">
        <w:rPr>
          <w:rFonts w:ascii="Times New Roman" w:hAnsi="Times New Roman"/>
          <w:sz w:val="24"/>
          <w:szCs w:val="22"/>
          <w:highlight w:val="yellow"/>
        </w:rPr>
        <w:t>This funding is committed by the budget office of the NHLBI, and extends for a six</w:t>
      </w:r>
      <w:r w:rsidR="00B10ECA" w:rsidRPr="00063E2A">
        <w:rPr>
          <w:rFonts w:ascii="Times New Roman" w:hAnsi="Times New Roman"/>
          <w:sz w:val="24"/>
          <w:szCs w:val="22"/>
          <w:highlight w:val="yellow"/>
        </w:rPr>
        <w:t>-</w:t>
      </w:r>
      <w:r w:rsidR="00FE381C" w:rsidRPr="00063E2A">
        <w:rPr>
          <w:rFonts w:ascii="Times New Roman" w:hAnsi="Times New Roman"/>
          <w:sz w:val="24"/>
          <w:szCs w:val="22"/>
          <w:highlight w:val="yellow"/>
        </w:rPr>
        <w:t xml:space="preserve">year period.  This funding provides for the </w:t>
      </w:r>
      <w:r w:rsidR="00C73F9C" w:rsidRPr="00063E2A">
        <w:rPr>
          <w:rFonts w:ascii="Times New Roman" w:hAnsi="Times New Roman"/>
          <w:sz w:val="24"/>
          <w:szCs w:val="22"/>
          <w:highlight w:val="yellow"/>
        </w:rPr>
        <w:t>Visit 2</w:t>
      </w:r>
      <w:r w:rsidR="00A712CA" w:rsidRPr="00063E2A">
        <w:rPr>
          <w:rFonts w:ascii="Times New Roman" w:hAnsi="Times New Roman"/>
          <w:sz w:val="24"/>
          <w:szCs w:val="22"/>
          <w:highlight w:val="yellow"/>
        </w:rPr>
        <w:t xml:space="preserve"> scheduling</w:t>
      </w:r>
      <w:r w:rsidR="00C73F9C" w:rsidRPr="00063E2A">
        <w:rPr>
          <w:rFonts w:ascii="Times New Roman" w:hAnsi="Times New Roman"/>
          <w:sz w:val="24"/>
          <w:szCs w:val="22"/>
          <w:highlight w:val="yellow"/>
        </w:rPr>
        <w:t xml:space="preserve"> </w:t>
      </w:r>
      <w:r w:rsidR="00FE381C" w:rsidRPr="00063E2A">
        <w:rPr>
          <w:rFonts w:ascii="Times New Roman" w:hAnsi="Times New Roman"/>
          <w:sz w:val="24"/>
          <w:szCs w:val="22"/>
          <w:highlight w:val="yellow"/>
        </w:rPr>
        <w:t xml:space="preserve">process, </w:t>
      </w:r>
      <w:r w:rsidR="00C73F9C" w:rsidRPr="00063E2A">
        <w:rPr>
          <w:rFonts w:ascii="Times New Roman" w:hAnsi="Times New Roman"/>
          <w:sz w:val="24"/>
          <w:szCs w:val="22"/>
          <w:highlight w:val="yellow"/>
        </w:rPr>
        <w:t>Visit 2</w:t>
      </w:r>
      <w:r w:rsidR="00FE381C" w:rsidRPr="00063E2A">
        <w:rPr>
          <w:rFonts w:ascii="Times New Roman" w:hAnsi="Times New Roman"/>
          <w:sz w:val="24"/>
          <w:szCs w:val="22"/>
          <w:highlight w:val="yellow"/>
        </w:rPr>
        <w:t xml:space="preserve"> examination, and ascertainment of </w:t>
      </w:r>
      <w:r w:rsidR="00A712CA" w:rsidRPr="00063E2A">
        <w:rPr>
          <w:rFonts w:ascii="Times New Roman" w:hAnsi="Times New Roman"/>
          <w:sz w:val="24"/>
          <w:szCs w:val="22"/>
          <w:highlight w:val="yellow"/>
        </w:rPr>
        <w:t>fatal and non-fatal</w:t>
      </w:r>
      <w:r w:rsidR="00FE381C" w:rsidRPr="00063E2A">
        <w:rPr>
          <w:rFonts w:ascii="Times New Roman" w:hAnsi="Times New Roman"/>
          <w:sz w:val="24"/>
          <w:szCs w:val="22"/>
          <w:highlight w:val="yellow"/>
        </w:rPr>
        <w:t xml:space="preserve"> events for cardiovascular and lung diseases for an average of </w:t>
      </w:r>
      <w:r w:rsidR="00B10ECA" w:rsidRPr="00063E2A">
        <w:rPr>
          <w:rFonts w:ascii="Times New Roman" w:hAnsi="Times New Roman"/>
          <w:sz w:val="24"/>
          <w:szCs w:val="22"/>
          <w:highlight w:val="yellow"/>
        </w:rPr>
        <w:t xml:space="preserve">5 ½ </w:t>
      </w:r>
      <w:r w:rsidR="00FE381C" w:rsidRPr="00063E2A">
        <w:rPr>
          <w:rFonts w:ascii="Times New Roman" w:hAnsi="Times New Roman"/>
          <w:sz w:val="24"/>
          <w:szCs w:val="22"/>
          <w:highlight w:val="yellow"/>
        </w:rPr>
        <w:t>years.</w:t>
      </w:r>
      <w:r w:rsidR="00FE381C" w:rsidRPr="00AD13F4">
        <w:rPr>
          <w:rFonts w:ascii="Times New Roman" w:hAnsi="Times New Roman"/>
          <w:sz w:val="24"/>
          <w:szCs w:val="22"/>
        </w:rPr>
        <w:t xml:space="preserve">  </w:t>
      </w:r>
      <w:r w:rsidR="00FE381C" w:rsidRPr="005902BD">
        <w:rPr>
          <w:rFonts w:ascii="Times New Roman" w:hAnsi="Times New Roman"/>
          <w:sz w:val="24"/>
          <w:szCs w:val="22"/>
        </w:rPr>
        <w:t xml:space="preserve">   </w:t>
      </w:r>
    </w:p>
    <w:p w14:paraId="1E5D2117" w14:textId="77777777" w:rsidR="002E51E4" w:rsidRDefault="002E51E4" w:rsidP="00A43AD4">
      <w:pPr>
        <w:spacing w:line="480" w:lineRule="auto"/>
        <w:jc w:val="center"/>
        <w:rPr>
          <w:smallCaps/>
          <w:sz w:val="22"/>
          <w:szCs w:val="22"/>
        </w:rPr>
      </w:pPr>
    </w:p>
    <w:p w14:paraId="066A1F8F" w14:textId="424F8526" w:rsidR="00880629" w:rsidRPr="00016BDA" w:rsidRDefault="00DB28C0" w:rsidP="00A43AD4">
      <w:pPr>
        <w:spacing w:line="480" w:lineRule="auto"/>
        <w:jc w:val="center"/>
        <w:rPr>
          <w:smallCaps/>
          <w:sz w:val="22"/>
          <w:szCs w:val="22"/>
        </w:rPr>
      </w:pPr>
      <w:r w:rsidRPr="00016BDA">
        <w:rPr>
          <w:smallCaps/>
          <w:sz w:val="22"/>
          <w:szCs w:val="22"/>
        </w:rPr>
        <w:t xml:space="preserve">Table </w:t>
      </w:r>
      <w:r w:rsidR="00B404AE" w:rsidRPr="00016BDA">
        <w:rPr>
          <w:smallCaps/>
          <w:sz w:val="22"/>
          <w:szCs w:val="22"/>
        </w:rPr>
        <w:t>A.14.</w:t>
      </w:r>
      <w:r w:rsidR="00E42051" w:rsidRPr="00063E2A">
        <w:rPr>
          <w:smallCaps/>
          <w:sz w:val="22"/>
          <w:szCs w:val="22"/>
          <w:highlight w:val="yellow"/>
        </w:rPr>
        <w:t>2</w:t>
      </w:r>
      <w:r w:rsidR="00B404AE" w:rsidRPr="00016BDA">
        <w:rPr>
          <w:smallCaps/>
          <w:sz w:val="22"/>
          <w:szCs w:val="22"/>
        </w:rPr>
        <w:t xml:space="preserve"> Average</w:t>
      </w:r>
      <w:r w:rsidR="00880629" w:rsidRPr="00016BDA">
        <w:rPr>
          <w:smallCaps/>
          <w:sz w:val="22"/>
          <w:szCs w:val="22"/>
        </w:rPr>
        <w:t xml:space="preserve"> Annualized Cost </w:t>
      </w:r>
      <w:r w:rsidR="00A9104B" w:rsidRPr="00A9104B">
        <w:rPr>
          <w:smallCaps/>
          <w:sz w:val="22"/>
          <w:szCs w:val="22"/>
          <w:highlight w:val="yellow"/>
        </w:rPr>
        <w:t>of the Contracts</w:t>
      </w:r>
      <w:r w:rsidR="00A9104B">
        <w:rPr>
          <w:smallCaps/>
          <w:sz w:val="22"/>
          <w:szCs w:val="22"/>
        </w:rPr>
        <w:t xml:space="preserve"> </w:t>
      </w:r>
      <w:r w:rsidR="00880629" w:rsidRPr="00016BDA">
        <w:rPr>
          <w:smallCaps/>
          <w:sz w:val="22"/>
          <w:szCs w:val="22"/>
        </w:rPr>
        <w:t>to the Federal Government</w:t>
      </w:r>
    </w:p>
    <w:tbl>
      <w:tblPr>
        <w:tblStyle w:val="TableGrid"/>
        <w:tblW w:w="0" w:type="auto"/>
        <w:tblInd w:w="-702" w:type="dxa"/>
        <w:tblLook w:val="04A0" w:firstRow="1" w:lastRow="0" w:firstColumn="1" w:lastColumn="0" w:noHBand="0" w:noVBand="1"/>
      </w:tblPr>
      <w:tblGrid>
        <w:gridCol w:w="1932"/>
        <w:gridCol w:w="1525"/>
        <w:gridCol w:w="1244"/>
        <w:gridCol w:w="1379"/>
        <w:gridCol w:w="1366"/>
        <w:gridCol w:w="1366"/>
        <w:gridCol w:w="1466"/>
      </w:tblGrid>
      <w:tr w:rsidR="00DB28C0" w:rsidRPr="00E41B7F" w14:paraId="2DDA42BE" w14:textId="77777777" w:rsidTr="00DB28C0">
        <w:tc>
          <w:tcPr>
            <w:tcW w:w="2070" w:type="dxa"/>
          </w:tcPr>
          <w:p w14:paraId="3C48C57E" w14:textId="77777777" w:rsidR="00DB28C0" w:rsidRPr="00E41B7F" w:rsidRDefault="00DB28C0" w:rsidP="00A43AD4">
            <w:pPr>
              <w:spacing w:line="480" w:lineRule="auto"/>
              <w:jc w:val="center"/>
              <w:rPr>
                <w:sz w:val="20"/>
              </w:rPr>
            </w:pPr>
          </w:p>
        </w:tc>
        <w:tc>
          <w:tcPr>
            <w:tcW w:w="1614" w:type="dxa"/>
          </w:tcPr>
          <w:p w14:paraId="4ECD4472" w14:textId="31DC294F" w:rsidR="00DB28C0" w:rsidRPr="00E41B7F" w:rsidRDefault="00DB28C0" w:rsidP="00A43AD4">
            <w:pPr>
              <w:spacing w:line="480" w:lineRule="auto"/>
              <w:jc w:val="center"/>
              <w:rPr>
                <w:sz w:val="20"/>
                <w:highlight w:val="yellow"/>
              </w:rPr>
            </w:pPr>
            <w:r w:rsidRPr="00E41B7F">
              <w:rPr>
                <w:sz w:val="20"/>
                <w:highlight w:val="yellow"/>
              </w:rPr>
              <w:t>Personnel</w:t>
            </w:r>
          </w:p>
        </w:tc>
        <w:tc>
          <w:tcPr>
            <w:tcW w:w="1316" w:type="dxa"/>
          </w:tcPr>
          <w:p w14:paraId="33C7A2CE" w14:textId="5C126DB0" w:rsidR="00DB28C0" w:rsidRPr="00E41B7F" w:rsidRDefault="00DB28C0" w:rsidP="00A43AD4">
            <w:pPr>
              <w:spacing w:line="480" w:lineRule="auto"/>
              <w:jc w:val="center"/>
              <w:rPr>
                <w:sz w:val="20"/>
                <w:highlight w:val="yellow"/>
              </w:rPr>
            </w:pPr>
            <w:r w:rsidRPr="00E41B7F">
              <w:rPr>
                <w:sz w:val="20"/>
                <w:highlight w:val="yellow"/>
              </w:rPr>
              <w:t>Equipment</w:t>
            </w:r>
          </w:p>
        </w:tc>
        <w:tc>
          <w:tcPr>
            <w:tcW w:w="1451" w:type="dxa"/>
          </w:tcPr>
          <w:p w14:paraId="0CBD8711" w14:textId="76D433C3" w:rsidR="00DB28C0" w:rsidRPr="00E41B7F" w:rsidRDefault="00DB28C0" w:rsidP="00A43AD4">
            <w:pPr>
              <w:spacing w:line="480" w:lineRule="auto"/>
              <w:jc w:val="center"/>
              <w:rPr>
                <w:sz w:val="20"/>
                <w:highlight w:val="yellow"/>
              </w:rPr>
            </w:pPr>
            <w:r w:rsidRPr="00E41B7F">
              <w:rPr>
                <w:sz w:val="20"/>
                <w:highlight w:val="yellow"/>
              </w:rPr>
              <w:t>Subcontracts</w:t>
            </w:r>
          </w:p>
        </w:tc>
        <w:tc>
          <w:tcPr>
            <w:tcW w:w="1256" w:type="dxa"/>
          </w:tcPr>
          <w:p w14:paraId="5DF33C90" w14:textId="6A19C742" w:rsidR="00DB28C0" w:rsidRPr="00E41B7F" w:rsidRDefault="00DB28C0" w:rsidP="00A43AD4">
            <w:pPr>
              <w:spacing w:line="480" w:lineRule="auto"/>
              <w:jc w:val="center"/>
              <w:rPr>
                <w:sz w:val="20"/>
                <w:highlight w:val="yellow"/>
              </w:rPr>
            </w:pPr>
            <w:r w:rsidRPr="00E41B7F">
              <w:rPr>
                <w:sz w:val="20"/>
                <w:highlight w:val="yellow"/>
              </w:rPr>
              <w:t>Other</w:t>
            </w:r>
          </w:p>
        </w:tc>
        <w:tc>
          <w:tcPr>
            <w:tcW w:w="1326" w:type="dxa"/>
          </w:tcPr>
          <w:p w14:paraId="576752A7" w14:textId="48375138" w:rsidR="00DB28C0" w:rsidRPr="00E41B7F" w:rsidRDefault="00DB28C0" w:rsidP="00A43AD4">
            <w:pPr>
              <w:spacing w:line="480" w:lineRule="auto"/>
              <w:jc w:val="center"/>
              <w:rPr>
                <w:sz w:val="20"/>
                <w:highlight w:val="yellow"/>
              </w:rPr>
            </w:pPr>
            <w:r w:rsidRPr="00E41B7F">
              <w:rPr>
                <w:sz w:val="20"/>
                <w:highlight w:val="yellow"/>
              </w:rPr>
              <w:t>Overhead</w:t>
            </w:r>
          </w:p>
        </w:tc>
        <w:tc>
          <w:tcPr>
            <w:tcW w:w="1245" w:type="dxa"/>
          </w:tcPr>
          <w:p w14:paraId="31DAB18D" w14:textId="7595C6BD" w:rsidR="00DB28C0" w:rsidRPr="00E41B7F" w:rsidRDefault="00DB28C0" w:rsidP="00A43AD4">
            <w:pPr>
              <w:spacing w:line="480" w:lineRule="auto"/>
              <w:jc w:val="center"/>
              <w:rPr>
                <w:sz w:val="20"/>
                <w:highlight w:val="yellow"/>
              </w:rPr>
            </w:pPr>
            <w:r w:rsidRPr="00E41B7F">
              <w:rPr>
                <w:sz w:val="20"/>
                <w:highlight w:val="yellow"/>
              </w:rPr>
              <w:t>Total</w:t>
            </w:r>
          </w:p>
        </w:tc>
      </w:tr>
      <w:tr w:rsidR="00DB28C0" w:rsidRPr="00077B13" w14:paraId="36D9027D" w14:textId="77777777" w:rsidTr="00DB28C0">
        <w:tc>
          <w:tcPr>
            <w:tcW w:w="2070" w:type="dxa"/>
          </w:tcPr>
          <w:p w14:paraId="293F48AB" w14:textId="396856CF" w:rsidR="00DB28C0" w:rsidRPr="00077B13" w:rsidRDefault="00DB28C0" w:rsidP="00DB28C0">
            <w:pPr>
              <w:rPr>
                <w:b/>
                <w:sz w:val="20"/>
                <w:highlight w:val="yellow"/>
              </w:rPr>
            </w:pPr>
            <w:r w:rsidRPr="00077B13">
              <w:rPr>
                <w:sz w:val="20"/>
                <w:highlight w:val="yellow"/>
              </w:rPr>
              <w:t>HCHS/SOL Field Centers, Coordinating Center and Echocardiography Reading Center</w:t>
            </w:r>
          </w:p>
        </w:tc>
        <w:tc>
          <w:tcPr>
            <w:tcW w:w="1614" w:type="dxa"/>
          </w:tcPr>
          <w:p w14:paraId="3F6C7120" w14:textId="77777777" w:rsidR="00077B13" w:rsidRPr="00077B13" w:rsidRDefault="00077B13" w:rsidP="00077B13">
            <w:pPr>
              <w:rPr>
                <w:color w:val="000000"/>
                <w:sz w:val="20"/>
                <w:highlight w:val="yellow"/>
              </w:rPr>
            </w:pPr>
            <w:r w:rsidRPr="00077B13">
              <w:rPr>
                <w:color w:val="000000"/>
                <w:sz w:val="20"/>
                <w:highlight w:val="yellow"/>
              </w:rPr>
              <w:t>$6,375,811.17</w:t>
            </w:r>
          </w:p>
          <w:p w14:paraId="7BD39332" w14:textId="4915AB68" w:rsidR="00DB28C0" w:rsidRPr="00077B13" w:rsidRDefault="00DB28C0" w:rsidP="00063E2A">
            <w:pPr>
              <w:spacing w:line="480" w:lineRule="auto"/>
              <w:rPr>
                <w:sz w:val="20"/>
                <w:highlight w:val="yellow"/>
              </w:rPr>
            </w:pPr>
          </w:p>
        </w:tc>
        <w:tc>
          <w:tcPr>
            <w:tcW w:w="1316" w:type="dxa"/>
          </w:tcPr>
          <w:p w14:paraId="23BB40E6" w14:textId="77777777" w:rsidR="00077B13" w:rsidRPr="00077B13" w:rsidRDefault="00077B13" w:rsidP="00077B13">
            <w:pPr>
              <w:jc w:val="center"/>
              <w:rPr>
                <w:color w:val="000000"/>
                <w:sz w:val="20"/>
                <w:highlight w:val="yellow"/>
              </w:rPr>
            </w:pPr>
            <w:r w:rsidRPr="00077B13">
              <w:rPr>
                <w:color w:val="000000"/>
                <w:sz w:val="20"/>
                <w:highlight w:val="yellow"/>
              </w:rPr>
              <w:t>$20,260.83</w:t>
            </w:r>
          </w:p>
          <w:p w14:paraId="7EC2E583" w14:textId="7DAC77B4" w:rsidR="00DB28C0" w:rsidRPr="00077B13" w:rsidRDefault="00DB28C0" w:rsidP="00A43AD4">
            <w:pPr>
              <w:spacing w:line="480" w:lineRule="auto"/>
              <w:jc w:val="center"/>
              <w:rPr>
                <w:sz w:val="20"/>
                <w:highlight w:val="yellow"/>
              </w:rPr>
            </w:pPr>
          </w:p>
        </w:tc>
        <w:tc>
          <w:tcPr>
            <w:tcW w:w="1451" w:type="dxa"/>
          </w:tcPr>
          <w:p w14:paraId="76FCF842" w14:textId="77777777" w:rsidR="00077B13" w:rsidRPr="00077B13" w:rsidRDefault="00077B13" w:rsidP="00077B13">
            <w:pPr>
              <w:jc w:val="center"/>
              <w:rPr>
                <w:color w:val="000000"/>
                <w:sz w:val="20"/>
                <w:highlight w:val="yellow"/>
              </w:rPr>
            </w:pPr>
            <w:r w:rsidRPr="00077B13">
              <w:rPr>
                <w:color w:val="000000"/>
                <w:sz w:val="20"/>
                <w:highlight w:val="yellow"/>
              </w:rPr>
              <w:t>$688,625.17</w:t>
            </w:r>
          </w:p>
          <w:p w14:paraId="15EBD8A4" w14:textId="57A3A2CF" w:rsidR="00DB28C0" w:rsidRPr="00077B13" w:rsidRDefault="00DB28C0" w:rsidP="00A43AD4">
            <w:pPr>
              <w:spacing w:line="480" w:lineRule="auto"/>
              <w:jc w:val="center"/>
              <w:rPr>
                <w:sz w:val="20"/>
                <w:highlight w:val="yellow"/>
              </w:rPr>
            </w:pPr>
          </w:p>
        </w:tc>
        <w:tc>
          <w:tcPr>
            <w:tcW w:w="1256" w:type="dxa"/>
          </w:tcPr>
          <w:p w14:paraId="106E73C1" w14:textId="269B02E3" w:rsidR="00077B13" w:rsidRPr="00077B13" w:rsidRDefault="00077B13" w:rsidP="00077B13">
            <w:pPr>
              <w:jc w:val="center"/>
              <w:rPr>
                <w:color w:val="000000"/>
                <w:sz w:val="20"/>
                <w:highlight w:val="yellow"/>
              </w:rPr>
            </w:pPr>
            <w:r w:rsidRPr="00077B13">
              <w:rPr>
                <w:color w:val="000000"/>
                <w:sz w:val="20"/>
                <w:highlight w:val="yellow"/>
              </w:rPr>
              <w:t>$1,012,</w:t>
            </w:r>
            <w:r w:rsidR="008B14AD">
              <w:rPr>
                <w:color w:val="000000"/>
                <w:sz w:val="20"/>
                <w:highlight w:val="yellow"/>
              </w:rPr>
              <w:t>679</w:t>
            </w:r>
            <w:r w:rsidRPr="00077B13">
              <w:rPr>
                <w:color w:val="000000"/>
                <w:sz w:val="20"/>
                <w:highlight w:val="yellow"/>
              </w:rPr>
              <w:t>.33</w:t>
            </w:r>
          </w:p>
          <w:p w14:paraId="13E2BD69" w14:textId="7224D1CA" w:rsidR="00DB28C0" w:rsidRPr="00077B13" w:rsidRDefault="00DB28C0" w:rsidP="00A43AD4">
            <w:pPr>
              <w:spacing w:line="480" w:lineRule="auto"/>
              <w:jc w:val="center"/>
              <w:rPr>
                <w:sz w:val="20"/>
                <w:highlight w:val="yellow"/>
              </w:rPr>
            </w:pPr>
          </w:p>
        </w:tc>
        <w:tc>
          <w:tcPr>
            <w:tcW w:w="1326" w:type="dxa"/>
          </w:tcPr>
          <w:p w14:paraId="5CBF0A95" w14:textId="77777777" w:rsidR="00077B13" w:rsidRPr="00077B13" w:rsidRDefault="00077B13" w:rsidP="00077B13">
            <w:pPr>
              <w:jc w:val="center"/>
              <w:rPr>
                <w:color w:val="000000"/>
                <w:sz w:val="20"/>
                <w:highlight w:val="yellow"/>
              </w:rPr>
            </w:pPr>
            <w:r w:rsidRPr="00077B13">
              <w:rPr>
                <w:color w:val="000000"/>
                <w:sz w:val="20"/>
                <w:highlight w:val="yellow"/>
              </w:rPr>
              <w:t>$3,249,015.00</w:t>
            </w:r>
          </w:p>
          <w:p w14:paraId="7C891099" w14:textId="201E592F" w:rsidR="00DB28C0" w:rsidRPr="00077B13" w:rsidRDefault="00DB28C0" w:rsidP="00A43AD4">
            <w:pPr>
              <w:spacing w:line="480" w:lineRule="auto"/>
              <w:jc w:val="center"/>
              <w:rPr>
                <w:sz w:val="20"/>
                <w:highlight w:val="yellow"/>
              </w:rPr>
            </w:pPr>
          </w:p>
        </w:tc>
        <w:tc>
          <w:tcPr>
            <w:tcW w:w="1245" w:type="dxa"/>
          </w:tcPr>
          <w:p w14:paraId="4E23BCB6" w14:textId="3C434E3A" w:rsidR="00077B13" w:rsidRPr="00077B13" w:rsidRDefault="00077B13" w:rsidP="00077B13">
            <w:pPr>
              <w:jc w:val="center"/>
              <w:rPr>
                <w:color w:val="000000"/>
                <w:sz w:val="20"/>
              </w:rPr>
            </w:pPr>
            <w:r w:rsidRPr="00077B13">
              <w:rPr>
                <w:color w:val="000000"/>
                <w:sz w:val="20"/>
                <w:highlight w:val="yellow"/>
              </w:rPr>
              <w:t>$11,345,</w:t>
            </w:r>
            <w:r w:rsidR="008B14AD">
              <w:rPr>
                <w:color w:val="000000"/>
                <w:sz w:val="20"/>
                <w:highlight w:val="yellow"/>
              </w:rPr>
              <w:t>33</w:t>
            </w:r>
            <w:r w:rsidRPr="00077B13">
              <w:rPr>
                <w:color w:val="000000"/>
                <w:sz w:val="20"/>
                <w:highlight w:val="yellow"/>
              </w:rPr>
              <w:t>3.33</w:t>
            </w:r>
          </w:p>
          <w:p w14:paraId="314ECB46" w14:textId="386922E9" w:rsidR="00DB28C0" w:rsidRPr="00077B13" w:rsidRDefault="00DB28C0" w:rsidP="00A43AD4">
            <w:pPr>
              <w:spacing w:line="480" w:lineRule="auto"/>
              <w:jc w:val="center"/>
              <w:rPr>
                <w:sz w:val="20"/>
              </w:rPr>
            </w:pPr>
          </w:p>
        </w:tc>
      </w:tr>
    </w:tbl>
    <w:p w14:paraId="18DBFBE0" w14:textId="77777777" w:rsidR="00CD0E98" w:rsidRDefault="00CD0E98" w:rsidP="001F62A4">
      <w:pPr>
        <w:spacing w:before="120" w:line="276" w:lineRule="auto"/>
        <w:jc w:val="center"/>
        <w:rPr>
          <w:b/>
          <w:szCs w:val="24"/>
        </w:rPr>
      </w:pPr>
    </w:p>
    <w:p w14:paraId="4C49519B" w14:textId="1892A249" w:rsidR="00CB73B4" w:rsidRDefault="003F597F" w:rsidP="001F62A4">
      <w:pPr>
        <w:spacing w:before="120" w:line="276" w:lineRule="auto"/>
        <w:jc w:val="center"/>
        <w:rPr>
          <w:b/>
          <w:szCs w:val="24"/>
        </w:rPr>
      </w:pPr>
      <w:r w:rsidRPr="003F597F">
        <w:rPr>
          <w:b/>
          <w:szCs w:val="24"/>
        </w:rPr>
        <w:t>A.15 Explanation of Program Changes and Adjustments</w:t>
      </w:r>
    </w:p>
    <w:p w14:paraId="15AB2CEF" w14:textId="2DA9C58F" w:rsidR="00DA768A" w:rsidRPr="00265730" w:rsidRDefault="00DA768A" w:rsidP="00DA768A">
      <w:pPr>
        <w:spacing w:before="120" w:line="276" w:lineRule="auto"/>
        <w:ind w:firstLine="720"/>
        <w:rPr>
          <w:szCs w:val="24"/>
          <w:highlight w:val="yellow"/>
        </w:rPr>
      </w:pPr>
      <w:r w:rsidRPr="00265730">
        <w:rPr>
          <w:szCs w:val="24"/>
          <w:highlight w:val="yellow"/>
        </w:rPr>
        <w:t>This</w:t>
      </w:r>
      <w:r w:rsidR="00614EC0">
        <w:rPr>
          <w:szCs w:val="24"/>
          <w:highlight w:val="yellow"/>
        </w:rPr>
        <w:t xml:space="preserve"> is a revision of a currently approved information collection request for the</w:t>
      </w:r>
      <w:r w:rsidRPr="00265730">
        <w:rPr>
          <w:szCs w:val="24"/>
          <w:highlight w:val="yellow"/>
        </w:rPr>
        <w:t xml:space="preserve"> second phase of the study</w:t>
      </w:r>
      <w:r w:rsidR="00614EC0">
        <w:rPr>
          <w:szCs w:val="24"/>
          <w:highlight w:val="yellow"/>
        </w:rPr>
        <w:t>, which</w:t>
      </w:r>
      <w:r w:rsidRPr="00265730">
        <w:rPr>
          <w:szCs w:val="24"/>
          <w:highlight w:val="yellow"/>
        </w:rPr>
        <w:t xml:space="preserve"> will consist of a much shorter examination than baseline. </w:t>
      </w:r>
      <w:r w:rsidR="00614EC0">
        <w:rPr>
          <w:szCs w:val="24"/>
          <w:highlight w:val="yellow"/>
        </w:rPr>
        <w:t>Details of the specific changes</w:t>
      </w:r>
      <w:r w:rsidR="00F40AF4">
        <w:rPr>
          <w:szCs w:val="24"/>
          <w:highlight w:val="yellow"/>
        </w:rPr>
        <w:t xml:space="preserve"> are detailed in the in summary </w:t>
      </w:r>
      <w:r w:rsidR="00614EC0">
        <w:rPr>
          <w:szCs w:val="24"/>
          <w:highlight w:val="yellow"/>
        </w:rPr>
        <w:t xml:space="preserve">on page 1. The </w:t>
      </w:r>
      <w:r w:rsidR="000665D4">
        <w:rPr>
          <w:szCs w:val="24"/>
          <w:highlight w:val="yellow"/>
        </w:rPr>
        <w:t>changes</w:t>
      </w:r>
      <w:r w:rsidR="00F40AF4">
        <w:rPr>
          <w:szCs w:val="24"/>
          <w:highlight w:val="yellow"/>
        </w:rPr>
        <w:t xml:space="preserve"> have resulted</w:t>
      </w:r>
      <w:r w:rsidR="00614EC0">
        <w:rPr>
          <w:szCs w:val="24"/>
          <w:highlight w:val="yellow"/>
        </w:rPr>
        <w:t xml:space="preserve"> in a decrease in burden from </w:t>
      </w:r>
      <w:r w:rsidR="000665D4">
        <w:rPr>
          <w:szCs w:val="24"/>
          <w:highlight w:val="yellow"/>
        </w:rPr>
        <w:t>48,114 to 30,940.</w:t>
      </w:r>
    </w:p>
    <w:p w14:paraId="44F20640" w14:textId="11633BD2" w:rsidR="00FD5928" w:rsidRPr="00022CC1" w:rsidRDefault="00DA768A" w:rsidP="00614EC0">
      <w:pPr>
        <w:spacing w:before="120" w:line="276" w:lineRule="auto"/>
        <w:ind w:firstLine="720"/>
        <w:rPr>
          <w:szCs w:val="24"/>
        </w:rPr>
      </w:pPr>
      <w:r w:rsidRPr="00265730">
        <w:rPr>
          <w:szCs w:val="24"/>
          <w:highlight w:val="yellow"/>
        </w:rPr>
        <w:lastRenderedPageBreak/>
        <w:t xml:space="preserve"> </w:t>
      </w:r>
    </w:p>
    <w:p w14:paraId="41A86B1A" w14:textId="77777777" w:rsidR="001E7A06" w:rsidRPr="00A43AD4" w:rsidRDefault="001E7A06"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r w:rsidRPr="00A43AD4">
        <w:rPr>
          <w:b/>
        </w:rPr>
        <w:t xml:space="preserve">A.16. Plans for </w:t>
      </w:r>
      <w:r w:rsidR="0004514F" w:rsidRPr="00A43AD4">
        <w:rPr>
          <w:b/>
        </w:rPr>
        <w:t>Tabu</w:t>
      </w:r>
      <w:r w:rsidRPr="00A43AD4">
        <w:rPr>
          <w:b/>
        </w:rPr>
        <w:t>lation and Publication and Project Time Schedule</w:t>
      </w:r>
    </w:p>
    <w:p w14:paraId="75218914" w14:textId="285234B9" w:rsidR="001E7A06" w:rsidRDefault="001E7A06" w:rsidP="001F62A4">
      <w:pPr>
        <w:pStyle w:val="BodyTextInden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left"/>
      </w:pPr>
      <w:r>
        <w:t xml:space="preserve">The </w:t>
      </w:r>
      <w:r w:rsidR="00D96D28">
        <w:t>HCHS/SOL</w:t>
      </w:r>
      <w:r>
        <w:t xml:space="preserve"> staff will collect</w:t>
      </w:r>
      <w:r w:rsidR="00A66053">
        <w:t xml:space="preserve"> most of</w:t>
      </w:r>
      <w:r>
        <w:t xml:space="preserve"> the information after obtaining OMB approval.</w:t>
      </w:r>
      <w:r w:rsidR="00A66053">
        <w:t xml:space="preserve"> </w:t>
      </w:r>
      <w:r w:rsidR="00A66053" w:rsidRPr="00265730">
        <w:rPr>
          <w:highlight w:val="yellow"/>
        </w:rPr>
        <w:t>Ongoing AFU interviews are performed under OMB approval obtained in 2011, and expiring on December 31, 2014.</w:t>
      </w:r>
      <w:r>
        <w:t xml:space="preserve"> </w:t>
      </w:r>
      <w:r w:rsidR="00A66053">
        <w:t>The continuation of the AFU and the rest of the protocol will be performed after obtaining new OMB approval.</w:t>
      </w:r>
      <w:r>
        <w:t xml:space="preserve"> The C</w:t>
      </w:r>
      <w:r w:rsidR="00A712CA">
        <w:t xml:space="preserve">oordinating Center, Field Centers </w:t>
      </w:r>
      <w:r w:rsidR="00A712CA" w:rsidRPr="00265730">
        <w:rPr>
          <w:highlight w:val="yellow"/>
        </w:rPr>
        <w:t xml:space="preserve">and </w:t>
      </w:r>
      <w:r w:rsidR="00FF69A9" w:rsidRPr="00265730">
        <w:rPr>
          <w:highlight w:val="yellow"/>
        </w:rPr>
        <w:t xml:space="preserve">the </w:t>
      </w:r>
      <w:r w:rsidR="00A712CA" w:rsidRPr="00265730">
        <w:rPr>
          <w:highlight w:val="yellow"/>
        </w:rPr>
        <w:t>Echocardiography Reading Center</w:t>
      </w:r>
      <w:r w:rsidR="00A712CA">
        <w:t xml:space="preserve"> </w:t>
      </w:r>
      <w:r>
        <w:t xml:space="preserve">computing staff will then analyze the collected information in a timely manner after the necessary data editing has been done, and after the data quality control procedures have verified that collection procedures operated properly. </w:t>
      </w:r>
      <w:r w:rsidRPr="00265730">
        <w:rPr>
          <w:highlight w:val="yellow"/>
        </w:rPr>
        <w:t>The following time</w:t>
      </w:r>
      <w:r w:rsidR="0004514F" w:rsidRPr="00265730">
        <w:rPr>
          <w:highlight w:val="yellow"/>
        </w:rPr>
        <w:t>tabl</w:t>
      </w:r>
      <w:r w:rsidRPr="00265730">
        <w:rPr>
          <w:highlight w:val="yellow"/>
        </w:rPr>
        <w:t xml:space="preserve">e for data collection and analysis, in terms of the time elapsed following OMB approval, is presented in </w:t>
      </w:r>
      <w:r w:rsidR="0004514F" w:rsidRPr="00265730">
        <w:rPr>
          <w:highlight w:val="yellow"/>
        </w:rPr>
        <w:t>Table</w:t>
      </w:r>
      <w:r w:rsidRPr="00265730">
        <w:rPr>
          <w:highlight w:val="yellow"/>
        </w:rPr>
        <w:t xml:space="preserve"> A.16</w:t>
      </w:r>
      <w:r w:rsidR="00016BDA" w:rsidRPr="00265730">
        <w:rPr>
          <w:highlight w:val="yellow"/>
        </w:rPr>
        <w:t>.</w:t>
      </w:r>
      <w:r w:rsidRPr="00265730">
        <w:rPr>
          <w:highlight w:val="yellow"/>
        </w:rPr>
        <w:t>1.</w:t>
      </w:r>
    </w:p>
    <w:p w14:paraId="2294ACCB" w14:textId="77777777" w:rsidR="00DF228F" w:rsidRDefault="00DF22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14:paraId="792B5811" w14:textId="77777777" w:rsidR="00223B73" w:rsidRDefault="00223B73" w:rsidP="00016B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mallCaps/>
          <w:color w:val="000000"/>
          <w:szCs w:val="24"/>
        </w:rPr>
      </w:pPr>
    </w:p>
    <w:p w14:paraId="3CB5AA35" w14:textId="6331CC1A" w:rsidR="001E7A06" w:rsidRPr="00016BDA" w:rsidRDefault="0004514F" w:rsidP="00016B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mallCaps/>
          <w:color w:val="000000"/>
          <w:szCs w:val="24"/>
        </w:rPr>
      </w:pPr>
      <w:r w:rsidRPr="00016BDA">
        <w:rPr>
          <w:smallCaps/>
          <w:color w:val="000000"/>
          <w:szCs w:val="24"/>
        </w:rPr>
        <w:t>Table</w:t>
      </w:r>
      <w:r w:rsidR="00A36F1D" w:rsidRPr="00016BDA">
        <w:rPr>
          <w:smallCaps/>
          <w:color w:val="000000"/>
          <w:szCs w:val="24"/>
        </w:rPr>
        <w:t xml:space="preserve"> A.16</w:t>
      </w:r>
      <w:r w:rsidR="00016BDA">
        <w:rPr>
          <w:smallCaps/>
          <w:color w:val="000000"/>
          <w:szCs w:val="24"/>
        </w:rPr>
        <w:t>.</w:t>
      </w:r>
      <w:r w:rsidR="00A36F1D" w:rsidRPr="00016BDA">
        <w:rPr>
          <w:smallCaps/>
          <w:color w:val="000000"/>
          <w:szCs w:val="24"/>
        </w:rPr>
        <w:t xml:space="preserve">1 </w:t>
      </w:r>
      <w:r w:rsidR="005529E7" w:rsidRPr="00016BDA">
        <w:rPr>
          <w:smallCaps/>
          <w:color w:val="000000"/>
          <w:szCs w:val="24"/>
        </w:rPr>
        <w:t>HCHS/SOL</w:t>
      </w:r>
      <w:r w:rsidR="00A36F1D" w:rsidRPr="00016BDA">
        <w:rPr>
          <w:smallCaps/>
          <w:color w:val="000000"/>
          <w:szCs w:val="24"/>
        </w:rPr>
        <w:t xml:space="preserve"> Time Schedule</w:t>
      </w:r>
    </w:p>
    <w:p w14:paraId="204F9184" w14:textId="77777777" w:rsidR="00DC3325" w:rsidRPr="00E5746F" w:rsidRDefault="00DC33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bl>
      <w:tblPr>
        <w:tblW w:w="10404" w:type="dxa"/>
        <w:jc w:val="right"/>
        <w:tblLook w:val="01E0" w:firstRow="1" w:lastRow="1" w:firstColumn="1" w:lastColumn="1" w:noHBand="0" w:noVBand="0"/>
      </w:tblPr>
      <w:tblGrid>
        <w:gridCol w:w="6313"/>
        <w:gridCol w:w="1733"/>
        <w:gridCol w:w="2358"/>
      </w:tblGrid>
      <w:tr w:rsidR="001828E7" w:rsidRPr="00265730" w14:paraId="60809FB4" w14:textId="77777777" w:rsidTr="0038703D">
        <w:trPr>
          <w:jc w:val="right"/>
        </w:trPr>
        <w:tc>
          <w:tcPr>
            <w:tcW w:w="6313" w:type="dxa"/>
            <w:tcBorders>
              <w:bottom w:val="double" w:sz="4" w:space="0" w:color="auto"/>
            </w:tcBorders>
            <w:shd w:val="clear" w:color="auto" w:fill="auto"/>
          </w:tcPr>
          <w:p w14:paraId="278E3BC3" w14:textId="77777777" w:rsidR="00E21FFE" w:rsidRPr="00265730" w:rsidRDefault="00E21FFE" w:rsidP="0038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Cs w:val="24"/>
                <w:highlight w:val="yellow"/>
              </w:rPr>
            </w:pPr>
            <w:r w:rsidRPr="00265730">
              <w:rPr>
                <w:color w:val="000000"/>
                <w:szCs w:val="24"/>
                <w:highlight w:val="yellow"/>
              </w:rPr>
              <w:t>Activity</w:t>
            </w:r>
          </w:p>
        </w:tc>
        <w:tc>
          <w:tcPr>
            <w:tcW w:w="4091" w:type="dxa"/>
            <w:gridSpan w:val="2"/>
            <w:tcBorders>
              <w:bottom w:val="double" w:sz="4" w:space="0" w:color="auto"/>
            </w:tcBorders>
            <w:shd w:val="clear" w:color="auto" w:fill="auto"/>
          </w:tcPr>
          <w:p w14:paraId="791CCA0F" w14:textId="231D602F" w:rsidR="00E21FFE" w:rsidRPr="00265730" w:rsidRDefault="00E21FFE" w:rsidP="0038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highlight w:val="yellow"/>
              </w:rPr>
            </w:pPr>
            <w:r w:rsidRPr="00265730">
              <w:rPr>
                <w:color w:val="000000"/>
                <w:szCs w:val="24"/>
                <w:highlight w:val="yellow"/>
              </w:rPr>
              <w:t xml:space="preserve">Time elapsed after OMB approval </w:t>
            </w:r>
          </w:p>
        </w:tc>
      </w:tr>
      <w:tr w:rsidR="003B05FE" w:rsidRPr="00265730" w14:paraId="31B8E9A6" w14:textId="77777777" w:rsidTr="0038703D">
        <w:trPr>
          <w:jc w:val="right"/>
        </w:trPr>
        <w:tc>
          <w:tcPr>
            <w:tcW w:w="6313" w:type="dxa"/>
            <w:shd w:val="clear" w:color="auto" w:fill="auto"/>
          </w:tcPr>
          <w:p w14:paraId="417B98C7" w14:textId="77777777" w:rsidR="003B05FE" w:rsidRPr="00265730" w:rsidRDefault="003B05FE" w:rsidP="00387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highlight w:val="yellow"/>
              </w:rPr>
            </w:pPr>
          </w:p>
        </w:tc>
        <w:tc>
          <w:tcPr>
            <w:tcW w:w="1733" w:type="dxa"/>
            <w:shd w:val="clear" w:color="auto" w:fill="auto"/>
          </w:tcPr>
          <w:p w14:paraId="3DA0E2B5" w14:textId="77777777" w:rsidR="003B05FE" w:rsidRPr="00265730" w:rsidRDefault="003B05FE" w:rsidP="0038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4"/>
                <w:highlight w:val="yellow"/>
              </w:rPr>
            </w:pPr>
            <w:r w:rsidRPr="00265730">
              <w:rPr>
                <w:i/>
                <w:color w:val="000000"/>
                <w:szCs w:val="24"/>
                <w:highlight w:val="yellow"/>
              </w:rPr>
              <w:t>Start</w:t>
            </w:r>
          </w:p>
        </w:tc>
        <w:tc>
          <w:tcPr>
            <w:tcW w:w="2358" w:type="dxa"/>
            <w:shd w:val="clear" w:color="auto" w:fill="auto"/>
          </w:tcPr>
          <w:p w14:paraId="6026207B" w14:textId="77777777" w:rsidR="003B05FE" w:rsidRPr="00265730" w:rsidRDefault="003B05FE" w:rsidP="0038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4"/>
                <w:highlight w:val="yellow"/>
              </w:rPr>
            </w:pPr>
            <w:r w:rsidRPr="00265730">
              <w:rPr>
                <w:i/>
                <w:color w:val="000000"/>
                <w:szCs w:val="24"/>
                <w:highlight w:val="yellow"/>
              </w:rPr>
              <w:t>Finish</w:t>
            </w:r>
          </w:p>
        </w:tc>
      </w:tr>
      <w:tr w:rsidR="003B05FE" w:rsidRPr="00265730" w14:paraId="6504ACB4" w14:textId="77777777" w:rsidTr="0038703D">
        <w:trPr>
          <w:jc w:val="right"/>
        </w:trPr>
        <w:tc>
          <w:tcPr>
            <w:tcW w:w="6313" w:type="dxa"/>
            <w:shd w:val="clear" w:color="auto" w:fill="auto"/>
          </w:tcPr>
          <w:p w14:paraId="1DE84C6A" w14:textId="77777777" w:rsidR="003B05FE" w:rsidRPr="00265730" w:rsidRDefault="00E5746F" w:rsidP="00462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Participant contact and appointment scheduling</w:t>
            </w:r>
          </w:p>
        </w:tc>
        <w:tc>
          <w:tcPr>
            <w:tcW w:w="1733" w:type="dxa"/>
            <w:tcBorders>
              <w:top w:val="double" w:sz="4" w:space="0" w:color="auto"/>
            </w:tcBorders>
            <w:shd w:val="clear" w:color="auto" w:fill="auto"/>
          </w:tcPr>
          <w:p w14:paraId="73C84071" w14:textId="77777777" w:rsidR="003B05FE" w:rsidRPr="00265730" w:rsidRDefault="003B05FE"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1week</w:t>
            </w:r>
          </w:p>
        </w:tc>
        <w:tc>
          <w:tcPr>
            <w:tcW w:w="2358" w:type="dxa"/>
            <w:tcBorders>
              <w:top w:val="double" w:sz="4" w:space="0" w:color="auto"/>
            </w:tcBorders>
            <w:shd w:val="clear" w:color="auto" w:fill="auto"/>
          </w:tcPr>
          <w:p w14:paraId="645D2942" w14:textId="77777777" w:rsidR="003B05FE" w:rsidRPr="00265730" w:rsidRDefault="003B05FE"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36 months</w:t>
            </w:r>
          </w:p>
        </w:tc>
      </w:tr>
      <w:tr w:rsidR="003B05FE" w:rsidRPr="00265730" w14:paraId="3C313EFB" w14:textId="77777777" w:rsidTr="0038703D">
        <w:trPr>
          <w:jc w:val="right"/>
        </w:trPr>
        <w:tc>
          <w:tcPr>
            <w:tcW w:w="6313" w:type="dxa"/>
            <w:shd w:val="clear" w:color="auto" w:fill="auto"/>
          </w:tcPr>
          <w:p w14:paraId="7F626C86" w14:textId="47C17FB0" w:rsidR="003B05FE" w:rsidRPr="00265730" w:rsidRDefault="00963491" w:rsidP="00462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 xml:space="preserve">Visit 2 </w:t>
            </w:r>
            <w:r w:rsidR="0066169A" w:rsidRPr="00265730">
              <w:rPr>
                <w:color w:val="000000"/>
                <w:szCs w:val="24"/>
                <w:highlight w:val="yellow"/>
              </w:rPr>
              <w:t>d</w:t>
            </w:r>
            <w:r w:rsidR="00E5746F" w:rsidRPr="00265730">
              <w:rPr>
                <w:color w:val="000000"/>
                <w:szCs w:val="24"/>
                <w:highlight w:val="yellow"/>
              </w:rPr>
              <w:t xml:space="preserve">ata </w:t>
            </w:r>
            <w:r w:rsidR="0066169A" w:rsidRPr="00265730">
              <w:rPr>
                <w:color w:val="000000"/>
                <w:szCs w:val="24"/>
                <w:highlight w:val="yellow"/>
              </w:rPr>
              <w:t>c</w:t>
            </w:r>
            <w:r w:rsidR="00E5746F" w:rsidRPr="00265730">
              <w:rPr>
                <w:color w:val="000000"/>
                <w:szCs w:val="24"/>
                <w:highlight w:val="yellow"/>
              </w:rPr>
              <w:t xml:space="preserve">ollection </w:t>
            </w:r>
          </w:p>
        </w:tc>
        <w:tc>
          <w:tcPr>
            <w:tcW w:w="1733" w:type="dxa"/>
            <w:shd w:val="clear" w:color="auto" w:fill="auto"/>
          </w:tcPr>
          <w:p w14:paraId="7DEA4989" w14:textId="77777777" w:rsidR="003B05FE" w:rsidRPr="00265730" w:rsidRDefault="003B05FE"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1 month</w:t>
            </w:r>
          </w:p>
        </w:tc>
        <w:tc>
          <w:tcPr>
            <w:tcW w:w="2358" w:type="dxa"/>
            <w:shd w:val="clear" w:color="auto" w:fill="auto"/>
          </w:tcPr>
          <w:p w14:paraId="20140C86" w14:textId="77777777" w:rsidR="003B05FE" w:rsidRPr="00265730" w:rsidRDefault="003B05FE"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36 months</w:t>
            </w:r>
          </w:p>
        </w:tc>
      </w:tr>
      <w:tr w:rsidR="00963491" w:rsidRPr="00265730" w14:paraId="64636C48" w14:textId="77777777" w:rsidTr="0038703D">
        <w:trPr>
          <w:jc w:val="right"/>
        </w:trPr>
        <w:tc>
          <w:tcPr>
            <w:tcW w:w="6313" w:type="dxa"/>
            <w:shd w:val="clear" w:color="auto" w:fill="auto"/>
          </w:tcPr>
          <w:p w14:paraId="1822A05A" w14:textId="553DE5FD" w:rsidR="00963491" w:rsidRPr="00265730" w:rsidRDefault="00963491" w:rsidP="00462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Annual participant (or proxy) contact for AFU</w:t>
            </w:r>
          </w:p>
        </w:tc>
        <w:tc>
          <w:tcPr>
            <w:tcW w:w="1733" w:type="dxa"/>
            <w:shd w:val="clear" w:color="auto" w:fill="auto"/>
          </w:tcPr>
          <w:p w14:paraId="036E53B2" w14:textId="4DB0E30E" w:rsidR="00963491" w:rsidRPr="00265730" w:rsidRDefault="00B04AA3"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Ongoing</w:t>
            </w:r>
          </w:p>
        </w:tc>
        <w:tc>
          <w:tcPr>
            <w:tcW w:w="2358" w:type="dxa"/>
            <w:shd w:val="clear" w:color="auto" w:fill="auto"/>
          </w:tcPr>
          <w:p w14:paraId="3A8D9394" w14:textId="202DAB20" w:rsidR="00963491" w:rsidRPr="00265730" w:rsidRDefault="00B04AA3"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60 months</w:t>
            </w:r>
          </w:p>
        </w:tc>
      </w:tr>
      <w:tr w:rsidR="003B05FE" w:rsidRPr="00265730" w14:paraId="27EC1975" w14:textId="77777777" w:rsidTr="0038703D">
        <w:trPr>
          <w:jc w:val="right"/>
        </w:trPr>
        <w:tc>
          <w:tcPr>
            <w:tcW w:w="6313" w:type="dxa"/>
            <w:shd w:val="clear" w:color="auto" w:fill="auto"/>
          </w:tcPr>
          <w:p w14:paraId="4849F5E7" w14:textId="4CA24EFE" w:rsidR="003B05FE" w:rsidRPr="00265730" w:rsidRDefault="005B4D12" w:rsidP="00462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P</w:t>
            </w:r>
            <w:r w:rsidR="00A43AD4" w:rsidRPr="00265730">
              <w:rPr>
                <w:color w:val="000000"/>
                <w:szCs w:val="24"/>
                <w:highlight w:val="yellow"/>
              </w:rPr>
              <w:t>reliminary</w:t>
            </w:r>
            <w:r w:rsidRPr="00265730">
              <w:rPr>
                <w:color w:val="000000"/>
                <w:szCs w:val="24"/>
                <w:highlight w:val="yellow"/>
              </w:rPr>
              <w:t xml:space="preserve"> </w:t>
            </w:r>
            <w:r w:rsidR="00A43AD4" w:rsidRPr="00265730">
              <w:rPr>
                <w:color w:val="000000"/>
                <w:szCs w:val="24"/>
                <w:highlight w:val="yellow"/>
              </w:rPr>
              <w:t xml:space="preserve">and </w:t>
            </w:r>
            <w:r w:rsidR="0066169A" w:rsidRPr="00265730">
              <w:rPr>
                <w:color w:val="000000"/>
                <w:szCs w:val="24"/>
                <w:highlight w:val="yellow"/>
              </w:rPr>
              <w:t>f</w:t>
            </w:r>
            <w:r w:rsidR="00A43AD4" w:rsidRPr="00265730">
              <w:rPr>
                <w:color w:val="000000"/>
                <w:szCs w:val="24"/>
                <w:highlight w:val="yellow"/>
              </w:rPr>
              <w:t xml:space="preserve">inal </w:t>
            </w:r>
            <w:r w:rsidR="0066169A" w:rsidRPr="00265730">
              <w:rPr>
                <w:color w:val="000000"/>
                <w:szCs w:val="24"/>
                <w:highlight w:val="yellow"/>
              </w:rPr>
              <w:t>a</w:t>
            </w:r>
            <w:r w:rsidR="00E5746F" w:rsidRPr="00265730">
              <w:rPr>
                <w:color w:val="000000"/>
                <w:szCs w:val="24"/>
                <w:highlight w:val="yellow"/>
              </w:rPr>
              <w:t>nalys</w:t>
            </w:r>
            <w:r w:rsidR="00A43AD4" w:rsidRPr="00265730">
              <w:rPr>
                <w:color w:val="000000"/>
                <w:szCs w:val="24"/>
                <w:highlight w:val="yellow"/>
              </w:rPr>
              <w:t>e</w:t>
            </w:r>
            <w:r w:rsidR="00E5746F" w:rsidRPr="00265730">
              <w:rPr>
                <w:color w:val="000000"/>
                <w:szCs w:val="24"/>
                <w:highlight w:val="yellow"/>
              </w:rPr>
              <w:t>s</w:t>
            </w:r>
          </w:p>
        </w:tc>
        <w:tc>
          <w:tcPr>
            <w:tcW w:w="1733" w:type="dxa"/>
            <w:shd w:val="clear" w:color="auto" w:fill="auto"/>
          </w:tcPr>
          <w:p w14:paraId="586B8D23" w14:textId="77777777" w:rsidR="003B05FE" w:rsidRPr="00265730" w:rsidRDefault="003B05FE"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12 months</w:t>
            </w:r>
          </w:p>
        </w:tc>
        <w:tc>
          <w:tcPr>
            <w:tcW w:w="2358" w:type="dxa"/>
            <w:shd w:val="clear" w:color="auto" w:fill="auto"/>
          </w:tcPr>
          <w:p w14:paraId="311258F9" w14:textId="100D6282" w:rsidR="003B05FE" w:rsidRPr="00265730" w:rsidRDefault="003B05FE"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 xml:space="preserve">60 </w:t>
            </w:r>
            <w:r w:rsidR="00633DD3" w:rsidRPr="00265730">
              <w:rPr>
                <w:color w:val="000000"/>
                <w:szCs w:val="24"/>
                <w:highlight w:val="yellow"/>
              </w:rPr>
              <w:t xml:space="preserve">+ </w:t>
            </w:r>
            <w:r w:rsidRPr="00265730">
              <w:rPr>
                <w:color w:val="000000"/>
                <w:szCs w:val="24"/>
                <w:highlight w:val="yellow"/>
              </w:rPr>
              <w:t>months</w:t>
            </w:r>
          </w:p>
        </w:tc>
      </w:tr>
      <w:tr w:rsidR="003B05FE" w:rsidRPr="0038703D" w14:paraId="3B459D34" w14:textId="77777777" w:rsidTr="0038703D">
        <w:trPr>
          <w:jc w:val="right"/>
        </w:trPr>
        <w:tc>
          <w:tcPr>
            <w:tcW w:w="6313" w:type="dxa"/>
            <w:tcBorders>
              <w:bottom w:val="single" w:sz="4" w:space="0" w:color="auto"/>
            </w:tcBorders>
            <w:shd w:val="clear" w:color="auto" w:fill="auto"/>
          </w:tcPr>
          <w:p w14:paraId="27995E8B" w14:textId="6BE763BD" w:rsidR="003B05FE" w:rsidRPr="00265730" w:rsidRDefault="00A43AD4"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Presentations</w:t>
            </w:r>
            <w:r w:rsidR="0066169A" w:rsidRPr="00265730">
              <w:rPr>
                <w:color w:val="000000"/>
                <w:szCs w:val="24"/>
                <w:highlight w:val="yellow"/>
              </w:rPr>
              <w:t xml:space="preserve"> at scientific meetings and submission of manuscripts to journals</w:t>
            </w:r>
            <w:r w:rsidR="005B4D12" w:rsidRPr="00265730">
              <w:rPr>
                <w:color w:val="000000"/>
                <w:szCs w:val="24"/>
                <w:highlight w:val="yellow"/>
              </w:rPr>
              <w:t xml:space="preserve"> </w:t>
            </w:r>
          </w:p>
        </w:tc>
        <w:tc>
          <w:tcPr>
            <w:tcW w:w="1733" w:type="dxa"/>
            <w:tcBorders>
              <w:bottom w:val="single" w:sz="4" w:space="0" w:color="auto"/>
            </w:tcBorders>
            <w:shd w:val="clear" w:color="auto" w:fill="auto"/>
          </w:tcPr>
          <w:p w14:paraId="41CCC773" w14:textId="77777777" w:rsidR="003B05FE" w:rsidRPr="00265730" w:rsidRDefault="003B05FE"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highlight w:val="yellow"/>
              </w:rPr>
            </w:pPr>
            <w:r w:rsidRPr="00265730">
              <w:rPr>
                <w:color w:val="000000"/>
                <w:szCs w:val="24"/>
                <w:highlight w:val="yellow"/>
              </w:rPr>
              <w:t>24 months</w:t>
            </w:r>
          </w:p>
        </w:tc>
        <w:tc>
          <w:tcPr>
            <w:tcW w:w="2358" w:type="dxa"/>
            <w:tcBorders>
              <w:bottom w:val="single" w:sz="4" w:space="0" w:color="auto"/>
            </w:tcBorders>
            <w:shd w:val="clear" w:color="auto" w:fill="auto"/>
          </w:tcPr>
          <w:p w14:paraId="680C4F28" w14:textId="77777777" w:rsidR="003B05FE" w:rsidRPr="0038703D" w:rsidRDefault="003B05FE" w:rsidP="00462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rPr>
            </w:pPr>
            <w:r w:rsidRPr="00265730">
              <w:rPr>
                <w:color w:val="000000"/>
                <w:szCs w:val="24"/>
                <w:highlight w:val="yellow"/>
              </w:rPr>
              <w:t>60 + months</w:t>
            </w:r>
          </w:p>
        </w:tc>
      </w:tr>
    </w:tbl>
    <w:p w14:paraId="78ACAE67" w14:textId="77777777" w:rsidR="00A36F1D" w:rsidRDefault="00E5746F" w:rsidP="00E5746F">
      <w:pPr>
        <w:widowControl/>
        <w:tabs>
          <w:tab w:val="left" w:pos="0"/>
          <w:tab w:val="left" w:pos="6855"/>
        </w:tabs>
      </w:pPr>
      <w:r>
        <w:tab/>
      </w:r>
    </w:p>
    <w:p w14:paraId="1EB01A5F" w14:textId="3C586E99" w:rsidR="00CD0E98" w:rsidRDefault="001E7A06"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r>
        <w:t xml:space="preserve">To achieve the ultimate goal of determining policy recommendations for cardiovascular disease prevention, the intermediate goal is to present statistical results by publishing in scientific journals (e.g. </w:t>
      </w:r>
      <w:r w:rsidRPr="00265730">
        <w:rPr>
          <w:i/>
          <w:highlight w:val="yellow"/>
        </w:rPr>
        <w:t xml:space="preserve">Journal of the American Medical Association, Circulation, </w:t>
      </w:r>
      <w:r w:rsidR="00730913" w:rsidRPr="00265730">
        <w:rPr>
          <w:i/>
          <w:highlight w:val="yellow"/>
        </w:rPr>
        <w:t>Annals of Epidemiology</w:t>
      </w:r>
      <w:r w:rsidRPr="00265730">
        <w:rPr>
          <w:highlight w:val="yellow"/>
        </w:rPr>
        <w:t>), by present</w:t>
      </w:r>
      <w:r w:rsidR="00E53BED" w:rsidRPr="00265730">
        <w:rPr>
          <w:highlight w:val="yellow"/>
        </w:rPr>
        <w:t>ing</w:t>
      </w:r>
      <w:r w:rsidRPr="00265730">
        <w:rPr>
          <w:highlight w:val="yellow"/>
        </w:rPr>
        <w:t xml:space="preserve"> at scientific meetings (e.g., </w:t>
      </w:r>
      <w:r w:rsidR="005B6CE9" w:rsidRPr="00265730">
        <w:rPr>
          <w:highlight w:val="yellow"/>
        </w:rPr>
        <w:t xml:space="preserve">those convened by the </w:t>
      </w:r>
      <w:r w:rsidRPr="00265730">
        <w:rPr>
          <w:highlight w:val="yellow"/>
        </w:rPr>
        <w:t>American Heart Association</w:t>
      </w:r>
      <w:r w:rsidR="005B6CE9" w:rsidRPr="00265730">
        <w:rPr>
          <w:highlight w:val="yellow"/>
        </w:rPr>
        <w:t xml:space="preserve"> and its</w:t>
      </w:r>
      <w:r w:rsidR="00633DD3" w:rsidRPr="00265730">
        <w:rPr>
          <w:highlight w:val="yellow"/>
        </w:rPr>
        <w:t xml:space="preserve"> </w:t>
      </w:r>
      <w:r w:rsidRPr="00265730">
        <w:rPr>
          <w:highlight w:val="yellow"/>
        </w:rPr>
        <w:t>Council on Cardiovascular Epidemiology, American Public Health Association</w:t>
      </w:r>
      <w:r w:rsidR="00F11982" w:rsidRPr="00265730">
        <w:rPr>
          <w:highlight w:val="yellow"/>
        </w:rPr>
        <w:t>, American Diabetes Association</w:t>
      </w:r>
      <w:r>
        <w:t>), and by compil</w:t>
      </w:r>
      <w:r w:rsidR="00E53BED">
        <w:t>ing</w:t>
      </w:r>
      <w:r>
        <w:t xml:space="preserve"> special reports and monographs available to the scientific community. </w:t>
      </w:r>
      <w:r w:rsidR="005529E7">
        <w:t>HCHS/SOL</w:t>
      </w:r>
      <w:r>
        <w:t xml:space="preserve"> publication guidelines have been written to foster the analysis and publication of data.  </w:t>
      </w:r>
      <w:r w:rsidR="00CD0E98">
        <w:t xml:space="preserve">In addition, study participants, their immediate communities, the Hispanic community at large and the general public have been and will be informed of study findings. </w:t>
      </w:r>
      <w:r w:rsidR="00CD0E98" w:rsidRPr="00265730">
        <w:rPr>
          <w:highlight w:val="yellow"/>
        </w:rPr>
        <w:t xml:space="preserve">Examples of printed materials for all these audiences have been included under Appendix </w:t>
      </w:r>
      <w:r w:rsidR="001917F8" w:rsidRPr="00147208">
        <w:rPr>
          <w:highlight w:val="yellow"/>
        </w:rPr>
        <w:t>1</w:t>
      </w:r>
      <w:r w:rsidR="00147208" w:rsidRPr="00147208">
        <w:rPr>
          <w:highlight w:val="yellow"/>
        </w:rPr>
        <w:t>8</w:t>
      </w:r>
      <w:r w:rsidR="00CD0E98" w:rsidRPr="00D709BF">
        <w:t>.</w:t>
      </w:r>
    </w:p>
    <w:p w14:paraId="3FC7AE16" w14:textId="77777777" w:rsidR="00F35320" w:rsidRDefault="00F35320" w:rsidP="008F6A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center"/>
      </w:pPr>
    </w:p>
    <w:p w14:paraId="2C1969F3" w14:textId="77777777" w:rsidR="001E7A06" w:rsidRPr="00A43AD4" w:rsidRDefault="001E7A06"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r w:rsidRPr="00A43AD4">
        <w:rPr>
          <w:b/>
        </w:rPr>
        <w:t>A.17.   Reason(s) Display of OMB Expiration Date is Inappropriate</w:t>
      </w:r>
    </w:p>
    <w:p w14:paraId="66025D93" w14:textId="77777777" w:rsidR="00E5746F" w:rsidRDefault="001E7A06"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r>
        <w:t xml:space="preserve">Expiration date display exemption is not requested.  Displaying the OMB expiration date is appropriate for this submission, and will be printed on the </w:t>
      </w:r>
      <w:r w:rsidR="005529E7">
        <w:t>HCHS/SOL</w:t>
      </w:r>
      <w:r>
        <w:t xml:space="preserve"> documents.</w:t>
      </w:r>
    </w:p>
    <w:p w14:paraId="03CCC97E" w14:textId="77777777" w:rsidR="002C0E7E" w:rsidRDefault="002C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p>
    <w:p w14:paraId="625A8844" w14:textId="77777777" w:rsidR="001E7A06" w:rsidRPr="00A43AD4" w:rsidRDefault="001E7A06"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jc w:val="center"/>
        <w:rPr>
          <w:b/>
        </w:rPr>
      </w:pPr>
      <w:r w:rsidRPr="00A43AD4">
        <w:rPr>
          <w:b/>
        </w:rPr>
        <w:t>A.18.   Exceptions to Certification for Paperwork Reduction Act Submission</w:t>
      </w:r>
    </w:p>
    <w:p w14:paraId="462A79F6" w14:textId="77777777" w:rsidR="005529E7" w:rsidRDefault="001E7A06"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r>
        <w:t>The data encompassed by this study will fully comply with all guidelines of 5 CFR 1320.8(b)(3) and no exception is requested to certification for Paperwork Reduction Act Submission.</w:t>
      </w:r>
    </w:p>
    <w:p w14:paraId="6695A35D" w14:textId="77777777" w:rsidR="002C0E7E" w:rsidRDefault="002C0E7E"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p>
    <w:p w14:paraId="15A90E30" w14:textId="77777777" w:rsidR="001E7A06" w:rsidRPr="00A43AD4" w:rsidRDefault="001E7A06"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rPr>
          <w:b/>
        </w:rPr>
      </w:pPr>
      <w:r w:rsidRPr="00A43AD4">
        <w:rPr>
          <w:b/>
        </w:rPr>
        <w:t>A.19. Certification for Paperwork Reduction Act Submissions</w:t>
      </w:r>
    </w:p>
    <w:p w14:paraId="11921464" w14:textId="77777777" w:rsidR="00EA4DC9" w:rsidRDefault="001E7A06" w:rsidP="001F62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firstLine="720"/>
      </w:pPr>
      <w:r>
        <w:t>The Certification for Paperwork Reduction Act Submission is attached as appropriate (page 2 of OMB 83-I form).</w:t>
      </w:r>
    </w:p>
    <w:sectPr w:rsidR="00EA4DC9" w:rsidSect="00C435E1">
      <w:endnotePr>
        <w:numFmt w:val="decimal"/>
      </w:endnotePr>
      <w:pgSz w:w="12240" w:h="15840"/>
      <w:pgMar w:top="72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1BEAB" w14:textId="77777777" w:rsidR="00EA48BB" w:rsidRDefault="00EA48BB">
      <w:r>
        <w:separator/>
      </w:r>
    </w:p>
  </w:endnote>
  <w:endnote w:type="continuationSeparator" w:id="0">
    <w:p w14:paraId="155FCBD6" w14:textId="77777777" w:rsidR="00EA48BB" w:rsidRDefault="00EA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8E70" w14:textId="77777777" w:rsidR="00BF6593" w:rsidRDefault="00BF6593" w:rsidP="001F62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218002" w14:textId="77777777" w:rsidR="00BF6593" w:rsidRDefault="00BF6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D43FE" w14:textId="77777777" w:rsidR="00BF6593" w:rsidRDefault="00BF6593" w:rsidP="001F62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F0A">
      <w:rPr>
        <w:rStyle w:val="PageNumber"/>
        <w:noProof/>
      </w:rPr>
      <w:t>13</w:t>
    </w:r>
    <w:r>
      <w:rPr>
        <w:rStyle w:val="PageNumber"/>
      </w:rPr>
      <w:fldChar w:fldCharType="end"/>
    </w:r>
  </w:p>
  <w:p w14:paraId="6EFCC97B" w14:textId="28C76955" w:rsidR="00BF6593" w:rsidRDefault="00BF6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DE8EA" w14:textId="77777777" w:rsidR="00EA48BB" w:rsidRDefault="00EA48BB">
      <w:r>
        <w:separator/>
      </w:r>
    </w:p>
  </w:footnote>
  <w:footnote w:type="continuationSeparator" w:id="0">
    <w:p w14:paraId="18E2D9B5" w14:textId="77777777" w:rsidR="00EA48BB" w:rsidRDefault="00EA4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DADB8" w14:textId="77777777" w:rsidR="00BF6593" w:rsidRDefault="00BF6593">
    <w:pPr>
      <w:pStyle w:val="Header"/>
      <w:framePr w:wrap="around" w:vAnchor="text" w:hAnchor="margin" w:xAlign="right" w:y="1"/>
      <w:rPr>
        <w:rStyle w:val="PageNumber"/>
      </w:rPr>
    </w:pPr>
    <w:r>
      <w:rPr>
        <w:rStyle w:val="PageNumber"/>
      </w:rPr>
      <w:tab/>
    </w:r>
    <w:r>
      <w:rPr>
        <w:rStyle w:val="PageNumber"/>
      </w:rPr>
      <w:tab/>
    </w:r>
  </w:p>
  <w:p w14:paraId="1B1E4E74" w14:textId="77777777" w:rsidR="00BF6593" w:rsidRDefault="00BF6593">
    <w:pPr>
      <w:pStyle w:val="Header"/>
      <w:framePr w:wrap="around" w:vAnchor="text" w:hAnchor="margin" w:xAlign="right" w:y="1"/>
      <w:ind w:right="360"/>
      <w:rPr>
        <w:rStyle w:val="PageNumber"/>
      </w:rPr>
    </w:pPr>
    <w:r>
      <w:rPr>
        <w:rStyle w:val="PageNumber"/>
      </w:rPr>
      <w:t xml:space="preserve">                                                                                                                                                    </w:t>
    </w:r>
  </w:p>
  <w:p w14:paraId="74B46D1D" w14:textId="77777777" w:rsidR="00BF6593" w:rsidRDefault="00BF6593">
    <w:pPr>
      <w:pStyle w:val="Header"/>
      <w:framePr w:wrap="around" w:vAnchor="text" w:hAnchor="margin" w:xAlign="right" w:y="1"/>
      <w:ind w:right="360"/>
      <w:rPr>
        <w:rStyle w:val="PageNumber"/>
      </w:rPr>
    </w:pPr>
  </w:p>
  <w:p w14:paraId="48CADB7C" w14:textId="77777777" w:rsidR="00BF6593" w:rsidRDefault="00BF6593">
    <w:pPr>
      <w:ind w:right="360"/>
    </w:pPr>
    <w:r>
      <w:tab/>
    </w:r>
    <w:r>
      <w:tab/>
      <w:t xml:space="preserve">                                                                                                                                                                                    </w:t>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94D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00000000"/>
    <w:lvl w:ilvl="0">
      <w:start w:val="1"/>
      <w:numFmt w:val="decimal"/>
      <w:lvlText w:val="%1."/>
      <w:lvlJc w:val="left"/>
      <w:pPr>
        <w:tabs>
          <w:tab w:val="num" w:pos="1440"/>
        </w:tabs>
        <w:ind w:left="8640" w:hanging="79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2"/>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3"/>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4"/>
    <w:multiLevelType w:val="multilevel"/>
    <w:tmpl w:val="00000000"/>
    <w:lvl w:ilvl="0">
      <w:start w:val="1"/>
      <w:numFmt w:val="decimal"/>
      <w:lvlText w:val="%1."/>
      <w:lvlJc w:val="left"/>
      <w:pPr>
        <w:tabs>
          <w:tab w:val="num" w:pos="720"/>
        </w:tabs>
        <w:ind w:left="3600" w:hanging="360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6"/>
    <w:multiLevelType w:val="multilevel"/>
    <w:tmpl w:val="00000000"/>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decimal"/>
      <w:lvlText w:val="%8"/>
      <w:lvlJc w:val="left"/>
    </w:lvl>
    <w:lvl w:ilvl="8">
      <w:numFmt w:val="decimal"/>
      <w:lvlText w:val=""/>
      <w:lvlJc w:val="left"/>
    </w:lvl>
  </w:abstractNum>
  <w:abstractNum w:abstractNumId="8">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7980F5F"/>
    <w:multiLevelType w:val="hybridMultilevel"/>
    <w:tmpl w:val="AB9AC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83BEE"/>
    <w:multiLevelType w:val="hybridMultilevel"/>
    <w:tmpl w:val="C6EE390E"/>
    <w:lvl w:ilvl="0" w:tplc="C4EE86B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0213C62"/>
    <w:multiLevelType w:val="hybridMultilevel"/>
    <w:tmpl w:val="045C87C6"/>
    <w:lvl w:ilvl="0" w:tplc="C4EE86B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0A923FF"/>
    <w:multiLevelType w:val="hybridMultilevel"/>
    <w:tmpl w:val="907E946E"/>
    <w:lvl w:ilvl="0" w:tplc="C4EE86B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FF15F15"/>
    <w:multiLevelType w:val="hybridMultilevel"/>
    <w:tmpl w:val="933274FA"/>
    <w:lvl w:ilvl="0" w:tplc="C4EE86B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7E75D92"/>
    <w:multiLevelType w:val="hybridMultilevel"/>
    <w:tmpl w:val="FB94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22E4"/>
    <w:multiLevelType w:val="hybridMultilevel"/>
    <w:tmpl w:val="F1F0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D04D5"/>
    <w:multiLevelType w:val="hybridMultilevel"/>
    <w:tmpl w:val="6C44E306"/>
    <w:lvl w:ilvl="0" w:tplc="6192B5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F270E"/>
    <w:multiLevelType w:val="hybridMultilevel"/>
    <w:tmpl w:val="F0EAEB64"/>
    <w:lvl w:ilvl="0" w:tplc="C4EE86B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E2819BA"/>
    <w:multiLevelType w:val="hybridMultilevel"/>
    <w:tmpl w:val="31B66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714A90"/>
    <w:multiLevelType w:val="hybridMultilevel"/>
    <w:tmpl w:val="47888B44"/>
    <w:lvl w:ilvl="0" w:tplc="C4EE86B0">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nsid w:val="712E3150"/>
    <w:multiLevelType w:val="hybridMultilevel"/>
    <w:tmpl w:val="E430913C"/>
    <w:lvl w:ilvl="0" w:tplc="C4EE86B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4B7640A"/>
    <w:multiLevelType w:val="hybridMultilevel"/>
    <w:tmpl w:val="524C9272"/>
    <w:lvl w:ilvl="0" w:tplc="C4EE86B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75B3360"/>
    <w:multiLevelType w:val="hybridMultilevel"/>
    <w:tmpl w:val="0B4CE1C8"/>
    <w:lvl w:ilvl="0" w:tplc="C3FAEC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403390"/>
    <w:multiLevelType w:val="hybridMultilevel"/>
    <w:tmpl w:val="DB64064E"/>
    <w:lvl w:ilvl="0" w:tplc="B1741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lvl w:ilvl="0">
        <w:numFmt w:val="bullet"/>
        <w:lvlText w:val=""/>
        <w:legacy w:legacy="1" w:legacySpace="0" w:legacyIndent="720"/>
        <w:lvlJc w:val="left"/>
        <w:pPr>
          <w:ind w:left="1440" w:hanging="720"/>
        </w:pPr>
        <w:rPr>
          <w:rFonts w:ascii="WP MathA" w:hAnsi="WP MathA" w:hint="default"/>
        </w:rPr>
      </w:lvl>
    </w:lvlOverride>
  </w:num>
  <w:num w:numId="7">
    <w:abstractNumId w:val="1"/>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8">
    <w:abstractNumId w:val="22"/>
  </w:num>
  <w:num w:numId="9">
    <w:abstractNumId w:val="4"/>
    <w:lvlOverride w:ilvl="0">
      <w:startOverride w:val="3"/>
      <w:lvl w:ilvl="0">
        <w:start w:val="3"/>
        <w:numFmt w:val="decimal"/>
        <w:lvlText w:val="%1."/>
        <w:lvlJc w:val="left"/>
      </w:lvl>
    </w:lvlOverride>
  </w:num>
  <w:num w:numId="10">
    <w:abstractNumId w:val="4"/>
    <w:lvlOverride w:ilvl="0">
      <w:startOverride w:val="3"/>
      <w:lvl w:ilvl="0">
        <w:start w:val="3"/>
        <w:numFmt w:val="decimal"/>
        <w:lvlText w:val="%1."/>
        <w:lvlJc w:val="left"/>
      </w:lvl>
    </w:lvlOverride>
  </w:num>
  <w:num w:numId="11">
    <w:abstractNumId w:val="4"/>
    <w:lvlOverride w:ilvl="0">
      <w:startOverride w:val="3"/>
      <w:lvl w:ilvl="0">
        <w:start w:val="3"/>
        <w:numFmt w:val="decimal"/>
        <w:lvlText w:val="%1."/>
        <w:lvlJc w:val="left"/>
      </w:lvl>
    </w:lvlOverride>
  </w:num>
  <w:num w:numId="12">
    <w:abstractNumId w:val="4"/>
    <w:lvlOverride w:ilvl="0">
      <w:startOverride w:val="3"/>
      <w:lvl w:ilvl="0">
        <w:start w:val="3"/>
        <w:numFmt w:val="decimal"/>
        <w:lvlText w:val="%1."/>
        <w:lvlJc w:val="left"/>
      </w:lvl>
    </w:lvlOverride>
  </w:num>
  <w:num w:numId="13">
    <w:abstractNumId w:val="4"/>
    <w:lvlOverride w:ilvl="0">
      <w:startOverride w:val="4"/>
      <w:lvl w:ilvl="0">
        <w:start w:val="4"/>
        <w:numFmt w:val="decimal"/>
        <w:lvlText w:val="%1."/>
        <w:lvlJc w:val="left"/>
      </w:lvl>
    </w:lvlOverride>
  </w:num>
  <w:num w:numId="14">
    <w:abstractNumId w:val="4"/>
    <w:lvlOverride w:ilvl="0">
      <w:startOverride w:val="4"/>
      <w:lvl w:ilvl="0">
        <w:start w:val="4"/>
        <w:numFmt w:val="decimal"/>
        <w:lvlText w:val="%1."/>
        <w:lvlJc w:val="left"/>
      </w:lvl>
    </w:lvlOverride>
  </w:num>
  <w:num w:numId="15">
    <w:abstractNumId w:val="21"/>
  </w:num>
  <w:num w:numId="16">
    <w:abstractNumId w:val="17"/>
  </w:num>
  <w:num w:numId="17">
    <w:abstractNumId w:val="20"/>
  </w:num>
  <w:num w:numId="18">
    <w:abstractNumId w:val="11"/>
  </w:num>
  <w:num w:numId="19">
    <w:abstractNumId w:val="12"/>
  </w:num>
  <w:num w:numId="20">
    <w:abstractNumId w:val="19"/>
  </w:num>
  <w:num w:numId="21">
    <w:abstractNumId w:val="10"/>
  </w:num>
  <w:num w:numId="22">
    <w:abstractNumId w:val="13"/>
  </w:num>
  <w:num w:numId="23">
    <w:abstractNumId w:val="18"/>
  </w:num>
  <w:num w:numId="24">
    <w:abstractNumId w:val="14"/>
  </w:num>
  <w:num w:numId="25">
    <w:abstractNumId w:val="23"/>
  </w:num>
  <w:num w:numId="26">
    <w:abstractNumId w:val="16"/>
  </w:num>
  <w:num w:numId="27">
    <w:abstractNumId w:val="0"/>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0"/>
    <w:rsid w:val="0000129C"/>
    <w:rsid w:val="0000178F"/>
    <w:rsid w:val="0000293A"/>
    <w:rsid w:val="00007E0F"/>
    <w:rsid w:val="0001150D"/>
    <w:rsid w:val="0001243B"/>
    <w:rsid w:val="00012CD0"/>
    <w:rsid w:val="000140DD"/>
    <w:rsid w:val="00016BDA"/>
    <w:rsid w:val="00017752"/>
    <w:rsid w:val="00017967"/>
    <w:rsid w:val="00020639"/>
    <w:rsid w:val="00022CC1"/>
    <w:rsid w:val="000261D5"/>
    <w:rsid w:val="00026EFC"/>
    <w:rsid w:val="00031375"/>
    <w:rsid w:val="000313A4"/>
    <w:rsid w:val="00035129"/>
    <w:rsid w:val="00036D90"/>
    <w:rsid w:val="000376ED"/>
    <w:rsid w:val="000415C4"/>
    <w:rsid w:val="00043C2B"/>
    <w:rsid w:val="00043F89"/>
    <w:rsid w:val="00044DAC"/>
    <w:rsid w:val="0004514F"/>
    <w:rsid w:val="00047651"/>
    <w:rsid w:val="00052F98"/>
    <w:rsid w:val="00056002"/>
    <w:rsid w:val="000633D7"/>
    <w:rsid w:val="00063E2A"/>
    <w:rsid w:val="0006575D"/>
    <w:rsid w:val="000665D4"/>
    <w:rsid w:val="00066980"/>
    <w:rsid w:val="0007028F"/>
    <w:rsid w:val="00070775"/>
    <w:rsid w:val="0007107E"/>
    <w:rsid w:val="0007741F"/>
    <w:rsid w:val="000774BE"/>
    <w:rsid w:val="00077B13"/>
    <w:rsid w:val="00077E99"/>
    <w:rsid w:val="00084721"/>
    <w:rsid w:val="000863E5"/>
    <w:rsid w:val="00090D2D"/>
    <w:rsid w:val="000915C3"/>
    <w:rsid w:val="0009367B"/>
    <w:rsid w:val="000958C1"/>
    <w:rsid w:val="0009717D"/>
    <w:rsid w:val="000B0197"/>
    <w:rsid w:val="000B07B3"/>
    <w:rsid w:val="000C0C3D"/>
    <w:rsid w:val="000C37C6"/>
    <w:rsid w:val="000C3804"/>
    <w:rsid w:val="000D000D"/>
    <w:rsid w:val="000D0CD8"/>
    <w:rsid w:val="000D17D7"/>
    <w:rsid w:val="000D262C"/>
    <w:rsid w:val="000D312A"/>
    <w:rsid w:val="000E0E7C"/>
    <w:rsid w:val="000E1DE1"/>
    <w:rsid w:val="000E23D5"/>
    <w:rsid w:val="000E2434"/>
    <w:rsid w:val="000E34BB"/>
    <w:rsid w:val="000E3A3F"/>
    <w:rsid w:val="000E4BF1"/>
    <w:rsid w:val="000E54ED"/>
    <w:rsid w:val="000E6FB7"/>
    <w:rsid w:val="000E73C6"/>
    <w:rsid w:val="000F085D"/>
    <w:rsid w:val="000F2569"/>
    <w:rsid w:val="000F721C"/>
    <w:rsid w:val="00100700"/>
    <w:rsid w:val="00100E43"/>
    <w:rsid w:val="00101FF6"/>
    <w:rsid w:val="00102EDF"/>
    <w:rsid w:val="0010393D"/>
    <w:rsid w:val="00103EF7"/>
    <w:rsid w:val="00107112"/>
    <w:rsid w:val="00110722"/>
    <w:rsid w:val="0011090C"/>
    <w:rsid w:val="00113706"/>
    <w:rsid w:val="0011494E"/>
    <w:rsid w:val="00116DAD"/>
    <w:rsid w:val="0011703E"/>
    <w:rsid w:val="001177F4"/>
    <w:rsid w:val="00117FA3"/>
    <w:rsid w:val="00121697"/>
    <w:rsid w:val="00121D53"/>
    <w:rsid w:val="001236D7"/>
    <w:rsid w:val="001252E2"/>
    <w:rsid w:val="00127530"/>
    <w:rsid w:val="00134168"/>
    <w:rsid w:val="00135D30"/>
    <w:rsid w:val="001411E8"/>
    <w:rsid w:val="001432AF"/>
    <w:rsid w:val="00144ADD"/>
    <w:rsid w:val="0014511F"/>
    <w:rsid w:val="001457F4"/>
    <w:rsid w:val="00147208"/>
    <w:rsid w:val="001508D4"/>
    <w:rsid w:val="00150922"/>
    <w:rsid w:val="001528DD"/>
    <w:rsid w:val="00153E2B"/>
    <w:rsid w:val="00156610"/>
    <w:rsid w:val="00161DCD"/>
    <w:rsid w:val="00163AE9"/>
    <w:rsid w:val="001649F8"/>
    <w:rsid w:val="00164C1F"/>
    <w:rsid w:val="00165E34"/>
    <w:rsid w:val="001676B9"/>
    <w:rsid w:val="00171DC6"/>
    <w:rsid w:val="00174027"/>
    <w:rsid w:val="0017500D"/>
    <w:rsid w:val="001774DB"/>
    <w:rsid w:val="001828E7"/>
    <w:rsid w:val="00185DB2"/>
    <w:rsid w:val="00185E04"/>
    <w:rsid w:val="001870C7"/>
    <w:rsid w:val="001915A5"/>
    <w:rsid w:val="001917F8"/>
    <w:rsid w:val="0019265C"/>
    <w:rsid w:val="00192867"/>
    <w:rsid w:val="00194F90"/>
    <w:rsid w:val="001950B7"/>
    <w:rsid w:val="00197694"/>
    <w:rsid w:val="00197DAA"/>
    <w:rsid w:val="001A0E54"/>
    <w:rsid w:val="001A64AD"/>
    <w:rsid w:val="001B163E"/>
    <w:rsid w:val="001B2864"/>
    <w:rsid w:val="001B36C2"/>
    <w:rsid w:val="001B3E15"/>
    <w:rsid w:val="001C3592"/>
    <w:rsid w:val="001C6C76"/>
    <w:rsid w:val="001D037B"/>
    <w:rsid w:val="001D10B5"/>
    <w:rsid w:val="001D1142"/>
    <w:rsid w:val="001D767D"/>
    <w:rsid w:val="001E0068"/>
    <w:rsid w:val="001E1A67"/>
    <w:rsid w:val="001E35FA"/>
    <w:rsid w:val="001E5AAB"/>
    <w:rsid w:val="001E739C"/>
    <w:rsid w:val="001E7A06"/>
    <w:rsid w:val="001F34DF"/>
    <w:rsid w:val="001F62A4"/>
    <w:rsid w:val="001F7AC7"/>
    <w:rsid w:val="001F7D9B"/>
    <w:rsid w:val="00200A71"/>
    <w:rsid w:val="00200FA1"/>
    <w:rsid w:val="0020304F"/>
    <w:rsid w:val="002036BA"/>
    <w:rsid w:val="00213829"/>
    <w:rsid w:val="00217523"/>
    <w:rsid w:val="002210F0"/>
    <w:rsid w:val="00222D56"/>
    <w:rsid w:val="002238DD"/>
    <w:rsid w:val="00223B73"/>
    <w:rsid w:val="00225821"/>
    <w:rsid w:val="00230ADB"/>
    <w:rsid w:val="00231E16"/>
    <w:rsid w:val="00232CDC"/>
    <w:rsid w:val="00232F17"/>
    <w:rsid w:val="0023482E"/>
    <w:rsid w:val="00234F0C"/>
    <w:rsid w:val="00235E04"/>
    <w:rsid w:val="002449CD"/>
    <w:rsid w:val="00244D09"/>
    <w:rsid w:val="002462FE"/>
    <w:rsid w:val="002525FA"/>
    <w:rsid w:val="00254180"/>
    <w:rsid w:val="00254B69"/>
    <w:rsid w:val="00255BC5"/>
    <w:rsid w:val="00257E80"/>
    <w:rsid w:val="00261EBB"/>
    <w:rsid w:val="00265730"/>
    <w:rsid w:val="0026741E"/>
    <w:rsid w:val="002701B8"/>
    <w:rsid w:val="002706EB"/>
    <w:rsid w:val="002722B6"/>
    <w:rsid w:val="00275ECA"/>
    <w:rsid w:val="00277BA8"/>
    <w:rsid w:val="002807BC"/>
    <w:rsid w:val="00281369"/>
    <w:rsid w:val="00283C05"/>
    <w:rsid w:val="0028567C"/>
    <w:rsid w:val="00285E61"/>
    <w:rsid w:val="0029254A"/>
    <w:rsid w:val="00293A2F"/>
    <w:rsid w:val="00295489"/>
    <w:rsid w:val="002972EC"/>
    <w:rsid w:val="002A6192"/>
    <w:rsid w:val="002A79A2"/>
    <w:rsid w:val="002B0E6B"/>
    <w:rsid w:val="002B1D8D"/>
    <w:rsid w:val="002B3C57"/>
    <w:rsid w:val="002B4536"/>
    <w:rsid w:val="002B694F"/>
    <w:rsid w:val="002B7694"/>
    <w:rsid w:val="002B7BA5"/>
    <w:rsid w:val="002C07D7"/>
    <w:rsid w:val="002C0E7E"/>
    <w:rsid w:val="002C5ABD"/>
    <w:rsid w:val="002C6571"/>
    <w:rsid w:val="002C7BE2"/>
    <w:rsid w:val="002D19F4"/>
    <w:rsid w:val="002D702D"/>
    <w:rsid w:val="002E2DB5"/>
    <w:rsid w:val="002E49D6"/>
    <w:rsid w:val="002E51E4"/>
    <w:rsid w:val="002E5D62"/>
    <w:rsid w:val="002E74C2"/>
    <w:rsid w:val="002E7EE6"/>
    <w:rsid w:val="002F22C6"/>
    <w:rsid w:val="002F4AA6"/>
    <w:rsid w:val="002F55B9"/>
    <w:rsid w:val="0030072D"/>
    <w:rsid w:val="00300B9A"/>
    <w:rsid w:val="00302130"/>
    <w:rsid w:val="00302887"/>
    <w:rsid w:val="003042D0"/>
    <w:rsid w:val="0030666A"/>
    <w:rsid w:val="0030684B"/>
    <w:rsid w:val="00307B38"/>
    <w:rsid w:val="00307EB7"/>
    <w:rsid w:val="00310A32"/>
    <w:rsid w:val="00311D01"/>
    <w:rsid w:val="003132C1"/>
    <w:rsid w:val="00313DBA"/>
    <w:rsid w:val="00314D10"/>
    <w:rsid w:val="003220A7"/>
    <w:rsid w:val="00325056"/>
    <w:rsid w:val="00325A75"/>
    <w:rsid w:val="003302B9"/>
    <w:rsid w:val="003320D7"/>
    <w:rsid w:val="00332700"/>
    <w:rsid w:val="003328E4"/>
    <w:rsid w:val="003343D8"/>
    <w:rsid w:val="00334FD6"/>
    <w:rsid w:val="00336DBD"/>
    <w:rsid w:val="00340145"/>
    <w:rsid w:val="003407A9"/>
    <w:rsid w:val="00342548"/>
    <w:rsid w:val="00347503"/>
    <w:rsid w:val="00350290"/>
    <w:rsid w:val="0035127C"/>
    <w:rsid w:val="00352AF6"/>
    <w:rsid w:val="00354720"/>
    <w:rsid w:val="00355713"/>
    <w:rsid w:val="0036109C"/>
    <w:rsid w:val="003648C4"/>
    <w:rsid w:val="003650AF"/>
    <w:rsid w:val="003668FA"/>
    <w:rsid w:val="00366CC0"/>
    <w:rsid w:val="00381020"/>
    <w:rsid w:val="00382162"/>
    <w:rsid w:val="0038320A"/>
    <w:rsid w:val="003838D7"/>
    <w:rsid w:val="00383FE7"/>
    <w:rsid w:val="003854CD"/>
    <w:rsid w:val="0038703D"/>
    <w:rsid w:val="00392BB1"/>
    <w:rsid w:val="003A08A2"/>
    <w:rsid w:val="003A59F4"/>
    <w:rsid w:val="003A7254"/>
    <w:rsid w:val="003B05FE"/>
    <w:rsid w:val="003B28CC"/>
    <w:rsid w:val="003B5F34"/>
    <w:rsid w:val="003B61E5"/>
    <w:rsid w:val="003B6333"/>
    <w:rsid w:val="003B6772"/>
    <w:rsid w:val="003B7142"/>
    <w:rsid w:val="003B7C3D"/>
    <w:rsid w:val="003C230B"/>
    <w:rsid w:val="003C3075"/>
    <w:rsid w:val="003C3801"/>
    <w:rsid w:val="003C43CF"/>
    <w:rsid w:val="003C54CA"/>
    <w:rsid w:val="003C72EB"/>
    <w:rsid w:val="003D1A6E"/>
    <w:rsid w:val="003D3660"/>
    <w:rsid w:val="003D3922"/>
    <w:rsid w:val="003D43DA"/>
    <w:rsid w:val="003E0472"/>
    <w:rsid w:val="003E303A"/>
    <w:rsid w:val="003E3A66"/>
    <w:rsid w:val="003E3DC7"/>
    <w:rsid w:val="003E642F"/>
    <w:rsid w:val="003E751C"/>
    <w:rsid w:val="003F1992"/>
    <w:rsid w:val="003F4C58"/>
    <w:rsid w:val="003F5797"/>
    <w:rsid w:val="003F597F"/>
    <w:rsid w:val="003F5C99"/>
    <w:rsid w:val="004039B2"/>
    <w:rsid w:val="00404907"/>
    <w:rsid w:val="004129E5"/>
    <w:rsid w:val="004160A4"/>
    <w:rsid w:val="00423032"/>
    <w:rsid w:val="004267A8"/>
    <w:rsid w:val="00426CAA"/>
    <w:rsid w:val="00441E8C"/>
    <w:rsid w:val="0044392C"/>
    <w:rsid w:val="004450C3"/>
    <w:rsid w:val="00446ECB"/>
    <w:rsid w:val="00453B08"/>
    <w:rsid w:val="004579F7"/>
    <w:rsid w:val="00461378"/>
    <w:rsid w:val="00461C4D"/>
    <w:rsid w:val="0046238F"/>
    <w:rsid w:val="00462F2C"/>
    <w:rsid w:val="004636AE"/>
    <w:rsid w:val="00463E90"/>
    <w:rsid w:val="004678E9"/>
    <w:rsid w:val="004716D9"/>
    <w:rsid w:val="00472A2E"/>
    <w:rsid w:val="004736A4"/>
    <w:rsid w:val="00474E31"/>
    <w:rsid w:val="0047547A"/>
    <w:rsid w:val="0047754B"/>
    <w:rsid w:val="0048058C"/>
    <w:rsid w:val="00480E59"/>
    <w:rsid w:val="00481636"/>
    <w:rsid w:val="004830E4"/>
    <w:rsid w:val="0048318D"/>
    <w:rsid w:val="00483A7E"/>
    <w:rsid w:val="00483ED8"/>
    <w:rsid w:val="00484FBB"/>
    <w:rsid w:val="0048603C"/>
    <w:rsid w:val="004863FF"/>
    <w:rsid w:val="004946D8"/>
    <w:rsid w:val="00494F0D"/>
    <w:rsid w:val="00495133"/>
    <w:rsid w:val="00495813"/>
    <w:rsid w:val="00495E58"/>
    <w:rsid w:val="00496275"/>
    <w:rsid w:val="0049717C"/>
    <w:rsid w:val="004A6AA8"/>
    <w:rsid w:val="004A749A"/>
    <w:rsid w:val="004B16F1"/>
    <w:rsid w:val="004B2E3F"/>
    <w:rsid w:val="004C6939"/>
    <w:rsid w:val="004D70EE"/>
    <w:rsid w:val="004D76A2"/>
    <w:rsid w:val="004E0162"/>
    <w:rsid w:val="004E1272"/>
    <w:rsid w:val="004E6327"/>
    <w:rsid w:val="004E636D"/>
    <w:rsid w:val="004F1565"/>
    <w:rsid w:val="004F2F44"/>
    <w:rsid w:val="004F3E69"/>
    <w:rsid w:val="004F47DA"/>
    <w:rsid w:val="004F6DA7"/>
    <w:rsid w:val="004F705D"/>
    <w:rsid w:val="00500781"/>
    <w:rsid w:val="00500C35"/>
    <w:rsid w:val="005026E7"/>
    <w:rsid w:val="00507C18"/>
    <w:rsid w:val="00510A3B"/>
    <w:rsid w:val="0051107B"/>
    <w:rsid w:val="005115D5"/>
    <w:rsid w:val="00511D91"/>
    <w:rsid w:val="00512418"/>
    <w:rsid w:val="00513A84"/>
    <w:rsid w:val="00516A9B"/>
    <w:rsid w:val="0051764E"/>
    <w:rsid w:val="005204E0"/>
    <w:rsid w:val="005360DD"/>
    <w:rsid w:val="0054098C"/>
    <w:rsid w:val="0054105D"/>
    <w:rsid w:val="005445AB"/>
    <w:rsid w:val="00545401"/>
    <w:rsid w:val="00545972"/>
    <w:rsid w:val="00546EA0"/>
    <w:rsid w:val="005508B1"/>
    <w:rsid w:val="00550BD0"/>
    <w:rsid w:val="005525AA"/>
    <w:rsid w:val="005529E7"/>
    <w:rsid w:val="00552E2D"/>
    <w:rsid w:val="00553D6F"/>
    <w:rsid w:val="00557B0B"/>
    <w:rsid w:val="00565CF8"/>
    <w:rsid w:val="00571628"/>
    <w:rsid w:val="00572B73"/>
    <w:rsid w:val="00582058"/>
    <w:rsid w:val="00583C06"/>
    <w:rsid w:val="00585F6B"/>
    <w:rsid w:val="00586745"/>
    <w:rsid w:val="00587A9A"/>
    <w:rsid w:val="005902BD"/>
    <w:rsid w:val="005908D3"/>
    <w:rsid w:val="00591745"/>
    <w:rsid w:val="00593AC8"/>
    <w:rsid w:val="005950AC"/>
    <w:rsid w:val="005973EB"/>
    <w:rsid w:val="005973EE"/>
    <w:rsid w:val="005A0BE8"/>
    <w:rsid w:val="005A1A0E"/>
    <w:rsid w:val="005A3DD5"/>
    <w:rsid w:val="005A5576"/>
    <w:rsid w:val="005B1667"/>
    <w:rsid w:val="005B2879"/>
    <w:rsid w:val="005B4D12"/>
    <w:rsid w:val="005B64CD"/>
    <w:rsid w:val="005B6C78"/>
    <w:rsid w:val="005B6CBE"/>
    <w:rsid w:val="005B6CE9"/>
    <w:rsid w:val="005C30D2"/>
    <w:rsid w:val="005C33E9"/>
    <w:rsid w:val="005D0856"/>
    <w:rsid w:val="005D0F2F"/>
    <w:rsid w:val="005D44D0"/>
    <w:rsid w:val="005D6E32"/>
    <w:rsid w:val="005E0223"/>
    <w:rsid w:val="005E0368"/>
    <w:rsid w:val="005E06AE"/>
    <w:rsid w:val="005E2CBC"/>
    <w:rsid w:val="005E339C"/>
    <w:rsid w:val="005E6860"/>
    <w:rsid w:val="005F3605"/>
    <w:rsid w:val="0060261C"/>
    <w:rsid w:val="006044EB"/>
    <w:rsid w:val="00605D8A"/>
    <w:rsid w:val="00612C73"/>
    <w:rsid w:val="0061305B"/>
    <w:rsid w:val="00614EC0"/>
    <w:rsid w:val="00616954"/>
    <w:rsid w:val="006169D1"/>
    <w:rsid w:val="00616A12"/>
    <w:rsid w:val="006170F2"/>
    <w:rsid w:val="006174A1"/>
    <w:rsid w:val="006174DB"/>
    <w:rsid w:val="006221DB"/>
    <w:rsid w:val="006246D5"/>
    <w:rsid w:val="00624C6E"/>
    <w:rsid w:val="00625203"/>
    <w:rsid w:val="00625A66"/>
    <w:rsid w:val="00625E0D"/>
    <w:rsid w:val="00626A21"/>
    <w:rsid w:val="0062719C"/>
    <w:rsid w:val="00627207"/>
    <w:rsid w:val="00632AB9"/>
    <w:rsid w:val="00633DD3"/>
    <w:rsid w:val="006369E1"/>
    <w:rsid w:val="00637FE7"/>
    <w:rsid w:val="00640165"/>
    <w:rsid w:val="00643B5F"/>
    <w:rsid w:val="00646007"/>
    <w:rsid w:val="00652E2E"/>
    <w:rsid w:val="00652FE8"/>
    <w:rsid w:val="0065470C"/>
    <w:rsid w:val="00654751"/>
    <w:rsid w:val="00655EC2"/>
    <w:rsid w:val="00656B22"/>
    <w:rsid w:val="0066169A"/>
    <w:rsid w:val="006633FF"/>
    <w:rsid w:val="00665952"/>
    <w:rsid w:val="006704E2"/>
    <w:rsid w:val="00670C8E"/>
    <w:rsid w:val="00672546"/>
    <w:rsid w:val="006779B9"/>
    <w:rsid w:val="00677C60"/>
    <w:rsid w:val="0068163F"/>
    <w:rsid w:val="00683892"/>
    <w:rsid w:val="00683919"/>
    <w:rsid w:val="00683D97"/>
    <w:rsid w:val="00684CCE"/>
    <w:rsid w:val="00685EDD"/>
    <w:rsid w:val="0068601D"/>
    <w:rsid w:val="0069350C"/>
    <w:rsid w:val="00695D48"/>
    <w:rsid w:val="00697A15"/>
    <w:rsid w:val="006A01DE"/>
    <w:rsid w:val="006A0D61"/>
    <w:rsid w:val="006A3AE1"/>
    <w:rsid w:val="006B185B"/>
    <w:rsid w:val="006B2224"/>
    <w:rsid w:val="006B318E"/>
    <w:rsid w:val="006B3F09"/>
    <w:rsid w:val="006B4C46"/>
    <w:rsid w:val="006C04E5"/>
    <w:rsid w:val="006C084B"/>
    <w:rsid w:val="006C0EB1"/>
    <w:rsid w:val="006C203D"/>
    <w:rsid w:val="006C2E0C"/>
    <w:rsid w:val="006C7455"/>
    <w:rsid w:val="006D05FB"/>
    <w:rsid w:val="006D5465"/>
    <w:rsid w:val="006D5A44"/>
    <w:rsid w:val="006E42BB"/>
    <w:rsid w:val="006E4680"/>
    <w:rsid w:val="006F03DE"/>
    <w:rsid w:val="006F47C5"/>
    <w:rsid w:val="006F73BD"/>
    <w:rsid w:val="00701B8A"/>
    <w:rsid w:val="00703BEB"/>
    <w:rsid w:val="0070572C"/>
    <w:rsid w:val="00715E57"/>
    <w:rsid w:val="0072070B"/>
    <w:rsid w:val="00720EFB"/>
    <w:rsid w:val="007226DE"/>
    <w:rsid w:val="0072387B"/>
    <w:rsid w:val="00724C3C"/>
    <w:rsid w:val="007260DE"/>
    <w:rsid w:val="00730913"/>
    <w:rsid w:val="00731955"/>
    <w:rsid w:val="00731D97"/>
    <w:rsid w:val="00732D35"/>
    <w:rsid w:val="00734F0E"/>
    <w:rsid w:val="007363BC"/>
    <w:rsid w:val="00740941"/>
    <w:rsid w:val="0074377C"/>
    <w:rsid w:val="00743F41"/>
    <w:rsid w:val="00744170"/>
    <w:rsid w:val="007467A6"/>
    <w:rsid w:val="00747127"/>
    <w:rsid w:val="00751345"/>
    <w:rsid w:val="00753B72"/>
    <w:rsid w:val="007562F9"/>
    <w:rsid w:val="00757C60"/>
    <w:rsid w:val="007609F1"/>
    <w:rsid w:val="00771741"/>
    <w:rsid w:val="00772778"/>
    <w:rsid w:val="00776AB1"/>
    <w:rsid w:val="00777D4F"/>
    <w:rsid w:val="00780D83"/>
    <w:rsid w:val="007839E8"/>
    <w:rsid w:val="007863EB"/>
    <w:rsid w:val="0079162B"/>
    <w:rsid w:val="00794AB7"/>
    <w:rsid w:val="007975BF"/>
    <w:rsid w:val="007A0AE2"/>
    <w:rsid w:val="007A23A0"/>
    <w:rsid w:val="007A35A5"/>
    <w:rsid w:val="007A6441"/>
    <w:rsid w:val="007B1A50"/>
    <w:rsid w:val="007B271E"/>
    <w:rsid w:val="007B3E66"/>
    <w:rsid w:val="007C1A37"/>
    <w:rsid w:val="007C6BC1"/>
    <w:rsid w:val="007D0399"/>
    <w:rsid w:val="007D1671"/>
    <w:rsid w:val="007D3720"/>
    <w:rsid w:val="007D6F3F"/>
    <w:rsid w:val="007D7390"/>
    <w:rsid w:val="007E2F52"/>
    <w:rsid w:val="007E59F0"/>
    <w:rsid w:val="007E5FA5"/>
    <w:rsid w:val="007E6D34"/>
    <w:rsid w:val="007F1B9C"/>
    <w:rsid w:val="007F454D"/>
    <w:rsid w:val="007F551E"/>
    <w:rsid w:val="00802A9D"/>
    <w:rsid w:val="00804527"/>
    <w:rsid w:val="0080706B"/>
    <w:rsid w:val="00812179"/>
    <w:rsid w:val="00814B12"/>
    <w:rsid w:val="00815838"/>
    <w:rsid w:val="008160DF"/>
    <w:rsid w:val="00817E6C"/>
    <w:rsid w:val="00823204"/>
    <w:rsid w:val="0082379B"/>
    <w:rsid w:val="00830FDA"/>
    <w:rsid w:val="00832950"/>
    <w:rsid w:val="00833C55"/>
    <w:rsid w:val="00834921"/>
    <w:rsid w:val="00835FC8"/>
    <w:rsid w:val="00836375"/>
    <w:rsid w:val="0083765B"/>
    <w:rsid w:val="008405C8"/>
    <w:rsid w:val="00840E7B"/>
    <w:rsid w:val="008415A7"/>
    <w:rsid w:val="00841F08"/>
    <w:rsid w:val="00844922"/>
    <w:rsid w:val="008464BC"/>
    <w:rsid w:val="00847396"/>
    <w:rsid w:val="00847842"/>
    <w:rsid w:val="008522BE"/>
    <w:rsid w:val="008538C3"/>
    <w:rsid w:val="00856380"/>
    <w:rsid w:val="0086282F"/>
    <w:rsid w:val="00863910"/>
    <w:rsid w:val="008665EA"/>
    <w:rsid w:val="0087127B"/>
    <w:rsid w:val="00871B56"/>
    <w:rsid w:val="00872962"/>
    <w:rsid w:val="00872C63"/>
    <w:rsid w:val="00874971"/>
    <w:rsid w:val="00874984"/>
    <w:rsid w:val="00875776"/>
    <w:rsid w:val="00877E5B"/>
    <w:rsid w:val="00880629"/>
    <w:rsid w:val="00882F5E"/>
    <w:rsid w:val="00890197"/>
    <w:rsid w:val="008903F6"/>
    <w:rsid w:val="00891118"/>
    <w:rsid w:val="008923E5"/>
    <w:rsid w:val="00897286"/>
    <w:rsid w:val="00897480"/>
    <w:rsid w:val="008A6BB9"/>
    <w:rsid w:val="008B14AD"/>
    <w:rsid w:val="008B3461"/>
    <w:rsid w:val="008B48F2"/>
    <w:rsid w:val="008B4D89"/>
    <w:rsid w:val="008B5069"/>
    <w:rsid w:val="008B5684"/>
    <w:rsid w:val="008B56B4"/>
    <w:rsid w:val="008C20AB"/>
    <w:rsid w:val="008D1D13"/>
    <w:rsid w:val="008D649C"/>
    <w:rsid w:val="008D6E1D"/>
    <w:rsid w:val="008D7542"/>
    <w:rsid w:val="008E1CAC"/>
    <w:rsid w:val="008E2EF3"/>
    <w:rsid w:val="008E4342"/>
    <w:rsid w:val="008E5717"/>
    <w:rsid w:val="008E5AA4"/>
    <w:rsid w:val="008E7B91"/>
    <w:rsid w:val="008F2007"/>
    <w:rsid w:val="008F342D"/>
    <w:rsid w:val="008F513C"/>
    <w:rsid w:val="008F610D"/>
    <w:rsid w:val="008F6A07"/>
    <w:rsid w:val="00900017"/>
    <w:rsid w:val="0090272C"/>
    <w:rsid w:val="00903080"/>
    <w:rsid w:val="00903B89"/>
    <w:rsid w:val="009046D4"/>
    <w:rsid w:val="0090505F"/>
    <w:rsid w:val="00906A06"/>
    <w:rsid w:val="009075E5"/>
    <w:rsid w:val="00907985"/>
    <w:rsid w:val="00912325"/>
    <w:rsid w:val="00913EDD"/>
    <w:rsid w:val="009175D2"/>
    <w:rsid w:val="00917CD8"/>
    <w:rsid w:val="00923028"/>
    <w:rsid w:val="0092339E"/>
    <w:rsid w:val="00925307"/>
    <w:rsid w:val="00927BD1"/>
    <w:rsid w:val="00932E01"/>
    <w:rsid w:val="009333B8"/>
    <w:rsid w:val="0093643E"/>
    <w:rsid w:val="009367E3"/>
    <w:rsid w:val="00941109"/>
    <w:rsid w:val="00942492"/>
    <w:rsid w:val="00942784"/>
    <w:rsid w:val="00944DA1"/>
    <w:rsid w:val="0095601F"/>
    <w:rsid w:val="00957345"/>
    <w:rsid w:val="00963491"/>
    <w:rsid w:val="0096496C"/>
    <w:rsid w:val="00970FB8"/>
    <w:rsid w:val="00974D2E"/>
    <w:rsid w:val="009759CF"/>
    <w:rsid w:val="009773A3"/>
    <w:rsid w:val="00977ED5"/>
    <w:rsid w:val="00987C61"/>
    <w:rsid w:val="00987D6F"/>
    <w:rsid w:val="00987F04"/>
    <w:rsid w:val="00992281"/>
    <w:rsid w:val="00992E9F"/>
    <w:rsid w:val="0099648F"/>
    <w:rsid w:val="00996904"/>
    <w:rsid w:val="009A0372"/>
    <w:rsid w:val="009A65C0"/>
    <w:rsid w:val="009A74FA"/>
    <w:rsid w:val="009B25C6"/>
    <w:rsid w:val="009B3402"/>
    <w:rsid w:val="009B4098"/>
    <w:rsid w:val="009B43C8"/>
    <w:rsid w:val="009B47A3"/>
    <w:rsid w:val="009B5F4D"/>
    <w:rsid w:val="009C0CEE"/>
    <w:rsid w:val="009D07A5"/>
    <w:rsid w:val="009D3F16"/>
    <w:rsid w:val="009D422C"/>
    <w:rsid w:val="009D449A"/>
    <w:rsid w:val="009D671E"/>
    <w:rsid w:val="009D6820"/>
    <w:rsid w:val="009E1B25"/>
    <w:rsid w:val="009E3059"/>
    <w:rsid w:val="009E3DEE"/>
    <w:rsid w:val="009E5118"/>
    <w:rsid w:val="009F223B"/>
    <w:rsid w:val="009F36BB"/>
    <w:rsid w:val="009F4021"/>
    <w:rsid w:val="009F4CAF"/>
    <w:rsid w:val="009F4CDC"/>
    <w:rsid w:val="009F62CC"/>
    <w:rsid w:val="00A0048A"/>
    <w:rsid w:val="00A03B92"/>
    <w:rsid w:val="00A0488A"/>
    <w:rsid w:val="00A0627E"/>
    <w:rsid w:val="00A13001"/>
    <w:rsid w:val="00A16DC1"/>
    <w:rsid w:val="00A33D62"/>
    <w:rsid w:val="00A34580"/>
    <w:rsid w:val="00A34849"/>
    <w:rsid w:val="00A36F1D"/>
    <w:rsid w:val="00A41B3A"/>
    <w:rsid w:val="00A43AD4"/>
    <w:rsid w:val="00A45D9F"/>
    <w:rsid w:val="00A46B12"/>
    <w:rsid w:val="00A54039"/>
    <w:rsid w:val="00A60DCF"/>
    <w:rsid w:val="00A61AEC"/>
    <w:rsid w:val="00A62B0F"/>
    <w:rsid w:val="00A64B23"/>
    <w:rsid w:val="00A66053"/>
    <w:rsid w:val="00A712CA"/>
    <w:rsid w:val="00A73F6D"/>
    <w:rsid w:val="00A7575A"/>
    <w:rsid w:val="00A76170"/>
    <w:rsid w:val="00A76E43"/>
    <w:rsid w:val="00A80697"/>
    <w:rsid w:val="00A80F1D"/>
    <w:rsid w:val="00A81170"/>
    <w:rsid w:val="00A821F5"/>
    <w:rsid w:val="00A9104B"/>
    <w:rsid w:val="00A9350C"/>
    <w:rsid w:val="00A93A67"/>
    <w:rsid w:val="00A94601"/>
    <w:rsid w:val="00A94D64"/>
    <w:rsid w:val="00AA2D9E"/>
    <w:rsid w:val="00AA4191"/>
    <w:rsid w:val="00AA4CDA"/>
    <w:rsid w:val="00AA4F11"/>
    <w:rsid w:val="00AB0576"/>
    <w:rsid w:val="00AB5B68"/>
    <w:rsid w:val="00AB669B"/>
    <w:rsid w:val="00AC1FB2"/>
    <w:rsid w:val="00AC3CDF"/>
    <w:rsid w:val="00AC408A"/>
    <w:rsid w:val="00AC7096"/>
    <w:rsid w:val="00AC7AEB"/>
    <w:rsid w:val="00AD13F4"/>
    <w:rsid w:val="00AD21C2"/>
    <w:rsid w:val="00AD2CC1"/>
    <w:rsid w:val="00AD2EF1"/>
    <w:rsid w:val="00AD3667"/>
    <w:rsid w:val="00AD5D70"/>
    <w:rsid w:val="00AD7444"/>
    <w:rsid w:val="00AE1A37"/>
    <w:rsid w:val="00AE48BD"/>
    <w:rsid w:val="00AE48E0"/>
    <w:rsid w:val="00AE7263"/>
    <w:rsid w:val="00AF0122"/>
    <w:rsid w:val="00AF2FFD"/>
    <w:rsid w:val="00AF3054"/>
    <w:rsid w:val="00AF4A83"/>
    <w:rsid w:val="00AF54DB"/>
    <w:rsid w:val="00AF621A"/>
    <w:rsid w:val="00AF68E5"/>
    <w:rsid w:val="00B00B0D"/>
    <w:rsid w:val="00B04AA3"/>
    <w:rsid w:val="00B0528A"/>
    <w:rsid w:val="00B10479"/>
    <w:rsid w:val="00B10ECA"/>
    <w:rsid w:val="00B11DAB"/>
    <w:rsid w:val="00B141D3"/>
    <w:rsid w:val="00B22FA5"/>
    <w:rsid w:val="00B24788"/>
    <w:rsid w:val="00B2609F"/>
    <w:rsid w:val="00B26956"/>
    <w:rsid w:val="00B338AC"/>
    <w:rsid w:val="00B34D6E"/>
    <w:rsid w:val="00B35C86"/>
    <w:rsid w:val="00B366E7"/>
    <w:rsid w:val="00B36734"/>
    <w:rsid w:val="00B37B7A"/>
    <w:rsid w:val="00B404AE"/>
    <w:rsid w:val="00B41B71"/>
    <w:rsid w:val="00B42C78"/>
    <w:rsid w:val="00B4385F"/>
    <w:rsid w:val="00B4479B"/>
    <w:rsid w:val="00B4488E"/>
    <w:rsid w:val="00B44D27"/>
    <w:rsid w:val="00B46F9D"/>
    <w:rsid w:val="00B513BE"/>
    <w:rsid w:val="00B55626"/>
    <w:rsid w:val="00B63771"/>
    <w:rsid w:val="00B64189"/>
    <w:rsid w:val="00B6558E"/>
    <w:rsid w:val="00B75836"/>
    <w:rsid w:val="00B761E8"/>
    <w:rsid w:val="00B77326"/>
    <w:rsid w:val="00B8427F"/>
    <w:rsid w:val="00B845F5"/>
    <w:rsid w:val="00B84E01"/>
    <w:rsid w:val="00B8545E"/>
    <w:rsid w:val="00B92827"/>
    <w:rsid w:val="00B92D44"/>
    <w:rsid w:val="00B96816"/>
    <w:rsid w:val="00B972D6"/>
    <w:rsid w:val="00BA76BE"/>
    <w:rsid w:val="00BB1D98"/>
    <w:rsid w:val="00BB1DBA"/>
    <w:rsid w:val="00BB349F"/>
    <w:rsid w:val="00BB437D"/>
    <w:rsid w:val="00BB4AF7"/>
    <w:rsid w:val="00BB7582"/>
    <w:rsid w:val="00BC2D72"/>
    <w:rsid w:val="00BC4756"/>
    <w:rsid w:val="00BD150A"/>
    <w:rsid w:val="00BD7676"/>
    <w:rsid w:val="00BE4A93"/>
    <w:rsid w:val="00BE688B"/>
    <w:rsid w:val="00BE6EB2"/>
    <w:rsid w:val="00BE79F6"/>
    <w:rsid w:val="00BF15E6"/>
    <w:rsid w:val="00BF16C6"/>
    <w:rsid w:val="00BF6593"/>
    <w:rsid w:val="00BF7B4B"/>
    <w:rsid w:val="00C036DC"/>
    <w:rsid w:val="00C0482F"/>
    <w:rsid w:val="00C057DA"/>
    <w:rsid w:val="00C06E89"/>
    <w:rsid w:val="00C11D53"/>
    <w:rsid w:val="00C12962"/>
    <w:rsid w:val="00C169BC"/>
    <w:rsid w:val="00C20BB7"/>
    <w:rsid w:val="00C224E9"/>
    <w:rsid w:val="00C23C81"/>
    <w:rsid w:val="00C24305"/>
    <w:rsid w:val="00C263EC"/>
    <w:rsid w:val="00C269CF"/>
    <w:rsid w:val="00C3328D"/>
    <w:rsid w:val="00C33AA7"/>
    <w:rsid w:val="00C33C86"/>
    <w:rsid w:val="00C423B9"/>
    <w:rsid w:val="00C42B70"/>
    <w:rsid w:val="00C42E88"/>
    <w:rsid w:val="00C435E1"/>
    <w:rsid w:val="00C47E52"/>
    <w:rsid w:val="00C53A3A"/>
    <w:rsid w:val="00C64699"/>
    <w:rsid w:val="00C64FE7"/>
    <w:rsid w:val="00C65B32"/>
    <w:rsid w:val="00C71F94"/>
    <w:rsid w:val="00C73F9C"/>
    <w:rsid w:val="00C74C4C"/>
    <w:rsid w:val="00C75AAA"/>
    <w:rsid w:val="00C772FF"/>
    <w:rsid w:val="00C82962"/>
    <w:rsid w:val="00C8541D"/>
    <w:rsid w:val="00C8647F"/>
    <w:rsid w:val="00C94177"/>
    <w:rsid w:val="00CA0C66"/>
    <w:rsid w:val="00CA0ECF"/>
    <w:rsid w:val="00CA3AD8"/>
    <w:rsid w:val="00CA43BA"/>
    <w:rsid w:val="00CA5B68"/>
    <w:rsid w:val="00CB223E"/>
    <w:rsid w:val="00CB5BF1"/>
    <w:rsid w:val="00CB5EB6"/>
    <w:rsid w:val="00CB637D"/>
    <w:rsid w:val="00CB73B4"/>
    <w:rsid w:val="00CB75DA"/>
    <w:rsid w:val="00CC18E7"/>
    <w:rsid w:val="00CC2DC9"/>
    <w:rsid w:val="00CC2EF0"/>
    <w:rsid w:val="00CC409A"/>
    <w:rsid w:val="00CC6F4A"/>
    <w:rsid w:val="00CC7334"/>
    <w:rsid w:val="00CD0725"/>
    <w:rsid w:val="00CD0E98"/>
    <w:rsid w:val="00CD7384"/>
    <w:rsid w:val="00CD772A"/>
    <w:rsid w:val="00CE03BC"/>
    <w:rsid w:val="00CE1076"/>
    <w:rsid w:val="00CE1811"/>
    <w:rsid w:val="00CE19C7"/>
    <w:rsid w:val="00CE3EF5"/>
    <w:rsid w:val="00CE45ED"/>
    <w:rsid w:val="00CE57A1"/>
    <w:rsid w:val="00CF01C4"/>
    <w:rsid w:val="00CF0E64"/>
    <w:rsid w:val="00CF1E9C"/>
    <w:rsid w:val="00CF2305"/>
    <w:rsid w:val="00D04217"/>
    <w:rsid w:val="00D05CD6"/>
    <w:rsid w:val="00D0627F"/>
    <w:rsid w:val="00D0671C"/>
    <w:rsid w:val="00D11AC6"/>
    <w:rsid w:val="00D16ACC"/>
    <w:rsid w:val="00D179FF"/>
    <w:rsid w:val="00D17F0A"/>
    <w:rsid w:val="00D204F4"/>
    <w:rsid w:val="00D222F7"/>
    <w:rsid w:val="00D27504"/>
    <w:rsid w:val="00D32F8A"/>
    <w:rsid w:val="00D345B4"/>
    <w:rsid w:val="00D348B7"/>
    <w:rsid w:val="00D351BA"/>
    <w:rsid w:val="00D36CBD"/>
    <w:rsid w:val="00D36D04"/>
    <w:rsid w:val="00D44F9C"/>
    <w:rsid w:val="00D466ED"/>
    <w:rsid w:val="00D47982"/>
    <w:rsid w:val="00D552E7"/>
    <w:rsid w:val="00D558A0"/>
    <w:rsid w:val="00D56539"/>
    <w:rsid w:val="00D60815"/>
    <w:rsid w:val="00D60BA4"/>
    <w:rsid w:val="00D619F9"/>
    <w:rsid w:val="00D62757"/>
    <w:rsid w:val="00D629C8"/>
    <w:rsid w:val="00D62A2C"/>
    <w:rsid w:val="00D63CA0"/>
    <w:rsid w:val="00D64A48"/>
    <w:rsid w:val="00D650F2"/>
    <w:rsid w:val="00D661BE"/>
    <w:rsid w:val="00D709BF"/>
    <w:rsid w:val="00D82402"/>
    <w:rsid w:val="00D824AD"/>
    <w:rsid w:val="00D84519"/>
    <w:rsid w:val="00D857E7"/>
    <w:rsid w:val="00D86D10"/>
    <w:rsid w:val="00D92115"/>
    <w:rsid w:val="00D92426"/>
    <w:rsid w:val="00D939EA"/>
    <w:rsid w:val="00D95C0C"/>
    <w:rsid w:val="00D96340"/>
    <w:rsid w:val="00D96D28"/>
    <w:rsid w:val="00DA0825"/>
    <w:rsid w:val="00DA2BE6"/>
    <w:rsid w:val="00DA40B3"/>
    <w:rsid w:val="00DA47AC"/>
    <w:rsid w:val="00DA768A"/>
    <w:rsid w:val="00DB055F"/>
    <w:rsid w:val="00DB28C0"/>
    <w:rsid w:val="00DB4899"/>
    <w:rsid w:val="00DB4A65"/>
    <w:rsid w:val="00DB6EB3"/>
    <w:rsid w:val="00DC002F"/>
    <w:rsid w:val="00DC2310"/>
    <w:rsid w:val="00DC2471"/>
    <w:rsid w:val="00DC27E9"/>
    <w:rsid w:val="00DC3325"/>
    <w:rsid w:val="00DC6056"/>
    <w:rsid w:val="00DC624B"/>
    <w:rsid w:val="00DD05A6"/>
    <w:rsid w:val="00DD0D02"/>
    <w:rsid w:val="00DD470F"/>
    <w:rsid w:val="00DD4E8D"/>
    <w:rsid w:val="00DD617B"/>
    <w:rsid w:val="00DE04AE"/>
    <w:rsid w:val="00DE1294"/>
    <w:rsid w:val="00DE1FC1"/>
    <w:rsid w:val="00DE3D31"/>
    <w:rsid w:val="00DE5A17"/>
    <w:rsid w:val="00DE72A2"/>
    <w:rsid w:val="00DF0587"/>
    <w:rsid w:val="00DF1C32"/>
    <w:rsid w:val="00DF228F"/>
    <w:rsid w:val="00DF4168"/>
    <w:rsid w:val="00DF795E"/>
    <w:rsid w:val="00E02AAD"/>
    <w:rsid w:val="00E03DB5"/>
    <w:rsid w:val="00E04076"/>
    <w:rsid w:val="00E064C1"/>
    <w:rsid w:val="00E11D96"/>
    <w:rsid w:val="00E1725D"/>
    <w:rsid w:val="00E215EB"/>
    <w:rsid w:val="00E21F7F"/>
    <w:rsid w:val="00E21FFE"/>
    <w:rsid w:val="00E22779"/>
    <w:rsid w:val="00E22CEC"/>
    <w:rsid w:val="00E23B40"/>
    <w:rsid w:val="00E317EF"/>
    <w:rsid w:val="00E327CB"/>
    <w:rsid w:val="00E34A56"/>
    <w:rsid w:val="00E37B95"/>
    <w:rsid w:val="00E41B7F"/>
    <w:rsid w:val="00E42051"/>
    <w:rsid w:val="00E437A4"/>
    <w:rsid w:val="00E46122"/>
    <w:rsid w:val="00E50972"/>
    <w:rsid w:val="00E52F77"/>
    <w:rsid w:val="00E53BED"/>
    <w:rsid w:val="00E5746F"/>
    <w:rsid w:val="00E60547"/>
    <w:rsid w:val="00E618C3"/>
    <w:rsid w:val="00E62937"/>
    <w:rsid w:val="00E73130"/>
    <w:rsid w:val="00E73139"/>
    <w:rsid w:val="00E73558"/>
    <w:rsid w:val="00E75251"/>
    <w:rsid w:val="00E81998"/>
    <w:rsid w:val="00E86A5E"/>
    <w:rsid w:val="00E92667"/>
    <w:rsid w:val="00E931EE"/>
    <w:rsid w:val="00E94F4A"/>
    <w:rsid w:val="00E95477"/>
    <w:rsid w:val="00EA0118"/>
    <w:rsid w:val="00EA384F"/>
    <w:rsid w:val="00EA48BB"/>
    <w:rsid w:val="00EA4DC9"/>
    <w:rsid w:val="00EB16F7"/>
    <w:rsid w:val="00EB21E2"/>
    <w:rsid w:val="00EB2FED"/>
    <w:rsid w:val="00EB3106"/>
    <w:rsid w:val="00EB7724"/>
    <w:rsid w:val="00EB79EE"/>
    <w:rsid w:val="00EC04E7"/>
    <w:rsid w:val="00EC3C99"/>
    <w:rsid w:val="00EC422C"/>
    <w:rsid w:val="00EC5838"/>
    <w:rsid w:val="00ED1D2F"/>
    <w:rsid w:val="00ED2A85"/>
    <w:rsid w:val="00ED2CB5"/>
    <w:rsid w:val="00ED2FB5"/>
    <w:rsid w:val="00ED4CDE"/>
    <w:rsid w:val="00ED55B8"/>
    <w:rsid w:val="00ED6789"/>
    <w:rsid w:val="00EE0F1D"/>
    <w:rsid w:val="00EE13B9"/>
    <w:rsid w:val="00EE1FFE"/>
    <w:rsid w:val="00EE30FC"/>
    <w:rsid w:val="00EE3ED2"/>
    <w:rsid w:val="00EE52BA"/>
    <w:rsid w:val="00EE54CF"/>
    <w:rsid w:val="00EE577E"/>
    <w:rsid w:val="00EE5D22"/>
    <w:rsid w:val="00EE7230"/>
    <w:rsid w:val="00EE77DB"/>
    <w:rsid w:val="00EF0C9C"/>
    <w:rsid w:val="00EF6DB3"/>
    <w:rsid w:val="00EF75A1"/>
    <w:rsid w:val="00F014D8"/>
    <w:rsid w:val="00F01EC1"/>
    <w:rsid w:val="00F03793"/>
    <w:rsid w:val="00F04772"/>
    <w:rsid w:val="00F04859"/>
    <w:rsid w:val="00F063FA"/>
    <w:rsid w:val="00F06830"/>
    <w:rsid w:val="00F11982"/>
    <w:rsid w:val="00F1268B"/>
    <w:rsid w:val="00F14FEF"/>
    <w:rsid w:val="00F15339"/>
    <w:rsid w:val="00F15524"/>
    <w:rsid w:val="00F20207"/>
    <w:rsid w:val="00F210C0"/>
    <w:rsid w:val="00F23A40"/>
    <w:rsid w:val="00F25868"/>
    <w:rsid w:val="00F2597B"/>
    <w:rsid w:val="00F33C04"/>
    <w:rsid w:val="00F33FDA"/>
    <w:rsid w:val="00F35320"/>
    <w:rsid w:val="00F40AF4"/>
    <w:rsid w:val="00F410D6"/>
    <w:rsid w:val="00F42D84"/>
    <w:rsid w:val="00F43204"/>
    <w:rsid w:val="00F43AB2"/>
    <w:rsid w:val="00F454EA"/>
    <w:rsid w:val="00F473EB"/>
    <w:rsid w:val="00F5079F"/>
    <w:rsid w:val="00F55D2F"/>
    <w:rsid w:val="00F63AED"/>
    <w:rsid w:val="00F67E31"/>
    <w:rsid w:val="00F70473"/>
    <w:rsid w:val="00F7331E"/>
    <w:rsid w:val="00F74BFD"/>
    <w:rsid w:val="00F8232A"/>
    <w:rsid w:val="00F8603C"/>
    <w:rsid w:val="00F94464"/>
    <w:rsid w:val="00F96C25"/>
    <w:rsid w:val="00F96F4A"/>
    <w:rsid w:val="00F97C1D"/>
    <w:rsid w:val="00FA074F"/>
    <w:rsid w:val="00FA0B32"/>
    <w:rsid w:val="00FA218A"/>
    <w:rsid w:val="00FA4040"/>
    <w:rsid w:val="00FA5445"/>
    <w:rsid w:val="00FB250C"/>
    <w:rsid w:val="00FB57C7"/>
    <w:rsid w:val="00FB71B0"/>
    <w:rsid w:val="00FC309A"/>
    <w:rsid w:val="00FC703D"/>
    <w:rsid w:val="00FC7C9D"/>
    <w:rsid w:val="00FD131B"/>
    <w:rsid w:val="00FD1BE9"/>
    <w:rsid w:val="00FD319A"/>
    <w:rsid w:val="00FD41C7"/>
    <w:rsid w:val="00FD5928"/>
    <w:rsid w:val="00FD7BF0"/>
    <w:rsid w:val="00FE07FD"/>
    <w:rsid w:val="00FE299D"/>
    <w:rsid w:val="00FE3635"/>
    <w:rsid w:val="00FE381C"/>
    <w:rsid w:val="00FE4E24"/>
    <w:rsid w:val="00FE5542"/>
    <w:rsid w:val="00FE68B8"/>
    <w:rsid w:val="00FF6529"/>
    <w:rsid w:val="00FF69A9"/>
    <w:rsid w:val="00FF70A0"/>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2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u w:val="single"/>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outlineLvl w:val="1"/>
    </w:pPr>
    <w:rPr>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outlineLvl w:val="2"/>
    </w:pPr>
    <w:rPr>
      <w:u w:val="single"/>
    </w:rPr>
  </w:style>
  <w:style w:type="paragraph" w:styleId="Heading4">
    <w:name w:val="heading 4"/>
    <w:basedOn w:val="Normal"/>
    <w:next w:val="Normal"/>
    <w:qFormat/>
    <w:rsid w:val="00A16D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1440" w:hanging="720"/>
      <w:outlineLvl w:val="0"/>
    </w:pPr>
  </w:style>
  <w:style w:type="paragraph" w:customStyle="1" w:styleId="a">
    <w:name w:val="_"/>
    <w:basedOn w:val="Normal"/>
    <w:pPr>
      <w:ind w:left="1440" w:righ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uto"/>
      <w:ind w:firstLine="720"/>
    </w:pPr>
  </w:style>
  <w:style w:type="paragraph" w:styleId="BodyTextIndent2">
    <w:name w:val="Body Text Indent 2"/>
    <w:basedOn w:val="Normal"/>
    <w:pPr>
      <w:spacing w:line="480" w:lineRule="auto"/>
      <w:ind w:firstLine="720"/>
      <w:jc w:val="both"/>
    </w:pPr>
  </w:style>
  <w:style w:type="character" w:styleId="PageNumber">
    <w:name w:val="page number"/>
    <w:basedOn w:val="DefaultParagraphFont"/>
  </w:style>
  <w:style w:type="paragraph" w:styleId="EndnoteText">
    <w:name w:val="endnote text"/>
    <w:basedOn w:val="Normal"/>
    <w:semiHidden/>
    <w:rsid w:val="001676B9"/>
    <w:rPr>
      <w:sz w:val="20"/>
    </w:rPr>
  </w:style>
  <w:style w:type="character" w:styleId="EndnoteReference">
    <w:name w:val="endnote reference"/>
    <w:semiHidden/>
    <w:rsid w:val="001676B9"/>
    <w:rPr>
      <w:vertAlign w:val="superscript"/>
    </w:rPr>
  </w:style>
  <w:style w:type="paragraph" w:styleId="BalloonText">
    <w:name w:val="Balloon Text"/>
    <w:basedOn w:val="Normal"/>
    <w:semiHidden/>
    <w:rsid w:val="00B761E8"/>
    <w:rPr>
      <w:rFonts w:ascii="Tahoma" w:hAnsi="Tahoma" w:cs="Tahoma"/>
      <w:sz w:val="16"/>
      <w:szCs w:val="16"/>
    </w:rPr>
  </w:style>
  <w:style w:type="table" w:styleId="TableGrid">
    <w:name w:val="Table Grid"/>
    <w:basedOn w:val="TableNormal"/>
    <w:rsid w:val="00A36F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ED2A85"/>
    <w:rPr>
      <w:sz w:val="20"/>
    </w:rPr>
  </w:style>
  <w:style w:type="paragraph" w:styleId="CommentSubject">
    <w:name w:val="annotation subject"/>
    <w:basedOn w:val="CommentText"/>
    <w:next w:val="CommentText"/>
    <w:semiHidden/>
    <w:rsid w:val="00ED2A85"/>
    <w:pPr>
      <w:autoSpaceDE w:val="0"/>
      <w:autoSpaceDN w:val="0"/>
      <w:adjustRightInd w:val="0"/>
    </w:pPr>
    <w:rPr>
      <w:b/>
      <w:bCs/>
      <w:snapToGrid/>
    </w:rPr>
  </w:style>
  <w:style w:type="character" w:styleId="Hyperlink">
    <w:name w:val="Hyperlink"/>
    <w:rsid w:val="001E35FA"/>
    <w:rPr>
      <w:color w:val="996633"/>
      <w:u w:val="single"/>
    </w:rPr>
  </w:style>
  <w:style w:type="paragraph" w:customStyle="1" w:styleId="BodyText1">
    <w:name w:val="Body Text1"/>
    <w:basedOn w:val="Normal"/>
    <w:link w:val="BodytextChar"/>
    <w:rsid w:val="0079162B"/>
    <w:pPr>
      <w:widowControl/>
      <w:autoSpaceDE w:val="0"/>
      <w:autoSpaceDN w:val="0"/>
      <w:spacing w:after="60"/>
    </w:pPr>
    <w:rPr>
      <w:rFonts w:cs="Times"/>
      <w:snapToGrid/>
      <w:szCs w:val="24"/>
    </w:rPr>
  </w:style>
  <w:style w:type="character" w:customStyle="1" w:styleId="BodytextChar">
    <w:name w:val="Body text Char"/>
    <w:link w:val="BodyText1"/>
    <w:rsid w:val="0079162B"/>
    <w:rPr>
      <w:rFonts w:cs="Times"/>
      <w:sz w:val="24"/>
      <w:szCs w:val="24"/>
      <w:lang w:val="en-US" w:eastAsia="en-US" w:bidi="ar-SA"/>
    </w:rPr>
  </w:style>
  <w:style w:type="paragraph" w:styleId="Title">
    <w:name w:val="Title"/>
    <w:basedOn w:val="Normal"/>
    <w:qFormat/>
    <w:rsid w:val="00CC2E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ind w:left="720" w:hanging="720"/>
      <w:jc w:val="center"/>
      <w:textAlignment w:val="baseline"/>
    </w:pPr>
    <w:rPr>
      <w:rFonts w:ascii="Arial" w:hAnsi="Arial"/>
      <w:b/>
      <w:snapToGrid/>
      <w:sz w:val="32"/>
    </w:rPr>
  </w:style>
  <w:style w:type="paragraph" w:customStyle="1" w:styleId="regulartext">
    <w:name w:val="regulartext"/>
    <w:basedOn w:val="Normal"/>
    <w:rsid w:val="00E04076"/>
    <w:pPr>
      <w:widowControl/>
      <w:spacing w:before="100" w:beforeAutospacing="1" w:after="100" w:afterAutospacing="1"/>
    </w:pPr>
    <w:rPr>
      <w:rFonts w:ascii="Arial" w:hAnsi="Arial" w:cs="Arial"/>
      <w:snapToGrid/>
      <w:color w:val="000000"/>
      <w:sz w:val="19"/>
      <w:szCs w:val="19"/>
    </w:rPr>
  </w:style>
  <w:style w:type="paragraph" w:styleId="PlainText">
    <w:name w:val="Plain Text"/>
    <w:basedOn w:val="Normal"/>
    <w:rsid w:val="00E04076"/>
    <w:pPr>
      <w:widowControl/>
    </w:pPr>
    <w:rPr>
      <w:rFonts w:ascii="Courier New" w:hAnsi="Courier New" w:cs="Courier New"/>
      <w:snapToGrid/>
      <w:sz w:val="20"/>
    </w:rPr>
  </w:style>
  <w:style w:type="character" w:styleId="CommentReference">
    <w:name w:val="annotation reference"/>
    <w:semiHidden/>
    <w:rsid w:val="00ED2CB5"/>
    <w:rPr>
      <w:sz w:val="16"/>
      <w:szCs w:val="16"/>
    </w:rPr>
  </w:style>
  <w:style w:type="paragraph" w:styleId="TOC3">
    <w:name w:val="toc 3"/>
    <w:basedOn w:val="Normal"/>
    <w:next w:val="Normal"/>
    <w:autoRedefine/>
    <w:rsid w:val="002B3C57"/>
    <w:pPr>
      <w:widowControl/>
      <w:autoSpaceDE w:val="0"/>
      <w:autoSpaceDN w:val="0"/>
      <w:ind w:left="400"/>
    </w:pPr>
    <w:rPr>
      <w:snapToGrid/>
      <w:szCs w:val="24"/>
    </w:rPr>
  </w:style>
  <w:style w:type="paragraph" w:styleId="TOC1">
    <w:name w:val="toc 1"/>
    <w:basedOn w:val="Normal"/>
    <w:next w:val="Normal"/>
    <w:autoRedefine/>
    <w:rsid w:val="002B3C57"/>
    <w:pPr>
      <w:widowControl/>
      <w:autoSpaceDE w:val="0"/>
      <w:autoSpaceDN w:val="0"/>
    </w:pPr>
    <w:rPr>
      <w:snapToGrid/>
      <w:szCs w:val="24"/>
    </w:rPr>
  </w:style>
  <w:style w:type="paragraph" w:styleId="TOC2">
    <w:name w:val="toc 2"/>
    <w:basedOn w:val="Normal"/>
    <w:next w:val="Normal"/>
    <w:autoRedefine/>
    <w:rsid w:val="002B3C57"/>
    <w:pPr>
      <w:widowControl/>
      <w:autoSpaceDE w:val="0"/>
      <w:autoSpaceDN w:val="0"/>
      <w:ind w:left="200"/>
    </w:pPr>
    <w:rPr>
      <w:snapToGrid/>
      <w:szCs w:val="24"/>
    </w:rPr>
  </w:style>
  <w:style w:type="paragraph" w:styleId="ListParagraph">
    <w:name w:val="List Paragraph"/>
    <w:basedOn w:val="Normal"/>
    <w:uiPriority w:val="72"/>
    <w:rsid w:val="005B6CBE"/>
    <w:pPr>
      <w:ind w:left="720"/>
      <w:contextualSpacing/>
    </w:pPr>
  </w:style>
  <w:style w:type="character" w:styleId="FollowedHyperlink">
    <w:name w:val="FollowedHyperlink"/>
    <w:basedOn w:val="DefaultParagraphFont"/>
    <w:rsid w:val="00426CAA"/>
    <w:rPr>
      <w:color w:val="800080" w:themeColor="followedHyperlink"/>
      <w:u w:val="single"/>
    </w:rPr>
  </w:style>
  <w:style w:type="paragraph" w:styleId="Revision">
    <w:name w:val="Revision"/>
    <w:hidden/>
    <w:uiPriority w:val="71"/>
    <w:rsid w:val="00546EA0"/>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u w:val="single"/>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outlineLvl w:val="1"/>
    </w:pPr>
    <w:rPr>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outlineLvl w:val="2"/>
    </w:pPr>
    <w:rPr>
      <w:u w:val="single"/>
    </w:rPr>
  </w:style>
  <w:style w:type="paragraph" w:styleId="Heading4">
    <w:name w:val="heading 4"/>
    <w:basedOn w:val="Normal"/>
    <w:next w:val="Normal"/>
    <w:qFormat/>
    <w:rsid w:val="00A16D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1440" w:hanging="720"/>
      <w:outlineLvl w:val="0"/>
    </w:pPr>
  </w:style>
  <w:style w:type="paragraph" w:customStyle="1" w:styleId="a">
    <w:name w:val="_"/>
    <w:basedOn w:val="Normal"/>
    <w:pPr>
      <w:ind w:left="1440" w:righ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uto"/>
      <w:ind w:firstLine="720"/>
    </w:pPr>
  </w:style>
  <w:style w:type="paragraph" w:styleId="BodyTextIndent2">
    <w:name w:val="Body Text Indent 2"/>
    <w:basedOn w:val="Normal"/>
    <w:pPr>
      <w:spacing w:line="480" w:lineRule="auto"/>
      <w:ind w:firstLine="720"/>
      <w:jc w:val="both"/>
    </w:pPr>
  </w:style>
  <w:style w:type="character" w:styleId="PageNumber">
    <w:name w:val="page number"/>
    <w:basedOn w:val="DefaultParagraphFont"/>
  </w:style>
  <w:style w:type="paragraph" w:styleId="EndnoteText">
    <w:name w:val="endnote text"/>
    <w:basedOn w:val="Normal"/>
    <w:semiHidden/>
    <w:rsid w:val="001676B9"/>
    <w:rPr>
      <w:sz w:val="20"/>
    </w:rPr>
  </w:style>
  <w:style w:type="character" w:styleId="EndnoteReference">
    <w:name w:val="endnote reference"/>
    <w:semiHidden/>
    <w:rsid w:val="001676B9"/>
    <w:rPr>
      <w:vertAlign w:val="superscript"/>
    </w:rPr>
  </w:style>
  <w:style w:type="paragraph" w:styleId="BalloonText">
    <w:name w:val="Balloon Text"/>
    <w:basedOn w:val="Normal"/>
    <w:semiHidden/>
    <w:rsid w:val="00B761E8"/>
    <w:rPr>
      <w:rFonts w:ascii="Tahoma" w:hAnsi="Tahoma" w:cs="Tahoma"/>
      <w:sz w:val="16"/>
      <w:szCs w:val="16"/>
    </w:rPr>
  </w:style>
  <w:style w:type="table" w:styleId="TableGrid">
    <w:name w:val="Table Grid"/>
    <w:basedOn w:val="TableNormal"/>
    <w:rsid w:val="00A36F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ED2A85"/>
    <w:rPr>
      <w:sz w:val="20"/>
    </w:rPr>
  </w:style>
  <w:style w:type="paragraph" w:styleId="CommentSubject">
    <w:name w:val="annotation subject"/>
    <w:basedOn w:val="CommentText"/>
    <w:next w:val="CommentText"/>
    <w:semiHidden/>
    <w:rsid w:val="00ED2A85"/>
    <w:pPr>
      <w:autoSpaceDE w:val="0"/>
      <w:autoSpaceDN w:val="0"/>
      <w:adjustRightInd w:val="0"/>
    </w:pPr>
    <w:rPr>
      <w:b/>
      <w:bCs/>
      <w:snapToGrid/>
    </w:rPr>
  </w:style>
  <w:style w:type="character" w:styleId="Hyperlink">
    <w:name w:val="Hyperlink"/>
    <w:rsid w:val="001E35FA"/>
    <w:rPr>
      <w:color w:val="996633"/>
      <w:u w:val="single"/>
    </w:rPr>
  </w:style>
  <w:style w:type="paragraph" w:customStyle="1" w:styleId="BodyText1">
    <w:name w:val="Body Text1"/>
    <w:basedOn w:val="Normal"/>
    <w:link w:val="BodytextChar"/>
    <w:rsid w:val="0079162B"/>
    <w:pPr>
      <w:widowControl/>
      <w:autoSpaceDE w:val="0"/>
      <w:autoSpaceDN w:val="0"/>
      <w:spacing w:after="60"/>
    </w:pPr>
    <w:rPr>
      <w:rFonts w:cs="Times"/>
      <w:snapToGrid/>
      <w:szCs w:val="24"/>
    </w:rPr>
  </w:style>
  <w:style w:type="character" w:customStyle="1" w:styleId="BodytextChar">
    <w:name w:val="Body text Char"/>
    <w:link w:val="BodyText1"/>
    <w:rsid w:val="0079162B"/>
    <w:rPr>
      <w:rFonts w:cs="Times"/>
      <w:sz w:val="24"/>
      <w:szCs w:val="24"/>
      <w:lang w:val="en-US" w:eastAsia="en-US" w:bidi="ar-SA"/>
    </w:rPr>
  </w:style>
  <w:style w:type="paragraph" w:styleId="Title">
    <w:name w:val="Title"/>
    <w:basedOn w:val="Normal"/>
    <w:qFormat/>
    <w:rsid w:val="00CC2E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ind w:left="720" w:hanging="720"/>
      <w:jc w:val="center"/>
      <w:textAlignment w:val="baseline"/>
    </w:pPr>
    <w:rPr>
      <w:rFonts w:ascii="Arial" w:hAnsi="Arial"/>
      <w:b/>
      <w:snapToGrid/>
      <w:sz w:val="32"/>
    </w:rPr>
  </w:style>
  <w:style w:type="paragraph" w:customStyle="1" w:styleId="regulartext">
    <w:name w:val="regulartext"/>
    <w:basedOn w:val="Normal"/>
    <w:rsid w:val="00E04076"/>
    <w:pPr>
      <w:widowControl/>
      <w:spacing w:before="100" w:beforeAutospacing="1" w:after="100" w:afterAutospacing="1"/>
    </w:pPr>
    <w:rPr>
      <w:rFonts w:ascii="Arial" w:hAnsi="Arial" w:cs="Arial"/>
      <w:snapToGrid/>
      <w:color w:val="000000"/>
      <w:sz w:val="19"/>
      <w:szCs w:val="19"/>
    </w:rPr>
  </w:style>
  <w:style w:type="paragraph" w:styleId="PlainText">
    <w:name w:val="Plain Text"/>
    <w:basedOn w:val="Normal"/>
    <w:rsid w:val="00E04076"/>
    <w:pPr>
      <w:widowControl/>
    </w:pPr>
    <w:rPr>
      <w:rFonts w:ascii="Courier New" w:hAnsi="Courier New" w:cs="Courier New"/>
      <w:snapToGrid/>
      <w:sz w:val="20"/>
    </w:rPr>
  </w:style>
  <w:style w:type="character" w:styleId="CommentReference">
    <w:name w:val="annotation reference"/>
    <w:semiHidden/>
    <w:rsid w:val="00ED2CB5"/>
    <w:rPr>
      <w:sz w:val="16"/>
      <w:szCs w:val="16"/>
    </w:rPr>
  </w:style>
  <w:style w:type="paragraph" w:styleId="TOC3">
    <w:name w:val="toc 3"/>
    <w:basedOn w:val="Normal"/>
    <w:next w:val="Normal"/>
    <w:autoRedefine/>
    <w:rsid w:val="002B3C57"/>
    <w:pPr>
      <w:widowControl/>
      <w:autoSpaceDE w:val="0"/>
      <w:autoSpaceDN w:val="0"/>
      <w:ind w:left="400"/>
    </w:pPr>
    <w:rPr>
      <w:snapToGrid/>
      <w:szCs w:val="24"/>
    </w:rPr>
  </w:style>
  <w:style w:type="paragraph" w:styleId="TOC1">
    <w:name w:val="toc 1"/>
    <w:basedOn w:val="Normal"/>
    <w:next w:val="Normal"/>
    <w:autoRedefine/>
    <w:rsid w:val="002B3C57"/>
    <w:pPr>
      <w:widowControl/>
      <w:autoSpaceDE w:val="0"/>
      <w:autoSpaceDN w:val="0"/>
    </w:pPr>
    <w:rPr>
      <w:snapToGrid/>
      <w:szCs w:val="24"/>
    </w:rPr>
  </w:style>
  <w:style w:type="paragraph" w:styleId="TOC2">
    <w:name w:val="toc 2"/>
    <w:basedOn w:val="Normal"/>
    <w:next w:val="Normal"/>
    <w:autoRedefine/>
    <w:rsid w:val="002B3C57"/>
    <w:pPr>
      <w:widowControl/>
      <w:autoSpaceDE w:val="0"/>
      <w:autoSpaceDN w:val="0"/>
      <w:ind w:left="200"/>
    </w:pPr>
    <w:rPr>
      <w:snapToGrid/>
      <w:szCs w:val="24"/>
    </w:rPr>
  </w:style>
  <w:style w:type="paragraph" w:styleId="ListParagraph">
    <w:name w:val="List Paragraph"/>
    <w:basedOn w:val="Normal"/>
    <w:uiPriority w:val="72"/>
    <w:rsid w:val="005B6CBE"/>
    <w:pPr>
      <w:ind w:left="720"/>
      <w:contextualSpacing/>
    </w:pPr>
  </w:style>
  <w:style w:type="character" w:styleId="FollowedHyperlink">
    <w:name w:val="FollowedHyperlink"/>
    <w:basedOn w:val="DefaultParagraphFont"/>
    <w:rsid w:val="00426CAA"/>
    <w:rPr>
      <w:color w:val="800080" w:themeColor="followedHyperlink"/>
      <w:u w:val="single"/>
    </w:rPr>
  </w:style>
  <w:style w:type="paragraph" w:styleId="Revision">
    <w:name w:val="Revision"/>
    <w:hidden/>
    <w:uiPriority w:val="71"/>
    <w:rsid w:val="00546EA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793">
      <w:bodyDiv w:val="1"/>
      <w:marLeft w:val="0"/>
      <w:marRight w:val="0"/>
      <w:marTop w:val="0"/>
      <w:marBottom w:val="0"/>
      <w:divBdr>
        <w:top w:val="none" w:sz="0" w:space="0" w:color="auto"/>
        <w:left w:val="none" w:sz="0" w:space="0" w:color="auto"/>
        <w:bottom w:val="none" w:sz="0" w:space="0" w:color="auto"/>
        <w:right w:val="none" w:sz="0" w:space="0" w:color="auto"/>
      </w:divBdr>
    </w:div>
    <w:div w:id="191042098">
      <w:bodyDiv w:val="1"/>
      <w:marLeft w:val="0"/>
      <w:marRight w:val="0"/>
      <w:marTop w:val="0"/>
      <w:marBottom w:val="0"/>
      <w:divBdr>
        <w:top w:val="none" w:sz="0" w:space="0" w:color="auto"/>
        <w:left w:val="none" w:sz="0" w:space="0" w:color="auto"/>
        <w:bottom w:val="none" w:sz="0" w:space="0" w:color="auto"/>
        <w:right w:val="none" w:sz="0" w:space="0" w:color="auto"/>
      </w:divBdr>
    </w:div>
    <w:div w:id="220749097">
      <w:bodyDiv w:val="1"/>
      <w:marLeft w:val="0"/>
      <w:marRight w:val="0"/>
      <w:marTop w:val="0"/>
      <w:marBottom w:val="0"/>
      <w:divBdr>
        <w:top w:val="none" w:sz="0" w:space="0" w:color="auto"/>
        <w:left w:val="none" w:sz="0" w:space="0" w:color="auto"/>
        <w:bottom w:val="none" w:sz="0" w:space="0" w:color="auto"/>
        <w:right w:val="none" w:sz="0" w:space="0" w:color="auto"/>
      </w:divBdr>
    </w:div>
    <w:div w:id="381827887">
      <w:bodyDiv w:val="1"/>
      <w:marLeft w:val="0"/>
      <w:marRight w:val="0"/>
      <w:marTop w:val="0"/>
      <w:marBottom w:val="0"/>
      <w:divBdr>
        <w:top w:val="none" w:sz="0" w:space="0" w:color="auto"/>
        <w:left w:val="none" w:sz="0" w:space="0" w:color="auto"/>
        <w:bottom w:val="none" w:sz="0" w:space="0" w:color="auto"/>
        <w:right w:val="none" w:sz="0" w:space="0" w:color="auto"/>
      </w:divBdr>
    </w:div>
    <w:div w:id="783572482">
      <w:bodyDiv w:val="1"/>
      <w:marLeft w:val="0"/>
      <w:marRight w:val="0"/>
      <w:marTop w:val="0"/>
      <w:marBottom w:val="0"/>
      <w:divBdr>
        <w:top w:val="none" w:sz="0" w:space="0" w:color="auto"/>
        <w:left w:val="none" w:sz="0" w:space="0" w:color="auto"/>
        <w:bottom w:val="none" w:sz="0" w:space="0" w:color="auto"/>
        <w:right w:val="none" w:sz="0" w:space="0" w:color="auto"/>
      </w:divBdr>
    </w:div>
    <w:div w:id="1415124342">
      <w:bodyDiv w:val="1"/>
      <w:marLeft w:val="0"/>
      <w:marRight w:val="0"/>
      <w:marTop w:val="0"/>
      <w:marBottom w:val="0"/>
      <w:divBdr>
        <w:top w:val="none" w:sz="0" w:space="0" w:color="auto"/>
        <w:left w:val="none" w:sz="0" w:space="0" w:color="auto"/>
        <w:bottom w:val="none" w:sz="0" w:space="0" w:color="auto"/>
        <w:right w:val="none" w:sz="0" w:space="0" w:color="auto"/>
      </w:divBdr>
    </w:div>
    <w:div w:id="1541744137">
      <w:bodyDiv w:val="1"/>
      <w:marLeft w:val="0"/>
      <w:marRight w:val="0"/>
      <w:marTop w:val="0"/>
      <w:marBottom w:val="0"/>
      <w:divBdr>
        <w:top w:val="none" w:sz="0" w:space="0" w:color="auto"/>
        <w:left w:val="none" w:sz="0" w:space="0" w:color="auto"/>
        <w:bottom w:val="none" w:sz="0" w:space="0" w:color="auto"/>
        <w:right w:val="none" w:sz="0" w:space="0" w:color="auto"/>
      </w:divBdr>
      <w:divsChild>
        <w:div w:id="95685107">
          <w:marLeft w:val="0"/>
          <w:marRight w:val="0"/>
          <w:marTop w:val="0"/>
          <w:marBottom w:val="0"/>
          <w:divBdr>
            <w:top w:val="none" w:sz="0" w:space="0" w:color="auto"/>
            <w:left w:val="none" w:sz="0" w:space="0" w:color="auto"/>
            <w:bottom w:val="none" w:sz="0" w:space="0" w:color="auto"/>
            <w:right w:val="none" w:sz="0" w:space="0" w:color="auto"/>
          </w:divBdr>
        </w:div>
        <w:div w:id="340668562">
          <w:marLeft w:val="0"/>
          <w:marRight w:val="0"/>
          <w:marTop w:val="0"/>
          <w:marBottom w:val="0"/>
          <w:divBdr>
            <w:top w:val="none" w:sz="0" w:space="0" w:color="auto"/>
            <w:left w:val="none" w:sz="0" w:space="0" w:color="auto"/>
            <w:bottom w:val="none" w:sz="0" w:space="0" w:color="auto"/>
            <w:right w:val="none" w:sz="0" w:space="0" w:color="auto"/>
          </w:divBdr>
        </w:div>
        <w:div w:id="514073572">
          <w:marLeft w:val="0"/>
          <w:marRight w:val="0"/>
          <w:marTop w:val="0"/>
          <w:marBottom w:val="0"/>
          <w:divBdr>
            <w:top w:val="none" w:sz="0" w:space="0" w:color="auto"/>
            <w:left w:val="none" w:sz="0" w:space="0" w:color="auto"/>
            <w:bottom w:val="none" w:sz="0" w:space="0" w:color="auto"/>
            <w:right w:val="none" w:sz="0" w:space="0" w:color="auto"/>
          </w:divBdr>
        </w:div>
        <w:div w:id="734594503">
          <w:marLeft w:val="0"/>
          <w:marRight w:val="0"/>
          <w:marTop w:val="0"/>
          <w:marBottom w:val="0"/>
          <w:divBdr>
            <w:top w:val="none" w:sz="0" w:space="0" w:color="auto"/>
            <w:left w:val="none" w:sz="0" w:space="0" w:color="auto"/>
            <w:bottom w:val="none" w:sz="0" w:space="0" w:color="auto"/>
            <w:right w:val="none" w:sz="0" w:space="0" w:color="auto"/>
          </w:divBdr>
        </w:div>
        <w:div w:id="806362135">
          <w:marLeft w:val="0"/>
          <w:marRight w:val="0"/>
          <w:marTop w:val="0"/>
          <w:marBottom w:val="0"/>
          <w:divBdr>
            <w:top w:val="none" w:sz="0" w:space="0" w:color="auto"/>
            <w:left w:val="none" w:sz="0" w:space="0" w:color="auto"/>
            <w:bottom w:val="none" w:sz="0" w:space="0" w:color="auto"/>
            <w:right w:val="none" w:sz="0" w:space="0" w:color="auto"/>
          </w:divBdr>
        </w:div>
        <w:div w:id="860244884">
          <w:marLeft w:val="0"/>
          <w:marRight w:val="0"/>
          <w:marTop w:val="0"/>
          <w:marBottom w:val="0"/>
          <w:divBdr>
            <w:top w:val="none" w:sz="0" w:space="0" w:color="auto"/>
            <w:left w:val="none" w:sz="0" w:space="0" w:color="auto"/>
            <w:bottom w:val="none" w:sz="0" w:space="0" w:color="auto"/>
            <w:right w:val="none" w:sz="0" w:space="0" w:color="auto"/>
          </w:divBdr>
        </w:div>
        <w:div w:id="868489292">
          <w:marLeft w:val="0"/>
          <w:marRight w:val="0"/>
          <w:marTop w:val="0"/>
          <w:marBottom w:val="0"/>
          <w:divBdr>
            <w:top w:val="none" w:sz="0" w:space="0" w:color="auto"/>
            <w:left w:val="none" w:sz="0" w:space="0" w:color="auto"/>
            <w:bottom w:val="none" w:sz="0" w:space="0" w:color="auto"/>
            <w:right w:val="none" w:sz="0" w:space="0" w:color="auto"/>
          </w:divBdr>
        </w:div>
        <w:div w:id="1029716894">
          <w:marLeft w:val="0"/>
          <w:marRight w:val="0"/>
          <w:marTop w:val="0"/>
          <w:marBottom w:val="0"/>
          <w:divBdr>
            <w:top w:val="none" w:sz="0" w:space="0" w:color="auto"/>
            <w:left w:val="none" w:sz="0" w:space="0" w:color="auto"/>
            <w:bottom w:val="none" w:sz="0" w:space="0" w:color="auto"/>
            <w:right w:val="none" w:sz="0" w:space="0" w:color="auto"/>
          </w:divBdr>
        </w:div>
        <w:div w:id="1840383344">
          <w:marLeft w:val="0"/>
          <w:marRight w:val="0"/>
          <w:marTop w:val="0"/>
          <w:marBottom w:val="0"/>
          <w:divBdr>
            <w:top w:val="none" w:sz="0" w:space="0" w:color="auto"/>
            <w:left w:val="none" w:sz="0" w:space="0" w:color="auto"/>
            <w:bottom w:val="none" w:sz="0" w:space="0" w:color="auto"/>
            <w:right w:val="none" w:sz="0" w:space="0" w:color="auto"/>
          </w:divBdr>
        </w:div>
        <w:div w:id="1851337897">
          <w:marLeft w:val="0"/>
          <w:marRight w:val="0"/>
          <w:marTop w:val="0"/>
          <w:marBottom w:val="0"/>
          <w:divBdr>
            <w:top w:val="none" w:sz="0" w:space="0" w:color="auto"/>
            <w:left w:val="none" w:sz="0" w:space="0" w:color="auto"/>
            <w:bottom w:val="none" w:sz="0" w:space="0" w:color="auto"/>
            <w:right w:val="none" w:sz="0" w:space="0" w:color="auto"/>
          </w:divBdr>
        </w:div>
        <w:div w:id="2005618751">
          <w:marLeft w:val="0"/>
          <w:marRight w:val="0"/>
          <w:marTop w:val="0"/>
          <w:marBottom w:val="0"/>
          <w:divBdr>
            <w:top w:val="none" w:sz="0" w:space="0" w:color="auto"/>
            <w:left w:val="none" w:sz="0" w:space="0" w:color="auto"/>
            <w:bottom w:val="none" w:sz="0" w:space="0" w:color="auto"/>
            <w:right w:val="none" w:sz="0" w:space="0" w:color="auto"/>
          </w:divBdr>
        </w:div>
        <w:div w:id="2080053130">
          <w:marLeft w:val="0"/>
          <w:marRight w:val="0"/>
          <w:marTop w:val="0"/>
          <w:marBottom w:val="0"/>
          <w:divBdr>
            <w:top w:val="none" w:sz="0" w:space="0" w:color="auto"/>
            <w:left w:val="none" w:sz="0" w:space="0" w:color="auto"/>
            <w:bottom w:val="none" w:sz="0" w:space="0" w:color="auto"/>
            <w:right w:val="none" w:sz="0" w:space="0" w:color="auto"/>
          </w:divBdr>
        </w:div>
      </w:divsChild>
    </w:div>
    <w:div w:id="1541940355">
      <w:bodyDiv w:val="1"/>
      <w:marLeft w:val="0"/>
      <w:marRight w:val="0"/>
      <w:marTop w:val="0"/>
      <w:marBottom w:val="0"/>
      <w:divBdr>
        <w:top w:val="none" w:sz="0" w:space="0" w:color="auto"/>
        <w:left w:val="none" w:sz="0" w:space="0" w:color="auto"/>
        <w:bottom w:val="none" w:sz="0" w:space="0" w:color="auto"/>
        <w:right w:val="none" w:sz="0" w:space="0" w:color="auto"/>
      </w:divBdr>
    </w:div>
    <w:div w:id="1750467603">
      <w:bodyDiv w:val="1"/>
      <w:marLeft w:val="0"/>
      <w:marRight w:val="0"/>
      <w:marTop w:val="0"/>
      <w:marBottom w:val="0"/>
      <w:divBdr>
        <w:top w:val="none" w:sz="0" w:space="0" w:color="auto"/>
        <w:left w:val="none" w:sz="0" w:space="0" w:color="auto"/>
        <w:bottom w:val="none" w:sz="0" w:space="0" w:color="auto"/>
        <w:right w:val="none" w:sz="0" w:space="0" w:color="auto"/>
      </w:divBdr>
    </w:div>
    <w:div w:id="1834490606">
      <w:bodyDiv w:val="1"/>
      <w:marLeft w:val="0"/>
      <w:marRight w:val="0"/>
      <w:marTop w:val="0"/>
      <w:marBottom w:val="0"/>
      <w:divBdr>
        <w:top w:val="none" w:sz="0" w:space="0" w:color="auto"/>
        <w:left w:val="none" w:sz="0" w:space="0" w:color="auto"/>
        <w:bottom w:val="none" w:sz="0" w:space="0" w:color="auto"/>
        <w:right w:val="none" w:sz="0" w:space="0" w:color="auto"/>
      </w:divBdr>
      <w:divsChild>
        <w:div w:id="49428265">
          <w:marLeft w:val="0"/>
          <w:marRight w:val="0"/>
          <w:marTop w:val="0"/>
          <w:marBottom w:val="0"/>
          <w:divBdr>
            <w:top w:val="none" w:sz="0" w:space="0" w:color="auto"/>
            <w:left w:val="none" w:sz="0" w:space="0" w:color="auto"/>
            <w:bottom w:val="none" w:sz="0" w:space="0" w:color="auto"/>
            <w:right w:val="none" w:sz="0" w:space="0" w:color="auto"/>
          </w:divBdr>
        </w:div>
        <w:div w:id="72246823">
          <w:marLeft w:val="0"/>
          <w:marRight w:val="0"/>
          <w:marTop w:val="0"/>
          <w:marBottom w:val="0"/>
          <w:divBdr>
            <w:top w:val="none" w:sz="0" w:space="0" w:color="auto"/>
            <w:left w:val="none" w:sz="0" w:space="0" w:color="auto"/>
            <w:bottom w:val="none" w:sz="0" w:space="0" w:color="auto"/>
            <w:right w:val="none" w:sz="0" w:space="0" w:color="auto"/>
          </w:divBdr>
        </w:div>
        <w:div w:id="275214561">
          <w:marLeft w:val="0"/>
          <w:marRight w:val="0"/>
          <w:marTop w:val="0"/>
          <w:marBottom w:val="0"/>
          <w:divBdr>
            <w:top w:val="none" w:sz="0" w:space="0" w:color="auto"/>
            <w:left w:val="none" w:sz="0" w:space="0" w:color="auto"/>
            <w:bottom w:val="none" w:sz="0" w:space="0" w:color="auto"/>
            <w:right w:val="none" w:sz="0" w:space="0" w:color="auto"/>
          </w:divBdr>
        </w:div>
        <w:div w:id="287124281">
          <w:marLeft w:val="0"/>
          <w:marRight w:val="0"/>
          <w:marTop w:val="0"/>
          <w:marBottom w:val="0"/>
          <w:divBdr>
            <w:top w:val="none" w:sz="0" w:space="0" w:color="auto"/>
            <w:left w:val="none" w:sz="0" w:space="0" w:color="auto"/>
            <w:bottom w:val="none" w:sz="0" w:space="0" w:color="auto"/>
            <w:right w:val="none" w:sz="0" w:space="0" w:color="auto"/>
          </w:divBdr>
        </w:div>
        <w:div w:id="345519430">
          <w:marLeft w:val="0"/>
          <w:marRight w:val="0"/>
          <w:marTop w:val="0"/>
          <w:marBottom w:val="0"/>
          <w:divBdr>
            <w:top w:val="none" w:sz="0" w:space="0" w:color="auto"/>
            <w:left w:val="none" w:sz="0" w:space="0" w:color="auto"/>
            <w:bottom w:val="none" w:sz="0" w:space="0" w:color="auto"/>
            <w:right w:val="none" w:sz="0" w:space="0" w:color="auto"/>
          </w:divBdr>
        </w:div>
        <w:div w:id="359554547">
          <w:marLeft w:val="0"/>
          <w:marRight w:val="0"/>
          <w:marTop w:val="0"/>
          <w:marBottom w:val="0"/>
          <w:divBdr>
            <w:top w:val="none" w:sz="0" w:space="0" w:color="auto"/>
            <w:left w:val="none" w:sz="0" w:space="0" w:color="auto"/>
            <w:bottom w:val="none" w:sz="0" w:space="0" w:color="auto"/>
            <w:right w:val="none" w:sz="0" w:space="0" w:color="auto"/>
          </w:divBdr>
        </w:div>
        <w:div w:id="489831713">
          <w:marLeft w:val="0"/>
          <w:marRight w:val="0"/>
          <w:marTop w:val="0"/>
          <w:marBottom w:val="0"/>
          <w:divBdr>
            <w:top w:val="none" w:sz="0" w:space="0" w:color="auto"/>
            <w:left w:val="none" w:sz="0" w:space="0" w:color="auto"/>
            <w:bottom w:val="none" w:sz="0" w:space="0" w:color="auto"/>
            <w:right w:val="none" w:sz="0" w:space="0" w:color="auto"/>
          </w:divBdr>
        </w:div>
        <w:div w:id="524485195">
          <w:marLeft w:val="0"/>
          <w:marRight w:val="0"/>
          <w:marTop w:val="0"/>
          <w:marBottom w:val="0"/>
          <w:divBdr>
            <w:top w:val="none" w:sz="0" w:space="0" w:color="auto"/>
            <w:left w:val="none" w:sz="0" w:space="0" w:color="auto"/>
            <w:bottom w:val="none" w:sz="0" w:space="0" w:color="auto"/>
            <w:right w:val="none" w:sz="0" w:space="0" w:color="auto"/>
          </w:divBdr>
        </w:div>
        <w:div w:id="655688489">
          <w:marLeft w:val="0"/>
          <w:marRight w:val="0"/>
          <w:marTop w:val="0"/>
          <w:marBottom w:val="0"/>
          <w:divBdr>
            <w:top w:val="none" w:sz="0" w:space="0" w:color="auto"/>
            <w:left w:val="none" w:sz="0" w:space="0" w:color="auto"/>
            <w:bottom w:val="none" w:sz="0" w:space="0" w:color="auto"/>
            <w:right w:val="none" w:sz="0" w:space="0" w:color="auto"/>
          </w:divBdr>
        </w:div>
        <w:div w:id="840043877">
          <w:marLeft w:val="0"/>
          <w:marRight w:val="0"/>
          <w:marTop w:val="0"/>
          <w:marBottom w:val="0"/>
          <w:divBdr>
            <w:top w:val="none" w:sz="0" w:space="0" w:color="auto"/>
            <w:left w:val="none" w:sz="0" w:space="0" w:color="auto"/>
            <w:bottom w:val="none" w:sz="0" w:space="0" w:color="auto"/>
            <w:right w:val="none" w:sz="0" w:space="0" w:color="auto"/>
          </w:divBdr>
        </w:div>
        <w:div w:id="898126534">
          <w:marLeft w:val="0"/>
          <w:marRight w:val="0"/>
          <w:marTop w:val="0"/>
          <w:marBottom w:val="0"/>
          <w:divBdr>
            <w:top w:val="none" w:sz="0" w:space="0" w:color="auto"/>
            <w:left w:val="none" w:sz="0" w:space="0" w:color="auto"/>
            <w:bottom w:val="none" w:sz="0" w:space="0" w:color="auto"/>
            <w:right w:val="none" w:sz="0" w:space="0" w:color="auto"/>
          </w:divBdr>
        </w:div>
        <w:div w:id="945505315">
          <w:marLeft w:val="0"/>
          <w:marRight w:val="0"/>
          <w:marTop w:val="0"/>
          <w:marBottom w:val="0"/>
          <w:divBdr>
            <w:top w:val="none" w:sz="0" w:space="0" w:color="auto"/>
            <w:left w:val="none" w:sz="0" w:space="0" w:color="auto"/>
            <w:bottom w:val="none" w:sz="0" w:space="0" w:color="auto"/>
            <w:right w:val="none" w:sz="0" w:space="0" w:color="auto"/>
          </w:divBdr>
        </w:div>
        <w:div w:id="949780178">
          <w:marLeft w:val="0"/>
          <w:marRight w:val="0"/>
          <w:marTop w:val="0"/>
          <w:marBottom w:val="0"/>
          <w:divBdr>
            <w:top w:val="none" w:sz="0" w:space="0" w:color="auto"/>
            <w:left w:val="none" w:sz="0" w:space="0" w:color="auto"/>
            <w:bottom w:val="none" w:sz="0" w:space="0" w:color="auto"/>
            <w:right w:val="none" w:sz="0" w:space="0" w:color="auto"/>
          </w:divBdr>
        </w:div>
        <w:div w:id="953906352">
          <w:marLeft w:val="0"/>
          <w:marRight w:val="0"/>
          <w:marTop w:val="0"/>
          <w:marBottom w:val="0"/>
          <w:divBdr>
            <w:top w:val="none" w:sz="0" w:space="0" w:color="auto"/>
            <w:left w:val="none" w:sz="0" w:space="0" w:color="auto"/>
            <w:bottom w:val="none" w:sz="0" w:space="0" w:color="auto"/>
            <w:right w:val="none" w:sz="0" w:space="0" w:color="auto"/>
          </w:divBdr>
        </w:div>
        <w:div w:id="975994018">
          <w:marLeft w:val="0"/>
          <w:marRight w:val="0"/>
          <w:marTop w:val="0"/>
          <w:marBottom w:val="0"/>
          <w:divBdr>
            <w:top w:val="none" w:sz="0" w:space="0" w:color="auto"/>
            <w:left w:val="none" w:sz="0" w:space="0" w:color="auto"/>
            <w:bottom w:val="none" w:sz="0" w:space="0" w:color="auto"/>
            <w:right w:val="none" w:sz="0" w:space="0" w:color="auto"/>
          </w:divBdr>
        </w:div>
        <w:div w:id="1020161925">
          <w:marLeft w:val="0"/>
          <w:marRight w:val="0"/>
          <w:marTop w:val="0"/>
          <w:marBottom w:val="0"/>
          <w:divBdr>
            <w:top w:val="none" w:sz="0" w:space="0" w:color="auto"/>
            <w:left w:val="none" w:sz="0" w:space="0" w:color="auto"/>
            <w:bottom w:val="none" w:sz="0" w:space="0" w:color="auto"/>
            <w:right w:val="none" w:sz="0" w:space="0" w:color="auto"/>
          </w:divBdr>
        </w:div>
        <w:div w:id="1082410390">
          <w:marLeft w:val="0"/>
          <w:marRight w:val="0"/>
          <w:marTop w:val="0"/>
          <w:marBottom w:val="0"/>
          <w:divBdr>
            <w:top w:val="none" w:sz="0" w:space="0" w:color="auto"/>
            <w:left w:val="none" w:sz="0" w:space="0" w:color="auto"/>
            <w:bottom w:val="none" w:sz="0" w:space="0" w:color="auto"/>
            <w:right w:val="none" w:sz="0" w:space="0" w:color="auto"/>
          </w:divBdr>
        </w:div>
        <w:div w:id="1275480082">
          <w:marLeft w:val="0"/>
          <w:marRight w:val="0"/>
          <w:marTop w:val="0"/>
          <w:marBottom w:val="0"/>
          <w:divBdr>
            <w:top w:val="none" w:sz="0" w:space="0" w:color="auto"/>
            <w:left w:val="none" w:sz="0" w:space="0" w:color="auto"/>
            <w:bottom w:val="none" w:sz="0" w:space="0" w:color="auto"/>
            <w:right w:val="none" w:sz="0" w:space="0" w:color="auto"/>
          </w:divBdr>
        </w:div>
        <w:div w:id="1349066674">
          <w:marLeft w:val="0"/>
          <w:marRight w:val="0"/>
          <w:marTop w:val="0"/>
          <w:marBottom w:val="0"/>
          <w:divBdr>
            <w:top w:val="none" w:sz="0" w:space="0" w:color="auto"/>
            <w:left w:val="none" w:sz="0" w:space="0" w:color="auto"/>
            <w:bottom w:val="none" w:sz="0" w:space="0" w:color="auto"/>
            <w:right w:val="none" w:sz="0" w:space="0" w:color="auto"/>
          </w:divBdr>
        </w:div>
        <w:div w:id="1527328865">
          <w:marLeft w:val="0"/>
          <w:marRight w:val="0"/>
          <w:marTop w:val="0"/>
          <w:marBottom w:val="0"/>
          <w:divBdr>
            <w:top w:val="none" w:sz="0" w:space="0" w:color="auto"/>
            <w:left w:val="none" w:sz="0" w:space="0" w:color="auto"/>
            <w:bottom w:val="none" w:sz="0" w:space="0" w:color="auto"/>
            <w:right w:val="none" w:sz="0" w:space="0" w:color="auto"/>
          </w:divBdr>
        </w:div>
        <w:div w:id="1617903204">
          <w:marLeft w:val="0"/>
          <w:marRight w:val="0"/>
          <w:marTop w:val="0"/>
          <w:marBottom w:val="0"/>
          <w:divBdr>
            <w:top w:val="none" w:sz="0" w:space="0" w:color="auto"/>
            <w:left w:val="none" w:sz="0" w:space="0" w:color="auto"/>
            <w:bottom w:val="none" w:sz="0" w:space="0" w:color="auto"/>
            <w:right w:val="none" w:sz="0" w:space="0" w:color="auto"/>
          </w:divBdr>
        </w:div>
        <w:div w:id="1701080529">
          <w:marLeft w:val="0"/>
          <w:marRight w:val="0"/>
          <w:marTop w:val="0"/>
          <w:marBottom w:val="0"/>
          <w:divBdr>
            <w:top w:val="none" w:sz="0" w:space="0" w:color="auto"/>
            <w:left w:val="none" w:sz="0" w:space="0" w:color="auto"/>
            <w:bottom w:val="none" w:sz="0" w:space="0" w:color="auto"/>
            <w:right w:val="none" w:sz="0" w:space="0" w:color="auto"/>
          </w:divBdr>
        </w:div>
        <w:div w:id="1794710141">
          <w:marLeft w:val="0"/>
          <w:marRight w:val="0"/>
          <w:marTop w:val="0"/>
          <w:marBottom w:val="0"/>
          <w:divBdr>
            <w:top w:val="none" w:sz="0" w:space="0" w:color="auto"/>
            <w:left w:val="none" w:sz="0" w:space="0" w:color="auto"/>
            <w:bottom w:val="none" w:sz="0" w:space="0" w:color="auto"/>
            <w:right w:val="none" w:sz="0" w:space="0" w:color="auto"/>
          </w:divBdr>
        </w:div>
        <w:div w:id="1977758678">
          <w:marLeft w:val="0"/>
          <w:marRight w:val="0"/>
          <w:marTop w:val="0"/>
          <w:marBottom w:val="0"/>
          <w:divBdr>
            <w:top w:val="none" w:sz="0" w:space="0" w:color="auto"/>
            <w:left w:val="none" w:sz="0" w:space="0" w:color="auto"/>
            <w:bottom w:val="none" w:sz="0" w:space="0" w:color="auto"/>
            <w:right w:val="none" w:sz="0" w:space="0" w:color="auto"/>
          </w:divBdr>
        </w:div>
        <w:div w:id="2054192418">
          <w:marLeft w:val="0"/>
          <w:marRight w:val="0"/>
          <w:marTop w:val="0"/>
          <w:marBottom w:val="0"/>
          <w:divBdr>
            <w:top w:val="none" w:sz="0" w:space="0" w:color="auto"/>
            <w:left w:val="none" w:sz="0" w:space="0" w:color="auto"/>
            <w:bottom w:val="none" w:sz="0" w:space="0" w:color="auto"/>
            <w:right w:val="none" w:sz="0" w:space="0" w:color="auto"/>
          </w:divBdr>
        </w:div>
      </w:divsChild>
    </w:div>
    <w:div w:id="2068256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direct.com/science/article/pii/S1047279710001171" TargetMode="External"/><Relationship Id="rId18" Type="http://schemas.openxmlformats.org/officeDocument/2006/relationships/hyperlink" Target="http://www.nhlbi.nih.gov/resources/docs/hchs.htmhttp:/www.nhlbi.nih.gov/resources/docs/hchs.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bo.gov/index?s=opportunity&amp;mode=form&amp;id=7b8c4eb80d4543e89cf7e6d6fafe644f&amp;tab=core&amp;_cview=1https://www.fbo.gov/index?s=opportunity&amp;mode=form&amp;id=7b8c4eb80d4543e89cf7e6d6fafe644f&amp;tab=core&amp;_cview=1" TargetMode="External"/><Relationship Id="rId7" Type="http://schemas.openxmlformats.org/officeDocument/2006/relationships/footnotes" Target="footnotes.xml"/><Relationship Id="rId12" Type="http://schemas.openxmlformats.org/officeDocument/2006/relationships/hyperlink" Target="http://www.sciencedirect.com/science/article/pii/S1047279710000724" TargetMode="External"/><Relationship Id="rId17" Type="http://schemas.openxmlformats.org/officeDocument/2006/relationships/hyperlink" Target="http://www.nhlbi.nih.gov/meetings/workshops/hispanic.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bo.gov/index?s=opportunity&amp;mode=form&amp;id=9afe2647ab0adb974e4476bd0e363591&amp;tab=core&amp;_cview=1https://www.fbo.gov/index?s=opportunity&amp;mode=form&amp;id=9afe2647ab0adb974e4476bd0e363591&amp;tab=core&amp;_cview=1" TargetMode="External"/><Relationship Id="rId20" Type="http://schemas.openxmlformats.org/officeDocument/2006/relationships/hyperlink" Target="http://www.nhlbi.nih.gov/meetings/nhlbac/june11mi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nhlbi.nih.gov/funding/setpreparation.htm" TargetMode="External"/><Relationship Id="rId5" Type="http://schemas.openxmlformats.org/officeDocument/2006/relationships/settings" Target="settings.xml"/><Relationship Id="rId15" Type="http://schemas.openxmlformats.org/officeDocument/2006/relationships/hyperlink" Target="http://jama.jamanetwork.com/article.aspx?articleid=1389614" TargetMode="External"/><Relationship Id="rId23" Type="http://schemas.openxmlformats.org/officeDocument/2006/relationships/hyperlink" Target="https://www.fbo.gov/index?s=opportunity&amp;mode=form&amp;id=5de99b1e89a93985e2bbb88d2c3b8ee5&amp;tab=core&amp;_cview=1https://www.fbo.gov/index?s=opportunity&amp;mode=form&amp;id=5de99b1e89a93985e2bbb88d2c3b8ee5&amp;tab=core&amp;_cview=1" TargetMode="External"/><Relationship Id="rId10" Type="http://schemas.openxmlformats.org/officeDocument/2006/relationships/footer" Target="footer1.xml"/><Relationship Id="rId19" Type="http://schemas.openxmlformats.org/officeDocument/2006/relationships/hyperlink" Target="http://www.nhlbi.nih.gov/resources/docs/hchs.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jama.jamanetwork.com/article.aspx?articleid=1389614" TargetMode="External"/><Relationship Id="rId22" Type="http://schemas.openxmlformats.org/officeDocument/2006/relationships/hyperlink" Target="https://www.fbo.gov/index?s=opportunity&amp;mode=form&amp;id=054caa33adc682d11d0d5ac747bed1bd&amp;tab=core&amp;_cvie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871D-D7AE-4B11-9FA9-58A0E786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10073</Words>
  <Characters>57422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Request for OMB Approval of</vt:lpstr>
    </vt:vector>
  </TitlesOfParts>
  <Company>Jackson Heart Study,JSU</Company>
  <LinksUpToDate>false</LinksUpToDate>
  <CharactersWithSpaces>67361</CharactersWithSpaces>
  <SharedDoc>false</SharedDoc>
  <HLinks>
    <vt:vector size="6" baseType="variant">
      <vt:variant>
        <vt:i4>7864410</vt:i4>
      </vt:variant>
      <vt:variant>
        <vt:i4>2</vt:i4>
      </vt:variant>
      <vt:variant>
        <vt:i4>0</vt:i4>
      </vt:variant>
      <vt:variant>
        <vt:i4>5</vt:i4>
      </vt:variant>
      <vt:variant>
        <vt:lpwstr>http://www.nhlbi.nih.gov/resources/deca/policy_new.htm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Approval of</dc:title>
  <dc:creator>HEART5</dc:creator>
  <cp:lastModifiedBy>Currie, Mikia (NIH/OD) [E]</cp:lastModifiedBy>
  <cp:revision>2</cp:revision>
  <cp:lastPrinted>2014-05-07T13:25:00Z</cp:lastPrinted>
  <dcterms:created xsi:type="dcterms:W3CDTF">2014-08-28T13:39:00Z</dcterms:created>
  <dcterms:modified xsi:type="dcterms:W3CDTF">2014-08-28T13:39:00Z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