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(OMB Control Number:</w:t>
      </w:r>
      <w:r w:rsidR="0023555C">
        <w:rPr>
          <w:sz w:val="28"/>
        </w:rPr>
        <w:t xml:space="preserve"> </w:t>
      </w:r>
      <w:r w:rsidR="00B84B4A">
        <w:rPr>
          <w:sz w:val="28"/>
        </w:rPr>
        <w:t>0925-0642 Expiration 8/31/2017</w:t>
      </w:r>
      <w:r>
        <w:rPr>
          <w:sz w:val="28"/>
        </w:rPr>
        <w:t>)</w:t>
      </w:r>
    </w:p>
    <w:p w:rsidR="00925DEC" w:rsidRDefault="00925DEC" w:rsidP="00434E33">
      <w:pPr>
        <w:rPr>
          <w:b/>
        </w:rPr>
      </w:pPr>
    </w:p>
    <w:p w:rsidR="005E714A" w:rsidRDefault="004523AC">
      <w:r>
        <w:rPr>
          <w:b/>
          <w:noProof/>
        </w:rPr>
        <mc:AlternateContent>
          <mc:Choice Requires="wps">
            <w:drawing>
              <wp:anchor distT="4294967294" distB="4294967294"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p>
    <w:p w:rsidR="00925DEC" w:rsidRDefault="00925DEC">
      <w:r>
        <w:rPr>
          <w:b/>
        </w:rPr>
        <w:t xml:space="preserve">TITLE OF </w:t>
      </w:r>
      <w:r w:rsidRPr="00434E33">
        <w:rPr>
          <w:b/>
        </w:rPr>
        <w:t>INFORMATION COLLECTION:</w:t>
      </w:r>
      <w:r>
        <w:t xml:space="preserve"> </w:t>
      </w:r>
      <w:r w:rsidR="00406755">
        <w:t xml:space="preserve"> </w:t>
      </w:r>
      <w:r w:rsidR="00406755" w:rsidRPr="00180E04">
        <w:rPr>
          <w:sz w:val="22"/>
        </w:rPr>
        <w:t>Epidemiology and Genomics Research Program</w:t>
      </w:r>
      <w:r>
        <w:t xml:space="preserve"> </w:t>
      </w:r>
      <w:r w:rsidR="00406755">
        <w:t>(</w:t>
      </w:r>
      <w:r>
        <w:t>EGRP</w:t>
      </w:r>
      <w:r w:rsidR="00406755">
        <w:t>)</w:t>
      </w:r>
      <w:r>
        <w:t xml:space="preserve"> Communications Survey</w:t>
      </w:r>
    </w:p>
    <w:p w:rsidR="00925DEC" w:rsidRDefault="00925DEC" w:rsidP="00D46819">
      <w:pPr>
        <w:rPr>
          <w:b/>
        </w:rPr>
      </w:pPr>
    </w:p>
    <w:p w:rsidR="00557F5D" w:rsidRPr="00557F5D" w:rsidRDefault="00F15956" w:rsidP="00557F5D">
      <w:r>
        <w:rPr>
          <w:b/>
        </w:rPr>
        <w:t>PURPOSE</w:t>
      </w:r>
      <w:r w:rsidRPr="009239AA">
        <w:rPr>
          <w:b/>
        </w:rPr>
        <w:t>:</w:t>
      </w:r>
      <w:r w:rsidR="00C14CC4" w:rsidRPr="009239AA">
        <w:rPr>
          <w:b/>
        </w:rPr>
        <w:t xml:space="preserve">  </w:t>
      </w:r>
      <w:r w:rsidR="00557F5D" w:rsidRPr="00557F5D">
        <w:t xml:space="preserve">The National Cancer Institute's Epidemiology and Genomics Research Program (EGRP) funds research in human populations to understand the causes of cancer and related outcomes. The Program fosters interdisciplinary collaborations and the development and use of resources and technologies to advance cancer research and its translation to serve as the basis for clinical and public health interventions.  Prior to 2012, EGRP used the NIH LISTSERV system as one of its main communication channels with the extramural research community to share time-sensitive funding and grants-related information and information about the Program's scientific priorities and interests. EGRP now uses a variety of channels to communicate with the extramural research community; these include the FRIENDS-OF-NCI-EGRP-LISTSERV; the Cancer Epidemiology Matters Blog (http://blog-epi.grants.cancer.gov); a Twitter account (http://twitter.com/NCIEpi); and the monthly Cancer Epidemiology Matters E-News electronic newsletter (http://epi.grants.cancer.gov/news/). Although EGRP is able to monitor the number of subscribers, viewers, or followers to these channels, the subjective value of these communication efforts to the intended audience cannot be determined without more detailed feedback from EGRP readers. </w:t>
      </w:r>
    </w:p>
    <w:p w:rsidR="00557F5D" w:rsidRPr="00557F5D" w:rsidRDefault="00557F5D" w:rsidP="00557F5D"/>
    <w:p w:rsidR="00C65E5D" w:rsidRPr="00557F5D" w:rsidRDefault="00557F5D" w:rsidP="00557F5D">
      <w:pPr>
        <w:rPr>
          <w:sz w:val="22"/>
        </w:rPr>
      </w:pPr>
      <w:r w:rsidRPr="00557F5D">
        <w:t>EGRP would like to invite its newsletter subscribers</w:t>
      </w:r>
      <w:r w:rsidR="002F163D">
        <w:t>, LISTERV subscribers,</w:t>
      </w:r>
      <w:r w:rsidRPr="00557F5D">
        <w:t xml:space="preserve"> and Twitter f</w:t>
      </w:r>
      <w:r w:rsidR="00F70805">
        <w:t>ollowers to complete a brief, 15</w:t>
      </w:r>
      <w:r w:rsidRPr="00557F5D">
        <w:t>-question survey to better understand what information is most useful to EGRP’s research audience and how readers would prefer to receive this information. The results of the survey will inform future EGRP communications planning and initiatives and ultimately will be used to help the Program meet the information needs of the extramural research community.</w:t>
      </w:r>
    </w:p>
    <w:p w:rsidR="00925DEC" w:rsidRDefault="00925DE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925DEC" w:rsidRDefault="00925DEC"/>
    <w:p w:rsidR="00180E04" w:rsidRDefault="00F65F05">
      <w:proofErr w:type="gramStart"/>
      <w:r>
        <w:t xml:space="preserve">Individuals who have read </w:t>
      </w:r>
      <w:r w:rsidR="00B610AB">
        <w:t xml:space="preserve">one or more </w:t>
      </w:r>
      <w:r>
        <w:t>communications from EGRP</w:t>
      </w:r>
      <w:r w:rsidR="00ED24A6">
        <w:t>.</w:t>
      </w:r>
      <w:proofErr w:type="gramEnd"/>
    </w:p>
    <w:p w:rsidR="00925DEC" w:rsidRDefault="00925DEC">
      <w:pPr>
        <w:rPr>
          <w:b/>
        </w:rPr>
      </w:pPr>
    </w:p>
    <w:p w:rsidR="00925DEC" w:rsidRDefault="00925DEC">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8121D1">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925DEC" w:rsidRDefault="00925DEC">
      <w:pPr>
        <w:rPr>
          <w:b/>
        </w:rPr>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A2C43">
        <w:t xml:space="preserve"> </w:t>
      </w:r>
      <w:r w:rsidR="00937C9A" w:rsidRPr="00A71477">
        <w:rPr>
          <w:u w:val="single"/>
        </w:rPr>
        <w:t xml:space="preserve">Christine M. </w:t>
      </w:r>
      <w:proofErr w:type="spellStart"/>
      <w:r w:rsidR="00937C9A" w:rsidRPr="00A71477">
        <w:rPr>
          <w:u w:val="single"/>
        </w:rPr>
        <w:t>Kaefer</w:t>
      </w:r>
      <w:proofErr w:type="spellEnd"/>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73216E">
        <w:t xml:space="preserve">] Yes  [X] </w:t>
      </w:r>
      <w:r w:rsidR="009239AA">
        <w:t xml:space="preserve">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73216E">
        <w:t>X</w:t>
      </w:r>
      <w:r>
        <w:t xml:space="preserve">] No  </w:t>
      </w:r>
    </w:p>
    <w:p w:rsidR="004D6E14" w:rsidRDefault="004D6E14">
      <w:pPr>
        <w:rPr>
          <w:b/>
        </w:rPr>
      </w:pPr>
    </w:p>
    <w:p w:rsidR="00925DEC" w:rsidRDefault="009B2D08" w:rsidP="00C86E91">
      <w:pPr>
        <w:rPr>
          <w:b/>
        </w:rPr>
      </w:pPr>
      <w:r>
        <w:rPr>
          <w:b/>
        </w:rPr>
        <w:t>FEDERAL COSTS</w:t>
      </w:r>
    </w:p>
    <w:p w:rsidR="009B2D08" w:rsidRDefault="009B2D08" w:rsidP="00C86E91">
      <w:pPr>
        <w:rPr>
          <w:b/>
        </w:rPr>
      </w:pPr>
    </w:p>
    <w:p w:rsidR="00581698" w:rsidRDefault="008D7B68" w:rsidP="00C86E91">
      <w:r>
        <w:t xml:space="preserve">The </w:t>
      </w:r>
      <w:r w:rsidR="00A26EC7">
        <w:t>estimated annual</w:t>
      </w:r>
      <w:r>
        <w:t xml:space="preserve"> cost to the federal government is $391.</w:t>
      </w:r>
    </w:p>
    <w:p w:rsidR="009B2D08" w:rsidRDefault="009B2D08" w:rsidP="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2070"/>
        <w:gridCol w:w="2340"/>
        <w:gridCol w:w="1980"/>
      </w:tblGrid>
      <w:tr w:rsidR="00EF2095" w:rsidTr="00925DEC">
        <w:trPr>
          <w:trHeight w:val="274"/>
        </w:trPr>
        <w:tc>
          <w:tcPr>
            <w:tcW w:w="3618" w:type="dxa"/>
          </w:tcPr>
          <w:p w:rsidR="006832D9" w:rsidRPr="0001027E" w:rsidRDefault="00E40B50" w:rsidP="00C8488C">
            <w:pPr>
              <w:rPr>
                <w:b/>
              </w:rPr>
            </w:pPr>
            <w:r w:rsidRPr="0001027E">
              <w:rPr>
                <w:b/>
              </w:rPr>
              <w:t>Category of Respondent</w:t>
            </w:r>
            <w:r w:rsidR="00EF2095" w:rsidRPr="0001027E">
              <w:rPr>
                <w:b/>
              </w:rPr>
              <w:t xml:space="preserve"> </w:t>
            </w:r>
          </w:p>
        </w:tc>
        <w:tc>
          <w:tcPr>
            <w:tcW w:w="207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340" w:type="dxa"/>
          </w:tcPr>
          <w:p w:rsidR="006832D9" w:rsidRDefault="006832D9" w:rsidP="00843796">
            <w:pPr>
              <w:rPr>
                <w:b/>
              </w:rPr>
            </w:pPr>
            <w:r w:rsidRPr="0001027E">
              <w:rPr>
                <w:b/>
              </w:rPr>
              <w:t>Participation Time</w:t>
            </w:r>
          </w:p>
          <w:p w:rsidR="001A2039" w:rsidRPr="0001027E" w:rsidRDefault="001A2039" w:rsidP="00843796">
            <w:pPr>
              <w:rPr>
                <w:b/>
              </w:rPr>
            </w:pPr>
            <w:r>
              <w:rPr>
                <w:b/>
              </w:rPr>
              <w:t>(in hours)</w:t>
            </w:r>
          </w:p>
        </w:tc>
        <w:tc>
          <w:tcPr>
            <w:tcW w:w="1980" w:type="dxa"/>
          </w:tcPr>
          <w:p w:rsidR="006832D9" w:rsidRDefault="001A2039" w:rsidP="00843796">
            <w:pPr>
              <w:rPr>
                <w:b/>
              </w:rPr>
            </w:pPr>
            <w:r>
              <w:rPr>
                <w:b/>
              </w:rPr>
              <w:t xml:space="preserve">Total </w:t>
            </w:r>
            <w:r w:rsidR="006832D9" w:rsidRPr="0001027E">
              <w:rPr>
                <w:b/>
              </w:rPr>
              <w:t>Burden</w:t>
            </w:r>
          </w:p>
          <w:p w:rsidR="001A2039" w:rsidRPr="0001027E" w:rsidRDefault="001A2039" w:rsidP="00843796">
            <w:pPr>
              <w:rPr>
                <w:b/>
              </w:rPr>
            </w:pPr>
            <w:r>
              <w:rPr>
                <w:b/>
              </w:rPr>
              <w:t>Hours</w:t>
            </w:r>
          </w:p>
        </w:tc>
      </w:tr>
      <w:tr w:rsidR="00EF2095" w:rsidRPr="002B093F" w:rsidTr="00925DEC">
        <w:trPr>
          <w:trHeight w:val="274"/>
        </w:trPr>
        <w:tc>
          <w:tcPr>
            <w:tcW w:w="3618" w:type="dxa"/>
          </w:tcPr>
          <w:p w:rsidR="006832D9" w:rsidRPr="002B093F" w:rsidRDefault="001A2039" w:rsidP="00843796">
            <w:r w:rsidRPr="002B093F">
              <w:t>Individuals</w:t>
            </w:r>
          </w:p>
        </w:tc>
        <w:tc>
          <w:tcPr>
            <w:tcW w:w="2070" w:type="dxa"/>
          </w:tcPr>
          <w:p w:rsidR="006832D9" w:rsidRPr="002B093F" w:rsidRDefault="00F13043" w:rsidP="00843796">
            <w:r>
              <w:t>500</w:t>
            </w:r>
          </w:p>
        </w:tc>
        <w:tc>
          <w:tcPr>
            <w:tcW w:w="2340" w:type="dxa"/>
          </w:tcPr>
          <w:p w:rsidR="006832D9" w:rsidRPr="002B093F" w:rsidRDefault="00F13043" w:rsidP="001A2039">
            <w:r>
              <w:t>15</w:t>
            </w:r>
            <w:r w:rsidR="00D63714" w:rsidRPr="002B093F">
              <w:t>/60</w:t>
            </w:r>
          </w:p>
        </w:tc>
        <w:tc>
          <w:tcPr>
            <w:tcW w:w="1980" w:type="dxa"/>
          </w:tcPr>
          <w:p w:rsidR="006832D9" w:rsidRPr="002B093F" w:rsidRDefault="00F13043" w:rsidP="00843796">
            <w:r>
              <w:t>125</w:t>
            </w:r>
          </w:p>
        </w:tc>
      </w:tr>
    </w:tbl>
    <w:p w:rsidR="00F3170F" w:rsidRPr="002B093F" w:rsidRDefault="00F3170F" w:rsidP="00F3170F"/>
    <w:p w:rsidR="005E714A" w:rsidRPr="00F13043" w:rsidRDefault="00925DEC" w:rsidP="00F13043">
      <w:pPr>
        <w:tabs>
          <w:tab w:val="left" w:pos="5670"/>
        </w:tabs>
        <w:suppressAutoHyphens/>
        <w:rPr>
          <w:color w:val="FF0000"/>
        </w:rPr>
      </w:pPr>
      <w:r w:rsidRPr="002B093F">
        <w:rPr>
          <w:color w:val="000000" w:themeColor="text1"/>
        </w:rPr>
        <w:t xml:space="preserve">  </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r w:rsidR="0073216E" w:rsidRPr="0073216E">
        <w:rPr>
          <w:b/>
          <w:bCs/>
        </w:rPr>
        <w:t xml:space="preserve"> </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7C9A">
        <w:t>X</w:t>
      </w:r>
      <w:r>
        <w:t xml:space="preserve"> ] Yes</w:t>
      </w:r>
      <w:r>
        <w:tab/>
        <w:t>[ ] No</w:t>
      </w:r>
    </w:p>
    <w:p w:rsidR="00636621" w:rsidRDefault="00636621" w:rsidP="00636621">
      <w:pPr>
        <w:pStyle w:val="ListParagraph"/>
      </w:pPr>
    </w:p>
    <w:p w:rsidR="00A65A7C"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p>
    <w:p w:rsidR="00355DD6" w:rsidRDefault="00355DD6" w:rsidP="00355DD6">
      <w:pPr>
        <w:tabs>
          <w:tab w:val="left" w:pos="720"/>
          <w:tab w:val="left" w:pos="1080"/>
        </w:tabs>
        <w:rPr>
          <w:rFonts w:ascii="Calibri" w:hAnsi="Calibri"/>
          <w:lang w:eastAsia="ar-SA"/>
        </w:rPr>
      </w:pPr>
    </w:p>
    <w:p w:rsidR="00355DD6" w:rsidRPr="00355DD6" w:rsidRDefault="00355DD6" w:rsidP="00355DD6">
      <w:pPr>
        <w:tabs>
          <w:tab w:val="left" w:pos="720"/>
          <w:tab w:val="left" w:pos="1080"/>
        </w:tabs>
        <w:ind w:left="720"/>
        <w:rPr>
          <w:lang w:eastAsia="ar-SA"/>
        </w:rPr>
      </w:pPr>
      <w:r w:rsidRPr="00355DD6">
        <w:rPr>
          <w:lang w:eastAsia="ar-SA"/>
        </w:rPr>
        <w:t xml:space="preserve">EGRP conducted a similar research survey in 2013.  Of the 1,821 LISTSERV subscribers who received the survey, 60 completed it, giving the survey a response rate of .03%. Although EGRP now has a more robust communications network, the number of respondents to the proposed survey, which will be sent to </w:t>
      </w:r>
      <w:r w:rsidR="0023555C">
        <w:rPr>
          <w:lang w:eastAsia="ar-SA"/>
        </w:rPr>
        <w:t>approximately 3,948</w:t>
      </w:r>
      <w:r w:rsidRPr="00355DD6">
        <w:rPr>
          <w:lang w:eastAsia="ar-SA"/>
        </w:rPr>
        <w:t xml:space="preserve"> </w:t>
      </w:r>
      <w:r>
        <w:rPr>
          <w:lang w:eastAsia="ar-SA"/>
        </w:rPr>
        <w:t xml:space="preserve">email </w:t>
      </w:r>
      <w:r>
        <w:rPr>
          <w:lang w:eastAsia="ar-SA"/>
        </w:rPr>
        <w:lastRenderedPageBreak/>
        <w:t>addresses and Twitter accounts</w:t>
      </w:r>
      <w:r w:rsidRPr="00355DD6">
        <w:rPr>
          <w:lang w:eastAsia="ar-SA"/>
        </w:rPr>
        <w:t xml:space="preserve"> (the total number of subscribers fluctuates), we do not expect to exceed 500 respondents.</w:t>
      </w:r>
    </w:p>
    <w:p w:rsidR="00355DD6" w:rsidRPr="00355DD6" w:rsidRDefault="00355DD6" w:rsidP="00355DD6">
      <w:pPr>
        <w:tabs>
          <w:tab w:val="left" w:pos="720"/>
          <w:tab w:val="left" w:pos="1080"/>
        </w:tabs>
        <w:ind w:left="720"/>
        <w:rPr>
          <w:lang w:eastAsia="ar-SA"/>
        </w:rPr>
      </w:pPr>
    </w:p>
    <w:p w:rsidR="00355DD6" w:rsidRPr="00355DD6" w:rsidRDefault="00355DD6" w:rsidP="00355DD6">
      <w:pPr>
        <w:tabs>
          <w:tab w:val="left" w:pos="720"/>
          <w:tab w:val="left" w:pos="1080"/>
        </w:tabs>
        <w:ind w:left="720"/>
        <w:rPr>
          <w:lang w:eastAsia="ar-SA"/>
        </w:rPr>
      </w:pPr>
      <w:r w:rsidRPr="00355DD6">
        <w:rPr>
          <w:lang w:eastAsia="ar-SA"/>
        </w:rPr>
        <w:t>Below are additional details on the demographics and location of EGRP’s LISTSERV subscribers, newsletter subscribers, and Twitter followers.</w:t>
      </w:r>
    </w:p>
    <w:p w:rsidR="00355DD6" w:rsidRPr="00355DD6" w:rsidRDefault="00355DD6" w:rsidP="00355DD6">
      <w:pPr>
        <w:tabs>
          <w:tab w:val="left" w:pos="720"/>
          <w:tab w:val="left" w:pos="1080"/>
        </w:tabs>
        <w:ind w:left="720"/>
        <w:rPr>
          <w:lang w:eastAsia="ar-SA"/>
        </w:rPr>
      </w:pPr>
    </w:p>
    <w:p w:rsidR="00355DD6" w:rsidRPr="00355DD6" w:rsidRDefault="00355DD6" w:rsidP="00355DD6">
      <w:pPr>
        <w:tabs>
          <w:tab w:val="left" w:pos="720"/>
          <w:tab w:val="left" w:pos="1080"/>
        </w:tabs>
        <w:ind w:left="720"/>
        <w:rPr>
          <w:lang w:eastAsia="ar-SA"/>
        </w:rPr>
      </w:pPr>
      <w:r w:rsidRPr="00355DD6">
        <w:rPr>
          <w:lang w:eastAsia="ar-SA"/>
        </w:rPr>
        <w:t>LISTSERV subscribers:</w:t>
      </w:r>
    </w:p>
    <w:p w:rsidR="00355DD6" w:rsidRPr="00355DD6" w:rsidRDefault="0023555C" w:rsidP="00355DD6">
      <w:pPr>
        <w:tabs>
          <w:tab w:val="left" w:pos="720"/>
          <w:tab w:val="left" w:pos="1080"/>
        </w:tabs>
        <w:ind w:left="720"/>
        <w:rPr>
          <w:lang w:eastAsia="ar-SA"/>
        </w:rPr>
      </w:pPr>
      <w:r>
        <w:rPr>
          <w:lang w:eastAsia="ar-SA"/>
        </w:rPr>
        <w:t>As of November 26</w:t>
      </w:r>
      <w:r w:rsidR="00355DD6" w:rsidRPr="00355DD6">
        <w:rPr>
          <w:lang w:eastAsia="ar-SA"/>
        </w:rPr>
        <w:t xml:space="preserve">, 2014, the FRIENDS-OF-NCI-EGRP-LISTSERV consisted of approximately 1,741 subscribers; however, the list is no longer promoted and may contain a number of defunct e-mail addresses. Limited data exists regarding subscriber demographics, but based on e-mail signature blocks from individuals requesting to be added to the LISTSERV in recent years, the majority of subscribers appear to be researchers who work in academic institutions. LISTSERV subscribers are primarily located in the United States, but </w:t>
      </w:r>
      <w:proofErr w:type="gramStart"/>
      <w:r w:rsidR="00355DD6" w:rsidRPr="00355DD6">
        <w:rPr>
          <w:lang w:eastAsia="ar-SA"/>
        </w:rPr>
        <w:t>a small percentage (less than 5%) reside</w:t>
      </w:r>
      <w:proofErr w:type="gramEnd"/>
      <w:r w:rsidR="00355DD6" w:rsidRPr="00355DD6">
        <w:rPr>
          <w:lang w:eastAsia="ar-SA"/>
        </w:rPr>
        <w:t xml:space="preserve"> in other countries, based on their e-mail addresses. All LISTSERV subscribers will be invited to participate in the survey. </w:t>
      </w:r>
    </w:p>
    <w:p w:rsidR="00355DD6" w:rsidRPr="00355DD6" w:rsidRDefault="00355DD6" w:rsidP="00355DD6">
      <w:pPr>
        <w:tabs>
          <w:tab w:val="left" w:pos="720"/>
          <w:tab w:val="left" w:pos="1080"/>
        </w:tabs>
        <w:ind w:left="720"/>
        <w:rPr>
          <w:lang w:eastAsia="ar-SA"/>
        </w:rPr>
      </w:pPr>
    </w:p>
    <w:p w:rsidR="00355DD6" w:rsidRPr="00355DD6" w:rsidRDefault="00355DD6" w:rsidP="00355DD6">
      <w:pPr>
        <w:tabs>
          <w:tab w:val="left" w:pos="720"/>
          <w:tab w:val="left" w:pos="1080"/>
        </w:tabs>
        <w:ind w:left="720"/>
        <w:rPr>
          <w:lang w:eastAsia="ar-SA"/>
        </w:rPr>
      </w:pPr>
      <w:r w:rsidRPr="00355DD6">
        <w:rPr>
          <w:lang w:eastAsia="ar-SA"/>
        </w:rPr>
        <w:t>Newsletter subscribers</w:t>
      </w:r>
      <w:r w:rsidR="001A3FB1">
        <w:rPr>
          <w:lang w:eastAsia="ar-SA"/>
        </w:rPr>
        <w:t>:</w:t>
      </w:r>
    </w:p>
    <w:p w:rsidR="00355DD6" w:rsidRPr="00355DD6" w:rsidRDefault="0023555C" w:rsidP="00355DD6">
      <w:pPr>
        <w:tabs>
          <w:tab w:val="left" w:pos="720"/>
          <w:tab w:val="left" w:pos="1080"/>
        </w:tabs>
        <w:ind w:left="720"/>
        <w:rPr>
          <w:lang w:eastAsia="ar-SA"/>
        </w:rPr>
      </w:pPr>
      <w:r>
        <w:rPr>
          <w:lang w:eastAsia="ar-SA"/>
        </w:rPr>
        <w:t>As of November 26, 2014 there were 303</w:t>
      </w:r>
      <w:r w:rsidR="00355DD6" w:rsidRPr="00355DD6">
        <w:rPr>
          <w:lang w:eastAsia="ar-SA"/>
        </w:rPr>
        <w:t xml:space="preserve"> subscribers to the </w:t>
      </w:r>
      <w:r w:rsidR="00355DD6" w:rsidRPr="00355DD6">
        <w:rPr>
          <w:i/>
          <w:lang w:eastAsia="ar-SA"/>
        </w:rPr>
        <w:t>Cancer Epidemiology Matters E-News</w:t>
      </w:r>
      <w:r w:rsidR="00355DD6" w:rsidRPr="00355DD6">
        <w:rPr>
          <w:lang w:eastAsia="ar-SA"/>
        </w:rPr>
        <w:t xml:space="preserve"> email newsletter. Limited data exists regarding subscriber demographics, but based on email addresses, the majority of newsletter subscribers reside in the U.S., but a small fraction (less than 10%) are located in other countries.  Most belong to a nonprofit, academic, or government institutions.</w:t>
      </w:r>
    </w:p>
    <w:p w:rsidR="00355DD6" w:rsidRPr="00355DD6" w:rsidRDefault="00355DD6" w:rsidP="00355DD6">
      <w:pPr>
        <w:tabs>
          <w:tab w:val="left" w:pos="720"/>
          <w:tab w:val="left" w:pos="1080"/>
        </w:tabs>
        <w:ind w:left="720"/>
        <w:rPr>
          <w:lang w:eastAsia="ar-SA"/>
        </w:rPr>
      </w:pPr>
    </w:p>
    <w:p w:rsidR="00355DD6" w:rsidRPr="00355DD6" w:rsidRDefault="00355DD6" w:rsidP="00355DD6">
      <w:pPr>
        <w:tabs>
          <w:tab w:val="left" w:pos="720"/>
          <w:tab w:val="left" w:pos="1080"/>
        </w:tabs>
        <w:ind w:left="720"/>
        <w:rPr>
          <w:lang w:eastAsia="ar-SA"/>
        </w:rPr>
      </w:pPr>
      <w:r w:rsidRPr="00355DD6">
        <w:rPr>
          <w:lang w:eastAsia="ar-SA"/>
        </w:rPr>
        <w:t>Twitter Followers</w:t>
      </w:r>
      <w:r w:rsidR="001A3FB1">
        <w:rPr>
          <w:lang w:eastAsia="ar-SA"/>
        </w:rPr>
        <w:t>:</w:t>
      </w:r>
    </w:p>
    <w:p w:rsidR="00355DD6" w:rsidRPr="00355DD6" w:rsidRDefault="0023555C" w:rsidP="00355DD6">
      <w:pPr>
        <w:tabs>
          <w:tab w:val="left" w:pos="720"/>
          <w:tab w:val="left" w:pos="1080"/>
        </w:tabs>
        <w:ind w:left="720"/>
        <w:rPr>
          <w:lang w:eastAsia="ar-SA"/>
        </w:rPr>
      </w:pPr>
      <w:r>
        <w:rPr>
          <w:lang w:eastAsia="ar-SA"/>
        </w:rPr>
        <w:t>As of November 26</w:t>
      </w:r>
      <w:r w:rsidR="00355DD6" w:rsidRPr="00355DD6">
        <w:rPr>
          <w:lang w:eastAsia="ar-SA"/>
        </w:rPr>
        <w:t>, 2014 the EGRP Twitter account (@</w:t>
      </w:r>
      <w:proofErr w:type="spellStart"/>
      <w:r w:rsidR="00355DD6" w:rsidRPr="00355DD6">
        <w:rPr>
          <w:lang w:eastAsia="ar-SA"/>
        </w:rPr>
        <w:t>NCIEp</w:t>
      </w:r>
      <w:r>
        <w:rPr>
          <w:lang w:eastAsia="ar-SA"/>
        </w:rPr>
        <w:t>i</w:t>
      </w:r>
      <w:proofErr w:type="spellEnd"/>
      <w:r>
        <w:rPr>
          <w:lang w:eastAsia="ar-SA"/>
        </w:rPr>
        <w:t>) had 1,90</w:t>
      </w:r>
      <w:r w:rsidR="00355DD6" w:rsidRPr="00355DD6">
        <w:rPr>
          <w:lang w:eastAsia="ar-SA"/>
        </w:rPr>
        <w:t>4 followers. About half of EGRP’s Twitter followers are primarily located in the U.S., with the remainder (approximately 46%) residing outside the United States. Some of the most frequently occurring words that appear in followers’ bios (descriptions of themselves) are “health,” “cancer,” “research,” “epidemiology/epidemiologist,” “university,” and “student.”</w:t>
      </w:r>
    </w:p>
    <w:p w:rsidR="008A3B19" w:rsidRDefault="008A3B19" w:rsidP="008A3B19">
      <w:pPr>
        <w:tabs>
          <w:tab w:val="left" w:pos="720"/>
          <w:tab w:val="left" w:pos="1080"/>
        </w:tabs>
        <w:ind w:left="720"/>
        <w:rPr>
          <w:b/>
        </w:rPr>
      </w:pPr>
    </w:p>
    <w:p w:rsidR="00A403BB" w:rsidRPr="008A3B19" w:rsidRDefault="008A3B19" w:rsidP="008A3B19">
      <w:pPr>
        <w:tabs>
          <w:tab w:val="left" w:pos="720"/>
          <w:tab w:val="left" w:pos="1080"/>
        </w:tabs>
        <w:rPr>
          <w:rFonts w:ascii="Calibri" w:hAnsi="Calibri"/>
          <w:lang w:eastAsia="ar-SA"/>
        </w:rPr>
      </w:pPr>
      <w:r>
        <w:rPr>
          <w:b/>
        </w:rPr>
        <w:t>Administration of the Inst</w:t>
      </w:r>
      <w:r w:rsidR="00A403BB">
        <w:rPr>
          <w:b/>
        </w:rPr>
        <w: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103485">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E74489" w:rsidRDefault="00E74489" w:rsidP="001B0AAA">
      <w:pPr>
        <w:ind w:left="720"/>
      </w:pPr>
    </w:p>
    <w:p w:rsidR="00F24CFC" w:rsidRDefault="00F24CFC" w:rsidP="00F24CFC">
      <w:pPr>
        <w:pStyle w:val="ListParagraph"/>
        <w:numPr>
          <w:ilvl w:val="0"/>
          <w:numId w:val="17"/>
        </w:numPr>
      </w:pPr>
      <w:r>
        <w:t>Will interviewers or facilitators be used?  [  ] Yes [</w:t>
      </w:r>
      <w:r w:rsidR="00103485">
        <w:t>X</w:t>
      </w:r>
      <w:r>
        <w:t>] No</w:t>
      </w:r>
    </w:p>
    <w:p w:rsidR="00E74489" w:rsidRDefault="00E74489" w:rsidP="00C53E45">
      <w:pPr>
        <w:rPr>
          <w:b/>
        </w:rPr>
      </w:pPr>
    </w:p>
    <w:p w:rsidR="00E74489" w:rsidRDefault="00E74489" w:rsidP="00C53E45">
      <w:pPr>
        <w:rPr>
          <w:b/>
        </w:rPr>
      </w:pPr>
      <w:bookmarkStart w:id="0" w:name="_GoBack"/>
      <w:bookmarkEnd w:id="0"/>
    </w:p>
    <w:sectPr w:rsidR="00E74489"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15" w:rsidRDefault="00C65615">
      <w:r>
        <w:separator/>
      </w:r>
    </w:p>
  </w:endnote>
  <w:endnote w:type="continuationSeparator" w:id="0">
    <w:p w:rsidR="00C65615" w:rsidRDefault="00C6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691" w:rsidRDefault="00DA2691">
    <w:pPr>
      <w:pStyle w:val="Footer"/>
      <w:tabs>
        <w:tab w:val="clear" w:pos="8640"/>
        <w:tab w:val="right" w:pos="9000"/>
      </w:tabs>
      <w:jc w:val="center"/>
      <w:rPr>
        <w:rStyle w:val="PageNumber"/>
        <w:sz w:val="20"/>
        <w:szCs w:val="20"/>
      </w:rPr>
    </w:pPr>
    <w:r>
      <w:rPr>
        <w:rStyle w:val="PageNumber"/>
        <w:sz w:val="20"/>
        <w:szCs w:val="20"/>
      </w:rPr>
      <w:t xml:space="preserve">Page </w:t>
    </w:r>
    <w:r w:rsidR="003006AB">
      <w:rPr>
        <w:rStyle w:val="PageNumber"/>
        <w:sz w:val="20"/>
        <w:szCs w:val="20"/>
      </w:rPr>
      <w:fldChar w:fldCharType="begin"/>
    </w:r>
    <w:r>
      <w:rPr>
        <w:rStyle w:val="PageNumber"/>
        <w:sz w:val="20"/>
        <w:szCs w:val="20"/>
      </w:rPr>
      <w:instrText xml:space="preserve"> PAGE </w:instrText>
    </w:r>
    <w:r w:rsidR="003006AB">
      <w:rPr>
        <w:rStyle w:val="PageNumber"/>
        <w:sz w:val="20"/>
        <w:szCs w:val="20"/>
      </w:rPr>
      <w:fldChar w:fldCharType="separate"/>
    </w:r>
    <w:r w:rsidR="00825722">
      <w:rPr>
        <w:rStyle w:val="PageNumber"/>
        <w:noProof/>
        <w:sz w:val="20"/>
        <w:szCs w:val="20"/>
      </w:rPr>
      <w:t>1</w:t>
    </w:r>
    <w:r w:rsidR="003006AB">
      <w:rPr>
        <w:rStyle w:val="PageNumber"/>
        <w:sz w:val="20"/>
        <w:szCs w:val="20"/>
      </w:rPr>
      <w:fldChar w:fldCharType="end"/>
    </w:r>
    <w:r>
      <w:rPr>
        <w:rStyle w:val="PageNumber"/>
        <w:sz w:val="20"/>
        <w:szCs w:val="20"/>
      </w:rPr>
      <w:tab/>
    </w:r>
    <w:r>
      <w:rPr>
        <w:rStyle w:val="PageNumber"/>
        <w:sz w:val="20"/>
        <w:szCs w:val="20"/>
      </w:rPr>
      <w:tab/>
    </w:r>
    <w:fldSimple w:instr=" DATE   \* MERGEFORMAT ">
      <w:r w:rsidR="00A26EC7" w:rsidRPr="00A26EC7">
        <w:rPr>
          <w:rStyle w:val="PageNumber"/>
          <w:noProof/>
          <w:sz w:val="20"/>
          <w:szCs w:val="20"/>
        </w:rPr>
        <w:t>12/15/2014</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15" w:rsidRDefault="00C65615">
      <w:r>
        <w:separator/>
      </w:r>
    </w:p>
  </w:footnote>
  <w:footnote w:type="continuationSeparator" w:id="0">
    <w:p w:rsidR="00C65615" w:rsidRDefault="00C65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23D03"/>
    <w:rsid w:val="00032886"/>
    <w:rsid w:val="00047A64"/>
    <w:rsid w:val="000508D4"/>
    <w:rsid w:val="000631E6"/>
    <w:rsid w:val="00067329"/>
    <w:rsid w:val="00080455"/>
    <w:rsid w:val="000B0508"/>
    <w:rsid w:val="000B2838"/>
    <w:rsid w:val="000D44CA"/>
    <w:rsid w:val="000E029C"/>
    <w:rsid w:val="000E200B"/>
    <w:rsid w:val="000E2F08"/>
    <w:rsid w:val="000F68BE"/>
    <w:rsid w:val="00103485"/>
    <w:rsid w:val="00123CEC"/>
    <w:rsid w:val="001436A7"/>
    <w:rsid w:val="00153ECF"/>
    <w:rsid w:val="0016105E"/>
    <w:rsid w:val="001732B4"/>
    <w:rsid w:val="00177D93"/>
    <w:rsid w:val="00180E04"/>
    <w:rsid w:val="0018606A"/>
    <w:rsid w:val="001927A4"/>
    <w:rsid w:val="00194AC6"/>
    <w:rsid w:val="001A2039"/>
    <w:rsid w:val="001A23B0"/>
    <w:rsid w:val="001A25CC"/>
    <w:rsid w:val="001A3FB1"/>
    <w:rsid w:val="001B0AAA"/>
    <w:rsid w:val="001C39F7"/>
    <w:rsid w:val="001C6666"/>
    <w:rsid w:val="001E2410"/>
    <w:rsid w:val="001F3B1E"/>
    <w:rsid w:val="001F6823"/>
    <w:rsid w:val="0021574D"/>
    <w:rsid w:val="002244CC"/>
    <w:rsid w:val="0023555C"/>
    <w:rsid w:val="00237B48"/>
    <w:rsid w:val="0024521E"/>
    <w:rsid w:val="00251864"/>
    <w:rsid w:val="00263C3D"/>
    <w:rsid w:val="00273120"/>
    <w:rsid w:val="00274D0B"/>
    <w:rsid w:val="00281769"/>
    <w:rsid w:val="0029575A"/>
    <w:rsid w:val="002A062E"/>
    <w:rsid w:val="002A616A"/>
    <w:rsid w:val="002B052D"/>
    <w:rsid w:val="002B093F"/>
    <w:rsid w:val="002B34CD"/>
    <w:rsid w:val="002B3C95"/>
    <w:rsid w:val="002D0B92"/>
    <w:rsid w:val="002E3DF8"/>
    <w:rsid w:val="002E434D"/>
    <w:rsid w:val="002E477C"/>
    <w:rsid w:val="002E5907"/>
    <w:rsid w:val="002F163D"/>
    <w:rsid w:val="002F5187"/>
    <w:rsid w:val="002F6408"/>
    <w:rsid w:val="003006AB"/>
    <w:rsid w:val="003135D0"/>
    <w:rsid w:val="003337D2"/>
    <w:rsid w:val="0034201E"/>
    <w:rsid w:val="00355DD6"/>
    <w:rsid w:val="003A2C43"/>
    <w:rsid w:val="003B316A"/>
    <w:rsid w:val="003D5BBE"/>
    <w:rsid w:val="003D615C"/>
    <w:rsid w:val="003E3C61"/>
    <w:rsid w:val="003F1C5B"/>
    <w:rsid w:val="00406755"/>
    <w:rsid w:val="00406923"/>
    <w:rsid w:val="0041495D"/>
    <w:rsid w:val="00426504"/>
    <w:rsid w:val="0042772E"/>
    <w:rsid w:val="00434E33"/>
    <w:rsid w:val="00441434"/>
    <w:rsid w:val="004523AC"/>
    <w:rsid w:val="0045264C"/>
    <w:rsid w:val="00463F17"/>
    <w:rsid w:val="004876EC"/>
    <w:rsid w:val="00491A1E"/>
    <w:rsid w:val="004C41F2"/>
    <w:rsid w:val="004C54E0"/>
    <w:rsid w:val="004D6E14"/>
    <w:rsid w:val="004E1DE0"/>
    <w:rsid w:val="005009B0"/>
    <w:rsid w:val="0050724B"/>
    <w:rsid w:val="00533A46"/>
    <w:rsid w:val="00554F37"/>
    <w:rsid w:val="00557F5D"/>
    <w:rsid w:val="0057557F"/>
    <w:rsid w:val="00575965"/>
    <w:rsid w:val="00581698"/>
    <w:rsid w:val="00587F4E"/>
    <w:rsid w:val="00591BE6"/>
    <w:rsid w:val="00592430"/>
    <w:rsid w:val="005954BC"/>
    <w:rsid w:val="005A0F7A"/>
    <w:rsid w:val="005A1006"/>
    <w:rsid w:val="005E1EEE"/>
    <w:rsid w:val="005E714A"/>
    <w:rsid w:val="005F693D"/>
    <w:rsid w:val="006140A0"/>
    <w:rsid w:val="006203D0"/>
    <w:rsid w:val="00636621"/>
    <w:rsid w:val="00642B49"/>
    <w:rsid w:val="00650FF4"/>
    <w:rsid w:val="00662328"/>
    <w:rsid w:val="00663182"/>
    <w:rsid w:val="006832D9"/>
    <w:rsid w:val="0069403B"/>
    <w:rsid w:val="006C55C0"/>
    <w:rsid w:val="006E1DF9"/>
    <w:rsid w:val="006E4EFE"/>
    <w:rsid w:val="006F3DDE"/>
    <w:rsid w:val="0070112B"/>
    <w:rsid w:val="00704678"/>
    <w:rsid w:val="0072576D"/>
    <w:rsid w:val="0073216E"/>
    <w:rsid w:val="007425E7"/>
    <w:rsid w:val="0079324D"/>
    <w:rsid w:val="007B7D69"/>
    <w:rsid w:val="007C3AD9"/>
    <w:rsid w:val="007E75AD"/>
    <w:rsid w:val="007F7080"/>
    <w:rsid w:val="00802607"/>
    <w:rsid w:val="008101A5"/>
    <w:rsid w:val="008121D1"/>
    <w:rsid w:val="00813C67"/>
    <w:rsid w:val="00822664"/>
    <w:rsid w:val="00825722"/>
    <w:rsid w:val="00843796"/>
    <w:rsid w:val="00853505"/>
    <w:rsid w:val="00855658"/>
    <w:rsid w:val="00871E12"/>
    <w:rsid w:val="00873D70"/>
    <w:rsid w:val="00882034"/>
    <w:rsid w:val="00894B2C"/>
    <w:rsid w:val="00895229"/>
    <w:rsid w:val="008A3B19"/>
    <w:rsid w:val="008B1647"/>
    <w:rsid w:val="008B2EB3"/>
    <w:rsid w:val="008D7B68"/>
    <w:rsid w:val="008E50F4"/>
    <w:rsid w:val="008E6AFB"/>
    <w:rsid w:val="008F0203"/>
    <w:rsid w:val="008F4E64"/>
    <w:rsid w:val="008F50D4"/>
    <w:rsid w:val="009239AA"/>
    <w:rsid w:val="00925DEC"/>
    <w:rsid w:val="00935ADA"/>
    <w:rsid w:val="00937C9A"/>
    <w:rsid w:val="009415EA"/>
    <w:rsid w:val="00946B6C"/>
    <w:rsid w:val="00955A71"/>
    <w:rsid w:val="0095636E"/>
    <w:rsid w:val="0096108F"/>
    <w:rsid w:val="00961546"/>
    <w:rsid w:val="009B2D08"/>
    <w:rsid w:val="009C13B9"/>
    <w:rsid w:val="009D01A2"/>
    <w:rsid w:val="009F5923"/>
    <w:rsid w:val="00A22170"/>
    <w:rsid w:val="00A26EC7"/>
    <w:rsid w:val="00A331FB"/>
    <w:rsid w:val="00A34F25"/>
    <w:rsid w:val="00A403BB"/>
    <w:rsid w:val="00A65A7C"/>
    <w:rsid w:val="00A674DF"/>
    <w:rsid w:val="00A71477"/>
    <w:rsid w:val="00A83AA6"/>
    <w:rsid w:val="00A934D6"/>
    <w:rsid w:val="00AD5262"/>
    <w:rsid w:val="00AE1809"/>
    <w:rsid w:val="00AF0DED"/>
    <w:rsid w:val="00B06B1D"/>
    <w:rsid w:val="00B1218C"/>
    <w:rsid w:val="00B35C8F"/>
    <w:rsid w:val="00B42571"/>
    <w:rsid w:val="00B451B1"/>
    <w:rsid w:val="00B610AB"/>
    <w:rsid w:val="00B80D76"/>
    <w:rsid w:val="00B84B4A"/>
    <w:rsid w:val="00B95A15"/>
    <w:rsid w:val="00BA2105"/>
    <w:rsid w:val="00BA7E06"/>
    <w:rsid w:val="00BB43B5"/>
    <w:rsid w:val="00BB4B4B"/>
    <w:rsid w:val="00BB6219"/>
    <w:rsid w:val="00BC1E44"/>
    <w:rsid w:val="00BD290F"/>
    <w:rsid w:val="00BE21FB"/>
    <w:rsid w:val="00C14CC4"/>
    <w:rsid w:val="00C33C52"/>
    <w:rsid w:val="00C355AB"/>
    <w:rsid w:val="00C40AC5"/>
    <w:rsid w:val="00C40D8B"/>
    <w:rsid w:val="00C53E45"/>
    <w:rsid w:val="00C56F35"/>
    <w:rsid w:val="00C65615"/>
    <w:rsid w:val="00C65E5D"/>
    <w:rsid w:val="00C66019"/>
    <w:rsid w:val="00C76345"/>
    <w:rsid w:val="00C8407A"/>
    <w:rsid w:val="00C8488C"/>
    <w:rsid w:val="00C86E91"/>
    <w:rsid w:val="00C91673"/>
    <w:rsid w:val="00CA1D5A"/>
    <w:rsid w:val="00CA2650"/>
    <w:rsid w:val="00CB1078"/>
    <w:rsid w:val="00CC6FAF"/>
    <w:rsid w:val="00CF6542"/>
    <w:rsid w:val="00D24698"/>
    <w:rsid w:val="00D46819"/>
    <w:rsid w:val="00D63714"/>
    <w:rsid w:val="00D6383F"/>
    <w:rsid w:val="00D6779B"/>
    <w:rsid w:val="00D7530C"/>
    <w:rsid w:val="00D753E8"/>
    <w:rsid w:val="00DA2691"/>
    <w:rsid w:val="00DB59D0"/>
    <w:rsid w:val="00DC33D3"/>
    <w:rsid w:val="00E2178E"/>
    <w:rsid w:val="00E26329"/>
    <w:rsid w:val="00E2747F"/>
    <w:rsid w:val="00E40B50"/>
    <w:rsid w:val="00E50293"/>
    <w:rsid w:val="00E65FFC"/>
    <w:rsid w:val="00E67507"/>
    <w:rsid w:val="00E74489"/>
    <w:rsid w:val="00E744EA"/>
    <w:rsid w:val="00E80951"/>
    <w:rsid w:val="00E86CC6"/>
    <w:rsid w:val="00EA18A0"/>
    <w:rsid w:val="00EB56B3"/>
    <w:rsid w:val="00ED24A6"/>
    <w:rsid w:val="00ED6492"/>
    <w:rsid w:val="00EE2021"/>
    <w:rsid w:val="00EF0FE8"/>
    <w:rsid w:val="00EF2095"/>
    <w:rsid w:val="00EF5CD2"/>
    <w:rsid w:val="00F06866"/>
    <w:rsid w:val="00F13043"/>
    <w:rsid w:val="00F15956"/>
    <w:rsid w:val="00F24CFC"/>
    <w:rsid w:val="00F25B24"/>
    <w:rsid w:val="00F3170F"/>
    <w:rsid w:val="00F35D3B"/>
    <w:rsid w:val="00F55799"/>
    <w:rsid w:val="00F65F05"/>
    <w:rsid w:val="00F70805"/>
    <w:rsid w:val="00F77403"/>
    <w:rsid w:val="00F976B0"/>
    <w:rsid w:val="00FA6DE7"/>
    <w:rsid w:val="00FB4912"/>
    <w:rsid w:val="00FC0A8E"/>
    <w:rsid w:val="00FD1B99"/>
    <w:rsid w:val="00FE075F"/>
    <w:rsid w:val="00FE2FA6"/>
    <w:rsid w:val="00FE3DF2"/>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34455358">
      <w:bodyDiv w:val="1"/>
      <w:marLeft w:val="0"/>
      <w:marRight w:val="0"/>
      <w:marTop w:val="0"/>
      <w:marBottom w:val="0"/>
      <w:divBdr>
        <w:top w:val="none" w:sz="0" w:space="0" w:color="auto"/>
        <w:left w:val="none" w:sz="0" w:space="0" w:color="auto"/>
        <w:bottom w:val="none" w:sz="0" w:space="0" w:color="auto"/>
        <w:right w:val="none" w:sz="0" w:space="0" w:color="auto"/>
      </w:divBdr>
      <w:divsChild>
        <w:div w:id="898982011">
          <w:marLeft w:val="0"/>
          <w:marRight w:val="0"/>
          <w:marTop w:val="0"/>
          <w:marBottom w:val="0"/>
          <w:divBdr>
            <w:top w:val="none" w:sz="0" w:space="0" w:color="auto"/>
            <w:left w:val="none" w:sz="0" w:space="0" w:color="auto"/>
            <w:bottom w:val="none" w:sz="0" w:space="0" w:color="auto"/>
            <w:right w:val="none" w:sz="0" w:space="0" w:color="auto"/>
          </w:divBdr>
          <w:divsChild>
            <w:div w:id="1172531335">
              <w:marLeft w:val="0"/>
              <w:marRight w:val="0"/>
              <w:marTop w:val="0"/>
              <w:marBottom w:val="0"/>
              <w:divBdr>
                <w:top w:val="none" w:sz="0" w:space="0" w:color="auto"/>
                <w:left w:val="none" w:sz="0" w:space="0" w:color="auto"/>
                <w:bottom w:val="none" w:sz="0" w:space="0" w:color="auto"/>
                <w:right w:val="none" w:sz="0" w:space="0" w:color="auto"/>
              </w:divBdr>
              <w:divsChild>
                <w:div w:id="308486879">
                  <w:marLeft w:val="0"/>
                  <w:marRight w:val="0"/>
                  <w:marTop w:val="0"/>
                  <w:marBottom w:val="0"/>
                  <w:divBdr>
                    <w:top w:val="none" w:sz="0" w:space="0" w:color="auto"/>
                    <w:left w:val="none" w:sz="0" w:space="0" w:color="auto"/>
                    <w:bottom w:val="none" w:sz="0" w:space="0" w:color="auto"/>
                    <w:right w:val="none" w:sz="0" w:space="0" w:color="auto"/>
                  </w:divBdr>
                  <w:divsChild>
                    <w:div w:id="714963810">
                      <w:marLeft w:val="0"/>
                      <w:marRight w:val="0"/>
                      <w:marTop w:val="0"/>
                      <w:marBottom w:val="0"/>
                      <w:divBdr>
                        <w:top w:val="none" w:sz="0" w:space="0" w:color="auto"/>
                        <w:left w:val="none" w:sz="0" w:space="0" w:color="auto"/>
                        <w:bottom w:val="none" w:sz="0" w:space="0" w:color="auto"/>
                        <w:right w:val="none" w:sz="0" w:space="0" w:color="auto"/>
                      </w:divBdr>
                      <w:divsChild>
                        <w:div w:id="1743064923">
                          <w:marLeft w:val="0"/>
                          <w:marRight w:val="0"/>
                          <w:marTop w:val="0"/>
                          <w:marBottom w:val="0"/>
                          <w:divBdr>
                            <w:top w:val="none" w:sz="0" w:space="0" w:color="auto"/>
                            <w:left w:val="none" w:sz="0" w:space="0" w:color="auto"/>
                            <w:bottom w:val="none" w:sz="0" w:space="0" w:color="auto"/>
                            <w:right w:val="none" w:sz="0" w:space="0" w:color="auto"/>
                          </w:divBdr>
                          <w:divsChild>
                            <w:div w:id="20030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3E89-3615-41BA-913E-7D44F895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F28EF5-8549-46E3-B8EC-E2FACFD8BAFE}">
  <ds:schemaRefs>
    <ds:schemaRef ds:uri="http://schemas.microsoft.com/sharepoint/v3/contenttype/forms"/>
  </ds:schemaRefs>
</ds:datastoreItem>
</file>

<file path=customXml/itemProps3.xml><?xml version="1.0" encoding="utf-8"?>
<ds:datastoreItem xmlns:ds="http://schemas.openxmlformats.org/officeDocument/2006/customXml" ds:itemID="{BCA2815E-37E2-479F-8FFB-61544CCF1EDB}">
  <ds:schemaRefs>
    <ds:schemaRef ds:uri="http://schemas.microsoft.com/office/2006/metadata/properties"/>
  </ds:schemaRefs>
</ds:datastoreItem>
</file>

<file path=customXml/itemProps4.xml><?xml version="1.0" encoding="utf-8"?>
<ds:datastoreItem xmlns:ds="http://schemas.openxmlformats.org/officeDocument/2006/customXml" ds:itemID="{8C779AF0-A3DF-497F-91AB-C5A33109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6714</CharactersWithSpaces>
  <SharedDoc>false</SharedDoc>
  <HLinks>
    <vt:vector size="6" baseType="variant">
      <vt:variant>
        <vt:i4>5505094</vt:i4>
      </vt:variant>
      <vt:variant>
        <vt:i4>6</vt:i4>
      </vt:variant>
      <vt:variant>
        <vt:i4>0</vt:i4>
      </vt:variant>
      <vt:variant>
        <vt:i4>5</vt:i4>
      </vt:variant>
      <vt:variant>
        <vt:lpwstr>http://oma.cancer.gov/about/omb-clearance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Abdelmouti, Tawanda (NIH/NCI) [E]</cp:lastModifiedBy>
  <cp:revision>2</cp:revision>
  <cp:lastPrinted>2014-12-12T20:57:00Z</cp:lastPrinted>
  <dcterms:created xsi:type="dcterms:W3CDTF">2014-12-15T16:20:00Z</dcterms:created>
  <dcterms:modified xsi:type="dcterms:W3CDTF">2014-12-15T16:20:00Z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