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0642</w:t>
      </w:r>
      <w:r w:rsidR="00686301">
        <w:t xml:space="preserve"> Exp</w:t>
      </w:r>
      <w:r w:rsidR="00686301" w:rsidRPr="00686301">
        <w:t>Date:</w:t>
      </w:r>
      <w:r w:rsidR="00A115C6">
        <w:t>08</w:t>
      </w:r>
      <w:r w:rsidR="00686301" w:rsidRPr="00686301">
        <w:t>/</w:t>
      </w:r>
      <w:r w:rsidR="00A115C6">
        <w:t>2017</w:t>
      </w:r>
      <w:r>
        <w:rPr>
          <w:sz w:val="28"/>
        </w:rPr>
        <w:t>)</w:t>
      </w:r>
    </w:p>
    <w:p w:rsidR="00E50293" w:rsidRPr="009239AA" w:rsidRDefault="00284110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11FB3">
        <w:t>NCTN Satisfaction Survey</w:t>
      </w:r>
    </w:p>
    <w:p w:rsidR="005E714A" w:rsidRDefault="005E714A"/>
    <w:p w:rsidR="001B0AAA" w:rsidRPr="00811FB3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11FB3" w:rsidRPr="00811FB3">
        <w:t xml:space="preserve">A short survey for scientific and administrative leaders in the </w:t>
      </w:r>
      <w:r w:rsidR="00811FB3">
        <w:t>NCI’s new National Clinical Trials Network (NCTN) as we are halfway through the first five-year grant cycle for this network</w:t>
      </w:r>
      <w:r w:rsidR="00811FB3" w:rsidRPr="00811FB3">
        <w:t>.  The survey objective is to gather feedback from engaged extramural</w:t>
      </w:r>
      <w:r w:rsidR="00811FB3">
        <w:t xml:space="preserve"> members of the NCTN about their satisfaction with various aspects of the network and suggestions for possible improvements </w:t>
      </w:r>
      <w:r w:rsidR="00711215">
        <w:t>to improve service delivery.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11FB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11FB3">
        <w:t xml:space="preserve">Respondents will include leaders from the groups, their member sites, </w:t>
      </w:r>
      <w:r w:rsidR="00406CF9">
        <w:t xml:space="preserve">and </w:t>
      </w:r>
      <w:r w:rsidR="00811FB3">
        <w:t>PIs of ac</w:t>
      </w:r>
      <w:r w:rsidR="00711215">
        <w:t xml:space="preserve">tive group studies. </w:t>
      </w:r>
    </w:p>
    <w:p w:rsidR="00C8488C" w:rsidRDefault="00C8488C"/>
    <w:p w:rsidR="00811FB3" w:rsidRDefault="00811FB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11FB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</w:t>
      </w:r>
      <w:r w:rsidR="00811FB3" w:rsidRPr="00811FB3">
        <w:rPr>
          <w:u w:val="single"/>
        </w:rPr>
        <w:t>Grace Mishkin</w:t>
      </w:r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11FB3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11FB3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0A7A4B">
        <w:trPr>
          <w:trHeight w:val="260"/>
        </w:trPr>
        <w:tc>
          <w:tcPr>
            <w:tcW w:w="2790" w:type="dxa"/>
            <w:vAlign w:val="bottom"/>
          </w:tcPr>
          <w:p w:rsidR="003668D6" w:rsidRDefault="00711215" w:rsidP="000A7A4B">
            <w:r>
              <w:t>Individuals</w:t>
            </w:r>
          </w:p>
        </w:tc>
        <w:tc>
          <w:tcPr>
            <w:tcW w:w="2250" w:type="dxa"/>
            <w:vAlign w:val="bottom"/>
          </w:tcPr>
          <w:p w:rsidR="003668D6" w:rsidRDefault="00406CF9" w:rsidP="000A7A4B">
            <w:r>
              <w:t>1</w:t>
            </w:r>
            <w:r w:rsidR="000A7A4B">
              <w:t>1</w:t>
            </w:r>
            <w:r>
              <w:t>00</w:t>
            </w:r>
          </w:p>
        </w:tc>
        <w:tc>
          <w:tcPr>
            <w:tcW w:w="2520" w:type="dxa"/>
            <w:vAlign w:val="bottom"/>
          </w:tcPr>
          <w:p w:rsidR="003668D6" w:rsidRDefault="00406CF9" w:rsidP="000A7A4B">
            <w:r>
              <w:t>1</w:t>
            </w:r>
          </w:p>
        </w:tc>
        <w:tc>
          <w:tcPr>
            <w:tcW w:w="1620" w:type="dxa"/>
            <w:vAlign w:val="bottom"/>
          </w:tcPr>
          <w:p w:rsidR="003668D6" w:rsidRDefault="00406CF9" w:rsidP="000A7A4B">
            <w:r>
              <w:t>5/60</w:t>
            </w:r>
          </w:p>
        </w:tc>
        <w:tc>
          <w:tcPr>
            <w:tcW w:w="1547" w:type="dxa"/>
            <w:vAlign w:val="bottom"/>
          </w:tcPr>
          <w:p w:rsidR="003668D6" w:rsidRDefault="000A7A4B" w:rsidP="000A7A4B">
            <w:r>
              <w:t>92</w:t>
            </w:r>
          </w:p>
        </w:tc>
      </w:tr>
      <w:tr w:rsidR="003668D6" w:rsidTr="009A036B">
        <w:trPr>
          <w:trHeight w:val="289"/>
        </w:trPr>
        <w:tc>
          <w:tcPr>
            <w:tcW w:w="279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68D6" w:rsidRPr="002D26E2" w:rsidRDefault="00711215" w:rsidP="00843796">
            <w:pPr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2520" w:type="dxa"/>
          </w:tcPr>
          <w:p w:rsidR="003668D6" w:rsidRPr="00711215" w:rsidRDefault="00711215" w:rsidP="00843796">
            <w:pPr>
              <w:rPr>
                <w:b/>
              </w:rPr>
            </w:pPr>
            <w:r w:rsidRPr="00711215">
              <w:rPr>
                <w:b/>
              </w:rPr>
              <w:t>1100</w:t>
            </w:r>
          </w:p>
        </w:tc>
        <w:tc>
          <w:tcPr>
            <w:tcW w:w="1620" w:type="dxa"/>
          </w:tcPr>
          <w:p w:rsidR="003668D6" w:rsidRDefault="003668D6" w:rsidP="00843796"/>
        </w:tc>
        <w:tc>
          <w:tcPr>
            <w:tcW w:w="1547" w:type="dxa"/>
          </w:tcPr>
          <w:p w:rsidR="003668D6" w:rsidRPr="002D26E2" w:rsidRDefault="00711215" w:rsidP="0084379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0A7A4B">
        <w:trPr>
          <w:trHeight w:val="260"/>
        </w:trPr>
        <w:tc>
          <w:tcPr>
            <w:tcW w:w="2790" w:type="dxa"/>
            <w:vAlign w:val="bottom"/>
          </w:tcPr>
          <w:p w:rsidR="00CA2010" w:rsidRPr="009A036B" w:rsidRDefault="006C6261" w:rsidP="000A7A4B">
            <w:r>
              <w:t xml:space="preserve">Private Sector - </w:t>
            </w:r>
            <w:r>
              <w:br/>
            </w:r>
            <w:r w:rsidR="00406CF9">
              <w:t>Research Investigator</w:t>
            </w:r>
          </w:p>
        </w:tc>
        <w:tc>
          <w:tcPr>
            <w:tcW w:w="2250" w:type="dxa"/>
            <w:vAlign w:val="bottom"/>
          </w:tcPr>
          <w:p w:rsidR="00CA2010" w:rsidRPr="009A036B" w:rsidRDefault="000A7A4B" w:rsidP="000A7A4B">
            <w:r>
              <w:t>92</w:t>
            </w:r>
          </w:p>
        </w:tc>
        <w:tc>
          <w:tcPr>
            <w:tcW w:w="2520" w:type="dxa"/>
            <w:vAlign w:val="bottom"/>
          </w:tcPr>
          <w:p w:rsidR="00CA2010" w:rsidRPr="009A036B" w:rsidRDefault="00406CF9" w:rsidP="000A7A4B">
            <w:r w:rsidRPr="00406CF9">
              <w:t>$97.33</w:t>
            </w:r>
          </w:p>
        </w:tc>
        <w:tc>
          <w:tcPr>
            <w:tcW w:w="1620" w:type="dxa"/>
            <w:vAlign w:val="bottom"/>
          </w:tcPr>
          <w:p w:rsidR="00CA2010" w:rsidRPr="009A036B" w:rsidRDefault="00406CF9" w:rsidP="000A7A4B">
            <w:r>
              <w:t>$</w:t>
            </w:r>
            <w:r w:rsidR="000A7A4B">
              <w:t>8,954.36</w:t>
            </w:r>
          </w:p>
        </w:tc>
      </w:tr>
      <w:tr w:rsidR="00CA2010" w:rsidRPr="00711215" w:rsidTr="00CA2010">
        <w:trPr>
          <w:trHeight w:val="289"/>
        </w:trPr>
        <w:tc>
          <w:tcPr>
            <w:tcW w:w="2790" w:type="dxa"/>
          </w:tcPr>
          <w:p w:rsidR="00CA2010" w:rsidRPr="00711215" w:rsidRDefault="00CA2010" w:rsidP="009A036B">
            <w:pPr>
              <w:rPr>
                <w:b/>
              </w:rPr>
            </w:pPr>
            <w:r w:rsidRPr="00711215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711215" w:rsidRDefault="000A7A4B" w:rsidP="009A036B">
            <w:pPr>
              <w:rPr>
                <w:b/>
              </w:rPr>
            </w:pPr>
            <w:r w:rsidRPr="00711215">
              <w:rPr>
                <w:b/>
              </w:rPr>
              <w:t>92</w:t>
            </w:r>
          </w:p>
        </w:tc>
        <w:tc>
          <w:tcPr>
            <w:tcW w:w="2520" w:type="dxa"/>
          </w:tcPr>
          <w:p w:rsidR="00CA2010" w:rsidRPr="00711215" w:rsidRDefault="00CA2010" w:rsidP="009A036B">
            <w:pPr>
              <w:rPr>
                <w:b/>
              </w:rPr>
            </w:pPr>
          </w:p>
        </w:tc>
        <w:tc>
          <w:tcPr>
            <w:tcW w:w="1620" w:type="dxa"/>
          </w:tcPr>
          <w:p w:rsidR="00CA2010" w:rsidRPr="00711215" w:rsidRDefault="00406CF9" w:rsidP="000A7A4B">
            <w:pPr>
              <w:rPr>
                <w:b/>
              </w:rPr>
            </w:pPr>
            <w:r w:rsidRPr="00711215">
              <w:rPr>
                <w:b/>
              </w:rPr>
              <w:t>$</w:t>
            </w:r>
            <w:r w:rsidR="000A7A4B" w:rsidRPr="00711215">
              <w:rPr>
                <w:b/>
              </w:rPr>
              <w:t>8,954.36</w:t>
            </w:r>
          </w:p>
        </w:tc>
      </w:tr>
    </w:tbl>
    <w:p w:rsidR="009A036B" w:rsidRPr="00711215" w:rsidRDefault="009A036B" w:rsidP="009A036B">
      <w:pPr>
        <w:rPr>
          <w:b/>
        </w:rPr>
      </w:pPr>
    </w:p>
    <w:p w:rsidR="009A036B" w:rsidRDefault="00CA2010" w:rsidP="00F3170F">
      <w:r>
        <w:t>*</w:t>
      </w:r>
      <w:r w:rsidR="00406CF9" w:rsidRPr="00406CF9">
        <w:t xml:space="preserve"> The mean hourly wage rate for </w:t>
      </w:r>
      <w:r w:rsidR="00406CF9">
        <w:t>Research Investigators</w:t>
      </w:r>
      <w:r w:rsidR="00406CF9" w:rsidRPr="00406CF9">
        <w:t xml:space="preserve"> was based on occupation code #29-1060 at $</w:t>
      </w:r>
      <w:r w:rsidR="00406CF9">
        <w:t>97.33</w:t>
      </w:r>
      <w:r w:rsidR="00406CF9" w:rsidRPr="00406CF9">
        <w:t xml:space="preserve">/hour (based on the May </w:t>
      </w:r>
      <w:r w:rsidR="00406CF9">
        <w:t>2015</w:t>
      </w:r>
      <w:r w:rsidR="00406CF9" w:rsidRPr="00406CF9">
        <w:t xml:space="preserve"> National Occupational Employment and Wage Estimates in the United States; http://www.bls.gov/oes/current/oes_nat.htm).  </w:t>
      </w:r>
    </w:p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6C6261">
        <w:t>st to the Federal government is</w:t>
      </w:r>
      <w:r w:rsidR="00C86E91">
        <w:t xml:space="preserve"> </w:t>
      </w:r>
      <w:r w:rsidR="006C6261">
        <w:rPr>
          <w:u w:val="single"/>
        </w:rPr>
        <w:t>$6,937.25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6C626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215" w:rsidRDefault="00711215" w:rsidP="006C6261">
            <w:pPr>
              <w:rPr>
                <w:b/>
              </w:rPr>
            </w:pPr>
            <w:r>
              <w:rPr>
                <w:b/>
              </w:rPr>
              <w:t xml:space="preserve">Program Analyst </w:t>
            </w:r>
          </w:p>
          <w:p w:rsidR="009A036B" w:rsidRPr="009A036B" w:rsidRDefault="00711215" w:rsidP="006C6261">
            <w:pPr>
              <w:rPr>
                <w:b/>
              </w:rPr>
            </w:pPr>
            <w:r w:rsidRPr="00711215">
              <w:rPr>
                <w:sz w:val="20"/>
              </w:rPr>
              <w:t>(</w:t>
            </w:r>
            <w:r w:rsidRPr="00711215">
              <w:rPr>
                <w:sz w:val="16"/>
              </w:rPr>
              <w:t>Federal Oversight and Survey Analysis</w:t>
            </w:r>
            <w:r w:rsidRPr="00711215"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RDefault="006C6261" w:rsidP="006C6261">
            <w:r>
              <w:t>GS 12-01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6C6261" w:rsidP="006C6261">
            <w:r>
              <w:t>$77,490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6C6261" w:rsidP="006C6261">
            <w:r>
              <w:t>10% for 3 months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A036B" w:rsidRPr="009A036B" w:rsidRDefault="009A036B" w:rsidP="006C6261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RDefault="006C6261" w:rsidP="006C6261">
            <w:r>
              <w:t>$1,937.25</w:t>
            </w:r>
          </w:p>
        </w:tc>
      </w:tr>
      <w:tr w:rsidR="00711215" w:rsidRPr="009A036B" w:rsidTr="006C626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215" w:rsidRPr="006C6261" w:rsidRDefault="00711215" w:rsidP="00711215">
            <w:pPr>
              <w:rPr>
                <w:b/>
              </w:rPr>
            </w:pPr>
            <w:r>
              <w:rPr>
                <w:b/>
              </w:rPr>
              <w:t xml:space="preserve">Contractor Cost </w:t>
            </w:r>
            <w:r w:rsidRPr="00711215">
              <w:rPr>
                <w:sz w:val="20"/>
              </w:rPr>
              <w:t>(</w:t>
            </w:r>
            <w:r w:rsidRPr="00711215">
              <w:rPr>
                <w:sz w:val="20"/>
              </w:rPr>
              <w:t>Contracted Survey Programming and Collection</w:t>
            </w:r>
            <w:r w:rsidRPr="00711215"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>
            <w:r>
              <w:t>$4,000.00</w:t>
            </w:r>
          </w:p>
        </w:tc>
      </w:tr>
      <w:tr w:rsidR="00711215" w:rsidRPr="009A036B" w:rsidTr="006C6261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215" w:rsidRPr="006C6261" w:rsidRDefault="00711215" w:rsidP="00711215">
            <w:pPr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11215" w:rsidRPr="009A036B" w:rsidRDefault="00711215" w:rsidP="00711215">
            <w:r>
              <w:t>$6,937.25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06CF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A403BB" w:rsidRDefault="00711215" w:rsidP="00406CF9">
      <w:pPr>
        <w:pStyle w:val="ListParagraph"/>
        <w:ind w:left="0"/>
      </w:pPr>
      <w:r>
        <w:t xml:space="preserve">We have a list of </w:t>
      </w:r>
      <w:r w:rsidR="00406CF9">
        <w:t xml:space="preserve">leadership, key member investigators, and study PIs.  </w:t>
      </w:r>
    </w:p>
    <w:p w:rsidR="00406CF9" w:rsidRDefault="00406CF9" w:rsidP="00406CF9">
      <w:pPr>
        <w:pStyle w:val="ListParagraph"/>
        <w:ind w:left="0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406CF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06CF9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</w:p>
    <w:p w:rsidR="00AE14B1" w:rsidRPr="00AE14B1" w:rsidRDefault="00AE14B1" w:rsidP="00AE14B1"/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D4" w:rsidRDefault="008733D4">
      <w:r>
        <w:separator/>
      </w:r>
    </w:p>
  </w:endnote>
  <w:endnote w:type="continuationSeparator" w:id="0">
    <w:p w:rsidR="008733D4" w:rsidRDefault="0087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121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D4" w:rsidRDefault="008733D4">
      <w:r>
        <w:separator/>
      </w:r>
    </w:p>
  </w:footnote>
  <w:footnote w:type="continuationSeparator" w:id="0">
    <w:p w:rsidR="008733D4" w:rsidRDefault="0087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tDA2MTSxMLc0NTewNDZQ0lEKTi0uzszPAykwqgUAQLpVaCwAAAA="/>
  </w:docVars>
  <w:rsids>
    <w:rsidRoot w:val="00D6383F"/>
    <w:rsid w:val="000071D1"/>
    <w:rsid w:val="00023A57"/>
    <w:rsid w:val="0004451D"/>
    <w:rsid w:val="00047A64"/>
    <w:rsid w:val="00067329"/>
    <w:rsid w:val="000722CE"/>
    <w:rsid w:val="000913EC"/>
    <w:rsid w:val="000A7A4B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222372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06CF9"/>
    <w:rsid w:val="00431EB1"/>
    <w:rsid w:val="00434E33"/>
    <w:rsid w:val="00441434"/>
    <w:rsid w:val="0045264C"/>
    <w:rsid w:val="004876EC"/>
    <w:rsid w:val="004D6E14"/>
    <w:rsid w:val="005009B0"/>
    <w:rsid w:val="00597401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C6261"/>
    <w:rsid w:val="006D5F47"/>
    <w:rsid w:val="006F3DDE"/>
    <w:rsid w:val="00704678"/>
    <w:rsid w:val="00711215"/>
    <w:rsid w:val="007425E7"/>
    <w:rsid w:val="00766D95"/>
    <w:rsid w:val="0077703F"/>
    <w:rsid w:val="00802607"/>
    <w:rsid w:val="008101A5"/>
    <w:rsid w:val="00811FB3"/>
    <w:rsid w:val="00822664"/>
    <w:rsid w:val="00843796"/>
    <w:rsid w:val="008733D4"/>
    <w:rsid w:val="00895229"/>
    <w:rsid w:val="008D781C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115C6"/>
    <w:rsid w:val="00A229F1"/>
    <w:rsid w:val="00A403BB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B4A5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A64A1B3"/>
  <w15:chartTrackingRefBased/>
  <w15:docId w15:val="{2FA606E8-72CA-4307-8B94-12D77B6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255F-E412-4283-B702-E4075E66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2</cp:revision>
  <cp:lastPrinted>2016-10-06T17:28:00Z</cp:lastPrinted>
  <dcterms:created xsi:type="dcterms:W3CDTF">2016-11-16T14:30:00Z</dcterms:created>
  <dcterms:modified xsi:type="dcterms:W3CDTF">2016-11-16T14:30:00Z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