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5F" w:rsidRDefault="0038055F" w:rsidP="00017E50">
      <w:pPr>
        <w:jc w:val="center"/>
        <w:rPr>
          <w:b/>
          <w:sz w:val="28"/>
          <w:szCs w:val="28"/>
        </w:rPr>
      </w:pPr>
    </w:p>
    <w:p w:rsidR="0038055F" w:rsidRDefault="0038055F" w:rsidP="00017E50">
      <w:pPr>
        <w:jc w:val="center"/>
        <w:rPr>
          <w:b/>
          <w:sz w:val="28"/>
          <w:szCs w:val="28"/>
        </w:rPr>
      </w:pPr>
      <w:r w:rsidRPr="0038055F">
        <w:rPr>
          <w:b/>
          <w:sz w:val="28"/>
          <w:szCs w:val="28"/>
        </w:rPr>
        <w:t>Co-location and Integration</w:t>
      </w:r>
      <w:r w:rsidRPr="0038055F">
        <w:rPr>
          <w:b/>
          <w:color w:val="FF0000"/>
          <w:sz w:val="28"/>
          <w:szCs w:val="28"/>
        </w:rPr>
        <w:t xml:space="preserve"> </w:t>
      </w:r>
      <w:r w:rsidRPr="0038055F">
        <w:rPr>
          <w:b/>
          <w:sz w:val="28"/>
          <w:szCs w:val="28"/>
        </w:rPr>
        <w:t>of HIV Prevention and Medical Care into Behavioral Health (Co-located and Integrated Care)</w:t>
      </w:r>
    </w:p>
    <w:p w:rsidR="0038055F" w:rsidRPr="0038055F" w:rsidRDefault="0038055F" w:rsidP="00017E50">
      <w:pPr>
        <w:jc w:val="center"/>
        <w:rPr>
          <w:b/>
          <w:sz w:val="28"/>
          <w:szCs w:val="28"/>
        </w:rPr>
      </w:pPr>
    </w:p>
    <w:p w:rsidR="00BA15DA" w:rsidRPr="0038055F" w:rsidRDefault="00BA15DA" w:rsidP="00017E50">
      <w:pPr>
        <w:jc w:val="center"/>
        <w:rPr>
          <w:b/>
          <w:sz w:val="28"/>
          <w:szCs w:val="28"/>
        </w:rPr>
      </w:pPr>
      <w:r w:rsidRPr="0038055F">
        <w:rPr>
          <w:b/>
          <w:sz w:val="28"/>
          <w:szCs w:val="28"/>
        </w:rPr>
        <w:t>Supporting Statement</w:t>
      </w:r>
    </w:p>
    <w:p w:rsidR="00D52531" w:rsidRPr="0038055F" w:rsidRDefault="00D52531" w:rsidP="00017E50">
      <w:pPr>
        <w:jc w:val="center"/>
        <w:rPr>
          <w:sz w:val="28"/>
          <w:szCs w:val="28"/>
        </w:rPr>
      </w:pPr>
    </w:p>
    <w:p w:rsidR="00D52531" w:rsidRPr="002C42B7" w:rsidRDefault="00D52531">
      <w:pPr>
        <w:rPr>
          <w:b/>
          <w:sz w:val="26"/>
          <w:szCs w:val="26"/>
        </w:rPr>
      </w:pPr>
      <w:r w:rsidRPr="002C42B7">
        <w:rPr>
          <w:b/>
          <w:sz w:val="26"/>
          <w:szCs w:val="26"/>
        </w:rPr>
        <w:t xml:space="preserve">A. Justification </w:t>
      </w:r>
    </w:p>
    <w:p w:rsidR="00D52531" w:rsidRPr="00FB2041" w:rsidRDefault="00D52531">
      <w:pPr>
        <w:rPr>
          <w:b/>
        </w:rPr>
      </w:pPr>
    </w:p>
    <w:p w:rsidR="00D52531" w:rsidRPr="002003A7" w:rsidRDefault="00907AAB" w:rsidP="00D52531">
      <w:pPr>
        <w:tabs>
          <w:tab w:val="left" w:pos="0"/>
        </w:tabs>
        <w:rPr>
          <w:szCs w:val="22"/>
        </w:rPr>
      </w:pPr>
      <w:r w:rsidRPr="002003A7">
        <w:rPr>
          <w:b/>
          <w:szCs w:val="22"/>
        </w:rPr>
        <w:t>A</w:t>
      </w:r>
      <w:r w:rsidR="00D52531" w:rsidRPr="002003A7">
        <w:rPr>
          <w:b/>
          <w:szCs w:val="22"/>
        </w:rPr>
        <w:t>1. Circumstances of Data Collection</w:t>
      </w:r>
      <w:r w:rsidR="00D52531" w:rsidRPr="002003A7">
        <w:rPr>
          <w:szCs w:val="22"/>
        </w:rPr>
        <w:t xml:space="preserve"> </w:t>
      </w:r>
    </w:p>
    <w:p w:rsidR="006E5558" w:rsidRPr="002003A7" w:rsidRDefault="006E5558" w:rsidP="00D52531">
      <w:pPr>
        <w:tabs>
          <w:tab w:val="left" w:pos="0"/>
        </w:tabs>
        <w:rPr>
          <w:szCs w:val="22"/>
        </w:rPr>
      </w:pPr>
    </w:p>
    <w:p w:rsidR="00C13E24" w:rsidRPr="002003A7" w:rsidRDefault="008615FE" w:rsidP="00CA416C">
      <w:pPr>
        <w:rPr>
          <w:b/>
          <w:szCs w:val="22"/>
        </w:rPr>
      </w:pPr>
      <w:r>
        <w:t xml:space="preserve">The Substance Abuse and Mental Health Services Administration’s (SAMHSA), </w:t>
      </w:r>
      <w:r w:rsidR="009C79B5">
        <w:t xml:space="preserve">Center for Mental Health Services (CMHS), Center for Substance Abuse Treatment (CSAT), and Center for Substance Abuse Prevention (CSAP) are </w:t>
      </w:r>
      <w:r w:rsidR="00FF3A99" w:rsidRPr="002003A7">
        <w:rPr>
          <w:szCs w:val="22"/>
        </w:rPr>
        <w:t xml:space="preserve">requesting </w:t>
      </w:r>
      <w:r w:rsidR="0014789C">
        <w:rPr>
          <w:szCs w:val="22"/>
        </w:rPr>
        <w:t xml:space="preserve">approval </w:t>
      </w:r>
      <w:r w:rsidR="00BD2131" w:rsidRPr="002003A7">
        <w:rPr>
          <w:szCs w:val="22"/>
        </w:rPr>
        <w:t xml:space="preserve">from the Office of Management and Budget (OMB) for </w:t>
      </w:r>
      <w:r w:rsidR="0014789C">
        <w:rPr>
          <w:szCs w:val="22"/>
        </w:rPr>
        <w:t xml:space="preserve">new </w:t>
      </w:r>
      <w:r w:rsidR="00BD2131" w:rsidRPr="002003A7">
        <w:rPr>
          <w:szCs w:val="22"/>
        </w:rPr>
        <w:t xml:space="preserve">data collection activities </w:t>
      </w:r>
      <w:r w:rsidR="00907AAB" w:rsidRPr="002003A7">
        <w:rPr>
          <w:szCs w:val="22"/>
        </w:rPr>
        <w:t>associated with the</w:t>
      </w:r>
      <w:r w:rsidR="00CA416C" w:rsidRPr="002003A7">
        <w:rPr>
          <w:szCs w:val="22"/>
        </w:rPr>
        <w:t>ir</w:t>
      </w:r>
      <w:r w:rsidR="00907AAB" w:rsidRPr="002003A7">
        <w:rPr>
          <w:szCs w:val="22"/>
        </w:rPr>
        <w:t xml:space="preserve"> </w:t>
      </w:r>
      <w:r w:rsidR="00CA416C" w:rsidRPr="002003A7">
        <w:rPr>
          <w:b/>
          <w:szCs w:val="22"/>
        </w:rPr>
        <w:t>Co-location and Integration</w:t>
      </w:r>
      <w:r w:rsidR="00CA416C" w:rsidRPr="002003A7">
        <w:rPr>
          <w:b/>
          <w:color w:val="FF0000"/>
          <w:szCs w:val="22"/>
        </w:rPr>
        <w:t xml:space="preserve"> </w:t>
      </w:r>
      <w:r w:rsidR="00CA416C" w:rsidRPr="002003A7">
        <w:rPr>
          <w:b/>
          <w:szCs w:val="22"/>
        </w:rPr>
        <w:t xml:space="preserve">of HIV Prevention and Medical Care into Behavioral Health </w:t>
      </w:r>
      <w:r w:rsidR="002E1D01">
        <w:rPr>
          <w:b/>
          <w:szCs w:val="22"/>
        </w:rPr>
        <w:t>(</w:t>
      </w:r>
      <w:r w:rsidR="00C9048C">
        <w:rPr>
          <w:b/>
          <w:szCs w:val="22"/>
        </w:rPr>
        <w:t>Co-located</w:t>
      </w:r>
      <w:r w:rsidR="00434C40">
        <w:rPr>
          <w:b/>
          <w:szCs w:val="22"/>
        </w:rPr>
        <w:t xml:space="preserve"> </w:t>
      </w:r>
      <w:r w:rsidR="007D582F">
        <w:rPr>
          <w:b/>
          <w:szCs w:val="22"/>
        </w:rPr>
        <w:t xml:space="preserve">and Integrated </w:t>
      </w:r>
      <w:r w:rsidR="00434C40">
        <w:rPr>
          <w:b/>
          <w:szCs w:val="22"/>
        </w:rPr>
        <w:t xml:space="preserve">Care) </w:t>
      </w:r>
      <w:r w:rsidR="00CA416C" w:rsidRPr="002003A7">
        <w:rPr>
          <w:szCs w:val="22"/>
        </w:rPr>
        <w:t xml:space="preserve">Program. </w:t>
      </w:r>
      <w:r w:rsidR="005E736F" w:rsidRPr="002003A7">
        <w:rPr>
          <w:szCs w:val="22"/>
        </w:rPr>
        <w:t xml:space="preserve"> </w:t>
      </w:r>
      <w:r w:rsidR="00DA3B40" w:rsidRPr="002003A7">
        <w:rPr>
          <w:szCs w:val="22"/>
        </w:rPr>
        <w:t>Specifically, SAMHSA is requesting clearance to collect information using the following instruments:</w:t>
      </w:r>
    </w:p>
    <w:p w:rsidR="00C13E24" w:rsidRPr="002003A7" w:rsidRDefault="00434C40" w:rsidP="006078F8">
      <w:pPr>
        <w:numPr>
          <w:ilvl w:val="0"/>
          <w:numId w:val="12"/>
        </w:numPr>
        <w:spacing w:before="100" w:beforeAutospacing="1" w:after="100" w:afterAutospacing="1"/>
        <w:rPr>
          <w:b/>
          <w:szCs w:val="22"/>
        </w:rPr>
      </w:pPr>
      <w:r>
        <w:rPr>
          <w:b/>
          <w:szCs w:val="22"/>
        </w:rPr>
        <w:t xml:space="preserve">A </w:t>
      </w:r>
      <w:r w:rsidR="007D582F">
        <w:rPr>
          <w:b/>
          <w:szCs w:val="22"/>
        </w:rPr>
        <w:t xml:space="preserve">Combined HIV/Hepatitis </w:t>
      </w:r>
      <w:r w:rsidR="00CA416C" w:rsidRPr="002003A7">
        <w:rPr>
          <w:b/>
          <w:szCs w:val="22"/>
        </w:rPr>
        <w:t>Testing Form</w:t>
      </w:r>
      <w:r w:rsidR="00DA3B40" w:rsidRPr="002003A7">
        <w:rPr>
          <w:b/>
          <w:szCs w:val="22"/>
        </w:rPr>
        <w:t xml:space="preserve">, </w:t>
      </w:r>
      <w:r w:rsidR="00DA3B40" w:rsidRPr="002003A7">
        <w:rPr>
          <w:szCs w:val="22"/>
        </w:rPr>
        <w:t>a brief form that provides information on each individual receiving HIV and/or hepatitis testing services.</w:t>
      </w:r>
    </w:p>
    <w:p w:rsidR="00A25F1F" w:rsidRPr="008D4BDC" w:rsidRDefault="00A25F1F" w:rsidP="008D4BDC">
      <w:pPr>
        <w:numPr>
          <w:ilvl w:val="0"/>
          <w:numId w:val="12"/>
        </w:numPr>
        <w:spacing w:before="100" w:beforeAutospacing="1" w:after="100" w:afterAutospacing="1"/>
        <w:rPr>
          <w:b/>
          <w:szCs w:val="22"/>
        </w:rPr>
      </w:pPr>
      <w:r w:rsidRPr="002003A7">
        <w:rPr>
          <w:b/>
          <w:szCs w:val="22"/>
        </w:rPr>
        <w:t xml:space="preserve">A program-specific version of </w:t>
      </w:r>
      <w:r w:rsidR="000236E7">
        <w:rPr>
          <w:b/>
          <w:szCs w:val="22"/>
        </w:rPr>
        <w:t xml:space="preserve">SAMHSA’s </w:t>
      </w:r>
      <w:proofErr w:type="spellStart"/>
      <w:r w:rsidR="008D4BDC" w:rsidRPr="000236E7">
        <w:rPr>
          <w:szCs w:val="22"/>
        </w:rPr>
        <w:t>TRansforming</w:t>
      </w:r>
      <w:proofErr w:type="spellEnd"/>
      <w:r w:rsidR="008D4BDC" w:rsidRPr="000236E7">
        <w:rPr>
          <w:szCs w:val="22"/>
        </w:rPr>
        <w:t xml:space="preserve"> Accountability (TRAC) System</w:t>
      </w:r>
      <w:r w:rsidRPr="008D4BDC">
        <w:rPr>
          <w:b/>
          <w:szCs w:val="22"/>
        </w:rPr>
        <w:t xml:space="preserve">.  </w:t>
      </w:r>
      <w:r w:rsidRPr="008D4BDC">
        <w:rPr>
          <w:szCs w:val="22"/>
        </w:rPr>
        <w:t xml:space="preserve">The </w:t>
      </w:r>
      <w:r w:rsidR="000236E7" w:rsidRPr="008D4BDC">
        <w:rPr>
          <w:szCs w:val="22"/>
        </w:rPr>
        <w:t xml:space="preserve">questions contained in the </w:t>
      </w:r>
      <w:r w:rsidR="00C9048C" w:rsidRPr="008D4BDC">
        <w:rPr>
          <w:szCs w:val="22"/>
        </w:rPr>
        <w:t>Co-located</w:t>
      </w:r>
      <w:r w:rsidR="000236E7" w:rsidRPr="008D4BDC">
        <w:rPr>
          <w:szCs w:val="22"/>
        </w:rPr>
        <w:t xml:space="preserve"> and Integrated Care version of </w:t>
      </w:r>
      <w:r w:rsidR="008D4BDC">
        <w:rPr>
          <w:szCs w:val="22"/>
        </w:rPr>
        <w:t xml:space="preserve">TRAC </w:t>
      </w:r>
      <w:r w:rsidR="000236E7" w:rsidRPr="008D4BDC">
        <w:rPr>
          <w:szCs w:val="22"/>
        </w:rPr>
        <w:t xml:space="preserve">are similar in content and length to the </w:t>
      </w:r>
      <w:r w:rsidRPr="008D4BDC">
        <w:rPr>
          <w:szCs w:val="22"/>
        </w:rPr>
        <w:t>current OMB-approved version</w:t>
      </w:r>
      <w:r w:rsidR="000236E7" w:rsidRPr="008D4BDC">
        <w:rPr>
          <w:szCs w:val="22"/>
        </w:rPr>
        <w:t xml:space="preserve"> of CMHS’s </w:t>
      </w:r>
      <w:proofErr w:type="spellStart"/>
      <w:r w:rsidR="000236E7" w:rsidRPr="008D4BDC">
        <w:rPr>
          <w:szCs w:val="22"/>
        </w:rPr>
        <w:t>TRansforming</w:t>
      </w:r>
      <w:proofErr w:type="spellEnd"/>
      <w:r w:rsidR="000236E7" w:rsidRPr="008D4BDC">
        <w:rPr>
          <w:szCs w:val="22"/>
        </w:rPr>
        <w:t xml:space="preserve"> Accountability (TRAC) System</w:t>
      </w:r>
      <w:r w:rsidRPr="008D4BDC">
        <w:rPr>
          <w:szCs w:val="22"/>
        </w:rPr>
        <w:t>.</w:t>
      </w:r>
    </w:p>
    <w:p w:rsidR="006F7A4D" w:rsidRPr="0014789C" w:rsidRDefault="006F7A4D" w:rsidP="006078F8">
      <w:pPr>
        <w:numPr>
          <w:ilvl w:val="0"/>
          <w:numId w:val="12"/>
        </w:numPr>
        <w:spacing w:before="100" w:beforeAutospacing="1" w:after="100" w:afterAutospacing="1"/>
        <w:rPr>
          <w:b/>
          <w:szCs w:val="22"/>
        </w:rPr>
      </w:pPr>
      <w:r w:rsidRPr="002003A7">
        <w:rPr>
          <w:b/>
          <w:szCs w:val="22"/>
        </w:rPr>
        <w:t xml:space="preserve">HIV-Specific Indicators, </w:t>
      </w:r>
      <w:r w:rsidRPr="002003A7">
        <w:rPr>
          <w:szCs w:val="22"/>
        </w:rPr>
        <w:t xml:space="preserve">a supplemental module </w:t>
      </w:r>
      <w:r w:rsidR="00434C40">
        <w:rPr>
          <w:szCs w:val="22"/>
        </w:rPr>
        <w:t xml:space="preserve">that will be added to the </w:t>
      </w:r>
      <w:r w:rsidR="00C9048C">
        <w:rPr>
          <w:szCs w:val="22"/>
        </w:rPr>
        <w:t>Co-located</w:t>
      </w:r>
      <w:r w:rsidR="000236E7" w:rsidRPr="00706013">
        <w:rPr>
          <w:szCs w:val="22"/>
        </w:rPr>
        <w:t xml:space="preserve"> and Integrated Care</w:t>
      </w:r>
      <w:r w:rsidR="000236E7">
        <w:rPr>
          <w:szCs w:val="22"/>
        </w:rPr>
        <w:t xml:space="preserve"> version of </w:t>
      </w:r>
      <w:r w:rsidR="008D4BDC">
        <w:rPr>
          <w:szCs w:val="22"/>
        </w:rPr>
        <w:t>TRAC</w:t>
      </w:r>
      <w:r w:rsidRPr="002003A7">
        <w:rPr>
          <w:szCs w:val="22"/>
        </w:rPr>
        <w:t>.  The module will collect client-level service and outcome data for individuals receiving HIV-related medical services.</w:t>
      </w:r>
    </w:p>
    <w:p w:rsidR="0014789C" w:rsidRPr="002003A7" w:rsidRDefault="0014789C" w:rsidP="0014789C">
      <w:pPr>
        <w:spacing w:before="100" w:beforeAutospacing="1" w:after="100" w:afterAutospacing="1"/>
        <w:rPr>
          <w:b/>
          <w:szCs w:val="22"/>
        </w:rPr>
      </w:pPr>
      <w:r w:rsidRPr="002003A7">
        <w:rPr>
          <w:szCs w:val="22"/>
        </w:rPr>
        <w:t xml:space="preserve">Collection of the information </w:t>
      </w:r>
      <w:r>
        <w:rPr>
          <w:szCs w:val="22"/>
        </w:rPr>
        <w:t xml:space="preserve">included in </w:t>
      </w:r>
      <w:r w:rsidRPr="002003A7">
        <w:rPr>
          <w:szCs w:val="22"/>
        </w:rPr>
        <w:t xml:space="preserve">this request is authorized by Section 505 of the Public Health Service Act (42 USC 290aa-4) – Data Collection.  </w:t>
      </w:r>
    </w:p>
    <w:p w:rsidR="005E736F" w:rsidRDefault="00636D9B" w:rsidP="006F7A4D">
      <w:pPr>
        <w:autoSpaceDE w:val="0"/>
        <w:autoSpaceDN w:val="0"/>
        <w:adjustRightInd w:val="0"/>
        <w:rPr>
          <w:szCs w:val="22"/>
        </w:rPr>
      </w:pPr>
      <w:proofErr w:type="gramStart"/>
      <w:r w:rsidRPr="002003A7">
        <w:rPr>
          <w:szCs w:val="22"/>
        </w:rPr>
        <w:t xml:space="preserve">Jointly funded by </w:t>
      </w:r>
      <w:r w:rsidR="0079318C">
        <w:rPr>
          <w:szCs w:val="22"/>
        </w:rPr>
        <w:t>CMHS, CSAT and CSAP,</w:t>
      </w:r>
      <w:r w:rsidRPr="002003A7">
        <w:rPr>
          <w:szCs w:val="22"/>
        </w:rPr>
        <w:t xml:space="preserve"> SAMHSA plans to launch the Co-location and Integration of HIV Prevention and Medical Care into Behavioral Health Program in FY 2015.</w:t>
      </w:r>
      <w:proofErr w:type="gramEnd"/>
      <w:r w:rsidRPr="002003A7">
        <w:rPr>
          <w:szCs w:val="22"/>
        </w:rPr>
        <w:t xml:space="preserve">  The program is designed to </w:t>
      </w:r>
      <w:r w:rsidR="005E736F" w:rsidRPr="002003A7">
        <w:rPr>
          <w:szCs w:val="22"/>
        </w:rPr>
        <w:t xml:space="preserve">support </w:t>
      </w:r>
      <w:r w:rsidR="003D0B36" w:rsidRPr="002003A7">
        <w:rPr>
          <w:szCs w:val="22"/>
        </w:rPr>
        <w:t xml:space="preserve">integrated behavioral health and physical health services for </w:t>
      </w:r>
      <w:r w:rsidR="005E736F" w:rsidRPr="002003A7">
        <w:rPr>
          <w:szCs w:val="22"/>
        </w:rPr>
        <w:t xml:space="preserve">racial/ethnic populations at high risk for behavioral health disorders and at high risk for </w:t>
      </w:r>
      <w:r w:rsidR="006F7A4D" w:rsidRPr="002003A7">
        <w:rPr>
          <w:szCs w:val="22"/>
        </w:rPr>
        <w:t>contracting HIV</w:t>
      </w:r>
      <w:r w:rsidR="005E736F" w:rsidRPr="002003A7">
        <w:rPr>
          <w:szCs w:val="22"/>
        </w:rPr>
        <w:t xml:space="preserve">. </w:t>
      </w:r>
    </w:p>
    <w:p w:rsidR="007A79E0" w:rsidRPr="002003A7" w:rsidRDefault="007A79E0" w:rsidP="006F7A4D">
      <w:pPr>
        <w:autoSpaceDE w:val="0"/>
        <w:autoSpaceDN w:val="0"/>
        <w:adjustRightInd w:val="0"/>
        <w:rPr>
          <w:szCs w:val="22"/>
        </w:rPr>
      </w:pPr>
    </w:p>
    <w:p w:rsidR="00434C40" w:rsidRPr="002003A7" w:rsidRDefault="00434C40" w:rsidP="00434C40">
      <w:pPr>
        <w:autoSpaceDE w:val="0"/>
        <w:autoSpaceDN w:val="0"/>
        <w:adjustRightInd w:val="0"/>
        <w:rPr>
          <w:szCs w:val="22"/>
        </w:rPr>
      </w:pPr>
      <w:r w:rsidRPr="002003A7">
        <w:rPr>
          <w:szCs w:val="22"/>
        </w:rPr>
        <w:t>Funded behavioral health agencies (those providing substance abuse and/or mental health services) will either co-locate or fully integrate HIV prevention and medical care services at their facility. Any client coming into these programs will be eligible to receive evidence-based prevention services, i</w:t>
      </w:r>
      <w:r w:rsidR="008615FE">
        <w:rPr>
          <w:szCs w:val="22"/>
        </w:rPr>
        <w:t>ncluding pre and post-test HIV/h</w:t>
      </w:r>
      <w:r w:rsidRPr="002003A7">
        <w:rPr>
          <w:szCs w:val="22"/>
        </w:rPr>
        <w:t xml:space="preserve">epatitis counseling, and </w:t>
      </w:r>
      <w:r w:rsidR="007D582F">
        <w:rPr>
          <w:szCs w:val="22"/>
        </w:rPr>
        <w:t xml:space="preserve">rapid </w:t>
      </w:r>
      <w:r w:rsidRPr="002003A7">
        <w:rPr>
          <w:szCs w:val="22"/>
        </w:rPr>
        <w:t xml:space="preserve">HIV and Viral Hepatitis testing.  </w:t>
      </w:r>
    </w:p>
    <w:p w:rsidR="003D0B36" w:rsidRPr="002003A7" w:rsidRDefault="006510EF" w:rsidP="00434C40">
      <w:pPr>
        <w:spacing w:before="100" w:beforeAutospacing="1" w:after="100" w:afterAutospacing="1"/>
        <w:rPr>
          <w:szCs w:val="22"/>
        </w:rPr>
      </w:pPr>
      <w:r w:rsidRPr="002003A7">
        <w:rPr>
          <w:szCs w:val="22"/>
        </w:rPr>
        <w:t xml:space="preserve">While many models exist that integrate behavioral health services into primary care settings, providing </w:t>
      </w:r>
      <w:r w:rsidR="00C9048C">
        <w:rPr>
          <w:szCs w:val="22"/>
        </w:rPr>
        <w:t>Co-located</w:t>
      </w:r>
      <w:r w:rsidRPr="002003A7">
        <w:rPr>
          <w:szCs w:val="22"/>
        </w:rPr>
        <w:t xml:space="preserve"> medical services that are integrated within behavioral heal</w:t>
      </w:r>
      <w:r w:rsidR="006F7A4D" w:rsidRPr="002003A7">
        <w:rPr>
          <w:szCs w:val="22"/>
        </w:rPr>
        <w:t xml:space="preserve">th programs is less frequent. </w:t>
      </w:r>
      <w:r w:rsidR="003D0B36" w:rsidRPr="002003A7">
        <w:rPr>
          <w:szCs w:val="22"/>
        </w:rPr>
        <w:t>T</w:t>
      </w:r>
      <w:r w:rsidRPr="002003A7">
        <w:rPr>
          <w:szCs w:val="22"/>
        </w:rPr>
        <w:t xml:space="preserve">he effectiveness of HIV care </w:t>
      </w:r>
      <w:r w:rsidR="00434C40">
        <w:rPr>
          <w:szCs w:val="22"/>
        </w:rPr>
        <w:t xml:space="preserve">that is </w:t>
      </w:r>
      <w:r w:rsidR="00C9048C">
        <w:rPr>
          <w:szCs w:val="22"/>
        </w:rPr>
        <w:t>Co-located</w:t>
      </w:r>
      <w:r w:rsidRPr="002003A7">
        <w:rPr>
          <w:szCs w:val="22"/>
        </w:rPr>
        <w:t xml:space="preserve"> within behavioral health treatment programs is </w:t>
      </w:r>
      <w:r w:rsidR="007D582F">
        <w:rPr>
          <w:szCs w:val="22"/>
        </w:rPr>
        <w:t xml:space="preserve">essentially </w:t>
      </w:r>
      <w:proofErr w:type="gramStart"/>
      <w:r w:rsidRPr="002003A7">
        <w:rPr>
          <w:szCs w:val="22"/>
        </w:rPr>
        <w:t>undocumented</w:t>
      </w:r>
      <w:proofErr w:type="gramEnd"/>
      <w:r w:rsidRPr="002003A7">
        <w:rPr>
          <w:szCs w:val="22"/>
        </w:rPr>
        <w:t xml:space="preserve"> in scientific literature.  </w:t>
      </w:r>
    </w:p>
    <w:p w:rsidR="0014789C" w:rsidRPr="002003A7" w:rsidRDefault="0014789C" w:rsidP="0014789C">
      <w:pPr>
        <w:rPr>
          <w:szCs w:val="22"/>
        </w:rPr>
      </w:pPr>
      <w:r w:rsidRPr="002003A7">
        <w:rPr>
          <w:szCs w:val="22"/>
        </w:rPr>
        <w:lastRenderedPageBreak/>
        <w:t xml:space="preserve">Although many HIV-positive persons have been identified through traditional risk-based approaches to HIV testing, the Centers for Disease Control and Prevention (CDC) estimate that of the estimated </w:t>
      </w:r>
      <w:r>
        <w:rPr>
          <w:szCs w:val="22"/>
        </w:rPr>
        <w:t xml:space="preserve">1.1 </w:t>
      </w:r>
      <w:r w:rsidRPr="002003A7">
        <w:rPr>
          <w:szCs w:val="22"/>
        </w:rPr>
        <w:t>million Americans infected with HIV</w:t>
      </w:r>
      <w:r>
        <w:rPr>
          <w:szCs w:val="22"/>
        </w:rPr>
        <w:t xml:space="preserve">, approximately 1 in 6 </w:t>
      </w:r>
      <w:r w:rsidRPr="002003A7">
        <w:rPr>
          <w:szCs w:val="22"/>
        </w:rPr>
        <w:t>are unaware of their HIV status.</w:t>
      </w:r>
      <w:r>
        <w:rPr>
          <w:rStyle w:val="FootnoteReference"/>
          <w:szCs w:val="22"/>
        </w:rPr>
        <w:footnoteReference w:id="1"/>
      </w:r>
      <w:r w:rsidRPr="002003A7">
        <w:rPr>
          <w:szCs w:val="22"/>
        </w:rPr>
        <w:t xml:space="preserve"> The CDC also reports that each year about one-third of people who test positive for HIV using standard HIV tests, which typically take 2 to 14 days, do not return for their results. Ethnic and racial minority groups are disproportionately affected by the AIDS epidemic.</w:t>
      </w:r>
      <w:r>
        <w:rPr>
          <w:szCs w:val="22"/>
        </w:rPr>
        <w:t xml:space="preserve"> AIDS rates are 51.3</w:t>
      </w:r>
      <w:r w:rsidRPr="002003A7">
        <w:rPr>
          <w:szCs w:val="22"/>
        </w:rPr>
        <w:t xml:space="preserve"> per 100,000 for </w:t>
      </w:r>
      <w:r>
        <w:rPr>
          <w:szCs w:val="22"/>
        </w:rPr>
        <w:t>African-Americans</w:t>
      </w:r>
      <w:r w:rsidRPr="002003A7">
        <w:rPr>
          <w:szCs w:val="22"/>
        </w:rPr>
        <w:t xml:space="preserve">, </w:t>
      </w:r>
      <w:r>
        <w:rPr>
          <w:szCs w:val="22"/>
        </w:rPr>
        <w:t>16.2</w:t>
      </w:r>
      <w:r w:rsidRPr="002003A7">
        <w:rPr>
          <w:szCs w:val="22"/>
        </w:rPr>
        <w:t xml:space="preserve"> per 100,000 for </w:t>
      </w:r>
      <w:r>
        <w:rPr>
          <w:szCs w:val="22"/>
        </w:rPr>
        <w:t>Latinos</w:t>
      </w:r>
      <w:r w:rsidRPr="002003A7">
        <w:rPr>
          <w:szCs w:val="22"/>
        </w:rPr>
        <w:t xml:space="preserve">, </w:t>
      </w:r>
      <w:r>
        <w:rPr>
          <w:szCs w:val="22"/>
        </w:rPr>
        <w:t>and 8.0</w:t>
      </w:r>
      <w:r w:rsidRPr="002003A7">
        <w:rPr>
          <w:szCs w:val="22"/>
        </w:rPr>
        <w:t xml:space="preserve"> per 100,000 for American Indians/Alaska Natives</w:t>
      </w:r>
      <w:r>
        <w:rPr>
          <w:szCs w:val="22"/>
        </w:rPr>
        <w:t>.</w:t>
      </w:r>
      <w:r>
        <w:rPr>
          <w:rStyle w:val="FootnoteReference"/>
          <w:szCs w:val="22"/>
        </w:rPr>
        <w:footnoteReference w:id="2"/>
      </w:r>
    </w:p>
    <w:p w:rsidR="0014789C" w:rsidRPr="002003A7" w:rsidRDefault="0014789C" w:rsidP="0014789C">
      <w:pPr>
        <w:rPr>
          <w:szCs w:val="22"/>
        </w:rPr>
      </w:pPr>
    </w:p>
    <w:p w:rsidR="0014789C" w:rsidRDefault="0014789C" w:rsidP="0014789C">
      <w:pPr>
        <w:tabs>
          <w:tab w:val="left" w:pos="0"/>
        </w:tabs>
        <w:suppressAutoHyphens/>
        <w:rPr>
          <w:szCs w:val="22"/>
        </w:rPr>
      </w:pPr>
      <w:r w:rsidRPr="002003A7">
        <w:rPr>
          <w:szCs w:val="22"/>
        </w:rPr>
        <w:t>Further support for the program was provided in the 2013 Senate Appropriations Report 113-71. The report urged SAMHSA to “focus its efforts on building capacity and outreach to individuals at risk or with a primary substance abuse disorder and to improve efforts to identify such individuals to prevent the spread of HIV.”  Additional support for this data collection effort is provided by the 2013 National HIV/AIDS Strategy which instructed SAMHSA to “support and rigorously evaluate the development and implementation of new integrated behavioral health models to address the intersection of substance use, mental health, and HIV.”</w:t>
      </w:r>
    </w:p>
    <w:p w:rsidR="0014789C" w:rsidRDefault="0014789C" w:rsidP="00D52531">
      <w:pPr>
        <w:tabs>
          <w:tab w:val="left" w:pos="0"/>
        </w:tabs>
        <w:rPr>
          <w:b/>
          <w:szCs w:val="22"/>
        </w:rPr>
      </w:pPr>
    </w:p>
    <w:p w:rsidR="00D52531" w:rsidRPr="002003A7" w:rsidRDefault="00877F0C" w:rsidP="00D52531">
      <w:pPr>
        <w:tabs>
          <w:tab w:val="left" w:pos="0"/>
        </w:tabs>
        <w:rPr>
          <w:b/>
          <w:szCs w:val="22"/>
        </w:rPr>
      </w:pPr>
      <w:r w:rsidRPr="002003A7">
        <w:rPr>
          <w:b/>
          <w:szCs w:val="22"/>
        </w:rPr>
        <w:t>A</w:t>
      </w:r>
      <w:r w:rsidR="00D52531" w:rsidRPr="002003A7">
        <w:rPr>
          <w:b/>
          <w:szCs w:val="22"/>
        </w:rPr>
        <w:t xml:space="preserve">2. Purpose and Use of the Information </w:t>
      </w:r>
      <w:r w:rsidR="00550C3C" w:rsidRPr="002003A7">
        <w:rPr>
          <w:b/>
          <w:szCs w:val="22"/>
        </w:rPr>
        <w:t xml:space="preserve">Collected </w:t>
      </w:r>
    </w:p>
    <w:p w:rsidR="0014789C" w:rsidRDefault="0014789C" w:rsidP="0014789C">
      <w:pPr>
        <w:spacing w:before="100" w:beforeAutospacing="1" w:after="100" w:afterAutospacing="1"/>
        <w:rPr>
          <w:szCs w:val="22"/>
        </w:rPr>
      </w:pPr>
      <w:r>
        <w:rPr>
          <w:szCs w:val="22"/>
        </w:rPr>
        <w:t xml:space="preserve">This information collection is needed to provide SAMHSA with objective information to document the reach and impact of the </w:t>
      </w:r>
      <w:r w:rsidR="00C9048C">
        <w:rPr>
          <w:szCs w:val="22"/>
        </w:rPr>
        <w:t>Co-located</w:t>
      </w:r>
      <w:r>
        <w:rPr>
          <w:szCs w:val="22"/>
        </w:rPr>
        <w:t xml:space="preserve"> and Integrated Care program. </w:t>
      </w:r>
      <w:r w:rsidRPr="002003A7">
        <w:rPr>
          <w:szCs w:val="22"/>
        </w:rPr>
        <w:t xml:space="preserve">Table 1 provides an overview of </w:t>
      </w:r>
      <w:r>
        <w:rPr>
          <w:szCs w:val="22"/>
        </w:rPr>
        <w:t xml:space="preserve">each instrument </w:t>
      </w:r>
      <w:r w:rsidRPr="002003A7">
        <w:rPr>
          <w:szCs w:val="22"/>
        </w:rPr>
        <w:t xml:space="preserve">and the data collection method.  </w:t>
      </w:r>
    </w:p>
    <w:p w:rsidR="0014789C" w:rsidRDefault="0014789C" w:rsidP="0014789C">
      <w:pPr>
        <w:spacing w:before="100" w:beforeAutospacing="1"/>
        <w:rPr>
          <w:b/>
          <w:szCs w:val="22"/>
        </w:rPr>
      </w:pPr>
      <w:proofErr w:type="gramStart"/>
      <w:r w:rsidRPr="002003A7">
        <w:rPr>
          <w:b/>
          <w:szCs w:val="22"/>
        </w:rPr>
        <w:t>Table 1.</w:t>
      </w:r>
      <w:proofErr w:type="gramEnd"/>
      <w:r w:rsidRPr="002003A7">
        <w:rPr>
          <w:b/>
          <w:szCs w:val="22"/>
        </w:rPr>
        <w:t xml:space="preserve"> Data Collection Instruments</w:t>
      </w:r>
    </w:p>
    <w:p w:rsidR="0014789C" w:rsidRPr="002003A7" w:rsidRDefault="0014789C" w:rsidP="0014789C">
      <w:pPr>
        <w:spacing w:before="100" w:beforeAutospacing="1"/>
        <w:rPr>
          <w:b/>
          <w:szCs w:val="22"/>
        </w:rPr>
      </w:pP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88"/>
        <w:gridCol w:w="1710"/>
      </w:tblGrid>
      <w:tr w:rsidR="0014789C" w:rsidRPr="002003A7" w:rsidTr="008D4BDC">
        <w:tc>
          <w:tcPr>
            <w:tcW w:w="4420" w:type="dxa"/>
            <w:shd w:val="clear" w:color="auto" w:fill="auto"/>
            <w:vAlign w:val="center"/>
          </w:tcPr>
          <w:p w:rsidR="0014789C" w:rsidRPr="002003A7" w:rsidRDefault="0014789C" w:rsidP="0014789C">
            <w:pPr>
              <w:spacing w:before="100" w:beforeAutospacing="1" w:after="100" w:afterAutospacing="1"/>
              <w:jc w:val="center"/>
              <w:rPr>
                <w:b/>
                <w:szCs w:val="22"/>
              </w:rPr>
            </w:pPr>
            <w:r w:rsidRPr="002003A7">
              <w:rPr>
                <w:b/>
                <w:szCs w:val="22"/>
              </w:rPr>
              <w:t>Instrument</w:t>
            </w:r>
          </w:p>
        </w:tc>
        <w:tc>
          <w:tcPr>
            <w:tcW w:w="1988" w:type="dxa"/>
            <w:vAlign w:val="center"/>
          </w:tcPr>
          <w:p w:rsidR="0014789C" w:rsidRPr="002003A7" w:rsidRDefault="0014789C" w:rsidP="0014789C">
            <w:pPr>
              <w:spacing w:before="100" w:beforeAutospacing="1" w:after="100" w:afterAutospacing="1"/>
              <w:jc w:val="center"/>
              <w:rPr>
                <w:b/>
                <w:szCs w:val="22"/>
              </w:rPr>
            </w:pPr>
            <w:r w:rsidRPr="002003A7">
              <w:rPr>
                <w:b/>
                <w:szCs w:val="22"/>
              </w:rPr>
              <w:t>Data Collection Method</w:t>
            </w:r>
          </w:p>
        </w:tc>
        <w:tc>
          <w:tcPr>
            <w:tcW w:w="1710" w:type="dxa"/>
            <w:shd w:val="clear" w:color="auto" w:fill="auto"/>
            <w:vAlign w:val="center"/>
          </w:tcPr>
          <w:p w:rsidR="0014789C" w:rsidRPr="002003A7" w:rsidRDefault="0014789C" w:rsidP="0014789C">
            <w:pPr>
              <w:spacing w:before="100" w:beforeAutospacing="1" w:after="100" w:afterAutospacing="1"/>
              <w:jc w:val="center"/>
              <w:rPr>
                <w:b/>
                <w:szCs w:val="22"/>
              </w:rPr>
            </w:pPr>
            <w:r w:rsidRPr="002003A7">
              <w:rPr>
                <w:b/>
                <w:szCs w:val="22"/>
              </w:rPr>
              <w:t>Attachment</w:t>
            </w:r>
          </w:p>
        </w:tc>
      </w:tr>
      <w:tr w:rsidR="0014789C" w:rsidRPr="002003A7" w:rsidTr="008D4BDC">
        <w:tc>
          <w:tcPr>
            <w:tcW w:w="4420" w:type="dxa"/>
            <w:shd w:val="clear" w:color="auto" w:fill="auto"/>
          </w:tcPr>
          <w:p w:rsidR="0014789C" w:rsidRPr="002003A7" w:rsidRDefault="0014789C" w:rsidP="0014789C">
            <w:pPr>
              <w:spacing w:before="100" w:beforeAutospacing="1" w:after="100" w:afterAutospacing="1"/>
              <w:rPr>
                <w:szCs w:val="22"/>
              </w:rPr>
            </w:pPr>
            <w:r>
              <w:rPr>
                <w:szCs w:val="22"/>
              </w:rPr>
              <w:t xml:space="preserve">Combined HIV/Hepatitis </w:t>
            </w:r>
            <w:r w:rsidRPr="002003A7">
              <w:rPr>
                <w:szCs w:val="22"/>
              </w:rPr>
              <w:t>Testing Form</w:t>
            </w:r>
          </w:p>
        </w:tc>
        <w:tc>
          <w:tcPr>
            <w:tcW w:w="1988" w:type="dxa"/>
          </w:tcPr>
          <w:p w:rsidR="0014789C" w:rsidRPr="002003A7" w:rsidRDefault="00020145" w:rsidP="0014789C">
            <w:pPr>
              <w:spacing w:before="100" w:beforeAutospacing="1" w:after="100" w:afterAutospacing="1"/>
              <w:rPr>
                <w:szCs w:val="22"/>
              </w:rPr>
            </w:pPr>
            <w:r>
              <w:rPr>
                <w:szCs w:val="22"/>
              </w:rPr>
              <w:t>Web</w:t>
            </w:r>
          </w:p>
        </w:tc>
        <w:tc>
          <w:tcPr>
            <w:tcW w:w="1710" w:type="dxa"/>
            <w:shd w:val="clear" w:color="auto" w:fill="auto"/>
          </w:tcPr>
          <w:p w:rsidR="0014789C" w:rsidRPr="002003A7" w:rsidRDefault="0014789C" w:rsidP="0014789C">
            <w:pPr>
              <w:spacing w:before="100" w:beforeAutospacing="1" w:after="100" w:afterAutospacing="1"/>
              <w:rPr>
                <w:szCs w:val="22"/>
              </w:rPr>
            </w:pPr>
            <w:r w:rsidRPr="002003A7">
              <w:rPr>
                <w:szCs w:val="22"/>
              </w:rPr>
              <w:t>Attachment 1</w:t>
            </w:r>
          </w:p>
        </w:tc>
      </w:tr>
      <w:tr w:rsidR="0014789C" w:rsidRPr="002003A7" w:rsidTr="008D4BDC">
        <w:tc>
          <w:tcPr>
            <w:tcW w:w="4420" w:type="dxa"/>
            <w:shd w:val="clear" w:color="auto" w:fill="auto"/>
          </w:tcPr>
          <w:p w:rsidR="0014789C" w:rsidRPr="000236E7" w:rsidRDefault="00C9048C" w:rsidP="008D4BDC">
            <w:pPr>
              <w:spacing w:before="100" w:beforeAutospacing="1" w:after="100" w:afterAutospacing="1"/>
              <w:rPr>
                <w:szCs w:val="22"/>
              </w:rPr>
            </w:pPr>
            <w:r>
              <w:rPr>
                <w:szCs w:val="22"/>
              </w:rPr>
              <w:t>Co-located</w:t>
            </w:r>
            <w:r w:rsidR="000236E7" w:rsidRPr="000236E7">
              <w:rPr>
                <w:szCs w:val="22"/>
              </w:rPr>
              <w:t xml:space="preserve"> and Integrated Care version of </w:t>
            </w:r>
            <w:r w:rsidR="008D4BDC">
              <w:rPr>
                <w:szCs w:val="22"/>
              </w:rPr>
              <w:t>TRAC</w:t>
            </w:r>
          </w:p>
        </w:tc>
        <w:tc>
          <w:tcPr>
            <w:tcW w:w="1988" w:type="dxa"/>
          </w:tcPr>
          <w:p w:rsidR="0014789C" w:rsidRPr="002003A7" w:rsidRDefault="00C9048C" w:rsidP="00EF5530">
            <w:pPr>
              <w:spacing w:before="100" w:beforeAutospacing="1" w:after="100" w:afterAutospacing="1"/>
              <w:rPr>
                <w:szCs w:val="22"/>
              </w:rPr>
            </w:pPr>
            <w:r>
              <w:rPr>
                <w:szCs w:val="22"/>
              </w:rPr>
              <w:t>Paper and Pencil</w:t>
            </w:r>
            <w:r w:rsidR="00EF5530">
              <w:rPr>
                <w:szCs w:val="22"/>
              </w:rPr>
              <w:t>; Moving to Web in early-mid 2015</w:t>
            </w:r>
          </w:p>
        </w:tc>
        <w:tc>
          <w:tcPr>
            <w:tcW w:w="1710" w:type="dxa"/>
            <w:shd w:val="clear" w:color="auto" w:fill="auto"/>
          </w:tcPr>
          <w:p w:rsidR="0014789C" w:rsidRPr="002003A7" w:rsidRDefault="0014789C" w:rsidP="0014789C">
            <w:pPr>
              <w:spacing w:before="100" w:beforeAutospacing="1" w:after="100" w:afterAutospacing="1"/>
              <w:rPr>
                <w:szCs w:val="22"/>
              </w:rPr>
            </w:pPr>
            <w:r w:rsidRPr="002003A7">
              <w:rPr>
                <w:szCs w:val="22"/>
              </w:rPr>
              <w:t>Attachment 2</w:t>
            </w:r>
          </w:p>
        </w:tc>
      </w:tr>
      <w:tr w:rsidR="0014789C" w:rsidRPr="002003A7" w:rsidTr="008D4BDC">
        <w:tc>
          <w:tcPr>
            <w:tcW w:w="4420" w:type="dxa"/>
            <w:shd w:val="clear" w:color="auto" w:fill="auto"/>
          </w:tcPr>
          <w:p w:rsidR="0014789C" w:rsidRPr="002003A7" w:rsidRDefault="0014789C" w:rsidP="00020145">
            <w:pPr>
              <w:spacing w:before="100" w:beforeAutospacing="1" w:after="100" w:afterAutospacing="1"/>
              <w:rPr>
                <w:szCs w:val="22"/>
              </w:rPr>
            </w:pPr>
            <w:r w:rsidRPr="002003A7">
              <w:rPr>
                <w:szCs w:val="22"/>
              </w:rPr>
              <w:t xml:space="preserve">HIV Indicators </w:t>
            </w:r>
          </w:p>
        </w:tc>
        <w:tc>
          <w:tcPr>
            <w:tcW w:w="1988" w:type="dxa"/>
          </w:tcPr>
          <w:p w:rsidR="0014789C" w:rsidRPr="002003A7" w:rsidRDefault="00EF5530" w:rsidP="0014789C">
            <w:pPr>
              <w:spacing w:before="100" w:beforeAutospacing="1" w:after="100" w:afterAutospacing="1"/>
              <w:rPr>
                <w:szCs w:val="22"/>
              </w:rPr>
            </w:pPr>
            <w:r>
              <w:rPr>
                <w:szCs w:val="22"/>
              </w:rPr>
              <w:t>Paper and Pencil;</w:t>
            </w:r>
            <w:r w:rsidR="00C9048C">
              <w:rPr>
                <w:szCs w:val="22"/>
              </w:rPr>
              <w:t xml:space="preserve"> Moving to We</w:t>
            </w:r>
            <w:r w:rsidR="00C9048C" w:rsidRPr="002003A7">
              <w:rPr>
                <w:szCs w:val="22"/>
              </w:rPr>
              <w:t>b</w:t>
            </w:r>
            <w:r w:rsidR="00C9048C">
              <w:rPr>
                <w:szCs w:val="22"/>
              </w:rPr>
              <w:t xml:space="preserve"> in early</w:t>
            </w:r>
            <w:r>
              <w:rPr>
                <w:szCs w:val="22"/>
              </w:rPr>
              <w:t>-mid</w:t>
            </w:r>
            <w:r w:rsidR="00C9048C">
              <w:rPr>
                <w:szCs w:val="22"/>
              </w:rPr>
              <w:t xml:space="preserve"> 2015</w:t>
            </w:r>
          </w:p>
        </w:tc>
        <w:tc>
          <w:tcPr>
            <w:tcW w:w="1710" w:type="dxa"/>
            <w:shd w:val="clear" w:color="auto" w:fill="auto"/>
          </w:tcPr>
          <w:p w:rsidR="0014789C" w:rsidRPr="002003A7" w:rsidRDefault="0014789C" w:rsidP="0014789C">
            <w:pPr>
              <w:spacing w:before="100" w:beforeAutospacing="1" w:after="100" w:afterAutospacing="1"/>
              <w:rPr>
                <w:szCs w:val="22"/>
              </w:rPr>
            </w:pPr>
            <w:r>
              <w:rPr>
                <w:szCs w:val="22"/>
              </w:rPr>
              <w:t>Attachment 3</w:t>
            </w:r>
          </w:p>
        </w:tc>
      </w:tr>
    </w:tbl>
    <w:p w:rsidR="0014789C" w:rsidRPr="002003A7" w:rsidRDefault="0014789C" w:rsidP="0014789C">
      <w:pPr>
        <w:tabs>
          <w:tab w:val="left" w:pos="0"/>
        </w:tabs>
        <w:rPr>
          <w:b/>
          <w:szCs w:val="22"/>
        </w:rPr>
      </w:pPr>
    </w:p>
    <w:p w:rsidR="0014789C" w:rsidRPr="002003A7" w:rsidRDefault="0014789C" w:rsidP="0014789C">
      <w:pPr>
        <w:tabs>
          <w:tab w:val="left" w:pos="0"/>
        </w:tabs>
        <w:rPr>
          <w:b/>
          <w:szCs w:val="22"/>
        </w:rPr>
      </w:pPr>
    </w:p>
    <w:p w:rsidR="00385F92" w:rsidRPr="00385F92" w:rsidRDefault="00ED402D" w:rsidP="000D3E8F">
      <w:pPr>
        <w:tabs>
          <w:tab w:val="left" w:pos="0"/>
        </w:tabs>
        <w:suppressAutoHyphens/>
        <w:rPr>
          <w:b/>
          <w:szCs w:val="22"/>
        </w:rPr>
      </w:pPr>
      <w:r>
        <w:rPr>
          <w:b/>
          <w:szCs w:val="22"/>
        </w:rPr>
        <w:t>Included</w:t>
      </w:r>
      <w:r w:rsidR="00385F92" w:rsidRPr="00385F92">
        <w:rPr>
          <w:b/>
          <w:szCs w:val="22"/>
        </w:rPr>
        <w:t xml:space="preserve"> Measures</w:t>
      </w:r>
    </w:p>
    <w:p w:rsidR="00385F92" w:rsidRDefault="00385F92" w:rsidP="000D3E8F">
      <w:pPr>
        <w:tabs>
          <w:tab w:val="left" w:pos="0"/>
        </w:tabs>
        <w:suppressAutoHyphens/>
        <w:rPr>
          <w:szCs w:val="22"/>
        </w:rPr>
      </w:pPr>
    </w:p>
    <w:p w:rsidR="00C13E24" w:rsidRPr="002003A7" w:rsidRDefault="00DF47F4" w:rsidP="000D3E8F">
      <w:pPr>
        <w:tabs>
          <w:tab w:val="left" w:pos="0"/>
        </w:tabs>
        <w:suppressAutoHyphens/>
        <w:rPr>
          <w:szCs w:val="22"/>
        </w:rPr>
      </w:pPr>
      <w:r w:rsidRPr="002003A7">
        <w:rPr>
          <w:szCs w:val="22"/>
        </w:rPr>
        <w:t xml:space="preserve">A summary of the </w:t>
      </w:r>
      <w:r w:rsidR="000872C6" w:rsidRPr="002003A7">
        <w:rPr>
          <w:szCs w:val="22"/>
        </w:rPr>
        <w:t xml:space="preserve">three </w:t>
      </w:r>
      <w:r w:rsidR="00650B17" w:rsidRPr="002003A7">
        <w:rPr>
          <w:szCs w:val="22"/>
        </w:rPr>
        <w:t>instruments is provided below.</w:t>
      </w:r>
    </w:p>
    <w:p w:rsidR="00C13E24" w:rsidRPr="002003A7" w:rsidRDefault="00C13E24" w:rsidP="000D3E8F">
      <w:pPr>
        <w:tabs>
          <w:tab w:val="left" w:pos="0"/>
        </w:tabs>
        <w:suppressAutoHyphens/>
        <w:rPr>
          <w:szCs w:val="22"/>
        </w:rPr>
      </w:pPr>
    </w:p>
    <w:p w:rsidR="007D582F" w:rsidRDefault="007D582F" w:rsidP="00BA78D2">
      <w:pPr>
        <w:rPr>
          <w:szCs w:val="22"/>
        </w:rPr>
      </w:pPr>
      <w:proofErr w:type="gramStart"/>
      <w:r>
        <w:rPr>
          <w:b/>
          <w:i/>
          <w:szCs w:val="22"/>
        </w:rPr>
        <w:t>Combined HIV/Hepatitis</w:t>
      </w:r>
      <w:r w:rsidR="00DF47F4" w:rsidRPr="002003A7">
        <w:rPr>
          <w:b/>
          <w:i/>
          <w:szCs w:val="22"/>
        </w:rPr>
        <w:t xml:space="preserve"> Testing Form</w:t>
      </w:r>
      <w:r w:rsidR="00127519">
        <w:rPr>
          <w:b/>
          <w:i/>
          <w:szCs w:val="22"/>
        </w:rPr>
        <w:t>.</w:t>
      </w:r>
      <w:proofErr w:type="gramEnd"/>
      <w:r w:rsidR="00127519">
        <w:rPr>
          <w:b/>
          <w:i/>
          <w:szCs w:val="22"/>
        </w:rPr>
        <w:t xml:space="preserve"> </w:t>
      </w:r>
      <w:r w:rsidR="007F1453" w:rsidRPr="002003A7">
        <w:rPr>
          <w:szCs w:val="22"/>
        </w:rPr>
        <w:t xml:space="preserve">The combined </w:t>
      </w:r>
      <w:r>
        <w:rPr>
          <w:szCs w:val="22"/>
        </w:rPr>
        <w:t>HIV/Hepatitis Testing F</w:t>
      </w:r>
      <w:r w:rsidR="007F1453">
        <w:rPr>
          <w:szCs w:val="22"/>
        </w:rPr>
        <w:t xml:space="preserve">orm is a streamlined version of two data collection instruments that are currently used by SAMHSA-funded programs: the </w:t>
      </w:r>
      <w:r w:rsidR="007F1453" w:rsidRPr="002003A7">
        <w:rPr>
          <w:szCs w:val="22"/>
        </w:rPr>
        <w:t xml:space="preserve">MAI-TCE Hepatitis Testing Form (OMB #0930-0300) and the MAI-TCE HIV testing form (OMB # 0930-0295).  </w:t>
      </w:r>
      <w:r w:rsidR="007F1453">
        <w:rPr>
          <w:szCs w:val="22"/>
        </w:rPr>
        <w:t xml:space="preserve">Both forms have been in routine use for several years.   </w:t>
      </w:r>
    </w:p>
    <w:p w:rsidR="007D582F" w:rsidRDefault="007D582F" w:rsidP="00BA78D2">
      <w:pPr>
        <w:rPr>
          <w:szCs w:val="22"/>
        </w:rPr>
      </w:pPr>
    </w:p>
    <w:p w:rsidR="00F80FF8" w:rsidRPr="007D582F" w:rsidRDefault="00F80FF8" w:rsidP="00BA78D2">
      <w:pPr>
        <w:rPr>
          <w:szCs w:val="22"/>
        </w:rPr>
      </w:pPr>
      <w:r>
        <w:rPr>
          <w:szCs w:val="22"/>
        </w:rPr>
        <w:lastRenderedPageBreak/>
        <w:t>Grantees will complete and submit a testing form for each individual receiving an HIV and/or hepatitis test</w:t>
      </w:r>
      <w:r w:rsidR="007D582F">
        <w:rPr>
          <w:szCs w:val="22"/>
        </w:rPr>
        <w:t>. Information included in the form will be used to:</w:t>
      </w:r>
      <w:r w:rsidR="00973FF9">
        <w:rPr>
          <w:szCs w:val="22"/>
        </w:rPr>
        <w:t xml:space="preserve"> </w:t>
      </w:r>
      <w:r w:rsidR="007D582F">
        <w:rPr>
          <w:szCs w:val="22"/>
        </w:rPr>
        <w:t xml:space="preserve">document that the </w:t>
      </w:r>
      <w:r>
        <w:rPr>
          <w:szCs w:val="22"/>
        </w:rPr>
        <w:t xml:space="preserve">intended target populations for this program are being </w:t>
      </w:r>
      <w:r w:rsidR="00560ACA">
        <w:rPr>
          <w:szCs w:val="22"/>
        </w:rPr>
        <w:t>tested</w:t>
      </w:r>
      <w:r w:rsidR="007D582F">
        <w:rPr>
          <w:szCs w:val="22"/>
        </w:rPr>
        <w:t xml:space="preserve"> for HIV and hepatitis</w:t>
      </w:r>
      <w:r w:rsidR="00560ACA">
        <w:rPr>
          <w:szCs w:val="22"/>
        </w:rPr>
        <w:t>;</w:t>
      </w:r>
      <w:r>
        <w:rPr>
          <w:szCs w:val="22"/>
        </w:rPr>
        <w:t xml:space="preserve"> </w:t>
      </w:r>
      <w:r w:rsidR="007D582F">
        <w:rPr>
          <w:szCs w:val="22"/>
        </w:rPr>
        <w:t xml:space="preserve">provide </w:t>
      </w:r>
      <w:r>
        <w:rPr>
          <w:szCs w:val="22"/>
        </w:rPr>
        <w:t>information about the substance abuse and sexual risk fact</w:t>
      </w:r>
      <w:r w:rsidR="00560ACA">
        <w:rPr>
          <w:szCs w:val="22"/>
        </w:rPr>
        <w:t>ors of individuals being tested;</w:t>
      </w:r>
      <w:r>
        <w:rPr>
          <w:szCs w:val="22"/>
        </w:rPr>
        <w:t xml:space="preserve"> </w:t>
      </w:r>
      <w:r w:rsidR="00C9048C">
        <w:rPr>
          <w:szCs w:val="22"/>
        </w:rPr>
        <w:t xml:space="preserve">and </w:t>
      </w:r>
      <w:r w:rsidR="007D582F">
        <w:rPr>
          <w:szCs w:val="22"/>
        </w:rPr>
        <w:t>document t</w:t>
      </w:r>
      <w:r>
        <w:rPr>
          <w:szCs w:val="22"/>
        </w:rPr>
        <w:t xml:space="preserve">hat individuals are being referred to appropriate HIV and hepatitis services.   </w:t>
      </w:r>
      <w:proofErr w:type="gramStart"/>
      <w:r w:rsidR="008970BF">
        <w:rPr>
          <w:szCs w:val="22"/>
        </w:rPr>
        <w:t>Types of information</w:t>
      </w:r>
      <w:r>
        <w:rPr>
          <w:szCs w:val="22"/>
        </w:rPr>
        <w:t xml:space="preserve"> collected by the Combined HIV and Hepatitis Testing Form is</w:t>
      </w:r>
      <w:proofErr w:type="gramEnd"/>
      <w:r>
        <w:rPr>
          <w:szCs w:val="22"/>
        </w:rPr>
        <w:t xml:space="preserve"> </w:t>
      </w:r>
      <w:r w:rsidR="008970BF">
        <w:rPr>
          <w:szCs w:val="22"/>
        </w:rPr>
        <w:t xml:space="preserve">outlined </w:t>
      </w:r>
      <w:r w:rsidR="00560ACA">
        <w:rPr>
          <w:szCs w:val="22"/>
        </w:rPr>
        <w:t>in Table 2</w:t>
      </w:r>
      <w:r>
        <w:rPr>
          <w:szCs w:val="22"/>
        </w:rPr>
        <w:t>.</w:t>
      </w:r>
      <w:r w:rsidR="00EF5530">
        <w:rPr>
          <w:szCs w:val="22"/>
        </w:rPr>
        <w:t xml:space="preserve">  It is expected that the completion of this form will take approximately 8 minutes.</w:t>
      </w:r>
    </w:p>
    <w:p w:rsidR="00F80FF8" w:rsidRDefault="00F80FF8" w:rsidP="00127519">
      <w:pPr>
        <w:rPr>
          <w:szCs w:val="22"/>
        </w:rPr>
      </w:pPr>
    </w:p>
    <w:p w:rsidR="007A79E0" w:rsidRDefault="007A79E0" w:rsidP="00127519">
      <w:pPr>
        <w:rPr>
          <w:szCs w:val="22"/>
        </w:rPr>
      </w:pPr>
    </w:p>
    <w:p w:rsidR="00F80FF8" w:rsidRPr="00560ACA" w:rsidRDefault="00BA78D2" w:rsidP="00127519">
      <w:pPr>
        <w:rPr>
          <w:b/>
          <w:szCs w:val="22"/>
        </w:rPr>
      </w:pPr>
      <w:proofErr w:type="gramStart"/>
      <w:r>
        <w:rPr>
          <w:b/>
          <w:szCs w:val="22"/>
        </w:rPr>
        <w:t>Table 2</w:t>
      </w:r>
      <w:r w:rsidR="00F80FF8" w:rsidRPr="00560ACA">
        <w:rPr>
          <w:b/>
          <w:szCs w:val="22"/>
        </w:rPr>
        <w:t>.</w:t>
      </w:r>
      <w:proofErr w:type="gramEnd"/>
      <w:r w:rsidR="00F80FF8" w:rsidRPr="00560ACA">
        <w:rPr>
          <w:b/>
          <w:szCs w:val="22"/>
        </w:rPr>
        <w:t xml:space="preserve"> Information Included in the Combined HIV/Hepatitis </w:t>
      </w:r>
    </w:p>
    <w:p w:rsidR="00F80FF8" w:rsidRDefault="00F80FF8" w:rsidP="00127519">
      <w:pPr>
        <w:rPr>
          <w:b/>
          <w:szCs w:val="22"/>
        </w:rPr>
      </w:pPr>
      <w:r w:rsidRPr="00560ACA">
        <w:rPr>
          <w:b/>
          <w:szCs w:val="22"/>
        </w:rPr>
        <w:t xml:space="preserve">Testing Form </w:t>
      </w:r>
    </w:p>
    <w:p w:rsidR="00560ACA" w:rsidRPr="00560ACA" w:rsidRDefault="00560ACA" w:rsidP="00127519">
      <w:pPr>
        <w:rPr>
          <w:b/>
          <w:szCs w:val="22"/>
        </w:rPr>
      </w:pPr>
    </w:p>
    <w:tbl>
      <w:tblPr>
        <w:tblStyle w:val="TableGrid"/>
        <w:tblW w:w="0" w:type="auto"/>
        <w:tblLook w:val="04A0" w:firstRow="1" w:lastRow="0" w:firstColumn="1" w:lastColumn="0" w:noHBand="0" w:noVBand="1"/>
      </w:tblPr>
      <w:tblGrid>
        <w:gridCol w:w="1368"/>
        <w:gridCol w:w="4680"/>
      </w:tblGrid>
      <w:tr w:rsidR="00F80FF8" w:rsidTr="00F80FF8">
        <w:tc>
          <w:tcPr>
            <w:tcW w:w="1368" w:type="dxa"/>
          </w:tcPr>
          <w:p w:rsidR="00F80FF8" w:rsidRDefault="00F80FF8" w:rsidP="00127519">
            <w:pPr>
              <w:rPr>
                <w:szCs w:val="22"/>
              </w:rPr>
            </w:pPr>
            <w:r>
              <w:rPr>
                <w:szCs w:val="22"/>
              </w:rPr>
              <w:t>Section A</w:t>
            </w:r>
          </w:p>
        </w:tc>
        <w:tc>
          <w:tcPr>
            <w:tcW w:w="4680" w:type="dxa"/>
          </w:tcPr>
          <w:p w:rsidR="00F80FF8" w:rsidRDefault="00F80FF8" w:rsidP="00127519">
            <w:pPr>
              <w:rPr>
                <w:szCs w:val="22"/>
              </w:rPr>
            </w:pPr>
            <w:r>
              <w:rPr>
                <w:szCs w:val="22"/>
              </w:rPr>
              <w:t>Site Characteristics</w:t>
            </w:r>
          </w:p>
        </w:tc>
      </w:tr>
      <w:tr w:rsidR="00F80FF8" w:rsidTr="00F80FF8">
        <w:tc>
          <w:tcPr>
            <w:tcW w:w="1368" w:type="dxa"/>
          </w:tcPr>
          <w:p w:rsidR="00F80FF8" w:rsidRDefault="00F80FF8" w:rsidP="00127519">
            <w:pPr>
              <w:rPr>
                <w:szCs w:val="22"/>
              </w:rPr>
            </w:pPr>
            <w:r>
              <w:rPr>
                <w:szCs w:val="22"/>
              </w:rPr>
              <w:t>Section B</w:t>
            </w:r>
          </w:p>
        </w:tc>
        <w:tc>
          <w:tcPr>
            <w:tcW w:w="4680" w:type="dxa"/>
          </w:tcPr>
          <w:p w:rsidR="00F80FF8" w:rsidRDefault="00F80FF8" w:rsidP="00127519">
            <w:pPr>
              <w:rPr>
                <w:szCs w:val="22"/>
              </w:rPr>
            </w:pPr>
            <w:r>
              <w:rPr>
                <w:szCs w:val="22"/>
              </w:rPr>
              <w:t>Client Demographics</w:t>
            </w:r>
          </w:p>
        </w:tc>
      </w:tr>
      <w:tr w:rsidR="00F80FF8" w:rsidTr="00F80FF8">
        <w:tc>
          <w:tcPr>
            <w:tcW w:w="1368" w:type="dxa"/>
          </w:tcPr>
          <w:p w:rsidR="00F80FF8" w:rsidRDefault="00F80FF8" w:rsidP="00127519">
            <w:pPr>
              <w:rPr>
                <w:szCs w:val="22"/>
              </w:rPr>
            </w:pPr>
            <w:r>
              <w:rPr>
                <w:szCs w:val="22"/>
              </w:rPr>
              <w:t>Section C</w:t>
            </w:r>
          </w:p>
        </w:tc>
        <w:tc>
          <w:tcPr>
            <w:tcW w:w="4680" w:type="dxa"/>
          </w:tcPr>
          <w:p w:rsidR="00F80FF8" w:rsidRDefault="00F80FF8" w:rsidP="00127519">
            <w:pPr>
              <w:rPr>
                <w:szCs w:val="22"/>
              </w:rPr>
            </w:pPr>
            <w:r>
              <w:rPr>
                <w:szCs w:val="22"/>
              </w:rPr>
              <w:t>Risk Behaviors</w:t>
            </w:r>
          </w:p>
        </w:tc>
      </w:tr>
      <w:tr w:rsidR="00F80FF8" w:rsidTr="00F80FF8">
        <w:tc>
          <w:tcPr>
            <w:tcW w:w="1368" w:type="dxa"/>
          </w:tcPr>
          <w:p w:rsidR="00F80FF8" w:rsidRDefault="00F80FF8" w:rsidP="00127519">
            <w:pPr>
              <w:rPr>
                <w:szCs w:val="22"/>
              </w:rPr>
            </w:pPr>
            <w:r>
              <w:rPr>
                <w:szCs w:val="22"/>
              </w:rPr>
              <w:t>Section D</w:t>
            </w:r>
          </w:p>
        </w:tc>
        <w:tc>
          <w:tcPr>
            <w:tcW w:w="4680" w:type="dxa"/>
          </w:tcPr>
          <w:p w:rsidR="00F80FF8" w:rsidRDefault="00F80FF8" w:rsidP="00127519">
            <w:pPr>
              <w:rPr>
                <w:szCs w:val="22"/>
              </w:rPr>
            </w:pPr>
            <w:r>
              <w:rPr>
                <w:szCs w:val="22"/>
              </w:rPr>
              <w:t>Rapid HIV Testing Results</w:t>
            </w:r>
          </w:p>
        </w:tc>
      </w:tr>
      <w:tr w:rsidR="00F80FF8" w:rsidTr="00F80FF8">
        <w:tc>
          <w:tcPr>
            <w:tcW w:w="1368" w:type="dxa"/>
          </w:tcPr>
          <w:p w:rsidR="00F80FF8" w:rsidRDefault="00F80FF8" w:rsidP="00127519">
            <w:pPr>
              <w:rPr>
                <w:szCs w:val="22"/>
              </w:rPr>
            </w:pPr>
            <w:r>
              <w:rPr>
                <w:szCs w:val="22"/>
              </w:rPr>
              <w:t>Section E</w:t>
            </w:r>
          </w:p>
        </w:tc>
        <w:tc>
          <w:tcPr>
            <w:tcW w:w="4680" w:type="dxa"/>
          </w:tcPr>
          <w:p w:rsidR="00F80FF8" w:rsidRDefault="00F80FF8" w:rsidP="00127519">
            <w:pPr>
              <w:rPr>
                <w:szCs w:val="22"/>
              </w:rPr>
            </w:pPr>
            <w:r>
              <w:rPr>
                <w:szCs w:val="22"/>
              </w:rPr>
              <w:t>Rapid Hepatitis B &amp; C Testing Results</w:t>
            </w:r>
          </w:p>
        </w:tc>
      </w:tr>
      <w:tr w:rsidR="00F80FF8" w:rsidTr="00F80FF8">
        <w:tc>
          <w:tcPr>
            <w:tcW w:w="1368" w:type="dxa"/>
          </w:tcPr>
          <w:p w:rsidR="00F80FF8" w:rsidRDefault="00F80FF8" w:rsidP="00127519">
            <w:pPr>
              <w:rPr>
                <w:szCs w:val="22"/>
              </w:rPr>
            </w:pPr>
            <w:r>
              <w:rPr>
                <w:szCs w:val="22"/>
              </w:rPr>
              <w:t>Section F</w:t>
            </w:r>
          </w:p>
        </w:tc>
        <w:tc>
          <w:tcPr>
            <w:tcW w:w="4680" w:type="dxa"/>
          </w:tcPr>
          <w:p w:rsidR="00F80FF8" w:rsidRDefault="00B043CD" w:rsidP="00127519">
            <w:pPr>
              <w:rPr>
                <w:szCs w:val="22"/>
              </w:rPr>
            </w:pPr>
            <w:r>
              <w:rPr>
                <w:szCs w:val="22"/>
              </w:rPr>
              <w:t>Confirmatory T</w:t>
            </w:r>
            <w:r w:rsidR="00F80FF8">
              <w:rPr>
                <w:szCs w:val="22"/>
              </w:rPr>
              <w:t>esting- HIV</w:t>
            </w:r>
          </w:p>
        </w:tc>
      </w:tr>
      <w:tr w:rsidR="00F80FF8" w:rsidTr="00F80FF8">
        <w:tc>
          <w:tcPr>
            <w:tcW w:w="1368" w:type="dxa"/>
          </w:tcPr>
          <w:p w:rsidR="00F80FF8" w:rsidRDefault="00F80FF8" w:rsidP="00127519">
            <w:pPr>
              <w:rPr>
                <w:szCs w:val="22"/>
              </w:rPr>
            </w:pPr>
            <w:r>
              <w:rPr>
                <w:szCs w:val="22"/>
              </w:rPr>
              <w:t>Section G</w:t>
            </w:r>
          </w:p>
        </w:tc>
        <w:tc>
          <w:tcPr>
            <w:tcW w:w="4680" w:type="dxa"/>
          </w:tcPr>
          <w:p w:rsidR="00F80FF8" w:rsidRDefault="00F80FF8" w:rsidP="00127519">
            <w:pPr>
              <w:rPr>
                <w:szCs w:val="22"/>
              </w:rPr>
            </w:pPr>
            <w:r>
              <w:rPr>
                <w:szCs w:val="22"/>
              </w:rPr>
              <w:t>Confirmatory Testing – Hepatitis B&amp;C</w:t>
            </w:r>
          </w:p>
        </w:tc>
      </w:tr>
      <w:tr w:rsidR="00F80FF8" w:rsidTr="00F80FF8">
        <w:tc>
          <w:tcPr>
            <w:tcW w:w="1368" w:type="dxa"/>
          </w:tcPr>
          <w:p w:rsidR="00F80FF8" w:rsidRDefault="00F80FF8" w:rsidP="00F80FF8">
            <w:pPr>
              <w:rPr>
                <w:szCs w:val="22"/>
              </w:rPr>
            </w:pPr>
            <w:r>
              <w:rPr>
                <w:szCs w:val="22"/>
              </w:rPr>
              <w:t>Section H</w:t>
            </w:r>
          </w:p>
        </w:tc>
        <w:tc>
          <w:tcPr>
            <w:tcW w:w="4680" w:type="dxa"/>
          </w:tcPr>
          <w:p w:rsidR="00F80FF8" w:rsidRDefault="00F80FF8" w:rsidP="00127519">
            <w:pPr>
              <w:rPr>
                <w:szCs w:val="22"/>
              </w:rPr>
            </w:pPr>
            <w:r>
              <w:rPr>
                <w:szCs w:val="22"/>
              </w:rPr>
              <w:t>Types of HIV Services Provided</w:t>
            </w:r>
          </w:p>
        </w:tc>
      </w:tr>
      <w:tr w:rsidR="00F80FF8" w:rsidTr="00F80FF8">
        <w:tc>
          <w:tcPr>
            <w:tcW w:w="1368" w:type="dxa"/>
          </w:tcPr>
          <w:p w:rsidR="00F80FF8" w:rsidRDefault="00F80FF8" w:rsidP="00F80FF8">
            <w:pPr>
              <w:rPr>
                <w:szCs w:val="22"/>
              </w:rPr>
            </w:pPr>
            <w:r>
              <w:rPr>
                <w:szCs w:val="22"/>
              </w:rPr>
              <w:t>Section I</w:t>
            </w:r>
          </w:p>
        </w:tc>
        <w:tc>
          <w:tcPr>
            <w:tcW w:w="4680" w:type="dxa"/>
          </w:tcPr>
          <w:p w:rsidR="00F80FF8" w:rsidRDefault="00F80FF8" w:rsidP="00127519">
            <w:pPr>
              <w:rPr>
                <w:szCs w:val="22"/>
              </w:rPr>
            </w:pPr>
            <w:r>
              <w:rPr>
                <w:szCs w:val="22"/>
              </w:rPr>
              <w:t>Types of Hepatitis B&amp;C Services Provided</w:t>
            </w:r>
          </w:p>
        </w:tc>
      </w:tr>
    </w:tbl>
    <w:p w:rsidR="007A79E0" w:rsidRDefault="007A79E0" w:rsidP="0048073B">
      <w:pPr>
        <w:tabs>
          <w:tab w:val="left" w:pos="0"/>
        </w:tabs>
        <w:suppressAutoHyphens/>
        <w:rPr>
          <w:szCs w:val="22"/>
        </w:rPr>
      </w:pPr>
    </w:p>
    <w:p w:rsidR="007A79E0" w:rsidRDefault="007A79E0" w:rsidP="0048073B">
      <w:pPr>
        <w:tabs>
          <w:tab w:val="left" w:pos="0"/>
        </w:tabs>
        <w:suppressAutoHyphens/>
        <w:rPr>
          <w:szCs w:val="22"/>
        </w:rPr>
      </w:pPr>
    </w:p>
    <w:p w:rsidR="00BA78D2" w:rsidRDefault="00C9048C" w:rsidP="0048073B">
      <w:pPr>
        <w:tabs>
          <w:tab w:val="left" w:pos="0"/>
        </w:tabs>
        <w:suppressAutoHyphens/>
        <w:rPr>
          <w:szCs w:val="22"/>
        </w:rPr>
      </w:pPr>
      <w:r>
        <w:rPr>
          <w:b/>
          <w:szCs w:val="22"/>
        </w:rPr>
        <w:t>Co-located</w:t>
      </w:r>
      <w:r w:rsidR="000236E7" w:rsidRPr="000236E7">
        <w:rPr>
          <w:b/>
          <w:szCs w:val="22"/>
        </w:rPr>
        <w:t xml:space="preserve"> and Integrated Care Version of </w:t>
      </w:r>
      <w:r w:rsidR="008D4BDC">
        <w:rPr>
          <w:b/>
          <w:szCs w:val="22"/>
        </w:rPr>
        <w:t>TRAC</w:t>
      </w:r>
      <w:r w:rsidR="000236E7">
        <w:rPr>
          <w:szCs w:val="22"/>
        </w:rPr>
        <w:t xml:space="preserve">: </w:t>
      </w:r>
      <w:r w:rsidR="008D4BDC">
        <w:rPr>
          <w:szCs w:val="22"/>
        </w:rPr>
        <w:t>This instrument</w:t>
      </w:r>
      <w:r w:rsidR="00BA78D2">
        <w:rPr>
          <w:szCs w:val="22"/>
        </w:rPr>
        <w:t xml:space="preserve"> will be used to provide information that will inform </w:t>
      </w:r>
      <w:r w:rsidR="009C79B5">
        <w:rPr>
          <w:szCs w:val="22"/>
        </w:rPr>
        <w:t>SAMHSA</w:t>
      </w:r>
      <w:r w:rsidR="00BA78D2">
        <w:rPr>
          <w:szCs w:val="22"/>
        </w:rPr>
        <w:t xml:space="preserve">’s understanding of how the </w:t>
      </w:r>
      <w:r>
        <w:rPr>
          <w:szCs w:val="22"/>
        </w:rPr>
        <w:t>Co-located</w:t>
      </w:r>
      <w:r w:rsidR="00BA78D2">
        <w:rPr>
          <w:szCs w:val="22"/>
        </w:rPr>
        <w:t xml:space="preserve"> </w:t>
      </w:r>
      <w:r w:rsidR="008970BF">
        <w:rPr>
          <w:szCs w:val="22"/>
        </w:rPr>
        <w:t xml:space="preserve">and Integrated </w:t>
      </w:r>
      <w:r w:rsidR="00BA78D2">
        <w:rPr>
          <w:szCs w:val="22"/>
        </w:rPr>
        <w:t xml:space="preserve">Care Program is operating, </w:t>
      </w:r>
      <w:r>
        <w:rPr>
          <w:szCs w:val="22"/>
        </w:rPr>
        <w:t>to</w:t>
      </w:r>
      <w:r w:rsidR="00BA78D2">
        <w:rPr>
          <w:szCs w:val="22"/>
        </w:rPr>
        <w:t xml:space="preserve"> assist </w:t>
      </w:r>
      <w:r w:rsidR="009C79B5">
        <w:rPr>
          <w:szCs w:val="22"/>
        </w:rPr>
        <w:t>SAMHSA</w:t>
      </w:r>
      <w:r w:rsidR="00BA78D2">
        <w:rPr>
          <w:szCs w:val="22"/>
        </w:rPr>
        <w:t xml:space="preserve"> </w:t>
      </w:r>
      <w:r w:rsidR="009C79B5">
        <w:rPr>
          <w:szCs w:val="22"/>
        </w:rPr>
        <w:t xml:space="preserve">to </w:t>
      </w:r>
      <w:r w:rsidR="00BA78D2">
        <w:rPr>
          <w:szCs w:val="22"/>
        </w:rPr>
        <w:t>identify strengths and weaknesses of each program, to help identify programs that would benefit from additional support or technical assistance, and to inform future fund</w:t>
      </w:r>
      <w:r w:rsidR="00020145">
        <w:rPr>
          <w:szCs w:val="22"/>
        </w:rPr>
        <w:t xml:space="preserve">ing decisions.   Information </w:t>
      </w:r>
      <w:r w:rsidR="000236E7">
        <w:rPr>
          <w:szCs w:val="22"/>
        </w:rPr>
        <w:t xml:space="preserve">contained </w:t>
      </w:r>
      <w:r w:rsidR="000236E7" w:rsidRPr="00EA7144">
        <w:rPr>
          <w:szCs w:val="22"/>
        </w:rPr>
        <w:t>in</w:t>
      </w:r>
      <w:r w:rsidR="00020145">
        <w:rPr>
          <w:szCs w:val="22"/>
        </w:rPr>
        <w:t xml:space="preserve"> the</w:t>
      </w:r>
      <w:r w:rsidR="000236E7" w:rsidRPr="00EA7144">
        <w:rPr>
          <w:szCs w:val="22"/>
        </w:rPr>
        <w:t xml:space="preserve"> </w:t>
      </w:r>
      <w:r>
        <w:rPr>
          <w:szCs w:val="22"/>
        </w:rPr>
        <w:t>Co-located</w:t>
      </w:r>
      <w:r w:rsidR="000236E7" w:rsidRPr="00EA7144">
        <w:rPr>
          <w:szCs w:val="22"/>
        </w:rPr>
        <w:t xml:space="preserve"> and Integrated Care </w:t>
      </w:r>
      <w:r w:rsidR="000236E7">
        <w:rPr>
          <w:szCs w:val="22"/>
        </w:rPr>
        <w:t xml:space="preserve">version of </w:t>
      </w:r>
      <w:r w:rsidR="008D4BDC">
        <w:rPr>
          <w:szCs w:val="22"/>
        </w:rPr>
        <w:t>TRAC</w:t>
      </w:r>
      <w:r w:rsidR="00BA78D2">
        <w:rPr>
          <w:szCs w:val="22"/>
        </w:rPr>
        <w:t xml:space="preserve"> will also be </w:t>
      </w:r>
      <w:r w:rsidR="008970BF">
        <w:rPr>
          <w:szCs w:val="22"/>
        </w:rPr>
        <w:t>used</w:t>
      </w:r>
      <w:r w:rsidR="00BA78D2">
        <w:rPr>
          <w:szCs w:val="22"/>
        </w:rPr>
        <w:t xml:space="preserve"> to monitor performance outcomes related to this grant</w:t>
      </w:r>
      <w:r w:rsidR="008970BF">
        <w:rPr>
          <w:szCs w:val="22"/>
        </w:rPr>
        <w:t>,</w:t>
      </w:r>
      <w:r w:rsidR="00BA78D2">
        <w:rPr>
          <w:szCs w:val="22"/>
        </w:rPr>
        <w:t xml:space="preserve"> including the impact of services on </w:t>
      </w:r>
      <w:r w:rsidR="00EA7144">
        <w:rPr>
          <w:szCs w:val="22"/>
        </w:rPr>
        <w:t>mental</w:t>
      </w:r>
      <w:r w:rsidR="00BA78D2">
        <w:rPr>
          <w:szCs w:val="22"/>
        </w:rPr>
        <w:t xml:space="preserve"> health and substance abuse outcomes.</w:t>
      </w:r>
      <w:r w:rsidR="00EA3ADD">
        <w:rPr>
          <w:szCs w:val="22"/>
        </w:rPr>
        <w:t xml:space="preserve">  Detailed information regarding the composition of </w:t>
      </w:r>
      <w:r w:rsidR="000236E7">
        <w:rPr>
          <w:szCs w:val="22"/>
        </w:rPr>
        <w:t xml:space="preserve">the </w:t>
      </w:r>
      <w:r>
        <w:rPr>
          <w:szCs w:val="22"/>
        </w:rPr>
        <w:t>Co-located</w:t>
      </w:r>
      <w:r w:rsidR="000236E7" w:rsidRPr="00EA7144">
        <w:rPr>
          <w:szCs w:val="22"/>
        </w:rPr>
        <w:t xml:space="preserve"> and Integrated Care</w:t>
      </w:r>
      <w:r w:rsidR="000236E7">
        <w:rPr>
          <w:szCs w:val="22"/>
        </w:rPr>
        <w:t xml:space="preserve"> version of </w:t>
      </w:r>
      <w:r w:rsidR="008D4BDC">
        <w:rPr>
          <w:szCs w:val="22"/>
        </w:rPr>
        <w:t>TRAC</w:t>
      </w:r>
      <w:r w:rsidR="00EA3ADD">
        <w:rPr>
          <w:szCs w:val="22"/>
        </w:rPr>
        <w:t xml:space="preserve"> is included in Attachment 4. </w:t>
      </w:r>
    </w:p>
    <w:p w:rsidR="00BA78D2" w:rsidRDefault="00BA78D2" w:rsidP="0048073B">
      <w:pPr>
        <w:tabs>
          <w:tab w:val="left" w:pos="0"/>
        </w:tabs>
        <w:suppressAutoHyphens/>
        <w:rPr>
          <w:szCs w:val="22"/>
        </w:rPr>
      </w:pPr>
    </w:p>
    <w:p w:rsidR="006D5E7F" w:rsidRPr="002003A7" w:rsidRDefault="00BA78D2" w:rsidP="0048073B">
      <w:pPr>
        <w:tabs>
          <w:tab w:val="left" w:pos="0"/>
        </w:tabs>
        <w:suppressAutoHyphens/>
        <w:rPr>
          <w:szCs w:val="22"/>
        </w:rPr>
      </w:pPr>
      <w:r>
        <w:rPr>
          <w:szCs w:val="22"/>
        </w:rPr>
        <w:t>Clients</w:t>
      </w:r>
      <w:r w:rsidR="006D5E7F" w:rsidRPr="002003A7">
        <w:rPr>
          <w:szCs w:val="22"/>
        </w:rPr>
        <w:t xml:space="preserve"> who receive </w:t>
      </w:r>
      <w:r>
        <w:rPr>
          <w:szCs w:val="22"/>
        </w:rPr>
        <w:t xml:space="preserve">HIV </w:t>
      </w:r>
      <w:r w:rsidR="006D5E7F" w:rsidRPr="002003A7">
        <w:rPr>
          <w:szCs w:val="22"/>
        </w:rPr>
        <w:t xml:space="preserve">prevention services </w:t>
      </w:r>
      <w:r w:rsidR="006D5E7F" w:rsidRPr="002003A7">
        <w:rPr>
          <w:b/>
          <w:szCs w:val="22"/>
        </w:rPr>
        <w:t>or</w:t>
      </w:r>
      <w:r w:rsidR="006D5E7F" w:rsidRPr="002003A7">
        <w:rPr>
          <w:szCs w:val="22"/>
        </w:rPr>
        <w:t xml:space="preserve"> integrated medical care for HIV will be required to </w:t>
      </w:r>
      <w:r w:rsidR="0048073B" w:rsidRPr="002003A7">
        <w:rPr>
          <w:szCs w:val="22"/>
        </w:rPr>
        <w:t xml:space="preserve">report some information </w:t>
      </w:r>
      <w:r w:rsidR="000236E7">
        <w:rPr>
          <w:szCs w:val="22"/>
        </w:rPr>
        <w:t xml:space="preserve">via </w:t>
      </w:r>
      <w:r w:rsidR="008D4BDC">
        <w:rPr>
          <w:szCs w:val="22"/>
        </w:rPr>
        <w:t>TRAC</w:t>
      </w:r>
      <w:r w:rsidR="0048073B" w:rsidRPr="002003A7">
        <w:rPr>
          <w:szCs w:val="22"/>
        </w:rPr>
        <w:t xml:space="preserve"> at baseline and follow-up</w:t>
      </w:r>
      <w:r w:rsidR="008970BF">
        <w:rPr>
          <w:szCs w:val="22"/>
        </w:rPr>
        <w:t xml:space="preserve"> time periods</w:t>
      </w:r>
      <w:r w:rsidR="006D5E7F" w:rsidRPr="002003A7">
        <w:rPr>
          <w:szCs w:val="22"/>
        </w:rPr>
        <w:t>.  The amount of information reported for each individual will vary depending on the type of services that are provided to each client.</w:t>
      </w:r>
    </w:p>
    <w:p w:rsidR="006D5E7F" w:rsidRPr="002003A7" w:rsidRDefault="006D5E7F" w:rsidP="006D5E7F">
      <w:pPr>
        <w:pStyle w:val="ListParagraph"/>
        <w:tabs>
          <w:tab w:val="left" w:pos="0"/>
        </w:tabs>
        <w:suppressAutoHyphens/>
        <w:rPr>
          <w:rFonts w:ascii="Arial" w:hAnsi="Arial" w:cs="Arial"/>
          <w:sz w:val="22"/>
          <w:szCs w:val="22"/>
        </w:rPr>
      </w:pPr>
    </w:p>
    <w:p w:rsidR="006D5E7F" w:rsidRPr="002003A7" w:rsidRDefault="006D5E7F" w:rsidP="0048073B">
      <w:pPr>
        <w:pStyle w:val="ListParagraph"/>
        <w:numPr>
          <w:ilvl w:val="0"/>
          <w:numId w:val="29"/>
        </w:numPr>
        <w:tabs>
          <w:tab w:val="left" w:pos="0"/>
        </w:tabs>
        <w:suppressAutoHyphens/>
        <w:rPr>
          <w:rFonts w:ascii="Arial" w:hAnsi="Arial" w:cs="Arial"/>
          <w:sz w:val="22"/>
          <w:szCs w:val="22"/>
        </w:rPr>
      </w:pPr>
      <w:r w:rsidRPr="002003A7">
        <w:rPr>
          <w:rFonts w:ascii="Arial" w:hAnsi="Arial" w:cs="Arial"/>
          <w:sz w:val="22"/>
          <w:szCs w:val="22"/>
        </w:rPr>
        <w:t xml:space="preserve">Individuals who test positive for HIV and receive </w:t>
      </w:r>
      <w:r w:rsidR="00C9048C">
        <w:rPr>
          <w:rFonts w:ascii="Arial" w:hAnsi="Arial" w:cs="Arial"/>
          <w:sz w:val="22"/>
          <w:szCs w:val="22"/>
        </w:rPr>
        <w:t xml:space="preserve">co-located or </w:t>
      </w:r>
      <w:r w:rsidRPr="002003A7">
        <w:rPr>
          <w:rFonts w:ascii="Arial" w:hAnsi="Arial" w:cs="Arial"/>
          <w:sz w:val="22"/>
          <w:szCs w:val="22"/>
        </w:rPr>
        <w:t xml:space="preserve">integrated medical care through this </w:t>
      </w:r>
      <w:r w:rsidR="0048073B" w:rsidRPr="002003A7">
        <w:rPr>
          <w:rFonts w:ascii="Arial" w:hAnsi="Arial" w:cs="Arial"/>
          <w:sz w:val="22"/>
          <w:szCs w:val="22"/>
        </w:rPr>
        <w:t xml:space="preserve">grant </w:t>
      </w:r>
      <w:r w:rsidRPr="002003A7">
        <w:rPr>
          <w:rFonts w:ascii="Arial" w:hAnsi="Arial" w:cs="Arial"/>
          <w:sz w:val="22"/>
          <w:szCs w:val="22"/>
        </w:rPr>
        <w:t xml:space="preserve">program will be required to complete the entire </w:t>
      </w:r>
      <w:r w:rsidR="00C9048C">
        <w:rPr>
          <w:rFonts w:ascii="Arial" w:hAnsi="Arial" w:cs="Arial"/>
          <w:sz w:val="22"/>
          <w:szCs w:val="22"/>
        </w:rPr>
        <w:t>Co-located</w:t>
      </w:r>
      <w:r w:rsidR="000236E7" w:rsidRPr="00847157">
        <w:rPr>
          <w:rFonts w:ascii="Arial" w:hAnsi="Arial" w:cs="Arial"/>
          <w:sz w:val="22"/>
          <w:szCs w:val="22"/>
        </w:rPr>
        <w:t xml:space="preserve"> and Integrated Care</w:t>
      </w:r>
      <w:r w:rsidRPr="002003A7">
        <w:rPr>
          <w:rFonts w:ascii="Arial" w:hAnsi="Arial" w:cs="Arial"/>
          <w:sz w:val="22"/>
          <w:szCs w:val="22"/>
        </w:rPr>
        <w:t xml:space="preserve"> </w:t>
      </w:r>
      <w:r w:rsidR="00EF5530">
        <w:rPr>
          <w:rFonts w:ascii="Arial" w:hAnsi="Arial" w:cs="Arial"/>
          <w:sz w:val="22"/>
          <w:szCs w:val="22"/>
        </w:rPr>
        <w:t xml:space="preserve">TRAC </w:t>
      </w:r>
      <w:r w:rsidRPr="002003A7">
        <w:rPr>
          <w:rFonts w:ascii="Arial" w:hAnsi="Arial" w:cs="Arial"/>
          <w:sz w:val="22"/>
          <w:szCs w:val="22"/>
        </w:rPr>
        <w:t>interview at baseline, at each six-month reassessment, and at discharge.</w:t>
      </w:r>
      <w:r w:rsidR="0048073B" w:rsidRPr="002003A7">
        <w:rPr>
          <w:rFonts w:ascii="Arial" w:hAnsi="Arial" w:cs="Arial"/>
          <w:sz w:val="22"/>
          <w:szCs w:val="22"/>
        </w:rPr>
        <w:t xml:space="preserve"> It is expected that completion of the </w:t>
      </w:r>
      <w:r w:rsidR="00C9048C">
        <w:rPr>
          <w:rFonts w:ascii="Arial" w:hAnsi="Arial" w:cs="Arial"/>
          <w:sz w:val="22"/>
          <w:szCs w:val="22"/>
        </w:rPr>
        <w:t>Co-located</w:t>
      </w:r>
      <w:r w:rsidR="000236E7" w:rsidRPr="00847157">
        <w:rPr>
          <w:rFonts w:ascii="Arial" w:hAnsi="Arial" w:cs="Arial"/>
          <w:sz w:val="22"/>
          <w:szCs w:val="22"/>
        </w:rPr>
        <w:t xml:space="preserve"> and Integrated Care</w:t>
      </w:r>
      <w:r w:rsidR="0048073B" w:rsidRPr="00847157">
        <w:rPr>
          <w:rFonts w:ascii="Arial" w:hAnsi="Arial" w:cs="Arial"/>
          <w:sz w:val="22"/>
          <w:szCs w:val="22"/>
        </w:rPr>
        <w:t xml:space="preserve"> </w:t>
      </w:r>
      <w:r w:rsidR="00EF5530">
        <w:rPr>
          <w:rFonts w:ascii="Arial" w:hAnsi="Arial" w:cs="Arial"/>
          <w:sz w:val="22"/>
          <w:szCs w:val="22"/>
        </w:rPr>
        <w:t xml:space="preserve">TRAC </w:t>
      </w:r>
      <w:r w:rsidR="00C9048C">
        <w:rPr>
          <w:rFonts w:ascii="Arial" w:hAnsi="Arial" w:cs="Arial"/>
          <w:sz w:val="22"/>
          <w:szCs w:val="22"/>
        </w:rPr>
        <w:t>tool</w:t>
      </w:r>
      <w:r w:rsidR="0048073B" w:rsidRPr="002003A7">
        <w:rPr>
          <w:rFonts w:ascii="Arial" w:hAnsi="Arial" w:cs="Arial"/>
          <w:sz w:val="22"/>
          <w:szCs w:val="22"/>
        </w:rPr>
        <w:t xml:space="preserve"> will take </w:t>
      </w:r>
      <w:r w:rsidR="00025BA9" w:rsidRPr="002003A7">
        <w:rPr>
          <w:rFonts w:ascii="Arial" w:hAnsi="Arial" w:cs="Arial"/>
          <w:sz w:val="22"/>
          <w:szCs w:val="22"/>
        </w:rPr>
        <w:t xml:space="preserve">approximately </w:t>
      </w:r>
      <w:r w:rsidR="00EF5530">
        <w:rPr>
          <w:rFonts w:ascii="Arial" w:hAnsi="Arial" w:cs="Arial"/>
          <w:sz w:val="22"/>
          <w:szCs w:val="22"/>
        </w:rPr>
        <w:t>35</w:t>
      </w:r>
      <w:r w:rsidR="0048073B" w:rsidRPr="002003A7">
        <w:rPr>
          <w:rFonts w:ascii="Arial" w:hAnsi="Arial" w:cs="Arial"/>
          <w:sz w:val="22"/>
          <w:szCs w:val="22"/>
        </w:rPr>
        <w:t xml:space="preserve"> minutes.</w:t>
      </w:r>
    </w:p>
    <w:p w:rsidR="006D5E7F" w:rsidRPr="002003A7" w:rsidRDefault="006D5E7F" w:rsidP="006D5E7F">
      <w:pPr>
        <w:pStyle w:val="ListParagraph"/>
        <w:tabs>
          <w:tab w:val="left" w:pos="0"/>
        </w:tabs>
        <w:suppressAutoHyphens/>
        <w:ind w:left="2160"/>
        <w:rPr>
          <w:rFonts w:ascii="Arial" w:hAnsi="Arial" w:cs="Arial"/>
          <w:sz w:val="22"/>
          <w:szCs w:val="22"/>
        </w:rPr>
      </w:pPr>
    </w:p>
    <w:p w:rsidR="0048073B" w:rsidRPr="002003A7" w:rsidRDefault="006D5E7F" w:rsidP="0048073B">
      <w:pPr>
        <w:pStyle w:val="ListParagraph"/>
        <w:numPr>
          <w:ilvl w:val="0"/>
          <w:numId w:val="29"/>
        </w:numPr>
        <w:tabs>
          <w:tab w:val="left" w:pos="0"/>
        </w:tabs>
        <w:suppressAutoHyphens/>
        <w:rPr>
          <w:rFonts w:ascii="Arial" w:hAnsi="Arial" w:cs="Arial"/>
          <w:sz w:val="22"/>
          <w:szCs w:val="22"/>
        </w:rPr>
      </w:pPr>
      <w:r w:rsidRPr="002003A7">
        <w:rPr>
          <w:rFonts w:ascii="Arial" w:hAnsi="Arial" w:cs="Arial"/>
          <w:sz w:val="22"/>
          <w:szCs w:val="22"/>
        </w:rPr>
        <w:t>Individuals who</w:t>
      </w:r>
      <w:r w:rsidR="003F25FF" w:rsidRPr="002003A7">
        <w:rPr>
          <w:rFonts w:ascii="Arial" w:hAnsi="Arial" w:cs="Arial"/>
          <w:sz w:val="22"/>
          <w:szCs w:val="22"/>
        </w:rPr>
        <w:t xml:space="preserve"> only receive prevention services will be required to complete the following </w:t>
      </w:r>
      <w:r w:rsidR="008970BF">
        <w:rPr>
          <w:rFonts w:ascii="Arial" w:hAnsi="Arial" w:cs="Arial"/>
          <w:sz w:val="22"/>
          <w:szCs w:val="22"/>
        </w:rPr>
        <w:t>modules</w:t>
      </w:r>
      <w:r w:rsidR="003F25FF" w:rsidRPr="002003A7">
        <w:rPr>
          <w:rFonts w:ascii="Arial" w:hAnsi="Arial" w:cs="Arial"/>
          <w:sz w:val="22"/>
          <w:szCs w:val="22"/>
        </w:rPr>
        <w:t xml:space="preserve"> of </w:t>
      </w:r>
      <w:r w:rsidR="008970BF">
        <w:rPr>
          <w:rFonts w:ascii="Arial" w:hAnsi="Arial" w:cs="Arial"/>
          <w:sz w:val="22"/>
          <w:szCs w:val="22"/>
        </w:rPr>
        <w:t xml:space="preserve">the </w:t>
      </w:r>
      <w:r w:rsidR="00C9048C">
        <w:rPr>
          <w:rFonts w:ascii="Arial" w:hAnsi="Arial" w:cs="Arial"/>
          <w:sz w:val="22"/>
          <w:szCs w:val="22"/>
        </w:rPr>
        <w:t>Co-located</w:t>
      </w:r>
      <w:r w:rsidR="000236E7" w:rsidRPr="00847157">
        <w:rPr>
          <w:rFonts w:ascii="Arial" w:hAnsi="Arial" w:cs="Arial"/>
          <w:sz w:val="22"/>
          <w:szCs w:val="22"/>
        </w:rPr>
        <w:t xml:space="preserve"> and Integrated Care</w:t>
      </w:r>
      <w:r w:rsidR="000236E7">
        <w:rPr>
          <w:rFonts w:ascii="Arial" w:hAnsi="Arial" w:cs="Arial"/>
          <w:sz w:val="22"/>
          <w:szCs w:val="22"/>
        </w:rPr>
        <w:t xml:space="preserve"> tool</w:t>
      </w:r>
      <w:r w:rsidR="003F25FF" w:rsidRPr="002003A7">
        <w:rPr>
          <w:rFonts w:ascii="Arial" w:hAnsi="Arial" w:cs="Arial"/>
          <w:sz w:val="22"/>
          <w:szCs w:val="22"/>
        </w:rPr>
        <w:t xml:space="preserve"> at baseline: Records Management; Demographics; and up to five “pre-test” questions from Section H that focus on HIV knowledge and/or attitudes.  </w:t>
      </w:r>
      <w:r w:rsidR="00BA78D2">
        <w:rPr>
          <w:rFonts w:ascii="Arial" w:hAnsi="Arial" w:cs="Arial"/>
          <w:sz w:val="22"/>
          <w:szCs w:val="22"/>
        </w:rPr>
        <w:t xml:space="preserve">The questions will be selected by the program to reflect the specific content of the prevention services being delivered.  </w:t>
      </w:r>
      <w:r w:rsidR="003F25FF" w:rsidRPr="002003A7">
        <w:rPr>
          <w:rFonts w:ascii="Arial" w:hAnsi="Arial" w:cs="Arial"/>
          <w:sz w:val="22"/>
          <w:szCs w:val="22"/>
        </w:rPr>
        <w:t xml:space="preserve">It is expected that </w:t>
      </w:r>
      <w:r w:rsidR="00025BA9" w:rsidRPr="002003A7">
        <w:rPr>
          <w:rFonts w:ascii="Arial" w:hAnsi="Arial" w:cs="Arial"/>
          <w:sz w:val="22"/>
          <w:szCs w:val="22"/>
        </w:rPr>
        <w:t>completion of these sections</w:t>
      </w:r>
      <w:r w:rsidR="003F25FF" w:rsidRPr="002003A7">
        <w:rPr>
          <w:rFonts w:ascii="Arial" w:hAnsi="Arial" w:cs="Arial"/>
          <w:sz w:val="22"/>
          <w:szCs w:val="22"/>
        </w:rPr>
        <w:t xml:space="preserve"> should take approximately </w:t>
      </w:r>
      <w:r w:rsidR="00025BA9" w:rsidRPr="002003A7">
        <w:rPr>
          <w:rFonts w:ascii="Arial" w:hAnsi="Arial" w:cs="Arial"/>
          <w:sz w:val="22"/>
          <w:szCs w:val="22"/>
        </w:rPr>
        <w:t>7</w:t>
      </w:r>
      <w:r w:rsidR="003F25FF" w:rsidRPr="002003A7">
        <w:rPr>
          <w:rFonts w:ascii="Arial" w:hAnsi="Arial" w:cs="Arial"/>
          <w:sz w:val="22"/>
          <w:szCs w:val="22"/>
        </w:rPr>
        <w:t xml:space="preserve"> minutes.</w:t>
      </w:r>
    </w:p>
    <w:p w:rsidR="0048073B" w:rsidRPr="002003A7" w:rsidRDefault="0048073B" w:rsidP="0048073B">
      <w:pPr>
        <w:pStyle w:val="ListParagraph"/>
        <w:rPr>
          <w:rFonts w:ascii="Arial" w:hAnsi="Arial" w:cs="Arial"/>
          <w:sz w:val="22"/>
          <w:szCs w:val="22"/>
        </w:rPr>
      </w:pPr>
    </w:p>
    <w:p w:rsidR="006D5E7F" w:rsidRPr="002003A7" w:rsidRDefault="003F25FF" w:rsidP="0048073B">
      <w:pPr>
        <w:pStyle w:val="ListParagraph"/>
        <w:tabs>
          <w:tab w:val="left" w:pos="0"/>
        </w:tabs>
        <w:suppressAutoHyphens/>
        <w:ind w:left="360"/>
        <w:rPr>
          <w:rFonts w:ascii="Arial" w:hAnsi="Arial" w:cs="Arial"/>
          <w:sz w:val="22"/>
          <w:szCs w:val="22"/>
        </w:rPr>
      </w:pPr>
      <w:r w:rsidRPr="002003A7">
        <w:rPr>
          <w:rFonts w:ascii="Arial" w:hAnsi="Arial" w:cs="Arial"/>
          <w:sz w:val="22"/>
          <w:szCs w:val="22"/>
        </w:rPr>
        <w:t xml:space="preserve">At discharge from prevention services, </w:t>
      </w:r>
      <w:r w:rsidR="00BA78D2">
        <w:rPr>
          <w:rFonts w:ascii="Arial" w:hAnsi="Arial" w:cs="Arial"/>
          <w:sz w:val="22"/>
          <w:szCs w:val="22"/>
        </w:rPr>
        <w:t xml:space="preserve">clients </w:t>
      </w:r>
      <w:r w:rsidR="008970BF">
        <w:rPr>
          <w:rFonts w:ascii="Arial" w:hAnsi="Arial" w:cs="Arial"/>
          <w:sz w:val="22"/>
          <w:szCs w:val="22"/>
        </w:rPr>
        <w:t>who have only received prevention</w:t>
      </w:r>
      <w:r w:rsidR="00BA78D2">
        <w:rPr>
          <w:rFonts w:ascii="Arial" w:hAnsi="Arial" w:cs="Arial"/>
          <w:sz w:val="22"/>
          <w:szCs w:val="22"/>
        </w:rPr>
        <w:t xml:space="preserve"> services</w:t>
      </w:r>
      <w:r w:rsidRPr="002003A7">
        <w:rPr>
          <w:rFonts w:ascii="Arial" w:hAnsi="Arial" w:cs="Arial"/>
          <w:sz w:val="22"/>
          <w:szCs w:val="22"/>
        </w:rPr>
        <w:t xml:space="preserve"> will be required to respond to the same Section H questions that they answered at baseline.  It is expected that these questions should take approximately 2-3 minutes to complete.</w:t>
      </w:r>
    </w:p>
    <w:p w:rsidR="006D5E7F" w:rsidRPr="002003A7" w:rsidRDefault="006D5E7F" w:rsidP="006D5E7F">
      <w:pPr>
        <w:pStyle w:val="ListParagraph"/>
        <w:tabs>
          <w:tab w:val="left" w:pos="0"/>
        </w:tabs>
        <w:suppressAutoHyphens/>
        <w:rPr>
          <w:rFonts w:ascii="Arial" w:hAnsi="Arial" w:cs="Arial"/>
          <w:sz w:val="22"/>
          <w:szCs w:val="22"/>
        </w:rPr>
      </w:pPr>
    </w:p>
    <w:p w:rsidR="007313E4" w:rsidRPr="002003A7" w:rsidRDefault="007313E4" w:rsidP="007313E4">
      <w:pPr>
        <w:tabs>
          <w:tab w:val="left" w:pos="0"/>
        </w:tabs>
        <w:suppressAutoHyphens/>
        <w:rPr>
          <w:szCs w:val="22"/>
        </w:rPr>
      </w:pPr>
    </w:p>
    <w:p w:rsidR="00CB61AD" w:rsidRDefault="0048073B" w:rsidP="0048073B">
      <w:pPr>
        <w:tabs>
          <w:tab w:val="left" w:pos="0"/>
        </w:tabs>
        <w:suppressAutoHyphens/>
        <w:rPr>
          <w:szCs w:val="22"/>
        </w:rPr>
      </w:pPr>
      <w:proofErr w:type="gramStart"/>
      <w:r w:rsidRPr="002003A7">
        <w:rPr>
          <w:b/>
          <w:i/>
          <w:szCs w:val="22"/>
        </w:rPr>
        <w:t>HIV-Specific Indicators</w:t>
      </w:r>
      <w:r w:rsidR="00127519">
        <w:rPr>
          <w:b/>
          <w:i/>
          <w:szCs w:val="22"/>
        </w:rPr>
        <w:t>.</w:t>
      </w:r>
      <w:proofErr w:type="gramEnd"/>
      <w:r w:rsidR="00127519">
        <w:rPr>
          <w:b/>
          <w:i/>
          <w:szCs w:val="22"/>
        </w:rPr>
        <w:t xml:space="preserve"> </w:t>
      </w:r>
      <w:r w:rsidR="007313E4" w:rsidRPr="002003A7">
        <w:rPr>
          <w:szCs w:val="22"/>
        </w:rPr>
        <w:t xml:space="preserve">The HIV-specific indicators are comprised of </w:t>
      </w:r>
      <w:r w:rsidR="00EF5530">
        <w:rPr>
          <w:szCs w:val="22"/>
        </w:rPr>
        <w:t>14</w:t>
      </w:r>
      <w:r w:rsidR="007313E4" w:rsidRPr="002003A7">
        <w:rPr>
          <w:szCs w:val="22"/>
        </w:rPr>
        <w:t xml:space="preserve"> </w:t>
      </w:r>
      <w:r w:rsidR="00CB61AD">
        <w:rPr>
          <w:szCs w:val="22"/>
        </w:rPr>
        <w:t>items</w:t>
      </w:r>
      <w:r w:rsidR="007313E4" w:rsidRPr="002003A7">
        <w:rPr>
          <w:szCs w:val="22"/>
        </w:rPr>
        <w:t xml:space="preserve">.  </w:t>
      </w:r>
      <w:r w:rsidR="006D5E7F" w:rsidRPr="002003A7">
        <w:rPr>
          <w:szCs w:val="22"/>
        </w:rPr>
        <w:t xml:space="preserve">These items will only </w:t>
      </w:r>
      <w:r w:rsidR="008970BF">
        <w:rPr>
          <w:szCs w:val="22"/>
        </w:rPr>
        <w:t>be reported for individuals who are</w:t>
      </w:r>
      <w:r w:rsidR="006D5E7F" w:rsidRPr="002003A7">
        <w:rPr>
          <w:szCs w:val="22"/>
        </w:rPr>
        <w:t xml:space="preserve"> HIV </w:t>
      </w:r>
      <w:r w:rsidR="008970BF">
        <w:rPr>
          <w:szCs w:val="22"/>
        </w:rPr>
        <w:t xml:space="preserve">positive, </w:t>
      </w:r>
      <w:r w:rsidR="006D5E7F" w:rsidRPr="002003A7">
        <w:rPr>
          <w:szCs w:val="22"/>
        </w:rPr>
        <w:t xml:space="preserve">and whom are receiving integrated medical care through this program.  </w:t>
      </w:r>
    </w:p>
    <w:p w:rsidR="00025BA9" w:rsidRPr="002003A7" w:rsidRDefault="00025BA9" w:rsidP="0048073B">
      <w:pPr>
        <w:tabs>
          <w:tab w:val="left" w:pos="0"/>
        </w:tabs>
        <w:suppressAutoHyphens/>
        <w:rPr>
          <w:szCs w:val="22"/>
        </w:rPr>
      </w:pPr>
    </w:p>
    <w:p w:rsidR="009A32BF" w:rsidRDefault="00025BA9" w:rsidP="0048073B">
      <w:pPr>
        <w:tabs>
          <w:tab w:val="left" w:pos="0"/>
        </w:tabs>
        <w:suppressAutoHyphens/>
        <w:rPr>
          <w:szCs w:val="22"/>
        </w:rPr>
      </w:pPr>
      <w:r w:rsidRPr="002003A7">
        <w:rPr>
          <w:szCs w:val="22"/>
        </w:rPr>
        <w:t>The HIV indic</w:t>
      </w:r>
      <w:r w:rsidR="00A258AD">
        <w:rPr>
          <w:szCs w:val="22"/>
        </w:rPr>
        <w:t>a</w:t>
      </w:r>
      <w:r w:rsidRPr="002003A7">
        <w:rPr>
          <w:szCs w:val="22"/>
        </w:rPr>
        <w:t>tors i</w:t>
      </w:r>
      <w:r w:rsidR="008970BF">
        <w:rPr>
          <w:szCs w:val="22"/>
        </w:rPr>
        <w:t>nclude clinical data needed to calculate HHS’s Core HIV Measures</w:t>
      </w:r>
      <w:r w:rsidR="009A32BF">
        <w:rPr>
          <w:szCs w:val="22"/>
        </w:rPr>
        <w:t xml:space="preserve">, as well </w:t>
      </w:r>
      <w:r w:rsidR="00EF5530">
        <w:rPr>
          <w:szCs w:val="22"/>
        </w:rPr>
        <w:t xml:space="preserve">as </w:t>
      </w:r>
      <w:r w:rsidR="009A32BF">
        <w:rPr>
          <w:szCs w:val="22"/>
        </w:rPr>
        <w:t xml:space="preserve">indictors designed to offer global assessments of each client’s behavioral health and physical health </w:t>
      </w:r>
      <w:r w:rsidR="008970BF">
        <w:rPr>
          <w:szCs w:val="22"/>
        </w:rPr>
        <w:t>functioning.  These indicators</w:t>
      </w:r>
      <w:r w:rsidR="009A32BF">
        <w:rPr>
          <w:szCs w:val="22"/>
        </w:rPr>
        <w:t xml:space="preserve"> include items from the Clinical Global Impressions (CGI) Scale as well as the </w:t>
      </w:r>
      <w:proofErr w:type="spellStart"/>
      <w:r w:rsidR="00973FF9">
        <w:rPr>
          <w:szCs w:val="22"/>
        </w:rPr>
        <w:t>Karnofsky</w:t>
      </w:r>
      <w:proofErr w:type="spellEnd"/>
      <w:r w:rsidR="00973FF9">
        <w:rPr>
          <w:szCs w:val="22"/>
        </w:rPr>
        <w:t xml:space="preserve"> Performance S</w:t>
      </w:r>
      <w:r w:rsidR="009A32BF" w:rsidRPr="00547FEB">
        <w:rPr>
          <w:szCs w:val="22"/>
        </w:rPr>
        <w:t>cale</w:t>
      </w:r>
      <w:r w:rsidR="009A32BF">
        <w:rPr>
          <w:szCs w:val="22"/>
        </w:rPr>
        <w:t>.</w:t>
      </w:r>
      <w:r w:rsidR="005E0E0A">
        <w:rPr>
          <w:szCs w:val="22"/>
        </w:rPr>
        <w:t xml:space="preserve">  The</w:t>
      </w:r>
      <w:r w:rsidR="008970BF">
        <w:rPr>
          <w:szCs w:val="22"/>
        </w:rPr>
        <w:t xml:space="preserve">se observer-rated scales are vital sources of practical information needed to complement the </w:t>
      </w:r>
      <w:r w:rsidR="005E0E0A">
        <w:rPr>
          <w:szCs w:val="22"/>
        </w:rPr>
        <w:t xml:space="preserve">other clinical data elements.  Both </w:t>
      </w:r>
      <w:r w:rsidR="008970BF">
        <w:rPr>
          <w:szCs w:val="22"/>
        </w:rPr>
        <w:t xml:space="preserve">scales </w:t>
      </w:r>
      <w:r w:rsidR="005E0E0A">
        <w:rPr>
          <w:szCs w:val="22"/>
        </w:rPr>
        <w:t>are routinely used by clinicians and offer high levels of face validity.</w:t>
      </w:r>
    </w:p>
    <w:p w:rsidR="009A32BF" w:rsidRDefault="009A32BF" w:rsidP="0048073B">
      <w:pPr>
        <w:tabs>
          <w:tab w:val="left" w:pos="0"/>
        </w:tabs>
        <w:suppressAutoHyphens/>
        <w:rPr>
          <w:szCs w:val="22"/>
        </w:rPr>
      </w:pPr>
    </w:p>
    <w:p w:rsidR="00973FF9" w:rsidRDefault="00CB61AD" w:rsidP="0048073B">
      <w:pPr>
        <w:tabs>
          <w:tab w:val="left" w:pos="0"/>
        </w:tabs>
        <w:suppressAutoHyphens/>
        <w:rPr>
          <w:szCs w:val="22"/>
        </w:rPr>
      </w:pPr>
      <w:r w:rsidRPr="00BB6A65">
        <w:rPr>
          <w:i/>
          <w:szCs w:val="22"/>
        </w:rPr>
        <w:t>The Clinical Gl</w:t>
      </w:r>
      <w:r w:rsidR="009A32BF" w:rsidRPr="00BB6A65">
        <w:rPr>
          <w:i/>
          <w:szCs w:val="22"/>
        </w:rPr>
        <w:t>obal Impressions (CGI) Scale</w:t>
      </w:r>
      <w:r w:rsidR="009A32BF" w:rsidRPr="009A32BF">
        <w:rPr>
          <w:rStyle w:val="FootnoteReference"/>
          <w:szCs w:val="22"/>
        </w:rPr>
        <w:footnoteReference w:id="3"/>
      </w:r>
      <w:r w:rsidR="009A32BF" w:rsidRPr="009A32BF">
        <w:rPr>
          <w:szCs w:val="22"/>
        </w:rPr>
        <w:t xml:space="preserve">  </w:t>
      </w:r>
      <w:r w:rsidRPr="009A32BF">
        <w:rPr>
          <w:szCs w:val="22"/>
        </w:rPr>
        <w:t xml:space="preserve">is </w:t>
      </w:r>
      <w:r w:rsidR="009A32BF" w:rsidRPr="009A32BF">
        <w:rPr>
          <w:szCs w:val="22"/>
        </w:rPr>
        <w:t xml:space="preserve">commonly </w:t>
      </w:r>
      <w:r w:rsidRPr="009A32BF">
        <w:rPr>
          <w:szCs w:val="22"/>
        </w:rPr>
        <w:t xml:space="preserve">used in </w:t>
      </w:r>
      <w:r w:rsidR="00496A9F" w:rsidRPr="009A32BF">
        <w:rPr>
          <w:szCs w:val="22"/>
        </w:rPr>
        <w:t>behavioral</w:t>
      </w:r>
      <w:r w:rsidRPr="009A32BF">
        <w:rPr>
          <w:szCs w:val="22"/>
        </w:rPr>
        <w:t xml:space="preserve"> health settings to assess the severity of client’s </w:t>
      </w:r>
      <w:r w:rsidR="00BB6A65">
        <w:rPr>
          <w:szCs w:val="22"/>
        </w:rPr>
        <w:t>mental</w:t>
      </w:r>
      <w:r w:rsidR="008970BF">
        <w:rPr>
          <w:szCs w:val="22"/>
        </w:rPr>
        <w:t xml:space="preserve"> health problems</w:t>
      </w:r>
      <w:r w:rsidRPr="009A32BF">
        <w:rPr>
          <w:szCs w:val="22"/>
        </w:rPr>
        <w:t xml:space="preserve"> and global improvement over time.  </w:t>
      </w:r>
      <w:r w:rsidR="00496A9F" w:rsidRPr="009A32BF">
        <w:rPr>
          <w:szCs w:val="22"/>
        </w:rPr>
        <w:t>Behavioral</w:t>
      </w:r>
      <w:r w:rsidRPr="009A32BF">
        <w:rPr>
          <w:szCs w:val="22"/>
        </w:rPr>
        <w:t xml:space="preserve"> health </w:t>
      </w:r>
      <w:r w:rsidR="00496A9F" w:rsidRPr="009A32BF">
        <w:rPr>
          <w:szCs w:val="22"/>
        </w:rPr>
        <w:t>providers, who are already treating clients at each grantee site, will be asked to provide an index score for each client’s severity of illness (CGI-</w:t>
      </w:r>
      <w:r w:rsidR="009A32BF" w:rsidRPr="009A32BF">
        <w:rPr>
          <w:szCs w:val="22"/>
        </w:rPr>
        <w:t>S</w:t>
      </w:r>
      <w:r w:rsidR="00496A9F" w:rsidRPr="009A32BF">
        <w:rPr>
          <w:szCs w:val="22"/>
        </w:rPr>
        <w:t>) at baselin</w:t>
      </w:r>
      <w:r w:rsidR="007A0DC2" w:rsidRPr="009A32BF">
        <w:rPr>
          <w:szCs w:val="22"/>
        </w:rPr>
        <w:t xml:space="preserve">e.  </w:t>
      </w:r>
    </w:p>
    <w:p w:rsidR="00973FF9" w:rsidRDefault="00973FF9" w:rsidP="0048073B">
      <w:pPr>
        <w:tabs>
          <w:tab w:val="left" w:pos="0"/>
        </w:tabs>
        <w:suppressAutoHyphens/>
        <w:rPr>
          <w:szCs w:val="22"/>
        </w:rPr>
      </w:pPr>
    </w:p>
    <w:p w:rsidR="00BB6A65" w:rsidRDefault="00973FF9" w:rsidP="0048073B">
      <w:pPr>
        <w:tabs>
          <w:tab w:val="left" w:pos="0"/>
        </w:tabs>
        <w:suppressAutoHyphens/>
        <w:rPr>
          <w:color w:val="000000"/>
          <w:szCs w:val="22"/>
        </w:rPr>
      </w:pPr>
      <w:r w:rsidRPr="00973FF9">
        <w:rPr>
          <w:b/>
          <w:color w:val="000000"/>
          <w:szCs w:val="22"/>
        </w:rPr>
        <w:t>The CGI-S S</w:t>
      </w:r>
      <w:r w:rsidR="009A32BF" w:rsidRPr="00973FF9">
        <w:rPr>
          <w:b/>
          <w:color w:val="000000"/>
          <w:szCs w:val="22"/>
        </w:rPr>
        <w:t>cale</w:t>
      </w:r>
      <w:r w:rsidR="009A32BF" w:rsidRPr="009A32BF">
        <w:rPr>
          <w:color w:val="000000"/>
          <w:szCs w:val="22"/>
        </w:rPr>
        <w:t xml:space="preserve"> is a 7-point scale that requires behavioral health clinicians to rate the severity of the client’s </w:t>
      </w:r>
      <w:r w:rsidR="00BB6A65">
        <w:rPr>
          <w:color w:val="000000"/>
          <w:szCs w:val="22"/>
        </w:rPr>
        <w:t xml:space="preserve">mental </w:t>
      </w:r>
      <w:r w:rsidR="009A32BF" w:rsidRPr="009A32BF">
        <w:rPr>
          <w:color w:val="000000"/>
          <w:szCs w:val="22"/>
        </w:rPr>
        <w:t xml:space="preserve">illness at the time of assessment, relative to the clinician's past experience with patients who have the same diagnosis. Clients </w:t>
      </w:r>
      <w:r w:rsidR="00BB6A65">
        <w:rPr>
          <w:color w:val="000000"/>
          <w:szCs w:val="22"/>
        </w:rPr>
        <w:t>will be</w:t>
      </w:r>
      <w:r w:rsidR="009A32BF" w:rsidRPr="009A32BF">
        <w:rPr>
          <w:color w:val="000000"/>
          <w:szCs w:val="22"/>
        </w:rPr>
        <w:t xml:space="preserve"> assessed on </w:t>
      </w:r>
      <w:r w:rsidR="00BB6A65">
        <w:rPr>
          <w:color w:val="000000"/>
          <w:szCs w:val="22"/>
        </w:rPr>
        <w:t xml:space="preserve">the </w:t>
      </w:r>
      <w:r w:rsidR="009A32BF" w:rsidRPr="009A32BF">
        <w:rPr>
          <w:color w:val="000000"/>
          <w:szCs w:val="22"/>
        </w:rPr>
        <w:t xml:space="preserve">severity of </w:t>
      </w:r>
      <w:r w:rsidR="00BB6A65">
        <w:rPr>
          <w:color w:val="000000"/>
          <w:szCs w:val="22"/>
        </w:rPr>
        <w:t xml:space="preserve">their </w:t>
      </w:r>
      <w:r w:rsidR="009A32BF" w:rsidRPr="009A32BF">
        <w:rPr>
          <w:color w:val="000000"/>
          <w:szCs w:val="22"/>
        </w:rPr>
        <w:t xml:space="preserve">mental illness </w:t>
      </w:r>
      <w:r w:rsidR="00EF5530">
        <w:rPr>
          <w:color w:val="000000"/>
          <w:szCs w:val="22"/>
        </w:rPr>
        <w:t xml:space="preserve">and substance abuse </w:t>
      </w:r>
      <w:r w:rsidR="009A32BF" w:rsidRPr="009A32BF">
        <w:rPr>
          <w:color w:val="000000"/>
          <w:szCs w:val="22"/>
        </w:rPr>
        <w:t xml:space="preserve">at the time of rating </w:t>
      </w:r>
      <w:r w:rsidR="005E0E0A">
        <w:rPr>
          <w:color w:val="000000"/>
          <w:szCs w:val="22"/>
        </w:rPr>
        <w:t xml:space="preserve">using </w:t>
      </w:r>
      <w:r w:rsidR="004E7A7F">
        <w:rPr>
          <w:color w:val="000000"/>
          <w:szCs w:val="22"/>
        </w:rPr>
        <w:t xml:space="preserve">a scale that ranges from 1 </w:t>
      </w:r>
      <w:r w:rsidR="008970BF">
        <w:rPr>
          <w:color w:val="000000"/>
          <w:szCs w:val="22"/>
        </w:rPr>
        <w:t>(normal, not at all ill) to 7 (e</w:t>
      </w:r>
      <w:r w:rsidR="004E7A7F">
        <w:rPr>
          <w:color w:val="000000"/>
          <w:szCs w:val="22"/>
        </w:rPr>
        <w:t>xtremely ill).</w:t>
      </w:r>
    </w:p>
    <w:p w:rsidR="004E7A7F" w:rsidRDefault="004E7A7F" w:rsidP="0048073B">
      <w:pPr>
        <w:tabs>
          <w:tab w:val="left" w:pos="0"/>
        </w:tabs>
        <w:suppressAutoHyphens/>
        <w:rPr>
          <w:color w:val="000000"/>
          <w:szCs w:val="22"/>
        </w:rPr>
      </w:pPr>
    </w:p>
    <w:p w:rsidR="008970BF" w:rsidRDefault="00973FF9" w:rsidP="004E7A7F">
      <w:pPr>
        <w:pStyle w:val="NormalWeb"/>
        <w:shd w:val="clear" w:color="auto" w:fill="FFFFFF"/>
        <w:spacing w:before="0" w:beforeAutospacing="0" w:after="0" w:afterAutospacing="0"/>
        <w:rPr>
          <w:rFonts w:ascii="Arial" w:hAnsi="Arial" w:cs="Arial"/>
          <w:color w:val="000000"/>
          <w:sz w:val="22"/>
          <w:szCs w:val="22"/>
        </w:rPr>
      </w:pPr>
      <w:proofErr w:type="gramStart"/>
      <w:r w:rsidRPr="00973FF9">
        <w:rPr>
          <w:rFonts w:ascii="Arial" w:hAnsi="Arial" w:cs="Arial"/>
          <w:b/>
          <w:sz w:val="22"/>
          <w:szCs w:val="22"/>
        </w:rPr>
        <w:t>The CGI – Improvement Scale (CGI-I).</w:t>
      </w:r>
      <w:proofErr w:type="gramEnd"/>
      <w:r>
        <w:rPr>
          <w:rFonts w:ascii="Arial" w:hAnsi="Arial" w:cs="Arial"/>
          <w:sz w:val="22"/>
          <w:szCs w:val="22"/>
        </w:rPr>
        <w:t xml:space="preserve"> </w:t>
      </w:r>
      <w:r w:rsidR="00496A9F" w:rsidRPr="00BB6A65">
        <w:rPr>
          <w:rFonts w:ascii="Arial" w:hAnsi="Arial" w:cs="Arial"/>
          <w:sz w:val="22"/>
          <w:szCs w:val="22"/>
        </w:rPr>
        <w:t xml:space="preserve">At each follow-up </w:t>
      </w:r>
      <w:r w:rsidR="009A32BF" w:rsidRPr="00BB6A65">
        <w:rPr>
          <w:rFonts w:ascii="Arial" w:hAnsi="Arial" w:cs="Arial"/>
          <w:sz w:val="22"/>
          <w:szCs w:val="22"/>
        </w:rPr>
        <w:t>data collection interview</w:t>
      </w:r>
      <w:r w:rsidR="00496A9F" w:rsidRPr="00BB6A65">
        <w:rPr>
          <w:rFonts w:ascii="Arial" w:hAnsi="Arial" w:cs="Arial"/>
          <w:sz w:val="22"/>
          <w:szCs w:val="22"/>
        </w:rPr>
        <w:t>, behavioral health providers w</w:t>
      </w:r>
      <w:r w:rsidR="009A32BF" w:rsidRPr="00BB6A65">
        <w:rPr>
          <w:rFonts w:ascii="Arial" w:hAnsi="Arial" w:cs="Arial"/>
          <w:sz w:val="22"/>
          <w:szCs w:val="22"/>
        </w:rPr>
        <w:t xml:space="preserve">ill also be asked to </w:t>
      </w:r>
      <w:r w:rsidR="008970BF">
        <w:rPr>
          <w:rFonts w:ascii="Arial" w:hAnsi="Arial" w:cs="Arial"/>
          <w:sz w:val="22"/>
          <w:szCs w:val="22"/>
        </w:rPr>
        <w:t>complete</w:t>
      </w:r>
      <w:r w:rsidR="009A32BF" w:rsidRPr="00BB6A65">
        <w:rPr>
          <w:rFonts w:ascii="Arial" w:hAnsi="Arial" w:cs="Arial"/>
          <w:sz w:val="22"/>
          <w:szCs w:val="22"/>
        </w:rPr>
        <w:t xml:space="preserve"> an additional </w:t>
      </w:r>
      <w:r w:rsidR="008970BF">
        <w:rPr>
          <w:rFonts w:ascii="Arial" w:hAnsi="Arial" w:cs="Arial"/>
          <w:sz w:val="22"/>
          <w:szCs w:val="22"/>
        </w:rPr>
        <w:t xml:space="preserve">measure </w:t>
      </w:r>
      <w:r w:rsidR="00496A9F" w:rsidRPr="00BB6A65">
        <w:rPr>
          <w:rFonts w:ascii="Arial" w:hAnsi="Arial" w:cs="Arial"/>
          <w:sz w:val="22"/>
          <w:szCs w:val="22"/>
        </w:rPr>
        <w:t>rating each c</w:t>
      </w:r>
      <w:r>
        <w:rPr>
          <w:rFonts w:ascii="Arial" w:hAnsi="Arial" w:cs="Arial"/>
          <w:sz w:val="22"/>
          <w:szCs w:val="22"/>
        </w:rPr>
        <w:t>lient’s global improvement</w:t>
      </w:r>
      <w:r w:rsidR="00496A9F" w:rsidRPr="00BB6A65">
        <w:rPr>
          <w:rFonts w:ascii="Arial" w:hAnsi="Arial" w:cs="Arial"/>
          <w:sz w:val="22"/>
          <w:szCs w:val="22"/>
        </w:rPr>
        <w:t xml:space="preserve"> compared to baseline.  </w:t>
      </w:r>
      <w:r w:rsidR="009A32BF" w:rsidRPr="00BB6A65">
        <w:rPr>
          <w:rFonts w:ascii="Arial" w:hAnsi="Arial" w:cs="Arial"/>
          <w:color w:val="000000"/>
          <w:sz w:val="22"/>
          <w:szCs w:val="22"/>
        </w:rPr>
        <w:t xml:space="preserve">The CGI-I scale </w:t>
      </w:r>
      <w:r w:rsidR="00BB6A65">
        <w:rPr>
          <w:rFonts w:ascii="Arial" w:hAnsi="Arial" w:cs="Arial"/>
          <w:color w:val="000000"/>
          <w:sz w:val="22"/>
          <w:szCs w:val="22"/>
        </w:rPr>
        <w:t>is a 7-point scal</w:t>
      </w:r>
      <w:r w:rsidR="009A32BF" w:rsidRPr="00BB6A65">
        <w:rPr>
          <w:rFonts w:ascii="Arial" w:hAnsi="Arial" w:cs="Arial"/>
          <w:color w:val="000000"/>
          <w:sz w:val="22"/>
          <w:szCs w:val="22"/>
        </w:rPr>
        <w:t xml:space="preserve">e that requires behavioral health providers to assess how much the client’s illness has improved or worsened relative to a baseline state at the beginning of the intervention. </w:t>
      </w:r>
      <w:r w:rsidR="00BB6A65">
        <w:rPr>
          <w:rFonts w:ascii="Arial" w:hAnsi="Arial" w:cs="Arial"/>
          <w:color w:val="000000"/>
          <w:sz w:val="22"/>
          <w:szCs w:val="22"/>
        </w:rPr>
        <w:t>Clients will be assessed</w:t>
      </w:r>
      <w:r w:rsidR="00EF5530">
        <w:rPr>
          <w:rFonts w:ascii="Arial" w:hAnsi="Arial" w:cs="Arial"/>
          <w:color w:val="000000"/>
          <w:sz w:val="22"/>
          <w:szCs w:val="22"/>
        </w:rPr>
        <w:t xml:space="preserve"> on their mental health and substance abuse status</w:t>
      </w:r>
      <w:r w:rsidR="00BB6A65">
        <w:rPr>
          <w:rFonts w:ascii="Arial" w:hAnsi="Arial" w:cs="Arial"/>
          <w:color w:val="000000"/>
          <w:sz w:val="22"/>
          <w:szCs w:val="22"/>
        </w:rPr>
        <w:t xml:space="preserve"> using a 7</w:t>
      </w:r>
      <w:r w:rsidR="004E7A7F">
        <w:rPr>
          <w:rFonts w:ascii="Arial" w:hAnsi="Arial" w:cs="Arial"/>
          <w:color w:val="000000"/>
          <w:sz w:val="22"/>
          <w:szCs w:val="22"/>
        </w:rPr>
        <w:t xml:space="preserve"> </w:t>
      </w:r>
      <w:r w:rsidR="00BB6A65">
        <w:rPr>
          <w:rFonts w:ascii="Arial" w:hAnsi="Arial" w:cs="Arial"/>
          <w:color w:val="000000"/>
          <w:sz w:val="22"/>
          <w:szCs w:val="22"/>
        </w:rPr>
        <w:t xml:space="preserve">point rating scale </w:t>
      </w:r>
      <w:r w:rsidR="004E7A7F">
        <w:rPr>
          <w:rFonts w:ascii="Arial" w:hAnsi="Arial" w:cs="Arial"/>
          <w:color w:val="000000"/>
          <w:sz w:val="22"/>
          <w:szCs w:val="22"/>
        </w:rPr>
        <w:t>that ranges from 1 (very much improved) to 7 (very much worse).</w:t>
      </w:r>
      <w:r w:rsidR="00EA6F1D">
        <w:rPr>
          <w:rFonts w:ascii="Arial" w:hAnsi="Arial" w:cs="Arial"/>
          <w:color w:val="000000"/>
          <w:sz w:val="22"/>
          <w:szCs w:val="22"/>
        </w:rPr>
        <w:t xml:space="preserve">  </w:t>
      </w:r>
    </w:p>
    <w:p w:rsidR="008970BF" w:rsidRDefault="008970BF" w:rsidP="004E7A7F">
      <w:pPr>
        <w:pStyle w:val="NormalWeb"/>
        <w:shd w:val="clear" w:color="auto" w:fill="FFFFFF"/>
        <w:spacing w:before="0" w:beforeAutospacing="0" w:after="0" w:afterAutospacing="0"/>
        <w:rPr>
          <w:rFonts w:ascii="Arial" w:hAnsi="Arial" w:cs="Arial"/>
          <w:color w:val="000000"/>
          <w:sz w:val="22"/>
          <w:szCs w:val="22"/>
        </w:rPr>
      </w:pPr>
    </w:p>
    <w:p w:rsidR="00496A9F" w:rsidRPr="008970BF" w:rsidRDefault="00EA6F1D" w:rsidP="008970BF">
      <w:pPr>
        <w:pStyle w:val="NormalWeb"/>
        <w:shd w:val="clear" w:color="auto" w:fill="FFFFFF"/>
        <w:spacing w:before="0" w:beforeAutospacing="0" w:after="0" w:afterAutospacing="0"/>
        <w:rPr>
          <w:rFonts w:ascii="Arial" w:hAnsi="Arial" w:cs="Arial"/>
          <w:color w:val="000000"/>
          <w:sz w:val="22"/>
          <w:szCs w:val="22"/>
        </w:rPr>
      </w:pPr>
      <w:r w:rsidRPr="008970BF">
        <w:rPr>
          <w:rFonts w:ascii="Arial" w:hAnsi="Arial" w:cs="Arial"/>
          <w:color w:val="000000"/>
          <w:sz w:val="22"/>
          <w:szCs w:val="22"/>
          <w:shd w:val="clear" w:color="auto" w:fill="FFFFFF"/>
        </w:rPr>
        <w:t xml:space="preserve">Clinicians will be asked to enter </w:t>
      </w:r>
      <w:r w:rsidR="008970BF" w:rsidRPr="008970BF">
        <w:rPr>
          <w:rFonts w:ascii="Arial" w:hAnsi="Arial" w:cs="Arial"/>
          <w:color w:val="000000"/>
          <w:sz w:val="22"/>
          <w:szCs w:val="22"/>
          <w:shd w:val="clear" w:color="auto" w:fill="FFFFFF"/>
        </w:rPr>
        <w:t xml:space="preserve">CGI scores </w:t>
      </w:r>
      <w:r w:rsidRPr="008970BF">
        <w:rPr>
          <w:rFonts w:ascii="Arial" w:hAnsi="Arial" w:cs="Arial"/>
          <w:color w:val="000000"/>
          <w:sz w:val="22"/>
          <w:szCs w:val="22"/>
          <w:shd w:val="clear" w:color="auto" w:fill="FFFFFF"/>
        </w:rPr>
        <w:t>into each client’s medical record, so that it can be easily retrieved by grant staff during each baseline and reassessment interview.</w:t>
      </w:r>
      <w:r w:rsidR="008970BF" w:rsidRPr="008970BF">
        <w:rPr>
          <w:rFonts w:ascii="Arial" w:hAnsi="Arial" w:cs="Arial"/>
          <w:color w:val="000000"/>
          <w:sz w:val="22"/>
          <w:szCs w:val="22"/>
          <w:shd w:val="clear" w:color="auto" w:fill="FFFFFF"/>
        </w:rPr>
        <w:t xml:space="preserve">  </w:t>
      </w:r>
      <w:r w:rsidR="00BB6A65" w:rsidRPr="008970BF">
        <w:rPr>
          <w:rFonts w:ascii="Arial" w:hAnsi="Arial" w:cs="Arial"/>
          <w:sz w:val="22"/>
          <w:szCs w:val="22"/>
        </w:rPr>
        <w:t>Both</w:t>
      </w:r>
      <w:r w:rsidR="00496A9F" w:rsidRPr="008970BF">
        <w:rPr>
          <w:rFonts w:ascii="Arial" w:hAnsi="Arial" w:cs="Arial"/>
          <w:sz w:val="22"/>
          <w:szCs w:val="22"/>
        </w:rPr>
        <w:t xml:space="preserve"> CGI Scale</w:t>
      </w:r>
      <w:r w:rsidR="00BB6A65" w:rsidRPr="008970BF">
        <w:rPr>
          <w:rFonts w:ascii="Arial" w:hAnsi="Arial" w:cs="Arial"/>
          <w:sz w:val="22"/>
          <w:szCs w:val="22"/>
        </w:rPr>
        <w:t>s are</w:t>
      </w:r>
      <w:r w:rsidR="00496A9F" w:rsidRPr="008970BF">
        <w:rPr>
          <w:rFonts w:ascii="Arial" w:hAnsi="Arial" w:cs="Arial"/>
          <w:sz w:val="22"/>
          <w:szCs w:val="22"/>
        </w:rPr>
        <w:t xml:space="preserve"> commonly utilized</w:t>
      </w:r>
      <w:r w:rsidR="007A0DC2" w:rsidRPr="008970BF">
        <w:rPr>
          <w:rFonts w:ascii="Arial" w:hAnsi="Arial" w:cs="Arial"/>
          <w:sz w:val="22"/>
          <w:szCs w:val="22"/>
        </w:rPr>
        <w:t xml:space="preserve"> tool</w:t>
      </w:r>
      <w:r w:rsidR="00BB6A65" w:rsidRPr="008970BF">
        <w:rPr>
          <w:rFonts w:ascii="Arial" w:hAnsi="Arial" w:cs="Arial"/>
          <w:sz w:val="22"/>
          <w:szCs w:val="22"/>
        </w:rPr>
        <w:t>s</w:t>
      </w:r>
      <w:r w:rsidR="007A0DC2" w:rsidRPr="008970BF">
        <w:rPr>
          <w:rFonts w:ascii="Arial" w:hAnsi="Arial" w:cs="Arial"/>
          <w:sz w:val="22"/>
          <w:szCs w:val="22"/>
        </w:rPr>
        <w:t xml:space="preserve"> in many behavioral health settings. </w:t>
      </w:r>
      <w:r w:rsidR="00DB5F4C">
        <w:rPr>
          <w:rFonts w:ascii="Arial" w:hAnsi="Arial" w:cs="Arial"/>
          <w:sz w:val="22"/>
          <w:szCs w:val="22"/>
        </w:rPr>
        <w:t xml:space="preserve">SAMHSA </w:t>
      </w:r>
      <w:r w:rsidR="007A0DC2" w:rsidRPr="008970BF">
        <w:rPr>
          <w:rFonts w:ascii="Arial" w:hAnsi="Arial" w:cs="Arial"/>
          <w:sz w:val="22"/>
          <w:szCs w:val="22"/>
        </w:rPr>
        <w:t>anticipate</w:t>
      </w:r>
      <w:r w:rsidR="00DB5F4C">
        <w:rPr>
          <w:rFonts w:ascii="Arial" w:hAnsi="Arial" w:cs="Arial"/>
          <w:sz w:val="22"/>
          <w:szCs w:val="22"/>
        </w:rPr>
        <w:t>s</w:t>
      </w:r>
      <w:r w:rsidR="007A0DC2" w:rsidRPr="008970BF">
        <w:rPr>
          <w:rFonts w:ascii="Arial" w:hAnsi="Arial" w:cs="Arial"/>
          <w:sz w:val="22"/>
          <w:szCs w:val="22"/>
        </w:rPr>
        <w:t xml:space="preserve"> that behavioral health providers at most grantee sites will be familiar with the instrument and its scoring.  In the event that they are not familiar, SAMHSA will provide specialized training (via webinars) to ensure reliability of scoring.</w:t>
      </w:r>
      <w:r w:rsidR="008970BF" w:rsidRPr="008970BF">
        <w:rPr>
          <w:rFonts w:ascii="Arial" w:hAnsi="Arial" w:cs="Arial"/>
          <w:sz w:val="22"/>
          <w:szCs w:val="22"/>
        </w:rPr>
        <w:t xml:space="preserve">  </w:t>
      </w:r>
      <w:r w:rsidR="00496A9F" w:rsidRPr="008970BF">
        <w:rPr>
          <w:rFonts w:ascii="Arial" w:hAnsi="Arial" w:cs="Arial"/>
          <w:sz w:val="22"/>
          <w:szCs w:val="22"/>
        </w:rPr>
        <w:t xml:space="preserve">A copy of </w:t>
      </w:r>
      <w:r w:rsidR="00BB6A65" w:rsidRPr="008970BF">
        <w:rPr>
          <w:rFonts w:ascii="Arial" w:hAnsi="Arial" w:cs="Arial"/>
          <w:sz w:val="22"/>
          <w:szCs w:val="22"/>
        </w:rPr>
        <w:t>both</w:t>
      </w:r>
      <w:r w:rsidR="00496A9F" w:rsidRPr="008970BF">
        <w:rPr>
          <w:rFonts w:ascii="Arial" w:hAnsi="Arial" w:cs="Arial"/>
          <w:sz w:val="22"/>
          <w:szCs w:val="22"/>
        </w:rPr>
        <w:t xml:space="preserve"> CGI Scale</w:t>
      </w:r>
      <w:r w:rsidR="00BB6A65" w:rsidRPr="008970BF">
        <w:rPr>
          <w:rFonts w:ascii="Arial" w:hAnsi="Arial" w:cs="Arial"/>
          <w:sz w:val="22"/>
          <w:szCs w:val="22"/>
        </w:rPr>
        <w:t>s</w:t>
      </w:r>
      <w:r w:rsidR="00496A9F" w:rsidRPr="008970BF">
        <w:rPr>
          <w:rFonts w:ascii="Arial" w:hAnsi="Arial" w:cs="Arial"/>
          <w:sz w:val="22"/>
          <w:szCs w:val="22"/>
        </w:rPr>
        <w:t xml:space="preserve"> and </w:t>
      </w:r>
      <w:r w:rsidR="00BB6A65" w:rsidRPr="008970BF">
        <w:rPr>
          <w:rFonts w:ascii="Arial" w:hAnsi="Arial" w:cs="Arial"/>
          <w:sz w:val="22"/>
          <w:szCs w:val="22"/>
        </w:rPr>
        <w:t xml:space="preserve">detailed </w:t>
      </w:r>
      <w:r w:rsidR="00496A9F" w:rsidRPr="008970BF">
        <w:rPr>
          <w:rFonts w:ascii="Arial" w:hAnsi="Arial" w:cs="Arial"/>
          <w:sz w:val="22"/>
          <w:szCs w:val="22"/>
        </w:rPr>
        <w:t xml:space="preserve">rating information is provided in </w:t>
      </w:r>
      <w:r w:rsidR="00EA3ADD">
        <w:rPr>
          <w:rFonts w:ascii="Arial" w:hAnsi="Arial" w:cs="Arial"/>
          <w:sz w:val="22"/>
          <w:szCs w:val="22"/>
        </w:rPr>
        <w:t>Attachment 5</w:t>
      </w:r>
      <w:r w:rsidR="009A32BF" w:rsidRPr="008970BF">
        <w:rPr>
          <w:rFonts w:ascii="Arial" w:hAnsi="Arial" w:cs="Arial"/>
          <w:sz w:val="22"/>
          <w:szCs w:val="22"/>
        </w:rPr>
        <w:t>.</w:t>
      </w:r>
    </w:p>
    <w:p w:rsidR="008970BF" w:rsidRDefault="008970BF" w:rsidP="0048073B">
      <w:pPr>
        <w:tabs>
          <w:tab w:val="left" w:pos="0"/>
        </w:tabs>
        <w:suppressAutoHyphens/>
        <w:rPr>
          <w:szCs w:val="22"/>
        </w:rPr>
      </w:pPr>
    </w:p>
    <w:p w:rsidR="003F0E1C" w:rsidRPr="003F0E1C" w:rsidRDefault="005E0E0A" w:rsidP="003F0E1C">
      <w:pPr>
        <w:pStyle w:val="NormalWeb"/>
        <w:shd w:val="clear" w:color="auto" w:fill="FFFFFF"/>
        <w:spacing w:before="0" w:beforeAutospacing="0" w:after="0" w:afterAutospacing="0"/>
        <w:rPr>
          <w:rFonts w:ascii="Arial" w:hAnsi="Arial" w:cs="Arial"/>
          <w:color w:val="000000"/>
          <w:sz w:val="22"/>
          <w:szCs w:val="22"/>
        </w:rPr>
      </w:pPr>
      <w:r w:rsidRPr="00973FF9">
        <w:rPr>
          <w:b/>
          <w:szCs w:val="22"/>
        </w:rPr>
        <w:lastRenderedPageBreak/>
        <w:t>The</w:t>
      </w:r>
      <w:r w:rsidR="00547FEB" w:rsidRPr="00973FF9">
        <w:rPr>
          <w:b/>
          <w:szCs w:val="22"/>
        </w:rPr>
        <w:t xml:space="preserve"> </w:t>
      </w:r>
      <w:proofErr w:type="spellStart"/>
      <w:r w:rsidR="008970BF" w:rsidRPr="00973FF9">
        <w:rPr>
          <w:b/>
          <w:i/>
          <w:szCs w:val="22"/>
        </w:rPr>
        <w:t>Karnofsky</w:t>
      </w:r>
      <w:proofErr w:type="spellEnd"/>
      <w:r w:rsidR="008970BF" w:rsidRPr="00973FF9">
        <w:rPr>
          <w:b/>
          <w:i/>
          <w:szCs w:val="22"/>
        </w:rPr>
        <w:t xml:space="preserve"> Performance S</w:t>
      </w:r>
      <w:r w:rsidR="00547FEB" w:rsidRPr="00973FF9">
        <w:rPr>
          <w:b/>
          <w:i/>
          <w:szCs w:val="22"/>
        </w:rPr>
        <w:t>cale</w:t>
      </w:r>
      <w:r w:rsidR="00547FEB">
        <w:rPr>
          <w:szCs w:val="22"/>
        </w:rPr>
        <w:t xml:space="preserve"> </w:t>
      </w:r>
      <w:r w:rsidR="00547FEB">
        <w:rPr>
          <w:rStyle w:val="FootnoteReference"/>
          <w:szCs w:val="22"/>
        </w:rPr>
        <w:footnoteReference w:id="4"/>
      </w:r>
      <w:r w:rsidR="00025BA9" w:rsidRPr="002003A7">
        <w:rPr>
          <w:szCs w:val="22"/>
        </w:rPr>
        <w:t xml:space="preserve"> </w:t>
      </w:r>
      <w:r w:rsidRPr="003F0E1C">
        <w:rPr>
          <w:rFonts w:ascii="Arial" w:hAnsi="Arial" w:cs="Arial"/>
          <w:sz w:val="22"/>
          <w:szCs w:val="22"/>
        </w:rPr>
        <w:t xml:space="preserve">will be used to measure clinician’s ratings of client’s physical health status.  </w:t>
      </w:r>
      <w:r w:rsidR="00D31136" w:rsidRPr="003F0E1C">
        <w:rPr>
          <w:rFonts w:ascii="Arial" w:hAnsi="Arial" w:cs="Arial"/>
          <w:sz w:val="22"/>
          <w:szCs w:val="22"/>
        </w:rPr>
        <w:t>Medical personnel, who are providing HIV care to clients at each grantee site, will be asked to provide an index score for each client’s functional impairment.  Clients will be assessed using a 100-point scale, from 100% (</w:t>
      </w:r>
      <w:r w:rsidR="008970BF" w:rsidRPr="003F0E1C">
        <w:rPr>
          <w:rFonts w:ascii="Arial" w:hAnsi="Arial" w:cs="Arial"/>
          <w:color w:val="000000"/>
          <w:sz w:val="22"/>
          <w:szCs w:val="22"/>
          <w:shd w:val="clear" w:color="auto" w:fill="FFFFFF"/>
        </w:rPr>
        <w:t>n</w:t>
      </w:r>
      <w:r w:rsidR="00D31136" w:rsidRPr="003F0E1C">
        <w:rPr>
          <w:rFonts w:ascii="Arial" w:hAnsi="Arial" w:cs="Arial"/>
          <w:color w:val="000000"/>
          <w:sz w:val="22"/>
          <w:szCs w:val="22"/>
          <w:shd w:val="clear" w:color="auto" w:fill="FFFFFF"/>
        </w:rPr>
        <w:t xml:space="preserve">ormal; no complaints; no evidence of disease) to 0% (death).  Clinical staff will be asked to provide ratings at baseline and at clinical appointments that correspond with each subsequent 6-month reassessment interview.   </w:t>
      </w:r>
      <w:r w:rsidR="00EA6F1D" w:rsidRPr="003F0E1C">
        <w:rPr>
          <w:rFonts w:ascii="Arial" w:hAnsi="Arial" w:cs="Arial"/>
          <w:color w:val="000000"/>
          <w:sz w:val="22"/>
          <w:szCs w:val="22"/>
          <w:shd w:val="clear" w:color="auto" w:fill="FFFFFF"/>
        </w:rPr>
        <w:t>Clinicians</w:t>
      </w:r>
      <w:r w:rsidR="00D31136" w:rsidRPr="003F0E1C">
        <w:rPr>
          <w:rFonts w:ascii="Arial" w:hAnsi="Arial" w:cs="Arial"/>
          <w:color w:val="000000"/>
          <w:sz w:val="22"/>
          <w:szCs w:val="22"/>
          <w:shd w:val="clear" w:color="auto" w:fill="FFFFFF"/>
        </w:rPr>
        <w:t xml:space="preserve"> will be asked to enter this information into each client’s medical record, so that it can be easily retrieved </w:t>
      </w:r>
      <w:r w:rsidR="00EA6F1D" w:rsidRPr="003F0E1C">
        <w:rPr>
          <w:rFonts w:ascii="Arial" w:hAnsi="Arial" w:cs="Arial"/>
          <w:color w:val="000000"/>
          <w:sz w:val="22"/>
          <w:szCs w:val="22"/>
          <w:shd w:val="clear" w:color="auto" w:fill="FFFFFF"/>
        </w:rPr>
        <w:t>by grant staff</w:t>
      </w:r>
      <w:r w:rsidR="008970BF" w:rsidRPr="003F0E1C">
        <w:rPr>
          <w:rFonts w:ascii="Arial" w:hAnsi="Arial" w:cs="Arial"/>
          <w:color w:val="000000"/>
          <w:sz w:val="22"/>
          <w:szCs w:val="22"/>
          <w:shd w:val="clear" w:color="auto" w:fill="FFFFFF"/>
        </w:rPr>
        <w:t xml:space="preserve">, and entered into the </w:t>
      </w:r>
      <w:r w:rsidR="00EF5530">
        <w:rPr>
          <w:rFonts w:ascii="Arial" w:hAnsi="Arial" w:cs="Arial"/>
          <w:b/>
          <w:color w:val="000000"/>
          <w:sz w:val="22"/>
          <w:szCs w:val="22"/>
          <w:shd w:val="clear" w:color="auto" w:fill="FFFFFF"/>
        </w:rPr>
        <w:t>HIV Indicator</w:t>
      </w:r>
      <w:r w:rsidR="008970BF" w:rsidRPr="003F0E1C">
        <w:rPr>
          <w:rFonts w:ascii="Arial" w:hAnsi="Arial" w:cs="Arial"/>
          <w:color w:val="000000"/>
          <w:sz w:val="22"/>
          <w:szCs w:val="22"/>
          <w:shd w:val="clear" w:color="auto" w:fill="FFFFFF"/>
        </w:rPr>
        <w:t xml:space="preserve"> </w:t>
      </w:r>
      <w:r w:rsidR="000236E7">
        <w:rPr>
          <w:rFonts w:ascii="Arial" w:hAnsi="Arial" w:cs="Arial"/>
          <w:color w:val="000000"/>
          <w:sz w:val="22"/>
          <w:szCs w:val="22"/>
          <w:shd w:val="clear" w:color="auto" w:fill="FFFFFF"/>
        </w:rPr>
        <w:t>instrument</w:t>
      </w:r>
      <w:r w:rsidR="00EA6F1D" w:rsidRPr="003F0E1C">
        <w:rPr>
          <w:rFonts w:ascii="Arial" w:hAnsi="Arial" w:cs="Arial"/>
          <w:color w:val="000000"/>
          <w:sz w:val="22"/>
          <w:szCs w:val="22"/>
          <w:shd w:val="clear" w:color="auto" w:fill="FFFFFF"/>
        </w:rPr>
        <w:t xml:space="preserve"> </w:t>
      </w:r>
      <w:r w:rsidR="00D31136" w:rsidRPr="003F0E1C">
        <w:rPr>
          <w:rFonts w:ascii="Arial" w:hAnsi="Arial" w:cs="Arial"/>
          <w:color w:val="000000"/>
          <w:sz w:val="22"/>
          <w:szCs w:val="22"/>
          <w:shd w:val="clear" w:color="auto" w:fill="FFFFFF"/>
        </w:rPr>
        <w:t xml:space="preserve">during </w:t>
      </w:r>
      <w:r w:rsidR="00EA6F1D" w:rsidRPr="003F0E1C">
        <w:rPr>
          <w:rFonts w:ascii="Arial" w:hAnsi="Arial" w:cs="Arial"/>
          <w:color w:val="000000"/>
          <w:sz w:val="22"/>
          <w:szCs w:val="22"/>
          <w:shd w:val="clear" w:color="auto" w:fill="FFFFFF"/>
        </w:rPr>
        <w:t>each baseline and reassessment interview.</w:t>
      </w:r>
      <w:r w:rsidR="003F0E1C" w:rsidRPr="003F0E1C">
        <w:rPr>
          <w:rFonts w:ascii="Arial" w:hAnsi="Arial" w:cs="Arial"/>
          <w:color w:val="000000"/>
          <w:sz w:val="22"/>
          <w:szCs w:val="22"/>
          <w:shd w:val="clear" w:color="auto" w:fill="FFFFFF"/>
        </w:rPr>
        <w:t xml:space="preserve"> </w:t>
      </w:r>
      <w:r w:rsidR="003F0E1C" w:rsidRPr="003F0E1C">
        <w:rPr>
          <w:rFonts w:ascii="Arial" w:hAnsi="Arial" w:cs="Arial"/>
          <w:sz w:val="22"/>
          <w:szCs w:val="22"/>
        </w:rPr>
        <w:t xml:space="preserve">A copy of </w:t>
      </w:r>
      <w:r w:rsidR="003F0E1C">
        <w:rPr>
          <w:rFonts w:ascii="Arial" w:hAnsi="Arial" w:cs="Arial"/>
          <w:sz w:val="22"/>
          <w:szCs w:val="22"/>
        </w:rPr>
        <w:t xml:space="preserve">the </w:t>
      </w:r>
      <w:proofErr w:type="spellStart"/>
      <w:r w:rsidR="003F0E1C">
        <w:rPr>
          <w:rFonts w:ascii="Arial" w:hAnsi="Arial" w:cs="Arial"/>
          <w:sz w:val="22"/>
          <w:szCs w:val="22"/>
        </w:rPr>
        <w:t>Karnofsky</w:t>
      </w:r>
      <w:proofErr w:type="spellEnd"/>
      <w:r w:rsidR="003F0E1C">
        <w:rPr>
          <w:rFonts w:ascii="Arial" w:hAnsi="Arial" w:cs="Arial"/>
          <w:sz w:val="22"/>
          <w:szCs w:val="22"/>
        </w:rPr>
        <w:t xml:space="preserve"> </w:t>
      </w:r>
      <w:r w:rsidR="003F0E1C" w:rsidRPr="003F0E1C">
        <w:rPr>
          <w:rFonts w:ascii="Arial" w:hAnsi="Arial" w:cs="Arial"/>
          <w:sz w:val="22"/>
          <w:szCs w:val="22"/>
        </w:rPr>
        <w:t xml:space="preserve">Scale and rating information is provided in </w:t>
      </w:r>
      <w:r w:rsidR="00EA3ADD">
        <w:rPr>
          <w:rFonts w:ascii="Arial" w:hAnsi="Arial" w:cs="Arial"/>
          <w:sz w:val="22"/>
          <w:szCs w:val="22"/>
        </w:rPr>
        <w:t>Attachment 6.</w:t>
      </w:r>
    </w:p>
    <w:p w:rsidR="00D31136" w:rsidRPr="003F0E1C" w:rsidRDefault="00D31136" w:rsidP="00D31136">
      <w:pPr>
        <w:tabs>
          <w:tab w:val="left" w:pos="0"/>
        </w:tabs>
        <w:suppressAutoHyphens/>
        <w:rPr>
          <w:szCs w:val="22"/>
        </w:rPr>
      </w:pPr>
    </w:p>
    <w:p w:rsidR="003F25FF" w:rsidRPr="003F0E1C" w:rsidRDefault="00025BA9" w:rsidP="00025BA9">
      <w:pPr>
        <w:tabs>
          <w:tab w:val="left" w:pos="0"/>
        </w:tabs>
        <w:suppressAutoHyphens/>
        <w:rPr>
          <w:szCs w:val="22"/>
        </w:rPr>
      </w:pPr>
      <w:r w:rsidRPr="003F0E1C">
        <w:rPr>
          <w:szCs w:val="22"/>
        </w:rPr>
        <w:t>It is expected that the vast majority of the clinical data needed to report the</w:t>
      </w:r>
      <w:r w:rsidR="00761EFF" w:rsidRPr="003F0E1C">
        <w:rPr>
          <w:szCs w:val="22"/>
        </w:rPr>
        <w:t xml:space="preserve"> </w:t>
      </w:r>
      <w:r w:rsidRPr="003F0E1C">
        <w:rPr>
          <w:szCs w:val="22"/>
        </w:rPr>
        <w:t>HIV indica</w:t>
      </w:r>
      <w:r w:rsidR="00761EFF" w:rsidRPr="003F0E1C">
        <w:rPr>
          <w:szCs w:val="22"/>
        </w:rPr>
        <w:t>tors will be obtained by grantee staff during a</w:t>
      </w:r>
      <w:r w:rsidRPr="003F0E1C">
        <w:rPr>
          <w:szCs w:val="22"/>
        </w:rPr>
        <w:t xml:space="preserve"> review of each client’s medical chart and/or electronic medical record.  As </w:t>
      </w:r>
      <w:r w:rsidR="00D31136" w:rsidRPr="003F0E1C">
        <w:rPr>
          <w:szCs w:val="22"/>
        </w:rPr>
        <w:t>behavioral health settings that are also providing</w:t>
      </w:r>
      <w:r w:rsidR="00761EFF" w:rsidRPr="003F0E1C">
        <w:rPr>
          <w:szCs w:val="22"/>
        </w:rPr>
        <w:t xml:space="preserve"> </w:t>
      </w:r>
      <w:r w:rsidR="00EF5530">
        <w:rPr>
          <w:szCs w:val="22"/>
        </w:rPr>
        <w:t>c</w:t>
      </w:r>
      <w:r w:rsidR="00C9048C">
        <w:rPr>
          <w:szCs w:val="22"/>
        </w:rPr>
        <w:t>o-located</w:t>
      </w:r>
      <w:r w:rsidR="00761EFF" w:rsidRPr="003F0E1C">
        <w:rPr>
          <w:szCs w:val="22"/>
        </w:rPr>
        <w:t xml:space="preserve"> or integrated </w:t>
      </w:r>
      <w:r w:rsidRPr="003F0E1C">
        <w:rPr>
          <w:szCs w:val="22"/>
        </w:rPr>
        <w:t>HIV medical care, grantee sites will have acc</w:t>
      </w:r>
      <w:r w:rsidR="00D31136" w:rsidRPr="003F0E1C">
        <w:rPr>
          <w:szCs w:val="22"/>
        </w:rPr>
        <w:t xml:space="preserve">ess to systems that contain all of the </w:t>
      </w:r>
      <w:r w:rsidRPr="003F0E1C">
        <w:rPr>
          <w:szCs w:val="22"/>
        </w:rPr>
        <w:t xml:space="preserve">needed data elements.  </w:t>
      </w:r>
      <w:r w:rsidR="003F25FF" w:rsidRPr="003F0E1C">
        <w:rPr>
          <w:szCs w:val="22"/>
        </w:rPr>
        <w:t xml:space="preserve">It is expected that </w:t>
      </w:r>
      <w:r w:rsidRPr="003F0E1C">
        <w:rPr>
          <w:szCs w:val="22"/>
        </w:rPr>
        <w:t>responding to these indicators will take</w:t>
      </w:r>
      <w:r w:rsidR="003F25FF" w:rsidRPr="003F0E1C">
        <w:rPr>
          <w:szCs w:val="22"/>
        </w:rPr>
        <w:t xml:space="preserve"> approximately 20 minutes at baseline, and 15 minutes at subsequent reassessment interviews.</w:t>
      </w:r>
      <w:r w:rsidR="00D31136" w:rsidRPr="003F0E1C">
        <w:rPr>
          <w:szCs w:val="22"/>
        </w:rPr>
        <w:t xml:space="preserve">  </w:t>
      </w:r>
    </w:p>
    <w:p w:rsidR="00CB61AD" w:rsidRDefault="00CB61AD" w:rsidP="00025BA9">
      <w:pPr>
        <w:tabs>
          <w:tab w:val="left" w:pos="0"/>
        </w:tabs>
        <w:suppressAutoHyphens/>
        <w:rPr>
          <w:szCs w:val="22"/>
        </w:rPr>
      </w:pPr>
    </w:p>
    <w:p w:rsidR="007313E4" w:rsidRPr="002003A7" w:rsidRDefault="007313E4" w:rsidP="00025BA9">
      <w:pPr>
        <w:tabs>
          <w:tab w:val="left" w:pos="0"/>
        </w:tabs>
        <w:suppressAutoHyphens/>
        <w:rPr>
          <w:szCs w:val="22"/>
        </w:rPr>
      </w:pPr>
      <w:r w:rsidRPr="002003A7">
        <w:rPr>
          <w:szCs w:val="22"/>
        </w:rPr>
        <w:t xml:space="preserve">The </w:t>
      </w:r>
      <w:r w:rsidR="00025BA9" w:rsidRPr="002003A7">
        <w:rPr>
          <w:szCs w:val="22"/>
        </w:rPr>
        <w:t>indicators</w:t>
      </w:r>
      <w:r w:rsidRPr="002003A7">
        <w:rPr>
          <w:szCs w:val="22"/>
        </w:rPr>
        <w:t xml:space="preserve"> </w:t>
      </w:r>
      <w:r w:rsidR="003F25FF" w:rsidRPr="002003A7">
        <w:rPr>
          <w:szCs w:val="22"/>
        </w:rPr>
        <w:t xml:space="preserve">included in this module, along with the </w:t>
      </w:r>
      <w:r w:rsidR="004D734E" w:rsidRPr="002003A7">
        <w:rPr>
          <w:szCs w:val="22"/>
        </w:rPr>
        <w:t>frequency of administration,</w:t>
      </w:r>
      <w:r w:rsidR="003F25FF" w:rsidRPr="002003A7">
        <w:rPr>
          <w:szCs w:val="22"/>
        </w:rPr>
        <w:t xml:space="preserve"> </w:t>
      </w:r>
      <w:r w:rsidR="00BA78D2">
        <w:rPr>
          <w:szCs w:val="22"/>
        </w:rPr>
        <w:t>are listed in Table 3</w:t>
      </w:r>
      <w:r w:rsidR="00547FEB">
        <w:rPr>
          <w:szCs w:val="22"/>
        </w:rPr>
        <w:t>.</w:t>
      </w:r>
    </w:p>
    <w:p w:rsidR="00547FEB" w:rsidRPr="002003A7" w:rsidRDefault="00547FEB" w:rsidP="007313E4">
      <w:pPr>
        <w:tabs>
          <w:tab w:val="left" w:pos="0"/>
        </w:tabs>
        <w:suppressAutoHyphens/>
        <w:rPr>
          <w:szCs w:val="22"/>
        </w:rPr>
      </w:pPr>
    </w:p>
    <w:p w:rsidR="007313E4" w:rsidRPr="007A79E0" w:rsidRDefault="00BA78D2" w:rsidP="007313E4">
      <w:pPr>
        <w:tabs>
          <w:tab w:val="left" w:pos="0"/>
        </w:tabs>
        <w:suppressAutoHyphens/>
        <w:rPr>
          <w:b/>
          <w:szCs w:val="22"/>
        </w:rPr>
      </w:pPr>
      <w:proofErr w:type="gramStart"/>
      <w:r w:rsidRPr="007A79E0">
        <w:rPr>
          <w:b/>
          <w:szCs w:val="22"/>
        </w:rPr>
        <w:t>Table 3</w:t>
      </w:r>
      <w:r w:rsidR="00547FEB" w:rsidRPr="007A79E0">
        <w:rPr>
          <w:b/>
          <w:szCs w:val="22"/>
        </w:rPr>
        <w:t>.</w:t>
      </w:r>
      <w:proofErr w:type="gramEnd"/>
      <w:r w:rsidR="00547FEB" w:rsidRPr="007A79E0">
        <w:rPr>
          <w:b/>
          <w:szCs w:val="22"/>
        </w:rPr>
        <w:t xml:space="preserve"> HIV Specific Indicators and Frequency of Administration</w:t>
      </w:r>
    </w:p>
    <w:tbl>
      <w:tblPr>
        <w:tblStyle w:val="TableGrid"/>
        <w:tblW w:w="0" w:type="auto"/>
        <w:tblLook w:val="04A0" w:firstRow="1" w:lastRow="0" w:firstColumn="1" w:lastColumn="0" w:noHBand="0" w:noVBand="1"/>
      </w:tblPr>
      <w:tblGrid>
        <w:gridCol w:w="828"/>
        <w:gridCol w:w="6660"/>
        <w:gridCol w:w="2088"/>
      </w:tblGrid>
      <w:tr w:rsidR="007313E4" w:rsidRPr="002003A7" w:rsidTr="00BE608B">
        <w:tc>
          <w:tcPr>
            <w:tcW w:w="828" w:type="dxa"/>
          </w:tcPr>
          <w:p w:rsidR="007313E4" w:rsidRPr="002003A7" w:rsidRDefault="007313E4" w:rsidP="00BE608B">
            <w:pPr>
              <w:tabs>
                <w:tab w:val="left" w:pos="0"/>
              </w:tabs>
              <w:suppressAutoHyphens/>
              <w:rPr>
                <w:b/>
                <w:color w:val="000000" w:themeColor="text1"/>
                <w:szCs w:val="22"/>
              </w:rPr>
            </w:pPr>
          </w:p>
        </w:tc>
        <w:tc>
          <w:tcPr>
            <w:tcW w:w="6660" w:type="dxa"/>
          </w:tcPr>
          <w:p w:rsidR="007313E4" w:rsidRPr="002003A7" w:rsidRDefault="007313E4" w:rsidP="00BE608B">
            <w:pPr>
              <w:tabs>
                <w:tab w:val="left" w:pos="0"/>
              </w:tabs>
              <w:suppressAutoHyphens/>
              <w:rPr>
                <w:b/>
                <w:color w:val="000000" w:themeColor="text1"/>
                <w:szCs w:val="22"/>
              </w:rPr>
            </w:pPr>
            <w:r w:rsidRPr="002003A7">
              <w:rPr>
                <w:b/>
                <w:color w:val="000000" w:themeColor="text1"/>
                <w:szCs w:val="22"/>
              </w:rPr>
              <w:t>Indicator</w:t>
            </w:r>
          </w:p>
        </w:tc>
        <w:tc>
          <w:tcPr>
            <w:tcW w:w="2088" w:type="dxa"/>
          </w:tcPr>
          <w:p w:rsidR="007313E4" w:rsidRPr="002003A7" w:rsidRDefault="007313E4" w:rsidP="00BE608B">
            <w:pPr>
              <w:tabs>
                <w:tab w:val="left" w:pos="0"/>
              </w:tabs>
              <w:suppressAutoHyphens/>
              <w:rPr>
                <w:b/>
                <w:szCs w:val="22"/>
              </w:rPr>
            </w:pPr>
            <w:r w:rsidRPr="002003A7">
              <w:rPr>
                <w:b/>
                <w:szCs w:val="22"/>
              </w:rPr>
              <w:t>Frequency of Administration</w:t>
            </w:r>
          </w:p>
        </w:tc>
      </w:tr>
      <w:tr w:rsidR="007313E4" w:rsidRPr="002003A7" w:rsidTr="00BE608B">
        <w:tc>
          <w:tcPr>
            <w:tcW w:w="828" w:type="dxa"/>
          </w:tcPr>
          <w:p w:rsidR="007313E4" w:rsidRPr="002003A7" w:rsidRDefault="007313E4" w:rsidP="00BE608B">
            <w:pPr>
              <w:tabs>
                <w:tab w:val="left" w:pos="0"/>
              </w:tabs>
              <w:suppressAutoHyphens/>
              <w:rPr>
                <w:color w:val="000000" w:themeColor="text1"/>
                <w:szCs w:val="22"/>
              </w:rPr>
            </w:pPr>
          </w:p>
        </w:tc>
        <w:tc>
          <w:tcPr>
            <w:tcW w:w="6660" w:type="dxa"/>
          </w:tcPr>
          <w:p w:rsidR="007313E4" w:rsidRPr="002003A7" w:rsidRDefault="007313E4" w:rsidP="00BE608B">
            <w:pPr>
              <w:tabs>
                <w:tab w:val="left" w:pos="0"/>
              </w:tabs>
              <w:suppressAutoHyphens/>
              <w:rPr>
                <w:color w:val="000000" w:themeColor="text1"/>
                <w:szCs w:val="22"/>
              </w:rPr>
            </w:pPr>
          </w:p>
        </w:tc>
        <w:tc>
          <w:tcPr>
            <w:tcW w:w="2088" w:type="dxa"/>
          </w:tcPr>
          <w:p w:rsidR="007313E4" w:rsidRPr="002003A7" w:rsidRDefault="007313E4" w:rsidP="00BE608B">
            <w:pPr>
              <w:tabs>
                <w:tab w:val="left" w:pos="0"/>
              </w:tabs>
              <w:suppressAutoHyphens/>
              <w:rPr>
                <w:szCs w:val="22"/>
              </w:rPr>
            </w:pPr>
          </w:p>
        </w:tc>
      </w:tr>
      <w:tr w:rsidR="007313E4" w:rsidRPr="002003A7" w:rsidTr="00BE608B">
        <w:tc>
          <w:tcPr>
            <w:tcW w:w="828" w:type="dxa"/>
          </w:tcPr>
          <w:p w:rsidR="007313E4" w:rsidRPr="002003A7" w:rsidRDefault="007313E4" w:rsidP="00BE608B">
            <w:pPr>
              <w:tabs>
                <w:tab w:val="left" w:pos="0"/>
              </w:tabs>
              <w:suppressAutoHyphens/>
              <w:rPr>
                <w:color w:val="000000" w:themeColor="text1"/>
                <w:szCs w:val="22"/>
              </w:rPr>
            </w:pPr>
            <w:r w:rsidRPr="002003A7">
              <w:rPr>
                <w:color w:val="000000" w:themeColor="text1"/>
                <w:szCs w:val="22"/>
              </w:rPr>
              <w:t>1</w:t>
            </w:r>
          </w:p>
        </w:tc>
        <w:tc>
          <w:tcPr>
            <w:tcW w:w="6660" w:type="dxa"/>
          </w:tcPr>
          <w:p w:rsidR="007313E4" w:rsidRPr="002003A7" w:rsidRDefault="007313E4" w:rsidP="00BE608B">
            <w:pPr>
              <w:tabs>
                <w:tab w:val="left" w:pos="0"/>
              </w:tabs>
              <w:suppressAutoHyphens/>
              <w:rPr>
                <w:szCs w:val="22"/>
              </w:rPr>
            </w:pPr>
            <w:r w:rsidRPr="002003A7">
              <w:rPr>
                <w:color w:val="000000" w:themeColor="text1"/>
                <w:szCs w:val="22"/>
              </w:rPr>
              <w:t xml:space="preserve">Rapid HIV Testing Results  </w:t>
            </w:r>
          </w:p>
        </w:tc>
        <w:tc>
          <w:tcPr>
            <w:tcW w:w="2088" w:type="dxa"/>
          </w:tcPr>
          <w:p w:rsidR="007313E4" w:rsidRPr="002003A7" w:rsidRDefault="007313E4" w:rsidP="00BE608B">
            <w:pPr>
              <w:tabs>
                <w:tab w:val="left" w:pos="0"/>
              </w:tabs>
              <w:suppressAutoHyphens/>
              <w:rPr>
                <w:szCs w:val="22"/>
              </w:rPr>
            </w:pPr>
            <w:r w:rsidRPr="002003A7">
              <w:rPr>
                <w:szCs w:val="22"/>
              </w:rPr>
              <w:t>Baseline Only</w:t>
            </w:r>
          </w:p>
        </w:tc>
      </w:tr>
      <w:tr w:rsidR="007313E4" w:rsidRPr="002003A7" w:rsidTr="00BE608B">
        <w:tc>
          <w:tcPr>
            <w:tcW w:w="828" w:type="dxa"/>
          </w:tcPr>
          <w:p w:rsidR="007313E4" w:rsidRPr="002003A7" w:rsidRDefault="007313E4" w:rsidP="00BE608B">
            <w:pPr>
              <w:tabs>
                <w:tab w:val="left" w:pos="0"/>
              </w:tabs>
              <w:suppressAutoHyphens/>
              <w:rPr>
                <w:color w:val="000000" w:themeColor="text1"/>
                <w:szCs w:val="22"/>
              </w:rPr>
            </w:pPr>
            <w:r w:rsidRPr="002003A7">
              <w:rPr>
                <w:color w:val="000000" w:themeColor="text1"/>
                <w:szCs w:val="22"/>
              </w:rPr>
              <w:t>2</w:t>
            </w:r>
          </w:p>
        </w:tc>
        <w:tc>
          <w:tcPr>
            <w:tcW w:w="6660" w:type="dxa"/>
          </w:tcPr>
          <w:p w:rsidR="007313E4" w:rsidRPr="002003A7" w:rsidRDefault="007313E4" w:rsidP="00BE608B">
            <w:pPr>
              <w:tabs>
                <w:tab w:val="left" w:pos="0"/>
              </w:tabs>
              <w:suppressAutoHyphens/>
              <w:rPr>
                <w:szCs w:val="22"/>
              </w:rPr>
            </w:pPr>
            <w:r w:rsidRPr="002003A7">
              <w:rPr>
                <w:color w:val="000000" w:themeColor="text1"/>
                <w:szCs w:val="22"/>
              </w:rPr>
              <w:t>Is this a new or existing HIV diagnosis?</w:t>
            </w:r>
          </w:p>
        </w:tc>
        <w:tc>
          <w:tcPr>
            <w:tcW w:w="2088" w:type="dxa"/>
          </w:tcPr>
          <w:p w:rsidR="007313E4" w:rsidRPr="002003A7" w:rsidRDefault="007313E4" w:rsidP="00BE608B">
            <w:pPr>
              <w:rPr>
                <w:szCs w:val="22"/>
              </w:rPr>
            </w:pPr>
            <w:r w:rsidRPr="002003A7">
              <w:rPr>
                <w:szCs w:val="22"/>
              </w:rPr>
              <w:t>Baseline Only</w:t>
            </w:r>
          </w:p>
        </w:tc>
      </w:tr>
      <w:tr w:rsidR="007313E4" w:rsidRPr="002003A7" w:rsidTr="00BE608B">
        <w:tc>
          <w:tcPr>
            <w:tcW w:w="828" w:type="dxa"/>
          </w:tcPr>
          <w:p w:rsidR="007313E4" w:rsidRPr="002003A7" w:rsidRDefault="007313E4" w:rsidP="00BE608B">
            <w:pPr>
              <w:tabs>
                <w:tab w:val="left" w:pos="0"/>
              </w:tabs>
              <w:suppressAutoHyphens/>
              <w:rPr>
                <w:rFonts w:eastAsia="MS Gothic"/>
                <w:color w:val="000000" w:themeColor="text1"/>
                <w:szCs w:val="22"/>
              </w:rPr>
            </w:pPr>
            <w:r w:rsidRPr="002003A7">
              <w:rPr>
                <w:rFonts w:eastAsia="MS Gothic"/>
                <w:color w:val="000000" w:themeColor="text1"/>
                <w:szCs w:val="22"/>
              </w:rPr>
              <w:t>3</w:t>
            </w:r>
          </w:p>
        </w:tc>
        <w:tc>
          <w:tcPr>
            <w:tcW w:w="6660" w:type="dxa"/>
          </w:tcPr>
          <w:p w:rsidR="007313E4" w:rsidRPr="002003A7" w:rsidRDefault="007313E4" w:rsidP="00BE608B">
            <w:pPr>
              <w:tabs>
                <w:tab w:val="left" w:pos="0"/>
              </w:tabs>
              <w:suppressAutoHyphens/>
              <w:rPr>
                <w:szCs w:val="22"/>
              </w:rPr>
            </w:pPr>
            <w:r w:rsidRPr="002003A7">
              <w:rPr>
                <w:rFonts w:eastAsia="MS Gothic"/>
                <w:color w:val="000000" w:themeColor="text1"/>
                <w:szCs w:val="22"/>
              </w:rPr>
              <w:t xml:space="preserve">If this is a new diagnosis, is patient classified as having a Stage 3 HIV infection (AIDS)?  </w:t>
            </w:r>
          </w:p>
        </w:tc>
        <w:tc>
          <w:tcPr>
            <w:tcW w:w="2088" w:type="dxa"/>
          </w:tcPr>
          <w:p w:rsidR="007313E4" w:rsidRPr="002003A7" w:rsidRDefault="007313E4" w:rsidP="00BE608B">
            <w:pPr>
              <w:rPr>
                <w:szCs w:val="22"/>
              </w:rPr>
            </w:pPr>
            <w:r w:rsidRPr="002003A7">
              <w:rPr>
                <w:szCs w:val="22"/>
              </w:rPr>
              <w:t>Baseline Only</w:t>
            </w:r>
          </w:p>
        </w:tc>
      </w:tr>
      <w:tr w:rsidR="007313E4" w:rsidRPr="002003A7" w:rsidTr="00BE608B">
        <w:tc>
          <w:tcPr>
            <w:tcW w:w="828" w:type="dxa"/>
          </w:tcPr>
          <w:p w:rsidR="007313E4" w:rsidRPr="002003A7" w:rsidRDefault="007313E4" w:rsidP="00BE608B">
            <w:pPr>
              <w:tabs>
                <w:tab w:val="left" w:pos="0"/>
              </w:tabs>
              <w:suppressAutoHyphens/>
              <w:rPr>
                <w:color w:val="000000" w:themeColor="text1"/>
                <w:szCs w:val="22"/>
              </w:rPr>
            </w:pPr>
            <w:r w:rsidRPr="002003A7">
              <w:rPr>
                <w:color w:val="000000" w:themeColor="text1"/>
                <w:szCs w:val="22"/>
              </w:rPr>
              <w:t>4</w:t>
            </w:r>
          </w:p>
        </w:tc>
        <w:tc>
          <w:tcPr>
            <w:tcW w:w="6660" w:type="dxa"/>
          </w:tcPr>
          <w:p w:rsidR="007313E4" w:rsidRPr="002003A7" w:rsidRDefault="007313E4" w:rsidP="00BE608B">
            <w:pPr>
              <w:tabs>
                <w:tab w:val="left" w:pos="0"/>
              </w:tabs>
              <w:suppressAutoHyphens/>
              <w:rPr>
                <w:szCs w:val="22"/>
              </w:rPr>
            </w:pPr>
            <w:r w:rsidRPr="002003A7">
              <w:rPr>
                <w:color w:val="000000" w:themeColor="text1"/>
                <w:szCs w:val="22"/>
              </w:rPr>
              <w:t xml:space="preserve">Has client received ART treatment for HIV, prior to this assessment?  </w:t>
            </w:r>
          </w:p>
        </w:tc>
        <w:tc>
          <w:tcPr>
            <w:tcW w:w="2088" w:type="dxa"/>
          </w:tcPr>
          <w:p w:rsidR="007313E4" w:rsidRPr="002003A7" w:rsidRDefault="007313E4" w:rsidP="00BE608B">
            <w:pPr>
              <w:rPr>
                <w:szCs w:val="22"/>
              </w:rPr>
            </w:pPr>
            <w:r w:rsidRPr="002003A7">
              <w:rPr>
                <w:szCs w:val="22"/>
              </w:rPr>
              <w:t>Baseline Only</w:t>
            </w:r>
          </w:p>
        </w:tc>
      </w:tr>
      <w:tr w:rsidR="007313E4" w:rsidRPr="002003A7" w:rsidTr="00BE608B">
        <w:tc>
          <w:tcPr>
            <w:tcW w:w="828" w:type="dxa"/>
          </w:tcPr>
          <w:p w:rsidR="007313E4" w:rsidRPr="002003A7" w:rsidRDefault="007313E4" w:rsidP="00BE608B">
            <w:pPr>
              <w:tabs>
                <w:tab w:val="left" w:pos="0"/>
              </w:tabs>
              <w:suppressAutoHyphens/>
              <w:rPr>
                <w:rFonts w:eastAsia="MS Gothic"/>
                <w:color w:val="000000" w:themeColor="text1"/>
                <w:szCs w:val="22"/>
              </w:rPr>
            </w:pPr>
            <w:r w:rsidRPr="002003A7">
              <w:rPr>
                <w:rFonts w:eastAsia="MS Gothic"/>
                <w:color w:val="000000" w:themeColor="text1"/>
                <w:szCs w:val="22"/>
              </w:rPr>
              <w:t>5</w:t>
            </w:r>
          </w:p>
        </w:tc>
        <w:tc>
          <w:tcPr>
            <w:tcW w:w="6660" w:type="dxa"/>
          </w:tcPr>
          <w:p w:rsidR="007313E4" w:rsidRDefault="007313E4" w:rsidP="008D4BDC">
            <w:pPr>
              <w:tabs>
                <w:tab w:val="left" w:pos="0"/>
              </w:tabs>
              <w:suppressAutoHyphens/>
              <w:rPr>
                <w:rFonts w:eastAsia="MS Gothic"/>
                <w:color w:val="000000" w:themeColor="text1"/>
                <w:szCs w:val="22"/>
              </w:rPr>
            </w:pPr>
            <w:r w:rsidRPr="002003A7">
              <w:rPr>
                <w:rFonts w:eastAsia="MS Gothic"/>
                <w:color w:val="000000" w:themeColor="text1"/>
                <w:szCs w:val="22"/>
              </w:rPr>
              <w:t>What is the clien</w:t>
            </w:r>
            <w:r w:rsidR="00CB61AD">
              <w:rPr>
                <w:rFonts w:eastAsia="MS Gothic"/>
                <w:color w:val="000000" w:themeColor="text1"/>
                <w:szCs w:val="22"/>
              </w:rPr>
              <w:t xml:space="preserve">t’s CGI-Severity rating for </w:t>
            </w:r>
            <w:r w:rsidR="008D4BDC">
              <w:rPr>
                <w:rFonts w:eastAsia="MS Gothic"/>
                <w:color w:val="000000" w:themeColor="text1"/>
                <w:szCs w:val="22"/>
              </w:rPr>
              <w:t>mental health</w:t>
            </w:r>
            <w:r w:rsidRPr="002003A7">
              <w:rPr>
                <w:rFonts w:eastAsia="MS Gothic"/>
                <w:color w:val="000000" w:themeColor="text1"/>
                <w:szCs w:val="22"/>
              </w:rPr>
              <w:t>?</w:t>
            </w:r>
          </w:p>
          <w:p w:rsidR="008D4BDC" w:rsidRPr="002003A7" w:rsidRDefault="008D4BDC" w:rsidP="008D4BDC">
            <w:pPr>
              <w:tabs>
                <w:tab w:val="left" w:pos="0"/>
              </w:tabs>
              <w:suppressAutoHyphens/>
              <w:rPr>
                <w:szCs w:val="22"/>
              </w:rPr>
            </w:pPr>
            <w:r>
              <w:rPr>
                <w:rFonts w:eastAsia="MS Gothic"/>
                <w:color w:val="000000" w:themeColor="text1"/>
                <w:szCs w:val="22"/>
              </w:rPr>
              <w:t>What is the client’s CGI-Severity rating for substance abuse?</w:t>
            </w:r>
          </w:p>
        </w:tc>
        <w:tc>
          <w:tcPr>
            <w:tcW w:w="2088" w:type="dxa"/>
          </w:tcPr>
          <w:p w:rsidR="007313E4" w:rsidRPr="002003A7" w:rsidRDefault="00CB61AD" w:rsidP="00020145">
            <w:pPr>
              <w:tabs>
                <w:tab w:val="left" w:pos="0"/>
              </w:tabs>
              <w:suppressAutoHyphens/>
              <w:rPr>
                <w:szCs w:val="22"/>
              </w:rPr>
            </w:pPr>
            <w:r>
              <w:rPr>
                <w:szCs w:val="22"/>
              </w:rPr>
              <w:t xml:space="preserve">Baseline </w:t>
            </w:r>
            <w:r w:rsidR="00020145">
              <w:rPr>
                <w:szCs w:val="22"/>
              </w:rPr>
              <w:t>and Every Reassessment</w:t>
            </w:r>
          </w:p>
        </w:tc>
      </w:tr>
      <w:tr w:rsidR="001C6724" w:rsidRPr="002003A7" w:rsidTr="00BE608B">
        <w:tc>
          <w:tcPr>
            <w:tcW w:w="828" w:type="dxa"/>
          </w:tcPr>
          <w:p w:rsidR="001C6724" w:rsidRPr="002003A7" w:rsidRDefault="001C6724" w:rsidP="00BE608B">
            <w:pPr>
              <w:tabs>
                <w:tab w:val="left" w:pos="0"/>
              </w:tabs>
              <w:suppressAutoHyphens/>
              <w:rPr>
                <w:rFonts w:eastAsia="MS Gothic"/>
                <w:color w:val="000000" w:themeColor="text1"/>
                <w:szCs w:val="22"/>
              </w:rPr>
            </w:pPr>
            <w:r w:rsidRPr="002003A7">
              <w:rPr>
                <w:rFonts w:eastAsia="MS Gothic"/>
                <w:color w:val="000000" w:themeColor="text1"/>
                <w:szCs w:val="22"/>
              </w:rPr>
              <w:t>6</w:t>
            </w:r>
          </w:p>
        </w:tc>
        <w:tc>
          <w:tcPr>
            <w:tcW w:w="6660" w:type="dxa"/>
          </w:tcPr>
          <w:p w:rsidR="008D4BDC" w:rsidRDefault="00BE2FDF" w:rsidP="008D4BDC">
            <w:pPr>
              <w:pStyle w:val="Heading3"/>
              <w:shd w:val="clear" w:color="auto" w:fill="FFFFFF"/>
              <w:rPr>
                <w:rFonts w:ascii="Arial" w:eastAsia="MS Gothic" w:hAnsi="Arial" w:cs="Arial"/>
                <w:color w:val="000000" w:themeColor="text1"/>
                <w:sz w:val="22"/>
                <w:szCs w:val="22"/>
              </w:rPr>
            </w:pPr>
            <w:r w:rsidRPr="00BE2FDF">
              <w:rPr>
                <w:rFonts w:ascii="Arial" w:eastAsia="MS Gothic" w:hAnsi="Arial" w:cs="Arial"/>
                <w:color w:val="000000" w:themeColor="text1"/>
                <w:sz w:val="22"/>
                <w:szCs w:val="22"/>
              </w:rPr>
              <w:t>What is the client’s CGI</w:t>
            </w:r>
            <w:r w:rsidR="008D4BDC">
              <w:rPr>
                <w:rFonts w:ascii="Arial" w:eastAsia="MS Gothic" w:hAnsi="Arial" w:cs="Arial"/>
                <w:color w:val="000000" w:themeColor="text1"/>
                <w:sz w:val="22"/>
                <w:szCs w:val="22"/>
              </w:rPr>
              <w:t xml:space="preserve">-Improvement rating for mental </w:t>
            </w:r>
            <w:r w:rsidRPr="00BE2FDF">
              <w:rPr>
                <w:rFonts w:ascii="Arial" w:eastAsia="MS Gothic" w:hAnsi="Arial" w:cs="Arial"/>
                <w:color w:val="000000" w:themeColor="text1"/>
                <w:sz w:val="22"/>
                <w:szCs w:val="22"/>
              </w:rPr>
              <w:t>health?</w:t>
            </w:r>
          </w:p>
          <w:p w:rsidR="008D4BDC" w:rsidRPr="008D4BDC" w:rsidRDefault="008D4BDC" w:rsidP="008D4BDC">
            <w:pPr>
              <w:pStyle w:val="Heading3"/>
              <w:shd w:val="clear" w:color="auto" w:fill="FFFFFF"/>
              <w:rPr>
                <w:rFonts w:ascii="Arial" w:eastAsia="MS Gothic" w:hAnsi="Arial" w:cs="Arial"/>
                <w:color w:val="000000" w:themeColor="text1"/>
                <w:sz w:val="22"/>
                <w:szCs w:val="22"/>
              </w:rPr>
            </w:pPr>
            <w:r w:rsidRPr="00BE2FDF">
              <w:rPr>
                <w:rFonts w:ascii="Arial" w:eastAsia="MS Gothic" w:hAnsi="Arial" w:cs="Arial"/>
                <w:color w:val="000000" w:themeColor="text1"/>
                <w:sz w:val="22"/>
                <w:szCs w:val="22"/>
              </w:rPr>
              <w:t>What is the client’s CGI</w:t>
            </w:r>
            <w:r>
              <w:rPr>
                <w:rFonts w:ascii="Arial" w:eastAsia="MS Gothic" w:hAnsi="Arial" w:cs="Arial"/>
                <w:color w:val="000000" w:themeColor="text1"/>
                <w:sz w:val="22"/>
                <w:szCs w:val="22"/>
              </w:rPr>
              <w:t>-Improvement rating for substance abuse</w:t>
            </w:r>
            <w:r w:rsidRPr="00BE2FDF">
              <w:rPr>
                <w:rFonts w:ascii="Arial" w:eastAsia="MS Gothic" w:hAnsi="Arial" w:cs="Arial"/>
                <w:color w:val="000000" w:themeColor="text1"/>
                <w:sz w:val="22"/>
                <w:szCs w:val="22"/>
              </w:rPr>
              <w:t>?</w:t>
            </w:r>
          </w:p>
        </w:tc>
        <w:tc>
          <w:tcPr>
            <w:tcW w:w="2088" w:type="dxa"/>
          </w:tcPr>
          <w:p w:rsidR="001C6724" w:rsidRPr="002003A7" w:rsidRDefault="00CB61AD" w:rsidP="00BE608B">
            <w:pPr>
              <w:tabs>
                <w:tab w:val="left" w:pos="0"/>
              </w:tabs>
              <w:suppressAutoHyphens/>
              <w:rPr>
                <w:szCs w:val="22"/>
              </w:rPr>
            </w:pPr>
            <w:r>
              <w:rPr>
                <w:szCs w:val="22"/>
              </w:rPr>
              <w:t>Every Reassessment</w:t>
            </w:r>
          </w:p>
        </w:tc>
      </w:tr>
      <w:tr w:rsidR="007313E4" w:rsidRPr="002003A7" w:rsidTr="00BE608B">
        <w:tc>
          <w:tcPr>
            <w:tcW w:w="828" w:type="dxa"/>
          </w:tcPr>
          <w:p w:rsidR="007313E4" w:rsidRPr="002003A7" w:rsidRDefault="00BE2FDF" w:rsidP="00BE608B">
            <w:pPr>
              <w:tabs>
                <w:tab w:val="left" w:pos="0"/>
              </w:tabs>
              <w:suppressAutoHyphens/>
              <w:rPr>
                <w:szCs w:val="22"/>
              </w:rPr>
            </w:pPr>
            <w:r>
              <w:rPr>
                <w:szCs w:val="22"/>
              </w:rPr>
              <w:t>7</w:t>
            </w:r>
          </w:p>
        </w:tc>
        <w:tc>
          <w:tcPr>
            <w:tcW w:w="6660" w:type="dxa"/>
          </w:tcPr>
          <w:p w:rsidR="007313E4" w:rsidRPr="00BE2FDF" w:rsidRDefault="00BE2FDF" w:rsidP="00BE608B">
            <w:pPr>
              <w:tabs>
                <w:tab w:val="left" w:pos="0"/>
              </w:tabs>
              <w:suppressAutoHyphens/>
              <w:rPr>
                <w:szCs w:val="22"/>
              </w:rPr>
            </w:pPr>
            <w:r w:rsidRPr="00BE2FDF">
              <w:rPr>
                <w:rFonts w:eastAsia="MS Gothic"/>
                <w:color w:val="000000" w:themeColor="text1"/>
                <w:szCs w:val="22"/>
              </w:rPr>
              <w:t xml:space="preserve">What is the client’s </w:t>
            </w:r>
            <w:proofErr w:type="spellStart"/>
            <w:r w:rsidRPr="00BE2FDF">
              <w:rPr>
                <w:rFonts w:eastAsia="MS Gothic"/>
                <w:color w:val="000000" w:themeColor="text1"/>
                <w:szCs w:val="22"/>
              </w:rPr>
              <w:t>Karnofsky</w:t>
            </w:r>
            <w:proofErr w:type="spellEnd"/>
            <w:r w:rsidRPr="00BE2FDF">
              <w:rPr>
                <w:rFonts w:eastAsia="MS Gothic"/>
                <w:color w:val="000000" w:themeColor="text1"/>
                <w:szCs w:val="22"/>
              </w:rPr>
              <w:t xml:space="preserve"> Performance Scale percentage for physical health?</w:t>
            </w:r>
          </w:p>
        </w:tc>
        <w:tc>
          <w:tcPr>
            <w:tcW w:w="2088" w:type="dxa"/>
          </w:tcPr>
          <w:p w:rsidR="007313E4" w:rsidRPr="002003A7" w:rsidRDefault="00BE2FDF" w:rsidP="00BE608B">
            <w:pPr>
              <w:tabs>
                <w:tab w:val="left" w:pos="0"/>
              </w:tabs>
              <w:suppressAutoHyphens/>
              <w:rPr>
                <w:szCs w:val="22"/>
              </w:rPr>
            </w:pPr>
            <w:r w:rsidRPr="002003A7">
              <w:rPr>
                <w:szCs w:val="22"/>
              </w:rPr>
              <w:t>Baseline and Every Reassessment</w:t>
            </w:r>
          </w:p>
        </w:tc>
      </w:tr>
      <w:tr w:rsidR="00BE2FDF" w:rsidRPr="002003A7" w:rsidTr="00BE608B">
        <w:tc>
          <w:tcPr>
            <w:tcW w:w="828" w:type="dxa"/>
          </w:tcPr>
          <w:p w:rsidR="00BE2FDF" w:rsidRPr="002003A7" w:rsidRDefault="00BE2FDF" w:rsidP="00706013">
            <w:pPr>
              <w:tabs>
                <w:tab w:val="left" w:pos="0"/>
              </w:tabs>
              <w:suppressAutoHyphens/>
              <w:rPr>
                <w:szCs w:val="22"/>
              </w:rPr>
            </w:pPr>
            <w:r>
              <w:rPr>
                <w:szCs w:val="22"/>
              </w:rPr>
              <w:t>8</w:t>
            </w:r>
          </w:p>
        </w:tc>
        <w:tc>
          <w:tcPr>
            <w:tcW w:w="6660" w:type="dxa"/>
          </w:tcPr>
          <w:p w:rsidR="00BE2FDF" w:rsidRPr="002003A7" w:rsidRDefault="00BE2FDF" w:rsidP="00706013">
            <w:pPr>
              <w:tabs>
                <w:tab w:val="left" w:pos="0"/>
              </w:tabs>
              <w:suppressAutoHyphens/>
              <w:rPr>
                <w:szCs w:val="22"/>
              </w:rPr>
            </w:pPr>
            <w:r w:rsidRPr="002003A7">
              <w:rPr>
                <w:szCs w:val="22"/>
              </w:rPr>
              <w:t xml:space="preserve">Did the client attend a routine HIV medical care visit within 3 months of current HIV diagnosis?  </w:t>
            </w:r>
          </w:p>
        </w:tc>
        <w:tc>
          <w:tcPr>
            <w:tcW w:w="2088" w:type="dxa"/>
          </w:tcPr>
          <w:p w:rsidR="00BE2FDF" w:rsidRPr="002003A7" w:rsidRDefault="00BE2FDF" w:rsidP="00706013">
            <w:pPr>
              <w:tabs>
                <w:tab w:val="left" w:pos="0"/>
              </w:tabs>
              <w:suppressAutoHyphens/>
              <w:rPr>
                <w:szCs w:val="22"/>
              </w:rPr>
            </w:pPr>
            <w:r w:rsidRPr="002003A7">
              <w:rPr>
                <w:szCs w:val="22"/>
              </w:rPr>
              <w:t>First Six-Month Reassessment Only</w:t>
            </w:r>
          </w:p>
        </w:tc>
      </w:tr>
      <w:tr w:rsidR="00BE2FDF" w:rsidRPr="002003A7" w:rsidTr="00BE608B">
        <w:tc>
          <w:tcPr>
            <w:tcW w:w="828" w:type="dxa"/>
          </w:tcPr>
          <w:p w:rsidR="00BE2FDF" w:rsidRPr="002003A7" w:rsidRDefault="00BE2FDF" w:rsidP="00BE608B">
            <w:pPr>
              <w:spacing w:line="276" w:lineRule="auto"/>
              <w:rPr>
                <w:szCs w:val="22"/>
              </w:rPr>
            </w:pPr>
            <w:r>
              <w:rPr>
                <w:szCs w:val="22"/>
              </w:rPr>
              <w:t>9</w:t>
            </w:r>
          </w:p>
        </w:tc>
        <w:tc>
          <w:tcPr>
            <w:tcW w:w="6660" w:type="dxa"/>
          </w:tcPr>
          <w:p w:rsidR="00BE2FDF" w:rsidRPr="002003A7" w:rsidRDefault="00BE2FDF" w:rsidP="00BE608B">
            <w:pPr>
              <w:spacing w:line="276" w:lineRule="auto"/>
              <w:rPr>
                <w:szCs w:val="22"/>
              </w:rPr>
            </w:pPr>
            <w:r w:rsidRPr="002003A7">
              <w:rPr>
                <w:szCs w:val="22"/>
              </w:rPr>
              <w:t>Did the client have at least one HIV medical care visit in the past 6 month period? If so</w:t>
            </w:r>
            <w:r w:rsidRPr="002003A7">
              <w:rPr>
                <w:rFonts w:eastAsia="MS Gothic"/>
                <w:szCs w:val="22"/>
              </w:rPr>
              <w:t>, list dates of all HIV-related medical visit(s) since last reassessment.</w:t>
            </w:r>
          </w:p>
        </w:tc>
        <w:tc>
          <w:tcPr>
            <w:tcW w:w="2088" w:type="dxa"/>
          </w:tcPr>
          <w:p w:rsidR="00BE2FDF" w:rsidRPr="002003A7" w:rsidRDefault="00BE2FDF" w:rsidP="00BE608B">
            <w:pPr>
              <w:tabs>
                <w:tab w:val="left" w:pos="0"/>
              </w:tabs>
              <w:suppressAutoHyphens/>
              <w:rPr>
                <w:szCs w:val="22"/>
              </w:rPr>
            </w:pPr>
            <w:r w:rsidRPr="002003A7">
              <w:rPr>
                <w:szCs w:val="22"/>
              </w:rPr>
              <w:t>Baseline and Every Reassessment</w:t>
            </w:r>
          </w:p>
        </w:tc>
      </w:tr>
      <w:tr w:rsidR="00BE2FDF" w:rsidRPr="002003A7" w:rsidTr="00BE608B">
        <w:tc>
          <w:tcPr>
            <w:tcW w:w="828" w:type="dxa"/>
          </w:tcPr>
          <w:p w:rsidR="00BE2FDF" w:rsidRPr="002003A7" w:rsidRDefault="00BE2FDF" w:rsidP="00BE608B">
            <w:pPr>
              <w:tabs>
                <w:tab w:val="left" w:pos="270"/>
                <w:tab w:val="left" w:pos="450"/>
              </w:tabs>
              <w:spacing w:line="276" w:lineRule="auto"/>
              <w:rPr>
                <w:szCs w:val="22"/>
              </w:rPr>
            </w:pPr>
            <w:r>
              <w:rPr>
                <w:szCs w:val="22"/>
              </w:rPr>
              <w:lastRenderedPageBreak/>
              <w:t>10</w:t>
            </w:r>
          </w:p>
        </w:tc>
        <w:tc>
          <w:tcPr>
            <w:tcW w:w="6660" w:type="dxa"/>
          </w:tcPr>
          <w:p w:rsidR="00BE2FDF" w:rsidRPr="002003A7" w:rsidRDefault="00BE2FDF" w:rsidP="00BE608B">
            <w:pPr>
              <w:tabs>
                <w:tab w:val="left" w:pos="270"/>
                <w:tab w:val="left" w:pos="450"/>
              </w:tabs>
              <w:spacing w:line="276" w:lineRule="auto"/>
              <w:rPr>
                <w:szCs w:val="22"/>
              </w:rPr>
            </w:pPr>
            <w:r w:rsidRPr="002003A7">
              <w:rPr>
                <w:szCs w:val="22"/>
              </w:rPr>
              <w:t>Has the client been prescribed Antiretroviral Medication (ART</w:t>
            </w:r>
            <w:r w:rsidRPr="002003A7">
              <w:rPr>
                <w:color w:val="000000" w:themeColor="text1"/>
                <w:szCs w:val="22"/>
              </w:rPr>
              <w:t xml:space="preserve">), in past 6 Months? </w:t>
            </w:r>
          </w:p>
        </w:tc>
        <w:tc>
          <w:tcPr>
            <w:tcW w:w="2088" w:type="dxa"/>
          </w:tcPr>
          <w:p w:rsidR="00BE2FDF" w:rsidRPr="002003A7" w:rsidRDefault="00BE2FDF" w:rsidP="00BE608B">
            <w:pPr>
              <w:rPr>
                <w:szCs w:val="22"/>
              </w:rPr>
            </w:pPr>
            <w:r w:rsidRPr="002003A7">
              <w:rPr>
                <w:szCs w:val="22"/>
              </w:rPr>
              <w:t>Baseline and Every Reassessment</w:t>
            </w:r>
          </w:p>
        </w:tc>
      </w:tr>
      <w:tr w:rsidR="00BE2FDF" w:rsidRPr="002003A7" w:rsidTr="00BE608B">
        <w:tc>
          <w:tcPr>
            <w:tcW w:w="828" w:type="dxa"/>
          </w:tcPr>
          <w:p w:rsidR="00BE2FDF" w:rsidRPr="002003A7" w:rsidRDefault="00BE2FDF" w:rsidP="00BE608B">
            <w:pPr>
              <w:tabs>
                <w:tab w:val="left" w:pos="270"/>
                <w:tab w:val="left" w:pos="450"/>
              </w:tabs>
              <w:spacing w:line="276" w:lineRule="auto"/>
              <w:rPr>
                <w:color w:val="000000" w:themeColor="text1"/>
                <w:szCs w:val="22"/>
              </w:rPr>
            </w:pPr>
            <w:r w:rsidRPr="002003A7">
              <w:rPr>
                <w:color w:val="000000" w:themeColor="text1"/>
                <w:szCs w:val="22"/>
              </w:rPr>
              <w:t>1</w:t>
            </w:r>
            <w:r>
              <w:rPr>
                <w:color w:val="000000" w:themeColor="text1"/>
                <w:szCs w:val="22"/>
              </w:rPr>
              <w:t>1</w:t>
            </w:r>
          </w:p>
        </w:tc>
        <w:tc>
          <w:tcPr>
            <w:tcW w:w="6660" w:type="dxa"/>
          </w:tcPr>
          <w:p w:rsidR="00BE2FDF" w:rsidRPr="002003A7" w:rsidRDefault="00BE2FDF" w:rsidP="00BE608B">
            <w:pPr>
              <w:tabs>
                <w:tab w:val="left" w:pos="270"/>
                <w:tab w:val="left" w:pos="450"/>
              </w:tabs>
              <w:spacing w:line="276" w:lineRule="auto"/>
              <w:rPr>
                <w:color w:val="000000" w:themeColor="text1"/>
                <w:szCs w:val="22"/>
              </w:rPr>
            </w:pPr>
            <w:r w:rsidRPr="002003A7">
              <w:rPr>
                <w:color w:val="000000" w:themeColor="text1"/>
                <w:szCs w:val="22"/>
              </w:rPr>
              <w:t xml:space="preserve">Most recent Viral Load Count (copies/ml) ___________________         </w:t>
            </w:r>
          </w:p>
          <w:p w:rsidR="00BE2FDF" w:rsidRPr="002003A7" w:rsidRDefault="00BE2FDF" w:rsidP="00BE608B">
            <w:pPr>
              <w:tabs>
                <w:tab w:val="left" w:pos="270"/>
                <w:tab w:val="left" w:pos="450"/>
              </w:tabs>
              <w:spacing w:line="276" w:lineRule="auto"/>
              <w:rPr>
                <w:szCs w:val="22"/>
              </w:rPr>
            </w:pPr>
            <w:r w:rsidRPr="002003A7">
              <w:rPr>
                <w:color w:val="000000" w:themeColor="text1"/>
                <w:szCs w:val="22"/>
              </w:rPr>
              <w:t>DATE of Test___________</w:t>
            </w:r>
          </w:p>
        </w:tc>
        <w:tc>
          <w:tcPr>
            <w:tcW w:w="2088" w:type="dxa"/>
          </w:tcPr>
          <w:p w:rsidR="00BE2FDF" w:rsidRPr="002003A7" w:rsidRDefault="00BE2FDF" w:rsidP="00BE608B">
            <w:pPr>
              <w:rPr>
                <w:szCs w:val="22"/>
              </w:rPr>
            </w:pPr>
            <w:r w:rsidRPr="002003A7">
              <w:rPr>
                <w:szCs w:val="22"/>
              </w:rPr>
              <w:t>Baseline and Every Reassessment</w:t>
            </w:r>
          </w:p>
        </w:tc>
      </w:tr>
      <w:tr w:rsidR="00BE2FDF" w:rsidRPr="002003A7" w:rsidTr="00BE608B">
        <w:tc>
          <w:tcPr>
            <w:tcW w:w="828" w:type="dxa"/>
          </w:tcPr>
          <w:p w:rsidR="00BE2FDF" w:rsidRPr="0013054A" w:rsidRDefault="00BE2FDF" w:rsidP="00BE608B">
            <w:pPr>
              <w:spacing w:line="276" w:lineRule="auto"/>
              <w:rPr>
                <w:rFonts w:eastAsia="MS Gothic"/>
                <w:color w:val="000000" w:themeColor="text1"/>
                <w:szCs w:val="22"/>
              </w:rPr>
            </w:pPr>
            <w:r w:rsidRPr="0013054A">
              <w:rPr>
                <w:rFonts w:eastAsia="MS Gothic"/>
                <w:color w:val="000000" w:themeColor="text1"/>
                <w:szCs w:val="22"/>
              </w:rPr>
              <w:t>12</w:t>
            </w:r>
          </w:p>
        </w:tc>
        <w:tc>
          <w:tcPr>
            <w:tcW w:w="6660" w:type="dxa"/>
          </w:tcPr>
          <w:p w:rsidR="00BE2FDF" w:rsidRPr="0013054A" w:rsidRDefault="00BE2FDF" w:rsidP="001C6724">
            <w:pPr>
              <w:spacing w:line="276" w:lineRule="auto"/>
              <w:rPr>
                <w:rFonts w:eastAsia="MS Gothic"/>
                <w:color w:val="000000" w:themeColor="text1"/>
                <w:szCs w:val="22"/>
              </w:rPr>
            </w:pPr>
            <w:r w:rsidRPr="0013054A">
              <w:rPr>
                <w:rFonts w:eastAsia="MS Gothic"/>
                <w:color w:val="000000" w:themeColor="text1"/>
                <w:szCs w:val="22"/>
              </w:rPr>
              <w:t>Date client left the program/ or last date client received medical services: _______________</w:t>
            </w:r>
          </w:p>
        </w:tc>
        <w:tc>
          <w:tcPr>
            <w:tcW w:w="2088" w:type="dxa"/>
          </w:tcPr>
          <w:p w:rsidR="00BE2FDF" w:rsidRDefault="00BE2FDF" w:rsidP="00BE608B">
            <w:pPr>
              <w:rPr>
                <w:szCs w:val="22"/>
              </w:rPr>
            </w:pPr>
            <w:r>
              <w:rPr>
                <w:szCs w:val="22"/>
              </w:rPr>
              <w:t>At Discharge</w:t>
            </w:r>
          </w:p>
        </w:tc>
      </w:tr>
    </w:tbl>
    <w:p w:rsidR="007313E4" w:rsidRPr="002003A7" w:rsidRDefault="007313E4" w:rsidP="007313E4">
      <w:pPr>
        <w:tabs>
          <w:tab w:val="left" w:pos="0"/>
        </w:tabs>
        <w:suppressAutoHyphens/>
        <w:rPr>
          <w:szCs w:val="22"/>
        </w:rPr>
      </w:pPr>
    </w:p>
    <w:p w:rsidR="00E615A9" w:rsidRDefault="00E615A9" w:rsidP="00D52531">
      <w:pPr>
        <w:tabs>
          <w:tab w:val="left" w:pos="0"/>
        </w:tabs>
        <w:rPr>
          <w:b/>
          <w:szCs w:val="22"/>
        </w:rPr>
      </w:pPr>
    </w:p>
    <w:p w:rsidR="00761EFF" w:rsidRDefault="00761EFF" w:rsidP="00D52531">
      <w:pPr>
        <w:tabs>
          <w:tab w:val="left" w:pos="0"/>
        </w:tabs>
        <w:rPr>
          <w:b/>
          <w:szCs w:val="22"/>
        </w:rPr>
      </w:pPr>
    </w:p>
    <w:p w:rsidR="00847157" w:rsidRDefault="00847157" w:rsidP="00D52531">
      <w:pPr>
        <w:tabs>
          <w:tab w:val="left" w:pos="0"/>
        </w:tabs>
        <w:rPr>
          <w:b/>
          <w:szCs w:val="22"/>
        </w:rPr>
      </w:pPr>
    </w:p>
    <w:p w:rsidR="00D52531" w:rsidRPr="002003A7" w:rsidRDefault="00877F0C" w:rsidP="00D52531">
      <w:pPr>
        <w:tabs>
          <w:tab w:val="left" w:pos="0"/>
        </w:tabs>
        <w:rPr>
          <w:b/>
          <w:szCs w:val="22"/>
        </w:rPr>
      </w:pPr>
      <w:r w:rsidRPr="002003A7">
        <w:rPr>
          <w:b/>
          <w:szCs w:val="22"/>
        </w:rPr>
        <w:t>A</w:t>
      </w:r>
      <w:r w:rsidR="00D52531" w:rsidRPr="002003A7">
        <w:rPr>
          <w:b/>
          <w:szCs w:val="22"/>
        </w:rPr>
        <w:t>3. Use of Information Technology</w:t>
      </w:r>
    </w:p>
    <w:p w:rsidR="00D52531" w:rsidRPr="002003A7" w:rsidRDefault="00D52531" w:rsidP="00D52531">
      <w:pPr>
        <w:tabs>
          <w:tab w:val="left" w:pos="0"/>
        </w:tabs>
        <w:rPr>
          <w:szCs w:val="22"/>
        </w:rPr>
      </w:pPr>
    </w:p>
    <w:p w:rsidR="007E0EA7" w:rsidRDefault="00033F37" w:rsidP="00BC0F3E">
      <w:pPr>
        <w:tabs>
          <w:tab w:val="left" w:pos="0"/>
        </w:tabs>
        <w:rPr>
          <w:szCs w:val="22"/>
        </w:rPr>
      </w:pPr>
      <w:r w:rsidRPr="002003A7">
        <w:rPr>
          <w:szCs w:val="22"/>
        </w:rPr>
        <w:t xml:space="preserve">SAMHSA has made every effort to limit the burden on individual respondents </w:t>
      </w:r>
      <w:r w:rsidR="00830DBD" w:rsidRPr="002003A7">
        <w:rPr>
          <w:szCs w:val="22"/>
        </w:rPr>
        <w:t xml:space="preserve">and participating agencies </w:t>
      </w:r>
      <w:r w:rsidRPr="002003A7">
        <w:rPr>
          <w:szCs w:val="22"/>
        </w:rPr>
        <w:t xml:space="preserve">through the use of </w:t>
      </w:r>
      <w:r w:rsidR="00830DBD" w:rsidRPr="002003A7">
        <w:rPr>
          <w:szCs w:val="22"/>
        </w:rPr>
        <w:t xml:space="preserve">information </w:t>
      </w:r>
      <w:r w:rsidRPr="002003A7">
        <w:rPr>
          <w:szCs w:val="22"/>
        </w:rPr>
        <w:t xml:space="preserve">technology. </w:t>
      </w:r>
      <w:r w:rsidR="001D7214" w:rsidRPr="002003A7">
        <w:rPr>
          <w:szCs w:val="22"/>
        </w:rPr>
        <w:t xml:space="preserve"> </w:t>
      </w:r>
      <w:r w:rsidR="007E0EA7" w:rsidRPr="002003A7">
        <w:rPr>
          <w:szCs w:val="22"/>
        </w:rPr>
        <w:t>Grantees will be asked to com</w:t>
      </w:r>
      <w:r w:rsidR="00761EFF">
        <w:rPr>
          <w:szCs w:val="22"/>
        </w:rPr>
        <w:t>plete a combined HIV/Hepatitis Testing F</w:t>
      </w:r>
      <w:r w:rsidR="007E0EA7" w:rsidRPr="002003A7">
        <w:rPr>
          <w:szCs w:val="22"/>
        </w:rPr>
        <w:t>orm for each individual that receives</w:t>
      </w:r>
      <w:r w:rsidR="00761EFF">
        <w:rPr>
          <w:szCs w:val="22"/>
        </w:rPr>
        <w:t xml:space="preserve"> an</w:t>
      </w:r>
      <w:r w:rsidR="007E0EA7" w:rsidRPr="002003A7">
        <w:rPr>
          <w:szCs w:val="22"/>
        </w:rPr>
        <w:t xml:space="preserve"> HIV or </w:t>
      </w:r>
      <w:r w:rsidR="00761EFF">
        <w:rPr>
          <w:szCs w:val="22"/>
        </w:rPr>
        <w:t>Viral Hepatitis testing service</w:t>
      </w:r>
      <w:r w:rsidR="007E0EA7" w:rsidRPr="002003A7">
        <w:rPr>
          <w:szCs w:val="22"/>
        </w:rPr>
        <w:t xml:space="preserve">.  </w:t>
      </w:r>
      <w:r w:rsidR="00761EFF" w:rsidRPr="002003A7">
        <w:rPr>
          <w:szCs w:val="22"/>
        </w:rPr>
        <w:t>Each testing form will be completed at the time that the medical testing takes place</w:t>
      </w:r>
      <w:r w:rsidR="00BC0F3E">
        <w:rPr>
          <w:szCs w:val="22"/>
        </w:rPr>
        <w:t xml:space="preserve">. </w:t>
      </w:r>
      <w:r w:rsidR="007E0EA7" w:rsidRPr="002003A7">
        <w:rPr>
          <w:szCs w:val="22"/>
        </w:rPr>
        <w:t xml:space="preserve">The design of the Combined HIV/Hepatitis Testing Form encourages the use of automation to reduce burden on participating grantees. </w:t>
      </w:r>
      <w:r w:rsidR="00761EFF">
        <w:rPr>
          <w:szCs w:val="22"/>
        </w:rPr>
        <w:t xml:space="preserve">Testing forms will be </w:t>
      </w:r>
      <w:r w:rsidR="00217426">
        <w:rPr>
          <w:szCs w:val="22"/>
        </w:rPr>
        <w:t>completed</w:t>
      </w:r>
      <w:r w:rsidR="00761EFF">
        <w:rPr>
          <w:szCs w:val="22"/>
        </w:rPr>
        <w:t xml:space="preserve"> at each grantee site and electronically submitted to </w:t>
      </w:r>
      <w:r w:rsidR="00217426">
        <w:rPr>
          <w:szCs w:val="22"/>
        </w:rPr>
        <w:t>an</w:t>
      </w:r>
      <w:r w:rsidR="00761EFF">
        <w:rPr>
          <w:szCs w:val="22"/>
        </w:rPr>
        <w:t xml:space="preserve"> Evaluation Contractor for secure storage and analysis</w:t>
      </w:r>
      <w:r w:rsidR="00BC0F3E">
        <w:rPr>
          <w:szCs w:val="22"/>
        </w:rPr>
        <w:t xml:space="preserve"> through a secure web portal. T</w:t>
      </w:r>
      <w:r w:rsidR="007E0EA7" w:rsidRPr="002003A7">
        <w:rPr>
          <w:szCs w:val="22"/>
        </w:rPr>
        <w:t xml:space="preserve">he </w:t>
      </w:r>
      <w:r w:rsidR="00EF5530">
        <w:rPr>
          <w:szCs w:val="22"/>
        </w:rPr>
        <w:t xml:space="preserve">HIV/Hepatitis </w:t>
      </w:r>
      <w:r w:rsidR="007E0EA7" w:rsidRPr="002003A7">
        <w:rPr>
          <w:szCs w:val="22"/>
        </w:rPr>
        <w:t xml:space="preserve">Testing Form has been designed to not include </w:t>
      </w:r>
      <w:r w:rsidR="00BC0F3E">
        <w:rPr>
          <w:szCs w:val="22"/>
        </w:rPr>
        <w:t xml:space="preserve">any </w:t>
      </w:r>
      <w:r w:rsidR="007E0EA7" w:rsidRPr="002003A7">
        <w:rPr>
          <w:szCs w:val="22"/>
        </w:rPr>
        <w:t xml:space="preserve">personally identifiable information, </w:t>
      </w:r>
      <w:r w:rsidR="00BC0F3E">
        <w:rPr>
          <w:szCs w:val="22"/>
        </w:rPr>
        <w:t xml:space="preserve">and </w:t>
      </w:r>
      <w:r w:rsidR="007E0EA7" w:rsidRPr="002003A7">
        <w:rPr>
          <w:szCs w:val="22"/>
        </w:rPr>
        <w:t>all electronic transmissions will be designed to be FISMA compliant.</w:t>
      </w:r>
    </w:p>
    <w:p w:rsidR="00847157" w:rsidRPr="00847157" w:rsidRDefault="00847157" w:rsidP="00BC0F3E">
      <w:pPr>
        <w:tabs>
          <w:tab w:val="left" w:pos="0"/>
        </w:tabs>
        <w:rPr>
          <w:szCs w:val="22"/>
        </w:rPr>
      </w:pPr>
    </w:p>
    <w:p w:rsidR="007E0EA7" w:rsidRDefault="00847157" w:rsidP="00253B06">
      <w:pPr>
        <w:tabs>
          <w:tab w:val="left" w:pos="0"/>
        </w:tabs>
        <w:rPr>
          <w:szCs w:val="22"/>
        </w:rPr>
      </w:pPr>
      <w:r w:rsidRPr="00847157">
        <w:rPr>
          <w:szCs w:val="22"/>
        </w:rPr>
        <w:t>During the course of this project, SAMHSA plans to transition from its current TRAC system to the</w:t>
      </w:r>
      <w:r w:rsidR="008D4BDC">
        <w:rPr>
          <w:szCs w:val="22"/>
        </w:rPr>
        <w:t xml:space="preserve"> Common Data Platform</w:t>
      </w:r>
      <w:r w:rsidRPr="00847157">
        <w:rPr>
          <w:szCs w:val="22"/>
        </w:rPr>
        <w:t xml:space="preserve"> </w:t>
      </w:r>
      <w:r w:rsidR="008D4BDC">
        <w:rPr>
          <w:szCs w:val="22"/>
        </w:rPr>
        <w:t>(</w:t>
      </w:r>
      <w:r w:rsidRPr="00847157">
        <w:rPr>
          <w:szCs w:val="22"/>
        </w:rPr>
        <w:t>CDP</w:t>
      </w:r>
      <w:r w:rsidR="008D4BDC">
        <w:rPr>
          <w:szCs w:val="22"/>
        </w:rPr>
        <w:t>)</w:t>
      </w:r>
      <w:r w:rsidRPr="00847157">
        <w:rPr>
          <w:szCs w:val="22"/>
        </w:rPr>
        <w:t xml:space="preserve">.  SAMHSA’s CDP contract is currently in its base year, having been awarded in January, 2014.  Within the base year, CDP will assume all data collection and reporting responsibilities currently managed by TRAC.  Awards for the </w:t>
      </w:r>
      <w:r w:rsidR="00C9048C">
        <w:rPr>
          <w:szCs w:val="22"/>
        </w:rPr>
        <w:t>Co-located and Integrated Care</w:t>
      </w:r>
      <w:r w:rsidRPr="00847157">
        <w:rPr>
          <w:szCs w:val="22"/>
        </w:rPr>
        <w:t xml:space="preserve"> program are likely</w:t>
      </w:r>
      <w:r w:rsidR="008D4BDC">
        <w:rPr>
          <w:szCs w:val="22"/>
        </w:rPr>
        <w:t xml:space="preserve"> to be made in September, 2014. Until the CDP is operational, grantees will be asked to collect TRAC and HIV Indicator data via paper and pencil methods. </w:t>
      </w:r>
      <w:r w:rsidR="00AC36F5">
        <w:rPr>
          <w:szCs w:val="22"/>
        </w:rPr>
        <w:t>That information will then be sent to the evaluation contractor</w:t>
      </w:r>
      <w:r w:rsidR="00EF5530">
        <w:rPr>
          <w:szCs w:val="22"/>
        </w:rPr>
        <w:t xml:space="preserve"> for secure storage and analysis</w:t>
      </w:r>
      <w:r w:rsidR="00AC36F5">
        <w:rPr>
          <w:szCs w:val="22"/>
        </w:rPr>
        <w:t xml:space="preserve">.  </w:t>
      </w:r>
    </w:p>
    <w:p w:rsidR="00AC36F5" w:rsidRDefault="00AC36F5" w:rsidP="00253B06">
      <w:pPr>
        <w:tabs>
          <w:tab w:val="left" w:pos="0"/>
        </w:tabs>
        <w:rPr>
          <w:szCs w:val="22"/>
        </w:rPr>
      </w:pPr>
    </w:p>
    <w:p w:rsidR="00AC36F5" w:rsidRDefault="00AC36F5" w:rsidP="00253B06">
      <w:pPr>
        <w:tabs>
          <w:tab w:val="left" w:pos="0"/>
        </w:tabs>
        <w:rPr>
          <w:szCs w:val="22"/>
        </w:rPr>
      </w:pPr>
      <w:r>
        <w:rPr>
          <w:szCs w:val="22"/>
        </w:rPr>
        <w:t>HIV Testing Forms will be submitted electronically to the evaluation contractor for the life of this project.</w:t>
      </w:r>
    </w:p>
    <w:p w:rsidR="00AC36F5" w:rsidRPr="00847157" w:rsidRDefault="00AC36F5" w:rsidP="00253B06">
      <w:pPr>
        <w:tabs>
          <w:tab w:val="left" w:pos="0"/>
        </w:tabs>
        <w:rPr>
          <w:szCs w:val="22"/>
        </w:rPr>
      </w:pPr>
    </w:p>
    <w:p w:rsidR="00D52531" w:rsidRPr="00847157" w:rsidRDefault="00D52531" w:rsidP="00D52531">
      <w:pPr>
        <w:tabs>
          <w:tab w:val="left" w:pos="0"/>
        </w:tabs>
        <w:rPr>
          <w:szCs w:val="22"/>
        </w:rPr>
      </w:pPr>
    </w:p>
    <w:p w:rsidR="00D52531" w:rsidRPr="002003A7" w:rsidRDefault="00877F0C" w:rsidP="00D52531">
      <w:pPr>
        <w:tabs>
          <w:tab w:val="left" w:pos="0"/>
        </w:tabs>
        <w:rPr>
          <w:b/>
          <w:szCs w:val="22"/>
        </w:rPr>
      </w:pPr>
      <w:r w:rsidRPr="002003A7">
        <w:rPr>
          <w:b/>
          <w:szCs w:val="22"/>
        </w:rPr>
        <w:t>A</w:t>
      </w:r>
      <w:r w:rsidR="00D52531" w:rsidRPr="002003A7">
        <w:rPr>
          <w:b/>
          <w:szCs w:val="22"/>
        </w:rPr>
        <w:t xml:space="preserve">4. Efforts to Identify Duplication </w:t>
      </w:r>
    </w:p>
    <w:p w:rsidR="00D52531" w:rsidRPr="002003A7" w:rsidRDefault="00D52531" w:rsidP="00D52531">
      <w:pPr>
        <w:tabs>
          <w:tab w:val="left" w:pos="0"/>
        </w:tabs>
        <w:rPr>
          <w:szCs w:val="22"/>
        </w:rPr>
      </w:pPr>
    </w:p>
    <w:p w:rsidR="002B7027" w:rsidRPr="002003A7" w:rsidRDefault="0088072F" w:rsidP="00850354">
      <w:pPr>
        <w:rPr>
          <w:szCs w:val="22"/>
        </w:rPr>
      </w:pPr>
      <w:r w:rsidRPr="002003A7">
        <w:rPr>
          <w:szCs w:val="22"/>
        </w:rPr>
        <w:t xml:space="preserve">Currently CDC requires that grantees that are directly funded by CDC for HIV prevention activities complete the CDC </w:t>
      </w:r>
      <w:proofErr w:type="spellStart"/>
      <w:r w:rsidRPr="002003A7">
        <w:rPr>
          <w:szCs w:val="22"/>
        </w:rPr>
        <w:t>EvaluationWeb</w:t>
      </w:r>
      <w:proofErr w:type="spellEnd"/>
      <w:r w:rsidRPr="002003A7">
        <w:rPr>
          <w:szCs w:val="22"/>
        </w:rPr>
        <w:t xml:space="preserve"> 2012 HIV Test Template Form. </w:t>
      </w:r>
      <w:r w:rsidR="00850354" w:rsidRPr="002003A7">
        <w:rPr>
          <w:szCs w:val="22"/>
        </w:rPr>
        <w:t xml:space="preserve">While the CDC HIV </w:t>
      </w:r>
      <w:r w:rsidR="00C06CA6" w:rsidRPr="002003A7">
        <w:rPr>
          <w:szCs w:val="22"/>
        </w:rPr>
        <w:t>Form includes some of the same informati</w:t>
      </w:r>
      <w:r w:rsidR="002B7027" w:rsidRPr="002003A7">
        <w:rPr>
          <w:szCs w:val="22"/>
        </w:rPr>
        <w:t xml:space="preserve">on as </w:t>
      </w:r>
      <w:r w:rsidR="00517E60" w:rsidRPr="002003A7">
        <w:rPr>
          <w:szCs w:val="22"/>
        </w:rPr>
        <w:t xml:space="preserve">our </w:t>
      </w:r>
      <w:r w:rsidR="00ED402D">
        <w:rPr>
          <w:szCs w:val="22"/>
        </w:rPr>
        <w:t>Combined HIV/Hepatitis Testing F</w:t>
      </w:r>
      <w:r w:rsidR="00517E60" w:rsidRPr="002003A7">
        <w:rPr>
          <w:szCs w:val="22"/>
        </w:rPr>
        <w:t xml:space="preserve">orm, </w:t>
      </w:r>
      <w:r w:rsidR="0014789C">
        <w:rPr>
          <w:szCs w:val="22"/>
        </w:rPr>
        <w:t>SAMHSA</w:t>
      </w:r>
      <w:r w:rsidR="00517E60" w:rsidRPr="002003A7">
        <w:rPr>
          <w:szCs w:val="22"/>
        </w:rPr>
        <w:t xml:space="preserve"> anticipate</w:t>
      </w:r>
      <w:r w:rsidR="0014789C">
        <w:rPr>
          <w:szCs w:val="22"/>
        </w:rPr>
        <w:t>s</w:t>
      </w:r>
      <w:r w:rsidR="00517E60" w:rsidRPr="002003A7">
        <w:rPr>
          <w:szCs w:val="22"/>
        </w:rPr>
        <w:t xml:space="preserve"> that there will be relatively little duplication of effort associated with these two forms.</w:t>
      </w:r>
      <w:r w:rsidR="00C06CA6" w:rsidRPr="002003A7">
        <w:rPr>
          <w:szCs w:val="22"/>
        </w:rPr>
        <w:t xml:space="preserve"> </w:t>
      </w:r>
    </w:p>
    <w:p w:rsidR="002B7027" w:rsidRPr="002003A7" w:rsidRDefault="002B7027" w:rsidP="00850354">
      <w:pPr>
        <w:rPr>
          <w:szCs w:val="22"/>
        </w:rPr>
      </w:pPr>
    </w:p>
    <w:p w:rsidR="00D52531" w:rsidRDefault="00517E60" w:rsidP="00850354">
      <w:pPr>
        <w:rPr>
          <w:szCs w:val="22"/>
        </w:rPr>
      </w:pPr>
      <w:r w:rsidRPr="002003A7">
        <w:rPr>
          <w:szCs w:val="22"/>
        </w:rPr>
        <w:t xml:space="preserve">Although </w:t>
      </w:r>
      <w:r w:rsidR="0014789C">
        <w:rPr>
          <w:szCs w:val="22"/>
        </w:rPr>
        <w:t>SAMHSA</w:t>
      </w:r>
      <w:r w:rsidRPr="002003A7">
        <w:rPr>
          <w:szCs w:val="22"/>
        </w:rPr>
        <w:t xml:space="preserve"> cannot determine the degree of overlap between </w:t>
      </w:r>
      <w:r w:rsidR="005C4BD0" w:rsidRPr="002003A7">
        <w:rPr>
          <w:szCs w:val="22"/>
        </w:rPr>
        <w:t xml:space="preserve">grantees that will be funded by </w:t>
      </w:r>
      <w:r w:rsidR="00ED402D">
        <w:rPr>
          <w:szCs w:val="22"/>
        </w:rPr>
        <w:t>this</w:t>
      </w:r>
      <w:r w:rsidR="005C4BD0" w:rsidRPr="002003A7">
        <w:rPr>
          <w:szCs w:val="22"/>
        </w:rPr>
        <w:t xml:space="preserve"> project and those funded by CDC,</w:t>
      </w:r>
      <w:r w:rsidR="00DB5F4C">
        <w:rPr>
          <w:szCs w:val="22"/>
        </w:rPr>
        <w:t xml:space="preserve"> SAMHSA </w:t>
      </w:r>
      <w:r w:rsidR="000811C4" w:rsidRPr="002003A7">
        <w:rPr>
          <w:szCs w:val="22"/>
        </w:rPr>
        <w:t>anticipate that the vast majority of funded grantees will not be receiving</w:t>
      </w:r>
      <w:r w:rsidR="00A25F1F" w:rsidRPr="002003A7">
        <w:rPr>
          <w:szCs w:val="22"/>
        </w:rPr>
        <w:t xml:space="preserve"> </w:t>
      </w:r>
      <w:r w:rsidR="002B7027" w:rsidRPr="002003A7">
        <w:rPr>
          <w:szCs w:val="22"/>
        </w:rPr>
        <w:t>CDC prevention funds</w:t>
      </w:r>
      <w:r w:rsidR="005C4BD0" w:rsidRPr="002003A7">
        <w:rPr>
          <w:szCs w:val="22"/>
        </w:rPr>
        <w:t xml:space="preserve">.  </w:t>
      </w:r>
      <w:r w:rsidR="00850354" w:rsidRPr="002003A7">
        <w:rPr>
          <w:szCs w:val="22"/>
        </w:rPr>
        <w:t xml:space="preserve">Thus, </w:t>
      </w:r>
      <w:r w:rsidR="0014789C">
        <w:rPr>
          <w:szCs w:val="22"/>
        </w:rPr>
        <w:t>SAMHSA</w:t>
      </w:r>
      <w:r w:rsidR="00850354" w:rsidRPr="002003A7">
        <w:rPr>
          <w:szCs w:val="22"/>
        </w:rPr>
        <w:t xml:space="preserve"> expect</w:t>
      </w:r>
      <w:r w:rsidR="0014789C">
        <w:rPr>
          <w:szCs w:val="22"/>
        </w:rPr>
        <w:t>s</w:t>
      </w:r>
      <w:r w:rsidR="00850354" w:rsidRPr="002003A7">
        <w:rPr>
          <w:szCs w:val="22"/>
        </w:rPr>
        <w:t xml:space="preserve"> that for the vast majority of our grantees, this information will not be duplicative.  </w:t>
      </w:r>
    </w:p>
    <w:p w:rsidR="00A258AD" w:rsidRDefault="00A258AD" w:rsidP="00850354">
      <w:pPr>
        <w:rPr>
          <w:szCs w:val="22"/>
        </w:rPr>
      </w:pPr>
    </w:p>
    <w:p w:rsidR="00A258AD" w:rsidRPr="002003A7" w:rsidRDefault="00A258AD" w:rsidP="00A258AD">
      <w:pPr>
        <w:rPr>
          <w:szCs w:val="22"/>
        </w:rPr>
      </w:pPr>
      <w:r>
        <w:rPr>
          <w:szCs w:val="22"/>
        </w:rPr>
        <w:t xml:space="preserve">It is possible that the behavioral health entities will partner with HRSA Ryan White Care Act grantees to provide the medical care to clients living with HIV.  </w:t>
      </w:r>
      <w:r w:rsidR="0014789C">
        <w:rPr>
          <w:szCs w:val="22"/>
        </w:rPr>
        <w:t xml:space="preserve">SAMHSA </w:t>
      </w:r>
      <w:r>
        <w:rPr>
          <w:szCs w:val="22"/>
        </w:rPr>
        <w:t>anticipate</w:t>
      </w:r>
      <w:r w:rsidR="0014789C">
        <w:rPr>
          <w:szCs w:val="22"/>
        </w:rPr>
        <w:t>s</w:t>
      </w:r>
      <w:r>
        <w:rPr>
          <w:szCs w:val="22"/>
        </w:rPr>
        <w:t xml:space="preserve"> that there will not be duplication wit</w:t>
      </w:r>
      <w:r w:rsidR="00ED402D">
        <w:rPr>
          <w:szCs w:val="22"/>
        </w:rPr>
        <w:t>h the combined HIV/Hepatitis Testing F</w:t>
      </w:r>
      <w:r>
        <w:rPr>
          <w:szCs w:val="22"/>
        </w:rPr>
        <w:t>orm as the screening and confirmatory testing should be completed before referral to this care. It is possible there will be limited duplication surrounding the HHS HIV Core Indicators if the client is formally enrolled in the HRSA program as well. However, as a part of the required memorandum of understanding between the two entities, the behavioral health provider will have access to the medical data and there will be no additional burden on the HRSA grantee.</w:t>
      </w:r>
    </w:p>
    <w:p w:rsidR="00A258AD" w:rsidRPr="002003A7" w:rsidRDefault="00A258AD" w:rsidP="00850354">
      <w:pPr>
        <w:rPr>
          <w:szCs w:val="22"/>
        </w:rPr>
      </w:pPr>
    </w:p>
    <w:p w:rsidR="00850354" w:rsidRPr="002003A7" w:rsidRDefault="00850354" w:rsidP="00D52531">
      <w:pPr>
        <w:tabs>
          <w:tab w:val="left" w:pos="0"/>
        </w:tabs>
        <w:rPr>
          <w:b/>
          <w:szCs w:val="22"/>
        </w:rPr>
      </w:pPr>
    </w:p>
    <w:p w:rsidR="00D52531" w:rsidRPr="002003A7" w:rsidRDefault="00877F0C" w:rsidP="00D52531">
      <w:pPr>
        <w:tabs>
          <w:tab w:val="left" w:pos="0"/>
        </w:tabs>
        <w:rPr>
          <w:b/>
          <w:szCs w:val="22"/>
        </w:rPr>
      </w:pPr>
      <w:r w:rsidRPr="002003A7">
        <w:rPr>
          <w:b/>
          <w:szCs w:val="22"/>
        </w:rPr>
        <w:t>A</w:t>
      </w:r>
      <w:r w:rsidR="00D52531" w:rsidRPr="002003A7">
        <w:rPr>
          <w:b/>
          <w:szCs w:val="22"/>
        </w:rPr>
        <w:t>5. Impact on Small Business</w:t>
      </w:r>
    </w:p>
    <w:p w:rsidR="00D52531" w:rsidRPr="002003A7" w:rsidRDefault="00D52531" w:rsidP="00D52531">
      <w:pPr>
        <w:tabs>
          <w:tab w:val="left" w:pos="0"/>
        </w:tabs>
        <w:rPr>
          <w:szCs w:val="22"/>
        </w:rPr>
      </w:pPr>
    </w:p>
    <w:p w:rsidR="00D52531" w:rsidRPr="002003A7" w:rsidRDefault="00D52531" w:rsidP="00D52531">
      <w:pPr>
        <w:rPr>
          <w:szCs w:val="22"/>
        </w:rPr>
      </w:pPr>
      <w:r w:rsidRPr="002003A7">
        <w:rPr>
          <w:szCs w:val="22"/>
        </w:rPr>
        <w:t>The information collected will not have a</w:t>
      </w:r>
      <w:r w:rsidR="008248B2" w:rsidRPr="002003A7">
        <w:rPr>
          <w:szCs w:val="22"/>
        </w:rPr>
        <w:t xml:space="preserve">n </w:t>
      </w:r>
      <w:r w:rsidRPr="002003A7">
        <w:rPr>
          <w:szCs w:val="22"/>
        </w:rPr>
        <w:t xml:space="preserve">impact on small </w:t>
      </w:r>
      <w:r w:rsidR="001D7214" w:rsidRPr="002003A7">
        <w:rPr>
          <w:szCs w:val="22"/>
        </w:rPr>
        <w:t xml:space="preserve">business </w:t>
      </w:r>
      <w:r w:rsidRPr="002003A7">
        <w:rPr>
          <w:szCs w:val="22"/>
        </w:rPr>
        <w:t>entities.</w:t>
      </w:r>
    </w:p>
    <w:p w:rsidR="00D52531" w:rsidRPr="002003A7" w:rsidRDefault="00D52531" w:rsidP="00D52531">
      <w:pPr>
        <w:tabs>
          <w:tab w:val="left" w:pos="0"/>
        </w:tabs>
        <w:rPr>
          <w:szCs w:val="22"/>
        </w:rPr>
      </w:pPr>
    </w:p>
    <w:p w:rsidR="00D52531" w:rsidRPr="002003A7" w:rsidRDefault="00877F0C" w:rsidP="00D52531">
      <w:pPr>
        <w:tabs>
          <w:tab w:val="left" w:pos="0"/>
        </w:tabs>
        <w:rPr>
          <w:b/>
          <w:szCs w:val="22"/>
        </w:rPr>
      </w:pPr>
      <w:r w:rsidRPr="002003A7">
        <w:rPr>
          <w:b/>
          <w:szCs w:val="22"/>
        </w:rPr>
        <w:t>A</w:t>
      </w:r>
      <w:r w:rsidR="00D52531" w:rsidRPr="002003A7">
        <w:rPr>
          <w:b/>
          <w:szCs w:val="22"/>
        </w:rPr>
        <w:t>6. Consequences of Collecting the Data Less Frequently</w:t>
      </w:r>
    </w:p>
    <w:p w:rsidR="00D52531" w:rsidRPr="002003A7" w:rsidRDefault="00D52531" w:rsidP="00D52531">
      <w:pPr>
        <w:tabs>
          <w:tab w:val="left" w:pos="0"/>
        </w:tabs>
        <w:rPr>
          <w:szCs w:val="22"/>
        </w:rPr>
      </w:pPr>
    </w:p>
    <w:p w:rsidR="002F326B" w:rsidRDefault="00850354" w:rsidP="00C3113C">
      <w:pPr>
        <w:rPr>
          <w:szCs w:val="22"/>
        </w:rPr>
      </w:pPr>
      <w:r w:rsidRPr="002003A7">
        <w:rPr>
          <w:szCs w:val="22"/>
        </w:rPr>
        <w:t>The current request represents SAMHSA’s need to know information a</w:t>
      </w:r>
      <w:r w:rsidR="00761EFF">
        <w:rPr>
          <w:szCs w:val="22"/>
        </w:rPr>
        <w:t>bout every individual s</w:t>
      </w:r>
      <w:r w:rsidR="002F326B">
        <w:rPr>
          <w:szCs w:val="22"/>
        </w:rPr>
        <w:t xml:space="preserve">erved by the </w:t>
      </w:r>
      <w:r w:rsidR="00C9048C">
        <w:rPr>
          <w:szCs w:val="22"/>
        </w:rPr>
        <w:t>Co-located</w:t>
      </w:r>
      <w:r w:rsidR="00761EFF">
        <w:rPr>
          <w:szCs w:val="22"/>
        </w:rPr>
        <w:t xml:space="preserve"> and Integrated Care program</w:t>
      </w:r>
      <w:r w:rsidRPr="002003A7">
        <w:rPr>
          <w:szCs w:val="22"/>
        </w:rPr>
        <w:t xml:space="preserve">.  </w:t>
      </w:r>
    </w:p>
    <w:p w:rsidR="002F326B" w:rsidRDefault="002F326B" w:rsidP="00C3113C">
      <w:pPr>
        <w:rPr>
          <w:szCs w:val="22"/>
        </w:rPr>
      </w:pPr>
    </w:p>
    <w:p w:rsidR="005C4BD0" w:rsidRPr="002003A7" w:rsidRDefault="00850354" w:rsidP="00C3113C">
      <w:pPr>
        <w:rPr>
          <w:szCs w:val="22"/>
        </w:rPr>
      </w:pPr>
      <w:r w:rsidRPr="002003A7">
        <w:rPr>
          <w:szCs w:val="22"/>
        </w:rPr>
        <w:t xml:space="preserve">For individuals who test negative for HIV, </w:t>
      </w:r>
      <w:r w:rsidR="005C4BD0" w:rsidRPr="002003A7">
        <w:rPr>
          <w:szCs w:val="22"/>
        </w:rPr>
        <w:t xml:space="preserve">and receive no further services, </w:t>
      </w:r>
      <w:r w:rsidR="002F326B">
        <w:rPr>
          <w:szCs w:val="22"/>
        </w:rPr>
        <w:t>completion of the Combined HIV Hepatitis Testing Form</w:t>
      </w:r>
      <w:r w:rsidRPr="002003A7">
        <w:rPr>
          <w:szCs w:val="22"/>
        </w:rPr>
        <w:t xml:space="preserve"> is the only time</w:t>
      </w:r>
      <w:r w:rsidR="005C4BD0" w:rsidRPr="002003A7">
        <w:rPr>
          <w:szCs w:val="22"/>
        </w:rPr>
        <w:t xml:space="preserve"> </w:t>
      </w:r>
      <w:r w:rsidR="00EF5530">
        <w:rPr>
          <w:szCs w:val="22"/>
        </w:rPr>
        <w:t>point at</w:t>
      </w:r>
      <w:r w:rsidRPr="002003A7">
        <w:rPr>
          <w:szCs w:val="22"/>
        </w:rPr>
        <w:t xml:space="preserve"> which data will be collected.  </w:t>
      </w:r>
    </w:p>
    <w:p w:rsidR="005C4BD0" w:rsidRPr="002003A7" w:rsidRDefault="005C4BD0" w:rsidP="00C3113C">
      <w:pPr>
        <w:rPr>
          <w:szCs w:val="22"/>
        </w:rPr>
      </w:pPr>
    </w:p>
    <w:p w:rsidR="00850354" w:rsidRDefault="00850354" w:rsidP="00C3113C">
      <w:pPr>
        <w:rPr>
          <w:szCs w:val="22"/>
        </w:rPr>
      </w:pPr>
      <w:r w:rsidRPr="002003A7">
        <w:rPr>
          <w:szCs w:val="22"/>
        </w:rPr>
        <w:t xml:space="preserve">For individuals who test </w:t>
      </w:r>
      <w:r w:rsidR="005C4BD0" w:rsidRPr="002003A7">
        <w:rPr>
          <w:szCs w:val="22"/>
        </w:rPr>
        <w:t xml:space="preserve">negative for </w:t>
      </w:r>
      <w:r w:rsidRPr="002003A7">
        <w:rPr>
          <w:szCs w:val="22"/>
        </w:rPr>
        <w:t>HIV,</w:t>
      </w:r>
      <w:r w:rsidR="005C4BD0" w:rsidRPr="002003A7">
        <w:rPr>
          <w:szCs w:val="22"/>
        </w:rPr>
        <w:t xml:space="preserve"> and </w:t>
      </w:r>
      <w:r w:rsidR="00761EFF">
        <w:rPr>
          <w:szCs w:val="22"/>
        </w:rPr>
        <w:t xml:space="preserve">only receive </w:t>
      </w:r>
      <w:r w:rsidR="004D734E" w:rsidRPr="002003A7">
        <w:rPr>
          <w:szCs w:val="22"/>
        </w:rPr>
        <w:t xml:space="preserve">prevention </w:t>
      </w:r>
      <w:r w:rsidR="005C4BD0" w:rsidRPr="002003A7">
        <w:rPr>
          <w:szCs w:val="22"/>
        </w:rPr>
        <w:t xml:space="preserve">services, grantees will be asked to </w:t>
      </w:r>
      <w:r w:rsidR="002F326B">
        <w:rPr>
          <w:szCs w:val="22"/>
        </w:rPr>
        <w:t>report</w:t>
      </w:r>
      <w:r w:rsidR="005C4BD0" w:rsidRPr="002003A7">
        <w:rPr>
          <w:szCs w:val="22"/>
        </w:rPr>
        <w:t xml:space="preserve"> a limited number of data points at baseline and at disch</w:t>
      </w:r>
      <w:r w:rsidR="004D734E" w:rsidRPr="002003A7">
        <w:rPr>
          <w:szCs w:val="22"/>
        </w:rPr>
        <w:t xml:space="preserve">arge through the TRAC system.  </w:t>
      </w:r>
    </w:p>
    <w:p w:rsidR="008615FE" w:rsidRDefault="008615FE" w:rsidP="00C3113C">
      <w:pPr>
        <w:rPr>
          <w:szCs w:val="22"/>
        </w:rPr>
      </w:pPr>
    </w:p>
    <w:p w:rsidR="002F326B" w:rsidRDefault="002F326B" w:rsidP="002F326B">
      <w:pPr>
        <w:pStyle w:val="BodyText"/>
      </w:pPr>
      <w:r>
        <w:t xml:space="preserve">For individuals receiving integrated HIV services, data will be reported every six months.  Extending the interval for the reassessments beyond this interval could lead to loss of contact with clients, significantly diminishing the response rates and lowering the value of the data for performance reporting use by losing measurement of intermediate effects.  </w:t>
      </w:r>
    </w:p>
    <w:p w:rsidR="00D52531" w:rsidRPr="002003A7" w:rsidRDefault="00D52531" w:rsidP="00D52531">
      <w:pPr>
        <w:autoSpaceDE w:val="0"/>
        <w:autoSpaceDN w:val="0"/>
        <w:adjustRightInd w:val="0"/>
        <w:rPr>
          <w:szCs w:val="22"/>
        </w:rPr>
      </w:pPr>
    </w:p>
    <w:p w:rsidR="006B6F73" w:rsidRPr="002003A7" w:rsidRDefault="006B6F73" w:rsidP="006B6F73">
      <w:pPr>
        <w:rPr>
          <w:b/>
          <w:szCs w:val="22"/>
        </w:rPr>
      </w:pPr>
      <w:r w:rsidRPr="002003A7">
        <w:rPr>
          <w:b/>
          <w:bCs/>
          <w:szCs w:val="22"/>
        </w:rPr>
        <w:t>A7.</w:t>
      </w:r>
      <w:r w:rsidRPr="002003A7">
        <w:rPr>
          <w:b/>
          <w:szCs w:val="22"/>
        </w:rPr>
        <w:t xml:space="preserve">      Consistency with the Guidelines in 5 </w:t>
      </w:r>
      <w:proofErr w:type="gramStart"/>
      <w:r w:rsidRPr="002003A7">
        <w:rPr>
          <w:b/>
          <w:szCs w:val="22"/>
        </w:rPr>
        <w:t>CFR1320.5(</w:t>
      </w:r>
      <w:proofErr w:type="gramEnd"/>
      <w:r w:rsidRPr="002003A7">
        <w:rPr>
          <w:b/>
          <w:szCs w:val="22"/>
        </w:rPr>
        <w:t>d)(2)</w:t>
      </w:r>
    </w:p>
    <w:p w:rsidR="006B6F73" w:rsidRPr="002003A7" w:rsidRDefault="006B6F73" w:rsidP="006B6F73">
      <w:pPr>
        <w:rPr>
          <w:szCs w:val="22"/>
        </w:rPr>
      </w:pPr>
    </w:p>
    <w:p w:rsidR="006B6F73" w:rsidRPr="002003A7" w:rsidRDefault="006B6F73" w:rsidP="006B6F73">
      <w:pPr>
        <w:rPr>
          <w:szCs w:val="22"/>
        </w:rPr>
      </w:pPr>
      <w:r w:rsidRPr="002003A7">
        <w:rPr>
          <w:szCs w:val="22"/>
        </w:rPr>
        <w:t xml:space="preserve">This information collection fully complies with 5 </w:t>
      </w:r>
      <w:smartTag w:uri="urn:schemas-microsoft-com:office:smarttags" w:element="stockticker">
        <w:r w:rsidRPr="002003A7">
          <w:rPr>
            <w:szCs w:val="22"/>
          </w:rPr>
          <w:t>CFR</w:t>
        </w:r>
      </w:smartTag>
      <w:r w:rsidRPr="002003A7">
        <w:rPr>
          <w:szCs w:val="22"/>
        </w:rPr>
        <w:t xml:space="preserve"> 1320.5(d) (2).</w:t>
      </w:r>
    </w:p>
    <w:p w:rsidR="006B6F73" w:rsidRPr="002003A7" w:rsidRDefault="006B6F73" w:rsidP="006B6F73">
      <w:pPr>
        <w:rPr>
          <w:szCs w:val="22"/>
        </w:rPr>
      </w:pPr>
    </w:p>
    <w:p w:rsidR="006B6F73" w:rsidRPr="002003A7" w:rsidRDefault="006B6F73" w:rsidP="006B6F73">
      <w:pPr>
        <w:ind w:left="540" w:hanging="540"/>
        <w:rPr>
          <w:b/>
          <w:szCs w:val="22"/>
        </w:rPr>
      </w:pPr>
      <w:r w:rsidRPr="002003A7">
        <w:rPr>
          <w:b/>
          <w:szCs w:val="22"/>
        </w:rPr>
        <w:t xml:space="preserve">A8.      </w:t>
      </w:r>
      <w:r w:rsidRPr="002003A7">
        <w:rPr>
          <w:b/>
          <w:bCs/>
          <w:szCs w:val="22"/>
        </w:rPr>
        <w:t xml:space="preserve">Consultation Outside the Agency </w:t>
      </w:r>
    </w:p>
    <w:p w:rsidR="006B6F73" w:rsidRPr="002003A7" w:rsidRDefault="006B6F73" w:rsidP="006B6F73">
      <w:pPr>
        <w:rPr>
          <w:szCs w:val="22"/>
        </w:rPr>
      </w:pPr>
    </w:p>
    <w:p w:rsidR="00B25CCE" w:rsidRPr="00973FF9" w:rsidRDefault="006B6F73" w:rsidP="00B25CCE">
      <w:pPr>
        <w:rPr>
          <w:szCs w:val="22"/>
        </w:rPr>
      </w:pPr>
      <w:r w:rsidRPr="002003A7">
        <w:rPr>
          <w:szCs w:val="22"/>
        </w:rPr>
        <w:t xml:space="preserve">The notice required by 5 </w:t>
      </w:r>
      <w:smartTag w:uri="urn:schemas-microsoft-com:office:smarttags" w:element="stockticker">
        <w:r w:rsidRPr="002003A7">
          <w:rPr>
            <w:szCs w:val="22"/>
          </w:rPr>
          <w:t>CFR</w:t>
        </w:r>
      </w:smartTag>
      <w:r w:rsidRPr="002003A7">
        <w:rPr>
          <w:szCs w:val="22"/>
        </w:rPr>
        <w:t xml:space="preserve"> 1320.8(d) was published in the </w:t>
      </w:r>
      <w:r w:rsidRPr="002003A7">
        <w:rPr>
          <w:i/>
          <w:szCs w:val="22"/>
        </w:rPr>
        <w:t xml:space="preserve">Federal Register </w:t>
      </w:r>
      <w:r w:rsidR="00217426">
        <w:rPr>
          <w:szCs w:val="22"/>
        </w:rPr>
        <w:t xml:space="preserve">on </w:t>
      </w:r>
      <w:r w:rsidR="00462F52">
        <w:rPr>
          <w:szCs w:val="22"/>
        </w:rPr>
        <w:t>April 25, 2014 (79 FR 23000)</w:t>
      </w:r>
      <w:r w:rsidRPr="002003A7">
        <w:rPr>
          <w:szCs w:val="22"/>
        </w:rPr>
        <w:t>.</w:t>
      </w:r>
      <w:r w:rsidRPr="002003A7">
        <w:rPr>
          <w:b/>
          <w:szCs w:val="22"/>
        </w:rPr>
        <w:t xml:space="preserve">  </w:t>
      </w:r>
      <w:r w:rsidR="00462F52" w:rsidRPr="00462F52">
        <w:rPr>
          <w:szCs w:val="22"/>
        </w:rPr>
        <w:t>No comments were received</w:t>
      </w:r>
      <w:r w:rsidRPr="00462F52">
        <w:rPr>
          <w:szCs w:val="22"/>
        </w:rPr>
        <w:t>.</w:t>
      </w:r>
      <w:r w:rsidRPr="002003A7">
        <w:rPr>
          <w:szCs w:val="22"/>
        </w:rPr>
        <w:t xml:space="preserve">  </w:t>
      </w:r>
    </w:p>
    <w:p w:rsidR="00D52531" w:rsidRDefault="00D52531" w:rsidP="00D52531">
      <w:pPr>
        <w:tabs>
          <w:tab w:val="left" w:pos="0"/>
        </w:tabs>
        <w:rPr>
          <w:szCs w:val="22"/>
        </w:rPr>
      </w:pPr>
    </w:p>
    <w:p w:rsidR="00D52531" w:rsidRPr="002C42B7" w:rsidRDefault="00877F0C" w:rsidP="00D52531">
      <w:pPr>
        <w:tabs>
          <w:tab w:val="left" w:pos="0"/>
        </w:tabs>
        <w:rPr>
          <w:b/>
          <w:sz w:val="24"/>
          <w:szCs w:val="24"/>
        </w:rPr>
      </w:pPr>
      <w:r>
        <w:rPr>
          <w:b/>
          <w:sz w:val="24"/>
          <w:szCs w:val="24"/>
        </w:rPr>
        <w:t>A</w:t>
      </w:r>
      <w:r w:rsidR="00D52531" w:rsidRPr="002C42B7">
        <w:rPr>
          <w:b/>
          <w:sz w:val="24"/>
          <w:szCs w:val="24"/>
        </w:rPr>
        <w:t>9. Payment or Gifts to Respondents</w:t>
      </w:r>
    </w:p>
    <w:p w:rsidR="00D52531" w:rsidRDefault="00D52531" w:rsidP="00D52531">
      <w:pPr>
        <w:tabs>
          <w:tab w:val="left" w:pos="0"/>
        </w:tabs>
        <w:rPr>
          <w:szCs w:val="22"/>
        </w:rPr>
      </w:pPr>
    </w:p>
    <w:p w:rsidR="00C3113C" w:rsidRDefault="00C3113C" w:rsidP="00C3113C">
      <w:pPr>
        <w:tabs>
          <w:tab w:val="left" w:pos="0"/>
        </w:tabs>
        <w:rPr>
          <w:szCs w:val="22"/>
        </w:rPr>
      </w:pPr>
      <w:r>
        <w:t>No payments or gifts will be offered or provided to respondents.</w:t>
      </w:r>
    </w:p>
    <w:p w:rsidR="00846F40" w:rsidRDefault="00846F40" w:rsidP="00D52531">
      <w:pPr>
        <w:tabs>
          <w:tab w:val="left" w:pos="0"/>
        </w:tabs>
        <w:rPr>
          <w:b/>
          <w:sz w:val="24"/>
          <w:szCs w:val="24"/>
        </w:rPr>
      </w:pPr>
    </w:p>
    <w:p w:rsidR="00D52531" w:rsidRPr="00A5346D" w:rsidRDefault="00877F0C" w:rsidP="00D52531">
      <w:pPr>
        <w:tabs>
          <w:tab w:val="left" w:pos="0"/>
        </w:tabs>
        <w:rPr>
          <w:b/>
          <w:sz w:val="24"/>
          <w:szCs w:val="24"/>
        </w:rPr>
      </w:pPr>
      <w:r w:rsidRPr="00A5346D">
        <w:rPr>
          <w:b/>
          <w:sz w:val="24"/>
          <w:szCs w:val="24"/>
        </w:rPr>
        <w:t>A</w:t>
      </w:r>
      <w:r w:rsidR="00D52531" w:rsidRPr="00A5346D">
        <w:rPr>
          <w:b/>
          <w:sz w:val="24"/>
          <w:szCs w:val="24"/>
        </w:rPr>
        <w:t xml:space="preserve">10. Assurances of </w:t>
      </w:r>
      <w:r w:rsidR="00A5346D">
        <w:rPr>
          <w:b/>
          <w:sz w:val="24"/>
          <w:szCs w:val="24"/>
        </w:rPr>
        <w:t>Privacy</w:t>
      </w:r>
    </w:p>
    <w:p w:rsidR="00D52531" w:rsidRPr="00A5346D" w:rsidRDefault="00D52531" w:rsidP="00D52531">
      <w:pPr>
        <w:tabs>
          <w:tab w:val="left" w:pos="0"/>
        </w:tabs>
        <w:rPr>
          <w:szCs w:val="22"/>
          <w:highlight w:val="yellow"/>
        </w:rPr>
      </w:pPr>
    </w:p>
    <w:p w:rsidR="00A258AD" w:rsidRDefault="00ED402D" w:rsidP="00A258AD">
      <w:r>
        <w:t xml:space="preserve">This </w:t>
      </w:r>
      <w:r w:rsidR="00A258AD">
        <w:t xml:space="preserve">data collection effort will include sensitive topics such as mental health information, substance abuse information and HIV status.  Participating grantees will be expected to meet the requirements of the HIPAA and its associated Privacy Rule, and for those with substance </w:t>
      </w:r>
      <w:r w:rsidR="00A258AD">
        <w:lastRenderedPageBreak/>
        <w:t xml:space="preserve">use disorders, 42CFR requirements that set the standards for the use and disclosure of an individual’s health/mental health/substance use information. </w:t>
      </w:r>
    </w:p>
    <w:p w:rsidR="006D2B72" w:rsidRDefault="006D2B72" w:rsidP="00734285"/>
    <w:p w:rsidR="006D2B72" w:rsidRDefault="006D2B72" w:rsidP="006D2B72">
      <w:pPr>
        <w:pStyle w:val="BodyText"/>
      </w:pPr>
      <w:r>
        <w:t xml:space="preserve">Individual grant projects use informed consent forms as required and as viewed appropriate by their individual organizations. </w:t>
      </w:r>
    </w:p>
    <w:p w:rsidR="006D2B72" w:rsidRDefault="006D2B72" w:rsidP="006D2B72"/>
    <w:p w:rsidR="006D2B72" w:rsidRDefault="006D2B72" w:rsidP="006D2B72">
      <w:pPr>
        <w:ind w:left="720"/>
      </w:pPr>
      <w:r>
        <w:t xml:space="preserve">The informed consent forms usually contain the following elements: </w:t>
      </w:r>
    </w:p>
    <w:p w:rsidR="006D2B72" w:rsidRDefault="006D2B72" w:rsidP="006D2B72">
      <w:pPr>
        <w:ind w:left="720"/>
      </w:pPr>
    </w:p>
    <w:p w:rsidR="006D2B72" w:rsidRDefault="006D2B72" w:rsidP="006D2B72">
      <w:pPr>
        <w:numPr>
          <w:ilvl w:val="0"/>
          <w:numId w:val="32"/>
        </w:numPr>
        <w:tabs>
          <w:tab w:val="clear" w:pos="720"/>
          <w:tab w:val="num" w:pos="1440"/>
        </w:tabs>
        <w:ind w:left="1440"/>
        <w:contextualSpacing/>
      </w:pPr>
      <w:r>
        <w:t>Explanation of the purpose of the program or research.</w:t>
      </w:r>
    </w:p>
    <w:p w:rsidR="006D2B72" w:rsidRDefault="006D2B72" w:rsidP="006D2B72">
      <w:pPr>
        <w:numPr>
          <w:ilvl w:val="0"/>
          <w:numId w:val="32"/>
        </w:numPr>
        <w:tabs>
          <w:tab w:val="clear" w:pos="720"/>
          <w:tab w:val="num" w:pos="1440"/>
        </w:tabs>
        <w:ind w:left="1440"/>
        <w:contextualSpacing/>
      </w:pPr>
      <w:r>
        <w:t>Expected duration of the subject’s participation.</w:t>
      </w:r>
    </w:p>
    <w:p w:rsidR="006D2B72" w:rsidRDefault="006D2B72" w:rsidP="006D2B72">
      <w:pPr>
        <w:numPr>
          <w:ilvl w:val="0"/>
          <w:numId w:val="32"/>
        </w:numPr>
        <w:tabs>
          <w:tab w:val="clear" w:pos="720"/>
          <w:tab w:val="num" w:pos="1440"/>
        </w:tabs>
        <w:ind w:left="1440"/>
        <w:contextualSpacing/>
      </w:pPr>
      <w:r>
        <w:t>Description of the procedures to be followed.</w:t>
      </w:r>
    </w:p>
    <w:p w:rsidR="006D2B72" w:rsidRDefault="006D2B72" w:rsidP="006D2B72">
      <w:pPr>
        <w:numPr>
          <w:ilvl w:val="0"/>
          <w:numId w:val="32"/>
        </w:numPr>
        <w:tabs>
          <w:tab w:val="clear" w:pos="720"/>
          <w:tab w:val="num" w:pos="1440"/>
        </w:tabs>
        <w:ind w:left="1440"/>
        <w:contextualSpacing/>
      </w:pPr>
      <w:r>
        <w:t>Identification of any procedures which are experimental.</w:t>
      </w:r>
    </w:p>
    <w:p w:rsidR="006D2B72" w:rsidRDefault="006D2B72" w:rsidP="006D2B72">
      <w:pPr>
        <w:numPr>
          <w:ilvl w:val="0"/>
          <w:numId w:val="32"/>
        </w:numPr>
        <w:tabs>
          <w:tab w:val="clear" w:pos="720"/>
          <w:tab w:val="num" w:pos="1440"/>
        </w:tabs>
        <w:ind w:left="1440"/>
        <w:contextualSpacing/>
      </w:pPr>
      <w:r>
        <w:t xml:space="preserve">Description of any reasonably foreseeable risks or discomforts to the subject. </w:t>
      </w:r>
    </w:p>
    <w:p w:rsidR="006D2B72" w:rsidRDefault="006D2B72" w:rsidP="006D2B72">
      <w:pPr>
        <w:numPr>
          <w:ilvl w:val="0"/>
          <w:numId w:val="32"/>
        </w:numPr>
        <w:tabs>
          <w:tab w:val="clear" w:pos="720"/>
          <w:tab w:val="num" w:pos="1440"/>
        </w:tabs>
        <w:ind w:left="1440"/>
        <w:contextualSpacing/>
      </w:pPr>
      <w:r>
        <w:t>Disclosure of appropriate alternative procedures or courses of treatment.</w:t>
      </w:r>
    </w:p>
    <w:p w:rsidR="006D2B72" w:rsidRDefault="006D2B72" w:rsidP="006D2B72">
      <w:pPr>
        <w:numPr>
          <w:ilvl w:val="0"/>
          <w:numId w:val="32"/>
        </w:numPr>
        <w:tabs>
          <w:tab w:val="clear" w:pos="720"/>
          <w:tab w:val="num" w:pos="1440"/>
        </w:tabs>
        <w:ind w:left="1440"/>
        <w:contextualSpacing/>
      </w:pPr>
      <w:r>
        <w:t>Statement describing the extent, if any, to which confidentiality of records identifying the subject will be maintained.</w:t>
      </w:r>
    </w:p>
    <w:p w:rsidR="006D2B72" w:rsidRDefault="006D2B72" w:rsidP="006D2B72">
      <w:pPr>
        <w:numPr>
          <w:ilvl w:val="0"/>
          <w:numId w:val="32"/>
        </w:numPr>
        <w:tabs>
          <w:tab w:val="clear" w:pos="720"/>
          <w:tab w:val="num" w:pos="1440"/>
        </w:tabs>
        <w:ind w:left="1440"/>
        <w:contextualSpacing/>
      </w:pPr>
      <w:r>
        <w:t>Contact names &amp; phone numbers for participants to ask questions about program, participant rights, and injury.</w:t>
      </w:r>
    </w:p>
    <w:p w:rsidR="006D2B72" w:rsidRDefault="006D2B72" w:rsidP="00734285"/>
    <w:p w:rsidR="00846F40" w:rsidRDefault="00846F40" w:rsidP="00734285"/>
    <w:p w:rsidR="00734285" w:rsidRDefault="00734285" w:rsidP="00734285">
      <w:r w:rsidRPr="004B3EE0">
        <w:t>SAMHSA</w:t>
      </w:r>
      <w:r w:rsidR="00A258AD">
        <w:t xml:space="preserve">’s </w:t>
      </w:r>
      <w:r w:rsidR="00217426">
        <w:t>evaluation</w:t>
      </w:r>
      <w:r w:rsidRPr="004B3EE0">
        <w:t xml:space="preserve"> </w:t>
      </w:r>
      <w:r w:rsidR="00217426">
        <w:t>c</w:t>
      </w:r>
      <w:r w:rsidR="00A258AD">
        <w:t>ontractors</w:t>
      </w:r>
      <w:r>
        <w:t xml:space="preserve"> will train</w:t>
      </w:r>
      <w:r w:rsidRPr="004B3EE0">
        <w:t xml:space="preserve"> gra</w:t>
      </w:r>
      <w:r w:rsidR="006D2B72">
        <w:t>ntees on the administration of all data collection instruments</w:t>
      </w:r>
      <w:r w:rsidRPr="004B3EE0">
        <w:t xml:space="preserve">. </w:t>
      </w:r>
      <w:r w:rsidRPr="00B50F33">
        <w:t>In documents</w:t>
      </w:r>
      <w:r>
        <w:t xml:space="preserve"> that contain individual client-level</w:t>
      </w:r>
      <w:r w:rsidRPr="00B50F33">
        <w:t xml:space="preserve"> data, clients will only be identified by </w:t>
      </w:r>
      <w:r>
        <w:t>unique</w:t>
      </w:r>
      <w:r w:rsidRPr="00B50F33">
        <w:t xml:space="preserve"> ID</w:t>
      </w:r>
      <w:r>
        <w:t>s</w:t>
      </w:r>
      <w:r w:rsidRPr="00B50F33">
        <w:t>, which cannot be</w:t>
      </w:r>
      <w:r>
        <w:t xml:space="preserve"> used to re-identify a patient.</w:t>
      </w:r>
    </w:p>
    <w:p w:rsidR="002F326B" w:rsidRDefault="002F326B" w:rsidP="00734285"/>
    <w:p w:rsidR="002F326B" w:rsidRDefault="002F326B" w:rsidP="00734285">
      <w:r>
        <w:t>Specific information relating to each instrument is provided below:</w:t>
      </w:r>
    </w:p>
    <w:p w:rsidR="002F326B" w:rsidRDefault="002F326B" w:rsidP="00734285"/>
    <w:p w:rsidR="006B3252" w:rsidRDefault="006B3252" w:rsidP="006B3252">
      <w:r>
        <w:rPr>
          <w:bCs/>
          <w:color w:val="000000" w:themeColor="text1"/>
        </w:rPr>
        <w:t xml:space="preserve">The </w:t>
      </w:r>
      <w:r w:rsidRPr="00847157">
        <w:t>Combined HIV/Hepatitis Testing Form</w:t>
      </w:r>
      <w:r>
        <w:t xml:space="preserve"> includes questions concerning sensitive information such as the patient’s risk factors, but no personally identifying information is collected.  The form utilizes Client ID numbers that are assigned by the grantee.  Grantees will be instructed that the Client IDs must be randomly generated and that patient IDs, which may be able to re-identify a patient, cannot be used for the Client ID.  Participating programs will retain all patient identifying information and the code by which a specific patient can be identified.  </w:t>
      </w:r>
      <w:r w:rsidRPr="00406124">
        <w:t>The form also contains a grantee provider number for tracking purposes only.</w:t>
      </w:r>
    </w:p>
    <w:p w:rsidR="006B3252" w:rsidRDefault="006B3252" w:rsidP="006B3252"/>
    <w:p w:rsidR="006D2B72" w:rsidRDefault="00B25CCE" w:rsidP="00B25CCE">
      <w:r>
        <w:t xml:space="preserve">Testing forms will be </w:t>
      </w:r>
      <w:r w:rsidRPr="00565F21">
        <w:t xml:space="preserve">stored and compiled by a </w:t>
      </w:r>
      <w:r>
        <w:t xml:space="preserve">yet to be identified </w:t>
      </w:r>
      <w:r w:rsidR="00217426">
        <w:t>evaluation c</w:t>
      </w:r>
      <w:r>
        <w:t xml:space="preserve">ontractor.  </w:t>
      </w:r>
      <w:r w:rsidR="002F326B">
        <w:t>At this time,</w:t>
      </w:r>
      <w:r w:rsidR="00DB5F4C">
        <w:t xml:space="preserve"> SAMHSA </w:t>
      </w:r>
      <w:r w:rsidR="00FC2A11">
        <w:t>anticipate</w:t>
      </w:r>
      <w:r w:rsidR="00DB5F4C">
        <w:t>s</w:t>
      </w:r>
      <w:r w:rsidR="00FC2A11">
        <w:t xml:space="preserve"> that grantees will </w:t>
      </w:r>
      <w:r w:rsidR="006D2B72">
        <w:t xml:space="preserve">be uploaded into a </w:t>
      </w:r>
      <w:r w:rsidR="006D2B72" w:rsidRPr="006D76FA">
        <w:t xml:space="preserve">password-protected online system </w:t>
      </w:r>
      <w:r w:rsidR="00217426">
        <w:t>maintained by the evaluation c</w:t>
      </w:r>
      <w:r w:rsidR="006D2B72">
        <w:t>ontractor</w:t>
      </w:r>
      <w:r w:rsidR="006D2B72" w:rsidRPr="005E6596">
        <w:t xml:space="preserve">. </w:t>
      </w:r>
      <w:r w:rsidR="006D2B72">
        <w:t>Contractor</w:t>
      </w:r>
      <w:r w:rsidR="006D2B72" w:rsidRPr="004B3EE0">
        <w:t xml:space="preserve"> staff </w:t>
      </w:r>
      <w:r w:rsidR="006D2B72">
        <w:t>will upload</w:t>
      </w:r>
      <w:r w:rsidR="006D2B72" w:rsidRPr="004B3EE0">
        <w:t xml:space="preserve"> the data over a secure network connection directly to a server at their headquarters, where the data </w:t>
      </w:r>
      <w:r w:rsidR="006D2B72">
        <w:t>will be</w:t>
      </w:r>
      <w:r w:rsidR="006D2B72" w:rsidRPr="004B3EE0">
        <w:t xml:space="preserve"> encrypted and password protected.</w:t>
      </w:r>
    </w:p>
    <w:p w:rsidR="006D2B72" w:rsidRDefault="006D2B72" w:rsidP="00B25CCE"/>
    <w:p w:rsidR="00B25CCE" w:rsidRDefault="00B25CCE" w:rsidP="00B25CCE">
      <w:r>
        <w:t>Prior to the award of a contract for this work, SAMHSA’s Information Technology Officer will review the contractor’s IT security plan to ensure that it responds to SAMHSA IT Requirements and adequately meets all SAMHSA and Federal Security Plan Requirements.</w:t>
      </w:r>
    </w:p>
    <w:p w:rsidR="00846F40" w:rsidRDefault="00846F40" w:rsidP="001B7104"/>
    <w:p w:rsidR="00846F40" w:rsidRDefault="00C9048C" w:rsidP="006D2B72">
      <w:pPr>
        <w:pStyle w:val="BodyText"/>
      </w:pPr>
      <w:r>
        <w:rPr>
          <w:b/>
        </w:rPr>
        <w:t>Co-located</w:t>
      </w:r>
      <w:r w:rsidR="000236E7">
        <w:rPr>
          <w:b/>
        </w:rPr>
        <w:t xml:space="preserve"> and Integrated Care Tool</w:t>
      </w:r>
      <w:r w:rsidR="00846F40" w:rsidRPr="00846F40">
        <w:rPr>
          <w:b/>
        </w:rPr>
        <w:t xml:space="preserve"> and HIV Indicators</w:t>
      </w:r>
      <w:r w:rsidR="00846F40">
        <w:t xml:space="preserve">. </w:t>
      </w:r>
      <w:r w:rsidR="00261581">
        <w:t xml:space="preserve">All client-level data </w:t>
      </w:r>
      <w:r w:rsidR="00AC36F5">
        <w:t>that will be submitted to the evaluation contractor</w:t>
      </w:r>
      <w:r w:rsidR="00846F40">
        <w:t xml:space="preserve"> </w:t>
      </w:r>
      <w:r w:rsidR="00AC36F5">
        <w:t>will utilize uniq</w:t>
      </w:r>
      <w:r w:rsidR="00846F40">
        <w:t xml:space="preserve">ue ID </w:t>
      </w:r>
      <w:r w:rsidR="00261581">
        <w:t>number</w:t>
      </w:r>
      <w:r w:rsidR="00AC36F5">
        <w:t>s</w:t>
      </w:r>
      <w:r w:rsidR="00261581">
        <w:t xml:space="preserve"> and not by name. Thus,</w:t>
      </w:r>
      <w:r w:rsidR="00846F40">
        <w:t xml:space="preserve">  data cannot be directly linked to a specific</w:t>
      </w:r>
      <w:r w:rsidR="00846F40">
        <w:rPr>
          <w:b/>
          <w:bCs/>
        </w:rPr>
        <w:t xml:space="preserve"> </w:t>
      </w:r>
      <w:r w:rsidR="00846F40">
        <w:t xml:space="preserve">person. The grantee providing the data will maintain the link between the identifier and the name of the </w:t>
      </w:r>
      <w:r w:rsidR="002F326B">
        <w:t>client</w:t>
      </w:r>
      <w:r w:rsidR="00846F40">
        <w:t xml:space="preserve">. The contractor will not have access to existing consumer clinical records, which are under the control of the respondent programs. </w:t>
      </w:r>
      <w:r w:rsidR="00846F40">
        <w:lastRenderedPageBreak/>
        <w:t xml:space="preserve">Neither the contractor nor SAMHSA personnel can link individual </w:t>
      </w:r>
      <w:r w:rsidR="002F326B">
        <w:t>clients</w:t>
      </w:r>
      <w:r w:rsidR="00846F40">
        <w:t xml:space="preserve"> to the data reported by the respondent programs.</w:t>
      </w:r>
    </w:p>
    <w:p w:rsidR="001B7104" w:rsidRDefault="001B7104" w:rsidP="001B7104"/>
    <w:p w:rsidR="008D54FD" w:rsidRDefault="001B7104" w:rsidP="00846F40">
      <w:r w:rsidRPr="004D734E">
        <w:rPr>
          <w:b/>
        </w:rPr>
        <w:t>Confidentiality During the Testing Process</w:t>
      </w:r>
      <w:r>
        <w:t xml:space="preserve">: </w:t>
      </w:r>
      <w:r w:rsidR="008D54FD" w:rsidRPr="005E6596">
        <w:t xml:space="preserve">Grantee staff </w:t>
      </w:r>
      <w:r w:rsidR="008D54FD">
        <w:t xml:space="preserve">members administer </w:t>
      </w:r>
      <w:r w:rsidR="00EF5530">
        <w:t>the Combined HIV/Hepatitis Testing Form and the TRAC Interview</w:t>
      </w:r>
      <w:r w:rsidR="008D54FD">
        <w:t xml:space="preserve"> to individual </w:t>
      </w:r>
      <w:r w:rsidR="008D54FD" w:rsidRPr="005E6596">
        <w:t>client</w:t>
      </w:r>
      <w:r w:rsidR="008D54FD">
        <w:t xml:space="preserve">s </w:t>
      </w:r>
      <w:r w:rsidR="008D54FD" w:rsidRPr="005E6596">
        <w:t>in a private location</w:t>
      </w:r>
      <w:r w:rsidR="008D54FD">
        <w:t xml:space="preserve"> (e.g., an office) </w:t>
      </w:r>
      <w:r w:rsidR="008D54FD" w:rsidRPr="005E6596">
        <w:t xml:space="preserve">to ensure </w:t>
      </w:r>
      <w:r w:rsidR="008D54FD">
        <w:t>privacy</w:t>
      </w:r>
      <w:r w:rsidR="008D54FD" w:rsidRPr="005E6596">
        <w:t>.</w:t>
      </w:r>
      <w:r w:rsidR="008D54FD">
        <w:t xml:space="preserve"> For each question that requires the client’s responses, staff members read the questions and the list of responses to the client and record his or her answers. </w:t>
      </w:r>
      <w:r w:rsidR="00EF5530">
        <w:t>All data collection instruments</w:t>
      </w:r>
      <w:r w:rsidR="008D54FD">
        <w:t xml:space="preserve"> </w:t>
      </w:r>
      <w:r w:rsidR="008D54FD" w:rsidRPr="009D244B">
        <w:t xml:space="preserve">will include the </w:t>
      </w:r>
      <w:r w:rsidR="008D54FD">
        <w:t xml:space="preserve">OMB number, expiration date, and the statement of survey burden. </w:t>
      </w:r>
    </w:p>
    <w:p w:rsidR="00261581" w:rsidRPr="004B3EE0" w:rsidRDefault="00261581" w:rsidP="00846F40"/>
    <w:p w:rsidR="008D54FD" w:rsidRDefault="008D54FD" w:rsidP="00846F40">
      <w:pPr>
        <w:spacing w:after="200"/>
      </w:pPr>
      <w:r w:rsidRPr="004B3EE0">
        <w:t>Contractor staff members are well trained on handling sensitive data</w:t>
      </w:r>
      <w:r w:rsidRPr="005E6596">
        <w:t xml:space="preserve"> and </w:t>
      </w:r>
      <w:r>
        <w:t xml:space="preserve">understand </w:t>
      </w:r>
      <w:r w:rsidRPr="005E6596">
        <w:t xml:space="preserve">the importance of </w:t>
      </w:r>
      <w:r>
        <w:t>privacy</w:t>
      </w:r>
      <w:r w:rsidRPr="005E6596">
        <w:t>.</w:t>
      </w:r>
      <w:r>
        <w:t xml:space="preserve"> As a further precautionary measure, the data being collected have no identifying information that can be linked to the client.</w:t>
      </w:r>
      <w:r w:rsidRPr="005E6596">
        <w:t xml:space="preserve"> In keeping with 45 CFR 46, Protection of Human Subjects</w:t>
      </w:r>
      <w:r w:rsidRPr="005A7873">
        <w:t>,</w:t>
      </w:r>
      <w:r>
        <w:t xml:space="preserve"> </w:t>
      </w:r>
      <w:r w:rsidRPr="005E6596">
        <w:t xml:space="preserve">the procedures for data collection, consent, and data maintenance are formulated to protect respondents’ rights and the </w:t>
      </w:r>
      <w:r>
        <w:t>privacy</w:t>
      </w:r>
      <w:r w:rsidRPr="005E6596">
        <w:t xml:space="preserve"> of information collected. </w:t>
      </w:r>
    </w:p>
    <w:p w:rsidR="008D54FD" w:rsidRDefault="008D54FD" w:rsidP="00846F40">
      <w:pPr>
        <w:spacing w:after="200"/>
      </w:pPr>
      <w:r>
        <w:t xml:space="preserve">SAMHSA’s Information Technology Officer </w:t>
      </w:r>
      <w:r w:rsidR="00EF5530">
        <w:t>will review the evaluation</w:t>
      </w:r>
      <w:r>
        <w:t xml:space="preserve"> contractor’s IT security plan</w:t>
      </w:r>
      <w:r w:rsidRPr="00F82176">
        <w:t xml:space="preserve"> </w:t>
      </w:r>
      <w:r w:rsidR="00EF5530">
        <w:t xml:space="preserve">to ensure that </w:t>
      </w:r>
      <w:r>
        <w:t>it</w:t>
      </w:r>
      <w:r w:rsidRPr="00F82176">
        <w:t xml:space="preserve"> is reasonable, responds to SAMHSA/CSAT’s IT Requirements, </w:t>
      </w:r>
      <w:r>
        <w:t xml:space="preserve">and </w:t>
      </w:r>
      <w:r w:rsidRPr="00F82176">
        <w:t xml:space="preserve">adequately meets all SAMHSA and Federal Security Plan Requirements of the </w:t>
      </w:r>
      <w:r>
        <w:t xml:space="preserve">program. </w:t>
      </w:r>
      <w:r w:rsidRPr="00F82176">
        <w:t xml:space="preserve"> </w:t>
      </w:r>
    </w:p>
    <w:p w:rsidR="008D54FD" w:rsidRDefault="008D54FD" w:rsidP="007C5AFF">
      <w:pPr>
        <w:tabs>
          <w:tab w:val="left" w:pos="0"/>
        </w:tabs>
        <w:rPr>
          <w:noProof/>
          <w:szCs w:val="22"/>
        </w:rPr>
      </w:pPr>
    </w:p>
    <w:p w:rsidR="002E1D01" w:rsidRDefault="002E1D01" w:rsidP="007C5AFF">
      <w:pPr>
        <w:tabs>
          <w:tab w:val="left" w:pos="0"/>
        </w:tabs>
        <w:rPr>
          <w:noProof/>
          <w:szCs w:val="22"/>
        </w:rPr>
      </w:pPr>
    </w:p>
    <w:p w:rsidR="00D52531" w:rsidRPr="002C42B7" w:rsidRDefault="00877F0C" w:rsidP="00D52531">
      <w:pPr>
        <w:tabs>
          <w:tab w:val="left" w:pos="0"/>
        </w:tabs>
        <w:rPr>
          <w:b/>
          <w:sz w:val="24"/>
          <w:szCs w:val="24"/>
        </w:rPr>
      </w:pPr>
      <w:r>
        <w:rPr>
          <w:b/>
          <w:sz w:val="24"/>
          <w:szCs w:val="24"/>
        </w:rPr>
        <w:t>A</w:t>
      </w:r>
      <w:r w:rsidR="00D52531" w:rsidRPr="002C42B7">
        <w:rPr>
          <w:b/>
          <w:sz w:val="24"/>
          <w:szCs w:val="24"/>
        </w:rPr>
        <w:t>11. Questions of a Sensitive Nature</w:t>
      </w:r>
    </w:p>
    <w:p w:rsidR="00D52531" w:rsidRPr="006D7898" w:rsidRDefault="00D52531" w:rsidP="00D52531">
      <w:pPr>
        <w:tabs>
          <w:tab w:val="left" w:pos="0"/>
        </w:tabs>
        <w:rPr>
          <w:szCs w:val="22"/>
        </w:rPr>
      </w:pPr>
    </w:p>
    <w:p w:rsidR="00846F40" w:rsidRDefault="00127519" w:rsidP="00127519">
      <w:pPr>
        <w:pStyle w:val="BodyText"/>
      </w:pPr>
      <w:r>
        <w:t>SAMHSA’s mission is to improve the quality and availability of prevention, early intervention, treatment, and rehabilitation services for substance abuse and mental illnesses, including co-occurring disorders, in order to improve health and reduce illness, death, disability, and cost t</w:t>
      </w:r>
      <w:r w:rsidR="00EF5530">
        <w:t>o society.  The goal of the Co-l</w:t>
      </w:r>
      <w:r>
        <w:t xml:space="preserve">ocation and Integration of HIV Prevention and Medical Care Program is to </w:t>
      </w:r>
      <w:r w:rsidR="00A8698A" w:rsidRPr="00A8698A">
        <w:t>support behavioral health screening, primary prevention, and treatment for racial/ethnic populations at high risk for behavioral health disorders and at high</w:t>
      </w:r>
      <w:r w:rsidR="00846F40">
        <w:t xml:space="preserve"> risk for or living with HIV. </w:t>
      </w:r>
      <w:r>
        <w:t>In carrying out these</w:t>
      </w:r>
      <w:r w:rsidR="00A8698A">
        <w:t xml:space="preserve"> goals,</w:t>
      </w:r>
      <w:r>
        <w:t xml:space="preserve"> it will be necessary for grantees to collect sensitive items such as substance use, information on sexual risk factors for HIV, information on mental health functioning, and hepatitis and HIV status. </w:t>
      </w:r>
    </w:p>
    <w:p w:rsidR="00846F40" w:rsidRDefault="00127519" w:rsidP="00127519">
      <w:pPr>
        <w:pStyle w:val="BodyText"/>
      </w:pPr>
      <w:r>
        <w:t xml:space="preserve">The data that will be submitted by each grantee will </w:t>
      </w:r>
      <w:r w:rsidR="006D2B72">
        <w:t>include</w:t>
      </w:r>
      <w:r>
        <w:t xml:space="preserve"> data that </w:t>
      </w:r>
      <w:r w:rsidR="00846F40">
        <w:t>many of</w:t>
      </w:r>
      <w:r>
        <w:t xml:space="preserve"> the programs are already routinely collecting. This includes </w:t>
      </w:r>
      <w:r w:rsidR="006D2B72">
        <w:t>information</w:t>
      </w:r>
      <w:r>
        <w:t xml:space="preserve"> on </w:t>
      </w:r>
      <w:r w:rsidR="002F326B">
        <w:t>client</w:t>
      </w:r>
      <w:r>
        <w:t xml:space="preserve"> demographics, mental health condition/illness and treatment history, services received, and </w:t>
      </w:r>
      <w:r w:rsidR="002F326B">
        <w:t>client</w:t>
      </w:r>
      <w:r>
        <w:t xml:space="preserve"> outcomes. </w:t>
      </w:r>
      <w:r w:rsidR="00846F40">
        <w:t>The additional information related to H</w:t>
      </w:r>
      <w:r w:rsidR="008615FE">
        <w:t>IV/h</w:t>
      </w:r>
      <w:r w:rsidR="00846F40">
        <w:t>epatitis risk factors and related clinical data are essential to assess the reach and impact of the program.</w:t>
      </w:r>
    </w:p>
    <w:p w:rsidR="00127519" w:rsidRDefault="00846F40" w:rsidP="00127519">
      <w:pPr>
        <w:pStyle w:val="BodyText"/>
      </w:pPr>
      <w:r>
        <w:t xml:space="preserve">Funded projects will utilize </w:t>
      </w:r>
      <w:r w:rsidR="00127519">
        <w:t xml:space="preserve">informed consent </w:t>
      </w:r>
      <w:r>
        <w:t>procedures</w:t>
      </w:r>
      <w:r w:rsidR="00127519">
        <w:t xml:space="preserve"> as required and as viewed appropriate by </w:t>
      </w:r>
      <w:r>
        <w:t>the</w:t>
      </w:r>
      <w:r w:rsidR="00127519">
        <w:t xml:space="preserve"> individual organizations. </w:t>
      </w:r>
    </w:p>
    <w:p w:rsidR="00D52531" w:rsidRPr="00DC52CE" w:rsidRDefault="00D52531" w:rsidP="00D52531">
      <w:pPr>
        <w:tabs>
          <w:tab w:val="left" w:pos="0"/>
        </w:tabs>
        <w:rPr>
          <w:szCs w:val="22"/>
        </w:rPr>
      </w:pPr>
    </w:p>
    <w:p w:rsidR="00D52531" w:rsidRDefault="00877F0C" w:rsidP="00D52531">
      <w:pPr>
        <w:tabs>
          <w:tab w:val="left" w:pos="0"/>
        </w:tabs>
        <w:rPr>
          <w:b/>
          <w:sz w:val="24"/>
          <w:szCs w:val="24"/>
        </w:rPr>
      </w:pPr>
      <w:r w:rsidRPr="00884DE7">
        <w:rPr>
          <w:b/>
          <w:sz w:val="24"/>
          <w:szCs w:val="24"/>
        </w:rPr>
        <w:t>A</w:t>
      </w:r>
      <w:r w:rsidR="00D52531" w:rsidRPr="00884DE7">
        <w:rPr>
          <w:b/>
          <w:sz w:val="24"/>
          <w:szCs w:val="24"/>
        </w:rPr>
        <w:t>12. Estimates of Annualized Burdens and Costs</w:t>
      </w:r>
    </w:p>
    <w:p w:rsidR="00BE608B" w:rsidRDefault="00BE608B" w:rsidP="00D52531">
      <w:pPr>
        <w:tabs>
          <w:tab w:val="left" w:pos="0"/>
        </w:tabs>
        <w:rPr>
          <w:b/>
          <w:sz w:val="24"/>
          <w:szCs w:val="24"/>
        </w:rPr>
      </w:pPr>
    </w:p>
    <w:p w:rsidR="00BE608B" w:rsidRPr="00D1165C" w:rsidRDefault="00BE608B" w:rsidP="00BE608B">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heme="minorEastAsia"/>
          <w:szCs w:val="22"/>
        </w:rPr>
      </w:pPr>
      <w:r w:rsidRPr="00D1165C">
        <w:rPr>
          <w:rFonts w:eastAsiaTheme="minorEastAsia"/>
          <w:szCs w:val="22"/>
        </w:rPr>
        <w:t xml:space="preserve">The total estimated respondent burden is </w:t>
      </w:r>
      <w:r w:rsidR="00AC36F5">
        <w:rPr>
          <w:rFonts w:eastAsiaTheme="minorEastAsia"/>
          <w:szCs w:val="22"/>
        </w:rPr>
        <w:t>1,143</w:t>
      </w:r>
      <w:r w:rsidR="00D1165C" w:rsidRPr="00D1165C">
        <w:rPr>
          <w:rFonts w:eastAsiaTheme="minorEastAsia"/>
          <w:szCs w:val="22"/>
        </w:rPr>
        <w:t xml:space="preserve"> </w:t>
      </w:r>
      <w:r w:rsidRPr="00D1165C">
        <w:rPr>
          <w:rFonts w:eastAsiaTheme="minorEastAsia"/>
          <w:szCs w:val="22"/>
        </w:rPr>
        <w:t xml:space="preserve">hours for the period from September, 2014 through September, 2015.  </w:t>
      </w:r>
      <w:r w:rsidR="00BA78D2">
        <w:rPr>
          <w:szCs w:val="22"/>
        </w:rPr>
        <w:t>Table 4</w:t>
      </w:r>
      <w:r w:rsidRPr="00D1165C">
        <w:rPr>
          <w:szCs w:val="22"/>
        </w:rPr>
        <w:t xml:space="preserve"> below summarizes the annualized respondent burden estimate.  </w:t>
      </w:r>
    </w:p>
    <w:p w:rsidR="00BE608B" w:rsidRPr="00D1165C" w:rsidRDefault="00BE608B" w:rsidP="00BE608B">
      <w:pPr>
        <w:rPr>
          <w:szCs w:val="22"/>
        </w:rPr>
      </w:pPr>
    </w:p>
    <w:p w:rsidR="00847157" w:rsidRPr="00D1165C" w:rsidRDefault="00D35ACD" w:rsidP="00D35ACD">
      <w:pPr>
        <w:pStyle w:val="BodyText2"/>
        <w:spacing w:line="240" w:lineRule="auto"/>
        <w:rPr>
          <w:szCs w:val="22"/>
        </w:rPr>
      </w:pPr>
      <w:r w:rsidRPr="00D1165C">
        <w:rPr>
          <w:szCs w:val="22"/>
        </w:rPr>
        <w:t xml:space="preserve">The annualized cost to respondents is based on the latest publicly available data (May 2012) from the Occupational Employment Statistics Survey (OES), a mail survey that measures </w:t>
      </w:r>
      <w:r w:rsidRPr="00D1165C">
        <w:rPr>
          <w:szCs w:val="22"/>
        </w:rPr>
        <w:lastRenderedPageBreak/>
        <w:t xml:space="preserve">occupational employment for wage and salary workers in non-farm establishments in the US.  The OES collects data from over 1.2 million business establishments through six semiannual panels over a three year period.  It is sponsored by the Department of Labor, Bureau of Labor Statistics, and uses the OMB-required occupational classification system (the Standard Occupational System (SOC).  </w:t>
      </w:r>
    </w:p>
    <w:p w:rsidR="00D52531" w:rsidRPr="003B484C" w:rsidRDefault="00D52531" w:rsidP="00D52531">
      <w:pPr>
        <w:tabs>
          <w:tab w:val="left" w:pos="-1440"/>
        </w:tabs>
      </w:pPr>
    </w:p>
    <w:p w:rsidR="00D52531" w:rsidRDefault="00D52531" w:rsidP="003B484C">
      <w:pPr>
        <w:pStyle w:val="Caption"/>
        <w:keepNext/>
        <w:rPr>
          <w:rFonts w:ascii="Arial" w:hAnsi="Arial" w:cs="Arial"/>
          <w:bCs w:val="0"/>
        </w:rPr>
      </w:pPr>
      <w:proofErr w:type="gramStart"/>
      <w:r w:rsidRPr="003B484C">
        <w:rPr>
          <w:rFonts w:ascii="Arial" w:hAnsi="Arial" w:cs="Arial"/>
        </w:rPr>
        <w:t xml:space="preserve">Table </w:t>
      </w:r>
      <w:r w:rsidR="00BA78D2">
        <w:rPr>
          <w:rFonts w:ascii="Arial" w:hAnsi="Arial" w:cs="Arial"/>
        </w:rPr>
        <w:t>4</w:t>
      </w:r>
      <w:r w:rsidR="00522EFA">
        <w:rPr>
          <w:rFonts w:ascii="Arial" w:hAnsi="Arial" w:cs="Arial"/>
        </w:rPr>
        <w:t>a</w:t>
      </w:r>
      <w:r w:rsidR="00795BA2" w:rsidRPr="003B484C">
        <w:rPr>
          <w:rFonts w:ascii="Arial" w:hAnsi="Arial" w:cs="Arial"/>
        </w:rPr>
        <w:t>.</w:t>
      </w:r>
      <w:proofErr w:type="gramEnd"/>
      <w:r w:rsidRPr="003B484C">
        <w:rPr>
          <w:rFonts w:ascii="Arial" w:hAnsi="Arial" w:cs="Arial"/>
        </w:rPr>
        <w:t xml:space="preserve"> </w:t>
      </w:r>
      <w:r w:rsidRPr="003B484C">
        <w:rPr>
          <w:rFonts w:ascii="Arial" w:hAnsi="Arial" w:cs="Arial"/>
          <w:bCs w:val="0"/>
        </w:rPr>
        <w:t xml:space="preserve">Annualized Estimate of Respondent Burden </w:t>
      </w:r>
    </w:p>
    <w:p w:rsidR="00417EA9" w:rsidRPr="00417EA9" w:rsidRDefault="00417EA9" w:rsidP="00417EA9"/>
    <w:tbl>
      <w:tblPr>
        <w:tblW w:w="4988"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9"/>
        <w:gridCol w:w="1079"/>
        <w:gridCol w:w="903"/>
        <w:gridCol w:w="900"/>
        <w:gridCol w:w="1079"/>
        <w:gridCol w:w="811"/>
        <w:gridCol w:w="720"/>
        <w:gridCol w:w="1079"/>
      </w:tblGrid>
      <w:tr w:rsidR="00EA2D0D" w:rsidRPr="003B484C" w:rsidTr="00C624FD">
        <w:trPr>
          <w:trHeight w:val="844"/>
          <w:tblHeader/>
        </w:trPr>
        <w:tc>
          <w:tcPr>
            <w:tcW w:w="1523" w:type="pct"/>
            <w:shd w:val="clear" w:color="auto" w:fill="606060"/>
            <w:noWrap/>
            <w:vAlign w:val="bottom"/>
          </w:tcPr>
          <w:p w:rsidR="00825D8E" w:rsidRPr="003B484C" w:rsidRDefault="00825D8E" w:rsidP="003B484C">
            <w:pPr>
              <w:keepNext/>
              <w:ind w:right="418"/>
              <w:jc w:val="center"/>
              <w:rPr>
                <w:rFonts w:ascii="Arial Narrow" w:hAnsi="Arial Narrow"/>
                <w:sz w:val="18"/>
                <w:szCs w:val="18"/>
              </w:rPr>
            </w:pPr>
            <w:bookmarkStart w:id="0" w:name="OLE_LINK1"/>
            <w:bookmarkStart w:id="1" w:name="OLE_LINK2"/>
            <w:bookmarkStart w:id="2" w:name="OLE_LINK3"/>
            <w:bookmarkStart w:id="3" w:name="OLE_LINK4"/>
            <w:r w:rsidRPr="003B484C">
              <w:rPr>
                <w:rFonts w:ascii="Arial Narrow" w:hAnsi="Arial Narrow"/>
                <w:b/>
                <w:bCs/>
                <w:color w:val="FFFFFF"/>
                <w:sz w:val="18"/>
                <w:szCs w:val="18"/>
              </w:rPr>
              <w:t>Instrument</w:t>
            </w:r>
          </w:p>
        </w:tc>
        <w:tc>
          <w:tcPr>
            <w:tcW w:w="571" w:type="pct"/>
            <w:shd w:val="clear" w:color="auto" w:fill="606060"/>
            <w:vAlign w:val="bottom"/>
          </w:tcPr>
          <w:p w:rsidR="00825D8E" w:rsidRPr="003B484C" w:rsidRDefault="00825D8E" w:rsidP="00D52531">
            <w:pPr>
              <w:jc w:val="center"/>
              <w:rPr>
                <w:rFonts w:ascii="Arial Narrow" w:hAnsi="Arial Narrow"/>
                <w:sz w:val="18"/>
                <w:szCs w:val="18"/>
              </w:rPr>
            </w:pPr>
            <w:r w:rsidRPr="003B484C">
              <w:rPr>
                <w:rFonts w:ascii="Arial Narrow" w:hAnsi="Arial Narrow"/>
                <w:b/>
                <w:bCs/>
                <w:color w:val="FFFFFF"/>
                <w:sz w:val="18"/>
                <w:szCs w:val="18"/>
              </w:rPr>
              <w:t>Number of Respondents</w:t>
            </w:r>
          </w:p>
        </w:tc>
        <w:tc>
          <w:tcPr>
            <w:tcW w:w="478" w:type="pct"/>
            <w:shd w:val="clear" w:color="auto" w:fill="606060"/>
            <w:vAlign w:val="bottom"/>
          </w:tcPr>
          <w:p w:rsidR="00825D8E" w:rsidRPr="003B484C" w:rsidRDefault="00825D8E" w:rsidP="00D52531">
            <w:pPr>
              <w:jc w:val="center"/>
              <w:rPr>
                <w:rFonts w:ascii="Arial Narrow" w:hAnsi="Arial Narrow"/>
                <w:sz w:val="18"/>
                <w:szCs w:val="18"/>
              </w:rPr>
            </w:pPr>
            <w:r w:rsidRPr="003B484C">
              <w:rPr>
                <w:rFonts w:ascii="Arial Narrow" w:hAnsi="Arial Narrow"/>
                <w:b/>
                <w:bCs/>
                <w:color w:val="FFFFFF"/>
                <w:sz w:val="18"/>
                <w:szCs w:val="18"/>
              </w:rPr>
              <w:t>Number of Responses per Respondent</w:t>
            </w:r>
          </w:p>
        </w:tc>
        <w:tc>
          <w:tcPr>
            <w:tcW w:w="476" w:type="pct"/>
            <w:shd w:val="clear" w:color="auto" w:fill="606060"/>
            <w:vAlign w:val="bottom"/>
          </w:tcPr>
          <w:p w:rsidR="00825D8E" w:rsidRPr="003B484C" w:rsidRDefault="00825D8E" w:rsidP="00D52531">
            <w:pPr>
              <w:jc w:val="center"/>
              <w:rPr>
                <w:rFonts w:ascii="Arial Narrow" w:hAnsi="Arial Narrow"/>
                <w:b/>
                <w:bCs/>
                <w:color w:val="FFFFFF"/>
                <w:sz w:val="18"/>
                <w:szCs w:val="18"/>
              </w:rPr>
            </w:pPr>
            <w:r w:rsidRPr="003B484C">
              <w:rPr>
                <w:rFonts w:ascii="Arial Narrow" w:hAnsi="Arial Narrow"/>
                <w:b/>
                <w:bCs/>
                <w:color w:val="FFFFFF"/>
                <w:sz w:val="18"/>
                <w:szCs w:val="18"/>
              </w:rPr>
              <w:t>Total Number of Responses</w:t>
            </w:r>
          </w:p>
        </w:tc>
        <w:tc>
          <w:tcPr>
            <w:tcW w:w="571" w:type="pct"/>
            <w:shd w:val="clear" w:color="auto" w:fill="606060"/>
            <w:tcMar>
              <w:top w:w="0" w:type="dxa"/>
              <w:left w:w="108" w:type="dxa"/>
              <w:bottom w:w="0" w:type="dxa"/>
              <w:right w:w="108" w:type="dxa"/>
            </w:tcMar>
            <w:vAlign w:val="bottom"/>
          </w:tcPr>
          <w:p w:rsidR="00825D8E" w:rsidRPr="003B484C" w:rsidRDefault="00825D8E" w:rsidP="00D52531">
            <w:pPr>
              <w:jc w:val="center"/>
              <w:rPr>
                <w:rFonts w:ascii="Arial Narrow" w:hAnsi="Arial Narrow"/>
                <w:sz w:val="18"/>
                <w:szCs w:val="18"/>
              </w:rPr>
            </w:pPr>
            <w:r w:rsidRPr="003B484C">
              <w:rPr>
                <w:rFonts w:ascii="Arial Narrow" w:hAnsi="Arial Narrow"/>
                <w:b/>
                <w:bCs/>
                <w:color w:val="FFFFFF"/>
                <w:sz w:val="18"/>
                <w:szCs w:val="18"/>
              </w:rPr>
              <w:t>Hours per Response per Respondent</w:t>
            </w:r>
          </w:p>
        </w:tc>
        <w:tc>
          <w:tcPr>
            <w:tcW w:w="429" w:type="pct"/>
            <w:shd w:val="clear" w:color="auto" w:fill="606060"/>
            <w:tcMar>
              <w:top w:w="0" w:type="dxa"/>
              <w:left w:w="108" w:type="dxa"/>
              <w:bottom w:w="0" w:type="dxa"/>
              <w:right w:w="108" w:type="dxa"/>
            </w:tcMar>
            <w:vAlign w:val="bottom"/>
          </w:tcPr>
          <w:p w:rsidR="00825D8E" w:rsidRPr="003B484C" w:rsidRDefault="00825D8E" w:rsidP="00D52531">
            <w:pPr>
              <w:jc w:val="center"/>
              <w:rPr>
                <w:rFonts w:ascii="Arial Narrow" w:hAnsi="Arial Narrow"/>
                <w:sz w:val="18"/>
                <w:szCs w:val="18"/>
              </w:rPr>
            </w:pPr>
            <w:r w:rsidRPr="003B484C">
              <w:rPr>
                <w:rFonts w:ascii="Arial Narrow" w:hAnsi="Arial Narrow"/>
                <w:b/>
                <w:bCs/>
                <w:color w:val="FFFFFF"/>
                <w:sz w:val="18"/>
                <w:szCs w:val="18"/>
              </w:rPr>
              <w:t>Total Burden Hours</w:t>
            </w:r>
          </w:p>
        </w:tc>
        <w:tc>
          <w:tcPr>
            <w:tcW w:w="381" w:type="pct"/>
            <w:shd w:val="clear" w:color="auto" w:fill="606060"/>
            <w:tcMar>
              <w:top w:w="0" w:type="dxa"/>
              <w:left w:w="108" w:type="dxa"/>
              <w:bottom w:w="0" w:type="dxa"/>
              <w:right w:w="108" w:type="dxa"/>
            </w:tcMar>
            <w:vAlign w:val="bottom"/>
          </w:tcPr>
          <w:p w:rsidR="00825D8E" w:rsidRPr="003B484C" w:rsidRDefault="00825D8E" w:rsidP="00D52531">
            <w:pPr>
              <w:jc w:val="center"/>
              <w:rPr>
                <w:rFonts w:ascii="Arial Narrow" w:hAnsi="Arial Narrow"/>
                <w:sz w:val="18"/>
                <w:szCs w:val="18"/>
                <w:vertAlign w:val="superscript"/>
              </w:rPr>
            </w:pPr>
            <w:r w:rsidRPr="003B484C">
              <w:rPr>
                <w:rFonts w:ascii="Arial Narrow" w:hAnsi="Arial Narrow"/>
                <w:b/>
                <w:bCs/>
                <w:color w:val="FFFFFF"/>
                <w:sz w:val="18"/>
                <w:szCs w:val="18"/>
              </w:rPr>
              <w:t>Hourly Wage Rate</w:t>
            </w:r>
            <w:r w:rsidRPr="003B484C">
              <w:rPr>
                <w:rFonts w:ascii="Arial Narrow" w:hAnsi="Arial Narrow"/>
                <w:b/>
                <w:bCs/>
                <w:color w:val="FFFFFF"/>
                <w:sz w:val="18"/>
                <w:szCs w:val="18"/>
                <w:vertAlign w:val="superscript"/>
              </w:rPr>
              <w:t>1</w:t>
            </w:r>
          </w:p>
        </w:tc>
        <w:tc>
          <w:tcPr>
            <w:tcW w:w="571" w:type="pct"/>
            <w:shd w:val="clear" w:color="auto" w:fill="606060"/>
            <w:tcMar>
              <w:top w:w="0" w:type="dxa"/>
              <w:left w:w="108" w:type="dxa"/>
              <w:bottom w:w="0" w:type="dxa"/>
              <w:right w:w="108" w:type="dxa"/>
            </w:tcMar>
            <w:vAlign w:val="bottom"/>
          </w:tcPr>
          <w:p w:rsidR="00825D8E" w:rsidRPr="003B484C" w:rsidRDefault="00825D8E" w:rsidP="004238F7">
            <w:pPr>
              <w:jc w:val="center"/>
              <w:rPr>
                <w:rFonts w:ascii="Arial Narrow" w:hAnsi="Arial Narrow"/>
                <w:sz w:val="18"/>
                <w:szCs w:val="18"/>
              </w:rPr>
            </w:pPr>
            <w:r w:rsidRPr="003B484C">
              <w:rPr>
                <w:rFonts w:ascii="Arial Narrow" w:hAnsi="Arial Narrow"/>
                <w:b/>
                <w:bCs/>
                <w:color w:val="FFFFFF"/>
                <w:sz w:val="18"/>
                <w:szCs w:val="18"/>
              </w:rPr>
              <w:t xml:space="preserve">Total Cost </w:t>
            </w:r>
          </w:p>
        </w:tc>
      </w:tr>
      <w:tr w:rsidR="003F281B" w:rsidRPr="003B484C" w:rsidTr="00C624FD">
        <w:trPr>
          <w:trHeight w:val="245"/>
        </w:trPr>
        <w:tc>
          <w:tcPr>
            <w:tcW w:w="1523" w:type="pct"/>
            <w:noWrap/>
            <w:vAlign w:val="center"/>
          </w:tcPr>
          <w:p w:rsidR="003F281B" w:rsidRPr="00D1165C" w:rsidRDefault="003F281B" w:rsidP="00D1165C">
            <w:pPr>
              <w:rPr>
                <w:rFonts w:ascii="Arial Narrow" w:hAnsi="Arial Narrow"/>
                <w:b/>
                <w:sz w:val="16"/>
                <w:szCs w:val="16"/>
              </w:rPr>
            </w:pPr>
          </w:p>
        </w:tc>
        <w:tc>
          <w:tcPr>
            <w:tcW w:w="571" w:type="pct"/>
            <w:noWrap/>
            <w:vAlign w:val="center"/>
          </w:tcPr>
          <w:p w:rsidR="003F281B" w:rsidRPr="00D1165C" w:rsidRDefault="003F281B" w:rsidP="00E23F20">
            <w:pPr>
              <w:jc w:val="center"/>
              <w:rPr>
                <w:rFonts w:ascii="Arial Narrow" w:hAnsi="Arial Narrow"/>
                <w:sz w:val="16"/>
                <w:szCs w:val="16"/>
              </w:rPr>
            </w:pPr>
          </w:p>
        </w:tc>
        <w:tc>
          <w:tcPr>
            <w:tcW w:w="478" w:type="pct"/>
            <w:noWrap/>
            <w:vAlign w:val="center"/>
          </w:tcPr>
          <w:p w:rsidR="003F281B" w:rsidRPr="00D1165C" w:rsidRDefault="003F281B" w:rsidP="00D52531">
            <w:pPr>
              <w:jc w:val="center"/>
              <w:rPr>
                <w:rFonts w:ascii="Arial Narrow" w:hAnsi="Arial Narrow"/>
                <w:sz w:val="16"/>
                <w:szCs w:val="16"/>
              </w:rPr>
            </w:pPr>
          </w:p>
        </w:tc>
        <w:tc>
          <w:tcPr>
            <w:tcW w:w="476" w:type="pct"/>
            <w:vAlign w:val="center"/>
          </w:tcPr>
          <w:p w:rsidR="003F281B" w:rsidRPr="00D1165C" w:rsidRDefault="003F281B" w:rsidP="00E23F20">
            <w:pPr>
              <w:jc w:val="center"/>
              <w:rPr>
                <w:rFonts w:ascii="Arial Narrow" w:hAnsi="Arial Narrow"/>
                <w:sz w:val="16"/>
                <w:szCs w:val="16"/>
              </w:rPr>
            </w:pPr>
          </w:p>
        </w:tc>
        <w:tc>
          <w:tcPr>
            <w:tcW w:w="571" w:type="pct"/>
            <w:tcMar>
              <w:top w:w="0" w:type="dxa"/>
              <w:left w:w="108" w:type="dxa"/>
              <w:bottom w:w="0" w:type="dxa"/>
              <w:right w:w="108" w:type="dxa"/>
            </w:tcMar>
            <w:vAlign w:val="center"/>
          </w:tcPr>
          <w:p w:rsidR="003F281B" w:rsidRPr="00D1165C" w:rsidRDefault="003F281B" w:rsidP="00825D8E">
            <w:pPr>
              <w:jc w:val="center"/>
              <w:rPr>
                <w:rFonts w:ascii="Arial Narrow" w:hAnsi="Arial Narrow"/>
                <w:sz w:val="16"/>
                <w:szCs w:val="16"/>
              </w:rPr>
            </w:pPr>
          </w:p>
        </w:tc>
        <w:tc>
          <w:tcPr>
            <w:tcW w:w="429" w:type="pct"/>
            <w:noWrap/>
            <w:tcMar>
              <w:top w:w="0" w:type="dxa"/>
              <w:left w:w="108" w:type="dxa"/>
              <w:bottom w:w="0" w:type="dxa"/>
              <w:right w:w="108" w:type="dxa"/>
            </w:tcMar>
            <w:vAlign w:val="center"/>
          </w:tcPr>
          <w:p w:rsidR="003F281B" w:rsidRPr="00D1165C" w:rsidRDefault="003F281B" w:rsidP="00E23F20">
            <w:pPr>
              <w:jc w:val="center"/>
              <w:rPr>
                <w:rFonts w:ascii="Arial Narrow" w:hAnsi="Arial Narrow"/>
                <w:sz w:val="16"/>
                <w:szCs w:val="16"/>
              </w:rPr>
            </w:pPr>
          </w:p>
        </w:tc>
        <w:tc>
          <w:tcPr>
            <w:tcW w:w="381" w:type="pct"/>
            <w:noWrap/>
            <w:tcMar>
              <w:top w:w="0" w:type="dxa"/>
              <w:left w:w="108" w:type="dxa"/>
              <w:bottom w:w="0" w:type="dxa"/>
              <w:right w:w="108" w:type="dxa"/>
            </w:tcMar>
            <w:vAlign w:val="center"/>
          </w:tcPr>
          <w:p w:rsidR="003F281B" w:rsidRPr="00D1165C" w:rsidRDefault="003F281B" w:rsidP="00D52531">
            <w:pPr>
              <w:jc w:val="center"/>
              <w:rPr>
                <w:rFonts w:ascii="Arial Narrow" w:hAnsi="Arial Narrow"/>
                <w:sz w:val="16"/>
                <w:szCs w:val="16"/>
              </w:rPr>
            </w:pPr>
          </w:p>
        </w:tc>
        <w:tc>
          <w:tcPr>
            <w:tcW w:w="571" w:type="pct"/>
            <w:noWrap/>
            <w:tcMar>
              <w:top w:w="0" w:type="dxa"/>
              <w:left w:w="108" w:type="dxa"/>
              <w:bottom w:w="0" w:type="dxa"/>
              <w:right w:w="108" w:type="dxa"/>
            </w:tcMar>
            <w:vAlign w:val="center"/>
          </w:tcPr>
          <w:p w:rsidR="003F281B" w:rsidRPr="00D1165C" w:rsidRDefault="003F281B" w:rsidP="00C624FD">
            <w:pPr>
              <w:jc w:val="center"/>
              <w:rPr>
                <w:rFonts w:ascii="Arial Narrow" w:hAnsi="Arial Narrow"/>
                <w:sz w:val="16"/>
                <w:szCs w:val="16"/>
              </w:rPr>
            </w:pPr>
          </w:p>
        </w:tc>
      </w:tr>
      <w:tr w:rsidR="00EA2D0D" w:rsidRPr="003B484C" w:rsidTr="00C624FD">
        <w:trPr>
          <w:trHeight w:val="245"/>
        </w:trPr>
        <w:tc>
          <w:tcPr>
            <w:tcW w:w="1523" w:type="pct"/>
            <w:noWrap/>
            <w:vAlign w:val="center"/>
          </w:tcPr>
          <w:p w:rsidR="00EE7875" w:rsidRPr="00D1165C" w:rsidRDefault="004F01F2" w:rsidP="00D1165C">
            <w:pPr>
              <w:rPr>
                <w:rFonts w:ascii="Arial Narrow" w:hAnsi="Arial Narrow"/>
                <w:b/>
                <w:sz w:val="16"/>
                <w:szCs w:val="16"/>
              </w:rPr>
            </w:pPr>
            <w:r w:rsidRPr="00D1165C">
              <w:rPr>
                <w:rFonts w:ascii="Arial Narrow" w:hAnsi="Arial Narrow"/>
                <w:b/>
                <w:sz w:val="16"/>
                <w:szCs w:val="16"/>
              </w:rPr>
              <w:t>HIV Testing Form</w:t>
            </w:r>
            <w:r w:rsidR="00EA2D0D" w:rsidRPr="00D1165C">
              <w:rPr>
                <w:rFonts w:ascii="Arial Narrow" w:hAnsi="Arial Narrow"/>
                <w:b/>
                <w:sz w:val="16"/>
                <w:szCs w:val="16"/>
              </w:rPr>
              <w:t xml:space="preserve"> </w:t>
            </w:r>
          </w:p>
        </w:tc>
        <w:tc>
          <w:tcPr>
            <w:tcW w:w="571" w:type="pct"/>
            <w:noWrap/>
            <w:vAlign w:val="center"/>
          </w:tcPr>
          <w:p w:rsidR="00EE7875" w:rsidRPr="00D1165C" w:rsidRDefault="00973FF9" w:rsidP="00E23F20">
            <w:pPr>
              <w:jc w:val="center"/>
              <w:rPr>
                <w:rFonts w:ascii="Arial Narrow" w:hAnsi="Arial Narrow"/>
                <w:sz w:val="16"/>
                <w:szCs w:val="16"/>
              </w:rPr>
            </w:pPr>
            <w:r>
              <w:rPr>
                <w:rFonts w:ascii="Arial Narrow" w:hAnsi="Arial Narrow"/>
                <w:sz w:val="16"/>
                <w:szCs w:val="16"/>
              </w:rPr>
              <w:t>5</w:t>
            </w:r>
            <w:r w:rsidR="0014789C">
              <w:rPr>
                <w:rFonts w:ascii="Arial Narrow" w:hAnsi="Arial Narrow"/>
                <w:sz w:val="16"/>
                <w:szCs w:val="16"/>
              </w:rPr>
              <w:t>,</w:t>
            </w:r>
            <w:r>
              <w:rPr>
                <w:rFonts w:ascii="Arial Narrow" w:hAnsi="Arial Narrow"/>
                <w:sz w:val="16"/>
                <w:szCs w:val="16"/>
              </w:rPr>
              <w:t>000</w:t>
            </w:r>
          </w:p>
        </w:tc>
        <w:tc>
          <w:tcPr>
            <w:tcW w:w="478" w:type="pct"/>
            <w:noWrap/>
            <w:vAlign w:val="center"/>
          </w:tcPr>
          <w:p w:rsidR="00EE7875" w:rsidRPr="00D1165C" w:rsidRDefault="00DA19B0" w:rsidP="00D52531">
            <w:pPr>
              <w:jc w:val="center"/>
              <w:rPr>
                <w:rFonts w:ascii="Arial Narrow" w:hAnsi="Arial Narrow"/>
                <w:sz w:val="16"/>
                <w:szCs w:val="16"/>
              </w:rPr>
            </w:pPr>
            <w:r w:rsidRPr="00D1165C">
              <w:rPr>
                <w:rFonts w:ascii="Arial Narrow" w:hAnsi="Arial Narrow"/>
                <w:sz w:val="16"/>
                <w:szCs w:val="16"/>
              </w:rPr>
              <w:t>1</w:t>
            </w:r>
          </w:p>
        </w:tc>
        <w:tc>
          <w:tcPr>
            <w:tcW w:w="476" w:type="pct"/>
            <w:vAlign w:val="center"/>
          </w:tcPr>
          <w:p w:rsidR="00EE7875" w:rsidRPr="00D1165C" w:rsidRDefault="00973FF9" w:rsidP="00E23F20">
            <w:pPr>
              <w:jc w:val="center"/>
              <w:rPr>
                <w:rFonts w:ascii="Arial Narrow" w:hAnsi="Arial Narrow"/>
                <w:sz w:val="16"/>
                <w:szCs w:val="16"/>
              </w:rPr>
            </w:pPr>
            <w:r>
              <w:rPr>
                <w:rFonts w:ascii="Arial Narrow" w:hAnsi="Arial Narrow"/>
                <w:sz w:val="16"/>
                <w:szCs w:val="16"/>
              </w:rPr>
              <w:t>5</w:t>
            </w:r>
            <w:r w:rsidR="0014789C">
              <w:rPr>
                <w:rFonts w:ascii="Arial Narrow" w:hAnsi="Arial Narrow"/>
                <w:sz w:val="16"/>
                <w:szCs w:val="16"/>
              </w:rPr>
              <w:t>,</w:t>
            </w:r>
            <w:r>
              <w:rPr>
                <w:rFonts w:ascii="Arial Narrow" w:hAnsi="Arial Narrow"/>
                <w:sz w:val="16"/>
                <w:szCs w:val="16"/>
              </w:rPr>
              <w:t>000</w:t>
            </w:r>
          </w:p>
        </w:tc>
        <w:tc>
          <w:tcPr>
            <w:tcW w:w="571" w:type="pct"/>
            <w:tcMar>
              <w:top w:w="0" w:type="dxa"/>
              <w:left w:w="108" w:type="dxa"/>
              <w:bottom w:w="0" w:type="dxa"/>
              <w:right w:w="108" w:type="dxa"/>
            </w:tcMar>
            <w:vAlign w:val="center"/>
          </w:tcPr>
          <w:p w:rsidR="00EE7875" w:rsidRPr="00D1165C" w:rsidRDefault="00EA2D0D" w:rsidP="00825D8E">
            <w:pPr>
              <w:jc w:val="center"/>
              <w:rPr>
                <w:rFonts w:ascii="Arial Narrow" w:hAnsi="Arial Narrow"/>
                <w:sz w:val="16"/>
                <w:szCs w:val="16"/>
              </w:rPr>
            </w:pPr>
            <w:r w:rsidRPr="00D1165C">
              <w:rPr>
                <w:rFonts w:ascii="Arial Narrow" w:hAnsi="Arial Narrow"/>
                <w:sz w:val="16"/>
                <w:szCs w:val="16"/>
              </w:rPr>
              <w:t>0</w:t>
            </w:r>
            <w:r w:rsidR="004F01F2" w:rsidRPr="00D1165C">
              <w:rPr>
                <w:rFonts w:ascii="Arial Narrow" w:hAnsi="Arial Narrow"/>
                <w:sz w:val="16"/>
                <w:szCs w:val="16"/>
              </w:rPr>
              <w:t>.</w:t>
            </w:r>
            <w:r w:rsidR="003D6CB7">
              <w:rPr>
                <w:rFonts w:ascii="Arial Narrow" w:hAnsi="Arial Narrow"/>
                <w:sz w:val="16"/>
                <w:szCs w:val="16"/>
              </w:rPr>
              <w:t>13</w:t>
            </w:r>
          </w:p>
        </w:tc>
        <w:tc>
          <w:tcPr>
            <w:tcW w:w="429" w:type="pct"/>
            <w:noWrap/>
            <w:tcMar>
              <w:top w:w="0" w:type="dxa"/>
              <w:left w:w="108" w:type="dxa"/>
              <w:bottom w:w="0" w:type="dxa"/>
              <w:right w:w="108" w:type="dxa"/>
            </w:tcMar>
            <w:vAlign w:val="center"/>
          </w:tcPr>
          <w:p w:rsidR="00EE7875" w:rsidRPr="00D1165C" w:rsidRDefault="003D6CB7" w:rsidP="00E23F20">
            <w:pPr>
              <w:jc w:val="center"/>
              <w:rPr>
                <w:rFonts w:ascii="Arial Narrow" w:hAnsi="Arial Narrow"/>
                <w:sz w:val="16"/>
                <w:szCs w:val="16"/>
              </w:rPr>
            </w:pPr>
            <w:r>
              <w:rPr>
                <w:rFonts w:ascii="Arial Narrow" w:hAnsi="Arial Narrow"/>
                <w:sz w:val="16"/>
                <w:szCs w:val="16"/>
              </w:rPr>
              <w:t>650</w:t>
            </w:r>
          </w:p>
        </w:tc>
        <w:tc>
          <w:tcPr>
            <w:tcW w:w="381" w:type="pct"/>
            <w:noWrap/>
            <w:tcMar>
              <w:top w:w="0" w:type="dxa"/>
              <w:left w:w="108" w:type="dxa"/>
              <w:bottom w:w="0" w:type="dxa"/>
              <w:right w:w="108" w:type="dxa"/>
            </w:tcMar>
            <w:vAlign w:val="center"/>
          </w:tcPr>
          <w:p w:rsidR="00EE7875" w:rsidRPr="00D1165C" w:rsidRDefault="00EA2D0D" w:rsidP="00D52531">
            <w:pPr>
              <w:jc w:val="center"/>
              <w:rPr>
                <w:rFonts w:ascii="Arial Narrow" w:hAnsi="Arial Narrow"/>
                <w:sz w:val="16"/>
                <w:szCs w:val="16"/>
              </w:rPr>
            </w:pPr>
            <w:r w:rsidRPr="00D1165C">
              <w:rPr>
                <w:rFonts w:ascii="Arial Narrow" w:hAnsi="Arial Narrow"/>
                <w:sz w:val="16"/>
                <w:szCs w:val="16"/>
              </w:rPr>
              <w:t>$22.01</w:t>
            </w:r>
          </w:p>
        </w:tc>
        <w:tc>
          <w:tcPr>
            <w:tcW w:w="571" w:type="pct"/>
            <w:noWrap/>
            <w:tcMar>
              <w:top w:w="0" w:type="dxa"/>
              <w:left w:w="108" w:type="dxa"/>
              <w:bottom w:w="0" w:type="dxa"/>
              <w:right w:w="108" w:type="dxa"/>
            </w:tcMar>
            <w:vAlign w:val="center"/>
          </w:tcPr>
          <w:p w:rsidR="00EE7875" w:rsidRPr="00D1165C" w:rsidRDefault="00EE7875" w:rsidP="00C624FD">
            <w:pPr>
              <w:jc w:val="center"/>
              <w:rPr>
                <w:rFonts w:ascii="Arial Narrow" w:hAnsi="Arial Narrow"/>
                <w:sz w:val="16"/>
                <w:szCs w:val="16"/>
              </w:rPr>
            </w:pPr>
            <w:r w:rsidRPr="00D1165C">
              <w:rPr>
                <w:rFonts w:ascii="Arial Narrow" w:hAnsi="Arial Narrow"/>
                <w:sz w:val="16"/>
                <w:szCs w:val="16"/>
              </w:rPr>
              <w:t>$</w:t>
            </w:r>
            <w:r w:rsidR="003D6CB7">
              <w:rPr>
                <w:rFonts w:ascii="Arial Narrow" w:hAnsi="Arial Narrow"/>
                <w:sz w:val="16"/>
                <w:szCs w:val="16"/>
              </w:rPr>
              <w:t>14,307</w:t>
            </w:r>
          </w:p>
        </w:tc>
      </w:tr>
      <w:tr w:rsidR="00EA2D0D" w:rsidRPr="003B484C" w:rsidTr="00C624FD">
        <w:trPr>
          <w:trHeight w:val="245"/>
        </w:trPr>
        <w:tc>
          <w:tcPr>
            <w:tcW w:w="1523" w:type="pct"/>
            <w:noWrap/>
            <w:vAlign w:val="center"/>
          </w:tcPr>
          <w:p w:rsidR="00EA2D0D" w:rsidRPr="00D1165C" w:rsidRDefault="00EA2D0D" w:rsidP="00D1165C">
            <w:pPr>
              <w:rPr>
                <w:rFonts w:ascii="Arial Narrow" w:hAnsi="Arial Narrow"/>
                <w:sz w:val="16"/>
                <w:szCs w:val="16"/>
              </w:rPr>
            </w:pPr>
          </w:p>
        </w:tc>
        <w:tc>
          <w:tcPr>
            <w:tcW w:w="571" w:type="pct"/>
            <w:noWrap/>
          </w:tcPr>
          <w:p w:rsidR="00EA2D0D" w:rsidRPr="00D1165C" w:rsidRDefault="00EA2D0D" w:rsidP="00E23F20">
            <w:pPr>
              <w:jc w:val="center"/>
              <w:rPr>
                <w:rFonts w:ascii="Arial Narrow" w:hAnsi="Arial Narrow"/>
                <w:sz w:val="16"/>
                <w:szCs w:val="16"/>
              </w:rPr>
            </w:pPr>
          </w:p>
        </w:tc>
        <w:tc>
          <w:tcPr>
            <w:tcW w:w="478" w:type="pct"/>
            <w:shd w:val="clear" w:color="auto" w:fill="F2F2F2" w:themeFill="background1" w:themeFillShade="F2"/>
            <w:noWrap/>
            <w:vAlign w:val="center"/>
          </w:tcPr>
          <w:p w:rsidR="00EA2D0D" w:rsidRPr="00D1165C" w:rsidRDefault="00EA2D0D" w:rsidP="00D52531">
            <w:pPr>
              <w:jc w:val="center"/>
              <w:rPr>
                <w:rFonts w:ascii="Arial Narrow" w:hAnsi="Arial Narrow"/>
                <w:sz w:val="16"/>
                <w:szCs w:val="16"/>
              </w:rPr>
            </w:pPr>
          </w:p>
        </w:tc>
        <w:tc>
          <w:tcPr>
            <w:tcW w:w="476" w:type="pct"/>
            <w:shd w:val="clear" w:color="auto" w:fill="F2F2F2" w:themeFill="background1" w:themeFillShade="F2"/>
            <w:vAlign w:val="center"/>
          </w:tcPr>
          <w:p w:rsidR="00EA2D0D" w:rsidRPr="00D1165C" w:rsidRDefault="00EA2D0D" w:rsidP="00E23F20">
            <w:pPr>
              <w:jc w:val="center"/>
              <w:rPr>
                <w:rFonts w:ascii="Arial Narrow" w:hAnsi="Arial Narrow"/>
                <w:sz w:val="16"/>
                <w:szCs w:val="16"/>
              </w:rPr>
            </w:pPr>
          </w:p>
        </w:tc>
        <w:tc>
          <w:tcPr>
            <w:tcW w:w="571" w:type="pct"/>
            <w:shd w:val="clear" w:color="auto" w:fill="F2F2F2" w:themeFill="background1" w:themeFillShade="F2"/>
            <w:tcMar>
              <w:top w:w="0" w:type="dxa"/>
              <w:left w:w="108" w:type="dxa"/>
              <w:bottom w:w="0" w:type="dxa"/>
              <w:right w:w="108" w:type="dxa"/>
            </w:tcMar>
            <w:vAlign w:val="center"/>
          </w:tcPr>
          <w:p w:rsidR="00EA2D0D" w:rsidRPr="00D1165C" w:rsidRDefault="00EA2D0D" w:rsidP="00825D8E">
            <w:pPr>
              <w:jc w:val="center"/>
              <w:rPr>
                <w:rFonts w:ascii="Arial Narrow" w:hAnsi="Arial Narrow"/>
                <w:sz w:val="16"/>
                <w:szCs w:val="16"/>
              </w:rPr>
            </w:pPr>
          </w:p>
        </w:tc>
        <w:tc>
          <w:tcPr>
            <w:tcW w:w="429" w:type="pct"/>
            <w:shd w:val="clear" w:color="auto" w:fill="F2F2F2" w:themeFill="background1" w:themeFillShade="F2"/>
            <w:noWrap/>
            <w:tcMar>
              <w:top w:w="0" w:type="dxa"/>
              <w:left w:w="108" w:type="dxa"/>
              <w:bottom w:w="0" w:type="dxa"/>
              <w:right w:w="108" w:type="dxa"/>
            </w:tcMar>
            <w:vAlign w:val="center"/>
          </w:tcPr>
          <w:p w:rsidR="00EA2D0D" w:rsidRPr="00D1165C" w:rsidRDefault="00EA2D0D" w:rsidP="00E23F20">
            <w:pPr>
              <w:jc w:val="center"/>
              <w:rPr>
                <w:rFonts w:ascii="Arial Narrow" w:hAnsi="Arial Narrow"/>
                <w:sz w:val="16"/>
                <w:szCs w:val="16"/>
              </w:rPr>
            </w:pPr>
          </w:p>
        </w:tc>
        <w:tc>
          <w:tcPr>
            <w:tcW w:w="381" w:type="pct"/>
            <w:shd w:val="clear" w:color="auto" w:fill="F2F2F2" w:themeFill="background1" w:themeFillShade="F2"/>
            <w:noWrap/>
            <w:tcMar>
              <w:top w:w="0" w:type="dxa"/>
              <w:left w:w="108" w:type="dxa"/>
              <w:bottom w:w="0" w:type="dxa"/>
              <w:right w:w="108" w:type="dxa"/>
            </w:tcMar>
            <w:vAlign w:val="center"/>
          </w:tcPr>
          <w:p w:rsidR="00EA2D0D" w:rsidRPr="00D1165C" w:rsidRDefault="00EA2D0D" w:rsidP="00D52531">
            <w:pPr>
              <w:jc w:val="center"/>
              <w:rPr>
                <w:rFonts w:ascii="Arial Narrow" w:hAnsi="Arial Narrow"/>
                <w:sz w:val="16"/>
                <w:szCs w:val="16"/>
              </w:rPr>
            </w:pPr>
          </w:p>
        </w:tc>
        <w:tc>
          <w:tcPr>
            <w:tcW w:w="571" w:type="pct"/>
            <w:shd w:val="clear" w:color="auto" w:fill="F2F2F2" w:themeFill="background1" w:themeFillShade="F2"/>
            <w:noWrap/>
            <w:tcMar>
              <w:top w:w="0" w:type="dxa"/>
              <w:left w:w="108" w:type="dxa"/>
              <w:bottom w:w="0" w:type="dxa"/>
              <w:right w:w="108" w:type="dxa"/>
            </w:tcMar>
            <w:vAlign w:val="center"/>
          </w:tcPr>
          <w:p w:rsidR="00EA2D0D" w:rsidRPr="00D1165C" w:rsidRDefault="00EA2D0D" w:rsidP="008C1AC9">
            <w:pPr>
              <w:jc w:val="center"/>
              <w:rPr>
                <w:rFonts w:ascii="Arial Narrow" w:hAnsi="Arial Narrow"/>
                <w:sz w:val="16"/>
                <w:szCs w:val="16"/>
              </w:rPr>
            </w:pPr>
          </w:p>
        </w:tc>
      </w:tr>
      <w:tr w:rsidR="00EA2D0D" w:rsidRPr="003B484C" w:rsidTr="00EA2D0D">
        <w:trPr>
          <w:trHeight w:val="245"/>
        </w:trPr>
        <w:tc>
          <w:tcPr>
            <w:tcW w:w="5000" w:type="pct"/>
            <w:gridSpan w:val="8"/>
            <w:noWrap/>
            <w:vAlign w:val="center"/>
          </w:tcPr>
          <w:p w:rsidR="00EA2D0D" w:rsidRPr="00D1165C" w:rsidRDefault="00C9048C" w:rsidP="00D1165C">
            <w:pPr>
              <w:rPr>
                <w:rFonts w:ascii="Arial Narrow" w:hAnsi="Arial Narrow"/>
                <w:b/>
                <w:sz w:val="16"/>
                <w:szCs w:val="16"/>
              </w:rPr>
            </w:pPr>
            <w:r>
              <w:rPr>
                <w:rFonts w:ascii="Arial Narrow" w:hAnsi="Arial Narrow"/>
                <w:b/>
                <w:sz w:val="16"/>
                <w:szCs w:val="16"/>
              </w:rPr>
              <w:t>Co-located</w:t>
            </w:r>
            <w:r w:rsidR="000236E7">
              <w:rPr>
                <w:rFonts w:ascii="Arial Narrow" w:hAnsi="Arial Narrow"/>
                <w:b/>
                <w:sz w:val="16"/>
                <w:szCs w:val="16"/>
              </w:rPr>
              <w:t xml:space="preserve"> and Integrated Care Tool</w:t>
            </w:r>
            <w:r w:rsidR="00EA2D0D" w:rsidRPr="00D1165C">
              <w:rPr>
                <w:rFonts w:ascii="Arial Narrow" w:hAnsi="Arial Narrow"/>
                <w:b/>
                <w:sz w:val="16"/>
                <w:szCs w:val="16"/>
              </w:rPr>
              <w:t>- Baseline</w:t>
            </w:r>
          </w:p>
        </w:tc>
      </w:tr>
      <w:tr w:rsidR="00C624FD" w:rsidRPr="003B484C" w:rsidTr="00C624FD">
        <w:trPr>
          <w:trHeight w:val="245"/>
        </w:trPr>
        <w:tc>
          <w:tcPr>
            <w:tcW w:w="1523" w:type="pct"/>
            <w:noWrap/>
            <w:vAlign w:val="center"/>
          </w:tcPr>
          <w:p w:rsidR="00C624FD" w:rsidRPr="00D1165C" w:rsidRDefault="00C624FD" w:rsidP="00D1165C">
            <w:pPr>
              <w:rPr>
                <w:rFonts w:ascii="Arial Narrow" w:hAnsi="Arial Narrow"/>
                <w:sz w:val="16"/>
                <w:szCs w:val="16"/>
              </w:rPr>
            </w:pPr>
            <w:r w:rsidRPr="00D1165C">
              <w:rPr>
                <w:rFonts w:ascii="Arial Narrow" w:hAnsi="Arial Narrow"/>
                <w:sz w:val="16"/>
                <w:szCs w:val="16"/>
              </w:rPr>
              <w:t>Clients with H</w:t>
            </w:r>
            <w:r w:rsidR="00D1165C">
              <w:rPr>
                <w:rFonts w:ascii="Arial Narrow" w:hAnsi="Arial Narrow"/>
                <w:sz w:val="16"/>
                <w:szCs w:val="16"/>
              </w:rPr>
              <w:t xml:space="preserve">IV Receiving Integrated Medical </w:t>
            </w:r>
            <w:r w:rsidRPr="00D1165C">
              <w:rPr>
                <w:rFonts w:ascii="Arial Narrow" w:hAnsi="Arial Narrow"/>
                <w:sz w:val="16"/>
                <w:szCs w:val="16"/>
              </w:rPr>
              <w:t>Services</w:t>
            </w:r>
          </w:p>
        </w:tc>
        <w:tc>
          <w:tcPr>
            <w:tcW w:w="571" w:type="pct"/>
            <w:noWrap/>
          </w:tcPr>
          <w:p w:rsidR="00C624FD" w:rsidRPr="00D1165C" w:rsidRDefault="00973FF9" w:rsidP="00973FF9">
            <w:pPr>
              <w:jc w:val="center"/>
              <w:rPr>
                <w:sz w:val="16"/>
                <w:szCs w:val="16"/>
              </w:rPr>
            </w:pPr>
            <w:r>
              <w:rPr>
                <w:sz w:val="16"/>
                <w:szCs w:val="16"/>
              </w:rPr>
              <w:t>200</w:t>
            </w:r>
          </w:p>
        </w:tc>
        <w:tc>
          <w:tcPr>
            <w:tcW w:w="478" w:type="pct"/>
            <w:noWrap/>
          </w:tcPr>
          <w:p w:rsidR="00C624FD" w:rsidRPr="00D1165C" w:rsidRDefault="00C624FD" w:rsidP="00496A9F">
            <w:pPr>
              <w:jc w:val="center"/>
              <w:rPr>
                <w:sz w:val="16"/>
                <w:szCs w:val="16"/>
              </w:rPr>
            </w:pPr>
            <w:r w:rsidRPr="00D1165C">
              <w:rPr>
                <w:sz w:val="16"/>
                <w:szCs w:val="16"/>
              </w:rPr>
              <w:t>1</w:t>
            </w:r>
          </w:p>
        </w:tc>
        <w:tc>
          <w:tcPr>
            <w:tcW w:w="476" w:type="pct"/>
            <w:vAlign w:val="center"/>
          </w:tcPr>
          <w:p w:rsidR="00C624FD" w:rsidRPr="00D1165C" w:rsidRDefault="00973FF9" w:rsidP="00973FF9">
            <w:pPr>
              <w:jc w:val="center"/>
              <w:rPr>
                <w:rFonts w:ascii="Arial Narrow" w:hAnsi="Arial Narrow"/>
                <w:sz w:val="16"/>
                <w:szCs w:val="16"/>
              </w:rPr>
            </w:pPr>
            <w:r>
              <w:rPr>
                <w:rFonts w:ascii="Arial Narrow" w:hAnsi="Arial Narrow"/>
                <w:sz w:val="16"/>
                <w:szCs w:val="16"/>
              </w:rPr>
              <w:t>200</w:t>
            </w:r>
          </w:p>
        </w:tc>
        <w:tc>
          <w:tcPr>
            <w:tcW w:w="571" w:type="pct"/>
            <w:tcMar>
              <w:top w:w="0" w:type="dxa"/>
              <w:left w:w="108" w:type="dxa"/>
              <w:bottom w:w="0" w:type="dxa"/>
              <w:right w:w="108" w:type="dxa"/>
            </w:tcMar>
            <w:vAlign w:val="center"/>
          </w:tcPr>
          <w:p w:rsidR="00C624FD" w:rsidRPr="00D1165C" w:rsidRDefault="006D2B72" w:rsidP="001A3165">
            <w:pPr>
              <w:jc w:val="center"/>
              <w:rPr>
                <w:rFonts w:ascii="Arial Narrow" w:hAnsi="Arial Narrow"/>
                <w:sz w:val="16"/>
                <w:szCs w:val="16"/>
              </w:rPr>
            </w:pPr>
            <w:r>
              <w:rPr>
                <w:rFonts w:ascii="Arial Narrow" w:hAnsi="Arial Narrow"/>
                <w:sz w:val="16"/>
                <w:szCs w:val="16"/>
              </w:rPr>
              <w:t>0.</w:t>
            </w:r>
            <w:r w:rsidR="00423A81">
              <w:rPr>
                <w:rFonts w:ascii="Arial Narrow" w:hAnsi="Arial Narrow"/>
                <w:sz w:val="16"/>
                <w:szCs w:val="16"/>
              </w:rPr>
              <w:t>58</w:t>
            </w:r>
          </w:p>
        </w:tc>
        <w:tc>
          <w:tcPr>
            <w:tcW w:w="429" w:type="pct"/>
            <w:noWrap/>
            <w:tcMar>
              <w:top w:w="0" w:type="dxa"/>
              <w:left w:w="108" w:type="dxa"/>
              <w:bottom w:w="0" w:type="dxa"/>
              <w:right w:w="108" w:type="dxa"/>
            </w:tcMar>
            <w:vAlign w:val="center"/>
          </w:tcPr>
          <w:p w:rsidR="00C624FD" w:rsidRPr="00D1165C" w:rsidRDefault="00423A81" w:rsidP="00973FF9">
            <w:pPr>
              <w:jc w:val="center"/>
              <w:rPr>
                <w:rFonts w:ascii="Arial Narrow" w:hAnsi="Arial Narrow"/>
                <w:sz w:val="16"/>
                <w:szCs w:val="16"/>
              </w:rPr>
            </w:pPr>
            <w:r>
              <w:rPr>
                <w:rFonts w:ascii="Arial Narrow" w:hAnsi="Arial Narrow"/>
                <w:sz w:val="16"/>
                <w:szCs w:val="16"/>
              </w:rPr>
              <w:t>117</w:t>
            </w:r>
          </w:p>
        </w:tc>
        <w:tc>
          <w:tcPr>
            <w:tcW w:w="381" w:type="pct"/>
            <w:noWrap/>
            <w:tcMar>
              <w:top w:w="0" w:type="dxa"/>
              <w:left w:w="108" w:type="dxa"/>
              <w:bottom w:w="0" w:type="dxa"/>
              <w:right w:w="108" w:type="dxa"/>
            </w:tcMar>
            <w:vAlign w:val="center"/>
          </w:tcPr>
          <w:p w:rsidR="00C624FD" w:rsidRPr="00D1165C" w:rsidRDefault="00C624FD" w:rsidP="001A3165">
            <w:pPr>
              <w:jc w:val="center"/>
              <w:rPr>
                <w:rFonts w:ascii="Arial Narrow" w:hAnsi="Arial Narrow"/>
                <w:sz w:val="16"/>
                <w:szCs w:val="16"/>
              </w:rPr>
            </w:pPr>
            <w:r w:rsidRPr="00D1165C">
              <w:rPr>
                <w:rFonts w:ascii="Arial Narrow" w:hAnsi="Arial Narrow"/>
                <w:sz w:val="16"/>
                <w:szCs w:val="16"/>
              </w:rPr>
              <w:t>$22.01</w:t>
            </w:r>
          </w:p>
        </w:tc>
        <w:tc>
          <w:tcPr>
            <w:tcW w:w="571" w:type="pct"/>
            <w:noWrap/>
            <w:tcMar>
              <w:top w:w="0" w:type="dxa"/>
              <w:left w:w="108" w:type="dxa"/>
              <w:bottom w:w="0" w:type="dxa"/>
              <w:right w:w="108" w:type="dxa"/>
            </w:tcMar>
            <w:vAlign w:val="center"/>
          </w:tcPr>
          <w:p w:rsidR="00C624FD" w:rsidRPr="00D1165C" w:rsidRDefault="00C624FD" w:rsidP="00423A81">
            <w:pPr>
              <w:jc w:val="center"/>
              <w:rPr>
                <w:rFonts w:ascii="Arial Narrow" w:hAnsi="Arial Narrow"/>
                <w:sz w:val="16"/>
                <w:szCs w:val="16"/>
              </w:rPr>
            </w:pPr>
            <w:r w:rsidRPr="00D1165C">
              <w:rPr>
                <w:rFonts w:ascii="Arial Narrow" w:hAnsi="Arial Narrow"/>
                <w:sz w:val="16"/>
                <w:szCs w:val="16"/>
              </w:rPr>
              <w:t>$</w:t>
            </w:r>
            <w:r w:rsidR="00423A81">
              <w:rPr>
                <w:rFonts w:ascii="Arial Narrow" w:hAnsi="Arial Narrow"/>
                <w:sz w:val="16"/>
                <w:szCs w:val="16"/>
              </w:rPr>
              <w:t>2,568</w:t>
            </w:r>
          </w:p>
        </w:tc>
      </w:tr>
      <w:tr w:rsidR="00C624FD" w:rsidRPr="003B484C" w:rsidTr="00C624FD">
        <w:trPr>
          <w:trHeight w:val="245"/>
        </w:trPr>
        <w:tc>
          <w:tcPr>
            <w:tcW w:w="1523" w:type="pct"/>
            <w:noWrap/>
            <w:vAlign w:val="center"/>
          </w:tcPr>
          <w:p w:rsidR="00C624FD" w:rsidRPr="00D1165C" w:rsidRDefault="00C624FD" w:rsidP="00D1165C">
            <w:pPr>
              <w:rPr>
                <w:rFonts w:ascii="Arial Narrow" w:hAnsi="Arial Narrow"/>
                <w:sz w:val="16"/>
                <w:szCs w:val="16"/>
              </w:rPr>
            </w:pPr>
            <w:r w:rsidRPr="00D1165C">
              <w:rPr>
                <w:rFonts w:ascii="Arial Narrow" w:hAnsi="Arial Narrow"/>
                <w:sz w:val="16"/>
                <w:szCs w:val="16"/>
              </w:rPr>
              <w:t>Individuals only Receiving  Prevention Services</w:t>
            </w:r>
          </w:p>
        </w:tc>
        <w:tc>
          <w:tcPr>
            <w:tcW w:w="571" w:type="pct"/>
            <w:noWrap/>
          </w:tcPr>
          <w:p w:rsidR="00C624FD" w:rsidRPr="00D1165C" w:rsidRDefault="00973FF9" w:rsidP="00973FF9">
            <w:pPr>
              <w:jc w:val="center"/>
              <w:rPr>
                <w:sz w:val="16"/>
                <w:szCs w:val="16"/>
              </w:rPr>
            </w:pPr>
            <w:r>
              <w:rPr>
                <w:sz w:val="16"/>
                <w:szCs w:val="16"/>
              </w:rPr>
              <w:t>1</w:t>
            </w:r>
            <w:r w:rsidR="0014789C">
              <w:rPr>
                <w:sz w:val="16"/>
                <w:szCs w:val="16"/>
              </w:rPr>
              <w:t>,</w:t>
            </w:r>
            <w:r>
              <w:rPr>
                <w:sz w:val="16"/>
                <w:szCs w:val="16"/>
              </w:rPr>
              <w:t>000</w:t>
            </w:r>
          </w:p>
        </w:tc>
        <w:tc>
          <w:tcPr>
            <w:tcW w:w="478" w:type="pct"/>
            <w:noWrap/>
          </w:tcPr>
          <w:p w:rsidR="00C624FD" w:rsidRPr="00D1165C" w:rsidRDefault="00C624FD" w:rsidP="00496A9F">
            <w:pPr>
              <w:jc w:val="center"/>
              <w:rPr>
                <w:sz w:val="16"/>
                <w:szCs w:val="16"/>
              </w:rPr>
            </w:pPr>
            <w:r w:rsidRPr="00D1165C">
              <w:rPr>
                <w:sz w:val="16"/>
                <w:szCs w:val="16"/>
              </w:rPr>
              <w:t>1</w:t>
            </w:r>
          </w:p>
        </w:tc>
        <w:tc>
          <w:tcPr>
            <w:tcW w:w="476" w:type="pct"/>
            <w:vAlign w:val="center"/>
          </w:tcPr>
          <w:p w:rsidR="00C624FD" w:rsidRPr="00D1165C" w:rsidRDefault="00973FF9" w:rsidP="001A3165">
            <w:pPr>
              <w:jc w:val="center"/>
              <w:rPr>
                <w:rFonts w:ascii="Arial Narrow" w:hAnsi="Arial Narrow"/>
                <w:sz w:val="16"/>
                <w:szCs w:val="16"/>
              </w:rPr>
            </w:pPr>
            <w:r>
              <w:rPr>
                <w:rFonts w:ascii="Arial Narrow" w:hAnsi="Arial Narrow"/>
                <w:sz w:val="16"/>
                <w:szCs w:val="16"/>
              </w:rPr>
              <w:t>1</w:t>
            </w:r>
            <w:r w:rsidR="0014789C">
              <w:rPr>
                <w:rFonts w:ascii="Arial Narrow" w:hAnsi="Arial Narrow"/>
                <w:sz w:val="16"/>
                <w:szCs w:val="16"/>
              </w:rPr>
              <w:t>,</w:t>
            </w:r>
            <w:r>
              <w:rPr>
                <w:rFonts w:ascii="Arial Narrow" w:hAnsi="Arial Narrow"/>
                <w:sz w:val="16"/>
                <w:szCs w:val="16"/>
              </w:rPr>
              <w:t>000</w:t>
            </w:r>
          </w:p>
        </w:tc>
        <w:tc>
          <w:tcPr>
            <w:tcW w:w="571" w:type="pct"/>
            <w:tcMar>
              <w:top w:w="0" w:type="dxa"/>
              <w:left w:w="108" w:type="dxa"/>
              <w:bottom w:w="0" w:type="dxa"/>
              <w:right w:w="108" w:type="dxa"/>
            </w:tcMar>
            <w:vAlign w:val="center"/>
          </w:tcPr>
          <w:p w:rsidR="00C624FD" w:rsidRPr="00D1165C" w:rsidRDefault="00C624FD" w:rsidP="001A3165">
            <w:pPr>
              <w:jc w:val="center"/>
              <w:rPr>
                <w:rFonts w:ascii="Arial Narrow" w:hAnsi="Arial Narrow"/>
                <w:sz w:val="16"/>
                <w:szCs w:val="16"/>
              </w:rPr>
            </w:pPr>
            <w:r w:rsidRPr="00D1165C">
              <w:rPr>
                <w:rFonts w:ascii="Arial Narrow" w:hAnsi="Arial Narrow"/>
                <w:sz w:val="16"/>
                <w:szCs w:val="16"/>
              </w:rPr>
              <w:t>0.12</w:t>
            </w:r>
          </w:p>
        </w:tc>
        <w:tc>
          <w:tcPr>
            <w:tcW w:w="429" w:type="pct"/>
            <w:noWrap/>
            <w:tcMar>
              <w:top w:w="0" w:type="dxa"/>
              <w:left w:w="108" w:type="dxa"/>
              <w:bottom w:w="0" w:type="dxa"/>
              <w:right w:w="108" w:type="dxa"/>
            </w:tcMar>
            <w:vAlign w:val="center"/>
          </w:tcPr>
          <w:p w:rsidR="00C624FD" w:rsidRPr="00D1165C" w:rsidRDefault="00973FF9" w:rsidP="001A3165">
            <w:pPr>
              <w:jc w:val="center"/>
              <w:rPr>
                <w:rFonts w:ascii="Arial Narrow" w:hAnsi="Arial Narrow"/>
                <w:sz w:val="16"/>
                <w:szCs w:val="16"/>
              </w:rPr>
            </w:pPr>
            <w:r>
              <w:rPr>
                <w:rFonts w:ascii="Arial Narrow" w:hAnsi="Arial Narrow"/>
                <w:sz w:val="16"/>
                <w:szCs w:val="16"/>
              </w:rPr>
              <w:t>120</w:t>
            </w:r>
          </w:p>
        </w:tc>
        <w:tc>
          <w:tcPr>
            <w:tcW w:w="381" w:type="pct"/>
            <w:noWrap/>
            <w:tcMar>
              <w:top w:w="0" w:type="dxa"/>
              <w:left w:w="108" w:type="dxa"/>
              <w:bottom w:w="0" w:type="dxa"/>
              <w:right w:w="108" w:type="dxa"/>
            </w:tcMar>
            <w:vAlign w:val="center"/>
          </w:tcPr>
          <w:p w:rsidR="00C624FD" w:rsidRPr="00D1165C" w:rsidRDefault="00C624FD" w:rsidP="001A3165">
            <w:pPr>
              <w:jc w:val="center"/>
              <w:rPr>
                <w:rFonts w:ascii="Arial Narrow" w:hAnsi="Arial Narrow"/>
                <w:sz w:val="16"/>
                <w:szCs w:val="16"/>
              </w:rPr>
            </w:pPr>
            <w:r w:rsidRPr="00D1165C">
              <w:rPr>
                <w:rFonts w:ascii="Arial Narrow" w:hAnsi="Arial Narrow"/>
                <w:sz w:val="16"/>
                <w:szCs w:val="16"/>
              </w:rPr>
              <w:t>$22.01</w:t>
            </w:r>
          </w:p>
        </w:tc>
        <w:tc>
          <w:tcPr>
            <w:tcW w:w="571" w:type="pct"/>
            <w:noWrap/>
            <w:tcMar>
              <w:top w:w="0" w:type="dxa"/>
              <w:left w:w="108" w:type="dxa"/>
              <w:bottom w:w="0" w:type="dxa"/>
              <w:right w:w="108" w:type="dxa"/>
            </w:tcMar>
            <w:vAlign w:val="center"/>
          </w:tcPr>
          <w:p w:rsidR="00C624FD" w:rsidRPr="00D1165C" w:rsidRDefault="00973FF9" w:rsidP="00EA2D0D">
            <w:pPr>
              <w:jc w:val="center"/>
              <w:rPr>
                <w:rFonts w:ascii="Arial Narrow" w:hAnsi="Arial Narrow"/>
                <w:sz w:val="16"/>
                <w:szCs w:val="16"/>
              </w:rPr>
            </w:pPr>
            <w:r>
              <w:rPr>
                <w:rFonts w:ascii="Arial Narrow" w:hAnsi="Arial Narrow"/>
                <w:sz w:val="16"/>
                <w:szCs w:val="16"/>
              </w:rPr>
              <w:t>$2</w:t>
            </w:r>
            <w:r w:rsidR="003F281B">
              <w:rPr>
                <w:rFonts w:ascii="Arial Narrow" w:hAnsi="Arial Narrow"/>
                <w:sz w:val="16"/>
                <w:szCs w:val="16"/>
              </w:rPr>
              <w:t>,</w:t>
            </w:r>
            <w:r w:rsidR="00C624FD" w:rsidRPr="00D1165C">
              <w:rPr>
                <w:rFonts w:ascii="Arial Narrow" w:hAnsi="Arial Narrow"/>
                <w:sz w:val="16"/>
                <w:szCs w:val="16"/>
              </w:rPr>
              <w:t>6</w:t>
            </w:r>
            <w:r>
              <w:rPr>
                <w:rFonts w:ascii="Arial Narrow" w:hAnsi="Arial Narrow"/>
                <w:sz w:val="16"/>
                <w:szCs w:val="16"/>
              </w:rPr>
              <w:t>41</w:t>
            </w:r>
          </w:p>
        </w:tc>
      </w:tr>
      <w:tr w:rsidR="003F281B" w:rsidRPr="003B484C" w:rsidTr="00EA2D0D">
        <w:trPr>
          <w:trHeight w:val="245"/>
        </w:trPr>
        <w:tc>
          <w:tcPr>
            <w:tcW w:w="5000" w:type="pct"/>
            <w:gridSpan w:val="8"/>
            <w:noWrap/>
            <w:vAlign w:val="center"/>
          </w:tcPr>
          <w:p w:rsidR="003F281B" w:rsidRPr="00D1165C" w:rsidRDefault="003F281B" w:rsidP="00D1165C">
            <w:pPr>
              <w:rPr>
                <w:rFonts w:ascii="Arial Narrow" w:hAnsi="Arial Narrow"/>
                <w:b/>
                <w:sz w:val="16"/>
                <w:szCs w:val="16"/>
              </w:rPr>
            </w:pPr>
          </w:p>
        </w:tc>
      </w:tr>
      <w:tr w:rsidR="00EA2D0D" w:rsidRPr="003B484C" w:rsidTr="00EA2D0D">
        <w:trPr>
          <w:trHeight w:val="245"/>
        </w:trPr>
        <w:tc>
          <w:tcPr>
            <w:tcW w:w="5000" w:type="pct"/>
            <w:gridSpan w:val="8"/>
            <w:noWrap/>
            <w:vAlign w:val="center"/>
          </w:tcPr>
          <w:p w:rsidR="00EA2D0D" w:rsidRPr="00D1165C" w:rsidRDefault="00C9048C" w:rsidP="00D1165C">
            <w:pPr>
              <w:rPr>
                <w:rFonts w:ascii="Arial Narrow" w:hAnsi="Arial Narrow"/>
                <w:b/>
                <w:sz w:val="16"/>
                <w:szCs w:val="16"/>
              </w:rPr>
            </w:pPr>
            <w:r>
              <w:rPr>
                <w:rFonts w:ascii="Arial Narrow" w:hAnsi="Arial Narrow"/>
                <w:b/>
                <w:sz w:val="16"/>
                <w:szCs w:val="16"/>
              </w:rPr>
              <w:t>Co-located</w:t>
            </w:r>
            <w:r w:rsidR="000236E7">
              <w:rPr>
                <w:rFonts w:ascii="Arial Narrow" w:hAnsi="Arial Narrow"/>
                <w:b/>
                <w:sz w:val="16"/>
                <w:szCs w:val="16"/>
              </w:rPr>
              <w:t xml:space="preserve"> and Integrated Care Tool</w:t>
            </w:r>
            <w:r w:rsidR="00EA2D0D" w:rsidRPr="00D1165C">
              <w:rPr>
                <w:rFonts w:ascii="Arial Narrow" w:hAnsi="Arial Narrow"/>
                <w:b/>
                <w:sz w:val="16"/>
                <w:szCs w:val="16"/>
              </w:rPr>
              <w:t xml:space="preserve"> – Follow Up</w:t>
            </w:r>
          </w:p>
        </w:tc>
      </w:tr>
      <w:tr w:rsidR="00C624FD" w:rsidRPr="003B484C" w:rsidTr="00496A9F">
        <w:trPr>
          <w:trHeight w:val="245"/>
        </w:trPr>
        <w:tc>
          <w:tcPr>
            <w:tcW w:w="1523" w:type="pct"/>
            <w:tcBorders>
              <w:bottom w:val="single" w:sz="4" w:space="0" w:color="auto"/>
            </w:tcBorders>
            <w:noWrap/>
            <w:vAlign w:val="center"/>
          </w:tcPr>
          <w:p w:rsidR="00C624FD" w:rsidRPr="00D1165C" w:rsidRDefault="00C624FD" w:rsidP="00D1165C">
            <w:pPr>
              <w:rPr>
                <w:rFonts w:ascii="Arial Narrow" w:hAnsi="Arial Narrow"/>
                <w:sz w:val="16"/>
                <w:szCs w:val="16"/>
              </w:rPr>
            </w:pPr>
            <w:r w:rsidRPr="00D1165C">
              <w:rPr>
                <w:rFonts w:ascii="Arial Narrow" w:hAnsi="Arial Narrow"/>
                <w:sz w:val="16"/>
                <w:szCs w:val="16"/>
              </w:rPr>
              <w:t>Clients with HIV Receiving Integrated Medical Services</w:t>
            </w:r>
            <w:r w:rsidR="003F281B">
              <w:rPr>
                <w:rFonts w:ascii="Arial Narrow" w:hAnsi="Arial Narrow"/>
                <w:sz w:val="16"/>
                <w:szCs w:val="16"/>
              </w:rPr>
              <w:t xml:space="preserve"> </w:t>
            </w:r>
            <w:r w:rsidR="003F281B" w:rsidRPr="008D556F">
              <w:rPr>
                <w:rFonts w:ascii="Arial Narrow" w:hAnsi="Arial Narrow"/>
                <w:b/>
                <w:sz w:val="16"/>
                <w:szCs w:val="16"/>
                <w:vertAlign w:val="superscript"/>
              </w:rPr>
              <w:t>2</w:t>
            </w:r>
          </w:p>
        </w:tc>
        <w:tc>
          <w:tcPr>
            <w:tcW w:w="571" w:type="pct"/>
            <w:tcBorders>
              <w:bottom w:val="single" w:sz="4" w:space="0" w:color="auto"/>
            </w:tcBorders>
            <w:noWrap/>
          </w:tcPr>
          <w:p w:rsidR="006D2B72" w:rsidRDefault="006D2B72" w:rsidP="00496A9F">
            <w:pPr>
              <w:jc w:val="center"/>
              <w:rPr>
                <w:sz w:val="16"/>
                <w:szCs w:val="16"/>
              </w:rPr>
            </w:pPr>
          </w:p>
          <w:p w:rsidR="00C624FD" w:rsidRPr="00D1165C" w:rsidRDefault="00C624FD" w:rsidP="00496A9F">
            <w:pPr>
              <w:jc w:val="center"/>
              <w:rPr>
                <w:sz w:val="16"/>
                <w:szCs w:val="16"/>
              </w:rPr>
            </w:pPr>
            <w:r w:rsidRPr="00D1165C">
              <w:rPr>
                <w:sz w:val="16"/>
                <w:szCs w:val="16"/>
              </w:rPr>
              <w:t>1</w:t>
            </w:r>
            <w:r w:rsidR="00973FF9">
              <w:rPr>
                <w:sz w:val="16"/>
                <w:szCs w:val="16"/>
              </w:rPr>
              <w:t>20</w:t>
            </w:r>
          </w:p>
        </w:tc>
        <w:tc>
          <w:tcPr>
            <w:tcW w:w="478" w:type="pct"/>
            <w:tcBorders>
              <w:bottom w:val="single" w:sz="4" w:space="0" w:color="auto"/>
            </w:tcBorders>
            <w:noWrap/>
          </w:tcPr>
          <w:p w:rsidR="006D2B72" w:rsidRDefault="006D2B72" w:rsidP="00496A9F">
            <w:pPr>
              <w:jc w:val="center"/>
              <w:rPr>
                <w:sz w:val="16"/>
                <w:szCs w:val="16"/>
              </w:rPr>
            </w:pPr>
          </w:p>
          <w:p w:rsidR="00C624FD" w:rsidRPr="00D1165C" w:rsidRDefault="00C624FD" w:rsidP="00496A9F">
            <w:pPr>
              <w:jc w:val="center"/>
              <w:rPr>
                <w:sz w:val="16"/>
                <w:szCs w:val="16"/>
              </w:rPr>
            </w:pPr>
            <w:r w:rsidRPr="00D1165C">
              <w:rPr>
                <w:sz w:val="16"/>
                <w:szCs w:val="16"/>
              </w:rPr>
              <w:t>1</w:t>
            </w:r>
          </w:p>
        </w:tc>
        <w:tc>
          <w:tcPr>
            <w:tcW w:w="476" w:type="pct"/>
            <w:tcBorders>
              <w:bottom w:val="single" w:sz="4" w:space="0" w:color="auto"/>
            </w:tcBorders>
            <w:vAlign w:val="center"/>
          </w:tcPr>
          <w:p w:rsidR="00C624FD" w:rsidRPr="00D1165C" w:rsidRDefault="00C624FD" w:rsidP="00D52531">
            <w:pPr>
              <w:jc w:val="center"/>
              <w:rPr>
                <w:rFonts w:ascii="Arial Narrow" w:hAnsi="Arial Narrow"/>
                <w:sz w:val="16"/>
                <w:szCs w:val="16"/>
              </w:rPr>
            </w:pPr>
            <w:r w:rsidRPr="00D1165C">
              <w:rPr>
                <w:rFonts w:ascii="Arial Narrow" w:hAnsi="Arial Narrow"/>
                <w:sz w:val="16"/>
                <w:szCs w:val="16"/>
              </w:rPr>
              <w:t>1</w:t>
            </w:r>
            <w:r w:rsidR="00973FF9">
              <w:rPr>
                <w:rFonts w:ascii="Arial Narrow" w:hAnsi="Arial Narrow"/>
                <w:sz w:val="16"/>
                <w:szCs w:val="16"/>
              </w:rPr>
              <w:t>20</w:t>
            </w:r>
          </w:p>
        </w:tc>
        <w:tc>
          <w:tcPr>
            <w:tcW w:w="571" w:type="pct"/>
            <w:tcBorders>
              <w:bottom w:val="single" w:sz="4" w:space="0" w:color="auto"/>
            </w:tcBorders>
            <w:tcMar>
              <w:top w:w="0" w:type="dxa"/>
              <w:left w:w="108" w:type="dxa"/>
              <w:bottom w:w="0" w:type="dxa"/>
              <w:right w:w="108" w:type="dxa"/>
            </w:tcMar>
            <w:vAlign w:val="center"/>
          </w:tcPr>
          <w:p w:rsidR="00C624FD" w:rsidRPr="00D1165C" w:rsidRDefault="006D2B72" w:rsidP="00681B12">
            <w:pPr>
              <w:jc w:val="center"/>
              <w:rPr>
                <w:rFonts w:ascii="Arial Narrow" w:hAnsi="Arial Narrow"/>
                <w:sz w:val="16"/>
                <w:szCs w:val="16"/>
              </w:rPr>
            </w:pPr>
            <w:r>
              <w:rPr>
                <w:rFonts w:ascii="Arial Narrow" w:hAnsi="Arial Narrow"/>
                <w:sz w:val="16"/>
                <w:szCs w:val="16"/>
              </w:rPr>
              <w:t>0.</w:t>
            </w:r>
            <w:r w:rsidR="00BE2FDF">
              <w:rPr>
                <w:rFonts w:ascii="Arial Narrow" w:hAnsi="Arial Narrow"/>
                <w:sz w:val="16"/>
                <w:szCs w:val="16"/>
              </w:rPr>
              <w:t>58</w:t>
            </w:r>
          </w:p>
        </w:tc>
        <w:tc>
          <w:tcPr>
            <w:tcW w:w="429" w:type="pct"/>
            <w:tcBorders>
              <w:bottom w:val="single" w:sz="4" w:space="0" w:color="auto"/>
            </w:tcBorders>
            <w:noWrap/>
            <w:tcMar>
              <w:top w:w="0" w:type="dxa"/>
              <w:left w:w="108" w:type="dxa"/>
              <w:bottom w:w="0" w:type="dxa"/>
              <w:right w:w="108" w:type="dxa"/>
            </w:tcMar>
            <w:vAlign w:val="center"/>
          </w:tcPr>
          <w:p w:rsidR="00C624FD" w:rsidRPr="00D1165C" w:rsidRDefault="00BE2FDF" w:rsidP="00D52531">
            <w:pPr>
              <w:jc w:val="center"/>
              <w:rPr>
                <w:rFonts w:ascii="Arial Narrow" w:hAnsi="Arial Narrow"/>
                <w:sz w:val="16"/>
                <w:szCs w:val="16"/>
              </w:rPr>
            </w:pPr>
            <w:r>
              <w:rPr>
                <w:rFonts w:ascii="Arial Narrow" w:hAnsi="Arial Narrow"/>
                <w:sz w:val="16"/>
                <w:szCs w:val="16"/>
              </w:rPr>
              <w:t>69.6</w:t>
            </w:r>
          </w:p>
        </w:tc>
        <w:tc>
          <w:tcPr>
            <w:tcW w:w="381" w:type="pct"/>
            <w:tcBorders>
              <w:bottom w:val="single" w:sz="4" w:space="0" w:color="auto"/>
            </w:tcBorders>
            <w:noWrap/>
            <w:tcMar>
              <w:top w:w="0" w:type="dxa"/>
              <w:left w:w="108" w:type="dxa"/>
              <w:bottom w:w="0" w:type="dxa"/>
              <w:right w:w="108" w:type="dxa"/>
            </w:tcMar>
            <w:vAlign w:val="center"/>
          </w:tcPr>
          <w:p w:rsidR="00C624FD" w:rsidRPr="00D1165C" w:rsidRDefault="00C624FD" w:rsidP="00D52531">
            <w:pPr>
              <w:jc w:val="center"/>
              <w:rPr>
                <w:rFonts w:ascii="Arial Narrow" w:hAnsi="Arial Narrow"/>
                <w:sz w:val="16"/>
                <w:szCs w:val="16"/>
              </w:rPr>
            </w:pPr>
            <w:r w:rsidRPr="00D1165C">
              <w:rPr>
                <w:rFonts w:ascii="Arial Narrow" w:hAnsi="Arial Narrow"/>
                <w:sz w:val="16"/>
                <w:szCs w:val="16"/>
              </w:rPr>
              <w:t>$22.01</w:t>
            </w:r>
          </w:p>
        </w:tc>
        <w:tc>
          <w:tcPr>
            <w:tcW w:w="571" w:type="pct"/>
            <w:tcBorders>
              <w:bottom w:val="single" w:sz="4" w:space="0" w:color="auto"/>
            </w:tcBorders>
            <w:noWrap/>
            <w:tcMar>
              <w:top w:w="0" w:type="dxa"/>
              <w:left w:w="108" w:type="dxa"/>
              <w:bottom w:w="0" w:type="dxa"/>
              <w:right w:w="108" w:type="dxa"/>
            </w:tcMar>
            <w:vAlign w:val="center"/>
          </w:tcPr>
          <w:p w:rsidR="00C624FD" w:rsidRPr="00D1165C" w:rsidRDefault="00C624FD" w:rsidP="00433D6C">
            <w:pPr>
              <w:jc w:val="center"/>
              <w:rPr>
                <w:rFonts w:ascii="Arial Narrow" w:hAnsi="Arial Narrow"/>
                <w:sz w:val="16"/>
                <w:szCs w:val="16"/>
              </w:rPr>
            </w:pPr>
            <w:r w:rsidRPr="00D1165C">
              <w:rPr>
                <w:rFonts w:ascii="Arial Narrow" w:hAnsi="Arial Narrow"/>
                <w:sz w:val="16"/>
                <w:szCs w:val="16"/>
              </w:rPr>
              <w:t>$1,</w:t>
            </w:r>
            <w:r w:rsidR="00BE2FDF">
              <w:rPr>
                <w:rFonts w:ascii="Arial Narrow" w:hAnsi="Arial Narrow"/>
                <w:sz w:val="16"/>
                <w:szCs w:val="16"/>
              </w:rPr>
              <w:t>532</w:t>
            </w:r>
          </w:p>
        </w:tc>
      </w:tr>
      <w:tr w:rsidR="00D35ACD" w:rsidRPr="003B484C" w:rsidTr="00C624FD">
        <w:trPr>
          <w:trHeight w:val="245"/>
        </w:trPr>
        <w:tc>
          <w:tcPr>
            <w:tcW w:w="1523" w:type="pct"/>
            <w:shd w:val="clear" w:color="auto" w:fill="F2F2F2" w:themeFill="background1" w:themeFillShade="F2"/>
            <w:noWrap/>
            <w:vAlign w:val="center"/>
          </w:tcPr>
          <w:p w:rsidR="00D35ACD" w:rsidRPr="00D1165C" w:rsidRDefault="00D35ACD" w:rsidP="00D1165C">
            <w:pPr>
              <w:rPr>
                <w:rFonts w:ascii="Arial Narrow" w:hAnsi="Arial Narrow"/>
                <w:b/>
                <w:sz w:val="16"/>
                <w:szCs w:val="16"/>
              </w:rPr>
            </w:pPr>
          </w:p>
        </w:tc>
        <w:tc>
          <w:tcPr>
            <w:tcW w:w="571" w:type="pct"/>
            <w:shd w:val="clear" w:color="auto" w:fill="F2F2F2" w:themeFill="background1" w:themeFillShade="F2"/>
            <w:noWrap/>
            <w:vAlign w:val="center"/>
          </w:tcPr>
          <w:p w:rsidR="00D35ACD" w:rsidRPr="00D1165C" w:rsidRDefault="00D35ACD" w:rsidP="00D52531">
            <w:pPr>
              <w:jc w:val="center"/>
              <w:rPr>
                <w:rFonts w:ascii="Arial Narrow" w:hAnsi="Arial Narrow"/>
                <w:b/>
                <w:sz w:val="16"/>
                <w:szCs w:val="16"/>
              </w:rPr>
            </w:pPr>
          </w:p>
        </w:tc>
        <w:tc>
          <w:tcPr>
            <w:tcW w:w="478" w:type="pct"/>
            <w:shd w:val="clear" w:color="auto" w:fill="F2F2F2" w:themeFill="background1" w:themeFillShade="F2"/>
            <w:noWrap/>
            <w:vAlign w:val="center"/>
          </w:tcPr>
          <w:p w:rsidR="00D35ACD" w:rsidRPr="00D1165C" w:rsidRDefault="00D35ACD" w:rsidP="00D52531">
            <w:pPr>
              <w:jc w:val="center"/>
              <w:rPr>
                <w:rFonts w:ascii="Arial Narrow" w:hAnsi="Arial Narrow"/>
                <w:sz w:val="16"/>
                <w:szCs w:val="16"/>
              </w:rPr>
            </w:pPr>
          </w:p>
        </w:tc>
        <w:tc>
          <w:tcPr>
            <w:tcW w:w="476" w:type="pct"/>
            <w:shd w:val="clear" w:color="auto" w:fill="F2F2F2" w:themeFill="background1" w:themeFillShade="F2"/>
            <w:vAlign w:val="center"/>
          </w:tcPr>
          <w:p w:rsidR="00D35ACD" w:rsidRPr="00D1165C" w:rsidRDefault="00D35ACD" w:rsidP="00D52531">
            <w:pPr>
              <w:jc w:val="center"/>
              <w:rPr>
                <w:rFonts w:ascii="Arial Narrow" w:hAnsi="Arial Narrow"/>
                <w:b/>
                <w:sz w:val="16"/>
                <w:szCs w:val="16"/>
              </w:rPr>
            </w:pPr>
          </w:p>
        </w:tc>
        <w:tc>
          <w:tcPr>
            <w:tcW w:w="571" w:type="pct"/>
            <w:shd w:val="clear" w:color="auto" w:fill="F2F2F2" w:themeFill="background1" w:themeFillShade="F2"/>
            <w:tcMar>
              <w:top w:w="0" w:type="dxa"/>
              <w:left w:w="108" w:type="dxa"/>
              <w:bottom w:w="0" w:type="dxa"/>
              <w:right w:w="108" w:type="dxa"/>
            </w:tcMar>
            <w:vAlign w:val="center"/>
          </w:tcPr>
          <w:p w:rsidR="00D35ACD" w:rsidRPr="00D1165C" w:rsidRDefault="00D35ACD" w:rsidP="00681B12">
            <w:pPr>
              <w:jc w:val="center"/>
              <w:rPr>
                <w:rFonts w:ascii="Arial Narrow" w:hAnsi="Arial Narrow"/>
                <w:sz w:val="16"/>
                <w:szCs w:val="16"/>
              </w:rPr>
            </w:pPr>
          </w:p>
        </w:tc>
        <w:tc>
          <w:tcPr>
            <w:tcW w:w="429" w:type="pct"/>
            <w:shd w:val="clear" w:color="auto" w:fill="F2F2F2" w:themeFill="background1" w:themeFillShade="F2"/>
            <w:noWrap/>
            <w:tcMar>
              <w:top w:w="0" w:type="dxa"/>
              <w:left w:w="108" w:type="dxa"/>
              <w:bottom w:w="0" w:type="dxa"/>
              <w:right w:w="108" w:type="dxa"/>
            </w:tcMar>
            <w:vAlign w:val="center"/>
          </w:tcPr>
          <w:p w:rsidR="00D35ACD" w:rsidRPr="00D1165C" w:rsidRDefault="00D35ACD" w:rsidP="00D52531">
            <w:pPr>
              <w:jc w:val="center"/>
              <w:rPr>
                <w:rFonts w:ascii="Arial Narrow" w:hAnsi="Arial Narrow"/>
                <w:b/>
                <w:sz w:val="16"/>
                <w:szCs w:val="16"/>
              </w:rPr>
            </w:pPr>
          </w:p>
        </w:tc>
        <w:tc>
          <w:tcPr>
            <w:tcW w:w="381" w:type="pct"/>
            <w:shd w:val="clear" w:color="auto" w:fill="F2F2F2" w:themeFill="background1" w:themeFillShade="F2"/>
            <w:noWrap/>
            <w:tcMar>
              <w:top w:w="0" w:type="dxa"/>
              <w:left w:w="108" w:type="dxa"/>
              <w:bottom w:w="0" w:type="dxa"/>
              <w:right w:w="108" w:type="dxa"/>
            </w:tcMar>
            <w:vAlign w:val="center"/>
          </w:tcPr>
          <w:p w:rsidR="00D35ACD" w:rsidRPr="00D1165C" w:rsidRDefault="00D35ACD" w:rsidP="00D52531">
            <w:pPr>
              <w:jc w:val="center"/>
              <w:rPr>
                <w:rFonts w:ascii="Arial Narrow" w:hAnsi="Arial Narrow"/>
                <w:sz w:val="16"/>
                <w:szCs w:val="16"/>
              </w:rPr>
            </w:pPr>
          </w:p>
        </w:tc>
        <w:tc>
          <w:tcPr>
            <w:tcW w:w="571" w:type="pct"/>
            <w:shd w:val="clear" w:color="auto" w:fill="F2F2F2" w:themeFill="background1" w:themeFillShade="F2"/>
            <w:noWrap/>
            <w:tcMar>
              <w:top w:w="0" w:type="dxa"/>
              <w:left w:w="108" w:type="dxa"/>
              <w:bottom w:w="0" w:type="dxa"/>
              <w:right w:w="108" w:type="dxa"/>
            </w:tcMar>
            <w:vAlign w:val="center"/>
          </w:tcPr>
          <w:p w:rsidR="00D35ACD" w:rsidRPr="00D1165C" w:rsidRDefault="00D35ACD" w:rsidP="00DA19B0">
            <w:pPr>
              <w:jc w:val="center"/>
              <w:rPr>
                <w:rFonts w:ascii="Arial Narrow" w:hAnsi="Arial Narrow"/>
                <w:sz w:val="16"/>
                <w:szCs w:val="16"/>
              </w:rPr>
            </w:pPr>
          </w:p>
        </w:tc>
      </w:tr>
      <w:tr w:rsidR="003F281B" w:rsidRPr="003B484C" w:rsidTr="00C624FD">
        <w:trPr>
          <w:trHeight w:val="245"/>
        </w:trPr>
        <w:tc>
          <w:tcPr>
            <w:tcW w:w="1523" w:type="pct"/>
            <w:shd w:val="clear" w:color="auto" w:fill="F2F2F2" w:themeFill="background1" w:themeFillShade="F2"/>
            <w:noWrap/>
            <w:vAlign w:val="center"/>
          </w:tcPr>
          <w:p w:rsidR="003F281B" w:rsidRPr="00D1165C" w:rsidRDefault="00C9048C" w:rsidP="00D1165C">
            <w:pPr>
              <w:rPr>
                <w:rFonts w:ascii="Arial Narrow" w:hAnsi="Arial Narrow"/>
                <w:b/>
                <w:sz w:val="16"/>
                <w:szCs w:val="16"/>
              </w:rPr>
            </w:pPr>
            <w:r>
              <w:rPr>
                <w:rFonts w:ascii="Arial Narrow" w:hAnsi="Arial Narrow"/>
                <w:b/>
                <w:sz w:val="16"/>
                <w:szCs w:val="16"/>
              </w:rPr>
              <w:t>Co-located</w:t>
            </w:r>
            <w:r w:rsidR="000236E7">
              <w:rPr>
                <w:rFonts w:ascii="Arial Narrow" w:hAnsi="Arial Narrow"/>
                <w:b/>
                <w:sz w:val="16"/>
                <w:szCs w:val="16"/>
              </w:rPr>
              <w:t xml:space="preserve"> and Integrated Care Tool</w:t>
            </w:r>
            <w:r w:rsidR="003F281B">
              <w:rPr>
                <w:rFonts w:ascii="Arial Narrow" w:hAnsi="Arial Narrow"/>
                <w:b/>
                <w:sz w:val="16"/>
                <w:szCs w:val="16"/>
              </w:rPr>
              <w:t xml:space="preserve"> - Discharge</w:t>
            </w:r>
          </w:p>
        </w:tc>
        <w:tc>
          <w:tcPr>
            <w:tcW w:w="571" w:type="pct"/>
            <w:shd w:val="clear" w:color="auto" w:fill="F2F2F2" w:themeFill="background1" w:themeFillShade="F2"/>
            <w:noWrap/>
            <w:vAlign w:val="center"/>
          </w:tcPr>
          <w:p w:rsidR="003F281B" w:rsidRPr="00D1165C" w:rsidRDefault="003F281B" w:rsidP="00D52531">
            <w:pPr>
              <w:jc w:val="center"/>
              <w:rPr>
                <w:rFonts w:ascii="Arial Narrow" w:hAnsi="Arial Narrow"/>
                <w:b/>
                <w:sz w:val="16"/>
                <w:szCs w:val="16"/>
              </w:rPr>
            </w:pPr>
          </w:p>
        </w:tc>
        <w:tc>
          <w:tcPr>
            <w:tcW w:w="478" w:type="pct"/>
            <w:shd w:val="clear" w:color="auto" w:fill="F2F2F2" w:themeFill="background1" w:themeFillShade="F2"/>
            <w:noWrap/>
            <w:vAlign w:val="center"/>
          </w:tcPr>
          <w:p w:rsidR="003F281B" w:rsidRPr="00D1165C" w:rsidRDefault="003F281B" w:rsidP="00D52531">
            <w:pPr>
              <w:jc w:val="center"/>
              <w:rPr>
                <w:rFonts w:ascii="Arial Narrow" w:hAnsi="Arial Narrow"/>
                <w:sz w:val="16"/>
                <w:szCs w:val="16"/>
              </w:rPr>
            </w:pPr>
          </w:p>
        </w:tc>
        <w:tc>
          <w:tcPr>
            <w:tcW w:w="476" w:type="pct"/>
            <w:shd w:val="clear" w:color="auto" w:fill="F2F2F2" w:themeFill="background1" w:themeFillShade="F2"/>
            <w:vAlign w:val="center"/>
          </w:tcPr>
          <w:p w:rsidR="003F281B" w:rsidRPr="00D1165C" w:rsidRDefault="003F281B" w:rsidP="00D52531">
            <w:pPr>
              <w:jc w:val="center"/>
              <w:rPr>
                <w:rFonts w:ascii="Arial Narrow" w:hAnsi="Arial Narrow"/>
                <w:b/>
                <w:sz w:val="16"/>
                <w:szCs w:val="16"/>
              </w:rPr>
            </w:pPr>
          </w:p>
        </w:tc>
        <w:tc>
          <w:tcPr>
            <w:tcW w:w="571" w:type="pct"/>
            <w:shd w:val="clear" w:color="auto" w:fill="F2F2F2" w:themeFill="background1" w:themeFillShade="F2"/>
            <w:tcMar>
              <w:top w:w="0" w:type="dxa"/>
              <w:left w:w="108" w:type="dxa"/>
              <w:bottom w:w="0" w:type="dxa"/>
              <w:right w:w="108" w:type="dxa"/>
            </w:tcMar>
            <w:vAlign w:val="center"/>
          </w:tcPr>
          <w:p w:rsidR="003F281B" w:rsidRPr="00D1165C" w:rsidRDefault="003F281B" w:rsidP="00681B12">
            <w:pPr>
              <w:jc w:val="center"/>
              <w:rPr>
                <w:rFonts w:ascii="Arial Narrow" w:hAnsi="Arial Narrow"/>
                <w:sz w:val="16"/>
                <w:szCs w:val="16"/>
              </w:rPr>
            </w:pPr>
          </w:p>
        </w:tc>
        <w:tc>
          <w:tcPr>
            <w:tcW w:w="429"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52531">
            <w:pPr>
              <w:jc w:val="center"/>
              <w:rPr>
                <w:rFonts w:ascii="Arial Narrow" w:hAnsi="Arial Narrow"/>
                <w:b/>
                <w:sz w:val="16"/>
                <w:szCs w:val="16"/>
              </w:rPr>
            </w:pP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52531">
            <w:pPr>
              <w:jc w:val="center"/>
              <w:rPr>
                <w:rFonts w:ascii="Arial Narrow" w:hAnsi="Arial Narrow"/>
                <w:sz w:val="16"/>
                <w:szCs w:val="16"/>
              </w:rPr>
            </w:pP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A19B0">
            <w:pPr>
              <w:jc w:val="center"/>
              <w:rPr>
                <w:rFonts w:ascii="Arial Narrow" w:hAnsi="Arial Narrow"/>
                <w:sz w:val="16"/>
                <w:szCs w:val="16"/>
              </w:rPr>
            </w:pPr>
          </w:p>
        </w:tc>
      </w:tr>
      <w:tr w:rsidR="003F281B" w:rsidRPr="003B484C" w:rsidTr="00C624FD">
        <w:trPr>
          <w:trHeight w:val="245"/>
        </w:trPr>
        <w:tc>
          <w:tcPr>
            <w:tcW w:w="1523" w:type="pct"/>
            <w:shd w:val="clear" w:color="auto" w:fill="F2F2F2" w:themeFill="background1" w:themeFillShade="F2"/>
            <w:noWrap/>
            <w:vAlign w:val="center"/>
          </w:tcPr>
          <w:p w:rsidR="003F281B" w:rsidRPr="00D1165C" w:rsidRDefault="003F281B" w:rsidP="003F281B">
            <w:pPr>
              <w:rPr>
                <w:rFonts w:ascii="Arial Narrow" w:hAnsi="Arial Narrow"/>
                <w:b/>
                <w:sz w:val="16"/>
                <w:szCs w:val="16"/>
              </w:rPr>
            </w:pPr>
            <w:r w:rsidRPr="00D1165C">
              <w:rPr>
                <w:rFonts w:ascii="Arial Narrow" w:hAnsi="Arial Narrow"/>
                <w:sz w:val="16"/>
                <w:szCs w:val="16"/>
              </w:rPr>
              <w:t>Clients with HIV Receiving Integrated Medical Services</w:t>
            </w:r>
            <w:r>
              <w:rPr>
                <w:rFonts w:ascii="Arial Narrow" w:hAnsi="Arial Narrow"/>
                <w:sz w:val="16"/>
                <w:szCs w:val="16"/>
              </w:rPr>
              <w:t xml:space="preserve"> – Interview with Client</w:t>
            </w:r>
            <w:r w:rsidRPr="008D556F">
              <w:rPr>
                <w:rFonts w:ascii="Arial Narrow" w:hAnsi="Arial Narrow"/>
                <w:sz w:val="16"/>
                <w:szCs w:val="16"/>
                <w:vertAlign w:val="superscript"/>
              </w:rPr>
              <w:t xml:space="preserve"> </w:t>
            </w:r>
            <w:r w:rsidR="008D556F" w:rsidRPr="008D556F">
              <w:rPr>
                <w:rFonts w:ascii="Arial Narrow" w:hAnsi="Arial Narrow"/>
                <w:b/>
                <w:sz w:val="16"/>
                <w:szCs w:val="16"/>
                <w:vertAlign w:val="superscript"/>
              </w:rPr>
              <w:t>3</w:t>
            </w:r>
          </w:p>
        </w:tc>
        <w:tc>
          <w:tcPr>
            <w:tcW w:w="571" w:type="pct"/>
            <w:shd w:val="clear" w:color="auto" w:fill="F2F2F2" w:themeFill="background1" w:themeFillShade="F2"/>
            <w:noWrap/>
            <w:vAlign w:val="center"/>
          </w:tcPr>
          <w:p w:rsidR="003F281B" w:rsidRPr="00BE2FDF" w:rsidRDefault="003F281B" w:rsidP="00D52531">
            <w:pPr>
              <w:jc w:val="center"/>
              <w:rPr>
                <w:rFonts w:ascii="Arial Narrow" w:hAnsi="Arial Narrow"/>
                <w:sz w:val="16"/>
                <w:szCs w:val="16"/>
              </w:rPr>
            </w:pPr>
            <w:r w:rsidRPr="00BE2FDF">
              <w:rPr>
                <w:rFonts w:ascii="Arial Narrow" w:hAnsi="Arial Narrow"/>
                <w:sz w:val="16"/>
                <w:szCs w:val="16"/>
              </w:rPr>
              <w:t>2</w:t>
            </w:r>
            <w:r w:rsidR="00973FF9" w:rsidRPr="00BE2FDF">
              <w:rPr>
                <w:rFonts w:ascii="Arial Narrow" w:hAnsi="Arial Narrow"/>
                <w:sz w:val="16"/>
                <w:szCs w:val="16"/>
              </w:rPr>
              <w:t>8</w:t>
            </w:r>
          </w:p>
        </w:tc>
        <w:tc>
          <w:tcPr>
            <w:tcW w:w="478" w:type="pct"/>
            <w:shd w:val="clear" w:color="auto" w:fill="F2F2F2" w:themeFill="background1" w:themeFillShade="F2"/>
            <w:noWrap/>
            <w:vAlign w:val="center"/>
          </w:tcPr>
          <w:p w:rsidR="003F281B" w:rsidRPr="00BE2FDF" w:rsidRDefault="003F281B" w:rsidP="00D52531">
            <w:pPr>
              <w:jc w:val="center"/>
              <w:rPr>
                <w:rFonts w:ascii="Arial Narrow" w:hAnsi="Arial Narrow"/>
                <w:sz w:val="16"/>
                <w:szCs w:val="16"/>
              </w:rPr>
            </w:pPr>
            <w:r w:rsidRPr="00BE2FDF">
              <w:rPr>
                <w:rFonts w:ascii="Arial Narrow" w:hAnsi="Arial Narrow"/>
                <w:sz w:val="16"/>
                <w:szCs w:val="16"/>
              </w:rPr>
              <w:t>1</w:t>
            </w:r>
          </w:p>
        </w:tc>
        <w:tc>
          <w:tcPr>
            <w:tcW w:w="476" w:type="pct"/>
            <w:shd w:val="clear" w:color="auto" w:fill="F2F2F2" w:themeFill="background1" w:themeFillShade="F2"/>
            <w:vAlign w:val="center"/>
          </w:tcPr>
          <w:p w:rsidR="003F281B" w:rsidRPr="00BE2FDF" w:rsidRDefault="003F281B" w:rsidP="00D52531">
            <w:pPr>
              <w:jc w:val="center"/>
              <w:rPr>
                <w:rFonts w:ascii="Arial Narrow" w:hAnsi="Arial Narrow"/>
                <w:sz w:val="16"/>
                <w:szCs w:val="16"/>
              </w:rPr>
            </w:pPr>
            <w:r w:rsidRPr="00BE2FDF">
              <w:rPr>
                <w:rFonts w:ascii="Arial Narrow" w:hAnsi="Arial Narrow"/>
                <w:sz w:val="16"/>
                <w:szCs w:val="16"/>
              </w:rPr>
              <w:t>2</w:t>
            </w:r>
            <w:r w:rsidR="00973FF9" w:rsidRPr="00BE2FDF">
              <w:rPr>
                <w:rFonts w:ascii="Arial Narrow" w:hAnsi="Arial Narrow"/>
                <w:sz w:val="16"/>
                <w:szCs w:val="16"/>
              </w:rPr>
              <w:t>8</w:t>
            </w:r>
          </w:p>
        </w:tc>
        <w:tc>
          <w:tcPr>
            <w:tcW w:w="571" w:type="pct"/>
            <w:shd w:val="clear" w:color="auto" w:fill="F2F2F2" w:themeFill="background1" w:themeFillShade="F2"/>
            <w:tcMar>
              <w:top w:w="0" w:type="dxa"/>
              <w:left w:w="108" w:type="dxa"/>
              <w:bottom w:w="0" w:type="dxa"/>
              <w:right w:w="108" w:type="dxa"/>
            </w:tcMar>
            <w:vAlign w:val="center"/>
          </w:tcPr>
          <w:p w:rsidR="003F281B" w:rsidRPr="00BE2FDF" w:rsidRDefault="00423A81" w:rsidP="00681B12">
            <w:pPr>
              <w:jc w:val="center"/>
              <w:rPr>
                <w:rFonts w:ascii="Arial Narrow" w:hAnsi="Arial Narrow"/>
                <w:sz w:val="16"/>
                <w:szCs w:val="16"/>
              </w:rPr>
            </w:pPr>
            <w:r w:rsidRPr="00BE2FDF">
              <w:rPr>
                <w:rFonts w:ascii="Arial Narrow" w:hAnsi="Arial Narrow"/>
                <w:sz w:val="16"/>
                <w:szCs w:val="16"/>
              </w:rPr>
              <w:t>0</w:t>
            </w:r>
            <w:r w:rsidR="003F281B" w:rsidRPr="00BE2FDF">
              <w:rPr>
                <w:rFonts w:ascii="Arial Narrow" w:hAnsi="Arial Narrow"/>
                <w:sz w:val="16"/>
                <w:szCs w:val="16"/>
              </w:rPr>
              <w:t>.</w:t>
            </w:r>
            <w:r w:rsidR="00BE2FDF" w:rsidRPr="00BE2FDF">
              <w:rPr>
                <w:rFonts w:ascii="Arial Narrow" w:hAnsi="Arial Narrow"/>
                <w:sz w:val="16"/>
                <w:szCs w:val="16"/>
              </w:rPr>
              <w:t>58</w:t>
            </w:r>
          </w:p>
        </w:tc>
        <w:tc>
          <w:tcPr>
            <w:tcW w:w="429" w:type="pct"/>
            <w:shd w:val="clear" w:color="auto" w:fill="F2F2F2" w:themeFill="background1" w:themeFillShade="F2"/>
            <w:noWrap/>
            <w:tcMar>
              <w:top w:w="0" w:type="dxa"/>
              <w:left w:w="108" w:type="dxa"/>
              <w:bottom w:w="0" w:type="dxa"/>
              <w:right w:w="108" w:type="dxa"/>
            </w:tcMar>
            <w:vAlign w:val="center"/>
          </w:tcPr>
          <w:p w:rsidR="003F281B" w:rsidRPr="00BE2FDF" w:rsidRDefault="00BE2FDF" w:rsidP="00D52531">
            <w:pPr>
              <w:jc w:val="center"/>
              <w:rPr>
                <w:rFonts w:ascii="Arial Narrow" w:hAnsi="Arial Narrow"/>
                <w:sz w:val="16"/>
                <w:szCs w:val="16"/>
              </w:rPr>
            </w:pPr>
            <w:r w:rsidRPr="00BE2FDF">
              <w:rPr>
                <w:rFonts w:ascii="Arial Narrow" w:hAnsi="Arial Narrow"/>
                <w:sz w:val="16"/>
                <w:szCs w:val="16"/>
              </w:rPr>
              <w:t>16.2</w:t>
            </w: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52531">
            <w:pPr>
              <w:jc w:val="center"/>
              <w:rPr>
                <w:rFonts w:ascii="Arial Narrow" w:hAnsi="Arial Narrow"/>
                <w:sz w:val="16"/>
                <w:szCs w:val="16"/>
              </w:rPr>
            </w:pPr>
            <w:r w:rsidRPr="00D1165C">
              <w:rPr>
                <w:rFonts w:ascii="Arial Narrow" w:hAnsi="Arial Narrow"/>
                <w:sz w:val="16"/>
                <w:szCs w:val="16"/>
              </w:rPr>
              <w:t>$22.01</w:t>
            </w: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A19B0">
            <w:pPr>
              <w:jc w:val="center"/>
              <w:rPr>
                <w:rFonts w:ascii="Arial Narrow" w:hAnsi="Arial Narrow"/>
                <w:sz w:val="16"/>
                <w:szCs w:val="16"/>
              </w:rPr>
            </w:pPr>
            <w:r>
              <w:rPr>
                <w:rFonts w:ascii="Arial Narrow" w:hAnsi="Arial Narrow"/>
                <w:sz w:val="16"/>
                <w:szCs w:val="16"/>
              </w:rPr>
              <w:t>$</w:t>
            </w:r>
            <w:r w:rsidR="00BE2FDF">
              <w:rPr>
                <w:rFonts w:ascii="Arial Narrow" w:hAnsi="Arial Narrow"/>
                <w:sz w:val="16"/>
                <w:szCs w:val="16"/>
              </w:rPr>
              <w:t>357</w:t>
            </w:r>
          </w:p>
        </w:tc>
      </w:tr>
      <w:tr w:rsidR="003F281B" w:rsidRPr="003B484C" w:rsidTr="003F281B">
        <w:trPr>
          <w:trHeight w:val="245"/>
        </w:trPr>
        <w:tc>
          <w:tcPr>
            <w:tcW w:w="1523" w:type="pct"/>
            <w:shd w:val="clear" w:color="auto" w:fill="F2F2F2" w:themeFill="background1" w:themeFillShade="F2"/>
            <w:noWrap/>
            <w:vAlign w:val="center"/>
          </w:tcPr>
          <w:p w:rsidR="003F281B" w:rsidRPr="00D1165C" w:rsidRDefault="003F281B" w:rsidP="003F281B">
            <w:pPr>
              <w:rPr>
                <w:rFonts w:ascii="Arial Narrow" w:hAnsi="Arial Narrow"/>
                <w:sz w:val="16"/>
                <w:szCs w:val="16"/>
              </w:rPr>
            </w:pPr>
            <w:r w:rsidRPr="00D1165C">
              <w:rPr>
                <w:rFonts w:ascii="Arial Narrow" w:hAnsi="Arial Narrow"/>
                <w:sz w:val="16"/>
                <w:szCs w:val="16"/>
              </w:rPr>
              <w:t>Clients with HIV Receiving Integrated Medical Services</w:t>
            </w:r>
            <w:r>
              <w:rPr>
                <w:rFonts w:ascii="Arial Narrow" w:hAnsi="Arial Narrow"/>
                <w:sz w:val="16"/>
                <w:szCs w:val="16"/>
              </w:rPr>
              <w:t xml:space="preserve"> – Interview with Client – Client not available – Administrative Data Only</w:t>
            </w:r>
            <w:r w:rsidR="008D556F">
              <w:rPr>
                <w:rFonts w:ascii="Arial Narrow" w:hAnsi="Arial Narrow"/>
                <w:sz w:val="16"/>
                <w:szCs w:val="16"/>
              </w:rPr>
              <w:t xml:space="preserve"> </w:t>
            </w:r>
            <w:r w:rsidR="008D556F" w:rsidRPr="008D556F">
              <w:rPr>
                <w:rFonts w:ascii="Arial Narrow" w:hAnsi="Arial Narrow"/>
                <w:sz w:val="16"/>
                <w:szCs w:val="16"/>
                <w:vertAlign w:val="superscript"/>
              </w:rPr>
              <w:t>4</w:t>
            </w:r>
          </w:p>
        </w:tc>
        <w:tc>
          <w:tcPr>
            <w:tcW w:w="571" w:type="pct"/>
            <w:shd w:val="clear" w:color="auto" w:fill="F2F2F2" w:themeFill="background1" w:themeFillShade="F2"/>
            <w:noWrap/>
          </w:tcPr>
          <w:p w:rsidR="003F281B" w:rsidRDefault="003F281B" w:rsidP="003F281B">
            <w:pPr>
              <w:jc w:val="center"/>
              <w:rPr>
                <w:sz w:val="16"/>
                <w:szCs w:val="16"/>
              </w:rPr>
            </w:pPr>
          </w:p>
          <w:p w:rsidR="003F281B" w:rsidRPr="00D1165C" w:rsidRDefault="00973FF9" w:rsidP="003F281B">
            <w:pPr>
              <w:jc w:val="center"/>
              <w:rPr>
                <w:sz w:val="16"/>
                <w:szCs w:val="16"/>
              </w:rPr>
            </w:pPr>
            <w:r>
              <w:rPr>
                <w:sz w:val="16"/>
                <w:szCs w:val="16"/>
              </w:rPr>
              <w:t>42</w:t>
            </w:r>
          </w:p>
        </w:tc>
        <w:tc>
          <w:tcPr>
            <w:tcW w:w="478" w:type="pct"/>
            <w:shd w:val="clear" w:color="auto" w:fill="F2F2F2" w:themeFill="background1" w:themeFillShade="F2"/>
            <w:noWrap/>
          </w:tcPr>
          <w:p w:rsidR="003F281B" w:rsidRDefault="003F281B" w:rsidP="003F281B">
            <w:pPr>
              <w:jc w:val="center"/>
              <w:rPr>
                <w:sz w:val="16"/>
                <w:szCs w:val="16"/>
              </w:rPr>
            </w:pPr>
          </w:p>
          <w:p w:rsidR="003F281B" w:rsidRPr="00D1165C" w:rsidRDefault="003F281B" w:rsidP="003F281B">
            <w:pPr>
              <w:jc w:val="center"/>
              <w:rPr>
                <w:sz w:val="16"/>
                <w:szCs w:val="16"/>
              </w:rPr>
            </w:pPr>
            <w:r>
              <w:rPr>
                <w:sz w:val="16"/>
                <w:szCs w:val="16"/>
              </w:rPr>
              <w:t>1</w:t>
            </w:r>
          </w:p>
        </w:tc>
        <w:tc>
          <w:tcPr>
            <w:tcW w:w="476" w:type="pct"/>
            <w:shd w:val="clear" w:color="auto" w:fill="F2F2F2" w:themeFill="background1" w:themeFillShade="F2"/>
            <w:vAlign w:val="center"/>
          </w:tcPr>
          <w:p w:rsidR="003F281B" w:rsidRPr="00D1165C" w:rsidRDefault="00973FF9" w:rsidP="003F281B">
            <w:pPr>
              <w:jc w:val="center"/>
              <w:rPr>
                <w:rFonts w:ascii="Arial Narrow" w:hAnsi="Arial Narrow"/>
                <w:sz w:val="16"/>
                <w:szCs w:val="16"/>
              </w:rPr>
            </w:pPr>
            <w:r>
              <w:rPr>
                <w:rFonts w:ascii="Arial Narrow" w:hAnsi="Arial Narrow"/>
                <w:sz w:val="16"/>
                <w:szCs w:val="16"/>
              </w:rPr>
              <w:t>42</w:t>
            </w:r>
          </w:p>
        </w:tc>
        <w:tc>
          <w:tcPr>
            <w:tcW w:w="571" w:type="pct"/>
            <w:shd w:val="clear" w:color="auto" w:fill="F2F2F2" w:themeFill="background1" w:themeFillShade="F2"/>
            <w:tcMar>
              <w:top w:w="0" w:type="dxa"/>
              <w:left w:w="108" w:type="dxa"/>
              <w:bottom w:w="0" w:type="dxa"/>
              <w:right w:w="108" w:type="dxa"/>
            </w:tcMar>
            <w:vAlign w:val="center"/>
          </w:tcPr>
          <w:p w:rsidR="003F281B" w:rsidRPr="00D1165C" w:rsidRDefault="00423A81" w:rsidP="003F281B">
            <w:pPr>
              <w:jc w:val="center"/>
              <w:rPr>
                <w:rFonts w:ascii="Arial Narrow" w:hAnsi="Arial Narrow"/>
                <w:sz w:val="16"/>
                <w:szCs w:val="16"/>
              </w:rPr>
            </w:pPr>
            <w:r>
              <w:rPr>
                <w:rFonts w:ascii="Arial Narrow" w:hAnsi="Arial Narrow"/>
                <w:sz w:val="16"/>
                <w:szCs w:val="16"/>
              </w:rPr>
              <w:t>0</w:t>
            </w:r>
            <w:r w:rsidR="003F281B">
              <w:rPr>
                <w:rFonts w:ascii="Arial Narrow" w:hAnsi="Arial Narrow"/>
                <w:sz w:val="16"/>
                <w:szCs w:val="16"/>
              </w:rPr>
              <w:t>.33</w:t>
            </w:r>
          </w:p>
        </w:tc>
        <w:tc>
          <w:tcPr>
            <w:tcW w:w="429" w:type="pct"/>
            <w:shd w:val="clear" w:color="auto" w:fill="F2F2F2" w:themeFill="background1" w:themeFillShade="F2"/>
            <w:noWrap/>
            <w:tcMar>
              <w:top w:w="0" w:type="dxa"/>
              <w:left w:w="108" w:type="dxa"/>
              <w:bottom w:w="0" w:type="dxa"/>
              <w:right w:w="108" w:type="dxa"/>
            </w:tcMar>
            <w:vAlign w:val="center"/>
          </w:tcPr>
          <w:p w:rsidR="003F281B" w:rsidRPr="00D1165C" w:rsidRDefault="00973FF9" w:rsidP="003F281B">
            <w:pPr>
              <w:jc w:val="center"/>
              <w:rPr>
                <w:rFonts w:ascii="Arial Narrow" w:hAnsi="Arial Narrow"/>
                <w:sz w:val="16"/>
                <w:szCs w:val="16"/>
              </w:rPr>
            </w:pPr>
            <w:r>
              <w:rPr>
                <w:rFonts w:ascii="Arial Narrow" w:hAnsi="Arial Narrow"/>
                <w:sz w:val="16"/>
                <w:szCs w:val="16"/>
              </w:rPr>
              <w:t>13.9</w:t>
            </w: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3F281B">
            <w:pPr>
              <w:jc w:val="center"/>
              <w:rPr>
                <w:rFonts w:ascii="Arial Narrow" w:hAnsi="Arial Narrow"/>
                <w:sz w:val="16"/>
                <w:szCs w:val="16"/>
              </w:rPr>
            </w:pPr>
            <w:r w:rsidRPr="00D1165C">
              <w:rPr>
                <w:rFonts w:ascii="Arial Narrow" w:hAnsi="Arial Narrow"/>
                <w:sz w:val="16"/>
                <w:szCs w:val="16"/>
              </w:rPr>
              <w:t>$22.01</w:t>
            </w: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8D556F">
            <w:pPr>
              <w:jc w:val="center"/>
              <w:rPr>
                <w:rFonts w:ascii="Arial Narrow" w:hAnsi="Arial Narrow"/>
                <w:sz w:val="16"/>
                <w:szCs w:val="16"/>
              </w:rPr>
            </w:pPr>
            <w:r>
              <w:rPr>
                <w:rFonts w:ascii="Arial Narrow" w:hAnsi="Arial Narrow"/>
                <w:sz w:val="16"/>
                <w:szCs w:val="16"/>
              </w:rPr>
              <w:t>$</w:t>
            </w:r>
            <w:r w:rsidR="00973FF9">
              <w:rPr>
                <w:rFonts w:ascii="Arial Narrow" w:hAnsi="Arial Narrow"/>
                <w:sz w:val="16"/>
                <w:szCs w:val="16"/>
              </w:rPr>
              <w:t>305</w:t>
            </w:r>
          </w:p>
        </w:tc>
      </w:tr>
      <w:tr w:rsidR="003F281B" w:rsidRPr="003B484C" w:rsidTr="003F281B">
        <w:trPr>
          <w:trHeight w:val="245"/>
        </w:trPr>
        <w:tc>
          <w:tcPr>
            <w:tcW w:w="1523" w:type="pct"/>
            <w:shd w:val="clear" w:color="auto" w:fill="F2F2F2" w:themeFill="background1" w:themeFillShade="F2"/>
            <w:noWrap/>
            <w:vAlign w:val="center"/>
          </w:tcPr>
          <w:p w:rsidR="003F281B" w:rsidRPr="00D1165C" w:rsidRDefault="003F281B" w:rsidP="003F281B">
            <w:pPr>
              <w:rPr>
                <w:rFonts w:ascii="Arial Narrow" w:hAnsi="Arial Narrow"/>
                <w:sz w:val="16"/>
                <w:szCs w:val="16"/>
              </w:rPr>
            </w:pPr>
            <w:r w:rsidRPr="00D1165C">
              <w:rPr>
                <w:rFonts w:ascii="Arial Narrow" w:hAnsi="Arial Narrow"/>
                <w:sz w:val="16"/>
                <w:szCs w:val="16"/>
              </w:rPr>
              <w:t>Individuals only Receiving  Prevention Services</w:t>
            </w:r>
            <w:r w:rsidR="008D556F">
              <w:rPr>
                <w:rFonts w:ascii="Arial Narrow" w:hAnsi="Arial Narrow"/>
                <w:sz w:val="16"/>
                <w:szCs w:val="16"/>
              </w:rPr>
              <w:t xml:space="preserve"> </w:t>
            </w:r>
            <w:r w:rsidR="008D556F" w:rsidRPr="008D556F">
              <w:rPr>
                <w:rFonts w:ascii="Arial Narrow" w:hAnsi="Arial Narrow"/>
                <w:sz w:val="16"/>
                <w:szCs w:val="16"/>
                <w:vertAlign w:val="superscript"/>
              </w:rPr>
              <w:t>5</w:t>
            </w:r>
          </w:p>
        </w:tc>
        <w:tc>
          <w:tcPr>
            <w:tcW w:w="571" w:type="pct"/>
            <w:shd w:val="clear" w:color="auto" w:fill="F2F2F2" w:themeFill="background1" w:themeFillShade="F2"/>
            <w:noWrap/>
          </w:tcPr>
          <w:p w:rsidR="003F281B" w:rsidRPr="00D1165C" w:rsidRDefault="008A709A" w:rsidP="003F281B">
            <w:pPr>
              <w:jc w:val="center"/>
              <w:rPr>
                <w:sz w:val="16"/>
                <w:szCs w:val="16"/>
              </w:rPr>
            </w:pPr>
            <w:r>
              <w:rPr>
                <w:sz w:val="16"/>
                <w:szCs w:val="16"/>
              </w:rPr>
              <w:t>800</w:t>
            </w:r>
          </w:p>
        </w:tc>
        <w:tc>
          <w:tcPr>
            <w:tcW w:w="478" w:type="pct"/>
            <w:shd w:val="clear" w:color="auto" w:fill="F2F2F2" w:themeFill="background1" w:themeFillShade="F2"/>
            <w:noWrap/>
          </w:tcPr>
          <w:p w:rsidR="003F281B" w:rsidRPr="00D1165C" w:rsidRDefault="003F281B" w:rsidP="003F281B">
            <w:pPr>
              <w:jc w:val="center"/>
              <w:rPr>
                <w:sz w:val="16"/>
                <w:szCs w:val="16"/>
              </w:rPr>
            </w:pPr>
            <w:r w:rsidRPr="00D1165C">
              <w:rPr>
                <w:sz w:val="16"/>
                <w:szCs w:val="16"/>
              </w:rPr>
              <w:t>1</w:t>
            </w:r>
          </w:p>
        </w:tc>
        <w:tc>
          <w:tcPr>
            <w:tcW w:w="476" w:type="pct"/>
            <w:shd w:val="clear" w:color="auto" w:fill="F2F2F2" w:themeFill="background1" w:themeFillShade="F2"/>
            <w:vAlign w:val="center"/>
          </w:tcPr>
          <w:p w:rsidR="003F281B" w:rsidRPr="00D1165C" w:rsidRDefault="008A709A" w:rsidP="003F281B">
            <w:pPr>
              <w:jc w:val="center"/>
              <w:rPr>
                <w:rFonts w:ascii="Arial Narrow" w:hAnsi="Arial Narrow"/>
                <w:sz w:val="16"/>
                <w:szCs w:val="16"/>
              </w:rPr>
            </w:pPr>
            <w:r>
              <w:rPr>
                <w:rFonts w:ascii="Arial Narrow" w:hAnsi="Arial Narrow"/>
                <w:sz w:val="16"/>
                <w:szCs w:val="16"/>
              </w:rPr>
              <w:t>800</w:t>
            </w:r>
          </w:p>
        </w:tc>
        <w:tc>
          <w:tcPr>
            <w:tcW w:w="571" w:type="pct"/>
            <w:shd w:val="clear" w:color="auto" w:fill="F2F2F2" w:themeFill="background1" w:themeFillShade="F2"/>
            <w:tcMar>
              <w:top w:w="0" w:type="dxa"/>
              <w:left w:w="108" w:type="dxa"/>
              <w:bottom w:w="0" w:type="dxa"/>
              <w:right w:w="108" w:type="dxa"/>
            </w:tcMar>
            <w:vAlign w:val="center"/>
          </w:tcPr>
          <w:p w:rsidR="003F281B" w:rsidRPr="00D1165C" w:rsidRDefault="003F281B" w:rsidP="003F281B">
            <w:pPr>
              <w:jc w:val="center"/>
              <w:rPr>
                <w:rFonts w:ascii="Arial Narrow" w:hAnsi="Arial Narrow"/>
                <w:sz w:val="16"/>
                <w:szCs w:val="16"/>
              </w:rPr>
            </w:pPr>
            <w:r w:rsidRPr="00D1165C">
              <w:rPr>
                <w:rFonts w:ascii="Arial Narrow" w:hAnsi="Arial Narrow"/>
                <w:sz w:val="16"/>
                <w:szCs w:val="16"/>
              </w:rPr>
              <w:t>0.06</w:t>
            </w:r>
          </w:p>
        </w:tc>
        <w:tc>
          <w:tcPr>
            <w:tcW w:w="429" w:type="pct"/>
            <w:shd w:val="clear" w:color="auto" w:fill="F2F2F2" w:themeFill="background1" w:themeFillShade="F2"/>
            <w:noWrap/>
            <w:tcMar>
              <w:top w:w="0" w:type="dxa"/>
              <w:left w:w="108" w:type="dxa"/>
              <w:bottom w:w="0" w:type="dxa"/>
              <w:right w:w="108" w:type="dxa"/>
            </w:tcMar>
            <w:vAlign w:val="center"/>
          </w:tcPr>
          <w:p w:rsidR="003F281B" w:rsidRPr="00D1165C" w:rsidRDefault="008A709A" w:rsidP="003F281B">
            <w:pPr>
              <w:jc w:val="center"/>
              <w:rPr>
                <w:rFonts w:ascii="Arial Narrow" w:hAnsi="Arial Narrow"/>
                <w:sz w:val="16"/>
                <w:szCs w:val="16"/>
              </w:rPr>
            </w:pPr>
            <w:r>
              <w:rPr>
                <w:rFonts w:ascii="Arial Narrow" w:hAnsi="Arial Narrow"/>
                <w:sz w:val="16"/>
                <w:szCs w:val="16"/>
              </w:rPr>
              <w:t>48</w:t>
            </w: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3F281B">
            <w:pPr>
              <w:jc w:val="center"/>
              <w:rPr>
                <w:rFonts w:ascii="Arial Narrow" w:hAnsi="Arial Narrow"/>
                <w:sz w:val="16"/>
                <w:szCs w:val="16"/>
              </w:rPr>
            </w:pPr>
            <w:r w:rsidRPr="00D1165C">
              <w:rPr>
                <w:rFonts w:ascii="Arial Narrow" w:hAnsi="Arial Narrow"/>
                <w:sz w:val="16"/>
                <w:szCs w:val="16"/>
              </w:rPr>
              <w:t>$22.01</w:t>
            </w: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3F281B">
            <w:pPr>
              <w:jc w:val="center"/>
              <w:rPr>
                <w:rFonts w:ascii="Arial Narrow" w:hAnsi="Arial Narrow"/>
                <w:sz w:val="16"/>
                <w:szCs w:val="16"/>
              </w:rPr>
            </w:pPr>
            <w:r w:rsidRPr="00D1165C">
              <w:rPr>
                <w:rFonts w:ascii="Arial Narrow" w:hAnsi="Arial Narrow"/>
                <w:sz w:val="16"/>
                <w:szCs w:val="16"/>
              </w:rPr>
              <w:t>$</w:t>
            </w:r>
            <w:r w:rsidR="008A709A">
              <w:rPr>
                <w:rFonts w:ascii="Arial Narrow" w:hAnsi="Arial Narrow"/>
                <w:sz w:val="16"/>
                <w:szCs w:val="16"/>
              </w:rPr>
              <w:t>1</w:t>
            </w:r>
            <w:r w:rsidR="0014789C">
              <w:rPr>
                <w:rFonts w:ascii="Arial Narrow" w:hAnsi="Arial Narrow"/>
                <w:sz w:val="16"/>
                <w:szCs w:val="16"/>
              </w:rPr>
              <w:t>,</w:t>
            </w:r>
            <w:r w:rsidR="008A709A">
              <w:rPr>
                <w:rFonts w:ascii="Arial Narrow" w:hAnsi="Arial Narrow"/>
                <w:sz w:val="16"/>
                <w:szCs w:val="16"/>
              </w:rPr>
              <w:t>056</w:t>
            </w:r>
          </w:p>
        </w:tc>
      </w:tr>
      <w:tr w:rsidR="003F281B" w:rsidRPr="003B484C" w:rsidTr="00C624FD">
        <w:trPr>
          <w:trHeight w:val="245"/>
        </w:trPr>
        <w:tc>
          <w:tcPr>
            <w:tcW w:w="1523" w:type="pct"/>
            <w:shd w:val="clear" w:color="auto" w:fill="F2F2F2" w:themeFill="background1" w:themeFillShade="F2"/>
            <w:noWrap/>
            <w:vAlign w:val="center"/>
          </w:tcPr>
          <w:p w:rsidR="003F281B" w:rsidRPr="00D1165C" w:rsidRDefault="003F281B" w:rsidP="00D1165C">
            <w:pPr>
              <w:rPr>
                <w:rFonts w:ascii="Arial Narrow" w:hAnsi="Arial Narrow"/>
                <w:b/>
                <w:sz w:val="16"/>
                <w:szCs w:val="16"/>
              </w:rPr>
            </w:pPr>
          </w:p>
        </w:tc>
        <w:tc>
          <w:tcPr>
            <w:tcW w:w="571" w:type="pct"/>
            <w:shd w:val="clear" w:color="auto" w:fill="F2F2F2" w:themeFill="background1" w:themeFillShade="F2"/>
            <w:noWrap/>
            <w:vAlign w:val="center"/>
          </w:tcPr>
          <w:p w:rsidR="003F281B" w:rsidRPr="00D1165C" w:rsidRDefault="003F281B" w:rsidP="00D52531">
            <w:pPr>
              <w:jc w:val="center"/>
              <w:rPr>
                <w:rFonts w:ascii="Arial Narrow" w:hAnsi="Arial Narrow"/>
                <w:b/>
                <w:sz w:val="16"/>
                <w:szCs w:val="16"/>
              </w:rPr>
            </w:pPr>
          </w:p>
        </w:tc>
        <w:tc>
          <w:tcPr>
            <w:tcW w:w="478" w:type="pct"/>
            <w:shd w:val="clear" w:color="auto" w:fill="F2F2F2" w:themeFill="background1" w:themeFillShade="F2"/>
            <w:noWrap/>
            <w:vAlign w:val="center"/>
          </w:tcPr>
          <w:p w:rsidR="003F281B" w:rsidRPr="00D1165C" w:rsidRDefault="003F281B" w:rsidP="00D52531">
            <w:pPr>
              <w:jc w:val="center"/>
              <w:rPr>
                <w:rFonts w:ascii="Arial Narrow" w:hAnsi="Arial Narrow"/>
                <w:sz w:val="16"/>
                <w:szCs w:val="16"/>
              </w:rPr>
            </w:pPr>
          </w:p>
        </w:tc>
        <w:tc>
          <w:tcPr>
            <w:tcW w:w="476" w:type="pct"/>
            <w:shd w:val="clear" w:color="auto" w:fill="F2F2F2" w:themeFill="background1" w:themeFillShade="F2"/>
            <w:vAlign w:val="center"/>
          </w:tcPr>
          <w:p w:rsidR="003F281B" w:rsidRPr="00D1165C" w:rsidRDefault="003F281B" w:rsidP="00D52531">
            <w:pPr>
              <w:jc w:val="center"/>
              <w:rPr>
                <w:rFonts w:ascii="Arial Narrow" w:hAnsi="Arial Narrow"/>
                <w:b/>
                <w:sz w:val="16"/>
                <w:szCs w:val="16"/>
              </w:rPr>
            </w:pPr>
          </w:p>
        </w:tc>
        <w:tc>
          <w:tcPr>
            <w:tcW w:w="571" w:type="pct"/>
            <w:shd w:val="clear" w:color="auto" w:fill="F2F2F2" w:themeFill="background1" w:themeFillShade="F2"/>
            <w:tcMar>
              <w:top w:w="0" w:type="dxa"/>
              <w:left w:w="108" w:type="dxa"/>
              <w:bottom w:w="0" w:type="dxa"/>
              <w:right w:w="108" w:type="dxa"/>
            </w:tcMar>
            <w:vAlign w:val="center"/>
          </w:tcPr>
          <w:p w:rsidR="003F281B" w:rsidRPr="00D1165C" w:rsidRDefault="003F281B" w:rsidP="00681B12">
            <w:pPr>
              <w:jc w:val="center"/>
              <w:rPr>
                <w:rFonts w:ascii="Arial Narrow" w:hAnsi="Arial Narrow"/>
                <w:sz w:val="16"/>
                <w:szCs w:val="16"/>
              </w:rPr>
            </w:pPr>
          </w:p>
        </w:tc>
        <w:tc>
          <w:tcPr>
            <w:tcW w:w="429"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52531">
            <w:pPr>
              <w:jc w:val="center"/>
              <w:rPr>
                <w:rFonts w:ascii="Arial Narrow" w:hAnsi="Arial Narrow"/>
                <w:b/>
                <w:sz w:val="16"/>
                <w:szCs w:val="16"/>
              </w:rPr>
            </w:pP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52531">
            <w:pPr>
              <w:jc w:val="center"/>
              <w:rPr>
                <w:rFonts w:ascii="Arial Narrow" w:hAnsi="Arial Narrow"/>
                <w:sz w:val="16"/>
                <w:szCs w:val="16"/>
              </w:rPr>
            </w:pP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A19B0">
            <w:pPr>
              <w:jc w:val="center"/>
              <w:rPr>
                <w:rFonts w:ascii="Arial Narrow" w:hAnsi="Arial Narrow"/>
                <w:sz w:val="16"/>
                <w:szCs w:val="16"/>
              </w:rPr>
            </w:pPr>
          </w:p>
        </w:tc>
      </w:tr>
      <w:tr w:rsidR="003F281B" w:rsidRPr="003B484C" w:rsidTr="00D35ACD">
        <w:trPr>
          <w:trHeight w:val="245"/>
        </w:trPr>
        <w:tc>
          <w:tcPr>
            <w:tcW w:w="5000" w:type="pct"/>
            <w:gridSpan w:val="8"/>
            <w:shd w:val="clear" w:color="auto" w:fill="F2F2F2" w:themeFill="background1" w:themeFillShade="F2"/>
            <w:noWrap/>
            <w:vAlign w:val="center"/>
          </w:tcPr>
          <w:p w:rsidR="003F281B" w:rsidRPr="00D1165C" w:rsidRDefault="003F281B" w:rsidP="00D1165C">
            <w:pPr>
              <w:rPr>
                <w:rFonts w:ascii="Arial Narrow" w:hAnsi="Arial Narrow"/>
                <w:sz w:val="16"/>
                <w:szCs w:val="16"/>
              </w:rPr>
            </w:pPr>
            <w:r w:rsidRPr="00D1165C">
              <w:rPr>
                <w:rFonts w:ascii="Arial Narrow" w:hAnsi="Arial Narrow"/>
                <w:b/>
                <w:sz w:val="16"/>
                <w:szCs w:val="16"/>
              </w:rPr>
              <w:t>HIV Indicators – Baseline</w:t>
            </w:r>
          </w:p>
        </w:tc>
      </w:tr>
      <w:tr w:rsidR="003F281B" w:rsidRPr="003B484C" w:rsidTr="00C624FD">
        <w:trPr>
          <w:trHeight w:val="245"/>
        </w:trPr>
        <w:tc>
          <w:tcPr>
            <w:tcW w:w="1523" w:type="pct"/>
            <w:shd w:val="clear" w:color="auto" w:fill="F2F2F2" w:themeFill="background1" w:themeFillShade="F2"/>
            <w:noWrap/>
            <w:vAlign w:val="center"/>
          </w:tcPr>
          <w:p w:rsidR="003F281B" w:rsidRPr="00D1165C" w:rsidRDefault="003F281B" w:rsidP="00D1165C">
            <w:pPr>
              <w:rPr>
                <w:rFonts w:ascii="Arial Narrow" w:hAnsi="Arial Narrow"/>
                <w:sz w:val="16"/>
                <w:szCs w:val="16"/>
              </w:rPr>
            </w:pPr>
            <w:r w:rsidRPr="00D1165C">
              <w:rPr>
                <w:rFonts w:ascii="Arial Narrow" w:hAnsi="Arial Narrow"/>
                <w:sz w:val="16"/>
                <w:szCs w:val="16"/>
              </w:rPr>
              <w:t>Clients with HIV Receiving Integrated Medical Services</w:t>
            </w:r>
          </w:p>
        </w:tc>
        <w:tc>
          <w:tcPr>
            <w:tcW w:w="571" w:type="pct"/>
            <w:shd w:val="clear" w:color="auto" w:fill="F2F2F2" w:themeFill="background1" w:themeFillShade="F2"/>
            <w:noWrap/>
            <w:vAlign w:val="center"/>
          </w:tcPr>
          <w:p w:rsidR="003F281B" w:rsidRPr="00D1165C" w:rsidRDefault="008A709A" w:rsidP="00BE608B">
            <w:pPr>
              <w:jc w:val="center"/>
              <w:rPr>
                <w:rFonts w:ascii="Arial Narrow" w:hAnsi="Arial Narrow"/>
                <w:sz w:val="16"/>
                <w:szCs w:val="16"/>
              </w:rPr>
            </w:pPr>
            <w:r>
              <w:rPr>
                <w:rFonts w:ascii="Arial Narrow" w:hAnsi="Arial Narrow"/>
                <w:sz w:val="16"/>
                <w:szCs w:val="16"/>
              </w:rPr>
              <w:t>200</w:t>
            </w:r>
          </w:p>
        </w:tc>
        <w:tc>
          <w:tcPr>
            <w:tcW w:w="478" w:type="pct"/>
            <w:shd w:val="clear" w:color="auto" w:fill="F2F2F2" w:themeFill="background1" w:themeFillShade="F2"/>
            <w:noWrap/>
            <w:vAlign w:val="center"/>
          </w:tcPr>
          <w:p w:rsidR="003F281B" w:rsidRPr="00D1165C" w:rsidRDefault="003F281B" w:rsidP="00BE608B">
            <w:pPr>
              <w:jc w:val="center"/>
              <w:rPr>
                <w:rFonts w:ascii="Arial Narrow" w:hAnsi="Arial Narrow"/>
                <w:sz w:val="16"/>
                <w:szCs w:val="16"/>
              </w:rPr>
            </w:pPr>
            <w:r w:rsidRPr="00D1165C">
              <w:rPr>
                <w:rFonts w:ascii="Arial Narrow" w:hAnsi="Arial Narrow"/>
                <w:sz w:val="16"/>
                <w:szCs w:val="16"/>
              </w:rPr>
              <w:t>1</w:t>
            </w:r>
          </w:p>
        </w:tc>
        <w:tc>
          <w:tcPr>
            <w:tcW w:w="476" w:type="pct"/>
            <w:shd w:val="clear" w:color="auto" w:fill="F2F2F2" w:themeFill="background1" w:themeFillShade="F2"/>
            <w:vAlign w:val="center"/>
          </w:tcPr>
          <w:p w:rsidR="003F281B" w:rsidRPr="00D1165C" w:rsidRDefault="008A709A" w:rsidP="00BE608B">
            <w:pPr>
              <w:jc w:val="center"/>
              <w:rPr>
                <w:rFonts w:ascii="Arial Narrow" w:hAnsi="Arial Narrow"/>
                <w:sz w:val="16"/>
                <w:szCs w:val="16"/>
              </w:rPr>
            </w:pPr>
            <w:r>
              <w:rPr>
                <w:rFonts w:ascii="Arial Narrow" w:hAnsi="Arial Narrow"/>
                <w:sz w:val="16"/>
                <w:szCs w:val="16"/>
              </w:rPr>
              <w:t>200</w:t>
            </w:r>
          </w:p>
        </w:tc>
        <w:tc>
          <w:tcPr>
            <w:tcW w:w="571" w:type="pct"/>
            <w:shd w:val="clear" w:color="auto" w:fill="F2F2F2" w:themeFill="background1" w:themeFillShade="F2"/>
            <w:tcMar>
              <w:top w:w="0" w:type="dxa"/>
              <w:left w:w="108" w:type="dxa"/>
              <w:bottom w:w="0" w:type="dxa"/>
              <w:right w:w="108" w:type="dxa"/>
            </w:tcMar>
            <w:vAlign w:val="center"/>
          </w:tcPr>
          <w:p w:rsidR="003F281B" w:rsidRPr="00D1165C" w:rsidRDefault="00423A81" w:rsidP="00BE608B">
            <w:pPr>
              <w:jc w:val="center"/>
              <w:rPr>
                <w:rFonts w:ascii="Arial Narrow" w:hAnsi="Arial Narrow"/>
                <w:sz w:val="16"/>
                <w:szCs w:val="16"/>
              </w:rPr>
            </w:pPr>
            <w:r>
              <w:rPr>
                <w:rFonts w:ascii="Arial Narrow" w:hAnsi="Arial Narrow"/>
                <w:sz w:val="16"/>
                <w:szCs w:val="16"/>
              </w:rPr>
              <w:t>0</w:t>
            </w:r>
            <w:r w:rsidR="003F281B" w:rsidRPr="00D1165C">
              <w:rPr>
                <w:rFonts w:ascii="Arial Narrow" w:hAnsi="Arial Narrow"/>
                <w:sz w:val="16"/>
                <w:szCs w:val="16"/>
              </w:rPr>
              <w:t>.33</w:t>
            </w:r>
          </w:p>
        </w:tc>
        <w:tc>
          <w:tcPr>
            <w:tcW w:w="429" w:type="pct"/>
            <w:shd w:val="clear" w:color="auto" w:fill="F2F2F2" w:themeFill="background1" w:themeFillShade="F2"/>
            <w:noWrap/>
            <w:tcMar>
              <w:top w:w="0" w:type="dxa"/>
              <w:left w:w="108" w:type="dxa"/>
              <w:bottom w:w="0" w:type="dxa"/>
              <w:right w:w="108" w:type="dxa"/>
            </w:tcMar>
            <w:vAlign w:val="center"/>
          </w:tcPr>
          <w:p w:rsidR="003F281B" w:rsidRPr="00D1165C" w:rsidRDefault="008A709A" w:rsidP="00BE608B">
            <w:pPr>
              <w:jc w:val="center"/>
              <w:rPr>
                <w:rFonts w:ascii="Arial Narrow" w:hAnsi="Arial Narrow"/>
                <w:sz w:val="16"/>
                <w:szCs w:val="16"/>
              </w:rPr>
            </w:pPr>
            <w:r>
              <w:rPr>
                <w:rFonts w:ascii="Arial Narrow" w:hAnsi="Arial Narrow"/>
                <w:sz w:val="16"/>
                <w:szCs w:val="16"/>
              </w:rPr>
              <w:t>66</w:t>
            </w: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BE608B">
            <w:pPr>
              <w:jc w:val="center"/>
              <w:rPr>
                <w:rFonts w:ascii="Arial Narrow" w:hAnsi="Arial Narrow"/>
                <w:sz w:val="16"/>
                <w:szCs w:val="16"/>
              </w:rPr>
            </w:pPr>
            <w:r w:rsidRPr="00D1165C">
              <w:rPr>
                <w:rFonts w:ascii="Arial Narrow" w:hAnsi="Arial Narrow"/>
                <w:sz w:val="16"/>
                <w:szCs w:val="16"/>
              </w:rPr>
              <w:t>$22.01</w:t>
            </w: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8A709A">
            <w:pPr>
              <w:jc w:val="center"/>
              <w:rPr>
                <w:rFonts w:ascii="Arial Narrow" w:hAnsi="Arial Narrow"/>
                <w:sz w:val="16"/>
                <w:szCs w:val="16"/>
              </w:rPr>
            </w:pPr>
            <w:r w:rsidRPr="00D1165C">
              <w:rPr>
                <w:rFonts w:ascii="Arial Narrow" w:hAnsi="Arial Narrow"/>
                <w:sz w:val="16"/>
                <w:szCs w:val="16"/>
              </w:rPr>
              <w:t>$1,</w:t>
            </w:r>
            <w:r w:rsidR="008A709A">
              <w:rPr>
                <w:rFonts w:ascii="Arial Narrow" w:hAnsi="Arial Narrow"/>
                <w:sz w:val="16"/>
                <w:szCs w:val="16"/>
              </w:rPr>
              <w:t>453</w:t>
            </w:r>
          </w:p>
        </w:tc>
      </w:tr>
      <w:tr w:rsidR="003F281B" w:rsidRPr="003B484C" w:rsidTr="00C624FD">
        <w:trPr>
          <w:trHeight w:val="245"/>
        </w:trPr>
        <w:tc>
          <w:tcPr>
            <w:tcW w:w="1523" w:type="pct"/>
            <w:shd w:val="clear" w:color="auto" w:fill="F2F2F2" w:themeFill="background1" w:themeFillShade="F2"/>
            <w:noWrap/>
            <w:vAlign w:val="center"/>
          </w:tcPr>
          <w:p w:rsidR="003F281B" w:rsidRPr="00D1165C" w:rsidRDefault="003F281B" w:rsidP="00D1165C">
            <w:pPr>
              <w:rPr>
                <w:rFonts w:ascii="Arial Narrow" w:hAnsi="Arial Narrow"/>
                <w:b/>
                <w:sz w:val="16"/>
                <w:szCs w:val="16"/>
              </w:rPr>
            </w:pPr>
          </w:p>
        </w:tc>
        <w:tc>
          <w:tcPr>
            <w:tcW w:w="571" w:type="pct"/>
            <w:shd w:val="clear" w:color="auto" w:fill="F2F2F2" w:themeFill="background1" w:themeFillShade="F2"/>
            <w:noWrap/>
            <w:vAlign w:val="center"/>
          </w:tcPr>
          <w:p w:rsidR="003F281B" w:rsidRPr="00D1165C" w:rsidRDefault="003F281B" w:rsidP="00D52531">
            <w:pPr>
              <w:jc w:val="center"/>
              <w:rPr>
                <w:rFonts w:ascii="Arial Narrow" w:hAnsi="Arial Narrow"/>
                <w:b/>
                <w:sz w:val="16"/>
                <w:szCs w:val="16"/>
              </w:rPr>
            </w:pPr>
          </w:p>
        </w:tc>
        <w:tc>
          <w:tcPr>
            <w:tcW w:w="478" w:type="pct"/>
            <w:shd w:val="clear" w:color="auto" w:fill="F2F2F2" w:themeFill="background1" w:themeFillShade="F2"/>
            <w:noWrap/>
            <w:vAlign w:val="center"/>
          </w:tcPr>
          <w:p w:rsidR="003F281B" w:rsidRPr="00D1165C" w:rsidRDefault="003F281B" w:rsidP="00D52531">
            <w:pPr>
              <w:jc w:val="center"/>
              <w:rPr>
                <w:rFonts w:ascii="Arial Narrow" w:hAnsi="Arial Narrow"/>
                <w:sz w:val="16"/>
                <w:szCs w:val="16"/>
              </w:rPr>
            </w:pPr>
          </w:p>
        </w:tc>
        <w:tc>
          <w:tcPr>
            <w:tcW w:w="476" w:type="pct"/>
            <w:shd w:val="clear" w:color="auto" w:fill="F2F2F2" w:themeFill="background1" w:themeFillShade="F2"/>
            <w:vAlign w:val="center"/>
          </w:tcPr>
          <w:p w:rsidR="003F281B" w:rsidRPr="00D1165C" w:rsidRDefault="003F281B" w:rsidP="00D52531">
            <w:pPr>
              <w:jc w:val="center"/>
              <w:rPr>
                <w:rFonts w:ascii="Arial Narrow" w:hAnsi="Arial Narrow"/>
                <w:b/>
                <w:sz w:val="16"/>
                <w:szCs w:val="16"/>
              </w:rPr>
            </w:pPr>
          </w:p>
        </w:tc>
        <w:tc>
          <w:tcPr>
            <w:tcW w:w="571" w:type="pct"/>
            <w:shd w:val="clear" w:color="auto" w:fill="F2F2F2" w:themeFill="background1" w:themeFillShade="F2"/>
            <w:tcMar>
              <w:top w:w="0" w:type="dxa"/>
              <w:left w:w="108" w:type="dxa"/>
              <w:bottom w:w="0" w:type="dxa"/>
              <w:right w:w="108" w:type="dxa"/>
            </w:tcMar>
            <w:vAlign w:val="center"/>
          </w:tcPr>
          <w:p w:rsidR="003F281B" w:rsidRPr="00D1165C" w:rsidRDefault="003F281B" w:rsidP="00681B12">
            <w:pPr>
              <w:jc w:val="center"/>
              <w:rPr>
                <w:rFonts w:ascii="Arial Narrow" w:hAnsi="Arial Narrow"/>
                <w:sz w:val="16"/>
                <w:szCs w:val="16"/>
              </w:rPr>
            </w:pPr>
          </w:p>
        </w:tc>
        <w:tc>
          <w:tcPr>
            <w:tcW w:w="429"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52531">
            <w:pPr>
              <w:jc w:val="center"/>
              <w:rPr>
                <w:rFonts w:ascii="Arial Narrow" w:hAnsi="Arial Narrow"/>
                <w:b/>
                <w:sz w:val="16"/>
                <w:szCs w:val="16"/>
              </w:rPr>
            </w:pP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52531">
            <w:pPr>
              <w:jc w:val="center"/>
              <w:rPr>
                <w:rFonts w:ascii="Arial Narrow" w:hAnsi="Arial Narrow"/>
                <w:sz w:val="16"/>
                <w:szCs w:val="16"/>
              </w:rPr>
            </w:pP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DA19B0">
            <w:pPr>
              <w:jc w:val="center"/>
              <w:rPr>
                <w:rFonts w:ascii="Arial Narrow" w:hAnsi="Arial Narrow"/>
                <w:sz w:val="16"/>
                <w:szCs w:val="16"/>
              </w:rPr>
            </w:pPr>
          </w:p>
        </w:tc>
      </w:tr>
      <w:tr w:rsidR="003F281B" w:rsidRPr="003B484C" w:rsidTr="00D35ACD">
        <w:trPr>
          <w:trHeight w:val="245"/>
        </w:trPr>
        <w:tc>
          <w:tcPr>
            <w:tcW w:w="5000" w:type="pct"/>
            <w:gridSpan w:val="8"/>
            <w:shd w:val="clear" w:color="auto" w:fill="F2F2F2" w:themeFill="background1" w:themeFillShade="F2"/>
            <w:noWrap/>
            <w:vAlign w:val="center"/>
          </w:tcPr>
          <w:p w:rsidR="003F281B" w:rsidRPr="00D1165C" w:rsidRDefault="003F281B" w:rsidP="00D1165C">
            <w:pPr>
              <w:rPr>
                <w:rFonts w:ascii="Arial Narrow" w:hAnsi="Arial Narrow"/>
                <w:sz w:val="16"/>
                <w:szCs w:val="16"/>
              </w:rPr>
            </w:pPr>
            <w:r w:rsidRPr="00D1165C">
              <w:rPr>
                <w:rFonts w:ascii="Arial Narrow" w:hAnsi="Arial Narrow"/>
                <w:b/>
                <w:sz w:val="16"/>
                <w:szCs w:val="16"/>
              </w:rPr>
              <w:t>HIV Indicators – Follow Up</w:t>
            </w:r>
          </w:p>
        </w:tc>
      </w:tr>
      <w:tr w:rsidR="003F281B" w:rsidRPr="003B484C" w:rsidTr="00C624FD">
        <w:trPr>
          <w:trHeight w:val="245"/>
        </w:trPr>
        <w:tc>
          <w:tcPr>
            <w:tcW w:w="1523" w:type="pct"/>
            <w:shd w:val="clear" w:color="auto" w:fill="F2F2F2" w:themeFill="background1" w:themeFillShade="F2"/>
            <w:noWrap/>
            <w:vAlign w:val="center"/>
          </w:tcPr>
          <w:p w:rsidR="003F281B" w:rsidRPr="00D1165C" w:rsidRDefault="003F281B" w:rsidP="00D1165C">
            <w:pPr>
              <w:rPr>
                <w:rFonts w:ascii="Arial Narrow" w:hAnsi="Arial Narrow"/>
                <w:sz w:val="16"/>
                <w:szCs w:val="16"/>
              </w:rPr>
            </w:pPr>
            <w:r w:rsidRPr="00D1165C">
              <w:rPr>
                <w:rFonts w:ascii="Arial Narrow" w:hAnsi="Arial Narrow"/>
                <w:sz w:val="16"/>
                <w:szCs w:val="16"/>
              </w:rPr>
              <w:t>Clients with HIV Receiving Integrated Medical Services</w:t>
            </w:r>
          </w:p>
        </w:tc>
        <w:tc>
          <w:tcPr>
            <w:tcW w:w="571" w:type="pct"/>
            <w:shd w:val="clear" w:color="auto" w:fill="F2F2F2" w:themeFill="background1" w:themeFillShade="F2"/>
            <w:noWrap/>
            <w:vAlign w:val="center"/>
          </w:tcPr>
          <w:p w:rsidR="003F281B" w:rsidRPr="00D1165C" w:rsidRDefault="003F281B" w:rsidP="00BE608B">
            <w:pPr>
              <w:jc w:val="center"/>
              <w:rPr>
                <w:rFonts w:ascii="Arial Narrow" w:hAnsi="Arial Narrow"/>
                <w:sz w:val="16"/>
                <w:szCs w:val="16"/>
              </w:rPr>
            </w:pPr>
            <w:r w:rsidRPr="00D1165C">
              <w:rPr>
                <w:rFonts w:ascii="Arial Narrow" w:hAnsi="Arial Narrow"/>
                <w:sz w:val="16"/>
                <w:szCs w:val="16"/>
              </w:rPr>
              <w:t>1</w:t>
            </w:r>
            <w:r w:rsidR="008A709A">
              <w:rPr>
                <w:rFonts w:ascii="Arial Narrow" w:hAnsi="Arial Narrow"/>
                <w:sz w:val="16"/>
                <w:szCs w:val="16"/>
              </w:rPr>
              <w:t>20</w:t>
            </w:r>
          </w:p>
        </w:tc>
        <w:tc>
          <w:tcPr>
            <w:tcW w:w="478" w:type="pct"/>
            <w:shd w:val="clear" w:color="auto" w:fill="F2F2F2" w:themeFill="background1" w:themeFillShade="F2"/>
            <w:noWrap/>
            <w:vAlign w:val="center"/>
          </w:tcPr>
          <w:p w:rsidR="003F281B" w:rsidRPr="00D1165C" w:rsidRDefault="003F281B" w:rsidP="00BE608B">
            <w:pPr>
              <w:jc w:val="center"/>
              <w:rPr>
                <w:rFonts w:ascii="Arial Narrow" w:hAnsi="Arial Narrow"/>
                <w:sz w:val="16"/>
                <w:szCs w:val="16"/>
              </w:rPr>
            </w:pPr>
            <w:r w:rsidRPr="00D1165C">
              <w:rPr>
                <w:rFonts w:ascii="Arial Narrow" w:hAnsi="Arial Narrow"/>
                <w:sz w:val="16"/>
                <w:szCs w:val="16"/>
              </w:rPr>
              <w:t>1</w:t>
            </w:r>
          </w:p>
        </w:tc>
        <w:tc>
          <w:tcPr>
            <w:tcW w:w="476" w:type="pct"/>
            <w:shd w:val="clear" w:color="auto" w:fill="F2F2F2" w:themeFill="background1" w:themeFillShade="F2"/>
            <w:vAlign w:val="center"/>
          </w:tcPr>
          <w:p w:rsidR="003F281B" w:rsidRPr="00D1165C" w:rsidRDefault="003F281B" w:rsidP="00BE608B">
            <w:pPr>
              <w:jc w:val="center"/>
              <w:rPr>
                <w:rFonts w:ascii="Arial Narrow" w:hAnsi="Arial Narrow"/>
                <w:sz w:val="16"/>
                <w:szCs w:val="16"/>
              </w:rPr>
            </w:pPr>
            <w:r w:rsidRPr="00D1165C">
              <w:rPr>
                <w:rFonts w:ascii="Arial Narrow" w:hAnsi="Arial Narrow"/>
                <w:sz w:val="16"/>
                <w:szCs w:val="16"/>
              </w:rPr>
              <w:t>1</w:t>
            </w:r>
            <w:r w:rsidR="008A709A">
              <w:rPr>
                <w:rFonts w:ascii="Arial Narrow" w:hAnsi="Arial Narrow"/>
                <w:sz w:val="16"/>
                <w:szCs w:val="16"/>
              </w:rPr>
              <w:t>20</w:t>
            </w:r>
          </w:p>
        </w:tc>
        <w:tc>
          <w:tcPr>
            <w:tcW w:w="571" w:type="pct"/>
            <w:shd w:val="clear" w:color="auto" w:fill="F2F2F2" w:themeFill="background1" w:themeFillShade="F2"/>
            <w:tcMar>
              <w:top w:w="0" w:type="dxa"/>
              <w:left w:w="108" w:type="dxa"/>
              <w:bottom w:w="0" w:type="dxa"/>
              <w:right w:w="108" w:type="dxa"/>
            </w:tcMar>
            <w:vAlign w:val="center"/>
          </w:tcPr>
          <w:p w:rsidR="003F281B" w:rsidRPr="00D1165C" w:rsidRDefault="00423A81" w:rsidP="00BE608B">
            <w:pPr>
              <w:jc w:val="center"/>
              <w:rPr>
                <w:rFonts w:ascii="Arial Narrow" w:hAnsi="Arial Narrow"/>
                <w:sz w:val="16"/>
                <w:szCs w:val="16"/>
              </w:rPr>
            </w:pPr>
            <w:r>
              <w:rPr>
                <w:rFonts w:ascii="Arial Narrow" w:hAnsi="Arial Narrow"/>
                <w:sz w:val="16"/>
                <w:szCs w:val="16"/>
              </w:rPr>
              <w:t>0</w:t>
            </w:r>
            <w:r w:rsidR="003F281B" w:rsidRPr="00D1165C">
              <w:rPr>
                <w:rFonts w:ascii="Arial Narrow" w:hAnsi="Arial Narrow"/>
                <w:sz w:val="16"/>
                <w:szCs w:val="16"/>
              </w:rPr>
              <w:t>.25</w:t>
            </w:r>
          </w:p>
        </w:tc>
        <w:tc>
          <w:tcPr>
            <w:tcW w:w="429" w:type="pct"/>
            <w:shd w:val="clear" w:color="auto" w:fill="F2F2F2" w:themeFill="background1" w:themeFillShade="F2"/>
            <w:noWrap/>
            <w:tcMar>
              <w:top w:w="0" w:type="dxa"/>
              <w:left w:w="108" w:type="dxa"/>
              <w:bottom w:w="0" w:type="dxa"/>
              <w:right w:w="108" w:type="dxa"/>
            </w:tcMar>
            <w:vAlign w:val="center"/>
          </w:tcPr>
          <w:p w:rsidR="003F281B" w:rsidRPr="00D1165C" w:rsidRDefault="008A709A" w:rsidP="00BE608B">
            <w:pPr>
              <w:jc w:val="center"/>
              <w:rPr>
                <w:rFonts w:ascii="Arial Narrow" w:hAnsi="Arial Narrow"/>
                <w:sz w:val="16"/>
                <w:szCs w:val="16"/>
              </w:rPr>
            </w:pPr>
            <w:r>
              <w:rPr>
                <w:rFonts w:ascii="Arial Narrow" w:hAnsi="Arial Narrow"/>
                <w:sz w:val="16"/>
                <w:szCs w:val="16"/>
              </w:rPr>
              <w:t>30</w:t>
            </w: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BE608B">
            <w:pPr>
              <w:jc w:val="center"/>
              <w:rPr>
                <w:rFonts w:ascii="Arial Narrow" w:hAnsi="Arial Narrow"/>
                <w:sz w:val="16"/>
                <w:szCs w:val="16"/>
              </w:rPr>
            </w:pPr>
            <w:r w:rsidRPr="00D1165C">
              <w:rPr>
                <w:rFonts w:ascii="Arial Narrow" w:hAnsi="Arial Narrow"/>
                <w:sz w:val="16"/>
                <w:szCs w:val="16"/>
              </w:rPr>
              <w:t>$22.01</w:t>
            </w: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8A709A">
            <w:pPr>
              <w:jc w:val="center"/>
              <w:rPr>
                <w:rFonts w:ascii="Arial Narrow" w:hAnsi="Arial Narrow"/>
                <w:sz w:val="16"/>
                <w:szCs w:val="16"/>
              </w:rPr>
            </w:pPr>
            <w:r w:rsidRPr="00D1165C">
              <w:rPr>
                <w:rFonts w:ascii="Arial Narrow" w:hAnsi="Arial Narrow"/>
                <w:sz w:val="16"/>
                <w:szCs w:val="16"/>
              </w:rPr>
              <w:t>$</w:t>
            </w:r>
            <w:r w:rsidR="008A709A">
              <w:rPr>
                <w:rFonts w:ascii="Arial Narrow" w:hAnsi="Arial Narrow"/>
                <w:sz w:val="16"/>
                <w:szCs w:val="16"/>
              </w:rPr>
              <w:t>660</w:t>
            </w:r>
          </w:p>
        </w:tc>
      </w:tr>
      <w:tr w:rsidR="003F281B" w:rsidRPr="003B484C" w:rsidTr="00C624FD">
        <w:trPr>
          <w:trHeight w:val="245"/>
        </w:trPr>
        <w:tc>
          <w:tcPr>
            <w:tcW w:w="1523" w:type="pct"/>
            <w:shd w:val="clear" w:color="auto" w:fill="F2F2F2" w:themeFill="background1" w:themeFillShade="F2"/>
            <w:noWrap/>
            <w:vAlign w:val="center"/>
          </w:tcPr>
          <w:p w:rsidR="003F281B" w:rsidRPr="00D1165C" w:rsidRDefault="003F281B" w:rsidP="00D1165C">
            <w:pPr>
              <w:rPr>
                <w:rFonts w:ascii="Arial Narrow" w:hAnsi="Arial Narrow"/>
                <w:sz w:val="16"/>
                <w:szCs w:val="16"/>
              </w:rPr>
            </w:pPr>
            <w:r w:rsidRPr="00D1165C">
              <w:rPr>
                <w:rFonts w:ascii="Arial Narrow" w:hAnsi="Arial Narrow"/>
                <w:b/>
                <w:sz w:val="16"/>
                <w:szCs w:val="16"/>
              </w:rPr>
              <w:t>Annual Total</w:t>
            </w:r>
          </w:p>
        </w:tc>
        <w:tc>
          <w:tcPr>
            <w:tcW w:w="571" w:type="pct"/>
            <w:shd w:val="clear" w:color="auto" w:fill="F2F2F2" w:themeFill="background1" w:themeFillShade="F2"/>
            <w:noWrap/>
            <w:vAlign w:val="center"/>
          </w:tcPr>
          <w:p w:rsidR="003F281B" w:rsidRPr="00D1165C" w:rsidRDefault="0013054A" w:rsidP="00BE608B">
            <w:pPr>
              <w:jc w:val="center"/>
              <w:rPr>
                <w:rFonts w:ascii="Arial Narrow" w:hAnsi="Arial Narrow"/>
                <w:sz w:val="16"/>
                <w:szCs w:val="16"/>
              </w:rPr>
            </w:pPr>
            <w:r>
              <w:rPr>
                <w:rFonts w:ascii="Arial Narrow" w:hAnsi="Arial Narrow"/>
                <w:b/>
                <w:sz w:val="16"/>
                <w:szCs w:val="16"/>
              </w:rPr>
              <w:t>5</w:t>
            </w:r>
            <w:r w:rsidR="0014789C">
              <w:rPr>
                <w:rFonts w:ascii="Arial Narrow" w:hAnsi="Arial Narrow"/>
                <w:b/>
                <w:sz w:val="16"/>
                <w:szCs w:val="16"/>
              </w:rPr>
              <w:t>,</w:t>
            </w:r>
            <w:r>
              <w:rPr>
                <w:rFonts w:ascii="Arial Narrow" w:hAnsi="Arial Narrow"/>
                <w:b/>
                <w:sz w:val="16"/>
                <w:szCs w:val="16"/>
              </w:rPr>
              <w:t>00</w:t>
            </w:r>
            <w:r w:rsidR="008A709A">
              <w:rPr>
                <w:rFonts w:ascii="Arial Narrow" w:hAnsi="Arial Narrow"/>
                <w:b/>
                <w:sz w:val="16"/>
                <w:szCs w:val="16"/>
              </w:rPr>
              <w:t>0</w:t>
            </w:r>
            <w:r>
              <w:rPr>
                <w:rFonts w:ascii="Arial Narrow" w:hAnsi="Arial Narrow"/>
                <w:b/>
                <w:sz w:val="16"/>
                <w:szCs w:val="16"/>
              </w:rPr>
              <w:t xml:space="preserve"> </w:t>
            </w:r>
          </w:p>
        </w:tc>
        <w:tc>
          <w:tcPr>
            <w:tcW w:w="478" w:type="pct"/>
            <w:shd w:val="clear" w:color="auto" w:fill="F2F2F2" w:themeFill="background1" w:themeFillShade="F2"/>
            <w:noWrap/>
            <w:vAlign w:val="center"/>
          </w:tcPr>
          <w:p w:rsidR="003F281B" w:rsidRPr="00D1165C" w:rsidRDefault="003F281B" w:rsidP="00BE608B">
            <w:pPr>
              <w:jc w:val="center"/>
              <w:rPr>
                <w:rFonts w:ascii="Arial Narrow" w:hAnsi="Arial Narrow"/>
                <w:sz w:val="16"/>
                <w:szCs w:val="16"/>
              </w:rPr>
            </w:pPr>
          </w:p>
        </w:tc>
        <w:tc>
          <w:tcPr>
            <w:tcW w:w="476" w:type="pct"/>
            <w:shd w:val="clear" w:color="auto" w:fill="F2F2F2" w:themeFill="background1" w:themeFillShade="F2"/>
            <w:vAlign w:val="center"/>
          </w:tcPr>
          <w:p w:rsidR="003F281B" w:rsidRPr="003F281B" w:rsidRDefault="008A709A" w:rsidP="003F281B">
            <w:pPr>
              <w:jc w:val="center"/>
              <w:rPr>
                <w:rFonts w:ascii="Arial Narrow" w:hAnsi="Arial Narrow"/>
                <w:b/>
                <w:sz w:val="16"/>
                <w:szCs w:val="16"/>
              </w:rPr>
            </w:pPr>
            <w:r>
              <w:rPr>
                <w:rFonts w:ascii="Arial Narrow" w:hAnsi="Arial Narrow"/>
                <w:b/>
                <w:sz w:val="16"/>
                <w:szCs w:val="16"/>
              </w:rPr>
              <w:t>7,510</w:t>
            </w:r>
          </w:p>
        </w:tc>
        <w:tc>
          <w:tcPr>
            <w:tcW w:w="571" w:type="pct"/>
            <w:shd w:val="clear" w:color="auto" w:fill="F2F2F2" w:themeFill="background1" w:themeFillShade="F2"/>
            <w:tcMar>
              <w:top w:w="0" w:type="dxa"/>
              <w:left w:w="108" w:type="dxa"/>
              <w:bottom w:w="0" w:type="dxa"/>
              <w:right w:w="108" w:type="dxa"/>
            </w:tcMar>
            <w:vAlign w:val="center"/>
          </w:tcPr>
          <w:p w:rsidR="003F281B" w:rsidRPr="00D1165C" w:rsidRDefault="003F281B" w:rsidP="00BE608B">
            <w:pPr>
              <w:jc w:val="center"/>
              <w:rPr>
                <w:rFonts w:ascii="Arial Narrow" w:hAnsi="Arial Narrow"/>
                <w:sz w:val="16"/>
                <w:szCs w:val="16"/>
              </w:rPr>
            </w:pPr>
          </w:p>
        </w:tc>
        <w:tc>
          <w:tcPr>
            <w:tcW w:w="429" w:type="pct"/>
            <w:shd w:val="clear" w:color="auto" w:fill="F2F2F2" w:themeFill="background1" w:themeFillShade="F2"/>
            <w:noWrap/>
            <w:tcMar>
              <w:top w:w="0" w:type="dxa"/>
              <w:left w:w="108" w:type="dxa"/>
              <w:bottom w:w="0" w:type="dxa"/>
              <w:right w:w="108" w:type="dxa"/>
            </w:tcMar>
            <w:vAlign w:val="center"/>
          </w:tcPr>
          <w:p w:rsidR="003F281B" w:rsidRPr="00D1165C" w:rsidRDefault="0013054A" w:rsidP="00416D98">
            <w:pPr>
              <w:jc w:val="center"/>
              <w:rPr>
                <w:rFonts w:ascii="Arial Narrow" w:hAnsi="Arial Narrow"/>
                <w:sz w:val="16"/>
                <w:szCs w:val="16"/>
              </w:rPr>
            </w:pPr>
            <w:r>
              <w:rPr>
                <w:rFonts w:ascii="Arial Narrow" w:hAnsi="Arial Narrow"/>
                <w:b/>
                <w:sz w:val="16"/>
                <w:szCs w:val="16"/>
              </w:rPr>
              <w:t>1</w:t>
            </w:r>
            <w:r w:rsidR="0014789C">
              <w:rPr>
                <w:rFonts w:ascii="Arial Narrow" w:hAnsi="Arial Narrow"/>
                <w:b/>
                <w:sz w:val="16"/>
                <w:szCs w:val="16"/>
              </w:rPr>
              <w:t>,</w:t>
            </w:r>
            <w:r>
              <w:rPr>
                <w:rFonts w:ascii="Arial Narrow" w:hAnsi="Arial Narrow"/>
                <w:b/>
                <w:sz w:val="16"/>
                <w:szCs w:val="16"/>
              </w:rPr>
              <w:t>143</w:t>
            </w:r>
          </w:p>
        </w:tc>
        <w:tc>
          <w:tcPr>
            <w:tcW w:w="38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BE608B">
            <w:pPr>
              <w:jc w:val="center"/>
              <w:rPr>
                <w:rFonts w:ascii="Arial Narrow" w:hAnsi="Arial Narrow"/>
                <w:sz w:val="16"/>
                <w:szCs w:val="16"/>
              </w:rPr>
            </w:pPr>
          </w:p>
        </w:tc>
        <w:tc>
          <w:tcPr>
            <w:tcW w:w="571" w:type="pct"/>
            <w:shd w:val="clear" w:color="auto" w:fill="F2F2F2" w:themeFill="background1" w:themeFillShade="F2"/>
            <w:noWrap/>
            <w:tcMar>
              <w:top w:w="0" w:type="dxa"/>
              <w:left w:w="108" w:type="dxa"/>
              <w:bottom w:w="0" w:type="dxa"/>
              <w:right w:w="108" w:type="dxa"/>
            </w:tcMar>
            <w:vAlign w:val="center"/>
          </w:tcPr>
          <w:p w:rsidR="003F281B" w:rsidRPr="00D1165C" w:rsidRDefault="003F281B" w:rsidP="003D6CB7">
            <w:pPr>
              <w:jc w:val="center"/>
              <w:rPr>
                <w:rFonts w:ascii="Arial Narrow" w:hAnsi="Arial Narrow"/>
                <w:b/>
                <w:sz w:val="16"/>
                <w:szCs w:val="16"/>
              </w:rPr>
            </w:pPr>
            <w:r w:rsidRPr="00D1165C">
              <w:rPr>
                <w:rFonts w:ascii="Arial Narrow" w:hAnsi="Arial Narrow"/>
                <w:b/>
                <w:sz w:val="16"/>
                <w:szCs w:val="16"/>
              </w:rPr>
              <w:t>$</w:t>
            </w:r>
            <w:r w:rsidR="003D6CB7">
              <w:rPr>
                <w:rFonts w:ascii="Arial Narrow" w:hAnsi="Arial Narrow"/>
                <w:b/>
                <w:sz w:val="16"/>
                <w:szCs w:val="16"/>
              </w:rPr>
              <w:t>2</w:t>
            </w:r>
            <w:r w:rsidR="00BE2FDF">
              <w:rPr>
                <w:rFonts w:ascii="Arial Narrow" w:hAnsi="Arial Narrow"/>
                <w:b/>
                <w:sz w:val="16"/>
                <w:szCs w:val="16"/>
              </w:rPr>
              <w:t>4,879</w:t>
            </w:r>
          </w:p>
        </w:tc>
      </w:tr>
    </w:tbl>
    <w:bookmarkEnd w:id="0"/>
    <w:bookmarkEnd w:id="1"/>
    <w:bookmarkEnd w:id="2"/>
    <w:bookmarkEnd w:id="3"/>
    <w:p w:rsidR="00D1165C" w:rsidRDefault="00D52531" w:rsidP="00D1165C">
      <w:pPr>
        <w:ind w:left="-180"/>
        <w:rPr>
          <w:rFonts w:ascii="Arial Narrow" w:hAnsi="Arial Narrow"/>
          <w:sz w:val="16"/>
          <w:szCs w:val="16"/>
        </w:rPr>
      </w:pPr>
      <w:r w:rsidRPr="003B484C">
        <w:rPr>
          <w:rFonts w:ascii="Arial Narrow" w:hAnsi="Arial Narrow"/>
          <w:sz w:val="16"/>
          <w:szCs w:val="16"/>
          <w:vertAlign w:val="superscript"/>
        </w:rPr>
        <w:t>1</w:t>
      </w:r>
      <w:r w:rsidRPr="003B484C">
        <w:rPr>
          <w:rFonts w:ascii="Arial Narrow" w:hAnsi="Arial Narrow"/>
          <w:sz w:val="16"/>
          <w:szCs w:val="16"/>
        </w:rPr>
        <w:t xml:space="preserve">Wage data sources: </w:t>
      </w:r>
      <w:r w:rsidR="00617180" w:rsidRPr="003B484C">
        <w:rPr>
          <w:rFonts w:ascii="Arial Narrow" w:hAnsi="Arial Narrow"/>
          <w:sz w:val="16"/>
          <w:szCs w:val="16"/>
        </w:rPr>
        <w:t xml:space="preserve">Bureau of Labor Statistics. </w:t>
      </w:r>
      <w:r w:rsidR="00617180" w:rsidRPr="003B484C">
        <w:rPr>
          <w:rFonts w:ascii="Arial Narrow" w:hAnsi="Arial Narrow"/>
          <w:i/>
          <w:sz w:val="16"/>
          <w:szCs w:val="16"/>
        </w:rPr>
        <w:t>National compensation survey</w:t>
      </w:r>
      <w:r w:rsidR="00617180" w:rsidRPr="003B484C">
        <w:rPr>
          <w:rFonts w:ascii="Arial Narrow" w:hAnsi="Arial Narrow"/>
          <w:sz w:val="16"/>
          <w:szCs w:val="16"/>
        </w:rPr>
        <w:t xml:space="preserve">. Retrieved from </w:t>
      </w:r>
      <w:hyperlink r:id="rId9" w:history="1">
        <w:r w:rsidRPr="003B484C">
          <w:rPr>
            <w:rStyle w:val="Hyperlink"/>
            <w:rFonts w:ascii="Arial Narrow" w:hAnsi="Arial Narrow"/>
            <w:sz w:val="16"/>
            <w:szCs w:val="16"/>
          </w:rPr>
          <w:t>http://www.bls.gov/ncs/</w:t>
        </w:r>
      </w:hyperlink>
      <w:r w:rsidRPr="003B484C">
        <w:rPr>
          <w:rFonts w:ascii="Arial Narrow" w:hAnsi="Arial Narrow"/>
          <w:sz w:val="16"/>
          <w:szCs w:val="16"/>
        </w:rPr>
        <w:t xml:space="preserve">; </w:t>
      </w:r>
      <w:r w:rsidR="00617180" w:rsidRPr="003B484C">
        <w:rPr>
          <w:rFonts w:ascii="Arial Narrow" w:hAnsi="Arial Narrow"/>
          <w:sz w:val="16"/>
          <w:szCs w:val="16"/>
        </w:rPr>
        <w:t xml:space="preserve">O*NET </w:t>
      </w:r>
      <w:proofErr w:type="spellStart"/>
      <w:r w:rsidR="00617180" w:rsidRPr="003B484C">
        <w:rPr>
          <w:rFonts w:ascii="Arial Narrow" w:hAnsi="Arial Narrow"/>
          <w:sz w:val="16"/>
          <w:szCs w:val="16"/>
        </w:rPr>
        <w:t>OnLine</w:t>
      </w:r>
      <w:proofErr w:type="spellEnd"/>
      <w:r w:rsidR="00617180" w:rsidRPr="003B484C">
        <w:rPr>
          <w:rFonts w:ascii="Arial Narrow" w:hAnsi="Arial Narrow"/>
          <w:sz w:val="16"/>
          <w:szCs w:val="16"/>
        </w:rPr>
        <w:t xml:space="preserve">. (2010). </w:t>
      </w:r>
      <w:r w:rsidR="00617180" w:rsidRPr="003B484C">
        <w:rPr>
          <w:rFonts w:ascii="Arial Narrow" w:hAnsi="Arial Narrow"/>
          <w:i/>
          <w:sz w:val="16"/>
          <w:szCs w:val="16"/>
        </w:rPr>
        <w:t>Occupations</w:t>
      </w:r>
      <w:r w:rsidR="00617180" w:rsidRPr="003B484C">
        <w:rPr>
          <w:rFonts w:ascii="Arial Narrow" w:hAnsi="Arial Narrow"/>
          <w:sz w:val="16"/>
          <w:szCs w:val="16"/>
        </w:rPr>
        <w:t xml:space="preserve"> [Quick search for </w:t>
      </w:r>
      <w:r w:rsidR="00862C65" w:rsidRPr="003B484C">
        <w:rPr>
          <w:rFonts w:ascii="Arial Narrow" w:hAnsi="Arial Narrow"/>
          <w:sz w:val="16"/>
          <w:szCs w:val="16"/>
        </w:rPr>
        <w:t xml:space="preserve">occupations matching </w:t>
      </w:r>
      <w:r w:rsidR="00617180" w:rsidRPr="003B484C">
        <w:rPr>
          <w:rFonts w:ascii="Arial Narrow" w:hAnsi="Arial Narrow"/>
          <w:sz w:val="16"/>
          <w:szCs w:val="16"/>
        </w:rPr>
        <w:t xml:space="preserve">‘substance abuse’]. Retrieved from </w:t>
      </w:r>
      <w:hyperlink r:id="rId10" w:history="1">
        <w:r w:rsidRPr="003B484C">
          <w:rPr>
            <w:rStyle w:val="Hyperlink"/>
            <w:rFonts w:ascii="Arial Narrow" w:hAnsi="Arial Narrow"/>
            <w:sz w:val="16"/>
            <w:szCs w:val="16"/>
          </w:rPr>
          <w:t>http://online.onetcenter.org/find/result?s=Substance+Abuse</w:t>
        </w:r>
      </w:hyperlink>
      <w:r w:rsidRPr="003B484C">
        <w:rPr>
          <w:rFonts w:ascii="Arial Narrow" w:hAnsi="Arial Narrow"/>
          <w:sz w:val="16"/>
          <w:szCs w:val="16"/>
        </w:rPr>
        <w:t xml:space="preserve">; </w:t>
      </w:r>
      <w:r w:rsidR="008438CC" w:rsidRPr="003B484C">
        <w:rPr>
          <w:rFonts w:ascii="Arial Narrow" w:hAnsi="Arial Narrow"/>
          <w:sz w:val="16"/>
          <w:szCs w:val="16"/>
        </w:rPr>
        <w:t xml:space="preserve">Salary.com. </w:t>
      </w:r>
      <w:r w:rsidR="008438CC" w:rsidRPr="003B484C">
        <w:rPr>
          <w:rFonts w:ascii="Arial Narrow" w:hAnsi="Arial Narrow"/>
          <w:i/>
          <w:sz w:val="16"/>
          <w:szCs w:val="16"/>
        </w:rPr>
        <w:t>Salary wizard: Community health director</w:t>
      </w:r>
      <w:r w:rsidR="008438CC" w:rsidRPr="003B484C">
        <w:rPr>
          <w:rFonts w:ascii="Arial Narrow" w:hAnsi="Arial Narrow"/>
          <w:sz w:val="16"/>
          <w:szCs w:val="16"/>
        </w:rPr>
        <w:t xml:space="preserve"> [Data report]. Retrieved from </w:t>
      </w:r>
      <w:hyperlink r:id="rId11" w:history="1">
        <w:r w:rsidRPr="003B484C">
          <w:rPr>
            <w:rStyle w:val="Hyperlink"/>
            <w:rFonts w:ascii="Arial Narrow" w:hAnsi="Arial Narrow"/>
            <w:sz w:val="16"/>
            <w:szCs w:val="16"/>
          </w:rPr>
          <w:t>http://swz.salary.com/salarywizard/layouthtmls/swzl_compresult_national_HC07000465.html</w:t>
        </w:r>
      </w:hyperlink>
      <w:r>
        <w:rPr>
          <w:rFonts w:ascii="Arial Narrow" w:hAnsi="Arial Narrow"/>
          <w:sz w:val="16"/>
          <w:szCs w:val="16"/>
        </w:rPr>
        <w:t xml:space="preserve"> </w:t>
      </w:r>
    </w:p>
    <w:p w:rsidR="00D1165C" w:rsidRDefault="00D1165C" w:rsidP="00D1165C">
      <w:pPr>
        <w:ind w:left="-180"/>
        <w:rPr>
          <w:rFonts w:ascii="Arial Narrow" w:hAnsi="Arial Narrow"/>
          <w:sz w:val="16"/>
          <w:szCs w:val="16"/>
        </w:rPr>
      </w:pPr>
    </w:p>
    <w:p w:rsidR="00D1165C" w:rsidRDefault="003F281B" w:rsidP="00D1165C">
      <w:pPr>
        <w:ind w:left="-180"/>
        <w:rPr>
          <w:rFonts w:ascii="Arial Narrow" w:hAnsi="Arial Narrow"/>
          <w:sz w:val="16"/>
          <w:szCs w:val="16"/>
        </w:rPr>
      </w:pPr>
      <w:r w:rsidRPr="003F281B">
        <w:rPr>
          <w:rFonts w:ascii="Arial Narrow" w:hAnsi="Arial Narrow"/>
          <w:sz w:val="16"/>
          <w:szCs w:val="16"/>
          <w:vertAlign w:val="superscript"/>
        </w:rPr>
        <w:t>2</w:t>
      </w:r>
      <w:r>
        <w:rPr>
          <w:rFonts w:ascii="Arial Narrow" w:hAnsi="Arial Narrow"/>
          <w:sz w:val="16"/>
          <w:szCs w:val="16"/>
          <w:vertAlign w:val="superscript"/>
        </w:rPr>
        <w:t xml:space="preserve"> </w:t>
      </w:r>
      <w:r w:rsidR="00C624FD" w:rsidRPr="00D1165C">
        <w:rPr>
          <w:rFonts w:ascii="Arial Narrow" w:hAnsi="Arial Narrow"/>
          <w:sz w:val="16"/>
          <w:szCs w:val="16"/>
        </w:rPr>
        <w:t>Based on 40 percent non-response for those eligible for six-month reassessment.</w:t>
      </w:r>
    </w:p>
    <w:p w:rsidR="00D1165C" w:rsidRDefault="00D1165C" w:rsidP="00D1165C">
      <w:pPr>
        <w:ind w:left="-180"/>
        <w:rPr>
          <w:rFonts w:ascii="Arial Narrow" w:hAnsi="Arial Narrow"/>
          <w:sz w:val="16"/>
          <w:szCs w:val="16"/>
        </w:rPr>
      </w:pPr>
    </w:p>
    <w:p w:rsidR="00C624FD" w:rsidRDefault="008D556F" w:rsidP="00D1165C">
      <w:pPr>
        <w:ind w:left="-180"/>
        <w:rPr>
          <w:rFonts w:ascii="Arial Narrow" w:hAnsi="Arial Narrow"/>
          <w:sz w:val="16"/>
          <w:szCs w:val="16"/>
        </w:rPr>
      </w:pPr>
      <w:r w:rsidRPr="008D556F">
        <w:rPr>
          <w:rFonts w:ascii="Arial Narrow" w:hAnsi="Arial Narrow"/>
          <w:sz w:val="16"/>
          <w:szCs w:val="16"/>
          <w:vertAlign w:val="superscript"/>
        </w:rPr>
        <w:t>3</w:t>
      </w:r>
      <w:r>
        <w:rPr>
          <w:rFonts w:ascii="Arial Narrow" w:hAnsi="Arial Narrow"/>
          <w:sz w:val="16"/>
          <w:szCs w:val="16"/>
        </w:rPr>
        <w:t xml:space="preserve"> </w:t>
      </w:r>
      <w:r w:rsidR="00C624FD" w:rsidRPr="00D1165C">
        <w:rPr>
          <w:rFonts w:ascii="Arial Narrow" w:hAnsi="Arial Narrow"/>
          <w:sz w:val="16"/>
          <w:szCs w:val="16"/>
        </w:rPr>
        <w:t xml:space="preserve">Based on an estimate that 35 percent will leave the program annually, </w:t>
      </w:r>
      <w:r>
        <w:rPr>
          <w:rFonts w:ascii="Arial Narrow" w:hAnsi="Arial Narrow"/>
          <w:sz w:val="16"/>
          <w:szCs w:val="16"/>
        </w:rPr>
        <w:t>and that 40% of those discharged will be available for an interview.</w:t>
      </w:r>
    </w:p>
    <w:p w:rsidR="008D556F" w:rsidRDefault="008D556F" w:rsidP="00D1165C">
      <w:pPr>
        <w:ind w:left="-180"/>
        <w:rPr>
          <w:rFonts w:ascii="Arial Narrow" w:hAnsi="Arial Narrow"/>
          <w:sz w:val="16"/>
          <w:szCs w:val="16"/>
        </w:rPr>
      </w:pPr>
    </w:p>
    <w:p w:rsidR="008D556F" w:rsidRPr="008D556F" w:rsidRDefault="008D556F" w:rsidP="00D1165C">
      <w:pPr>
        <w:ind w:left="-180"/>
        <w:rPr>
          <w:rFonts w:ascii="Arial Narrow" w:hAnsi="Arial Narrow"/>
          <w:sz w:val="16"/>
          <w:szCs w:val="16"/>
        </w:rPr>
      </w:pPr>
      <w:r w:rsidRPr="008D556F">
        <w:rPr>
          <w:rFonts w:ascii="Arial Narrow" w:hAnsi="Arial Narrow"/>
          <w:sz w:val="16"/>
          <w:szCs w:val="16"/>
          <w:vertAlign w:val="superscript"/>
        </w:rPr>
        <w:t>4</w:t>
      </w:r>
      <w:r>
        <w:rPr>
          <w:rFonts w:ascii="Arial Narrow" w:hAnsi="Arial Narrow"/>
          <w:sz w:val="16"/>
          <w:szCs w:val="16"/>
          <w:vertAlign w:val="superscript"/>
        </w:rPr>
        <w:t xml:space="preserve">  </w:t>
      </w:r>
      <w:r>
        <w:rPr>
          <w:rFonts w:ascii="Arial Narrow" w:hAnsi="Arial Narrow"/>
          <w:sz w:val="16"/>
          <w:szCs w:val="16"/>
        </w:rPr>
        <w:t>Based on the estimate that 35% will leave the program annually, and that 60% of those discharged will not be available for an interview, and only administrative data will be provided.</w:t>
      </w:r>
    </w:p>
    <w:p w:rsidR="008D556F" w:rsidRDefault="008D556F" w:rsidP="00D1165C">
      <w:pPr>
        <w:ind w:left="-180"/>
        <w:rPr>
          <w:rFonts w:ascii="Arial Narrow" w:hAnsi="Arial Narrow"/>
          <w:sz w:val="16"/>
          <w:szCs w:val="16"/>
        </w:rPr>
      </w:pPr>
    </w:p>
    <w:p w:rsidR="008D556F" w:rsidRDefault="008D556F" w:rsidP="00D1165C">
      <w:pPr>
        <w:ind w:left="-180"/>
        <w:rPr>
          <w:rFonts w:ascii="Arial Narrow" w:hAnsi="Arial Narrow"/>
          <w:sz w:val="16"/>
          <w:szCs w:val="16"/>
        </w:rPr>
      </w:pPr>
      <w:r w:rsidRPr="008D556F">
        <w:rPr>
          <w:rFonts w:ascii="Arial Narrow" w:hAnsi="Arial Narrow"/>
          <w:sz w:val="16"/>
          <w:szCs w:val="16"/>
          <w:vertAlign w:val="superscript"/>
        </w:rPr>
        <w:t>5</w:t>
      </w:r>
      <w:r>
        <w:rPr>
          <w:rFonts w:ascii="Arial Narrow" w:hAnsi="Arial Narrow"/>
          <w:sz w:val="16"/>
          <w:szCs w:val="16"/>
          <w:vertAlign w:val="superscript"/>
        </w:rPr>
        <w:t xml:space="preserve"> </w:t>
      </w:r>
      <w:r>
        <w:rPr>
          <w:rFonts w:ascii="Arial Narrow" w:hAnsi="Arial Narrow"/>
          <w:sz w:val="16"/>
          <w:szCs w:val="16"/>
        </w:rPr>
        <w:t>Due to the short duration of the prevention activities, it is estimated that 80% of those interviewed at baseline will participate in the discharge interview.</w:t>
      </w:r>
    </w:p>
    <w:p w:rsidR="00522EFA" w:rsidRDefault="00522EFA">
      <w:pPr>
        <w:rPr>
          <w:b/>
          <w:sz w:val="24"/>
          <w:szCs w:val="24"/>
        </w:rPr>
      </w:pPr>
      <w:r>
        <w:rPr>
          <w:b/>
          <w:sz w:val="24"/>
          <w:szCs w:val="24"/>
        </w:rPr>
        <w:br w:type="page"/>
      </w:r>
    </w:p>
    <w:p w:rsidR="00522EFA" w:rsidRDefault="00522EFA" w:rsidP="00522EFA">
      <w:pPr>
        <w:pStyle w:val="SuicideTableTitle"/>
        <w:jc w:val="left"/>
      </w:pPr>
      <w:proofErr w:type="gramStart"/>
      <w:r>
        <w:lastRenderedPageBreak/>
        <w:t>Table 4b.</w:t>
      </w:r>
      <w:proofErr w:type="gramEnd"/>
      <w:r>
        <w:t xml:space="preserve"> Annualized Summary Table</w:t>
      </w:r>
    </w:p>
    <w:p w:rsidR="00522EFA" w:rsidRDefault="00522EFA" w:rsidP="00522EFA"/>
    <w:tbl>
      <w:tblPr>
        <w:tblW w:w="7626" w:type="dxa"/>
        <w:tblCellMar>
          <w:left w:w="0" w:type="dxa"/>
          <w:right w:w="0" w:type="dxa"/>
        </w:tblCellMar>
        <w:tblLook w:val="04A0" w:firstRow="1" w:lastRow="0" w:firstColumn="1" w:lastColumn="0" w:noHBand="0" w:noVBand="1"/>
      </w:tblPr>
      <w:tblGrid>
        <w:gridCol w:w="2027"/>
        <w:gridCol w:w="1654"/>
        <w:gridCol w:w="1666"/>
        <w:gridCol w:w="2279"/>
      </w:tblGrid>
      <w:tr w:rsidR="00522EFA" w:rsidTr="00522EFA">
        <w:tc>
          <w:tcPr>
            <w:tcW w:w="202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522EFA" w:rsidRDefault="00522EFA">
            <w:pPr>
              <w:pStyle w:val="SuicideTableHeading2"/>
              <w:jc w:val="center"/>
              <w:rPr>
                <w:rFonts w:ascii="Arial Narrow" w:hAnsi="Arial Narrow"/>
                <w:sz w:val="18"/>
                <w:szCs w:val="18"/>
              </w:rPr>
            </w:pPr>
            <w:r>
              <w:rPr>
                <w:rFonts w:ascii="Arial Narrow" w:hAnsi="Arial Narrow"/>
                <w:sz w:val="18"/>
                <w:szCs w:val="18"/>
              </w:rPr>
              <w:t>Instrument</w:t>
            </w:r>
          </w:p>
        </w:tc>
        <w:tc>
          <w:tcPr>
            <w:tcW w:w="16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22EFA" w:rsidRDefault="00522EFA">
            <w:pPr>
              <w:pStyle w:val="SuicideTableHeading2"/>
              <w:jc w:val="center"/>
              <w:rPr>
                <w:rFonts w:ascii="Arial Narrow" w:hAnsi="Arial Narrow"/>
                <w:sz w:val="18"/>
                <w:szCs w:val="18"/>
              </w:rPr>
            </w:pPr>
            <w:r>
              <w:rPr>
                <w:rFonts w:ascii="Arial Narrow" w:hAnsi="Arial Narrow"/>
                <w:sz w:val="18"/>
                <w:szCs w:val="18"/>
              </w:rPr>
              <w:t>Number of Respondents</w:t>
            </w:r>
          </w:p>
        </w:tc>
        <w:tc>
          <w:tcPr>
            <w:tcW w:w="166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22EFA" w:rsidRDefault="00522EFA">
            <w:pPr>
              <w:pStyle w:val="SuicideTableHeading2"/>
              <w:jc w:val="center"/>
              <w:rPr>
                <w:rFonts w:ascii="Arial Narrow" w:hAnsi="Arial Narrow"/>
                <w:sz w:val="18"/>
                <w:szCs w:val="18"/>
              </w:rPr>
            </w:pPr>
            <w:r>
              <w:rPr>
                <w:rFonts w:ascii="Arial Narrow" w:hAnsi="Arial Narrow"/>
                <w:sz w:val="18"/>
                <w:szCs w:val="18"/>
              </w:rPr>
              <w:t>Total Responses</w:t>
            </w:r>
          </w:p>
        </w:tc>
        <w:tc>
          <w:tcPr>
            <w:tcW w:w="227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22EFA" w:rsidRDefault="00522EFA">
            <w:pPr>
              <w:pStyle w:val="SuicideTableHeading2"/>
              <w:jc w:val="center"/>
              <w:rPr>
                <w:rFonts w:ascii="Arial Narrow" w:hAnsi="Arial Narrow"/>
                <w:sz w:val="18"/>
                <w:szCs w:val="18"/>
              </w:rPr>
            </w:pPr>
            <w:r>
              <w:rPr>
                <w:rFonts w:ascii="Arial Narrow" w:hAnsi="Arial Narrow"/>
                <w:sz w:val="18"/>
                <w:szCs w:val="18"/>
              </w:rPr>
              <w:t>Total Annualized Hour Burden</w:t>
            </w:r>
          </w:p>
        </w:tc>
      </w:tr>
      <w:tr w:rsidR="00522EFA" w:rsidTr="00522EFA">
        <w:tc>
          <w:tcPr>
            <w:tcW w:w="20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522EFA" w:rsidRDefault="00522EFA" w:rsidP="00242472">
            <w:pPr>
              <w:pStyle w:val="SuicideTableText"/>
              <w:rPr>
                <w:rFonts w:ascii="Arial Narrow" w:hAnsi="Arial Narrow"/>
                <w:sz w:val="16"/>
                <w:szCs w:val="16"/>
              </w:rPr>
            </w:pPr>
            <w:r>
              <w:rPr>
                <w:rFonts w:ascii="Arial Narrow" w:hAnsi="Arial Narrow"/>
                <w:sz w:val="16"/>
                <w:szCs w:val="16"/>
              </w:rPr>
              <w:t>HIV</w:t>
            </w:r>
            <w:bookmarkStart w:id="4" w:name="_GoBack"/>
            <w:bookmarkEnd w:id="4"/>
            <w:r>
              <w:rPr>
                <w:rFonts w:ascii="Arial Narrow" w:hAnsi="Arial Narrow"/>
                <w:sz w:val="16"/>
                <w:szCs w:val="16"/>
              </w:rPr>
              <w:t xml:space="preserve"> Testing Form </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5,000</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5,000</w:t>
            </w:r>
          </w:p>
        </w:tc>
        <w:tc>
          <w:tcPr>
            <w:tcW w:w="2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650</w:t>
            </w:r>
          </w:p>
        </w:tc>
      </w:tr>
      <w:tr w:rsidR="00522EFA" w:rsidTr="00522EFA">
        <w:tc>
          <w:tcPr>
            <w:tcW w:w="20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522EFA" w:rsidRDefault="00522EFA">
            <w:pPr>
              <w:pStyle w:val="SuicideTableText"/>
              <w:rPr>
                <w:rFonts w:ascii="Arial Narrow" w:hAnsi="Arial Narrow"/>
                <w:sz w:val="16"/>
                <w:szCs w:val="16"/>
              </w:rPr>
            </w:pPr>
            <w:r>
              <w:rPr>
                <w:rFonts w:ascii="Arial Narrow" w:hAnsi="Arial Narrow"/>
                <w:sz w:val="16"/>
                <w:szCs w:val="16"/>
              </w:rPr>
              <w:t>TRAC – Baseline, Follow-up, Discharge</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1,200</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2,190</w:t>
            </w:r>
          </w:p>
        </w:tc>
        <w:tc>
          <w:tcPr>
            <w:tcW w:w="2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397</w:t>
            </w:r>
          </w:p>
        </w:tc>
      </w:tr>
      <w:tr w:rsidR="00522EFA" w:rsidTr="00522EFA">
        <w:tc>
          <w:tcPr>
            <w:tcW w:w="20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522EFA" w:rsidRDefault="00522EFA">
            <w:pPr>
              <w:pStyle w:val="SuicideTableText"/>
              <w:rPr>
                <w:rFonts w:ascii="Arial Narrow" w:hAnsi="Arial Narrow"/>
                <w:sz w:val="16"/>
                <w:szCs w:val="16"/>
              </w:rPr>
            </w:pPr>
            <w:r>
              <w:rPr>
                <w:rFonts w:ascii="Arial Narrow" w:hAnsi="Arial Narrow"/>
                <w:sz w:val="16"/>
                <w:szCs w:val="16"/>
              </w:rPr>
              <w:t>HIV Indicators – Baseline, Follow-up</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200</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320</w:t>
            </w:r>
          </w:p>
        </w:tc>
        <w:tc>
          <w:tcPr>
            <w:tcW w:w="2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sz w:val="16"/>
                <w:szCs w:val="16"/>
              </w:rPr>
            </w:pPr>
            <w:r>
              <w:rPr>
                <w:rFonts w:ascii="Arial Narrow" w:hAnsi="Arial Narrow"/>
                <w:sz w:val="16"/>
                <w:szCs w:val="16"/>
              </w:rPr>
              <w:t>96</w:t>
            </w:r>
          </w:p>
        </w:tc>
      </w:tr>
      <w:tr w:rsidR="00522EFA" w:rsidTr="00522EFA">
        <w:tc>
          <w:tcPr>
            <w:tcW w:w="20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522EFA" w:rsidRDefault="00522EFA">
            <w:pPr>
              <w:pStyle w:val="SuicideTableText"/>
              <w:rPr>
                <w:rFonts w:ascii="Arial Narrow" w:hAnsi="Arial Narrow"/>
                <w:b/>
                <w:bCs/>
                <w:sz w:val="16"/>
                <w:szCs w:val="16"/>
              </w:rPr>
            </w:pPr>
            <w:r>
              <w:rPr>
                <w:rFonts w:ascii="Arial Narrow" w:hAnsi="Arial Narrow"/>
                <w:b/>
                <w:bCs/>
                <w:sz w:val="16"/>
                <w:szCs w:val="16"/>
              </w:rPr>
              <w:t>Total</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b/>
                <w:sz w:val="16"/>
                <w:szCs w:val="16"/>
              </w:rPr>
            </w:pPr>
            <w:r>
              <w:rPr>
                <w:rFonts w:ascii="Arial Narrow" w:hAnsi="Arial Narrow"/>
                <w:b/>
                <w:sz w:val="16"/>
                <w:szCs w:val="16"/>
              </w:rPr>
              <w:t>5,000</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b/>
                <w:sz w:val="16"/>
                <w:szCs w:val="16"/>
              </w:rPr>
            </w:pPr>
            <w:r>
              <w:rPr>
                <w:rFonts w:ascii="Arial Narrow" w:hAnsi="Arial Narrow"/>
                <w:b/>
                <w:sz w:val="16"/>
                <w:szCs w:val="16"/>
              </w:rPr>
              <w:t>7,510</w:t>
            </w:r>
          </w:p>
        </w:tc>
        <w:tc>
          <w:tcPr>
            <w:tcW w:w="2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2EFA" w:rsidRDefault="00522EFA">
            <w:pPr>
              <w:pStyle w:val="SuicideTableText"/>
              <w:jc w:val="center"/>
              <w:rPr>
                <w:rFonts w:ascii="Arial Narrow" w:hAnsi="Arial Narrow"/>
                <w:b/>
                <w:sz w:val="16"/>
                <w:szCs w:val="16"/>
              </w:rPr>
            </w:pPr>
            <w:r>
              <w:rPr>
                <w:rFonts w:ascii="Arial Narrow" w:hAnsi="Arial Narrow"/>
                <w:b/>
                <w:sz w:val="16"/>
                <w:szCs w:val="16"/>
              </w:rPr>
              <w:t>1,143</w:t>
            </w:r>
          </w:p>
        </w:tc>
      </w:tr>
    </w:tbl>
    <w:p w:rsidR="00EF5530" w:rsidRDefault="00EF5530" w:rsidP="00D52531">
      <w:pPr>
        <w:tabs>
          <w:tab w:val="left" w:pos="0"/>
        </w:tabs>
        <w:rPr>
          <w:b/>
          <w:sz w:val="24"/>
          <w:szCs w:val="24"/>
        </w:rPr>
      </w:pPr>
    </w:p>
    <w:p w:rsidR="00EF5530" w:rsidRDefault="00EF5530" w:rsidP="00D52531">
      <w:pPr>
        <w:tabs>
          <w:tab w:val="left" w:pos="0"/>
        </w:tabs>
        <w:rPr>
          <w:b/>
          <w:sz w:val="24"/>
          <w:szCs w:val="24"/>
        </w:rPr>
      </w:pPr>
    </w:p>
    <w:p w:rsidR="00D52531" w:rsidRPr="002C42B7" w:rsidRDefault="00877F0C" w:rsidP="00D52531">
      <w:pPr>
        <w:tabs>
          <w:tab w:val="left" w:pos="0"/>
        </w:tabs>
        <w:rPr>
          <w:rStyle w:val="majorhead"/>
          <w:sz w:val="24"/>
          <w:szCs w:val="24"/>
        </w:rPr>
      </w:pPr>
      <w:r>
        <w:rPr>
          <w:b/>
          <w:sz w:val="24"/>
          <w:szCs w:val="24"/>
        </w:rPr>
        <w:t>A</w:t>
      </w:r>
      <w:r w:rsidR="00D52531" w:rsidRPr="002C42B7">
        <w:rPr>
          <w:b/>
          <w:sz w:val="24"/>
          <w:szCs w:val="24"/>
        </w:rPr>
        <w:t>13.</w:t>
      </w:r>
      <w:r w:rsidR="00D52531" w:rsidRPr="002C42B7">
        <w:rPr>
          <w:sz w:val="24"/>
          <w:szCs w:val="24"/>
        </w:rPr>
        <w:t xml:space="preserve"> </w:t>
      </w:r>
      <w:r w:rsidR="00D52531" w:rsidRPr="002C42B7">
        <w:rPr>
          <w:rStyle w:val="majorhead"/>
          <w:sz w:val="24"/>
          <w:szCs w:val="24"/>
        </w:rPr>
        <w:t>Estimates of Annualized Cost Burden to Respondents or Record</w:t>
      </w:r>
      <w:r w:rsidR="008008EA">
        <w:rPr>
          <w:rStyle w:val="majorhead"/>
          <w:sz w:val="24"/>
          <w:szCs w:val="24"/>
        </w:rPr>
        <w:t xml:space="preserve"> </w:t>
      </w:r>
      <w:r w:rsidR="00D52531" w:rsidRPr="002C42B7">
        <w:rPr>
          <w:rStyle w:val="majorhead"/>
          <w:sz w:val="24"/>
          <w:szCs w:val="24"/>
        </w:rPr>
        <w:t>Keepers</w:t>
      </w:r>
    </w:p>
    <w:p w:rsidR="00D52531" w:rsidRDefault="00D52531" w:rsidP="00D52531">
      <w:pPr>
        <w:tabs>
          <w:tab w:val="left" w:pos="0"/>
        </w:tabs>
        <w:rPr>
          <w:rStyle w:val="majorhead"/>
          <w:b w:val="0"/>
          <w:sz w:val="22"/>
          <w:szCs w:val="22"/>
          <w:highlight w:val="magenta"/>
        </w:rPr>
      </w:pPr>
    </w:p>
    <w:p w:rsidR="005D5225" w:rsidRDefault="005D5225" w:rsidP="005D5225">
      <w:pPr>
        <w:pStyle w:val="BodyText"/>
      </w:pPr>
      <w:r>
        <w:t xml:space="preserve">There will be no capital, start-up, operation, maintenance, nor purchase costs incurred by the programs participating in this data collection, or by </w:t>
      </w:r>
      <w:r w:rsidR="002F326B">
        <w:t>client</w:t>
      </w:r>
      <w:r>
        <w:t>s receiving services funded by this project.</w:t>
      </w:r>
    </w:p>
    <w:p w:rsidR="00D52531" w:rsidRPr="00536758" w:rsidRDefault="00D52531" w:rsidP="00D52531">
      <w:pPr>
        <w:tabs>
          <w:tab w:val="left" w:pos="0"/>
        </w:tabs>
        <w:rPr>
          <w:rStyle w:val="majorhead"/>
          <w:b w:val="0"/>
          <w:sz w:val="22"/>
          <w:szCs w:val="22"/>
          <w:highlight w:val="magenta"/>
        </w:rPr>
      </w:pPr>
    </w:p>
    <w:p w:rsidR="00D52531" w:rsidRPr="002C42B7" w:rsidRDefault="00877F0C" w:rsidP="00D52531">
      <w:pPr>
        <w:tabs>
          <w:tab w:val="left" w:pos="0"/>
        </w:tabs>
        <w:rPr>
          <w:rStyle w:val="majorhead"/>
          <w:sz w:val="24"/>
          <w:szCs w:val="24"/>
        </w:rPr>
      </w:pPr>
      <w:r>
        <w:rPr>
          <w:rStyle w:val="majorhead"/>
          <w:sz w:val="24"/>
          <w:szCs w:val="24"/>
        </w:rPr>
        <w:t>A</w:t>
      </w:r>
      <w:r w:rsidR="00D52531" w:rsidRPr="002C42B7">
        <w:rPr>
          <w:rStyle w:val="majorhead"/>
          <w:sz w:val="24"/>
          <w:szCs w:val="24"/>
        </w:rPr>
        <w:t>14. Estimates of Annualized Cost to the Government</w:t>
      </w:r>
    </w:p>
    <w:p w:rsidR="00D52531" w:rsidRDefault="00D52531" w:rsidP="00D52531">
      <w:pPr>
        <w:tabs>
          <w:tab w:val="left" w:pos="0"/>
        </w:tabs>
        <w:rPr>
          <w:rStyle w:val="majorhead"/>
          <w:b w:val="0"/>
          <w:sz w:val="22"/>
          <w:szCs w:val="22"/>
        </w:rPr>
      </w:pPr>
    </w:p>
    <w:p w:rsidR="005D5225" w:rsidRDefault="005D5225" w:rsidP="005D5225">
      <w:pPr>
        <w:pStyle w:val="BodyText"/>
      </w:pPr>
      <w:r>
        <w:t>The contract award to cover evaluation of this project is $</w:t>
      </w:r>
      <w:r w:rsidR="00217426">
        <w:t>3,972,000</w:t>
      </w:r>
      <w:r>
        <w:t xml:space="preserve"> over a </w:t>
      </w:r>
      <w:r w:rsidR="00DD7850">
        <w:t>48</w:t>
      </w:r>
      <w:r>
        <w:t>-month period. Thus, the annualized contract cost is $</w:t>
      </w:r>
      <w:r w:rsidR="00217426">
        <w:t>993,000</w:t>
      </w:r>
      <w:r>
        <w:t>.</w:t>
      </w:r>
    </w:p>
    <w:p w:rsidR="005D5225" w:rsidRDefault="005D5225" w:rsidP="005D5225">
      <w:pPr>
        <w:pStyle w:val="BodyText"/>
      </w:pPr>
      <w:r>
        <w:t xml:space="preserve">Additional costs will be incurred indirectly by the government in personnel costs of staff involved in oversight of data collection. It is estimated that </w:t>
      </w:r>
      <w:r w:rsidR="00E86E98">
        <w:t>one SAMHSA employee</w:t>
      </w:r>
      <w:r>
        <w:t xml:space="preserve"> will each be involved for </w:t>
      </w:r>
      <w:r w:rsidR="002E1D01">
        <w:t>ten</w:t>
      </w:r>
      <w:r w:rsidR="00E86E98">
        <w:t xml:space="preserve"> percent of their time. Cost</w:t>
      </w:r>
      <w:r>
        <w:t xml:space="preserve"> of staff time will approximate $</w:t>
      </w:r>
      <w:r w:rsidR="002E1D01">
        <w:t>11</w:t>
      </w:r>
      <w:r w:rsidR="00E86E98">
        <w:t>,000</w:t>
      </w:r>
      <w:r w:rsidR="00433D6C">
        <w:t xml:space="preserve"> </w:t>
      </w:r>
      <w:r>
        <w:t xml:space="preserve">annually. </w:t>
      </w:r>
    </w:p>
    <w:p w:rsidR="005D5225" w:rsidRDefault="005D5225" w:rsidP="005D5225">
      <w:pPr>
        <w:pStyle w:val="BodyText"/>
      </w:pPr>
      <w:r>
        <w:t>The estimated annualized total cost to the government will be $</w:t>
      </w:r>
      <w:r w:rsidR="00217426">
        <w:t>1</w:t>
      </w:r>
      <w:r w:rsidR="00BC0F3E">
        <w:t>,004,000</w:t>
      </w:r>
      <w:r>
        <w:t>.</w:t>
      </w:r>
    </w:p>
    <w:p w:rsidR="003463C1" w:rsidRDefault="003463C1" w:rsidP="003463C1"/>
    <w:p w:rsidR="00A5346D" w:rsidRPr="00985379" w:rsidRDefault="00FC03F5" w:rsidP="00985379">
      <w:r>
        <w:rPr>
          <w:b/>
        </w:rPr>
        <w:t xml:space="preserve">Table </w:t>
      </w:r>
      <w:r w:rsidR="0014789C">
        <w:rPr>
          <w:b/>
        </w:rPr>
        <w:t>3.</w:t>
      </w:r>
      <w:r w:rsidR="00A5346D" w:rsidRPr="00F81E1E">
        <w:rPr>
          <w:b/>
        </w:rPr>
        <w:t xml:space="preserve"> Annualized Estimate of Government Costs</w:t>
      </w:r>
    </w:p>
    <w:tbl>
      <w:tblPr>
        <w:tblW w:w="302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9"/>
        <w:gridCol w:w="1318"/>
      </w:tblGrid>
      <w:tr w:rsidR="00A5346D" w:rsidRPr="00BE5D6D" w:rsidTr="001A3165">
        <w:trPr>
          <w:trHeight w:val="844"/>
          <w:tblHeader/>
        </w:trPr>
        <w:tc>
          <w:tcPr>
            <w:tcW w:w="3849" w:type="pct"/>
            <w:shd w:val="clear" w:color="auto" w:fill="606060"/>
            <w:noWrap/>
            <w:vAlign w:val="bottom"/>
          </w:tcPr>
          <w:p w:rsidR="00A5346D" w:rsidRPr="00BE5D6D" w:rsidRDefault="00A5346D" w:rsidP="001A3165">
            <w:pPr>
              <w:ind w:right="411"/>
              <w:jc w:val="center"/>
              <w:rPr>
                <w:rFonts w:ascii="Arial Narrow" w:hAnsi="Arial Narrow"/>
                <w:sz w:val="18"/>
                <w:szCs w:val="18"/>
              </w:rPr>
            </w:pPr>
          </w:p>
        </w:tc>
        <w:tc>
          <w:tcPr>
            <w:tcW w:w="1151" w:type="pct"/>
            <w:shd w:val="clear" w:color="auto" w:fill="606060"/>
            <w:tcMar>
              <w:top w:w="0" w:type="dxa"/>
              <w:left w:w="108" w:type="dxa"/>
              <w:bottom w:w="0" w:type="dxa"/>
              <w:right w:w="108" w:type="dxa"/>
            </w:tcMar>
            <w:vAlign w:val="bottom"/>
          </w:tcPr>
          <w:p w:rsidR="00A5346D" w:rsidRPr="00BE5D6D" w:rsidRDefault="00A5346D" w:rsidP="001A3165">
            <w:pPr>
              <w:jc w:val="center"/>
              <w:rPr>
                <w:rFonts w:ascii="Arial Narrow" w:hAnsi="Arial Narrow"/>
                <w:sz w:val="18"/>
                <w:szCs w:val="18"/>
              </w:rPr>
            </w:pPr>
            <w:r w:rsidRPr="00BE5D6D">
              <w:rPr>
                <w:rFonts w:ascii="Arial Narrow" w:hAnsi="Arial Narrow"/>
                <w:b/>
                <w:bCs/>
                <w:color w:val="FFFFFF"/>
                <w:sz w:val="18"/>
                <w:szCs w:val="18"/>
              </w:rPr>
              <w:t xml:space="preserve">Total </w:t>
            </w:r>
            <w:r>
              <w:rPr>
                <w:rFonts w:ascii="Arial Narrow" w:hAnsi="Arial Narrow"/>
                <w:b/>
                <w:bCs/>
                <w:color w:val="FFFFFF"/>
                <w:sz w:val="18"/>
                <w:szCs w:val="18"/>
              </w:rPr>
              <w:t>C</w:t>
            </w:r>
            <w:r w:rsidRPr="00BE5D6D">
              <w:rPr>
                <w:rFonts w:ascii="Arial Narrow" w:hAnsi="Arial Narrow"/>
                <w:b/>
                <w:bCs/>
                <w:color w:val="FFFFFF"/>
                <w:sz w:val="18"/>
                <w:szCs w:val="18"/>
              </w:rPr>
              <w:t xml:space="preserve">ost </w:t>
            </w:r>
          </w:p>
        </w:tc>
      </w:tr>
      <w:tr w:rsidR="00A5346D" w:rsidRPr="003E401B" w:rsidTr="001A3165">
        <w:trPr>
          <w:trHeight w:val="245"/>
        </w:trPr>
        <w:tc>
          <w:tcPr>
            <w:tcW w:w="3849" w:type="pct"/>
            <w:shd w:val="clear" w:color="auto" w:fill="auto"/>
            <w:noWrap/>
            <w:vAlign w:val="center"/>
          </w:tcPr>
          <w:p w:rsidR="00A5346D" w:rsidRDefault="00433D6C" w:rsidP="001A3165">
            <w:pPr>
              <w:rPr>
                <w:rFonts w:ascii="Arial Narrow" w:hAnsi="Arial Narrow"/>
                <w:b/>
                <w:sz w:val="18"/>
                <w:szCs w:val="18"/>
              </w:rPr>
            </w:pPr>
            <w:r>
              <w:rPr>
                <w:rFonts w:ascii="Arial Narrow" w:hAnsi="Arial Narrow"/>
                <w:b/>
                <w:sz w:val="18"/>
                <w:szCs w:val="18"/>
              </w:rPr>
              <w:t>Evaluation Contract</w:t>
            </w:r>
          </w:p>
        </w:tc>
        <w:tc>
          <w:tcPr>
            <w:tcW w:w="1151" w:type="pct"/>
            <w:shd w:val="clear" w:color="auto" w:fill="auto"/>
            <w:noWrap/>
            <w:tcMar>
              <w:top w:w="0" w:type="dxa"/>
              <w:left w:w="108" w:type="dxa"/>
              <w:bottom w:w="0" w:type="dxa"/>
              <w:right w:w="108" w:type="dxa"/>
            </w:tcMar>
            <w:vAlign w:val="center"/>
          </w:tcPr>
          <w:p w:rsidR="00A5346D" w:rsidRPr="003E401B" w:rsidDel="005663F2" w:rsidRDefault="00A5346D" w:rsidP="00E86E98">
            <w:pPr>
              <w:jc w:val="center"/>
              <w:rPr>
                <w:rFonts w:ascii="Arial Narrow" w:hAnsi="Arial Narrow"/>
                <w:b/>
                <w:sz w:val="18"/>
                <w:szCs w:val="18"/>
              </w:rPr>
            </w:pPr>
            <w:r>
              <w:rPr>
                <w:rFonts w:ascii="Arial Narrow" w:hAnsi="Arial Narrow"/>
                <w:b/>
                <w:sz w:val="18"/>
                <w:szCs w:val="18"/>
              </w:rPr>
              <w:t>$</w:t>
            </w:r>
            <w:r w:rsidR="00E86E98">
              <w:rPr>
                <w:rFonts w:ascii="Arial Narrow" w:hAnsi="Arial Narrow"/>
                <w:b/>
                <w:sz w:val="18"/>
                <w:szCs w:val="18"/>
              </w:rPr>
              <w:t>993,000</w:t>
            </w:r>
          </w:p>
        </w:tc>
      </w:tr>
      <w:tr w:rsidR="00A5346D" w:rsidRPr="003E401B" w:rsidTr="001A3165">
        <w:trPr>
          <w:trHeight w:val="245"/>
        </w:trPr>
        <w:tc>
          <w:tcPr>
            <w:tcW w:w="3849" w:type="pct"/>
            <w:shd w:val="clear" w:color="auto" w:fill="auto"/>
            <w:noWrap/>
            <w:vAlign w:val="center"/>
          </w:tcPr>
          <w:p w:rsidR="00A5346D" w:rsidRDefault="00433D6C" w:rsidP="001A3165">
            <w:pPr>
              <w:rPr>
                <w:rFonts w:ascii="Arial Narrow" w:hAnsi="Arial Narrow"/>
                <w:b/>
                <w:sz w:val="18"/>
                <w:szCs w:val="18"/>
              </w:rPr>
            </w:pPr>
            <w:r>
              <w:rPr>
                <w:rFonts w:ascii="Arial Narrow" w:hAnsi="Arial Narrow"/>
                <w:b/>
                <w:sz w:val="18"/>
                <w:szCs w:val="18"/>
              </w:rPr>
              <w:t>Government Oversight</w:t>
            </w:r>
          </w:p>
        </w:tc>
        <w:tc>
          <w:tcPr>
            <w:tcW w:w="1151" w:type="pct"/>
            <w:shd w:val="clear" w:color="auto" w:fill="auto"/>
            <w:noWrap/>
            <w:tcMar>
              <w:top w:w="0" w:type="dxa"/>
              <w:left w:w="108" w:type="dxa"/>
              <w:bottom w:w="0" w:type="dxa"/>
              <w:right w:w="108" w:type="dxa"/>
            </w:tcMar>
            <w:vAlign w:val="center"/>
          </w:tcPr>
          <w:p w:rsidR="00A5346D" w:rsidRPr="003E401B" w:rsidDel="005663F2" w:rsidRDefault="00433D6C" w:rsidP="002E1D01">
            <w:pPr>
              <w:jc w:val="center"/>
              <w:rPr>
                <w:rFonts w:ascii="Arial Narrow" w:hAnsi="Arial Narrow"/>
                <w:b/>
                <w:sz w:val="18"/>
                <w:szCs w:val="18"/>
              </w:rPr>
            </w:pPr>
            <w:r>
              <w:rPr>
                <w:rFonts w:ascii="Arial Narrow" w:hAnsi="Arial Narrow"/>
                <w:b/>
                <w:sz w:val="18"/>
                <w:szCs w:val="18"/>
              </w:rPr>
              <w:t>$</w:t>
            </w:r>
            <w:r w:rsidR="002E1D01">
              <w:rPr>
                <w:rFonts w:ascii="Arial Narrow" w:hAnsi="Arial Narrow"/>
                <w:b/>
                <w:sz w:val="18"/>
                <w:szCs w:val="18"/>
              </w:rPr>
              <w:t>11</w:t>
            </w:r>
            <w:r w:rsidR="00E86E98">
              <w:rPr>
                <w:rFonts w:ascii="Arial Narrow" w:hAnsi="Arial Narrow"/>
                <w:b/>
                <w:sz w:val="18"/>
                <w:szCs w:val="18"/>
              </w:rPr>
              <w:t>,000</w:t>
            </w:r>
          </w:p>
        </w:tc>
      </w:tr>
      <w:tr w:rsidR="00A5346D" w:rsidRPr="003E401B" w:rsidTr="001A3165">
        <w:trPr>
          <w:trHeight w:val="245"/>
        </w:trPr>
        <w:tc>
          <w:tcPr>
            <w:tcW w:w="3849" w:type="pct"/>
            <w:shd w:val="clear" w:color="auto" w:fill="666666"/>
            <w:noWrap/>
            <w:vAlign w:val="center"/>
          </w:tcPr>
          <w:p w:rsidR="00A5346D" w:rsidRPr="00A20297" w:rsidRDefault="00A5346D" w:rsidP="001A3165">
            <w:pPr>
              <w:rPr>
                <w:rFonts w:ascii="Arial Narrow" w:hAnsi="Arial Narrow"/>
                <w:b/>
                <w:color w:val="FFFFFF" w:themeColor="background1"/>
                <w:sz w:val="18"/>
                <w:szCs w:val="18"/>
              </w:rPr>
            </w:pPr>
            <w:r w:rsidRPr="00A20297">
              <w:rPr>
                <w:rFonts w:ascii="Arial Narrow" w:hAnsi="Arial Narrow"/>
                <w:b/>
                <w:color w:val="FFFFFF" w:themeColor="background1"/>
                <w:sz w:val="18"/>
                <w:szCs w:val="18"/>
              </w:rPr>
              <w:t>Annual Total</w:t>
            </w:r>
          </w:p>
        </w:tc>
        <w:tc>
          <w:tcPr>
            <w:tcW w:w="1151" w:type="pct"/>
            <w:shd w:val="clear" w:color="auto" w:fill="666666"/>
            <w:noWrap/>
            <w:tcMar>
              <w:top w:w="0" w:type="dxa"/>
              <w:left w:w="108" w:type="dxa"/>
              <w:bottom w:w="0" w:type="dxa"/>
              <w:right w:w="108" w:type="dxa"/>
            </w:tcMar>
            <w:vAlign w:val="center"/>
          </w:tcPr>
          <w:p w:rsidR="00A5346D" w:rsidRPr="00A20297" w:rsidRDefault="00A5346D" w:rsidP="00E86E98">
            <w:pPr>
              <w:jc w:val="center"/>
              <w:rPr>
                <w:rFonts w:ascii="Arial Narrow" w:hAnsi="Arial Narrow"/>
                <w:b/>
                <w:color w:val="FFFFFF" w:themeColor="background1"/>
                <w:sz w:val="18"/>
                <w:szCs w:val="18"/>
              </w:rPr>
            </w:pPr>
            <w:r w:rsidRPr="00A20297" w:rsidDel="005663F2">
              <w:rPr>
                <w:rFonts w:ascii="Arial Narrow" w:hAnsi="Arial Narrow"/>
                <w:b/>
                <w:color w:val="FFFFFF" w:themeColor="background1"/>
                <w:sz w:val="18"/>
                <w:szCs w:val="18"/>
              </w:rPr>
              <w:t>$</w:t>
            </w:r>
            <w:r w:rsidR="002E1D01">
              <w:rPr>
                <w:rFonts w:ascii="Arial Narrow" w:hAnsi="Arial Narrow"/>
                <w:b/>
                <w:color w:val="FFFFFF" w:themeColor="background1"/>
                <w:sz w:val="18"/>
                <w:szCs w:val="18"/>
              </w:rPr>
              <w:t>1</w:t>
            </w:r>
            <w:r w:rsidR="00E86E98">
              <w:rPr>
                <w:rFonts w:ascii="Arial Narrow" w:hAnsi="Arial Narrow"/>
                <w:b/>
                <w:color w:val="FFFFFF" w:themeColor="background1"/>
                <w:sz w:val="18"/>
                <w:szCs w:val="18"/>
              </w:rPr>
              <w:t>,</w:t>
            </w:r>
            <w:r w:rsidR="00BC0F3E">
              <w:rPr>
                <w:rFonts w:ascii="Arial Narrow" w:hAnsi="Arial Narrow"/>
                <w:b/>
                <w:color w:val="FFFFFF" w:themeColor="background1"/>
                <w:sz w:val="18"/>
                <w:szCs w:val="18"/>
              </w:rPr>
              <w:t>0</w:t>
            </w:r>
            <w:r w:rsidR="002E1D01">
              <w:rPr>
                <w:rFonts w:ascii="Arial Narrow" w:hAnsi="Arial Narrow"/>
                <w:b/>
                <w:color w:val="FFFFFF" w:themeColor="background1"/>
                <w:sz w:val="18"/>
                <w:szCs w:val="18"/>
              </w:rPr>
              <w:t>04</w:t>
            </w:r>
            <w:r w:rsidR="00E86E98">
              <w:rPr>
                <w:rFonts w:ascii="Arial Narrow" w:hAnsi="Arial Narrow"/>
                <w:b/>
                <w:color w:val="FFFFFF" w:themeColor="background1"/>
                <w:sz w:val="18"/>
                <w:szCs w:val="18"/>
              </w:rPr>
              <w:t>,000</w:t>
            </w:r>
          </w:p>
        </w:tc>
      </w:tr>
    </w:tbl>
    <w:p w:rsidR="00A5346D" w:rsidRDefault="00A5346D" w:rsidP="00A5346D">
      <w:pPr>
        <w:tabs>
          <w:tab w:val="left" w:pos="0"/>
        </w:tabs>
      </w:pPr>
    </w:p>
    <w:p w:rsidR="00101CE4" w:rsidRDefault="00101CE4" w:rsidP="00D52531">
      <w:pPr>
        <w:tabs>
          <w:tab w:val="left" w:pos="0"/>
        </w:tabs>
        <w:rPr>
          <w:rStyle w:val="majorhead"/>
          <w:b w:val="0"/>
          <w:sz w:val="22"/>
          <w:szCs w:val="22"/>
        </w:rPr>
      </w:pPr>
    </w:p>
    <w:p w:rsidR="00D52531" w:rsidRPr="002C42B7" w:rsidRDefault="00877F0C" w:rsidP="00D52531">
      <w:pPr>
        <w:tabs>
          <w:tab w:val="left" w:pos="0"/>
        </w:tabs>
        <w:rPr>
          <w:b/>
          <w:sz w:val="24"/>
          <w:szCs w:val="24"/>
        </w:rPr>
      </w:pPr>
      <w:r>
        <w:rPr>
          <w:b/>
          <w:sz w:val="24"/>
          <w:szCs w:val="24"/>
        </w:rPr>
        <w:t>A</w:t>
      </w:r>
      <w:r w:rsidR="00D52531" w:rsidRPr="002C42B7">
        <w:rPr>
          <w:b/>
          <w:sz w:val="24"/>
          <w:szCs w:val="24"/>
        </w:rPr>
        <w:t>15. Changes in Burden</w:t>
      </w:r>
    </w:p>
    <w:p w:rsidR="00D52531" w:rsidRDefault="00D52531" w:rsidP="00D52531">
      <w:pPr>
        <w:tabs>
          <w:tab w:val="left" w:pos="0"/>
        </w:tabs>
        <w:rPr>
          <w:szCs w:val="22"/>
        </w:rPr>
      </w:pPr>
    </w:p>
    <w:p w:rsidR="00D52531" w:rsidRDefault="00D52531" w:rsidP="00D52531">
      <w:pPr>
        <w:tabs>
          <w:tab w:val="left" w:pos="0"/>
        </w:tabs>
        <w:rPr>
          <w:szCs w:val="22"/>
        </w:rPr>
      </w:pPr>
      <w:r>
        <w:rPr>
          <w:szCs w:val="22"/>
        </w:rPr>
        <w:t xml:space="preserve">This is a new </w:t>
      </w:r>
      <w:r w:rsidR="00681C0F">
        <w:rPr>
          <w:szCs w:val="22"/>
        </w:rPr>
        <w:t>data collection</w:t>
      </w:r>
      <w:r>
        <w:rPr>
          <w:szCs w:val="22"/>
        </w:rPr>
        <w:t xml:space="preserve">. </w:t>
      </w:r>
    </w:p>
    <w:p w:rsidR="00D52531" w:rsidRDefault="00D52531" w:rsidP="00D52531">
      <w:pPr>
        <w:tabs>
          <w:tab w:val="left" w:pos="0"/>
        </w:tabs>
        <w:rPr>
          <w:szCs w:val="22"/>
        </w:rPr>
      </w:pPr>
    </w:p>
    <w:p w:rsidR="00D52531" w:rsidRPr="002C42B7" w:rsidRDefault="00877F0C" w:rsidP="00D52531">
      <w:pPr>
        <w:tabs>
          <w:tab w:val="left" w:pos="0"/>
        </w:tabs>
        <w:rPr>
          <w:rStyle w:val="majorhead"/>
          <w:sz w:val="24"/>
          <w:szCs w:val="24"/>
        </w:rPr>
      </w:pPr>
      <w:r>
        <w:rPr>
          <w:b/>
          <w:sz w:val="24"/>
          <w:szCs w:val="24"/>
        </w:rPr>
        <w:t>A</w:t>
      </w:r>
      <w:r w:rsidR="00D52531" w:rsidRPr="002C42B7">
        <w:rPr>
          <w:b/>
          <w:sz w:val="24"/>
          <w:szCs w:val="24"/>
        </w:rPr>
        <w:t xml:space="preserve">16. </w:t>
      </w:r>
      <w:r w:rsidR="00D52531" w:rsidRPr="002C42B7">
        <w:rPr>
          <w:rStyle w:val="majorhead"/>
          <w:sz w:val="24"/>
          <w:szCs w:val="24"/>
        </w:rPr>
        <w:t>Time Schedule, Publication, Analysis Plans</w:t>
      </w:r>
    </w:p>
    <w:p w:rsidR="00D52531" w:rsidRPr="00D679DD" w:rsidRDefault="00D52531" w:rsidP="00D52531">
      <w:pPr>
        <w:tabs>
          <w:tab w:val="left" w:pos="0"/>
        </w:tabs>
        <w:rPr>
          <w:rStyle w:val="majorhead"/>
          <w:sz w:val="22"/>
          <w:szCs w:val="22"/>
        </w:rPr>
      </w:pPr>
    </w:p>
    <w:p w:rsidR="00D52531" w:rsidRPr="00D679DD" w:rsidRDefault="00D52531" w:rsidP="00D52531">
      <w:pPr>
        <w:tabs>
          <w:tab w:val="left" w:pos="0"/>
        </w:tabs>
        <w:rPr>
          <w:rStyle w:val="majorhead"/>
          <w:sz w:val="22"/>
          <w:szCs w:val="22"/>
        </w:rPr>
      </w:pPr>
      <w:r w:rsidRPr="00D679DD">
        <w:rPr>
          <w:rStyle w:val="majorhead"/>
          <w:sz w:val="22"/>
          <w:szCs w:val="22"/>
        </w:rPr>
        <w:t>a. Time Schedule</w:t>
      </w:r>
    </w:p>
    <w:p w:rsidR="00D52531" w:rsidRDefault="00D52531" w:rsidP="00D52531">
      <w:pPr>
        <w:pStyle w:val="Level2"/>
        <w:widowControl/>
        <w:numPr>
          <w:ilvl w:val="0"/>
          <w:numId w:val="0"/>
        </w:numPr>
        <w:suppressAutoHyphens/>
        <w:rPr>
          <w:rFonts w:ascii="Arial" w:hAnsi="Arial" w:cs="Arial"/>
          <w:sz w:val="22"/>
          <w:szCs w:val="22"/>
          <w:highlight w:val="magenta"/>
        </w:rPr>
      </w:pPr>
    </w:p>
    <w:p w:rsidR="00D52531" w:rsidRPr="00D679DD" w:rsidRDefault="00A5346D" w:rsidP="00D52531">
      <w:pPr>
        <w:pStyle w:val="Level2"/>
        <w:widowControl/>
        <w:numPr>
          <w:ilvl w:val="0"/>
          <w:numId w:val="0"/>
        </w:numPr>
        <w:suppressAutoHyphens/>
        <w:rPr>
          <w:rFonts w:ascii="Arial" w:hAnsi="Arial" w:cs="Arial"/>
          <w:sz w:val="22"/>
          <w:szCs w:val="22"/>
        </w:rPr>
      </w:pPr>
      <w:r>
        <w:rPr>
          <w:rFonts w:ascii="Arial" w:hAnsi="Arial" w:cs="Arial"/>
          <w:sz w:val="22"/>
          <w:szCs w:val="22"/>
        </w:rPr>
        <w:t>All instruments</w:t>
      </w:r>
      <w:r w:rsidR="002C42B7" w:rsidRPr="00E441C3">
        <w:rPr>
          <w:rFonts w:ascii="Arial" w:hAnsi="Arial" w:cs="Arial"/>
          <w:sz w:val="22"/>
          <w:szCs w:val="22"/>
        </w:rPr>
        <w:t xml:space="preserve"> </w:t>
      </w:r>
      <w:r w:rsidR="002C42B7">
        <w:rPr>
          <w:rFonts w:ascii="Arial" w:hAnsi="Arial" w:cs="Arial"/>
          <w:sz w:val="22"/>
          <w:szCs w:val="22"/>
        </w:rPr>
        <w:t xml:space="preserve">will follow the same time schedule, which </w:t>
      </w:r>
      <w:r w:rsidR="00D52531" w:rsidRPr="00E441C3">
        <w:rPr>
          <w:rFonts w:ascii="Arial" w:hAnsi="Arial" w:cs="Arial"/>
          <w:sz w:val="22"/>
          <w:szCs w:val="22"/>
        </w:rPr>
        <w:t xml:space="preserve">is summarized in Table </w:t>
      </w:r>
      <w:r w:rsidR="007C43B9">
        <w:rPr>
          <w:rFonts w:ascii="Arial" w:hAnsi="Arial" w:cs="Arial"/>
          <w:sz w:val="22"/>
          <w:szCs w:val="22"/>
        </w:rPr>
        <w:t>4</w:t>
      </w:r>
      <w:r w:rsidR="00D52531" w:rsidRPr="00E441C3">
        <w:rPr>
          <w:rFonts w:ascii="Arial" w:hAnsi="Arial" w:cs="Arial"/>
          <w:sz w:val="22"/>
          <w:szCs w:val="22"/>
        </w:rPr>
        <w:t xml:space="preserve">. </w:t>
      </w:r>
    </w:p>
    <w:p w:rsidR="00D52531" w:rsidRDefault="00D52531" w:rsidP="00D52531">
      <w:pPr>
        <w:tabs>
          <w:tab w:val="left" w:pos="0"/>
        </w:tabs>
        <w:rPr>
          <w:rStyle w:val="majorhead"/>
          <w:b w:val="0"/>
          <w:sz w:val="22"/>
          <w:szCs w:val="22"/>
        </w:rPr>
      </w:pPr>
    </w:p>
    <w:p w:rsidR="00D52531" w:rsidRPr="00B67753" w:rsidRDefault="00D52531" w:rsidP="00D52531">
      <w:pPr>
        <w:tabs>
          <w:tab w:val="left" w:pos="0"/>
        </w:tabs>
        <w:rPr>
          <w:rStyle w:val="majorhead"/>
          <w:sz w:val="22"/>
          <w:szCs w:val="22"/>
        </w:rPr>
      </w:pPr>
      <w:r w:rsidRPr="00B67753">
        <w:rPr>
          <w:rStyle w:val="majorhead"/>
          <w:sz w:val="22"/>
          <w:szCs w:val="22"/>
        </w:rPr>
        <w:t xml:space="preserve">Table </w:t>
      </w:r>
      <w:r w:rsidR="007C43B9">
        <w:rPr>
          <w:rStyle w:val="majorhead"/>
          <w:sz w:val="22"/>
          <w:szCs w:val="22"/>
        </w:rPr>
        <w:t>4</w:t>
      </w:r>
      <w:r w:rsidR="002C42B7">
        <w:rPr>
          <w:rStyle w:val="majorhead"/>
          <w:sz w:val="22"/>
          <w:szCs w:val="22"/>
        </w:rPr>
        <w:t>.</w:t>
      </w:r>
      <w:r w:rsidRPr="00B67753">
        <w:rPr>
          <w:rStyle w:val="majorhead"/>
          <w:sz w:val="22"/>
          <w:szCs w:val="22"/>
        </w:rPr>
        <w:t xml:space="preserve"> Time Schedule</w:t>
      </w:r>
    </w:p>
    <w:tbl>
      <w:tblPr>
        <w:tblW w:w="60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870"/>
      </w:tblGrid>
      <w:tr w:rsidR="00D52531" w:rsidRPr="00263ABE" w:rsidTr="00263ABE">
        <w:trPr>
          <w:tblHeader/>
        </w:trPr>
        <w:tc>
          <w:tcPr>
            <w:tcW w:w="2160" w:type="dxa"/>
            <w:tcBorders>
              <w:top w:val="single" w:sz="4" w:space="0" w:color="auto"/>
              <w:left w:val="single" w:sz="4" w:space="0" w:color="auto"/>
              <w:bottom w:val="single" w:sz="4" w:space="0" w:color="auto"/>
              <w:right w:val="single" w:sz="4" w:space="0" w:color="auto"/>
            </w:tcBorders>
            <w:shd w:val="clear" w:color="auto" w:fill="606060"/>
          </w:tcPr>
          <w:p w:rsidR="00D52531" w:rsidRPr="00263ABE" w:rsidRDefault="00D52531" w:rsidP="00D52531">
            <w:pPr>
              <w:spacing w:before="60" w:after="60"/>
              <w:rPr>
                <w:b/>
                <w:color w:val="FFFFFF"/>
                <w:sz w:val="18"/>
                <w:szCs w:val="18"/>
              </w:rPr>
            </w:pPr>
            <w:r w:rsidRPr="00263ABE">
              <w:rPr>
                <w:b/>
                <w:color w:val="FFFFFF"/>
                <w:sz w:val="18"/>
                <w:szCs w:val="18"/>
              </w:rPr>
              <w:lastRenderedPageBreak/>
              <w:t>Task</w:t>
            </w:r>
          </w:p>
        </w:tc>
        <w:tc>
          <w:tcPr>
            <w:tcW w:w="3870" w:type="dxa"/>
            <w:tcBorders>
              <w:top w:val="single" w:sz="4" w:space="0" w:color="auto"/>
              <w:left w:val="single" w:sz="4" w:space="0" w:color="auto"/>
              <w:bottom w:val="single" w:sz="4" w:space="0" w:color="auto"/>
              <w:right w:val="single" w:sz="4" w:space="0" w:color="auto"/>
            </w:tcBorders>
            <w:shd w:val="clear" w:color="auto" w:fill="606060"/>
          </w:tcPr>
          <w:p w:rsidR="00D52531" w:rsidRPr="00263ABE" w:rsidRDefault="00D52531" w:rsidP="00D52531">
            <w:pPr>
              <w:spacing w:before="60" w:after="60"/>
              <w:rPr>
                <w:b/>
                <w:color w:val="FFFFFF"/>
                <w:sz w:val="18"/>
                <w:szCs w:val="18"/>
              </w:rPr>
            </w:pPr>
            <w:r w:rsidRPr="00263ABE">
              <w:rPr>
                <w:b/>
                <w:color w:val="FFFFFF"/>
                <w:sz w:val="18"/>
                <w:szCs w:val="18"/>
              </w:rPr>
              <w:t>Date</w:t>
            </w:r>
          </w:p>
        </w:tc>
      </w:tr>
      <w:tr w:rsidR="00A5346D" w:rsidRPr="00C64A00">
        <w:tc>
          <w:tcPr>
            <w:tcW w:w="2160" w:type="dxa"/>
            <w:tcBorders>
              <w:top w:val="single" w:sz="4" w:space="0" w:color="auto"/>
              <w:left w:val="single" w:sz="4" w:space="0" w:color="auto"/>
              <w:bottom w:val="single" w:sz="4" w:space="0" w:color="auto"/>
              <w:right w:val="single" w:sz="4" w:space="0" w:color="auto"/>
            </w:tcBorders>
            <w:shd w:val="clear" w:color="auto" w:fill="FFFFFF"/>
          </w:tcPr>
          <w:p w:rsidR="00A5346D" w:rsidRPr="00263ABE" w:rsidRDefault="00A5346D" w:rsidP="001A3165">
            <w:pPr>
              <w:spacing w:before="60" w:after="60"/>
              <w:rPr>
                <w:sz w:val="18"/>
                <w:szCs w:val="18"/>
              </w:rPr>
            </w:pPr>
            <w:r>
              <w:rPr>
                <w:sz w:val="18"/>
                <w:szCs w:val="18"/>
              </w:rPr>
              <w:t xml:space="preserve">Obtain </w:t>
            </w:r>
            <w:r w:rsidRPr="00263ABE">
              <w:rPr>
                <w:sz w:val="18"/>
                <w:szCs w:val="18"/>
              </w:rPr>
              <w:t>OMB Approval</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A5346D" w:rsidRPr="00263ABE" w:rsidRDefault="005C4882" w:rsidP="001A3165">
            <w:pPr>
              <w:spacing w:before="60" w:after="60"/>
              <w:rPr>
                <w:sz w:val="18"/>
                <w:szCs w:val="18"/>
              </w:rPr>
            </w:pPr>
            <w:r>
              <w:rPr>
                <w:sz w:val="18"/>
                <w:szCs w:val="18"/>
              </w:rPr>
              <w:t>Pending</w:t>
            </w:r>
          </w:p>
        </w:tc>
      </w:tr>
      <w:tr w:rsidR="00A5346D" w:rsidRPr="00C64A00">
        <w:tc>
          <w:tcPr>
            <w:tcW w:w="2160" w:type="dxa"/>
            <w:tcBorders>
              <w:top w:val="single" w:sz="4" w:space="0" w:color="auto"/>
              <w:left w:val="single" w:sz="4" w:space="0" w:color="auto"/>
              <w:bottom w:val="single" w:sz="4" w:space="0" w:color="auto"/>
              <w:right w:val="single" w:sz="4" w:space="0" w:color="auto"/>
            </w:tcBorders>
            <w:shd w:val="clear" w:color="auto" w:fill="FFFFFF"/>
          </w:tcPr>
          <w:p w:rsidR="00A5346D" w:rsidRPr="00263ABE" w:rsidRDefault="00A5346D" w:rsidP="001A3165">
            <w:pPr>
              <w:spacing w:before="60" w:after="60"/>
              <w:rPr>
                <w:sz w:val="18"/>
                <w:szCs w:val="18"/>
              </w:rPr>
            </w:pPr>
            <w:r w:rsidRPr="00263ABE">
              <w:rPr>
                <w:sz w:val="18"/>
                <w:szCs w:val="18"/>
              </w:rPr>
              <w:t>Data Collection</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A5346D" w:rsidRPr="00263ABE" w:rsidRDefault="005C4882" w:rsidP="001A3165">
            <w:pPr>
              <w:spacing w:before="60" w:after="60"/>
              <w:rPr>
                <w:sz w:val="18"/>
                <w:szCs w:val="18"/>
              </w:rPr>
            </w:pPr>
            <w:r>
              <w:rPr>
                <w:sz w:val="18"/>
                <w:szCs w:val="18"/>
              </w:rPr>
              <w:t>One week following OMB approval</w:t>
            </w:r>
            <w:r w:rsidR="006E5558">
              <w:rPr>
                <w:sz w:val="18"/>
                <w:szCs w:val="18"/>
              </w:rPr>
              <w:t xml:space="preserve"> </w:t>
            </w:r>
          </w:p>
        </w:tc>
      </w:tr>
      <w:tr w:rsidR="00A5346D" w:rsidRPr="00C64A00">
        <w:tc>
          <w:tcPr>
            <w:tcW w:w="2160" w:type="dxa"/>
            <w:tcBorders>
              <w:top w:val="single" w:sz="4" w:space="0" w:color="auto"/>
              <w:left w:val="single" w:sz="4" w:space="0" w:color="auto"/>
              <w:bottom w:val="single" w:sz="4" w:space="0" w:color="auto"/>
              <w:right w:val="single" w:sz="4" w:space="0" w:color="auto"/>
            </w:tcBorders>
            <w:shd w:val="clear" w:color="auto" w:fill="FFFFFF"/>
          </w:tcPr>
          <w:p w:rsidR="00A5346D" w:rsidRPr="00263ABE" w:rsidRDefault="00A5346D" w:rsidP="005C4882">
            <w:pPr>
              <w:spacing w:before="60" w:after="60"/>
              <w:rPr>
                <w:sz w:val="18"/>
                <w:szCs w:val="18"/>
              </w:rPr>
            </w:pPr>
            <w:r w:rsidRPr="00263ABE">
              <w:rPr>
                <w:sz w:val="18"/>
                <w:szCs w:val="18"/>
              </w:rPr>
              <w:t xml:space="preserve">Data </w:t>
            </w:r>
            <w:r w:rsidR="005C4882">
              <w:rPr>
                <w:sz w:val="18"/>
                <w:szCs w:val="18"/>
              </w:rPr>
              <w:t>Collection Ends</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A5346D" w:rsidRPr="00263ABE" w:rsidRDefault="005C4882" w:rsidP="001A3165">
            <w:pPr>
              <w:spacing w:before="60" w:after="60"/>
              <w:rPr>
                <w:sz w:val="18"/>
                <w:szCs w:val="18"/>
              </w:rPr>
            </w:pPr>
            <w:r>
              <w:rPr>
                <w:sz w:val="18"/>
                <w:szCs w:val="18"/>
              </w:rPr>
              <w:t>September 30, 2018</w:t>
            </w:r>
          </w:p>
        </w:tc>
      </w:tr>
      <w:tr w:rsidR="005C4882" w:rsidRPr="00C64A00">
        <w:tc>
          <w:tcPr>
            <w:tcW w:w="2160" w:type="dxa"/>
            <w:tcBorders>
              <w:top w:val="single" w:sz="4" w:space="0" w:color="auto"/>
              <w:left w:val="single" w:sz="4" w:space="0" w:color="auto"/>
              <w:bottom w:val="single" w:sz="4" w:space="0" w:color="auto"/>
              <w:right w:val="single" w:sz="4" w:space="0" w:color="auto"/>
            </w:tcBorders>
            <w:shd w:val="clear" w:color="auto" w:fill="FFFFFF"/>
          </w:tcPr>
          <w:p w:rsidR="005C4882" w:rsidRDefault="005C4882" w:rsidP="001A3165">
            <w:pPr>
              <w:spacing w:before="60" w:after="60"/>
              <w:rPr>
                <w:sz w:val="18"/>
                <w:szCs w:val="18"/>
              </w:rPr>
            </w:pPr>
            <w:r>
              <w:rPr>
                <w:sz w:val="18"/>
                <w:szCs w:val="18"/>
              </w:rPr>
              <w:t>Data Analysis</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5C4882" w:rsidRDefault="005C4882" w:rsidP="001A3165">
            <w:pPr>
              <w:spacing w:before="60" w:after="60"/>
              <w:rPr>
                <w:sz w:val="18"/>
                <w:szCs w:val="18"/>
              </w:rPr>
            </w:pPr>
            <w:r>
              <w:rPr>
                <w:sz w:val="18"/>
                <w:szCs w:val="18"/>
              </w:rPr>
              <w:t>Ongoing – Annual</w:t>
            </w:r>
          </w:p>
        </w:tc>
      </w:tr>
      <w:tr w:rsidR="00A5346D" w:rsidRPr="00C64A00">
        <w:tc>
          <w:tcPr>
            <w:tcW w:w="2160" w:type="dxa"/>
            <w:tcBorders>
              <w:top w:val="single" w:sz="4" w:space="0" w:color="auto"/>
              <w:left w:val="single" w:sz="4" w:space="0" w:color="auto"/>
              <w:bottom w:val="single" w:sz="4" w:space="0" w:color="auto"/>
              <w:right w:val="single" w:sz="4" w:space="0" w:color="auto"/>
            </w:tcBorders>
            <w:shd w:val="clear" w:color="auto" w:fill="FFFFFF"/>
          </w:tcPr>
          <w:p w:rsidR="00A5346D" w:rsidRPr="00263ABE" w:rsidRDefault="00A5346D" w:rsidP="001A3165">
            <w:pPr>
              <w:spacing w:before="60" w:after="60"/>
              <w:rPr>
                <w:sz w:val="18"/>
                <w:szCs w:val="18"/>
              </w:rPr>
            </w:pPr>
            <w:r>
              <w:rPr>
                <w:sz w:val="18"/>
                <w:szCs w:val="18"/>
              </w:rPr>
              <w:t>Reporting</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A5346D" w:rsidRPr="00263ABE" w:rsidRDefault="00A5346D" w:rsidP="001A3165">
            <w:pPr>
              <w:spacing w:before="60" w:after="60"/>
              <w:rPr>
                <w:sz w:val="18"/>
                <w:szCs w:val="18"/>
              </w:rPr>
            </w:pPr>
            <w:r>
              <w:rPr>
                <w:sz w:val="18"/>
                <w:szCs w:val="18"/>
              </w:rPr>
              <w:t>Ongoing</w:t>
            </w:r>
            <w:r w:rsidR="005C4882">
              <w:rPr>
                <w:sz w:val="18"/>
                <w:szCs w:val="18"/>
              </w:rPr>
              <w:t xml:space="preserve"> - Annual</w:t>
            </w:r>
          </w:p>
        </w:tc>
      </w:tr>
    </w:tbl>
    <w:p w:rsidR="00B8612F" w:rsidRDefault="00B8612F" w:rsidP="00D52531">
      <w:pPr>
        <w:pStyle w:val="Level2"/>
        <w:numPr>
          <w:ilvl w:val="0"/>
          <w:numId w:val="0"/>
        </w:numPr>
        <w:rPr>
          <w:rStyle w:val="minorhead"/>
          <w:sz w:val="22"/>
          <w:szCs w:val="22"/>
        </w:rPr>
      </w:pPr>
    </w:p>
    <w:p w:rsidR="00D52531" w:rsidRDefault="00D52531" w:rsidP="00E141FB">
      <w:pPr>
        <w:pStyle w:val="Level2"/>
        <w:numPr>
          <w:ilvl w:val="0"/>
          <w:numId w:val="0"/>
        </w:numPr>
        <w:rPr>
          <w:rStyle w:val="majorhead"/>
          <w:sz w:val="22"/>
          <w:szCs w:val="22"/>
        </w:rPr>
      </w:pPr>
      <w:r w:rsidRPr="00811509">
        <w:rPr>
          <w:rStyle w:val="minorhead"/>
          <w:sz w:val="22"/>
          <w:szCs w:val="22"/>
        </w:rPr>
        <w:t>b. Publication Plans</w:t>
      </w:r>
    </w:p>
    <w:p w:rsidR="00FC03F5" w:rsidRDefault="00FC03F5" w:rsidP="00E141FB">
      <w:pPr>
        <w:pStyle w:val="BodyTextIndent"/>
        <w:ind w:left="0"/>
      </w:pPr>
    </w:p>
    <w:p w:rsidR="00FC03F5" w:rsidRDefault="00FC03F5" w:rsidP="00E141FB">
      <w:pPr>
        <w:tabs>
          <w:tab w:val="left" w:pos="-1440"/>
        </w:tabs>
        <w:rPr>
          <w:bCs/>
        </w:rPr>
      </w:pPr>
      <w:r>
        <w:rPr>
          <w:bCs/>
        </w:rPr>
        <w:t xml:space="preserve">Aggregated data will be presented at annual Grantee meetings in order to provide a summary of overall grantee performance.  Data collected as part of this effort may be used at SAMHSA sponsored conferences, and in reports to the Secretary of Health </w:t>
      </w:r>
      <w:r w:rsidR="00433D6C">
        <w:rPr>
          <w:bCs/>
        </w:rPr>
        <w:t xml:space="preserve">and Human Services, </w:t>
      </w:r>
      <w:r>
        <w:rPr>
          <w:bCs/>
        </w:rPr>
        <w:t xml:space="preserve">or Congress.  </w:t>
      </w:r>
    </w:p>
    <w:p w:rsidR="00FC03F5" w:rsidRDefault="00FC03F5" w:rsidP="00E141FB">
      <w:pPr>
        <w:tabs>
          <w:tab w:val="left" w:pos="-1440"/>
        </w:tabs>
        <w:rPr>
          <w:bCs/>
        </w:rPr>
      </w:pPr>
    </w:p>
    <w:p w:rsidR="00B043CD" w:rsidRDefault="00B043CD" w:rsidP="00B043CD">
      <w:pPr>
        <w:spacing w:line="276" w:lineRule="auto"/>
      </w:pPr>
      <w:r>
        <w:t>SAMHSA will work with contractor staff to develop a series of products</w:t>
      </w:r>
      <w:r w:rsidRPr="00AA69F3">
        <w:t xml:space="preserve"> that clearly and concisely present results so that they can be appreciated by both technical and </w:t>
      </w:r>
      <w:r>
        <w:t>nontechnical audiences.  C</w:t>
      </w:r>
      <w:r w:rsidRPr="004B3EE0">
        <w:t>ontractor staff</w:t>
      </w:r>
      <w:r w:rsidRPr="00AA69F3">
        <w:t xml:space="preserve"> will</w:t>
      </w:r>
      <w:r>
        <w:t xml:space="preserve"> be expected to</w:t>
      </w:r>
      <w:r w:rsidRPr="00AA69F3">
        <w:t>:</w:t>
      </w:r>
    </w:p>
    <w:p w:rsidR="00B043CD" w:rsidRPr="007E5524" w:rsidRDefault="00B043CD" w:rsidP="00B043CD">
      <w:pPr>
        <w:numPr>
          <w:ilvl w:val="0"/>
          <w:numId w:val="34"/>
        </w:numPr>
        <w:tabs>
          <w:tab w:val="num" w:pos="1080"/>
        </w:tabs>
        <w:spacing w:line="276" w:lineRule="auto"/>
        <w:ind w:left="720"/>
      </w:pPr>
      <w:r w:rsidRPr="007E5524">
        <w:t xml:space="preserve">Produce </w:t>
      </w:r>
      <w:r>
        <w:t>monthly summary</w:t>
      </w:r>
      <w:r w:rsidRPr="007E5524">
        <w:t xml:space="preserve"> reports</w:t>
      </w:r>
    </w:p>
    <w:p w:rsidR="00B043CD" w:rsidRPr="007E5524" w:rsidRDefault="00B043CD" w:rsidP="00B043CD">
      <w:pPr>
        <w:numPr>
          <w:ilvl w:val="0"/>
          <w:numId w:val="34"/>
        </w:numPr>
        <w:tabs>
          <w:tab w:val="num" w:pos="1080"/>
        </w:tabs>
        <w:spacing w:line="276" w:lineRule="auto"/>
        <w:ind w:left="720"/>
      </w:pPr>
      <w:r w:rsidRPr="007E5524">
        <w:t xml:space="preserve">Prepare and submit </w:t>
      </w:r>
      <w:r>
        <w:t xml:space="preserve">annual </w:t>
      </w:r>
      <w:r w:rsidRPr="007E5524">
        <w:t>report</w:t>
      </w:r>
      <w:r>
        <w:t>s</w:t>
      </w:r>
    </w:p>
    <w:p w:rsidR="00B043CD" w:rsidRPr="007E5524" w:rsidRDefault="00B043CD" w:rsidP="00B043CD">
      <w:pPr>
        <w:numPr>
          <w:ilvl w:val="0"/>
          <w:numId w:val="34"/>
        </w:numPr>
        <w:tabs>
          <w:tab w:val="num" w:pos="1080"/>
        </w:tabs>
        <w:spacing w:line="276" w:lineRule="auto"/>
        <w:ind w:left="720"/>
      </w:pPr>
      <w:r w:rsidRPr="007E5524">
        <w:t xml:space="preserve">Prepare </w:t>
      </w:r>
      <w:r>
        <w:t xml:space="preserve">a </w:t>
      </w:r>
      <w:r w:rsidRPr="007E5524">
        <w:t xml:space="preserve">final </w:t>
      </w:r>
      <w:r>
        <w:t>m</w:t>
      </w:r>
      <w:r w:rsidRPr="007E5524">
        <w:t>ulti-site findings report, including an executive summary</w:t>
      </w:r>
    </w:p>
    <w:p w:rsidR="00B043CD" w:rsidRDefault="00B043CD" w:rsidP="00B043CD">
      <w:pPr>
        <w:numPr>
          <w:ilvl w:val="0"/>
          <w:numId w:val="34"/>
        </w:numPr>
        <w:tabs>
          <w:tab w:val="num" w:pos="1080"/>
        </w:tabs>
        <w:spacing w:line="276" w:lineRule="auto"/>
        <w:ind w:left="720"/>
      </w:pPr>
      <w:r w:rsidRPr="007E5524">
        <w:t>Deliver presentations at professional and federally sponsored conventions and meetings</w:t>
      </w:r>
    </w:p>
    <w:p w:rsidR="00B043CD" w:rsidRPr="007E5524" w:rsidRDefault="00B043CD" w:rsidP="00B043CD">
      <w:pPr>
        <w:numPr>
          <w:ilvl w:val="0"/>
          <w:numId w:val="34"/>
        </w:numPr>
        <w:tabs>
          <w:tab w:val="num" w:pos="1080"/>
        </w:tabs>
        <w:spacing w:line="276" w:lineRule="auto"/>
        <w:ind w:left="720"/>
      </w:pPr>
      <w:r>
        <w:t>Prepare and submit articles for publication in peer-reviewed journals</w:t>
      </w:r>
    </w:p>
    <w:p w:rsidR="00B043CD" w:rsidRPr="007E5524" w:rsidRDefault="00B043CD" w:rsidP="00B043CD">
      <w:pPr>
        <w:numPr>
          <w:ilvl w:val="0"/>
          <w:numId w:val="34"/>
        </w:numPr>
        <w:tabs>
          <w:tab w:val="num" w:pos="1080"/>
        </w:tabs>
        <w:spacing w:after="200" w:line="276" w:lineRule="auto"/>
        <w:ind w:left="720"/>
      </w:pPr>
      <w:r w:rsidRPr="007E5524">
        <w:t xml:space="preserve">Disseminate reports and materials to entities inside and outside </w:t>
      </w:r>
      <w:r w:rsidRPr="004A76EE">
        <w:t>SAMHSA</w:t>
      </w:r>
    </w:p>
    <w:p w:rsidR="00D52531" w:rsidRDefault="00D52531" w:rsidP="00E141FB">
      <w:pPr>
        <w:tabs>
          <w:tab w:val="left" w:pos="0"/>
        </w:tabs>
        <w:rPr>
          <w:rStyle w:val="majorhead"/>
          <w:sz w:val="22"/>
          <w:szCs w:val="22"/>
        </w:rPr>
      </w:pPr>
    </w:p>
    <w:p w:rsidR="00D52531" w:rsidRDefault="00D52531" w:rsidP="00E141FB">
      <w:pPr>
        <w:tabs>
          <w:tab w:val="left" w:pos="0"/>
        </w:tabs>
        <w:rPr>
          <w:rStyle w:val="majorhead"/>
          <w:sz w:val="22"/>
          <w:szCs w:val="22"/>
        </w:rPr>
      </w:pPr>
      <w:r w:rsidRPr="001A3165">
        <w:rPr>
          <w:rStyle w:val="majorhead"/>
          <w:sz w:val="22"/>
          <w:szCs w:val="22"/>
        </w:rPr>
        <w:t>c. Analysis Plans</w:t>
      </w:r>
    </w:p>
    <w:p w:rsidR="005C4882" w:rsidRDefault="005C4882" w:rsidP="00E141FB">
      <w:pPr>
        <w:tabs>
          <w:tab w:val="left" w:pos="0"/>
        </w:tabs>
        <w:rPr>
          <w:rStyle w:val="majorhead"/>
          <w:sz w:val="22"/>
          <w:szCs w:val="22"/>
        </w:rPr>
      </w:pPr>
    </w:p>
    <w:p w:rsidR="00B043CD" w:rsidRDefault="00765CBF" w:rsidP="00891ACB">
      <w:r w:rsidRPr="00765CBF">
        <w:rPr>
          <w:b/>
        </w:rPr>
        <w:t>Combined HIV/Hepatitis Testing Form.</w:t>
      </w:r>
      <w:r>
        <w:t xml:space="preserve"> </w:t>
      </w:r>
      <w:r w:rsidR="00B043CD">
        <w:t xml:space="preserve"> </w:t>
      </w:r>
      <w:r w:rsidR="00B043CD" w:rsidRPr="0073084D">
        <w:t xml:space="preserve">First, </w:t>
      </w:r>
      <w:r w:rsidR="00B043CD">
        <w:t xml:space="preserve">the data </w:t>
      </w:r>
      <w:r w:rsidR="00B043CD" w:rsidRPr="0073084D">
        <w:t xml:space="preserve">will be summarized in descriptive statistics to describe </w:t>
      </w:r>
      <w:r w:rsidR="00B043CD">
        <w:t xml:space="preserve">the characteristics of individuals </w:t>
      </w:r>
      <w:r w:rsidR="00B043CD" w:rsidRPr="0073084D">
        <w:t xml:space="preserve">who </w:t>
      </w:r>
      <w:r w:rsidR="00B043CD">
        <w:t>are</w:t>
      </w:r>
      <w:r w:rsidR="00B043CD" w:rsidRPr="0073084D">
        <w:t xml:space="preserve"> being tested (or refusing</w:t>
      </w:r>
      <w:r w:rsidR="00B043CD">
        <w:t xml:space="preserve"> testing).</w:t>
      </w:r>
      <w:r w:rsidR="00B043CD" w:rsidRPr="0073084D">
        <w:t xml:space="preserve"> The rapid test technology and its accessibility has been an important step in HIV prevention and treatment. Therefore, knowing who this technology is reaching (and conversely, who if offered refuses the test) is critical in designing comprehensive outreach and treatment programming. </w:t>
      </w:r>
      <w:r w:rsidR="00B043CD">
        <w:t>S</w:t>
      </w:r>
      <w:r w:rsidR="00B043CD" w:rsidRPr="0073084D">
        <w:t xml:space="preserve">imple descriptive statistics displays and categorical data from the </w:t>
      </w:r>
      <w:r w:rsidR="00B043CD">
        <w:t xml:space="preserve">Combined HIV/Hepatitis Testing Form </w:t>
      </w:r>
      <w:r w:rsidR="00B043CD" w:rsidRPr="0073084D">
        <w:t xml:space="preserve">will be summarized in crosstabs describing the characteristics of those tested and those who refused testing---their demographics, risk activities, prior treatment,  results and type of services provided.  </w:t>
      </w:r>
      <w:r w:rsidR="00B043CD">
        <w:t xml:space="preserve">Grantees will be instructed to offer HIV/hepatitis testing </w:t>
      </w:r>
      <w:r w:rsidR="00B043CD" w:rsidRPr="0073084D">
        <w:t xml:space="preserve">to all those screened for services. Even if they refuse testing or have been tested before, Sections </w:t>
      </w:r>
      <w:r w:rsidR="00B043CD">
        <w:t xml:space="preserve">A-C </w:t>
      </w:r>
      <w:r w:rsidR="00B043CD" w:rsidRPr="0073084D">
        <w:t xml:space="preserve">will be completed, providing a large database for analysis. </w:t>
      </w:r>
    </w:p>
    <w:p w:rsidR="00891ACB" w:rsidRDefault="00891ACB" w:rsidP="00891ACB"/>
    <w:p w:rsidR="00891ACB" w:rsidRPr="0073084D" w:rsidRDefault="00891ACB" w:rsidP="00B043CD"/>
    <w:p w:rsidR="007F2304" w:rsidRDefault="00C9048C" w:rsidP="00E141FB">
      <w:pPr>
        <w:pStyle w:val="BodyText"/>
        <w:spacing w:after="0"/>
        <w:rPr>
          <w:szCs w:val="22"/>
        </w:rPr>
      </w:pPr>
      <w:r>
        <w:rPr>
          <w:b/>
          <w:szCs w:val="22"/>
        </w:rPr>
        <w:t>Co-located</w:t>
      </w:r>
      <w:r w:rsidR="000236E7">
        <w:rPr>
          <w:b/>
          <w:szCs w:val="22"/>
        </w:rPr>
        <w:t xml:space="preserve"> and Integrated Care Version of </w:t>
      </w:r>
      <w:r w:rsidR="00AC36F5">
        <w:rPr>
          <w:b/>
          <w:szCs w:val="22"/>
        </w:rPr>
        <w:t>TRAC</w:t>
      </w:r>
      <w:r w:rsidR="007F2304">
        <w:rPr>
          <w:b/>
          <w:szCs w:val="22"/>
        </w:rPr>
        <w:t xml:space="preserve">.  </w:t>
      </w:r>
      <w:r w:rsidR="007F2304" w:rsidRPr="00F5620A">
        <w:rPr>
          <w:szCs w:val="22"/>
        </w:rPr>
        <w:t xml:space="preserve">The </w:t>
      </w:r>
      <w:r>
        <w:rPr>
          <w:szCs w:val="22"/>
        </w:rPr>
        <w:t>Co-located</w:t>
      </w:r>
      <w:r w:rsidR="000236E7" w:rsidRPr="00847157">
        <w:rPr>
          <w:szCs w:val="22"/>
        </w:rPr>
        <w:t xml:space="preserve"> and Integrated Care version</w:t>
      </w:r>
      <w:r w:rsidR="000236E7">
        <w:rPr>
          <w:szCs w:val="22"/>
        </w:rPr>
        <w:t xml:space="preserve"> of </w:t>
      </w:r>
      <w:r w:rsidR="00AC36F5">
        <w:rPr>
          <w:szCs w:val="22"/>
        </w:rPr>
        <w:t>TRAC</w:t>
      </w:r>
      <w:r w:rsidR="000236E7">
        <w:rPr>
          <w:szCs w:val="22"/>
        </w:rPr>
        <w:t xml:space="preserve"> </w:t>
      </w:r>
      <w:r w:rsidR="007F2304" w:rsidRPr="00F5620A">
        <w:rPr>
          <w:szCs w:val="22"/>
        </w:rPr>
        <w:t xml:space="preserve">includes web-based reports that provide information on client-level data including information on the number of </w:t>
      </w:r>
      <w:r w:rsidR="002F326B">
        <w:rPr>
          <w:szCs w:val="22"/>
        </w:rPr>
        <w:t>client</w:t>
      </w:r>
      <w:r w:rsidR="007F2304" w:rsidRPr="00F5620A">
        <w:rPr>
          <w:szCs w:val="22"/>
        </w:rPr>
        <w:t xml:space="preserve">s served, their demographic characteristics, baseline status, and change scores for the various outcome domains. Data obtained from these reports will be analyzed and presented in performance reports using basic descriptive statistics. On the principle outcome items, a comparison of </w:t>
      </w:r>
      <w:r w:rsidR="002F326B">
        <w:rPr>
          <w:szCs w:val="22"/>
        </w:rPr>
        <w:t>client</w:t>
      </w:r>
      <w:r w:rsidR="007F2304" w:rsidRPr="00F5620A">
        <w:rPr>
          <w:szCs w:val="22"/>
        </w:rPr>
        <w:t xml:space="preserve"> status after receiving services </w:t>
      </w:r>
      <w:r w:rsidR="00433D6C">
        <w:rPr>
          <w:szCs w:val="22"/>
        </w:rPr>
        <w:t>to</w:t>
      </w:r>
      <w:r w:rsidR="007F2304" w:rsidRPr="00F5620A">
        <w:rPr>
          <w:szCs w:val="22"/>
        </w:rPr>
        <w:t xml:space="preserve"> baseline data will be used to assess change in status; users will also be able to compare any of </w:t>
      </w:r>
      <w:r w:rsidR="007F2304" w:rsidRPr="00F5620A">
        <w:rPr>
          <w:szCs w:val="22"/>
        </w:rPr>
        <w:lastRenderedPageBreak/>
        <w:t xml:space="preserve">the interviews completed by a </w:t>
      </w:r>
      <w:r w:rsidR="002F326B">
        <w:rPr>
          <w:szCs w:val="22"/>
        </w:rPr>
        <w:t>client</w:t>
      </w:r>
      <w:r w:rsidR="007F2304" w:rsidRPr="00F5620A">
        <w:rPr>
          <w:szCs w:val="22"/>
        </w:rPr>
        <w:t xml:space="preserve">. The web-based reports also allow users to create basic cross tabulations of the data.  </w:t>
      </w:r>
    </w:p>
    <w:p w:rsidR="00BA78D2" w:rsidRPr="00F5620A" w:rsidRDefault="00BA78D2" w:rsidP="00E141FB">
      <w:pPr>
        <w:pStyle w:val="BodyText"/>
        <w:spacing w:after="0"/>
        <w:rPr>
          <w:szCs w:val="22"/>
        </w:rPr>
      </w:pPr>
    </w:p>
    <w:p w:rsidR="007F2304" w:rsidRDefault="007F2304" w:rsidP="00E141FB">
      <w:pPr>
        <w:pStyle w:val="BodyTextIndent"/>
        <w:ind w:left="0"/>
        <w:rPr>
          <w:rFonts w:ascii="Arial" w:hAnsi="Arial" w:cs="Arial"/>
          <w:sz w:val="22"/>
          <w:szCs w:val="22"/>
        </w:rPr>
      </w:pPr>
      <w:r w:rsidRPr="00F5620A">
        <w:rPr>
          <w:rFonts w:ascii="Arial" w:hAnsi="Arial" w:cs="Arial"/>
          <w:sz w:val="22"/>
          <w:szCs w:val="22"/>
        </w:rPr>
        <w:t xml:space="preserve">The Evaluation Contractor will employ a variety of methods to analyze </w:t>
      </w:r>
      <w:r w:rsidR="00AC36F5">
        <w:rPr>
          <w:rFonts w:ascii="Arial" w:hAnsi="Arial" w:cs="Arial"/>
          <w:sz w:val="22"/>
          <w:szCs w:val="22"/>
        </w:rPr>
        <w:t>T</w:t>
      </w:r>
      <w:r w:rsidR="00EF5530">
        <w:rPr>
          <w:rFonts w:ascii="Arial" w:hAnsi="Arial" w:cs="Arial"/>
          <w:sz w:val="22"/>
          <w:szCs w:val="22"/>
        </w:rPr>
        <w:t>RAC</w:t>
      </w:r>
      <w:r w:rsidRPr="00F5620A">
        <w:rPr>
          <w:rFonts w:ascii="Arial" w:hAnsi="Arial" w:cs="Arial"/>
          <w:sz w:val="22"/>
          <w:szCs w:val="22"/>
        </w:rPr>
        <w:t xml:space="preserve"> data, from simple descriptive statistics </w:t>
      </w:r>
      <w:r w:rsidR="00F5620A">
        <w:rPr>
          <w:rFonts w:ascii="Arial" w:hAnsi="Arial" w:cs="Arial"/>
          <w:sz w:val="22"/>
          <w:szCs w:val="22"/>
        </w:rPr>
        <w:t>to multi</w:t>
      </w:r>
      <w:r w:rsidRPr="00F5620A">
        <w:rPr>
          <w:rFonts w:ascii="Arial" w:hAnsi="Arial" w:cs="Arial"/>
          <w:sz w:val="22"/>
          <w:szCs w:val="22"/>
        </w:rPr>
        <w:t xml:space="preserve">variate modeling techniques when appropriate.  Descriptive </w:t>
      </w:r>
      <w:r w:rsidR="00F5620A" w:rsidRPr="00F5620A">
        <w:rPr>
          <w:rFonts w:ascii="Arial" w:hAnsi="Arial" w:cs="Arial"/>
          <w:sz w:val="22"/>
          <w:szCs w:val="22"/>
        </w:rPr>
        <w:t>statistics</w:t>
      </w:r>
      <w:r w:rsidRPr="00F5620A">
        <w:rPr>
          <w:rFonts w:ascii="Arial" w:hAnsi="Arial" w:cs="Arial"/>
          <w:sz w:val="22"/>
          <w:szCs w:val="22"/>
        </w:rPr>
        <w:t xml:space="preserve"> will be used for presenting information about the characteristics of grantee organizations</w:t>
      </w:r>
      <w:r w:rsidR="00F5620A" w:rsidRPr="00F5620A">
        <w:rPr>
          <w:rFonts w:ascii="Arial" w:hAnsi="Arial" w:cs="Arial"/>
          <w:sz w:val="22"/>
          <w:szCs w:val="22"/>
        </w:rPr>
        <w:t xml:space="preserve"> and client</w:t>
      </w:r>
      <w:r w:rsidR="00433D6C">
        <w:rPr>
          <w:rFonts w:ascii="Arial" w:hAnsi="Arial" w:cs="Arial"/>
          <w:sz w:val="22"/>
          <w:szCs w:val="22"/>
        </w:rPr>
        <w:t>s</w:t>
      </w:r>
      <w:r w:rsidRPr="00F5620A">
        <w:rPr>
          <w:rFonts w:ascii="Arial" w:hAnsi="Arial" w:cs="Arial"/>
          <w:sz w:val="22"/>
          <w:szCs w:val="22"/>
        </w:rPr>
        <w:t xml:space="preserve">. </w:t>
      </w:r>
      <w:r w:rsidR="00F5620A" w:rsidRPr="00F5620A">
        <w:rPr>
          <w:rFonts w:ascii="Arial" w:hAnsi="Arial" w:cs="Arial"/>
          <w:sz w:val="22"/>
          <w:szCs w:val="22"/>
        </w:rPr>
        <w:t>G</w:t>
      </w:r>
      <w:r w:rsidRPr="00F5620A">
        <w:rPr>
          <w:rFonts w:ascii="Arial" w:hAnsi="Arial" w:cs="Arial"/>
          <w:sz w:val="22"/>
          <w:szCs w:val="22"/>
        </w:rPr>
        <w:t xml:space="preserve">raphical techniques such </w:t>
      </w:r>
      <w:r w:rsidR="00433D6C">
        <w:rPr>
          <w:rFonts w:ascii="Arial" w:hAnsi="Arial" w:cs="Arial"/>
          <w:sz w:val="22"/>
          <w:szCs w:val="22"/>
        </w:rPr>
        <w:t xml:space="preserve">scatter plots and </w:t>
      </w:r>
      <w:r w:rsidRPr="00F5620A">
        <w:rPr>
          <w:rFonts w:ascii="Arial" w:hAnsi="Arial" w:cs="Arial"/>
          <w:sz w:val="22"/>
          <w:szCs w:val="22"/>
        </w:rPr>
        <w:t>histograms</w:t>
      </w:r>
      <w:r w:rsidR="00F5620A" w:rsidRPr="00F5620A">
        <w:rPr>
          <w:rFonts w:ascii="Arial" w:hAnsi="Arial" w:cs="Arial"/>
          <w:sz w:val="22"/>
          <w:szCs w:val="22"/>
        </w:rPr>
        <w:t xml:space="preserve"> will also be used to </w:t>
      </w:r>
      <w:r w:rsidR="00F5620A">
        <w:rPr>
          <w:rFonts w:ascii="Arial" w:hAnsi="Arial" w:cs="Arial"/>
          <w:sz w:val="22"/>
          <w:szCs w:val="22"/>
        </w:rPr>
        <w:t xml:space="preserve">visualize the data and to help </w:t>
      </w:r>
      <w:r w:rsidRPr="00F5620A">
        <w:rPr>
          <w:rFonts w:ascii="Arial" w:hAnsi="Arial" w:cs="Arial"/>
          <w:sz w:val="22"/>
          <w:szCs w:val="22"/>
        </w:rPr>
        <w:t xml:space="preserve">understand the characteristics of available data, </w:t>
      </w:r>
      <w:r w:rsidR="00433D6C">
        <w:rPr>
          <w:rFonts w:ascii="Arial" w:hAnsi="Arial" w:cs="Arial"/>
          <w:sz w:val="22"/>
          <w:szCs w:val="22"/>
        </w:rPr>
        <w:t xml:space="preserve">as </w:t>
      </w:r>
      <w:r w:rsidRPr="00F5620A">
        <w:rPr>
          <w:rFonts w:ascii="Arial" w:hAnsi="Arial" w:cs="Arial"/>
          <w:sz w:val="22"/>
          <w:szCs w:val="22"/>
        </w:rPr>
        <w:t xml:space="preserve"> necessary precursor</w:t>
      </w:r>
      <w:r w:rsidR="00433D6C">
        <w:rPr>
          <w:rFonts w:ascii="Arial" w:hAnsi="Arial" w:cs="Arial"/>
          <w:sz w:val="22"/>
          <w:szCs w:val="22"/>
        </w:rPr>
        <w:t>s</w:t>
      </w:r>
      <w:r w:rsidRPr="00F5620A">
        <w:rPr>
          <w:rFonts w:ascii="Arial" w:hAnsi="Arial" w:cs="Arial"/>
          <w:sz w:val="22"/>
          <w:szCs w:val="22"/>
        </w:rPr>
        <w:t xml:space="preserve"> to more complex multivariate techniques, such as multiple regression or hierarchical linear modeling.</w:t>
      </w:r>
    </w:p>
    <w:p w:rsidR="00891ACB" w:rsidRDefault="00891ACB" w:rsidP="00E141FB">
      <w:pPr>
        <w:pStyle w:val="BodyTextIndent"/>
        <w:ind w:left="0"/>
        <w:rPr>
          <w:rFonts w:ascii="Arial" w:hAnsi="Arial" w:cs="Arial"/>
          <w:sz w:val="22"/>
          <w:szCs w:val="22"/>
        </w:rPr>
      </w:pPr>
    </w:p>
    <w:p w:rsidR="00F5620A" w:rsidRDefault="00F5620A" w:rsidP="00E141FB">
      <w:pPr>
        <w:pStyle w:val="BodyTextIndent"/>
        <w:ind w:left="0"/>
        <w:rPr>
          <w:rFonts w:ascii="Arial" w:hAnsi="Arial" w:cs="Arial"/>
          <w:sz w:val="22"/>
          <w:szCs w:val="22"/>
        </w:rPr>
      </w:pPr>
    </w:p>
    <w:p w:rsidR="00FD60A3" w:rsidRPr="00BA3ED4" w:rsidRDefault="00F5620A" w:rsidP="00E141FB">
      <w:pPr>
        <w:pStyle w:val="BodyTextIndent"/>
        <w:ind w:left="0"/>
        <w:rPr>
          <w:rFonts w:ascii="Arial" w:hAnsi="Arial" w:cs="Arial"/>
          <w:sz w:val="22"/>
          <w:szCs w:val="22"/>
        </w:rPr>
      </w:pPr>
      <w:r w:rsidRPr="00BA3ED4">
        <w:rPr>
          <w:rFonts w:ascii="Arial" w:hAnsi="Arial" w:cs="Arial"/>
          <w:b/>
          <w:sz w:val="22"/>
          <w:szCs w:val="22"/>
        </w:rPr>
        <w:t xml:space="preserve">HIV Indicators. </w:t>
      </w:r>
      <w:r w:rsidR="00F77419" w:rsidRPr="00BA3ED4">
        <w:rPr>
          <w:rFonts w:ascii="Arial" w:hAnsi="Arial" w:cs="Arial"/>
          <w:sz w:val="22"/>
          <w:szCs w:val="22"/>
        </w:rPr>
        <w:t>Much of the i</w:t>
      </w:r>
      <w:r w:rsidRPr="00BA3ED4">
        <w:rPr>
          <w:rFonts w:ascii="Arial" w:hAnsi="Arial" w:cs="Arial"/>
          <w:sz w:val="22"/>
          <w:szCs w:val="22"/>
        </w:rPr>
        <w:t>nformation contained in the HIV Indictor Module</w:t>
      </w:r>
      <w:r w:rsidRPr="00BA3ED4">
        <w:rPr>
          <w:rFonts w:ascii="Arial" w:hAnsi="Arial" w:cs="Arial"/>
          <w:b/>
          <w:sz w:val="22"/>
          <w:szCs w:val="22"/>
        </w:rPr>
        <w:t xml:space="preserve"> </w:t>
      </w:r>
      <w:r w:rsidR="00FD60A3" w:rsidRPr="00BA3ED4">
        <w:rPr>
          <w:rFonts w:ascii="Arial" w:hAnsi="Arial" w:cs="Arial"/>
          <w:sz w:val="22"/>
          <w:szCs w:val="22"/>
        </w:rPr>
        <w:t>will be used to calculate the HHS Core HIV Measures</w:t>
      </w:r>
      <w:r w:rsidR="00433D6C">
        <w:rPr>
          <w:rFonts w:ascii="Arial" w:hAnsi="Arial" w:cs="Arial"/>
          <w:sz w:val="22"/>
          <w:szCs w:val="22"/>
        </w:rPr>
        <w:t>.</w:t>
      </w:r>
      <w:r w:rsidR="00FD60A3" w:rsidRPr="00BA3ED4">
        <w:rPr>
          <w:rStyle w:val="FootnoteReference"/>
          <w:rFonts w:ascii="Arial" w:hAnsi="Arial" w:cs="Arial"/>
          <w:sz w:val="22"/>
          <w:szCs w:val="22"/>
        </w:rPr>
        <w:footnoteReference w:id="5"/>
      </w:r>
      <w:r w:rsidR="00FD60A3" w:rsidRPr="00BA3ED4">
        <w:rPr>
          <w:rFonts w:ascii="Arial" w:hAnsi="Arial" w:cs="Arial"/>
          <w:sz w:val="22"/>
          <w:szCs w:val="22"/>
        </w:rPr>
        <w:t xml:space="preserve">  </w:t>
      </w:r>
      <w:r w:rsidR="00433D6C">
        <w:rPr>
          <w:rFonts w:ascii="Arial" w:hAnsi="Arial" w:cs="Arial"/>
          <w:sz w:val="22"/>
          <w:szCs w:val="22"/>
        </w:rPr>
        <w:t>Information</w:t>
      </w:r>
      <w:r w:rsidR="00F77419" w:rsidRPr="00BA3ED4">
        <w:rPr>
          <w:rFonts w:ascii="Arial" w:hAnsi="Arial" w:cs="Arial"/>
          <w:sz w:val="22"/>
          <w:szCs w:val="22"/>
        </w:rPr>
        <w:t xml:space="preserve"> matching </w:t>
      </w:r>
      <w:r w:rsidR="00433D6C">
        <w:rPr>
          <w:rFonts w:ascii="Arial" w:hAnsi="Arial" w:cs="Arial"/>
          <w:sz w:val="22"/>
          <w:szCs w:val="22"/>
        </w:rPr>
        <w:t xml:space="preserve">HIV Indicator data points to each relevant HHS Core HIV Indicator is </w:t>
      </w:r>
      <w:r w:rsidR="00BA78D2">
        <w:rPr>
          <w:rFonts w:ascii="Arial" w:hAnsi="Arial" w:cs="Arial"/>
          <w:sz w:val="22"/>
          <w:szCs w:val="22"/>
        </w:rPr>
        <w:t>presented in Table 5</w:t>
      </w:r>
      <w:r w:rsidR="00F77419" w:rsidRPr="00BA3ED4">
        <w:rPr>
          <w:rFonts w:ascii="Arial" w:hAnsi="Arial" w:cs="Arial"/>
          <w:sz w:val="22"/>
          <w:szCs w:val="22"/>
        </w:rPr>
        <w:t>.  SAMHSA will work with the Evaluation Contractor to calculate the HHS Core Measures and to analyze changes in the measures over time.  When appropriate, multi-level modeling techniques, that will allow us to relate client-level and clinic-level characteristics to these outcomes will be used to determine which aspects of the intervention are associated with improved HIV outcomes.</w:t>
      </w:r>
    </w:p>
    <w:p w:rsidR="00F5620A" w:rsidRDefault="00F5620A" w:rsidP="007F2304">
      <w:pPr>
        <w:pStyle w:val="BodyTextIndent"/>
        <w:ind w:left="0"/>
        <w:rPr>
          <w:rFonts w:ascii="Arial" w:hAnsi="Arial" w:cs="Arial"/>
          <w:sz w:val="22"/>
          <w:szCs w:val="22"/>
        </w:rPr>
      </w:pPr>
    </w:p>
    <w:p w:rsidR="007F2304" w:rsidRPr="00434C40" w:rsidRDefault="00BA78D2" w:rsidP="007F2304">
      <w:pPr>
        <w:pStyle w:val="BodyText"/>
        <w:rPr>
          <w:b/>
        </w:rPr>
      </w:pPr>
      <w:r w:rsidRPr="00434C40">
        <w:rPr>
          <w:b/>
        </w:rPr>
        <w:t xml:space="preserve">Table 5. Information from the </w:t>
      </w:r>
      <w:r w:rsidR="00434C40" w:rsidRPr="00434C40">
        <w:rPr>
          <w:b/>
        </w:rPr>
        <w:t>HIV Indicators Used to Calculate HHS Core HIV Measures</w:t>
      </w:r>
    </w:p>
    <w:tbl>
      <w:tblPr>
        <w:tblStyle w:val="TableGrid"/>
        <w:tblW w:w="0" w:type="auto"/>
        <w:tblLook w:val="04A0" w:firstRow="1" w:lastRow="0" w:firstColumn="1" w:lastColumn="0" w:noHBand="0" w:noVBand="1"/>
      </w:tblPr>
      <w:tblGrid>
        <w:gridCol w:w="1170"/>
        <w:gridCol w:w="6343"/>
        <w:gridCol w:w="2063"/>
      </w:tblGrid>
      <w:tr w:rsidR="00FD60A3" w:rsidRPr="002003A7" w:rsidTr="00F77419">
        <w:tc>
          <w:tcPr>
            <w:tcW w:w="1170" w:type="dxa"/>
          </w:tcPr>
          <w:p w:rsidR="00FD60A3" w:rsidRPr="002003A7" w:rsidRDefault="00F77419" w:rsidP="00973FF9">
            <w:pPr>
              <w:tabs>
                <w:tab w:val="left" w:pos="0"/>
              </w:tabs>
              <w:suppressAutoHyphens/>
              <w:rPr>
                <w:b/>
                <w:color w:val="000000" w:themeColor="text1"/>
                <w:szCs w:val="22"/>
              </w:rPr>
            </w:pPr>
            <w:r>
              <w:rPr>
                <w:b/>
                <w:color w:val="000000" w:themeColor="text1"/>
                <w:szCs w:val="22"/>
              </w:rPr>
              <w:t>Question Number</w:t>
            </w:r>
          </w:p>
        </w:tc>
        <w:tc>
          <w:tcPr>
            <w:tcW w:w="6343" w:type="dxa"/>
          </w:tcPr>
          <w:p w:rsidR="00FD60A3" w:rsidRPr="002003A7" w:rsidRDefault="00FD60A3" w:rsidP="00973FF9">
            <w:pPr>
              <w:tabs>
                <w:tab w:val="left" w:pos="0"/>
              </w:tabs>
              <w:suppressAutoHyphens/>
              <w:rPr>
                <w:b/>
                <w:color w:val="000000" w:themeColor="text1"/>
                <w:szCs w:val="22"/>
              </w:rPr>
            </w:pPr>
            <w:r w:rsidRPr="002003A7">
              <w:rPr>
                <w:b/>
                <w:color w:val="000000" w:themeColor="text1"/>
                <w:szCs w:val="22"/>
              </w:rPr>
              <w:t>Indicator</w:t>
            </w:r>
          </w:p>
        </w:tc>
        <w:tc>
          <w:tcPr>
            <w:tcW w:w="2063" w:type="dxa"/>
          </w:tcPr>
          <w:p w:rsidR="00FD60A3" w:rsidRPr="002003A7" w:rsidRDefault="00433D6C" w:rsidP="00973FF9">
            <w:pPr>
              <w:tabs>
                <w:tab w:val="left" w:pos="0"/>
              </w:tabs>
              <w:suppressAutoHyphens/>
              <w:rPr>
                <w:b/>
                <w:szCs w:val="22"/>
              </w:rPr>
            </w:pPr>
            <w:r>
              <w:rPr>
                <w:b/>
                <w:szCs w:val="22"/>
              </w:rPr>
              <w:t>Relevant HHS Core HIV Indicator Data</w:t>
            </w:r>
          </w:p>
        </w:tc>
      </w:tr>
      <w:tr w:rsidR="00434C40" w:rsidRPr="002003A7" w:rsidTr="00973FF9">
        <w:tc>
          <w:tcPr>
            <w:tcW w:w="9576" w:type="dxa"/>
            <w:gridSpan w:val="3"/>
          </w:tcPr>
          <w:p w:rsidR="00434C40" w:rsidRPr="002003A7" w:rsidRDefault="00434C40" w:rsidP="00973FF9">
            <w:pPr>
              <w:tabs>
                <w:tab w:val="left" w:pos="0"/>
              </w:tabs>
              <w:suppressAutoHyphens/>
              <w:rPr>
                <w:szCs w:val="22"/>
              </w:rPr>
            </w:pPr>
          </w:p>
        </w:tc>
      </w:tr>
      <w:tr w:rsidR="00FD60A3" w:rsidRPr="002003A7" w:rsidTr="00F77419">
        <w:tc>
          <w:tcPr>
            <w:tcW w:w="1170" w:type="dxa"/>
          </w:tcPr>
          <w:p w:rsidR="00FD60A3" w:rsidRPr="002003A7" w:rsidRDefault="00FD60A3" w:rsidP="00973FF9">
            <w:pPr>
              <w:tabs>
                <w:tab w:val="left" w:pos="0"/>
              </w:tabs>
              <w:suppressAutoHyphens/>
              <w:rPr>
                <w:rFonts w:eastAsia="MS Gothic"/>
                <w:color w:val="000000" w:themeColor="text1"/>
                <w:szCs w:val="22"/>
              </w:rPr>
            </w:pPr>
            <w:r w:rsidRPr="002003A7">
              <w:rPr>
                <w:rFonts w:eastAsia="MS Gothic"/>
                <w:color w:val="000000" w:themeColor="text1"/>
                <w:szCs w:val="22"/>
              </w:rPr>
              <w:t>3</w:t>
            </w:r>
          </w:p>
        </w:tc>
        <w:tc>
          <w:tcPr>
            <w:tcW w:w="6343" w:type="dxa"/>
          </w:tcPr>
          <w:p w:rsidR="00FD60A3" w:rsidRPr="002003A7" w:rsidRDefault="00FD60A3" w:rsidP="00973FF9">
            <w:pPr>
              <w:tabs>
                <w:tab w:val="left" w:pos="0"/>
              </w:tabs>
              <w:suppressAutoHyphens/>
              <w:rPr>
                <w:szCs w:val="22"/>
              </w:rPr>
            </w:pPr>
            <w:r w:rsidRPr="002003A7">
              <w:rPr>
                <w:rFonts w:eastAsia="MS Gothic"/>
                <w:color w:val="000000" w:themeColor="text1"/>
                <w:szCs w:val="22"/>
              </w:rPr>
              <w:t xml:space="preserve">If this is a new diagnosis, is patient classified as having a Stage 3 HIV infection (AIDS)?  </w:t>
            </w:r>
          </w:p>
        </w:tc>
        <w:tc>
          <w:tcPr>
            <w:tcW w:w="2063" w:type="dxa"/>
          </w:tcPr>
          <w:p w:rsidR="00FD60A3" w:rsidRPr="002003A7" w:rsidRDefault="00FD60A3" w:rsidP="00973FF9">
            <w:pPr>
              <w:rPr>
                <w:szCs w:val="22"/>
              </w:rPr>
            </w:pPr>
            <w:r>
              <w:rPr>
                <w:szCs w:val="22"/>
              </w:rPr>
              <w:t>HHS</w:t>
            </w:r>
            <w:r w:rsidR="0015046C">
              <w:rPr>
                <w:szCs w:val="22"/>
              </w:rPr>
              <w:t xml:space="preserve"> Core HIV </w:t>
            </w:r>
            <w:r>
              <w:rPr>
                <w:szCs w:val="22"/>
              </w:rPr>
              <w:t xml:space="preserve"> Measure #3: Late HIV Diagnosis</w:t>
            </w:r>
          </w:p>
        </w:tc>
      </w:tr>
      <w:tr w:rsidR="00FD60A3" w:rsidRPr="002003A7" w:rsidTr="00F77419">
        <w:tc>
          <w:tcPr>
            <w:tcW w:w="1170" w:type="dxa"/>
          </w:tcPr>
          <w:p w:rsidR="00FD60A3" w:rsidRPr="002003A7" w:rsidRDefault="00FD60A3" w:rsidP="00973FF9">
            <w:pPr>
              <w:tabs>
                <w:tab w:val="left" w:pos="0"/>
              </w:tabs>
              <w:suppressAutoHyphens/>
              <w:rPr>
                <w:szCs w:val="22"/>
              </w:rPr>
            </w:pPr>
            <w:r w:rsidRPr="002003A7">
              <w:rPr>
                <w:szCs w:val="22"/>
              </w:rPr>
              <w:t>7</w:t>
            </w:r>
          </w:p>
        </w:tc>
        <w:tc>
          <w:tcPr>
            <w:tcW w:w="6343" w:type="dxa"/>
          </w:tcPr>
          <w:p w:rsidR="00FD60A3" w:rsidRPr="002003A7" w:rsidRDefault="00FD60A3" w:rsidP="00973FF9">
            <w:pPr>
              <w:tabs>
                <w:tab w:val="left" w:pos="0"/>
              </w:tabs>
              <w:suppressAutoHyphens/>
              <w:rPr>
                <w:szCs w:val="22"/>
              </w:rPr>
            </w:pPr>
            <w:r w:rsidRPr="002003A7">
              <w:rPr>
                <w:szCs w:val="22"/>
              </w:rPr>
              <w:t xml:space="preserve">Did the client attend a routine HIV medical care visit within 3 months of current HIV diagnosis?  </w:t>
            </w:r>
          </w:p>
        </w:tc>
        <w:tc>
          <w:tcPr>
            <w:tcW w:w="2063" w:type="dxa"/>
          </w:tcPr>
          <w:p w:rsidR="00FD60A3" w:rsidRPr="002003A7" w:rsidRDefault="00FD60A3" w:rsidP="00973FF9">
            <w:pPr>
              <w:tabs>
                <w:tab w:val="left" w:pos="0"/>
              </w:tabs>
              <w:suppressAutoHyphens/>
              <w:rPr>
                <w:szCs w:val="22"/>
              </w:rPr>
            </w:pPr>
            <w:r>
              <w:rPr>
                <w:szCs w:val="22"/>
              </w:rPr>
              <w:t xml:space="preserve">HHS Core </w:t>
            </w:r>
            <w:r w:rsidR="0015046C">
              <w:rPr>
                <w:szCs w:val="22"/>
              </w:rPr>
              <w:t xml:space="preserve">HIV </w:t>
            </w:r>
            <w:r>
              <w:rPr>
                <w:szCs w:val="22"/>
              </w:rPr>
              <w:t>Measure #3 Linkage to HIV Care</w:t>
            </w:r>
          </w:p>
        </w:tc>
      </w:tr>
      <w:tr w:rsidR="00FD60A3" w:rsidRPr="002003A7" w:rsidTr="00F77419">
        <w:tc>
          <w:tcPr>
            <w:tcW w:w="1170" w:type="dxa"/>
          </w:tcPr>
          <w:p w:rsidR="00FD60A3" w:rsidRPr="002003A7" w:rsidRDefault="00FD60A3" w:rsidP="00973FF9">
            <w:pPr>
              <w:spacing w:line="276" w:lineRule="auto"/>
              <w:rPr>
                <w:szCs w:val="22"/>
              </w:rPr>
            </w:pPr>
            <w:r w:rsidRPr="002003A7">
              <w:rPr>
                <w:szCs w:val="22"/>
              </w:rPr>
              <w:t>8</w:t>
            </w:r>
          </w:p>
        </w:tc>
        <w:tc>
          <w:tcPr>
            <w:tcW w:w="6343" w:type="dxa"/>
          </w:tcPr>
          <w:p w:rsidR="00FD60A3" w:rsidRPr="002003A7" w:rsidRDefault="00FD60A3" w:rsidP="00973FF9">
            <w:pPr>
              <w:spacing w:line="276" w:lineRule="auto"/>
              <w:rPr>
                <w:szCs w:val="22"/>
              </w:rPr>
            </w:pPr>
            <w:r w:rsidRPr="002003A7">
              <w:rPr>
                <w:szCs w:val="22"/>
              </w:rPr>
              <w:t>Did the client have at least one HIV medical care visit in the past 6 month period? If so</w:t>
            </w:r>
            <w:r w:rsidRPr="002003A7">
              <w:rPr>
                <w:rFonts w:eastAsia="MS Gothic"/>
                <w:szCs w:val="22"/>
              </w:rPr>
              <w:t>, list dates of all HIV-related medical visit(s) since last reassessment.</w:t>
            </w:r>
          </w:p>
        </w:tc>
        <w:tc>
          <w:tcPr>
            <w:tcW w:w="2063" w:type="dxa"/>
          </w:tcPr>
          <w:p w:rsidR="00FD60A3" w:rsidRPr="002003A7" w:rsidRDefault="00FD60A3" w:rsidP="00973FF9">
            <w:pPr>
              <w:tabs>
                <w:tab w:val="left" w:pos="0"/>
              </w:tabs>
              <w:suppressAutoHyphens/>
              <w:rPr>
                <w:szCs w:val="22"/>
              </w:rPr>
            </w:pPr>
            <w:r>
              <w:rPr>
                <w:szCs w:val="22"/>
              </w:rPr>
              <w:t>HHS Core</w:t>
            </w:r>
            <w:r w:rsidR="0015046C">
              <w:rPr>
                <w:szCs w:val="22"/>
              </w:rPr>
              <w:t xml:space="preserve"> HIV</w:t>
            </w:r>
            <w:r>
              <w:rPr>
                <w:szCs w:val="22"/>
              </w:rPr>
              <w:t xml:space="preserve"> Measure #4 Retention in HIV Care </w:t>
            </w:r>
          </w:p>
        </w:tc>
      </w:tr>
      <w:tr w:rsidR="00FD60A3" w:rsidRPr="002003A7" w:rsidTr="00F77419">
        <w:tc>
          <w:tcPr>
            <w:tcW w:w="1170" w:type="dxa"/>
          </w:tcPr>
          <w:p w:rsidR="00FD60A3" w:rsidRPr="002003A7" w:rsidRDefault="00FD60A3" w:rsidP="00973FF9">
            <w:pPr>
              <w:tabs>
                <w:tab w:val="left" w:pos="270"/>
                <w:tab w:val="left" w:pos="450"/>
              </w:tabs>
              <w:spacing w:line="276" w:lineRule="auto"/>
              <w:rPr>
                <w:szCs w:val="22"/>
              </w:rPr>
            </w:pPr>
            <w:r w:rsidRPr="002003A7">
              <w:rPr>
                <w:szCs w:val="22"/>
              </w:rPr>
              <w:t>9</w:t>
            </w:r>
          </w:p>
        </w:tc>
        <w:tc>
          <w:tcPr>
            <w:tcW w:w="6343" w:type="dxa"/>
          </w:tcPr>
          <w:p w:rsidR="00FD60A3" w:rsidRPr="002003A7" w:rsidRDefault="00FD60A3" w:rsidP="00973FF9">
            <w:pPr>
              <w:tabs>
                <w:tab w:val="left" w:pos="270"/>
                <w:tab w:val="left" w:pos="450"/>
              </w:tabs>
              <w:spacing w:line="276" w:lineRule="auto"/>
              <w:rPr>
                <w:szCs w:val="22"/>
              </w:rPr>
            </w:pPr>
            <w:r w:rsidRPr="002003A7">
              <w:rPr>
                <w:szCs w:val="22"/>
              </w:rPr>
              <w:t>Has the client been prescribed Antiretroviral Medication (ART</w:t>
            </w:r>
            <w:r w:rsidRPr="002003A7">
              <w:rPr>
                <w:color w:val="000000" w:themeColor="text1"/>
                <w:szCs w:val="22"/>
              </w:rPr>
              <w:t xml:space="preserve">), in past 6 Months? </w:t>
            </w:r>
          </w:p>
        </w:tc>
        <w:tc>
          <w:tcPr>
            <w:tcW w:w="2063" w:type="dxa"/>
          </w:tcPr>
          <w:p w:rsidR="00FD60A3" w:rsidRPr="002003A7" w:rsidRDefault="00FD60A3" w:rsidP="00973FF9">
            <w:pPr>
              <w:rPr>
                <w:szCs w:val="22"/>
              </w:rPr>
            </w:pPr>
            <w:r>
              <w:rPr>
                <w:szCs w:val="22"/>
              </w:rPr>
              <w:t xml:space="preserve">HHS Core </w:t>
            </w:r>
            <w:r w:rsidR="0015046C">
              <w:rPr>
                <w:szCs w:val="22"/>
              </w:rPr>
              <w:t xml:space="preserve">HIV </w:t>
            </w:r>
            <w:r>
              <w:rPr>
                <w:szCs w:val="22"/>
              </w:rPr>
              <w:t>Measure #5:     ART Use Among Individuals in HIV Care</w:t>
            </w:r>
          </w:p>
        </w:tc>
      </w:tr>
      <w:tr w:rsidR="00FD60A3" w:rsidRPr="002003A7" w:rsidTr="00F77419">
        <w:tc>
          <w:tcPr>
            <w:tcW w:w="1170" w:type="dxa"/>
          </w:tcPr>
          <w:p w:rsidR="00FD60A3" w:rsidRPr="002003A7" w:rsidRDefault="00FD60A3" w:rsidP="00973FF9">
            <w:pPr>
              <w:tabs>
                <w:tab w:val="left" w:pos="270"/>
                <w:tab w:val="left" w:pos="450"/>
              </w:tabs>
              <w:spacing w:line="276" w:lineRule="auto"/>
              <w:rPr>
                <w:color w:val="000000" w:themeColor="text1"/>
                <w:szCs w:val="22"/>
              </w:rPr>
            </w:pPr>
            <w:r w:rsidRPr="002003A7">
              <w:rPr>
                <w:color w:val="000000" w:themeColor="text1"/>
                <w:szCs w:val="22"/>
              </w:rPr>
              <w:t>10</w:t>
            </w:r>
          </w:p>
        </w:tc>
        <w:tc>
          <w:tcPr>
            <w:tcW w:w="6343" w:type="dxa"/>
          </w:tcPr>
          <w:p w:rsidR="00FD60A3" w:rsidRPr="002003A7" w:rsidRDefault="00FD60A3" w:rsidP="00973FF9">
            <w:pPr>
              <w:tabs>
                <w:tab w:val="left" w:pos="270"/>
                <w:tab w:val="left" w:pos="450"/>
              </w:tabs>
              <w:spacing w:line="276" w:lineRule="auto"/>
              <w:rPr>
                <w:color w:val="000000" w:themeColor="text1"/>
                <w:szCs w:val="22"/>
              </w:rPr>
            </w:pPr>
            <w:r w:rsidRPr="002003A7">
              <w:rPr>
                <w:color w:val="000000" w:themeColor="text1"/>
                <w:szCs w:val="22"/>
              </w:rPr>
              <w:t xml:space="preserve">Most recent Viral Load Count (copies/ml) ___________________         </w:t>
            </w:r>
          </w:p>
          <w:p w:rsidR="00FD60A3" w:rsidRPr="002003A7" w:rsidRDefault="00FD60A3" w:rsidP="00973FF9">
            <w:pPr>
              <w:tabs>
                <w:tab w:val="left" w:pos="270"/>
                <w:tab w:val="left" w:pos="450"/>
              </w:tabs>
              <w:spacing w:line="276" w:lineRule="auto"/>
              <w:rPr>
                <w:szCs w:val="22"/>
              </w:rPr>
            </w:pPr>
            <w:r w:rsidRPr="002003A7">
              <w:rPr>
                <w:color w:val="000000" w:themeColor="text1"/>
                <w:szCs w:val="22"/>
              </w:rPr>
              <w:t>DATE of Test___________</w:t>
            </w:r>
          </w:p>
        </w:tc>
        <w:tc>
          <w:tcPr>
            <w:tcW w:w="2063" w:type="dxa"/>
          </w:tcPr>
          <w:p w:rsidR="00FD60A3" w:rsidRPr="002003A7" w:rsidRDefault="00FD60A3" w:rsidP="00FD60A3">
            <w:pPr>
              <w:rPr>
                <w:szCs w:val="22"/>
              </w:rPr>
            </w:pPr>
            <w:r>
              <w:rPr>
                <w:szCs w:val="22"/>
              </w:rPr>
              <w:t>HHS Core</w:t>
            </w:r>
            <w:r w:rsidR="0015046C">
              <w:rPr>
                <w:szCs w:val="22"/>
              </w:rPr>
              <w:t xml:space="preserve"> HIV</w:t>
            </w:r>
            <w:r>
              <w:rPr>
                <w:szCs w:val="22"/>
              </w:rPr>
              <w:t xml:space="preserve"> Measure #6:     Viral Load Suppression Among People in HIV Care</w:t>
            </w:r>
          </w:p>
        </w:tc>
      </w:tr>
    </w:tbl>
    <w:p w:rsidR="007F2304" w:rsidRDefault="007F2304" w:rsidP="007F2304">
      <w:pPr>
        <w:pStyle w:val="BodyText"/>
      </w:pPr>
    </w:p>
    <w:p w:rsidR="00C5023D" w:rsidRPr="001A3165" w:rsidRDefault="00C5023D" w:rsidP="00C5023D">
      <w:pPr>
        <w:rPr>
          <w:b/>
          <w:szCs w:val="22"/>
        </w:rPr>
      </w:pPr>
    </w:p>
    <w:p w:rsidR="00D52531" w:rsidRPr="001A3165" w:rsidRDefault="00877F0C" w:rsidP="00D52531">
      <w:pPr>
        <w:rPr>
          <w:sz w:val="24"/>
          <w:szCs w:val="24"/>
        </w:rPr>
      </w:pPr>
      <w:bookmarkStart w:id="5" w:name="_Toc128970981"/>
      <w:r w:rsidRPr="001A3165">
        <w:rPr>
          <w:b/>
          <w:sz w:val="24"/>
          <w:szCs w:val="24"/>
        </w:rPr>
        <w:t>A</w:t>
      </w:r>
      <w:r w:rsidR="00D52531" w:rsidRPr="001A3165">
        <w:rPr>
          <w:b/>
          <w:sz w:val="24"/>
          <w:szCs w:val="24"/>
        </w:rPr>
        <w:t>17. Display of Expiration Date</w:t>
      </w:r>
      <w:bookmarkEnd w:id="5"/>
    </w:p>
    <w:p w:rsidR="00D52531" w:rsidRPr="005B7354" w:rsidRDefault="00D52531" w:rsidP="00D52531"/>
    <w:p w:rsidR="00D52531" w:rsidRPr="005B7354" w:rsidRDefault="00D52531" w:rsidP="00D52531">
      <w:r w:rsidRPr="005B7354">
        <w:t>All data collection instruments will display the expiration date of OMB approval.</w:t>
      </w:r>
    </w:p>
    <w:p w:rsidR="00D52531" w:rsidRPr="005B7354" w:rsidRDefault="00D52531" w:rsidP="00D52531"/>
    <w:p w:rsidR="00D52531" w:rsidRPr="002C42B7" w:rsidRDefault="00877F0C" w:rsidP="00D52531">
      <w:pPr>
        <w:rPr>
          <w:b/>
          <w:sz w:val="24"/>
          <w:szCs w:val="24"/>
        </w:rPr>
      </w:pPr>
      <w:bookmarkStart w:id="6" w:name="_Toc128970982"/>
      <w:r>
        <w:rPr>
          <w:b/>
          <w:sz w:val="24"/>
          <w:szCs w:val="24"/>
        </w:rPr>
        <w:t>A</w:t>
      </w:r>
      <w:r w:rsidR="00D52531" w:rsidRPr="002C42B7">
        <w:rPr>
          <w:b/>
          <w:sz w:val="24"/>
          <w:szCs w:val="24"/>
        </w:rPr>
        <w:t>18. Exceptions to the Certification Statement</w:t>
      </w:r>
      <w:bookmarkEnd w:id="6"/>
    </w:p>
    <w:p w:rsidR="00D52531" w:rsidRPr="005B7354" w:rsidRDefault="00D52531" w:rsidP="00D52531"/>
    <w:p w:rsidR="002E3630" w:rsidRDefault="00D52531" w:rsidP="00D52531">
      <w:r w:rsidRPr="005B7354">
        <w:t>This collection of information involves no exceptions to the Certification for Paperwork Reduction Act Submissions.</w:t>
      </w:r>
    </w:p>
    <w:p w:rsidR="00D1165C" w:rsidRDefault="00D1165C" w:rsidP="00D52531">
      <w:pPr>
        <w:rPr>
          <w:b/>
          <w:sz w:val="26"/>
          <w:szCs w:val="26"/>
        </w:rPr>
      </w:pPr>
    </w:p>
    <w:p w:rsidR="00433D6C" w:rsidRDefault="00433D6C" w:rsidP="00D52531">
      <w:pPr>
        <w:rPr>
          <w:b/>
          <w:sz w:val="26"/>
          <w:szCs w:val="26"/>
        </w:rPr>
      </w:pPr>
    </w:p>
    <w:sectPr w:rsidR="00433D6C" w:rsidSect="00CB37E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9F" w:rsidRDefault="002D529F">
      <w:r>
        <w:separator/>
      </w:r>
    </w:p>
  </w:endnote>
  <w:endnote w:type="continuationSeparator" w:id="0">
    <w:p w:rsidR="002D529F" w:rsidRDefault="002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132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325C6">
      <w:tc>
        <w:tcPr>
          <w:tcW w:w="918" w:type="dxa"/>
        </w:tcPr>
        <w:p w:rsidR="001325C6" w:rsidRDefault="001325C6">
          <w:pPr>
            <w:pStyle w:val="Footer"/>
            <w:jc w:val="right"/>
            <w:rPr>
              <w:b/>
              <w:bCs/>
              <w:color w:val="4F81BD" w:themeColor="accent1"/>
              <w:sz w:val="32"/>
              <w:szCs w:val="32"/>
              <w14:numForm w14:val="oldStyle"/>
            </w:rPr>
          </w:pPr>
          <w:r>
            <w:rPr>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Cs w:val="22"/>
              <w14:shadow w14:blurRad="50800" w14:dist="38100" w14:dir="2700000" w14:sx="100000" w14:sy="100000" w14:kx="0" w14:ky="0" w14:algn="tl">
                <w14:srgbClr w14:val="000000">
                  <w14:alpha w14:val="60000"/>
                </w14:srgbClr>
              </w14:shadow>
              <w14:numForm w14:val="oldStyle"/>
            </w:rPr>
            <w:fldChar w:fldCharType="separate"/>
          </w:r>
          <w:r w:rsidR="00242472" w:rsidRPr="0024247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325C6" w:rsidRDefault="001325C6">
          <w:pPr>
            <w:pStyle w:val="Footer"/>
          </w:pPr>
        </w:p>
      </w:tc>
    </w:tr>
  </w:tbl>
  <w:p w:rsidR="001325C6" w:rsidRDefault="001325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132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9F" w:rsidRDefault="002D529F">
      <w:r>
        <w:separator/>
      </w:r>
    </w:p>
  </w:footnote>
  <w:footnote w:type="continuationSeparator" w:id="0">
    <w:p w:rsidR="002D529F" w:rsidRDefault="002D529F">
      <w:r>
        <w:continuationSeparator/>
      </w:r>
    </w:p>
  </w:footnote>
  <w:footnote w:id="1">
    <w:p w:rsidR="008D4BDC" w:rsidRPr="006B3485" w:rsidRDefault="008D4BDC" w:rsidP="0014789C">
      <w:pPr>
        <w:pStyle w:val="FootnoteText"/>
        <w:rPr>
          <w:sz w:val="16"/>
          <w:szCs w:val="16"/>
        </w:rPr>
      </w:pPr>
      <w:r w:rsidRPr="006B3485">
        <w:rPr>
          <w:rStyle w:val="FootnoteReference"/>
          <w:sz w:val="16"/>
          <w:szCs w:val="16"/>
        </w:rPr>
        <w:footnoteRef/>
      </w:r>
      <w:r w:rsidRPr="006B3485">
        <w:rPr>
          <w:sz w:val="16"/>
          <w:szCs w:val="16"/>
        </w:rPr>
        <w:t xml:space="preserve"> </w:t>
      </w:r>
      <w:r w:rsidRPr="006B3485">
        <w:rPr>
          <w:color w:val="000000"/>
          <w:sz w:val="16"/>
          <w:szCs w:val="16"/>
          <w:shd w:val="clear" w:color="auto" w:fill="FFFFFF"/>
        </w:rPr>
        <w:t>CDC. Monitoring selected national HIV prevention and care objectives by using HIV surveillance data – United States and 6 U.S. dependent areas – 2011. HIV Surveillance Supplemental Report 2013</w:t>
      </w:r>
      <w:proofErr w:type="gramStart"/>
      <w:r w:rsidRPr="006B3485">
        <w:rPr>
          <w:color w:val="000000"/>
          <w:sz w:val="16"/>
          <w:szCs w:val="16"/>
          <w:shd w:val="clear" w:color="auto" w:fill="FFFFFF"/>
        </w:rPr>
        <w:t>;18</w:t>
      </w:r>
      <w:proofErr w:type="gramEnd"/>
      <w:r w:rsidRPr="006B3485">
        <w:rPr>
          <w:color w:val="000000"/>
          <w:sz w:val="16"/>
          <w:szCs w:val="16"/>
          <w:shd w:val="clear" w:color="auto" w:fill="FFFFFF"/>
        </w:rPr>
        <w:t>(No. 5). Available at:</w:t>
      </w:r>
      <w:r w:rsidRPr="006B3485">
        <w:rPr>
          <w:rStyle w:val="apple-converted-space"/>
          <w:color w:val="000000"/>
          <w:sz w:val="16"/>
          <w:szCs w:val="16"/>
          <w:shd w:val="clear" w:color="auto" w:fill="FFFFFF"/>
        </w:rPr>
        <w:t> </w:t>
      </w:r>
      <w:hyperlink r:id="rId1" w:history="1">
        <w:r w:rsidRPr="006B3485">
          <w:rPr>
            <w:rStyle w:val="Hyperlink"/>
            <w:color w:val="4A006E"/>
            <w:sz w:val="16"/>
            <w:szCs w:val="16"/>
            <w:shd w:val="clear" w:color="auto" w:fill="FFFFFF"/>
          </w:rPr>
          <w:t>http://www.cdc.gov/hiv/library/reports</w:t>
        </w:r>
      </w:hyperlink>
      <w:r w:rsidRPr="006B3485">
        <w:rPr>
          <w:color w:val="000000"/>
          <w:sz w:val="16"/>
          <w:szCs w:val="16"/>
          <w:shd w:val="clear" w:color="auto" w:fill="FFFFFF"/>
        </w:rPr>
        <w:t xml:space="preserve">. </w:t>
      </w:r>
      <w:proofErr w:type="gramStart"/>
      <w:r w:rsidRPr="006B3485">
        <w:rPr>
          <w:color w:val="000000"/>
          <w:sz w:val="16"/>
          <w:szCs w:val="16"/>
          <w:shd w:val="clear" w:color="auto" w:fill="FFFFFF"/>
        </w:rPr>
        <w:t>Published October 2013.</w:t>
      </w:r>
      <w:proofErr w:type="gramEnd"/>
      <w:r w:rsidRPr="006B3485">
        <w:rPr>
          <w:color w:val="000000"/>
          <w:sz w:val="16"/>
          <w:szCs w:val="16"/>
          <w:shd w:val="clear" w:color="auto" w:fill="FFFFFF"/>
        </w:rPr>
        <w:t xml:space="preserve"> </w:t>
      </w:r>
      <w:proofErr w:type="gramStart"/>
      <w:r w:rsidRPr="006B3485">
        <w:rPr>
          <w:color w:val="000000"/>
          <w:sz w:val="16"/>
          <w:szCs w:val="16"/>
          <w:shd w:val="clear" w:color="auto" w:fill="FFFFFF"/>
        </w:rPr>
        <w:t>(Accessed March 27, 2014).</w:t>
      </w:r>
      <w:proofErr w:type="gramEnd"/>
      <w:r w:rsidRPr="006B3485">
        <w:rPr>
          <w:rStyle w:val="apple-converted-space"/>
          <w:color w:val="000000"/>
          <w:sz w:val="16"/>
          <w:szCs w:val="16"/>
          <w:shd w:val="clear" w:color="auto" w:fill="FFFFFF"/>
        </w:rPr>
        <w:t> </w:t>
      </w:r>
    </w:p>
  </w:footnote>
  <w:footnote w:id="2">
    <w:p w:rsidR="008D4BDC" w:rsidRDefault="008D4BDC" w:rsidP="0014789C">
      <w:pPr>
        <w:pStyle w:val="FootnoteText"/>
      </w:pPr>
      <w:r w:rsidRPr="006B3485">
        <w:rPr>
          <w:rStyle w:val="FootnoteReference"/>
          <w:sz w:val="16"/>
          <w:szCs w:val="16"/>
        </w:rPr>
        <w:footnoteRef/>
      </w:r>
      <w:r w:rsidRPr="006B3485">
        <w:rPr>
          <w:sz w:val="16"/>
          <w:szCs w:val="16"/>
        </w:rPr>
        <w:t xml:space="preserve"> </w:t>
      </w:r>
      <w:r w:rsidRPr="006B3485">
        <w:rPr>
          <w:color w:val="000000"/>
          <w:sz w:val="16"/>
          <w:szCs w:val="16"/>
          <w:bdr w:val="none" w:sz="0" w:space="0" w:color="auto" w:frame="1"/>
          <w:shd w:val="clear" w:color="auto" w:fill="FFFFFF"/>
        </w:rPr>
        <w:t>Centers for Disease Control and Prevention, </w:t>
      </w:r>
      <w:hyperlink r:id="rId2" w:tgtFrame="_blank" w:history="1">
        <w:r w:rsidRPr="006B3485">
          <w:rPr>
            <w:rStyle w:val="Hyperlink"/>
            <w:color w:val="0990D1"/>
            <w:sz w:val="16"/>
            <w:szCs w:val="16"/>
            <w:bdr w:val="none" w:sz="0" w:space="0" w:color="auto" w:frame="1"/>
            <w:shd w:val="clear" w:color="auto" w:fill="FFFFFF"/>
          </w:rPr>
          <w:t>National Center for HIV/AIDS, Viral Hepatitis, STD, and TB Prevention (NCHHSTP) Atlas,</w:t>
        </w:r>
      </w:hyperlink>
      <w:r w:rsidRPr="006B3485">
        <w:rPr>
          <w:color w:val="000000"/>
          <w:sz w:val="16"/>
          <w:szCs w:val="16"/>
          <w:bdr w:val="none" w:sz="0" w:space="0" w:color="auto" w:frame="1"/>
          <w:shd w:val="clear" w:color="auto" w:fill="FFFFFF"/>
        </w:rPr>
        <w:t> accessed March 27, 2014</w:t>
      </w:r>
    </w:p>
  </w:footnote>
  <w:footnote w:id="3">
    <w:p w:rsidR="008D4BDC" w:rsidRDefault="008D4BDC" w:rsidP="009A32BF">
      <w:pPr>
        <w:pStyle w:val="FootnoteText"/>
        <w:rPr>
          <w:color w:val="222222"/>
          <w:shd w:val="clear" w:color="auto" w:fill="FFFFFF"/>
        </w:rPr>
      </w:pPr>
      <w:r>
        <w:rPr>
          <w:rStyle w:val="FootnoteReference"/>
        </w:rPr>
        <w:footnoteRef/>
      </w:r>
      <w:r>
        <w:t xml:space="preserve"> </w:t>
      </w:r>
      <w:proofErr w:type="spellStart"/>
      <w:r>
        <w:rPr>
          <w:color w:val="222222"/>
          <w:shd w:val="clear" w:color="auto" w:fill="FFFFFF"/>
        </w:rPr>
        <w:t>Forkmann</w:t>
      </w:r>
      <w:proofErr w:type="spellEnd"/>
      <w:r>
        <w:rPr>
          <w:color w:val="222222"/>
          <w:shd w:val="clear" w:color="auto" w:fill="FFFFFF"/>
        </w:rPr>
        <w:t>, Thomas, et al. "The clinical global impression scale and the influence of patient or staff perspective on outcome."</w:t>
      </w:r>
      <w:r>
        <w:rPr>
          <w:rStyle w:val="apple-converted-space"/>
          <w:color w:val="222222"/>
          <w:shd w:val="clear" w:color="auto" w:fill="FFFFFF"/>
        </w:rPr>
        <w:t> </w:t>
      </w:r>
      <w:r>
        <w:rPr>
          <w:i/>
          <w:iCs/>
          <w:color w:val="222222"/>
          <w:shd w:val="clear" w:color="auto" w:fill="FFFFFF"/>
        </w:rPr>
        <w:t>BMC psychiatry</w:t>
      </w:r>
      <w:r>
        <w:rPr>
          <w:rStyle w:val="apple-converted-space"/>
          <w:color w:val="222222"/>
          <w:shd w:val="clear" w:color="auto" w:fill="FFFFFF"/>
        </w:rPr>
        <w:t> </w:t>
      </w:r>
      <w:r>
        <w:rPr>
          <w:color w:val="222222"/>
          <w:shd w:val="clear" w:color="auto" w:fill="FFFFFF"/>
        </w:rPr>
        <w:t>11.1 (2011): 83.</w:t>
      </w:r>
    </w:p>
    <w:p w:rsidR="008D4BDC" w:rsidRDefault="008D4BDC" w:rsidP="009A32BF">
      <w:pPr>
        <w:pStyle w:val="FootnoteText"/>
      </w:pPr>
    </w:p>
  </w:footnote>
  <w:footnote w:id="4">
    <w:p w:rsidR="008D4BDC" w:rsidRDefault="008D4BDC">
      <w:pPr>
        <w:pStyle w:val="FootnoteText"/>
      </w:pPr>
      <w:r>
        <w:rPr>
          <w:rStyle w:val="FootnoteReference"/>
        </w:rPr>
        <w:footnoteRef/>
      </w:r>
      <w:r>
        <w:t xml:space="preserve"> </w:t>
      </w:r>
      <w:r>
        <w:rPr>
          <w:color w:val="222222"/>
          <w:shd w:val="clear" w:color="auto" w:fill="FFFFFF"/>
        </w:rPr>
        <w:t xml:space="preserve">O'Dell, M. W., </w:t>
      </w:r>
      <w:proofErr w:type="spellStart"/>
      <w:r>
        <w:rPr>
          <w:color w:val="222222"/>
          <w:shd w:val="clear" w:color="auto" w:fill="FFFFFF"/>
        </w:rPr>
        <w:t>Lubeck</w:t>
      </w:r>
      <w:proofErr w:type="spellEnd"/>
      <w:r>
        <w:rPr>
          <w:color w:val="222222"/>
          <w:shd w:val="clear" w:color="auto" w:fill="FFFFFF"/>
        </w:rPr>
        <w:t xml:space="preserve">, D. P., </w:t>
      </w:r>
      <w:proofErr w:type="spellStart"/>
      <w:r>
        <w:rPr>
          <w:color w:val="222222"/>
          <w:shd w:val="clear" w:color="auto" w:fill="FFFFFF"/>
        </w:rPr>
        <w:t>O'Driscoll</w:t>
      </w:r>
      <w:proofErr w:type="spellEnd"/>
      <w:r>
        <w:rPr>
          <w:color w:val="222222"/>
          <w:shd w:val="clear" w:color="auto" w:fill="FFFFFF"/>
        </w:rPr>
        <w:t xml:space="preserve">, P., &amp; </w:t>
      </w:r>
      <w:proofErr w:type="spellStart"/>
      <w:r>
        <w:rPr>
          <w:color w:val="222222"/>
          <w:shd w:val="clear" w:color="auto" w:fill="FFFFFF"/>
        </w:rPr>
        <w:t>Matsuno</w:t>
      </w:r>
      <w:proofErr w:type="spellEnd"/>
      <w:r>
        <w:rPr>
          <w:color w:val="222222"/>
          <w:shd w:val="clear" w:color="auto" w:fill="FFFFFF"/>
        </w:rPr>
        <w:t xml:space="preserve">, S. (1995). </w:t>
      </w:r>
      <w:proofErr w:type="gramStart"/>
      <w:r>
        <w:rPr>
          <w:color w:val="222222"/>
          <w:shd w:val="clear" w:color="auto" w:fill="FFFFFF"/>
        </w:rPr>
        <w:t xml:space="preserve">Validity of the </w:t>
      </w:r>
      <w:proofErr w:type="spellStart"/>
      <w:r>
        <w:rPr>
          <w:color w:val="222222"/>
          <w:shd w:val="clear" w:color="auto" w:fill="FFFFFF"/>
        </w:rPr>
        <w:t>Karnofsky</w:t>
      </w:r>
      <w:proofErr w:type="spellEnd"/>
      <w:r>
        <w:rPr>
          <w:color w:val="222222"/>
          <w:shd w:val="clear" w:color="auto" w:fill="FFFFFF"/>
        </w:rPr>
        <w:t xml:space="preserve"> performance status in an HIV-infected sample.</w:t>
      </w:r>
      <w:proofErr w:type="gramEnd"/>
      <w:r>
        <w:rPr>
          <w:rStyle w:val="apple-converted-space"/>
          <w:color w:val="222222"/>
          <w:shd w:val="clear" w:color="auto" w:fill="FFFFFF"/>
        </w:rPr>
        <w:t> </w:t>
      </w:r>
      <w:r>
        <w:rPr>
          <w:i/>
          <w:iCs/>
          <w:color w:val="222222"/>
          <w:shd w:val="clear" w:color="auto" w:fill="FFFFFF"/>
        </w:rPr>
        <w:t>JAIDS Journal of Acquired Immune Deficiency Syndromes</w:t>
      </w:r>
      <w:r>
        <w:rPr>
          <w:color w:val="222222"/>
          <w:shd w:val="clear" w:color="auto" w:fill="FFFFFF"/>
        </w:rPr>
        <w:t>,</w:t>
      </w:r>
      <w:r>
        <w:rPr>
          <w:rStyle w:val="apple-converted-space"/>
          <w:color w:val="222222"/>
          <w:shd w:val="clear" w:color="auto" w:fill="FFFFFF"/>
        </w:rPr>
        <w:t> </w:t>
      </w:r>
      <w:r>
        <w:rPr>
          <w:i/>
          <w:iCs/>
          <w:color w:val="222222"/>
          <w:shd w:val="clear" w:color="auto" w:fill="FFFFFF"/>
        </w:rPr>
        <w:t>10</w:t>
      </w:r>
      <w:r>
        <w:rPr>
          <w:color w:val="222222"/>
          <w:shd w:val="clear" w:color="auto" w:fill="FFFFFF"/>
        </w:rPr>
        <w:t>(3), 350-357.</w:t>
      </w:r>
    </w:p>
  </w:footnote>
  <w:footnote w:id="5">
    <w:p w:rsidR="008D4BDC" w:rsidRDefault="008D4BDC">
      <w:pPr>
        <w:pStyle w:val="FootnoteText"/>
      </w:pPr>
      <w:r>
        <w:rPr>
          <w:rStyle w:val="FootnoteReference"/>
        </w:rPr>
        <w:footnoteRef/>
      </w:r>
      <w:r>
        <w:t xml:space="preserve"> </w:t>
      </w:r>
      <w:hyperlink r:id="rId3" w:history="1">
        <w:r>
          <w:rPr>
            <w:rStyle w:val="Hyperlink"/>
          </w:rPr>
          <w:t>http://blog.aids.gov/2012/08/secretary-sebelius-approves-indicators-for-monitoring-hhs-funded-hiv-services.html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132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132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132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43A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upperLetter"/>
      <w:lvlText w:val="%1"/>
      <w:lvlJc w:val="left"/>
    </w:lvl>
    <w:lvl w:ilvl="1">
      <w:start w:val="1"/>
      <w:numFmt w:val="decimal"/>
      <w:pStyle w:val="Level2"/>
      <w:lvlText w:val="%2."/>
      <w:lvlJc w:val="left"/>
      <w:pPr>
        <w:tabs>
          <w:tab w:val="num" w:pos="1440"/>
        </w:tabs>
        <w:ind w:left="7920" w:hanging="7200"/>
      </w:pPr>
      <w:rPr>
        <w:rFonts w:ascii="Times New Roman" w:hAnsi="Times New Roman" w:cs="Times New Roman"/>
        <w:sz w:val="24"/>
        <w:szCs w:val="24"/>
      </w:rPr>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2CC75BA"/>
    <w:multiLevelType w:val="hybridMultilevel"/>
    <w:tmpl w:val="6694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764D9"/>
    <w:multiLevelType w:val="hybridMultilevel"/>
    <w:tmpl w:val="58F4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24948"/>
    <w:multiLevelType w:val="hybridMultilevel"/>
    <w:tmpl w:val="F0D0E09A"/>
    <w:lvl w:ilvl="0" w:tplc="C1C42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B1BD2"/>
    <w:multiLevelType w:val="hybridMultilevel"/>
    <w:tmpl w:val="D93E9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DDD190C"/>
    <w:multiLevelType w:val="hybridMultilevel"/>
    <w:tmpl w:val="37D089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5D845D5"/>
    <w:multiLevelType w:val="hybridMultilevel"/>
    <w:tmpl w:val="9E2C78F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70"/>
        </w:tabs>
        <w:ind w:left="157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260BCB"/>
    <w:multiLevelType w:val="hybridMultilevel"/>
    <w:tmpl w:val="3B5CBB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DC1308"/>
    <w:multiLevelType w:val="hybridMultilevel"/>
    <w:tmpl w:val="A0681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FB63256"/>
    <w:multiLevelType w:val="hybridMultilevel"/>
    <w:tmpl w:val="86F4AACE"/>
    <w:lvl w:ilvl="0" w:tplc="850C99F2">
      <w:start w:val="1"/>
      <w:numFmt w:val="bullet"/>
      <w:lvlText w:val=""/>
      <w:lvlJc w:val="left"/>
      <w:pPr>
        <w:tabs>
          <w:tab w:val="num" w:pos="720"/>
        </w:tabs>
        <w:ind w:left="720" w:hanging="360"/>
      </w:pPr>
      <w:rPr>
        <w:rFonts w:ascii="Wingdings" w:hAnsi="Wingdings" w:hint="default"/>
        <w:color w:val="0072C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E36647"/>
    <w:multiLevelType w:val="hybridMultilevel"/>
    <w:tmpl w:val="7DEE9AC6"/>
    <w:lvl w:ilvl="0" w:tplc="3BE661AE">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F0E6648"/>
    <w:multiLevelType w:val="hybridMultilevel"/>
    <w:tmpl w:val="41A2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16519"/>
    <w:multiLevelType w:val="hybridMultilevel"/>
    <w:tmpl w:val="9C7E0F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0BA63FF"/>
    <w:multiLevelType w:val="hybridMultilevel"/>
    <w:tmpl w:val="E2D6B1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F51132"/>
    <w:multiLevelType w:val="hybridMultilevel"/>
    <w:tmpl w:val="0252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A3F01"/>
    <w:multiLevelType w:val="hybridMultilevel"/>
    <w:tmpl w:val="CF3A5AD0"/>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E761C7"/>
    <w:multiLevelType w:val="hybridMultilevel"/>
    <w:tmpl w:val="C218C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33A6F"/>
    <w:multiLevelType w:val="hybridMultilevel"/>
    <w:tmpl w:val="D3FE2E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BBE6F95"/>
    <w:multiLevelType w:val="hybridMultilevel"/>
    <w:tmpl w:val="CB5E6148"/>
    <w:lvl w:ilvl="0" w:tplc="850C99F2">
      <w:start w:val="1"/>
      <w:numFmt w:val="bullet"/>
      <w:lvlText w:val=""/>
      <w:lvlJc w:val="left"/>
      <w:pPr>
        <w:tabs>
          <w:tab w:val="num" w:pos="720"/>
        </w:tabs>
        <w:ind w:left="720" w:hanging="360"/>
      </w:pPr>
      <w:rPr>
        <w:rFonts w:ascii="Wingdings" w:hAnsi="Wingdings" w:hint="default"/>
        <w:color w:val="0072C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A814D1"/>
    <w:multiLevelType w:val="hybridMultilevel"/>
    <w:tmpl w:val="82E64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DE32CD"/>
    <w:multiLevelType w:val="hybridMultilevel"/>
    <w:tmpl w:val="21BA25B2"/>
    <w:lvl w:ilvl="0" w:tplc="862CB046">
      <w:start w:val="1"/>
      <w:numFmt w:val="bullet"/>
      <w:lvlText w:val="•"/>
      <w:lvlJc w:val="left"/>
      <w:pPr>
        <w:tabs>
          <w:tab w:val="num" w:pos="360"/>
        </w:tabs>
        <w:ind w:left="360" w:hanging="360"/>
      </w:pPr>
      <w:rPr>
        <w:rFonts w:ascii="Arial" w:hAnsi="Arial" w:hint="default"/>
      </w:rPr>
    </w:lvl>
    <w:lvl w:ilvl="1" w:tplc="EBCC7AB6">
      <w:start w:val="1"/>
      <w:numFmt w:val="bullet"/>
      <w:lvlText w:val="•"/>
      <w:lvlJc w:val="left"/>
      <w:pPr>
        <w:tabs>
          <w:tab w:val="num" w:pos="1080"/>
        </w:tabs>
        <w:ind w:left="1080" w:hanging="360"/>
      </w:pPr>
      <w:rPr>
        <w:rFonts w:ascii="Arial" w:hAnsi="Arial" w:hint="default"/>
      </w:rPr>
    </w:lvl>
    <w:lvl w:ilvl="2" w:tplc="004CC3CC" w:tentative="1">
      <w:start w:val="1"/>
      <w:numFmt w:val="bullet"/>
      <w:lvlText w:val="•"/>
      <w:lvlJc w:val="left"/>
      <w:pPr>
        <w:tabs>
          <w:tab w:val="num" w:pos="1800"/>
        </w:tabs>
        <w:ind w:left="1800" w:hanging="360"/>
      </w:pPr>
      <w:rPr>
        <w:rFonts w:ascii="Arial" w:hAnsi="Arial" w:hint="default"/>
      </w:rPr>
    </w:lvl>
    <w:lvl w:ilvl="3" w:tplc="EEB0801E" w:tentative="1">
      <w:start w:val="1"/>
      <w:numFmt w:val="bullet"/>
      <w:lvlText w:val="•"/>
      <w:lvlJc w:val="left"/>
      <w:pPr>
        <w:tabs>
          <w:tab w:val="num" w:pos="2520"/>
        </w:tabs>
        <w:ind w:left="2520" w:hanging="360"/>
      </w:pPr>
      <w:rPr>
        <w:rFonts w:ascii="Arial" w:hAnsi="Arial" w:hint="default"/>
      </w:rPr>
    </w:lvl>
    <w:lvl w:ilvl="4" w:tplc="9576511C" w:tentative="1">
      <w:start w:val="1"/>
      <w:numFmt w:val="bullet"/>
      <w:lvlText w:val="•"/>
      <w:lvlJc w:val="left"/>
      <w:pPr>
        <w:tabs>
          <w:tab w:val="num" w:pos="3240"/>
        </w:tabs>
        <w:ind w:left="3240" w:hanging="360"/>
      </w:pPr>
      <w:rPr>
        <w:rFonts w:ascii="Arial" w:hAnsi="Arial" w:hint="default"/>
      </w:rPr>
    </w:lvl>
    <w:lvl w:ilvl="5" w:tplc="001C73E0" w:tentative="1">
      <w:start w:val="1"/>
      <w:numFmt w:val="bullet"/>
      <w:lvlText w:val="•"/>
      <w:lvlJc w:val="left"/>
      <w:pPr>
        <w:tabs>
          <w:tab w:val="num" w:pos="3960"/>
        </w:tabs>
        <w:ind w:left="3960" w:hanging="360"/>
      </w:pPr>
      <w:rPr>
        <w:rFonts w:ascii="Arial" w:hAnsi="Arial" w:hint="default"/>
      </w:rPr>
    </w:lvl>
    <w:lvl w:ilvl="6" w:tplc="D8D88FE4" w:tentative="1">
      <w:start w:val="1"/>
      <w:numFmt w:val="bullet"/>
      <w:lvlText w:val="•"/>
      <w:lvlJc w:val="left"/>
      <w:pPr>
        <w:tabs>
          <w:tab w:val="num" w:pos="4680"/>
        </w:tabs>
        <w:ind w:left="4680" w:hanging="360"/>
      </w:pPr>
      <w:rPr>
        <w:rFonts w:ascii="Arial" w:hAnsi="Arial" w:hint="default"/>
      </w:rPr>
    </w:lvl>
    <w:lvl w:ilvl="7" w:tplc="9DC416DE" w:tentative="1">
      <w:start w:val="1"/>
      <w:numFmt w:val="bullet"/>
      <w:lvlText w:val="•"/>
      <w:lvlJc w:val="left"/>
      <w:pPr>
        <w:tabs>
          <w:tab w:val="num" w:pos="5400"/>
        </w:tabs>
        <w:ind w:left="5400" w:hanging="360"/>
      </w:pPr>
      <w:rPr>
        <w:rFonts w:ascii="Arial" w:hAnsi="Arial" w:hint="default"/>
      </w:rPr>
    </w:lvl>
    <w:lvl w:ilvl="8" w:tplc="A0902672" w:tentative="1">
      <w:start w:val="1"/>
      <w:numFmt w:val="bullet"/>
      <w:lvlText w:val="•"/>
      <w:lvlJc w:val="left"/>
      <w:pPr>
        <w:tabs>
          <w:tab w:val="num" w:pos="6120"/>
        </w:tabs>
        <w:ind w:left="6120" w:hanging="360"/>
      </w:pPr>
      <w:rPr>
        <w:rFonts w:ascii="Arial" w:hAnsi="Arial" w:hint="default"/>
      </w:rPr>
    </w:lvl>
  </w:abstractNum>
  <w:abstractNum w:abstractNumId="22">
    <w:nsid w:val="5ADC61D8"/>
    <w:multiLevelType w:val="hybridMultilevel"/>
    <w:tmpl w:val="ED347216"/>
    <w:lvl w:ilvl="0" w:tplc="A678B78A">
      <w:start w:val="4"/>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51296"/>
    <w:multiLevelType w:val="hybridMultilevel"/>
    <w:tmpl w:val="5B7C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A80D69"/>
    <w:multiLevelType w:val="hybridMultilevel"/>
    <w:tmpl w:val="33F00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E84DEB"/>
    <w:multiLevelType w:val="hybridMultilevel"/>
    <w:tmpl w:val="9E269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4A02523"/>
    <w:multiLevelType w:val="hybridMultilevel"/>
    <w:tmpl w:val="0E148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E402A1"/>
    <w:multiLevelType w:val="hybridMultilevel"/>
    <w:tmpl w:val="29C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536B5"/>
    <w:multiLevelType w:val="hybridMultilevel"/>
    <w:tmpl w:val="1EEA5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DCB4648"/>
    <w:multiLevelType w:val="hybridMultilevel"/>
    <w:tmpl w:val="2360A496"/>
    <w:lvl w:ilvl="0" w:tplc="04090001">
      <w:start w:val="1"/>
      <w:numFmt w:val="bullet"/>
      <w:lvlText w:val=""/>
      <w:lvlJc w:val="left"/>
      <w:pPr>
        <w:tabs>
          <w:tab w:val="num" w:pos="-374"/>
        </w:tabs>
        <w:ind w:left="-374" w:hanging="360"/>
      </w:pPr>
      <w:rPr>
        <w:rFonts w:ascii="Symbol" w:hAnsi="Symbol" w:cs="Symbol" w:hint="default"/>
      </w:rPr>
    </w:lvl>
    <w:lvl w:ilvl="1" w:tplc="04090003">
      <w:start w:val="1"/>
      <w:numFmt w:val="bullet"/>
      <w:lvlText w:val="o"/>
      <w:lvlJc w:val="left"/>
      <w:pPr>
        <w:tabs>
          <w:tab w:val="num" w:pos="346"/>
        </w:tabs>
        <w:ind w:left="346" w:hanging="360"/>
      </w:pPr>
      <w:rPr>
        <w:rFonts w:ascii="Courier New" w:hAnsi="Courier New" w:cs="Courier New" w:hint="default"/>
      </w:rPr>
    </w:lvl>
    <w:lvl w:ilvl="2" w:tplc="04090005">
      <w:start w:val="1"/>
      <w:numFmt w:val="bullet"/>
      <w:lvlText w:val=""/>
      <w:lvlJc w:val="left"/>
      <w:pPr>
        <w:tabs>
          <w:tab w:val="num" w:pos="1066"/>
        </w:tabs>
        <w:ind w:left="1066" w:hanging="360"/>
      </w:pPr>
      <w:rPr>
        <w:rFonts w:ascii="Wingdings" w:hAnsi="Wingdings" w:cs="Wingdings" w:hint="default"/>
      </w:rPr>
    </w:lvl>
    <w:lvl w:ilvl="3" w:tplc="04090001">
      <w:start w:val="1"/>
      <w:numFmt w:val="bullet"/>
      <w:lvlText w:val=""/>
      <w:lvlJc w:val="left"/>
      <w:pPr>
        <w:tabs>
          <w:tab w:val="num" w:pos="1786"/>
        </w:tabs>
        <w:ind w:left="1786" w:hanging="360"/>
      </w:pPr>
      <w:rPr>
        <w:rFonts w:ascii="Symbol" w:hAnsi="Symbol" w:cs="Symbol" w:hint="default"/>
      </w:rPr>
    </w:lvl>
    <w:lvl w:ilvl="4" w:tplc="04090003">
      <w:start w:val="1"/>
      <w:numFmt w:val="bullet"/>
      <w:lvlText w:val="o"/>
      <w:lvlJc w:val="left"/>
      <w:pPr>
        <w:tabs>
          <w:tab w:val="num" w:pos="2506"/>
        </w:tabs>
        <w:ind w:left="2506" w:hanging="360"/>
      </w:pPr>
      <w:rPr>
        <w:rFonts w:ascii="Courier New" w:hAnsi="Courier New" w:cs="Courier New" w:hint="default"/>
      </w:rPr>
    </w:lvl>
    <w:lvl w:ilvl="5" w:tplc="04090005">
      <w:start w:val="1"/>
      <w:numFmt w:val="bullet"/>
      <w:lvlText w:val=""/>
      <w:lvlJc w:val="left"/>
      <w:pPr>
        <w:tabs>
          <w:tab w:val="num" w:pos="3226"/>
        </w:tabs>
        <w:ind w:left="3226" w:hanging="360"/>
      </w:pPr>
      <w:rPr>
        <w:rFonts w:ascii="Wingdings" w:hAnsi="Wingdings" w:cs="Wingdings" w:hint="default"/>
      </w:rPr>
    </w:lvl>
    <w:lvl w:ilvl="6" w:tplc="04090001">
      <w:start w:val="1"/>
      <w:numFmt w:val="bullet"/>
      <w:lvlText w:val=""/>
      <w:lvlJc w:val="left"/>
      <w:pPr>
        <w:tabs>
          <w:tab w:val="num" w:pos="3946"/>
        </w:tabs>
        <w:ind w:left="3946" w:hanging="360"/>
      </w:pPr>
      <w:rPr>
        <w:rFonts w:ascii="Symbol" w:hAnsi="Symbol" w:cs="Symbol" w:hint="default"/>
      </w:rPr>
    </w:lvl>
    <w:lvl w:ilvl="7" w:tplc="04090003">
      <w:start w:val="1"/>
      <w:numFmt w:val="bullet"/>
      <w:lvlText w:val="o"/>
      <w:lvlJc w:val="left"/>
      <w:pPr>
        <w:tabs>
          <w:tab w:val="num" w:pos="4666"/>
        </w:tabs>
        <w:ind w:left="4666" w:hanging="360"/>
      </w:pPr>
      <w:rPr>
        <w:rFonts w:ascii="Courier New" w:hAnsi="Courier New" w:cs="Courier New" w:hint="default"/>
      </w:rPr>
    </w:lvl>
    <w:lvl w:ilvl="8" w:tplc="04090005">
      <w:start w:val="1"/>
      <w:numFmt w:val="bullet"/>
      <w:lvlText w:val=""/>
      <w:lvlJc w:val="left"/>
      <w:pPr>
        <w:tabs>
          <w:tab w:val="num" w:pos="5386"/>
        </w:tabs>
        <w:ind w:left="5386" w:hanging="360"/>
      </w:pPr>
      <w:rPr>
        <w:rFonts w:ascii="Wingdings" w:hAnsi="Wingdings" w:cs="Wingdings" w:hint="default"/>
      </w:rPr>
    </w:lvl>
  </w:abstractNum>
  <w:abstractNum w:abstractNumId="30">
    <w:nsid w:val="75AB7268"/>
    <w:multiLevelType w:val="hybridMultilevel"/>
    <w:tmpl w:val="A9467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7605FCC"/>
    <w:multiLevelType w:val="hybridMultilevel"/>
    <w:tmpl w:val="7F3A4B60"/>
    <w:lvl w:ilvl="0" w:tplc="EAB00CB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161ED3"/>
    <w:multiLevelType w:val="hybridMultilevel"/>
    <w:tmpl w:val="0790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12D4E"/>
    <w:multiLevelType w:val="hybridMultilevel"/>
    <w:tmpl w:val="14EE6950"/>
    <w:lvl w:ilvl="0" w:tplc="B5504A1E">
      <w:start w:val="1"/>
      <w:numFmt w:val="bullet"/>
      <w:lvlText w:val=""/>
      <w:lvlJc w:val="left"/>
      <w:pPr>
        <w:ind w:left="720" w:hanging="360"/>
      </w:pPr>
      <w:rPr>
        <w:rFonts w:ascii="Symbol" w:hAnsi="Symbol" w:hint="default"/>
        <w:color w:val="auto"/>
      </w:rPr>
    </w:lvl>
    <w:lvl w:ilvl="1" w:tplc="153E553E">
      <w:start w:val="1"/>
      <w:numFmt w:val="bullet"/>
      <w:lvlText w:val=""/>
      <w:lvlJc w:val="left"/>
      <w:pPr>
        <w:ind w:left="1440" w:hanging="360"/>
      </w:pPr>
      <w:rPr>
        <w:rFonts w:ascii="Wingdings" w:hAnsi="Wingdings" w:hint="default"/>
        <w:b w:val="0"/>
        <w:i w:val="0"/>
        <w:color w:val="auto"/>
        <w:sz w:val="28"/>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lvlOverride w:ilvl="0">
      <w:lvl w:ilvl="0">
        <w:start w:val="1"/>
        <w:numFmt w:val="decimal"/>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31"/>
  </w:num>
  <w:num w:numId="4">
    <w:abstractNumId w:val="19"/>
  </w:num>
  <w:num w:numId="5">
    <w:abstractNumId w:val="7"/>
  </w:num>
  <w:num w:numId="6">
    <w:abstractNumId w:val="10"/>
  </w:num>
  <w:num w:numId="7">
    <w:abstractNumId w:val="20"/>
  </w:num>
  <w:num w:numId="8">
    <w:abstractNumId w:val="18"/>
  </w:num>
  <w:num w:numId="9">
    <w:abstractNumId w:val="13"/>
  </w:num>
  <w:num w:numId="10">
    <w:abstractNumId w:val="32"/>
  </w:num>
  <w:num w:numId="11">
    <w:abstractNumId w:val="9"/>
  </w:num>
  <w:num w:numId="12">
    <w:abstractNumId w:val="2"/>
  </w:num>
  <w:num w:numId="13">
    <w:abstractNumId w:val="3"/>
  </w:num>
  <w:num w:numId="14">
    <w:abstractNumId w:val="27"/>
  </w:num>
  <w:num w:numId="15">
    <w:abstractNumId w:val="33"/>
  </w:num>
  <w:num w:numId="16">
    <w:abstractNumId w:val="21"/>
  </w:num>
  <w:num w:numId="17">
    <w:abstractNumId w:val="6"/>
  </w:num>
  <w:num w:numId="18">
    <w:abstractNumId w:val="5"/>
  </w:num>
  <w:num w:numId="19">
    <w:abstractNumId w:val="28"/>
  </w:num>
  <w:num w:numId="20">
    <w:abstractNumId w:val="16"/>
  </w:num>
  <w:num w:numId="21">
    <w:abstractNumId w:val="11"/>
  </w:num>
  <w:num w:numId="22">
    <w:abstractNumId w:val="22"/>
  </w:num>
  <w:num w:numId="23">
    <w:abstractNumId w:val="24"/>
  </w:num>
  <w:num w:numId="24">
    <w:abstractNumId w:val="17"/>
  </w:num>
  <w:num w:numId="25">
    <w:abstractNumId w:val="23"/>
  </w:num>
  <w:num w:numId="26">
    <w:abstractNumId w:val="26"/>
  </w:num>
  <w:num w:numId="27">
    <w:abstractNumId w:val="4"/>
  </w:num>
  <w:num w:numId="28">
    <w:abstractNumId w:val="8"/>
  </w:num>
  <w:num w:numId="29">
    <w:abstractNumId w:val="30"/>
  </w:num>
  <w:num w:numId="30">
    <w:abstractNumId w:val="12"/>
  </w:num>
  <w:num w:numId="31">
    <w:abstractNumId w:val="15"/>
  </w:num>
  <w:num w:numId="32">
    <w:abstractNumId w:val="25"/>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B7"/>
    <w:rsid w:val="0000295C"/>
    <w:rsid w:val="00017E50"/>
    <w:rsid w:val="00020145"/>
    <w:rsid w:val="000236E7"/>
    <w:rsid w:val="00025BA9"/>
    <w:rsid w:val="00033F37"/>
    <w:rsid w:val="00064E0D"/>
    <w:rsid w:val="00067533"/>
    <w:rsid w:val="000811C4"/>
    <w:rsid w:val="0008527B"/>
    <w:rsid w:val="000872C6"/>
    <w:rsid w:val="000941F4"/>
    <w:rsid w:val="00095E4B"/>
    <w:rsid w:val="000970F9"/>
    <w:rsid w:val="000A2C20"/>
    <w:rsid w:val="000A5DBF"/>
    <w:rsid w:val="000C344F"/>
    <w:rsid w:val="000C6E31"/>
    <w:rsid w:val="000D3E8F"/>
    <w:rsid w:val="000D636C"/>
    <w:rsid w:val="000E110A"/>
    <w:rsid w:val="000E55FA"/>
    <w:rsid w:val="000F434C"/>
    <w:rsid w:val="00101CE4"/>
    <w:rsid w:val="0010381C"/>
    <w:rsid w:val="00127519"/>
    <w:rsid w:val="0013054A"/>
    <w:rsid w:val="001325C6"/>
    <w:rsid w:val="00134A08"/>
    <w:rsid w:val="0014124F"/>
    <w:rsid w:val="0014789C"/>
    <w:rsid w:val="0015046C"/>
    <w:rsid w:val="00150779"/>
    <w:rsid w:val="001566BA"/>
    <w:rsid w:val="001576E1"/>
    <w:rsid w:val="00157ADC"/>
    <w:rsid w:val="00174A3D"/>
    <w:rsid w:val="001769B1"/>
    <w:rsid w:val="001A3165"/>
    <w:rsid w:val="001A67B6"/>
    <w:rsid w:val="001B0DE9"/>
    <w:rsid w:val="001B7104"/>
    <w:rsid w:val="001B745D"/>
    <w:rsid w:val="001C6724"/>
    <w:rsid w:val="001D1572"/>
    <w:rsid w:val="001D201F"/>
    <w:rsid w:val="001D5F03"/>
    <w:rsid w:val="001D7214"/>
    <w:rsid w:val="001E1A78"/>
    <w:rsid w:val="001E22BA"/>
    <w:rsid w:val="001E2BAF"/>
    <w:rsid w:val="001E3FC2"/>
    <w:rsid w:val="001F2923"/>
    <w:rsid w:val="001F3109"/>
    <w:rsid w:val="001F3E8E"/>
    <w:rsid w:val="001F5B2E"/>
    <w:rsid w:val="001F62C7"/>
    <w:rsid w:val="002003A7"/>
    <w:rsid w:val="00203DC0"/>
    <w:rsid w:val="0020641A"/>
    <w:rsid w:val="0021367F"/>
    <w:rsid w:val="00217426"/>
    <w:rsid w:val="00223B94"/>
    <w:rsid w:val="002265ED"/>
    <w:rsid w:val="00236C51"/>
    <w:rsid w:val="00242472"/>
    <w:rsid w:val="002437FE"/>
    <w:rsid w:val="00246153"/>
    <w:rsid w:val="00253B06"/>
    <w:rsid w:val="00261581"/>
    <w:rsid w:val="002637CB"/>
    <w:rsid w:val="00263ABE"/>
    <w:rsid w:val="00264094"/>
    <w:rsid w:val="0026469C"/>
    <w:rsid w:val="00266155"/>
    <w:rsid w:val="0026714C"/>
    <w:rsid w:val="00275BDD"/>
    <w:rsid w:val="00277912"/>
    <w:rsid w:val="0028778E"/>
    <w:rsid w:val="00297E8A"/>
    <w:rsid w:val="002B34B0"/>
    <w:rsid w:val="002B7027"/>
    <w:rsid w:val="002C0D68"/>
    <w:rsid w:val="002C231E"/>
    <w:rsid w:val="002C2C37"/>
    <w:rsid w:val="002C42B7"/>
    <w:rsid w:val="002C5305"/>
    <w:rsid w:val="002D02A6"/>
    <w:rsid w:val="002D3F3B"/>
    <w:rsid w:val="002D529F"/>
    <w:rsid w:val="002E1D01"/>
    <w:rsid w:val="002E3630"/>
    <w:rsid w:val="002E4FCE"/>
    <w:rsid w:val="002F0F73"/>
    <w:rsid w:val="002F326B"/>
    <w:rsid w:val="002F561E"/>
    <w:rsid w:val="00323128"/>
    <w:rsid w:val="00325D1E"/>
    <w:rsid w:val="00331C01"/>
    <w:rsid w:val="003440F9"/>
    <w:rsid w:val="003463C1"/>
    <w:rsid w:val="00362408"/>
    <w:rsid w:val="003717B3"/>
    <w:rsid w:val="0038055F"/>
    <w:rsid w:val="00385F92"/>
    <w:rsid w:val="00386701"/>
    <w:rsid w:val="003875EB"/>
    <w:rsid w:val="00394C80"/>
    <w:rsid w:val="0039705A"/>
    <w:rsid w:val="003A0371"/>
    <w:rsid w:val="003A186D"/>
    <w:rsid w:val="003B484C"/>
    <w:rsid w:val="003B5AF8"/>
    <w:rsid w:val="003B6149"/>
    <w:rsid w:val="003B6619"/>
    <w:rsid w:val="003C1AE2"/>
    <w:rsid w:val="003D0B36"/>
    <w:rsid w:val="003D5110"/>
    <w:rsid w:val="003D6CB7"/>
    <w:rsid w:val="003E7200"/>
    <w:rsid w:val="003F0E1C"/>
    <w:rsid w:val="003F25FF"/>
    <w:rsid w:val="003F281B"/>
    <w:rsid w:val="003F66F8"/>
    <w:rsid w:val="00404762"/>
    <w:rsid w:val="004145E9"/>
    <w:rsid w:val="00416D98"/>
    <w:rsid w:val="00417EA9"/>
    <w:rsid w:val="004238F7"/>
    <w:rsid w:val="00423A81"/>
    <w:rsid w:val="0042720B"/>
    <w:rsid w:val="00433D6C"/>
    <w:rsid w:val="00434C40"/>
    <w:rsid w:val="004426E5"/>
    <w:rsid w:val="00455FF0"/>
    <w:rsid w:val="004565A1"/>
    <w:rsid w:val="00462F52"/>
    <w:rsid w:val="00465D3F"/>
    <w:rsid w:val="0046682C"/>
    <w:rsid w:val="004751AC"/>
    <w:rsid w:val="0048073B"/>
    <w:rsid w:val="00486120"/>
    <w:rsid w:val="00492A5C"/>
    <w:rsid w:val="00496A9F"/>
    <w:rsid w:val="004A18C9"/>
    <w:rsid w:val="004A2045"/>
    <w:rsid w:val="004A4FA8"/>
    <w:rsid w:val="004A7445"/>
    <w:rsid w:val="004B3297"/>
    <w:rsid w:val="004D2463"/>
    <w:rsid w:val="004D3227"/>
    <w:rsid w:val="004D734E"/>
    <w:rsid w:val="004E6039"/>
    <w:rsid w:val="004E66CB"/>
    <w:rsid w:val="004E6D8D"/>
    <w:rsid w:val="004E7A7F"/>
    <w:rsid w:val="004F01F2"/>
    <w:rsid w:val="004F6989"/>
    <w:rsid w:val="00504211"/>
    <w:rsid w:val="005043A9"/>
    <w:rsid w:val="0050499B"/>
    <w:rsid w:val="0050727E"/>
    <w:rsid w:val="0051011E"/>
    <w:rsid w:val="00516EA2"/>
    <w:rsid w:val="00517CD3"/>
    <w:rsid w:val="00517E60"/>
    <w:rsid w:val="00522EFA"/>
    <w:rsid w:val="00533ADB"/>
    <w:rsid w:val="00547FEB"/>
    <w:rsid w:val="00550350"/>
    <w:rsid w:val="00550C3C"/>
    <w:rsid w:val="0055468D"/>
    <w:rsid w:val="00560ACA"/>
    <w:rsid w:val="00564472"/>
    <w:rsid w:val="005816AB"/>
    <w:rsid w:val="00584424"/>
    <w:rsid w:val="00587360"/>
    <w:rsid w:val="005959AA"/>
    <w:rsid w:val="005B7754"/>
    <w:rsid w:val="005C4882"/>
    <w:rsid w:val="005C4BD0"/>
    <w:rsid w:val="005C569E"/>
    <w:rsid w:val="005C67F0"/>
    <w:rsid w:val="005D5225"/>
    <w:rsid w:val="005E0E0A"/>
    <w:rsid w:val="005E736F"/>
    <w:rsid w:val="005F638E"/>
    <w:rsid w:val="00602BC5"/>
    <w:rsid w:val="006078F8"/>
    <w:rsid w:val="00610626"/>
    <w:rsid w:val="00615AE8"/>
    <w:rsid w:val="00617180"/>
    <w:rsid w:val="00617DC8"/>
    <w:rsid w:val="006239A8"/>
    <w:rsid w:val="006360A1"/>
    <w:rsid w:val="00636D9B"/>
    <w:rsid w:val="0064281B"/>
    <w:rsid w:val="0064471F"/>
    <w:rsid w:val="00650B17"/>
    <w:rsid w:val="00650EEE"/>
    <w:rsid w:val="006510EF"/>
    <w:rsid w:val="00655AF0"/>
    <w:rsid w:val="00662D13"/>
    <w:rsid w:val="0067043B"/>
    <w:rsid w:val="00670C72"/>
    <w:rsid w:val="006731C6"/>
    <w:rsid w:val="0067425B"/>
    <w:rsid w:val="00675263"/>
    <w:rsid w:val="00677751"/>
    <w:rsid w:val="00681B12"/>
    <w:rsid w:val="00681C0F"/>
    <w:rsid w:val="00684A55"/>
    <w:rsid w:val="006B3252"/>
    <w:rsid w:val="006B3485"/>
    <w:rsid w:val="006B5C01"/>
    <w:rsid w:val="006B6F73"/>
    <w:rsid w:val="006C4162"/>
    <w:rsid w:val="006C6819"/>
    <w:rsid w:val="006C7FAC"/>
    <w:rsid w:val="006D2B72"/>
    <w:rsid w:val="006D44A6"/>
    <w:rsid w:val="006D5E7F"/>
    <w:rsid w:val="006E0499"/>
    <w:rsid w:val="006E0C79"/>
    <w:rsid w:val="006E4AF6"/>
    <w:rsid w:val="006E5558"/>
    <w:rsid w:val="006F062C"/>
    <w:rsid w:val="006F7A4D"/>
    <w:rsid w:val="00703D0C"/>
    <w:rsid w:val="00705038"/>
    <w:rsid w:val="00706013"/>
    <w:rsid w:val="007168AC"/>
    <w:rsid w:val="007178F1"/>
    <w:rsid w:val="00727F17"/>
    <w:rsid w:val="007313E4"/>
    <w:rsid w:val="007325C8"/>
    <w:rsid w:val="00734285"/>
    <w:rsid w:val="0073645C"/>
    <w:rsid w:val="00743119"/>
    <w:rsid w:val="007450A3"/>
    <w:rsid w:val="007475D0"/>
    <w:rsid w:val="00754741"/>
    <w:rsid w:val="00761EFF"/>
    <w:rsid w:val="00763FC9"/>
    <w:rsid w:val="0076401D"/>
    <w:rsid w:val="00765CBF"/>
    <w:rsid w:val="00767A6F"/>
    <w:rsid w:val="00777919"/>
    <w:rsid w:val="00784CC3"/>
    <w:rsid w:val="0078527A"/>
    <w:rsid w:val="0079091C"/>
    <w:rsid w:val="0079318C"/>
    <w:rsid w:val="00795BA2"/>
    <w:rsid w:val="007A0DC2"/>
    <w:rsid w:val="007A0E07"/>
    <w:rsid w:val="007A52F5"/>
    <w:rsid w:val="007A6047"/>
    <w:rsid w:val="007A79E0"/>
    <w:rsid w:val="007B59DE"/>
    <w:rsid w:val="007C43B9"/>
    <w:rsid w:val="007C499A"/>
    <w:rsid w:val="007C514E"/>
    <w:rsid w:val="007C5AFF"/>
    <w:rsid w:val="007D582F"/>
    <w:rsid w:val="007D5F12"/>
    <w:rsid w:val="007D7B9B"/>
    <w:rsid w:val="007E0EA7"/>
    <w:rsid w:val="007E76C5"/>
    <w:rsid w:val="007F1453"/>
    <w:rsid w:val="007F1CF2"/>
    <w:rsid w:val="007F2304"/>
    <w:rsid w:val="008008EA"/>
    <w:rsid w:val="00804DB7"/>
    <w:rsid w:val="00813F4A"/>
    <w:rsid w:val="008248B2"/>
    <w:rsid w:val="00825D8E"/>
    <w:rsid w:val="00830993"/>
    <w:rsid w:val="00830DBD"/>
    <w:rsid w:val="008401FF"/>
    <w:rsid w:val="00840FB7"/>
    <w:rsid w:val="008425CC"/>
    <w:rsid w:val="008438CC"/>
    <w:rsid w:val="00846F40"/>
    <w:rsid w:val="00847157"/>
    <w:rsid w:val="00850354"/>
    <w:rsid w:val="00850EE9"/>
    <w:rsid w:val="0085279B"/>
    <w:rsid w:val="0085315A"/>
    <w:rsid w:val="008555B0"/>
    <w:rsid w:val="008615FE"/>
    <w:rsid w:val="00862C65"/>
    <w:rsid w:val="00877F0C"/>
    <w:rsid w:val="0088072F"/>
    <w:rsid w:val="00884DE7"/>
    <w:rsid w:val="008855ED"/>
    <w:rsid w:val="00891ACB"/>
    <w:rsid w:val="00896A13"/>
    <w:rsid w:val="008970BF"/>
    <w:rsid w:val="008A14B4"/>
    <w:rsid w:val="008A709A"/>
    <w:rsid w:val="008B5323"/>
    <w:rsid w:val="008B76E5"/>
    <w:rsid w:val="008C1AC9"/>
    <w:rsid w:val="008D0DD8"/>
    <w:rsid w:val="008D15F8"/>
    <w:rsid w:val="008D2776"/>
    <w:rsid w:val="008D3594"/>
    <w:rsid w:val="008D4BDC"/>
    <w:rsid w:val="008D54FD"/>
    <w:rsid w:val="008D556F"/>
    <w:rsid w:val="009037D2"/>
    <w:rsid w:val="00907339"/>
    <w:rsid w:val="00907AAB"/>
    <w:rsid w:val="009141B2"/>
    <w:rsid w:val="00916B51"/>
    <w:rsid w:val="00941845"/>
    <w:rsid w:val="00941B08"/>
    <w:rsid w:val="00944FB9"/>
    <w:rsid w:val="00951A8F"/>
    <w:rsid w:val="0095653F"/>
    <w:rsid w:val="00963BAF"/>
    <w:rsid w:val="00965849"/>
    <w:rsid w:val="0096695E"/>
    <w:rsid w:val="00966D54"/>
    <w:rsid w:val="00972497"/>
    <w:rsid w:val="0097397D"/>
    <w:rsid w:val="00973FF9"/>
    <w:rsid w:val="00984019"/>
    <w:rsid w:val="00985379"/>
    <w:rsid w:val="009A32BF"/>
    <w:rsid w:val="009B182D"/>
    <w:rsid w:val="009B4EE5"/>
    <w:rsid w:val="009C1ABC"/>
    <w:rsid w:val="009C6722"/>
    <w:rsid w:val="009C79B5"/>
    <w:rsid w:val="009D1EAB"/>
    <w:rsid w:val="009E1ABA"/>
    <w:rsid w:val="009E1D8F"/>
    <w:rsid w:val="009E35C0"/>
    <w:rsid w:val="009F2ACE"/>
    <w:rsid w:val="00A115EE"/>
    <w:rsid w:val="00A13A53"/>
    <w:rsid w:val="00A20297"/>
    <w:rsid w:val="00A258AD"/>
    <w:rsid w:val="00A25F1F"/>
    <w:rsid w:val="00A30AE6"/>
    <w:rsid w:val="00A30B0C"/>
    <w:rsid w:val="00A36129"/>
    <w:rsid w:val="00A4255B"/>
    <w:rsid w:val="00A5346D"/>
    <w:rsid w:val="00A60FE0"/>
    <w:rsid w:val="00A7001F"/>
    <w:rsid w:val="00A7094D"/>
    <w:rsid w:val="00A72746"/>
    <w:rsid w:val="00A73BD7"/>
    <w:rsid w:val="00A83DE3"/>
    <w:rsid w:val="00A8490C"/>
    <w:rsid w:val="00A8698A"/>
    <w:rsid w:val="00A9581C"/>
    <w:rsid w:val="00A96296"/>
    <w:rsid w:val="00A971DF"/>
    <w:rsid w:val="00AB47C6"/>
    <w:rsid w:val="00AB58F2"/>
    <w:rsid w:val="00AC36F5"/>
    <w:rsid w:val="00AC6524"/>
    <w:rsid w:val="00AC78D6"/>
    <w:rsid w:val="00AD2514"/>
    <w:rsid w:val="00AF2D99"/>
    <w:rsid w:val="00AF4A3E"/>
    <w:rsid w:val="00B043CD"/>
    <w:rsid w:val="00B0768D"/>
    <w:rsid w:val="00B076C9"/>
    <w:rsid w:val="00B10171"/>
    <w:rsid w:val="00B10878"/>
    <w:rsid w:val="00B12CDB"/>
    <w:rsid w:val="00B25CCE"/>
    <w:rsid w:val="00B2747C"/>
    <w:rsid w:val="00B31635"/>
    <w:rsid w:val="00B3547F"/>
    <w:rsid w:val="00B45603"/>
    <w:rsid w:val="00B53263"/>
    <w:rsid w:val="00B54000"/>
    <w:rsid w:val="00B635E0"/>
    <w:rsid w:val="00B63D9C"/>
    <w:rsid w:val="00B70DFC"/>
    <w:rsid w:val="00B71CEE"/>
    <w:rsid w:val="00B77A92"/>
    <w:rsid w:val="00B825E7"/>
    <w:rsid w:val="00B835BB"/>
    <w:rsid w:val="00B8612F"/>
    <w:rsid w:val="00B92FEC"/>
    <w:rsid w:val="00B9675F"/>
    <w:rsid w:val="00B96AB4"/>
    <w:rsid w:val="00BA15DA"/>
    <w:rsid w:val="00BA3ED4"/>
    <w:rsid w:val="00BA54E4"/>
    <w:rsid w:val="00BA78D2"/>
    <w:rsid w:val="00BB5703"/>
    <w:rsid w:val="00BB60D9"/>
    <w:rsid w:val="00BB6A65"/>
    <w:rsid w:val="00BB6F1C"/>
    <w:rsid w:val="00BB7BCD"/>
    <w:rsid w:val="00BC0F3E"/>
    <w:rsid w:val="00BC43F3"/>
    <w:rsid w:val="00BD2131"/>
    <w:rsid w:val="00BE2709"/>
    <w:rsid w:val="00BE2FDF"/>
    <w:rsid w:val="00BE608B"/>
    <w:rsid w:val="00BF07D5"/>
    <w:rsid w:val="00BF2AAA"/>
    <w:rsid w:val="00C06CA6"/>
    <w:rsid w:val="00C06E04"/>
    <w:rsid w:val="00C11EAD"/>
    <w:rsid w:val="00C13E24"/>
    <w:rsid w:val="00C14F32"/>
    <w:rsid w:val="00C257E5"/>
    <w:rsid w:val="00C25FAD"/>
    <w:rsid w:val="00C3113C"/>
    <w:rsid w:val="00C31CC9"/>
    <w:rsid w:val="00C40C9E"/>
    <w:rsid w:val="00C5023D"/>
    <w:rsid w:val="00C55601"/>
    <w:rsid w:val="00C5704B"/>
    <w:rsid w:val="00C624FD"/>
    <w:rsid w:val="00C6261D"/>
    <w:rsid w:val="00C64E91"/>
    <w:rsid w:val="00C777CA"/>
    <w:rsid w:val="00C80531"/>
    <w:rsid w:val="00C80533"/>
    <w:rsid w:val="00C9048C"/>
    <w:rsid w:val="00C96695"/>
    <w:rsid w:val="00CA1D9A"/>
    <w:rsid w:val="00CA416C"/>
    <w:rsid w:val="00CA5065"/>
    <w:rsid w:val="00CB37E5"/>
    <w:rsid w:val="00CB61AD"/>
    <w:rsid w:val="00CC12AF"/>
    <w:rsid w:val="00CC40FB"/>
    <w:rsid w:val="00CC6C82"/>
    <w:rsid w:val="00CE3188"/>
    <w:rsid w:val="00CF54EA"/>
    <w:rsid w:val="00D10589"/>
    <w:rsid w:val="00D1165C"/>
    <w:rsid w:val="00D12C64"/>
    <w:rsid w:val="00D1410D"/>
    <w:rsid w:val="00D15906"/>
    <w:rsid w:val="00D16272"/>
    <w:rsid w:val="00D20342"/>
    <w:rsid w:val="00D26A48"/>
    <w:rsid w:val="00D31136"/>
    <w:rsid w:val="00D35ACD"/>
    <w:rsid w:val="00D4127D"/>
    <w:rsid w:val="00D414C1"/>
    <w:rsid w:val="00D52531"/>
    <w:rsid w:val="00D5479B"/>
    <w:rsid w:val="00D76105"/>
    <w:rsid w:val="00D83C39"/>
    <w:rsid w:val="00D94C87"/>
    <w:rsid w:val="00DA19B0"/>
    <w:rsid w:val="00DA3B40"/>
    <w:rsid w:val="00DA5E4B"/>
    <w:rsid w:val="00DB5F4C"/>
    <w:rsid w:val="00DC6110"/>
    <w:rsid w:val="00DC61D1"/>
    <w:rsid w:val="00DD253B"/>
    <w:rsid w:val="00DD459D"/>
    <w:rsid w:val="00DD6616"/>
    <w:rsid w:val="00DD7850"/>
    <w:rsid w:val="00DE08F4"/>
    <w:rsid w:val="00DF2E67"/>
    <w:rsid w:val="00DF47F4"/>
    <w:rsid w:val="00E13932"/>
    <w:rsid w:val="00E141FB"/>
    <w:rsid w:val="00E2050B"/>
    <w:rsid w:val="00E2331B"/>
    <w:rsid w:val="00E23F20"/>
    <w:rsid w:val="00E25C55"/>
    <w:rsid w:val="00E322F5"/>
    <w:rsid w:val="00E368EC"/>
    <w:rsid w:val="00E46116"/>
    <w:rsid w:val="00E46EBA"/>
    <w:rsid w:val="00E5368C"/>
    <w:rsid w:val="00E615A9"/>
    <w:rsid w:val="00E634E0"/>
    <w:rsid w:val="00E64341"/>
    <w:rsid w:val="00E801A0"/>
    <w:rsid w:val="00E81B45"/>
    <w:rsid w:val="00E83761"/>
    <w:rsid w:val="00E86E98"/>
    <w:rsid w:val="00E952BB"/>
    <w:rsid w:val="00EA2D0D"/>
    <w:rsid w:val="00EA3ADD"/>
    <w:rsid w:val="00EA6F1D"/>
    <w:rsid w:val="00EA7144"/>
    <w:rsid w:val="00EB0670"/>
    <w:rsid w:val="00EC3734"/>
    <w:rsid w:val="00EC64F6"/>
    <w:rsid w:val="00ED2D8F"/>
    <w:rsid w:val="00ED402D"/>
    <w:rsid w:val="00ED49CD"/>
    <w:rsid w:val="00ED5EB7"/>
    <w:rsid w:val="00EE162B"/>
    <w:rsid w:val="00EE3EC8"/>
    <w:rsid w:val="00EE63E7"/>
    <w:rsid w:val="00EE730C"/>
    <w:rsid w:val="00EE7875"/>
    <w:rsid w:val="00EF5530"/>
    <w:rsid w:val="00F00E39"/>
    <w:rsid w:val="00F01925"/>
    <w:rsid w:val="00F030F8"/>
    <w:rsid w:val="00F05079"/>
    <w:rsid w:val="00F213E1"/>
    <w:rsid w:val="00F22E64"/>
    <w:rsid w:val="00F33A92"/>
    <w:rsid w:val="00F40C65"/>
    <w:rsid w:val="00F47D36"/>
    <w:rsid w:val="00F5620A"/>
    <w:rsid w:val="00F630D9"/>
    <w:rsid w:val="00F63925"/>
    <w:rsid w:val="00F654DF"/>
    <w:rsid w:val="00F6708E"/>
    <w:rsid w:val="00F73EB1"/>
    <w:rsid w:val="00F77419"/>
    <w:rsid w:val="00F80FF8"/>
    <w:rsid w:val="00F81E1E"/>
    <w:rsid w:val="00F834E9"/>
    <w:rsid w:val="00F966B6"/>
    <w:rsid w:val="00FA0805"/>
    <w:rsid w:val="00FA28B5"/>
    <w:rsid w:val="00FA2A9E"/>
    <w:rsid w:val="00FA63FC"/>
    <w:rsid w:val="00FC03F5"/>
    <w:rsid w:val="00FC2A11"/>
    <w:rsid w:val="00FC75F8"/>
    <w:rsid w:val="00FD0D27"/>
    <w:rsid w:val="00FD4964"/>
    <w:rsid w:val="00FD60A3"/>
    <w:rsid w:val="00FD6B98"/>
    <w:rsid w:val="00FE114C"/>
    <w:rsid w:val="00FE60E6"/>
    <w:rsid w:val="00FF3A99"/>
    <w:rsid w:val="00FF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2">
    <w:name w:val="heading 2"/>
    <w:basedOn w:val="Normal"/>
    <w:next w:val="Normal"/>
    <w:link w:val="Heading2Char"/>
    <w:semiHidden/>
    <w:unhideWhenUsed/>
    <w:qFormat/>
    <w:rsid w:val="001D5F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3607B"/>
    <w:pPr>
      <w:autoSpaceDE w:val="0"/>
      <w:autoSpaceDN w:val="0"/>
      <w:adjustRightInd w:val="0"/>
      <w:spacing w:after="120"/>
      <w:outlineLvl w:val="2"/>
    </w:pPr>
    <w:rPr>
      <w:rFonts w:ascii="StoneSans-Bold" w:hAnsi="StoneSans-Bold"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jorhead">
    <w:name w:val="majorhead"/>
    <w:rsid w:val="00804DB7"/>
    <w:rPr>
      <w:rFonts w:ascii="Arial" w:hAnsi="Arial" w:cs="Arial"/>
      <w:b/>
      <w:bCs/>
      <w:sz w:val="28"/>
      <w:szCs w:val="28"/>
    </w:rPr>
  </w:style>
  <w:style w:type="paragraph" w:customStyle="1" w:styleId="Level2">
    <w:name w:val="Level 2"/>
    <w:basedOn w:val="Normal"/>
    <w:rsid w:val="00682920"/>
    <w:pPr>
      <w:widowControl w:val="0"/>
      <w:numPr>
        <w:ilvl w:val="1"/>
        <w:numId w:val="2"/>
      </w:numPr>
      <w:autoSpaceDE w:val="0"/>
      <w:autoSpaceDN w:val="0"/>
      <w:adjustRightInd w:val="0"/>
      <w:outlineLvl w:val="1"/>
    </w:pPr>
    <w:rPr>
      <w:rFonts w:ascii="Times New Roman" w:hAnsi="Times New Roman" w:cs="Times New Roman"/>
      <w:sz w:val="24"/>
      <w:szCs w:val="24"/>
    </w:rPr>
  </w:style>
  <w:style w:type="paragraph" w:styleId="BodyTextIndent">
    <w:name w:val="Body Text Indent"/>
    <w:basedOn w:val="Normal"/>
    <w:rsid w:val="00682920"/>
    <w:pPr>
      <w:widowControl w:val="0"/>
      <w:autoSpaceDE w:val="0"/>
      <w:autoSpaceDN w:val="0"/>
      <w:adjustRightInd w:val="0"/>
      <w:ind w:left="720"/>
    </w:pPr>
    <w:rPr>
      <w:rFonts w:ascii="Times New Roman" w:hAnsi="Times New Roman" w:cs="Times New Roman"/>
      <w:sz w:val="24"/>
      <w:szCs w:val="24"/>
    </w:rPr>
  </w:style>
  <w:style w:type="character" w:styleId="Hyperlink">
    <w:name w:val="Hyperlink"/>
    <w:rsid w:val="00027EDF"/>
    <w:rPr>
      <w:color w:val="0000FF"/>
      <w:u w:val="single"/>
    </w:rPr>
  </w:style>
  <w:style w:type="paragraph" w:styleId="NormalWeb">
    <w:name w:val="Normal (Web)"/>
    <w:basedOn w:val="Normal"/>
    <w:uiPriority w:val="99"/>
    <w:rsid w:val="0053607B"/>
    <w:pPr>
      <w:spacing w:before="100" w:beforeAutospacing="1" w:after="100" w:afterAutospacing="1"/>
    </w:pPr>
    <w:rPr>
      <w:rFonts w:ascii="Times New Roman" w:hAnsi="Times New Roman" w:cs="Times New Roman"/>
      <w:sz w:val="24"/>
      <w:szCs w:val="24"/>
    </w:rPr>
  </w:style>
  <w:style w:type="character" w:styleId="CommentReference">
    <w:name w:val="annotation reference"/>
    <w:uiPriority w:val="99"/>
    <w:semiHidden/>
    <w:rsid w:val="00055A99"/>
    <w:rPr>
      <w:sz w:val="16"/>
      <w:szCs w:val="16"/>
    </w:rPr>
  </w:style>
  <w:style w:type="paragraph" w:styleId="CommentText">
    <w:name w:val="annotation text"/>
    <w:basedOn w:val="Normal"/>
    <w:link w:val="CommentTextChar"/>
    <w:uiPriority w:val="99"/>
    <w:semiHidden/>
    <w:rsid w:val="00055A99"/>
    <w:rPr>
      <w:sz w:val="20"/>
    </w:rPr>
  </w:style>
  <w:style w:type="paragraph" w:styleId="CommentSubject">
    <w:name w:val="annotation subject"/>
    <w:basedOn w:val="CommentText"/>
    <w:next w:val="CommentText"/>
    <w:semiHidden/>
    <w:rsid w:val="00055A99"/>
    <w:rPr>
      <w:b/>
      <w:bCs/>
    </w:rPr>
  </w:style>
  <w:style w:type="paragraph" w:styleId="BalloonText">
    <w:name w:val="Balloon Text"/>
    <w:basedOn w:val="Normal"/>
    <w:semiHidden/>
    <w:rsid w:val="00055A99"/>
    <w:rPr>
      <w:rFonts w:ascii="Tahoma" w:hAnsi="Tahoma" w:cs="Tahoma"/>
      <w:sz w:val="16"/>
      <w:szCs w:val="16"/>
    </w:rPr>
  </w:style>
  <w:style w:type="paragraph" w:styleId="Header">
    <w:name w:val="header"/>
    <w:basedOn w:val="Normal"/>
    <w:rsid w:val="000876EB"/>
    <w:pPr>
      <w:tabs>
        <w:tab w:val="center" w:pos="4320"/>
        <w:tab w:val="right" w:pos="8640"/>
      </w:tabs>
    </w:pPr>
  </w:style>
  <w:style w:type="paragraph" w:styleId="Footer">
    <w:name w:val="footer"/>
    <w:basedOn w:val="Normal"/>
    <w:link w:val="FooterChar"/>
    <w:uiPriority w:val="99"/>
    <w:rsid w:val="000876EB"/>
    <w:pPr>
      <w:tabs>
        <w:tab w:val="center" w:pos="4320"/>
        <w:tab w:val="right" w:pos="8640"/>
      </w:tabs>
    </w:pPr>
  </w:style>
  <w:style w:type="character" w:customStyle="1" w:styleId="minorhead">
    <w:name w:val="minorhead"/>
    <w:rsid w:val="00AA7841"/>
    <w:rPr>
      <w:rFonts w:ascii="Arial" w:hAnsi="Arial" w:cs="Arial"/>
      <w:b/>
      <w:bCs/>
      <w:sz w:val="24"/>
      <w:szCs w:val="24"/>
    </w:rPr>
  </w:style>
  <w:style w:type="paragraph" w:styleId="Revision">
    <w:name w:val="Revision"/>
    <w:hidden/>
    <w:uiPriority w:val="99"/>
    <w:semiHidden/>
    <w:rsid w:val="00745193"/>
    <w:rPr>
      <w:rFonts w:ascii="Arial" w:hAnsi="Arial" w:cs="Arial"/>
      <w:sz w:val="22"/>
    </w:rPr>
  </w:style>
  <w:style w:type="paragraph" w:styleId="Caption">
    <w:name w:val="caption"/>
    <w:basedOn w:val="Normal"/>
    <w:next w:val="Normal"/>
    <w:qFormat/>
    <w:rsid w:val="0023649C"/>
    <w:pPr>
      <w:widowControl w:val="0"/>
      <w:autoSpaceDE w:val="0"/>
      <w:autoSpaceDN w:val="0"/>
      <w:adjustRightInd w:val="0"/>
    </w:pPr>
    <w:rPr>
      <w:rFonts w:ascii="Times New Roman" w:hAnsi="Times New Roman" w:cs="Times New Roman"/>
      <w:b/>
      <w:bCs/>
      <w:sz w:val="20"/>
    </w:rPr>
  </w:style>
  <w:style w:type="table" w:styleId="TableGrid">
    <w:name w:val="Table Grid"/>
    <w:basedOn w:val="TableNormal"/>
    <w:uiPriority w:val="59"/>
    <w:rsid w:val="00BC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95BA2"/>
    <w:rPr>
      <w:color w:val="800080"/>
      <w:u w:val="single"/>
    </w:rPr>
  </w:style>
  <w:style w:type="character" w:styleId="Emphasis">
    <w:name w:val="Emphasis"/>
    <w:qFormat/>
    <w:rsid w:val="00941845"/>
    <w:rPr>
      <w:i/>
      <w:iCs/>
    </w:rPr>
  </w:style>
  <w:style w:type="paragraph" w:styleId="ListParagraph">
    <w:name w:val="List Paragraph"/>
    <w:basedOn w:val="Normal"/>
    <w:uiPriority w:val="34"/>
    <w:qFormat/>
    <w:rsid w:val="00AC6524"/>
    <w:pPr>
      <w:ind w:left="720"/>
      <w:contextualSpacing/>
    </w:pPr>
    <w:rPr>
      <w:rFonts w:ascii="Times New Roman" w:hAnsi="Times New Roman" w:cs="Times New Roman"/>
      <w:sz w:val="20"/>
    </w:rPr>
  </w:style>
  <w:style w:type="character" w:customStyle="1" w:styleId="CommentTextChar">
    <w:name w:val="Comment Text Char"/>
    <w:basedOn w:val="DefaultParagraphFont"/>
    <w:link w:val="CommentText"/>
    <w:uiPriority w:val="99"/>
    <w:semiHidden/>
    <w:rsid w:val="00703D0C"/>
    <w:rPr>
      <w:rFonts w:ascii="Arial" w:hAnsi="Arial" w:cs="Arial"/>
    </w:rPr>
  </w:style>
  <w:style w:type="paragraph" w:customStyle="1" w:styleId="Default">
    <w:name w:val="Default"/>
    <w:rsid w:val="00E615A9"/>
    <w:pPr>
      <w:autoSpaceDE w:val="0"/>
      <w:autoSpaceDN w:val="0"/>
      <w:adjustRightInd w:val="0"/>
    </w:pPr>
    <w:rPr>
      <w:color w:val="000000"/>
      <w:sz w:val="24"/>
      <w:szCs w:val="24"/>
    </w:rPr>
  </w:style>
  <w:style w:type="paragraph" w:styleId="BodyText">
    <w:name w:val="Body Text"/>
    <w:basedOn w:val="Normal"/>
    <w:link w:val="BodyTextChar"/>
    <w:rsid w:val="008D15F8"/>
    <w:pPr>
      <w:spacing w:after="120"/>
    </w:pPr>
  </w:style>
  <w:style w:type="character" w:customStyle="1" w:styleId="BodyTextChar">
    <w:name w:val="Body Text Char"/>
    <w:basedOn w:val="DefaultParagraphFont"/>
    <w:link w:val="BodyText"/>
    <w:rsid w:val="008D15F8"/>
    <w:rPr>
      <w:rFonts w:ascii="Arial" w:hAnsi="Arial" w:cs="Arial"/>
      <w:sz w:val="22"/>
    </w:rPr>
  </w:style>
  <w:style w:type="paragraph" w:styleId="BodyText2">
    <w:name w:val="Body Text 2"/>
    <w:basedOn w:val="Normal"/>
    <w:link w:val="BodyText2Char"/>
    <w:rsid w:val="00D35ACD"/>
    <w:pPr>
      <w:spacing w:after="120" w:line="480" w:lineRule="auto"/>
    </w:pPr>
  </w:style>
  <w:style w:type="character" w:customStyle="1" w:styleId="BodyText2Char">
    <w:name w:val="Body Text 2 Char"/>
    <w:basedOn w:val="DefaultParagraphFont"/>
    <w:link w:val="BodyText2"/>
    <w:rsid w:val="00D35ACD"/>
    <w:rPr>
      <w:rFonts w:ascii="Arial" w:hAnsi="Arial" w:cs="Arial"/>
      <w:sz w:val="22"/>
    </w:rPr>
  </w:style>
  <w:style w:type="character" w:customStyle="1" w:styleId="Heading2Char">
    <w:name w:val="Heading 2 Char"/>
    <w:basedOn w:val="DefaultParagraphFont"/>
    <w:link w:val="Heading2"/>
    <w:semiHidden/>
    <w:rsid w:val="001D5F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47FEB"/>
  </w:style>
  <w:style w:type="paragraph" w:styleId="FootnoteText">
    <w:name w:val="footnote text"/>
    <w:basedOn w:val="Normal"/>
    <w:link w:val="FootnoteTextChar"/>
    <w:rsid w:val="00547FEB"/>
    <w:rPr>
      <w:sz w:val="20"/>
    </w:rPr>
  </w:style>
  <w:style w:type="character" w:customStyle="1" w:styleId="FootnoteTextChar">
    <w:name w:val="Footnote Text Char"/>
    <w:basedOn w:val="DefaultParagraphFont"/>
    <w:link w:val="FootnoteText"/>
    <w:rsid w:val="00547FEB"/>
    <w:rPr>
      <w:rFonts w:ascii="Arial" w:hAnsi="Arial" w:cs="Arial"/>
    </w:rPr>
  </w:style>
  <w:style w:type="character" w:styleId="FootnoteReference">
    <w:name w:val="footnote reference"/>
    <w:basedOn w:val="DefaultParagraphFont"/>
    <w:rsid w:val="00547FEB"/>
    <w:rPr>
      <w:vertAlign w:val="superscript"/>
    </w:rPr>
  </w:style>
  <w:style w:type="character" w:styleId="Strong">
    <w:name w:val="Strong"/>
    <w:basedOn w:val="DefaultParagraphFont"/>
    <w:uiPriority w:val="22"/>
    <w:qFormat/>
    <w:rsid w:val="00FD60A3"/>
    <w:rPr>
      <w:b/>
      <w:bCs/>
    </w:rPr>
  </w:style>
  <w:style w:type="paragraph" w:styleId="ListBullet">
    <w:name w:val="List Bullet"/>
    <w:basedOn w:val="Normal"/>
    <w:unhideWhenUsed/>
    <w:rsid w:val="00BA78D2"/>
    <w:pPr>
      <w:numPr>
        <w:numId w:val="33"/>
      </w:numPr>
      <w:spacing w:before="120"/>
      <w:ind w:left="1440" w:hanging="720"/>
    </w:pPr>
    <w:rPr>
      <w:rFonts w:cs="Times New Roman"/>
      <w:sz w:val="24"/>
      <w:szCs w:val="24"/>
    </w:rPr>
  </w:style>
  <w:style w:type="character" w:customStyle="1" w:styleId="FooterChar">
    <w:name w:val="Footer Char"/>
    <w:basedOn w:val="DefaultParagraphFont"/>
    <w:link w:val="Footer"/>
    <w:uiPriority w:val="99"/>
    <w:rsid w:val="001325C6"/>
    <w:rPr>
      <w:rFonts w:ascii="Arial" w:hAnsi="Arial" w:cs="Arial"/>
      <w:sz w:val="22"/>
    </w:rPr>
  </w:style>
  <w:style w:type="paragraph" w:customStyle="1" w:styleId="SuicideTableHeading2">
    <w:name w:val="Suicide Table Heading 2"/>
    <w:basedOn w:val="Normal"/>
    <w:rsid w:val="00522EFA"/>
    <w:pPr>
      <w:autoSpaceDE w:val="0"/>
      <w:autoSpaceDN w:val="0"/>
      <w:spacing w:before="120"/>
    </w:pPr>
    <w:rPr>
      <w:rFonts w:eastAsiaTheme="minorHAnsi"/>
      <w:b/>
      <w:bCs/>
      <w:sz w:val="20"/>
    </w:rPr>
  </w:style>
  <w:style w:type="paragraph" w:customStyle="1" w:styleId="SuicideTableText">
    <w:name w:val="Suicide Table Text"/>
    <w:basedOn w:val="Normal"/>
    <w:rsid w:val="00522EFA"/>
    <w:pPr>
      <w:autoSpaceDE w:val="0"/>
      <w:autoSpaceDN w:val="0"/>
      <w:spacing w:before="60" w:after="60"/>
    </w:pPr>
    <w:rPr>
      <w:rFonts w:eastAsiaTheme="minorHAnsi"/>
      <w:sz w:val="20"/>
    </w:rPr>
  </w:style>
  <w:style w:type="paragraph" w:customStyle="1" w:styleId="SuicideTableTitle">
    <w:name w:val="Suicide Table Title"/>
    <w:basedOn w:val="Normal"/>
    <w:rsid w:val="00522EFA"/>
    <w:pPr>
      <w:autoSpaceDE w:val="0"/>
      <w:autoSpaceDN w:val="0"/>
      <w:spacing w:after="120"/>
      <w:jc w:val="center"/>
    </w:pPr>
    <w:rPr>
      <w:rFonts w:eastAsiaTheme="minorHAnsi"/>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2">
    <w:name w:val="heading 2"/>
    <w:basedOn w:val="Normal"/>
    <w:next w:val="Normal"/>
    <w:link w:val="Heading2Char"/>
    <w:semiHidden/>
    <w:unhideWhenUsed/>
    <w:qFormat/>
    <w:rsid w:val="001D5F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3607B"/>
    <w:pPr>
      <w:autoSpaceDE w:val="0"/>
      <w:autoSpaceDN w:val="0"/>
      <w:adjustRightInd w:val="0"/>
      <w:spacing w:after="120"/>
      <w:outlineLvl w:val="2"/>
    </w:pPr>
    <w:rPr>
      <w:rFonts w:ascii="StoneSans-Bold" w:hAnsi="StoneSans-Bold"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jorhead">
    <w:name w:val="majorhead"/>
    <w:rsid w:val="00804DB7"/>
    <w:rPr>
      <w:rFonts w:ascii="Arial" w:hAnsi="Arial" w:cs="Arial"/>
      <w:b/>
      <w:bCs/>
      <w:sz w:val="28"/>
      <w:szCs w:val="28"/>
    </w:rPr>
  </w:style>
  <w:style w:type="paragraph" w:customStyle="1" w:styleId="Level2">
    <w:name w:val="Level 2"/>
    <w:basedOn w:val="Normal"/>
    <w:rsid w:val="00682920"/>
    <w:pPr>
      <w:widowControl w:val="0"/>
      <w:numPr>
        <w:ilvl w:val="1"/>
        <w:numId w:val="2"/>
      </w:numPr>
      <w:autoSpaceDE w:val="0"/>
      <w:autoSpaceDN w:val="0"/>
      <w:adjustRightInd w:val="0"/>
      <w:outlineLvl w:val="1"/>
    </w:pPr>
    <w:rPr>
      <w:rFonts w:ascii="Times New Roman" w:hAnsi="Times New Roman" w:cs="Times New Roman"/>
      <w:sz w:val="24"/>
      <w:szCs w:val="24"/>
    </w:rPr>
  </w:style>
  <w:style w:type="paragraph" w:styleId="BodyTextIndent">
    <w:name w:val="Body Text Indent"/>
    <w:basedOn w:val="Normal"/>
    <w:rsid w:val="00682920"/>
    <w:pPr>
      <w:widowControl w:val="0"/>
      <w:autoSpaceDE w:val="0"/>
      <w:autoSpaceDN w:val="0"/>
      <w:adjustRightInd w:val="0"/>
      <w:ind w:left="720"/>
    </w:pPr>
    <w:rPr>
      <w:rFonts w:ascii="Times New Roman" w:hAnsi="Times New Roman" w:cs="Times New Roman"/>
      <w:sz w:val="24"/>
      <w:szCs w:val="24"/>
    </w:rPr>
  </w:style>
  <w:style w:type="character" w:styleId="Hyperlink">
    <w:name w:val="Hyperlink"/>
    <w:rsid w:val="00027EDF"/>
    <w:rPr>
      <w:color w:val="0000FF"/>
      <w:u w:val="single"/>
    </w:rPr>
  </w:style>
  <w:style w:type="paragraph" w:styleId="NormalWeb">
    <w:name w:val="Normal (Web)"/>
    <w:basedOn w:val="Normal"/>
    <w:uiPriority w:val="99"/>
    <w:rsid w:val="0053607B"/>
    <w:pPr>
      <w:spacing w:before="100" w:beforeAutospacing="1" w:after="100" w:afterAutospacing="1"/>
    </w:pPr>
    <w:rPr>
      <w:rFonts w:ascii="Times New Roman" w:hAnsi="Times New Roman" w:cs="Times New Roman"/>
      <w:sz w:val="24"/>
      <w:szCs w:val="24"/>
    </w:rPr>
  </w:style>
  <w:style w:type="character" w:styleId="CommentReference">
    <w:name w:val="annotation reference"/>
    <w:uiPriority w:val="99"/>
    <w:semiHidden/>
    <w:rsid w:val="00055A99"/>
    <w:rPr>
      <w:sz w:val="16"/>
      <w:szCs w:val="16"/>
    </w:rPr>
  </w:style>
  <w:style w:type="paragraph" w:styleId="CommentText">
    <w:name w:val="annotation text"/>
    <w:basedOn w:val="Normal"/>
    <w:link w:val="CommentTextChar"/>
    <w:uiPriority w:val="99"/>
    <w:semiHidden/>
    <w:rsid w:val="00055A99"/>
    <w:rPr>
      <w:sz w:val="20"/>
    </w:rPr>
  </w:style>
  <w:style w:type="paragraph" w:styleId="CommentSubject">
    <w:name w:val="annotation subject"/>
    <w:basedOn w:val="CommentText"/>
    <w:next w:val="CommentText"/>
    <w:semiHidden/>
    <w:rsid w:val="00055A99"/>
    <w:rPr>
      <w:b/>
      <w:bCs/>
    </w:rPr>
  </w:style>
  <w:style w:type="paragraph" w:styleId="BalloonText">
    <w:name w:val="Balloon Text"/>
    <w:basedOn w:val="Normal"/>
    <w:semiHidden/>
    <w:rsid w:val="00055A99"/>
    <w:rPr>
      <w:rFonts w:ascii="Tahoma" w:hAnsi="Tahoma" w:cs="Tahoma"/>
      <w:sz w:val="16"/>
      <w:szCs w:val="16"/>
    </w:rPr>
  </w:style>
  <w:style w:type="paragraph" w:styleId="Header">
    <w:name w:val="header"/>
    <w:basedOn w:val="Normal"/>
    <w:rsid w:val="000876EB"/>
    <w:pPr>
      <w:tabs>
        <w:tab w:val="center" w:pos="4320"/>
        <w:tab w:val="right" w:pos="8640"/>
      </w:tabs>
    </w:pPr>
  </w:style>
  <w:style w:type="paragraph" w:styleId="Footer">
    <w:name w:val="footer"/>
    <w:basedOn w:val="Normal"/>
    <w:link w:val="FooterChar"/>
    <w:uiPriority w:val="99"/>
    <w:rsid w:val="000876EB"/>
    <w:pPr>
      <w:tabs>
        <w:tab w:val="center" w:pos="4320"/>
        <w:tab w:val="right" w:pos="8640"/>
      </w:tabs>
    </w:pPr>
  </w:style>
  <w:style w:type="character" w:customStyle="1" w:styleId="minorhead">
    <w:name w:val="minorhead"/>
    <w:rsid w:val="00AA7841"/>
    <w:rPr>
      <w:rFonts w:ascii="Arial" w:hAnsi="Arial" w:cs="Arial"/>
      <w:b/>
      <w:bCs/>
      <w:sz w:val="24"/>
      <w:szCs w:val="24"/>
    </w:rPr>
  </w:style>
  <w:style w:type="paragraph" w:styleId="Revision">
    <w:name w:val="Revision"/>
    <w:hidden/>
    <w:uiPriority w:val="99"/>
    <w:semiHidden/>
    <w:rsid w:val="00745193"/>
    <w:rPr>
      <w:rFonts w:ascii="Arial" w:hAnsi="Arial" w:cs="Arial"/>
      <w:sz w:val="22"/>
    </w:rPr>
  </w:style>
  <w:style w:type="paragraph" w:styleId="Caption">
    <w:name w:val="caption"/>
    <w:basedOn w:val="Normal"/>
    <w:next w:val="Normal"/>
    <w:qFormat/>
    <w:rsid w:val="0023649C"/>
    <w:pPr>
      <w:widowControl w:val="0"/>
      <w:autoSpaceDE w:val="0"/>
      <w:autoSpaceDN w:val="0"/>
      <w:adjustRightInd w:val="0"/>
    </w:pPr>
    <w:rPr>
      <w:rFonts w:ascii="Times New Roman" w:hAnsi="Times New Roman" w:cs="Times New Roman"/>
      <w:b/>
      <w:bCs/>
      <w:sz w:val="20"/>
    </w:rPr>
  </w:style>
  <w:style w:type="table" w:styleId="TableGrid">
    <w:name w:val="Table Grid"/>
    <w:basedOn w:val="TableNormal"/>
    <w:uiPriority w:val="59"/>
    <w:rsid w:val="00BC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95BA2"/>
    <w:rPr>
      <w:color w:val="800080"/>
      <w:u w:val="single"/>
    </w:rPr>
  </w:style>
  <w:style w:type="character" w:styleId="Emphasis">
    <w:name w:val="Emphasis"/>
    <w:qFormat/>
    <w:rsid w:val="00941845"/>
    <w:rPr>
      <w:i/>
      <w:iCs/>
    </w:rPr>
  </w:style>
  <w:style w:type="paragraph" w:styleId="ListParagraph">
    <w:name w:val="List Paragraph"/>
    <w:basedOn w:val="Normal"/>
    <w:uiPriority w:val="34"/>
    <w:qFormat/>
    <w:rsid w:val="00AC6524"/>
    <w:pPr>
      <w:ind w:left="720"/>
      <w:contextualSpacing/>
    </w:pPr>
    <w:rPr>
      <w:rFonts w:ascii="Times New Roman" w:hAnsi="Times New Roman" w:cs="Times New Roman"/>
      <w:sz w:val="20"/>
    </w:rPr>
  </w:style>
  <w:style w:type="character" w:customStyle="1" w:styleId="CommentTextChar">
    <w:name w:val="Comment Text Char"/>
    <w:basedOn w:val="DefaultParagraphFont"/>
    <w:link w:val="CommentText"/>
    <w:uiPriority w:val="99"/>
    <w:semiHidden/>
    <w:rsid w:val="00703D0C"/>
    <w:rPr>
      <w:rFonts w:ascii="Arial" w:hAnsi="Arial" w:cs="Arial"/>
    </w:rPr>
  </w:style>
  <w:style w:type="paragraph" w:customStyle="1" w:styleId="Default">
    <w:name w:val="Default"/>
    <w:rsid w:val="00E615A9"/>
    <w:pPr>
      <w:autoSpaceDE w:val="0"/>
      <w:autoSpaceDN w:val="0"/>
      <w:adjustRightInd w:val="0"/>
    </w:pPr>
    <w:rPr>
      <w:color w:val="000000"/>
      <w:sz w:val="24"/>
      <w:szCs w:val="24"/>
    </w:rPr>
  </w:style>
  <w:style w:type="paragraph" w:styleId="BodyText">
    <w:name w:val="Body Text"/>
    <w:basedOn w:val="Normal"/>
    <w:link w:val="BodyTextChar"/>
    <w:rsid w:val="008D15F8"/>
    <w:pPr>
      <w:spacing w:after="120"/>
    </w:pPr>
  </w:style>
  <w:style w:type="character" w:customStyle="1" w:styleId="BodyTextChar">
    <w:name w:val="Body Text Char"/>
    <w:basedOn w:val="DefaultParagraphFont"/>
    <w:link w:val="BodyText"/>
    <w:rsid w:val="008D15F8"/>
    <w:rPr>
      <w:rFonts w:ascii="Arial" w:hAnsi="Arial" w:cs="Arial"/>
      <w:sz w:val="22"/>
    </w:rPr>
  </w:style>
  <w:style w:type="paragraph" w:styleId="BodyText2">
    <w:name w:val="Body Text 2"/>
    <w:basedOn w:val="Normal"/>
    <w:link w:val="BodyText2Char"/>
    <w:rsid w:val="00D35ACD"/>
    <w:pPr>
      <w:spacing w:after="120" w:line="480" w:lineRule="auto"/>
    </w:pPr>
  </w:style>
  <w:style w:type="character" w:customStyle="1" w:styleId="BodyText2Char">
    <w:name w:val="Body Text 2 Char"/>
    <w:basedOn w:val="DefaultParagraphFont"/>
    <w:link w:val="BodyText2"/>
    <w:rsid w:val="00D35ACD"/>
    <w:rPr>
      <w:rFonts w:ascii="Arial" w:hAnsi="Arial" w:cs="Arial"/>
      <w:sz w:val="22"/>
    </w:rPr>
  </w:style>
  <w:style w:type="character" w:customStyle="1" w:styleId="Heading2Char">
    <w:name w:val="Heading 2 Char"/>
    <w:basedOn w:val="DefaultParagraphFont"/>
    <w:link w:val="Heading2"/>
    <w:semiHidden/>
    <w:rsid w:val="001D5F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47FEB"/>
  </w:style>
  <w:style w:type="paragraph" w:styleId="FootnoteText">
    <w:name w:val="footnote text"/>
    <w:basedOn w:val="Normal"/>
    <w:link w:val="FootnoteTextChar"/>
    <w:rsid w:val="00547FEB"/>
    <w:rPr>
      <w:sz w:val="20"/>
    </w:rPr>
  </w:style>
  <w:style w:type="character" w:customStyle="1" w:styleId="FootnoteTextChar">
    <w:name w:val="Footnote Text Char"/>
    <w:basedOn w:val="DefaultParagraphFont"/>
    <w:link w:val="FootnoteText"/>
    <w:rsid w:val="00547FEB"/>
    <w:rPr>
      <w:rFonts w:ascii="Arial" w:hAnsi="Arial" w:cs="Arial"/>
    </w:rPr>
  </w:style>
  <w:style w:type="character" w:styleId="FootnoteReference">
    <w:name w:val="footnote reference"/>
    <w:basedOn w:val="DefaultParagraphFont"/>
    <w:rsid w:val="00547FEB"/>
    <w:rPr>
      <w:vertAlign w:val="superscript"/>
    </w:rPr>
  </w:style>
  <w:style w:type="character" w:styleId="Strong">
    <w:name w:val="Strong"/>
    <w:basedOn w:val="DefaultParagraphFont"/>
    <w:uiPriority w:val="22"/>
    <w:qFormat/>
    <w:rsid w:val="00FD60A3"/>
    <w:rPr>
      <w:b/>
      <w:bCs/>
    </w:rPr>
  </w:style>
  <w:style w:type="paragraph" w:styleId="ListBullet">
    <w:name w:val="List Bullet"/>
    <w:basedOn w:val="Normal"/>
    <w:unhideWhenUsed/>
    <w:rsid w:val="00BA78D2"/>
    <w:pPr>
      <w:numPr>
        <w:numId w:val="33"/>
      </w:numPr>
      <w:spacing w:before="120"/>
      <w:ind w:left="1440" w:hanging="720"/>
    </w:pPr>
    <w:rPr>
      <w:rFonts w:cs="Times New Roman"/>
      <w:sz w:val="24"/>
      <w:szCs w:val="24"/>
    </w:rPr>
  </w:style>
  <w:style w:type="character" w:customStyle="1" w:styleId="FooterChar">
    <w:name w:val="Footer Char"/>
    <w:basedOn w:val="DefaultParagraphFont"/>
    <w:link w:val="Footer"/>
    <w:uiPriority w:val="99"/>
    <w:rsid w:val="001325C6"/>
    <w:rPr>
      <w:rFonts w:ascii="Arial" w:hAnsi="Arial" w:cs="Arial"/>
      <w:sz w:val="22"/>
    </w:rPr>
  </w:style>
  <w:style w:type="paragraph" w:customStyle="1" w:styleId="SuicideTableHeading2">
    <w:name w:val="Suicide Table Heading 2"/>
    <w:basedOn w:val="Normal"/>
    <w:rsid w:val="00522EFA"/>
    <w:pPr>
      <w:autoSpaceDE w:val="0"/>
      <w:autoSpaceDN w:val="0"/>
      <w:spacing w:before="120"/>
    </w:pPr>
    <w:rPr>
      <w:rFonts w:eastAsiaTheme="minorHAnsi"/>
      <w:b/>
      <w:bCs/>
      <w:sz w:val="20"/>
    </w:rPr>
  </w:style>
  <w:style w:type="paragraph" w:customStyle="1" w:styleId="SuicideTableText">
    <w:name w:val="Suicide Table Text"/>
    <w:basedOn w:val="Normal"/>
    <w:rsid w:val="00522EFA"/>
    <w:pPr>
      <w:autoSpaceDE w:val="0"/>
      <w:autoSpaceDN w:val="0"/>
      <w:spacing w:before="60" w:after="60"/>
    </w:pPr>
    <w:rPr>
      <w:rFonts w:eastAsiaTheme="minorHAnsi"/>
      <w:sz w:val="20"/>
    </w:rPr>
  </w:style>
  <w:style w:type="paragraph" w:customStyle="1" w:styleId="SuicideTableTitle">
    <w:name w:val="Suicide Table Title"/>
    <w:basedOn w:val="Normal"/>
    <w:rsid w:val="00522EFA"/>
    <w:pPr>
      <w:autoSpaceDE w:val="0"/>
      <w:autoSpaceDN w:val="0"/>
      <w:spacing w:after="120"/>
      <w:jc w:val="center"/>
    </w:pPr>
    <w:rPr>
      <w:rFonts w:eastAsiaTheme="minorHAns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352">
      <w:bodyDiv w:val="1"/>
      <w:marLeft w:val="0"/>
      <w:marRight w:val="0"/>
      <w:marTop w:val="0"/>
      <w:marBottom w:val="0"/>
      <w:divBdr>
        <w:top w:val="none" w:sz="0" w:space="0" w:color="auto"/>
        <w:left w:val="none" w:sz="0" w:space="0" w:color="auto"/>
        <w:bottom w:val="none" w:sz="0" w:space="0" w:color="auto"/>
        <w:right w:val="none" w:sz="0" w:space="0" w:color="auto"/>
      </w:divBdr>
    </w:div>
    <w:div w:id="47147264">
      <w:bodyDiv w:val="1"/>
      <w:marLeft w:val="0"/>
      <w:marRight w:val="0"/>
      <w:marTop w:val="0"/>
      <w:marBottom w:val="0"/>
      <w:divBdr>
        <w:top w:val="none" w:sz="0" w:space="0" w:color="auto"/>
        <w:left w:val="none" w:sz="0" w:space="0" w:color="auto"/>
        <w:bottom w:val="none" w:sz="0" w:space="0" w:color="auto"/>
        <w:right w:val="none" w:sz="0" w:space="0" w:color="auto"/>
      </w:divBdr>
    </w:div>
    <w:div w:id="138621499">
      <w:bodyDiv w:val="1"/>
      <w:marLeft w:val="0"/>
      <w:marRight w:val="0"/>
      <w:marTop w:val="0"/>
      <w:marBottom w:val="0"/>
      <w:divBdr>
        <w:top w:val="none" w:sz="0" w:space="0" w:color="auto"/>
        <w:left w:val="none" w:sz="0" w:space="0" w:color="auto"/>
        <w:bottom w:val="none" w:sz="0" w:space="0" w:color="auto"/>
        <w:right w:val="none" w:sz="0" w:space="0" w:color="auto"/>
      </w:divBdr>
    </w:div>
    <w:div w:id="357126646">
      <w:bodyDiv w:val="1"/>
      <w:marLeft w:val="0"/>
      <w:marRight w:val="0"/>
      <w:marTop w:val="0"/>
      <w:marBottom w:val="0"/>
      <w:divBdr>
        <w:top w:val="none" w:sz="0" w:space="0" w:color="auto"/>
        <w:left w:val="none" w:sz="0" w:space="0" w:color="auto"/>
        <w:bottom w:val="none" w:sz="0" w:space="0" w:color="auto"/>
        <w:right w:val="none" w:sz="0" w:space="0" w:color="auto"/>
      </w:divBdr>
    </w:div>
    <w:div w:id="368603940">
      <w:bodyDiv w:val="1"/>
      <w:marLeft w:val="0"/>
      <w:marRight w:val="0"/>
      <w:marTop w:val="0"/>
      <w:marBottom w:val="0"/>
      <w:divBdr>
        <w:top w:val="none" w:sz="0" w:space="0" w:color="auto"/>
        <w:left w:val="none" w:sz="0" w:space="0" w:color="auto"/>
        <w:bottom w:val="none" w:sz="0" w:space="0" w:color="auto"/>
        <w:right w:val="none" w:sz="0" w:space="0" w:color="auto"/>
      </w:divBdr>
    </w:div>
    <w:div w:id="502815633">
      <w:bodyDiv w:val="1"/>
      <w:marLeft w:val="0"/>
      <w:marRight w:val="0"/>
      <w:marTop w:val="0"/>
      <w:marBottom w:val="0"/>
      <w:divBdr>
        <w:top w:val="none" w:sz="0" w:space="0" w:color="auto"/>
        <w:left w:val="none" w:sz="0" w:space="0" w:color="auto"/>
        <w:bottom w:val="none" w:sz="0" w:space="0" w:color="auto"/>
        <w:right w:val="none" w:sz="0" w:space="0" w:color="auto"/>
      </w:divBdr>
    </w:div>
    <w:div w:id="635373143">
      <w:bodyDiv w:val="1"/>
      <w:marLeft w:val="0"/>
      <w:marRight w:val="0"/>
      <w:marTop w:val="0"/>
      <w:marBottom w:val="0"/>
      <w:divBdr>
        <w:top w:val="none" w:sz="0" w:space="0" w:color="auto"/>
        <w:left w:val="none" w:sz="0" w:space="0" w:color="auto"/>
        <w:bottom w:val="none" w:sz="0" w:space="0" w:color="auto"/>
        <w:right w:val="none" w:sz="0" w:space="0" w:color="auto"/>
      </w:divBdr>
    </w:div>
    <w:div w:id="732048014">
      <w:bodyDiv w:val="1"/>
      <w:marLeft w:val="0"/>
      <w:marRight w:val="0"/>
      <w:marTop w:val="0"/>
      <w:marBottom w:val="0"/>
      <w:divBdr>
        <w:top w:val="none" w:sz="0" w:space="0" w:color="auto"/>
        <w:left w:val="none" w:sz="0" w:space="0" w:color="auto"/>
        <w:bottom w:val="none" w:sz="0" w:space="0" w:color="auto"/>
        <w:right w:val="none" w:sz="0" w:space="0" w:color="auto"/>
      </w:divBdr>
    </w:div>
    <w:div w:id="749737564">
      <w:bodyDiv w:val="1"/>
      <w:marLeft w:val="0"/>
      <w:marRight w:val="0"/>
      <w:marTop w:val="0"/>
      <w:marBottom w:val="0"/>
      <w:divBdr>
        <w:top w:val="none" w:sz="0" w:space="0" w:color="auto"/>
        <w:left w:val="none" w:sz="0" w:space="0" w:color="auto"/>
        <w:bottom w:val="none" w:sz="0" w:space="0" w:color="auto"/>
        <w:right w:val="none" w:sz="0" w:space="0" w:color="auto"/>
      </w:divBdr>
    </w:div>
    <w:div w:id="770590117">
      <w:bodyDiv w:val="1"/>
      <w:marLeft w:val="0"/>
      <w:marRight w:val="0"/>
      <w:marTop w:val="0"/>
      <w:marBottom w:val="0"/>
      <w:divBdr>
        <w:top w:val="none" w:sz="0" w:space="0" w:color="auto"/>
        <w:left w:val="none" w:sz="0" w:space="0" w:color="auto"/>
        <w:bottom w:val="none" w:sz="0" w:space="0" w:color="auto"/>
        <w:right w:val="none" w:sz="0" w:space="0" w:color="auto"/>
      </w:divBdr>
    </w:div>
    <w:div w:id="904799502">
      <w:bodyDiv w:val="1"/>
      <w:marLeft w:val="0"/>
      <w:marRight w:val="0"/>
      <w:marTop w:val="0"/>
      <w:marBottom w:val="0"/>
      <w:divBdr>
        <w:top w:val="none" w:sz="0" w:space="0" w:color="auto"/>
        <w:left w:val="none" w:sz="0" w:space="0" w:color="auto"/>
        <w:bottom w:val="none" w:sz="0" w:space="0" w:color="auto"/>
        <w:right w:val="none" w:sz="0" w:space="0" w:color="auto"/>
      </w:divBdr>
    </w:div>
    <w:div w:id="932586523">
      <w:bodyDiv w:val="1"/>
      <w:marLeft w:val="0"/>
      <w:marRight w:val="0"/>
      <w:marTop w:val="0"/>
      <w:marBottom w:val="0"/>
      <w:divBdr>
        <w:top w:val="none" w:sz="0" w:space="0" w:color="auto"/>
        <w:left w:val="none" w:sz="0" w:space="0" w:color="auto"/>
        <w:bottom w:val="none" w:sz="0" w:space="0" w:color="auto"/>
        <w:right w:val="none" w:sz="0" w:space="0" w:color="auto"/>
      </w:divBdr>
      <w:divsChild>
        <w:div w:id="82075136">
          <w:marLeft w:val="0"/>
          <w:marRight w:val="0"/>
          <w:marTop w:val="0"/>
          <w:marBottom w:val="0"/>
          <w:divBdr>
            <w:top w:val="none" w:sz="0" w:space="0" w:color="auto"/>
            <w:left w:val="none" w:sz="0" w:space="0" w:color="auto"/>
            <w:bottom w:val="none" w:sz="0" w:space="0" w:color="auto"/>
            <w:right w:val="none" w:sz="0" w:space="0" w:color="auto"/>
          </w:divBdr>
        </w:div>
      </w:divsChild>
    </w:div>
    <w:div w:id="1064445947">
      <w:bodyDiv w:val="1"/>
      <w:marLeft w:val="0"/>
      <w:marRight w:val="0"/>
      <w:marTop w:val="0"/>
      <w:marBottom w:val="0"/>
      <w:divBdr>
        <w:top w:val="none" w:sz="0" w:space="0" w:color="auto"/>
        <w:left w:val="none" w:sz="0" w:space="0" w:color="auto"/>
        <w:bottom w:val="none" w:sz="0" w:space="0" w:color="auto"/>
        <w:right w:val="none" w:sz="0" w:space="0" w:color="auto"/>
      </w:divBdr>
    </w:div>
    <w:div w:id="1090539774">
      <w:bodyDiv w:val="1"/>
      <w:marLeft w:val="0"/>
      <w:marRight w:val="0"/>
      <w:marTop w:val="0"/>
      <w:marBottom w:val="0"/>
      <w:divBdr>
        <w:top w:val="none" w:sz="0" w:space="0" w:color="auto"/>
        <w:left w:val="none" w:sz="0" w:space="0" w:color="auto"/>
        <w:bottom w:val="none" w:sz="0" w:space="0" w:color="auto"/>
        <w:right w:val="none" w:sz="0" w:space="0" w:color="auto"/>
      </w:divBdr>
    </w:div>
    <w:div w:id="1372878458">
      <w:bodyDiv w:val="1"/>
      <w:marLeft w:val="0"/>
      <w:marRight w:val="0"/>
      <w:marTop w:val="0"/>
      <w:marBottom w:val="0"/>
      <w:divBdr>
        <w:top w:val="none" w:sz="0" w:space="0" w:color="auto"/>
        <w:left w:val="none" w:sz="0" w:space="0" w:color="auto"/>
        <w:bottom w:val="none" w:sz="0" w:space="0" w:color="auto"/>
        <w:right w:val="none" w:sz="0" w:space="0" w:color="auto"/>
      </w:divBdr>
    </w:div>
    <w:div w:id="1495027351">
      <w:bodyDiv w:val="1"/>
      <w:marLeft w:val="0"/>
      <w:marRight w:val="0"/>
      <w:marTop w:val="0"/>
      <w:marBottom w:val="0"/>
      <w:divBdr>
        <w:top w:val="none" w:sz="0" w:space="0" w:color="auto"/>
        <w:left w:val="none" w:sz="0" w:space="0" w:color="auto"/>
        <w:bottom w:val="none" w:sz="0" w:space="0" w:color="auto"/>
        <w:right w:val="none" w:sz="0" w:space="0" w:color="auto"/>
      </w:divBdr>
    </w:div>
    <w:div w:id="1609585105">
      <w:bodyDiv w:val="1"/>
      <w:marLeft w:val="0"/>
      <w:marRight w:val="0"/>
      <w:marTop w:val="0"/>
      <w:marBottom w:val="0"/>
      <w:divBdr>
        <w:top w:val="none" w:sz="0" w:space="0" w:color="auto"/>
        <w:left w:val="none" w:sz="0" w:space="0" w:color="auto"/>
        <w:bottom w:val="none" w:sz="0" w:space="0" w:color="auto"/>
        <w:right w:val="none" w:sz="0" w:space="0" w:color="auto"/>
      </w:divBdr>
    </w:div>
    <w:div w:id="1684627752">
      <w:bodyDiv w:val="1"/>
      <w:marLeft w:val="0"/>
      <w:marRight w:val="0"/>
      <w:marTop w:val="0"/>
      <w:marBottom w:val="0"/>
      <w:divBdr>
        <w:top w:val="none" w:sz="0" w:space="0" w:color="auto"/>
        <w:left w:val="none" w:sz="0" w:space="0" w:color="auto"/>
        <w:bottom w:val="none" w:sz="0" w:space="0" w:color="auto"/>
        <w:right w:val="none" w:sz="0" w:space="0" w:color="auto"/>
      </w:divBdr>
    </w:div>
    <w:div w:id="1734111609">
      <w:bodyDiv w:val="1"/>
      <w:marLeft w:val="0"/>
      <w:marRight w:val="0"/>
      <w:marTop w:val="0"/>
      <w:marBottom w:val="0"/>
      <w:divBdr>
        <w:top w:val="none" w:sz="0" w:space="0" w:color="auto"/>
        <w:left w:val="none" w:sz="0" w:space="0" w:color="auto"/>
        <w:bottom w:val="none" w:sz="0" w:space="0" w:color="auto"/>
        <w:right w:val="none" w:sz="0" w:space="0" w:color="auto"/>
      </w:divBdr>
    </w:div>
    <w:div w:id="1946188845">
      <w:bodyDiv w:val="1"/>
      <w:marLeft w:val="0"/>
      <w:marRight w:val="0"/>
      <w:marTop w:val="0"/>
      <w:marBottom w:val="0"/>
      <w:divBdr>
        <w:top w:val="none" w:sz="0" w:space="0" w:color="auto"/>
        <w:left w:val="none" w:sz="0" w:space="0" w:color="auto"/>
        <w:bottom w:val="none" w:sz="0" w:space="0" w:color="auto"/>
        <w:right w:val="none" w:sz="0" w:space="0" w:color="auto"/>
      </w:divBdr>
    </w:div>
    <w:div w:id="19588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z.salary.com/salarywizard/layouthtmls/swzl_compresult_national_HC07000465.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online.onetcenter.org/find/result?s=Substance+Abus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log.aids.gov/2012/08/secretary-sebelius-approves-indicators-for-monitoring-hhs-funded-hiv-services.html" TargetMode="External"/><Relationship Id="rId2" Type="http://schemas.openxmlformats.org/officeDocument/2006/relationships/hyperlink" Target="http://www.cdc.gov/nchhstp/atlas/" TargetMode="External"/><Relationship Id="rId1" Type="http://schemas.openxmlformats.org/officeDocument/2006/relationships/hyperlink" Target="http://www.cdc.gov/hiv/librar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9625-73BC-4D0A-ADB2-F8944CE5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5205</Words>
  <Characters>30136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Disaster Technical Assistance Center Customer Satisfaction Survey</vt:lpstr>
    </vt:vector>
  </TitlesOfParts>
  <Company>DHHS</Company>
  <LinksUpToDate>false</LinksUpToDate>
  <CharactersWithSpaces>35271</CharactersWithSpaces>
  <SharedDoc>false</SharedDoc>
  <HLinks>
    <vt:vector size="24" baseType="variant">
      <vt:variant>
        <vt:i4>4653161</vt:i4>
      </vt:variant>
      <vt:variant>
        <vt:i4>12</vt:i4>
      </vt:variant>
      <vt:variant>
        <vt:i4>0</vt:i4>
      </vt:variant>
      <vt:variant>
        <vt:i4>5</vt:i4>
      </vt:variant>
      <vt:variant>
        <vt:lpwstr>mailto:DTACsurvey@icfi.com</vt:lpwstr>
      </vt:variant>
      <vt:variant>
        <vt:lpwstr/>
      </vt:variant>
      <vt:variant>
        <vt:i4>2359374</vt:i4>
      </vt:variant>
      <vt:variant>
        <vt:i4>9</vt:i4>
      </vt:variant>
      <vt:variant>
        <vt:i4>0</vt:i4>
      </vt:variant>
      <vt:variant>
        <vt:i4>5</vt:i4>
      </vt:variant>
      <vt:variant>
        <vt:lpwstr>http://swz.salary.com/salarywizard/layouthtmls/swzl_compresult_national_HC07000465.html</vt:lpwstr>
      </vt:variant>
      <vt:variant>
        <vt:lpwstr/>
      </vt:variant>
      <vt:variant>
        <vt:i4>3538982</vt:i4>
      </vt:variant>
      <vt:variant>
        <vt:i4>6</vt:i4>
      </vt:variant>
      <vt:variant>
        <vt:i4>0</vt:i4>
      </vt:variant>
      <vt:variant>
        <vt:i4>5</vt:i4>
      </vt:variant>
      <vt:variant>
        <vt:lpwstr>http://online.onetcenter.org/find/result?s=Substance+Abuse</vt:lpwstr>
      </vt:variant>
      <vt:variant>
        <vt:lpwstr/>
      </vt:variant>
      <vt:variant>
        <vt:i4>3538993</vt:i4>
      </vt:variant>
      <vt:variant>
        <vt:i4>3</vt:i4>
      </vt:variant>
      <vt:variant>
        <vt:i4>0</vt:i4>
      </vt:variant>
      <vt:variant>
        <vt:i4>5</vt:i4>
      </vt:variant>
      <vt:variant>
        <vt:lpwstr>http://www.bls.gov/ncs/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Technical Assistance Center Customer Satisfaction Survey</dc:title>
  <dc:creator>DHHS</dc:creator>
  <cp:lastModifiedBy>Windows User</cp:lastModifiedBy>
  <cp:revision>7</cp:revision>
  <cp:lastPrinted>2014-06-26T15:13:00Z</cp:lastPrinted>
  <dcterms:created xsi:type="dcterms:W3CDTF">2014-06-25T15:56:00Z</dcterms:created>
  <dcterms:modified xsi:type="dcterms:W3CDTF">2014-06-26T15:14:00Z</dcterms:modified>
</cp:coreProperties>
</file>