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5"/>
      </w:tblGrid>
      <w:tr w:rsidR="00364AC5" w:rsidRPr="00364AC5" w:rsidTr="00364AC5">
        <w:trPr>
          <w:tblCellSpacing w:w="15" w:type="dxa"/>
          <w:jc w:val="center"/>
        </w:trPr>
        <w:tc>
          <w:tcPr>
            <w:tcW w:w="0" w:type="auto"/>
            <w:hideMark/>
          </w:tcPr>
          <w:p w:rsidR="00364AC5" w:rsidRPr="00364AC5" w:rsidRDefault="00364AC5" w:rsidP="00364AC5">
            <w:pPr>
              <w:spacing w:before="100" w:beforeAutospacing="1" w:after="100" w:afterAutospacing="1" w:line="240" w:lineRule="auto"/>
              <w:jc w:val="center"/>
              <w:rPr>
                <w:rFonts w:ascii="Arial" w:eastAsia="Times New Roman" w:hAnsi="Arial" w:cs="Arial"/>
                <w:b/>
                <w:bCs/>
                <w:color w:val="FF0000"/>
                <w:sz w:val="27"/>
                <w:szCs w:val="27"/>
              </w:rPr>
            </w:pPr>
            <w:r w:rsidRPr="00364AC5">
              <w:rPr>
                <w:rFonts w:ascii="Arial" w:eastAsia="Times New Roman" w:hAnsi="Arial" w:cs="Arial"/>
                <w:b/>
                <w:bCs/>
                <w:color w:val="FF0000"/>
                <w:sz w:val="27"/>
                <w:szCs w:val="27"/>
              </w:rPr>
              <w:t>e-CFR Data is current as of October 29, 2013</w:t>
            </w:r>
          </w:p>
        </w:tc>
      </w:tr>
    </w:tbl>
    <w:p w:rsidR="00364AC5" w:rsidRPr="00364AC5" w:rsidRDefault="00364AC5" w:rsidP="00364AC5">
      <w:pPr>
        <w:spacing w:before="200" w:after="100" w:afterAutospacing="1" w:line="240" w:lineRule="auto"/>
        <w:rPr>
          <w:rFonts w:ascii="Arial" w:eastAsia="Times New Roman" w:hAnsi="Arial" w:cs="Arial"/>
          <w:sz w:val="20"/>
          <w:szCs w:val="20"/>
        </w:rPr>
      </w:pPr>
      <w:hyperlink r:id="rId5" w:history="1">
        <w:r w:rsidRPr="00364AC5">
          <w:rPr>
            <w:rFonts w:ascii="Arial" w:eastAsia="Times New Roman" w:hAnsi="Arial" w:cs="Arial"/>
            <w:color w:val="0000FF"/>
            <w:sz w:val="17"/>
            <w:szCs w:val="17"/>
          </w:rPr>
          <w:t>Browse Previous</w:t>
        </w:r>
      </w:hyperlink>
      <w:r w:rsidRPr="00364AC5">
        <w:rPr>
          <w:rFonts w:ascii="Arial" w:eastAsia="Times New Roman" w:hAnsi="Arial" w:cs="Arial"/>
          <w:sz w:val="20"/>
          <w:szCs w:val="20"/>
        </w:rPr>
        <w:t xml:space="preserve"> | </w:t>
      </w:r>
      <w:hyperlink r:id="rId6" w:history="1">
        <w:r w:rsidRPr="00364AC5">
          <w:rPr>
            <w:rFonts w:ascii="Arial" w:eastAsia="Times New Roman" w:hAnsi="Arial" w:cs="Arial"/>
            <w:color w:val="0000FF"/>
            <w:sz w:val="17"/>
            <w:szCs w:val="17"/>
          </w:rPr>
          <w:t>Browse Next</w:t>
        </w:r>
      </w:hyperlink>
    </w:p>
    <w:p w:rsidR="00364AC5" w:rsidRPr="00364AC5" w:rsidRDefault="00364AC5" w:rsidP="00364AC5">
      <w:pPr>
        <w:spacing w:before="200" w:after="100" w:afterAutospacing="1" w:line="240" w:lineRule="auto"/>
        <w:rPr>
          <w:rFonts w:ascii="Arial" w:eastAsia="Times New Roman" w:hAnsi="Arial" w:cs="Arial"/>
          <w:sz w:val="20"/>
          <w:szCs w:val="20"/>
        </w:rPr>
      </w:pPr>
      <w:r w:rsidRPr="00364AC5">
        <w:rPr>
          <w:rFonts w:ascii="Arial" w:eastAsia="Times New Roman" w:hAnsi="Arial" w:cs="Arial"/>
          <w:sz w:val="20"/>
          <w:szCs w:val="20"/>
        </w:rPr>
        <w:t xml:space="preserve">Title 30: Mineral Resources </w:t>
      </w:r>
      <w:r w:rsidRPr="00364AC5">
        <w:rPr>
          <w:rFonts w:ascii="Arial" w:eastAsia="Times New Roman" w:hAnsi="Arial" w:cs="Arial"/>
          <w:sz w:val="20"/>
          <w:szCs w:val="20"/>
        </w:rPr>
        <w:br/>
      </w:r>
      <w:hyperlink r:id="rId7" w:history="1">
        <w:r w:rsidRPr="00364AC5">
          <w:rPr>
            <w:rFonts w:ascii="Arial" w:eastAsia="Times New Roman" w:hAnsi="Arial" w:cs="Arial"/>
            <w:color w:val="0000FF"/>
            <w:sz w:val="17"/>
            <w:szCs w:val="17"/>
          </w:rPr>
          <w:t>PART 550—OIL AND GAS AND SULPHUR OPERATIONS IN THE OUTER CONTINENTAL SHELF</w:t>
        </w:r>
      </w:hyperlink>
      <w:r w:rsidRPr="00364AC5">
        <w:rPr>
          <w:rFonts w:ascii="Arial" w:eastAsia="Times New Roman" w:hAnsi="Arial" w:cs="Arial"/>
          <w:sz w:val="20"/>
          <w:szCs w:val="20"/>
        </w:rPr>
        <w:t xml:space="preserve"> </w:t>
      </w:r>
    </w:p>
    <w:p w:rsidR="00364AC5" w:rsidRPr="00364AC5" w:rsidRDefault="00364AC5" w:rsidP="00364AC5">
      <w:pPr>
        <w:spacing w:after="0" w:line="240" w:lineRule="auto"/>
        <w:jc w:val="center"/>
        <w:rPr>
          <w:rFonts w:ascii="Arial" w:eastAsia="Times New Roman" w:hAnsi="Arial" w:cs="Arial"/>
          <w:sz w:val="20"/>
          <w:szCs w:val="20"/>
        </w:rPr>
      </w:pPr>
      <w:r w:rsidRPr="00364AC5">
        <w:rPr>
          <w:rFonts w:ascii="Arial" w:eastAsia="Times New Roman" w:hAnsi="Arial" w:cs="Arial"/>
          <w:sz w:val="20"/>
          <w:szCs w:val="20"/>
        </w:rPr>
        <w:pict>
          <v:rect id="_x0000_i1025" style="width:0;height:1.5pt" o:hralign="center" o:hrstd="t" o:hr="t" fillcolor="#a0a0a0" stroked="f"/>
        </w:pict>
      </w:r>
    </w:p>
    <w:p w:rsidR="00364AC5" w:rsidRPr="00364AC5" w:rsidRDefault="00364AC5" w:rsidP="00364AC5">
      <w:pPr>
        <w:spacing w:before="200" w:after="100" w:line="240" w:lineRule="auto"/>
        <w:outlineLvl w:val="1"/>
        <w:rPr>
          <w:rFonts w:ascii="Arial" w:eastAsia="Times New Roman" w:hAnsi="Arial" w:cs="Arial"/>
          <w:b/>
          <w:bCs/>
          <w:sz w:val="27"/>
          <w:szCs w:val="27"/>
        </w:rPr>
      </w:pPr>
      <w:bookmarkStart w:id="0" w:name="_top"/>
      <w:bookmarkEnd w:id="0"/>
      <w:r w:rsidRPr="00364AC5">
        <w:rPr>
          <w:rFonts w:ascii="Arial" w:eastAsia="Times New Roman" w:hAnsi="Arial" w:cs="Arial"/>
          <w:b/>
          <w:bCs/>
          <w:sz w:val="27"/>
          <w:szCs w:val="27"/>
        </w:rPr>
        <w:t>Subpart C—Pollution Prevention and Control</w:t>
      </w:r>
    </w:p>
    <w:p w:rsidR="00364AC5" w:rsidRPr="00364AC5" w:rsidRDefault="00364AC5" w:rsidP="00364AC5">
      <w:pPr>
        <w:spacing w:after="0" w:line="240" w:lineRule="auto"/>
        <w:jc w:val="center"/>
        <w:rPr>
          <w:rFonts w:ascii="Arial" w:eastAsia="Times New Roman" w:hAnsi="Arial" w:cs="Arial"/>
          <w:sz w:val="20"/>
          <w:szCs w:val="20"/>
        </w:rPr>
      </w:pPr>
      <w:r w:rsidRPr="00364AC5">
        <w:rPr>
          <w:rFonts w:ascii="Arial" w:eastAsia="Times New Roman" w:hAnsi="Arial" w:cs="Arial"/>
          <w:sz w:val="20"/>
          <w:szCs w:val="20"/>
        </w:rPr>
        <w:pict>
          <v:rect id="_x0000_i1026" style="width:0;height:1.5pt" o:hralign="center" o:hrstd="t" o:hr="t" fillcolor="#a0a0a0" stroked="f"/>
        </w:pict>
      </w:r>
    </w:p>
    <w:p w:rsidR="00364AC5" w:rsidRPr="00364AC5" w:rsidRDefault="00364AC5" w:rsidP="00364AC5">
      <w:pPr>
        <w:spacing w:after="0" w:line="240" w:lineRule="auto"/>
        <w:jc w:val="center"/>
        <w:rPr>
          <w:rFonts w:ascii="Arial" w:eastAsia="Times New Roman" w:hAnsi="Arial" w:cs="Arial"/>
          <w:sz w:val="20"/>
          <w:szCs w:val="20"/>
        </w:rPr>
      </w:pPr>
      <w:r w:rsidRPr="00364AC5">
        <w:rPr>
          <w:rFonts w:ascii="Arial" w:eastAsia="Times New Roman" w:hAnsi="Arial" w:cs="Arial"/>
          <w:b/>
          <w:bCs/>
          <w:sz w:val="20"/>
          <w:szCs w:val="20"/>
        </w:rPr>
        <w:t>Contents</w:t>
      </w:r>
      <w:r w:rsidRPr="00364AC5">
        <w:rPr>
          <w:rFonts w:ascii="Arial" w:eastAsia="Times New Roman" w:hAnsi="Arial" w:cs="Arial"/>
          <w:sz w:val="20"/>
          <w:szCs w:val="20"/>
        </w:rPr>
        <w:br/>
      </w:r>
      <w:hyperlink r:id="rId8" w:anchor="30:2.0.3.5.2.3.147.1" w:history="1">
        <w:r w:rsidRPr="00364AC5">
          <w:rPr>
            <w:rFonts w:ascii="Arial" w:eastAsia="Times New Roman" w:hAnsi="Arial" w:cs="Arial"/>
            <w:color w:val="0000FF"/>
            <w:sz w:val="17"/>
            <w:szCs w:val="17"/>
          </w:rPr>
          <w:t>§§550.300-550.301   [Reserved]</w:t>
        </w:r>
      </w:hyperlink>
      <w:r w:rsidRPr="00364AC5">
        <w:rPr>
          <w:rFonts w:ascii="Arial" w:eastAsia="Times New Roman" w:hAnsi="Arial" w:cs="Arial"/>
          <w:sz w:val="20"/>
          <w:szCs w:val="20"/>
        </w:rPr>
        <w:br/>
      </w:r>
      <w:hyperlink r:id="rId9" w:anchor="30:2.0.3.5.2.3.147.2" w:history="1">
        <w:r w:rsidRPr="00364AC5">
          <w:rPr>
            <w:rFonts w:ascii="Arial" w:eastAsia="Times New Roman" w:hAnsi="Arial" w:cs="Arial"/>
            <w:color w:val="0000FF"/>
            <w:sz w:val="17"/>
            <w:szCs w:val="17"/>
          </w:rPr>
          <w:t>§550.302   Definitions concerning air quality.</w:t>
        </w:r>
      </w:hyperlink>
      <w:r w:rsidRPr="00364AC5">
        <w:rPr>
          <w:rFonts w:ascii="Arial" w:eastAsia="Times New Roman" w:hAnsi="Arial" w:cs="Arial"/>
          <w:sz w:val="20"/>
          <w:szCs w:val="20"/>
        </w:rPr>
        <w:br/>
      </w:r>
      <w:hyperlink r:id="rId10" w:anchor="30:2.0.3.5.2.3.147.3" w:history="1">
        <w:r w:rsidRPr="00364AC5">
          <w:rPr>
            <w:rFonts w:ascii="Arial" w:eastAsia="Times New Roman" w:hAnsi="Arial" w:cs="Arial"/>
            <w:color w:val="0000FF"/>
            <w:sz w:val="17"/>
            <w:szCs w:val="17"/>
          </w:rPr>
          <w:t>§550.303   Facilities described in a new or revised Exploration Plan or Development and Production Plan.</w:t>
        </w:r>
      </w:hyperlink>
      <w:r w:rsidRPr="00364AC5">
        <w:rPr>
          <w:rFonts w:ascii="Arial" w:eastAsia="Times New Roman" w:hAnsi="Arial" w:cs="Arial"/>
          <w:sz w:val="20"/>
          <w:szCs w:val="20"/>
        </w:rPr>
        <w:br/>
      </w:r>
      <w:hyperlink r:id="rId11" w:anchor="30:2.0.3.5.2.3.147.4" w:history="1">
        <w:r w:rsidRPr="00364AC5">
          <w:rPr>
            <w:rFonts w:ascii="Arial" w:eastAsia="Times New Roman" w:hAnsi="Arial" w:cs="Arial"/>
            <w:color w:val="0000FF"/>
            <w:sz w:val="17"/>
            <w:szCs w:val="17"/>
          </w:rPr>
          <w:t>§550.304   Existing facilities.</w:t>
        </w:r>
      </w:hyperlink>
    </w:p>
    <w:p w:rsidR="00364AC5" w:rsidRPr="00364AC5" w:rsidRDefault="00364AC5" w:rsidP="00364AC5">
      <w:pPr>
        <w:spacing w:after="0" w:line="240" w:lineRule="auto"/>
        <w:jc w:val="center"/>
        <w:rPr>
          <w:rFonts w:ascii="Arial" w:eastAsia="Times New Roman" w:hAnsi="Arial" w:cs="Arial"/>
          <w:sz w:val="20"/>
          <w:szCs w:val="20"/>
        </w:rPr>
      </w:pPr>
      <w:r w:rsidRPr="00364AC5">
        <w:rPr>
          <w:rFonts w:ascii="Arial" w:eastAsia="Times New Roman" w:hAnsi="Arial" w:cs="Arial"/>
          <w:sz w:val="20"/>
          <w:szCs w:val="20"/>
        </w:rPr>
        <w:pict>
          <v:rect id="_x0000_i1027" style="width:0;height:1.5pt" o:hralign="center" o:hrstd="t" o:hr="t" fillcolor="#a0a0a0" stroked="f"/>
        </w:pict>
      </w:r>
    </w:p>
    <w:p w:rsidR="00364AC5" w:rsidRPr="00364AC5" w:rsidRDefault="00364AC5" w:rsidP="00364AC5">
      <w:pPr>
        <w:spacing w:before="200" w:after="100" w:afterAutospacing="1" w:line="240" w:lineRule="auto"/>
        <w:rPr>
          <w:rFonts w:ascii="Arial" w:eastAsia="Times New Roman" w:hAnsi="Arial" w:cs="Arial"/>
          <w:sz w:val="20"/>
          <w:szCs w:val="20"/>
        </w:rPr>
      </w:pPr>
      <w:hyperlink r:id="rId12" w:anchor="_top" w:history="1">
        <w:r>
          <w:rPr>
            <w:rFonts w:ascii="Arial" w:eastAsia="Times New Roman" w:hAnsi="Arial" w:cs="Arial"/>
            <w:noProof/>
            <w:color w:val="0000FF"/>
            <w:sz w:val="17"/>
            <w:szCs w:val="17"/>
          </w:rPr>
          <w:drawing>
            <wp:inline distT="0" distB="0" distL="0" distR="0">
              <wp:extent cx="152400" cy="152400"/>
              <wp:effectExtent l="0" t="0" r="0" b="0"/>
              <wp:docPr id="5" name="Picture 5" descr="return arrow">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urn arrow">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64AC5">
          <w:rPr>
            <w:rFonts w:ascii="Arial" w:eastAsia="Times New Roman" w:hAnsi="Arial" w:cs="Arial"/>
            <w:color w:val="0000FF"/>
            <w:sz w:val="17"/>
            <w:szCs w:val="17"/>
          </w:rPr>
          <w:t>Back to Top</w:t>
        </w:r>
      </w:hyperlink>
    </w:p>
    <w:p w:rsidR="00364AC5" w:rsidRPr="00364AC5" w:rsidRDefault="00364AC5" w:rsidP="00364AC5">
      <w:pPr>
        <w:spacing w:before="200" w:after="100" w:line="240" w:lineRule="auto"/>
        <w:outlineLvl w:val="1"/>
        <w:rPr>
          <w:rFonts w:ascii="Arial" w:eastAsia="Times New Roman" w:hAnsi="Arial" w:cs="Arial"/>
          <w:b/>
          <w:bCs/>
          <w:sz w:val="20"/>
          <w:szCs w:val="20"/>
        </w:rPr>
      </w:pPr>
      <w:bookmarkStart w:id="1" w:name="30:2.0.3.5.2.3.147.1"/>
      <w:bookmarkEnd w:id="1"/>
      <w:r w:rsidRPr="00364AC5">
        <w:rPr>
          <w:rFonts w:ascii="Arial" w:eastAsia="Times New Roman" w:hAnsi="Arial" w:cs="Arial"/>
          <w:b/>
          <w:bCs/>
          <w:sz w:val="20"/>
          <w:szCs w:val="20"/>
        </w:rPr>
        <w:t>§§550.300-550.301   [Reserved]</w:t>
      </w:r>
    </w:p>
    <w:p w:rsidR="00364AC5" w:rsidRPr="00364AC5" w:rsidRDefault="00364AC5" w:rsidP="00364AC5">
      <w:pPr>
        <w:spacing w:before="200" w:after="100" w:afterAutospacing="1" w:line="240" w:lineRule="auto"/>
        <w:rPr>
          <w:rFonts w:ascii="Arial" w:eastAsia="Times New Roman" w:hAnsi="Arial" w:cs="Arial"/>
          <w:sz w:val="20"/>
          <w:szCs w:val="20"/>
        </w:rPr>
      </w:pPr>
      <w:hyperlink r:id="rId15" w:anchor="_top" w:history="1">
        <w:r>
          <w:rPr>
            <w:rFonts w:ascii="Arial" w:eastAsia="Times New Roman" w:hAnsi="Arial" w:cs="Arial"/>
            <w:noProof/>
            <w:color w:val="0000FF"/>
            <w:sz w:val="17"/>
            <w:szCs w:val="17"/>
          </w:rPr>
          <w:drawing>
            <wp:inline distT="0" distB="0" distL="0" distR="0">
              <wp:extent cx="152400" cy="152400"/>
              <wp:effectExtent l="0" t="0" r="0" b="0"/>
              <wp:docPr id="4" name="Picture 4" descr="return arrow">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64AC5">
          <w:rPr>
            <w:rFonts w:ascii="Arial" w:eastAsia="Times New Roman" w:hAnsi="Arial" w:cs="Arial"/>
            <w:color w:val="0000FF"/>
            <w:sz w:val="17"/>
            <w:szCs w:val="17"/>
          </w:rPr>
          <w:t>Back to Top</w:t>
        </w:r>
      </w:hyperlink>
    </w:p>
    <w:p w:rsidR="00364AC5" w:rsidRPr="00364AC5" w:rsidRDefault="00364AC5" w:rsidP="00364AC5">
      <w:pPr>
        <w:spacing w:before="200" w:after="100" w:line="240" w:lineRule="auto"/>
        <w:outlineLvl w:val="1"/>
        <w:rPr>
          <w:rFonts w:ascii="Arial" w:eastAsia="Times New Roman" w:hAnsi="Arial" w:cs="Arial"/>
          <w:b/>
          <w:bCs/>
          <w:sz w:val="20"/>
          <w:szCs w:val="20"/>
        </w:rPr>
      </w:pPr>
      <w:bookmarkStart w:id="2" w:name="30:2.0.3.5.2.3.147.2"/>
      <w:bookmarkEnd w:id="2"/>
      <w:r w:rsidRPr="00364AC5">
        <w:rPr>
          <w:rFonts w:ascii="Arial" w:eastAsia="Times New Roman" w:hAnsi="Arial" w:cs="Arial"/>
          <w:b/>
          <w:bCs/>
          <w:sz w:val="20"/>
          <w:szCs w:val="20"/>
        </w:rPr>
        <w:t>§550.302   Definitions concerning air quality.</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For purposes of §§550.303 and 550.304 of this part:</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i/>
          <w:iCs/>
          <w:sz w:val="20"/>
          <w:szCs w:val="20"/>
        </w:rPr>
        <w:t>Air pollutant</w:t>
      </w:r>
      <w:r w:rsidRPr="00364AC5">
        <w:rPr>
          <w:rFonts w:ascii="Arial" w:eastAsia="Times New Roman" w:hAnsi="Arial" w:cs="Arial"/>
          <w:sz w:val="20"/>
          <w:szCs w:val="20"/>
        </w:rPr>
        <w:t xml:space="preserve"> means any combination of agents for which the Environmental Protection Agency (EPA) has established, pursuant to section 109 of the Clean Air Act, national primary or secondary ambient air quality standards.</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i/>
          <w:iCs/>
          <w:sz w:val="20"/>
          <w:szCs w:val="20"/>
        </w:rPr>
        <w:t>Attainment area</w:t>
      </w:r>
      <w:r w:rsidRPr="00364AC5">
        <w:rPr>
          <w:rFonts w:ascii="Arial" w:eastAsia="Times New Roman" w:hAnsi="Arial" w:cs="Arial"/>
          <w:sz w:val="20"/>
          <w:szCs w:val="20"/>
        </w:rPr>
        <w:t xml:space="preserve"> means, for any air pollutant, an area which is shown by monitored data or which is calculated by air quality modeling (or other methods determined by the Administrator of EPA to be reliable) not to exceed any primary or secondary ambient air quality standards established by EPA.</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i/>
          <w:iCs/>
          <w:sz w:val="20"/>
          <w:szCs w:val="20"/>
        </w:rPr>
        <w:t>Best available control technology (BACT)</w:t>
      </w:r>
      <w:r w:rsidRPr="00364AC5">
        <w:rPr>
          <w:rFonts w:ascii="Arial" w:eastAsia="Times New Roman" w:hAnsi="Arial" w:cs="Arial"/>
          <w:sz w:val="20"/>
          <w:szCs w:val="20"/>
        </w:rPr>
        <w:t xml:space="preserve"> means an emission limitation based on the maximum degree of reduction for each air pollutant subject to regulation, taking into account energy, environmental and economic impacts, and other costs. The BACT shall be verified on a case-by-case basis by the Regional Supervisor and may include reductions achieved through the application of processes, systems, and techniques for the control of each air pollutant.</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i/>
          <w:iCs/>
          <w:sz w:val="20"/>
          <w:szCs w:val="20"/>
        </w:rPr>
        <w:t>Emission offsets</w:t>
      </w:r>
      <w:r w:rsidRPr="00364AC5">
        <w:rPr>
          <w:rFonts w:ascii="Arial" w:eastAsia="Times New Roman" w:hAnsi="Arial" w:cs="Arial"/>
          <w:sz w:val="20"/>
          <w:szCs w:val="20"/>
        </w:rPr>
        <w:t xml:space="preserve"> mean emission reductions obtained from facilities, either onshore or offshore, other than the facility or facilities covered by the proposed Exploration Plan or Development and Production Plan.</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i/>
          <w:iCs/>
          <w:sz w:val="20"/>
          <w:szCs w:val="20"/>
        </w:rPr>
        <w:t>Existing facility</w:t>
      </w:r>
      <w:r w:rsidRPr="00364AC5">
        <w:rPr>
          <w:rFonts w:ascii="Arial" w:eastAsia="Times New Roman" w:hAnsi="Arial" w:cs="Arial"/>
          <w:sz w:val="20"/>
          <w:szCs w:val="20"/>
        </w:rPr>
        <w:t xml:space="preserve"> is an OCS facility described in an Exploration Plan or a Development and Production Plan submitted or approved prior to June 2, 1980.</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i/>
          <w:iCs/>
          <w:sz w:val="20"/>
          <w:szCs w:val="20"/>
        </w:rPr>
        <w:t>Facility</w:t>
      </w:r>
      <w:r w:rsidRPr="00364AC5">
        <w:rPr>
          <w:rFonts w:ascii="Arial" w:eastAsia="Times New Roman" w:hAnsi="Arial" w:cs="Arial"/>
          <w:sz w:val="20"/>
          <w:szCs w:val="20"/>
        </w:rPr>
        <w:t xml:space="preserve"> means any installation or device permanently or temporarily attached to the seabed which is used for exploration, development, and production activities for oil, gas, or </w:t>
      </w:r>
      <w:proofErr w:type="spellStart"/>
      <w:r w:rsidRPr="00364AC5">
        <w:rPr>
          <w:rFonts w:ascii="Arial" w:eastAsia="Times New Roman" w:hAnsi="Arial" w:cs="Arial"/>
          <w:sz w:val="20"/>
          <w:szCs w:val="20"/>
        </w:rPr>
        <w:t>sulphur</w:t>
      </w:r>
      <w:proofErr w:type="spellEnd"/>
      <w:r w:rsidRPr="00364AC5">
        <w:rPr>
          <w:rFonts w:ascii="Arial" w:eastAsia="Times New Roman" w:hAnsi="Arial" w:cs="Arial"/>
          <w:sz w:val="20"/>
          <w:szCs w:val="20"/>
        </w:rPr>
        <w:t xml:space="preserve"> and which emits or has the potential to emit any air pollutant from one or more sources. All equipment directly associated with the installation or device shall be considered part of a single facility if the equipment is dependent on, or </w:t>
      </w:r>
      <w:r w:rsidRPr="00364AC5">
        <w:rPr>
          <w:rFonts w:ascii="Arial" w:eastAsia="Times New Roman" w:hAnsi="Arial" w:cs="Arial"/>
          <w:sz w:val="20"/>
          <w:szCs w:val="20"/>
        </w:rPr>
        <w:lastRenderedPageBreak/>
        <w:t xml:space="preserve">affects the processes of, the installation or device. During production, multiple installations or devices will be considered to be a single facility if the installations or devices are directly related to the production of oil, gas, or </w:t>
      </w:r>
      <w:proofErr w:type="spellStart"/>
      <w:r w:rsidRPr="00364AC5">
        <w:rPr>
          <w:rFonts w:ascii="Arial" w:eastAsia="Times New Roman" w:hAnsi="Arial" w:cs="Arial"/>
          <w:sz w:val="20"/>
          <w:szCs w:val="20"/>
        </w:rPr>
        <w:t>sulphur</w:t>
      </w:r>
      <w:proofErr w:type="spellEnd"/>
      <w:r w:rsidRPr="00364AC5">
        <w:rPr>
          <w:rFonts w:ascii="Arial" w:eastAsia="Times New Roman" w:hAnsi="Arial" w:cs="Arial"/>
          <w:sz w:val="20"/>
          <w:szCs w:val="20"/>
        </w:rPr>
        <w:t xml:space="preserve"> at a single site. Any vessel used to transfer production from an offshore facility shall be considered part of the facility while physically attached to it.</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i/>
          <w:iCs/>
          <w:sz w:val="20"/>
          <w:szCs w:val="20"/>
        </w:rPr>
        <w:t>Nonattainment area</w:t>
      </w:r>
      <w:r w:rsidRPr="00364AC5">
        <w:rPr>
          <w:rFonts w:ascii="Arial" w:eastAsia="Times New Roman" w:hAnsi="Arial" w:cs="Arial"/>
          <w:sz w:val="20"/>
          <w:szCs w:val="20"/>
        </w:rPr>
        <w:t xml:space="preserve"> means, for any air pollutant, an area which is shown by monitored data or which is calculated by air quality modeling (or other methods determined by the Administrator of EPA to be reliable) to exceed any primary or secondary ambient air quality standard established by EPA.</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i/>
          <w:iCs/>
          <w:sz w:val="20"/>
          <w:szCs w:val="20"/>
        </w:rPr>
        <w:t>Projected emissions</w:t>
      </w:r>
      <w:r w:rsidRPr="00364AC5">
        <w:rPr>
          <w:rFonts w:ascii="Arial" w:eastAsia="Times New Roman" w:hAnsi="Arial" w:cs="Arial"/>
          <w:sz w:val="20"/>
          <w:szCs w:val="20"/>
        </w:rPr>
        <w:t xml:space="preserve"> mean emissions, either controlled or uncontrolled, from a source(s).</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i/>
          <w:iCs/>
          <w:sz w:val="20"/>
          <w:szCs w:val="20"/>
        </w:rPr>
        <w:t>Source</w:t>
      </w:r>
      <w:r w:rsidRPr="00364AC5">
        <w:rPr>
          <w:rFonts w:ascii="Arial" w:eastAsia="Times New Roman" w:hAnsi="Arial" w:cs="Arial"/>
          <w:sz w:val="20"/>
          <w:szCs w:val="20"/>
        </w:rPr>
        <w:t xml:space="preserve"> means an emission point. Several sources may be included within a single facility.</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i/>
          <w:iCs/>
          <w:sz w:val="20"/>
          <w:szCs w:val="20"/>
        </w:rPr>
        <w:t>Temporary facility</w:t>
      </w:r>
      <w:r w:rsidRPr="00364AC5">
        <w:rPr>
          <w:rFonts w:ascii="Arial" w:eastAsia="Times New Roman" w:hAnsi="Arial" w:cs="Arial"/>
          <w:sz w:val="20"/>
          <w:szCs w:val="20"/>
        </w:rPr>
        <w:t xml:space="preserve"> means activities associated with the construction of platforms offshore or with facilities related to exploration for or development of offshore oil and gas resources which are conducted in one location for less than 3 years.</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i/>
          <w:iCs/>
          <w:sz w:val="20"/>
          <w:szCs w:val="20"/>
        </w:rPr>
        <w:t>Volatile organic compound (VOC)</w:t>
      </w:r>
      <w:r w:rsidRPr="00364AC5">
        <w:rPr>
          <w:rFonts w:ascii="Arial" w:eastAsia="Times New Roman" w:hAnsi="Arial" w:cs="Arial"/>
          <w:sz w:val="20"/>
          <w:szCs w:val="20"/>
        </w:rPr>
        <w:t xml:space="preserve"> means any organic compound which is emitted to the atmosphere as a vapor. The unreactive compounds are exempt from the above definition.</w:t>
      </w:r>
    </w:p>
    <w:p w:rsidR="00364AC5" w:rsidRPr="00364AC5" w:rsidRDefault="00364AC5" w:rsidP="00364AC5">
      <w:pPr>
        <w:spacing w:before="200" w:after="100" w:afterAutospacing="1" w:line="240" w:lineRule="auto"/>
        <w:rPr>
          <w:rFonts w:ascii="Arial" w:eastAsia="Times New Roman" w:hAnsi="Arial" w:cs="Arial"/>
          <w:sz w:val="20"/>
          <w:szCs w:val="20"/>
        </w:rPr>
      </w:pPr>
      <w:hyperlink r:id="rId16" w:anchor="_top" w:history="1">
        <w:r>
          <w:rPr>
            <w:rFonts w:ascii="Arial" w:eastAsia="Times New Roman" w:hAnsi="Arial" w:cs="Arial"/>
            <w:noProof/>
            <w:color w:val="0000FF"/>
            <w:sz w:val="17"/>
            <w:szCs w:val="17"/>
          </w:rPr>
          <w:drawing>
            <wp:inline distT="0" distB="0" distL="0" distR="0">
              <wp:extent cx="152400" cy="152400"/>
              <wp:effectExtent l="0" t="0" r="0" b="0"/>
              <wp:docPr id="3" name="Picture 3" descr="return arrow">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64AC5">
          <w:rPr>
            <w:rFonts w:ascii="Arial" w:eastAsia="Times New Roman" w:hAnsi="Arial" w:cs="Arial"/>
            <w:color w:val="0000FF"/>
            <w:sz w:val="17"/>
            <w:szCs w:val="17"/>
          </w:rPr>
          <w:t>Back to Top</w:t>
        </w:r>
      </w:hyperlink>
    </w:p>
    <w:p w:rsidR="00364AC5" w:rsidRPr="00364AC5" w:rsidRDefault="00364AC5" w:rsidP="00364AC5">
      <w:pPr>
        <w:spacing w:before="200" w:after="100" w:line="240" w:lineRule="auto"/>
        <w:outlineLvl w:val="1"/>
        <w:rPr>
          <w:rFonts w:ascii="Arial" w:eastAsia="Times New Roman" w:hAnsi="Arial" w:cs="Arial"/>
          <w:b/>
          <w:bCs/>
          <w:sz w:val="20"/>
          <w:szCs w:val="20"/>
        </w:rPr>
      </w:pPr>
      <w:bookmarkStart w:id="3" w:name="30:2.0.3.5.2.3.147.3"/>
      <w:bookmarkEnd w:id="3"/>
      <w:r w:rsidRPr="00364AC5">
        <w:rPr>
          <w:rFonts w:ascii="Arial" w:eastAsia="Times New Roman" w:hAnsi="Arial" w:cs="Arial"/>
          <w:b/>
          <w:bCs/>
          <w:sz w:val="20"/>
          <w:szCs w:val="20"/>
        </w:rPr>
        <w:t>§550.303   Facilities described in a new or revised Exploration Plan or Development and Production Plan.</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w:t>
      </w:r>
      <w:proofErr w:type="gramStart"/>
      <w:r w:rsidRPr="00364AC5">
        <w:rPr>
          <w:rFonts w:ascii="Arial" w:eastAsia="Times New Roman" w:hAnsi="Arial" w:cs="Arial"/>
          <w:sz w:val="20"/>
          <w:szCs w:val="20"/>
        </w:rPr>
        <w:t>a</w:t>
      </w:r>
      <w:proofErr w:type="gramEnd"/>
      <w:r w:rsidRPr="00364AC5">
        <w:rPr>
          <w:rFonts w:ascii="Arial" w:eastAsia="Times New Roman" w:hAnsi="Arial" w:cs="Arial"/>
          <w:sz w:val="20"/>
          <w:szCs w:val="20"/>
        </w:rPr>
        <w:t xml:space="preserve">) </w:t>
      </w:r>
      <w:r w:rsidRPr="00364AC5">
        <w:rPr>
          <w:rFonts w:ascii="Arial" w:eastAsia="Times New Roman" w:hAnsi="Arial" w:cs="Arial"/>
          <w:i/>
          <w:iCs/>
          <w:sz w:val="20"/>
          <w:szCs w:val="20"/>
        </w:rPr>
        <w:t>New plans.</w:t>
      </w:r>
      <w:r w:rsidRPr="00364AC5">
        <w:rPr>
          <w:rFonts w:ascii="Arial" w:eastAsia="Times New Roman" w:hAnsi="Arial" w:cs="Arial"/>
          <w:sz w:val="20"/>
          <w:szCs w:val="20"/>
        </w:rPr>
        <w:t xml:space="preserve"> All Exploration Plans and Development and Production Plans shall include the information required to make the necessary findings under paragraphs (d) through (</w:t>
      </w:r>
      <w:proofErr w:type="spellStart"/>
      <w:r w:rsidRPr="00364AC5">
        <w:rPr>
          <w:rFonts w:ascii="Arial" w:eastAsia="Times New Roman" w:hAnsi="Arial" w:cs="Arial"/>
          <w:sz w:val="20"/>
          <w:szCs w:val="20"/>
        </w:rPr>
        <w:t>i</w:t>
      </w:r>
      <w:proofErr w:type="spellEnd"/>
      <w:r w:rsidRPr="00364AC5">
        <w:rPr>
          <w:rFonts w:ascii="Arial" w:eastAsia="Times New Roman" w:hAnsi="Arial" w:cs="Arial"/>
          <w:sz w:val="20"/>
          <w:szCs w:val="20"/>
        </w:rPr>
        <w:t>) of this section, and the lessee shall comply with the requirements of this section as necessary.</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 xml:space="preserve">(b) </w:t>
      </w:r>
      <w:r w:rsidRPr="00364AC5">
        <w:rPr>
          <w:rFonts w:ascii="Arial" w:eastAsia="Times New Roman" w:hAnsi="Arial" w:cs="Arial"/>
          <w:i/>
          <w:iCs/>
          <w:sz w:val="20"/>
          <w:szCs w:val="20"/>
        </w:rPr>
        <w:t>Applicability of §550.303 to existing facilities.</w:t>
      </w:r>
      <w:r w:rsidRPr="00364AC5">
        <w:rPr>
          <w:rFonts w:ascii="Arial" w:eastAsia="Times New Roman" w:hAnsi="Arial" w:cs="Arial"/>
          <w:sz w:val="20"/>
          <w:szCs w:val="20"/>
        </w:rPr>
        <w:t xml:space="preserve"> (1) The Regional Supervisor may review any Exploration Plan or Development and Production Plan to determine whether any facility described in the plan should be subject to review under this section and has the potential to significantly affect the air quality of an onshore area. To make these decisions, the Regional Supervisor shall consider the distance of the facility from shore, the size of the facility, the number of sources planned for the facility and their operational status, and the air quality status of the onshore area.</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(2) For a facility identified by the Regional Supervisor in paragraph (b)(1) of this section, the Regional Supervisor shall require the lessee to refer to the information required in §550.218 or §550.249 of this part and to submit only that information required to make the necessary findings under paragraphs (d) through (</w:t>
      </w:r>
      <w:proofErr w:type="spellStart"/>
      <w:r w:rsidRPr="00364AC5">
        <w:rPr>
          <w:rFonts w:ascii="Arial" w:eastAsia="Times New Roman" w:hAnsi="Arial" w:cs="Arial"/>
          <w:sz w:val="20"/>
          <w:szCs w:val="20"/>
        </w:rPr>
        <w:t>i</w:t>
      </w:r>
      <w:proofErr w:type="spellEnd"/>
      <w:r w:rsidRPr="00364AC5">
        <w:rPr>
          <w:rFonts w:ascii="Arial" w:eastAsia="Times New Roman" w:hAnsi="Arial" w:cs="Arial"/>
          <w:sz w:val="20"/>
          <w:szCs w:val="20"/>
        </w:rPr>
        <w:t>) of this section. The lessee shall submit this information within 120 days of the Regional Supervisor's determination or within a longer period of time at the discretion of the Regional Supervisor. The lessee shall comply with the requirements of this section as necessary.</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 xml:space="preserve">(c) </w:t>
      </w:r>
      <w:r w:rsidRPr="00364AC5">
        <w:rPr>
          <w:rFonts w:ascii="Arial" w:eastAsia="Times New Roman" w:hAnsi="Arial" w:cs="Arial"/>
          <w:i/>
          <w:iCs/>
          <w:sz w:val="20"/>
          <w:szCs w:val="20"/>
        </w:rPr>
        <w:t>Revised facilities.</w:t>
      </w:r>
      <w:r w:rsidRPr="00364AC5">
        <w:rPr>
          <w:rFonts w:ascii="Arial" w:eastAsia="Times New Roman" w:hAnsi="Arial" w:cs="Arial"/>
          <w:sz w:val="20"/>
          <w:szCs w:val="20"/>
        </w:rPr>
        <w:t xml:space="preserve"> All revised Exploration Plans and Development and Production Plans shall include the information required to make the necessary findings under paragraphs (d) through (</w:t>
      </w:r>
      <w:proofErr w:type="spellStart"/>
      <w:r w:rsidRPr="00364AC5">
        <w:rPr>
          <w:rFonts w:ascii="Arial" w:eastAsia="Times New Roman" w:hAnsi="Arial" w:cs="Arial"/>
          <w:sz w:val="20"/>
          <w:szCs w:val="20"/>
        </w:rPr>
        <w:t>i</w:t>
      </w:r>
      <w:proofErr w:type="spellEnd"/>
      <w:r w:rsidRPr="00364AC5">
        <w:rPr>
          <w:rFonts w:ascii="Arial" w:eastAsia="Times New Roman" w:hAnsi="Arial" w:cs="Arial"/>
          <w:sz w:val="20"/>
          <w:szCs w:val="20"/>
        </w:rPr>
        <w:t>) of this section. The lessee shall comply with the requirements of this section as necessary.</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 xml:space="preserve">(d) </w:t>
      </w:r>
      <w:r w:rsidRPr="00364AC5">
        <w:rPr>
          <w:rFonts w:ascii="Arial" w:eastAsia="Times New Roman" w:hAnsi="Arial" w:cs="Arial"/>
          <w:i/>
          <w:iCs/>
          <w:sz w:val="20"/>
          <w:szCs w:val="20"/>
        </w:rPr>
        <w:t>Exemption formulas.</w:t>
      </w:r>
      <w:r w:rsidRPr="00364AC5">
        <w:rPr>
          <w:rFonts w:ascii="Arial" w:eastAsia="Times New Roman" w:hAnsi="Arial" w:cs="Arial"/>
          <w:sz w:val="20"/>
          <w:szCs w:val="20"/>
        </w:rPr>
        <w:t xml:space="preserve"> To determine whether a facility described in a new, modified, or revised Exploration Plan or Development and Production Plan is exempt from further air quality review, the lessee shall use the highest annual-total amount of emissions from the facility for each air pollutant calculated in §550.249(a) or §550.218(a) of this part and compare these emissions to the emission exemption amount “E” for each air pollutant calculated using the following formulas: E=3400D</w:t>
      </w:r>
      <w:r w:rsidRPr="00364AC5">
        <w:rPr>
          <w:rFonts w:ascii="Arial" w:eastAsia="Times New Roman" w:hAnsi="Arial" w:cs="Arial"/>
          <w:sz w:val="14"/>
          <w:szCs w:val="14"/>
          <w:vertAlign w:val="superscript"/>
        </w:rPr>
        <w:t>2/3</w:t>
      </w:r>
      <w:r w:rsidRPr="00364AC5">
        <w:rPr>
          <w:rFonts w:ascii="Arial" w:eastAsia="Times New Roman" w:hAnsi="Arial" w:cs="Arial"/>
          <w:sz w:val="20"/>
          <w:szCs w:val="20"/>
        </w:rPr>
        <w:t xml:space="preserve"> for carbon monoxide (CO); and E=33.3D for total suspended particulates (TSP), </w:t>
      </w:r>
      <w:proofErr w:type="spellStart"/>
      <w:r w:rsidRPr="00364AC5">
        <w:rPr>
          <w:rFonts w:ascii="Arial" w:eastAsia="Times New Roman" w:hAnsi="Arial" w:cs="Arial"/>
          <w:sz w:val="20"/>
          <w:szCs w:val="20"/>
        </w:rPr>
        <w:t>sulphur</w:t>
      </w:r>
      <w:proofErr w:type="spellEnd"/>
      <w:r w:rsidRPr="00364AC5">
        <w:rPr>
          <w:rFonts w:ascii="Arial" w:eastAsia="Times New Roman" w:hAnsi="Arial" w:cs="Arial"/>
          <w:sz w:val="20"/>
          <w:szCs w:val="20"/>
        </w:rPr>
        <w:t xml:space="preserve"> dioxide (SO</w:t>
      </w:r>
      <w:r w:rsidRPr="00364AC5">
        <w:rPr>
          <w:rFonts w:ascii="Arial" w:eastAsia="Times New Roman" w:hAnsi="Arial" w:cs="Arial"/>
          <w:sz w:val="14"/>
          <w:szCs w:val="14"/>
          <w:vertAlign w:val="subscript"/>
        </w:rPr>
        <w:t>2</w:t>
      </w:r>
      <w:r w:rsidRPr="00364AC5">
        <w:rPr>
          <w:rFonts w:ascii="Arial" w:eastAsia="Times New Roman" w:hAnsi="Arial" w:cs="Arial"/>
          <w:sz w:val="20"/>
          <w:szCs w:val="20"/>
        </w:rPr>
        <w:t>), nitrogen oxides (NO</w:t>
      </w:r>
      <w:r w:rsidRPr="00364AC5">
        <w:rPr>
          <w:rFonts w:ascii="Arial" w:eastAsia="Times New Roman" w:hAnsi="Arial" w:cs="Arial"/>
          <w:sz w:val="14"/>
          <w:szCs w:val="14"/>
          <w:vertAlign w:val="subscript"/>
        </w:rPr>
        <w:t>X</w:t>
      </w:r>
      <w:r w:rsidRPr="00364AC5">
        <w:rPr>
          <w:rFonts w:ascii="Arial" w:eastAsia="Times New Roman" w:hAnsi="Arial" w:cs="Arial"/>
          <w:sz w:val="20"/>
          <w:szCs w:val="20"/>
        </w:rPr>
        <w:t xml:space="preserve">), and </w:t>
      </w:r>
      <w:r w:rsidRPr="00364AC5">
        <w:rPr>
          <w:rFonts w:ascii="Arial" w:eastAsia="Times New Roman" w:hAnsi="Arial" w:cs="Arial"/>
          <w:sz w:val="20"/>
          <w:szCs w:val="20"/>
        </w:rPr>
        <w:lastRenderedPageBreak/>
        <w:t>VOC (where E is the emission exemption amount expressed in tons per year, and D is the distance of the proposed facility from the closest onshore area of a State expressed in statute miles). If the amount of these projected emissions is less than or equal to the emission exemption amount “E” for the air pollutant, the facility is exempt from further air quality review required under paragraphs (e) through (</w:t>
      </w:r>
      <w:proofErr w:type="spellStart"/>
      <w:r w:rsidRPr="00364AC5">
        <w:rPr>
          <w:rFonts w:ascii="Arial" w:eastAsia="Times New Roman" w:hAnsi="Arial" w:cs="Arial"/>
          <w:sz w:val="20"/>
          <w:szCs w:val="20"/>
        </w:rPr>
        <w:t>i</w:t>
      </w:r>
      <w:proofErr w:type="spellEnd"/>
      <w:r w:rsidRPr="00364AC5">
        <w:rPr>
          <w:rFonts w:ascii="Arial" w:eastAsia="Times New Roman" w:hAnsi="Arial" w:cs="Arial"/>
          <w:sz w:val="20"/>
          <w:szCs w:val="20"/>
        </w:rPr>
        <w:t>) of this section.</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 xml:space="preserve">(e) </w:t>
      </w:r>
      <w:r w:rsidRPr="00364AC5">
        <w:rPr>
          <w:rFonts w:ascii="Arial" w:eastAsia="Times New Roman" w:hAnsi="Arial" w:cs="Arial"/>
          <w:i/>
          <w:iCs/>
          <w:sz w:val="20"/>
          <w:szCs w:val="20"/>
        </w:rPr>
        <w:t>Significance levels.</w:t>
      </w:r>
      <w:r w:rsidRPr="00364AC5">
        <w:rPr>
          <w:rFonts w:ascii="Arial" w:eastAsia="Times New Roman" w:hAnsi="Arial" w:cs="Arial"/>
          <w:sz w:val="20"/>
          <w:szCs w:val="20"/>
        </w:rPr>
        <w:t xml:space="preserve"> For a facility not exempt under paragraph (d) of this section for air pollutants other than VOC, the lessee shall use an approved air quality model to determine whether the projected emissions of those air pollutants from the facility result in an onshore ambient air concentration above the following significance levels:</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b/>
          <w:bCs/>
          <w:smallCaps/>
          <w:sz w:val="20"/>
          <w:szCs w:val="20"/>
        </w:rPr>
      </w:pPr>
      <w:r w:rsidRPr="00364AC5">
        <w:rPr>
          <w:rFonts w:ascii="Arial" w:eastAsia="Times New Roman" w:hAnsi="Arial" w:cs="Arial"/>
          <w:b/>
          <w:bCs/>
          <w:smallCaps/>
          <w:sz w:val="20"/>
          <w:szCs w:val="20"/>
        </w:rPr>
        <w:t xml:space="preserve">Significance Levels—Air Pollutant Concentrations </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[µg/m</w:t>
      </w:r>
      <w:r w:rsidRPr="00364AC5">
        <w:rPr>
          <w:rFonts w:ascii="Arial" w:eastAsia="Times New Roman" w:hAnsi="Arial" w:cs="Arial"/>
          <w:sz w:val="20"/>
          <w:szCs w:val="20"/>
          <w:vertAlign w:val="superscript"/>
        </w:rPr>
        <w:t>3</w:t>
      </w:r>
      <w:r w:rsidRPr="00364AC5">
        <w:rPr>
          <w:rFonts w:ascii="Arial" w:eastAsia="Times New Roman" w:hAnsi="Arial" w:cs="Arial"/>
          <w:sz w:val="20"/>
          <w:szCs w:val="20"/>
        </w:rPr>
        <w:t>]</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firstRow="1" w:lastRow="0" w:firstColumn="1" w:lastColumn="0" w:noHBand="0" w:noVBand="1"/>
      </w:tblPr>
      <w:tblGrid>
        <w:gridCol w:w="3302"/>
        <w:gridCol w:w="2055"/>
        <w:gridCol w:w="722"/>
        <w:gridCol w:w="1047"/>
        <w:gridCol w:w="722"/>
        <w:gridCol w:w="1536"/>
      </w:tblGrid>
      <w:tr w:rsidR="00364AC5" w:rsidRPr="00364AC5" w:rsidTr="00364AC5">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364AC5" w:rsidRPr="00364AC5" w:rsidRDefault="00364AC5" w:rsidP="00364AC5">
            <w:pPr>
              <w:spacing w:after="0" w:line="240" w:lineRule="auto"/>
              <w:jc w:val="center"/>
              <w:rPr>
                <w:rFonts w:ascii="Arial" w:eastAsia="Times New Roman" w:hAnsi="Arial" w:cs="Arial"/>
                <w:b/>
                <w:bCs/>
                <w:sz w:val="20"/>
                <w:szCs w:val="20"/>
              </w:rPr>
            </w:pPr>
            <w:r w:rsidRPr="00364AC5">
              <w:rPr>
                <w:rFonts w:ascii="Arial" w:eastAsia="Times New Roman" w:hAnsi="Arial" w:cs="Arial"/>
                <w:b/>
                <w:bCs/>
                <w:sz w:val="20"/>
                <w:szCs w:val="20"/>
              </w:rPr>
              <w:t>Air pollutant</w:t>
            </w:r>
          </w:p>
        </w:tc>
        <w:tc>
          <w:tcPr>
            <w:tcW w:w="0" w:type="auto"/>
            <w:gridSpan w:val="5"/>
            <w:tcBorders>
              <w:top w:val="single" w:sz="6" w:space="0" w:color="000000"/>
              <w:left w:val="single" w:sz="6" w:space="0" w:color="000000"/>
              <w:bottom w:val="single" w:sz="6" w:space="0" w:color="000000"/>
              <w:right w:val="single" w:sz="6" w:space="0" w:color="000000"/>
            </w:tcBorders>
            <w:vAlign w:val="bottom"/>
            <w:hideMark/>
          </w:tcPr>
          <w:p w:rsidR="00364AC5" w:rsidRPr="00364AC5" w:rsidRDefault="00364AC5" w:rsidP="00364AC5">
            <w:pPr>
              <w:spacing w:after="0" w:line="240" w:lineRule="auto"/>
              <w:jc w:val="center"/>
              <w:rPr>
                <w:rFonts w:ascii="Arial" w:eastAsia="Times New Roman" w:hAnsi="Arial" w:cs="Arial"/>
                <w:b/>
                <w:bCs/>
                <w:sz w:val="20"/>
                <w:szCs w:val="20"/>
              </w:rPr>
            </w:pPr>
            <w:r w:rsidRPr="00364AC5">
              <w:rPr>
                <w:rFonts w:ascii="Arial" w:eastAsia="Times New Roman" w:hAnsi="Arial" w:cs="Arial"/>
                <w:b/>
                <w:bCs/>
                <w:sz w:val="20"/>
                <w:szCs w:val="20"/>
              </w:rPr>
              <w:t>Averaging time (hours)</w:t>
            </w:r>
          </w:p>
        </w:tc>
      </w:tr>
      <w:tr w:rsidR="00364AC5" w:rsidRPr="00364AC5" w:rsidTr="00364AC5">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4AC5" w:rsidRPr="00364AC5" w:rsidRDefault="00364AC5" w:rsidP="00364AC5">
            <w:pPr>
              <w:spacing w:after="0" w:line="240" w:lineRule="auto"/>
              <w:rPr>
                <w:rFonts w:ascii="Arial" w:eastAsia="Times New Roman" w:hAnsi="Arial"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364AC5" w:rsidRPr="00364AC5" w:rsidRDefault="00364AC5" w:rsidP="00364AC5">
            <w:pPr>
              <w:spacing w:after="0" w:line="240" w:lineRule="auto"/>
              <w:jc w:val="center"/>
              <w:rPr>
                <w:rFonts w:ascii="Arial" w:eastAsia="Times New Roman" w:hAnsi="Arial" w:cs="Arial"/>
                <w:b/>
                <w:bCs/>
                <w:sz w:val="20"/>
                <w:szCs w:val="20"/>
              </w:rPr>
            </w:pPr>
            <w:r w:rsidRPr="00364AC5">
              <w:rPr>
                <w:rFonts w:ascii="Arial" w:eastAsia="Times New Roman" w:hAnsi="Arial" w:cs="Arial"/>
                <w:b/>
                <w:bCs/>
                <w:sz w:val="20"/>
                <w:szCs w:val="20"/>
              </w:rPr>
              <w:t>Annual</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364AC5" w:rsidRPr="00364AC5" w:rsidRDefault="00364AC5" w:rsidP="00364AC5">
            <w:pPr>
              <w:spacing w:after="0" w:line="240" w:lineRule="auto"/>
              <w:jc w:val="center"/>
              <w:rPr>
                <w:rFonts w:ascii="Arial" w:eastAsia="Times New Roman" w:hAnsi="Arial" w:cs="Arial"/>
                <w:b/>
                <w:bCs/>
                <w:sz w:val="20"/>
                <w:szCs w:val="20"/>
              </w:rPr>
            </w:pPr>
            <w:r w:rsidRPr="00364AC5">
              <w:rPr>
                <w:rFonts w:ascii="Arial" w:eastAsia="Times New Roman" w:hAnsi="Arial" w:cs="Arial"/>
                <w:b/>
                <w:bCs/>
                <w:sz w:val="20"/>
                <w:szCs w:val="20"/>
              </w:rPr>
              <w:t>24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364AC5" w:rsidRPr="00364AC5" w:rsidRDefault="00364AC5" w:rsidP="00364AC5">
            <w:pPr>
              <w:spacing w:after="0" w:line="240" w:lineRule="auto"/>
              <w:jc w:val="center"/>
              <w:rPr>
                <w:rFonts w:ascii="Arial" w:eastAsia="Times New Roman" w:hAnsi="Arial" w:cs="Arial"/>
                <w:b/>
                <w:bCs/>
                <w:sz w:val="20"/>
                <w:szCs w:val="20"/>
              </w:rPr>
            </w:pPr>
            <w:r w:rsidRPr="00364AC5">
              <w:rPr>
                <w:rFonts w:ascii="Arial" w:eastAsia="Times New Roman" w:hAnsi="Arial" w:cs="Arial"/>
                <w:b/>
                <w:bCs/>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364AC5" w:rsidRPr="00364AC5" w:rsidRDefault="00364AC5" w:rsidP="00364AC5">
            <w:pPr>
              <w:spacing w:after="0" w:line="240" w:lineRule="auto"/>
              <w:jc w:val="center"/>
              <w:rPr>
                <w:rFonts w:ascii="Arial" w:eastAsia="Times New Roman" w:hAnsi="Arial" w:cs="Arial"/>
                <w:b/>
                <w:bCs/>
                <w:sz w:val="20"/>
                <w:szCs w:val="20"/>
              </w:rPr>
            </w:pPr>
            <w:r w:rsidRPr="00364AC5">
              <w:rPr>
                <w:rFonts w:ascii="Arial" w:eastAsia="Times New Roman" w:hAnsi="Arial" w:cs="Arial"/>
                <w:b/>
                <w:bCs/>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364AC5" w:rsidRPr="00364AC5" w:rsidRDefault="00364AC5" w:rsidP="00364AC5">
            <w:pPr>
              <w:spacing w:after="0" w:line="240" w:lineRule="auto"/>
              <w:jc w:val="center"/>
              <w:rPr>
                <w:rFonts w:ascii="Arial" w:eastAsia="Times New Roman" w:hAnsi="Arial" w:cs="Arial"/>
                <w:b/>
                <w:bCs/>
                <w:sz w:val="20"/>
                <w:szCs w:val="20"/>
              </w:rPr>
            </w:pPr>
            <w:r w:rsidRPr="00364AC5">
              <w:rPr>
                <w:rFonts w:ascii="Arial" w:eastAsia="Times New Roman" w:hAnsi="Arial" w:cs="Arial"/>
                <w:b/>
                <w:bCs/>
                <w:sz w:val="20"/>
                <w:szCs w:val="20"/>
              </w:rPr>
              <w:t>1</w:t>
            </w:r>
          </w:p>
        </w:tc>
      </w:tr>
      <w:tr w:rsidR="00364AC5" w:rsidRPr="00364AC5" w:rsidTr="00364AC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rPr>
                <w:rFonts w:ascii="Arial" w:eastAsia="Times New Roman" w:hAnsi="Arial" w:cs="Arial"/>
                <w:sz w:val="20"/>
                <w:szCs w:val="20"/>
              </w:rPr>
            </w:pPr>
            <w:r w:rsidRPr="00364AC5">
              <w:rPr>
                <w:rFonts w:ascii="Arial" w:eastAsia="Times New Roman" w:hAnsi="Arial" w:cs="Arial"/>
                <w:sz w:val="20"/>
                <w:szCs w:val="20"/>
              </w:rPr>
              <w:t>SO</w:t>
            </w:r>
            <w:r w:rsidRPr="00364AC5">
              <w:rPr>
                <w:rFonts w:ascii="Arial" w:eastAsia="Times New Roman" w:hAnsi="Arial" w:cs="Arial"/>
                <w:sz w:val="20"/>
                <w:szCs w:val="20"/>
                <w:vertAlign w:val="subscript"/>
              </w:rPr>
              <w:t>2</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r w:rsidRPr="00364AC5">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r w:rsidRPr="00364AC5">
              <w:rPr>
                <w:rFonts w:ascii="Arial" w:eastAsia="Times New Roman"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r w:rsidRPr="00364AC5">
              <w:rPr>
                <w:rFonts w:ascii="Arial" w:eastAsia="Times New Roman" w:hAnsi="Arial"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r>
      <w:tr w:rsidR="00364AC5" w:rsidRPr="00364AC5" w:rsidTr="00364AC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rPr>
                <w:rFonts w:ascii="Arial" w:eastAsia="Times New Roman" w:hAnsi="Arial" w:cs="Arial"/>
                <w:sz w:val="20"/>
                <w:szCs w:val="20"/>
              </w:rPr>
            </w:pPr>
            <w:r w:rsidRPr="00364AC5">
              <w:rPr>
                <w:rFonts w:ascii="Arial" w:eastAsia="Times New Roman" w:hAnsi="Arial" w:cs="Arial"/>
                <w:sz w:val="20"/>
                <w:szCs w:val="20"/>
              </w:rPr>
              <w:t>TSP</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r w:rsidRPr="00364AC5">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r w:rsidRPr="00364AC5">
              <w:rPr>
                <w:rFonts w:ascii="Arial" w:eastAsia="Times New Roman"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r>
      <w:tr w:rsidR="00364AC5" w:rsidRPr="00364AC5" w:rsidTr="00364AC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rPr>
                <w:rFonts w:ascii="Arial" w:eastAsia="Times New Roman" w:hAnsi="Arial" w:cs="Arial"/>
                <w:sz w:val="20"/>
                <w:szCs w:val="20"/>
              </w:rPr>
            </w:pPr>
            <w:r w:rsidRPr="00364AC5">
              <w:rPr>
                <w:rFonts w:ascii="Arial" w:eastAsia="Times New Roman" w:hAnsi="Arial" w:cs="Arial"/>
                <w:sz w:val="20"/>
                <w:szCs w:val="20"/>
              </w:rPr>
              <w:t>NO</w:t>
            </w:r>
            <w:r w:rsidRPr="00364AC5">
              <w:rPr>
                <w:rFonts w:ascii="Arial" w:eastAsia="Times New Roman" w:hAnsi="Arial" w:cs="Arial"/>
                <w:sz w:val="20"/>
                <w:szCs w:val="20"/>
                <w:vertAlign w:val="subscript"/>
              </w:rPr>
              <w:t>2</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r w:rsidRPr="00364AC5">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r>
      <w:tr w:rsidR="00364AC5" w:rsidRPr="00364AC5" w:rsidTr="00364AC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rPr>
                <w:rFonts w:ascii="Arial" w:eastAsia="Times New Roman" w:hAnsi="Arial" w:cs="Arial"/>
                <w:sz w:val="20"/>
                <w:szCs w:val="20"/>
              </w:rPr>
            </w:pPr>
            <w:r w:rsidRPr="00364AC5">
              <w:rPr>
                <w:rFonts w:ascii="Arial" w:eastAsia="Times New Roman" w:hAnsi="Arial" w:cs="Arial"/>
                <w:sz w:val="20"/>
                <w:szCs w:val="20"/>
              </w:rPr>
              <w:t>CO</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r w:rsidRPr="00364AC5">
              <w:rPr>
                <w:rFonts w:ascii="Arial" w:eastAsia="Times New Roman" w:hAnsi="Arial" w:cs="Arial"/>
                <w:sz w:val="20"/>
                <w:szCs w:val="20"/>
              </w:rPr>
              <w:t>500</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r w:rsidRPr="00364AC5">
              <w:rPr>
                <w:rFonts w:ascii="Arial" w:eastAsia="Times New Roman" w:hAnsi="Arial" w:cs="Arial"/>
                <w:sz w:val="20"/>
                <w:szCs w:val="20"/>
              </w:rPr>
              <w:t>2,000</w:t>
            </w:r>
          </w:p>
        </w:tc>
      </w:tr>
    </w:tbl>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 xml:space="preserve">(f) </w:t>
      </w:r>
      <w:r w:rsidRPr="00364AC5">
        <w:rPr>
          <w:rFonts w:ascii="Arial" w:eastAsia="Times New Roman" w:hAnsi="Arial" w:cs="Arial"/>
          <w:i/>
          <w:iCs/>
          <w:sz w:val="20"/>
          <w:szCs w:val="20"/>
        </w:rPr>
        <w:t>Significance determinations.</w:t>
      </w:r>
      <w:r w:rsidRPr="00364AC5">
        <w:rPr>
          <w:rFonts w:ascii="Arial" w:eastAsia="Times New Roman" w:hAnsi="Arial" w:cs="Arial"/>
          <w:sz w:val="20"/>
          <w:szCs w:val="20"/>
        </w:rPr>
        <w:t xml:space="preserve"> (1) The projected emissions of any air pollutant other than VOC from any facility which result in an onshore ambient air concentration above the significance level determined under paragraph (e) of this section for that air </w:t>
      </w:r>
      <w:proofErr w:type="gramStart"/>
      <w:r w:rsidRPr="00364AC5">
        <w:rPr>
          <w:rFonts w:ascii="Arial" w:eastAsia="Times New Roman" w:hAnsi="Arial" w:cs="Arial"/>
          <w:sz w:val="20"/>
          <w:szCs w:val="20"/>
        </w:rPr>
        <w:t>pollutant,</w:t>
      </w:r>
      <w:proofErr w:type="gramEnd"/>
      <w:r w:rsidRPr="00364AC5">
        <w:rPr>
          <w:rFonts w:ascii="Arial" w:eastAsia="Times New Roman" w:hAnsi="Arial" w:cs="Arial"/>
          <w:sz w:val="20"/>
          <w:szCs w:val="20"/>
        </w:rPr>
        <w:t xml:space="preserve"> shall be deemed to significantly affect the air quality of the onshore area for that air pollutant.</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(2) The projected emissions of VOC from any facility which is not exempt under paragraph (d) of this section for that air pollutant shall be deemed to significantly affect the air quality of the onshore area for VOC.</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 xml:space="preserve">(g) </w:t>
      </w:r>
      <w:r w:rsidRPr="00364AC5">
        <w:rPr>
          <w:rFonts w:ascii="Arial" w:eastAsia="Times New Roman" w:hAnsi="Arial" w:cs="Arial"/>
          <w:i/>
          <w:iCs/>
          <w:sz w:val="20"/>
          <w:szCs w:val="20"/>
        </w:rPr>
        <w:t>Controls required.</w:t>
      </w:r>
      <w:r w:rsidRPr="00364AC5">
        <w:rPr>
          <w:rFonts w:ascii="Arial" w:eastAsia="Times New Roman" w:hAnsi="Arial" w:cs="Arial"/>
          <w:sz w:val="20"/>
          <w:szCs w:val="20"/>
        </w:rPr>
        <w:t xml:space="preserve"> (1) The projected emissions of any air pollutant other than VOC from any facility, except a temporary facility, which significantly affect the quality of a nonattainment area, shall be fully reduced. This shall be done through the application of BACT and, if additional reductions are necessary, through the application of additional emission controls or through the acquisition of offshore or onshore offsets.</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(2) The projected emissions of any air pollutant other than VOC from any facility which significantly affect the air quality of an attainment or unclassifiable area shall be reduced through the application of BACT.</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w:t>
      </w:r>
      <w:proofErr w:type="spellStart"/>
      <w:proofErr w:type="gramStart"/>
      <w:r w:rsidRPr="00364AC5">
        <w:rPr>
          <w:rFonts w:ascii="Arial" w:eastAsia="Times New Roman" w:hAnsi="Arial" w:cs="Arial"/>
          <w:sz w:val="20"/>
          <w:szCs w:val="20"/>
        </w:rPr>
        <w:t>i</w:t>
      </w:r>
      <w:proofErr w:type="spellEnd"/>
      <w:proofErr w:type="gramEnd"/>
      <w:r w:rsidRPr="00364AC5">
        <w:rPr>
          <w:rFonts w:ascii="Arial" w:eastAsia="Times New Roman" w:hAnsi="Arial" w:cs="Arial"/>
          <w:sz w:val="20"/>
          <w:szCs w:val="20"/>
        </w:rPr>
        <w:t>)(A) Except for temporary facilities, the lessee also shall use an approved air quality model to determine whether the emissions of TSP or SO</w:t>
      </w:r>
      <w:r w:rsidRPr="00364AC5">
        <w:rPr>
          <w:rFonts w:ascii="Arial" w:eastAsia="Times New Roman" w:hAnsi="Arial" w:cs="Arial"/>
          <w:sz w:val="14"/>
          <w:szCs w:val="14"/>
          <w:vertAlign w:val="subscript"/>
        </w:rPr>
        <w:t>2</w:t>
      </w:r>
      <w:r w:rsidRPr="00364AC5">
        <w:rPr>
          <w:rFonts w:ascii="Arial" w:eastAsia="Times New Roman" w:hAnsi="Arial" w:cs="Arial"/>
          <w:sz w:val="20"/>
          <w:szCs w:val="20"/>
        </w:rPr>
        <w:t xml:space="preserve"> that remain after the application of BACT cause the following maximum allowable increases over the baseline concentrations established in 40 CFR 52.21 to be exceeded in the attainment or unclassifiable area:</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b/>
          <w:bCs/>
          <w:smallCaps/>
          <w:sz w:val="20"/>
          <w:szCs w:val="20"/>
        </w:rPr>
      </w:pPr>
      <w:r w:rsidRPr="00364AC5">
        <w:rPr>
          <w:rFonts w:ascii="Arial" w:eastAsia="Times New Roman" w:hAnsi="Arial" w:cs="Arial"/>
          <w:b/>
          <w:bCs/>
          <w:smallCaps/>
          <w:sz w:val="20"/>
          <w:szCs w:val="20"/>
        </w:rPr>
        <w:t>Maximum Allowable Concentration Increases</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[µg/m</w:t>
      </w:r>
      <w:r w:rsidRPr="00364AC5">
        <w:rPr>
          <w:rFonts w:ascii="Arial" w:eastAsia="Times New Roman" w:hAnsi="Arial" w:cs="Arial"/>
          <w:sz w:val="20"/>
          <w:szCs w:val="20"/>
          <w:vertAlign w:val="superscript"/>
        </w:rPr>
        <w:t>3</w:t>
      </w:r>
      <w:r w:rsidRPr="00364AC5">
        <w:rPr>
          <w:rFonts w:ascii="Arial" w:eastAsia="Times New Roman" w:hAnsi="Arial" w:cs="Arial"/>
          <w:sz w:val="20"/>
          <w:szCs w:val="20"/>
        </w:rPr>
        <w:t>]</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firstRow="1" w:lastRow="0" w:firstColumn="1" w:lastColumn="0" w:noHBand="0" w:noVBand="1"/>
      </w:tblPr>
      <w:tblGrid>
        <w:gridCol w:w="2758"/>
        <w:gridCol w:w="2742"/>
        <w:gridCol w:w="1942"/>
        <w:gridCol w:w="1942"/>
      </w:tblGrid>
      <w:tr w:rsidR="00364AC5" w:rsidRPr="00364AC5" w:rsidTr="00364AC5">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364AC5" w:rsidRPr="00364AC5" w:rsidRDefault="00364AC5" w:rsidP="00364AC5">
            <w:pPr>
              <w:spacing w:after="0" w:line="240" w:lineRule="auto"/>
              <w:jc w:val="center"/>
              <w:rPr>
                <w:rFonts w:ascii="Arial" w:eastAsia="Times New Roman" w:hAnsi="Arial" w:cs="Arial"/>
                <w:b/>
                <w:bCs/>
                <w:sz w:val="20"/>
                <w:szCs w:val="20"/>
              </w:rPr>
            </w:pPr>
            <w:r w:rsidRPr="00364AC5">
              <w:rPr>
                <w:rFonts w:ascii="Arial" w:eastAsia="Times New Roman" w:hAnsi="Arial" w:cs="Arial"/>
                <w:b/>
                <w:bCs/>
                <w:sz w:val="20"/>
                <w:szCs w:val="20"/>
              </w:rPr>
              <w:lastRenderedPageBreak/>
              <w:t>Air pollutant</w:t>
            </w:r>
          </w:p>
        </w:tc>
        <w:tc>
          <w:tcPr>
            <w:tcW w:w="0" w:type="auto"/>
            <w:gridSpan w:val="3"/>
            <w:tcBorders>
              <w:top w:val="single" w:sz="6" w:space="0" w:color="000000"/>
              <w:left w:val="single" w:sz="6" w:space="0" w:color="000000"/>
              <w:bottom w:val="single" w:sz="6" w:space="0" w:color="000000"/>
              <w:right w:val="single" w:sz="6" w:space="0" w:color="000000"/>
            </w:tcBorders>
            <w:vAlign w:val="bottom"/>
            <w:hideMark/>
          </w:tcPr>
          <w:p w:rsidR="00364AC5" w:rsidRPr="00364AC5" w:rsidRDefault="00364AC5" w:rsidP="00364AC5">
            <w:pPr>
              <w:spacing w:after="0" w:line="240" w:lineRule="auto"/>
              <w:jc w:val="center"/>
              <w:rPr>
                <w:rFonts w:ascii="Arial" w:eastAsia="Times New Roman" w:hAnsi="Arial" w:cs="Arial"/>
                <w:b/>
                <w:bCs/>
                <w:sz w:val="20"/>
                <w:szCs w:val="20"/>
              </w:rPr>
            </w:pPr>
            <w:r w:rsidRPr="00364AC5">
              <w:rPr>
                <w:rFonts w:ascii="Arial" w:eastAsia="Times New Roman" w:hAnsi="Arial" w:cs="Arial"/>
                <w:b/>
                <w:bCs/>
                <w:sz w:val="20"/>
                <w:szCs w:val="20"/>
              </w:rPr>
              <w:t>Averaging times</w:t>
            </w:r>
          </w:p>
        </w:tc>
      </w:tr>
      <w:tr w:rsidR="00364AC5" w:rsidRPr="00364AC5" w:rsidTr="00364AC5">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4AC5" w:rsidRPr="00364AC5" w:rsidRDefault="00364AC5" w:rsidP="00364AC5">
            <w:pPr>
              <w:spacing w:after="0" w:line="240" w:lineRule="auto"/>
              <w:rPr>
                <w:rFonts w:ascii="Arial" w:eastAsia="Times New Roman" w:hAnsi="Arial"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364AC5" w:rsidRPr="00364AC5" w:rsidRDefault="00364AC5" w:rsidP="00364AC5">
            <w:pPr>
              <w:spacing w:after="0" w:line="240" w:lineRule="auto"/>
              <w:jc w:val="center"/>
              <w:rPr>
                <w:rFonts w:ascii="Arial" w:eastAsia="Times New Roman" w:hAnsi="Arial" w:cs="Arial"/>
                <w:b/>
                <w:bCs/>
                <w:sz w:val="20"/>
                <w:szCs w:val="20"/>
              </w:rPr>
            </w:pPr>
            <w:r w:rsidRPr="00364AC5">
              <w:rPr>
                <w:rFonts w:ascii="Arial" w:eastAsia="Times New Roman" w:hAnsi="Arial" w:cs="Arial"/>
                <w:b/>
                <w:bCs/>
                <w:sz w:val="20"/>
                <w:szCs w:val="20"/>
              </w:rPr>
              <w:t>Annual mean</w:t>
            </w:r>
            <w:r w:rsidRPr="00364AC5">
              <w:rPr>
                <w:rFonts w:ascii="Arial" w:eastAsia="Times New Roman" w:hAnsi="Arial" w:cs="Arial"/>
                <w:b/>
                <w:bCs/>
                <w:sz w:val="20"/>
                <w:szCs w:val="20"/>
                <w:vertAlign w:val="superscript"/>
              </w:rPr>
              <w:t>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364AC5" w:rsidRPr="00364AC5" w:rsidRDefault="00364AC5" w:rsidP="00364AC5">
            <w:pPr>
              <w:spacing w:after="0" w:line="240" w:lineRule="auto"/>
              <w:jc w:val="center"/>
              <w:rPr>
                <w:rFonts w:ascii="Arial" w:eastAsia="Times New Roman" w:hAnsi="Arial" w:cs="Arial"/>
                <w:b/>
                <w:bCs/>
                <w:sz w:val="20"/>
                <w:szCs w:val="20"/>
              </w:rPr>
            </w:pPr>
            <w:r w:rsidRPr="00364AC5">
              <w:rPr>
                <w:rFonts w:ascii="Arial" w:eastAsia="Times New Roman" w:hAnsi="Arial" w:cs="Arial"/>
                <w:b/>
                <w:bCs/>
                <w:sz w:val="20"/>
                <w:szCs w:val="20"/>
              </w:rPr>
              <w:t>24-hour</w:t>
            </w:r>
            <w:r w:rsidRPr="00364AC5">
              <w:rPr>
                <w:rFonts w:ascii="Arial" w:eastAsia="Times New Roman" w:hAnsi="Arial" w:cs="Arial"/>
                <w:b/>
                <w:bCs/>
                <w:sz w:val="20"/>
                <w:szCs w:val="20"/>
              </w:rPr>
              <w:br/>
              <w:t>maximum</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364AC5" w:rsidRPr="00364AC5" w:rsidRDefault="00364AC5" w:rsidP="00364AC5">
            <w:pPr>
              <w:spacing w:after="0" w:line="240" w:lineRule="auto"/>
              <w:jc w:val="center"/>
              <w:rPr>
                <w:rFonts w:ascii="Arial" w:eastAsia="Times New Roman" w:hAnsi="Arial" w:cs="Arial"/>
                <w:b/>
                <w:bCs/>
                <w:sz w:val="20"/>
                <w:szCs w:val="20"/>
              </w:rPr>
            </w:pPr>
            <w:r w:rsidRPr="00364AC5">
              <w:rPr>
                <w:rFonts w:ascii="Arial" w:eastAsia="Times New Roman" w:hAnsi="Arial" w:cs="Arial"/>
                <w:b/>
                <w:bCs/>
                <w:sz w:val="20"/>
                <w:szCs w:val="20"/>
              </w:rPr>
              <w:t>3-hour</w:t>
            </w:r>
            <w:r w:rsidRPr="00364AC5">
              <w:rPr>
                <w:rFonts w:ascii="Arial" w:eastAsia="Times New Roman" w:hAnsi="Arial" w:cs="Arial"/>
                <w:b/>
                <w:bCs/>
                <w:sz w:val="20"/>
                <w:szCs w:val="20"/>
              </w:rPr>
              <w:br/>
              <w:t>maximum</w:t>
            </w:r>
          </w:p>
        </w:tc>
      </w:tr>
      <w:tr w:rsidR="00364AC5" w:rsidRPr="00364AC5" w:rsidTr="00364AC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rPr>
                <w:rFonts w:ascii="Arial" w:eastAsia="Times New Roman" w:hAnsi="Arial" w:cs="Arial"/>
                <w:sz w:val="20"/>
                <w:szCs w:val="20"/>
              </w:rPr>
            </w:pPr>
            <w:r w:rsidRPr="00364AC5">
              <w:rPr>
                <w:rFonts w:ascii="Arial" w:eastAsia="Times New Roman" w:hAnsi="Arial" w:cs="Arial"/>
                <w:sz w:val="20"/>
                <w:szCs w:val="20"/>
              </w:rPr>
              <w:t>Class I:</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r>
      <w:tr w:rsidR="00364AC5" w:rsidRPr="00364AC5" w:rsidTr="00364AC5">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2" w:type="dxa"/>
              <w:right w:w="12" w:type="dxa"/>
            </w:tcMar>
            <w:hideMark/>
          </w:tcPr>
          <w:p w:rsidR="00364AC5" w:rsidRPr="00364AC5" w:rsidRDefault="00364AC5" w:rsidP="00364AC5">
            <w:pPr>
              <w:spacing w:after="0" w:line="240" w:lineRule="auto"/>
              <w:rPr>
                <w:rFonts w:ascii="Arial" w:eastAsia="Times New Roman" w:hAnsi="Arial" w:cs="Arial"/>
                <w:sz w:val="20"/>
                <w:szCs w:val="20"/>
              </w:rPr>
            </w:pPr>
            <w:r w:rsidRPr="00364AC5">
              <w:rPr>
                <w:rFonts w:ascii="Arial" w:eastAsia="Times New Roman" w:hAnsi="Arial" w:cs="Arial"/>
                <w:sz w:val="20"/>
                <w:szCs w:val="20"/>
              </w:rPr>
              <w:t>TSP</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r w:rsidRPr="00364AC5">
              <w:rPr>
                <w:rFonts w:ascii="Arial" w:eastAsia="Times New Roman"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r w:rsidRPr="00364AC5">
              <w:rPr>
                <w:rFonts w:ascii="Arial" w:eastAsia="Times New Roman"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r>
      <w:tr w:rsidR="00364AC5" w:rsidRPr="00364AC5" w:rsidTr="00364AC5">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2" w:type="dxa"/>
              <w:right w:w="12" w:type="dxa"/>
            </w:tcMar>
            <w:hideMark/>
          </w:tcPr>
          <w:p w:rsidR="00364AC5" w:rsidRPr="00364AC5" w:rsidRDefault="00364AC5" w:rsidP="00364AC5">
            <w:pPr>
              <w:spacing w:after="0" w:line="240" w:lineRule="auto"/>
              <w:rPr>
                <w:rFonts w:ascii="Arial" w:eastAsia="Times New Roman" w:hAnsi="Arial" w:cs="Arial"/>
                <w:sz w:val="20"/>
                <w:szCs w:val="20"/>
              </w:rPr>
            </w:pPr>
            <w:r w:rsidRPr="00364AC5">
              <w:rPr>
                <w:rFonts w:ascii="Arial" w:eastAsia="Times New Roman" w:hAnsi="Arial" w:cs="Arial"/>
                <w:sz w:val="20"/>
                <w:szCs w:val="20"/>
              </w:rPr>
              <w:t>SO</w:t>
            </w:r>
            <w:r w:rsidRPr="00364AC5">
              <w:rPr>
                <w:rFonts w:ascii="Arial" w:eastAsia="Times New Roman" w:hAnsi="Arial" w:cs="Arial"/>
                <w:sz w:val="20"/>
                <w:szCs w:val="20"/>
                <w:vertAlign w:val="subscript"/>
              </w:rPr>
              <w:t>2</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r w:rsidRPr="00364AC5">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r w:rsidRPr="00364AC5">
              <w:rPr>
                <w:rFonts w:ascii="Arial" w:eastAsia="Times New Roman"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r w:rsidRPr="00364AC5">
              <w:rPr>
                <w:rFonts w:ascii="Arial" w:eastAsia="Times New Roman" w:hAnsi="Arial" w:cs="Arial"/>
                <w:sz w:val="20"/>
                <w:szCs w:val="20"/>
              </w:rPr>
              <w:t>25</w:t>
            </w:r>
          </w:p>
        </w:tc>
      </w:tr>
      <w:tr w:rsidR="00364AC5" w:rsidRPr="00364AC5" w:rsidTr="00364AC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rPr>
                <w:rFonts w:ascii="Arial" w:eastAsia="Times New Roman" w:hAnsi="Arial" w:cs="Arial"/>
                <w:sz w:val="20"/>
                <w:szCs w:val="20"/>
              </w:rPr>
            </w:pPr>
            <w:r w:rsidRPr="00364AC5">
              <w:rPr>
                <w:rFonts w:ascii="Arial" w:eastAsia="Times New Roman" w:hAnsi="Arial" w:cs="Arial"/>
                <w:sz w:val="20"/>
                <w:szCs w:val="20"/>
              </w:rPr>
              <w:t>Class II:</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r>
      <w:tr w:rsidR="00364AC5" w:rsidRPr="00364AC5" w:rsidTr="00364AC5">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2" w:type="dxa"/>
              <w:right w:w="12" w:type="dxa"/>
            </w:tcMar>
            <w:hideMark/>
          </w:tcPr>
          <w:p w:rsidR="00364AC5" w:rsidRPr="00364AC5" w:rsidRDefault="00364AC5" w:rsidP="00364AC5">
            <w:pPr>
              <w:spacing w:after="0" w:line="240" w:lineRule="auto"/>
              <w:rPr>
                <w:rFonts w:ascii="Arial" w:eastAsia="Times New Roman" w:hAnsi="Arial" w:cs="Arial"/>
                <w:sz w:val="20"/>
                <w:szCs w:val="20"/>
              </w:rPr>
            </w:pPr>
            <w:r w:rsidRPr="00364AC5">
              <w:rPr>
                <w:rFonts w:ascii="Arial" w:eastAsia="Times New Roman" w:hAnsi="Arial" w:cs="Arial"/>
                <w:sz w:val="20"/>
                <w:szCs w:val="20"/>
              </w:rPr>
              <w:t>TSP</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r w:rsidRPr="00364AC5">
              <w:rPr>
                <w:rFonts w:ascii="Arial" w:eastAsia="Times New Roman" w:hAnsi="Arial" w:cs="Arial"/>
                <w:sz w:val="20"/>
                <w:szCs w:val="20"/>
              </w:rPr>
              <w:t>19</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r w:rsidRPr="00364AC5">
              <w:rPr>
                <w:rFonts w:ascii="Arial" w:eastAsia="Times New Roman" w:hAnsi="Arial" w:cs="Arial"/>
                <w:sz w:val="20"/>
                <w:szCs w:val="20"/>
              </w:rPr>
              <w:t>37</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r>
      <w:tr w:rsidR="00364AC5" w:rsidRPr="00364AC5" w:rsidTr="00364AC5">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2" w:type="dxa"/>
              <w:right w:w="12" w:type="dxa"/>
            </w:tcMar>
            <w:hideMark/>
          </w:tcPr>
          <w:p w:rsidR="00364AC5" w:rsidRPr="00364AC5" w:rsidRDefault="00364AC5" w:rsidP="00364AC5">
            <w:pPr>
              <w:spacing w:after="0" w:line="240" w:lineRule="auto"/>
              <w:rPr>
                <w:rFonts w:ascii="Arial" w:eastAsia="Times New Roman" w:hAnsi="Arial" w:cs="Arial"/>
                <w:sz w:val="20"/>
                <w:szCs w:val="20"/>
              </w:rPr>
            </w:pPr>
            <w:r w:rsidRPr="00364AC5">
              <w:rPr>
                <w:rFonts w:ascii="Arial" w:eastAsia="Times New Roman" w:hAnsi="Arial" w:cs="Arial"/>
                <w:sz w:val="20"/>
                <w:szCs w:val="20"/>
              </w:rPr>
              <w:t>SO</w:t>
            </w:r>
            <w:r w:rsidRPr="00364AC5">
              <w:rPr>
                <w:rFonts w:ascii="Arial" w:eastAsia="Times New Roman" w:hAnsi="Arial" w:cs="Arial"/>
                <w:sz w:val="20"/>
                <w:szCs w:val="20"/>
                <w:vertAlign w:val="subscript"/>
              </w:rPr>
              <w:t>2</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r w:rsidRPr="00364AC5">
              <w:rPr>
                <w:rFonts w:ascii="Arial" w:eastAsia="Times New Roman" w:hAnsi="Arial"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r w:rsidRPr="00364AC5">
              <w:rPr>
                <w:rFonts w:ascii="Arial" w:eastAsia="Times New Roman" w:hAnsi="Arial"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r w:rsidRPr="00364AC5">
              <w:rPr>
                <w:rFonts w:ascii="Arial" w:eastAsia="Times New Roman" w:hAnsi="Arial" w:cs="Arial"/>
                <w:sz w:val="20"/>
                <w:szCs w:val="20"/>
              </w:rPr>
              <w:t>512</w:t>
            </w:r>
          </w:p>
        </w:tc>
      </w:tr>
      <w:tr w:rsidR="00364AC5" w:rsidRPr="00364AC5" w:rsidTr="00364AC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rPr>
                <w:rFonts w:ascii="Arial" w:eastAsia="Times New Roman" w:hAnsi="Arial" w:cs="Arial"/>
                <w:sz w:val="20"/>
                <w:szCs w:val="20"/>
              </w:rPr>
            </w:pPr>
            <w:r w:rsidRPr="00364AC5">
              <w:rPr>
                <w:rFonts w:ascii="Arial" w:eastAsia="Times New Roman" w:hAnsi="Arial" w:cs="Arial"/>
                <w:sz w:val="20"/>
                <w:szCs w:val="20"/>
              </w:rPr>
              <w:t>Class III:</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r>
      <w:tr w:rsidR="00364AC5" w:rsidRPr="00364AC5" w:rsidTr="00364AC5">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2" w:type="dxa"/>
              <w:right w:w="12" w:type="dxa"/>
            </w:tcMar>
            <w:hideMark/>
          </w:tcPr>
          <w:p w:rsidR="00364AC5" w:rsidRPr="00364AC5" w:rsidRDefault="00364AC5" w:rsidP="00364AC5">
            <w:pPr>
              <w:spacing w:after="0" w:line="240" w:lineRule="auto"/>
              <w:rPr>
                <w:rFonts w:ascii="Arial" w:eastAsia="Times New Roman" w:hAnsi="Arial" w:cs="Arial"/>
                <w:sz w:val="20"/>
                <w:szCs w:val="20"/>
              </w:rPr>
            </w:pPr>
            <w:r w:rsidRPr="00364AC5">
              <w:rPr>
                <w:rFonts w:ascii="Arial" w:eastAsia="Times New Roman" w:hAnsi="Arial" w:cs="Arial"/>
                <w:sz w:val="20"/>
                <w:szCs w:val="20"/>
              </w:rPr>
              <w:t>TSP</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r w:rsidRPr="00364AC5">
              <w:rPr>
                <w:rFonts w:ascii="Arial" w:eastAsia="Times New Roman" w:hAnsi="Arial" w:cs="Arial"/>
                <w:sz w:val="20"/>
                <w:szCs w:val="20"/>
              </w:rPr>
              <w:t>37</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r w:rsidRPr="00364AC5">
              <w:rPr>
                <w:rFonts w:ascii="Arial" w:eastAsia="Times New Roman" w:hAnsi="Arial"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r>
      <w:tr w:rsidR="00364AC5" w:rsidRPr="00364AC5" w:rsidTr="00364AC5">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2" w:type="dxa"/>
              <w:right w:w="12" w:type="dxa"/>
            </w:tcMar>
            <w:hideMark/>
          </w:tcPr>
          <w:p w:rsidR="00364AC5" w:rsidRPr="00364AC5" w:rsidRDefault="00364AC5" w:rsidP="00364AC5">
            <w:pPr>
              <w:spacing w:after="0" w:line="240" w:lineRule="auto"/>
              <w:rPr>
                <w:rFonts w:ascii="Arial" w:eastAsia="Times New Roman" w:hAnsi="Arial" w:cs="Arial"/>
                <w:sz w:val="20"/>
                <w:szCs w:val="20"/>
              </w:rPr>
            </w:pPr>
            <w:r w:rsidRPr="00364AC5">
              <w:rPr>
                <w:rFonts w:ascii="Arial" w:eastAsia="Times New Roman" w:hAnsi="Arial" w:cs="Arial"/>
                <w:sz w:val="20"/>
                <w:szCs w:val="20"/>
              </w:rPr>
              <w:t>SO</w:t>
            </w:r>
            <w:r w:rsidRPr="00364AC5">
              <w:rPr>
                <w:rFonts w:ascii="Arial" w:eastAsia="Times New Roman" w:hAnsi="Arial" w:cs="Arial"/>
                <w:sz w:val="20"/>
                <w:szCs w:val="20"/>
                <w:vertAlign w:val="subscript"/>
              </w:rPr>
              <w:t>2</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r w:rsidRPr="00364AC5">
              <w:rPr>
                <w:rFonts w:ascii="Arial" w:eastAsia="Times New Roman" w:hAnsi="Arial" w:cs="Arial"/>
                <w:sz w:val="20"/>
                <w:szCs w:val="20"/>
              </w:rPr>
              <w:t>40</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r w:rsidRPr="00364AC5">
              <w:rPr>
                <w:rFonts w:ascii="Arial" w:eastAsia="Times New Roman" w:hAnsi="Arial" w:cs="Arial"/>
                <w:sz w:val="20"/>
                <w:szCs w:val="20"/>
              </w:rPr>
              <w:t>182</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r w:rsidRPr="00364AC5">
              <w:rPr>
                <w:rFonts w:ascii="Arial" w:eastAsia="Times New Roman" w:hAnsi="Arial" w:cs="Arial"/>
                <w:sz w:val="20"/>
                <w:szCs w:val="20"/>
              </w:rPr>
              <w:t>700</w:t>
            </w:r>
          </w:p>
        </w:tc>
      </w:tr>
    </w:tbl>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proofErr w:type="gramStart"/>
      <w:r w:rsidRPr="00364AC5">
        <w:rPr>
          <w:rFonts w:ascii="Arial" w:eastAsia="Times New Roman" w:hAnsi="Arial" w:cs="Arial"/>
          <w:sz w:val="20"/>
          <w:szCs w:val="20"/>
          <w:vertAlign w:val="superscript"/>
        </w:rPr>
        <w:t>1</w:t>
      </w:r>
      <w:r w:rsidRPr="00364AC5">
        <w:rPr>
          <w:rFonts w:ascii="Arial" w:eastAsia="Times New Roman" w:hAnsi="Arial" w:cs="Arial"/>
          <w:sz w:val="20"/>
          <w:szCs w:val="20"/>
        </w:rPr>
        <w:t>For TSP—geometric; For SO</w:t>
      </w:r>
      <w:r w:rsidRPr="00364AC5">
        <w:rPr>
          <w:rFonts w:ascii="Arial" w:eastAsia="Times New Roman" w:hAnsi="Arial" w:cs="Arial"/>
          <w:sz w:val="20"/>
          <w:szCs w:val="20"/>
          <w:vertAlign w:val="subscript"/>
        </w:rPr>
        <w:t>2</w:t>
      </w:r>
      <w:r w:rsidRPr="00364AC5">
        <w:rPr>
          <w:rFonts w:ascii="Arial" w:eastAsia="Times New Roman" w:hAnsi="Arial" w:cs="Arial"/>
          <w:sz w:val="20"/>
          <w:szCs w:val="20"/>
        </w:rPr>
        <w:t>—</w:t>
      </w:r>
      <w:proofErr w:type="spellStart"/>
      <w:r w:rsidRPr="00364AC5">
        <w:rPr>
          <w:rFonts w:ascii="Arial" w:eastAsia="Times New Roman" w:hAnsi="Arial" w:cs="Arial"/>
          <w:sz w:val="20"/>
          <w:szCs w:val="20"/>
        </w:rPr>
        <w:t>arithmetric</w:t>
      </w:r>
      <w:proofErr w:type="spellEnd"/>
      <w:r w:rsidRPr="00364AC5">
        <w:rPr>
          <w:rFonts w:ascii="Arial" w:eastAsia="Times New Roman" w:hAnsi="Arial" w:cs="Arial"/>
          <w:sz w:val="20"/>
          <w:szCs w:val="20"/>
        </w:rPr>
        <w:t>.</w:t>
      </w:r>
      <w:proofErr w:type="gramEnd"/>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(B) No concentration of an air pollutant shall exceed the concentration permitted under the national secondary ambient air quality standard or the concentration permitted under the national primary air quality standard, whichever concentration is lowest for the air pollutant for the period of exposure. For any period other than the annual period, the applicable maximum allowable increase may be exceeded during one such period per year at any one onshore location.</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(ii) If the maximum allowable increases are exceeded, the lessee shall apply whatever additional emission controls are necessary to reduce or offset the remaining emissions of TSP or SO</w:t>
      </w:r>
      <w:r w:rsidRPr="00364AC5">
        <w:rPr>
          <w:rFonts w:ascii="Arial" w:eastAsia="Times New Roman" w:hAnsi="Arial" w:cs="Arial"/>
          <w:sz w:val="14"/>
          <w:szCs w:val="14"/>
          <w:vertAlign w:val="subscript"/>
        </w:rPr>
        <w:t>2</w:t>
      </w:r>
      <w:r w:rsidRPr="00364AC5">
        <w:rPr>
          <w:rFonts w:ascii="Arial" w:eastAsia="Times New Roman" w:hAnsi="Arial" w:cs="Arial"/>
          <w:sz w:val="20"/>
          <w:szCs w:val="20"/>
        </w:rPr>
        <w:t xml:space="preserve"> so that concentrations in the onshore ambient air of an attainment or unclassifiable area do not exceed the maximum allowable increases.</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(3)</w:t>
      </w:r>
      <w:proofErr w:type="gramStart"/>
      <w:r w:rsidRPr="00364AC5">
        <w:rPr>
          <w:rFonts w:ascii="Arial" w:eastAsia="Times New Roman" w:hAnsi="Arial" w:cs="Arial"/>
          <w:sz w:val="20"/>
          <w:szCs w:val="20"/>
        </w:rPr>
        <w:t>(</w:t>
      </w:r>
      <w:proofErr w:type="spellStart"/>
      <w:r w:rsidRPr="00364AC5">
        <w:rPr>
          <w:rFonts w:ascii="Arial" w:eastAsia="Times New Roman" w:hAnsi="Arial" w:cs="Arial"/>
          <w:sz w:val="20"/>
          <w:szCs w:val="20"/>
        </w:rPr>
        <w:t>i</w:t>
      </w:r>
      <w:proofErr w:type="spellEnd"/>
      <w:r w:rsidRPr="00364AC5">
        <w:rPr>
          <w:rFonts w:ascii="Arial" w:eastAsia="Times New Roman" w:hAnsi="Arial" w:cs="Arial"/>
          <w:sz w:val="20"/>
          <w:szCs w:val="20"/>
        </w:rPr>
        <w:t>) The projected emissions of VOC from any facility, except a temporary facility, which significantly affect the onshore air quality of a nonattainment area</w:t>
      </w:r>
      <w:proofErr w:type="gramEnd"/>
      <w:r w:rsidRPr="00364AC5">
        <w:rPr>
          <w:rFonts w:ascii="Arial" w:eastAsia="Times New Roman" w:hAnsi="Arial" w:cs="Arial"/>
          <w:sz w:val="20"/>
          <w:szCs w:val="20"/>
        </w:rPr>
        <w:t xml:space="preserve"> shall be fully reduced. This shall be done through the application of BACT and, if additional reductions are necessary, through the application of additional emission controls or through the acquisition of offshore or onshore offsets.</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(ii) The projected emissions of VOC from any facility which significantly affect the onshore air quality of an attainment area shall be reduced through the application of BACT.</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(4)(</w:t>
      </w:r>
      <w:proofErr w:type="spellStart"/>
      <w:r w:rsidRPr="00364AC5">
        <w:rPr>
          <w:rFonts w:ascii="Arial" w:eastAsia="Times New Roman" w:hAnsi="Arial" w:cs="Arial"/>
          <w:sz w:val="20"/>
          <w:szCs w:val="20"/>
        </w:rPr>
        <w:t>i</w:t>
      </w:r>
      <w:proofErr w:type="spellEnd"/>
      <w:r w:rsidRPr="00364AC5">
        <w:rPr>
          <w:rFonts w:ascii="Arial" w:eastAsia="Times New Roman" w:hAnsi="Arial" w:cs="Arial"/>
          <w:sz w:val="20"/>
          <w:szCs w:val="20"/>
        </w:rPr>
        <w:t>) If projected emissions from a facility significantly affect the onshore air quality of both a nonattainment and an attainment or unclassifiable area, the regulatory requirements applicable to projected emissions significantly affecting a nonattainment area shall apply.</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(ii) If projected emissions from a facility significantly affect the onshore air quality of more than one class of attainment area, the lessee must reduce projected emissions to meet the maximum allowable increases specified for each class in paragraph (g)(2)(</w:t>
      </w:r>
      <w:proofErr w:type="spellStart"/>
      <w:r w:rsidRPr="00364AC5">
        <w:rPr>
          <w:rFonts w:ascii="Arial" w:eastAsia="Times New Roman" w:hAnsi="Arial" w:cs="Arial"/>
          <w:sz w:val="20"/>
          <w:szCs w:val="20"/>
        </w:rPr>
        <w:t>i</w:t>
      </w:r>
      <w:proofErr w:type="spellEnd"/>
      <w:r w:rsidRPr="00364AC5">
        <w:rPr>
          <w:rFonts w:ascii="Arial" w:eastAsia="Times New Roman" w:hAnsi="Arial" w:cs="Arial"/>
          <w:sz w:val="20"/>
          <w:szCs w:val="20"/>
        </w:rPr>
        <w:t>) of this section.</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 xml:space="preserve">(h) </w:t>
      </w:r>
      <w:r w:rsidRPr="00364AC5">
        <w:rPr>
          <w:rFonts w:ascii="Arial" w:eastAsia="Times New Roman" w:hAnsi="Arial" w:cs="Arial"/>
          <w:i/>
          <w:iCs/>
          <w:sz w:val="20"/>
          <w:szCs w:val="20"/>
        </w:rPr>
        <w:t>Controls required on temporary facilities.</w:t>
      </w:r>
      <w:r w:rsidRPr="00364AC5">
        <w:rPr>
          <w:rFonts w:ascii="Arial" w:eastAsia="Times New Roman" w:hAnsi="Arial" w:cs="Arial"/>
          <w:sz w:val="20"/>
          <w:szCs w:val="20"/>
        </w:rPr>
        <w:t xml:space="preserve"> The lessee shall apply BACT to reduce projected emissions of any air pollutant from a temporary facility which significantly affects the air quality of an onshore area of a State.</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lastRenderedPageBreak/>
        <w:t>(</w:t>
      </w:r>
      <w:proofErr w:type="spellStart"/>
      <w:r w:rsidRPr="00364AC5">
        <w:rPr>
          <w:rFonts w:ascii="Arial" w:eastAsia="Times New Roman" w:hAnsi="Arial" w:cs="Arial"/>
          <w:sz w:val="20"/>
          <w:szCs w:val="20"/>
        </w:rPr>
        <w:t>i</w:t>
      </w:r>
      <w:proofErr w:type="spellEnd"/>
      <w:r w:rsidRPr="00364AC5">
        <w:rPr>
          <w:rFonts w:ascii="Arial" w:eastAsia="Times New Roman" w:hAnsi="Arial" w:cs="Arial"/>
          <w:sz w:val="20"/>
          <w:szCs w:val="20"/>
        </w:rPr>
        <w:t xml:space="preserve">) </w:t>
      </w:r>
      <w:r w:rsidRPr="00364AC5">
        <w:rPr>
          <w:rFonts w:ascii="Arial" w:eastAsia="Times New Roman" w:hAnsi="Arial" w:cs="Arial"/>
          <w:i/>
          <w:iCs/>
          <w:sz w:val="20"/>
          <w:szCs w:val="20"/>
        </w:rPr>
        <w:t>Emission offsets.</w:t>
      </w:r>
      <w:r w:rsidRPr="00364AC5">
        <w:rPr>
          <w:rFonts w:ascii="Arial" w:eastAsia="Times New Roman" w:hAnsi="Arial" w:cs="Arial"/>
          <w:sz w:val="20"/>
          <w:szCs w:val="20"/>
        </w:rPr>
        <w:t xml:space="preserve"> When emission offsets are to be obtained, the lessee must demonstrate that the offsets are equivalent in nature and quantity to the projected emissions that must be reduced after the application of BACT; a binding commitment exists between the lessee and the owner or owners of the source or sources; the appropriate air quality control jurisdiction has been notified of the need to revise the State Implementation Plan to include the information regarding the offsets; and the required offsets come from sources which affect the air quality of the area significantly affected by the lessee's offshore operations.</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 xml:space="preserve">(j) </w:t>
      </w:r>
      <w:r w:rsidRPr="00364AC5">
        <w:rPr>
          <w:rFonts w:ascii="Arial" w:eastAsia="Times New Roman" w:hAnsi="Arial" w:cs="Arial"/>
          <w:i/>
          <w:iCs/>
          <w:sz w:val="20"/>
          <w:szCs w:val="20"/>
        </w:rPr>
        <w:t>Review of facilities with emissions below the exemption amount.</w:t>
      </w:r>
      <w:r w:rsidRPr="00364AC5">
        <w:rPr>
          <w:rFonts w:ascii="Arial" w:eastAsia="Times New Roman" w:hAnsi="Arial" w:cs="Arial"/>
          <w:sz w:val="20"/>
          <w:szCs w:val="20"/>
        </w:rPr>
        <w:t xml:space="preserve"> If, during the review of a new, modified, or revised Exploration Plan or Development and Production Plan, the Regional Supervisor determines or an affected State submits information to the Regional Supervisor which demonstrates, in the judgment of the Regional Supervisor, that projected emissions from an otherwise exempt facility will, either individually or in combination with other facilities in the area, significantly affect the air quality of an onshore area, then the Regional Supervisor shall require the lessee to submit additional information to determine whether emission control measures are necessary. The lessee shall be given the opportunity to present information to the Regional Supervisor which demonstrates that the exempt facility is not significantly affecting the air quality of an onshore area of the State.</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 xml:space="preserve">(k) </w:t>
      </w:r>
      <w:r w:rsidRPr="00364AC5">
        <w:rPr>
          <w:rFonts w:ascii="Arial" w:eastAsia="Times New Roman" w:hAnsi="Arial" w:cs="Arial"/>
          <w:i/>
          <w:iCs/>
          <w:sz w:val="20"/>
          <w:szCs w:val="20"/>
        </w:rPr>
        <w:t>Emission monitoring requirements.</w:t>
      </w:r>
      <w:r w:rsidRPr="00364AC5">
        <w:rPr>
          <w:rFonts w:ascii="Arial" w:eastAsia="Times New Roman" w:hAnsi="Arial" w:cs="Arial"/>
          <w:sz w:val="20"/>
          <w:szCs w:val="20"/>
        </w:rPr>
        <w:t xml:space="preserve"> The lessee shall monitor, in a manner approved or prescribed by the Regional Supervisor, emissions from the facility. The lessee shall submit this information monthly in a manner and form approved or prescribed by the Regional Supervisor.</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 xml:space="preserve">(l) </w:t>
      </w:r>
      <w:r w:rsidRPr="00364AC5">
        <w:rPr>
          <w:rFonts w:ascii="Arial" w:eastAsia="Times New Roman" w:hAnsi="Arial" w:cs="Arial"/>
          <w:i/>
          <w:iCs/>
          <w:sz w:val="20"/>
          <w:szCs w:val="20"/>
        </w:rPr>
        <w:t>Collection of meteorological data.</w:t>
      </w:r>
      <w:r w:rsidRPr="00364AC5">
        <w:rPr>
          <w:rFonts w:ascii="Arial" w:eastAsia="Times New Roman" w:hAnsi="Arial" w:cs="Arial"/>
          <w:sz w:val="20"/>
          <w:szCs w:val="20"/>
        </w:rPr>
        <w:t xml:space="preserve"> The Regional Supervisor may require the lessee to collect, for a period of time and in a manner approved or prescribed by the Regional Supervisor, and submit meteorological data from a facility.</w:t>
      </w:r>
    </w:p>
    <w:p w:rsidR="00364AC5" w:rsidRPr="00364AC5" w:rsidRDefault="00364AC5" w:rsidP="00364AC5">
      <w:pPr>
        <w:spacing w:before="200" w:after="100" w:afterAutospacing="1" w:line="240" w:lineRule="auto"/>
        <w:rPr>
          <w:rFonts w:ascii="Arial" w:eastAsia="Times New Roman" w:hAnsi="Arial" w:cs="Arial"/>
          <w:sz w:val="20"/>
          <w:szCs w:val="20"/>
        </w:rPr>
      </w:pPr>
      <w:hyperlink r:id="rId17" w:anchor="_top" w:history="1">
        <w:r>
          <w:rPr>
            <w:rFonts w:ascii="Arial" w:eastAsia="Times New Roman" w:hAnsi="Arial" w:cs="Arial"/>
            <w:noProof/>
            <w:color w:val="0000FF"/>
            <w:sz w:val="17"/>
            <w:szCs w:val="17"/>
          </w:rPr>
          <w:drawing>
            <wp:inline distT="0" distB="0" distL="0" distR="0">
              <wp:extent cx="152400" cy="152400"/>
              <wp:effectExtent l="0" t="0" r="0" b="0"/>
              <wp:docPr id="2" name="Picture 2" descr="return arrow">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arrow">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64AC5">
          <w:rPr>
            <w:rFonts w:ascii="Arial" w:eastAsia="Times New Roman" w:hAnsi="Arial" w:cs="Arial"/>
            <w:color w:val="0000FF"/>
            <w:sz w:val="17"/>
            <w:szCs w:val="17"/>
          </w:rPr>
          <w:t>Back to Top</w:t>
        </w:r>
      </w:hyperlink>
    </w:p>
    <w:p w:rsidR="00364AC5" w:rsidRPr="00364AC5" w:rsidRDefault="00364AC5" w:rsidP="00364AC5">
      <w:pPr>
        <w:spacing w:before="200" w:after="100" w:line="240" w:lineRule="auto"/>
        <w:outlineLvl w:val="1"/>
        <w:rPr>
          <w:rFonts w:ascii="Arial" w:eastAsia="Times New Roman" w:hAnsi="Arial" w:cs="Arial"/>
          <w:b/>
          <w:bCs/>
          <w:sz w:val="20"/>
          <w:szCs w:val="20"/>
        </w:rPr>
      </w:pPr>
      <w:bookmarkStart w:id="4" w:name="30:2.0.3.5.2.3.147.4"/>
      <w:bookmarkEnd w:id="4"/>
      <w:r w:rsidRPr="00364AC5">
        <w:rPr>
          <w:rFonts w:ascii="Arial" w:eastAsia="Times New Roman" w:hAnsi="Arial" w:cs="Arial"/>
          <w:b/>
          <w:bCs/>
          <w:sz w:val="20"/>
          <w:szCs w:val="20"/>
        </w:rPr>
        <w:t>§550.304   Existing facilities.</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 xml:space="preserve">(a) </w:t>
      </w:r>
      <w:r w:rsidRPr="00364AC5">
        <w:rPr>
          <w:rFonts w:ascii="Arial" w:eastAsia="Times New Roman" w:hAnsi="Arial" w:cs="Arial"/>
          <w:i/>
          <w:iCs/>
          <w:sz w:val="20"/>
          <w:szCs w:val="20"/>
        </w:rPr>
        <w:t>Process leading to review of an existing facility.</w:t>
      </w:r>
      <w:r w:rsidRPr="00364AC5">
        <w:rPr>
          <w:rFonts w:ascii="Arial" w:eastAsia="Times New Roman" w:hAnsi="Arial" w:cs="Arial"/>
          <w:sz w:val="20"/>
          <w:szCs w:val="20"/>
        </w:rPr>
        <w:t xml:space="preserve"> (1) An affected State may request that the Regional Supervisor supply basic emission data from existing facilities when such data are needed for the updating of the State's emission inventory. In submitting the request, the State must demonstrate that similar offshore and onshore facilities in areas under the State's jurisdiction are also included in the emission inventory.</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(2) The Regional Supervisor may require lessees of existing facilities to submit basic emission data to a State submitting a request under paragraph (a</w:t>
      </w:r>
      <w:proofErr w:type="gramStart"/>
      <w:r w:rsidRPr="00364AC5">
        <w:rPr>
          <w:rFonts w:ascii="Arial" w:eastAsia="Times New Roman" w:hAnsi="Arial" w:cs="Arial"/>
          <w:sz w:val="20"/>
          <w:szCs w:val="20"/>
        </w:rPr>
        <w:t>)(</w:t>
      </w:r>
      <w:proofErr w:type="gramEnd"/>
      <w:r w:rsidRPr="00364AC5">
        <w:rPr>
          <w:rFonts w:ascii="Arial" w:eastAsia="Times New Roman" w:hAnsi="Arial" w:cs="Arial"/>
          <w:sz w:val="20"/>
          <w:szCs w:val="20"/>
        </w:rPr>
        <w:t>1) of this section.</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(3) The State submitting a request under paragraph (a</w:t>
      </w:r>
      <w:proofErr w:type="gramStart"/>
      <w:r w:rsidRPr="00364AC5">
        <w:rPr>
          <w:rFonts w:ascii="Arial" w:eastAsia="Times New Roman" w:hAnsi="Arial" w:cs="Arial"/>
          <w:sz w:val="20"/>
          <w:szCs w:val="20"/>
        </w:rPr>
        <w:t>)(</w:t>
      </w:r>
      <w:proofErr w:type="gramEnd"/>
      <w:r w:rsidRPr="00364AC5">
        <w:rPr>
          <w:rFonts w:ascii="Arial" w:eastAsia="Times New Roman" w:hAnsi="Arial" w:cs="Arial"/>
          <w:sz w:val="20"/>
          <w:szCs w:val="20"/>
        </w:rPr>
        <w:t>1) of this section may submit information from its emission inventory which indicates that emissions from existing facilities may be significantly affecting the air quality of the onshore area of the State. The lessee shall be given the opportunity to present information to the Regional Supervisor which demonstrates that the facility is not significantly affecting the air quality of the State.</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(4) The Regional Supervisor shall evaluate the information submitted under paragraph (a)(3) of this section and shall determine, based on the basic emission data, available meteorological data, and the distance of the facility or facilities from the onshore area, whether any existing facility has the potential to significantly affect the air quality of the onshore area of the State.</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(5) If the Regional Supervisor determines that no existing facility has the potential to significantly affect the air quality of the onshore area of the State submitting information under paragraph (a)(3) of this section, the Regional Supervisor shall notify the State of and explain the reasons for this finding.</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lastRenderedPageBreak/>
        <w:t>(6) If the Regional Supervisor determines that an existing facility has the potential to significantly affect the air quality of an onshore area of the State submitting information under paragraph (a</w:t>
      </w:r>
      <w:proofErr w:type="gramStart"/>
      <w:r w:rsidRPr="00364AC5">
        <w:rPr>
          <w:rFonts w:ascii="Arial" w:eastAsia="Times New Roman" w:hAnsi="Arial" w:cs="Arial"/>
          <w:sz w:val="20"/>
          <w:szCs w:val="20"/>
        </w:rPr>
        <w:t>)(</w:t>
      </w:r>
      <w:proofErr w:type="gramEnd"/>
      <w:r w:rsidRPr="00364AC5">
        <w:rPr>
          <w:rFonts w:ascii="Arial" w:eastAsia="Times New Roman" w:hAnsi="Arial" w:cs="Arial"/>
          <w:sz w:val="20"/>
          <w:szCs w:val="20"/>
        </w:rPr>
        <w:t>3) of this section, the Regional Supervisor shall require the lessee to refer to the information requirements under §550.218 or §550.249 of this part and submit only that information required to make the necessary findings under paragraphs (b) through (e) of this section. The lessee shall submit this information within 120 days of the Regional Supervisor's determination or within a longer period of time at the discretion of the Regional Supervisor. The lessee shall comply with the requirements of this section as necessary.</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 xml:space="preserve">(b) </w:t>
      </w:r>
      <w:r w:rsidRPr="00364AC5">
        <w:rPr>
          <w:rFonts w:ascii="Arial" w:eastAsia="Times New Roman" w:hAnsi="Arial" w:cs="Arial"/>
          <w:i/>
          <w:iCs/>
          <w:sz w:val="20"/>
          <w:szCs w:val="20"/>
        </w:rPr>
        <w:t>Exemption formulas.</w:t>
      </w:r>
      <w:r w:rsidRPr="00364AC5">
        <w:rPr>
          <w:rFonts w:ascii="Arial" w:eastAsia="Times New Roman" w:hAnsi="Arial" w:cs="Arial"/>
          <w:sz w:val="20"/>
          <w:szCs w:val="20"/>
        </w:rPr>
        <w:t xml:space="preserve"> To determine whether an existing facility is exempt from further air quality review, the lessee shall use the highest annual total amount of emissions from the facility for each air pollutant calculated in §550.218(a) or §550.249(a) of this part and compare these emissions to the emission exemption amount “E” for each air pollutant calculated using the following formulas: E = 3400D</w:t>
      </w:r>
      <w:r w:rsidRPr="00364AC5">
        <w:rPr>
          <w:rFonts w:ascii="Arial" w:eastAsia="Times New Roman" w:hAnsi="Arial" w:cs="Arial"/>
          <w:sz w:val="14"/>
          <w:szCs w:val="14"/>
          <w:vertAlign w:val="superscript"/>
        </w:rPr>
        <w:t>2/3</w:t>
      </w:r>
      <w:r w:rsidRPr="00364AC5">
        <w:rPr>
          <w:rFonts w:ascii="Arial" w:eastAsia="Times New Roman" w:hAnsi="Arial" w:cs="Arial"/>
          <w:sz w:val="20"/>
          <w:szCs w:val="20"/>
        </w:rPr>
        <w:t xml:space="preserve"> for CO; and E = 33.3D for TSP, SO</w:t>
      </w:r>
      <w:r w:rsidRPr="00364AC5">
        <w:rPr>
          <w:rFonts w:ascii="Arial" w:eastAsia="Times New Roman" w:hAnsi="Arial" w:cs="Arial"/>
          <w:sz w:val="14"/>
          <w:szCs w:val="14"/>
          <w:vertAlign w:val="subscript"/>
        </w:rPr>
        <w:t>2</w:t>
      </w:r>
      <w:r w:rsidRPr="00364AC5">
        <w:rPr>
          <w:rFonts w:ascii="Arial" w:eastAsia="Times New Roman" w:hAnsi="Arial" w:cs="Arial"/>
          <w:sz w:val="20"/>
          <w:szCs w:val="20"/>
        </w:rPr>
        <w:t>, NO</w:t>
      </w:r>
      <w:r w:rsidRPr="00364AC5">
        <w:rPr>
          <w:rFonts w:ascii="Arial" w:eastAsia="Times New Roman" w:hAnsi="Arial" w:cs="Arial"/>
          <w:sz w:val="14"/>
          <w:szCs w:val="14"/>
          <w:vertAlign w:val="subscript"/>
        </w:rPr>
        <w:t>X</w:t>
      </w:r>
      <w:r w:rsidRPr="00364AC5">
        <w:rPr>
          <w:rFonts w:ascii="Arial" w:eastAsia="Times New Roman" w:hAnsi="Arial" w:cs="Arial"/>
          <w:sz w:val="20"/>
          <w:szCs w:val="20"/>
        </w:rPr>
        <w:t>, and VOC (where E is the emission exemption amount expressed in tons per year, and D is the distance of the facility from the closest onshore area of the State expressed in statute miles). If the amount of projected emissions is less than or equal to the emission exemption amount “E” for the air pollutant, the facility is exempt for that air pollutant from further air quality review required under paragraphs (c) through (e) of this section.</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 xml:space="preserve">(c) </w:t>
      </w:r>
      <w:r w:rsidRPr="00364AC5">
        <w:rPr>
          <w:rFonts w:ascii="Arial" w:eastAsia="Times New Roman" w:hAnsi="Arial" w:cs="Arial"/>
          <w:i/>
          <w:iCs/>
          <w:sz w:val="20"/>
          <w:szCs w:val="20"/>
        </w:rPr>
        <w:t>Significance levels.</w:t>
      </w:r>
      <w:r w:rsidRPr="00364AC5">
        <w:rPr>
          <w:rFonts w:ascii="Arial" w:eastAsia="Times New Roman" w:hAnsi="Arial" w:cs="Arial"/>
          <w:sz w:val="20"/>
          <w:szCs w:val="20"/>
        </w:rPr>
        <w:t xml:space="preserve"> For a facility not exempt under paragraph (b) of this section for air pollutants other than VOC, the lessee shall use an approved air quality model to determine whether projected emissions of those air pollutants from the facility result in an onshore ambient air concentration above the following significance levels:</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b/>
          <w:bCs/>
          <w:smallCaps/>
          <w:sz w:val="20"/>
          <w:szCs w:val="20"/>
        </w:rPr>
      </w:pPr>
      <w:r w:rsidRPr="00364AC5">
        <w:rPr>
          <w:rFonts w:ascii="Arial" w:eastAsia="Times New Roman" w:hAnsi="Arial" w:cs="Arial"/>
          <w:b/>
          <w:bCs/>
          <w:smallCaps/>
          <w:sz w:val="20"/>
          <w:szCs w:val="20"/>
        </w:rPr>
        <w:t>Significance Levels—Air Pollutant Concentrations</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[µG/M</w:t>
      </w:r>
      <w:r w:rsidRPr="00364AC5">
        <w:rPr>
          <w:rFonts w:ascii="Arial" w:eastAsia="Times New Roman" w:hAnsi="Arial" w:cs="Arial"/>
          <w:sz w:val="20"/>
          <w:szCs w:val="20"/>
          <w:vertAlign w:val="superscript"/>
        </w:rPr>
        <w:t>3</w:t>
      </w:r>
      <w:r w:rsidRPr="00364AC5">
        <w:rPr>
          <w:rFonts w:ascii="Arial" w:eastAsia="Times New Roman" w:hAnsi="Arial" w:cs="Arial"/>
          <w:sz w:val="20"/>
          <w:szCs w:val="20"/>
        </w:rPr>
        <w:t>]</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firstRow="1" w:lastRow="0" w:firstColumn="1" w:lastColumn="0" w:noHBand="0" w:noVBand="1"/>
      </w:tblPr>
      <w:tblGrid>
        <w:gridCol w:w="3302"/>
        <w:gridCol w:w="2055"/>
        <w:gridCol w:w="722"/>
        <w:gridCol w:w="1047"/>
        <w:gridCol w:w="722"/>
        <w:gridCol w:w="1536"/>
      </w:tblGrid>
      <w:tr w:rsidR="00364AC5" w:rsidRPr="00364AC5" w:rsidTr="00364AC5">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364AC5" w:rsidRPr="00364AC5" w:rsidRDefault="00364AC5" w:rsidP="00364AC5">
            <w:pPr>
              <w:spacing w:after="0" w:line="240" w:lineRule="auto"/>
              <w:jc w:val="center"/>
              <w:rPr>
                <w:rFonts w:ascii="Arial" w:eastAsia="Times New Roman" w:hAnsi="Arial" w:cs="Arial"/>
                <w:b/>
                <w:bCs/>
                <w:sz w:val="20"/>
                <w:szCs w:val="20"/>
              </w:rPr>
            </w:pPr>
            <w:r w:rsidRPr="00364AC5">
              <w:rPr>
                <w:rFonts w:ascii="Arial" w:eastAsia="Times New Roman" w:hAnsi="Arial" w:cs="Arial"/>
                <w:b/>
                <w:bCs/>
                <w:sz w:val="20"/>
                <w:szCs w:val="20"/>
              </w:rPr>
              <w:t>Air pollutant</w:t>
            </w:r>
          </w:p>
        </w:tc>
        <w:tc>
          <w:tcPr>
            <w:tcW w:w="0" w:type="auto"/>
            <w:gridSpan w:val="5"/>
            <w:tcBorders>
              <w:top w:val="single" w:sz="6" w:space="0" w:color="000000"/>
              <w:left w:val="single" w:sz="6" w:space="0" w:color="000000"/>
              <w:bottom w:val="single" w:sz="6" w:space="0" w:color="000000"/>
              <w:right w:val="single" w:sz="6" w:space="0" w:color="000000"/>
            </w:tcBorders>
            <w:vAlign w:val="bottom"/>
            <w:hideMark/>
          </w:tcPr>
          <w:p w:rsidR="00364AC5" w:rsidRPr="00364AC5" w:rsidRDefault="00364AC5" w:rsidP="00364AC5">
            <w:pPr>
              <w:spacing w:after="0" w:line="240" w:lineRule="auto"/>
              <w:jc w:val="center"/>
              <w:rPr>
                <w:rFonts w:ascii="Arial" w:eastAsia="Times New Roman" w:hAnsi="Arial" w:cs="Arial"/>
                <w:b/>
                <w:bCs/>
                <w:sz w:val="20"/>
                <w:szCs w:val="20"/>
              </w:rPr>
            </w:pPr>
            <w:r w:rsidRPr="00364AC5">
              <w:rPr>
                <w:rFonts w:ascii="Arial" w:eastAsia="Times New Roman" w:hAnsi="Arial" w:cs="Arial"/>
                <w:b/>
                <w:bCs/>
                <w:sz w:val="20"/>
                <w:szCs w:val="20"/>
              </w:rPr>
              <w:t>Averaging time (hours)</w:t>
            </w:r>
          </w:p>
        </w:tc>
      </w:tr>
      <w:tr w:rsidR="00364AC5" w:rsidRPr="00364AC5" w:rsidTr="00364AC5">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64AC5" w:rsidRPr="00364AC5" w:rsidRDefault="00364AC5" w:rsidP="00364AC5">
            <w:pPr>
              <w:spacing w:after="0" w:line="240" w:lineRule="auto"/>
              <w:rPr>
                <w:rFonts w:ascii="Arial" w:eastAsia="Times New Roman" w:hAnsi="Arial"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364AC5" w:rsidRPr="00364AC5" w:rsidRDefault="00364AC5" w:rsidP="00364AC5">
            <w:pPr>
              <w:spacing w:after="0" w:line="240" w:lineRule="auto"/>
              <w:jc w:val="center"/>
              <w:rPr>
                <w:rFonts w:ascii="Arial" w:eastAsia="Times New Roman" w:hAnsi="Arial" w:cs="Arial"/>
                <w:b/>
                <w:bCs/>
                <w:sz w:val="20"/>
                <w:szCs w:val="20"/>
              </w:rPr>
            </w:pPr>
            <w:r w:rsidRPr="00364AC5">
              <w:rPr>
                <w:rFonts w:ascii="Arial" w:eastAsia="Times New Roman" w:hAnsi="Arial" w:cs="Arial"/>
                <w:b/>
                <w:bCs/>
                <w:sz w:val="20"/>
                <w:szCs w:val="20"/>
              </w:rPr>
              <w:t>Annual</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364AC5" w:rsidRPr="00364AC5" w:rsidRDefault="00364AC5" w:rsidP="00364AC5">
            <w:pPr>
              <w:spacing w:after="0" w:line="240" w:lineRule="auto"/>
              <w:jc w:val="center"/>
              <w:rPr>
                <w:rFonts w:ascii="Arial" w:eastAsia="Times New Roman" w:hAnsi="Arial" w:cs="Arial"/>
                <w:b/>
                <w:bCs/>
                <w:sz w:val="20"/>
                <w:szCs w:val="20"/>
              </w:rPr>
            </w:pPr>
            <w:r w:rsidRPr="00364AC5">
              <w:rPr>
                <w:rFonts w:ascii="Arial" w:eastAsia="Times New Roman" w:hAnsi="Arial" w:cs="Arial"/>
                <w:b/>
                <w:bCs/>
                <w:sz w:val="20"/>
                <w:szCs w:val="20"/>
              </w:rPr>
              <w:t>24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364AC5" w:rsidRPr="00364AC5" w:rsidRDefault="00364AC5" w:rsidP="00364AC5">
            <w:pPr>
              <w:spacing w:after="0" w:line="240" w:lineRule="auto"/>
              <w:jc w:val="center"/>
              <w:rPr>
                <w:rFonts w:ascii="Arial" w:eastAsia="Times New Roman" w:hAnsi="Arial" w:cs="Arial"/>
                <w:b/>
                <w:bCs/>
                <w:sz w:val="20"/>
                <w:szCs w:val="20"/>
              </w:rPr>
            </w:pPr>
            <w:r w:rsidRPr="00364AC5">
              <w:rPr>
                <w:rFonts w:ascii="Arial" w:eastAsia="Times New Roman" w:hAnsi="Arial" w:cs="Arial"/>
                <w:b/>
                <w:bCs/>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364AC5" w:rsidRPr="00364AC5" w:rsidRDefault="00364AC5" w:rsidP="00364AC5">
            <w:pPr>
              <w:spacing w:after="0" w:line="240" w:lineRule="auto"/>
              <w:jc w:val="center"/>
              <w:rPr>
                <w:rFonts w:ascii="Arial" w:eastAsia="Times New Roman" w:hAnsi="Arial" w:cs="Arial"/>
                <w:b/>
                <w:bCs/>
                <w:sz w:val="20"/>
                <w:szCs w:val="20"/>
              </w:rPr>
            </w:pPr>
            <w:r w:rsidRPr="00364AC5">
              <w:rPr>
                <w:rFonts w:ascii="Arial" w:eastAsia="Times New Roman" w:hAnsi="Arial" w:cs="Arial"/>
                <w:b/>
                <w:bCs/>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364AC5" w:rsidRPr="00364AC5" w:rsidRDefault="00364AC5" w:rsidP="00364AC5">
            <w:pPr>
              <w:spacing w:after="0" w:line="240" w:lineRule="auto"/>
              <w:jc w:val="center"/>
              <w:rPr>
                <w:rFonts w:ascii="Arial" w:eastAsia="Times New Roman" w:hAnsi="Arial" w:cs="Arial"/>
                <w:b/>
                <w:bCs/>
                <w:sz w:val="20"/>
                <w:szCs w:val="20"/>
              </w:rPr>
            </w:pPr>
            <w:r w:rsidRPr="00364AC5">
              <w:rPr>
                <w:rFonts w:ascii="Arial" w:eastAsia="Times New Roman" w:hAnsi="Arial" w:cs="Arial"/>
                <w:b/>
                <w:bCs/>
                <w:sz w:val="20"/>
                <w:szCs w:val="20"/>
              </w:rPr>
              <w:t>1</w:t>
            </w:r>
          </w:p>
        </w:tc>
      </w:tr>
      <w:tr w:rsidR="00364AC5" w:rsidRPr="00364AC5" w:rsidTr="00364AC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rPr>
                <w:rFonts w:ascii="Arial" w:eastAsia="Times New Roman" w:hAnsi="Arial" w:cs="Arial"/>
                <w:sz w:val="20"/>
                <w:szCs w:val="20"/>
              </w:rPr>
            </w:pPr>
            <w:r w:rsidRPr="00364AC5">
              <w:rPr>
                <w:rFonts w:ascii="Arial" w:eastAsia="Times New Roman" w:hAnsi="Arial" w:cs="Arial"/>
                <w:sz w:val="20"/>
                <w:szCs w:val="20"/>
              </w:rPr>
              <w:t>SO</w:t>
            </w:r>
            <w:r w:rsidRPr="00364AC5">
              <w:rPr>
                <w:rFonts w:ascii="Arial" w:eastAsia="Times New Roman" w:hAnsi="Arial" w:cs="Arial"/>
                <w:sz w:val="20"/>
                <w:szCs w:val="20"/>
                <w:vertAlign w:val="subscript"/>
              </w:rPr>
              <w:t>2</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r w:rsidRPr="00364AC5">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r w:rsidRPr="00364AC5">
              <w:rPr>
                <w:rFonts w:ascii="Arial" w:eastAsia="Times New Roman"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r w:rsidRPr="00364AC5">
              <w:rPr>
                <w:rFonts w:ascii="Arial" w:eastAsia="Times New Roman" w:hAnsi="Arial"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r>
      <w:tr w:rsidR="00364AC5" w:rsidRPr="00364AC5" w:rsidTr="00364AC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rPr>
                <w:rFonts w:ascii="Arial" w:eastAsia="Times New Roman" w:hAnsi="Arial" w:cs="Arial"/>
                <w:sz w:val="20"/>
                <w:szCs w:val="20"/>
              </w:rPr>
            </w:pPr>
            <w:r w:rsidRPr="00364AC5">
              <w:rPr>
                <w:rFonts w:ascii="Arial" w:eastAsia="Times New Roman" w:hAnsi="Arial" w:cs="Arial"/>
                <w:sz w:val="20"/>
                <w:szCs w:val="20"/>
              </w:rPr>
              <w:t>TSP</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r w:rsidRPr="00364AC5">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r w:rsidRPr="00364AC5">
              <w:rPr>
                <w:rFonts w:ascii="Arial" w:eastAsia="Times New Roman"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r>
      <w:tr w:rsidR="00364AC5" w:rsidRPr="00364AC5" w:rsidTr="00364AC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rPr>
                <w:rFonts w:ascii="Arial" w:eastAsia="Times New Roman" w:hAnsi="Arial" w:cs="Arial"/>
                <w:sz w:val="20"/>
                <w:szCs w:val="20"/>
              </w:rPr>
            </w:pPr>
            <w:r w:rsidRPr="00364AC5">
              <w:rPr>
                <w:rFonts w:ascii="Arial" w:eastAsia="Times New Roman" w:hAnsi="Arial" w:cs="Arial"/>
                <w:sz w:val="20"/>
                <w:szCs w:val="20"/>
              </w:rPr>
              <w:t>NO</w:t>
            </w:r>
            <w:r w:rsidRPr="00364AC5">
              <w:rPr>
                <w:rFonts w:ascii="Arial" w:eastAsia="Times New Roman" w:hAnsi="Arial" w:cs="Arial"/>
                <w:sz w:val="20"/>
                <w:szCs w:val="20"/>
                <w:vertAlign w:val="subscript"/>
              </w:rPr>
              <w:t>2</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r w:rsidRPr="00364AC5">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r>
      <w:tr w:rsidR="00364AC5" w:rsidRPr="00364AC5" w:rsidTr="00364AC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rPr>
                <w:rFonts w:ascii="Arial" w:eastAsia="Times New Roman" w:hAnsi="Arial" w:cs="Arial"/>
                <w:sz w:val="20"/>
                <w:szCs w:val="20"/>
              </w:rPr>
            </w:pPr>
            <w:r w:rsidRPr="00364AC5">
              <w:rPr>
                <w:rFonts w:ascii="Arial" w:eastAsia="Times New Roman" w:hAnsi="Arial" w:cs="Arial"/>
                <w:sz w:val="20"/>
                <w:szCs w:val="20"/>
              </w:rPr>
              <w:t>CO</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r w:rsidRPr="00364AC5">
              <w:rPr>
                <w:rFonts w:ascii="Arial" w:eastAsia="Times New Roman" w:hAnsi="Arial" w:cs="Arial"/>
                <w:sz w:val="20"/>
                <w:szCs w:val="20"/>
              </w:rPr>
              <w:t>500</w:t>
            </w: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364AC5" w:rsidRPr="00364AC5" w:rsidRDefault="00364AC5" w:rsidP="00364AC5">
            <w:pPr>
              <w:spacing w:after="0" w:line="240" w:lineRule="auto"/>
              <w:jc w:val="right"/>
              <w:rPr>
                <w:rFonts w:ascii="Arial" w:eastAsia="Times New Roman" w:hAnsi="Arial" w:cs="Arial"/>
                <w:sz w:val="20"/>
                <w:szCs w:val="20"/>
              </w:rPr>
            </w:pPr>
            <w:r w:rsidRPr="00364AC5">
              <w:rPr>
                <w:rFonts w:ascii="Arial" w:eastAsia="Times New Roman" w:hAnsi="Arial" w:cs="Arial"/>
                <w:sz w:val="20"/>
                <w:szCs w:val="20"/>
              </w:rPr>
              <w:t>2,000</w:t>
            </w:r>
          </w:p>
        </w:tc>
      </w:tr>
    </w:tbl>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 xml:space="preserve">(d) </w:t>
      </w:r>
      <w:r w:rsidRPr="00364AC5">
        <w:rPr>
          <w:rFonts w:ascii="Arial" w:eastAsia="Times New Roman" w:hAnsi="Arial" w:cs="Arial"/>
          <w:i/>
          <w:iCs/>
          <w:sz w:val="20"/>
          <w:szCs w:val="20"/>
        </w:rPr>
        <w:t>Significance determinations.</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(1) The projected emissions of any air pollutant other than VOC from any facility which result in an onshore ambient air concentration above the significance levels determined under paragraph (c) of this section for that air pollutant shall be deemed to significantly affect the air quality of the onshore area for that air pollutant.</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(2) The projected emissions of VOC from any facility which is not exempt under paragraph (b) of this section for that air pollutant shall be deemed to significantly affect the air quality of the onshore area for VOC.</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 xml:space="preserve">(e) </w:t>
      </w:r>
      <w:r w:rsidRPr="00364AC5">
        <w:rPr>
          <w:rFonts w:ascii="Arial" w:eastAsia="Times New Roman" w:hAnsi="Arial" w:cs="Arial"/>
          <w:i/>
          <w:iCs/>
          <w:sz w:val="20"/>
          <w:szCs w:val="20"/>
        </w:rPr>
        <w:t>Controls required.</w:t>
      </w:r>
      <w:r w:rsidRPr="00364AC5">
        <w:rPr>
          <w:rFonts w:ascii="Arial" w:eastAsia="Times New Roman" w:hAnsi="Arial" w:cs="Arial"/>
          <w:sz w:val="20"/>
          <w:szCs w:val="20"/>
        </w:rPr>
        <w:t xml:space="preserve"> (1) The projected emissions of any air pollutant which significantly affect the air quality of an onshore area shall be reduced through the application of BACT.</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lastRenderedPageBreak/>
        <w:t>(2) The lessee shall submit a compliance schedule for the application of BACT. If it is necessary to cease operations to allow for the installation of emission controls, the lessee may apply for a suspension of operations under the provisions of 30 CFR 250.174.</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 xml:space="preserve">(f) </w:t>
      </w:r>
      <w:r w:rsidRPr="00364AC5">
        <w:rPr>
          <w:rFonts w:ascii="Arial" w:eastAsia="Times New Roman" w:hAnsi="Arial" w:cs="Arial"/>
          <w:i/>
          <w:iCs/>
          <w:sz w:val="20"/>
          <w:szCs w:val="20"/>
        </w:rPr>
        <w:t>Review of facilities with emissions below the exemption amount.</w:t>
      </w:r>
      <w:r w:rsidRPr="00364AC5">
        <w:rPr>
          <w:rFonts w:ascii="Arial" w:eastAsia="Times New Roman" w:hAnsi="Arial" w:cs="Arial"/>
          <w:sz w:val="20"/>
          <w:szCs w:val="20"/>
        </w:rPr>
        <w:t xml:space="preserve"> If, during the review of the information required under paragraph (a)(6) of this section, the Regional Supervisor determines or an affected State submits information to the Regional Supervisor which demonstrates, in the judgment of the Regional Supervisor, that projected emissions from an otherwise exempt facility will, either individually or in combination with other facilities in the area, significantly affect the air quality of an onshore area, then the Regional Supervisor shall require the lessee to submit additional information to determine whether control measures are necessary. The lessee shall be given the opportunity to present information to the Regional Supervisor which demonstrates that the exempt facility is not significantly affecting the air quality of an onshore area of the State.</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 xml:space="preserve">(g) </w:t>
      </w:r>
      <w:r w:rsidRPr="00364AC5">
        <w:rPr>
          <w:rFonts w:ascii="Arial" w:eastAsia="Times New Roman" w:hAnsi="Arial" w:cs="Arial"/>
          <w:i/>
          <w:iCs/>
          <w:sz w:val="20"/>
          <w:szCs w:val="20"/>
        </w:rPr>
        <w:t>Emission monitoring requirements.</w:t>
      </w:r>
      <w:r w:rsidRPr="00364AC5">
        <w:rPr>
          <w:rFonts w:ascii="Arial" w:eastAsia="Times New Roman" w:hAnsi="Arial" w:cs="Arial"/>
          <w:sz w:val="20"/>
          <w:szCs w:val="20"/>
        </w:rPr>
        <w:t xml:space="preserve"> The lessee shall monitor, in a manner approved or prescribed by the Regional Supervisor, emissions from the facility following the installation of emission controls. The lessee shall submit this information monthly in a manner and form approved or prescribed by the Regional Supervisor.</w:t>
      </w:r>
    </w:p>
    <w:p w:rsidR="00364AC5" w:rsidRPr="00364AC5" w:rsidRDefault="00364AC5" w:rsidP="00364AC5">
      <w:pPr>
        <w:spacing w:before="100" w:beforeAutospacing="1" w:after="100" w:afterAutospacing="1" w:line="240" w:lineRule="auto"/>
        <w:ind w:firstLine="480"/>
        <w:jc w:val="center"/>
        <w:rPr>
          <w:rFonts w:ascii="Arial" w:eastAsia="Times New Roman" w:hAnsi="Arial" w:cs="Arial"/>
          <w:sz w:val="20"/>
          <w:szCs w:val="20"/>
        </w:rPr>
      </w:pPr>
      <w:r w:rsidRPr="00364AC5">
        <w:rPr>
          <w:rFonts w:ascii="Arial" w:eastAsia="Times New Roman" w:hAnsi="Arial" w:cs="Arial"/>
          <w:sz w:val="20"/>
          <w:szCs w:val="20"/>
        </w:rPr>
        <w:t xml:space="preserve">(h) </w:t>
      </w:r>
      <w:r w:rsidRPr="00364AC5">
        <w:rPr>
          <w:rFonts w:ascii="Arial" w:eastAsia="Times New Roman" w:hAnsi="Arial" w:cs="Arial"/>
          <w:i/>
          <w:iCs/>
          <w:sz w:val="20"/>
          <w:szCs w:val="20"/>
        </w:rPr>
        <w:t>Collection of meteorological data.</w:t>
      </w:r>
      <w:r w:rsidRPr="00364AC5">
        <w:rPr>
          <w:rFonts w:ascii="Arial" w:eastAsia="Times New Roman" w:hAnsi="Arial" w:cs="Arial"/>
          <w:sz w:val="20"/>
          <w:szCs w:val="20"/>
        </w:rPr>
        <w:t xml:space="preserve"> The Regional Supervisor may require the lessee to collect, for a period of time and in a manner approved or prescribed by the Regional Supervisor, and submit meteorological data from a facility.</w:t>
      </w:r>
    </w:p>
    <w:p w:rsidR="00364AC5" w:rsidRPr="00364AC5" w:rsidRDefault="00364AC5" w:rsidP="00364AC5">
      <w:pPr>
        <w:spacing w:before="200" w:after="100" w:afterAutospacing="1" w:line="240" w:lineRule="auto"/>
        <w:rPr>
          <w:rFonts w:ascii="Arial" w:eastAsia="Times New Roman" w:hAnsi="Arial" w:cs="Arial"/>
          <w:sz w:val="20"/>
          <w:szCs w:val="20"/>
        </w:rPr>
      </w:pPr>
      <w:hyperlink r:id="rId18" w:anchor="_top" w:history="1">
        <w:r>
          <w:rPr>
            <w:rFonts w:ascii="Arial" w:eastAsia="Times New Roman" w:hAnsi="Arial" w:cs="Arial"/>
            <w:noProof/>
            <w:color w:val="0000FF"/>
            <w:sz w:val="17"/>
            <w:szCs w:val="17"/>
          </w:rPr>
          <w:drawing>
            <wp:inline distT="0" distB="0" distL="0" distR="0">
              <wp:extent cx="152400" cy="152400"/>
              <wp:effectExtent l="0" t="0" r="0" b="0"/>
              <wp:docPr id="1" name="Picture 1" descr="return arrow">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arrow">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64AC5">
          <w:rPr>
            <w:rFonts w:ascii="Arial" w:eastAsia="Times New Roman" w:hAnsi="Arial" w:cs="Arial"/>
            <w:color w:val="0000FF"/>
            <w:sz w:val="17"/>
            <w:szCs w:val="17"/>
          </w:rPr>
          <w:t>Back to Top</w:t>
        </w:r>
      </w:hyperlink>
    </w:p>
    <w:p w:rsidR="00F24A10" w:rsidRDefault="00364AC5">
      <w:bookmarkStart w:id="5" w:name="_GoBack"/>
      <w:bookmarkEnd w:id="5"/>
    </w:p>
    <w:sectPr w:rsidR="00F24A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AC5"/>
    <w:rsid w:val="00364AC5"/>
    <w:rsid w:val="003E0892"/>
    <w:rsid w:val="004A1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64AC5"/>
    <w:pPr>
      <w:spacing w:before="200" w:after="100" w:line="240" w:lineRule="auto"/>
      <w:jc w:val="cente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4AC5"/>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64AC5"/>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364AC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364AC5"/>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fp">
    <w:name w:val="fp"/>
    <w:basedOn w:val="Normal"/>
    <w:rsid w:val="00364AC5"/>
    <w:pPr>
      <w:spacing w:before="200"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364AC5"/>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364AC5"/>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character" w:customStyle="1" w:styleId="su1">
    <w:name w:val="su1"/>
    <w:basedOn w:val="DefaultParagraphFont"/>
    <w:rsid w:val="00364AC5"/>
    <w:rPr>
      <w:smallCaps w:val="0"/>
      <w:sz w:val="17"/>
      <w:szCs w:val="17"/>
      <w:vertAlign w:val="superscript"/>
    </w:rPr>
  </w:style>
  <w:style w:type="paragraph" w:customStyle="1" w:styleId="gpotblnote">
    <w:name w:val="gpotbl_note"/>
    <w:basedOn w:val="Normal"/>
    <w:rsid w:val="00364AC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A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64AC5"/>
    <w:pPr>
      <w:spacing w:before="200" w:after="100" w:line="240" w:lineRule="auto"/>
      <w:jc w:val="cente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4AC5"/>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64AC5"/>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364AC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364AC5"/>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fp">
    <w:name w:val="fp"/>
    <w:basedOn w:val="Normal"/>
    <w:rsid w:val="00364AC5"/>
    <w:pPr>
      <w:spacing w:before="200"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364AC5"/>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364AC5"/>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character" w:customStyle="1" w:styleId="su1">
    <w:name w:val="su1"/>
    <w:basedOn w:val="DefaultParagraphFont"/>
    <w:rsid w:val="00364AC5"/>
    <w:rPr>
      <w:smallCaps w:val="0"/>
      <w:sz w:val="17"/>
      <w:szCs w:val="17"/>
      <w:vertAlign w:val="superscript"/>
    </w:rPr>
  </w:style>
  <w:style w:type="paragraph" w:customStyle="1" w:styleId="gpotblnote">
    <w:name w:val="gpotbl_note"/>
    <w:basedOn w:val="Normal"/>
    <w:rsid w:val="00364AC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A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985963">
      <w:bodyDiv w:val="1"/>
      <w:marLeft w:val="0"/>
      <w:marRight w:val="0"/>
      <w:marTop w:val="30"/>
      <w:marBottom w:val="750"/>
      <w:divBdr>
        <w:top w:val="none" w:sz="0" w:space="0" w:color="auto"/>
        <w:left w:val="none" w:sz="0" w:space="0" w:color="auto"/>
        <w:bottom w:val="none" w:sz="0" w:space="0" w:color="auto"/>
        <w:right w:val="none" w:sz="0" w:space="0" w:color="auto"/>
      </w:divBdr>
      <w:divsChild>
        <w:div w:id="1131631293">
          <w:marLeft w:val="0"/>
          <w:marRight w:val="0"/>
          <w:marTop w:val="0"/>
          <w:marBottom w:val="0"/>
          <w:divBdr>
            <w:top w:val="none" w:sz="0" w:space="0" w:color="auto"/>
            <w:left w:val="none" w:sz="0" w:space="0" w:color="auto"/>
            <w:bottom w:val="none" w:sz="0" w:space="0" w:color="auto"/>
            <w:right w:val="none" w:sz="0" w:space="0" w:color="auto"/>
          </w:divBdr>
          <w:divsChild>
            <w:div w:id="1579241767">
              <w:marLeft w:val="0"/>
              <w:marRight w:val="0"/>
              <w:marTop w:val="0"/>
              <w:marBottom w:val="0"/>
              <w:divBdr>
                <w:top w:val="none" w:sz="0" w:space="0" w:color="auto"/>
                <w:left w:val="none" w:sz="0" w:space="0" w:color="auto"/>
                <w:bottom w:val="none" w:sz="0" w:space="0" w:color="auto"/>
                <w:right w:val="none" w:sz="0" w:space="0" w:color="auto"/>
              </w:divBdr>
            </w:div>
            <w:div w:id="1655984651">
              <w:marLeft w:val="0"/>
              <w:marRight w:val="0"/>
              <w:marTop w:val="0"/>
              <w:marBottom w:val="0"/>
              <w:divBdr>
                <w:top w:val="none" w:sz="0" w:space="0" w:color="auto"/>
                <w:left w:val="none" w:sz="0" w:space="0" w:color="auto"/>
                <w:bottom w:val="none" w:sz="0" w:space="0" w:color="auto"/>
                <w:right w:val="none" w:sz="0" w:space="0" w:color="auto"/>
              </w:divBdr>
            </w:div>
            <w:div w:id="525142229">
              <w:marLeft w:val="0"/>
              <w:marRight w:val="0"/>
              <w:marTop w:val="0"/>
              <w:marBottom w:val="0"/>
              <w:divBdr>
                <w:top w:val="none" w:sz="0" w:space="0" w:color="auto"/>
                <w:left w:val="none" w:sz="0" w:space="0" w:color="auto"/>
                <w:bottom w:val="none" w:sz="0" w:space="0" w:color="auto"/>
                <w:right w:val="none" w:sz="0" w:space="0" w:color="auto"/>
              </w:divBdr>
            </w:div>
            <w:div w:id="1756852360">
              <w:marLeft w:val="0"/>
              <w:marRight w:val="0"/>
              <w:marTop w:val="0"/>
              <w:marBottom w:val="0"/>
              <w:divBdr>
                <w:top w:val="none" w:sz="0" w:space="0" w:color="auto"/>
                <w:left w:val="none" w:sz="0" w:space="0" w:color="auto"/>
                <w:bottom w:val="none" w:sz="0" w:space="0" w:color="auto"/>
                <w:right w:val="none" w:sz="0" w:space="0" w:color="auto"/>
              </w:divBdr>
            </w:div>
            <w:div w:id="2052342326">
              <w:marLeft w:val="0"/>
              <w:marRight w:val="0"/>
              <w:marTop w:val="0"/>
              <w:marBottom w:val="0"/>
              <w:divBdr>
                <w:top w:val="none" w:sz="0" w:space="0" w:color="auto"/>
                <w:left w:val="none" w:sz="0" w:space="0" w:color="auto"/>
                <w:bottom w:val="none" w:sz="0" w:space="0" w:color="auto"/>
                <w:right w:val="none" w:sz="0" w:space="0" w:color="auto"/>
              </w:divBdr>
              <w:divsChild>
                <w:div w:id="751853541">
                  <w:marLeft w:val="0"/>
                  <w:marRight w:val="0"/>
                  <w:marTop w:val="0"/>
                  <w:marBottom w:val="0"/>
                  <w:divBdr>
                    <w:top w:val="none" w:sz="0" w:space="0" w:color="auto"/>
                    <w:left w:val="none" w:sz="0" w:space="0" w:color="auto"/>
                    <w:bottom w:val="none" w:sz="0" w:space="0" w:color="auto"/>
                    <w:right w:val="none" w:sz="0" w:space="0" w:color="auto"/>
                  </w:divBdr>
                </w:div>
                <w:div w:id="1966889680">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882668220">
              <w:marLeft w:val="0"/>
              <w:marRight w:val="0"/>
              <w:marTop w:val="0"/>
              <w:marBottom w:val="0"/>
              <w:divBdr>
                <w:top w:val="none" w:sz="0" w:space="0" w:color="auto"/>
                <w:left w:val="none" w:sz="0" w:space="0" w:color="auto"/>
                <w:bottom w:val="none" w:sz="0" w:space="0" w:color="auto"/>
                <w:right w:val="none" w:sz="0" w:space="0" w:color="auto"/>
              </w:divBdr>
              <w:divsChild>
                <w:div w:id="802432331">
                  <w:marLeft w:val="0"/>
                  <w:marRight w:val="0"/>
                  <w:marTop w:val="0"/>
                  <w:marBottom w:val="0"/>
                  <w:divBdr>
                    <w:top w:val="none" w:sz="0" w:space="0" w:color="auto"/>
                    <w:left w:val="none" w:sz="0" w:space="0" w:color="auto"/>
                    <w:bottom w:val="none" w:sz="0" w:space="0" w:color="auto"/>
                    <w:right w:val="none" w:sz="0" w:space="0" w:color="auto"/>
                  </w:divBdr>
                </w:div>
                <w:div w:id="79448324">
                  <w:marLeft w:val="0"/>
                  <w:marRight w:val="0"/>
                  <w:marTop w:val="0"/>
                  <w:marBottom w:val="0"/>
                  <w:divBdr>
                    <w:top w:val="single" w:sz="12" w:space="0" w:color="000000"/>
                    <w:left w:val="single" w:sz="12" w:space="0" w:color="000000"/>
                    <w:bottom w:val="single" w:sz="12" w:space="0" w:color="000000"/>
                    <w:right w:val="single" w:sz="12" w:space="0" w:color="000000"/>
                  </w:divBdr>
                </w:div>
                <w:div w:id="870148832">
                  <w:marLeft w:val="0"/>
                  <w:marRight w:val="0"/>
                  <w:marTop w:val="0"/>
                  <w:marBottom w:val="0"/>
                  <w:divBdr>
                    <w:top w:val="none" w:sz="0" w:space="0" w:color="auto"/>
                    <w:left w:val="none" w:sz="0" w:space="0" w:color="auto"/>
                    <w:bottom w:val="none" w:sz="0" w:space="0" w:color="auto"/>
                    <w:right w:val="none" w:sz="0" w:space="0" w:color="auto"/>
                  </w:divBdr>
                </w:div>
              </w:divsChild>
            </w:div>
            <w:div w:id="1073695026">
              <w:marLeft w:val="0"/>
              <w:marRight w:val="0"/>
              <w:marTop w:val="0"/>
              <w:marBottom w:val="0"/>
              <w:divBdr>
                <w:top w:val="none" w:sz="0" w:space="0" w:color="auto"/>
                <w:left w:val="none" w:sz="0" w:space="0" w:color="auto"/>
                <w:bottom w:val="none" w:sz="0" w:space="0" w:color="auto"/>
                <w:right w:val="none" w:sz="0" w:space="0" w:color="auto"/>
              </w:divBdr>
            </w:div>
            <w:div w:id="432288676">
              <w:marLeft w:val="0"/>
              <w:marRight w:val="0"/>
              <w:marTop w:val="0"/>
              <w:marBottom w:val="0"/>
              <w:divBdr>
                <w:top w:val="none" w:sz="0" w:space="0" w:color="auto"/>
                <w:left w:val="none" w:sz="0" w:space="0" w:color="auto"/>
                <w:bottom w:val="none" w:sz="0" w:space="0" w:color="auto"/>
                <w:right w:val="none" w:sz="0" w:space="0" w:color="auto"/>
              </w:divBdr>
              <w:divsChild>
                <w:div w:id="399643092">
                  <w:marLeft w:val="0"/>
                  <w:marRight w:val="0"/>
                  <w:marTop w:val="0"/>
                  <w:marBottom w:val="0"/>
                  <w:divBdr>
                    <w:top w:val="none" w:sz="0" w:space="0" w:color="auto"/>
                    <w:left w:val="none" w:sz="0" w:space="0" w:color="auto"/>
                    <w:bottom w:val="none" w:sz="0" w:space="0" w:color="auto"/>
                    <w:right w:val="none" w:sz="0" w:space="0" w:color="auto"/>
                  </w:divBdr>
                </w:div>
                <w:div w:id="1766806214">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7146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SID=ddbfdd9e9d4dd65540ac43d86c42bd70&amp;node=30:2.0.3.5.2.3&amp;rgn=div6" TargetMode="External"/><Relationship Id="rId13" Type="http://schemas.openxmlformats.org/officeDocument/2006/relationships/hyperlink" Target="http://www.ecfr.gov/cgi-bin/text-idx?SID=ddbfdd9e9d4dd65540ac43d86c42bd70&amp;node=30:2.0.3.5.2.3&amp;rgn=div6#_top" TargetMode="External"/><Relationship Id="rId18" Type="http://schemas.openxmlformats.org/officeDocument/2006/relationships/hyperlink" Target="http://www.ecfr.gov/cgi-bin/text-idx?SID=ddbfdd9e9d4dd65540ac43d86c42bd70&amp;node=30:2.0.3.5.2.3&amp;rgn=div6" TargetMode="External"/><Relationship Id="rId3" Type="http://schemas.openxmlformats.org/officeDocument/2006/relationships/settings" Target="settings.xml"/><Relationship Id="rId7" Type="http://schemas.openxmlformats.org/officeDocument/2006/relationships/hyperlink" Target="http://www.ecfr.gov/cgi-bin/retrieveECFR?gp=&amp;SID=ddbfdd9e9d4dd65540ac43d86c42bd70&amp;n=30y2.0.3.5.2&amp;r=PART&amp;ty=HTML" TargetMode="External"/><Relationship Id="rId12" Type="http://schemas.openxmlformats.org/officeDocument/2006/relationships/hyperlink" Target="http://www.ecfr.gov/cgi-bin/text-idx?SID=ddbfdd9e9d4dd65540ac43d86c42bd70&amp;node=30:2.0.3.5.2.3&amp;rgn=div6" TargetMode="External"/><Relationship Id="rId17" Type="http://schemas.openxmlformats.org/officeDocument/2006/relationships/hyperlink" Target="http://www.ecfr.gov/cgi-bin/text-idx?SID=ddbfdd9e9d4dd65540ac43d86c42bd70&amp;node=30:2.0.3.5.2.3&amp;rgn=div6" TargetMode="External"/><Relationship Id="rId2" Type="http://schemas.microsoft.com/office/2007/relationships/stylesWithEffects" Target="stylesWithEffects.xml"/><Relationship Id="rId16" Type="http://schemas.openxmlformats.org/officeDocument/2006/relationships/hyperlink" Target="http://www.ecfr.gov/cgi-bin/text-idx?SID=ddbfdd9e9d4dd65540ac43d86c42bd70&amp;node=30:2.0.3.5.2.3&amp;rgn=div6"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cfr.gov/cgi-bin/retrieveECFR?gp=&amp;SID=ddbfdd9e9d4dd65540ac43d86c42bd70&amp;r=SUBPART&amp;n=30y2.0.3.5.2.4" TargetMode="External"/><Relationship Id="rId11" Type="http://schemas.openxmlformats.org/officeDocument/2006/relationships/hyperlink" Target="http://www.ecfr.gov/cgi-bin/text-idx?SID=ddbfdd9e9d4dd65540ac43d86c42bd70&amp;node=30:2.0.3.5.2.3&amp;rgn=div6" TargetMode="External"/><Relationship Id="rId5" Type="http://schemas.openxmlformats.org/officeDocument/2006/relationships/hyperlink" Target="http://www.ecfr.gov/cgi-bin/retrieveECFR?gp=&amp;SID=ddbfdd9e9d4dd65540ac43d86c42bd70&amp;r=SUBPART&amp;n=30y2.0.3.5.2.2" TargetMode="External"/><Relationship Id="rId15" Type="http://schemas.openxmlformats.org/officeDocument/2006/relationships/hyperlink" Target="http://www.ecfr.gov/cgi-bin/text-idx?SID=ddbfdd9e9d4dd65540ac43d86c42bd70&amp;node=30:2.0.3.5.2.3&amp;rgn=div6" TargetMode="External"/><Relationship Id="rId10" Type="http://schemas.openxmlformats.org/officeDocument/2006/relationships/hyperlink" Target="http://www.ecfr.gov/cgi-bin/text-idx?SID=ddbfdd9e9d4dd65540ac43d86c42bd70&amp;node=30:2.0.3.5.2.3&amp;rgn=div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cfr.gov/cgi-bin/text-idx?SID=ddbfdd9e9d4dd65540ac43d86c42bd70&amp;node=30:2.0.3.5.2.3&amp;rgn=div6" TargetMode="External"/><Relationship Id="rId1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3162</Words>
  <Characters>18026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21146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Bajusz, Arlene</dc:creator>
  <cp:lastModifiedBy>Bajusz, Arlene</cp:lastModifiedBy>
  <cp:revision>1</cp:revision>
  <dcterms:created xsi:type="dcterms:W3CDTF">2013-10-31T19:14:00Z</dcterms:created>
  <dcterms:modified xsi:type="dcterms:W3CDTF">2013-10-31T19:15:00Z</dcterms:modified>
</cp:coreProperties>
</file>