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C16" w:rsidRPr="00BB35AC" w:rsidRDefault="00924C16">
      <w:pPr>
        <w:widowControl/>
        <w:tabs>
          <w:tab w:val="center" w:pos="4680"/>
        </w:tabs>
        <w:rPr>
          <w:rFonts w:ascii="Times New Roman" w:hAnsi="Times New Roman"/>
        </w:rPr>
      </w:pPr>
      <w:r w:rsidRPr="00BB35AC">
        <w:rPr>
          <w:rFonts w:ascii="Times New Roman" w:hAnsi="Times New Roman"/>
        </w:rPr>
        <w:tab/>
      </w:r>
      <w:r w:rsidRPr="00BB35AC">
        <w:rPr>
          <w:rFonts w:ascii="Times New Roman" w:hAnsi="Times New Roman"/>
          <w:b/>
          <w:bCs/>
        </w:rPr>
        <w:t>Supporting Statement for Paperwork Reduction Act Submission</w:t>
      </w:r>
    </w:p>
    <w:p w:rsidR="00924C16" w:rsidRPr="00BB35AC" w:rsidRDefault="00924C16">
      <w:pPr>
        <w:widowControl/>
        <w:rPr>
          <w:rFonts w:ascii="Times New Roman" w:hAnsi="Times New Roman"/>
        </w:rPr>
      </w:pPr>
    </w:p>
    <w:p w:rsidR="00924C16" w:rsidRPr="00BB35AC" w:rsidRDefault="00924C16">
      <w:pPr>
        <w:widowControl/>
        <w:rPr>
          <w:rFonts w:ascii="Times New Roman" w:hAnsi="Times New Roman"/>
        </w:rPr>
      </w:pPr>
    </w:p>
    <w:p w:rsidR="00924C16" w:rsidRPr="00BB35AC" w:rsidRDefault="00924C16">
      <w:pPr>
        <w:widowControl/>
        <w:rPr>
          <w:rFonts w:ascii="Times New Roman" w:hAnsi="Times New Roman"/>
        </w:rPr>
      </w:pPr>
      <w:r w:rsidRPr="00BB35AC">
        <w:rPr>
          <w:rFonts w:ascii="Times New Roman" w:hAnsi="Times New Roman"/>
          <w:b/>
          <w:bCs/>
        </w:rPr>
        <w:t>AGENCY:</w:t>
      </w:r>
      <w:r w:rsidRPr="00BB35AC">
        <w:rPr>
          <w:rFonts w:ascii="Times New Roman" w:hAnsi="Times New Roman"/>
        </w:rPr>
        <w:tab/>
        <w:t xml:space="preserve">Pension Benefit Guaranty Corporation </w:t>
      </w:r>
    </w:p>
    <w:p w:rsidR="00924C16" w:rsidRPr="00BB35AC" w:rsidRDefault="00924C16">
      <w:pPr>
        <w:widowControl/>
        <w:rPr>
          <w:rFonts w:ascii="Times New Roman" w:hAnsi="Times New Roman"/>
        </w:rPr>
      </w:pPr>
    </w:p>
    <w:p w:rsidR="00924C16" w:rsidRPr="00BB35AC" w:rsidRDefault="00924C16">
      <w:pPr>
        <w:widowControl/>
        <w:tabs>
          <w:tab w:val="left" w:pos="-1440"/>
        </w:tabs>
        <w:ind w:left="1440" w:hanging="1440"/>
        <w:rPr>
          <w:rFonts w:ascii="Times New Roman" w:hAnsi="Times New Roman"/>
        </w:rPr>
      </w:pPr>
      <w:r w:rsidRPr="00BB35AC">
        <w:rPr>
          <w:rFonts w:ascii="Times New Roman" w:hAnsi="Times New Roman"/>
          <w:b/>
          <w:bCs/>
        </w:rPr>
        <w:t>TITLE:</w:t>
      </w:r>
      <w:r w:rsidRPr="00BB35AC">
        <w:rPr>
          <w:rFonts w:ascii="Times New Roman" w:hAnsi="Times New Roman"/>
        </w:rPr>
        <w:tab/>
        <w:t xml:space="preserve">Mergers and Transfers Between Multiemployer Plans (29 CFR Part 4231) </w:t>
      </w:r>
    </w:p>
    <w:p w:rsidR="00924C16" w:rsidRPr="00BB35AC" w:rsidRDefault="00924C16">
      <w:pPr>
        <w:widowControl/>
        <w:rPr>
          <w:rFonts w:ascii="Times New Roman" w:hAnsi="Times New Roman"/>
        </w:rPr>
      </w:pPr>
    </w:p>
    <w:p w:rsidR="00924C16" w:rsidRPr="00BB35AC" w:rsidRDefault="00924C16">
      <w:pPr>
        <w:widowControl/>
        <w:tabs>
          <w:tab w:val="left" w:pos="-1440"/>
        </w:tabs>
        <w:ind w:left="1440" w:hanging="1440"/>
        <w:rPr>
          <w:rFonts w:ascii="Times New Roman" w:hAnsi="Times New Roman"/>
        </w:rPr>
      </w:pPr>
      <w:r w:rsidRPr="00BB35AC">
        <w:rPr>
          <w:rFonts w:ascii="Times New Roman" w:hAnsi="Times New Roman"/>
          <w:b/>
          <w:bCs/>
        </w:rPr>
        <w:t>STATUS:</w:t>
      </w:r>
      <w:r w:rsidRPr="00BB35AC">
        <w:rPr>
          <w:rFonts w:ascii="Times New Roman" w:hAnsi="Times New Roman"/>
        </w:rPr>
        <w:tab/>
      </w:r>
      <w:r w:rsidR="00F9454A" w:rsidRPr="00F9454A">
        <w:rPr>
          <w:rFonts w:ascii="Times New Roman" w:hAnsi="Times New Roman"/>
        </w:rPr>
        <w:t>Request for approval of a revision of a currently approved collection</w:t>
      </w:r>
      <w:r w:rsidRPr="00BB35AC">
        <w:rPr>
          <w:rFonts w:ascii="Times New Roman" w:hAnsi="Times New Roman"/>
        </w:rPr>
        <w:t xml:space="preserve"> (OMB control number 1212</w:t>
      </w:r>
      <w:r w:rsidR="00C67E73" w:rsidRPr="00BB35AC">
        <w:rPr>
          <w:rFonts w:ascii="Times New Roman" w:hAnsi="Times New Roman"/>
        </w:rPr>
        <w:noBreakHyphen/>
        <w:t xml:space="preserve">0022; expires </w:t>
      </w:r>
      <w:r w:rsidR="00E03C6F">
        <w:rPr>
          <w:rFonts w:ascii="Times New Roman" w:hAnsi="Times New Roman"/>
        </w:rPr>
        <w:t>June 30</w:t>
      </w:r>
      <w:r w:rsidR="00C67E73" w:rsidRPr="00BB35AC">
        <w:rPr>
          <w:rFonts w:ascii="Times New Roman" w:hAnsi="Times New Roman"/>
        </w:rPr>
        <w:t>, 201</w:t>
      </w:r>
      <w:r w:rsidR="00F9454A">
        <w:rPr>
          <w:rFonts w:ascii="Times New Roman" w:hAnsi="Times New Roman"/>
        </w:rPr>
        <w:t>7</w:t>
      </w:r>
      <w:r w:rsidRPr="00BB35AC">
        <w:rPr>
          <w:rFonts w:ascii="Times New Roman" w:hAnsi="Times New Roman"/>
        </w:rPr>
        <w:t xml:space="preserve">) </w:t>
      </w:r>
    </w:p>
    <w:p w:rsidR="00924C16" w:rsidRPr="00BB35AC" w:rsidRDefault="00924C16">
      <w:pPr>
        <w:widowControl/>
        <w:rPr>
          <w:rFonts w:ascii="Times New Roman" w:hAnsi="Times New Roman"/>
        </w:rPr>
      </w:pPr>
    </w:p>
    <w:p w:rsidR="00924C16" w:rsidRPr="00BB35AC" w:rsidRDefault="00924C16" w:rsidP="0086441D">
      <w:pPr>
        <w:widowControl/>
        <w:ind w:left="1440" w:hanging="1440"/>
        <w:rPr>
          <w:rFonts w:ascii="Times New Roman" w:hAnsi="Times New Roman"/>
        </w:rPr>
      </w:pPr>
      <w:r w:rsidRPr="00BB35AC">
        <w:rPr>
          <w:rFonts w:ascii="Times New Roman" w:hAnsi="Times New Roman"/>
          <w:b/>
          <w:bCs/>
        </w:rPr>
        <w:t>CONTACT:</w:t>
      </w:r>
      <w:r w:rsidR="00E90A19" w:rsidRPr="00BB35AC">
        <w:rPr>
          <w:rFonts w:ascii="Times New Roman" w:hAnsi="Times New Roman"/>
        </w:rPr>
        <w:tab/>
      </w:r>
      <w:r w:rsidR="00C10020">
        <w:rPr>
          <w:rFonts w:ascii="Times New Roman" w:hAnsi="Times New Roman"/>
        </w:rPr>
        <w:t>Daniel S. Liebman</w:t>
      </w:r>
      <w:r w:rsidR="00E90A19" w:rsidRPr="00BB35AC">
        <w:rPr>
          <w:rFonts w:ascii="Times New Roman" w:hAnsi="Times New Roman"/>
        </w:rPr>
        <w:t xml:space="preserve"> (326</w:t>
      </w:r>
      <w:r w:rsidR="00E90A19" w:rsidRPr="00BB35AC">
        <w:rPr>
          <w:rFonts w:ascii="Times New Roman" w:hAnsi="Times New Roman"/>
        </w:rPr>
        <w:noBreakHyphen/>
      </w:r>
      <w:r w:rsidR="002D73F1">
        <w:rPr>
          <w:rFonts w:ascii="Times New Roman" w:hAnsi="Times New Roman"/>
        </w:rPr>
        <w:t>4400</w:t>
      </w:r>
      <w:r w:rsidR="002D73F1" w:rsidRPr="00BB35AC">
        <w:rPr>
          <w:rFonts w:ascii="Times New Roman" w:hAnsi="Times New Roman"/>
        </w:rPr>
        <w:t xml:space="preserve"> </w:t>
      </w:r>
      <w:r w:rsidR="00C10020" w:rsidRPr="00BB35AC">
        <w:rPr>
          <w:rFonts w:ascii="Times New Roman" w:hAnsi="Times New Roman"/>
        </w:rPr>
        <w:t>x</w:t>
      </w:r>
      <w:r w:rsidR="00C10020">
        <w:rPr>
          <w:rFonts w:ascii="Times New Roman" w:hAnsi="Times New Roman"/>
        </w:rPr>
        <w:t>6510</w:t>
      </w:r>
      <w:r w:rsidRPr="00BB35AC">
        <w:rPr>
          <w:rFonts w:ascii="Times New Roman" w:hAnsi="Times New Roman"/>
        </w:rPr>
        <w:t xml:space="preserve">) </w:t>
      </w:r>
    </w:p>
    <w:p w:rsidR="00924C16" w:rsidRPr="00BB35AC" w:rsidRDefault="00924C16">
      <w:pPr>
        <w:widowControl/>
        <w:rPr>
          <w:rFonts w:ascii="Times New Roman" w:hAnsi="Times New Roman"/>
        </w:rPr>
      </w:pPr>
    </w:p>
    <w:p w:rsidR="00924C16" w:rsidRPr="00BB35AC" w:rsidRDefault="00924C16">
      <w:pPr>
        <w:widowControl/>
        <w:rPr>
          <w:rFonts w:ascii="Times New Roman" w:hAnsi="Times New Roman"/>
        </w:rPr>
      </w:pPr>
    </w:p>
    <w:p w:rsidR="00924C16" w:rsidRPr="00BB35AC" w:rsidRDefault="00924C16">
      <w:pPr>
        <w:widowControl/>
        <w:spacing w:line="480" w:lineRule="auto"/>
        <w:ind w:firstLine="720"/>
        <w:rPr>
          <w:rFonts w:ascii="Times New Roman" w:hAnsi="Times New Roman"/>
        </w:rPr>
      </w:pPr>
      <w:r w:rsidRPr="00BB35AC">
        <w:rPr>
          <w:rFonts w:ascii="Times New Roman" w:hAnsi="Times New Roman"/>
        </w:rPr>
        <w:t xml:space="preserve">1.  </w:t>
      </w:r>
      <w:r w:rsidRPr="00BB35AC">
        <w:rPr>
          <w:rFonts w:ascii="Times New Roman" w:hAnsi="Times New Roman"/>
          <w:u w:val="single"/>
        </w:rPr>
        <w:t>Need for collection.</w:t>
      </w:r>
      <w:r w:rsidRPr="00BB35AC">
        <w:rPr>
          <w:rFonts w:ascii="Times New Roman" w:hAnsi="Times New Roman"/>
        </w:rPr>
        <w:t xml:space="preserve">  Section 4231(a) and (b) of the Employee Retirement Income Security Act of 1974 (ERISA) imposes four requirements on multiemployer plans that are involved in mergers and transfers</w:t>
      </w:r>
      <w:r w:rsidR="007831A3">
        <w:rPr>
          <w:rFonts w:ascii="Times New Roman" w:hAnsi="Times New Roman"/>
        </w:rPr>
        <w:t xml:space="preserve"> (“[u]nless otherwise provided in regulations prescribed by the corporation”)</w:t>
      </w:r>
      <w:r w:rsidRPr="00BB35AC">
        <w:rPr>
          <w:rFonts w:ascii="Times New Roman" w:hAnsi="Times New Roman"/>
        </w:rPr>
        <w:t xml:space="preserve">: </w:t>
      </w:r>
    </w:p>
    <w:p w:rsidR="00924C16" w:rsidRPr="00BB35AC" w:rsidRDefault="002D73F1" w:rsidP="00046641">
      <w:pPr>
        <w:widowControl/>
        <w:numPr>
          <w:ilvl w:val="0"/>
          <w:numId w:val="1"/>
        </w:numPr>
        <w:tabs>
          <w:tab w:val="left" w:pos="-1440"/>
          <w:tab w:val="left" w:pos="-720"/>
          <w:tab w:val="left" w:pos="0"/>
          <w:tab w:val="decimal" w:pos="720"/>
        </w:tabs>
        <w:rPr>
          <w:rFonts w:ascii="Times New Roman" w:hAnsi="Times New Roman"/>
        </w:rPr>
      </w:pPr>
      <w:r>
        <w:rPr>
          <w:rFonts w:ascii="Times New Roman" w:hAnsi="Times New Roman"/>
        </w:rPr>
        <w:t>N</w:t>
      </w:r>
      <w:r w:rsidRPr="00BB35AC">
        <w:rPr>
          <w:rFonts w:ascii="Times New Roman" w:hAnsi="Times New Roman"/>
        </w:rPr>
        <w:t xml:space="preserve">otice </w:t>
      </w:r>
      <w:r w:rsidR="00924C16" w:rsidRPr="00BB35AC">
        <w:rPr>
          <w:rFonts w:ascii="Times New Roman" w:hAnsi="Times New Roman"/>
        </w:rPr>
        <w:t>must be given to the Pension Benefit Guaranty Corporation (PBGC) at least</w:t>
      </w:r>
      <w:r w:rsidR="006D0BF8">
        <w:rPr>
          <w:rFonts w:ascii="Times New Roman" w:hAnsi="Times New Roman"/>
        </w:rPr>
        <w:t xml:space="preserve"> </w:t>
      </w:r>
      <w:r w:rsidR="00924C16" w:rsidRPr="00BB35AC">
        <w:rPr>
          <w:rFonts w:ascii="Times New Roman" w:hAnsi="Times New Roman"/>
        </w:rPr>
        <w:t>120 days before the transaction</w:t>
      </w:r>
      <w:r>
        <w:rPr>
          <w:rFonts w:ascii="Times New Roman" w:hAnsi="Times New Roman"/>
        </w:rPr>
        <w:t>.</w:t>
      </w:r>
      <w:r w:rsidRPr="00BB35AC">
        <w:rPr>
          <w:rFonts w:ascii="Times New Roman" w:hAnsi="Times New Roman"/>
        </w:rPr>
        <w:t xml:space="preserve"> </w:t>
      </w:r>
    </w:p>
    <w:p w:rsidR="00E869F9" w:rsidRDefault="00E869F9" w:rsidP="00046641">
      <w:pPr>
        <w:widowControl/>
        <w:tabs>
          <w:tab w:val="left" w:pos="-1440"/>
          <w:tab w:val="left" w:pos="-720"/>
          <w:tab w:val="left" w:pos="0"/>
          <w:tab w:val="decimal" w:pos="720"/>
        </w:tabs>
        <w:ind w:left="720"/>
        <w:rPr>
          <w:rFonts w:ascii="Times New Roman" w:hAnsi="Times New Roman"/>
        </w:rPr>
      </w:pPr>
    </w:p>
    <w:p w:rsidR="00924C16" w:rsidRPr="00BB35AC" w:rsidRDefault="002D73F1" w:rsidP="00046641">
      <w:pPr>
        <w:widowControl/>
        <w:numPr>
          <w:ilvl w:val="0"/>
          <w:numId w:val="1"/>
        </w:numPr>
        <w:tabs>
          <w:tab w:val="left" w:pos="-1440"/>
          <w:tab w:val="left" w:pos="-720"/>
          <w:tab w:val="left" w:pos="0"/>
          <w:tab w:val="decimal" w:pos="720"/>
        </w:tabs>
        <w:rPr>
          <w:rFonts w:ascii="Times New Roman" w:hAnsi="Times New Roman"/>
        </w:rPr>
      </w:pPr>
      <w:r>
        <w:rPr>
          <w:rFonts w:ascii="Times New Roman" w:hAnsi="Times New Roman"/>
        </w:rPr>
        <w:t>N</w:t>
      </w:r>
      <w:r w:rsidRPr="00BB35AC">
        <w:rPr>
          <w:rFonts w:ascii="Times New Roman" w:hAnsi="Times New Roman"/>
        </w:rPr>
        <w:t xml:space="preserve">o </w:t>
      </w:r>
      <w:r w:rsidR="00924C16" w:rsidRPr="00BB35AC">
        <w:rPr>
          <w:rFonts w:ascii="Times New Roman" w:hAnsi="Times New Roman"/>
        </w:rPr>
        <w:t>reduction in accrued benefits of participants may occur</w:t>
      </w:r>
      <w:r>
        <w:rPr>
          <w:rFonts w:ascii="Times New Roman" w:hAnsi="Times New Roman"/>
        </w:rPr>
        <w:t>.</w:t>
      </w:r>
    </w:p>
    <w:p w:rsidR="00E869F9" w:rsidRDefault="00E869F9" w:rsidP="00046641">
      <w:pPr>
        <w:widowControl/>
        <w:tabs>
          <w:tab w:val="left" w:pos="-1440"/>
          <w:tab w:val="left" w:pos="-720"/>
          <w:tab w:val="left" w:pos="0"/>
          <w:tab w:val="decimal" w:pos="720"/>
        </w:tabs>
        <w:ind w:left="720"/>
        <w:rPr>
          <w:rFonts w:ascii="Times New Roman" w:hAnsi="Times New Roman"/>
        </w:rPr>
      </w:pPr>
    </w:p>
    <w:p w:rsidR="00924C16" w:rsidRPr="00BB35AC" w:rsidRDefault="002D73F1" w:rsidP="00046641">
      <w:pPr>
        <w:widowControl/>
        <w:numPr>
          <w:ilvl w:val="0"/>
          <w:numId w:val="1"/>
        </w:numPr>
        <w:tabs>
          <w:tab w:val="left" w:pos="-1440"/>
          <w:tab w:val="left" w:pos="-720"/>
          <w:tab w:val="left" w:pos="0"/>
          <w:tab w:val="decimal" w:pos="720"/>
        </w:tabs>
        <w:rPr>
          <w:rFonts w:ascii="Times New Roman" w:hAnsi="Times New Roman"/>
        </w:rPr>
      </w:pPr>
      <w:r>
        <w:rPr>
          <w:rFonts w:ascii="Times New Roman" w:hAnsi="Times New Roman"/>
        </w:rPr>
        <w:t>B</w:t>
      </w:r>
      <w:r w:rsidRPr="00BB35AC">
        <w:rPr>
          <w:rFonts w:ascii="Times New Roman" w:hAnsi="Times New Roman"/>
        </w:rPr>
        <w:t xml:space="preserve">enefits </w:t>
      </w:r>
      <w:r w:rsidR="00924C16" w:rsidRPr="00BB35AC">
        <w:rPr>
          <w:rFonts w:ascii="Times New Roman" w:hAnsi="Times New Roman"/>
        </w:rPr>
        <w:t>must not be placed at risk of suspension due to plan insolvency</w:t>
      </w:r>
      <w:r>
        <w:rPr>
          <w:rFonts w:ascii="Times New Roman" w:hAnsi="Times New Roman"/>
        </w:rPr>
        <w:t>.</w:t>
      </w:r>
    </w:p>
    <w:p w:rsidR="00E869F9" w:rsidRDefault="00E869F9" w:rsidP="00046641">
      <w:pPr>
        <w:widowControl/>
        <w:tabs>
          <w:tab w:val="left" w:pos="-1440"/>
          <w:tab w:val="left" w:pos="-720"/>
          <w:tab w:val="left" w:pos="0"/>
          <w:tab w:val="decimal" w:pos="720"/>
        </w:tabs>
        <w:ind w:left="720"/>
        <w:rPr>
          <w:rFonts w:ascii="Times New Roman" w:hAnsi="Times New Roman"/>
        </w:rPr>
      </w:pPr>
    </w:p>
    <w:p w:rsidR="00924C16" w:rsidRDefault="002D73F1" w:rsidP="00046641">
      <w:pPr>
        <w:widowControl/>
        <w:numPr>
          <w:ilvl w:val="0"/>
          <w:numId w:val="1"/>
        </w:numPr>
        <w:tabs>
          <w:tab w:val="left" w:pos="-1440"/>
          <w:tab w:val="left" w:pos="-720"/>
          <w:tab w:val="left" w:pos="0"/>
          <w:tab w:val="decimal" w:pos="720"/>
        </w:tabs>
        <w:rPr>
          <w:rFonts w:ascii="Times New Roman" w:hAnsi="Times New Roman"/>
        </w:rPr>
      </w:pPr>
      <w:r>
        <w:rPr>
          <w:rFonts w:ascii="Times New Roman" w:hAnsi="Times New Roman"/>
        </w:rPr>
        <w:t>A</w:t>
      </w:r>
      <w:r w:rsidRPr="00BB35AC">
        <w:rPr>
          <w:rFonts w:ascii="Times New Roman" w:hAnsi="Times New Roman"/>
        </w:rPr>
        <w:t xml:space="preserve">n </w:t>
      </w:r>
      <w:r w:rsidR="00924C16" w:rsidRPr="00BB35AC">
        <w:rPr>
          <w:rFonts w:ascii="Times New Roman" w:hAnsi="Times New Roman"/>
        </w:rPr>
        <w:t xml:space="preserve">actuarial valuation must be performed in the plan year preceding the transaction.  </w:t>
      </w:r>
    </w:p>
    <w:p w:rsidR="00E869F9" w:rsidRDefault="00E869F9" w:rsidP="00046641">
      <w:pPr>
        <w:widowControl/>
        <w:tabs>
          <w:tab w:val="left" w:pos="-1440"/>
          <w:tab w:val="left" w:pos="-720"/>
          <w:tab w:val="left" w:pos="0"/>
          <w:tab w:val="decimal" w:pos="720"/>
        </w:tabs>
        <w:ind w:left="720"/>
        <w:rPr>
          <w:rFonts w:ascii="Times New Roman" w:hAnsi="Times New Roman"/>
        </w:rPr>
      </w:pPr>
    </w:p>
    <w:p w:rsidR="002D118F" w:rsidRPr="00BB35AC" w:rsidRDefault="003B0A9B" w:rsidP="002D73F1">
      <w:pPr>
        <w:widowControl/>
        <w:spacing w:line="480" w:lineRule="auto"/>
        <w:ind w:firstLine="720"/>
        <w:rPr>
          <w:rFonts w:ascii="Times New Roman" w:hAnsi="Times New Roman"/>
        </w:rPr>
      </w:pPr>
      <w:r>
        <w:rPr>
          <w:rFonts w:ascii="Times New Roman" w:hAnsi="Times New Roman"/>
        </w:rPr>
        <w:t>ERISA</w:t>
      </w:r>
      <w:r w:rsidR="00924C16" w:rsidRPr="00BB35AC">
        <w:rPr>
          <w:rFonts w:ascii="Times New Roman" w:hAnsi="Times New Roman"/>
        </w:rPr>
        <w:t xml:space="preserve"> section 4231(c) provides that if </w:t>
      </w:r>
      <w:r w:rsidR="00E11449" w:rsidRPr="00BB35AC">
        <w:rPr>
          <w:rFonts w:ascii="Times New Roman" w:hAnsi="Times New Roman"/>
        </w:rPr>
        <w:t>PBGC</w:t>
      </w:r>
      <w:r w:rsidR="00924C16" w:rsidRPr="00BB35AC">
        <w:rPr>
          <w:rFonts w:ascii="Times New Roman" w:hAnsi="Times New Roman"/>
        </w:rPr>
        <w:t xml:space="preserve"> determines that these requirements are satisfied, the merger or transfer will be deemed not to be in violation of ERISA section 406(a) or (b)(2) (dealing with prohibited transactions).  Pursuant to section 4231, </w:t>
      </w:r>
      <w:r w:rsidR="00E11449" w:rsidRPr="00BB35AC">
        <w:rPr>
          <w:rFonts w:ascii="Times New Roman" w:hAnsi="Times New Roman"/>
        </w:rPr>
        <w:t>PBGC</w:t>
      </w:r>
      <w:r w:rsidR="00924C16" w:rsidRPr="00BB35AC">
        <w:rPr>
          <w:rFonts w:ascii="Times New Roman" w:hAnsi="Times New Roman"/>
        </w:rPr>
        <w:t xml:space="preserve"> has promulgated its regulation on Mergers and Transfers Between Multiemployer Plans (29 CFR Part 4231), which sets forth (in </w:t>
      </w:r>
      <w:r w:rsidR="00E869F9">
        <w:rPr>
          <w:rFonts w:ascii="Times New Roman" w:hAnsi="Times New Roman"/>
        </w:rPr>
        <w:t>§§</w:t>
      </w:r>
      <w:r w:rsidR="00E869F9" w:rsidRPr="00BB35AC">
        <w:rPr>
          <w:rFonts w:ascii="Times New Roman" w:hAnsi="Times New Roman"/>
        </w:rPr>
        <w:t> </w:t>
      </w:r>
      <w:r w:rsidR="00924C16" w:rsidRPr="00BB35AC">
        <w:rPr>
          <w:rFonts w:ascii="Times New Roman" w:hAnsi="Times New Roman"/>
        </w:rPr>
        <w:t xml:space="preserve">4231.3, 4231.8, and 4231.9) the procedures a plan sponsor must follow to </w:t>
      </w:r>
      <w:r w:rsidR="00924C16" w:rsidRPr="00BB35AC">
        <w:rPr>
          <w:rFonts w:ascii="Times New Roman" w:hAnsi="Times New Roman"/>
        </w:rPr>
        <w:lastRenderedPageBreak/>
        <w:t xml:space="preserve">give </w:t>
      </w:r>
      <w:r w:rsidR="00E11449" w:rsidRPr="00BB35AC">
        <w:rPr>
          <w:rFonts w:ascii="Times New Roman" w:hAnsi="Times New Roman"/>
        </w:rPr>
        <w:t>PBGC</w:t>
      </w:r>
      <w:r w:rsidR="00924C16" w:rsidRPr="00BB35AC">
        <w:rPr>
          <w:rFonts w:ascii="Times New Roman" w:hAnsi="Times New Roman"/>
        </w:rPr>
        <w:t xml:space="preserve"> notice of a merger or transfer under section 4231 or to request a PBGC determination that a merger or transfer complies with the requirements of section 4231.  </w:t>
      </w:r>
    </w:p>
    <w:p w:rsidR="00924C16" w:rsidRPr="00BB35AC" w:rsidRDefault="002D118F" w:rsidP="002D118F">
      <w:pPr>
        <w:widowControl/>
        <w:spacing w:line="480" w:lineRule="auto"/>
        <w:ind w:firstLine="720"/>
        <w:rPr>
          <w:rFonts w:ascii="Times New Roman" w:hAnsi="Times New Roman"/>
        </w:rPr>
      </w:pPr>
      <w:r w:rsidRPr="00BB35AC">
        <w:rPr>
          <w:rFonts w:ascii="Times New Roman" w:hAnsi="Times New Roman"/>
        </w:rPr>
        <w:t>T</w:t>
      </w:r>
      <w:r w:rsidR="00924C16" w:rsidRPr="00BB35AC">
        <w:rPr>
          <w:rFonts w:ascii="Times New Roman" w:hAnsi="Times New Roman"/>
        </w:rPr>
        <w:t xml:space="preserve">o provide a basis for determining whether a merger or transfer appears not to satisfy any of the four requirements noted above, a merger or transfer notice must include: (1) identifying information, including types of plans involved and the type and effective date of the transaction; (2) copies of plan provisions that preserve accrued benefits; (3) enrolled actuary certification(s) that benefits are considered not to be at risk of suspension (with supporting data for any plan significantly affected by the transaction); and (4) copies of the most recent required actuarial valuations, unless the transaction is </w:t>
      </w:r>
      <w:r w:rsidR="00924C16" w:rsidRPr="00BB35AC">
        <w:rPr>
          <w:rFonts w:ascii="Times New Roman" w:hAnsi="Times New Roman"/>
          <w:i/>
          <w:iCs/>
        </w:rPr>
        <w:t>de minimis</w:t>
      </w:r>
      <w:r w:rsidR="00924C16" w:rsidRPr="00BB35AC">
        <w:rPr>
          <w:rFonts w:ascii="Times New Roman" w:hAnsi="Times New Roman"/>
        </w:rPr>
        <w:t xml:space="preserve"> and does not involve a mass-withdrawal-terminated plan.  </w:t>
      </w:r>
    </w:p>
    <w:p w:rsidR="00924C16" w:rsidRDefault="00924C16">
      <w:pPr>
        <w:widowControl/>
        <w:spacing w:line="480" w:lineRule="auto"/>
        <w:ind w:firstLine="720"/>
        <w:rPr>
          <w:rFonts w:ascii="Times New Roman" w:hAnsi="Times New Roman"/>
        </w:rPr>
      </w:pPr>
      <w:r w:rsidRPr="00BB35AC">
        <w:rPr>
          <w:rFonts w:ascii="Times New Roman" w:hAnsi="Times New Roman"/>
        </w:rPr>
        <w:t xml:space="preserve">A request for a compliance determination must provide additional information to enable </w:t>
      </w:r>
      <w:r w:rsidR="00E11449" w:rsidRPr="00BB35AC">
        <w:rPr>
          <w:rFonts w:ascii="Times New Roman" w:hAnsi="Times New Roman"/>
        </w:rPr>
        <w:t>PBGC</w:t>
      </w:r>
      <w:r w:rsidRPr="00BB35AC">
        <w:rPr>
          <w:rFonts w:ascii="Times New Roman" w:hAnsi="Times New Roman"/>
        </w:rPr>
        <w:t xml:space="preserve"> to make an explicit finding that the merger/transfer requirements have been satisfied.  For a transaction that is not </w:t>
      </w:r>
      <w:r w:rsidRPr="00BB35AC">
        <w:rPr>
          <w:rFonts w:ascii="Times New Roman" w:hAnsi="Times New Roman"/>
          <w:i/>
          <w:iCs/>
        </w:rPr>
        <w:t>de minimis</w:t>
      </w:r>
      <w:r w:rsidRPr="00BB35AC">
        <w:rPr>
          <w:rFonts w:ascii="Times New Roman" w:hAnsi="Times New Roman"/>
        </w:rPr>
        <w:t xml:space="preserve">, the request must include: (1) a copy of the merger or transfer agreement (to assure that its terms are consistent with the merger/transfer requirements); (2) a summary of calculations supporting the conclusion that benefits are not at risk of suspension (for double-checking); and (3) for any plan significantly affected by a transaction (unless the plan is significantly affected only because the transaction involves a mass-withdrawal-terminated plan), copies of all actuarial valuations from the last five years (to place the transaction in historical context).  </w:t>
      </w:r>
    </w:p>
    <w:p w:rsidR="002D62C7" w:rsidRDefault="004B6A01" w:rsidP="00F9454A">
      <w:pPr>
        <w:widowControl/>
        <w:spacing w:line="480" w:lineRule="auto"/>
        <w:ind w:firstLine="720"/>
        <w:rPr>
          <w:rFonts w:ascii="Times New Roman" w:hAnsi="Times New Roman"/>
        </w:rPr>
      </w:pPr>
      <w:r w:rsidRPr="004B6A01">
        <w:rPr>
          <w:rFonts w:ascii="Times New Roman" w:hAnsi="Times New Roman"/>
        </w:rPr>
        <w:lastRenderedPageBreak/>
        <w:t xml:space="preserve">On </w:t>
      </w:r>
      <w:r w:rsidRPr="00F9454A">
        <w:rPr>
          <w:rFonts w:ascii="Times New Roman" w:hAnsi="Times New Roman"/>
        </w:rPr>
        <w:t>May 28, 2014</w:t>
      </w:r>
      <w:r w:rsidRPr="004B6A01">
        <w:rPr>
          <w:rFonts w:ascii="Times New Roman" w:hAnsi="Times New Roman"/>
        </w:rPr>
        <w:t xml:space="preserve">, PBGC published a </w:t>
      </w:r>
      <w:r>
        <w:rPr>
          <w:rFonts w:ascii="Times New Roman" w:hAnsi="Times New Roman"/>
        </w:rPr>
        <w:t>final</w:t>
      </w:r>
      <w:r w:rsidRPr="004B6A01">
        <w:rPr>
          <w:rFonts w:ascii="Times New Roman" w:hAnsi="Times New Roman"/>
        </w:rPr>
        <w:t xml:space="preserve"> rule that amend</w:t>
      </w:r>
      <w:r>
        <w:rPr>
          <w:rFonts w:ascii="Times New Roman" w:hAnsi="Times New Roman"/>
        </w:rPr>
        <w:t>ed</w:t>
      </w:r>
      <w:r w:rsidRPr="004B6A01">
        <w:rPr>
          <w:rFonts w:ascii="Times New Roman" w:hAnsi="Times New Roman"/>
        </w:rPr>
        <w:t xml:space="preserve"> its multiemployer regulations to make the provision of information to PBGC and plan participants more efficient and effective and to reduce the burden on plans and sponsors.  </w:t>
      </w:r>
      <w:r w:rsidRPr="00F9454A">
        <w:rPr>
          <w:rFonts w:ascii="Times New Roman" w:hAnsi="Times New Roman"/>
        </w:rPr>
        <w:t>(79 Fed. Reg. 30459)</w:t>
      </w:r>
      <w:r w:rsidRPr="004B6A01">
        <w:rPr>
          <w:rFonts w:ascii="Times New Roman" w:hAnsi="Times New Roman"/>
        </w:rPr>
        <w:t>.  One of the changes shorten</w:t>
      </w:r>
      <w:r w:rsidR="00ED15B6">
        <w:rPr>
          <w:rFonts w:ascii="Times New Roman" w:hAnsi="Times New Roman"/>
        </w:rPr>
        <w:t>ed</w:t>
      </w:r>
      <w:r w:rsidRPr="004B6A01">
        <w:rPr>
          <w:rFonts w:ascii="Times New Roman" w:hAnsi="Times New Roman"/>
        </w:rPr>
        <w:t xml:space="preserve"> the period for providing advance notice of a merger from 120 to 45 days for transactions that do not involve a compliance determination under § 4231.9.  The requirement to provide 120 days advance notice remain</w:t>
      </w:r>
      <w:r w:rsidR="00ED15B6">
        <w:rPr>
          <w:rFonts w:ascii="Times New Roman" w:hAnsi="Times New Roman"/>
        </w:rPr>
        <w:t>s</w:t>
      </w:r>
      <w:r w:rsidRPr="004B6A01">
        <w:rPr>
          <w:rFonts w:ascii="Times New Roman" w:hAnsi="Times New Roman"/>
        </w:rPr>
        <w:t xml:space="preserve"> in effect where a compliance determination is requested and for transactions involving a transfer of plan assets or benefit liabilities.</w:t>
      </w:r>
      <w:r>
        <w:rPr>
          <w:rFonts w:ascii="Times New Roman" w:hAnsi="Times New Roman"/>
        </w:rPr>
        <w:t xml:space="preserve"> </w:t>
      </w:r>
      <w:r w:rsidR="00F9454A" w:rsidRPr="00F9454A">
        <w:rPr>
          <w:rFonts w:ascii="Times New Roman" w:hAnsi="Times New Roman"/>
        </w:rPr>
        <w:t xml:space="preserve">The </w:t>
      </w:r>
      <w:r w:rsidR="00E03C6F">
        <w:rPr>
          <w:rFonts w:ascii="Times New Roman" w:hAnsi="Times New Roman"/>
        </w:rPr>
        <w:t>f</w:t>
      </w:r>
      <w:r w:rsidR="00E03C6F" w:rsidRPr="00F9454A">
        <w:rPr>
          <w:rFonts w:ascii="Times New Roman" w:hAnsi="Times New Roman"/>
        </w:rPr>
        <w:t xml:space="preserve">inal </w:t>
      </w:r>
      <w:r w:rsidR="00E03C6F">
        <w:rPr>
          <w:rFonts w:ascii="Times New Roman" w:hAnsi="Times New Roman"/>
        </w:rPr>
        <w:t>r</w:t>
      </w:r>
      <w:r w:rsidR="00E03C6F" w:rsidRPr="00F9454A">
        <w:rPr>
          <w:rFonts w:ascii="Times New Roman" w:hAnsi="Times New Roman"/>
        </w:rPr>
        <w:t xml:space="preserve">ule </w:t>
      </w:r>
      <w:r w:rsidR="00F9454A" w:rsidRPr="00F9454A">
        <w:rPr>
          <w:rFonts w:ascii="Times New Roman" w:hAnsi="Times New Roman"/>
        </w:rPr>
        <w:t>will be effective June 27, 2014.</w:t>
      </w:r>
      <w:r w:rsidR="002D62C7">
        <w:rPr>
          <w:rFonts w:ascii="Times New Roman" w:hAnsi="Times New Roman"/>
        </w:rPr>
        <w:t xml:space="preserve">    </w:t>
      </w:r>
    </w:p>
    <w:p w:rsidR="00924C16" w:rsidRPr="00BB35AC" w:rsidRDefault="00924C16">
      <w:pPr>
        <w:widowControl/>
        <w:spacing w:line="120" w:lineRule="auto"/>
        <w:rPr>
          <w:rFonts w:ascii="Times New Roman" w:hAnsi="Times New Roman"/>
        </w:rPr>
      </w:pPr>
    </w:p>
    <w:p w:rsidR="00924C16" w:rsidRPr="00BB35AC" w:rsidRDefault="00924C16" w:rsidP="00624F9A">
      <w:pPr>
        <w:widowControl/>
        <w:spacing w:line="480" w:lineRule="auto"/>
        <w:ind w:firstLine="720"/>
        <w:rPr>
          <w:rFonts w:ascii="Times New Roman" w:hAnsi="Times New Roman"/>
        </w:rPr>
      </w:pPr>
      <w:r w:rsidRPr="00BB35AC">
        <w:rPr>
          <w:rFonts w:ascii="Times New Roman" w:hAnsi="Times New Roman"/>
        </w:rPr>
        <w:t xml:space="preserve">2.  </w:t>
      </w:r>
      <w:r w:rsidRPr="00BB35AC">
        <w:rPr>
          <w:rFonts w:ascii="Times New Roman" w:hAnsi="Times New Roman"/>
          <w:u w:val="single"/>
        </w:rPr>
        <w:t>Use of information.</w:t>
      </w:r>
      <w:r w:rsidRPr="00BB35AC">
        <w:rPr>
          <w:rFonts w:ascii="Times New Roman" w:hAnsi="Times New Roman"/>
        </w:rPr>
        <w:t xml:space="preserve">  </w:t>
      </w:r>
      <w:r w:rsidR="00E11449" w:rsidRPr="00BB35AC">
        <w:rPr>
          <w:rFonts w:ascii="Times New Roman" w:hAnsi="Times New Roman"/>
        </w:rPr>
        <w:t>PBGC</w:t>
      </w:r>
      <w:r w:rsidRPr="00BB35AC">
        <w:rPr>
          <w:rFonts w:ascii="Times New Roman" w:hAnsi="Times New Roman"/>
        </w:rPr>
        <w:t xml:space="preserve"> uses information submitted by plan sponsors under the regulation to determine whether mergers and transfers conform to the requirements of ERISA section 4231 and the regulation.  </w:t>
      </w:r>
    </w:p>
    <w:p w:rsidR="00924C16" w:rsidRPr="00BB35AC" w:rsidRDefault="00924C16">
      <w:pPr>
        <w:widowControl/>
        <w:spacing w:line="480" w:lineRule="auto"/>
        <w:ind w:firstLine="720"/>
        <w:rPr>
          <w:rFonts w:ascii="Times New Roman" w:hAnsi="Times New Roman"/>
        </w:rPr>
      </w:pPr>
      <w:r w:rsidRPr="00BB35AC">
        <w:rPr>
          <w:rFonts w:ascii="Times New Roman" w:hAnsi="Times New Roman"/>
        </w:rPr>
        <w:t xml:space="preserve">3.  </w:t>
      </w:r>
      <w:r w:rsidRPr="00BB35AC">
        <w:rPr>
          <w:rFonts w:ascii="Times New Roman" w:hAnsi="Times New Roman"/>
          <w:u w:val="single"/>
        </w:rPr>
        <w:t>Information technology.</w:t>
      </w:r>
      <w:r w:rsidRPr="00BB35AC">
        <w:rPr>
          <w:rFonts w:ascii="Times New Roman" w:hAnsi="Times New Roman"/>
        </w:rPr>
        <w:t xml:space="preserve">  No consideration has been given to the use of improved information technology to reduce burden.  The reporting volume under the regulation is too low to warrant the use of high technology.  </w:t>
      </w:r>
    </w:p>
    <w:p w:rsidR="00924C16" w:rsidRPr="00BB35AC" w:rsidRDefault="00924C16">
      <w:pPr>
        <w:widowControl/>
        <w:spacing w:line="120" w:lineRule="auto"/>
        <w:rPr>
          <w:rFonts w:ascii="Times New Roman" w:hAnsi="Times New Roman"/>
        </w:rPr>
      </w:pPr>
    </w:p>
    <w:p w:rsidR="00924C16" w:rsidRPr="00BB35AC" w:rsidRDefault="00924C16">
      <w:pPr>
        <w:widowControl/>
        <w:spacing w:line="480" w:lineRule="auto"/>
        <w:ind w:firstLine="720"/>
        <w:rPr>
          <w:rFonts w:ascii="Times New Roman" w:hAnsi="Times New Roman"/>
        </w:rPr>
      </w:pPr>
      <w:r w:rsidRPr="00BB35AC">
        <w:rPr>
          <w:rFonts w:ascii="Times New Roman" w:hAnsi="Times New Roman"/>
        </w:rPr>
        <w:t xml:space="preserve">4.  </w:t>
      </w:r>
      <w:r w:rsidRPr="00BB35AC">
        <w:rPr>
          <w:rFonts w:ascii="Times New Roman" w:hAnsi="Times New Roman"/>
          <w:u w:val="single"/>
        </w:rPr>
        <w:t>Duplicate or similar information.</w:t>
      </w:r>
      <w:r w:rsidRPr="00BB35AC">
        <w:rPr>
          <w:rFonts w:ascii="Times New Roman" w:hAnsi="Times New Roman"/>
        </w:rPr>
        <w:t xml:space="preserve">  The regulation imposes a special purpose information submission requirement that is triggered by the occurrence of a relatively uncommon event (a merger or transfer between multiemployer plans), and this is the only such requirement imposed by </w:t>
      </w:r>
      <w:r w:rsidR="00E11449" w:rsidRPr="00BB35AC">
        <w:rPr>
          <w:rFonts w:ascii="Times New Roman" w:hAnsi="Times New Roman"/>
        </w:rPr>
        <w:t>PBGC</w:t>
      </w:r>
      <w:r w:rsidRPr="00BB35AC">
        <w:rPr>
          <w:rFonts w:ascii="Times New Roman" w:hAnsi="Times New Roman"/>
        </w:rPr>
        <w:t xml:space="preserve"> for that event.  </w:t>
      </w:r>
    </w:p>
    <w:p w:rsidR="00924C16" w:rsidRPr="00BB35AC" w:rsidRDefault="00924C16">
      <w:pPr>
        <w:widowControl/>
        <w:spacing w:line="480" w:lineRule="auto"/>
        <w:ind w:firstLine="720"/>
        <w:rPr>
          <w:rFonts w:ascii="Times New Roman" w:hAnsi="Times New Roman"/>
        </w:rPr>
      </w:pPr>
      <w:r w:rsidRPr="00BB35AC">
        <w:rPr>
          <w:rFonts w:ascii="Times New Roman" w:hAnsi="Times New Roman"/>
        </w:rPr>
        <w:t xml:space="preserve">The actuarial reports called for by the regulation are routinely prepared for other purposes (but not otherwise routinely sent to </w:t>
      </w:r>
      <w:r w:rsidR="00E11449" w:rsidRPr="00BB35AC">
        <w:rPr>
          <w:rFonts w:ascii="Times New Roman" w:hAnsi="Times New Roman"/>
        </w:rPr>
        <w:t>PBGC</w:t>
      </w:r>
      <w:r w:rsidRPr="00BB35AC">
        <w:rPr>
          <w:rFonts w:ascii="Times New Roman" w:hAnsi="Times New Roman"/>
        </w:rPr>
        <w:t xml:space="preserve">).  Although information submitted by pension plans to </w:t>
      </w:r>
      <w:r w:rsidRPr="00BB35AC">
        <w:rPr>
          <w:rFonts w:ascii="Times New Roman" w:hAnsi="Times New Roman"/>
        </w:rPr>
        <w:lastRenderedPageBreak/>
        <w:t xml:space="preserve">the Internal Revenue Service is, in some cases, similar to information requested in this regulation, that information is not required to be filed with the IRS until seven months or more after the close of a plan year, and the IRS is therefore not a source of current data for evaluating a merger or transfer of assets and liabilities.  </w:t>
      </w:r>
    </w:p>
    <w:p w:rsidR="00924C16" w:rsidRPr="00BB35AC" w:rsidRDefault="00924C16">
      <w:pPr>
        <w:widowControl/>
        <w:spacing w:line="120" w:lineRule="auto"/>
        <w:rPr>
          <w:rFonts w:ascii="Times New Roman" w:hAnsi="Times New Roman"/>
        </w:rPr>
      </w:pPr>
    </w:p>
    <w:p w:rsidR="00924C16" w:rsidRPr="00BB35AC" w:rsidRDefault="00924C16">
      <w:pPr>
        <w:widowControl/>
        <w:spacing w:line="480" w:lineRule="auto"/>
        <w:ind w:firstLine="720"/>
        <w:rPr>
          <w:rFonts w:ascii="Times New Roman" w:hAnsi="Times New Roman"/>
        </w:rPr>
      </w:pPr>
      <w:r w:rsidRPr="00BB35AC">
        <w:rPr>
          <w:rFonts w:ascii="Times New Roman" w:hAnsi="Times New Roman"/>
        </w:rPr>
        <w:t xml:space="preserve">5.  </w:t>
      </w:r>
      <w:r w:rsidRPr="00BB35AC">
        <w:rPr>
          <w:rFonts w:ascii="Times New Roman" w:hAnsi="Times New Roman"/>
          <w:u w:val="single"/>
        </w:rPr>
        <w:t>Reducing the burden on small entities.</w:t>
      </w:r>
      <w:r w:rsidRPr="00BB35AC">
        <w:rPr>
          <w:rFonts w:ascii="Times New Roman" w:hAnsi="Times New Roman"/>
        </w:rPr>
        <w:t xml:space="preserve">  Inapplicable.  </w:t>
      </w:r>
    </w:p>
    <w:p w:rsidR="00924C16" w:rsidRPr="00BB35AC" w:rsidRDefault="00924C16">
      <w:pPr>
        <w:widowControl/>
        <w:spacing w:line="120" w:lineRule="auto"/>
        <w:rPr>
          <w:rFonts w:ascii="Times New Roman" w:hAnsi="Times New Roman"/>
        </w:rPr>
      </w:pPr>
    </w:p>
    <w:p w:rsidR="00924C16" w:rsidRPr="00BB35AC" w:rsidRDefault="00924C16" w:rsidP="00A14157">
      <w:pPr>
        <w:widowControl/>
        <w:spacing w:line="480" w:lineRule="auto"/>
        <w:ind w:firstLine="720"/>
        <w:rPr>
          <w:rFonts w:ascii="Times New Roman" w:hAnsi="Times New Roman"/>
        </w:rPr>
      </w:pPr>
      <w:r w:rsidRPr="00BB35AC">
        <w:rPr>
          <w:rFonts w:ascii="Times New Roman" w:hAnsi="Times New Roman"/>
        </w:rPr>
        <w:t xml:space="preserve">6.  </w:t>
      </w:r>
      <w:r w:rsidRPr="00BB35AC">
        <w:rPr>
          <w:rFonts w:ascii="Times New Roman" w:hAnsi="Times New Roman"/>
          <w:u w:val="single"/>
        </w:rPr>
        <w:t>Consequence of reduced collection.</w:t>
      </w:r>
      <w:r w:rsidRPr="00BB35AC">
        <w:rPr>
          <w:rFonts w:ascii="Times New Roman" w:hAnsi="Times New Roman"/>
        </w:rPr>
        <w:t xml:space="preserve">  Submission of information under the regulation is required only upon the occurrence of a specified event (a merger or transfer between multiemployer plans) that is relatively uncommon and occurs only by choice of the plans involved.  If the information were not collected, </w:t>
      </w:r>
      <w:r w:rsidR="00E11449" w:rsidRPr="00BB35AC">
        <w:rPr>
          <w:rFonts w:ascii="Times New Roman" w:hAnsi="Times New Roman"/>
        </w:rPr>
        <w:t>PBGC</w:t>
      </w:r>
      <w:r w:rsidRPr="00BB35AC">
        <w:rPr>
          <w:rFonts w:ascii="Times New Roman" w:hAnsi="Times New Roman"/>
        </w:rPr>
        <w:t xml:space="preserve"> would be significantly hindered in the performance of its statutory duties and plan sponsors might be unable to obtain assurance that mergers and transfers met the requirements of section 4231 and the regulation.  </w:t>
      </w:r>
    </w:p>
    <w:p w:rsidR="00924C16" w:rsidRPr="00BB35AC" w:rsidRDefault="00924C16">
      <w:pPr>
        <w:widowControl/>
        <w:spacing w:line="480" w:lineRule="auto"/>
        <w:ind w:firstLine="720"/>
        <w:rPr>
          <w:rFonts w:ascii="Times New Roman" w:hAnsi="Times New Roman"/>
        </w:rPr>
      </w:pPr>
      <w:r w:rsidRPr="00BB35AC">
        <w:rPr>
          <w:rFonts w:ascii="Times New Roman" w:hAnsi="Times New Roman"/>
        </w:rPr>
        <w:t xml:space="preserve">7.  </w:t>
      </w:r>
      <w:r w:rsidRPr="00BB35AC">
        <w:rPr>
          <w:rFonts w:ascii="Times New Roman" w:hAnsi="Times New Roman"/>
          <w:u w:val="single"/>
        </w:rPr>
        <w:t>Consistency with guidelines.</w:t>
      </w:r>
      <w:r w:rsidRPr="00BB35AC">
        <w:rPr>
          <w:rFonts w:ascii="Times New Roman" w:hAnsi="Times New Roman"/>
        </w:rPr>
        <w:t xml:space="preserve">  The information collection is not conducted in a manner inconsistent with 5 CFR </w:t>
      </w:r>
      <w:r w:rsidR="00691AD5">
        <w:rPr>
          <w:rFonts w:ascii="Times New Roman" w:hAnsi="Times New Roman"/>
        </w:rPr>
        <w:t>§</w:t>
      </w:r>
      <w:r w:rsidR="00691AD5" w:rsidRPr="00BB35AC">
        <w:rPr>
          <w:rFonts w:ascii="Times New Roman" w:hAnsi="Times New Roman"/>
        </w:rPr>
        <w:t> </w:t>
      </w:r>
      <w:r w:rsidRPr="00BB35AC">
        <w:rPr>
          <w:rFonts w:ascii="Times New Roman" w:hAnsi="Times New Roman"/>
        </w:rPr>
        <w:t xml:space="preserve">1320.5(d)(2).  </w:t>
      </w:r>
    </w:p>
    <w:p w:rsidR="00924C16" w:rsidRPr="00BB35AC" w:rsidRDefault="00924C16">
      <w:pPr>
        <w:widowControl/>
        <w:spacing w:line="120" w:lineRule="auto"/>
        <w:rPr>
          <w:rFonts w:ascii="Times New Roman" w:hAnsi="Times New Roman"/>
        </w:rPr>
      </w:pPr>
    </w:p>
    <w:p w:rsidR="001D1BCE" w:rsidRPr="00BB35AC" w:rsidRDefault="00924C16" w:rsidP="00AA3D65">
      <w:pPr>
        <w:widowControl/>
        <w:spacing w:line="480" w:lineRule="auto"/>
        <w:ind w:firstLine="720"/>
        <w:rPr>
          <w:rFonts w:ascii="Times New Roman" w:hAnsi="Times New Roman"/>
        </w:rPr>
      </w:pPr>
      <w:r w:rsidRPr="00BB35AC">
        <w:rPr>
          <w:rFonts w:ascii="Times New Roman" w:hAnsi="Times New Roman"/>
        </w:rPr>
        <w:t xml:space="preserve">8.  </w:t>
      </w:r>
      <w:r w:rsidRPr="00BB35AC">
        <w:rPr>
          <w:rFonts w:ascii="Times New Roman" w:hAnsi="Times New Roman"/>
          <w:u w:val="single"/>
        </w:rPr>
        <w:t>Outside input.</w:t>
      </w:r>
      <w:r w:rsidR="00DA18B2" w:rsidRPr="00BB35AC">
        <w:rPr>
          <w:rFonts w:ascii="Times New Roman" w:hAnsi="Times New Roman"/>
        </w:rPr>
        <w:t xml:space="preserve">  </w:t>
      </w:r>
      <w:r w:rsidR="00E03C6F">
        <w:rPr>
          <w:rFonts w:ascii="Times New Roman" w:hAnsi="Times New Roman"/>
        </w:rPr>
        <w:t>The</w:t>
      </w:r>
      <w:r w:rsidR="00F9454A" w:rsidRPr="00F9454A">
        <w:rPr>
          <w:rFonts w:ascii="Times New Roman" w:hAnsi="Times New Roman"/>
        </w:rPr>
        <w:t xml:space="preserve"> proposed rule </w:t>
      </w:r>
      <w:r w:rsidR="00E03C6F">
        <w:rPr>
          <w:rFonts w:ascii="Times New Roman" w:hAnsi="Times New Roman"/>
        </w:rPr>
        <w:t xml:space="preserve">was published </w:t>
      </w:r>
      <w:r w:rsidR="00F9454A" w:rsidRPr="00F9454A">
        <w:rPr>
          <w:rFonts w:ascii="Times New Roman" w:hAnsi="Times New Roman"/>
        </w:rPr>
        <w:t>on January 29, 2</w:t>
      </w:r>
      <w:r w:rsidR="00E03C6F">
        <w:rPr>
          <w:rFonts w:ascii="Times New Roman" w:hAnsi="Times New Roman"/>
        </w:rPr>
        <w:t>0</w:t>
      </w:r>
      <w:r w:rsidR="00F9454A" w:rsidRPr="00F9454A">
        <w:rPr>
          <w:rFonts w:ascii="Times New Roman" w:hAnsi="Times New Roman"/>
        </w:rPr>
        <w:t xml:space="preserve">14 (79 FR 4642).  No comments were received </w:t>
      </w:r>
      <w:r w:rsidR="00E03C6F">
        <w:rPr>
          <w:rFonts w:ascii="Times New Roman" w:hAnsi="Times New Roman"/>
        </w:rPr>
        <w:t xml:space="preserve">on the information collection request.  </w:t>
      </w:r>
    </w:p>
    <w:p w:rsidR="00924C16" w:rsidRPr="00BB35AC" w:rsidRDefault="00924C16">
      <w:pPr>
        <w:widowControl/>
        <w:spacing w:line="480" w:lineRule="auto"/>
        <w:ind w:firstLine="720"/>
        <w:rPr>
          <w:rFonts w:ascii="Times New Roman" w:hAnsi="Times New Roman"/>
        </w:rPr>
      </w:pPr>
      <w:r w:rsidRPr="00BB35AC">
        <w:rPr>
          <w:rFonts w:ascii="Times New Roman" w:hAnsi="Times New Roman"/>
        </w:rPr>
        <w:t xml:space="preserve">9.  </w:t>
      </w:r>
      <w:r w:rsidRPr="00BB35AC">
        <w:rPr>
          <w:rFonts w:ascii="Times New Roman" w:hAnsi="Times New Roman"/>
          <w:u w:val="single"/>
        </w:rPr>
        <w:t>Payment to respondents.</w:t>
      </w:r>
      <w:r w:rsidRPr="00BB35AC">
        <w:rPr>
          <w:rFonts w:ascii="Times New Roman" w:hAnsi="Times New Roman"/>
        </w:rPr>
        <w:t xml:space="preserve">  </w:t>
      </w:r>
      <w:r w:rsidR="00E11449" w:rsidRPr="00BB35AC">
        <w:rPr>
          <w:rFonts w:ascii="Times New Roman" w:hAnsi="Times New Roman"/>
        </w:rPr>
        <w:t>PBGC</w:t>
      </w:r>
      <w:r w:rsidRPr="00BB35AC">
        <w:rPr>
          <w:rFonts w:ascii="Times New Roman" w:hAnsi="Times New Roman"/>
        </w:rPr>
        <w:t xml:space="preserve"> provides no payments or gifts to respondents in connection with this collection of information.  </w:t>
      </w:r>
    </w:p>
    <w:p w:rsidR="00924C16" w:rsidRPr="00BB35AC" w:rsidRDefault="00924C16">
      <w:pPr>
        <w:widowControl/>
        <w:spacing w:line="120" w:lineRule="auto"/>
        <w:rPr>
          <w:rFonts w:ascii="Times New Roman" w:hAnsi="Times New Roman"/>
        </w:rPr>
      </w:pPr>
    </w:p>
    <w:p w:rsidR="00924C16" w:rsidRPr="00BB35AC" w:rsidRDefault="00924C16">
      <w:pPr>
        <w:widowControl/>
        <w:spacing w:line="480" w:lineRule="auto"/>
        <w:ind w:firstLine="720"/>
        <w:rPr>
          <w:rFonts w:ascii="Times New Roman" w:hAnsi="Times New Roman"/>
        </w:rPr>
      </w:pPr>
      <w:r w:rsidRPr="00BB35AC">
        <w:rPr>
          <w:rFonts w:ascii="Times New Roman" w:hAnsi="Times New Roman"/>
        </w:rPr>
        <w:t xml:space="preserve">10.  </w:t>
      </w:r>
      <w:r w:rsidRPr="00BB35AC">
        <w:rPr>
          <w:rFonts w:ascii="Times New Roman" w:hAnsi="Times New Roman"/>
          <w:u w:val="single"/>
        </w:rPr>
        <w:t>Confidentiality.</w:t>
      </w:r>
      <w:r w:rsidRPr="00BB35AC">
        <w:rPr>
          <w:rFonts w:ascii="Times New Roman" w:hAnsi="Times New Roman"/>
        </w:rPr>
        <w:t xml:space="preserve">  The regulation gives no assurance of confidentiality, but information submitted to </w:t>
      </w:r>
      <w:r w:rsidR="00E11449" w:rsidRPr="00BB35AC">
        <w:rPr>
          <w:rFonts w:ascii="Times New Roman" w:hAnsi="Times New Roman"/>
        </w:rPr>
        <w:t>PBGC</w:t>
      </w:r>
      <w:r w:rsidRPr="00BB35AC">
        <w:rPr>
          <w:rFonts w:ascii="Times New Roman" w:hAnsi="Times New Roman"/>
        </w:rPr>
        <w:t xml:space="preserve"> under the regulation is accessible only in accordance with applicable law and </w:t>
      </w:r>
      <w:r w:rsidRPr="00BB35AC">
        <w:rPr>
          <w:rFonts w:ascii="Times New Roman" w:hAnsi="Times New Roman"/>
        </w:rPr>
        <w:lastRenderedPageBreak/>
        <w:t xml:space="preserve">regulations.  </w:t>
      </w:r>
      <w:r w:rsidR="00E11449" w:rsidRPr="00BB35AC">
        <w:rPr>
          <w:rFonts w:ascii="Times New Roman" w:hAnsi="Times New Roman"/>
        </w:rPr>
        <w:t>PBGC</w:t>
      </w:r>
      <w:r w:rsidR="00E869F9">
        <w:rPr>
          <w:rFonts w:ascii="Times New Roman" w:hAnsi="Times New Roman"/>
        </w:rPr>
        <w:t>’</w:t>
      </w:r>
      <w:r w:rsidRPr="00BB35AC">
        <w:rPr>
          <w:rFonts w:ascii="Times New Roman" w:hAnsi="Times New Roman"/>
        </w:rPr>
        <w:t xml:space="preserve">s rules providing and restricting access to its records are set forth in 29 CFR Part 4901.  </w:t>
      </w:r>
    </w:p>
    <w:p w:rsidR="00924C16" w:rsidRPr="00BB35AC" w:rsidRDefault="00924C16">
      <w:pPr>
        <w:widowControl/>
        <w:spacing w:line="120" w:lineRule="auto"/>
        <w:rPr>
          <w:rFonts w:ascii="Times New Roman" w:hAnsi="Times New Roman"/>
        </w:rPr>
      </w:pPr>
    </w:p>
    <w:p w:rsidR="002E1D19" w:rsidRPr="00BB35AC" w:rsidRDefault="00924C16">
      <w:pPr>
        <w:widowControl/>
        <w:spacing w:line="480" w:lineRule="auto"/>
        <w:ind w:firstLine="720"/>
        <w:rPr>
          <w:rFonts w:ascii="Times New Roman" w:hAnsi="Times New Roman"/>
        </w:rPr>
      </w:pPr>
      <w:r w:rsidRPr="00BB35AC">
        <w:rPr>
          <w:rFonts w:ascii="Times New Roman" w:hAnsi="Times New Roman"/>
        </w:rPr>
        <w:t xml:space="preserve">11.  </w:t>
      </w:r>
      <w:r w:rsidRPr="00BB35AC">
        <w:rPr>
          <w:rFonts w:ascii="Times New Roman" w:hAnsi="Times New Roman"/>
          <w:u w:val="single"/>
        </w:rPr>
        <w:t>Personal questions.</w:t>
      </w:r>
      <w:r w:rsidRPr="00BB35AC">
        <w:rPr>
          <w:rFonts w:ascii="Times New Roman" w:hAnsi="Times New Roman"/>
        </w:rPr>
        <w:t xml:space="preserve">  The regulation does not call for submission of information of a sensitive nature.  </w:t>
      </w:r>
    </w:p>
    <w:p w:rsidR="001516C9" w:rsidRDefault="00924C16">
      <w:pPr>
        <w:widowControl/>
        <w:spacing w:line="480" w:lineRule="auto"/>
        <w:ind w:firstLine="720"/>
        <w:rPr>
          <w:rFonts w:ascii="Times New Roman" w:hAnsi="Times New Roman"/>
        </w:rPr>
      </w:pPr>
      <w:r w:rsidRPr="00BB35AC">
        <w:rPr>
          <w:rFonts w:ascii="Times New Roman" w:hAnsi="Times New Roman"/>
        </w:rPr>
        <w:t xml:space="preserve">12.  </w:t>
      </w:r>
      <w:r w:rsidRPr="00BB35AC">
        <w:rPr>
          <w:rFonts w:ascii="Times New Roman" w:hAnsi="Times New Roman"/>
          <w:u w:val="single"/>
        </w:rPr>
        <w:t>Hour burden on the public.</w:t>
      </w:r>
      <w:r w:rsidRPr="00BB35AC">
        <w:rPr>
          <w:rFonts w:ascii="Times New Roman" w:hAnsi="Times New Roman"/>
        </w:rPr>
        <w:t xml:space="preserve">  </w:t>
      </w:r>
      <w:r w:rsidR="00E11449" w:rsidRPr="00BB35AC">
        <w:rPr>
          <w:rFonts w:ascii="Times New Roman" w:hAnsi="Times New Roman"/>
        </w:rPr>
        <w:t>PBGC</w:t>
      </w:r>
      <w:r w:rsidRPr="00BB35AC">
        <w:rPr>
          <w:rFonts w:ascii="Times New Roman" w:hAnsi="Times New Roman"/>
        </w:rPr>
        <w:t xml:space="preserve"> estimates that </w:t>
      </w:r>
      <w:r w:rsidR="001516C9">
        <w:rPr>
          <w:rFonts w:ascii="Times New Roman" w:hAnsi="Times New Roman"/>
        </w:rPr>
        <w:t xml:space="preserve">under the proposal, </w:t>
      </w:r>
      <w:r w:rsidRPr="00BB35AC">
        <w:rPr>
          <w:rFonts w:ascii="Times New Roman" w:hAnsi="Times New Roman"/>
        </w:rPr>
        <w:t>submi</w:t>
      </w:r>
      <w:r w:rsidR="00EC4147" w:rsidRPr="00BB35AC">
        <w:rPr>
          <w:rFonts w:ascii="Times New Roman" w:hAnsi="Times New Roman"/>
        </w:rPr>
        <w:t>ssions will be made for about 2</w:t>
      </w:r>
      <w:r w:rsidR="001E6242">
        <w:rPr>
          <w:rFonts w:ascii="Times New Roman" w:hAnsi="Times New Roman"/>
        </w:rPr>
        <w:t>1</w:t>
      </w:r>
      <w:r w:rsidRPr="00BB35AC">
        <w:rPr>
          <w:rFonts w:ascii="Times New Roman" w:hAnsi="Times New Roman"/>
        </w:rPr>
        <w:t xml:space="preserve"> transactions each year under the amended regulation, no more than </w:t>
      </w:r>
      <w:r w:rsidR="00691AD5">
        <w:rPr>
          <w:rFonts w:ascii="Times New Roman" w:hAnsi="Times New Roman"/>
        </w:rPr>
        <w:t>three</w:t>
      </w:r>
      <w:r w:rsidR="00691AD5" w:rsidRPr="00BB35AC">
        <w:rPr>
          <w:rFonts w:ascii="Times New Roman" w:hAnsi="Times New Roman"/>
        </w:rPr>
        <w:t xml:space="preserve"> </w:t>
      </w:r>
      <w:r w:rsidRPr="00BB35AC">
        <w:rPr>
          <w:rFonts w:ascii="Times New Roman" w:hAnsi="Times New Roman"/>
        </w:rPr>
        <w:t>of which will involve spin</w:t>
      </w:r>
      <w:r w:rsidRPr="00BB35AC">
        <w:rPr>
          <w:rFonts w:ascii="Times New Roman" w:hAnsi="Times New Roman"/>
        </w:rPr>
        <w:noBreakHyphen/>
        <w:t xml:space="preserve">offs or significantly affected plans.  </w:t>
      </w:r>
    </w:p>
    <w:p w:rsidR="00924C16" w:rsidRPr="00BB35AC" w:rsidRDefault="00E11449">
      <w:pPr>
        <w:widowControl/>
        <w:spacing w:line="480" w:lineRule="auto"/>
        <w:ind w:firstLine="720"/>
        <w:rPr>
          <w:rFonts w:ascii="Times New Roman" w:hAnsi="Times New Roman"/>
        </w:rPr>
      </w:pPr>
      <w:r w:rsidRPr="00BB35AC">
        <w:rPr>
          <w:rFonts w:ascii="Times New Roman" w:hAnsi="Times New Roman"/>
        </w:rPr>
        <w:t>PBGC</w:t>
      </w:r>
      <w:r w:rsidR="00924C16" w:rsidRPr="00BB35AC">
        <w:rPr>
          <w:rFonts w:ascii="Times New Roman" w:hAnsi="Times New Roman"/>
        </w:rPr>
        <w:t xml:space="preserve"> estimates that it will take an average of </w:t>
      </w:r>
      <w:r w:rsidR="00F9454A">
        <w:rPr>
          <w:rFonts w:ascii="Times New Roman" w:hAnsi="Times New Roman"/>
        </w:rPr>
        <w:t>15</w:t>
      </w:r>
      <w:r w:rsidR="00924C16" w:rsidRPr="00BB35AC">
        <w:rPr>
          <w:rFonts w:ascii="Times New Roman" w:hAnsi="Times New Roman"/>
        </w:rPr>
        <w:t xml:space="preserve"> minutes each of managerial and professional time to prepare a submission that does not involve a spin</w:t>
      </w:r>
      <w:r w:rsidR="00924C16" w:rsidRPr="00BB35AC">
        <w:rPr>
          <w:rFonts w:ascii="Times New Roman" w:hAnsi="Times New Roman"/>
        </w:rPr>
        <w:noBreakHyphen/>
        <w:t>off or a significantly affected plan and 3 hours of professional time and 30 minutes of managerial time to prepare a submission that involves a spin</w:t>
      </w:r>
      <w:r w:rsidR="00924C16" w:rsidRPr="00BB35AC">
        <w:rPr>
          <w:rFonts w:ascii="Times New Roman" w:hAnsi="Times New Roman"/>
        </w:rPr>
        <w:noBreakHyphen/>
        <w:t xml:space="preserve">off or a significantly affected plan.  </w:t>
      </w:r>
    </w:p>
    <w:p w:rsidR="00924C16" w:rsidRDefault="00E11449">
      <w:pPr>
        <w:widowControl/>
        <w:spacing w:line="480" w:lineRule="auto"/>
        <w:ind w:firstLine="720"/>
        <w:rPr>
          <w:rFonts w:ascii="Times New Roman" w:hAnsi="Times New Roman"/>
        </w:rPr>
      </w:pPr>
      <w:r w:rsidRPr="00BB35AC">
        <w:rPr>
          <w:rFonts w:ascii="Times New Roman" w:hAnsi="Times New Roman"/>
        </w:rPr>
        <w:t>PBGC</w:t>
      </w:r>
      <w:r w:rsidR="00924C16" w:rsidRPr="00BB35AC">
        <w:rPr>
          <w:rFonts w:ascii="Times New Roman" w:hAnsi="Times New Roman"/>
        </w:rPr>
        <w:t xml:space="preserve"> believes that virtually all of the professional services involved, and about half of the managerial services, are performed by outside consultants.  Accordingly, </w:t>
      </w:r>
      <w:r w:rsidRPr="00BB35AC">
        <w:rPr>
          <w:rFonts w:ascii="Times New Roman" w:hAnsi="Times New Roman"/>
        </w:rPr>
        <w:t>PBGC</w:t>
      </w:r>
      <w:r w:rsidR="00924C16" w:rsidRPr="00BB35AC">
        <w:rPr>
          <w:rFonts w:ascii="Times New Roman" w:hAnsi="Times New Roman"/>
        </w:rPr>
        <w:t xml:space="preserve"> estimates that the annual hour burden of this collection of inf</w:t>
      </w:r>
      <w:r w:rsidR="00EC4147" w:rsidRPr="00BB35AC">
        <w:rPr>
          <w:rFonts w:ascii="Times New Roman" w:hAnsi="Times New Roman"/>
        </w:rPr>
        <w:t xml:space="preserve">ormation is </w:t>
      </w:r>
      <w:r w:rsidR="00F9454A">
        <w:rPr>
          <w:rFonts w:ascii="Times New Roman" w:hAnsi="Times New Roman"/>
        </w:rPr>
        <w:t>3</w:t>
      </w:r>
      <w:r w:rsidR="00EC4147" w:rsidRPr="00BB35AC">
        <w:rPr>
          <w:rFonts w:ascii="Times New Roman" w:hAnsi="Times New Roman"/>
        </w:rPr>
        <w:t xml:space="preserve"> hours</w:t>
      </w:r>
      <w:r w:rsidR="001516C9">
        <w:rPr>
          <w:rFonts w:ascii="Times New Roman" w:hAnsi="Times New Roman"/>
        </w:rPr>
        <w:t xml:space="preserve">, at </w:t>
      </w:r>
      <w:r w:rsidR="00924C16" w:rsidRPr="00BB35AC">
        <w:rPr>
          <w:rFonts w:ascii="Times New Roman" w:hAnsi="Times New Roman"/>
        </w:rPr>
        <w:t>with an estim</w:t>
      </w:r>
      <w:r w:rsidR="00214C32" w:rsidRPr="00BB35AC">
        <w:rPr>
          <w:rFonts w:ascii="Times New Roman" w:hAnsi="Times New Roman"/>
        </w:rPr>
        <w:t>at</w:t>
      </w:r>
      <w:r w:rsidR="00EC4147" w:rsidRPr="00BB35AC">
        <w:rPr>
          <w:rFonts w:ascii="Times New Roman" w:hAnsi="Times New Roman"/>
        </w:rPr>
        <w:t xml:space="preserve">ed </w:t>
      </w:r>
      <w:r w:rsidR="001516C9">
        <w:rPr>
          <w:rFonts w:ascii="Times New Roman" w:hAnsi="Times New Roman"/>
        </w:rPr>
        <w:t xml:space="preserve">annual </w:t>
      </w:r>
      <w:r w:rsidR="00EC4147" w:rsidRPr="00BB35AC">
        <w:rPr>
          <w:rFonts w:ascii="Times New Roman" w:hAnsi="Times New Roman"/>
        </w:rPr>
        <w:t xml:space="preserve">cost to respondents of </w:t>
      </w:r>
      <w:r w:rsidR="001516C9">
        <w:rPr>
          <w:rFonts w:ascii="Times New Roman" w:hAnsi="Times New Roman"/>
        </w:rPr>
        <w:t>$</w:t>
      </w:r>
      <w:r w:rsidR="00F9454A" w:rsidRPr="00F9454A">
        <w:rPr>
          <w:rFonts w:ascii="Times New Roman" w:hAnsi="Times New Roman"/>
        </w:rPr>
        <w:t>230.88</w:t>
      </w:r>
      <w:r w:rsidR="00691AD5">
        <w:rPr>
          <w:rFonts w:ascii="Times New Roman" w:hAnsi="Times New Roman"/>
        </w:rPr>
        <w:t>.</w:t>
      </w:r>
      <w:r w:rsidR="00E869F9">
        <w:rPr>
          <w:rFonts w:ascii="Times New Roman" w:hAnsi="Times New Roman"/>
        </w:rPr>
        <w:t xml:space="preserve"> </w:t>
      </w:r>
      <w:r w:rsidR="00752374">
        <w:rPr>
          <w:rFonts w:ascii="Times New Roman" w:hAnsi="Times New Roman"/>
        </w:rPr>
        <w:t xml:space="preserve"> </w:t>
      </w:r>
    </w:p>
    <w:p w:rsidR="00AE3620" w:rsidRDefault="00AE3620" w:rsidP="00A5116C">
      <w:pPr>
        <w:widowControl/>
        <w:spacing w:line="480" w:lineRule="auto"/>
        <w:ind w:firstLine="720"/>
        <w:rPr>
          <w:rFonts w:ascii="Times New Roman" w:hAnsi="Times New Roman"/>
        </w:rPr>
      </w:pPr>
      <w:r>
        <w:rPr>
          <w:rFonts w:ascii="Times New Roman" w:hAnsi="Times New Roman"/>
        </w:rPr>
        <w:t>These numbers result from the following calculations</w:t>
      </w:r>
      <w:r w:rsidR="00C9027F">
        <w:rPr>
          <w:rFonts w:ascii="Times New Roman" w:hAnsi="Times New Roman"/>
        </w:rPr>
        <w:t>:</w:t>
      </w:r>
      <w:r>
        <w:rPr>
          <w:rFonts w:ascii="Times New Roman" w:hAnsi="Times New Roman"/>
        </w:rPr>
        <w:t xml:space="preserve"> </w:t>
      </w:r>
      <w:r w:rsidR="00C9027F">
        <w:rPr>
          <w:rFonts w:ascii="Times New Roman" w:hAnsi="Times New Roman"/>
        </w:rPr>
        <w:t>m</w:t>
      </w:r>
      <w:r w:rsidR="00A5116C">
        <w:rPr>
          <w:rFonts w:ascii="Times New Roman" w:hAnsi="Times New Roman"/>
        </w:rPr>
        <w:t>anagerial time expended within the plan is one half of .</w:t>
      </w:r>
      <w:r w:rsidR="00F9454A">
        <w:rPr>
          <w:rFonts w:ascii="Times New Roman" w:hAnsi="Times New Roman"/>
        </w:rPr>
        <w:t>2</w:t>
      </w:r>
      <w:r w:rsidR="00A5116C">
        <w:rPr>
          <w:rFonts w:ascii="Times New Roman" w:hAnsi="Times New Roman"/>
        </w:rPr>
        <w:t>5 hours times 18 = ½ x 9 hours</w:t>
      </w:r>
      <w:r w:rsidR="00C9027F">
        <w:rPr>
          <w:rFonts w:ascii="Times New Roman" w:hAnsi="Times New Roman"/>
        </w:rPr>
        <w:t xml:space="preserve"> for notices relating to mergers</w:t>
      </w:r>
      <w:r w:rsidR="00A5116C">
        <w:rPr>
          <w:rFonts w:ascii="Times New Roman" w:hAnsi="Times New Roman"/>
        </w:rPr>
        <w:t xml:space="preserve"> </w:t>
      </w:r>
      <w:r w:rsidR="00C9027F">
        <w:rPr>
          <w:rFonts w:ascii="Times New Roman" w:hAnsi="Times New Roman"/>
        </w:rPr>
        <w:t>(</w:t>
      </w:r>
      <w:r w:rsidR="00A5116C">
        <w:rPr>
          <w:rFonts w:ascii="Times New Roman" w:hAnsi="Times New Roman"/>
        </w:rPr>
        <w:t xml:space="preserve">or </w:t>
      </w:r>
      <w:r w:rsidR="00F9454A">
        <w:rPr>
          <w:rFonts w:ascii="Times New Roman" w:hAnsi="Times New Roman"/>
        </w:rPr>
        <w:t>2</w:t>
      </w:r>
      <w:r w:rsidR="00A5116C">
        <w:rPr>
          <w:rFonts w:ascii="Times New Roman" w:hAnsi="Times New Roman"/>
        </w:rPr>
        <w:t>.</w:t>
      </w:r>
      <w:r w:rsidR="00F9454A">
        <w:rPr>
          <w:rFonts w:ascii="Times New Roman" w:hAnsi="Times New Roman"/>
        </w:rPr>
        <w:t>2</w:t>
      </w:r>
      <w:r w:rsidR="00A5116C">
        <w:rPr>
          <w:rFonts w:ascii="Times New Roman" w:hAnsi="Times New Roman"/>
        </w:rPr>
        <w:t>5 hours</w:t>
      </w:r>
      <w:r w:rsidR="00C9027F">
        <w:rPr>
          <w:rFonts w:ascii="Times New Roman" w:hAnsi="Times New Roman"/>
        </w:rPr>
        <w:t>)</w:t>
      </w:r>
      <w:r w:rsidR="00A5116C">
        <w:rPr>
          <w:rFonts w:ascii="Times New Roman" w:hAnsi="Times New Roman"/>
        </w:rPr>
        <w:t>, plus one half of 3 plans times .5 hours per plan</w:t>
      </w:r>
      <w:r w:rsidR="007914EE" w:rsidRPr="007914EE">
        <w:rPr>
          <w:rFonts w:ascii="Times New Roman" w:hAnsi="Times New Roman"/>
        </w:rPr>
        <w:t xml:space="preserve"> </w:t>
      </w:r>
      <w:r w:rsidR="007914EE">
        <w:rPr>
          <w:rFonts w:ascii="Times New Roman" w:hAnsi="Times New Roman"/>
        </w:rPr>
        <w:t>for notices relating to spin-offs or significantly affected plans</w:t>
      </w:r>
      <w:r w:rsidR="00A5116C">
        <w:rPr>
          <w:rFonts w:ascii="Times New Roman" w:hAnsi="Times New Roman"/>
        </w:rPr>
        <w:t xml:space="preserve"> </w:t>
      </w:r>
      <w:r w:rsidR="00C9027F">
        <w:rPr>
          <w:rFonts w:ascii="Times New Roman" w:hAnsi="Times New Roman"/>
        </w:rPr>
        <w:t>(</w:t>
      </w:r>
      <w:r w:rsidR="00A5116C">
        <w:rPr>
          <w:rFonts w:ascii="Times New Roman" w:hAnsi="Times New Roman"/>
        </w:rPr>
        <w:t>or .75 hours</w:t>
      </w:r>
      <w:r w:rsidR="00C9027F">
        <w:rPr>
          <w:rFonts w:ascii="Times New Roman" w:hAnsi="Times New Roman"/>
        </w:rPr>
        <w:t xml:space="preserve">) for a total of </w:t>
      </w:r>
      <w:r w:rsidR="00F778EA">
        <w:rPr>
          <w:rFonts w:ascii="Times New Roman" w:hAnsi="Times New Roman"/>
        </w:rPr>
        <w:t>3</w:t>
      </w:r>
      <w:r w:rsidR="00C9027F">
        <w:rPr>
          <w:rFonts w:ascii="Times New Roman" w:hAnsi="Times New Roman"/>
        </w:rPr>
        <w:t xml:space="preserve"> hours (</w:t>
      </w:r>
      <w:r w:rsidR="00F778EA">
        <w:rPr>
          <w:rFonts w:ascii="Times New Roman" w:hAnsi="Times New Roman"/>
        </w:rPr>
        <w:t>2</w:t>
      </w:r>
      <w:r w:rsidR="00A5116C">
        <w:rPr>
          <w:rFonts w:ascii="Times New Roman" w:hAnsi="Times New Roman"/>
        </w:rPr>
        <w:t>.</w:t>
      </w:r>
      <w:r w:rsidR="00F778EA">
        <w:rPr>
          <w:rFonts w:ascii="Times New Roman" w:hAnsi="Times New Roman"/>
        </w:rPr>
        <w:t>2</w:t>
      </w:r>
      <w:r w:rsidR="00A5116C">
        <w:rPr>
          <w:rFonts w:ascii="Times New Roman" w:hAnsi="Times New Roman"/>
        </w:rPr>
        <w:t>5 hours + .75 hours</w:t>
      </w:r>
      <w:r w:rsidR="00C9027F">
        <w:rPr>
          <w:rFonts w:ascii="Times New Roman" w:hAnsi="Times New Roman"/>
        </w:rPr>
        <w:t>)</w:t>
      </w:r>
      <w:r w:rsidR="00A5116C">
        <w:rPr>
          <w:rFonts w:ascii="Times New Roman" w:hAnsi="Times New Roman"/>
        </w:rPr>
        <w:t xml:space="preserve">.  </w:t>
      </w:r>
      <w:r w:rsidR="00F9454A">
        <w:rPr>
          <w:rFonts w:ascii="Times New Roman" w:hAnsi="Times New Roman"/>
        </w:rPr>
        <w:t>3</w:t>
      </w:r>
      <w:r w:rsidR="00A5116C">
        <w:rPr>
          <w:rFonts w:ascii="Times New Roman" w:hAnsi="Times New Roman"/>
        </w:rPr>
        <w:t xml:space="preserve"> hours times $</w:t>
      </w:r>
      <w:r w:rsidR="008F2593">
        <w:rPr>
          <w:rFonts w:ascii="Times New Roman" w:hAnsi="Times New Roman"/>
        </w:rPr>
        <w:t>76.96</w:t>
      </w:r>
      <w:r w:rsidR="00A5116C">
        <w:rPr>
          <w:rFonts w:ascii="Times New Roman" w:hAnsi="Times New Roman"/>
        </w:rPr>
        <w:t xml:space="preserve"> per hour of managerial time equals a cost of $</w:t>
      </w:r>
      <w:r w:rsidR="00F9454A" w:rsidRPr="00F9454A">
        <w:rPr>
          <w:rFonts w:ascii="Times New Roman" w:hAnsi="Times New Roman"/>
        </w:rPr>
        <w:t>230.88</w:t>
      </w:r>
      <w:r w:rsidR="00A5116C">
        <w:rPr>
          <w:rFonts w:ascii="Times New Roman" w:hAnsi="Times New Roman"/>
        </w:rPr>
        <w:t>.</w:t>
      </w:r>
    </w:p>
    <w:p w:rsidR="00FD1259" w:rsidRDefault="00FD1259" w:rsidP="00A5116C">
      <w:pPr>
        <w:widowControl/>
        <w:spacing w:line="480" w:lineRule="auto"/>
        <w:ind w:firstLine="720"/>
        <w:rPr>
          <w:rFonts w:ascii="Times New Roman" w:hAnsi="Times New Roman"/>
        </w:rPr>
      </w:pPr>
      <w:r>
        <w:rPr>
          <w:rFonts w:ascii="Times New Roman" w:hAnsi="Times New Roman"/>
        </w:rPr>
        <w:lastRenderedPageBreak/>
        <w:t xml:space="preserve">PBGC assumes an average rate of </w:t>
      </w:r>
      <w:r w:rsidRPr="00362410">
        <w:rPr>
          <w:rFonts w:ascii="Times New Roman" w:hAnsi="Times New Roman"/>
        </w:rPr>
        <w:t>$</w:t>
      </w:r>
      <w:r w:rsidR="008F2593">
        <w:rPr>
          <w:rFonts w:ascii="Times New Roman" w:hAnsi="Times New Roman"/>
        </w:rPr>
        <w:t>76.96</w:t>
      </w:r>
      <w:r>
        <w:rPr>
          <w:rFonts w:ascii="Times New Roman" w:hAnsi="Times New Roman"/>
        </w:rPr>
        <w:t xml:space="preserve"> per hour for in-house costs (entirely at the </w:t>
      </w:r>
      <w:r w:rsidR="00063C1D">
        <w:rPr>
          <w:rFonts w:ascii="Times New Roman" w:hAnsi="Times New Roman"/>
        </w:rPr>
        <w:t xml:space="preserve">compensation and benefits manager </w:t>
      </w:r>
      <w:r>
        <w:rPr>
          <w:rFonts w:ascii="Times New Roman" w:hAnsi="Times New Roman"/>
        </w:rPr>
        <w:t>level). This estimate is based on the following assumptions:</w:t>
      </w:r>
    </w:p>
    <w:p w:rsidR="00FD1259" w:rsidRPr="00FD1259" w:rsidRDefault="00FD1259" w:rsidP="00FD1259">
      <w:pPr>
        <w:widowControl/>
        <w:numPr>
          <w:ilvl w:val="0"/>
          <w:numId w:val="3"/>
        </w:numPr>
        <w:contextualSpacing/>
        <w:rPr>
          <w:rFonts w:ascii="Times New Roman" w:hAnsi="Times New Roman"/>
        </w:rPr>
      </w:pPr>
      <w:r w:rsidRPr="00FD1259">
        <w:rPr>
          <w:rFonts w:ascii="Times New Roman" w:hAnsi="Times New Roman"/>
        </w:rPr>
        <w:t xml:space="preserve">Wage rates account for </w:t>
      </w:r>
      <w:r w:rsidRPr="00B23991">
        <w:rPr>
          <w:rFonts w:ascii="Times New Roman" w:hAnsi="Times New Roman"/>
        </w:rPr>
        <w:t>70</w:t>
      </w:r>
      <w:r w:rsidRPr="00FD1259">
        <w:rPr>
          <w:rFonts w:ascii="Times New Roman" w:hAnsi="Times New Roman"/>
        </w:rPr>
        <w:t xml:space="preserve">% of total labor costs, with the remaining </w:t>
      </w:r>
      <w:r w:rsidRPr="00B23991">
        <w:rPr>
          <w:rFonts w:ascii="Times New Roman" w:hAnsi="Times New Roman"/>
        </w:rPr>
        <w:t>30</w:t>
      </w:r>
      <w:r w:rsidRPr="00FD1259">
        <w:rPr>
          <w:rFonts w:ascii="Times New Roman" w:hAnsi="Times New Roman"/>
        </w:rPr>
        <w:t>% attributable to benefits costs.</w:t>
      </w:r>
      <w:r w:rsidRPr="00FD1259">
        <w:rPr>
          <w:rFonts w:ascii="Times New Roman" w:hAnsi="Times New Roman"/>
          <w:vertAlign w:val="superscript"/>
        </w:rPr>
        <w:footnoteReference w:id="2"/>
      </w:r>
      <w:r w:rsidRPr="00FD1259">
        <w:rPr>
          <w:rFonts w:ascii="Times New Roman" w:hAnsi="Times New Roman"/>
          <w:vertAlign w:val="superscript"/>
        </w:rPr>
        <w:t xml:space="preserve">  </w:t>
      </w:r>
    </w:p>
    <w:p w:rsidR="00FD1259" w:rsidRPr="00FD1259" w:rsidRDefault="00FD1259" w:rsidP="00FD1259">
      <w:pPr>
        <w:widowControl/>
        <w:ind w:left="720"/>
        <w:contextualSpacing/>
        <w:rPr>
          <w:rFonts w:ascii="Times New Roman" w:hAnsi="Times New Roman"/>
        </w:rPr>
      </w:pPr>
    </w:p>
    <w:p w:rsidR="00FD1259" w:rsidRDefault="00FD1259" w:rsidP="00FD1259">
      <w:pPr>
        <w:widowControl/>
        <w:numPr>
          <w:ilvl w:val="0"/>
          <w:numId w:val="3"/>
        </w:numPr>
        <w:rPr>
          <w:rFonts w:ascii="Times New Roman" w:hAnsi="Times New Roman"/>
        </w:rPr>
      </w:pPr>
      <w:r>
        <w:rPr>
          <w:rFonts w:ascii="Times New Roman" w:hAnsi="Times New Roman"/>
        </w:rPr>
        <w:t>All of the</w:t>
      </w:r>
      <w:r w:rsidRPr="00FD1259">
        <w:rPr>
          <w:rFonts w:ascii="Times New Roman" w:hAnsi="Times New Roman"/>
        </w:rPr>
        <w:t xml:space="preserve"> in-house hours will be performed by a </w:t>
      </w:r>
      <w:r w:rsidR="00063C1D">
        <w:rPr>
          <w:rFonts w:ascii="Times New Roman" w:hAnsi="Times New Roman"/>
        </w:rPr>
        <w:t>compensation and benefits</w:t>
      </w:r>
      <w:r w:rsidR="00063C1D" w:rsidRPr="00B23991">
        <w:rPr>
          <w:rFonts w:ascii="Times New Roman" w:hAnsi="Times New Roman"/>
        </w:rPr>
        <w:t xml:space="preserve"> manager (occupational code 11-</w:t>
      </w:r>
      <w:r w:rsidR="00063C1D" w:rsidRPr="00362410">
        <w:rPr>
          <w:rFonts w:ascii="Times New Roman" w:hAnsi="Times New Roman"/>
        </w:rPr>
        <w:t>311</w:t>
      </w:r>
      <w:r w:rsidRPr="00362410">
        <w:rPr>
          <w:rFonts w:ascii="Times New Roman" w:hAnsi="Times New Roman"/>
        </w:rPr>
        <w:t>1</w:t>
      </w:r>
      <w:r w:rsidRPr="00FD1259">
        <w:rPr>
          <w:rFonts w:ascii="Times New Roman" w:hAnsi="Times New Roman"/>
        </w:rPr>
        <w:t>, mean hourly wage rate $</w:t>
      </w:r>
      <w:r w:rsidR="008F2593">
        <w:rPr>
          <w:rFonts w:ascii="Times New Roman" w:hAnsi="Times New Roman"/>
        </w:rPr>
        <w:t>53.87</w:t>
      </w:r>
      <w:r w:rsidRPr="00FD1259">
        <w:rPr>
          <w:rFonts w:ascii="Times New Roman" w:hAnsi="Times New Roman"/>
        </w:rPr>
        <w:t xml:space="preserve"> per hour</w:t>
      </w:r>
      <w:r w:rsidR="0036412C">
        <w:rPr>
          <w:rFonts w:ascii="Times New Roman" w:hAnsi="Times New Roman"/>
        </w:rPr>
        <w:t xml:space="preserve"> using a load factor of 1.43</w:t>
      </w:r>
      <w:bookmarkStart w:id="0" w:name="_GoBack"/>
      <w:bookmarkEnd w:id="0"/>
      <w:r w:rsidRPr="00FD1259">
        <w:rPr>
          <w:rFonts w:ascii="Times New Roman" w:hAnsi="Times New Roman"/>
        </w:rPr>
        <w:t xml:space="preserve">, </w:t>
      </w:r>
      <w:r w:rsidR="00063C1D">
        <w:rPr>
          <w:rFonts w:ascii="Times New Roman" w:hAnsi="Times New Roman"/>
        </w:rPr>
        <w:t>$</w:t>
      </w:r>
      <w:r w:rsidR="002123A1">
        <w:rPr>
          <w:rFonts w:ascii="Times New Roman" w:hAnsi="Times New Roman"/>
        </w:rPr>
        <w:t>76.96</w:t>
      </w:r>
      <w:r w:rsidR="00FB4197">
        <w:rPr>
          <w:rFonts w:ascii="Times New Roman" w:hAnsi="Times New Roman"/>
        </w:rPr>
        <w:t xml:space="preserve"> </w:t>
      </w:r>
      <w:r w:rsidRPr="00FD1259">
        <w:rPr>
          <w:rFonts w:ascii="Times New Roman" w:hAnsi="Times New Roman"/>
        </w:rPr>
        <w:t>per hour including benefits).</w:t>
      </w:r>
    </w:p>
    <w:p w:rsidR="00F57D01" w:rsidRPr="00BB35AC" w:rsidRDefault="00F57D01" w:rsidP="00F57D01">
      <w:pPr>
        <w:widowControl/>
        <w:ind w:left="720"/>
        <w:rPr>
          <w:rFonts w:ascii="Times New Roman" w:hAnsi="Times New Roman"/>
        </w:rPr>
      </w:pPr>
    </w:p>
    <w:p w:rsidR="00924C16" w:rsidRPr="00BB35AC" w:rsidRDefault="00924C16">
      <w:pPr>
        <w:widowControl/>
        <w:spacing w:line="120" w:lineRule="auto"/>
        <w:rPr>
          <w:rFonts w:ascii="Times New Roman" w:hAnsi="Times New Roman"/>
        </w:rPr>
      </w:pPr>
    </w:p>
    <w:p w:rsidR="00C9027F" w:rsidRPr="00C9027F" w:rsidRDefault="00924C16" w:rsidP="00C9027F">
      <w:pPr>
        <w:widowControl/>
        <w:spacing w:line="480" w:lineRule="auto"/>
        <w:ind w:firstLine="720"/>
        <w:rPr>
          <w:rFonts w:ascii="Times New Roman" w:hAnsi="Times New Roman"/>
        </w:rPr>
      </w:pPr>
      <w:r w:rsidRPr="00BB35AC">
        <w:rPr>
          <w:rFonts w:ascii="Times New Roman" w:hAnsi="Times New Roman"/>
        </w:rPr>
        <w:t xml:space="preserve">13.  </w:t>
      </w:r>
      <w:r w:rsidRPr="00BB35AC">
        <w:rPr>
          <w:rFonts w:ascii="Times New Roman" w:hAnsi="Times New Roman"/>
          <w:u w:val="single"/>
        </w:rPr>
        <w:t>Cost burden on the public.</w:t>
      </w:r>
      <w:r w:rsidRPr="00BB35AC">
        <w:rPr>
          <w:rFonts w:ascii="Times New Roman" w:hAnsi="Times New Roman"/>
        </w:rPr>
        <w:t xml:space="preserve">  </w:t>
      </w:r>
      <w:r w:rsidR="00C9027F">
        <w:rPr>
          <w:rFonts w:ascii="Times New Roman" w:hAnsi="Times New Roman"/>
        </w:rPr>
        <w:t>T</w:t>
      </w:r>
      <w:r w:rsidR="00C9027F" w:rsidRPr="00BB35AC">
        <w:rPr>
          <w:rFonts w:ascii="Times New Roman" w:hAnsi="Times New Roman"/>
        </w:rPr>
        <w:t xml:space="preserve">he </w:t>
      </w:r>
      <w:r w:rsidR="00C9027F">
        <w:rPr>
          <w:rFonts w:ascii="Times New Roman" w:hAnsi="Times New Roman"/>
        </w:rPr>
        <w:t xml:space="preserve">total </w:t>
      </w:r>
      <w:r w:rsidR="00C9027F" w:rsidRPr="00BB35AC">
        <w:rPr>
          <w:rFonts w:ascii="Times New Roman" w:hAnsi="Times New Roman"/>
        </w:rPr>
        <w:t xml:space="preserve">estimated </w:t>
      </w:r>
      <w:r w:rsidR="00C9027F">
        <w:rPr>
          <w:rFonts w:ascii="Times New Roman" w:hAnsi="Times New Roman"/>
        </w:rPr>
        <w:t xml:space="preserve">annual </w:t>
      </w:r>
      <w:r w:rsidR="00C9027F" w:rsidRPr="00BB35AC">
        <w:rPr>
          <w:rFonts w:ascii="Times New Roman" w:hAnsi="Times New Roman"/>
        </w:rPr>
        <w:t>cost burden of the collection of information is $</w:t>
      </w:r>
      <w:r w:rsidR="00CF2856" w:rsidRPr="00CF2856">
        <w:rPr>
          <w:rFonts w:ascii="Times New Roman" w:hAnsi="Times New Roman"/>
        </w:rPr>
        <w:t>1,342.34</w:t>
      </w:r>
      <w:r w:rsidR="00B2650D">
        <w:rPr>
          <w:rFonts w:ascii="Times New Roman" w:hAnsi="Times New Roman"/>
        </w:rPr>
        <w:t xml:space="preserve"> </w:t>
      </w:r>
      <w:r w:rsidR="00C9027F">
        <w:rPr>
          <w:rFonts w:ascii="Times New Roman" w:hAnsi="Times New Roman"/>
        </w:rPr>
        <w:t xml:space="preserve">based on </w:t>
      </w:r>
      <w:r w:rsidR="00ED281B">
        <w:rPr>
          <w:rFonts w:ascii="Times New Roman" w:hAnsi="Times New Roman"/>
        </w:rPr>
        <w:t>1</w:t>
      </w:r>
      <w:r w:rsidR="00CF2856">
        <w:rPr>
          <w:rFonts w:ascii="Times New Roman" w:hAnsi="Times New Roman"/>
        </w:rPr>
        <w:t>6</w:t>
      </w:r>
      <w:r w:rsidR="00C9027F">
        <w:rPr>
          <w:rFonts w:ascii="Times New Roman" w:hAnsi="Times New Roman"/>
        </w:rPr>
        <w:t>.</w:t>
      </w:r>
      <w:r w:rsidR="00CF2856">
        <w:rPr>
          <w:rFonts w:ascii="Times New Roman" w:hAnsi="Times New Roman"/>
        </w:rPr>
        <w:t>5</w:t>
      </w:r>
      <w:r w:rsidR="00C9027F">
        <w:rPr>
          <w:rFonts w:ascii="Times New Roman" w:hAnsi="Times New Roman"/>
        </w:rPr>
        <w:t xml:space="preserve"> h</w:t>
      </w:r>
      <w:r w:rsidR="00CF2856">
        <w:rPr>
          <w:rFonts w:ascii="Times New Roman" w:hAnsi="Times New Roman"/>
        </w:rPr>
        <w:t>ours of outside consultant time</w:t>
      </w:r>
      <w:r w:rsidR="00C9027F">
        <w:rPr>
          <w:rFonts w:ascii="Times New Roman" w:hAnsi="Times New Roman"/>
        </w:rPr>
        <w:t xml:space="preserve">.  </w:t>
      </w:r>
      <w:r w:rsidR="00C9027F" w:rsidRPr="00C9027F">
        <w:rPr>
          <w:rFonts w:ascii="Times New Roman" w:hAnsi="Times New Roman"/>
        </w:rPr>
        <w:t>This estimate is based on the following assumptions:</w:t>
      </w:r>
    </w:p>
    <w:p w:rsidR="00C9027F" w:rsidRDefault="00C9027F" w:rsidP="00C9027F">
      <w:pPr>
        <w:widowControl/>
        <w:numPr>
          <w:ilvl w:val="0"/>
          <w:numId w:val="3"/>
        </w:numPr>
        <w:rPr>
          <w:rFonts w:ascii="Times New Roman" w:hAnsi="Times New Roman"/>
        </w:rPr>
      </w:pPr>
      <w:r w:rsidRPr="00C9027F">
        <w:rPr>
          <w:rFonts w:ascii="Times New Roman" w:hAnsi="Times New Roman"/>
        </w:rPr>
        <w:t xml:space="preserve">Wage rates account for </w:t>
      </w:r>
      <w:r w:rsidRPr="00B23991">
        <w:rPr>
          <w:rFonts w:ascii="Times New Roman" w:hAnsi="Times New Roman"/>
        </w:rPr>
        <w:t>70</w:t>
      </w:r>
      <w:r w:rsidRPr="00C9027F">
        <w:rPr>
          <w:rFonts w:ascii="Times New Roman" w:hAnsi="Times New Roman"/>
        </w:rPr>
        <w:t>% of total l</w:t>
      </w:r>
      <w:r w:rsidR="00063C1D">
        <w:rPr>
          <w:rFonts w:ascii="Times New Roman" w:hAnsi="Times New Roman"/>
        </w:rPr>
        <w:t xml:space="preserve">abor costs, with the remaining </w:t>
      </w:r>
      <w:r w:rsidRPr="00B23991">
        <w:rPr>
          <w:rFonts w:ascii="Times New Roman" w:hAnsi="Times New Roman"/>
        </w:rPr>
        <w:t>30</w:t>
      </w:r>
      <w:r w:rsidRPr="00C9027F">
        <w:rPr>
          <w:rFonts w:ascii="Times New Roman" w:hAnsi="Times New Roman"/>
        </w:rPr>
        <w:t>% attributable to benefits costs.</w:t>
      </w:r>
      <w:r w:rsidRPr="00C9027F">
        <w:rPr>
          <w:rFonts w:ascii="Times New Roman" w:hAnsi="Times New Roman"/>
          <w:vertAlign w:val="superscript"/>
        </w:rPr>
        <w:footnoteReference w:id="3"/>
      </w:r>
    </w:p>
    <w:p w:rsidR="00C9027F" w:rsidRDefault="00C9027F" w:rsidP="00C9027F">
      <w:pPr>
        <w:widowControl/>
        <w:ind w:left="720"/>
        <w:rPr>
          <w:rFonts w:ascii="Times New Roman" w:hAnsi="Times New Roman"/>
        </w:rPr>
      </w:pPr>
    </w:p>
    <w:p w:rsidR="00493902" w:rsidRDefault="00CF2856" w:rsidP="00C9027F">
      <w:pPr>
        <w:widowControl/>
        <w:numPr>
          <w:ilvl w:val="0"/>
          <w:numId w:val="3"/>
        </w:numPr>
        <w:rPr>
          <w:rFonts w:ascii="Times New Roman" w:hAnsi="Times New Roman"/>
        </w:rPr>
      </w:pPr>
      <w:r>
        <w:rPr>
          <w:rFonts w:ascii="Times New Roman" w:hAnsi="Times New Roman"/>
        </w:rPr>
        <w:t>3</w:t>
      </w:r>
      <w:r w:rsidR="00C9027F">
        <w:rPr>
          <w:rFonts w:ascii="Times New Roman" w:hAnsi="Times New Roman"/>
        </w:rPr>
        <w:t>.</w:t>
      </w:r>
      <w:r>
        <w:rPr>
          <w:rFonts w:ascii="Times New Roman" w:hAnsi="Times New Roman"/>
        </w:rPr>
        <w:t>0</w:t>
      </w:r>
      <w:r w:rsidR="00C9027F">
        <w:rPr>
          <w:rFonts w:ascii="Times New Roman" w:hAnsi="Times New Roman"/>
        </w:rPr>
        <w:t xml:space="preserve"> of the </w:t>
      </w:r>
      <w:r w:rsidR="00ED281B">
        <w:rPr>
          <w:rFonts w:ascii="Times New Roman" w:hAnsi="Times New Roman"/>
        </w:rPr>
        <w:t>1</w:t>
      </w:r>
      <w:r>
        <w:rPr>
          <w:rFonts w:ascii="Times New Roman" w:hAnsi="Times New Roman"/>
        </w:rPr>
        <w:t>6</w:t>
      </w:r>
      <w:r w:rsidR="00C9027F">
        <w:rPr>
          <w:rFonts w:ascii="Times New Roman" w:hAnsi="Times New Roman"/>
        </w:rPr>
        <w:t>.</w:t>
      </w:r>
      <w:r>
        <w:rPr>
          <w:rFonts w:ascii="Times New Roman" w:hAnsi="Times New Roman"/>
        </w:rPr>
        <w:t>5</w:t>
      </w:r>
      <w:r w:rsidR="00C9027F">
        <w:rPr>
          <w:rFonts w:ascii="Times New Roman" w:hAnsi="Times New Roman"/>
        </w:rPr>
        <w:t xml:space="preserve"> outside consultant hours will be performed by </w:t>
      </w:r>
      <w:r w:rsidR="00063C1D" w:rsidRPr="009056A9">
        <w:rPr>
          <w:rFonts w:ascii="Times New Roman" w:hAnsi="Times New Roman"/>
        </w:rPr>
        <w:t xml:space="preserve">a </w:t>
      </w:r>
      <w:r w:rsidR="00063C1D">
        <w:rPr>
          <w:rFonts w:ascii="Times New Roman" w:hAnsi="Times New Roman"/>
        </w:rPr>
        <w:t xml:space="preserve">compensation and benefits manager </w:t>
      </w:r>
      <w:r w:rsidR="00063C1D" w:rsidRPr="009056A9">
        <w:rPr>
          <w:rFonts w:ascii="Times New Roman" w:hAnsi="Times New Roman"/>
        </w:rPr>
        <w:t xml:space="preserve">(occupational code </w:t>
      </w:r>
      <w:r w:rsidR="00063C1D">
        <w:rPr>
          <w:rFonts w:ascii="Times New Roman" w:hAnsi="Times New Roman"/>
        </w:rPr>
        <w:t>11-311</w:t>
      </w:r>
      <w:r w:rsidR="00E05026">
        <w:rPr>
          <w:rFonts w:ascii="Times New Roman" w:hAnsi="Times New Roman"/>
        </w:rPr>
        <w:t>1</w:t>
      </w:r>
      <w:r w:rsidR="00063C1D" w:rsidRPr="009056A9">
        <w:rPr>
          <w:rFonts w:ascii="Times New Roman" w:hAnsi="Times New Roman"/>
        </w:rPr>
        <w:t xml:space="preserve">, </w:t>
      </w:r>
      <w:r w:rsidR="00063C1D">
        <w:rPr>
          <w:rFonts w:ascii="Times New Roman" w:hAnsi="Times New Roman"/>
        </w:rPr>
        <w:t xml:space="preserve">are at a </w:t>
      </w:r>
      <w:r w:rsidR="00063C1D" w:rsidRPr="009056A9">
        <w:rPr>
          <w:rFonts w:ascii="Times New Roman" w:hAnsi="Times New Roman"/>
        </w:rPr>
        <w:t>mean hourly wage rate $</w:t>
      </w:r>
      <w:r w:rsidR="00E05026">
        <w:rPr>
          <w:rFonts w:ascii="Times New Roman" w:hAnsi="Times New Roman"/>
        </w:rPr>
        <w:t>53.87</w:t>
      </w:r>
      <w:r w:rsidR="00063C1D" w:rsidRPr="009056A9">
        <w:rPr>
          <w:rFonts w:ascii="Times New Roman" w:hAnsi="Times New Roman"/>
        </w:rPr>
        <w:t xml:space="preserve"> per hour, </w:t>
      </w:r>
      <w:r w:rsidR="00063C1D">
        <w:rPr>
          <w:rFonts w:ascii="Times New Roman" w:hAnsi="Times New Roman"/>
        </w:rPr>
        <w:t>$</w:t>
      </w:r>
      <w:r w:rsidR="00E05026">
        <w:rPr>
          <w:rFonts w:ascii="Times New Roman" w:hAnsi="Times New Roman"/>
        </w:rPr>
        <w:t>76.96</w:t>
      </w:r>
      <w:r w:rsidR="00063C1D" w:rsidRPr="009056A9">
        <w:rPr>
          <w:rFonts w:ascii="Times New Roman" w:hAnsi="Times New Roman"/>
        </w:rPr>
        <w:t xml:space="preserve"> per hour including benefits).</w:t>
      </w:r>
      <w:r w:rsidR="00063C1D" w:rsidRPr="009056A9">
        <w:rPr>
          <w:rStyle w:val="FootnoteReference"/>
          <w:rFonts w:ascii="Times New Roman" w:hAnsi="Times New Roman"/>
          <w:vertAlign w:val="superscript"/>
        </w:rPr>
        <w:footnoteReference w:id="4"/>
      </w:r>
    </w:p>
    <w:p w:rsidR="00493902" w:rsidRDefault="00493902" w:rsidP="00493902">
      <w:pPr>
        <w:pStyle w:val="ListParagraph"/>
        <w:rPr>
          <w:rFonts w:ascii="Times New Roman" w:hAnsi="Times New Roman"/>
        </w:rPr>
      </w:pPr>
    </w:p>
    <w:p w:rsidR="00C9027F" w:rsidRPr="00C9027F" w:rsidRDefault="00ED281B" w:rsidP="00C9027F">
      <w:pPr>
        <w:widowControl/>
        <w:numPr>
          <w:ilvl w:val="0"/>
          <w:numId w:val="3"/>
        </w:numPr>
        <w:rPr>
          <w:rFonts w:ascii="Times New Roman" w:hAnsi="Times New Roman"/>
        </w:rPr>
      </w:pPr>
      <w:r>
        <w:rPr>
          <w:rFonts w:ascii="Times New Roman" w:hAnsi="Times New Roman"/>
        </w:rPr>
        <w:t>13.</w:t>
      </w:r>
      <w:r w:rsidR="00CF2856">
        <w:rPr>
          <w:rFonts w:ascii="Times New Roman" w:hAnsi="Times New Roman"/>
        </w:rPr>
        <w:t xml:space="preserve"> </w:t>
      </w:r>
      <w:r>
        <w:rPr>
          <w:rFonts w:ascii="Times New Roman" w:hAnsi="Times New Roman"/>
        </w:rPr>
        <w:t>5</w:t>
      </w:r>
      <w:r w:rsidR="00493902">
        <w:rPr>
          <w:rFonts w:ascii="Times New Roman" w:hAnsi="Times New Roman"/>
        </w:rPr>
        <w:t xml:space="preserve"> of the </w:t>
      </w:r>
      <w:r>
        <w:rPr>
          <w:rFonts w:ascii="Times New Roman" w:hAnsi="Times New Roman"/>
        </w:rPr>
        <w:t>1</w:t>
      </w:r>
      <w:r w:rsidR="00CF2856">
        <w:rPr>
          <w:rFonts w:ascii="Times New Roman" w:hAnsi="Times New Roman"/>
        </w:rPr>
        <w:t>6</w:t>
      </w:r>
      <w:r w:rsidR="00493902">
        <w:rPr>
          <w:rFonts w:ascii="Times New Roman" w:hAnsi="Times New Roman"/>
        </w:rPr>
        <w:t>.</w:t>
      </w:r>
      <w:r w:rsidR="00CF2856">
        <w:rPr>
          <w:rFonts w:ascii="Times New Roman" w:hAnsi="Times New Roman"/>
        </w:rPr>
        <w:t>5</w:t>
      </w:r>
      <w:r w:rsidR="00493902">
        <w:rPr>
          <w:rFonts w:ascii="Times New Roman" w:hAnsi="Times New Roman"/>
        </w:rPr>
        <w:t xml:space="preserve"> outside consultant hours will be performed by </w:t>
      </w:r>
      <w:r w:rsidR="00063C1D" w:rsidRPr="009056A9">
        <w:rPr>
          <w:rFonts w:ascii="Times New Roman" w:hAnsi="Times New Roman"/>
        </w:rPr>
        <w:t>a</w:t>
      </w:r>
      <w:r w:rsidR="00063C1D">
        <w:rPr>
          <w:rFonts w:ascii="Times New Roman" w:hAnsi="Times New Roman"/>
        </w:rPr>
        <w:t xml:space="preserve"> combination of professional lawyers </w:t>
      </w:r>
      <w:r w:rsidR="00063C1D" w:rsidRPr="009056A9">
        <w:rPr>
          <w:rFonts w:ascii="Times New Roman" w:hAnsi="Times New Roman"/>
        </w:rPr>
        <w:t>(occupational code</w:t>
      </w:r>
      <w:r w:rsidR="00063C1D">
        <w:rPr>
          <w:rFonts w:ascii="Times New Roman" w:hAnsi="Times New Roman"/>
        </w:rPr>
        <w:t xml:space="preserve"> 23-1011 at a mean hourly wage rate of $</w:t>
      </w:r>
      <w:r w:rsidR="00E05026">
        <w:rPr>
          <w:rFonts w:ascii="Times New Roman" w:hAnsi="Times New Roman"/>
        </w:rPr>
        <w:t>63.46</w:t>
      </w:r>
      <w:r w:rsidR="00063C1D">
        <w:rPr>
          <w:rFonts w:ascii="Times New Roman" w:hAnsi="Times New Roman"/>
        </w:rPr>
        <w:t>,</w:t>
      </w:r>
      <w:r w:rsidR="00063C1D" w:rsidRPr="009056A9">
        <w:rPr>
          <w:rFonts w:ascii="Times New Roman" w:hAnsi="Times New Roman"/>
        </w:rPr>
        <w:t xml:space="preserve"> </w:t>
      </w:r>
      <w:r w:rsidR="00063C1D">
        <w:rPr>
          <w:rFonts w:ascii="Times New Roman" w:hAnsi="Times New Roman"/>
        </w:rPr>
        <w:t>$</w:t>
      </w:r>
      <w:r w:rsidR="00E05026">
        <w:rPr>
          <w:rFonts w:ascii="Times New Roman" w:hAnsi="Times New Roman"/>
        </w:rPr>
        <w:t>90.66</w:t>
      </w:r>
      <w:r w:rsidR="00063C1D" w:rsidRPr="009056A9">
        <w:rPr>
          <w:rFonts w:ascii="Times New Roman" w:hAnsi="Times New Roman"/>
        </w:rPr>
        <w:t xml:space="preserve"> per hour including benefits)</w:t>
      </w:r>
      <w:r w:rsidR="00063C1D">
        <w:rPr>
          <w:rFonts w:ascii="Times New Roman" w:hAnsi="Times New Roman"/>
        </w:rPr>
        <w:t xml:space="preserve"> and actuaries (</w:t>
      </w:r>
      <w:r w:rsidR="00063C1D" w:rsidRPr="009056A9">
        <w:rPr>
          <w:rFonts w:ascii="Times New Roman" w:hAnsi="Times New Roman"/>
        </w:rPr>
        <w:t>occupational code</w:t>
      </w:r>
      <w:r w:rsidR="00063C1D">
        <w:rPr>
          <w:rFonts w:ascii="Times New Roman" w:hAnsi="Times New Roman"/>
        </w:rPr>
        <w:t xml:space="preserve"> 15-2011 at a mean hourly wage rate of $</w:t>
      </w:r>
      <w:r w:rsidR="00E05026">
        <w:rPr>
          <w:rFonts w:ascii="Times New Roman" w:hAnsi="Times New Roman"/>
        </w:rPr>
        <w:t>51.80</w:t>
      </w:r>
      <w:r w:rsidR="00063C1D">
        <w:rPr>
          <w:rFonts w:ascii="Times New Roman" w:hAnsi="Times New Roman"/>
        </w:rPr>
        <w:t>,</w:t>
      </w:r>
      <w:r w:rsidR="00063C1D" w:rsidRPr="009056A9">
        <w:rPr>
          <w:rFonts w:ascii="Times New Roman" w:hAnsi="Times New Roman"/>
        </w:rPr>
        <w:t xml:space="preserve"> </w:t>
      </w:r>
      <w:r w:rsidR="00063C1D">
        <w:rPr>
          <w:rFonts w:ascii="Times New Roman" w:hAnsi="Times New Roman"/>
        </w:rPr>
        <w:t>$</w:t>
      </w:r>
      <w:r w:rsidR="00E05026">
        <w:rPr>
          <w:rFonts w:ascii="Times New Roman" w:hAnsi="Times New Roman"/>
        </w:rPr>
        <w:t>74.00</w:t>
      </w:r>
      <w:r w:rsidR="00063C1D">
        <w:rPr>
          <w:rFonts w:ascii="Times New Roman" w:hAnsi="Times New Roman"/>
        </w:rPr>
        <w:t xml:space="preserve"> </w:t>
      </w:r>
      <w:r w:rsidR="00063C1D" w:rsidRPr="009056A9">
        <w:rPr>
          <w:rFonts w:ascii="Times New Roman" w:hAnsi="Times New Roman"/>
        </w:rPr>
        <w:t>per hour including benefits).</w:t>
      </w:r>
      <w:r w:rsidR="00063C1D" w:rsidRPr="009056A9">
        <w:rPr>
          <w:rStyle w:val="FootnoteReference"/>
          <w:rFonts w:ascii="Times New Roman" w:hAnsi="Times New Roman"/>
          <w:vertAlign w:val="superscript"/>
        </w:rPr>
        <w:footnoteReference w:id="5"/>
      </w:r>
      <w:r w:rsidR="006B6032">
        <w:rPr>
          <w:rFonts w:ascii="Times New Roman" w:hAnsi="Times New Roman"/>
        </w:rPr>
        <w:t xml:space="preserve">  Th</w:t>
      </w:r>
      <w:r w:rsidR="00B2650D">
        <w:rPr>
          <w:rFonts w:ascii="Times New Roman" w:hAnsi="Times New Roman"/>
        </w:rPr>
        <w:t xml:space="preserve">is comes to </w:t>
      </w:r>
      <w:r w:rsidR="00AE1311">
        <w:rPr>
          <w:rFonts w:ascii="Times New Roman" w:hAnsi="Times New Roman"/>
        </w:rPr>
        <w:t xml:space="preserve">a blended </w:t>
      </w:r>
      <w:r w:rsidR="00B2650D">
        <w:rPr>
          <w:rFonts w:ascii="Times New Roman" w:hAnsi="Times New Roman"/>
        </w:rPr>
        <w:t>hourly wage of $</w:t>
      </w:r>
      <w:r w:rsidR="00E05026">
        <w:rPr>
          <w:rFonts w:ascii="Times New Roman" w:hAnsi="Times New Roman"/>
        </w:rPr>
        <w:t>57.63</w:t>
      </w:r>
      <w:r w:rsidR="00B2650D">
        <w:rPr>
          <w:rFonts w:ascii="Times New Roman" w:hAnsi="Times New Roman"/>
        </w:rPr>
        <w:t>, $</w:t>
      </w:r>
      <w:r w:rsidR="008F2593">
        <w:rPr>
          <w:rFonts w:ascii="Times New Roman" w:hAnsi="Times New Roman"/>
        </w:rPr>
        <w:t>82.33</w:t>
      </w:r>
      <w:r w:rsidR="00B2650D">
        <w:rPr>
          <w:rFonts w:ascii="Times New Roman" w:hAnsi="Times New Roman"/>
        </w:rPr>
        <w:t xml:space="preserve"> per hour including benefits.</w:t>
      </w:r>
    </w:p>
    <w:p w:rsidR="00C9027F" w:rsidRDefault="00C9027F" w:rsidP="00C9027F">
      <w:pPr>
        <w:widowControl/>
        <w:ind w:firstLine="720"/>
        <w:rPr>
          <w:rFonts w:ascii="Times New Roman" w:hAnsi="Times New Roman"/>
        </w:rPr>
      </w:pPr>
    </w:p>
    <w:p w:rsidR="00924C16" w:rsidRPr="00BB35AC" w:rsidRDefault="00493902" w:rsidP="00C9027F">
      <w:pPr>
        <w:widowControl/>
        <w:spacing w:line="480" w:lineRule="auto"/>
        <w:ind w:firstLine="720"/>
        <w:rPr>
          <w:rFonts w:ascii="Times New Roman" w:hAnsi="Times New Roman"/>
        </w:rPr>
      </w:pPr>
      <w:r>
        <w:rPr>
          <w:rFonts w:ascii="Times New Roman" w:hAnsi="Times New Roman"/>
        </w:rPr>
        <w:lastRenderedPageBreak/>
        <w:t xml:space="preserve">The total cost of managerial time is </w:t>
      </w:r>
      <w:r w:rsidR="00CF2856">
        <w:rPr>
          <w:rFonts w:ascii="Times New Roman" w:hAnsi="Times New Roman"/>
        </w:rPr>
        <w:t>3</w:t>
      </w:r>
      <w:r>
        <w:rPr>
          <w:rFonts w:ascii="Times New Roman" w:hAnsi="Times New Roman"/>
        </w:rPr>
        <w:t>.</w:t>
      </w:r>
      <w:r w:rsidR="00CF2856">
        <w:rPr>
          <w:rFonts w:ascii="Times New Roman" w:hAnsi="Times New Roman"/>
        </w:rPr>
        <w:t>0</w:t>
      </w:r>
      <w:r>
        <w:rPr>
          <w:rFonts w:ascii="Times New Roman" w:hAnsi="Times New Roman"/>
        </w:rPr>
        <w:t xml:space="preserve"> x $</w:t>
      </w:r>
      <w:r w:rsidR="00E05026">
        <w:rPr>
          <w:rFonts w:ascii="Times New Roman" w:hAnsi="Times New Roman"/>
        </w:rPr>
        <w:t>76.96</w:t>
      </w:r>
      <w:r>
        <w:rPr>
          <w:rFonts w:ascii="Times New Roman" w:hAnsi="Times New Roman"/>
        </w:rPr>
        <w:t>, or $</w:t>
      </w:r>
      <w:r w:rsidR="00CF2856" w:rsidRPr="00CF2856">
        <w:rPr>
          <w:rFonts w:ascii="Times New Roman" w:hAnsi="Times New Roman"/>
        </w:rPr>
        <w:t>230.88</w:t>
      </w:r>
      <w:r w:rsidR="00DF1136">
        <w:rPr>
          <w:rFonts w:ascii="Times New Roman" w:hAnsi="Times New Roman"/>
        </w:rPr>
        <w:t xml:space="preserve"> </w:t>
      </w:r>
      <w:r>
        <w:rPr>
          <w:rFonts w:ascii="Times New Roman" w:hAnsi="Times New Roman"/>
        </w:rPr>
        <w:t>and the total cost of professional time is 1</w:t>
      </w:r>
      <w:r w:rsidR="00ED281B">
        <w:rPr>
          <w:rFonts w:ascii="Times New Roman" w:hAnsi="Times New Roman"/>
        </w:rPr>
        <w:t>3.5</w:t>
      </w:r>
      <w:r>
        <w:rPr>
          <w:rFonts w:ascii="Times New Roman" w:hAnsi="Times New Roman"/>
        </w:rPr>
        <w:t xml:space="preserve"> x $</w:t>
      </w:r>
      <w:r w:rsidR="00E05026">
        <w:rPr>
          <w:rFonts w:ascii="Times New Roman" w:hAnsi="Times New Roman"/>
        </w:rPr>
        <w:t>8</w:t>
      </w:r>
      <w:r w:rsidR="008F2593">
        <w:rPr>
          <w:rFonts w:ascii="Times New Roman" w:hAnsi="Times New Roman"/>
        </w:rPr>
        <w:t>2.33</w:t>
      </w:r>
      <w:r>
        <w:rPr>
          <w:rFonts w:ascii="Times New Roman" w:hAnsi="Times New Roman"/>
        </w:rPr>
        <w:t>, or $</w:t>
      </w:r>
      <w:r w:rsidR="00E05026">
        <w:rPr>
          <w:rFonts w:ascii="Times New Roman" w:hAnsi="Times New Roman"/>
        </w:rPr>
        <w:t>1,</w:t>
      </w:r>
      <w:r w:rsidR="00CF2856">
        <w:rPr>
          <w:rFonts w:ascii="Times New Roman" w:hAnsi="Times New Roman"/>
        </w:rPr>
        <w:t>111</w:t>
      </w:r>
      <w:r w:rsidR="002123A1">
        <w:rPr>
          <w:rFonts w:ascii="Times New Roman" w:hAnsi="Times New Roman"/>
        </w:rPr>
        <w:t>.</w:t>
      </w:r>
      <w:r w:rsidR="00CF2856">
        <w:rPr>
          <w:rFonts w:ascii="Times New Roman" w:hAnsi="Times New Roman"/>
        </w:rPr>
        <w:t>46</w:t>
      </w:r>
      <w:r>
        <w:rPr>
          <w:rFonts w:ascii="Times New Roman" w:hAnsi="Times New Roman"/>
        </w:rPr>
        <w:t>.  Thus, the total cost</w:t>
      </w:r>
      <w:r w:rsidR="00DF1136">
        <w:rPr>
          <w:rFonts w:ascii="Times New Roman" w:hAnsi="Times New Roman"/>
        </w:rPr>
        <w:t xml:space="preserve"> of outside consultant time is </w:t>
      </w:r>
      <w:r>
        <w:rPr>
          <w:rFonts w:ascii="Times New Roman" w:hAnsi="Times New Roman"/>
        </w:rPr>
        <w:t>$</w:t>
      </w:r>
      <w:r w:rsidR="00E05026">
        <w:rPr>
          <w:rFonts w:ascii="Times New Roman" w:hAnsi="Times New Roman"/>
        </w:rPr>
        <w:t>1</w:t>
      </w:r>
      <w:r w:rsidR="008F2593">
        <w:rPr>
          <w:rFonts w:ascii="Times New Roman" w:hAnsi="Times New Roman"/>
        </w:rPr>
        <w:t>,</w:t>
      </w:r>
      <w:r w:rsidR="00ED281B">
        <w:rPr>
          <w:rFonts w:ascii="Times New Roman" w:hAnsi="Times New Roman"/>
        </w:rPr>
        <w:t>3</w:t>
      </w:r>
      <w:r w:rsidR="00CF2856">
        <w:rPr>
          <w:rFonts w:ascii="Times New Roman" w:hAnsi="Times New Roman"/>
        </w:rPr>
        <w:t>4</w:t>
      </w:r>
      <w:r w:rsidR="00ED281B">
        <w:rPr>
          <w:rFonts w:ascii="Times New Roman" w:hAnsi="Times New Roman"/>
        </w:rPr>
        <w:t>2</w:t>
      </w:r>
      <w:r w:rsidR="002123A1">
        <w:rPr>
          <w:rFonts w:ascii="Times New Roman" w:hAnsi="Times New Roman"/>
        </w:rPr>
        <w:t>.</w:t>
      </w:r>
      <w:r w:rsidR="00CF2856">
        <w:rPr>
          <w:rFonts w:ascii="Times New Roman" w:hAnsi="Times New Roman"/>
        </w:rPr>
        <w:t>34</w:t>
      </w:r>
      <w:r w:rsidR="00B2650D">
        <w:rPr>
          <w:rFonts w:ascii="Times New Roman" w:hAnsi="Times New Roman"/>
        </w:rPr>
        <w:t xml:space="preserve"> </w:t>
      </w:r>
      <w:r w:rsidR="00DF1136">
        <w:rPr>
          <w:rFonts w:ascii="Times New Roman" w:hAnsi="Times New Roman"/>
        </w:rPr>
        <w:t>(</w:t>
      </w:r>
      <w:r>
        <w:rPr>
          <w:rFonts w:ascii="Times New Roman" w:hAnsi="Times New Roman"/>
        </w:rPr>
        <w:t>$</w:t>
      </w:r>
      <w:r w:rsidR="00CF2856" w:rsidRPr="00CF2856">
        <w:rPr>
          <w:rFonts w:ascii="Times New Roman" w:hAnsi="Times New Roman"/>
        </w:rPr>
        <w:t>230.88</w:t>
      </w:r>
      <w:r>
        <w:rPr>
          <w:rFonts w:ascii="Times New Roman" w:hAnsi="Times New Roman"/>
        </w:rPr>
        <w:t xml:space="preserve"> + $</w:t>
      </w:r>
      <w:r w:rsidR="00E05026">
        <w:rPr>
          <w:rFonts w:ascii="Times New Roman" w:hAnsi="Times New Roman"/>
        </w:rPr>
        <w:t>1</w:t>
      </w:r>
      <w:r w:rsidR="008F2593">
        <w:rPr>
          <w:rFonts w:ascii="Times New Roman" w:hAnsi="Times New Roman"/>
        </w:rPr>
        <w:t>,</w:t>
      </w:r>
      <w:r w:rsidR="00CF2856">
        <w:rPr>
          <w:rFonts w:ascii="Times New Roman" w:hAnsi="Times New Roman"/>
        </w:rPr>
        <w:t>111</w:t>
      </w:r>
      <w:r w:rsidR="002123A1">
        <w:rPr>
          <w:rFonts w:ascii="Times New Roman" w:hAnsi="Times New Roman"/>
        </w:rPr>
        <w:t>.</w:t>
      </w:r>
      <w:r w:rsidR="00CF2856">
        <w:rPr>
          <w:rFonts w:ascii="Times New Roman" w:hAnsi="Times New Roman"/>
        </w:rPr>
        <w:t>46</w:t>
      </w:r>
      <w:r>
        <w:rPr>
          <w:rFonts w:ascii="Times New Roman" w:hAnsi="Times New Roman"/>
        </w:rPr>
        <w:t xml:space="preserve">).      </w:t>
      </w:r>
    </w:p>
    <w:p w:rsidR="00924C16" w:rsidRPr="00BB35AC" w:rsidRDefault="00924C16">
      <w:pPr>
        <w:widowControl/>
        <w:spacing w:line="120" w:lineRule="auto"/>
        <w:rPr>
          <w:rFonts w:ascii="Times New Roman" w:hAnsi="Times New Roman"/>
        </w:rPr>
      </w:pPr>
    </w:p>
    <w:p w:rsidR="00924C16" w:rsidRDefault="00924C16">
      <w:pPr>
        <w:widowControl/>
        <w:spacing w:line="480" w:lineRule="auto"/>
        <w:ind w:firstLine="720"/>
        <w:rPr>
          <w:rFonts w:ascii="Times New Roman" w:hAnsi="Times New Roman"/>
        </w:rPr>
      </w:pPr>
      <w:r w:rsidRPr="00BB35AC">
        <w:rPr>
          <w:rFonts w:ascii="Times New Roman" w:hAnsi="Times New Roman"/>
        </w:rPr>
        <w:t xml:space="preserve">14.  </w:t>
      </w:r>
      <w:r w:rsidRPr="00BB35AC">
        <w:rPr>
          <w:rFonts w:ascii="Times New Roman" w:hAnsi="Times New Roman"/>
          <w:u w:val="single"/>
        </w:rPr>
        <w:t>Cost to the government.</w:t>
      </w:r>
      <w:r w:rsidRPr="00BB35AC">
        <w:rPr>
          <w:rFonts w:ascii="Times New Roman" w:hAnsi="Times New Roman"/>
        </w:rPr>
        <w:t xml:space="preserve">  </w:t>
      </w:r>
      <w:r w:rsidR="00B6317D" w:rsidRPr="00BB35AC">
        <w:rPr>
          <w:rFonts w:ascii="Times New Roman" w:hAnsi="Times New Roman"/>
        </w:rPr>
        <w:t>As discussed in item 12, PBGC expects to process about 2</w:t>
      </w:r>
      <w:r w:rsidR="00B6317D">
        <w:rPr>
          <w:rFonts w:ascii="Times New Roman" w:hAnsi="Times New Roman"/>
        </w:rPr>
        <w:t>1</w:t>
      </w:r>
      <w:r w:rsidR="00B6317D" w:rsidRPr="00BB35AC">
        <w:rPr>
          <w:rFonts w:ascii="Times New Roman" w:hAnsi="Times New Roman"/>
        </w:rPr>
        <w:t xml:space="preserve"> cases annually under the amended regulation, of which not more than 3 will involve spin</w:t>
      </w:r>
      <w:r w:rsidR="00B6317D" w:rsidRPr="00BB35AC">
        <w:rPr>
          <w:rFonts w:ascii="Times New Roman" w:hAnsi="Times New Roman"/>
        </w:rPr>
        <w:noBreakHyphen/>
        <w:t xml:space="preserve">offs or significantly affected plans.  </w:t>
      </w:r>
    </w:p>
    <w:p w:rsidR="00F57D01" w:rsidRDefault="00F57D01" w:rsidP="00F57D01">
      <w:pPr>
        <w:widowControl/>
        <w:spacing w:line="480" w:lineRule="auto"/>
        <w:ind w:firstLine="720"/>
        <w:rPr>
          <w:rFonts w:ascii="Times New Roman" w:hAnsi="Times New Roman"/>
        </w:rPr>
      </w:pPr>
      <w:r>
        <w:rPr>
          <w:rFonts w:ascii="Times New Roman" w:hAnsi="Times New Roman"/>
        </w:rPr>
        <w:t xml:space="preserve">PBGC estimates are based on the following: </w:t>
      </w:r>
    </w:p>
    <w:p w:rsidR="00F57D01" w:rsidRDefault="00F57D01" w:rsidP="004F44A9">
      <w:pPr>
        <w:pStyle w:val="ListParagraph"/>
        <w:widowControl/>
        <w:numPr>
          <w:ilvl w:val="0"/>
          <w:numId w:val="4"/>
        </w:numPr>
        <w:contextualSpacing/>
        <w:rPr>
          <w:rFonts w:ascii="Times New Roman" w:hAnsi="Times New Roman"/>
        </w:rPr>
      </w:pPr>
      <w:r>
        <w:rPr>
          <w:rFonts w:ascii="Times New Roman" w:hAnsi="Times New Roman"/>
        </w:rPr>
        <w:t xml:space="preserve">15 hours of staff time per response for processing a notice of merger involving a non-significantly affected plan will be performed by a </w:t>
      </w:r>
      <w:r w:rsidR="003F4CC2">
        <w:rPr>
          <w:rFonts w:ascii="Times New Roman" w:hAnsi="Times New Roman"/>
        </w:rPr>
        <w:t xml:space="preserve">combination of attorneys and actuaries </w:t>
      </w:r>
      <w:r>
        <w:rPr>
          <w:rFonts w:ascii="Times New Roman" w:hAnsi="Times New Roman"/>
        </w:rPr>
        <w:t xml:space="preserve">(range of salary </w:t>
      </w:r>
      <w:r w:rsidRPr="00790B10">
        <w:rPr>
          <w:rFonts w:ascii="Times New Roman" w:hAnsi="Times New Roman"/>
        </w:rPr>
        <w:t>GS 11-14</w:t>
      </w:r>
      <w:r>
        <w:rPr>
          <w:rFonts w:ascii="Times New Roman" w:hAnsi="Times New Roman"/>
        </w:rPr>
        <w:t xml:space="preserve">, average GS 13 step </w:t>
      </w:r>
      <w:r w:rsidR="003F4CC2">
        <w:rPr>
          <w:rFonts w:ascii="Times New Roman" w:hAnsi="Times New Roman"/>
        </w:rPr>
        <w:t>5</w:t>
      </w:r>
      <w:r w:rsidRPr="00790B10">
        <w:rPr>
          <w:rFonts w:ascii="Times New Roman" w:hAnsi="Times New Roman"/>
        </w:rPr>
        <w:t>)</w:t>
      </w:r>
      <w:r>
        <w:rPr>
          <w:rFonts w:ascii="Times New Roman" w:hAnsi="Times New Roman"/>
        </w:rPr>
        <w:t>.</w:t>
      </w:r>
    </w:p>
    <w:p w:rsidR="00C10020" w:rsidRDefault="00C10020" w:rsidP="004F44A9">
      <w:pPr>
        <w:pStyle w:val="ListParagraph"/>
        <w:widowControl/>
        <w:contextualSpacing/>
        <w:rPr>
          <w:rFonts w:ascii="Times New Roman" w:hAnsi="Times New Roman"/>
        </w:rPr>
      </w:pPr>
    </w:p>
    <w:p w:rsidR="00F57D01" w:rsidRPr="00790B10" w:rsidRDefault="00F57D01" w:rsidP="004F44A9">
      <w:pPr>
        <w:pStyle w:val="ListParagraph"/>
        <w:widowControl/>
        <w:numPr>
          <w:ilvl w:val="0"/>
          <w:numId w:val="4"/>
        </w:numPr>
        <w:contextualSpacing/>
        <w:rPr>
          <w:rFonts w:ascii="Times New Roman" w:hAnsi="Times New Roman"/>
        </w:rPr>
      </w:pPr>
      <w:r>
        <w:rPr>
          <w:rFonts w:ascii="Times New Roman" w:hAnsi="Times New Roman"/>
        </w:rPr>
        <w:t>30</w:t>
      </w:r>
      <w:r w:rsidRPr="00790B10">
        <w:rPr>
          <w:rFonts w:ascii="Times New Roman" w:hAnsi="Times New Roman"/>
        </w:rPr>
        <w:t xml:space="preserve"> hours </w:t>
      </w:r>
      <w:r>
        <w:rPr>
          <w:rFonts w:ascii="Times New Roman" w:hAnsi="Times New Roman"/>
        </w:rPr>
        <w:t xml:space="preserve">of staff time per response for processing a spin-off or a transaction involving a significantly affected plan will be </w:t>
      </w:r>
      <w:r w:rsidRPr="00790B10">
        <w:rPr>
          <w:rFonts w:ascii="Times New Roman" w:hAnsi="Times New Roman"/>
        </w:rPr>
        <w:t>performed by a</w:t>
      </w:r>
      <w:r w:rsidR="003F4CC2">
        <w:rPr>
          <w:rFonts w:ascii="Times New Roman" w:hAnsi="Times New Roman"/>
        </w:rPr>
        <w:t xml:space="preserve"> combination of attorneys and actuaries</w:t>
      </w:r>
      <w:r w:rsidRPr="00790B10">
        <w:rPr>
          <w:rFonts w:ascii="Times New Roman" w:hAnsi="Times New Roman"/>
        </w:rPr>
        <w:t xml:space="preserve"> (</w:t>
      </w:r>
      <w:r>
        <w:rPr>
          <w:rFonts w:ascii="Times New Roman" w:hAnsi="Times New Roman"/>
        </w:rPr>
        <w:t xml:space="preserve">range of salary </w:t>
      </w:r>
      <w:r w:rsidRPr="00790B10">
        <w:rPr>
          <w:rFonts w:ascii="Times New Roman" w:hAnsi="Times New Roman"/>
        </w:rPr>
        <w:t>GS 11-14</w:t>
      </w:r>
      <w:r>
        <w:rPr>
          <w:rFonts w:ascii="Times New Roman" w:hAnsi="Times New Roman"/>
        </w:rPr>
        <w:t xml:space="preserve">, average GS 13 step </w:t>
      </w:r>
      <w:r w:rsidR="003F4CC2">
        <w:rPr>
          <w:rFonts w:ascii="Times New Roman" w:hAnsi="Times New Roman"/>
        </w:rPr>
        <w:t>5</w:t>
      </w:r>
      <w:r w:rsidRPr="00790B10">
        <w:rPr>
          <w:rFonts w:ascii="Times New Roman" w:hAnsi="Times New Roman"/>
        </w:rPr>
        <w:t>)</w:t>
      </w:r>
      <w:r>
        <w:rPr>
          <w:rFonts w:ascii="Times New Roman" w:hAnsi="Times New Roman"/>
        </w:rPr>
        <w:t>.</w:t>
      </w:r>
      <w:r w:rsidRPr="00790B10">
        <w:rPr>
          <w:rFonts w:ascii="Times New Roman" w:hAnsi="Times New Roman"/>
        </w:rPr>
        <w:t xml:space="preserve"> </w:t>
      </w:r>
    </w:p>
    <w:p w:rsidR="00127F7F" w:rsidRDefault="00127F7F" w:rsidP="00127F7F">
      <w:pPr>
        <w:widowControl/>
        <w:ind w:firstLine="720"/>
        <w:rPr>
          <w:rFonts w:ascii="Times New Roman" w:hAnsi="Times New Roman"/>
        </w:rPr>
      </w:pPr>
    </w:p>
    <w:p w:rsidR="00F57D01" w:rsidRPr="00BB35AC" w:rsidRDefault="00A829E9" w:rsidP="00F57D01">
      <w:pPr>
        <w:widowControl/>
        <w:spacing w:line="480" w:lineRule="auto"/>
        <w:ind w:firstLine="720"/>
        <w:rPr>
          <w:rFonts w:ascii="Times New Roman" w:hAnsi="Times New Roman"/>
        </w:rPr>
      </w:pPr>
      <w:r w:rsidRPr="00AD0449">
        <w:rPr>
          <w:rFonts w:ascii="Times New Roman" w:hAnsi="Times New Roman"/>
        </w:rPr>
        <w:t>Assuming a blended rate of $</w:t>
      </w:r>
      <w:r w:rsidR="00AE1311">
        <w:rPr>
          <w:rFonts w:ascii="Times New Roman" w:hAnsi="Times New Roman"/>
        </w:rPr>
        <w:t>69.76</w:t>
      </w:r>
      <w:r w:rsidRPr="00AD0449">
        <w:rPr>
          <w:rFonts w:ascii="Times New Roman" w:hAnsi="Times New Roman"/>
        </w:rPr>
        <w:t xml:space="preserve"> per hour ($</w:t>
      </w:r>
      <w:r w:rsidR="00AE1311">
        <w:rPr>
          <w:rFonts w:ascii="Times New Roman" w:hAnsi="Times New Roman"/>
        </w:rPr>
        <w:t>48.83</w:t>
      </w:r>
      <w:r>
        <w:rPr>
          <w:rFonts w:ascii="Times New Roman" w:hAnsi="Times New Roman"/>
        </w:rPr>
        <w:t xml:space="preserve"> </w:t>
      </w:r>
      <w:r w:rsidRPr="00AD0449">
        <w:rPr>
          <w:rFonts w:ascii="Times New Roman" w:hAnsi="Times New Roman"/>
        </w:rPr>
        <w:t>attributable to wages</w:t>
      </w:r>
      <w:r w:rsidRPr="00AD0449">
        <w:rPr>
          <w:rFonts w:ascii="Times New Roman" w:hAnsi="Times New Roman"/>
          <w:vertAlign w:val="superscript"/>
        </w:rPr>
        <w:footnoteReference w:id="6"/>
      </w:r>
      <w:r w:rsidRPr="00AD0449">
        <w:rPr>
          <w:rFonts w:ascii="Times New Roman" w:hAnsi="Times New Roman"/>
        </w:rPr>
        <w:t xml:space="preserve"> and $</w:t>
      </w:r>
      <w:r w:rsidR="00AE1311">
        <w:rPr>
          <w:rFonts w:ascii="Times New Roman" w:hAnsi="Times New Roman"/>
        </w:rPr>
        <w:t>20.93</w:t>
      </w:r>
      <w:r w:rsidRPr="00AD0449">
        <w:rPr>
          <w:rFonts w:ascii="Times New Roman" w:hAnsi="Times New Roman"/>
        </w:rPr>
        <w:t xml:space="preserve"> attributable to benefits), </w:t>
      </w:r>
      <w:r w:rsidR="00F57D01">
        <w:rPr>
          <w:rFonts w:ascii="Times New Roman" w:hAnsi="Times New Roman"/>
        </w:rPr>
        <w:t>PBGC estimates that t</w:t>
      </w:r>
      <w:r w:rsidR="00F57D01" w:rsidRPr="00E928F3">
        <w:rPr>
          <w:rFonts w:ascii="Times New Roman" w:hAnsi="Times New Roman"/>
        </w:rPr>
        <w:t>he total annual cost to the government is $</w:t>
      </w:r>
      <w:r w:rsidR="00AE1311">
        <w:rPr>
          <w:rFonts w:ascii="Times New Roman" w:hAnsi="Times New Roman"/>
        </w:rPr>
        <w:t>40,809.60</w:t>
      </w:r>
      <w:r w:rsidR="00F57D01" w:rsidRPr="00E928F3">
        <w:rPr>
          <w:rFonts w:ascii="Times New Roman" w:hAnsi="Times New Roman"/>
        </w:rPr>
        <w:t xml:space="preserve"> (</w:t>
      </w:r>
      <w:r w:rsidR="00830D15">
        <w:rPr>
          <w:rFonts w:ascii="Times New Roman" w:hAnsi="Times New Roman"/>
        </w:rPr>
        <w:t>(3 merger notice</w:t>
      </w:r>
      <w:r w:rsidR="00F57D01" w:rsidRPr="00E928F3">
        <w:rPr>
          <w:rFonts w:ascii="Times New Roman" w:hAnsi="Times New Roman"/>
        </w:rPr>
        <w:t xml:space="preserve"> responses x </w:t>
      </w:r>
      <w:r w:rsidR="00830D15">
        <w:rPr>
          <w:rFonts w:ascii="Times New Roman" w:hAnsi="Times New Roman"/>
        </w:rPr>
        <w:t>15</w:t>
      </w:r>
      <w:r w:rsidR="00F57D01" w:rsidRPr="00E928F3">
        <w:rPr>
          <w:rFonts w:ascii="Times New Roman" w:hAnsi="Times New Roman"/>
        </w:rPr>
        <w:t xml:space="preserve"> hours x $</w:t>
      </w:r>
      <w:r w:rsidR="00AE1311">
        <w:rPr>
          <w:rFonts w:ascii="Times New Roman" w:hAnsi="Times New Roman"/>
        </w:rPr>
        <w:t>69.76</w:t>
      </w:r>
      <w:r w:rsidR="0005601B">
        <w:rPr>
          <w:rFonts w:ascii="Times New Roman" w:hAnsi="Times New Roman"/>
        </w:rPr>
        <w:t xml:space="preserve"> </w:t>
      </w:r>
      <w:r w:rsidR="00F57D01" w:rsidRPr="00E928F3">
        <w:rPr>
          <w:rFonts w:ascii="Times New Roman" w:hAnsi="Times New Roman"/>
        </w:rPr>
        <w:t>per hour</w:t>
      </w:r>
      <w:r w:rsidR="00830D15">
        <w:rPr>
          <w:rFonts w:ascii="Times New Roman" w:hAnsi="Times New Roman"/>
        </w:rPr>
        <w:t>) + (18 spin-off notice responses x 30 hours x $</w:t>
      </w:r>
      <w:r w:rsidR="00AE1311">
        <w:rPr>
          <w:rFonts w:ascii="Times New Roman" w:hAnsi="Times New Roman"/>
        </w:rPr>
        <w:t>69.76</w:t>
      </w:r>
      <w:r w:rsidR="00830D15">
        <w:rPr>
          <w:rFonts w:ascii="Times New Roman" w:hAnsi="Times New Roman"/>
        </w:rPr>
        <w:t>)</w:t>
      </w:r>
      <w:r w:rsidR="00F57D01" w:rsidRPr="00E928F3">
        <w:rPr>
          <w:rFonts w:ascii="Times New Roman" w:hAnsi="Times New Roman"/>
        </w:rPr>
        <w:t>).</w:t>
      </w:r>
    </w:p>
    <w:p w:rsidR="00924C16" w:rsidRPr="00BB35AC" w:rsidRDefault="00924C16">
      <w:pPr>
        <w:widowControl/>
        <w:spacing w:line="120" w:lineRule="auto"/>
        <w:rPr>
          <w:rFonts w:ascii="Times New Roman" w:hAnsi="Times New Roman"/>
        </w:rPr>
      </w:pPr>
    </w:p>
    <w:p w:rsidR="003625B1" w:rsidRPr="00BB35AC" w:rsidRDefault="00924C16" w:rsidP="00FA3130">
      <w:pPr>
        <w:widowControl/>
        <w:spacing w:line="480" w:lineRule="auto"/>
        <w:ind w:firstLine="720"/>
        <w:rPr>
          <w:rFonts w:ascii="Times New Roman" w:hAnsi="Times New Roman"/>
        </w:rPr>
      </w:pPr>
      <w:r w:rsidRPr="00BB35AC">
        <w:rPr>
          <w:rFonts w:ascii="Times New Roman" w:hAnsi="Times New Roman"/>
        </w:rPr>
        <w:t xml:space="preserve">15.  </w:t>
      </w:r>
      <w:r w:rsidRPr="00BB35AC">
        <w:rPr>
          <w:rFonts w:ascii="Times New Roman" w:hAnsi="Times New Roman"/>
          <w:u w:val="single"/>
        </w:rPr>
        <w:t>Explanation of burden changes.</w:t>
      </w:r>
      <w:r w:rsidRPr="00BB35AC">
        <w:rPr>
          <w:rFonts w:ascii="Times New Roman" w:hAnsi="Times New Roman"/>
        </w:rPr>
        <w:t xml:space="preserve">  </w:t>
      </w:r>
      <w:r w:rsidR="003625B1" w:rsidRPr="00BB35AC">
        <w:rPr>
          <w:rFonts w:ascii="Times New Roman" w:hAnsi="Times New Roman"/>
        </w:rPr>
        <w:t xml:space="preserve">The cost burden of this collection of information has </w:t>
      </w:r>
      <w:r w:rsidR="0005601B">
        <w:rPr>
          <w:rFonts w:ascii="Times New Roman" w:hAnsi="Times New Roman"/>
        </w:rPr>
        <w:t>decreased</w:t>
      </w:r>
      <w:r w:rsidR="003625B1" w:rsidRPr="00BB35AC">
        <w:rPr>
          <w:rFonts w:ascii="Times New Roman" w:hAnsi="Times New Roman"/>
        </w:rPr>
        <w:t xml:space="preserve"> from $</w:t>
      </w:r>
      <w:r w:rsidR="00CC2ADC">
        <w:rPr>
          <w:rFonts w:ascii="Times New Roman" w:hAnsi="Times New Roman"/>
        </w:rPr>
        <w:t xml:space="preserve">1,885.97 </w:t>
      </w:r>
      <w:r w:rsidR="003625B1">
        <w:rPr>
          <w:rFonts w:ascii="Times New Roman" w:hAnsi="Times New Roman"/>
        </w:rPr>
        <w:t>to $</w:t>
      </w:r>
      <w:r w:rsidR="00CF2856" w:rsidRPr="00CF2856">
        <w:rPr>
          <w:rFonts w:ascii="Times New Roman" w:hAnsi="Times New Roman"/>
        </w:rPr>
        <w:t>1,342.34</w:t>
      </w:r>
      <w:r w:rsidR="0005601B">
        <w:rPr>
          <w:rFonts w:ascii="Times New Roman" w:hAnsi="Times New Roman"/>
        </w:rPr>
        <w:t xml:space="preserve"> </w:t>
      </w:r>
      <w:r w:rsidR="003625B1" w:rsidRPr="00BB35AC">
        <w:rPr>
          <w:rFonts w:ascii="Times New Roman" w:hAnsi="Times New Roman"/>
        </w:rPr>
        <w:t xml:space="preserve">due to </w:t>
      </w:r>
      <w:r w:rsidR="00CC2ADC">
        <w:rPr>
          <w:rFonts w:ascii="Times New Roman" w:hAnsi="Times New Roman"/>
        </w:rPr>
        <w:t xml:space="preserve">the reduction of the notice period for mergers under the </w:t>
      </w:r>
      <w:r w:rsidR="00E03C6F">
        <w:rPr>
          <w:rFonts w:ascii="Times New Roman" w:hAnsi="Times New Roman"/>
        </w:rPr>
        <w:t>final rule</w:t>
      </w:r>
      <w:r w:rsidR="00CC2ADC">
        <w:rPr>
          <w:rFonts w:ascii="Times New Roman" w:hAnsi="Times New Roman"/>
        </w:rPr>
        <w:t>.</w:t>
      </w:r>
    </w:p>
    <w:p w:rsidR="00924C16" w:rsidRPr="00BB35AC" w:rsidRDefault="00924C16" w:rsidP="00FA3130">
      <w:pPr>
        <w:widowControl/>
        <w:spacing w:line="480" w:lineRule="auto"/>
        <w:ind w:firstLine="720"/>
        <w:rPr>
          <w:rFonts w:ascii="Times New Roman" w:hAnsi="Times New Roman"/>
        </w:rPr>
      </w:pPr>
      <w:r w:rsidRPr="00BB35AC">
        <w:rPr>
          <w:rFonts w:ascii="Times New Roman" w:hAnsi="Times New Roman"/>
        </w:rPr>
        <w:lastRenderedPageBreak/>
        <w:t xml:space="preserve">16.  </w:t>
      </w:r>
      <w:r w:rsidRPr="00BB35AC">
        <w:rPr>
          <w:rFonts w:ascii="Times New Roman" w:hAnsi="Times New Roman"/>
          <w:u w:val="single"/>
        </w:rPr>
        <w:t>Publication plans.</w:t>
      </w:r>
      <w:r w:rsidRPr="00BB35AC">
        <w:rPr>
          <w:rFonts w:ascii="Times New Roman" w:hAnsi="Times New Roman"/>
        </w:rPr>
        <w:t xml:space="preserve">  </w:t>
      </w:r>
      <w:r w:rsidR="00E11449" w:rsidRPr="00BB35AC">
        <w:rPr>
          <w:rFonts w:ascii="Times New Roman" w:hAnsi="Times New Roman"/>
        </w:rPr>
        <w:t>PBGC</w:t>
      </w:r>
      <w:r w:rsidRPr="00BB35AC">
        <w:rPr>
          <w:rFonts w:ascii="Times New Roman" w:hAnsi="Times New Roman"/>
        </w:rPr>
        <w:t xml:space="preserve"> does not intend to publish the results of this collection of information. </w:t>
      </w:r>
    </w:p>
    <w:p w:rsidR="00924C16" w:rsidRPr="00BB35AC" w:rsidRDefault="00924C16">
      <w:pPr>
        <w:widowControl/>
        <w:spacing w:line="120" w:lineRule="auto"/>
        <w:rPr>
          <w:rFonts w:ascii="Times New Roman" w:hAnsi="Times New Roman"/>
        </w:rPr>
      </w:pPr>
    </w:p>
    <w:p w:rsidR="00924C16" w:rsidRPr="00BB35AC" w:rsidRDefault="00924C16">
      <w:pPr>
        <w:widowControl/>
        <w:spacing w:line="480" w:lineRule="auto"/>
        <w:ind w:firstLine="720"/>
        <w:rPr>
          <w:rFonts w:ascii="Times New Roman" w:hAnsi="Times New Roman"/>
        </w:rPr>
      </w:pPr>
      <w:r w:rsidRPr="00BB35AC">
        <w:rPr>
          <w:rFonts w:ascii="Times New Roman" w:hAnsi="Times New Roman"/>
        </w:rPr>
        <w:t xml:space="preserve">17.  </w:t>
      </w:r>
      <w:r w:rsidRPr="00BB35AC">
        <w:rPr>
          <w:rFonts w:ascii="Times New Roman" w:hAnsi="Times New Roman"/>
          <w:u w:val="single"/>
        </w:rPr>
        <w:t>Display of expiration date.</w:t>
      </w:r>
      <w:r w:rsidRPr="00BB35AC">
        <w:rPr>
          <w:rFonts w:ascii="Times New Roman" w:hAnsi="Times New Roman"/>
        </w:rPr>
        <w:t xml:space="preserve">  </w:t>
      </w:r>
      <w:r w:rsidR="00E11449" w:rsidRPr="00BB35AC">
        <w:rPr>
          <w:rFonts w:ascii="Times New Roman" w:hAnsi="Times New Roman"/>
        </w:rPr>
        <w:t>PBGC</w:t>
      </w:r>
      <w:r w:rsidRPr="00BB35AC">
        <w:rPr>
          <w:rFonts w:ascii="Times New Roman" w:hAnsi="Times New Roman"/>
        </w:rPr>
        <w:t xml:space="preserve"> is not seeking approval to not display the expiration date for OMB approval of this information collection.  </w:t>
      </w:r>
    </w:p>
    <w:p w:rsidR="00924C16" w:rsidRPr="00BB35AC" w:rsidRDefault="00924C16">
      <w:pPr>
        <w:widowControl/>
        <w:spacing w:line="120" w:lineRule="auto"/>
        <w:rPr>
          <w:rFonts w:ascii="Times New Roman" w:hAnsi="Times New Roman"/>
        </w:rPr>
      </w:pPr>
    </w:p>
    <w:p w:rsidR="00924C16" w:rsidRPr="00BB35AC" w:rsidRDefault="00924C16">
      <w:pPr>
        <w:widowControl/>
        <w:spacing w:line="480" w:lineRule="auto"/>
        <w:ind w:firstLine="720"/>
        <w:rPr>
          <w:rFonts w:ascii="Times New Roman" w:hAnsi="Times New Roman"/>
        </w:rPr>
      </w:pPr>
      <w:r w:rsidRPr="00BB35AC">
        <w:rPr>
          <w:rFonts w:ascii="Times New Roman" w:hAnsi="Times New Roman"/>
        </w:rPr>
        <w:t xml:space="preserve">18.  </w:t>
      </w:r>
      <w:r w:rsidRPr="00BB35AC">
        <w:rPr>
          <w:rFonts w:ascii="Times New Roman" w:hAnsi="Times New Roman"/>
          <w:u w:val="single"/>
        </w:rPr>
        <w:t>Exceptions to certification statement.</w:t>
      </w:r>
      <w:r w:rsidRPr="00BB35AC">
        <w:rPr>
          <w:rFonts w:ascii="Times New Roman" w:hAnsi="Times New Roman"/>
        </w:rPr>
        <w:t xml:space="preserve">  There are no exceptions to the certification statement.  </w:t>
      </w:r>
    </w:p>
    <w:sectPr w:rsidR="00924C16" w:rsidRPr="00BB35AC" w:rsidSect="00924C16">
      <w:headerReference w:type="default" r:id="rId12"/>
      <w:footerReference w:type="default" r:id="rId13"/>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232" w:rsidRDefault="008C2232">
      <w:r>
        <w:separator/>
      </w:r>
    </w:p>
  </w:endnote>
  <w:endnote w:type="continuationSeparator" w:id="0">
    <w:p w:rsidR="008C2232" w:rsidRDefault="008C2232">
      <w:r>
        <w:continuationSeparator/>
      </w:r>
    </w:p>
  </w:endnote>
  <w:endnote w:type="continuationNotice" w:id="1">
    <w:p w:rsidR="008C2232" w:rsidRDefault="008C22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9F9" w:rsidRPr="001E00F4" w:rsidRDefault="00E869F9">
    <w:pPr>
      <w:pStyle w:val="Footer"/>
      <w:jc w:val="center"/>
      <w:rPr>
        <w:rFonts w:ascii="Times New Roman" w:hAnsi="Times New Roman"/>
      </w:rPr>
    </w:pPr>
    <w:r w:rsidRPr="001E00F4">
      <w:rPr>
        <w:rFonts w:ascii="Times New Roman" w:hAnsi="Times New Roman"/>
      </w:rPr>
      <w:fldChar w:fldCharType="begin"/>
    </w:r>
    <w:r w:rsidRPr="001E00F4">
      <w:rPr>
        <w:rFonts w:ascii="Times New Roman" w:hAnsi="Times New Roman"/>
      </w:rPr>
      <w:instrText xml:space="preserve"> PAGE   \* MERGEFORMAT </w:instrText>
    </w:r>
    <w:r w:rsidRPr="001E00F4">
      <w:rPr>
        <w:rFonts w:ascii="Times New Roman" w:hAnsi="Times New Roman"/>
      </w:rPr>
      <w:fldChar w:fldCharType="separate"/>
    </w:r>
    <w:r w:rsidR="00040A70">
      <w:rPr>
        <w:rFonts w:ascii="Times New Roman" w:hAnsi="Times New Roman"/>
        <w:noProof/>
      </w:rPr>
      <w:t>8</w:t>
    </w:r>
    <w:r w:rsidRPr="001E00F4">
      <w:rPr>
        <w:rFonts w:ascii="Times New Roman" w:hAnsi="Times New Roman"/>
      </w:rPr>
      <w:fldChar w:fldCharType="end"/>
    </w:r>
  </w:p>
  <w:p w:rsidR="00E869F9" w:rsidRDefault="00E869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232" w:rsidRDefault="008C2232">
      <w:r>
        <w:separator/>
      </w:r>
    </w:p>
  </w:footnote>
  <w:footnote w:type="continuationSeparator" w:id="0">
    <w:p w:rsidR="008C2232" w:rsidRDefault="008C2232">
      <w:r>
        <w:continuationSeparator/>
      </w:r>
    </w:p>
  </w:footnote>
  <w:footnote w:type="continuationNotice" w:id="1">
    <w:p w:rsidR="008C2232" w:rsidRDefault="008C2232"/>
  </w:footnote>
  <w:footnote w:id="2">
    <w:p w:rsidR="00FD1259" w:rsidRPr="00785CC9" w:rsidRDefault="00FD1259" w:rsidP="00FD1259">
      <w:pPr>
        <w:pStyle w:val="FootnoteText"/>
        <w:rPr>
          <w:rFonts w:ascii="Times New Roman" w:hAnsi="Times New Roman"/>
        </w:rPr>
      </w:pPr>
      <w:r w:rsidRPr="00785CC9">
        <w:rPr>
          <w:rStyle w:val="FootnoteReference"/>
          <w:rFonts w:ascii="Times New Roman" w:hAnsi="Times New Roman"/>
        </w:rPr>
        <w:footnoteRef/>
      </w:r>
      <w:r w:rsidRPr="00785CC9">
        <w:rPr>
          <w:rFonts w:ascii="Times New Roman" w:hAnsi="Times New Roman"/>
        </w:rPr>
        <w:t xml:space="preserve"> </w:t>
      </w:r>
      <w:hyperlink r:id="rId1" w:history="1">
        <w:r w:rsidRPr="00785CC9">
          <w:rPr>
            <w:rStyle w:val="Hyperlink"/>
            <w:rFonts w:ascii="Times New Roman" w:hAnsi="Times New Roman"/>
          </w:rPr>
          <w:t>http://www.bls.gov/news.release/ecec.nr0.htm</w:t>
        </w:r>
      </w:hyperlink>
      <w:r w:rsidRPr="00785CC9">
        <w:rPr>
          <w:rFonts w:ascii="Times New Roman" w:hAnsi="Times New Roman"/>
          <w:color w:val="000000"/>
        </w:rPr>
        <w:t xml:space="preserve"> (see first paragraph).</w:t>
      </w:r>
    </w:p>
  </w:footnote>
  <w:footnote w:id="3">
    <w:p w:rsidR="00C9027F" w:rsidRPr="00785CC9" w:rsidRDefault="00C9027F" w:rsidP="00C9027F">
      <w:pPr>
        <w:pStyle w:val="FootnoteText"/>
        <w:rPr>
          <w:rFonts w:ascii="Times New Roman" w:hAnsi="Times New Roman"/>
        </w:rPr>
      </w:pPr>
      <w:r w:rsidRPr="00785CC9">
        <w:rPr>
          <w:rStyle w:val="FootnoteReference"/>
          <w:rFonts w:ascii="Times New Roman" w:hAnsi="Times New Roman"/>
        </w:rPr>
        <w:footnoteRef/>
      </w:r>
      <w:r w:rsidRPr="00785CC9">
        <w:rPr>
          <w:rFonts w:ascii="Times New Roman" w:hAnsi="Times New Roman"/>
        </w:rPr>
        <w:t xml:space="preserve"> </w:t>
      </w:r>
      <w:hyperlink r:id="rId2" w:history="1">
        <w:r w:rsidRPr="00785CC9">
          <w:rPr>
            <w:rStyle w:val="Hyperlink"/>
            <w:rFonts w:ascii="Times New Roman" w:hAnsi="Times New Roman"/>
          </w:rPr>
          <w:t>http://www.bls.gov/news.release/ecec.nr0.htm</w:t>
        </w:r>
      </w:hyperlink>
      <w:r w:rsidRPr="00785CC9">
        <w:rPr>
          <w:rFonts w:ascii="Times New Roman" w:hAnsi="Times New Roman"/>
          <w:color w:val="000000"/>
        </w:rPr>
        <w:t xml:space="preserve"> (see first paragraph).</w:t>
      </w:r>
    </w:p>
  </w:footnote>
  <w:footnote w:id="4">
    <w:p w:rsidR="00063C1D" w:rsidRPr="00B23991" w:rsidRDefault="00063C1D" w:rsidP="00063C1D">
      <w:pPr>
        <w:pStyle w:val="FootnoteText"/>
        <w:rPr>
          <w:rFonts w:ascii="Times New Roman" w:hAnsi="Times New Roman"/>
        </w:rPr>
      </w:pPr>
      <w:r w:rsidRPr="009056A9">
        <w:rPr>
          <w:rStyle w:val="FootnoteReference"/>
          <w:rFonts w:ascii="Times New Roman" w:hAnsi="Times New Roman"/>
        </w:rPr>
        <w:footnoteRef/>
      </w:r>
      <w:r w:rsidRPr="009056A9">
        <w:rPr>
          <w:rFonts w:ascii="Times New Roman" w:hAnsi="Times New Roman"/>
        </w:rPr>
        <w:t xml:space="preserve"> </w:t>
      </w:r>
      <w:hyperlink r:id="rId3" w:history="1">
        <w:r w:rsidR="00E05026" w:rsidRPr="00B20FFF">
          <w:rPr>
            <w:rStyle w:val="Hyperlink"/>
            <w:rFonts w:ascii="Times New Roman" w:hAnsi="Times New Roman"/>
          </w:rPr>
          <w:t>http://www.bls.gov/oes/current/oes113111.htm</w:t>
        </w:r>
      </w:hyperlink>
      <w:r w:rsidR="00E05026">
        <w:rPr>
          <w:rFonts w:ascii="Times New Roman" w:hAnsi="Times New Roman"/>
        </w:rPr>
        <w:t xml:space="preserve"> </w:t>
      </w:r>
      <w:r w:rsidR="00127F7F">
        <w:rPr>
          <w:rFonts w:ascii="Times New Roman" w:hAnsi="Times New Roman"/>
        </w:rPr>
        <w:t>.</w:t>
      </w:r>
    </w:p>
  </w:footnote>
  <w:footnote w:id="5">
    <w:p w:rsidR="00063C1D" w:rsidRPr="00B23991" w:rsidRDefault="00063C1D" w:rsidP="00063C1D">
      <w:pPr>
        <w:pStyle w:val="FootnoteText"/>
        <w:rPr>
          <w:rFonts w:ascii="Times New Roman" w:hAnsi="Times New Roman"/>
        </w:rPr>
      </w:pPr>
      <w:r w:rsidRPr="009056A9">
        <w:rPr>
          <w:rStyle w:val="FootnoteReference"/>
          <w:rFonts w:ascii="Times New Roman" w:hAnsi="Times New Roman"/>
        </w:rPr>
        <w:footnoteRef/>
      </w:r>
      <w:r>
        <w:rPr>
          <w:rFonts w:ascii="Times New Roman" w:hAnsi="Times New Roman"/>
        </w:rPr>
        <w:t xml:space="preserve"> </w:t>
      </w:r>
      <w:hyperlink r:id="rId4" w:history="1">
        <w:r w:rsidR="0078152B" w:rsidRPr="00B20FFF">
          <w:rPr>
            <w:rStyle w:val="Hyperlink"/>
            <w:rFonts w:ascii="Times New Roman" w:hAnsi="Times New Roman"/>
          </w:rPr>
          <w:t>http://www.bls.gov/oes/current/oes231011.htm</w:t>
        </w:r>
      </w:hyperlink>
      <w:r w:rsidR="0078152B">
        <w:rPr>
          <w:rFonts w:ascii="Times New Roman" w:hAnsi="Times New Roman"/>
        </w:rPr>
        <w:t xml:space="preserve"> </w:t>
      </w:r>
      <w:r w:rsidR="00E05026">
        <w:rPr>
          <w:rFonts w:ascii="Times New Roman" w:hAnsi="Times New Roman"/>
        </w:rPr>
        <w:t xml:space="preserve"> and </w:t>
      </w:r>
      <w:hyperlink r:id="rId5" w:history="1">
        <w:r w:rsidR="00E05026" w:rsidRPr="00B20FFF">
          <w:rPr>
            <w:rStyle w:val="Hyperlink"/>
            <w:rFonts w:ascii="Times New Roman" w:hAnsi="Times New Roman"/>
          </w:rPr>
          <w:t>http://www.bls.gov/oes/current/oes152011.htm</w:t>
        </w:r>
      </w:hyperlink>
      <w:r w:rsidR="00127F7F">
        <w:rPr>
          <w:rFonts w:ascii="Times New Roman" w:hAnsi="Times New Roman"/>
        </w:rPr>
        <w:t>.</w:t>
      </w:r>
      <w:r w:rsidR="00E05026">
        <w:rPr>
          <w:rFonts w:ascii="Times New Roman" w:hAnsi="Times New Roman"/>
        </w:rPr>
        <w:t xml:space="preserve"> </w:t>
      </w:r>
      <w:r>
        <w:rPr>
          <w:rFonts w:ascii="Times New Roman" w:hAnsi="Times New Roman"/>
        </w:rPr>
        <w:t xml:space="preserve"> </w:t>
      </w:r>
    </w:p>
  </w:footnote>
  <w:footnote w:id="6">
    <w:p w:rsidR="00A829E9" w:rsidRPr="00B80832" w:rsidRDefault="00A829E9" w:rsidP="00A829E9">
      <w:pPr>
        <w:rPr>
          <w:rFonts w:ascii="Times New Roman" w:hAnsi="Times New Roman"/>
          <w:sz w:val="20"/>
          <w:szCs w:val="20"/>
        </w:rPr>
      </w:pPr>
      <w:r w:rsidRPr="00311F94">
        <w:rPr>
          <w:rStyle w:val="FootnoteReference"/>
          <w:rFonts w:ascii="Times New Roman" w:hAnsi="Times New Roman"/>
          <w:sz w:val="20"/>
          <w:szCs w:val="20"/>
          <w:vertAlign w:val="superscript"/>
        </w:rPr>
        <w:footnoteRef/>
      </w:r>
      <w:r w:rsidRPr="00311F94">
        <w:rPr>
          <w:rFonts w:ascii="Times New Roman" w:hAnsi="Times New Roman"/>
          <w:sz w:val="20"/>
          <w:szCs w:val="20"/>
          <w:vertAlign w:val="superscript"/>
        </w:rPr>
        <w:t xml:space="preserve"> </w:t>
      </w:r>
      <w:hyperlink r:id="rId6" w:history="1">
        <w:r w:rsidR="00AE1311" w:rsidRPr="00596D1B">
          <w:rPr>
            <w:rStyle w:val="Hyperlink"/>
            <w:rFonts w:ascii="Times New Roman" w:hAnsi="Times New Roman"/>
            <w:sz w:val="20"/>
            <w:szCs w:val="20"/>
          </w:rPr>
          <w:t>http://www.opm.gov/policy-data-oversight/pay-leave/salaries-wages/salary-tables/14Tables/pdf/DCB_h.pdf</w:t>
        </w:r>
      </w:hyperlink>
      <w:r w:rsidR="00C10020">
        <w:rPr>
          <w:rStyle w:val="Hyperlink"/>
          <w:rFonts w:ascii="Times New Roman" w:hAnsi="Times New Roman"/>
          <w:sz w:val="20"/>
          <w:szCs w:val="20"/>
        </w:rPr>
        <w:t>.</w:t>
      </w:r>
    </w:p>
    <w:p w:rsidR="00A829E9" w:rsidRDefault="00A829E9" w:rsidP="00A829E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9F9" w:rsidRDefault="00E869F9">
    <w:pPr>
      <w:framePr w:w="9361" w:wrap="notBeside" w:vAnchor="text" w:hAnchor="text" w:x="1" w:y="1"/>
      <w:jc w:val="center"/>
    </w:pPr>
  </w:p>
  <w:p w:rsidR="00E869F9" w:rsidRDefault="00E869F9">
    <w:pPr>
      <w:rPr>
        <w:rFonts w:ascii="Shruti" w:hAnsi="Shruti" w:cs="Shruti"/>
      </w:rPr>
    </w:pPr>
  </w:p>
  <w:p w:rsidR="00E869F9" w:rsidRDefault="00E869F9">
    <w:pPr>
      <w:rPr>
        <w:rFonts w:ascii="Shruti" w:hAnsi="Shruti" w:cs="Shruti"/>
      </w:rPr>
    </w:pPr>
  </w:p>
  <w:p w:rsidR="00E869F9" w:rsidRDefault="00E869F9">
    <w:pPr>
      <w:spacing w:line="240" w:lineRule="exact"/>
      <w:rPr>
        <w:rFonts w:ascii="Shruti" w:hAnsi="Shruti" w:cs="Shrut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6C90"/>
    <w:multiLevelType w:val="hybridMultilevel"/>
    <w:tmpl w:val="5C5A6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914584"/>
    <w:multiLevelType w:val="hybridMultilevel"/>
    <w:tmpl w:val="AD2AC146"/>
    <w:lvl w:ilvl="0" w:tplc="02500EAE">
      <w:start w:val="1"/>
      <w:numFmt w:val="lowerRoman"/>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3F183A78"/>
    <w:multiLevelType w:val="hybridMultilevel"/>
    <w:tmpl w:val="7E16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D20FB7"/>
    <w:multiLevelType w:val="hybridMultilevel"/>
    <w:tmpl w:val="29924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4C16"/>
    <w:rsid w:val="00040A70"/>
    <w:rsid w:val="00046641"/>
    <w:rsid w:val="0005601B"/>
    <w:rsid w:val="00063C1D"/>
    <w:rsid w:val="00072A12"/>
    <w:rsid w:val="000772AC"/>
    <w:rsid w:val="000A74BE"/>
    <w:rsid w:val="000D6EC9"/>
    <w:rsid w:val="000E0A41"/>
    <w:rsid w:val="000F44F0"/>
    <w:rsid w:val="00103B9D"/>
    <w:rsid w:val="00127F7F"/>
    <w:rsid w:val="0014195F"/>
    <w:rsid w:val="001516C9"/>
    <w:rsid w:val="001B6521"/>
    <w:rsid w:val="001D1BCE"/>
    <w:rsid w:val="001E00F4"/>
    <w:rsid w:val="001E1418"/>
    <w:rsid w:val="001E4600"/>
    <w:rsid w:val="001E6242"/>
    <w:rsid w:val="001E6880"/>
    <w:rsid w:val="001F3B6F"/>
    <w:rsid w:val="0020017E"/>
    <w:rsid w:val="0020641A"/>
    <w:rsid w:val="002123A1"/>
    <w:rsid w:val="00214C32"/>
    <w:rsid w:val="002225C8"/>
    <w:rsid w:val="00241556"/>
    <w:rsid w:val="002C664A"/>
    <w:rsid w:val="002D118F"/>
    <w:rsid w:val="002D2137"/>
    <w:rsid w:val="002D62C7"/>
    <w:rsid w:val="002D73F1"/>
    <w:rsid w:val="002E0FDF"/>
    <w:rsid w:val="002E1D19"/>
    <w:rsid w:val="002E6778"/>
    <w:rsid w:val="002F2813"/>
    <w:rsid w:val="00301C54"/>
    <w:rsid w:val="003402A1"/>
    <w:rsid w:val="003614EA"/>
    <w:rsid w:val="00362410"/>
    <w:rsid w:val="003625B1"/>
    <w:rsid w:val="0036412C"/>
    <w:rsid w:val="00366BBE"/>
    <w:rsid w:val="00380AA2"/>
    <w:rsid w:val="003B0A9B"/>
    <w:rsid w:val="003B25C4"/>
    <w:rsid w:val="003F4CC2"/>
    <w:rsid w:val="003F675C"/>
    <w:rsid w:val="00440469"/>
    <w:rsid w:val="00454744"/>
    <w:rsid w:val="00461956"/>
    <w:rsid w:val="00475E77"/>
    <w:rsid w:val="00493902"/>
    <w:rsid w:val="004B306B"/>
    <w:rsid w:val="004B6A01"/>
    <w:rsid w:val="004C2A25"/>
    <w:rsid w:val="004C7E16"/>
    <w:rsid w:val="004E1371"/>
    <w:rsid w:val="004E33D2"/>
    <w:rsid w:val="004F44A9"/>
    <w:rsid w:val="00531710"/>
    <w:rsid w:val="00540FB0"/>
    <w:rsid w:val="005514F3"/>
    <w:rsid w:val="00553906"/>
    <w:rsid w:val="005756D6"/>
    <w:rsid w:val="005805D6"/>
    <w:rsid w:val="005E1980"/>
    <w:rsid w:val="005E76D8"/>
    <w:rsid w:val="005F37C0"/>
    <w:rsid w:val="00617273"/>
    <w:rsid w:val="00624F9A"/>
    <w:rsid w:val="006524F9"/>
    <w:rsid w:val="006552BD"/>
    <w:rsid w:val="00691AD5"/>
    <w:rsid w:val="006B6032"/>
    <w:rsid w:val="006C4CEF"/>
    <w:rsid w:val="006C58CF"/>
    <w:rsid w:val="006D0A2C"/>
    <w:rsid w:val="006D0BF8"/>
    <w:rsid w:val="006E3FF5"/>
    <w:rsid w:val="006E4A7F"/>
    <w:rsid w:val="00715964"/>
    <w:rsid w:val="00723C63"/>
    <w:rsid w:val="00743C5C"/>
    <w:rsid w:val="00752374"/>
    <w:rsid w:val="0076694A"/>
    <w:rsid w:val="007749DE"/>
    <w:rsid w:val="0078152B"/>
    <w:rsid w:val="007831A3"/>
    <w:rsid w:val="00785CC9"/>
    <w:rsid w:val="007914EE"/>
    <w:rsid w:val="007916AF"/>
    <w:rsid w:val="007A1023"/>
    <w:rsid w:val="007C2718"/>
    <w:rsid w:val="007D2170"/>
    <w:rsid w:val="00824065"/>
    <w:rsid w:val="00830D15"/>
    <w:rsid w:val="008353CE"/>
    <w:rsid w:val="00844C01"/>
    <w:rsid w:val="008622CE"/>
    <w:rsid w:val="0086441D"/>
    <w:rsid w:val="00870F82"/>
    <w:rsid w:val="0089389C"/>
    <w:rsid w:val="008A6BDE"/>
    <w:rsid w:val="008A7FE2"/>
    <w:rsid w:val="008B2D47"/>
    <w:rsid w:val="008C2232"/>
    <w:rsid w:val="008F2593"/>
    <w:rsid w:val="00902ABF"/>
    <w:rsid w:val="00924C16"/>
    <w:rsid w:val="00925E27"/>
    <w:rsid w:val="00950A41"/>
    <w:rsid w:val="00957AE5"/>
    <w:rsid w:val="009728B5"/>
    <w:rsid w:val="0099373D"/>
    <w:rsid w:val="009A6CB5"/>
    <w:rsid w:val="009D3FCB"/>
    <w:rsid w:val="009E566C"/>
    <w:rsid w:val="009E6AEF"/>
    <w:rsid w:val="00A14157"/>
    <w:rsid w:val="00A174CB"/>
    <w:rsid w:val="00A20A56"/>
    <w:rsid w:val="00A5116C"/>
    <w:rsid w:val="00A55F07"/>
    <w:rsid w:val="00A829E9"/>
    <w:rsid w:val="00A9048E"/>
    <w:rsid w:val="00AA3D65"/>
    <w:rsid w:val="00AD3871"/>
    <w:rsid w:val="00AD79C4"/>
    <w:rsid w:val="00AE1311"/>
    <w:rsid w:val="00AE3620"/>
    <w:rsid w:val="00AF0AED"/>
    <w:rsid w:val="00AF1033"/>
    <w:rsid w:val="00B23991"/>
    <w:rsid w:val="00B2650D"/>
    <w:rsid w:val="00B34946"/>
    <w:rsid w:val="00B51C27"/>
    <w:rsid w:val="00B553C3"/>
    <w:rsid w:val="00B6317D"/>
    <w:rsid w:val="00B720B6"/>
    <w:rsid w:val="00B75B0B"/>
    <w:rsid w:val="00B80832"/>
    <w:rsid w:val="00BB35AC"/>
    <w:rsid w:val="00BC5380"/>
    <w:rsid w:val="00BD16BA"/>
    <w:rsid w:val="00C10020"/>
    <w:rsid w:val="00C25DE5"/>
    <w:rsid w:val="00C37214"/>
    <w:rsid w:val="00C44EA2"/>
    <w:rsid w:val="00C67E73"/>
    <w:rsid w:val="00C849DC"/>
    <w:rsid w:val="00C9027F"/>
    <w:rsid w:val="00C93D59"/>
    <w:rsid w:val="00CB1843"/>
    <w:rsid w:val="00CC2ADC"/>
    <w:rsid w:val="00CF2856"/>
    <w:rsid w:val="00D0440B"/>
    <w:rsid w:val="00D520CE"/>
    <w:rsid w:val="00D60341"/>
    <w:rsid w:val="00D7614C"/>
    <w:rsid w:val="00D823E5"/>
    <w:rsid w:val="00D824D6"/>
    <w:rsid w:val="00D94385"/>
    <w:rsid w:val="00D959E9"/>
    <w:rsid w:val="00D95C74"/>
    <w:rsid w:val="00DA18B2"/>
    <w:rsid w:val="00DB5BE9"/>
    <w:rsid w:val="00DB7BFB"/>
    <w:rsid w:val="00DC107D"/>
    <w:rsid w:val="00DC6949"/>
    <w:rsid w:val="00DF1136"/>
    <w:rsid w:val="00E00836"/>
    <w:rsid w:val="00E03C6F"/>
    <w:rsid w:val="00E05026"/>
    <w:rsid w:val="00E11449"/>
    <w:rsid w:val="00E16809"/>
    <w:rsid w:val="00E40BB2"/>
    <w:rsid w:val="00E44A43"/>
    <w:rsid w:val="00E45957"/>
    <w:rsid w:val="00E8131C"/>
    <w:rsid w:val="00E869F9"/>
    <w:rsid w:val="00E90A19"/>
    <w:rsid w:val="00E9745C"/>
    <w:rsid w:val="00EA5486"/>
    <w:rsid w:val="00EC4147"/>
    <w:rsid w:val="00ED15B6"/>
    <w:rsid w:val="00ED281B"/>
    <w:rsid w:val="00EE3D85"/>
    <w:rsid w:val="00F07CD1"/>
    <w:rsid w:val="00F12785"/>
    <w:rsid w:val="00F23A84"/>
    <w:rsid w:val="00F25681"/>
    <w:rsid w:val="00F276F5"/>
    <w:rsid w:val="00F57D01"/>
    <w:rsid w:val="00F66F70"/>
    <w:rsid w:val="00F778EA"/>
    <w:rsid w:val="00F82D07"/>
    <w:rsid w:val="00F9454A"/>
    <w:rsid w:val="00FA3130"/>
    <w:rsid w:val="00FA5B1F"/>
    <w:rsid w:val="00FB3ACA"/>
    <w:rsid w:val="00FB4197"/>
    <w:rsid w:val="00FC632A"/>
    <w:rsid w:val="00FD1259"/>
    <w:rsid w:val="00FF6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7C2718"/>
    <w:pPr>
      <w:tabs>
        <w:tab w:val="center" w:pos="4320"/>
        <w:tab w:val="right" w:pos="8640"/>
      </w:tabs>
    </w:pPr>
  </w:style>
  <w:style w:type="paragraph" w:styleId="Footer">
    <w:name w:val="footer"/>
    <w:basedOn w:val="Normal"/>
    <w:link w:val="FooterChar"/>
    <w:uiPriority w:val="99"/>
    <w:rsid w:val="007C2718"/>
    <w:pPr>
      <w:tabs>
        <w:tab w:val="center" w:pos="4320"/>
        <w:tab w:val="right" w:pos="8640"/>
      </w:tabs>
    </w:pPr>
  </w:style>
  <w:style w:type="character" w:styleId="PageNumber">
    <w:name w:val="page number"/>
    <w:basedOn w:val="DefaultParagraphFont"/>
    <w:rsid w:val="007C2718"/>
  </w:style>
  <w:style w:type="paragraph" w:styleId="BalloonText">
    <w:name w:val="Balloon Text"/>
    <w:basedOn w:val="Normal"/>
    <w:link w:val="BalloonTextChar"/>
    <w:rsid w:val="00BB35AC"/>
    <w:rPr>
      <w:rFonts w:ascii="Tahoma" w:hAnsi="Tahoma" w:cs="Tahoma"/>
      <w:sz w:val="16"/>
      <w:szCs w:val="16"/>
    </w:rPr>
  </w:style>
  <w:style w:type="character" w:customStyle="1" w:styleId="BalloonTextChar">
    <w:name w:val="Balloon Text Char"/>
    <w:link w:val="BalloonText"/>
    <w:rsid w:val="00BB35AC"/>
    <w:rPr>
      <w:rFonts w:ascii="Tahoma" w:hAnsi="Tahoma" w:cs="Tahoma"/>
      <w:sz w:val="16"/>
      <w:szCs w:val="16"/>
    </w:rPr>
  </w:style>
  <w:style w:type="character" w:customStyle="1" w:styleId="FooterChar">
    <w:name w:val="Footer Char"/>
    <w:link w:val="Footer"/>
    <w:uiPriority w:val="99"/>
    <w:rsid w:val="00D824D6"/>
    <w:rPr>
      <w:rFonts w:ascii="Courier" w:hAnsi="Courier"/>
      <w:sz w:val="24"/>
      <w:szCs w:val="24"/>
    </w:rPr>
  </w:style>
  <w:style w:type="character" w:styleId="CommentReference">
    <w:name w:val="annotation reference"/>
    <w:rsid w:val="001516C9"/>
    <w:rPr>
      <w:sz w:val="16"/>
      <w:szCs w:val="16"/>
    </w:rPr>
  </w:style>
  <w:style w:type="paragraph" w:styleId="CommentText">
    <w:name w:val="annotation text"/>
    <w:basedOn w:val="Normal"/>
    <w:link w:val="CommentTextChar"/>
    <w:rsid w:val="001516C9"/>
    <w:rPr>
      <w:sz w:val="20"/>
      <w:szCs w:val="20"/>
    </w:rPr>
  </w:style>
  <w:style w:type="character" w:customStyle="1" w:styleId="CommentTextChar">
    <w:name w:val="Comment Text Char"/>
    <w:link w:val="CommentText"/>
    <w:rsid w:val="001516C9"/>
    <w:rPr>
      <w:rFonts w:ascii="Courier" w:hAnsi="Courier"/>
    </w:rPr>
  </w:style>
  <w:style w:type="paragraph" w:styleId="CommentSubject">
    <w:name w:val="annotation subject"/>
    <w:basedOn w:val="CommentText"/>
    <w:next w:val="CommentText"/>
    <w:link w:val="CommentSubjectChar"/>
    <w:rsid w:val="001516C9"/>
    <w:rPr>
      <w:b/>
      <w:bCs/>
    </w:rPr>
  </w:style>
  <w:style w:type="character" w:customStyle="1" w:styleId="CommentSubjectChar">
    <w:name w:val="Comment Subject Char"/>
    <w:link w:val="CommentSubject"/>
    <w:rsid w:val="001516C9"/>
    <w:rPr>
      <w:rFonts w:ascii="Courier" w:hAnsi="Courier"/>
      <w:b/>
      <w:bCs/>
    </w:rPr>
  </w:style>
  <w:style w:type="paragraph" w:styleId="Revision">
    <w:name w:val="Revision"/>
    <w:hidden/>
    <w:uiPriority w:val="99"/>
    <w:semiHidden/>
    <w:rsid w:val="001516C9"/>
    <w:rPr>
      <w:rFonts w:ascii="Courier" w:hAnsi="Courier"/>
      <w:sz w:val="24"/>
      <w:szCs w:val="24"/>
    </w:rPr>
  </w:style>
  <w:style w:type="character" w:styleId="Hyperlink">
    <w:name w:val="Hyperlink"/>
    <w:rsid w:val="00FD1259"/>
    <w:rPr>
      <w:strike w:val="0"/>
      <w:dstrike w:val="0"/>
      <w:color w:val="000080"/>
      <w:u w:val="none"/>
      <w:effect w:val="none"/>
    </w:rPr>
  </w:style>
  <w:style w:type="paragraph" w:styleId="FootnoteText">
    <w:name w:val="footnote text"/>
    <w:basedOn w:val="Normal"/>
    <w:link w:val="FootnoteTextChar"/>
    <w:rsid w:val="00FD1259"/>
    <w:rPr>
      <w:sz w:val="20"/>
      <w:szCs w:val="20"/>
    </w:rPr>
  </w:style>
  <w:style w:type="character" w:customStyle="1" w:styleId="FootnoteTextChar">
    <w:name w:val="Footnote Text Char"/>
    <w:link w:val="FootnoteText"/>
    <w:rsid w:val="00FD1259"/>
    <w:rPr>
      <w:rFonts w:ascii="Courier" w:hAnsi="Courier"/>
    </w:rPr>
  </w:style>
  <w:style w:type="paragraph" w:styleId="ListParagraph">
    <w:name w:val="List Paragraph"/>
    <w:basedOn w:val="Normal"/>
    <w:uiPriority w:val="34"/>
    <w:qFormat/>
    <w:rsid w:val="00F57D01"/>
    <w:pPr>
      <w:ind w:left="720"/>
    </w:pPr>
  </w:style>
  <w:style w:type="character" w:styleId="FollowedHyperlink">
    <w:name w:val="FollowedHyperlink"/>
    <w:rsid w:val="0020017E"/>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7C2718"/>
    <w:pPr>
      <w:tabs>
        <w:tab w:val="center" w:pos="4320"/>
        <w:tab w:val="right" w:pos="8640"/>
      </w:tabs>
    </w:pPr>
  </w:style>
  <w:style w:type="paragraph" w:styleId="Footer">
    <w:name w:val="footer"/>
    <w:basedOn w:val="Normal"/>
    <w:link w:val="FooterChar"/>
    <w:uiPriority w:val="99"/>
    <w:rsid w:val="007C2718"/>
    <w:pPr>
      <w:tabs>
        <w:tab w:val="center" w:pos="4320"/>
        <w:tab w:val="right" w:pos="8640"/>
      </w:tabs>
    </w:pPr>
  </w:style>
  <w:style w:type="character" w:styleId="PageNumber">
    <w:name w:val="page number"/>
    <w:basedOn w:val="DefaultParagraphFont"/>
    <w:rsid w:val="007C2718"/>
  </w:style>
  <w:style w:type="paragraph" w:styleId="BalloonText">
    <w:name w:val="Balloon Text"/>
    <w:basedOn w:val="Normal"/>
    <w:link w:val="BalloonTextChar"/>
    <w:rsid w:val="00BB35AC"/>
    <w:rPr>
      <w:rFonts w:ascii="Tahoma" w:hAnsi="Tahoma" w:cs="Tahoma"/>
      <w:sz w:val="16"/>
      <w:szCs w:val="16"/>
    </w:rPr>
  </w:style>
  <w:style w:type="character" w:customStyle="1" w:styleId="BalloonTextChar">
    <w:name w:val="Balloon Text Char"/>
    <w:link w:val="BalloonText"/>
    <w:rsid w:val="00BB35AC"/>
    <w:rPr>
      <w:rFonts w:ascii="Tahoma" w:hAnsi="Tahoma" w:cs="Tahoma"/>
      <w:sz w:val="16"/>
      <w:szCs w:val="16"/>
    </w:rPr>
  </w:style>
  <w:style w:type="character" w:customStyle="1" w:styleId="FooterChar">
    <w:name w:val="Footer Char"/>
    <w:link w:val="Footer"/>
    <w:uiPriority w:val="99"/>
    <w:rsid w:val="00D824D6"/>
    <w:rPr>
      <w:rFonts w:ascii="Courier" w:hAnsi="Courier"/>
      <w:sz w:val="24"/>
      <w:szCs w:val="24"/>
    </w:rPr>
  </w:style>
  <w:style w:type="character" w:styleId="CommentReference">
    <w:name w:val="annotation reference"/>
    <w:rsid w:val="001516C9"/>
    <w:rPr>
      <w:sz w:val="16"/>
      <w:szCs w:val="16"/>
    </w:rPr>
  </w:style>
  <w:style w:type="paragraph" w:styleId="CommentText">
    <w:name w:val="annotation text"/>
    <w:basedOn w:val="Normal"/>
    <w:link w:val="CommentTextChar"/>
    <w:rsid w:val="001516C9"/>
    <w:rPr>
      <w:sz w:val="20"/>
      <w:szCs w:val="20"/>
    </w:rPr>
  </w:style>
  <w:style w:type="character" w:customStyle="1" w:styleId="CommentTextChar">
    <w:name w:val="Comment Text Char"/>
    <w:link w:val="CommentText"/>
    <w:rsid w:val="001516C9"/>
    <w:rPr>
      <w:rFonts w:ascii="Courier" w:hAnsi="Courier"/>
    </w:rPr>
  </w:style>
  <w:style w:type="paragraph" w:styleId="CommentSubject">
    <w:name w:val="annotation subject"/>
    <w:basedOn w:val="CommentText"/>
    <w:next w:val="CommentText"/>
    <w:link w:val="CommentSubjectChar"/>
    <w:rsid w:val="001516C9"/>
    <w:rPr>
      <w:b/>
      <w:bCs/>
    </w:rPr>
  </w:style>
  <w:style w:type="character" w:customStyle="1" w:styleId="CommentSubjectChar">
    <w:name w:val="Comment Subject Char"/>
    <w:link w:val="CommentSubject"/>
    <w:rsid w:val="001516C9"/>
    <w:rPr>
      <w:rFonts w:ascii="Courier" w:hAnsi="Courier"/>
      <w:b/>
      <w:bCs/>
    </w:rPr>
  </w:style>
  <w:style w:type="paragraph" w:styleId="Revision">
    <w:name w:val="Revision"/>
    <w:hidden/>
    <w:uiPriority w:val="99"/>
    <w:semiHidden/>
    <w:rsid w:val="001516C9"/>
    <w:rPr>
      <w:rFonts w:ascii="Courier" w:hAnsi="Courier"/>
      <w:sz w:val="24"/>
      <w:szCs w:val="24"/>
    </w:rPr>
  </w:style>
  <w:style w:type="character" w:styleId="Hyperlink">
    <w:name w:val="Hyperlink"/>
    <w:rsid w:val="00FD1259"/>
    <w:rPr>
      <w:strike w:val="0"/>
      <w:dstrike w:val="0"/>
      <w:color w:val="000080"/>
      <w:u w:val="none"/>
      <w:effect w:val="none"/>
    </w:rPr>
  </w:style>
  <w:style w:type="paragraph" w:styleId="FootnoteText">
    <w:name w:val="footnote text"/>
    <w:basedOn w:val="Normal"/>
    <w:link w:val="FootnoteTextChar"/>
    <w:rsid w:val="00FD1259"/>
    <w:rPr>
      <w:sz w:val="20"/>
      <w:szCs w:val="20"/>
    </w:rPr>
  </w:style>
  <w:style w:type="character" w:customStyle="1" w:styleId="FootnoteTextChar">
    <w:name w:val="Footnote Text Char"/>
    <w:link w:val="FootnoteText"/>
    <w:rsid w:val="00FD1259"/>
    <w:rPr>
      <w:rFonts w:ascii="Courier" w:hAnsi="Courier"/>
    </w:rPr>
  </w:style>
  <w:style w:type="paragraph" w:styleId="ListParagraph">
    <w:name w:val="List Paragraph"/>
    <w:basedOn w:val="Normal"/>
    <w:uiPriority w:val="34"/>
    <w:qFormat/>
    <w:rsid w:val="00F57D01"/>
    <w:pPr>
      <w:ind w:left="720"/>
    </w:pPr>
  </w:style>
  <w:style w:type="character" w:styleId="FollowedHyperlink">
    <w:name w:val="FollowedHyperlink"/>
    <w:rsid w:val="0020017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113111.htm" TargetMode="External"/><Relationship Id="rId2" Type="http://schemas.openxmlformats.org/officeDocument/2006/relationships/hyperlink" Target="http://www.bls.gov/news.release/ecec.nr0.htm" TargetMode="External"/><Relationship Id="rId1" Type="http://schemas.openxmlformats.org/officeDocument/2006/relationships/hyperlink" Target="http://www.bls.gov/news.release/ecec.nr0.htm" TargetMode="External"/><Relationship Id="rId6" Type="http://schemas.openxmlformats.org/officeDocument/2006/relationships/hyperlink" Target="http://www.opm.gov/policy-data-oversight/pay-leave/salaries-wages/salary-tables/14Tables/pdf/DCB_h.pdf" TargetMode="External"/><Relationship Id="rId5" Type="http://schemas.openxmlformats.org/officeDocument/2006/relationships/hyperlink" Target="http://www.bls.gov/oes/current/oes152011.htm" TargetMode="External"/><Relationship Id="rId4" Type="http://schemas.openxmlformats.org/officeDocument/2006/relationships/hyperlink" Target="http://www.bls.gov/oes/current/oes231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08703-BA51-463C-9DBD-A23823514119}">
  <ds:schemaRefs>
    <ds:schemaRef ds:uri="http://schemas.openxmlformats.org/officeDocument/2006/bibliography"/>
  </ds:schemaRefs>
</ds:datastoreItem>
</file>

<file path=customXml/itemProps2.xml><?xml version="1.0" encoding="utf-8"?>
<ds:datastoreItem xmlns:ds="http://schemas.openxmlformats.org/officeDocument/2006/customXml" ds:itemID="{AF30F1B7-A8EF-4907-AAEE-0DA40F8B18CF}">
  <ds:schemaRefs>
    <ds:schemaRef ds:uri="http://schemas.openxmlformats.org/officeDocument/2006/bibliography"/>
  </ds:schemaRefs>
</ds:datastoreItem>
</file>

<file path=customXml/itemProps3.xml><?xml version="1.0" encoding="utf-8"?>
<ds:datastoreItem xmlns:ds="http://schemas.openxmlformats.org/officeDocument/2006/customXml" ds:itemID="{454163E5-74BE-4956-B78A-99CE889C574F}">
  <ds:schemaRefs>
    <ds:schemaRef ds:uri="http://schemas.openxmlformats.org/officeDocument/2006/bibliography"/>
  </ds:schemaRefs>
</ds:datastoreItem>
</file>

<file path=customXml/itemProps4.xml><?xml version="1.0" encoding="utf-8"?>
<ds:datastoreItem xmlns:ds="http://schemas.openxmlformats.org/officeDocument/2006/customXml" ds:itemID="{0177A216-4C83-4F8D-A668-3B62F6C50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1735</Words>
  <Characters>9357</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I:\WP51\RM\Paperwork\MULTI\Rollover</vt:lpstr>
    </vt:vector>
  </TitlesOfParts>
  <Company>PBGC</Company>
  <LinksUpToDate>false</LinksUpToDate>
  <CharactersWithSpaces>11070</CharactersWithSpaces>
  <SharedDoc>false</SharedDoc>
  <HLinks>
    <vt:vector size="36" baseType="variant">
      <vt:variant>
        <vt:i4>7209025</vt:i4>
      </vt:variant>
      <vt:variant>
        <vt:i4>15</vt:i4>
      </vt:variant>
      <vt:variant>
        <vt:i4>0</vt:i4>
      </vt:variant>
      <vt:variant>
        <vt:i4>5</vt:i4>
      </vt:variant>
      <vt:variant>
        <vt:lpwstr>http://www.opm.gov/policy-data-oversight/pay-leave/salaries-wages/salary-tables/14Tables/pdf/DCB_h.pdf</vt:lpwstr>
      </vt:variant>
      <vt:variant>
        <vt:lpwstr/>
      </vt:variant>
      <vt:variant>
        <vt:i4>1704019</vt:i4>
      </vt:variant>
      <vt:variant>
        <vt:i4>12</vt:i4>
      </vt:variant>
      <vt:variant>
        <vt:i4>0</vt:i4>
      </vt:variant>
      <vt:variant>
        <vt:i4>5</vt:i4>
      </vt:variant>
      <vt:variant>
        <vt:lpwstr>http://www.bls.gov/oes/current/oes152011.htm</vt:lpwstr>
      </vt:variant>
      <vt:variant>
        <vt:lpwstr/>
      </vt:variant>
      <vt:variant>
        <vt:i4>1835091</vt:i4>
      </vt:variant>
      <vt:variant>
        <vt:i4>9</vt:i4>
      </vt:variant>
      <vt:variant>
        <vt:i4>0</vt:i4>
      </vt:variant>
      <vt:variant>
        <vt:i4>5</vt:i4>
      </vt:variant>
      <vt:variant>
        <vt:lpwstr>http://www.bls.gov/oes/current/oes231011.htm</vt:lpwstr>
      </vt:variant>
      <vt:variant>
        <vt:lpwstr/>
      </vt:variant>
      <vt:variant>
        <vt:i4>2031698</vt:i4>
      </vt:variant>
      <vt:variant>
        <vt:i4>6</vt:i4>
      </vt:variant>
      <vt:variant>
        <vt:i4>0</vt:i4>
      </vt:variant>
      <vt:variant>
        <vt:i4>5</vt:i4>
      </vt:variant>
      <vt:variant>
        <vt:lpwstr>http://www.bls.gov/oes/current/oes113111.htm</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I:\WP51\RM\Paperwork\MULTI\Rollover</dc:title>
  <dc:creator>PBGC User</dc:creator>
  <cp:lastModifiedBy>Liebman Daniel</cp:lastModifiedBy>
  <cp:revision>3</cp:revision>
  <cp:lastPrinted>2014-05-30T16:32:00Z</cp:lastPrinted>
  <dcterms:created xsi:type="dcterms:W3CDTF">2014-07-09T14:39:00Z</dcterms:created>
  <dcterms:modified xsi:type="dcterms:W3CDTF">2014-07-09T14:47:00Z</dcterms:modified>
</cp:coreProperties>
</file>