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9B" w:rsidRDefault="002B4F2B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 </w:t>
      </w:r>
      <w:r w:rsidR="00F06866">
        <w:rPr>
          <w:sz w:val="28"/>
        </w:rPr>
        <w:t xml:space="preserve">Request for Approval under the </w:t>
      </w:r>
    </w:p>
    <w:p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5E714A" w:rsidRPr="00330B9B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B95449">
        <w:rPr>
          <w:sz w:val="28"/>
        </w:rPr>
        <w:t>1212-0066</w:t>
      </w:r>
      <w:r w:rsidR="00330B9B" w:rsidRPr="00330B9B">
        <w:rPr>
          <w:sz w:val="28"/>
        </w:rPr>
        <w:t xml:space="preserve"> (expires </w:t>
      </w:r>
      <w:r w:rsidR="00B95449">
        <w:rPr>
          <w:sz w:val="28"/>
        </w:rPr>
        <w:t>08/31/2017</w:t>
      </w:r>
      <w:r w:rsidR="00330B9B" w:rsidRPr="00330B9B">
        <w:rPr>
          <w:sz w:val="28"/>
        </w:rPr>
        <w:t>)</w:t>
      </w:r>
    </w:p>
    <w:p w:rsidR="00E50293" w:rsidRPr="001365B2" w:rsidRDefault="008F646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2A9BEF" wp14:editId="00AD1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B95449">
        <w:rPr>
          <w:b/>
        </w:rPr>
        <w:t xml:space="preserve">: </w:t>
      </w:r>
      <w:r w:rsidR="00B95449" w:rsidRPr="00B95449">
        <w:rPr>
          <w:b/>
          <w:i/>
        </w:rPr>
        <w:t>Practitioner</w:t>
      </w:r>
      <w:r w:rsidR="00B95449">
        <w:rPr>
          <w:b/>
        </w:rPr>
        <w:t xml:space="preserve"> </w:t>
      </w:r>
      <w:r w:rsidR="00C93FC7" w:rsidRPr="001365B2">
        <w:rPr>
          <w:b/>
          <w:i/>
        </w:rPr>
        <w:t>F</w:t>
      </w:r>
      <w:r w:rsidR="00110CF6" w:rsidRPr="001365B2">
        <w:rPr>
          <w:b/>
          <w:i/>
        </w:rPr>
        <w:t>ocus Groups</w:t>
      </w:r>
      <w:r w:rsidR="0013472B" w:rsidRPr="001365B2">
        <w:rPr>
          <w:b/>
          <w:i/>
        </w:rPr>
        <w:t>.</w:t>
      </w:r>
    </w:p>
    <w:p w:rsidR="005E714A" w:rsidRPr="001365B2" w:rsidRDefault="005E714A">
      <w:pPr>
        <w:rPr>
          <w:b/>
        </w:rPr>
      </w:pPr>
    </w:p>
    <w:p w:rsidR="0013472B" w:rsidRPr="00FC5B10" w:rsidRDefault="00F15956" w:rsidP="0013472B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3472B" w:rsidRPr="00FC5B10">
        <w:rPr>
          <w:i/>
        </w:rPr>
        <w:t xml:space="preserve">To learn about </w:t>
      </w:r>
      <w:r w:rsidR="00B95449">
        <w:rPr>
          <w:i/>
        </w:rPr>
        <w:t>Practitioners</w:t>
      </w:r>
      <w:r w:rsidR="0013472B" w:rsidRPr="00FC5B10">
        <w:rPr>
          <w:i/>
        </w:rPr>
        <w:t xml:space="preserve">’ experience with </w:t>
      </w:r>
      <w:r w:rsidR="00B95449">
        <w:rPr>
          <w:i/>
        </w:rPr>
        <w:t>PBGC</w:t>
      </w:r>
      <w:r w:rsidR="007235DB">
        <w:rPr>
          <w:i/>
        </w:rPr>
        <w:t>.  R</w:t>
      </w:r>
      <w:r w:rsidR="001944E8" w:rsidRPr="00FC5B10">
        <w:rPr>
          <w:i/>
        </w:rPr>
        <w:t xml:space="preserve">esponses </w:t>
      </w:r>
      <w:r w:rsidR="007235DB">
        <w:rPr>
          <w:i/>
        </w:rPr>
        <w:t xml:space="preserve">obtained </w:t>
      </w:r>
      <w:r w:rsidR="001944E8" w:rsidRPr="00FC5B10">
        <w:rPr>
          <w:i/>
        </w:rPr>
        <w:t xml:space="preserve">will </w:t>
      </w:r>
      <w:r w:rsidR="007235DB">
        <w:rPr>
          <w:i/>
        </w:rPr>
        <w:t xml:space="preserve">guide </w:t>
      </w:r>
      <w:r w:rsidR="001944E8" w:rsidRPr="00FC5B10">
        <w:rPr>
          <w:i/>
        </w:rPr>
        <w:t xml:space="preserve">PBGC’s efforts to </w:t>
      </w:r>
      <w:r w:rsidR="007235DB">
        <w:rPr>
          <w:i/>
        </w:rPr>
        <w:t>improve practitioners’ experiences and satisfaction with PBGC</w:t>
      </w:r>
      <w:r w:rsidR="00BA7979" w:rsidRPr="00FC5B10">
        <w:rPr>
          <w:i/>
        </w:rPr>
        <w:t>.</w:t>
      </w:r>
    </w:p>
    <w:p w:rsidR="0040431B" w:rsidRDefault="0040431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CE433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CE433C" w:rsidRPr="00CE433C">
        <w:rPr>
          <w:i/>
        </w:rPr>
        <w:t xml:space="preserve">Pension </w:t>
      </w:r>
      <w:r w:rsidR="007235DB">
        <w:rPr>
          <w:i/>
        </w:rPr>
        <w:t>practitioners</w:t>
      </w:r>
      <w:r w:rsidR="00CE433C" w:rsidRPr="00CE433C">
        <w:rPr>
          <w:i/>
        </w:rPr>
        <w:t xml:space="preserve"> (e.g., plan sponsors, administrators and actuaries</w:t>
      </w:r>
      <w:r w:rsidR="00A62960">
        <w:rPr>
          <w:i/>
        </w:rPr>
        <w:t>.</w:t>
      </w:r>
    </w:p>
    <w:p w:rsidR="00CE433C" w:rsidRDefault="00CE433C">
      <w:pPr>
        <w:rPr>
          <w:b/>
        </w:rPr>
      </w:pPr>
    </w:p>
    <w:p w:rsidR="00441434" w:rsidRDefault="00F06866" w:rsidP="001B12AC">
      <w:r>
        <w:rPr>
          <w:b/>
        </w:rPr>
        <w:t>TYPE OF COLLECTION</w:t>
      </w:r>
      <w:r w:rsidR="001B12AC">
        <w:rPr>
          <w:b/>
        </w:rPr>
        <w:t>S</w:t>
      </w:r>
      <w:r>
        <w:rPr>
          <w:b/>
        </w:rPr>
        <w:t>:</w:t>
      </w:r>
      <w:r w:rsidRPr="00F06866">
        <w:t xml:space="preserve"> </w:t>
      </w:r>
    </w:p>
    <w:p w:rsidR="001B12AC" w:rsidRPr="00434E33" w:rsidRDefault="001B12AC" w:rsidP="001B12AC">
      <w:pPr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D02E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D02E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0D02E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0D02E3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="00F06866" w:rsidRPr="001B12AC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0431B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7235D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F06866" w:rsidRPr="001B12AC">
        <w:rPr>
          <w:bCs/>
          <w:sz w:val="24"/>
        </w:rPr>
        <w:t xml:space="preserve">Other: </w:t>
      </w:r>
      <w:r w:rsidR="007235DB" w:rsidRPr="001B12AC">
        <w:rPr>
          <w:bCs/>
          <w:sz w:val="24"/>
        </w:rPr>
        <w:t>short screening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1A360F">
        <w:t xml:space="preserve"> </w:t>
      </w:r>
      <w:r w:rsidR="001A360F" w:rsidRPr="00FC5B10">
        <w:rPr>
          <w:i/>
        </w:rPr>
        <w:t>Catherine B. Klion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A360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</w:t>
      </w:r>
      <w:r w:rsidR="000D02E3">
        <w:t xml:space="preserve">     </w:t>
      </w:r>
      <w:r w:rsidR="009239AA">
        <w:t>[</w:t>
      </w:r>
      <w:r w:rsidR="000D02E3">
        <w:t xml:space="preserve"> 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37881" w:rsidRDefault="00C3788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A62960" w:rsidRPr="00A62960" w:rsidRDefault="00C86E91" w:rsidP="00A62960">
      <w:r>
        <w:t>Is an incentive (e.g., money or reimbursement of expenses, token of appreciation) provided to participants?  [</w:t>
      </w:r>
      <w:r w:rsidR="00B03C60">
        <w:t>x</w:t>
      </w:r>
      <w:r w:rsidR="00210BBA">
        <w:t xml:space="preserve">] </w:t>
      </w:r>
      <w:r w:rsidR="00F47676">
        <w:rPr>
          <w:i/>
        </w:rPr>
        <w:t>No</w:t>
      </w:r>
    </w:p>
    <w:p w:rsidR="00C86E91" w:rsidRPr="00A62960" w:rsidRDefault="00C86E91" w:rsidP="00C86E91"/>
    <w:p w:rsidR="004D6E14" w:rsidRDefault="004D6E14">
      <w:pPr>
        <w:rPr>
          <w:b/>
        </w:rPr>
      </w:pPr>
    </w:p>
    <w:p w:rsidR="00221B20" w:rsidRDefault="00221B20">
      <w:pPr>
        <w:rPr>
          <w:b/>
        </w:rPr>
      </w:pPr>
      <w:r>
        <w:rPr>
          <w:b/>
        </w:rPr>
        <w:br w:type="page"/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148"/>
        <w:gridCol w:w="1620"/>
        <w:gridCol w:w="1710"/>
        <w:gridCol w:w="1183"/>
      </w:tblGrid>
      <w:tr w:rsidR="00EF2095" w:rsidTr="00982966">
        <w:trPr>
          <w:trHeight w:val="274"/>
        </w:trPr>
        <w:tc>
          <w:tcPr>
            <w:tcW w:w="514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982966">
        <w:trPr>
          <w:trHeight w:val="274"/>
        </w:trPr>
        <w:tc>
          <w:tcPr>
            <w:tcW w:w="5148" w:type="dxa"/>
          </w:tcPr>
          <w:p w:rsidR="006832D9" w:rsidRPr="00FC5B10" w:rsidRDefault="00210BBA" w:rsidP="008E19BD">
            <w:pPr>
              <w:rPr>
                <w:i/>
              </w:rPr>
            </w:pPr>
            <w:r w:rsidRPr="00FC5B10">
              <w:rPr>
                <w:i/>
              </w:rPr>
              <w:t>Private sector</w:t>
            </w:r>
            <w:r w:rsidR="00A62960">
              <w:rPr>
                <w:i/>
              </w:rPr>
              <w:t xml:space="preserve"> individuals</w:t>
            </w:r>
          </w:p>
        </w:tc>
        <w:tc>
          <w:tcPr>
            <w:tcW w:w="1620" w:type="dxa"/>
          </w:tcPr>
          <w:p w:rsidR="006832D9" w:rsidRDefault="007235DB" w:rsidP="007235DB">
            <w:pPr>
              <w:jc w:val="center"/>
            </w:pPr>
            <w:r>
              <w:t>36</w:t>
            </w:r>
          </w:p>
        </w:tc>
        <w:tc>
          <w:tcPr>
            <w:tcW w:w="1710" w:type="dxa"/>
          </w:tcPr>
          <w:p w:rsidR="006832D9" w:rsidRDefault="004E330D" w:rsidP="00843796">
            <w:r>
              <w:t>90 minutes</w:t>
            </w:r>
          </w:p>
        </w:tc>
        <w:tc>
          <w:tcPr>
            <w:tcW w:w="1183" w:type="dxa"/>
          </w:tcPr>
          <w:p w:rsidR="006832D9" w:rsidRDefault="007235DB" w:rsidP="00843796">
            <w:r>
              <w:t>54</w:t>
            </w:r>
            <w:r w:rsidR="004E330D">
              <w:t xml:space="preserve"> h</w:t>
            </w:r>
            <w:r w:rsidR="00982966">
              <w:t>ou</w:t>
            </w:r>
            <w:r w:rsidR="004E330D">
              <w:t>rs</w:t>
            </w:r>
          </w:p>
        </w:tc>
      </w:tr>
      <w:tr w:rsidR="00EF2095" w:rsidTr="00982966">
        <w:trPr>
          <w:trHeight w:val="274"/>
        </w:trPr>
        <w:tc>
          <w:tcPr>
            <w:tcW w:w="514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7235DB">
            <w:pPr>
              <w:jc w:val="center"/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183" w:type="dxa"/>
          </w:tcPr>
          <w:p w:rsidR="006832D9" w:rsidRDefault="006832D9" w:rsidP="00843796"/>
        </w:tc>
      </w:tr>
      <w:tr w:rsidR="00EF2095" w:rsidTr="00982966">
        <w:trPr>
          <w:trHeight w:val="289"/>
        </w:trPr>
        <w:tc>
          <w:tcPr>
            <w:tcW w:w="514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7235DB" w:rsidP="007235D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10" w:type="dxa"/>
          </w:tcPr>
          <w:p w:rsidR="006832D9" w:rsidRDefault="00982966" w:rsidP="00843796">
            <w:r>
              <w:t>90 minutes</w:t>
            </w:r>
          </w:p>
        </w:tc>
        <w:tc>
          <w:tcPr>
            <w:tcW w:w="1183" w:type="dxa"/>
          </w:tcPr>
          <w:p w:rsidR="006832D9" w:rsidRPr="00F6240A" w:rsidRDefault="007235DB" w:rsidP="00843796">
            <w:pPr>
              <w:rPr>
                <w:b/>
              </w:rPr>
            </w:pPr>
            <w:r>
              <w:rPr>
                <w:b/>
              </w:rPr>
              <w:t>54</w:t>
            </w:r>
            <w:r w:rsidR="0098296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A670F2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1358E8">
        <w:rPr>
          <w:i/>
        </w:rPr>
        <w:t>The estimated annual cos</w:t>
      </w:r>
      <w:r w:rsidR="00A670F2">
        <w:rPr>
          <w:i/>
        </w:rPr>
        <w:t xml:space="preserve">t to the Federal government </w:t>
      </w:r>
      <w:bookmarkStart w:id="0" w:name="_GoBack"/>
      <w:r w:rsidR="00A670F2">
        <w:rPr>
          <w:i/>
        </w:rPr>
        <w:t xml:space="preserve">is </w:t>
      </w:r>
      <w:r w:rsidR="00F47676">
        <w:rPr>
          <w:b/>
          <w:i/>
        </w:rPr>
        <w:t>$</w:t>
      </w:r>
      <w:r w:rsidR="00DE0868">
        <w:rPr>
          <w:b/>
          <w:i/>
        </w:rPr>
        <w:t>2,200</w:t>
      </w:r>
    </w:p>
    <w:bookmarkEnd w:id="0"/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C378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B78F8">
        <w:t xml:space="preserve"> </w:t>
      </w:r>
      <w:r>
        <w:t>] Yes</w:t>
      </w:r>
      <w:r w:rsidR="00A670F2">
        <w:t xml:space="preserve"> </w:t>
      </w:r>
      <w:r w:rsidR="00EB78F8">
        <w:t xml:space="preserve"> </w:t>
      </w:r>
      <w:r>
        <w:tab/>
        <w:t>[</w:t>
      </w:r>
      <w:r w:rsidR="00EB78F8">
        <w:t>x</w:t>
      </w:r>
      <w:r>
        <w:t>] No</w:t>
      </w:r>
    </w:p>
    <w:p w:rsidR="00636621" w:rsidRDefault="00636621" w:rsidP="00636621">
      <w:pPr>
        <w:pStyle w:val="ListParagraph"/>
      </w:pPr>
    </w:p>
    <w:p w:rsidR="00A2461D" w:rsidRDefault="00636621" w:rsidP="001B0AAA">
      <w:r w:rsidRPr="00F47676">
        <w:t>If the answer is yes, please provide a description of both below</w:t>
      </w:r>
      <w:r w:rsidR="00A403BB" w:rsidRPr="00F47676">
        <w:t xml:space="preserve"> (or attach the sampling plan)</w:t>
      </w:r>
      <w:r w:rsidR="00FC5B10" w:rsidRPr="00F47676">
        <w:t>.</w:t>
      </w:r>
      <w:r w:rsidRPr="00F47676">
        <w:t xml:space="preserve">   If the answer is no, please provide a description of how you plan to identify your potential group of respondents</w:t>
      </w:r>
      <w:r w:rsidR="001B0AAA" w:rsidRPr="00F47676">
        <w:t xml:space="preserve"> and how you will select them</w:t>
      </w:r>
      <w:r w:rsidR="00FC5B10" w:rsidRPr="00F47676">
        <w:t>.</w:t>
      </w:r>
    </w:p>
    <w:p w:rsidR="00A2461D" w:rsidRDefault="00A2461D" w:rsidP="001B0AAA"/>
    <w:p w:rsidR="00B26311" w:rsidRDefault="00A2461D" w:rsidP="00546CF1">
      <w:r>
        <w:t>PBGC will use the 2,990 individuals who opened the “What’s New” email</w:t>
      </w:r>
      <w:r w:rsidR="00546CF1">
        <w:t xml:space="preserve"> notice</w:t>
      </w:r>
      <w:r w:rsidRPr="00A2461D">
        <w:rPr>
          <w:color w:val="7030A0"/>
        </w:rPr>
        <w:t xml:space="preserve"> </w:t>
      </w:r>
      <w:r>
        <w:t>of October 8, 2014</w:t>
      </w:r>
      <w:r w:rsidR="00036658">
        <w:t xml:space="preserve"> </w:t>
      </w:r>
      <w:r w:rsidR="00C046A8">
        <w:t>(</w:t>
      </w:r>
      <w:r w:rsidR="00C046A8" w:rsidRPr="00C046A8">
        <w:t>Premium Payments to PBGC</w:t>
      </w:r>
      <w:r w:rsidR="00C046A8">
        <w:t xml:space="preserve">) </w:t>
      </w:r>
      <w:r w:rsidR="00036658">
        <w:t>as its potential group of respondents</w:t>
      </w:r>
      <w:r>
        <w:t>.  Th</w:t>
      </w:r>
      <w:r w:rsidR="001B12AC">
        <w:t>e</w:t>
      </w:r>
      <w:r>
        <w:t xml:space="preserve"> </w:t>
      </w:r>
      <w:r w:rsidR="00546CF1">
        <w:t xml:space="preserve">notice </w:t>
      </w:r>
      <w:r>
        <w:t xml:space="preserve">was </w:t>
      </w:r>
      <w:r w:rsidR="004B37FA">
        <w:t xml:space="preserve">sent </w:t>
      </w:r>
      <w:r>
        <w:t>to all individuals who have signed up on PBGC’s “What’s New” listserv</w:t>
      </w:r>
      <w:r w:rsidR="00C046A8">
        <w:t xml:space="preserve">, </w:t>
      </w:r>
      <w:hyperlink r:id="rId8" w:history="1">
        <w:r w:rsidR="00C45FB2" w:rsidRPr="0062692B">
          <w:rPr>
            <w:rStyle w:val="Hyperlink"/>
          </w:rPr>
          <w:t>http://www.pbgc.gov/prac/whatsnew.html</w:t>
        </w:r>
      </w:hyperlink>
      <w:r w:rsidR="00C45FB2">
        <w:t xml:space="preserve"> </w:t>
      </w:r>
      <w:r>
        <w:t xml:space="preserve">. </w:t>
      </w:r>
      <w:r w:rsidR="00C45FB2">
        <w:t xml:space="preserve"> </w:t>
      </w:r>
      <w:r w:rsidR="00B26311">
        <w:t xml:space="preserve">From </w:t>
      </w:r>
      <w:r>
        <w:t>the universe of potential respondents</w:t>
      </w:r>
      <w:r w:rsidR="00B26311">
        <w:t xml:space="preserve">, PBGC will randomly select 360 </w:t>
      </w:r>
      <w:r w:rsidR="00E81DA2">
        <w:t xml:space="preserve">individuals </w:t>
      </w:r>
      <w:r w:rsidR="00B26311">
        <w:t>who will be invited to participate.</w:t>
      </w:r>
    </w:p>
    <w:p w:rsidR="00B26311" w:rsidRDefault="00B26311" w:rsidP="00546CF1"/>
    <w:p w:rsidR="00546CF1" w:rsidRDefault="00C046A8" w:rsidP="00546CF1">
      <w:r>
        <w:t>A</w:t>
      </w:r>
      <w:r w:rsidR="00E81DA2">
        <w:t xml:space="preserve">n individual </w:t>
      </w:r>
      <w:r>
        <w:t xml:space="preserve">who is </w:t>
      </w:r>
      <w:r w:rsidR="00B26311">
        <w:t>invited to participate</w:t>
      </w:r>
      <w:r w:rsidR="00A2461D">
        <w:t xml:space="preserve"> will be </w:t>
      </w:r>
      <w:r w:rsidR="003019D3">
        <w:t>asked to respond to two screening questions</w:t>
      </w:r>
      <w:r w:rsidR="00546CF1">
        <w:t xml:space="preserve">, </w:t>
      </w:r>
      <w:r w:rsidR="00546CF1" w:rsidRPr="001B12AC">
        <w:t xml:space="preserve">both of which relate to </w:t>
      </w:r>
      <w:r>
        <w:t xml:space="preserve">the </w:t>
      </w:r>
      <w:r w:rsidR="00546CF1" w:rsidRPr="001B12AC">
        <w:t>respondent</w:t>
      </w:r>
      <w:r>
        <w:t>’</w:t>
      </w:r>
      <w:r w:rsidR="00546CF1" w:rsidRPr="001B12AC">
        <w:t>s ability to participate</w:t>
      </w:r>
      <w:r w:rsidR="003019D3" w:rsidRPr="001B12AC">
        <w:t>:</w:t>
      </w:r>
    </w:p>
    <w:p w:rsidR="00B26311" w:rsidRDefault="00B26311" w:rsidP="00546CF1"/>
    <w:p w:rsidR="003019D3" w:rsidRDefault="00585B7C" w:rsidP="00546CF1">
      <w:pPr>
        <w:pStyle w:val="ListParagraph"/>
        <w:numPr>
          <w:ilvl w:val="0"/>
          <w:numId w:val="20"/>
        </w:numPr>
      </w:pPr>
      <w:r>
        <w:t xml:space="preserve">The individual’s </w:t>
      </w:r>
      <w:r w:rsidR="003019D3">
        <w:t>access to equipment that meets certain technical requirements</w:t>
      </w:r>
      <w:r w:rsidR="00E81DA2">
        <w:t>.</w:t>
      </w:r>
    </w:p>
    <w:p w:rsidR="0013666D" w:rsidRPr="00B26311" w:rsidRDefault="003019D3" w:rsidP="0013666D">
      <w:pPr>
        <w:pStyle w:val="ListParagraph"/>
        <w:numPr>
          <w:ilvl w:val="0"/>
          <w:numId w:val="20"/>
        </w:numPr>
        <w:rPr>
          <w:b/>
          <w:bCs/>
        </w:rPr>
      </w:pPr>
      <w:r>
        <w:t>The</w:t>
      </w:r>
      <w:r w:rsidR="00585B7C">
        <w:t xml:space="preserve"> individual’s </w:t>
      </w:r>
      <w:r>
        <w:t xml:space="preserve">availability to participate in one </w:t>
      </w:r>
      <w:r w:rsidR="00585B7C">
        <w:t xml:space="preserve">of three scheduled </w:t>
      </w:r>
      <w:r>
        <w:t>focus group</w:t>
      </w:r>
      <w:r w:rsidR="00585B7C">
        <w:t>s</w:t>
      </w:r>
      <w:r>
        <w:t>.</w:t>
      </w:r>
      <w:r w:rsidR="00A2461D">
        <w:t xml:space="preserve"> </w:t>
      </w:r>
    </w:p>
    <w:p w:rsidR="00B26311" w:rsidRPr="00B26311" w:rsidRDefault="00B26311" w:rsidP="00B26311">
      <w:pPr>
        <w:ind w:left="360"/>
        <w:rPr>
          <w:b/>
          <w:bCs/>
        </w:rPr>
      </w:pPr>
    </w:p>
    <w:p w:rsidR="003019D3" w:rsidRPr="003019D3" w:rsidRDefault="00C046A8" w:rsidP="00B26311">
      <w:pPr>
        <w:rPr>
          <w:bCs/>
        </w:rPr>
      </w:pPr>
      <w:r>
        <w:rPr>
          <w:bCs/>
        </w:rPr>
        <w:t xml:space="preserve">The </w:t>
      </w:r>
      <w:r w:rsidR="00E81DA2">
        <w:rPr>
          <w:bCs/>
        </w:rPr>
        <w:t>individual</w:t>
      </w:r>
      <w:r>
        <w:rPr>
          <w:bCs/>
        </w:rPr>
        <w:t xml:space="preserve"> will also be asked </w:t>
      </w:r>
      <w:r>
        <w:t xml:space="preserve">a few questions that relate to the </w:t>
      </w:r>
      <w:r w:rsidR="000D02E3">
        <w:t xml:space="preserve">individual’s </w:t>
      </w:r>
      <w:r w:rsidR="00585B7C">
        <w:t>diversity</w:t>
      </w:r>
      <w:r>
        <w:t xml:space="preserve"> of experience with PBGC and to </w:t>
      </w:r>
      <w:r w:rsidR="003019D3" w:rsidRPr="003019D3">
        <w:rPr>
          <w:bCs/>
        </w:rPr>
        <w:t>consent to the recording of the online session</w:t>
      </w:r>
      <w:r w:rsidR="003019D3">
        <w:rPr>
          <w:bCs/>
        </w:rPr>
        <w:t xml:space="preserve">.  </w:t>
      </w:r>
      <w:r w:rsidR="00E81DA2">
        <w:rPr>
          <w:bCs/>
        </w:rPr>
        <w:t>T</w:t>
      </w:r>
      <w:r w:rsidR="003019D3">
        <w:rPr>
          <w:bCs/>
        </w:rPr>
        <w:t>he</w:t>
      </w:r>
      <w:r w:rsidR="00B26311">
        <w:rPr>
          <w:bCs/>
        </w:rPr>
        <w:t xml:space="preserve"> </w:t>
      </w:r>
      <w:r w:rsidR="00E81DA2">
        <w:rPr>
          <w:bCs/>
        </w:rPr>
        <w:t>individual</w:t>
      </w:r>
      <w:r w:rsidR="003019D3">
        <w:rPr>
          <w:bCs/>
        </w:rPr>
        <w:t xml:space="preserve"> will be advised that the recording will be </w:t>
      </w:r>
      <w:r w:rsidR="003019D3" w:rsidRPr="003019D3">
        <w:rPr>
          <w:bCs/>
        </w:rPr>
        <w:t xml:space="preserve">for service improvement purposes only, </w:t>
      </w:r>
      <w:r w:rsidR="003019D3">
        <w:rPr>
          <w:bCs/>
        </w:rPr>
        <w:t xml:space="preserve">and that </w:t>
      </w:r>
      <w:r w:rsidR="003019D3" w:rsidRPr="003019D3">
        <w:rPr>
          <w:bCs/>
        </w:rPr>
        <w:t>responses will be treated with the confidentiality provided by the Privacy Act and the Freedom of Information Act.</w:t>
      </w:r>
    </w:p>
    <w:p w:rsidR="003019D3" w:rsidRDefault="003019D3" w:rsidP="003019D3">
      <w:pPr>
        <w:rPr>
          <w:bCs/>
        </w:rPr>
      </w:pPr>
    </w:p>
    <w:p w:rsidR="00EB78F8" w:rsidRPr="003019D3" w:rsidRDefault="00EB78F8" w:rsidP="003019D3">
      <w:pPr>
        <w:rPr>
          <w:bCs/>
        </w:rPr>
      </w:pPr>
      <w:r>
        <w:rPr>
          <w:bCs/>
        </w:rPr>
        <w:t xml:space="preserve">From </w:t>
      </w:r>
      <w:r w:rsidRPr="002F66A8">
        <w:rPr>
          <w:bCs/>
        </w:rPr>
        <w:t>the</w:t>
      </w:r>
      <w:r w:rsidR="000D02E3" w:rsidRPr="002F66A8">
        <w:rPr>
          <w:bCs/>
        </w:rPr>
        <w:t xml:space="preserve"> invited individuals</w:t>
      </w:r>
      <w:r w:rsidR="000D02E3">
        <w:rPr>
          <w:bCs/>
        </w:rPr>
        <w:t xml:space="preserve"> </w:t>
      </w:r>
      <w:r>
        <w:rPr>
          <w:bCs/>
        </w:rPr>
        <w:t>who meet both screening tests and consent to the recording of the online session, PBGC will select 36 respondents to participate in one of the three focus groups</w:t>
      </w:r>
      <w:r w:rsidR="00B26311">
        <w:rPr>
          <w:bCs/>
        </w:rPr>
        <w:t xml:space="preserve"> (12 per group)</w:t>
      </w:r>
      <w:r>
        <w:rPr>
          <w:bCs/>
        </w:rPr>
        <w:t>.  In selecting the 36, PBGC will select respondents who vary in the nature of their experiences with PBGC</w:t>
      </w:r>
      <w:r w:rsidR="00036658">
        <w:rPr>
          <w:bCs/>
        </w:rPr>
        <w:t xml:space="preserve"> </w:t>
      </w:r>
      <w:r w:rsidR="00585B7C">
        <w:rPr>
          <w:bCs/>
        </w:rPr>
        <w:t xml:space="preserve">in order </w:t>
      </w:r>
      <w:r w:rsidR="00036658">
        <w:rPr>
          <w:bCs/>
        </w:rPr>
        <w:t>to obtain a good cross-section of respondents</w:t>
      </w:r>
      <w:r>
        <w:rPr>
          <w:bCs/>
        </w:rPr>
        <w:t xml:space="preserve">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62960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A62960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A62960" w:rsidRDefault="00A62960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A6EA7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EB78F8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81DA2" w:rsidRDefault="00E81DA2">
      <w:pPr>
        <w:rPr>
          <w:b/>
        </w:rPr>
      </w:pPr>
    </w:p>
    <w:p w:rsidR="000D02E3" w:rsidRDefault="000D02E3" w:rsidP="000D02E3"/>
    <w:p w:rsidR="005E714A" w:rsidRDefault="005E714A" w:rsidP="00CB4875"/>
    <w:sectPr w:rsidR="005E714A" w:rsidSect="00EB78F8">
      <w:footerReference w:type="default" r:id="rId9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87" w:rsidRDefault="00523D87">
      <w:r>
        <w:separator/>
      </w:r>
    </w:p>
  </w:endnote>
  <w:endnote w:type="continuationSeparator" w:id="0">
    <w:p w:rsidR="00523D87" w:rsidRDefault="0052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55" w:rsidRDefault="005646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086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87" w:rsidRDefault="00523D87">
      <w:r>
        <w:separator/>
      </w:r>
    </w:p>
  </w:footnote>
  <w:footnote w:type="continuationSeparator" w:id="0">
    <w:p w:rsidR="00523D87" w:rsidRDefault="0052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C3793"/>
    <w:multiLevelType w:val="hybridMultilevel"/>
    <w:tmpl w:val="654E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B225A"/>
    <w:multiLevelType w:val="hybridMultilevel"/>
    <w:tmpl w:val="84E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658"/>
    <w:rsid w:val="0004352B"/>
    <w:rsid w:val="00047A64"/>
    <w:rsid w:val="00067329"/>
    <w:rsid w:val="00084B78"/>
    <w:rsid w:val="000B2838"/>
    <w:rsid w:val="000D02E3"/>
    <w:rsid w:val="000D44CA"/>
    <w:rsid w:val="000E200B"/>
    <w:rsid w:val="000F68BE"/>
    <w:rsid w:val="00110CF6"/>
    <w:rsid w:val="0013472B"/>
    <w:rsid w:val="001358E8"/>
    <w:rsid w:val="001365B2"/>
    <w:rsid w:val="0013666D"/>
    <w:rsid w:val="001927A4"/>
    <w:rsid w:val="001944E8"/>
    <w:rsid w:val="00194AC6"/>
    <w:rsid w:val="001A23B0"/>
    <w:rsid w:val="001A25CC"/>
    <w:rsid w:val="001A360F"/>
    <w:rsid w:val="001B0AAA"/>
    <w:rsid w:val="001B12AC"/>
    <w:rsid w:val="001C39F7"/>
    <w:rsid w:val="001D1BD7"/>
    <w:rsid w:val="00204965"/>
    <w:rsid w:val="00210BBA"/>
    <w:rsid w:val="00221B20"/>
    <w:rsid w:val="00237B48"/>
    <w:rsid w:val="0024521E"/>
    <w:rsid w:val="00263C3D"/>
    <w:rsid w:val="00274D0B"/>
    <w:rsid w:val="002937B8"/>
    <w:rsid w:val="002B3C95"/>
    <w:rsid w:val="002B4F2B"/>
    <w:rsid w:val="002D0B92"/>
    <w:rsid w:val="002F66A8"/>
    <w:rsid w:val="003019D3"/>
    <w:rsid w:val="00330B9B"/>
    <w:rsid w:val="003D5BBE"/>
    <w:rsid w:val="003E3C61"/>
    <w:rsid w:val="003F1C5B"/>
    <w:rsid w:val="0040431B"/>
    <w:rsid w:val="00434E33"/>
    <w:rsid w:val="00441434"/>
    <w:rsid w:val="0045264C"/>
    <w:rsid w:val="004876EC"/>
    <w:rsid w:val="0049475C"/>
    <w:rsid w:val="004A6EA7"/>
    <w:rsid w:val="004B37FA"/>
    <w:rsid w:val="004D6E14"/>
    <w:rsid w:val="004E330D"/>
    <w:rsid w:val="005009B0"/>
    <w:rsid w:val="00523D87"/>
    <w:rsid w:val="00546CF1"/>
    <w:rsid w:val="00564655"/>
    <w:rsid w:val="00585B7C"/>
    <w:rsid w:val="005A1006"/>
    <w:rsid w:val="005E714A"/>
    <w:rsid w:val="006140A0"/>
    <w:rsid w:val="00636621"/>
    <w:rsid w:val="00642B49"/>
    <w:rsid w:val="006530A3"/>
    <w:rsid w:val="006832D9"/>
    <w:rsid w:val="0069403B"/>
    <w:rsid w:val="006F3DDE"/>
    <w:rsid w:val="00704678"/>
    <w:rsid w:val="007235DB"/>
    <w:rsid w:val="007425E7"/>
    <w:rsid w:val="007B5112"/>
    <w:rsid w:val="00802607"/>
    <w:rsid w:val="008101A5"/>
    <w:rsid w:val="00822664"/>
    <w:rsid w:val="00843796"/>
    <w:rsid w:val="00880FE2"/>
    <w:rsid w:val="00895229"/>
    <w:rsid w:val="008D4810"/>
    <w:rsid w:val="008E19BD"/>
    <w:rsid w:val="008F0203"/>
    <w:rsid w:val="008F50D4"/>
    <w:rsid w:val="008F646B"/>
    <w:rsid w:val="009015F2"/>
    <w:rsid w:val="009239AA"/>
    <w:rsid w:val="00935ADA"/>
    <w:rsid w:val="00946B6C"/>
    <w:rsid w:val="00955A71"/>
    <w:rsid w:val="0096108F"/>
    <w:rsid w:val="00982966"/>
    <w:rsid w:val="009B7579"/>
    <w:rsid w:val="009C13B9"/>
    <w:rsid w:val="009C42F3"/>
    <w:rsid w:val="009D01A2"/>
    <w:rsid w:val="009F5923"/>
    <w:rsid w:val="00A2461D"/>
    <w:rsid w:val="00A403BB"/>
    <w:rsid w:val="00A5359C"/>
    <w:rsid w:val="00A62960"/>
    <w:rsid w:val="00A670F2"/>
    <w:rsid w:val="00A674DF"/>
    <w:rsid w:val="00A83AA6"/>
    <w:rsid w:val="00AC62CB"/>
    <w:rsid w:val="00AE1809"/>
    <w:rsid w:val="00B03C60"/>
    <w:rsid w:val="00B26311"/>
    <w:rsid w:val="00B80D76"/>
    <w:rsid w:val="00B95449"/>
    <w:rsid w:val="00BA2105"/>
    <w:rsid w:val="00BA7979"/>
    <w:rsid w:val="00BA7E06"/>
    <w:rsid w:val="00BB43B5"/>
    <w:rsid w:val="00BB6219"/>
    <w:rsid w:val="00BD290F"/>
    <w:rsid w:val="00BF422E"/>
    <w:rsid w:val="00C046A8"/>
    <w:rsid w:val="00C14CC4"/>
    <w:rsid w:val="00C33C52"/>
    <w:rsid w:val="00C37881"/>
    <w:rsid w:val="00C40D8B"/>
    <w:rsid w:val="00C45FB2"/>
    <w:rsid w:val="00C8407A"/>
    <w:rsid w:val="00C8488C"/>
    <w:rsid w:val="00C86E91"/>
    <w:rsid w:val="00C93FC7"/>
    <w:rsid w:val="00CA2650"/>
    <w:rsid w:val="00CB1078"/>
    <w:rsid w:val="00CB4875"/>
    <w:rsid w:val="00CC6FAF"/>
    <w:rsid w:val="00CE433C"/>
    <w:rsid w:val="00CF641A"/>
    <w:rsid w:val="00D24698"/>
    <w:rsid w:val="00D6383F"/>
    <w:rsid w:val="00DB59D0"/>
    <w:rsid w:val="00DC33D3"/>
    <w:rsid w:val="00DE0868"/>
    <w:rsid w:val="00E26329"/>
    <w:rsid w:val="00E40B50"/>
    <w:rsid w:val="00E50293"/>
    <w:rsid w:val="00E63D6E"/>
    <w:rsid w:val="00E65FFC"/>
    <w:rsid w:val="00E80951"/>
    <w:rsid w:val="00E81DA2"/>
    <w:rsid w:val="00E86CC6"/>
    <w:rsid w:val="00EA5B5C"/>
    <w:rsid w:val="00EB56B3"/>
    <w:rsid w:val="00EB78F8"/>
    <w:rsid w:val="00ED6492"/>
    <w:rsid w:val="00EF2095"/>
    <w:rsid w:val="00F06866"/>
    <w:rsid w:val="00F15956"/>
    <w:rsid w:val="00F24CFC"/>
    <w:rsid w:val="00F3170F"/>
    <w:rsid w:val="00F47676"/>
    <w:rsid w:val="00F976B0"/>
    <w:rsid w:val="00FA6DE7"/>
    <w:rsid w:val="00FC0A8E"/>
    <w:rsid w:val="00FC5B1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C45F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D0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C45F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D0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gc.gov/prac/whatsnew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Burns Jo Amato</cp:lastModifiedBy>
  <cp:revision>2</cp:revision>
  <cp:lastPrinted>2014-10-21T20:38:00Z</cp:lastPrinted>
  <dcterms:created xsi:type="dcterms:W3CDTF">2014-10-22T14:20:00Z</dcterms:created>
  <dcterms:modified xsi:type="dcterms:W3CDTF">2014-10-22T14:20:00Z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