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95" w:rsidRPr="00CF1E95" w:rsidRDefault="00CF1E95" w:rsidP="00CF1E95">
      <w:pPr>
        <w:rPr>
          <w:rFonts w:eastAsia="Calibri"/>
          <w:b/>
          <w:sz w:val="24"/>
          <w:szCs w:val="24"/>
        </w:rPr>
      </w:pPr>
      <w:r w:rsidRPr="00CF1E95">
        <w:rPr>
          <w:rFonts w:eastAsia="Calibri"/>
          <w:b/>
          <w:sz w:val="24"/>
          <w:szCs w:val="24"/>
        </w:rPr>
        <w:t>Department of Labor,</w:t>
      </w:r>
    </w:p>
    <w:p w:rsidR="00CF1E95" w:rsidRPr="00CF1E95" w:rsidRDefault="00CF1E95" w:rsidP="00CF1E95">
      <w:pPr>
        <w:rPr>
          <w:rFonts w:eastAsia="Calibri"/>
          <w:b/>
          <w:sz w:val="24"/>
          <w:szCs w:val="24"/>
        </w:rPr>
      </w:pPr>
      <w:r w:rsidRPr="00CF1E95">
        <w:rPr>
          <w:rFonts w:eastAsia="Calibri"/>
          <w:b/>
          <w:sz w:val="24"/>
          <w:szCs w:val="24"/>
        </w:rPr>
        <w:t>Occupational Safety and Health Administration</w:t>
      </w:r>
    </w:p>
    <w:p w:rsidR="00CF1E95" w:rsidRDefault="00CF1E95" w:rsidP="00CF1E95">
      <w:pPr>
        <w:rPr>
          <w:rFonts w:eastAsia="Calibri"/>
          <w:b/>
          <w:sz w:val="24"/>
          <w:szCs w:val="24"/>
        </w:rPr>
      </w:pPr>
      <w:r w:rsidRPr="00CF1E95">
        <w:rPr>
          <w:rFonts w:eastAsia="Calibri"/>
          <w:b/>
          <w:sz w:val="24"/>
          <w:szCs w:val="24"/>
        </w:rPr>
        <w:t>Final Supporting Statement</w:t>
      </w:r>
    </w:p>
    <w:p w:rsidR="00CF1E95" w:rsidRDefault="00CF1E95" w:rsidP="00CF1E95">
      <w:pPr>
        <w:rPr>
          <w:rFonts w:eastAsia="Calibri"/>
          <w:b/>
          <w:sz w:val="24"/>
          <w:szCs w:val="24"/>
        </w:rPr>
      </w:pPr>
    </w:p>
    <w:p w:rsidR="00CF1E95" w:rsidRPr="008A25A6" w:rsidRDefault="00CF1E95" w:rsidP="00CF1E95">
      <w:pPr>
        <w:jc w:val="center"/>
        <w:rPr>
          <w:rFonts w:eastAsia="Calibri"/>
          <w:b/>
          <w:sz w:val="24"/>
          <w:szCs w:val="24"/>
        </w:rPr>
      </w:pPr>
      <w:r w:rsidRPr="008A25A6">
        <w:rPr>
          <w:rFonts w:eastAsia="Calibri"/>
          <w:b/>
          <w:sz w:val="24"/>
          <w:szCs w:val="24"/>
        </w:rPr>
        <w:t>SUPPORTING STATEMENT FOR THE</w:t>
      </w:r>
    </w:p>
    <w:p w:rsidR="00CF1E95" w:rsidRPr="008A25A6" w:rsidRDefault="00CF1E95" w:rsidP="00CF1E95">
      <w:pPr>
        <w:jc w:val="center"/>
        <w:rPr>
          <w:rFonts w:eastAsia="Calibri"/>
          <w:b/>
          <w:sz w:val="24"/>
          <w:szCs w:val="24"/>
        </w:rPr>
      </w:pPr>
      <w:r w:rsidRPr="008A25A6">
        <w:rPr>
          <w:rFonts w:eastAsia="Calibri"/>
          <w:b/>
          <w:sz w:val="24"/>
          <w:szCs w:val="24"/>
        </w:rPr>
        <w:t>INFORMATION COLLECTION REQUIREMENTS OF THE</w:t>
      </w:r>
    </w:p>
    <w:p w:rsidR="00CF1E95" w:rsidRPr="008A25A6" w:rsidRDefault="00CF1E95" w:rsidP="00CF1E95">
      <w:pPr>
        <w:jc w:val="center"/>
        <w:rPr>
          <w:rFonts w:eastAsia="Calibri"/>
          <w:b/>
          <w:sz w:val="24"/>
          <w:szCs w:val="24"/>
        </w:rPr>
      </w:pPr>
      <w:r w:rsidRPr="008A25A6">
        <w:rPr>
          <w:rFonts w:eastAsia="Calibri"/>
          <w:b/>
          <w:sz w:val="24"/>
          <w:szCs w:val="24"/>
        </w:rPr>
        <w:t>UNDERGROUND CONSTRUCTION STANDARD</w:t>
      </w:r>
    </w:p>
    <w:p w:rsidR="00CF1E95" w:rsidRPr="008A25A6" w:rsidRDefault="00CF1E95" w:rsidP="00CF1E95">
      <w:pPr>
        <w:jc w:val="center"/>
        <w:rPr>
          <w:rFonts w:eastAsia="Calibri"/>
          <w:b/>
          <w:sz w:val="24"/>
          <w:szCs w:val="24"/>
        </w:rPr>
      </w:pPr>
      <w:r w:rsidRPr="008A25A6">
        <w:rPr>
          <w:rFonts w:eastAsia="Calibri"/>
          <w:b/>
          <w:sz w:val="24"/>
          <w:szCs w:val="24"/>
        </w:rPr>
        <w:t>(29 CFR 1926.800)</w:t>
      </w:r>
      <w:r w:rsidRPr="008A25A6">
        <w:rPr>
          <w:rFonts w:eastAsia="Calibri"/>
          <w:b/>
          <w:sz w:val="24"/>
          <w:szCs w:val="24"/>
          <w:vertAlign w:val="superscript"/>
        </w:rPr>
        <w:footnoteReference w:id="1"/>
      </w:r>
    </w:p>
    <w:p w:rsidR="00CF1E95" w:rsidRPr="008A25A6" w:rsidRDefault="00CF1E95" w:rsidP="00CF1E95">
      <w:pPr>
        <w:jc w:val="center"/>
        <w:rPr>
          <w:rFonts w:eastAsia="Calibri"/>
          <w:b/>
          <w:sz w:val="24"/>
          <w:szCs w:val="24"/>
        </w:rPr>
      </w:pPr>
      <w:r w:rsidRPr="008A25A6">
        <w:rPr>
          <w:rFonts w:eastAsia="Calibri"/>
          <w:b/>
          <w:sz w:val="24"/>
          <w:szCs w:val="24"/>
        </w:rPr>
        <w:t>OFFICE OF MANAGEMENT AND BUDGET (OMB)</w:t>
      </w:r>
    </w:p>
    <w:p w:rsidR="00CF1E95" w:rsidRPr="008A25A6" w:rsidRDefault="00CF1E95" w:rsidP="00CF1E95">
      <w:pPr>
        <w:jc w:val="center"/>
        <w:rPr>
          <w:rFonts w:eastAsia="Calibri"/>
          <w:b/>
          <w:sz w:val="24"/>
          <w:szCs w:val="24"/>
        </w:rPr>
      </w:pPr>
      <w:r w:rsidRPr="008A25A6">
        <w:rPr>
          <w:rFonts w:eastAsia="Calibri"/>
          <w:b/>
          <w:sz w:val="24"/>
          <w:szCs w:val="24"/>
        </w:rPr>
        <w:t>CONTROL NO. 1218-0067 (</w:t>
      </w:r>
      <w:r>
        <w:rPr>
          <w:rFonts w:eastAsia="Calibri"/>
          <w:b/>
          <w:sz w:val="24"/>
          <w:szCs w:val="24"/>
        </w:rPr>
        <w:t>June</w:t>
      </w:r>
      <w:r w:rsidRPr="008A25A6">
        <w:rPr>
          <w:rFonts w:eastAsia="Calibri"/>
          <w:b/>
          <w:sz w:val="24"/>
          <w:szCs w:val="24"/>
        </w:rPr>
        <w:t xml:space="preserve"> 2014)</w:t>
      </w:r>
    </w:p>
    <w:p w:rsidR="00CF1E95" w:rsidRPr="008A25A6" w:rsidRDefault="00CF1E95" w:rsidP="00CF1E95">
      <w:pPr>
        <w:jc w:val="center"/>
        <w:rPr>
          <w:rFonts w:eastAsia="Calibri"/>
          <w:b/>
          <w:sz w:val="24"/>
          <w:szCs w:val="24"/>
        </w:rPr>
      </w:pPr>
    </w:p>
    <w:p w:rsidR="00CF1E95" w:rsidRPr="008A25A6" w:rsidRDefault="00CF1E95" w:rsidP="00CF1E95">
      <w:pPr>
        <w:jc w:val="center"/>
        <w:rPr>
          <w:rFonts w:eastAsia="Calibri"/>
          <w:b/>
          <w:sz w:val="24"/>
          <w:szCs w:val="24"/>
        </w:rPr>
      </w:pPr>
    </w:p>
    <w:p w:rsidR="00CF1E95" w:rsidRPr="008A25A6" w:rsidRDefault="00CF1E95" w:rsidP="00CF1E95">
      <w:pPr>
        <w:rPr>
          <w:rFonts w:eastAsia="Calibri"/>
          <w:b/>
          <w:sz w:val="24"/>
          <w:szCs w:val="24"/>
        </w:rPr>
      </w:pPr>
      <w:r w:rsidRPr="008A25A6">
        <w:rPr>
          <w:rFonts w:eastAsia="Calibri"/>
          <w:b/>
          <w:sz w:val="24"/>
          <w:szCs w:val="24"/>
        </w:rPr>
        <w:t>A.  JUSTIFICATION</w:t>
      </w:r>
    </w:p>
    <w:p w:rsidR="00CF1E95" w:rsidRPr="008A25A6" w:rsidRDefault="00CF1E95" w:rsidP="00CF1E95">
      <w:pPr>
        <w:rPr>
          <w:rFonts w:eastAsia="Calibri"/>
          <w:b/>
          <w:sz w:val="24"/>
          <w:szCs w:val="24"/>
        </w:rPr>
      </w:pPr>
    </w:p>
    <w:p w:rsidR="00CF1E95" w:rsidRPr="008A25A6" w:rsidRDefault="00CF1E95" w:rsidP="00CF1E95">
      <w:pPr>
        <w:rPr>
          <w:rFonts w:eastAsia="Calibri"/>
          <w:b/>
        </w:rPr>
      </w:pPr>
      <w:r w:rsidRPr="008A25A6">
        <w:rPr>
          <w:rFonts w:eastAsia="Calibri"/>
          <w:b/>
        </w:rPr>
        <w:t>1.  Explain the circumstances that make the collection of information necessary.  Identify any legal or administrative requirements that necessitate the collection.  Attach a copy of the appropriate section of the statute and regulation mandating or authorizing the collection of information.</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The main objective of the Occupational Safety and Health Act of 1970 (the OSH Act) is “to assure so far as possible every working man and woman in the Nation safe and healthful working conditions and to preserve our human resources” (29 U.S.C. 651).  To achieve this objective, the OSH Act authorizes “the development and promulgation of occupational safety and health standards” (29 U.S.C. 651).</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Section 6(b</w:t>
      </w:r>
      <w:proofErr w:type="gramStart"/>
      <w:r w:rsidRPr="008A25A6">
        <w:rPr>
          <w:rFonts w:eastAsia="Calibri"/>
          <w:sz w:val="24"/>
          <w:szCs w:val="24"/>
        </w:rPr>
        <w:t>)(</w:t>
      </w:r>
      <w:proofErr w:type="gramEnd"/>
      <w:r w:rsidRPr="008A25A6">
        <w:rPr>
          <w:rFonts w:eastAsia="Calibri"/>
          <w:sz w:val="24"/>
          <w:szCs w:val="24"/>
        </w:rPr>
        <w:t>7) of the Act specifies that [a]</w:t>
      </w:r>
      <w:proofErr w:type="spellStart"/>
      <w:r w:rsidRPr="008A25A6">
        <w:rPr>
          <w:rFonts w:eastAsia="Calibri"/>
          <w:sz w:val="24"/>
          <w:szCs w:val="24"/>
        </w:rPr>
        <w:t>ny</w:t>
      </w:r>
      <w:proofErr w:type="spellEnd"/>
      <w:r w:rsidRPr="008A25A6">
        <w:rPr>
          <w:rFonts w:eastAsia="Calibri"/>
          <w:sz w:val="24"/>
          <w:szCs w:val="24"/>
        </w:rPr>
        <w:t xml:space="preserve">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With regard to recordkeeping, the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 . . prescribe such rules and regulations as [he/she] may deem necessary to carry out [his/her] responsibilities under this Act, including rules and regulations dealing with the inspection of an employer’s establishment” (29 U.S.C. 657).</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lastRenderedPageBreak/>
        <w:t>Therefore, under the authority granted by the OSH Act, the Occupational Safety and Health Administration (“OSHA” or “the Agency”) published its Standard on Underground Construction at §1926.800.  This standard contains information collection requirements for posting warning signs and notices, certifying inspection records for hoists, and developing and maintaining records for air-quality tests.  Items 2 and 12 below describe the specific information collection requirements of these paragraphs.</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2.  Indicate how, by whom, and for what purpose the information is to be used.  Except for a new collection, indicate the actual use the Agency has made of the information received from the current collection</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The following sections describe the purpose and use of the information collection requirements contained in §1926.800.</w:t>
      </w:r>
    </w:p>
    <w:p w:rsidR="00CF1E95" w:rsidRPr="008A25A6" w:rsidRDefault="00CF1E95" w:rsidP="00CF1E95">
      <w:pPr>
        <w:rPr>
          <w:rFonts w:eastAsia="Calibri"/>
          <w:sz w:val="24"/>
          <w:szCs w:val="24"/>
        </w:rPr>
      </w:pPr>
    </w:p>
    <w:p w:rsidR="00CF1E95" w:rsidRPr="008A25A6" w:rsidRDefault="00CF1E95" w:rsidP="00CF1E95">
      <w:pPr>
        <w:rPr>
          <w:rFonts w:eastAsia="Calibri"/>
          <w:b/>
          <w:sz w:val="24"/>
          <w:szCs w:val="24"/>
        </w:rPr>
      </w:pPr>
      <w:r w:rsidRPr="008A25A6">
        <w:rPr>
          <w:rFonts w:eastAsia="Calibri"/>
          <w:b/>
          <w:sz w:val="24"/>
          <w:szCs w:val="24"/>
        </w:rPr>
        <w:t>(A)  Posting Warning Signs and Notices</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Seven paragraphs of §1926.800 require employers to post warning signs or notices during underground construction.  The table below identifies these paragraphs and cites the regulatory text containing the paperwork requirement.</w:t>
      </w:r>
    </w:p>
    <w:p w:rsidR="00CF1E95" w:rsidRPr="008A25A6" w:rsidRDefault="00CF1E95" w:rsidP="00CF1E95">
      <w:pPr>
        <w:rPr>
          <w:rFonts w:eastAsia="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938"/>
      </w:tblGrid>
      <w:tr w:rsidR="00CF1E95" w:rsidRPr="00B16CA1" w:rsidTr="00A3161E">
        <w:tc>
          <w:tcPr>
            <w:tcW w:w="1638" w:type="dxa"/>
            <w:shd w:val="clear" w:color="auto" w:fill="auto"/>
          </w:tcPr>
          <w:p w:rsidR="00CF1E95" w:rsidRPr="00B16CA1" w:rsidRDefault="00CF1E95" w:rsidP="00A3161E">
            <w:pPr>
              <w:spacing w:after="200" w:line="276" w:lineRule="auto"/>
              <w:jc w:val="center"/>
              <w:rPr>
                <w:rFonts w:eastAsia="Calibri"/>
                <w:b/>
                <w:sz w:val="24"/>
                <w:szCs w:val="24"/>
              </w:rPr>
            </w:pPr>
            <w:r w:rsidRPr="00B16CA1">
              <w:rPr>
                <w:rFonts w:eastAsia="Calibri"/>
                <w:b/>
                <w:sz w:val="24"/>
                <w:szCs w:val="24"/>
              </w:rPr>
              <w:t>Paragraph</w:t>
            </w:r>
          </w:p>
        </w:tc>
        <w:tc>
          <w:tcPr>
            <w:tcW w:w="7938" w:type="dxa"/>
            <w:shd w:val="clear" w:color="auto" w:fill="auto"/>
          </w:tcPr>
          <w:p w:rsidR="00CF1E95" w:rsidRPr="00B16CA1" w:rsidRDefault="00CF1E95" w:rsidP="00A3161E">
            <w:pPr>
              <w:spacing w:after="200" w:line="276" w:lineRule="auto"/>
              <w:jc w:val="center"/>
              <w:rPr>
                <w:rFonts w:eastAsia="Calibri"/>
                <w:b/>
                <w:sz w:val="24"/>
                <w:szCs w:val="24"/>
              </w:rPr>
            </w:pPr>
            <w:r w:rsidRPr="00B16CA1">
              <w:rPr>
                <w:rFonts w:eastAsia="Calibri"/>
                <w:b/>
                <w:sz w:val="24"/>
                <w:szCs w:val="24"/>
              </w:rPr>
              <w:t>Regulatory Text</w:t>
            </w:r>
          </w:p>
        </w:tc>
      </w:tr>
      <w:tr w:rsidR="00CF1E95" w:rsidRPr="00B16CA1" w:rsidTr="00A3161E">
        <w:tc>
          <w:tcPr>
            <w:tcW w:w="1638" w:type="dxa"/>
            <w:shd w:val="clear" w:color="auto" w:fill="auto"/>
          </w:tcPr>
          <w:p w:rsidR="00CF1E95" w:rsidRPr="00B16CA1" w:rsidRDefault="00CF1E95" w:rsidP="00A3161E">
            <w:pPr>
              <w:spacing w:after="200" w:line="276" w:lineRule="auto"/>
              <w:jc w:val="center"/>
              <w:rPr>
                <w:rFonts w:eastAsia="Calibri"/>
                <w:sz w:val="24"/>
                <w:szCs w:val="24"/>
              </w:rPr>
            </w:pPr>
            <w:r w:rsidRPr="00B16CA1">
              <w:rPr>
                <w:rFonts w:eastAsia="Calibri"/>
                <w:sz w:val="24"/>
                <w:szCs w:val="24"/>
              </w:rPr>
              <w:t>(b)(3)</w:t>
            </w:r>
          </w:p>
        </w:tc>
        <w:tc>
          <w:tcPr>
            <w:tcW w:w="793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 xml:space="preserve">Unused chutes, </w:t>
            </w:r>
            <w:proofErr w:type="spellStart"/>
            <w:r w:rsidRPr="00B16CA1">
              <w:rPr>
                <w:rFonts w:eastAsia="Calibri"/>
                <w:sz w:val="24"/>
                <w:szCs w:val="24"/>
              </w:rPr>
              <w:t>manways</w:t>
            </w:r>
            <w:proofErr w:type="spellEnd"/>
            <w:r w:rsidRPr="00B16CA1">
              <w:rPr>
                <w:rFonts w:eastAsia="Calibri"/>
                <w:sz w:val="24"/>
                <w:szCs w:val="24"/>
              </w:rPr>
              <w:t xml:space="preserve">, or other openings shall be tightly covered, </w:t>
            </w:r>
            <w:proofErr w:type="spellStart"/>
            <w:r w:rsidRPr="00B16CA1">
              <w:rPr>
                <w:rFonts w:eastAsia="Calibri"/>
                <w:sz w:val="24"/>
                <w:szCs w:val="24"/>
              </w:rPr>
              <w:t>bulkheaded</w:t>
            </w:r>
            <w:proofErr w:type="spellEnd"/>
            <w:r w:rsidRPr="00B16CA1">
              <w:rPr>
                <w:rFonts w:eastAsia="Calibri"/>
                <w:sz w:val="24"/>
                <w:szCs w:val="24"/>
              </w:rPr>
              <w:t>, or fenced off, and shall be posted with warning signs indicating “Keep Out” or similar language.</w:t>
            </w:r>
          </w:p>
        </w:tc>
      </w:tr>
      <w:tr w:rsidR="00CF1E95" w:rsidRPr="00B16CA1" w:rsidTr="00A3161E">
        <w:tc>
          <w:tcPr>
            <w:tcW w:w="1638" w:type="dxa"/>
            <w:shd w:val="clear" w:color="auto" w:fill="auto"/>
          </w:tcPr>
          <w:p w:rsidR="00CF1E95" w:rsidRPr="00B16CA1" w:rsidRDefault="00CF1E95" w:rsidP="00A3161E">
            <w:pPr>
              <w:spacing w:after="200" w:line="276" w:lineRule="auto"/>
              <w:jc w:val="center"/>
              <w:rPr>
                <w:rFonts w:eastAsia="Calibri"/>
                <w:sz w:val="24"/>
                <w:szCs w:val="24"/>
              </w:rPr>
            </w:pPr>
            <w:r w:rsidRPr="00B16CA1">
              <w:rPr>
                <w:rFonts w:eastAsia="Calibri"/>
                <w:sz w:val="24"/>
                <w:szCs w:val="24"/>
              </w:rPr>
              <w:t>(i)(3)</w:t>
            </w:r>
          </w:p>
        </w:tc>
        <w:tc>
          <w:tcPr>
            <w:tcW w:w="793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Each entrance to a gassy operation shall be prominently posted with signs notifying all entrants of the gassy conditions.</w:t>
            </w:r>
          </w:p>
        </w:tc>
      </w:tr>
      <w:tr w:rsidR="00CF1E95" w:rsidRPr="00B16CA1" w:rsidTr="00A3161E">
        <w:tc>
          <w:tcPr>
            <w:tcW w:w="1638" w:type="dxa"/>
            <w:shd w:val="clear" w:color="auto" w:fill="auto"/>
          </w:tcPr>
          <w:p w:rsidR="00CF1E95" w:rsidRPr="00B16CA1" w:rsidRDefault="00CF1E95" w:rsidP="00A3161E">
            <w:pPr>
              <w:spacing w:after="200" w:line="276" w:lineRule="auto"/>
              <w:jc w:val="center"/>
              <w:rPr>
                <w:rFonts w:eastAsia="Calibri"/>
                <w:sz w:val="24"/>
                <w:szCs w:val="24"/>
              </w:rPr>
            </w:pPr>
            <w:r w:rsidRPr="00B16CA1">
              <w:rPr>
                <w:rFonts w:eastAsia="Calibri"/>
                <w:sz w:val="24"/>
                <w:szCs w:val="24"/>
              </w:rPr>
              <w:t>(j)(1)(vi)(A)</w:t>
            </w:r>
          </w:p>
        </w:tc>
        <w:tc>
          <w:tcPr>
            <w:tcW w:w="793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Prominently post a notice at all entrances to the underground jobsite to inform all entrants [that air contaminants may be present in sufficient quantity to be dangerous to life].</w:t>
            </w:r>
          </w:p>
        </w:tc>
      </w:tr>
      <w:tr w:rsidR="00CF1E95" w:rsidRPr="00B16CA1" w:rsidTr="00A3161E">
        <w:tc>
          <w:tcPr>
            <w:tcW w:w="1638" w:type="dxa"/>
            <w:shd w:val="clear" w:color="auto" w:fill="auto"/>
          </w:tcPr>
          <w:p w:rsidR="00CF1E95" w:rsidRPr="00B16CA1" w:rsidRDefault="00CF1E95" w:rsidP="00A3161E">
            <w:pPr>
              <w:spacing w:after="200" w:line="276" w:lineRule="auto"/>
              <w:jc w:val="center"/>
              <w:rPr>
                <w:rFonts w:eastAsia="Calibri"/>
                <w:sz w:val="24"/>
                <w:szCs w:val="24"/>
              </w:rPr>
            </w:pPr>
            <w:r w:rsidRPr="00B16CA1">
              <w:rPr>
                <w:rFonts w:eastAsia="Calibri"/>
                <w:sz w:val="24"/>
                <w:szCs w:val="24"/>
              </w:rPr>
              <w:t>(m)(2)(ii)</w:t>
            </w:r>
          </w:p>
        </w:tc>
        <w:tc>
          <w:tcPr>
            <w:tcW w:w="793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Readily visible signs prohibiting smoking and open flames shall be posted in areas having fire or explosion hazards.</w:t>
            </w:r>
          </w:p>
        </w:tc>
      </w:tr>
      <w:tr w:rsidR="00CF1E95" w:rsidRPr="00B16CA1" w:rsidTr="00A3161E">
        <w:tc>
          <w:tcPr>
            <w:tcW w:w="1638" w:type="dxa"/>
            <w:shd w:val="clear" w:color="auto" w:fill="auto"/>
          </w:tcPr>
          <w:p w:rsidR="00CF1E95" w:rsidRPr="00B16CA1" w:rsidRDefault="00CF1E95" w:rsidP="00A3161E">
            <w:pPr>
              <w:spacing w:after="200" w:line="276" w:lineRule="auto"/>
              <w:jc w:val="center"/>
              <w:rPr>
                <w:rFonts w:eastAsia="Calibri"/>
                <w:sz w:val="24"/>
                <w:szCs w:val="24"/>
              </w:rPr>
            </w:pPr>
            <w:r w:rsidRPr="00B16CA1">
              <w:rPr>
                <w:rFonts w:eastAsia="Calibri"/>
                <w:sz w:val="24"/>
                <w:szCs w:val="24"/>
              </w:rPr>
              <w:t>(o)(2)</w:t>
            </w:r>
          </w:p>
        </w:tc>
        <w:tc>
          <w:tcPr>
            <w:tcW w:w="793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The employer shall ensure ground stability in hazardous subsidence areas by shoring, by filling in, or by erecting barricades and posting warning signs to prevent entry.</w:t>
            </w:r>
          </w:p>
        </w:tc>
      </w:tr>
      <w:tr w:rsidR="00CF1E95" w:rsidRPr="00B16CA1" w:rsidTr="00A3161E">
        <w:tc>
          <w:tcPr>
            <w:tcW w:w="1638" w:type="dxa"/>
            <w:shd w:val="clear" w:color="auto" w:fill="auto"/>
          </w:tcPr>
          <w:p w:rsidR="00CF1E95" w:rsidRPr="00B16CA1" w:rsidRDefault="00CF1E95" w:rsidP="00A3161E">
            <w:pPr>
              <w:spacing w:after="200" w:line="276" w:lineRule="auto"/>
              <w:jc w:val="center"/>
              <w:rPr>
                <w:rFonts w:eastAsia="Calibri"/>
                <w:sz w:val="24"/>
                <w:szCs w:val="24"/>
              </w:rPr>
            </w:pPr>
            <w:r w:rsidRPr="00B16CA1">
              <w:rPr>
                <w:rFonts w:eastAsia="Calibri"/>
                <w:sz w:val="24"/>
                <w:szCs w:val="24"/>
              </w:rPr>
              <w:t>(q)(11)</w:t>
            </w:r>
          </w:p>
        </w:tc>
        <w:tc>
          <w:tcPr>
            <w:tcW w:w="7938" w:type="dxa"/>
            <w:shd w:val="clear" w:color="auto" w:fill="auto"/>
          </w:tcPr>
          <w:p w:rsidR="00CF1E95" w:rsidRPr="00B16CA1" w:rsidRDefault="00CF1E95" w:rsidP="00ED634B">
            <w:pPr>
              <w:spacing w:after="200" w:line="276" w:lineRule="auto"/>
              <w:rPr>
                <w:rFonts w:eastAsia="Calibri"/>
                <w:sz w:val="24"/>
                <w:szCs w:val="24"/>
              </w:rPr>
            </w:pPr>
            <w:r w:rsidRPr="00B16CA1">
              <w:rPr>
                <w:rFonts w:eastAsia="Calibri"/>
                <w:sz w:val="24"/>
                <w:szCs w:val="24"/>
              </w:rPr>
              <w:t>A caution sign reading “Buried Line” or similar wor</w:t>
            </w:r>
            <w:r w:rsidR="00ED634B">
              <w:rPr>
                <w:rFonts w:eastAsia="Calibri"/>
                <w:sz w:val="24"/>
                <w:szCs w:val="24"/>
              </w:rPr>
              <w:t>d</w:t>
            </w:r>
            <w:r w:rsidRPr="00B16CA1">
              <w:rPr>
                <w:rFonts w:eastAsia="Calibri"/>
                <w:sz w:val="24"/>
                <w:szCs w:val="24"/>
              </w:rPr>
              <w:t>in</w:t>
            </w:r>
            <w:r w:rsidR="00ED634B">
              <w:rPr>
                <w:rFonts w:eastAsia="Calibri"/>
                <w:sz w:val="24"/>
                <w:szCs w:val="24"/>
              </w:rPr>
              <w:t>g</w:t>
            </w:r>
            <w:r w:rsidRPr="00B16CA1">
              <w:rPr>
                <w:rFonts w:eastAsia="Calibri"/>
                <w:sz w:val="24"/>
                <w:szCs w:val="24"/>
              </w:rPr>
              <w:t xml:space="preserve"> shall be posted where air lines are buried or otherwise hidden by water or debris.</w:t>
            </w:r>
          </w:p>
        </w:tc>
      </w:tr>
      <w:tr w:rsidR="00CF1E95" w:rsidRPr="00B16CA1" w:rsidTr="00A3161E">
        <w:tc>
          <w:tcPr>
            <w:tcW w:w="1638" w:type="dxa"/>
            <w:shd w:val="clear" w:color="auto" w:fill="auto"/>
          </w:tcPr>
          <w:p w:rsidR="00CF1E95" w:rsidRPr="00B16CA1" w:rsidRDefault="00CF1E95" w:rsidP="00A3161E">
            <w:pPr>
              <w:spacing w:after="200" w:line="276" w:lineRule="auto"/>
              <w:jc w:val="center"/>
              <w:rPr>
                <w:rFonts w:eastAsia="Calibri"/>
                <w:sz w:val="24"/>
                <w:szCs w:val="24"/>
              </w:rPr>
            </w:pPr>
            <w:r w:rsidRPr="00B16CA1">
              <w:rPr>
                <w:rFonts w:eastAsia="Calibri"/>
                <w:sz w:val="24"/>
                <w:szCs w:val="24"/>
              </w:rPr>
              <w:t>(t)(1)(iv)(B)</w:t>
            </w:r>
          </w:p>
        </w:tc>
        <w:tc>
          <w:tcPr>
            <w:tcW w:w="793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A sign warning that work is being done in the shaft shall be installed at the shaft collar, at the operator’s station, and at each underground landing.</w:t>
            </w:r>
          </w:p>
        </w:tc>
      </w:tr>
    </w:tbl>
    <w:p w:rsidR="00CF1E95" w:rsidRPr="00B16CA1"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lastRenderedPageBreak/>
        <w:t>The warning signs and notices required by these provisions enable employers to effectively alert workers to the presence of hazards or potential hazards at the job site, thereby preventing worker exposure to hazards or potential hazards associated with underground construction that could kill or seriously injure them.</w:t>
      </w:r>
    </w:p>
    <w:p w:rsidR="00CF1E95" w:rsidRPr="008A25A6" w:rsidRDefault="00CF1E95" w:rsidP="00CF1E95">
      <w:pPr>
        <w:rPr>
          <w:rFonts w:eastAsia="Calibri"/>
          <w:sz w:val="24"/>
          <w:szCs w:val="24"/>
        </w:rPr>
      </w:pPr>
    </w:p>
    <w:p w:rsidR="00CF1E95" w:rsidRPr="008A25A6" w:rsidRDefault="00CF1E95" w:rsidP="00CF1E95">
      <w:pPr>
        <w:rPr>
          <w:rFonts w:eastAsia="Calibri"/>
          <w:b/>
          <w:sz w:val="24"/>
          <w:szCs w:val="24"/>
        </w:rPr>
      </w:pPr>
      <w:r w:rsidRPr="008A25A6">
        <w:rPr>
          <w:rFonts w:eastAsia="Calibri"/>
          <w:b/>
          <w:sz w:val="24"/>
          <w:szCs w:val="24"/>
        </w:rPr>
        <w:t>(B)  Certifying Inspection Records for Hoists</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Paragraph (t)(3)(xxi) of §1926.800 requires employers to inspect and load test hoists when they install them, and annually thereafter; they must also inspect and load test a hoist after making any repairs or alterations to it that affect its structural integrity, and after tripping a safety device on the hoist.  Employers must also prepare a certification record of each inspection and load test that includes the following information:  The date of the inspection and load test; a serial number or other identifier for the hoist; and the signature of the individual who performed the inspection and load test.  In addition, employers must maintain the most recent certification record until they complete the construction project.</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The inspections and load tests identify problems such as deterioration caused by exposure to adverse weather conditions, worn components and other flaws and defects that develop during use, and accelerated ware resulting from misalignments of connecting systems and components.  Establishing and maintaining a written record of the most recent inspection and load test alerts equipment mechanics to problems that need correction.  Prior to returning the equipment to service, employers can review the records to ensure that the mechanics performed the necessary repairs and maintenance.  Accordingly, by using only equipment that is in safe working order, employers will prevent severe injury and death to the equipment operators and other workers who work near the equipment.  In addition, these records provide the most efficient means for an OSHA compliance officer to determine that an employer performed the required inspections and load tests, thereby assuring that the equipment is safe to operate.</w:t>
      </w:r>
    </w:p>
    <w:p w:rsidR="00CF1E95" w:rsidRPr="008A25A6" w:rsidRDefault="00CF1E95" w:rsidP="00CF1E95">
      <w:pPr>
        <w:rPr>
          <w:rFonts w:eastAsia="Calibri"/>
          <w:sz w:val="24"/>
          <w:szCs w:val="24"/>
        </w:rPr>
      </w:pPr>
    </w:p>
    <w:p w:rsidR="00CF1E95" w:rsidRPr="008A25A6" w:rsidRDefault="00CF1E95" w:rsidP="00CF1E95">
      <w:pPr>
        <w:rPr>
          <w:rFonts w:eastAsia="Calibri"/>
          <w:b/>
          <w:sz w:val="24"/>
          <w:szCs w:val="24"/>
        </w:rPr>
      </w:pPr>
      <w:r w:rsidRPr="008A25A6">
        <w:rPr>
          <w:rFonts w:eastAsia="Calibri"/>
          <w:b/>
          <w:sz w:val="24"/>
          <w:szCs w:val="24"/>
        </w:rPr>
        <w:t>(C)  Recordkeeping for Air Quality Tests</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The standard requires employers to monitor air quality during underground construction.  The following table lists the paragraphs containing the requirements for air-quality tests, and provides a brief description of each requirement.</w:t>
      </w:r>
    </w:p>
    <w:p w:rsidR="00CF1E95" w:rsidRPr="008A25A6" w:rsidRDefault="00CF1E95" w:rsidP="00CF1E95">
      <w:pPr>
        <w:rPr>
          <w:rFonts w:eastAsia="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028"/>
      </w:tblGrid>
      <w:tr w:rsidR="00CF1E95" w:rsidRPr="0071025F" w:rsidTr="00FE37F3">
        <w:trPr>
          <w:tblHeader/>
        </w:trPr>
        <w:tc>
          <w:tcPr>
            <w:tcW w:w="1548" w:type="dxa"/>
            <w:shd w:val="clear" w:color="auto" w:fill="auto"/>
          </w:tcPr>
          <w:p w:rsidR="00CF1E95" w:rsidRPr="00FE37F3" w:rsidRDefault="00CF1E95" w:rsidP="00A3161E">
            <w:pPr>
              <w:spacing w:after="200" w:line="276" w:lineRule="auto"/>
              <w:jc w:val="center"/>
              <w:rPr>
                <w:rFonts w:eastAsia="Calibri"/>
                <w:b/>
                <w:sz w:val="22"/>
                <w:szCs w:val="22"/>
              </w:rPr>
            </w:pPr>
            <w:r w:rsidRPr="00FE37F3">
              <w:rPr>
                <w:rFonts w:eastAsia="Calibri"/>
                <w:b/>
                <w:sz w:val="22"/>
                <w:szCs w:val="22"/>
              </w:rPr>
              <w:t>Paragraph</w:t>
            </w:r>
          </w:p>
        </w:tc>
        <w:tc>
          <w:tcPr>
            <w:tcW w:w="8028" w:type="dxa"/>
            <w:shd w:val="clear" w:color="auto" w:fill="auto"/>
          </w:tcPr>
          <w:p w:rsidR="00CF1E95" w:rsidRPr="00FE37F3" w:rsidRDefault="00CF1E95" w:rsidP="00A3161E">
            <w:pPr>
              <w:spacing w:after="200" w:line="276" w:lineRule="auto"/>
              <w:jc w:val="center"/>
              <w:rPr>
                <w:rFonts w:eastAsia="Calibri"/>
                <w:b/>
                <w:sz w:val="22"/>
                <w:szCs w:val="22"/>
              </w:rPr>
            </w:pPr>
            <w:r w:rsidRPr="00FE37F3">
              <w:rPr>
                <w:rFonts w:eastAsia="Calibri"/>
                <w:b/>
                <w:sz w:val="22"/>
                <w:szCs w:val="22"/>
              </w:rPr>
              <w:t>Requirement for Air-Quality Test</w:t>
            </w:r>
          </w:p>
        </w:tc>
      </w:tr>
      <w:tr w:rsidR="00CF1E95" w:rsidRPr="0071025F" w:rsidTr="00A3161E">
        <w:tc>
          <w:tcPr>
            <w:tcW w:w="154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(j)(1)(ii)(A) through (j)(1)(iii)(A)</w:t>
            </w:r>
          </w:p>
        </w:tc>
        <w:tc>
          <w:tcPr>
            <w:tcW w:w="802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Employers must conduct quantitative air quality test for oxygen, carbon monoxide, nitrogen dioxide, hydrogen sulfide, and other toxic gases, as well as dusts, vapors, mists, and fumes as often as necessary.</w:t>
            </w:r>
          </w:p>
        </w:tc>
      </w:tr>
      <w:tr w:rsidR="00CF1E95" w:rsidRPr="0071025F" w:rsidTr="00A3161E">
        <w:tc>
          <w:tcPr>
            <w:tcW w:w="154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(j)(1)(iii)(B)</w:t>
            </w:r>
          </w:p>
        </w:tc>
        <w:tc>
          <w:tcPr>
            <w:tcW w:w="8028" w:type="dxa"/>
            <w:shd w:val="clear" w:color="auto" w:fill="auto"/>
          </w:tcPr>
          <w:p w:rsidR="00CF1E95" w:rsidRDefault="00CF1E95" w:rsidP="00A3161E">
            <w:pPr>
              <w:spacing w:after="200" w:line="276" w:lineRule="auto"/>
              <w:rPr>
                <w:rFonts w:eastAsia="Calibri"/>
                <w:sz w:val="24"/>
                <w:szCs w:val="24"/>
              </w:rPr>
            </w:pPr>
            <w:r w:rsidRPr="00B16CA1">
              <w:rPr>
                <w:rFonts w:eastAsia="Calibri"/>
                <w:sz w:val="24"/>
                <w:szCs w:val="24"/>
              </w:rPr>
              <w:t>Employers must monitor quantitatively for methane and other flammable gases as often as necessary.</w:t>
            </w:r>
          </w:p>
          <w:p w:rsidR="00FE37F3" w:rsidRDefault="00FE37F3" w:rsidP="00A3161E">
            <w:pPr>
              <w:spacing w:after="200" w:line="276" w:lineRule="auto"/>
              <w:rPr>
                <w:rFonts w:eastAsia="Calibri"/>
                <w:sz w:val="24"/>
                <w:szCs w:val="24"/>
              </w:rPr>
            </w:pPr>
          </w:p>
          <w:p w:rsidR="00FE37F3" w:rsidRPr="00B16CA1" w:rsidRDefault="00FE37F3" w:rsidP="00A3161E">
            <w:pPr>
              <w:spacing w:after="200" w:line="276" w:lineRule="auto"/>
              <w:rPr>
                <w:rFonts w:eastAsia="Calibri"/>
                <w:sz w:val="24"/>
                <w:szCs w:val="24"/>
              </w:rPr>
            </w:pPr>
          </w:p>
        </w:tc>
      </w:tr>
      <w:tr w:rsidR="00CF1E95" w:rsidRPr="0071025F" w:rsidTr="00A3161E">
        <w:tc>
          <w:tcPr>
            <w:tcW w:w="154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lastRenderedPageBreak/>
              <w:t>(j)(1)(iii)(C)</w:t>
            </w:r>
          </w:p>
        </w:tc>
        <w:tc>
          <w:tcPr>
            <w:tcW w:w="802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If employers use ventilating fans or compressors driven by diesel or gasoline engines they must initially test the inlet air of the fans or compressors to ensure that engine exhaust is not contaminating the air supply.</w:t>
            </w:r>
          </w:p>
        </w:tc>
      </w:tr>
      <w:tr w:rsidR="00CF1E95" w:rsidRPr="0071025F" w:rsidTr="00A3161E">
        <w:tc>
          <w:tcPr>
            <w:tcW w:w="154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(j)(1)(iii)(D)</w:t>
            </w:r>
          </w:p>
        </w:tc>
        <w:tc>
          <w:tcPr>
            <w:tcW w:w="802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Employers must conduct air quality tests:</w:t>
            </w:r>
          </w:p>
          <w:p w:rsidR="00CF1E95" w:rsidRPr="00B16CA1" w:rsidRDefault="00CF1E95" w:rsidP="00CF1E95">
            <w:pPr>
              <w:numPr>
                <w:ilvl w:val="0"/>
                <w:numId w:val="4"/>
              </w:numPr>
              <w:spacing w:after="200" w:line="276" w:lineRule="auto"/>
              <w:contextualSpacing/>
              <w:rPr>
                <w:rFonts w:eastAsia="Calibri"/>
                <w:sz w:val="24"/>
                <w:szCs w:val="24"/>
              </w:rPr>
            </w:pPr>
            <w:r w:rsidRPr="00B16CA1">
              <w:rPr>
                <w:rFonts w:eastAsia="Calibri"/>
                <w:sz w:val="24"/>
                <w:szCs w:val="24"/>
              </w:rPr>
              <w:t>As necessary to maintain adequate levels of fresh air as specified by paragraph (k)(1)(i) of the standard; and</w:t>
            </w:r>
          </w:p>
          <w:p w:rsidR="00CF1E95" w:rsidRPr="00B16CA1" w:rsidRDefault="00CF1E95" w:rsidP="00CF1E95">
            <w:pPr>
              <w:numPr>
                <w:ilvl w:val="0"/>
                <w:numId w:val="4"/>
              </w:numPr>
              <w:spacing w:after="200" w:line="276" w:lineRule="auto"/>
              <w:contextualSpacing/>
              <w:rPr>
                <w:rFonts w:eastAsia="Calibri"/>
                <w:sz w:val="24"/>
                <w:szCs w:val="24"/>
              </w:rPr>
            </w:pPr>
            <w:r w:rsidRPr="00B16CA1">
              <w:rPr>
                <w:rFonts w:eastAsia="Calibri"/>
                <w:sz w:val="24"/>
                <w:szCs w:val="24"/>
              </w:rPr>
              <w:t>To assess affected areas for accumulations of methane or flammable gas after reducing or stopping, and then restoring, ventilation, consistent with paragraphs (k)(7) and (k)(8) of the standard.</w:t>
            </w:r>
          </w:p>
        </w:tc>
      </w:tr>
      <w:tr w:rsidR="00CF1E95" w:rsidRPr="0071025F" w:rsidTr="00A3161E">
        <w:tc>
          <w:tcPr>
            <w:tcW w:w="154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(j)(1)(iv)</w:t>
            </w:r>
          </w:p>
        </w:tc>
        <w:tc>
          <w:tcPr>
            <w:tcW w:w="802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If employers use rapid excavation machines for underground construction, they must operate a continuous flammable gas monitor with the sensor(s) of the monitor placed as high and close to the front of the machine’s cutter head as practicable.</w:t>
            </w:r>
          </w:p>
        </w:tc>
      </w:tr>
      <w:tr w:rsidR="00CF1E95" w:rsidRPr="0071025F" w:rsidTr="00A3161E">
        <w:tc>
          <w:tcPr>
            <w:tcW w:w="154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(j)(1)(v)(A)</w:t>
            </w:r>
          </w:p>
        </w:tc>
        <w:tc>
          <w:tcPr>
            <w:tcW w:w="802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If hydrogen sulfide is present at concentrations of five part per million (ppm) or more, employers must test the affected work areas at least at the beginning and midpoint of each shift until the hydrogen sulfide level is less than five ppm for three consecutive days.</w:t>
            </w:r>
          </w:p>
        </w:tc>
      </w:tr>
      <w:tr w:rsidR="00CF1E95" w:rsidRPr="0071025F" w:rsidTr="00A3161E">
        <w:tc>
          <w:tcPr>
            <w:tcW w:w="154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(j)(1)(v)(B)</w:t>
            </w:r>
          </w:p>
        </w:tc>
        <w:tc>
          <w:tcPr>
            <w:tcW w:w="802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Employers must test affected work areas continuously for hydrogen sulfide if it exceeds 10 ppm.</w:t>
            </w:r>
          </w:p>
        </w:tc>
      </w:tr>
      <w:tr w:rsidR="00CF1E95" w:rsidRPr="0071025F" w:rsidTr="00A3161E">
        <w:tc>
          <w:tcPr>
            <w:tcW w:w="154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(j)(2)(i) through (j)(2)(v)</w:t>
            </w:r>
          </w:p>
        </w:tc>
        <w:tc>
          <w:tcPr>
            <w:tcW w:w="8028" w:type="dxa"/>
            <w:shd w:val="clear" w:color="auto" w:fill="auto"/>
          </w:tcPr>
          <w:p w:rsidR="00CF1E95" w:rsidRPr="00B16CA1" w:rsidRDefault="00CF1E95" w:rsidP="00A3161E">
            <w:pPr>
              <w:spacing w:after="200" w:line="276" w:lineRule="auto"/>
              <w:rPr>
                <w:rFonts w:eastAsia="Calibri"/>
                <w:sz w:val="24"/>
                <w:szCs w:val="24"/>
              </w:rPr>
            </w:pPr>
            <w:r w:rsidRPr="00B16CA1">
              <w:rPr>
                <w:rFonts w:eastAsia="Calibri"/>
                <w:sz w:val="24"/>
                <w:szCs w:val="24"/>
              </w:rPr>
              <w:t>If underground construction operations are potentially gassy or gassy as specified as paragraph (h) of the standard,* employers must:</w:t>
            </w:r>
          </w:p>
          <w:p w:rsidR="00CF1E95" w:rsidRPr="00B16CA1" w:rsidRDefault="00CF1E95" w:rsidP="00CF1E95">
            <w:pPr>
              <w:numPr>
                <w:ilvl w:val="0"/>
                <w:numId w:val="5"/>
              </w:numPr>
              <w:spacing w:after="200" w:line="276" w:lineRule="auto"/>
              <w:contextualSpacing/>
              <w:rPr>
                <w:rFonts w:eastAsia="Calibri"/>
                <w:sz w:val="24"/>
                <w:szCs w:val="24"/>
              </w:rPr>
            </w:pPr>
            <w:r w:rsidRPr="00B16CA1">
              <w:rPr>
                <w:rFonts w:eastAsia="Calibri"/>
                <w:sz w:val="24"/>
                <w:szCs w:val="24"/>
              </w:rPr>
              <w:t>Test for oxygen levels in affected work areas and in areas immediately adjacent to these areas at least at the beginning and midpoint of each shift;</w:t>
            </w:r>
          </w:p>
          <w:p w:rsidR="00CF1E95" w:rsidRPr="00B16CA1" w:rsidRDefault="00CF1E95" w:rsidP="00CF1E95">
            <w:pPr>
              <w:numPr>
                <w:ilvl w:val="0"/>
                <w:numId w:val="5"/>
              </w:numPr>
              <w:spacing w:after="200" w:line="276" w:lineRule="auto"/>
              <w:contextualSpacing/>
              <w:rPr>
                <w:rFonts w:eastAsia="Calibri"/>
                <w:sz w:val="24"/>
                <w:szCs w:val="24"/>
              </w:rPr>
            </w:pPr>
            <w:r w:rsidRPr="00B16CA1">
              <w:rPr>
                <w:rFonts w:eastAsia="Calibri"/>
                <w:sz w:val="24"/>
                <w:szCs w:val="24"/>
              </w:rPr>
              <w:t>When using rapid excavation machines, test the air at the heading, on the rib, and in the return air duct using continuous automatic flammable gas monitoring equipment;</w:t>
            </w:r>
          </w:p>
          <w:p w:rsidR="00CF1E95" w:rsidRPr="00B16CA1" w:rsidRDefault="00CF1E95" w:rsidP="00CF1E95">
            <w:pPr>
              <w:numPr>
                <w:ilvl w:val="0"/>
                <w:numId w:val="5"/>
              </w:numPr>
              <w:spacing w:after="200" w:line="276" w:lineRule="auto"/>
              <w:contextualSpacing/>
              <w:rPr>
                <w:rFonts w:eastAsia="Calibri"/>
                <w:sz w:val="24"/>
                <w:szCs w:val="24"/>
              </w:rPr>
            </w:pPr>
            <w:r w:rsidRPr="00B16CA1">
              <w:rPr>
                <w:rFonts w:eastAsia="Calibri"/>
                <w:sz w:val="24"/>
                <w:szCs w:val="24"/>
              </w:rPr>
              <w:t>Use a manual flammable gas monitor as necessary, but at least at the beginning and midpoint of the shift to ensure that oxygen, carbon monoxide, nitrogen dioxide, hydrogen sulfide, and other toxic gases, dusts, vapors, mists, fumes, and methane and other flammable gases do not exceed the limits specified by the standard;</w:t>
            </w:r>
          </w:p>
          <w:p w:rsidR="00CF1E95" w:rsidRPr="00B16CA1" w:rsidRDefault="00CF1E95" w:rsidP="00CF1E95">
            <w:pPr>
              <w:numPr>
                <w:ilvl w:val="0"/>
                <w:numId w:val="5"/>
              </w:numPr>
              <w:spacing w:after="200" w:line="276" w:lineRule="auto"/>
              <w:contextualSpacing/>
              <w:rPr>
                <w:rFonts w:eastAsia="Calibri"/>
                <w:sz w:val="24"/>
                <w:szCs w:val="24"/>
              </w:rPr>
            </w:pPr>
            <w:r w:rsidRPr="00B16CA1">
              <w:rPr>
                <w:rFonts w:eastAsia="Calibri"/>
                <w:sz w:val="24"/>
                <w:szCs w:val="24"/>
              </w:rPr>
              <w:t>Conduct local tests prior to, and continuously during, any welding, cutting, or other hot work; and</w:t>
            </w:r>
          </w:p>
          <w:p w:rsidR="00CF1E95" w:rsidRPr="00B16CA1" w:rsidRDefault="00CF1E95" w:rsidP="00CF1E95">
            <w:pPr>
              <w:numPr>
                <w:ilvl w:val="0"/>
                <w:numId w:val="5"/>
              </w:numPr>
              <w:spacing w:after="200" w:line="276" w:lineRule="auto"/>
              <w:contextualSpacing/>
              <w:rPr>
                <w:rFonts w:eastAsia="Calibri"/>
                <w:sz w:val="24"/>
                <w:szCs w:val="24"/>
              </w:rPr>
            </w:pPr>
            <w:r w:rsidRPr="00B16CA1">
              <w:rPr>
                <w:rFonts w:eastAsia="Calibri"/>
                <w:sz w:val="24"/>
                <w:szCs w:val="24"/>
              </w:rPr>
              <w:lastRenderedPageBreak/>
              <w:t>In underground operations involving drill-and-blast methods, test the air in affected areas for flammable gas prior to re-entry, and continuously if workers are working in the areas.</w:t>
            </w:r>
          </w:p>
        </w:tc>
      </w:tr>
    </w:tbl>
    <w:p w:rsidR="00CF1E95" w:rsidRPr="008A25A6" w:rsidRDefault="00CF1E95" w:rsidP="00CF1E95">
      <w:pPr>
        <w:rPr>
          <w:rFonts w:eastAsia="Calibri"/>
          <w:sz w:val="24"/>
          <w:szCs w:val="24"/>
        </w:rPr>
      </w:pPr>
      <w:r w:rsidRPr="008A25A6">
        <w:rPr>
          <w:rFonts w:eastAsia="Calibri"/>
        </w:rPr>
        <w:lastRenderedPageBreak/>
        <w:t xml:space="preserve">   *This paragraph classifies an underground operation as potentially gassy if air monitoring shows 10% or more of the lower explosive limit (LEL) for methane or other flammable gas for more than a 24-hour period, or the history of the geographical area or geological formation indicates that 10% or more of the LEL for methane or other flammable gas is likely to be encountered during underground operations.  An underground operation is gassy if air monitoring discloses 10% or more of the (LEL) for methane or other flammable gas for three consecutive days, or there has been ignition of methane or other flammable gas emanating from the strata, or an underground operation is both connected to an unground area currently classified as gassy </w:t>
      </w:r>
      <w:proofErr w:type="gramStart"/>
      <w:r w:rsidRPr="008A25A6">
        <w:rPr>
          <w:rFonts w:eastAsia="Calibri"/>
        </w:rPr>
        <w:t>and  is</w:t>
      </w:r>
      <w:proofErr w:type="gramEnd"/>
      <w:r w:rsidRPr="008A25A6">
        <w:rPr>
          <w:rFonts w:eastAsia="Calibri"/>
        </w:rPr>
        <w:t xml:space="preserve"> subject to a continuous course of air that contains a flammable gas concentration. </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Paragraph (j</w:t>
      </w:r>
      <w:proofErr w:type="gramStart"/>
      <w:r w:rsidRPr="008A25A6">
        <w:rPr>
          <w:rFonts w:eastAsia="Calibri"/>
          <w:sz w:val="24"/>
          <w:szCs w:val="24"/>
        </w:rPr>
        <w:t>)(</w:t>
      </w:r>
      <w:proofErr w:type="gramEnd"/>
      <w:r w:rsidRPr="008A25A6">
        <w:rPr>
          <w:rFonts w:eastAsia="Calibri"/>
          <w:sz w:val="24"/>
          <w:szCs w:val="24"/>
        </w:rPr>
        <w:t>3) contains the recordkeeping requirements for the air quality test mandated by paragraph (j) of §1926.800.  These recordkeeping requirements specify that employers must maintain, at an above ground location at the jobsite, a record of every air quality test conducted during the underground construction project.  Each air quality record must include the location, date, time, substance, and amount tested.  Employers must retain air quality records associated with worker exposures to toxic substances according to the requirements of §1910.1020 (“Access to worker exposure and medical records”), and maintain other air quality test records until the underground construction project is complete; they must also make the records available to OSHA compliance officers on request.</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Maintaining records of air quality test allows employers to document oxygen levels and specific atmospheric contaminants, ascertain the effectiveness of controls (especially ventilation), and implement additional controls if necessary; they can also provide this information to crews on later shifts.  Accordingly, employers will prevent serious injury and death to workers who work on the underground construction project.  In addition, these records provide an efficient means for workers to evaluate the accuracy and effectiveness of an employer’s exposure reduction program and for OSHA compliance officers to determine that employers performed the required tests and implemented appropriate controls.</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 xml:space="preserve">Employers may use any available technology to meet the paperwork requirements specified by §1926.800.  The Agency wrote the paperwork requirements of the Standard in performance-oriented language (i.e., in terms of </w:t>
      </w:r>
      <w:r w:rsidRPr="008A25A6">
        <w:rPr>
          <w:rFonts w:eastAsia="Calibri"/>
          <w:sz w:val="24"/>
          <w:szCs w:val="24"/>
          <w:u w:val="single"/>
        </w:rPr>
        <w:t>what</w:t>
      </w:r>
      <w:r w:rsidRPr="008A25A6">
        <w:rPr>
          <w:rFonts w:eastAsia="Calibri"/>
          <w:sz w:val="24"/>
          <w:szCs w:val="24"/>
        </w:rPr>
        <w:t xml:space="preserve"> data to collect, not </w:t>
      </w:r>
      <w:r w:rsidRPr="008A25A6">
        <w:rPr>
          <w:rFonts w:eastAsia="Calibri"/>
          <w:sz w:val="24"/>
          <w:szCs w:val="24"/>
          <w:u w:val="single"/>
        </w:rPr>
        <w:t>how</w:t>
      </w:r>
      <w:r w:rsidRPr="008A25A6">
        <w:rPr>
          <w:rFonts w:eastAsia="Calibri"/>
          <w:sz w:val="24"/>
          <w:szCs w:val="24"/>
        </w:rPr>
        <w:t xml:space="preserve"> to record the data).  </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4.  Describe efforts to identify duplication.  Show specifically why any similar information already available cannot be used or modified for use for the purpose(s) described in A.2 above.</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The information collection requirements in §1926.800 are specific to each employer involved, and no other sources or agencies duplicate these requirements or can make the required information available to OSHA (i.e., the required information is available only from employers).</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5.  If the collection of information impacts small businesses or other small entities, describe the methods used to reduce the burden.</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 xml:space="preserve">The information collection requirements specified by §1926.800 do not have a significant impact on a substantial number of small entities.  </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6.  Describe the consequence to Federal program or policy activities if the collection is or is not conducted less frequently, and any technical or legal obstacles to reducing the burden.</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The Agency believes that the information collection frequencies required by §1926.800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information collections required by §1926.800, or delay in providing this information, workers are at risk of serious injuries or death while working on underground construction projects.</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7.  Explain any special circumstances that would cause an information collection to be conducted in a manner:</w:t>
      </w:r>
    </w:p>
    <w:p w:rsidR="00CF1E95" w:rsidRPr="008A25A6" w:rsidRDefault="00CF1E95" w:rsidP="00CF1E95">
      <w:pPr>
        <w:rPr>
          <w:rFonts w:eastAsia="Calibri"/>
          <w:b/>
        </w:rPr>
      </w:pPr>
    </w:p>
    <w:p w:rsidR="00CF1E95" w:rsidRPr="008A25A6" w:rsidRDefault="00CF1E95" w:rsidP="00CF1E95">
      <w:pPr>
        <w:numPr>
          <w:ilvl w:val="0"/>
          <w:numId w:val="1"/>
        </w:numPr>
        <w:spacing w:after="200" w:line="276" w:lineRule="auto"/>
        <w:contextualSpacing/>
        <w:rPr>
          <w:rFonts w:eastAsia="Calibri"/>
          <w:b/>
        </w:rPr>
      </w:pPr>
      <w:r w:rsidRPr="008A25A6">
        <w:rPr>
          <w:rFonts w:eastAsia="Calibri"/>
          <w:b/>
        </w:rPr>
        <w:t>Requiring respondents to report information to the agency more often than quarterly;</w:t>
      </w:r>
    </w:p>
    <w:p w:rsidR="00CF1E95" w:rsidRPr="008A25A6" w:rsidRDefault="00CF1E95" w:rsidP="00CF1E95">
      <w:pPr>
        <w:ind w:left="360"/>
        <w:contextualSpacing/>
        <w:rPr>
          <w:rFonts w:eastAsia="Calibri"/>
          <w:b/>
        </w:rPr>
      </w:pPr>
    </w:p>
    <w:p w:rsidR="00CF1E95" w:rsidRPr="008A25A6" w:rsidRDefault="00CF1E95" w:rsidP="00CF1E95">
      <w:pPr>
        <w:numPr>
          <w:ilvl w:val="0"/>
          <w:numId w:val="1"/>
        </w:numPr>
        <w:spacing w:after="200" w:line="276" w:lineRule="auto"/>
        <w:contextualSpacing/>
        <w:rPr>
          <w:rFonts w:eastAsia="Calibri"/>
          <w:b/>
        </w:rPr>
      </w:pPr>
      <w:r w:rsidRPr="008A25A6">
        <w:rPr>
          <w:rFonts w:eastAsia="Calibri"/>
          <w:b/>
        </w:rPr>
        <w:t>Requiring respondents to prepare a written response to a collection of information in fewer than 30 days after receipt of it;</w:t>
      </w:r>
    </w:p>
    <w:p w:rsidR="00CF1E95" w:rsidRPr="008A25A6" w:rsidRDefault="00CF1E95" w:rsidP="00CF1E95">
      <w:pPr>
        <w:ind w:left="360"/>
        <w:contextualSpacing/>
        <w:rPr>
          <w:rFonts w:eastAsia="Calibri"/>
          <w:b/>
        </w:rPr>
      </w:pPr>
    </w:p>
    <w:p w:rsidR="00CF1E95" w:rsidRPr="008A25A6" w:rsidRDefault="00CF1E95" w:rsidP="00CF1E95">
      <w:pPr>
        <w:numPr>
          <w:ilvl w:val="0"/>
          <w:numId w:val="1"/>
        </w:numPr>
        <w:spacing w:after="200" w:line="276" w:lineRule="auto"/>
        <w:contextualSpacing/>
        <w:rPr>
          <w:rFonts w:eastAsia="Calibri"/>
          <w:b/>
        </w:rPr>
      </w:pPr>
      <w:r w:rsidRPr="008A25A6">
        <w:rPr>
          <w:rFonts w:eastAsia="Calibri"/>
          <w:b/>
        </w:rPr>
        <w:t>Requiring respondents to submit more than an original  and two copies of any document;</w:t>
      </w:r>
    </w:p>
    <w:p w:rsidR="00CF1E95" w:rsidRPr="008A25A6" w:rsidRDefault="00CF1E95" w:rsidP="00CF1E95">
      <w:pPr>
        <w:ind w:left="360"/>
        <w:contextualSpacing/>
        <w:rPr>
          <w:rFonts w:eastAsia="Calibri"/>
          <w:b/>
        </w:rPr>
      </w:pPr>
    </w:p>
    <w:p w:rsidR="00CF1E95" w:rsidRPr="008A25A6" w:rsidRDefault="00CF1E95" w:rsidP="00CF1E95">
      <w:pPr>
        <w:numPr>
          <w:ilvl w:val="0"/>
          <w:numId w:val="1"/>
        </w:numPr>
        <w:spacing w:after="200" w:line="276" w:lineRule="auto"/>
        <w:contextualSpacing/>
        <w:rPr>
          <w:rFonts w:eastAsia="Calibri"/>
          <w:b/>
        </w:rPr>
      </w:pPr>
      <w:r w:rsidRPr="008A25A6">
        <w:rPr>
          <w:rFonts w:eastAsia="Calibri"/>
          <w:b/>
        </w:rPr>
        <w:t>Requiring respondents to retain records, other than health, medical, government contract, grant-in-aid, or tax records for more than three years;</w:t>
      </w:r>
    </w:p>
    <w:p w:rsidR="00CF1E95" w:rsidRPr="008A25A6" w:rsidRDefault="00CF1E95" w:rsidP="00CF1E95">
      <w:pPr>
        <w:ind w:left="360"/>
        <w:contextualSpacing/>
        <w:rPr>
          <w:rFonts w:eastAsia="Calibri"/>
          <w:b/>
        </w:rPr>
      </w:pPr>
    </w:p>
    <w:p w:rsidR="00CF1E95" w:rsidRPr="008A25A6" w:rsidRDefault="00CF1E95" w:rsidP="00CF1E95">
      <w:pPr>
        <w:numPr>
          <w:ilvl w:val="0"/>
          <w:numId w:val="1"/>
        </w:numPr>
        <w:spacing w:after="200" w:line="276" w:lineRule="auto"/>
        <w:contextualSpacing/>
        <w:rPr>
          <w:rFonts w:eastAsia="Calibri"/>
          <w:b/>
        </w:rPr>
      </w:pPr>
      <w:r w:rsidRPr="008A25A6">
        <w:rPr>
          <w:rFonts w:eastAsia="Calibri"/>
          <w:b/>
        </w:rPr>
        <w:t>In connection with a statistical survey that is not designed to produce valid and reliable results that can be generalized to the universe of study;</w:t>
      </w:r>
    </w:p>
    <w:p w:rsidR="00CF1E95" w:rsidRPr="008A25A6" w:rsidRDefault="00CF1E95" w:rsidP="00CF1E95">
      <w:pPr>
        <w:ind w:left="360"/>
        <w:contextualSpacing/>
        <w:rPr>
          <w:rFonts w:eastAsia="Calibri"/>
          <w:b/>
        </w:rPr>
      </w:pPr>
    </w:p>
    <w:p w:rsidR="00CF1E95" w:rsidRPr="008A25A6" w:rsidRDefault="00CF1E95" w:rsidP="00CF1E95">
      <w:pPr>
        <w:numPr>
          <w:ilvl w:val="0"/>
          <w:numId w:val="1"/>
        </w:numPr>
        <w:spacing w:after="200" w:line="276" w:lineRule="auto"/>
        <w:contextualSpacing/>
        <w:rPr>
          <w:rFonts w:eastAsia="Calibri"/>
          <w:b/>
        </w:rPr>
      </w:pPr>
      <w:r w:rsidRPr="008A25A6">
        <w:rPr>
          <w:rFonts w:eastAsia="Calibri"/>
          <w:b/>
        </w:rPr>
        <w:t>Requiring the use of statistical data classification that has not been reviewed and approved by OMB;</w:t>
      </w:r>
    </w:p>
    <w:p w:rsidR="00CF1E95" w:rsidRPr="008A25A6" w:rsidRDefault="00CF1E95" w:rsidP="00CF1E95">
      <w:pPr>
        <w:ind w:left="360"/>
        <w:contextualSpacing/>
        <w:rPr>
          <w:rFonts w:eastAsia="Calibri"/>
          <w:b/>
        </w:rPr>
      </w:pPr>
    </w:p>
    <w:p w:rsidR="00CF1E95" w:rsidRPr="008A25A6" w:rsidRDefault="00CF1E95" w:rsidP="00CF1E95">
      <w:pPr>
        <w:numPr>
          <w:ilvl w:val="0"/>
          <w:numId w:val="1"/>
        </w:numPr>
        <w:spacing w:after="200" w:line="276" w:lineRule="auto"/>
        <w:contextualSpacing/>
        <w:rPr>
          <w:rFonts w:eastAsia="Calibri"/>
          <w:b/>
        </w:rPr>
      </w:pPr>
      <w:r w:rsidRPr="008A25A6">
        <w:rPr>
          <w:rFonts w:eastAsia="Calibri"/>
          <w:b/>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F1E95" w:rsidRPr="008A25A6" w:rsidRDefault="00CF1E95" w:rsidP="00CF1E95">
      <w:pPr>
        <w:ind w:left="360"/>
        <w:contextualSpacing/>
        <w:rPr>
          <w:rFonts w:eastAsia="Calibri"/>
          <w:b/>
        </w:rPr>
      </w:pPr>
    </w:p>
    <w:p w:rsidR="00CF1E95" w:rsidRPr="008A25A6" w:rsidRDefault="00CF1E95" w:rsidP="00CF1E95">
      <w:pPr>
        <w:numPr>
          <w:ilvl w:val="0"/>
          <w:numId w:val="1"/>
        </w:numPr>
        <w:spacing w:after="200" w:line="276" w:lineRule="auto"/>
        <w:contextualSpacing/>
        <w:rPr>
          <w:rFonts w:eastAsia="Calibri"/>
          <w:b/>
        </w:rPr>
      </w:pPr>
      <w:r w:rsidRPr="008A25A6">
        <w:rPr>
          <w:rFonts w:eastAsia="Calibri"/>
          <w:b/>
        </w:rPr>
        <w:t>Requiring respondents to submit proprietary trade secret, or other confidential information unless the agency can prove that it has instituted procedures to protect the information’s confidentially to the extent permitted by law.</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No special circumstances exist that require employers to collect information in the manner or using the procedures specified by this item.  The requirements are within the guidelines set forth in 5 CFR 1320.5.</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lastRenderedPageBreak/>
        <w:t>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CF1E95" w:rsidRPr="008A25A6" w:rsidRDefault="00CF1E95" w:rsidP="00CF1E95">
      <w:pPr>
        <w:rPr>
          <w:rFonts w:eastAsia="Calibri"/>
          <w:b/>
        </w:rPr>
      </w:pPr>
    </w:p>
    <w:p w:rsidR="00CF1E95" w:rsidRPr="008A25A6" w:rsidRDefault="00CF1E95" w:rsidP="00CF1E95">
      <w:pPr>
        <w:rPr>
          <w:rFonts w:eastAsia="Calibri"/>
          <w:b/>
        </w:rPr>
      </w:pPr>
      <w:r w:rsidRPr="008A25A6">
        <w:rPr>
          <w:rFonts w:eastAsia="Calibri"/>
          <w:b/>
        </w:rPr>
        <w:t>Describe efforts to consult with persons outside the agency to obtain their views on the availability of data, frequency of collecting, the clarity of instructions and recordkeeping, disclosure, or reporting format (if any), and on the data elements to be recorded, revealed, or reported.</w:t>
      </w:r>
    </w:p>
    <w:p w:rsidR="00CF1E95" w:rsidRPr="008A25A6" w:rsidRDefault="00CF1E95" w:rsidP="00CF1E95">
      <w:pPr>
        <w:rPr>
          <w:rFonts w:eastAsia="Calibri"/>
          <w:b/>
        </w:rPr>
      </w:pPr>
    </w:p>
    <w:p w:rsidR="00CF1E95" w:rsidRPr="008A25A6" w:rsidRDefault="00CF1E95" w:rsidP="00CF1E95">
      <w:pPr>
        <w:rPr>
          <w:rFonts w:eastAsia="Calibri"/>
          <w:b/>
        </w:rPr>
      </w:pPr>
      <w:r w:rsidRPr="008A25A6">
        <w:rPr>
          <w:rFonts w:eastAsia="Calibri"/>
          <w:b/>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w:t>
      </w:r>
      <w:proofErr w:type="gramStart"/>
      <w:r w:rsidRPr="008A25A6">
        <w:rPr>
          <w:rFonts w:eastAsia="Calibri"/>
          <w:b/>
        </w:rPr>
        <w:t>mitigate</w:t>
      </w:r>
      <w:proofErr w:type="gramEnd"/>
      <w:r w:rsidRPr="008A25A6">
        <w:rPr>
          <w:rFonts w:eastAsia="Calibri"/>
          <w:b/>
        </w:rPr>
        <w:t xml:space="preserve"> against consultation in a specific situation.  These circumstances should be explained.</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As required by the Paperwork Reduction Act of 1995 (44 U.S.C. 3506(c</w:t>
      </w:r>
      <w:proofErr w:type="gramStart"/>
      <w:r w:rsidRPr="008A25A6">
        <w:rPr>
          <w:rFonts w:eastAsia="Calibri"/>
          <w:sz w:val="24"/>
          <w:szCs w:val="24"/>
        </w:rPr>
        <w:t>)(</w:t>
      </w:r>
      <w:proofErr w:type="gramEnd"/>
      <w:r w:rsidRPr="008A25A6">
        <w:rPr>
          <w:rFonts w:eastAsia="Calibri"/>
          <w:sz w:val="24"/>
          <w:szCs w:val="24"/>
        </w:rPr>
        <w:t>2)(A)), OSHA publish</w:t>
      </w:r>
      <w:r>
        <w:rPr>
          <w:rFonts w:eastAsia="Calibri"/>
          <w:sz w:val="24"/>
          <w:szCs w:val="24"/>
        </w:rPr>
        <w:t>ed</w:t>
      </w:r>
      <w:r w:rsidRPr="008A25A6">
        <w:rPr>
          <w:rFonts w:eastAsia="Calibri"/>
          <w:sz w:val="24"/>
          <w:szCs w:val="24"/>
        </w:rPr>
        <w:t xml:space="preserve"> a notice in the Federal Register</w:t>
      </w:r>
      <w:r>
        <w:rPr>
          <w:rFonts w:eastAsia="Calibri"/>
          <w:sz w:val="24"/>
          <w:szCs w:val="24"/>
        </w:rPr>
        <w:t xml:space="preserve"> on April 7, 2014 (79 FR 19125)</w:t>
      </w:r>
      <w:r w:rsidRPr="008A25A6">
        <w:rPr>
          <w:rFonts w:eastAsia="Calibri"/>
          <w:sz w:val="24"/>
          <w:szCs w:val="24"/>
        </w:rPr>
        <w:t xml:space="preserve"> requesting public comment on its proposed extension of the information collection requirements specified by the Standard on Underground Construction (29 CFR 1926.800).  This notice </w:t>
      </w:r>
      <w:r>
        <w:rPr>
          <w:rFonts w:eastAsia="Calibri"/>
          <w:sz w:val="24"/>
          <w:szCs w:val="24"/>
        </w:rPr>
        <w:t>wa</w:t>
      </w:r>
      <w:r w:rsidRPr="008A25A6">
        <w:rPr>
          <w:rFonts w:eastAsia="Calibri"/>
          <w:sz w:val="24"/>
          <w:szCs w:val="24"/>
        </w:rPr>
        <w:t xml:space="preserve">s 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  The Agency </w:t>
      </w:r>
      <w:r>
        <w:rPr>
          <w:rFonts w:eastAsia="Calibri"/>
          <w:sz w:val="24"/>
          <w:szCs w:val="24"/>
        </w:rPr>
        <w:t>did not receive</w:t>
      </w:r>
      <w:r w:rsidRPr="008A25A6">
        <w:rPr>
          <w:rFonts w:eastAsia="Calibri"/>
          <w:sz w:val="24"/>
          <w:szCs w:val="24"/>
        </w:rPr>
        <w:t xml:space="preserve"> any comments </w:t>
      </w:r>
      <w:r w:rsidR="00B16CA1">
        <w:rPr>
          <w:rFonts w:eastAsia="Calibri"/>
          <w:sz w:val="24"/>
          <w:szCs w:val="24"/>
        </w:rPr>
        <w:t xml:space="preserve">in response </w:t>
      </w:r>
      <w:r w:rsidRPr="008A25A6">
        <w:rPr>
          <w:rFonts w:eastAsia="Calibri"/>
          <w:sz w:val="24"/>
          <w:szCs w:val="24"/>
        </w:rPr>
        <w:t>to this notice.</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 xml:space="preserve">9.  Explain any decision to provide any payments or gift to respondents, other than </w:t>
      </w:r>
      <w:proofErr w:type="spellStart"/>
      <w:r w:rsidRPr="008A25A6">
        <w:rPr>
          <w:rFonts w:eastAsia="Calibri"/>
          <w:b/>
        </w:rPr>
        <w:t>reenumeration</w:t>
      </w:r>
      <w:proofErr w:type="spellEnd"/>
      <w:r w:rsidRPr="008A25A6">
        <w:rPr>
          <w:rFonts w:eastAsia="Calibri"/>
          <w:b/>
        </w:rPr>
        <w:t xml:space="preserve"> of contractors or grantees.</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 xml:space="preserve">The Agency will </w:t>
      </w:r>
      <w:r w:rsidRPr="008A25A6">
        <w:rPr>
          <w:rFonts w:eastAsia="Calibri"/>
          <w:sz w:val="24"/>
          <w:szCs w:val="24"/>
          <w:u w:val="single"/>
        </w:rPr>
        <w:t>not</w:t>
      </w:r>
      <w:r w:rsidRPr="008A25A6">
        <w:rPr>
          <w:rFonts w:eastAsia="Calibri"/>
          <w:sz w:val="24"/>
          <w:szCs w:val="24"/>
        </w:rPr>
        <w:t xml:space="preserve"> provide payments or gifts to the respondents.</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10.  Describe any assurance of confidentiality provided to respondents and the basis for the assurance in statute, regulation, or agency policy.</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The paperwork requirements specified by §1926.800 do not involve confidential information.</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The paperwork requirements specified by §1926.800 do not involve collection of sensitive information.</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12.  Provide estimates of the hour burden of the collection of information.  The statement should:</w:t>
      </w:r>
    </w:p>
    <w:p w:rsidR="00CF1E95" w:rsidRPr="008A25A6" w:rsidRDefault="00CF1E95" w:rsidP="00CF1E95">
      <w:pPr>
        <w:rPr>
          <w:rFonts w:eastAsia="Calibri"/>
          <w:b/>
        </w:rPr>
      </w:pPr>
    </w:p>
    <w:p w:rsidR="00CF1E95" w:rsidRPr="008A25A6" w:rsidRDefault="00CF1E95" w:rsidP="00CF1E95">
      <w:pPr>
        <w:numPr>
          <w:ilvl w:val="0"/>
          <w:numId w:val="2"/>
        </w:numPr>
        <w:spacing w:after="200" w:line="276" w:lineRule="auto"/>
        <w:ind w:left="360"/>
        <w:contextualSpacing/>
        <w:rPr>
          <w:rFonts w:eastAsia="Calibri"/>
          <w:b/>
        </w:rPr>
      </w:pPr>
      <w:r w:rsidRPr="008A25A6">
        <w:rPr>
          <w:rFonts w:eastAsia="Calibri"/>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8A25A6">
        <w:rPr>
          <w:rFonts w:eastAsia="Calibri"/>
          <w:b/>
        </w:rPr>
        <w:lastRenderedPageBreak/>
        <w:t>explain the reasons for the variance.  Generally, estimates should not include burden hours for customary and usual business practices.</w:t>
      </w:r>
    </w:p>
    <w:p w:rsidR="00CF1E95" w:rsidRPr="008A25A6" w:rsidRDefault="00CF1E95" w:rsidP="00CF1E95">
      <w:pPr>
        <w:rPr>
          <w:rFonts w:eastAsia="Calibri"/>
          <w:b/>
        </w:rPr>
      </w:pPr>
    </w:p>
    <w:p w:rsidR="00CF1E95" w:rsidRPr="008A25A6" w:rsidRDefault="00CF1E95" w:rsidP="00CF1E95">
      <w:pPr>
        <w:numPr>
          <w:ilvl w:val="0"/>
          <w:numId w:val="2"/>
        </w:numPr>
        <w:spacing w:after="200" w:line="276" w:lineRule="auto"/>
        <w:ind w:left="360"/>
        <w:contextualSpacing/>
        <w:rPr>
          <w:rFonts w:eastAsia="Calibri"/>
          <w:b/>
        </w:rPr>
      </w:pPr>
      <w:r w:rsidRPr="008A25A6">
        <w:rPr>
          <w:rFonts w:eastAsia="Calibri"/>
          <w:b/>
        </w:rPr>
        <w:t>If this request for approval covers more than one form, provide spate hour burden estimates for each form and aggregate the hour burdens.</w:t>
      </w:r>
    </w:p>
    <w:p w:rsidR="00CF1E95" w:rsidRPr="008A25A6" w:rsidRDefault="00CF1E95" w:rsidP="00CF1E95">
      <w:pPr>
        <w:rPr>
          <w:rFonts w:eastAsia="Calibri"/>
          <w:b/>
        </w:rPr>
      </w:pPr>
    </w:p>
    <w:p w:rsidR="00CF1E95" w:rsidRPr="008A25A6" w:rsidRDefault="00CF1E95" w:rsidP="00CF1E95">
      <w:pPr>
        <w:numPr>
          <w:ilvl w:val="0"/>
          <w:numId w:val="2"/>
        </w:numPr>
        <w:spacing w:after="200" w:line="276" w:lineRule="auto"/>
        <w:ind w:left="360"/>
        <w:contextualSpacing/>
        <w:rPr>
          <w:rFonts w:eastAsia="Calibri"/>
          <w:b/>
        </w:rPr>
      </w:pPr>
      <w:r w:rsidRPr="008A25A6">
        <w:rPr>
          <w:rFonts w:eastAsia="Calibri"/>
          <w:b/>
        </w:rPr>
        <w:t>Provide estimates of annualized cost to respondents for the hour burdens for collections of information, identifying and using appropriate wage-rate categories.</w:t>
      </w:r>
    </w:p>
    <w:p w:rsidR="00CF1E95" w:rsidRPr="008A25A6" w:rsidRDefault="00CF1E95" w:rsidP="00CF1E95">
      <w:pPr>
        <w:rPr>
          <w:rFonts w:eastAsia="Calibri"/>
          <w:b/>
          <w:sz w:val="24"/>
          <w:szCs w:val="24"/>
        </w:rPr>
      </w:pPr>
    </w:p>
    <w:p w:rsidR="00CF1E95" w:rsidRPr="008A25A6" w:rsidRDefault="00CF1E95" w:rsidP="00CF1E95">
      <w:pPr>
        <w:rPr>
          <w:rFonts w:eastAsia="Calibri"/>
          <w:b/>
          <w:sz w:val="24"/>
          <w:szCs w:val="24"/>
        </w:rPr>
      </w:pPr>
      <w:r w:rsidRPr="008A25A6">
        <w:rPr>
          <w:rFonts w:eastAsia="Calibri"/>
          <w:b/>
          <w:sz w:val="24"/>
          <w:szCs w:val="24"/>
        </w:rPr>
        <w:t>Burden-Hour and Cost Determinations</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The following sections describe the burden hour and cost estimates for the information collection requirements specified by §1926.800.  These sections determine burden hours and cost separately for posting warning signs and notices, certifying inspection records for hoists, and recordkeeping for air quality tests.  OSHA estimates that these information collection requirements result in a total of 66,931 burden hours and wage hour costs totaling $2,663,184.</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In the previous ICR, OSHA relied on information from the American Underground Construction Association (AUCA).</w:t>
      </w:r>
      <w:r w:rsidRPr="008A25A6">
        <w:rPr>
          <w:rFonts w:eastAsia="Calibri"/>
          <w:sz w:val="24"/>
          <w:szCs w:val="24"/>
          <w:vertAlign w:val="superscript"/>
        </w:rPr>
        <w:footnoteReference w:id="2"/>
      </w:r>
      <w:r w:rsidRPr="008A25A6">
        <w:rPr>
          <w:rFonts w:eastAsia="Calibri"/>
          <w:sz w:val="24"/>
          <w:szCs w:val="24"/>
        </w:rPr>
        <w:t xml:space="preserve">  The Agency is working to have AUCA’s successor organization provide current data.  In the interim OSHA derived percentage changes from Bureau of Census press releases indicating the percent changes in the overall value of construction put in place for 2010-2011, 2011-2012, and 2012-2013 to update our previous ICR’s data.  Data for 2010-2011 saw a decrease of 1.7%</w:t>
      </w:r>
      <w:r w:rsidR="00B16CA1">
        <w:rPr>
          <w:rFonts w:eastAsia="Calibri"/>
          <w:sz w:val="24"/>
          <w:szCs w:val="24"/>
        </w:rPr>
        <w:t>;</w:t>
      </w:r>
      <w:r w:rsidRPr="008A25A6">
        <w:rPr>
          <w:rFonts w:eastAsia="Calibri"/>
          <w:sz w:val="24"/>
          <w:szCs w:val="24"/>
        </w:rPr>
        <w:t xml:space="preserve"> 2011-2012 saw an increase of 7.0%</w:t>
      </w:r>
      <w:r w:rsidR="00B16CA1">
        <w:rPr>
          <w:rFonts w:eastAsia="Calibri"/>
          <w:sz w:val="24"/>
          <w:szCs w:val="24"/>
        </w:rPr>
        <w:t>;</w:t>
      </w:r>
      <w:r w:rsidRPr="008A25A6">
        <w:rPr>
          <w:rFonts w:eastAsia="Calibri"/>
          <w:sz w:val="24"/>
          <w:szCs w:val="24"/>
        </w:rPr>
        <w:t xml:space="preserve"> and 2012-2013 saw an increase of 4.8%.  Cumulatively</w:t>
      </w:r>
      <w:r w:rsidR="00B16CA1">
        <w:rPr>
          <w:rFonts w:eastAsia="Calibri"/>
          <w:sz w:val="24"/>
          <w:szCs w:val="24"/>
        </w:rPr>
        <w:t>, the data indicates</w:t>
      </w:r>
      <w:r w:rsidRPr="008A25A6">
        <w:rPr>
          <w:rFonts w:eastAsia="Calibri"/>
          <w:sz w:val="24"/>
          <w:szCs w:val="24"/>
        </w:rPr>
        <w:t xml:space="preserve"> that for 2013</w:t>
      </w:r>
      <w:r w:rsidR="00B16CA1">
        <w:rPr>
          <w:rFonts w:eastAsia="Calibri"/>
          <w:sz w:val="24"/>
          <w:szCs w:val="24"/>
        </w:rPr>
        <w:t xml:space="preserve">, </w:t>
      </w:r>
      <w:r w:rsidRPr="008A25A6">
        <w:rPr>
          <w:rFonts w:eastAsia="Calibri"/>
          <w:sz w:val="24"/>
          <w:szCs w:val="24"/>
        </w:rPr>
        <w:t xml:space="preserve">the construction industry started about 165 underground construction projects.  Additionally the cumulative effect shows that </w:t>
      </w:r>
      <w:r w:rsidR="00B16CA1">
        <w:rPr>
          <w:rFonts w:eastAsia="Calibri"/>
          <w:sz w:val="24"/>
          <w:szCs w:val="24"/>
        </w:rPr>
        <w:t>22</w:t>
      </w:r>
      <w:r w:rsidRPr="008A25A6">
        <w:rPr>
          <w:rFonts w:eastAsia="Calibri"/>
          <w:sz w:val="24"/>
          <w:szCs w:val="24"/>
        </w:rPr>
        <w:t xml:space="preserve"> of these projects involved tunnels with bores over five feet (i.e., “big-bore projects”); and that the remaining 143 projects were small- and medium-bore projects.  On average, it takes about three years to complete a big-bore project and two years to complete a small- or medium-bore project.  Therefore, for each year of the period covered by this ICR, 66 big-bore projects and 286 small- and medium-bore projects (for a total of 352 projects) will be under construction.</w:t>
      </w:r>
      <w:r w:rsidRPr="008A25A6">
        <w:rPr>
          <w:rFonts w:eastAsia="Calibri"/>
          <w:sz w:val="24"/>
          <w:szCs w:val="24"/>
          <w:vertAlign w:val="superscript"/>
        </w:rPr>
        <w:footnoteReference w:id="3"/>
      </w:r>
      <w:r w:rsidRPr="008A25A6">
        <w:rPr>
          <w:rFonts w:eastAsia="Calibri"/>
          <w:sz w:val="24"/>
          <w:szCs w:val="24"/>
        </w:rPr>
        <w:t xml:space="preserve">  In addition, OSHA estimates that each year contractors continue to classify an average of three underground construction projects as gassy or potentially gassy.  Assuming each of these projects lasts about three years, then nine gassy projects will be under construction annually (see footnote 3) in addition to the other 352 underground projects.</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 xml:space="preserve">OSHA believes that it is the usual and customary practice of the construction industry to designate one employer (i.e., contractor) at a project to perform the required air quality tests, record the test results, and calibrate the monitors.  Therefore, a total of 361 (66+286+9=361) contractors are responsible for the paperwork requirements associated with the air-quality tests performed at the 361 projects (including gassy projects) under construction four times per year.  The Agency assumes that these contractors are also responsible for the other two paperwork </w:t>
      </w:r>
      <w:r w:rsidRPr="008A25A6">
        <w:rPr>
          <w:rFonts w:eastAsia="Calibri"/>
          <w:sz w:val="24"/>
          <w:szCs w:val="24"/>
        </w:rPr>
        <w:lastRenderedPageBreak/>
        <w:t>requirements specified by §1926.800 – posting warning signs and notices, and certifying the inspection records for hoists.</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The Agency has received anecdotal information from several underground construction industry representatives that modern digital and computer technologies have greatly improved environmental monitoring.  Many instruments sample every second or so for as many as five air/gas conditions simultaneously.  These instruments incorporate alarms and data storage in handheld or portable configurations.  The instruments may be calibrated, operationally checked and recharged simply by placing them in a docking station.  These docking stations also download the monitoring data directly to computer storage in a matter of seconds.  Data retrieval is as fast as accessing the file and printing it.  Some representatives indicate that placing an instrument in a docking station, having the data downloaded and printed, and the instrument checked as well as recalibrated including test gas takes one to one and a half minutes.  They also indicate that battery recharging requires approximately 90 minutes.  However, there is no need for the charging to be attended or recorded.  The instruments indicate when they are properly charged and ready for use.</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The Agency understands that as old instruments retire underground contractors upgrade to the newer more efficient devices; however, the extent of use of the newer devices is unknown.  As a consequence of this lack of information the Agency seeks no change in the burden hours associated with its standards regulating underground construction and only seeks changes based on updated worker costs.</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 xml:space="preserve">The Agency will continue to work with representatives of the underground construction industry to collect data, which more accurately indicates the burden created by §1926.800 regulations.  The American Underground Construction Association no longer exists and has been reconstituted as the Underground Construction Association of SME (Society for Mining, Metallurgy, and Exploration).  This new division of SME is in the process of developing data but not in time to affect Agency estimates for this ICR. </w:t>
      </w:r>
    </w:p>
    <w:p w:rsidR="00CF1E95" w:rsidRPr="008A25A6" w:rsidRDefault="00CF1E95" w:rsidP="00CF1E95">
      <w:pPr>
        <w:rPr>
          <w:rFonts w:eastAsia="Calibri"/>
          <w:sz w:val="24"/>
          <w:szCs w:val="24"/>
        </w:rPr>
      </w:pPr>
    </w:p>
    <w:p w:rsidR="00CF1E95" w:rsidRPr="008A25A6" w:rsidRDefault="00CF1E95" w:rsidP="00CF1E95">
      <w:pPr>
        <w:rPr>
          <w:rFonts w:eastAsia="Calibri"/>
          <w:b/>
          <w:sz w:val="24"/>
          <w:szCs w:val="24"/>
        </w:rPr>
      </w:pPr>
      <w:r w:rsidRPr="008A25A6">
        <w:rPr>
          <w:rFonts w:eastAsia="Calibri"/>
          <w:b/>
          <w:sz w:val="24"/>
          <w:szCs w:val="24"/>
        </w:rPr>
        <w:t>(A)  Posting Warning Signs and Notices</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The Agency believes that contractors implement two of the seven posting requirements (§1926.800(m)(2)(ii) and (t)(1)(iv)(B)) for each underground-construction project once a year, while for the remaining five posting requirements (§1926.800(b)(3), (i)(3), (j)(1)(vi)(A), (o)(2) and (q)(11)), they post the specified signs or notices in about half (i.e., 181 (361÷2=180.5)) of these projects each year.  In addition, OSHA determines that a construction worker, at an hourly wage rate of $39.79 (47-1011),</w:t>
      </w:r>
      <w:r w:rsidRPr="008A25A6">
        <w:rPr>
          <w:rFonts w:eastAsia="Calibri"/>
          <w:sz w:val="24"/>
          <w:szCs w:val="24"/>
          <w:vertAlign w:val="superscript"/>
        </w:rPr>
        <w:footnoteReference w:id="4"/>
      </w:r>
      <w:r w:rsidRPr="008A25A6">
        <w:rPr>
          <w:rFonts w:eastAsia="Calibri"/>
          <w:sz w:val="24"/>
          <w:szCs w:val="24"/>
        </w:rPr>
        <w:t xml:space="preserve"> spends five minutes (.08 hours) developing and posting each sign or notice.</w:t>
      </w:r>
      <w:r w:rsidRPr="008A25A6">
        <w:rPr>
          <w:rFonts w:eastAsia="Calibri"/>
          <w:sz w:val="24"/>
          <w:szCs w:val="24"/>
          <w:vertAlign w:val="superscript"/>
        </w:rPr>
        <w:footnoteReference w:id="5"/>
      </w:r>
      <w:r w:rsidRPr="008A25A6">
        <w:rPr>
          <w:rFonts w:eastAsia="Calibri"/>
          <w:sz w:val="24"/>
          <w:szCs w:val="24"/>
        </w:rPr>
        <w:t xml:space="preserve">  Therefore, the annual burden hours and cost associated with these posting requirements are:</w:t>
      </w:r>
    </w:p>
    <w:p w:rsidR="00CF1E95" w:rsidRPr="008A25A6" w:rsidRDefault="00CF1E95" w:rsidP="00CF1E95">
      <w:pPr>
        <w:rPr>
          <w:rFonts w:eastAsia="Calibri"/>
          <w:sz w:val="24"/>
          <w:szCs w:val="24"/>
        </w:rPr>
      </w:pPr>
    </w:p>
    <w:p w:rsidR="00CF1E95" w:rsidRPr="008A25A6" w:rsidRDefault="00CF1E95" w:rsidP="00CF1E95">
      <w:pPr>
        <w:ind w:left="2160" w:hanging="1440"/>
        <w:rPr>
          <w:rFonts w:eastAsia="Calibri"/>
          <w:sz w:val="24"/>
          <w:szCs w:val="24"/>
        </w:rPr>
      </w:pPr>
      <w:r w:rsidRPr="008A25A6">
        <w:rPr>
          <w:rFonts w:eastAsia="Calibri"/>
          <w:sz w:val="24"/>
          <w:szCs w:val="24"/>
        </w:rPr>
        <w:lastRenderedPageBreak/>
        <w:t>Burden hours:</w:t>
      </w:r>
      <w:r w:rsidRPr="008A25A6">
        <w:rPr>
          <w:rFonts w:eastAsia="Calibri"/>
          <w:sz w:val="24"/>
          <w:szCs w:val="24"/>
        </w:rPr>
        <w:tab/>
        <w:t>((2 postings x 361 projects) + (3 postings x 181 projects)) x .08 hour = 101 hours</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ab/>
        <w:t>Cost:</w:t>
      </w:r>
      <w:r w:rsidRPr="008A25A6">
        <w:rPr>
          <w:rFonts w:eastAsia="Calibri"/>
          <w:sz w:val="24"/>
          <w:szCs w:val="24"/>
        </w:rPr>
        <w:tab/>
      </w:r>
      <w:r w:rsidRPr="008A25A6">
        <w:rPr>
          <w:rFonts w:eastAsia="Calibri"/>
          <w:sz w:val="24"/>
          <w:szCs w:val="24"/>
        </w:rPr>
        <w:tab/>
        <w:t xml:space="preserve">101 hours x $39.79 = $4,019 </w:t>
      </w:r>
    </w:p>
    <w:p w:rsidR="00CF1E95" w:rsidRPr="008A25A6" w:rsidRDefault="00CF1E95" w:rsidP="00CF1E95">
      <w:pPr>
        <w:rPr>
          <w:rFonts w:eastAsia="Calibri"/>
          <w:b/>
          <w:sz w:val="24"/>
          <w:szCs w:val="24"/>
        </w:rPr>
      </w:pPr>
    </w:p>
    <w:p w:rsidR="00CF1E95" w:rsidRPr="008A25A6" w:rsidRDefault="00CF1E95" w:rsidP="00CF1E95">
      <w:pPr>
        <w:rPr>
          <w:rFonts w:eastAsia="Calibri"/>
          <w:b/>
          <w:sz w:val="24"/>
          <w:szCs w:val="24"/>
        </w:rPr>
      </w:pPr>
      <w:r w:rsidRPr="008A25A6">
        <w:rPr>
          <w:rFonts w:eastAsia="Calibri"/>
          <w:b/>
          <w:sz w:val="24"/>
          <w:szCs w:val="24"/>
        </w:rPr>
        <w:t>(B)  Certifying Inspection Records for Hoists</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 xml:space="preserve">Under paragraph (t)(3)(xxi) of §1926.800, contractors must inspect and perform load tests on hoists annually, as well as under other specified conditions, and then prepare a certification record of each inspection and load test that provides required information.  OSHA assumes that:  </w:t>
      </w:r>
      <w:r w:rsidR="00FE37F3">
        <w:rPr>
          <w:rFonts w:eastAsia="Calibri"/>
          <w:sz w:val="24"/>
          <w:szCs w:val="24"/>
        </w:rPr>
        <w:t>e</w:t>
      </w:r>
      <w:r w:rsidRPr="008A25A6">
        <w:rPr>
          <w:rFonts w:eastAsia="Calibri"/>
          <w:sz w:val="24"/>
          <w:szCs w:val="24"/>
        </w:rPr>
        <w:t>ach of the 361 underground construction projects uses one hoist; a construction worker inspects and performs a load test on the 50% of the hoists or 181 times annually, while the other 50% will be tested four times a year or 724 times annually (one of the four inspections will be the required annual inspection); and this worker takes one hour to inspect, load test, and complete and maintain a certification record for the hoist.  Accordingly, the burden hour and cost estimates for this paperwork requirement are:</w:t>
      </w:r>
    </w:p>
    <w:p w:rsidR="00CF1E95" w:rsidRPr="008A25A6" w:rsidRDefault="00CF1E95" w:rsidP="00CF1E95">
      <w:pPr>
        <w:rPr>
          <w:rFonts w:eastAsia="Calibri"/>
          <w:sz w:val="24"/>
          <w:szCs w:val="24"/>
        </w:rPr>
      </w:pPr>
    </w:p>
    <w:p w:rsidR="00CF1E95" w:rsidRPr="008A25A6" w:rsidRDefault="00CF1E95" w:rsidP="00CF1E95">
      <w:pPr>
        <w:ind w:left="2160" w:hanging="1440"/>
        <w:rPr>
          <w:rFonts w:eastAsia="Calibri"/>
          <w:sz w:val="24"/>
          <w:szCs w:val="24"/>
        </w:rPr>
      </w:pPr>
      <w:r w:rsidRPr="008A25A6">
        <w:rPr>
          <w:rFonts w:eastAsia="Calibri"/>
          <w:sz w:val="24"/>
          <w:szCs w:val="24"/>
        </w:rPr>
        <w:t>Burden hour:</w:t>
      </w:r>
      <w:r w:rsidRPr="008A25A6">
        <w:rPr>
          <w:rFonts w:eastAsia="Calibri"/>
          <w:sz w:val="24"/>
          <w:szCs w:val="24"/>
        </w:rPr>
        <w:tab/>
        <w:t>(361 projects x 50% x 4 (four times per year)) + (361 projects x 50% x 1 (once a year)) x 1 hour = 903 hours</w:t>
      </w:r>
    </w:p>
    <w:p w:rsidR="00CF1E95" w:rsidRPr="008A25A6" w:rsidRDefault="00CF1E95" w:rsidP="00CF1E95">
      <w:pPr>
        <w:ind w:left="2160" w:hanging="1440"/>
        <w:rPr>
          <w:rFonts w:eastAsia="Calibri"/>
          <w:sz w:val="24"/>
          <w:szCs w:val="24"/>
        </w:rPr>
      </w:pPr>
    </w:p>
    <w:p w:rsidR="00CF1E95" w:rsidRPr="008A25A6" w:rsidRDefault="00CF1E95" w:rsidP="00CF1E95">
      <w:pPr>
        <w:ind w:left="2160" w:hanging="1440"/>
        <w:rPr>
          <w:rFonts w:eastAsia="Calibri"/>
          <w:sz w:val="24"/>
          <w:szCs w:val="24"/>
        </w:rPr>
      </w:pPr>
      <w:r w:rsidRPr="008A25A6">
        <w:rPr>
          <w:rFonts w:eastAsia="Calibri"/>
          <w:sz w:val="24"/>
          <w:szCs w:val="24"/>
        </w:rPr>
        <w:t>Cost:</w:t>
      </w:r>
      <w:r w:rsidRPr="008A25A6">
        <w:rPr>
          <w:rFonts w:eastAsia="Calibri"/>
          <w:sz w:val="24"/>
          <w:szCs w:val="24"/>
        </w:rPr>
        <w:tab/>
        <w:t xml:space="preserve">903 hours x $39.79 = $35,930 </w:t>
      </w:r>
    </w:p>
    <w:p w:rsidR="00CF1E95" w:rsidRPr="008A25A6" w:rsidRDefault="00CF1E95" w:rsidP="00CF1E95">
      <w:pPr>
        <w:rPr>
          <w:rFonts w:eastAsia="Calibri"/>
          <w:sz w:val="24"/>
          <w:szCs w:val="24"/>
        </w:rPr>
      </w:pPr>
    </w:p>
    <w:p w:rsidR="00CF1E95" w:rsidRPr="008A25A6" w:rsidRDefault="00CF1E95" w:rsidP="00CF1E95">
      <w:pPr>
        <w:rPr>
          <w:rFonts w:eastAsia="Calibri"/>
          <w:b/>
          <w:sz w:val="24"/>
          <w:szCs w:val="24"/>
        </w:rPr>
      </w:pPr>
      <w:r w:rsidRPr="008A25A6">
        <w:rPr>
          <w:rFonts w:eastAsia="Calibri"/>
          <w:b/>
          <w:sz w:val="24"/>
          <w:szCs w:val="24"/>
        </w:rPr>
        <w:t>(C)  Recordkeeping for Air Quality Tests</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To comply with §1926.800(j), contractors usually test and record results for five substances (i.e., oxygen, methane, carbon monoxide, nitrogen oxide, and hydrogen sulfide).  The monitors typically used for this purpose are electronic units with the following characteristics:  Stand-alone with simultaneous and continuous readouts for five substances (i.e., no delay in obtaining the readouts) (the “continuous monitors”); hand-held with simultaneous readouts for the substances and a 30-second delay to obtain the readouts (the “simultaneous monitors”); and hand-held with serial readouts for each of the five substances and a 30-second delay to obtain each readout (totaling 2.5 minutes to obtain the five readouts) (the “serial monitor”).  In addition to obtaining the readouts, the Agency estimates that a construction worker requires 30 seconds to record the results for all five substances.  Therefore, the total time required to obtain the readouts and record the results for five substances at one sampling location for each type monitor:  Continuous monitors, 30 seconds (.008 hour); simultaneous monitors, 1 minute (.017 hour); and serial monitors, 3 minutes (.05 hour).</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u w:val="single"/>
        </w:rPr>
        <w:t>Big-Bore Projects</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 xml:space="preserve">OSHA estimates that, on average, contractors on big-bore projects read and record air-quality results at least once a day form six different locations (i.e., at the face of the tunnel, and at five additional sites within the tunnel).  They typically use continuous monitors at the face of the tunnel, resulting in a total of 250 records per project during a 250-day work-year (i.e., 1 record per day x 250 days).  At the other five locations, the industry sources estimate that half of the contractors take air quality measurements with simultaneous monitors and the other half use </w:t>
      </w:r>
      <w:r w:rsidRPr="008A25A6">
        <w:rPr>
          <w:rFonts w:eastAsia="Calibri"/>
          <w:sz w:val="24"/>
          <w:szCs w:val="24"/>
        </w:rPr>
        <w:lastRenderedPageBreak/>
        <w:t>serial monitors.  During a 250-day work-year, contractors record 625 readouts with simultaneous monitors and an additional 625 readouts from serial monitors per project (i.e., ((5 samples per day x 250 day) ÷2 types of monitors).  Thus, the estimated annual burden hours and cost for obtaining and recording the air-quality results for the 66 big-bore projects under construction each year are:</w:t>
      </w:r>
    </w:p>
    <w:p w:rsidR="00CF1E95" w:rsidRPr="008A25A6" w:rsidRDefault="00CF1E95" w:rsidP="00CF1E95">
      <w:pPr>
        <w:rPr>
          <w:rFonts w:eastAsia="Calibri"/>
          <w:sz w:val="24"/>
          <w:szCs w:val="24"/>
        </w:rPr>
      </w:pPr>
    </w:p>
    <w:p w:rsidR="00CF1E95" w:rsidRPr="008A25A6" w:rsidRDefault="00CF1E95" w:rsidP="00CF1E95">
      <w:pPr>
        <w:ind w:left="2160" w:hanging="1440"/>
        <w:rPr>
          <w:rFonts w:eastAsia="Calibri"/>
          <w:sz w:val="24"/>
          <w:szCs w:val="24"/>
        </w:rPr>
      </w:pPr>
      <w:r w:rsidRPr="008A25A6">
        <w:rPr>
          <w:rFonts w:eastAsia="Calibri"/>
          <w:sz w:val="24"/>
          <w:szCs w:val="24"/>
        </w:rPr>
        <w:t>Burden hours:</w:t>
      </w:r>
      <w:r w:rsidRPr="008A25A6">
        <w:rPr>
          <w:rFonts w:eastAsia="Calibri"/>
          <w:sz w:val="24"/>
          <w:szCs w:val="24"/>
        </w:rPr>
        <w:tab/>
        <w:t>((250 continuous-monitor records x .008 hour) + (625 simultaneous-monitor records x .017 hour) + (625 serial-monitor records x .05 hour)) x 66 projects = 2,904 hours</w:t>
      </w:r>
    </w:p>
    <w:p w:rsidR="00CF1E95" w:rsidRPr="008A25A6" w:rsidRDefault="00CF1E95" w:rsidP="00CF1E95">
      <w:pPr>
        <w:ind w:left="2160" w:hanging="1440"/>
        <w:rPr>
          <w:rFonts w:eastAsia="Calibri"/>
          <w:sz w:val="24"/>
          <w:szCs w:val="24"/>
        </w:rPr>
      </w:pPr>
    </w:p>
    <w:p w:rsidR="00CF1E95" w:rsidRPr="008A25A6" w:rsidRDefault="00CF1E95" w:rsidP="00CF1E95">
      <w:pPr>
        <w:ind w:left="2160" w:hanging="1440"/>
        <w:rPr>
          <w:rFonts w:eastAsia="Calibri"/>
          <w:sz w:val="24"/>
          <w:szCs w:val="24"/>
        </w:rPr>
      </w:pPr>
      <w:r w:rsidRPr="008A25A6">
        <w:rPr>
          <w:rFonts w:eastAsia="Calibri"/>
          <w:sz w:val="24"/>
          <w:szCs w:val="24"/>
        </w:rPr>
        <w:t>Cost:</w:t>
      </w:r>
      <w:r w:rsidRPr="008A25A6">
        <w:rPr>
          <w:rFonts w:eastAsia="Calibri"/>
          <w:sz w:val="24"/>
          <w:szCs w:val="24"/>
        </w:rPr>
        <w:tab/>
        <w:t>2,904 hours x $39.79 = $115,550</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u w:val="single"/>
        </w:rPr>
      </w:pPr>
      <w:r w:rsidRPr="008A25A6">
        <w:rPr>
          <w:rFonts w:eastAsia="Calibri"/>
          <w:sz w:val="24"/>
          <w:szCs w:val="24"/>
          <w:u w:val="single"/>
        </w:rPr>
        <w:t>Small and Medium-Bore projects</w:t>
      </w:r>
    </w:p>
    <w:p w:rsidR="00CF1E95" w:rsidRPr="008A25A6" w:rsidRDefault="00CF1E95" w:rsidP="00CF1E95">
      <w:pPr>
        <w:rPr>
          <w:rFonts w:eastAsia="Calibri"/>
          <w:sz w:val="24"/>
          <w:szCs w:val="24"/>
          <w:u w:val="single"/>
        </w:rPr>
      </w:pPr>
    </w:p>
    <w:p w:rsidR="00CF1E95" w:rsidRPr="008A25A6" w:rsidRDefault="00CF1E95" w:rsidP="00CF1E95">
      <w:pPr>
        <w:rPr>
          <w:rFonts w:eastAsia="Calibri"/>
          <w:sz w:val="24"/>
          <w:szCs w:val="24"/>
        </w:rPr>
      </w:pPr>
      <w:r w:rsidRPr="008A25A6">
        <w:rPr>
          <w:rFonts w:eastAsia="Calibri"/>
          <w:i/>
          <w:sz w:val="24"/>
          <w:szCs w:val="24"/>
        </w:rPr>
        <w:t>Projects with conventionally-bored tunnels</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OSHA estimates that two-thirds (191) of the 286 small- and medium-bore projects use conventional boring techniques.  Additionally, the Agency assumes that contractors adopt the same monitoring protocol for these projects that they implement for big-bore projects (i.e., at the face of the tunnel, and at five additionally sites within the tunnel).  Accordingly, once-a-day continuous monitoring at the face of the tunnel results in a total of 250 records per project during a 250-day work-year.  At the other five location, half of them collect the readings with simultaneous monitors and the other half use serial monitors; doing a work-year, each of these monitors obtain 625 records per project.  Therefore, this monitoring requirement results in the following burden hour and cost estimates each year:</w:t>
      </w:r>
    </w:p>
    <w:p w:rsidR="00CF1E95" w:rsidRPr="008A25A6" w:rsidRDefault="00CF1E95" w:rsidP="00CF1E95">
      <w:pPr>
        <w:rPr>
          <w:rFonts w:eastAsia="Calibri"/>
          <w:sz w:val="24"/>
          <w:szCs w:val="24"/>
        </w:rPr>
      </w:pPr>
    </w:p>
    <w:p w:rsidR="00CF1E95" w:rsidRPr="008A25A6" w:rsidRDefault="00CF1E95" w:rsidP="00CF1E95">
      <w:pPr>
        <w:ind w:left="2160" w:hanging="1440"/>
        <w:rPr>
          <w:rFonts w:eastAsia="Calibri"/>
          <w:sz w:val="24"/>
          <w:szCs w:val="24"/>
        </w:rPr>
      </w:pPr>
      <w:r w:rsidRPr="008A25A6">
        <w:rPr>
          <w:rFonts w:eastAsia="Calibri"/>
          <w:sz w:val="24"/>
          <w:szCs w:val="24"/>
        </w:rPr>
        <w:t>Burden hours:</w:t>
      </w:r>
      <w:r w:rsidRPr="008A25A6">
        <w:rPr>
          <w:rFonts w:eastAsia="Calibri"/>
          <w:sz w:val="24"/>
          <w:szCs w:val="24"/>
        </w:rPr>
        <w:tab/>
        <w:t>(250 continuous monitor records x .008 hour) + (625 simultaneous monitor records x .017 hour) + (625 serial monitor records x .05 hour)) x 191 projects = 8,404 hours</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ab/>
        <w:t>Cost:</w:t>
      </w:r>
      <w:r w:rsidRPr="008A25A6">
        <w:rPr>
          <w:rFonts w:eastAsia="Calibri"/>
          <w:sz w:val="24"/>
          <w:szCs w:val="24"/>
        </w:rPr>
        <w:tab/>
      </w:r>
      <w:r w:rsidRPr="008A25A6">
        <w:rPr>
          <w:rFonts w:eastAsia="Calibri"/>
          <w:sz w:val="24"/>
          <w:szCs w:val="24"/>
        </w:rPr>
        <w:tab/>
        <w:t>8,404 hours x $39.79 = $334,395</w:t>
      </w:r>
    </w:p>
    <w:p w:rsidR="00CF1E95" w:rsidRPr="008A25A6" w:rsidRDefault="00CF1E95" w:rsidP="00CF1E95">
      <w:pPr>
        <w:rPr>
          <w:rFonts w:eastAsia="Calibri"/>
          <w:sz w:val="24"/>
          <w:szCs w:val="24"/>
        </w:rPr>
      </w:pPr>
    </w:p>
    <w:p w:rsidR="00CF1E95" w:rsidRPr="008A25A6" w:rsidRDefault="00CF1E95" w:rsidP="00CF1E95">
      <w:pPr>
        <w:rPr>
          <w:rFonts w:eastAsia="Calibri"/>
          <w:i/>
          <w:sz w:val="24"/>
          <w:szCs w:val="24"/>
        </w:rPr>
      </w:pPr>
      <w:r w:rsidRPr="008A25A6">
        <w:rPr>
          <w:rFonts w:eastAsia="Calibri"/>
          <w:i/>
          <w:sz w:val="24"/>
          <w:szCs w:val="24"/>
        </w:rPr>
        <w:t xml:space="preserve">Projects that bore with </w:t>
      </w:r>
      <w:proofErr w:type="spellStart"/>
      <w:r w:rsidRPr="008A25A6">
        <w:rPr>
          <w:rFonts w:eastAsia="Calibri"/>
          <w:i/>
          <w:sz w:val="24"/>
          <w:szCs w:val="24"/>
        </w:rPr>
        <w:t>microtunneling</w:t>
      </w:r>
      <w:proofErr w:type="spellEnd"/>
      <w:r w:rsidRPr="008A25A6">
        <w:rPr>
          <w:rFonts w:eastAsia="Calibri"/>
          <w:i/>
          <w:sz w:val="24"/>
          <w:szCs w:val="24"/>
        </w:rPr>
        <w:t xml:space="preserve"> equipment</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 xml:space="preserve">The remaining 95 small- and medium-bore projects consist of tunnels bored with </w:t>
      </w:r>
      <w:proofErr w:type="spellStart"/>
      <w:r w:rsidRPr="008A25A6">
        <w:rPr>
          <w:rFonts w:eastAsia="Calibri"/>
          <w:sz w:val="24"/>
          <w:szCs w:val="24"/>
        </w:rPr>
        <w:t>microtunneling</w:t>
      </w:r>
      <w:proofErr w:type="spellEnd"/>
      <w:r w:rsidRPr="008A25A6">
        <w:rPr>
          <w:rFonts w:eastAsia="Calibri"/>
          <w:sz w:val="24"/>
          <w:szCs w:val="24"/>
        </w:rPr>
        <w:t xml:space="preserve"> equipment; this technology reduces worker entry into the underground-construction worksites compared to tunnels bored using conventional techniques, thereby reducing the monitoring requirements.  Accordingly, the Agency estimates that contractors monitor each such project once daily at the face of the tunnel and at two sites within the tunnel.  In addition, OSHA assumes that contractors involved in </w:t>
      </w:r>
      <w:proofErr w:type="spellStart"/>
      <w:r w:rsidRPr="008A25A6">
        <w:rPr>
          <w:rFonts w:eastAsia="Calibri"/>
          <w:sz w:val="24"/>
          <w:szCs w:val="24"/>
        </w:rPr>
        <w:t>microtunneling</w:t>
      </w:r>
      <w:proofErr w:type="spellEnd"/>
      <w:r w:rsidRPr="008A25A6">
        <w:rPr>
          <w:rFonts w:eastAsia="Calibri"/>
          <w:sz w:val="24"/>
          <w:szCs w:val="24"/>
        </w:rPr>
        <w:t xml:space="preserve"> use continuous monitors at the face of the tunnel, resulting in a total of 250 records per project during a 250-day work-year.  At the two remaining locations, half obtain the readings with simultaneous monitors and the other half use serial monitors; therefore, during a 250-day work-year, they use each of these monitors to collect results for 250 records per project (i.e., (2 records per day x 250 days) ÷ 2 types of monitors).  The yearly burden hour and cost estimates for this monitoring requirement are:</w:t>
      </w:r>
    </w:p>
    <w:p w:rsidR="00CF1E95" w:rsidRPr="008A25A6" w:rsidRDefault="00CF1E95" w:rsidP="00CF1E95">
      <w:pPr>
        <w:rPr>
          <w:rFonts w:eastAsia="Calibri"/>
          <w:sz w:val="24"/>
          <w:szCs w:val="24"/>
        </w:rPr>
      </w:pPr>
    </w:p>
    <w:p w:rsidR="00CF1E95" w:rsidRPr="008A25A6" w:rsidRDefault="00CF1E95" w:rsidP="00CF1E95">
      <w:pPr>
        <w:ind w:left="2160" w:hanging="1440"/>
        <w:rPr>
          <w:rFonts w:eastAsia="Calibri"/>
          <w:sz w:val="24"/>
          <w:szCs w:val="24"/>
        </w:rPr>
      </w:pPr>
      <w:r w:rsidRPr="008A25A6">
        <w:rPr>
          <w:rFonts w:eastAsia="Calibri"/>
          <w:sz w:val="24"/>
          <w:szCs w:val="24"/>
        </w:rPr>
        <w:lastRenderedPageBreak/>
        <w:t>Burden hours:</w:t>
      </w:r>
      <w:r w:rsidRPr="008A25A6">
        <w:rPr>
          <w:rFonts w:eastAsia="Calibri"/>
          <w:sz w:val="24"/>
          <w:szCs w:val="24"/>
        </w:rPr>
        <w:tab/>
        <w:t>((250 continuous monitor records x .008 hour) + (250 simultaneous monitor records x .017 hour) + (250 serial monitor records x .05 hour)) x 95 projects = 1,805 hours</w:t>
      </w:r>
    </w:p>
    <w:p w:rsidR="00CF1E95" w:rsidRPr="008A25A6" w:rsidRDefault="00CF1E95" w:rsidP="00CF1E95">
      <w:pPr>
        <w:rPr>
          <w:rFonts w:eastAsia="Calibri"/>
          <w:sz w:val="24"/>
          <w:szCs w:val="24"/>
        </w:rPr>
      </w:pPr>
      <w:r w:rsidRPr="008A25A6">
        <w:rPr>
          <w:rFonts w:eastAsia="Calibri"/>
          <w:sz w:val="24"/>
          <w:szCs w:val="24"/>
        </w:rPr>
        <w:tab/>
      </w:r>
    </w:p>
    <w:p w:rsidR="00CF1E95" w:rsidRPr="008A25A6" w:rsidRDefault="00CF1E95" w:rsidP="00CF1E95">
      <w:pPr>
        <w:ind w:firstLine="720"/>
        <w:rPr>
          <w:rFonts w:eastAsia="Calibri"/>
          <w:sz w:val="24"/>
          <w:szCs w:val="24"/>
        </w:rPr>
      </w:pPr>
      <w:r w:rsidRPr="008A25A6">
        <w:rPr>
          <w:rFonts w:eastAsia="Calibri"/>
          <w:sz w:val="24"/>
          <w:szCs w:val="24"/>
        </w:rPr>
        <w:t>Cost:</w:t>
      </w:r>
      <w:r w:rsidRPr="008A25A6">
        <w:rPr>
          <w:rFonts w:eastAsia="Calibri"/>
          <w:sz w:val="24"/>
          <w:szCs w:val="24"/>
        </w:rPr>
        <w:tab/>
      </w:r>
      <w:r w:rsidRPr="008A25A6">
        <w:rPr>
          <w:rFonts w:eastAsia="Calibri"/>
          <w:sz w:val="24"/>
          <w:szCs w:val="24"/>
        </w:rPr>
        <w:tab/>
        <w:t>1,805 hours x $39.79 = $71,821</w:t>
      </w:r>
    </w:p>
    <w:p w:rsidR="00CF1E95" w:rsidRPr="008A25A6" w:rsidRDefault="00CF1E95" w:rsidP="00CF1E95">
      <w:pPr>
        <w:ind w:firstLine="720"/>
        <w:rPr>
          <w:rFonts w:eastAsia="Calibri"/>
          <w:sz w:val="24"/>
          <w:szCs w:val="24"/>
        </w:rPr>
      </w:pPr>
    </w:p>
    <w:p w:rsidR="00CF1E95" w:rsidRPr="008A25A6" w:rsidRDefault="00CF1E95" w:rsidP="00CF1E95">
      <w:pPr>
        <w:rPr>
          <w:rFonts w:eastAsia="Calibri"/>
          <w:sz w:val="24"/>
          <w:szCs w:val="24"/>
        </w:rPr>
      </w:pPr>
      <w:r w:rsidRPr="008A25A6">
        <w:rPr>
          <w:rFonts w:eastAsia="Calibri"/>
          <w:i/>
          <w:sz w:val="24"/>
          <w:szCs w:val="24"/>
        </w:rPr>
        <w:t>Projects classified gassy or potentially gassy</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OSHA assumes that these gassy projects require continuous monitoring at the face of the tunnel and at five locations within the tunnel, and that these monitors have an automatic signaling device that activates an alarm (at the jobsite, above ground, or both) if a gas exceeds a preset level.  The Agency estimates that the contractors read and record the results from a monitor twice each shift (for three shifts each day) during a 250-day work-year, for a yearly total of 1,500 records for each monitor.  With nine gassy projects under construction each year, the annual burden hours and cost associated with monitoring gassy projects are:</w:t>
      </w:r>
    </w:p>
    <w:p w:rsidR="00CF1E95" w:rsidRPr="008A25A6" w:rsidRDefault="00CF1E95" w:rsidP="00CF1E95">
      <w:pPr>
        <w:rPr>
          <w:rFonts w:eastAsia="Calibri"/>
          <w:sz w:val="24"/>
          <w:szCs w:val="24"/>
        </w:rPr>
      </w:pPr>
      <w:r w:rsidRPr="008A25A6">
        <w:rPr>
          <w:rFonts w:eastAsia="Calibri"/>
          <w:sz w:val="24"/>
          <w:szCs w:val="24"/>
        </w:rPr>
        <w:tab/>
      </w:r>
    </w:p>
    <w:p w:rsidR="00CF1E95" w:rsidRPr="008A25A6" w:rsidRDefault="00CF1E95" w:rsidP="00CF1E95">
      <w:pPr>
        <w:ind w:left="2160" w:hanging="1440"/>
        <w:rPr>
          <w:rFonts w:eastAsia="Calibri"/>
          <w:sz w:val="24"/>
          <w:szCs w:val="24"/>
        </w:rPr>
      </w:pPr>
      <w:r w:rsidRPr="008A25A6">
        <w:rPr>
          <w:rFonts w:eastAsia="Calibri"/>
          <w:sz w:val="24"/>
          <w:szCs w:val="24"/>
        </w:rPr>
        <w:t>Burden hours:</w:t>
      </w:r>
      <w:r w:rsidRPr="008A25A6">
        <w:rPr>
          <w:rFonts w:eastAsia="Calibri"/>
          <w:sz w:val="24"/>
          <w:szCs w:val="24"/>
        </w:rPr>
        <w:tab/>
        <w:t>(1,500 continuous monitor records x .008 hour) x 6 locations x 9 projects = 648 hours</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ab/>
        <w:t>Cost:</w:t>
      </w:r>
      <w:r w:rsidRPr="008A25A6">
        <w:rPr>
          <w:rFonts w:eastAsia="Calibri"/>
          <w:sz w:val="24"/>
          <w:szCs w:val="24"/>
        </w:rPr>
        <w:tab/>
      </w:r>
      <w:r w:rsidRPr="008A25A6">
        <w:rPr>
          <w:rFonts w:eastAsia="Calibri"/>
          <w:sz w:val="24"/>
          <w:szCs w:val="24"/>
        </w:rPr>
        <w:tab/>
        <w:t xml:space="preserve">648 hours x $39.79 = $25,784 </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u w:val="single"/>
        </w:rPr>
        <w:t>Monitor Calibration</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The Agency assumes that a contractor must calibrate and recharge the battery for each monitor once a day.  OSHA estimates that, on average, a construction worker trained to calibrate monitors spends about 10 minutes (.17 hour) calibrating a continuous monitor, and takes about five minutes (.08 hour) to calibrate a simultaneous or serial monitor.  Recharging and calibrating utilize technically sophisticated docking stations, which in the near future will reduce the burden for downloading, recording data, calibrating and recharging monitors by automating the processes. The Agency takes a conservative burden based on industry reports that a significantly increasing number of monitors dock with automated docking stations.  Big-bore projects, 16,500 (250 x 66 projects = 16,500) continuous monitor calibrations and 82,500 (250 x 66 x 5 = 82,500) simultaneous or serial monitor calibrations; Small- and medium conventional bore projects, 47,750 (250 x 191 = 47,750) continuous monitor calibrations and 238,750 (250 x 191 x 5 = 238,750) simultaneous or serial monitor calibrations; Small- and medium micro tunnel projects, 23,750 (95 x 250 = 23,750) continuous monitor calibrations and 47,500 (2 x 95 x 250 = 47,500) simultaneous or serial monitor calibrations; and gassy classified projects, 13,500 (2 x 3 x 9 x 250 = 13,500) continuous monitor calibrations and 67,500 (2 x 3 x 9 x 250 x 5 = 67,500) simultaneous or serial monitor calibrations.  Therefore, the total number of continuous monitor calibrations is 101,500 (16,500 + 47,750 +23,750 + 13,500 = 101,500), and the total number of simultaneous or serial monitor calibrations is 436,250 (82,500 + 238,750 + 47,500 + 67,500 = 436,250).  Accordingly, the annual burden hour and cost estimates for this calibration requirement are:</w:t>
      </w:r>
    </w:p>
    <w:p w:rsidR="00CF1E95" w:rsidRPr="008A25A6" w:rsidRDefault="00CF1E95" w:rsidP="00CF1E95">
      <w:pPr>
        <w:rPr>
          <w:rFonts w:eastAsia="Calibri"/>
          <w:sz w:val="24"/>
          <w:szCs w:val="24"/>
        </w:rPr>
      </w:pPr>
    </w:p>
    <w:p w:rsidR="00CF1E95" w:rsidRPr="008A25A6" w:rsidRDefault="00CF1E95" w:rsidP="00CF1E95">
      <w:pPr>
        <w:ind w:left="2160" w:hanging="1440"/>
        <w:rPr>
          <w:rFonts w:eastAsia="Calibri"/>
          <w:sz w:val="24"/>
          <w:szCs w:val="24"/>
        </w:rPr>
      </w:pPr>
      <w:r w:rsidRPr="008A25A6">
        <w:rPr>
          <w:rFonts w:eastAsia="Calibri"/>
          <w:sz w:val="24"/>
          <w:szCs w:val="24"/>
        </w:rPr>
        <w:lastRenderedPageBreak/>
        <w:t>Burden hours:</w:t>
      </w:r>
      <w:r w:rsidRPr="008A25A6">
        <w:rPr>
          <w:rFonts w:eastAsia="Calibri"/>
          <w:sz w:val="24"/>
          <w:szCs w:val="24"/>
        </w:rPr>
        <w:tab/>
        <w:t>(101,500 continuous monitor measurements x .17 hour = 17,255 hours) + (436,250 simultaneous or serial monitor measurements x .08 hour = 34,900 hours) = 52,155 hours</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ab/>
        <w:t>Cost:</w:t>
      </w:r>
      <w:r w:rsidRPr="008A25A6">
        <w:rPr>
          <w:rFonts w:eastAsia="Calibri"/>
          <w:sz w:val="24"/>
          <w:szCs w:val="24"/>
        </w:rPr>
        <w:tab/>
      </w:r>
      <w:r w:rsidRPr="008A25A6">
        <w:rPr>
          <w:rFonts w:eastAsia="Calibri"/>
          <w:sz w:val="24"/>
          <w:szCs w:val="24"/>
        </w:rPr>
        <w:tab/>
        <w:t xml:space="preserve">52,155 hours x $39.79 = $2,075,247 </w:t>
      </w:r>
    </w:p>
    <w:p w:rsidR="00CF1E95" w:rsidRPr="008A25A6" w:rsidRDefault="00CF1E95" w:rsidP="00CF1E95">
      <w:pPr>
        <w:rPr>
          <w:rFonts w:eastAsia="Calibri"/>
          <w:sz w:val="24"/>
          <w:szCs w:val="24"/>
        </w:rPr>
      </w:pPr>
    </w:p>
    <w:p w:rsidR="00CF1E95" w:rsidRPr="008A25A6" w:rsidRDefault="00CF1E95" w:rsidP="00CF1E95">
      <w:pPr>
        <w:rPr>
          <w:rFonts w:eastAsia="Calibri"/>
          <w:b/>
          <w:sz w:val="24"/>
          <w:szCs w:val="24"/>
        </w:rPr>
      </w:pPr>
      <w:r w:rsidRPr="008A25A6">
        <w:rPr>
          <w:rFonts w:eastAsia="Calibri"/>
          <w:b/>
          <w:sz w:val="24"/>
          <w:szCs w:val="24"/>
        </w:rPr>
        <w:t>(D)  Maintaining Check-In/Check-Out Procedures (§1926.800(c))</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The standard requires that employers must maintain a check-in/check-out procedure to ensure that aboveground personnel can determine an accurate count of the number of persons underground in the event of an emergency.</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OSHA believes that the underground construction company established a company-wide check-in/check-out procedure ensuring that aboveground personnel have accurate counts of the number of people underground.  The Agency estimates that it would take 2 minutes (.03 hour) to maintain this procedure.</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ab/>
        <w:t>Burden hour:</w:t>
      </w:r>
      <w:r w:rsidRPr="008A25A6">
        <w:rPr>
          <w:rFonts w:eastAsia="Calibri"/>
          <w:sz w:val="24"/>
          <w:szCs w:val="24"/>
        </w:rPr>
        <w:tab/>
        <w:t>361 projects x .03 hour = 11 hours</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ab/>
        <w:t>Cost:</w:t>
      </w:r>
      <w:r w:rsidRPr="008A25A6">
        <w:rPr>
          <w:rFonts w:eastAsia="Calibri"/>
          <w:sz w:val="24"/>
          <w:szCs w:val="24"/>
        </w:rPr>
        <w:tab/>
      </w:r>
      <w:r w:rsidRPr="008A25A6">
        <w:rPr>
          <w:rFonts w:eastAsia="Calibri"/>
          <w:sz w:val="24"/>
          <w:szCs w:val="24"/>
        </w:rPr>
        <w:tab/>
        <w:t>11 hours x $39.79 = $438</w:t>
      </w:r>
    </w:p>
    <w:p w:rsidR="00CF1E95" w:rsidRPr="008A25A6" w:rsidRDefault="00CF1E95" w:rsidP="00CF1E95">
      <w:pPr>
        <w:rPr>
          <w:rFonts w:eastAsia="Calibri"/>
          <w:sz w:val="24"/>
          <w:szCs w:val="24"/>
        </w:rPr>
      </w:pPr>
    </w:p>
    <w:p w:rsidR="00CF1E95" w:rsidRPr="008A25A6" w:rsidRDefault="00CF1E95" w:rsidP="00CF1E95">
      <w:pPr>
        <w:rPr>
          <w:rFonts w:eastAsia="Calibri"/>
          <w:b/>
          <w:sz w:val="24"/>
          <w:szCs w:val="24"/>
        </w:rPr>
      </w:pPr>
      <w:r w:rsidRPr="008A25A6">
        <w:rPr>
          <w:rFonts w:eastAsia="Calibri"/>
          <w:b/>
          <w:sz w:val="24"/>
          <w:szCs w:val="24"/>
        </w:rPr>
        <w:t>(E)  Performance-Oriented Provisions (§1926.800(d), (e</w:t>
      </w:r>
      <w:proofErr w:type="gramStart"/>
      <w:r w:rsidRPr="008A25A6">
        <w:rPr>
          <w:rFonts w:eastAsia="Calibri"/>
          <w:b/>
          <w:sz w:val="24"/>
          <w:szCs w:val="24"/>
        </w:rPr>
        <w:t>)(</w:t>
      </w:r>
      <w:proofErr w:type="gramEnd"/>
      <w:r w:rsidRPr="008A25A6">
        <w:rPr>
          <w:rFonts w:eastAsia="Calibri"/>
          <w:b/>
          <w:sz w:val="24"/>
          <w:szCs w:val="24"/>
        </w:rPr>
        <w:t>1), (e)(2), (j)(1)(v)(C), (q)(6), and (t)(3)(iii))</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The following paragraphs require employers to instruct, inform or provide information to workers.  Since the standard does not specify how or what specific information the employer must disclose to the employer, the Agency believes this is performance-oriented and is not taking a burden:  (d) Instruct workers to recognize and avoid hazards; (e)(1) Inform oncoming shifts of hazards; (e)(2) Employers must establish and maintain direct communications with other workers; (j)(1)(v)(C) Inform workers when hydrogen sulfide concentration exceeds 10 ppm; (q)(6) Warn workers on jumbo decks whenever drilling is about to begin.</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Finally, paragraph (t</w:t>
      </w:r>
      <w:proofErr w:type="gramStart"/>
      <w:r w:rsidRPr="008A25A6">
        <w:rPr>
          <w:rFonts w:eastAsia="Calibri"/>
          <w:sz w:val="24"/>
          <w:szCs w:val="24"/>
        </w:rPr>
        <w:t>)(</w:t>
      </w:r>
      <w:proofErr w:type="gramEnd"/>
      <w:r w:rsidRPr="008A25A6">
        <w:rPr>
          <w:rFonts w:eastAsia="Calibri"/>
          <w:sz w:val="24"/>
          <w:szCs w:val="24"/>
        </w:rPr>
        <w:t>3)(iii) assigning the load and speed ratings to hoists used for both personnel and material hoisting.  OSHA believes this is covered in paragraph (t)(3)(xxi) where contractors must inspect and perform load tests on hoists annually, as well as under other specified conditions, then prepare a certification record of each inspection and load test that provides required information.  Therefore, OSHA is not taking a burden for paragraph (t</w:t>
      </w:r>
      <w:proofErr w:type="gramStart"/>
      <w:r w:rsidRPr="008A25A6">
        <w:rPr>
          <w:rFonts w:eastAsia="Calibri"/>
          <w:sz w:val="24"/>
          <w:szCs w:val="24"/>
        </w:rPr>
        <w:t>)(</w:t>
      </w:r>
      <w:proofErr w:type="gramEnd"/>
      <w:r w:rsidRPr="008A25A6">
        <w:rPr>
          <w:rFonts w:eastAsia="Calibri"/>
          <w:sz w:val="24"/>
          <w:szCs w:val="24"/>
        </w:rPr>
        <w:t xml:space="preserve">3)(iii).  </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13.  Provide an estimate of the total annual cost burden to respondents or recordkeepers resulting from the collection of information.  (Do not include the cost of any hour burden shown in Items 12 and 14).</w:t>
      </w:r>
    </w:p>
    <w:p w:rsidR="00CF1E95" w:rsidRPr="008A25A6" w:rsidRDefault="00CF1E95" w:rsidP="00CF1E95">
      <w:pPr>
        <w:rPr>
          <w:rFonts w:eastAsia="Calibri"/>
          <w:b/>
        </w:rPr>
      </w:pPr>
    </w:p>
    <w:p w:rsidR="00CF1E95" w:rsidRPr="008A25A6" w:rsidRDefault="00CF1E95" w:rsidP="00CF1E95">
      <w:pPr>
        <w:numPr>
          <w:ilvl w:val="0"/>
          <w:numId w:val="3"/>
        </w:numPr>
        <w:spacing w:after="200" w:line="276" w:lineRule="auto"/>
        <w:ind w:left="360"/>
        <w:contextualSpacing/>
        <w:rPr>
          <w:rFonts w:eastAsia="Calibri"/>
          <w:b/>
        </w:rPr>
      </w:pPr>
      <w:r w:rsidRPr="008A25A6">
        <w:rPr>
          <w:rFonts w:eastAsia="Calibri"/>
          <w:b/>
        </w:rPr>
        <w:t xml:space="preserve">The cost estimates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w:t>
      </w:r>
      <w:r w:rsidRPr="008A25A6">
        <w:rPr>
          <w:rFonts w:eastAsia="Calibri"/>
          <w:b/>
        </w:rPr>
        <w:lastRenderedPageBreak/>
        <w:t>include, among other items, preparations for collecting information such as purchasing computers and software; monitoring, sampling, drilling and testing equipment; and record storage facilities.</w:t>
      </w:r>
    </w:p>
    <w:p w:rsidR="00CF1E95" w:rsidRPr="008A25A6" w:rsidRDefault="00CF1E95" w:rsidP="00CF1E95">
      <w:pPr>
        <w:rPr>
          <w:rFonts w:eastAsia="Calibri"/>
          <w:b/>
        </w:rPr>
      </w:pPr>
    </w:p>
    <w:p w:rsidR="00CF1E95" w:rsidRPr="008A25A6" w:rsidRDefault="00CF1E95" w:rsidP="00CF1E95">
      <w:pPr>
        <w:numPr>
          <w:ilvl w:val="0"/>
          <w:numId w:val="3"/>
        </w:numPr>
        <w:spacing w:after="200" w:line="276" w:lineRule="auto"/>
        <w:ind w:left="360"/>
        <w:contextualSpacing/>
        <w:rPr>
          <w:rFonts w:eastAsia="Calibri"/>
          <w:b/>
        </w:rPr>
      </w:pPr>
      <w:r w:rsidRPr="008A25A6">
        <w:rPr>
          <w:rFonts w:eastAsia="Calibri"/>
          <w:b/>
        </w:rPr>
        <w:t>If cost estimates are expected to vary widely, agencies should present ranges of cost burdens and explain the reasons for the variance.  The cost of purchasing or contracting out information m agencies may consult with a sample of respondent (fewer than 10), utilize the 60-day pre-OMB submission public comment process and use existing economic or regulatory impact analysis associated with the rulemaking containing the information collection, as appropriate.</w:t>
      </w:r>
    </w:p>
    <w:p w:rsidR="00CF1E95" w:rsidRPr="008A25A6" w:rsidRDefault="00CF1E95" w:rsidP="00CF1E95">
      <w:pPr>
        <w:contextualSpacing/>
        <w:rPr>
          <w:rFonts w:eastAsia="Calibri"/>
          <w:b/>
        </w:rPr>
      </w:pPr>
    </w:p>
    <w:p w:rsidR="00CF1E95" w:rsidRPr="008A25A6" w:rsidRDefault="00CF1E95" w:rsidP="00CF1E95">
      <w:pPr>
        <w:numPr>
          <w:ilvl w:val="0"/>
          <w:numId w:val="3"/>
        </w:numPr>
        <w:spacing w:after="200" w:line="276" w:lineRule="auto"/>
        <w:ind w:left="360"/>
        <w:contextualSpacing/>
        <w:rPr>
          <w:rFonts w:eastAsia="Calibri"/>
          <w:b/>
        </w:rPr>
      </w:pPr>
      <w:r w:rsidRPr="008A25A6">
        <w:rPr>
          <w:rFonts w:eastAsia="Calibri"/>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8A25A6">
        <w:rPr>
          <w:rFonts w:eastAsia="Calibri"/>
          <w:b/>
        </w:rPr>
        <w:t>government,</w:t>
      </w:r>
      <w:proofErr w:type="gramEnd"/>
      <w:r w:rsidRPr="008A25A6">
        <w:rPr>
          <w:rFonts w:eastAsia="Calibri"/>
          <w:b/>
        </w:rPr>
        <w:t xml:space="preserve"> or (4) as part of customary and usual business or private practices.</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The capital cost of these paperwork requirements consists mainly of replacing the exposure monitors.  As noted under Item 12 above (“Monitor Calibration”), OSHA estimates that each underground construction project uses two monitors, for a total of 722 monitors (i.e., 361 projects x 2 monitors each).  Based on manufacturers’ data, the Agency finds that the average monitor costs about $1,800.</w:t>
      </w:r>
      <w:r w:rsidRPr="008A25A6">
        <w:rPr>
          <w:rFonts w:eastAsia="Calibri"/>
          <w:sz w:val="24"/>
          <w:szCs w:val="24"/>
          <w:vertAlign w:val="superscript"/>
        </w:rPr>
        <w:footnoteReference w:id="6"/>
      </w:r>
      <w:r w:rsidRPr="008A25A6">
        <w:rPr>
          <w:rFonts w:eastAsia="Calibri"/>
          <w:sz w:val="24"/>
          <w:szCs w:val="24"/>
        </w:rPr>
        <w:t xml:space="preserve">  In addition, OSHA believes that employers replace about 10% (72) of the monitors each year.  Accordingly, the annual total cost of replacing the monitors is:</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ab/>
        <w:t>Cost:</w:t>
      </w:r>
      <w:r w:rsidRPr="008A25A6">
        <w:rPr>
          <w:rFonts w:eastAsia="Calibri"/>
          <w:sz w:val="24"/>
          <w:szCs w:val="24"/>
        </w:rPr>
        <w:tab/>
      </w:r>
      <w:r w:rsidRPr="008A25A6">
        <w:rPr>
          <w:rFonts w:eastAsia="Calibri"/>
          <w:sz w:val="24"/>
          <w:szCs w:val="24"/>
        </w:rPr>
        <w:tab/>
        <w:t>72 monitors x $1,800 = $129,600</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8A25A6">
        <w:rPr>
          <w:rFonts w:eastAsia="Calibri"/>
          <w:b/>
        </w:rPr>
        <w:t>any</w:t>
      </w:r>
      <w:proofErr w:type="gramEnd"/>
      <w:r w:rsidRPr="008A25A6">
        <w:rPr>
          <w:rFonts w:eastAsia="Calibri"/>
          <w:b/>
        </w:rPr>
        <w:t xml:space="preserve"> other expense that would not have been incurred without this collection of information.  Agencies also may aggregate cost estimates from Item 12, 13, and 14 into a single table.</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OSHA estimates that a compliance officer (GS-12, step 5), with an hourly wage rate of $37.74</w:t>
      </w:r>
      <w:r w:rsidRPr="008A25A6">
        <w:rPr>
          <w:rFonts w:eastAsia="Calibri"/>
          <w:sz w:val="24"/>
          <w:szCs w:val="24"/>
          <w:vertAlign w:val="superscript"/>
        </w:rPr>
        <w:footnoteReference w:id="7"/>
      </w:r>
      <w:r w:rsidRPr="008A25A6">
        <w:rPr>
          <w:rFonts w:eastAsia="Calibri"/>
          <w:sz w:val="24"/>
          <w:szCs w:val="24"/>
        </w:rPr>
        <w:t>, will spend about five minutes (.08 hour) during an inspection reviewing the documents required by §1926.800.  The Agency has determined that its compliance officers will inspect about 5 such inspections during each year covered by this ICR.</w:t>
      </w:r>
      <w:r w:rsidRPr="008A25A6">
        <w:rPr>
          <w:rFonts w:eastAsia="Calibri"/>
          <w:sz w:val="24"/>
          <w:szCs w:val="24"/>
          <w:vertAlign w:val="superscript"/>
        </w:rPr>
        <w:footnoteReference w:id="8"/>
      </w:r>
      <w:r w:rsidRPr="008A25A6">
        <w:rPr>
          <w:rFonts w:eastAsia="Calibri"/>
          <w:sz w:val="24"/>
          <w:szCs w:val="24"/>
        </w:rPr>
        <w:t xml:space="preserve">  OSHA considers other expenses, such as equipment, overhead, and support staff salaries, to be normal operating expenses that would occur without the paperwork requirements specified by the Standards.  Therefore, the total cost of these paperwork requirements to the Federal government is:</w:t>
      </w:r>
    </w:p>
    <w:p w:rsidR="00CF1E95" w:rsidRPr="008A25A6" w:rsidRDefault="00CF1E95" w:rsidP="00CF1E95">
      <w:pPr>
        <w:rPr>
          <w:rFonts w:eastAsia="Calibri"/>
          <w:sz w:val="24"/>
          <w:szCs w:val="24"/>
        </w:rPr>
      </w:pPr>
    </w:p>
    <w:p w:rsidR="00CF1E95" w:rsidRPr="008A25A6" w:rsidRDefault="00CF1E95" w:rsidP="00CF1E95">
      <w:pPr>
        <w:rPr>
          <w:rFonts w:eastAsia="Calibri"/>
          <w:sz w:val="24"/>
          <w:szCs w:val="24"/>
        </w:rPr>
      </w:pPr>
      <w:r w:rsidRPr="008A25A6">
        <w:rPr>
          <w:rFonts w:eastAsia="Calibri"/>
          <w:sz w:val="24"/>
          <w:szCs w:val="24"/>
        </w:rPr>
        <w:tab/>
      </w:r>
      <w:r w:rsidR="007D7AA5">
        <w:rPr>
          <w:rFonts w:eastAsia="Calibri"/>
          <w:sz w:val="24"/>
          <w:szCs w:val="24"/>
        </w:rPr>
        <w:tab/>
      </w:r>
      <w:r w:rsidRPr="008A25A6">
        <w:rPr>
          <w:rFonts w:eastAsia="Calibri"/>
          <w:sz w:val="24"/>
          <w:szCs w:val="24"/>
        </w:rPr>
        <w:t>Cost:</w:t>
      </w:r>
      <w:r w:rsidRPr="008A25A6">
        <w:rPr>
          <w:rFonts w:eastAsia="Calibri"/>
          <w:sz w:val="24"/>
          <w:szCs w:val="24"/>
        </w:rPr>
        <w:tab/>
      </w:r>
      <w:r w:rsidRPr="008A25A6">
        <w:rPr>
          <w:rFonts w:eastAsia="Calibri"/>
          <w:sz w:val="24"/>
          <w:szCs w:val="24"/>
        </w:rPr>
        <w:tab/>
        <w:t>5 inspections x .08 hour x $37.74 = $15</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lastRenderedPageBreak/>
        <w:t>15.  Explain the reasons for any program changes or adjustments.</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 xml:space="preserve">OSHA is requesting an adjustment increase of 8,982 burden hours (from 57,949 to 66,931 burden hours).  The adjustment increase is a result of updated data from the Bureau of Census (see explanation under Item 12).  In addition, there is an increase in the cost under Item 13 from $117,000 to $129,600 (an increase of $12,600).  This cost </w:t>
      </w:r>
      <w:r w:rsidR="007D7AA5">
        <w:rPr>
          <w:rFonts w:eastAsia="Calibri"/>
          <w:sz w:val="24"/>
          <w:szCs w:val="24"/>
        </w:rPr>
        <w:t>adjustment</w:t>
      </w:r>
      <w:bookmarkStart w:id="0" w:name="_GoBack"/>
      <w:bookmarkEnd w:id="0"/>
      <w:r w:rsidRPr="008A25A6">
        <w:rPr>
          <w:rFonts w:eastAsia="Calibri"/>
          <w:sz w:val="24"/>
          <w:szCs w:val="24"/>
        </w:rPr>
        <w:t xml:space="preserve"> is the result of an increase in the number of construction projects.</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OSHA will not publish the information collected under §1926.800.</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17.  If seeking approval to not display the expiration date for OMB approval of the information collection, explain the reasons that display would be appropriate.</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OSHA lists current valid control numbers in §§1910.8, 1915.8, 1917.4, 1918.4, and 1926.5 and publishes the expiration date in the Federal Register notice announcing OMB approval of the information-collection requirement. (See 5 CFR 1320.3(f</w:t>
      </w:r>
      <w:proofErr w:type="gramStart"/>
      <w:r w:rsidRPr="008A25A6">
        <w:rPr>
          <w:rFonts w:eastAsia="Calibri"/>
          <w:sz w:val="24"/>
          <w:szCs w:val="24"/>
        </w:rPr>
        <w:t>)(</w:t>
      </w:r>
      <w:proofErr w:type="gramEnd"/>
      <w:r w:rsidRPr="008A25A6">
        <w:rPr>
          <w:rFonts w:eastAsia="Calibri"/>
          <w:sz w:val="24"/>
          <w:szCs w:val="24"/>
        </w:rPr>
        <w:t>3).) OSHA believes that this is the most appropriate and accurate mechanism to inform interested parties of these expiration dates.</w:t>
      </w:r>
    </w:p>
    <w:p w:rsidR="00CF1E95" w:rsidRPr="008A25A6" w:rsidRDefault="00CF1E95" w:rsidP="00CF1E95">
      <w:pPr>
        <w:rPr>
          <w:rFonts w:eastAsia="Calibri"/>
          <w:sz w:val="24"/>
          <w:szCs w:val="24"/>
        </w:rPr>
      </w:pPr>
    </w:p>
    <w:p w:rsidR="00CF1E95" w:rsidRPr="008A25A6" w:rsidRDefault="00CF1E95" w:rsidP="00CF1E95">
      <w:pPr>
        <w:rPr>
          <w:rFonts w:eastAsia="Calibri"/>
          <w:b/>
        </w:rPr>
      </w:pPr>
      <w:r w:rsidRPr="008A25A6">
        <w:rPr>
          <w:rFonts w:eastAsia="Calibri"/>
          <w:b/>
        </w:rPr>
        <w:t>18.  Explain each exception to the certification statement.</w:t>
      </w:r>
    </w:p>
    <w:p w:rsidR="00CF1E95" w:rsidRPr="008A25A6" w:rsidRDefault="00CF1E95" w:rsidP="00CF1E95">
      <w:pPr>
        <w:rPr>
          <w:rFonts w:eastAsia="Calibri"/>
          <w:b/>
          <w:sz w:val="24"/>
          <w:szCs w:val="24"/>
        </w:rPr>
      </w:pPr>
    </w:p>
    <w:p w:rsidR="00CF1E95" w:rsidRPr="008A25A6" w:rsidRDefault="00CF1E95" w:rsidP="00CF1E95">
      <w:pPr>
        <w:rPr>
          <w:rFonts w:eastAsia="Calibri"/>
          <w:sz w:val="24"/>
          <w:szCs w:val="24"/>
        </w:rPr>
      </w:pPr>
      <w:r w:rsidRPr="008A25A6">
        <w:rPr>
          <w:rFonts w:eastAsia="Calibri"/>
          <w:sz w:val="24"/>
          <w:szCs w:val="24"/>
        </w:rPr>
        <w:t>OSHA is not seeking an exception to the certification statement.</w:t>
      </w:r>
    </w:p>
    <w:p w:rsidR="00CF1E95" w:rsidRPr="008A25A6" w:rsidRDefault="00CF1E95" w:rsidP="00CF1E95">
      <w:pPr>
        <w:rPr>
          <w:rFonts w:eastAsia="Calibri"/>
          <w:sz w:val="24"/>
          <w:szCs w:val="24"/>
        </w:rPr>
      </w:pPr>
    </w:p>
    <w:p w:rsidR="00CF1E95" w:rsidRPr="008A25A6" w:rsidRDefault="00CF1E95" w:rsidP="00CF1E95">
      <w:pPr>
        <w:rPr>
          <w:rFonts w:eastAsia="Calibri"/>
          <w:b/>
          <w:sz w:val="24"/>
          <w:szCs w:val="24"/>
        </w:rPr>
      </w:pPr>
      <w:r w:rsidRPr="008A25A6">
        <w:rPr>
          <w:rFonts w:eastAsia="Calibri"/>
          <w:b/>
          <w:sz w:val="24"/>
          <w:szCs w:val="24"/>
        </w:rPr>
        <w:t>B.  COLLECTIONS OF INFORMATION EMPLOYING STATISTICAL METHODS</w:t>
      </w:r>
    </w:p>
    <w:p w:rsidR="00CF1E95" w:rsidRPr="008A25A6" w:rsidRDefault="00CF1E95" w:rsidP="00CF1E95">
      <w:pPr>
        <w:rPr>
          <w:rFonts w:eastAsia="Calibri"/>
          <w:b/>
          <w:sz w:val="24"/>
          <w:szCs w:val="24"/>
        </w:rPr>
      </w:pPr>
    </w:p>
    <w:p w:rsidR="00CF1E95" w:rsidRDefault="00CF1E95" w:rsidP="00CF1E95">
      <w:pPr>
        <w:rPr>
          <w:rFonts w:eastAsia="Calibri"/>
          <w:sz w:val="24"/>
          <w:szCs w:val="24"/>
        </w:rPr>
      </w:pPr>
      <w:r w:rsidRPr="008A25A6">
        <w:rPr>
          <w:rFonts w:eastAsia="Calibri"/>
          <w:sz w:val="24"/>
          <w:szCs w:val="24"/>
        </w:rPr>
        <w:t>This Supporting Statement does not contain any collection of information requirements that employs statistical methods.</w:t>
      </w:r>
    </w:p>
    <w:p w:rsidR="00A4506F" w:rsidRDefault="00A4506F"/>
    <w:sectPr w:rsidR="00A4506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E95" w:rsidRDefault="00CF1E95" w:rsidP="00CF1E95">
      <w:r>
        <w:separator/>
      </w:r>
    </w:p>
  </w:endnote>
  <w:endnote w:type="continuationSeparator" w:id="0">
    <w:p w:rsidR="00CF1E95" w:rsidRDefault="00CF1E95" w:rsidP="00CF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650798"/>
      <w:docPartObj>
        <w:docPartGallery w:val="Page Numbers (Bottom of Page)"/>
        <w:docPartUnique/>
      </w:docPartObj>
    </w:sdtPr>
    <w:sdtEndPr>
      <w:rPr>
        <w:noProof/>
      </w:rPr>
    </w:sdtEndPr>
    <w:sdtContent>
      <w:p w:rsidR="00FE37F3" w:rsidRDefault="00FE37F3">
        <w:pPr>
          <w:pStyle w:val="Footer"/>
          <w:jc w:val="center"/>
        </w:pPr>
        <w:r>
          <w:fldChar w:fldCharType="begin"/>
        </w:r>
        <w:r>
          <w:instrText xml:space="preserve"> PAGE   \* MERGEFORMAT </w:instrText>
        </w:r>
        <w:r>
          <w:fldChar w:fldCharType="separate"/>
        </w:r>
        <w:r w:rsidR="007D7AA5">
          <w:rPr>
            <w:noProof/>
          </w:rPr>
          <w:t>15</w:t>
        </w:r>
        <w:r>
          <w:rPr>
            <w:noProof/>
          </w:rPr>
          <w:fldChar w:fldCharType="end"/>
        </w:r>
      </w:p>
    </w:sdtContent>
  </w:sdt>
  <w:p w:rsidR="00FE37F3" w:rsidRDefault="00FE37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E95" w:rsidRDefault="00CF1E95" w:rsidP="00CF1E95">
      <w:r>
        <w:separator/>
      </w:r>
    </w:p>
  </w:footnote>
  <w:footnote w:type="continuationSeparator" w:id="0">
    <w:p w:rsidR="00CF1E95" w:rsidRDefault="00CF1E95" w:rsidP="00CF1E95">
      <w:r>
        <w:continuationSeparator/>
      </w:r>
    </w:p>
  </w:footnote>
  <w:footnote w:id="1">
    <w:p w:rsidR="00CF1E95" w:rsidRPr="001F409B" w:rsidRDefault="00CF1E95" w:rsidP="00CF1E95">
      <w:pPr>
        <w:pStyle w:val="FootnoteText"/>
        <w:ind w:firstLine="720"/>
      </w:pPr>
      <w:r w:rsidRPr="001F409B">
        <w:rPr>
          <w:rStyle w:val="FootnoteReference"/>
        </w:rPr>
        <w:footnoteRef/>
      </w:r>
      <w:r>
        <w:t>T</w:t>
      </w:r>
      <w:r w:rsidRPr="001F409B">
        <w:t>he purpose of this Supporting Statement is to analyze and describe the burden hours and cost associated with provision of this Standard that contain paperwork requirements; this Supporting Statement does not provide information or guidance on how to comply with, or how to enforce, the Standard.</w:t>
      </w:r>
    </w:p>
  </w:footnote>
  <w:footnote w:id="2">
    <w:p w:rsidR="00CF1E95" w:rsidRPr="00214EEC" w:rsidRDefault="00CF1E95" w:rsidP="00CF1E95">
      <w:pPr>
        <w:pStyle w:val="FootnoteText"/>
        <w:ind w:firstLine="720"/>
      </w:pPr>
      <w:r w:rsidRPr="00214EEC">
        <w:rPr>
          <w:rStyle w:val="FootnoteReference"/>
        </w:rPr>
        <w:footnoteRef/>
      </w:r>
      <w:r w:rsidRPr="00214EEC">
        <w:t xml:space="preserve"> American Underground Construction Association (AUCA); Howard J. </w:t>
      </w:r>
      <w:proofErr w:type="spellStart"/>
      <w:r w:rsidRPr="00214EEC">
        <w:t>Hanedwith</w:t>
      </w:r>
      <w:proofErr w:type="spellEnd"/>
      <w:r w:rsidRPr="00214EEC">
        <w:t>, Chair, via fax letter dated 4/6/98.</w:t>
      </w:r>
    </w:p>
    <w:p w:rsidR="00CF1E95" w:rsidRDefault="00CF1E95" w:rsidP="00CF1E95">
      <w:pPr>
        <w:pStyle w:val="FootnoteText"/>
      </w:pPr>
    </w:p>
  </w:footnote>
  <w:footnote w:id="3">
    <w:p w:rsidR="00CF1E95" w:rsidRPr="00214EEC" w:rsidRDefault="00CF1E95" w:rsidP="00CF1E95">
      <w:pPr>
        <w:pStyle w:val="FootnoteText"/>
        <w:ind w:firstLine="720"/>
      </w:pPr>
      <w:r w:rsidRPr="00214EEC">
        <w:rPr>
          <w:rStyle w:val="FootnoteReference"/>
        </w:rPr>
        <w:footnoteRef/>
      </w:r>
      <w:r w:rsidRPr="00214EEC">
        <w:t xml:space="preserve"> This determination accounts for contractors completing some projects from the previous three-year period during the current three-year period.</w:t>
      </w:r>
    </w:p>
  </w:footnote>
  <w:footnote w:id="4">
    <w:p w:rsidR="00CF1E95" w:rsidRPr="00214EEC" w:rsidRDefault="00CF1E95" w:rsidP="00CF1E95">
      <w:pPr>
        <w:pStyle w:val="FootnoteText"/>
        <w:ind w:firstLine="720"/>
      </w:pPr>
      <w:r w:rsidRPr="00214EEC">
        <w:rPr>
          <w:rStyle w:val="FootnoteReference"/>
        </w:rPr>
        <w:footnoteRef/>
      </w:r>
      <w:r w:rsidRPr="00214EEC">
        <w:t xml:space="preserve">Source:  The Agency used the U. S. Bureau of Labor Statistics’, </w:t>
      </w:r>
      <w:r w:rsidRPr="00214EEC">
        <w:rPr>
          <w:i/>
        </w:rPr>
        <w:t>May 2012 National Occupational Employment and Wages</w:t>
      </w:r>
      <w:r w:rsidRPr="00214EEC">
        <w:t xml:space="preserve"> (http://www.bls.gov/oes/current/oes_nat.htm#).  Wage rate includes 30.9% for employer compensation.  </w:t>
      </w:r>
    </w:p>
  </w:footnote>
  <w:footnote w:id="5">
    <w:p w:rsidR="00CF1E95" w:rsidRDefault="00CF1E95" w:rsidP="00CF1E95">
      <w:pPr>
        <w:pStyle w:val="FootnoteText"/>
      </w:pPr>
    </w:p>
    <w:p w:rsidR="00CF1E95" w:rsidRPr="00214EEC" w:rsidRDefault="00CF1E95" w:rsidP="00CF1E95">
      <w:pPr>
        <w:pStyle w:val="FootnoteText"/>
        <w:ind w:firstLine="720"/>
      </w:pPr>
      <w:r w:rsidRPr="00214EEC">
        <w:rPr>
          <w:rStyle w:val="FootnoteReference"/>
        </w:rPr>
        <w:footnoteRef/>
      </w:r>
      <w:r w:rsidRPr="00214EEC">
        <w:t>No construction worker’s time is taken to develop and post signs for §1926.800(b</w:t>
      </w:r>
      <w:proofErr w:type="gramStart"/>
      <w:r w:rsidRPr="00214EEC">
        <w:t>)(</w:t>
      </w:r>
      <w:proofErr w:type="gramEnd"/>
      <w:r w:rsidRPr="00214EEC">
        <w:t>3) and (q)(11) since specific language is provided in the regulatory text.</w:t>
      </w:r>
    </w:p>
  </w:footnote>
  <w:footnote w:id="6">
    <w:p w:rsidR="00CF1E95" w:rsidRPr="00214EEC" w:rsidRDefault="00CF1E95" w:rsidP="00CF1E95">
      <w:pPr>
        <w:pStyle w:val="FootnoteText"/>
        <w:ind w:firstLine="720"/>
      </w:pPr>
      <w:r w:rsidRPr="00214EEC">
        <w:rPr>
          <w:rStyle w:val="FootnoteReference"/>
        </w:rPr>
        <w:footnoteRef/>
      </w:r>
      <w:r w:rsidRPr="00214EEC">
        <w:t>Regardless of the type of monitor:  Continuous, simultaneous, or serial.</w:t>
      </w:r>
    </w:p>
    <w:p w:rsidR="00CF1E95" w:rsidRDefault="00CF1E95" w:rsidP="00CF1E95">
      <w:pPr>
        <w:pStyle w:val="FootnoteText"/>
      </w:pPr>
    </w:p>
  </w:footnote>
  <w:footnote w:id="7">
    <w:p w:rsidR="00CF1E95" w:rsidRPr="000E1B16" w:rsidRDefault="00CF1E95" w:rsidP="00CF1E95">
      <w:pPr>
        <w:pStyle w:val="FootnoteText"/>
        <w:ind w:firstLine="720"/>
      </w:pPr>
      <w:r w:rsidRPr="000E1B16">
        <w:rPr>
          <w:rStyle w:val="FootnoteReference"/>
        </w:rPr>
        <w:footnoteRef/>
      </w:r>
      <w:r w:rsidRPr="000E1B16">
        <w:t xml:space="preserve">Source:  U.S. Office of Personnel Management; </w:t>
      </w:r>
      <w:r w:rsidRPr="000E1B16">
        <w:rPr>
          <w:i/>
        </w:rPr>
        <w:t>201</w:t>
      </w:r>
      <w:r>
        <w:rPr>
          <w:i/>
        </w:rPr>
        <w:t>4</w:t>
      </w:r>
      <w:r w:rsidRPr="000E1B16">
        <w:rPr>
          <w:i/>
        </w:rPr>
        <w:t xml:space="preserve"> General Schedule (GS) Locality Pay Tables</w:t>
      </w:r>
      <w:r w:rsidRPr="000E1B16">
        <w:t>; Salary Table 201</w:t>
      </w:r>
      <w:r>
        <w:t>4</w:t>
      </w:r>
      <w:r w:rsidRPr="000E1B16">
        <w:t xml:space="preserve">-RUS, </w:t>
      </w:r>
      <w:r w:rsidRPr="00B53466">
        <w:t>http://www.opm.gov/policy-data-oversight/pay-leave/salaries-wages/salary-tables/pdf/2014/RUS_h.pdf</w:t>
      </w:r>
      <w:r w:rsidRPr="000E1B16">
        <w:t>.</w:t>
      </w:r>
    </w:p>
  </w:footnote>
  <w:footnote w:id="8">
    <w:p w:rsidR="00CF1E95" w:rsidRDefault="00CF1E95" w:rsidP="00CF1E95">
      <w:pPr>
        <w:pStyle w:val="FootnoteText"/>
      </w:pPr>
    </w:p>
    <w:p w:rsidR="00CF1E95" w:rsidRPr="0068350E" w:rsidRDefault="00CF1E95" w:rsidP="00CF1E95">
      <w:pPr>
        <w:pStyle w:val="FootnoteText"/>
        <w:ind w:firstLine="720"/>
      </w:pPr>
      <w:r w:rsidRPr="0068350E">
        <w:rPr>
          <w:rStyle w:val="FootnoteReference"/>
        </w:rPr>
        <w:footnoteRef/>
      </w:r>
      <w:r w:rsidRPr="0068350E">
        <w:t>The Agency estimated the number of inspections by determining the inspection rate (1.4%) for all facilities under the jurisdiction of the OSH Act (including both Federal OSHA and approved state-plan agencies) for 1999, and then multiplied the total number of facilities (i.e., underground construction projects) covered by the standard (</w:t>
      </w:r>
      <w:r>
        <w:t>361</w:t>
      </w:r>
      <w:r w:rsidRPr="0068350E">
        <w:t xml:space="preserve">) by this percentage (i.e., </w:t>
      </w:r>
      <w:r>
        <w:t>361</w:t>
      </w:r>
      <w:r w:rsidRPr="0068350E">
        <w:t xml:space="preserve"> projects x 1.4% = 5 inspections).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9142B"/>
    <w:multiLevelType w:val="hybridMultilevel"/>
    <w:tmpl w:val="BAB0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40279"/>
    <w:multiLevelType w:val="hybridMultilevel"/>
    <w:tmpl w:val="38CC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0846FA"/>
    <w:multiLevelType w:val="hybridMultilevel"/>
    <w:tmpl w:val="405679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6FA1707"/>
    <w:multiLevelType w:val="hybridMultilevel"/>
    <w:tmpl w:val="3BD0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A32513"/>
    <w:multiLevelType w:val="hybridMultilevel"/>
    <w:tmpl w:val="2A24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E95"/>
    <w:rsid w:val="000226DA"/>
    <w:rsid w:val="00025AB6"/>
    <w:rsid w:val="0002697E"/>
    <w:rsid w:val="00026E38"/>
    <w:rsid w:val="0003404E"/>
    <w:rsid w:val="00034960"/>
    <w:rsid w:val="00042955"/>
    <w:rsid w:val="00050474"/>
    <w:rsid w:val="00050B3D"/>
    <w:rsid w:val="000541DC"/>
    <w:rsid w:val="00054A83"/>
    <w:rsid w:val="00083E1B"/>
    <w:rsid w:val="000A5386"/>
    <w:rsid w:val="000B48A4"/>
    <w:rsid w:val="000C3853"/>
    <w:rsid w:val="000C6351"/>
    <w:rsid w:val="000C7420"/>
    <w:rsid w:val="000D116C"/>
    <w:rsid w:val="000F4687"/>
    <w:rsid w:val="00106995"/>
    <w:rsid w:val="0013388F"/>
    <w:rsid w:val="00152FCF"/>
    <w:rsid w:val="00171F69"/>
    <w:rsid w:val="00173081"/>
    <w:rsid w:val="00186056"/>
    <w:rsid w:val="001949E0"/>
    <w:rsid w:val="001B2353"/>
    <w:rsid w:val="001C1D6E"/>
    <w:rsid w:val="001F1DB5"/>
    <w:rsid w:val="001F2255"/>
    <w:rsid w:val="00211E95"/>
    <w:rsid w:val="002300EA"/>
    <w:rsid w:val="00244678"/>
    <w:rsid w:val="00262D9B"/>
    <w:rsid w:val="002748DB"/>
    <w:rsid w:val="0027494E"/>
    <w:rsid w:val="00277D33"/>
    <w:rsid w:val="002853FF"/>
    <w:rsid w:val="002C7729"/>
    <w:rsid w:val="002E0337"/>
    <w:rsid w:val="002E5615"/>
    <w:rsid w:val="002F06CB"/>
    <w:rsid w:val="002F3D66"/>
    <w:rsid w:val="00320EC2"/>
    <w:rsid w:val="00332932"/>
    <w:rsid w:val="00342272"/>
    <w:rsid w:val="00343193"/>
    <w:rsid w:val="00356FFF"/>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AFF"/>
    <w:rsid w:val="004F6451"/>
    <w:rsid w:val="005038DA"/>
    <w:rsid w:val="0050515A"/>
    <w:rsid w:val="00510236"/>
    <w:rsid w:val="00522628"/>
    <w:rsid w:val="00522D17"/>
    <w:rsid w:val="005238C2"/>
    <w:rsid w:val="00524D8C"/>
    <w:rsid w:val="005317AE"/>
    <w:rsid w:val="00533BF1"/>
    <w:rsid w:val="005350C6"/>
    <w:rsid w:val="00553822"/>
    <w:rsid w:val="005543E5"/>
    <w:rsid w:val="0055799D"/>
    <w:rsid w:val="005714E5"/>
    <w:rsid w:val="00577D5C"/>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694F"/>
    <w:rsid w:val="00646A26"/>
    <w:rsid w:val="006470EC"/>
    <w:rsid w:val="006525E4"/>
    <w:rsid w:val="006662E6"/>
    <w:rsid w:val="00672D60"/>
    <w:rsid w:val="006767BD"/>
    <w:rsid w:val="00696DC5"/>
    <w:rsid w:val="0069741D"/>
    <w:rsid w:val="006A3FE5"/>
    <w:rsid w:val="006C5963"/>
    <w:rsid w:val="006C6C49"/>
    <w:rsid w:val="006E1699"/>
    <w:rsid w:val="006F66D7"/>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4727"/>
    <w:rsid w:val="007B1D8B"/>
    <w:rsid w:val="007B5CD8"/>
    <w:rsid w:val="007C5462"/>
    <w:rsid w:val="007D6018"/>
    <w:rsid w:val="007D6219"/>
    <w:rsid w:val="007D7AA5"/>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0305"/>
    <w:rsid w:val="00AA410F"/>
    <w:rsid w:val="00AC0427"/>
    <w:rsid w:val="00AD1C7D"/>
    <w:rsid w:val="00AD5A54"/>
    <w:rsid w:val="00AD6E8B"/>
    <w:rsid w:val="00AF34F2"/>
    <w:rsid w:val="00B03018"/>
    <w:rsid w:val="00B03F4B"/>
    <w:rsid w:val="00B06C57"/>
    <w:rsid w:val="00B16CA1"/>
    <w:rsid w:val="00B24C30"/>
    <w:rsid w:val="00B32E35"/>
    <w:rsid w:val="00B432E7"/>
    <w:rsid w:val="00B66A88"/>
    <w:rsid w:val="00B95A05"/>
    <w:rsid w:val="00BA5A2E"/>
    <w:rsid w:val="00BC3DC3"/>
    <w:rsid w:val="00BE1BE7"/>
    <w:rsid w:val="00BF060D"/>
    <w:rsid w:val="00C02AB7"/>
    <w:rsid w:val="00C128DD"/>
    <w:rsid w:val="00C25614"/>
    <w:rsid w:val="00C25979"/>
    <w:rsid w:val="00C27FB8"/>
    <w:rsid w:val="00C377B3"/>
    <w:rsid w:val="00C40733"/>
    <w:rsid w:val="00C47563"/>
    <w:rsid w:val="00C60FD9"/>
    <w:rsid w:val="00C674DF"/>
    <w:rsid w:val="00C720E4"/>
    <w:rsid w:val="00C85791"/>
    <w:rsid w:val="00C9437F"/>
    <w:rsid w:val="00C95EC4"/>
    <w:rsid w:val="00CB1648"/>
    <w:rsid w:val="00CC7C20"/>
    <w:rsid w:val="00CE29CA"/>
    <w:rsid w:val="00CE2E95"/>
    <w:rsid w:val="00CF1E95"/>
    <w:rsid w:val="00CF2238"/>
    <w:rsid w:val="00D06CC0"/>
    <w:rsid w:val="00D12E47"/>
    <w:rsid w:val="00D3396F"/>
    <w:rsid w:val="00D41FD1"/>
    <w:rsid w:val="00D756C6"/>
    <w:rsid w:val="00D83472"/>
    <w:rsid w:val="00D92D0C"/>
    <w:rsid w:val="00DA4C38"/>
    <w:rsid w:val="00DB299A"/>
    <w:rsid w:val="00DB4CAF"/>
    <w:rsid w:val="00DB597F"/>
    <w:rsid w:val="00DC259F"/>
    <w:rsid w:val="00DE6016"/>
    <w:rsid w:val="00E1608B"/>
    <w:rsid w:val="00E27CDD"/>
    <w:rsid w:val="00E331D4"/>
    <w:rsid w:val="00E35FAA"/>
    <w:rsid w:val="00E456E1"/>
    <w:rsid w:val="00E470AC"/>
    <w:rsid w:val="00E679D1"/>
    <w:rsid w:val="00E76F54"/>
    <w:rsid w:val="00E866AF"/>
    <w:rsid w:val="00EB0625"/>
    <w:rsid w:val="00EB0EB8"/>
    <w:rsid w:val="00ED634B"/>
    <w:rsid w:val="00ED646C"/>
    <w:rsid w:val="00EF3505"/>
    <w:rsid w:val="00EF6051"/>
    <w:rsid w:val="00F17118"/>
    <w:rsid w:val="00F30B3B"/>
    <w:rsid w:val="00F42C64"/>
    <w:rsid w:val="00F436E7"/>
    <w:rsid w:val="00F44774"/>
    <w:rsid w:val="00F55088"/>
    <w:rsid w:val="00F56506"/>
    <w:rsid w:val="00F6505A"/>
    <w:rsid w:val="00F87B43"/>
    <w:rsid w:val="00F9293D"/>
    <w:rsid w:val="00F97792"/>
    <w:rsid w:val="00FA230C"/>
    <w:rsid w:val="00FA7238"/>
    <w:rsid w:val="00FE37F3"/>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E9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F1E95"/>
  </w:style>
  <w:style w:type="character" w:customStyle="1" w:styleId="FootnoteTextChar">
    <w:name w:val="Footnote Text Char"/>
    <w:basedOn w:val="DefaultParagraphFont"/>
    <w:link w:val="FootnoteText"/>
    <w:semiHidden/>
    <w:rsid w:val="00CF1E95"/>
    <w:rPr>
      <w:rFonts w:ascii="Times New Roman" w:eastAsia="Times New Roman" w:hAnsi="Times New Roman" w:cs="Times New Roman"/>
      <w:sz w:val="20"/>
      <w:szCs w:val="20"/>
    </w:rPr>
  </w:style>
  <w:style w:type="character" w:styleId="FootnoteReference">
    <w:name w:val="footnote reference"/>
    <w:uiPriority w:val="99"/>
    <w:semiHidden/>
    <w:rsid w:val="00CF1E95"/>
    <w:rPr>
      <w:vertAlign w:val="superscript"/>
    </w:rPr>
  </w:style>
  <w:style w:type="paragraph" w:styleId="Header">
    <w:name w:val="header"/>
    <w:basedOn w:val="Normal"/>
    <w:link w:val="HeaderChar"/>
    <w:uiPriority w:val="99"/>
    <w:unhideWhenUsed/>
    <w:rsid w:val="00FE37F3"/>
    <w:pPr>
      <w:tabs>
        <w:tab w:val="center" w:pos="4680"/>
        <w:tab w:val="right" w:pos="9360"/>
      </w:tabs>
    </w:pPr>
  </w:style>
  <w:style w:type="character" w:customStyle="1" w:styleId="HeaderChar">
    <w:name w:val="Header Char"/>
    <w:basedOn w:val="DefaultParagraphFont"/>
    <w:link w:val="Header"/>
    <w:uiPriority w:val="99"/>
    <w:rsid w:val="00FE37F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E37F3"/>
    <w:pPr>
      <w:tabs>
        <w:tab w:val="center" w:pos="4680"/>
        <w:tab w:val="right" w:pos="9360"/>
      </w:tabs>
    </w:pPr>
  </w:style>
  <w:style w:type="character" w:customStyle="1" w:styleId="FooterChar">
    <w:name w:val="Footer Char"/>
    <w:basedOn w:val="DefaultParagraphFont"/>
    <w:link w:val="Footer"/>
    <w:uiPriority w:val="99"/>
    <w:rsid w:val="00FE37F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E9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F1E95"/>
  </w:style>
  <w:style w:type="character" w:customStyle="1" w:styleId="FootnoteTextChar">
    <w:name w:val="Footnote Text Char"/>
    <w:basedOn w:val="DefaultParagraphFont"/>
    <w:link w:val="FootnoteText"/>
    <w:semiHidden/>
    <w:rsid w:val="00CF1E95"/>
    <w:rPr>
      <w:rFonts w:ascii="Times New Roman" w:eastAsia="Times New Roman" w:hAnsi="Times New Roman" w:cs="Times New Roman"/>
      <w:sz w:val="20"/>
      <w:szCs w:val="20"/>
    </w:rPr>
  </w:style>
  <w:style w:type="character" w:styleId="FootnoteReference">
    <w:name w:val="footnote reference"/>
    <w:uiPriority w:val="99"/>
    <w:semiHidden/>
    <w:rsid w:val="00CF1E95"/>
    <w:rPr>
      <w:vertAlign w:val="superscript"/>
    </w:rPr>
  </w:style>
  <w:style w:type="paragraph" w:styleId="Header">
    <w:name w:val="header"/>
    <w:basedOn w:val="Normal"/>
    <w:link w:val="HeaderChar"/>
    <w:uiPriority w:val="99"/>
    <w:unhideWhenUsed/>
    <w:rsid w:val="00FE37F3"/>
    <w:pPr>
      <w:tabs>
        <w:tab w:val="center" w:pos="4680"/>
        <w:tab w:val="right" w:pos="9360"/>
      </w:tabs>
    </w:pPr>
  </w:style>
  <w:style w:type="character" w:customStyle="1" w:styleId="HeaderChar">
    <w:name w:val="Header Char"/>
    <w:basedOn w:val="DefaultParagraphFont"/>
    <w:link w:val="Header"/>
    <w:uiPriority w:val="99"/>
    <w:rsid w:val="00FE37F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E37F3"/>
    <w:pPr>
      <w:tabs>
        <w:tab w:val="center" w:pos="4680"/>
        <w:tab w:val="right" w:pos="9360"/>
      </w:tabs>
    </w:pPr>
  </w:style>
  <w:style w:type="character" w:customStyle="1" w:styleId="FooterChar">
    <w:name w:val="Footer Char"/>
    <w:basedOn w:val="DefaultParagraphFont"/>
    <w:link w:val="Footer"/>
    <w:uiPriority w:val="99"/>
    <w:rsid w:val="00FE37F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6184</Words>
  <Characters>35255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Kenney, Theda - OSHA</cp:lastModifiedBy>
  <cp:revision>2</cp:revision>
  <dcterms:created xsi:type="dcterms:W3CDTF">2014-07-08T18:46:00Z</dcterms:created>
  <dcterms:modified xsi:type="dcterms:W3CDTF">2014-07-08T18:46:00Z</dcterms:modified>
</cp:coreProperties>
</file>