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85" w:rsidRDefault="002B6E85" w:rsidP="002B6E85">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2B6E85" w:rsidRDefault="002B6E85" w:rsidP="002B6E85">
      <w:pPr>
        <w:pStyle w:val="Heading2"/>
        <w:tabs>
          <w:tab w:val="left" w:pos="900"/>
        </w:tabs>
        <w:ind w:right="-187"/>
      </w:pPr>
      <w:r>
        <w:rPr>
          <w:sz w:val="28"/>
        </w:rPr>
        <w:t>(OMB Control Number: 1225-0088)</w:t>
      </w:r>
    </w:p>
    <w:p w:rsidR="002B6E85" w:rsidRDefault="002B6E85" w:rsidP="002B6E85">
      <w:pPr>
        <w:rPr>
          <w:b/>
        </w:rPr>
      </w:pPr>
    </w:p>
    <w:p w:rsidR="002B6E85" w:rsidRPr="009239AA" w:rsidRDefault="002B6E85" w:rsidP="002B6E85">
      <w:pPr>
        <w:spacing w:before="120"/>
        <w:rPr>
          <w:b/>
        </w:rPr>
      </w:pPr>
      <w:r>
        <w:rPr>
          <w:noProof/>
        </w:rPr>
        <mc:AlternateContent>
          <mc:Choice Requires="wps">
            <w:drawing>
              <wp:anchor distT="0" distB="0" distL="114300" distR="114300" simplePos="0" relativeHeight="251659264" behindDoc="0" locked="0" layoutInCell="0" allowOverlap="1" wp14:anchorId="3070BB8F" wp14:editId="6FD818BD">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0F3DE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Obtaining Customer Feedback on BLS’s QCEW and BED Programs</w:t>
      </w:r>
    </w:p>
    <w:p w:rsidR="002B6E85" w:rsidRDefault="002B6E85" w:rsidP="002B6E85"/>
    <w:p w:rsidR="002B6E85" w:rsidRPr="0074226C" w:rsidRDefault="002B6E85" w:rsidP="0074226C">
      <w:pPr>
        <w:autoSpaceDE w:val="0"/>
        <w:autoSpaceDN w:val="0"/>
        <w:adjustRightInd w:val="0"/>
        <w:rPr>
          <w:color w:val="333333"/>
          <w:shd w:val="clear" w:color="auto" w:fill="FFFFFF"/>
        </w:rPr>
      </w:pPr>
      <w:r>
        <w:rPr>
          <w:b/>
        </w:rPr>
        <w:t>PURPOSE</w:t>
      </w:r>
      <w:r w:rsidRPr="009239AA">
        <w:rPr>
          <w:b/>
        </w:rPr>
        <w:t xml:space="preserve">:  </w:t>
      </w:r>
      <w:r w:rsidRPr="00B54199">
        <w:rPr>
          <w:color w:val="333333"/>
          <w:shd w:val="clear" w:color="auto" w:fill="FFFFFF"/>
        </w:rPr>
        <w:t>The</w:t>
      </w:r>
      <w:r w:rsidRPr="00B54199">
        <w:rPr>
          <w:rStyle w:val="apple-converted-space"/>
          <w:color w:val="333333"/>
          <w:shd w:val="clear" w:color="auto" w:fill="FFFFFF"/>
        </w:rPr>
        <w:t> </w:t>
      </w:r>
      <w:r w:rsidRPr="002B6E85">
        <w:rPr>
          <w:rStyle w:val="Strong"/>
          <w:b w:val="0"/>
          <w:color w:val="333333"/>
          <w:shd w:val="clear" w:color="auto" w:fill="FFFFFF"/>
        </w:rPr>
        <w:t>Quarterly Census of Employment and Wages (QCEW)</w:t>
      </w:r>
      <w:r w:rsidRPr="002B6E85">
        <w:rPr>
          <w:rStyle w:val="apple-converted-space"/>
          <w:b/>
          <w:color w:val="333333"/>
          <w:shd w:val="clear" w:color="auto" w:fill="FFFFFF"/>
        </w:rPr>
        <w:t> </w:t>
      </w:r>
      <w:r w:rsidRPr="00B54199">
        <w:rPr>
          <w:color w:val="333333"/>
          <w:shd w:val="clear" w:color="auto" w:fill="FFFFFF"/>
        </w:rPr>
        <w:t xml:space="preserve">program publishes a quarterly count of employment and wages reported by employers covering 98 percent of U.S. jobs, available at the county, MSA, state and national levels by industry.  </w:t>
      </w:r>
      <w:r w:rsidR="00E476CD">
        <w:rPr>
          <w:color w:val="333333"/>
          <w:shd w:val="clear" w:color="auto" w:fill="FFFFFF"/>
        </w:rPr>
        <w:t>. Another product that the QCEW program publishes is</w:t>
      </w:r>
      <w:r w:rsidRPr="00B54199">
        <w:rPr>
          <w:color w:val="333333"/>
          <w:shd w:val="clear" w:color="auto" w:fill="FFFFFF"/>
        </w:rPr>
        <w:t xml:space="preserve"> </w:t>
      </w:r>
      <w:r w:rsidRPr="002B6E85">
        <w:rPr>
          <w:rStyle w:val="Strong"/>
          <w:b w:val="0"/>
          <w:color w:val="333333"/>
          <w:shd w:val="clear" w:color="auto" w:fill="FFFFFF"/>
        </w:rPr>
        <w:t>Business Employment Dynamics</w:t>
      </w:r>
      <w:r w:rsidR="00E476CD">
        <w:rPr>
          <w:rStyle w:val="Strong"/>
          <w:b w:val="0"/>
          <w:color w:val="333333"/>
          <w:shd w:val="clear" w:color="auto" w:fill="FFFFFF"/>
        </w:rPr>
        <w:t xml:space="preserve">, which links the quarterly micro-data longitudinally to generate data on business establishment openings, closings, expansions, and contractions. </w:t>
      </w:r>
      <w:r w:rsidRPr="00B54199">
        <w:rPr>
          <w:color w:val="333333"/>
          <w:shd w:val="clear" w:color="auto" w:fill="FFFFFF"/>
        </w:rPr>
        <w:t xml:space="preserve">  </w:t>
      </w:r>
      <w:r w:rsidRPr="002B6E85">
        <w:rPr>
          <w:rStyle w:val="Strong"/>
          <w:b w:val="0"/>
          <w:color w:val="333333"/>
          <w:shd w:val="clear" w:color="auto" w:fill="FFFFFF"/>
        </w:rPr>
        <w:t>Business Employment Dynamics (BED)</w:t>
      </w:r>
      <w:r w:rsidRPr="00B54199">
        <w:rPr>
          <w:rStyle w:val="apple-converted-space"/>
          <w:color w:val="333333"/>
          <w:shd w:val="clear" w:color="auto" w:fill="FFFFFF"/>
        </w:rPr>
        <w:t> </w:t>
      </w:r>
      <w:r>
        <w:rPr>
          <w:color w:val="333333"/>
          <w:shd w:val="clear" w:color="auto" w:fill="FFFFFF"/>
        </w:rPr>
        <w:t>consists</w:t>
      </w:r>
      <w:r w:rsidRPr="00B54199">
        <w:rPr>
          <w:color w:val="333333"/>
          <w:shd w:val="clear" w:color="auto" w:fill="FFFFFF"/>
        </w:rPr>
        <w:t xml:space="preserve"> of quarterly data series </w:t>
      </w:r>
      <w:r>
        <w:rPr>
          <w:color w:val="333333"/>
          <w:shd w:val="clear" w:color="auto" w:fill="FFFFFF"/>
        </w:rPr>
        <w:t>representing</w:t>
      </w:r>
      <w:r w:rsidRPr="00B54199">
        <w:rPr>
          <w:color w:val="333333"/>
          <w:shd w:val="clear" w:color="auto" w:fill="FFFFFF"/>
        </w:rPr>
        <w:t xml:space="preserve"> gross job gains </w:t>
      </w:r>
      <w:r>
        <w:rPr>
          <w:color w:val="333333"/>
          <w:shd w:val="clear" w:color="auto" w:fill="FFFFFF"/>
        </w:rPr>
        <w:t xml:space="preserve">and </w:t>
      </w:r>
      <w:r w:rsidRPr="00B54199">
        <w:rPr>
          <w:color w:val="333333"/>
          <w:shd w:val="clear" w:color="auto" w:fill="FFFFFF"/>
        </w:rPr>
        <w:t xml:space="preserve">losses from 1992 forward. These data help to provide a picture of the dynamic state of the labor market.  </w:t>
      </w:r>
      <w:r w:rsidR="0074226C" w:rsidRPr="0074226C">
        <w:rPr>
          <w:color w:val="333333"/>
          <w:shd w:val="clear" w:color="auto" w:fill="FFFFFF"/>
        </w:rPr>
        <w:t>The BLS Longitudinal Database (LDB)</w:t>
      </w:r>
      <w:r w:rsidR="0074226C" w:rsidRPr="0074226C">
        <w:rPr>
          <w:rFonts w:eastAsiaTheme="minorHAnsi"/>
        </w:rPr>
        <w:t xml:space="preserve"> is one of the outputs of the QCEW program and serves as a business register, </w:t>
      </w:r>
      <w:r w:rsidR="000D0EA1">
        <w:rPr>
          <w:rFonts w:eastAsiaTheme="minorHAnsi"/>
        </w:rPr>
        <w:t>for</w:t>
      </w:r>
      <w:r w:rsidR="0074226C" w:rsidRPr="0074226C">
        <w:rPr>
          <w:rFonts w:eastAsiaTheme="minorHAnsi"/>
        </w:rPr>
        <w:t xml:space="preserve"> conduct</w:t>
      </w:r>
      <w:r w:rsidR="000D0EA1">
        <w:rPr>
          <w:rFonts w:eastAsiaTheme="minorHAnsi"/>
        </w:rPr>
        <w:t>ing</w:t>
      </w:r>
      <w:r w:rsidR="0074226C" w:rsidRPr="0074226C">
        <w:rPr>
          <w:rFonts w:eastAsiaTheme="minorHAnsi"/>
        </w:rPr>
        <w:t xml:space="preserve"> longitudinal studies of businesses and employment decline and growth, and as a rich and comprehensive source of information on employment and wages.</w:t>
      </w:r>
    </w:p>
    <w:p w:rsidR="002B6E85" w:rsidRPr="00B54199" w:rsidRDefault="002B6E85" w:rsidP="002B6E85">
      <w:pPr>
        <w:rPr>
          <w:color w:val="333333"/>
          <w:shd w:val="clear" w:color="auto" w:fill="FFFFFF"/>
        </w:rPr>
      </w:pPr>
    </w:p>
    <w:p w:rsidR="002B6E85" w:rsidRDefault="002B6E85" w:rsidP="002B6E85">
      <w:pPr>
        <w:tabs>
          <w:tab w:val="left" w:pos="720"/>
          <w:tab w:val="left" w:pos="2610"/>
        </w:tabs>
      </w:pPr>
      <w:r w:rsidRPr="00B54199">
        <w:rPr>
          <w:color w:val="333333"/>
          <w:shd w:val="clear" w:color="auto" w:fill="FFFFFF"/>
        </w:rPr>
        <w:t xml:space="preserve">The Bureau of Labor Statistics routinely requires all of it survey programs to participate in an internal program review.  </w:t>
      </w:r>
      <w:r w:rsidRPr="00B54199">
        <w:t xml:space="preserve">The goal of the program review process is to identify opportunities for improvement of the methods, resource allocations, and products of BLS statistical programs.  </w:t>
      </w:r>
      <w:r>
        <w:t>As part of this process, each</w:t>
      </w:r>
      <w:r w:rsidRPr="00B54199">
        <w:t xml:space="preserve"> program consult</w:t>
      </w:r>
      <w:r>
        <w:t>s</w:t>
      </w:r>
      <w:r w:rsidRPr="00B54199">
        <w:t xml:space="preserve"> with stakeholders of the program</w:t>
      </w:r>
      <w:r>
        <w:t>, both internal and external,</w:t>
      </w:r>
      <w:r w:rsidRPr="00B54199">
        <w:t xml:space="preserve"> to determine if their data needs are being met.  The information obtained </w:t>
      </w:r>
      <w:r>
        <w:t>is then</w:t>
      </w:r>
      <w:r w:rsidRPr="00B54199">
        <w:t xml:space="preserve"> used as input for the program review process.  </w:t>
      </w:r>
    </w:p>
    <w:p w:rsidR="002B6E85" w:rsidRDefault="002B6E85" w:rsidP="002B6E85">
      <w:pPr>
        <w:tabs>
          <w:tab w:val="left" w:pos="720"/>
          <w:tab w:val="left" w:pos="2610"/>
        </w:tabs>
      </w:pPr>
    </w:p>
    <w:p w:rsidR="002B6E85" w:rsidRDefault="002B6E85" w:rsidP="002B6E85">
      <w:pPr>
        <w:tabs>
          <w:tab w:val="left" w:pos="720"/>
          <w:tab w:val="left" w:pos="2610"/>
        </w:tabs>
      </w:pPr>
      <w:r w:rsidRPr="003718E6">
        <w:t xml:space="preserve">This clearance request covers </w:t>
      </w:r>
      <w:r w:rsidR="008214E7">
        <w:t>two</w:t>
      </w:r>
      <w:r w:rsidRPr="003718E6">
        <w:t xml:space="preserve"> surveys</w:t>
      </w:r>
      <w:r>
        <w:t xml:space="preserve"> related to the program review</w:t>
      </w:r>
      <w:r w:rsidR="00CE56E6">
        <w:t xml:space="preserve"> </w:t>
      </w:r>
      <w:r w:rsidRPr="003718E6">
        <w:t>designed to obtain input from external data users</w:t>
      </w:r>
      <w:r>
        <w:t xml:space="preserve"> of QCEW and BED</w:t>
      </w:r>
      <w:r w:rsidR="008214E7">
        <w:t xml:space="preserve">.  </w:t>
      </w:r>
      <w:r w:rsidRPr="003718E6">
        <w:t xml:space="preserve">The surveys include a survey of QCEW/BED data users and state Labor Market Information staff who work on the QCEW program.  </w:t>
      </w:r>
      <w:r w:rsidR="006814E3">
        <w:t>The surveys are listed below.</w:t>
      </w:r>
    </w:p>
    <w:p w:rsidR="00FA427F" w:rsidRDefault="00FA427F" w:rsidP="002B6E85">
      <w:pPr>
        <w:tabs>
          <w:tab w:val="left" w:pos="720"/>
          <w:tab w:val="left" w:pos="2610"/>
        </w:tabs>
      </w:pPr>
    </w:p>
    <w:p w:rsidR="00FA427F" w:rsidRDefault="006814E3" w:rsidP="00FA427F">
      <w:r>
        <w:t xml:space="preserve">Surveys </w:t>
      </w:r>
      <w:r w:rsidR="00FA427F">
        <w:t>of external data users:</w:t>
      </w:r>
    </w:p>
    <w:p w:rsidR="00FA427F" w:rsidRDefault="00FA427F" w:rsidP="00FA427F">
      <w:pPr>
        <w:pStyle w:val="ListParagraph"/>
        <w:numPr>
          <w:ilvl w:val="0"/>
          <w:numId w:val="5"/>
        </w:numPr>
      </w:pPr>
      <w:r>
        <w:t>QCEW/BED Users</w:t>
      </w:r>
    </w:p>
    <w:p w:rsidR="00FA427F" w:rsidRDefault="00FA427F" w:rsidP="00FA427F">
      <w:pPr>
        <w:pStyle w:val="ListParagraph"/>
        <w:numPr>
          <w:ilvl w:val="0"/>
          <w:numId w:val="5"/>
        </w:numPr>
      </w:pPr>
      <w:r>
        <w:t>State LMI Staff</w:t>
      </w:r>
      <w:r w:rsidR="006814E3">
        <w:t xml:space="preserve">, who work on QCEW and BED </w:t>
      </w:r>
    </w:p>
    <w:p w:rsidR="00FA427F" w:rsidRDefault="00FA427F" w:rsidP="00FA427F"/>
    <w:p w:rsidR="00FA427F" w:rsidRPr="003718E6" w:rsidRDefault="00FA427F" w:rsidP="002B6E85">
      <w:pPr>
        <w:tabs>
          <w:tab w:val="left" w:pos="720"/>
          <w:tab w:val="left" w:pos="2610"/>
        </w:tabs>
      </w:pPr>
    </w:p>
    <w:p w:rsidR="002B6E85" w:rsidRPr="00434E33" w:rsidRDefault="002B6E85" w:rsidP="002B6E85">
      <w:pPr>
        <w:pStyle w:val="Header"/>
        <w:tabs>
          <w:tab w:val="clear" w:pos="4320"/>
          <w:tab w:val="clear" w:pos="8640"/>
        </w:tabs>
        <w:rPr>
          <w:i/>
        </w:rPr>
      </w:pPr>
      <w:r w:rsidRPr="00434E33">
        <w:rPr>
          <w:b/>
        </w:rPr>
        <w:t>DESCRIPTION OF RESPONDENTS</w:t>
      </w:r>
      <w:r>
        <w:t xml:space="preserve">: External respondents </w:t>
      </w:r>
      <w:r w:rsidR="008214E7">
        <w:t xml:space="preserve">for the QCEW/BED user survey </w:t>
      </w:r>
      <w:r>
        <w:t xml:space="preserve">will be visitors to the websites of </w:t>
      </w:r>
      <w:r w:rsidR="00CE56E6">
        <w:t>the QCEW and BED</w:t>
      </w:r>
      <w:r>
        <w:t xml:space="preserve"> programs who agree to complete the survey, as well as volunteers from lists of individuals who have contacted the programs in the past with questions about employment data, or who have requested to be placed on BLS mailing lists. </w:t>
      </w:r>
      <w:r w:rsidR="008214E7">
        <w:t xml:space="preserve">Respondents for the State LMI survey will be </w:t>
      </w:r>
      <w:proofErr w:type="gramStart"/>
      <w:r w:rsidR="008214E7">
        <w:t>staff who work</w:t>
      </w:r>
      <w:proofErr w:type="gramEnd"/>
      <w:r w:rsidR="008214E7">
        <w:t xml:space="preserve"> on the QCEW and BED in the states.</w:t>
      </w:r>
    </w:p>
    <w:p w:rsidR="002B6E85" w:rsidRDefault="002B6E85" w:rsidP="002B6E85"/>
    <w:p w:rsidR="002B6E85" w:rsidRPr="00F06866" w:rsidRDefault="002B6E85" w:rsidP="002B6E85">
      <w:pPr>
        <w:rPr>
          <w:b/>
        </w:rPr>
      </w:pPr>
      <w:r>
        <w:rPr>
          <w:b/>
        </w:rPr>
        <w:t>TYPE OF COLLECTION:</w:t>
      </w:r>
      <w:r w:rsidRPr="00F06866">
        <w:t xml:space="preserve"> (Check one)</w:t>
      </w:r>
    </w:p>
    <w:p w:rsidR="002B6E85" w:rsidRPr="00434E33" w:rsidRDefault="002B6E85" w:rsidP="002B6E85">
      <w:pPr>
        <w:pStyle w:val="BodyTextIndent"/>
        <w:tabs>
          <w:tab w:val="left" w:pos="360"/>
        </w:tabs>
        <w:ind w:left="0"/>
        <w:rPr>
          <w:bCs/>
          <w:sz w:val="16"/>
          <w:szCs w:val="16"/>
        </w:rPr>
      </w:pPr>
    </w:p>
    <w:p w:rsidR="002B6E85" w:rsidRPr="00F06866" w:rsidRDefault="002B6E85" w:rsidP="002B6E8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X] </w:t>
      </w:r>
      <w:r w:rsidRPr="00F06866">
        <w:rPr>
          <w:bCs/>
          <w:sz w:val="24"/>
        </w:rPr>
        <w:t xml:space="preserve">Customer Satisfaction Survey    </w:t>
      </w:r>
    </w:p>
    <w:p w:rsidR="002B6E85" w:rsidRDefault="002B6E85" w:rsidP="002B6E8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2B6E85" w:rsidRPr="00F06866" w:rsidRDefault="002B6E85" w:rsidP="002B6E85">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2B6E85" w:rsidRDefault="002B6E85" w:rsidP="002B6E85">
      <w:pPr>
        <w:pStyle w:val="Header"/>
        <w:tabs>
          <w:tab w:val="clear" w:pos="4320"/>
          <w:tab w:val="clear" w:pos="8640"/>
        </w:tabs>
      </w:pPr>
    </w:p>
    <w:p w:rsidR="002B6E85" w:rsidRDefault="002B6E85" w:rsidP="002B6E85">
      <w:pPr>
        <w:rPr>
          <w:b/>
        </w:rPr>
      </w:pPr>
      <w:r>
        <w:rPr>
          <w:b/>
        </w:rPr>
        <w:t>CERTIFICATION:</w:t>
      </w:r>
    </w:p>
    <w:p w:rsidR="002B6E85" w:rsidRDefault="002B6E85" w:rsidP="002B6E85">
      <w:pPr>
        <w:rPr>
          <w:sz w:val="16"/>
          <w:szCs w:val="16"/>
        </w:rPr>
      </w:pPr>
    </w:p>
    <w:p w:rsidR="002B6E85" w:rsidRPr="009C13B9" w:rsidRDefault="002B6E85" w:rsidP="002B6E85">
      <w:r>
        <w:t xml:space="preserve">I certify the following to be true: </w:t>
      </w:r>
    </w:p>
    <w:p w:rsidR="002B6E85" w:rsidRDefault="002B6E85" w:rsidP="002B6E85">
      <w:pPr>
        <w:pStyle w:val="ListParagraph"/>
        <w:numPr>
          <w:ilvl w:val="0"/>
          <w:numId w:val="1"/>
        </w:numPr>
      </w:pPr>
      <w:r>
        <w:t>The collection is voluntary.</w:t>
      </w:r>
      <w:r w:rsidRPr="00C14CC4">
        <w:t xml:space="preserve"> </w:t>
      </w:r>
    </w:p>
    <w:p w:rsidR="002B6E85" w:rsidRDefault="002B6E85" w:rsidP="002B6E85">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2B6E85" w:rsidRDefault="002B6E85" w:rsidP="002B6E8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B6E85" w:rsidRDefault="002B6E85" w:rsidP="002B6E85">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B6E85" w:rsidRDefault="002B6E85" w:rsidP="002B6E85">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B6E85" w:rsidRDefault="002B6E85" w:rsidP="002B6E85">
      <w:pPr>
        <w:pStyle w:val="ListParagraph"/>
        <w:numPr>
          <w:ilvl w:val="0"/>
          <w:numId w:val="1"/>
        </w:numPr>
      </w:pPr>
      <w:r>
        <w:t>The collection is targeted to the solicitation of opinions from respondents who have experience with the program or may have experience with the program in the future.</w:t>
      </w:r>
    </w:p>
    <w:p w:rsidR="002B6E85" w:rsidRDefault="002B6E85" w:rsidP="002B6E85"/>
    <w:p w:rsidR="002B6E85" w:rsidRPr="00B200BD" w:rsidRDefault="002B6E85" w:rsidP="002B6E85">
      <w:pPr>
        <w:rPr>
          <w:u w:val="single"/>
        </w:rPr>
      </w:pPr>
      <w:r>
        <w:t xml:space="preserve">Name:  </w:t>
      </w:r>
      <w:r>
        <w:rPr>
          <w:u w:val="single"/>
        </w:rPr>
        <w:t xml:space="preserve">William </w:t>
      </w:r>
      <w:proofErr w:type="spellStart"/>
      <w:r>
        <w:rPr>
          <w:u w:val="single"/>
        </w:rPr>
        <w:t>Mockovak</w:t>
      </w:r>
      <w:proofErr w:type="spellEnd"/>
    </w:p>
    <w:p w:rsidR="002B6E85" w:rsidRDefault="002B6E85" w:rsidP="002B6E85">
      <w:pPr>
        <w:pStyle w:val="ListParagraph"/>
        <w:ind w:left="360"/>
      </w:pPr>
    </w:p>
    <w:p w:rsidR="002B6E85" w:rsidRDefault="002B6E85" w:rsidP="002B6E85">
      <w:r>
        <w:t>To assist review, please provide answers to the following question:</w:t>
      </w:r>
    </w:p>
    <w:p w:rsidR="002B6E85" w:rsidRDefault="002B6E85" w:rsidP="002B6E85">
      <w:pPr>
        <w:pStyle w:val="ListParagraph"/>
        <w:ind w:left="360"/>
      </w:pPr>
    </w:p>
    <w:p w:rsidR="002B6E85" w:rsidRPr="00C86E91" w:rsidRDefault="002B6E85" w:rsidP="002B6E85">
      <w:pPr>
        <w:rPr>
          <w:b/>
        </w:rPr>
      </w:pPr>
      <w:r w:rsidRPr="00C86E91">
        <w:rPr>
          <w:b/>
        </w:rPr>
        <w:t>Personally Identifiable Information:</w:t>
      </w:r>
    </w:p>
    <w:p w:rsidR="002B6E85" w:rsidRDefault="002B6E85" w:rsidP="002B6E85">
      <w:pPr>
        <w:pStyle w:val="ListParagraph"/>
        <w:numPr>
          <w:ilvl w:val="0"/>
          <w:numId w:val="4"/>
        </w:numPr>
      </w:pPr>
      <w:r>
        <w:t xml:space="preserve">Is personally identifiable information (PII) collected?  [  ] Yes  [X]  No </w:t>
      </w:r>
    </w:p>
    <w:p w:rsidR="002B6E85" w:rsidRDefault="002B6E85" w:rsidP="002B6E85">
      <w:pPr>
        <w:pStyle w:val="ListParagraph"/>
        <w:numPr>
          <w:ilvl w:val="0"/>
          <w:numId w:val="4"/>
        </w:numPr>
      </w:pPr>
      <w:r>
        <w:t xml:space="preserve">If </w:t>
      </w:r>
      <w:proofErr w:type="gramStart"/>
      <w:r>
        <w:t>Yes</w:t>
      </w:r>
      <w:proofErr w:type="gramEnd"/>
      <w:r>
        <w:t xml:space="preserve">, is the information that will be collected included in records that are subject to the Privacy Act of 1974?   [  ] Yes [  ] No   </w:t>
      </w:r>
    </w:p>
    <w:p w:rsidR="002B6E85" w:rsidRDefault="002B6E85" w:rsidP="002B6E85">
      <w:pPr>
        <w:pStyle w:val="ListParagraph"/>
        <w:numPr>
          <w:ilvl w:val="0"/>
          <w:numId w:val="4"/>
        </w:numPr>
      </w:pPr>
      <w:r>
        <w:t>If Applicable, has a System or Records Notice been published?  [  ] Yes  [  ] No</w:t>
      </w:r>
    </w:p>
    <w:p w:rsidR="002B6E85" w:rsidRDefault="002B6E85" w:rsidP="002B6E85">
      <w:pPr>
        <w:pStyle w:val="ListParagraph"/>
        <w:ind w:left="0"/>
        <w:rPr>
          <w:b/>
        </w:rPr>
      </w:pPr>
    </w:p>
    <w:p w:rsidR="002B6E85" w:rsidRPr="00C86E91" w:rsidRDefault="002B6E85" w:rsidP="002B6E85">
      <w:pPr>
        <w:pStyle w:val="ListParagraph"/>
        <w:ind w:left="0"/>
        <w:rPr>
          <w:b/>
        </w:rPr>
      </w:pPr>
      <w:r>
        <w:rPr>
          <w:b/>
        </w:rPr>
        <w:t>Gifts or Payments:</w:t>
      </w:r>
    </w:p>
    <w:p w:rsidR="002B6E85" w:rsidRDefault="002B6E85" w:rsidP="002B6E85">
      <w:pPr>
        <w:rPr>
          <w:b/>
        </w:rPr>
      </w:pPr>
      <w:r>
        <w:t xml:space="preserve">Is an incentive (e.g., money or reimbursement of expenses, token of appreciation) provided to participants?  [  ] Yes [X] No  </w:t>
      </w:r>
    </w:p>
    <w:p w:rsidR="002B6E85" w:rsidRDefault="002B6E85" w:rsidP="002B6E85">
      <w:pPr>
        <w:rPr>
          <w:b/>
        </w:rPr>
      </w:pPr>
    </w:p>
    <w:p w:rsidR="002B6E85" w:rsidRDefault="002B6E85" w:rsidP="002B6E85">
      <w:pPr>
        <w:rPr>
          <w:b/>
        </w:rPr>
      </w:pPr>
    </w:p>
    <w:p w:rsidR="002B6E85" w:rsidRDefault="002B6E85" w:rsidP="002B6E85">
      <w:r>
        <w:rPr>
          <w:b/>
        </w:rPr>
        <w:t>BURDEN HOURS</w:t>
      </w:r>
      <w:r>
        <w:t xml:space="preserve"> </w:t>
      </w:r>
    </w:p>
    <w:p w:rsidR="002B6E85" w:rsidRDefault="002B6E85" w:rsidP="002B6E85">
      <w:pPr>
        <w:rPr>
          <w:i/>
        </w:rPr>
      </w:pPr>
      <w:r>
        <w:t xml:space="preserve">Note: The burden hours are based on the total number of respondents expected summed across the separate online surveys.  </w:t>
      </w:r>
    </w:p>
    <w:p w:rsidR="002B6E85" w:rsidRPr="006832D9" w:rsidRDefault="002B6E85" w:rsidP="002B6E85">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800"/>
        <w:gridCol w:w="1386"/>
      </w:tblGrid>
      <w:tr w:rsidR="002B6E85" w:rsidTr="00FC623C">
        <w:trPr>
          <w:trHeight w:val="274"/>
        </w:trPr>
        <w:tc>
          <w:tcPr>
            <w:tcW w:w="4945" w:type="dxa"/>
          </w:tcPr>
          <w:p w:rsidR="002B6E85" w:rsidRPr="002D0C7E" w:rsidRDefault="002B6E85" w:rsidP="00FC623C">
            <w:pPr>
              <w:rPr>
                <w:b/>
              </w:rPr>
            </w:pPr>
            <w:r w:rsidRPr="002D0C7E">
              <w:rPr>
                <w:b/>
              </w:rPr>
              <w:t xml:space="preserve">Category of Respondent </w:t>
            </w:r>
          </w:p>
        </w:tc>
        <w:tc>
          <w:tcPr>
            <w:tcW w:w="1530" w:type="dxa"/>
          </w:tcPr>
          <w:p w:rsidR="002B6E85" w:rsidRPr="002D0C7E" w:rsidRDefault="002B6E85" w:rsidP="00FC623C">
            <w:pPr>
              <w:rPr>
                <w:b/>
              </w:rPr>
            </w:pPr>
            <w:r w:rsidRPr="002D0C7E">
              <w:rPr>
                <w:b/>
              </w:rPr>
              <w:t>No. of Respondents</w:t>
            </w:r>
          </w:p>
        </w:tc>
        <w:tc>
          <w:tcPr>
            <w:tcW w:w="1800" w:type="dxa"/>
          </w:tcPr>
          <w:p w:rsidR="002B6E85" w:rsidRPr="002D0C7E" w:rsidRDefault="002B6E85" w:rsidP="00FC623C">
            <w:pPr>
              <w:rPr>
                <w:b/>
              </w:rPr>
            </w:pPr>
            <w:r w:rsidRPr="002D0C7E">
              <w:rPr>
                <w:b/>
              </w:rPr>
              <w:t>Participation Time</w:t>
            </w:r>
          </w:p>
        </w:tc>
        <w:tc>
          <w:tcPr>
            <w:tcW w:w="1386" w:type="dxa"/>
          </w:tcPr>
          <w:p w:rsidR="002B6E85" w:rsidRPr="002D0C7E" w:rsidRDefault="002B6E85" w:rsidP="00FC623C">
            <w:pPr>
              <w:rPr>
                <w:b/>
              </w:rPr>
            </w:pPr>
            <w:r w:rsidRPr="002D0C7E">
              <w:rPr>
                <w:b/>
              </w:rPr>
              <w:t>Burden</w:t>
            </w:r>
          </w:p>
        </w:tc>
      </w:tr>
      <w:tr w:rsidR="002B6E85" w:rsidTr="00FC623C">
        <w:trPr>
          <w:trHeight w:val="274"/>
        </w:trPr>
        <w:tc>
          <w:tcPr>
            <w:tcW w:w="4945" w:type="dxa"/>
          </w:tcPr>
          <w:p w:rsidR="002B6E85" w:rsidRDefault="00772999" w:rsidP="00FC623C">
            <w:r>
              <w:t>QCEW</w:t>
            </w:r>
            <w:r w:rsidR="008214E7">
              <w:t>/BED</w:t>
            </w:r>
            <w:r>
              <w:t xml:space="preserve"> </w:t>
            </w:r>
            <w:r w:rsidR="002B6E85">
              <w:t xml:space="preserve">individual </w:t>
            </w:r>
            <w:r w:rsidR="00FA427F">
              <w:t xml:space="preserve">external </w:t>
            </w:r>
            <w:r w:rsidR="002B6E85">
              <w:t>data users</w:t>
            </w:r>
            <w:r w:rsidR="008214E7" w:rsidRPr="008214E7">
              <w:rPr>
                <w:vertAlign w:val="superscript"/>
              </w:rPr>
              <w:t>1</w:t>
            </w:r>
          </w:p>
        </w:tc>
        <w:tc>
          <w:tcPr>
            <w:tcW w:w="1530" w:type="dxa"/>
          </w:tcPr>
          <w:p w:rsidR="002B6E85" w:rsidRDefault="008214E7" w:rsidP="00FC623C">
            <w:r>
              <w:t>1000</w:t>
            </w:r>
          </w:p>
        </w:tc>
        <w:tc>
          <w:tcPr>
            <w:tcW w:w="1800" w:type="dxa"/>
          </w:tcPr>
          <w:p w:rsidR="002B6E85" w:rsidRDefault="00284B13" w:rsidP="00FC623C">
            <w:r>
              <w:t>15 min</w:t>
            </w:r>
          </w:p>
        </w:tc>
        <w:tc>
          <w:tcPr>
            <w:tcW w:w="1386" w:type="dxa"/>
          </w:tcPr>
          <w:p w:rsidR="002B6E85" w:rsidRDefault="008214E7" w:rsidP="00FC623C">
            <w:r>
              <w:t>250</w:t>
            </w:r>
          </w:p>
        </w:tc>
      </w:tr>
      <w:tr w:rsidR="002B6E85" w:rsidTr="00FC623C">
        <w:trPr>
          <w:trHeight w:val="274"/>
        </w:trPr>
        <w:tc>
          <w:tcPr>
            <w:tcW w:w="4945" w:type="dxa"/>
          </w:tcPr>
          <w:p w:rsidR="002B6E85" w:rsidRDefault="00FA427F" w:rsidP="00FC623C">
            <w:r>
              <w:t>Labor Market Information (LMI) staff</w:t>
            </w:r>
          </w:p>
        </w:tc>
        <w:tc>
          <w:tcPr>
            <w:tcW w:w="1530" w:type="dxa"/>
          </w:tcPr>
          <w:p w:rsidR="002B6E85" w:rsidRDefault="008214E7" w:rsidP="00FC623C">
            <w:r>
              <w:t>450</w:t>
            </w:r>
          </w:p>
        </w:tc>
        <w:tc>
          <w:tcPr>
            <w:tcW w:w="1800" w:type="dxa"/>
          </w:tcPr>
          <w:p w:rsidR="002B6E85" w:rsidRDefault="008214E7" w:rsidP="00FC623C">
            <w:r>
              <w:t>15</w:t>
            </w:r>
          </w:p>
        </w:tc>
        <w:tc>
          <w:tcPr>
            <w:tcW w:w="1386" w:type="dxa"/>
          </w:tcPr>
          <w:p w:rsidR="002B6E85" w:rsidRDefault="008214E7" w:rsidP="00FC623C">
            <w:r>
              <w:t>113</w:t>
            </w:r>
          </w:p>
        </w:tc>
      </w:tr>
      <w:tr w:rsidR="002B6E85" w:rsidTr="00FC623C">
        <w:trPr>
          <w:trHeight w:val="289"/>
        </w:trPr>
        <w:tc>
          <w:tcPr>
            <w:tcW w:w="4945" w:type="dxa"/>
          </w:tcPr>
          <w:p w:rsidR="002B6E85" w:rsidRPr="002D0C7E" w:rsidRDefault="002B6E85" w:rsidP="00FC623C">
            <w:pPr>
              <w:rPr>
                <w:b/>
              </w:rPr>
            </w:pPr>
            <w:r w:rsidRPr="002D0C7E">
              <w:rPr>
                <w:b/>
              </w:rPr>
              <w:t>Totals</w:t>
            </w:r>
          </w:p>
        </w:tc>
        <w:tc>
          <w:tcPr>
            <w:tcW w:w="1530" w:type="dxa"/>
          </w:tcPr>
          <w:p w:rsidR="002B6E85" w:rsidRPr="002D0C7E" w:rsidRDefault="002B6E85" w:rsidP="00FC623C">
            <w:pPr>
              <w:rPr>
                <w:b/>
              </w:rPr>
            </w:pPr>
          </w:p>
        </w:tc>
        <w:tc>
          <w:tcPr>
            <w:tcW w:w="1800" w:type="dxa"/>
          </w:tcPr>
          <w:p w:rsidR="002B6E85" w:rsidRDefault="002B6E85" w:rsidP="00FC623C"/>
        </w:tc>
        <w:tc>
          <w:tcPr>
            <w:tcW w:w="1386" w:type="dxa"/>
          </w:tcPr>
          <w:p w:rsidR="002B6E85" w:rsidRPr="002D0C7E" w:rsidRDefault="008214E7" w:rsidP="00FC623C">
            <w:pPr>
              <w:rPr>
                <w:b/>
              </w:rPr>
            </w:pPr>
            <w:r>
              <w:rPr>
                <w:b/>
              </w:rPr>
              <w:t>363</w:t>
            </w:r>
          </w:p>
        </w:tc>
      </w:tr>
    </w:tbl>
    <w:p w:rsidR="002B6E85" w:rsidRDefault="008214E7" w:rsidP="002B6E85">
      <w:r w:rsidRPr="008214E7">
        <w:rPr>
          <w:vertAlign w:val="superscript"/>
        </w:rPr>
        <w:t xml:space="preserve">1 </w:t>
      </w:r>
      <w:r>
        <w:t>This count estimates 600 QCEW data users and 400 BED users.</w:t>
      </w:r>
    </w:p>
    <w:p w:rsidR="002B6E85" w:rsidRDefault="002B6E85" w:rsidP="002B6E85"/>
    <w:p w:rsidR="002B6E85" w:rsidRDefault="002B6E85" w:rsidP="002B6E85">
      <w:pPr>
        <w:rPr>
          <w:b/>
        </w:rPr>
      </w:pPr>
      <w:r>
        <w:rPr>
          <w:b/>
        </w:rPr>
        <w:t xml:space="preserve">FEDERAL COST:  </w:t>
      </w:r>
      <w:r>
        <w:t xml:space="preserve">The estimated annual cost to the Federal government is </w:t>
      </w:r>
      <w:r w:rsidRPr="00284B13">
        <w:t>$</w:t>
      </w:r>
      <w:r w:rsidR="00284B13">
        <w:rPr>
          <w:u w:val="single"/>
        </w:rPr>
        <w:t>6,400</w:t>
      </w:r>
      <w:r w:rsidRPr="004812E5">
        <w:t xml:space="preserve"> (an estimated</w:t>
      </w:r>
      <w:r>
        <w:t xml:space="preserve"> </w:t>
      </w:r>
      <w:r w:rsidR="00284B13">
        <w:t>16</w:t>
      </w:r>
      <w:r w:rsidRPr="004812E5">
        <w:t xml:space="preserve">0 hours of work </w:t>
      </w:r>
      <w:r>
        <w:t>based on</w:t>
      </w:r>
      <w:r w:rsidRPr="004812E5">
        <w:t xml:space="preserve"> a GS-13/5, which is roughly $39.84 per hour, rounded to $40 per hour).</w:t>
      </w:r>
      <w:r>
        <w:rPr>
          <w:u w:val="single"/>
        </w:rPr>
        <w:t xml:space="preserve">  </w:t>
      </w:r>
    </w:p>
    <w:p w:rsidR="002B6E85" w:rsidRDefault="002B6E85" w:rsidP="002B6E85">
      <w:pPr>
        <w:rPr>
          <w:b/>
          <w:bCs/>
          <w:u w:val="single"/>
        </w:rPr>
      </w:pPr>
    </w:p>
    <w:p w:rsidR="002B6E85" w:rsidRDefault="002B6E85" w:rsidP="002B6E85">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2B6E85" w:rsidRDefault="002B6E85" w:rsidP="002B6E85">
      <w:pPr>
        <w:rPr>
          <w:b/>
        </w:rPr>
      </w:pPr>
    </w:p>
    <w:p w:rsidR="002B6E85" w:rsidRDefault="002B6E85" w:rsidP="002B6E85">
      <w:pPr>
        <w:rPr>
          <w:b/>
        </w:rPr>
      </w:pPr>
      <w:r>
        <w:rPr>
          <w:b/>
        </w:rPr>
        <w:t>The selection of your targeted respondents</w:t>
      </w:r>
    </w:p>
    <w:p w:rsidR="002B6E85" w:rsidRDefault="002B6E85" w:rsidP="002B6E85">
      <w:pPr>
        <w:pStyle w:val="ListParagraph"/>
        <w:numPr>
          <w:ilvl w:val="0"/>
          <w:numId w:val="2"/>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2B6E85" w:rsidRDefault="002B6E85" w:rsidP="002B6E85">
      <w:pPr>
        <w:pStyle w:val="ListParagraph"/>
      </w:pPr>
    </w:p>
    <w:p w:rsidR="002B6E85" w:rsidRDefault="002B6E85" w:rsidP="002B6E8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B6E85" w:rsidRDefault="002B6E85" w:rsidP="002B6E85">
      <w:pPr>
        <w:rPr>
          <w:b/>
        </w:rPr>
      </w:pPr>
    </w:p>
    <w:p w:rsidR="002B6E85" w:rsidRDefault="002B6E85" w:rsidP="002B6E85">
      <w:pPr>
        <w:rPr>
          <w:b/>
        </w:rPr>
      </w:pPr>
      <w:r>
        <w:rPr>
          <w:b/>
        </w:rPr>
        <w:t>Administration of the Instrument</w:t>
      </w:r>
    </w:p>
    <w:p w:rsidR="002B6E85" w:rsidRDefault="002B6E85" w:rsidP="002B6E85">
      <w:pPr>
        <w:pStyle w:val="ListParagraph"/>
        <w:numPr>
          <w:ilvl w:val="0"/>
          <w:numId w:val="3"/>
        </w:numPr>
      </w:pPr>
      <w:r>
        <w:t>How will you collect the information? (Check all that apply)</w:t>
      </w:r>
    </w:p>
    <w:p w:rsidR="002B6E85" w:rsidRDefault="002B6E85" w:rsidP="002B6E85">
      <w:pPr>
        <w:ind w:left="720"/>
      </w:pPr>
      <w:r>
        <w:t xml:space="preserve">[X] Web-based or other forms of Social Media </w:t>
      </w:r>
    </w:p>
    <w:p w:rsidR="002B6E85" w:rsidRDefault="002B6E85" w:rsidP="002B6E85">
      <w:pPr>
        <w:ind w:left="720"/>
      </w:pPr>
      <w:r>
        <w:t>[  ] Telephone</w:t>
      </w:r>
      <w:r>
        <w:tab/>
      </w:r>
    </w:p>
    <w:p w:rsidR="002B6E85" w:rsidRDefault="002B6E85" w:rsidP="002B6E85">
      <w:pPr>
        <w:ind w:left="720"/>
      </w:pPr>
      <w:r>
        <w:t>[  ] In-person</w:t>
      </w:r>
      <w:r>
        <w:tab/>
      </w:r>
    </w:p>
    <w:p w:rsidR="002B6E85" w:rsidRDefault="002B6E85" w:rsidP="002B6E85">
      <w:pPr>
        <w:ind w:left="720"/>
      </w:pPr>
      <w:r>
        <w:t xml:space="preserve">[  ] Mail </w:t>
      </w:r>
    </w:p>
    <w:p w:rsidR="002B6E85" w:rsidRDefault="002B6E85" w:rsidP="002B6E85">
      <w:pPr>
        <w:ind w:left="720"/>
      </w:pPr>
      <w:r>
        <w:t>[  ] Other, Explain</w:t>
      </w:r>
    </w:p>
    <w:p w:rsidR="002B6E85" w:rsidRDefault="002B6E85" w:rsidP="002B6E85">
      <w:pPr>
        <w:ind w:left="720"/>
      </w:pPr>
    </w:p>
    <w:p w:rsidR="002B6E85" w:rsidRDefault="002B6E85" w:rsidP="002B6E85">
      <w:pPr>
        <w:pStyle w:val="ListParagraph"/>
        <w:numPr>
          <w:ilvl w:val="0"/>
          <w:numId w:val="3"/>
        </w:numPr>
      </w:pPr>
      <w:r>
        <w:t>Will interviewers or facilitators be used?  [  ] Yes [X] No</w:t>
      </w:r>
    </w:p>
    <w:p w:rsidR="002B6E85" w:rsidRDefault="002B6E85" w:rsidP="002B6E85">
      <w:pPr>
        <w:pStyle w:val="ListParagraph"/>
        <w:ind w:left="360"/>
      </w:pPr>
      <w:r>
        <w:t xml:space="preserve"> </w:t>
      </w:r>
    </w:p>
    <w:p w:rsidR="002B6E85" w:rsidRDefault="002B6E85" w:rsidP="002B6E85">
      <w:pPr>
        <w:rPr>
          <w:b/>
        </w:rPr>
      </w:pPr>
      <w:r w:rsidRPr="00F24CFC">
        <w:rPr>
          <w:b/>
        </w:rPr>
        <w:t>Please make sure that all instruments, instructions, and scripts are submitted with the request.</w:t>
      </w:r>
    </w:p>
    <w:p w:rsidR="0018392C" w:rsidRDefault="0018392C" w:rsidP="002B6E85">
      <w:pPr>
        <w:rPr>
          <w:b/>
        </w:rPr>
      </w:pPr>
    </w:p>
    <w:p w:rsidR="002B6E85" w:rsidRDefault="0018392C" w:rsidP="002B6E85">
      <w:r w:rsidRPr="0018392C">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1225-0088. </w:t>
      </w:r>
      <w:r w:rsidR="002B6E85">
        <w:br w:type="page"/>
      </w:r>
    </w:p>
    <w:p w:rsidR="002B6E85" w:rsidRDefault="002B6E85" w:rsidP="002B6E85">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2B6E85" w:rsidRDefault="002B6E85" w:rsidP="002B6E85">
      <w:pPr>
        <w:rPr>
          <w:b/>
        </w:rPr>
      </w:pPr>
    </w:p>
    <w:p w:rsidR="002B6E85" w:rsidRDefault="002B6E85" w:rsidP="002B6E85">
      <w:pPr>
        <w:rPr>
          <w:b/>
        </w:rPr>
      </w:pPr>
      <w:r>
        <w:rPr>
          <w:noProof/>
        </w:rPr>
        <mc:AlternateContent>
          <mc:Choice Requires="wps">
            <w:drawing>
              <wp:anchor distT="0" distB="0" distL="114300" distR="114300" simplePos="0" relativeHeight="251660288" behindDoc="0" locked="0" layoutInCell="0" allowOverlap="1" wp14:anchorId="503A08EA" wp14:editId="5D74D565">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69B2D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2B6E85" w:rsidRPr="008F50D4" w:rsidRDefault="002B6E85" w:rsidP="002B6E85">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2B6E85" w:rsidRPr="008F50D4" w:rsidRDefault="002B6E85" w:rsidP="002B6E85"/>
    <w:p w:rsidR="002B6E85" w:rsidRPr="008F50D4" w:rsidRDefault="002B6E85" w:rsidP="002B6E85">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2B6E85" w:rsidRPr="008F50D4" w:rsidRDefault="002B6E85" w:rsidP="002B6E85">
      <w:pPr>
        <w:pStyle w:val="Header"/>
        <w:tabs>
          <w:tab w:val="clear" w:pos="4320"/>
          <w:tab w:val="clear" w:pos="8640"/>
        </w:tabs>
        <w:rPr>
          <w:b/>
        </w:rPr>
      </w:pPr>
    </w:p>
    <w:p w:rsidR="002B6E85" w:rsidRPr="008F50D4" w:rsidRDefault="002B6E85" w:rsidP="002B6E85">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2B6E85" w:rsidRPr="008F50D4" w:rsidRDefault="002B6E85" w:rsidP="002B6E85">
      <w:pPr>
        <w:rPr>
          <w:b/>
        </w:rPr>
      </w:pPr>
    </w:p>
    <w:p w:rsidR="002B6E85" w:rsidRPr="008F50D4" w:rsidRDefault="002B6E85" w:rsidP="002B6E85">
      <w:pPr>
        <w:rPr>
          <w:b/>
        </w:rPr>
      </w:pPr>
      <w:r w:rsidRPr="008F50D4">
        <w:rPr>
          <w:b/>
        </w:rPr>
        <w:t>TYPE OF COLLECTION:</w:t>
      </w:r>
      <w:r w:rsidRPr="008F50D4">
        <w:t xml:space="preserve"> Check one box.  If you are requesting approval of other instruments under the generic, you must complete a form for each instrument.</w:t>
      </w:r>
    </w:p>
    <w:p w:rsidR="002B6E85" w:rsidRPr="008F50D4" w:rsidRDefault="002B6E85" w:rsidP="002B6E85">
      <w:pPr>
        <w:pStyle w:val="BodyTextIndent"/>
        <w:tabs>
          <w:tab w:val="left" w:pos="360"/>
        </w:tabs>
        <w:ind w:left="0"/>
        <w:rPr>
          <w:bCs/>
          <w:sz w:val="24"/>
          <w:szCs w:val="24"/>
        </w:rPr>
      </w:pPr>
    </w:p>
    <w:p w:rsidR="002B6E85" w:rsidRPr="008F50D4" w:rsidRDefault="002B6E85" w:rsidP="002B6E85">
      <w:r w:rsidRPr="008F50D4">
        <w:rPr>
          <w:b/>
        </w:rPr>
        <w:t xml:space="preserve">CERTIFICATION:  </w:t>
      </w:r>
      <w:r>
        <w:t>Please read the certification carefully.  If you incorrectly certify, the collection will be returned as improperly submitted or it will be disapproved.</w:t>
      </w:r>
    </w:p>
    <w:p w:rsidR="002B6E85" w:rsidRDefault="002B6E85" w:rsidP="002B6E85">
      <w:pPr>
        <w:rPr>
          <w:sz w:val="16"/>
          <w:szCs w:val="16"/>
        </w:rPr>
      </w:pPr>
    </w:p>
    <w:p w:rsidR="002B6E85" w:rsidRDefault="002B6E85" w:rsidP="002B6E85">
      <w:r w:rsidRPr="00C86E91">
        <w:rPr>
          <w:b/>
        </w:rPr>
        <w:t>Personally Identifiable Information:</w:t>
      </w:r>
      <w:r>
        <w:rPr>
          <w:b/>
        </w:rPr>
        <w:t xml:space="preserve">  </w:t>
      </w:r>
      <w:r>
        <w:t xml:space="preserve">Provide answers to the questions.  </w:t>
      </w:r>
    </w:p>
    <w:p w:rsidR="002B6E85" w:rsidRPr="008F50D4" w:rsidRDefault="002B6E85" w:rsidP="002B6E85"/>
    <w:p w:rsidR="002B6E85" w:rsidRPr="008F50D4" w:rsidRDefault="002B6E85" w:rsidP="002B6E85">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2B6E85" w:rsidRDefault="002B6E85" w:rsidP="002B6E85">
      <w:pPr>
        <w:rPr>
          <w:b/>
        </w:rPr>
      </w:pPr>
    </w:p>
    <w:p w:rsidR="002B6E85" w:rsidRDefault="002B6E85" w:rsidP="002B6E85">
      <w:pPr>
        <w:rPr>
          <w:b/>
        </w:rPr>
      </w:pPr>
      <w:r>
        <w:rPr>
          <w:b/>
        </w:rPr>
        <w:t>BURDEN HOURS:</w:t>
      </w:r>
    </w:p>
    <w:p w:rsidR="002B6E85" w:rsidRDefault="002B6E85" w:rsidP="002B6E85">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2B6E85" w:rsidRDefault="002B6E85" w:rsidP="002B6E85">
      <w:r w:rsidRPr="008F50D4">
        <w:rPr>
          <w:b/>
        </w:rPr>
        <w:t>No</w:t>
      </w:r>
      <w:r>
        <w:rPr>
          <w:b/>
        </w:rPr>
        <w:t>.</w:t>
      </w:r>
      <w:r w:rsidRPr="008F50D4">
        <w:rPr>
          <w:b/>
        </w:rPr>
        <w:t xml:space="preserve"> of Respondents:</w:t>
      </w:r>
      <w:r>
        <w:t xml:space="preserve">  Provide an estimate of the Number of respondents.</w:t>
      </w:r>
    </w:p>
    <w:p w:rsidR="002B6E85" w:rsidRDefault="002B6E85" w:rsidP="002B6E85">
      <w:r>
        <w:rPr>
          <w:b/>
        </w:rPr>
        <w:t xml:space="preserve">Participation Time:  </w:t>
      </w:r>
      <w:r>
        <w:t>Provide an estimate of the amount of time required for a respondent to participate (e.g. fill out a survey or participate in a focus group)</w:t>
      </w:r>
    </w:p>
    <w:p w:rsidR="002B6E85" w:rsidRPr="008F50D4" w:rsidRDefault="002B6E85" w:rsidP="002B6E85">
      <w:r w:rsidRPr="008F50D4">
        <w:rPr>
          <w:b/>
        </w:rPr>
        <w:t>Burden:</w:t>
      </w:r>
      <w:r>
        <w:t xml:space="preserve">  Provide the </w:t>
      </w:r>
      <w:r w:rsidRPr="008F50D4">
        <w:t>Annual burden hours:  Multiply the Number of responses and the participation time and</w:t>
      </w:r>
      <w:r>
        <w:t xml:space="preserve"> divide by 60.</w:t>
      </w:r>
    </w:p>
    <w:p w:rsidR="002B6E85" w:rsidRPr="006832D9" w:rsidRDefault="002B6E85" w:rsidP="002B6E85">
      <w:pPr>
        <w:keepNext/>
        <w:keepLines/>
        <w:rPr>
          <w:b/>
        </w:rPr>
      </w:pPr>
    </w:p>
    <w:p w:rsidR="002B6E85" w:rsidRDefault="002B6E85" w:rsidP="002B6E85">
      <w:pPr>
        <w:rPr>
          <w:b/>
        </w:rPr>
      </w:pPr>
      <w:r>
        <w:rPr>
          <w:b/>
        </w:rPr>
        <w:t xml:space="preserve">FEDERAL COST: </w:t>
      </w:r>
      <w:r>
        <w:t>Provide an estimate of the annual cost to the Federal government.</w:t>
      </w:r>
    </w:p>
    <w:p w:rsidR="002B6E85" w:rsidRDefault="002B6E85" w:rsidP="002B6E85">
      <w:pPr>
        <w:rPr>
          <w:b/>
          <w:bCs/>
          <w:u w:val="single"/>
        </w:rPr>
      </w:pPr>
    </w:p>
    <w:p w:rsidR="002B6E85" w:rsidRDefault="002B6E85" w:rsidP="002B6E85">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2B6E85" w:rsidRDefault="002B6E85" w:rsidP="002B6E85">
      <w:pPr>
        <w:rPr>
          <w:b/>
        </w:rPr>
      </w:pPr>
    </w:p>
    <w:p w:rsidR="002B6E85" w:rsidRDefault="002B6E85" w:rsidP="002B6E85">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2B6E85" w:rsidRDefault="002B6E85" w:rsidP="002B6E85">
      <w:pPr>
        <w:rPr>
          <w:b/>
        </w:rPr>
      </w:pPr>
    </w:p>
    <w:p w:rsidR="002B6E85" w:rsidRPr="003F1C5B" w:rsidRDefault="002B6E85" w:rsidP="002B6E85">
      <w:r>
        <w:rPr>
          <w:b/>
        </w:rPr>
        <w:t xml:space="preserve">Administration of the Instrument:  </w:t>
      </w:r>
      <w:r>
        <w:t>Identify how the information will be collected.  More than one box may be checked.  Indicate whether there will be interviewers (e.g. for surveys) or facilitators (e.g., for focus groups) used.</w:t>
      </w:r>
    </w:p>
    <w:p w:rsidR="002B6E85" w:rsidRDefault="002B6E85" w:rsidP="002B6E85">
      <w:pPr>
        <w:pStyle w:val="ListParagraph"/>
        <w:ind w:left="360"/>
      </w:pPr>
    </w:p>
    <w:p w:rsidR="002F5EE0" w:rsidRPr="009E74A0" w:rsidRDefault="002B6E85">
      <w:pPr>
        <w:rPr>
          <w:b/>
        </w:rPr>
      </w:pPr>
      <w:r w:rsidRPr="00F24CFC">
        <w:rPr>
          <w:b/>
        </w:rPr>
        <w:t>Please make sure that all instruments, instructions, and scripts are submitted with the request.</w:t>
      </w:r>
      <w:bookmarkStart w:id="0" w:name="_GoBack"/>
      <w:bookmarkEnd w:id="0"/>
    </w:p>
    <w:sectPr w:rsidR="002F5EE0" w:rsidRPr="009E74A0"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75" w:rsidRDefault="00661175">
      <w:r>
        <w:separator/>
      </w:r>
    </w:p>
  </w:endnote>
  <w:endnote w:type="continuationSeparator" w:id="0">
    <w:p w:rsidR="00661175" w:rsidRDefault="0066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55698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E74A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75" w:rsidRDefault="00661175">
      <w:r>
        <w:separator/>
      </w:r>
    </w:p>
  </w:footnote>
  <w:footnote w:type="continuationSeparator" w:id="0">
    <w:p w:rsidR="00661175" w:rsidRDefault="00661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62C"/>
    <w:multiLevelType w:val="hybridMultilevel"/>
    <w:tmpl w:val="8018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51B145CA"/>
    <w:multiLevelType w:val="hybridMultilevel"/>
    <w:tmpl w:val="195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85"/>
    <w:rsid w:val="000D0EA1"/>
    <w:rsid w:val="0018392C"/>
    <w:rsid w:val="00284B13"/>
    <w:rsid w:val="002B6E85"/>
    <w:rsid w:val="002B76CB"/>
    <w:rsid w:val="002C464C"/>
    <w:rsid w:val="00447159"/>
    <w:rsid w:val="00556983"/>
    <w:rsid w:val="005E6CEF"/>
    <w:rsid w:val="00661175"/>
    <w:rsid w:val="006814E3"/>
    <w:rsid w:val="006F4960"/>
    <w:rsid w:val="0074226C"/>
    <w:rsid w:val="00772999"/>
    <w:rsid w:val="008214E7"/>
    <w:rsid w:val="00875E0B"/>
    <w:rsid w:val="009554EC"/>
    <w:rsid w:val="009E74A0"/>
    <w:rsid w:val="00B9210D"/>
    <w:rsid w:val="00CE56E6"/>
    <w:rsid w:val="00D12331"/>
    <w:rsid w:val="00D745EC"/>
    <w:rsid w:val="00E476CD"/>
    <w:rsid w:val="00FA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1B96C6-8335-4FA3-8CCD-EB14FC2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McGee, Keisha L - OASAM OCIO CTR</cp:lastModifiedBy>
  <cp:revision>4</cp:revision>
  <dcterms:created xsi:type="dcterms:W3CDTF">2016-07-27T17:12:00Z</dcterms:created>
  <dcterms:modified xsi:type="dcterms:W3CDTF">2016-07-27T17:30:00Z</dcterms:modified>
</cp:coreProperties>
</file>