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8A9" w:rsidRPr="002F4ACA" w:rsidRDefault="008478A9" w:rsidP="002F4ACA">
      <w:pPr>
        <w:pStyle w:val="SL-FlLftSgl"/>
        <w:rPr>
          <w:sz w:val="56"/>
        </w:rPr>
      </w:pPr>
      <w:bookmarkStart w:id="0" w:name="_GoBack"/>
      <w:bookmarkEnd w:id="0"/>
    </w:p>
    <w:p w:rsidR="008478A9" w:rsidRPr="00AD5101" w:rsidRDefault="008478A9" w:rsidP="00AD5101">
      <w:pPr>
        <w:pStyle w:val="SL-FlLftSgl"/>
        <w:rPr>
          <w:rFonts w:ascii="Times New Roman Bold" w:hAnsi="Times New Roman Bold"/>
          <w:b/>
          <w:sz w:val="56"/>
        </w:rPr>
      </w:pPr>
    </w:p>
    <w:p w:rsidR="00570886" w:rsidRDefault="00570886" w:rsidP="00570886">
      <w:pPr>
        <w:spacing w:line="240" w:lineRule="auto"/>
        <w:jc w:val="center"/>
        <w:rPr>
          <w:rFonts w:ascii="Arial" w:hAnsi="Arial" w:cs="Arial"/>
          <w:sz w:val="36"/>
          <w:szCs w:val="36"/>
        </w:rPr>
      </w:pPr>
      <w:bookmarkStart w:id="1" w:name="_Toc474654492"/>
      <w:bookmarkStart w:id="2" w:name="_Toc474809904"/>
      <w:r w:rsidRPr="00892CDF">
        <w:rPr>
          <w:rFonts w:ascii="Arial" w:hAnsi="Arial" w:cs="Arial"/>
          <w:sz w:val="36"/>
          <w:szCs w:val="36"/>
        </w:rPr>
        <w:t>Request for Clearance for the</w:t>
      </w:r>
    </w:p>
    <w:p w:rsidR="00570886" w:rsidRPr="00892CDF" w:rsidRDefault="00570886" w:rsidP="00570886">
      <w:pPr>
        <w:spacing w:line="240" w:lineRule="auto"/>
        <w:jc w:val="center"/>
        <w:rPr>
          <w:rFonts w:ascii="Arial" w:hAnsi="Arial" w:cs="Arial"/>
          <w:sz w:val="36"/>
          <w:szCs w:val="36"/>
        </w:rPr>
      </w:pPr>
    </w:p>
    <w:p w:rsidR="00570886" w:rsidRDefault="00570886" w:rsidP="00570886">
      <w:pPr>
        <w:spacing w:line="240" w:lineRule="auto"/>
        <w:jc w:val="center"/>
        <w:rPr>
          <w:rFonts w:ascii="Arial" w:hAnsi="Arial" w:cs="Arial"/>
          <w:sz w:val="40"/>
          <w:szCs w:val="40"/>
        </w:rPr>
      </w:pPr>
      <w:r>
        <w:rPr>
          <w:rFonts w:ascii="Arial" w:hAnsi="Arial" w:cs="Arial"/>
          <w:sz w:val="40"/>
          <w:szCs w:val="40"/>
        </w:rPr>
        <w:t>2014</w:t>
      </w:r>
      <w:r w:rsidRPr="000C6D70">
        <w:rPr>
          <w:rFonts w:ascii="Arial" w:hAnsi="Arial" w:cs="Arial"/>
          <w:sz w:val="40"/>
          <w:szCs w:val="40"/>
        </w:rPr>
        <w:t xml:space="preserve"> National Ho</w:t>
      </w:r>
      <w:r>
        <w:rPr>
          <w:rFonts w:ascii="Arial" w:hAnsi="Arial" w:cs="Arial"/>
          <w:sz w:val="40"/>
          <w:szCs w:val="40"/>
        </w:rPr>
        <w:t>usehold Education Survey (NHES)</w:t>
      </w:r>
    </w:p>
    <w:p w:rsidR="00570886" w:rsidRDefault="00A31ED7" w:rsidP="00570886">
      <w:pPr>
        <w:spacing w:line="240" w:lineRule="auto"/>
        <w:jc w:val="center"/>
        <w:rPr>
          <w:rFonts w:ascii="Arial" w:hAnsi="Arial" w:cs="Arial"/>
          <w:sz w:val="40"/>
          <w:szCs w:val="40"/>
        </w:rPr>
      </w:pPr>
      <w:r>
        <w:rPr>
          <w:rFonts w:ascii="Arial" w:hAnsi="Arial" w:cs="Arial"/>
          <w:sz w:val="40"/>
          <w:szCs w:val="40"/>
        </w:rPr>
        <w:t>After-</w:t>
      </w:r>
      <w:r w:rsidR="00570886" w:rsidRPr="00CB7107">
        <w:rPr>
          <w:rFonts w:ascii="Arial" w:hAnsi="Arial" w:cs="Arial"/>
          <w:sz w:val="40"/>
          <w:szCs w:val="40"/>
        </w:rPr>
        <w:t>School</w:t>
      </w:r>
      <w:r w:rsidR="00570886">
        <w:rPr>
          <w:rFonts w:ascii="Arial" w:hAnsi="Arial" w:cs="Arial"/>
          <w:sz w:val="40"/>
          <w:szCs w:val="40"/>
        </w:rPr>
        <w:t xml:space="preserve"> Programs and Activities</w:t>
      </w:r>
      <w:r w:rsidR="00E641E8">
        <w:rPr>
          <w:rFonts w:ascii="Arial" w:hAnsi="Arial" w:cs="Arial"/>
          <w:sz w:val="40"/>
          <w:szCs w:val="40"/>
        </w:rPr>
        <w:t xml:space="preserve"> Survey</w:t>
      </w:r>
      <w:r w:rsidR="00570886">
        <w:rPr>
          <w:rFonts w:ascii="Arial" w:hAnsi="Arial" w:cs="Arial"/>
          <w:sz w:val="40"/>
          <w:szCs w:val="40"/>
        </w:rPr>
        <w:t xml:space="preserve"> (ASPA)</w:t>
      </w:r>
      <w:r w:rsidR="00ED2E86">
        <w:rPr>
          <w:rFonts w:ascii="Arial" w:hAnsi="Arial" w:cs="Arial"/>
          <w:sz w:val="40"/>
          <w:szCs w:val="40"/>
        </w:rPr>
        <w:t xml:space="preserve"> and Adult Training and Education Survey (ATES)</w:t>
      </w:r>
    </w:p>
    <w:p w:rsidR="00570886" w:rsidRPr="000C6D70" w:rsidRDefault="00570886" w:rsidP="00570886">
      <w:pPr>
        <w:spacing w:line="240" w:lineRule="auto"/>
        <w:jc w:val="center"/>
        <w:rPr>
          <w:rFonts w:ascii="Arial" w:hAnsi="Arial" w:cs="Arial"/>
          <w:sz w:val="40"/>
          <w:szCs w:val="40"/>
        </w:rPr>
      </w:pPr>
      <w:r>
        <w:rPr>
          <w:rFonts w:ascii="Arial" w:hAnsi="Arial" w:cs="Arial"/>
          <w:sz w:val="40"/>
          <w:szCs w:val="40"/>
        </w:rPr>
        <w:t>Feasibility Test</w:t>
      </w:r>
    </w:p>
    <w:p w:rsidR="00570886" w:rsidRPr="000C6D70" w:rsidRDefault="00570886" w:rsidP="00570886">
      <w:pPr>
        <w:spacing w:line="240" w:lineRule="auto"/>
        <w:rPr>
          <w:rFonts w:ascii="Arial" w:hAnsi="Arial" w:cs="Arial"/>
          <w:sz w:val="40"/>
          <w:szCs w:val="40"/>
        </w:rPr>
      </w:pPr>
    </w:p>
    <w:p w:rsidR="00570886" w:rsidRDefault="00570886" w:rsidP="00570886">
      <w:pPr>
        <w:spacing w:line="240" w:lineRule="auto"/>
        <w:jc w:val="center"/>
        <w:rPr>
          <w:rFonts w:ascii="Arial" w:hAnsi="Arial" w:cs="Arial"/>
          <w:sz w:val="32"/>
          <w:szCs w:val="32"/>
        </w:rPr>
      </w:pPr>
    </w:p>
    <w:p w:rsidR="00570886" w:rsidRDefault="00570886" w:rsidP="00570886">
      <w:pPr>
        <w:spacing w:line="240" w:lineRule="auto"/>
        <w:jc w:val="center"/>
        <w:rPr>
          <w:rFonts w:ascii="Arial" w:hAnsi="Arial" w:cs="Arial"/>
          <w:sz w:val="32"/>
          <w:szCs w:val="32"/>
        </w:rPr>
      </w:pPr>
    </w:p>
    <w:p w:rsidR="00570886" w:rsidRPr="000C6D70" w:rsidRDefault="00570886" w:rsidP="00570886">
      <w:pPr>
        <w:spacing w:line="240" w:lineRule="auto"/>
        <w:jc w:val="center"/>
        <w:rPr>
          <w:rFonts w:ascii="Arial" w:hAnsi="Arial" w:cs="Arial"/>
          <w:sz w:val="32"/>
          <w:szCs w:val="32"/>
        </w:rPr>
      </w:pPr>
      <w:r>
        <w:rPr>
          <w:rFonts w:ascii="Arial" w:hAnsi="Arial" w:cs="Arial"/>
          <w:sz w:val="32"/>
          <w:szCs w:val="32"/>
        </w:rPr>
        <w:t xml:space="preserve">OMB# </w:t>
      </w:r>
      <w:r w:rsidRPr="007512BE">
        <w:rPr>
          <w:rFonts w:ascii="Arial" w:hAnsi="Arial" w:cs="Arial"/>
          <w:sz w:val="32"/>
          <w:szCs w:val="32"/>
        </w:rPr>
        <w:t>1850-0803</w:t>
      </w:r>
      <w:r>
        <w:rPr>
          <w:rFonts w:ascii="Arial" w:hAnsi="Arial" w:cs="Arial"/>
          <w:sz w:val="32"/>
          <w:szCs w:val="32"/>
        </w:rPr>
        <w:t xml:space="preserve"> v.</w:t>
      </w:r>
      <w:r w:rsidR="002F19AC" w:rsidRPr="00A874B2">
        <w:rPr>
          <w:rFonts w:ascii="Arial" w:hAnsi="Arial" w:cs="Arial"/>
          <w:sz w:val="32"/>
          <w:szCs w:val="32"/>
        </w:rPr>
        <w:t>85</w:t>
      </w:r>
    </w:p>
    <w:p w:rsidR="00570886" w:rsidRDefault="00570886" w:rsidP="00570886">
      <w:pPr>
        <w:pStyle w:val="C1-CtrBoldHd"/>
        <w:jc w:val="both"/>
      </w:pPr>
    </w:p>
    <w:p w:rsidR="00570886" w:rsidRDefault="00570886" w:rsidP="00570886">
      <w:pPr>
        <w:pStyle w:val="C1-CtrBoldHd"/>
        <w:jc w:val="both"/>
      </w:pPr>
    </w:p>
    <w:p w:rsidR="00570886" w:rsidRDefault="00570886" w:rsidP="00570886">
      <w:pPr>
        <w:pStyle w:val="C1-CtrBoldHd"/>
        <w:jc w:val="both"/>
      </w:pPr>
    </w:p>
    <w:p w:rsidR="00570886" w:rsidRDefault="00570886" w:rsidP="00570886">
      <w:pPr>
        <w:pStyle w:val="C1-CtrBoldHd"/>
        <w:jc w:val="both"/>
      </w:pPr>
    </w:p>
    <w:p w:rsidR="00570886" w:rsidRDefault="00570886" w:rsidP="00570886">
      <w:pPr>
        <w:pStyle w:val="C1-CtrBoldHd"/>
        <w:jc w:val="both"/>
      </w:pPr>
    </w:p>
    <w:p w:rsidR="00570886" w:rsidRDefault="00570886" w:rsidP="00570886">
      <w:pPr>
        <w:pStyle w:val="C1-CtrBoldHd"/>
        <w:jc w:val="both"/>
      </w:pPr>
    </w:p>
    <w:p w:rsidR="00570886" w:rsidRPr="000C6D70" w:rsidRDefault="009A335D" w:rsidP="00570886">
      <w:pPr>
        <w:spacing w:line="240" w:lineRule="auto"/>
        <w:rPr>
          <w:rFonts w:ascii="Arial" w:hAnsi="Arial" w:cs="Arial"/>
          <w:sz w:val="32"/>
          <w:szCs w:val="32"/>
        </w:rPr>
      </w:pPr>
      <w:r>
        <w:rPr>
          <w:rFonts w:ascii="Arial" w:hAnsi="Arial" w:cs="Arial"/>
          <w:sz w:val="32"/>
          <w:szCs w:val="32"/>
        </w:rPr>
        <w:t>September</w:t>
      </w:r>
      <w:r w:rsidR="00091B70" w:rsidRPr="005F28B9">
        <w:rPr>
          <w:rFonts w:ascii="Arial" w:hAnsi="Arial" w:cs="Arial"/>
          <w:sz w:val="32"/>
          <w:szCs w:val="32"/>
        </w:rPr>
        <w:t xml:space="preserve"> </w:t>
      </w:r>
      <w:r w:rsidR="00A9755C">
        <w:rPr>
          <w:rFonts w:ascii="Arial" w:hAnsi="Arial" w:cs="Arial"/>
          <w:sz w:val="32"/>
          <w:szCs w:val="32"/>
        </w:rPr>
        <w:t>30</w:t>
      </w:r>
      <w:r w:rsidR="00570886" w:rsidRPr="005F28B9">
        <w:rPr>
          <w:rFonts w:ascii="Arial" w:hAnsi="Arial" w:cs="Arial"/>
          <w:sz w:val="32"/>
          <w:szCs w:val="32"/>
        </w:rPr>
        <w:t>, 2013</w:t>
      </w:r>
    </w:p>
    <w:p w:rsidR="008478A9" w:rsidRDefault="00570886" w:rsidP="00062B20">
      <w:pPr>
        <w:pStyle w:val="C1-CtrBoldHd"/>
        <w:spacing w:after="0" w:line="240" w:lineRule="auto"/>
      </w:pPr>
      <w:r>
        <w:br w:type="page"/>
      </w:r>
      <w:r w:rsidR="008478A9">
        <w:lastRenderedPageBreak/>
        <w:t>TABLE OF CONTENTS</w:t>
      </w:r>
      <w:bookmarkEnd w:id="1"/>
      <w:bookmarkEnd w:id="2"/>
    </w:p>
    <w:p w:rsidR="008478A9" w:rsidRDefault="008478A9" w:rsidP="000F34EB">
      <w:pPr>
        <w:pStyle w:val="T0-ChapPgHd"/>
      </w:pPr>
      <w:r>
        <w:tab/>
        <w:t>Page</w:t>
      </w:r>
    </w:p>
    <w:p w:rsidR="008478A9" w:rsidRDefault="008478A9" w:rsidP="000F34EB">
      <w:pPr>
        <w:pStyle w:val="T0-ChapPgHd"/>
      </w:pPr>
    </w:p>
    <w:p w:rsidR="008478A9" w:rsidRDefault="008478A9" w:rsidP="00C60F81">
      <w:pPr>
        <w:pStyle w:val="TOC1"/>
        <w:tabs>
          <w:tab w:val="left" w:pos="0"/>
        </w:tabs>
        <w:ind w:left="0"/>
      </w:pPr>
      <w:r w:rsidRPr="005029BB">
        <w:t>JUSTIFICATION</w:t>
      </w:r>
      <w:r>
        <w:tab/>
      </w:r>
      <w:r w:rsidRPr="005029BB">
        <w:tab/>
        <w:t>1</w:t>
      </w:r>
    </w:p>
    <w:p w:rsidR="008478A9" w:rsidRPr="005029BB" w:rsidRDefault="008478A9" w:rsidP="00C60F81">
      <w:pPr>
        <w:pStyle w:val="TOC1"/>
        <w:tabs>
          <w:tab w:val="left" w:pos="270"/>
        </w:tabs>
        <w:spacing w:line="180" w:lineRule="exact"/>
      </w:pPr>
    </w:p>
    <w:p w:rsidR="008478A9" w:rsidRPr="005029BB" w:rsidRDefault="008478A9" w:rsidP="00C60F81">
      <w:pPr>
        <w:pStyle w:val="TOC2"/>
        <w:tabs>
          <w:tab w:val="clear" w:pos="2160"/>
          <w:tab w:val="left" w:pos="270"/>
          <w:tab w:val="left" w:pos="1080"/>
        </w:tabs>
        <w:ind w:left="900"/>
      </w:pPr>
      <w:r w:rsidRPr="005029BB">
        <w:t>A.1</w:t>
      </w:r>
      <w:r w:rsidRPr="005029BB">
        <w:tab/>
        <w:t>Circumstances Necessitating Collection of Information</w:t>
      </w:r>
      <w:r>
        <w:tab/>
      </w:r>
      <w:r w:rsidRPr="005029BB">
        <w:tab/>
      </w:r>
      <w:r w:rsidR="00C16B83">
        <w:t>4</w:t>
      </w:r>
    </w:p>
    <w:p w:rsidR="008478A9" w:rsidRPr="005029BB" w:rsidRDefault="008478A9" w:rsidP="00C60F81">
      <w:pPr>
        <w:pStyle w:val="TOC2"/>
        <w:tabs>
          <w:tab w:val="clear" w:pos="2160"/>
          <w:tab w:val="left" w:pos="270"/>
          <w:tab w:val="left" w:pos="1080"/>
        </w:tabs>
        <w:ind w:left="900"/>
      </w:pPr>
      <w:r w:rsidRPr="005029BB">
        <w:t>A.2</w:t>
      </w:r>
      <w:r w:rsidRPr="005029BB">
        <w:tab/>
        <w:t>Purposes and Uses of the Data</w:t>
      </w:r>
      <w:r>
        <w:tab/>
      </w:r>
      <w:r w:rsidRPr="005029BB">
        <w:tab/>
      </w:r>
      <w:r w:rsidR="00C16B83">
        <w:t>5</w:t>
      </w:r>
    </w:p>
    <w:p w:rsidR="008478A9" w:rsidRDefault="008478A9" w:rsidP="00C60F81">
      <w:pPr>
        <w:pStyle w:val="TOC2"/>
        <w:tabs>
          <w:tab w:val="clear" w:pos="2160"/>
          <w:tab w:val="left" w:pos="270"/>
          <w:tab w:val="left" w:pos="1080"/>
        </w:tabs>
        <w:ind w:left="900"/>
      </w:pPr>
      <w:r w:rsidRPr="005029BB">
        <w:t>A.3</w:t>
      </w:r>
      <w:r w:rsidRPr="005029BB">
        <w:tab/>
        <w:t>Use of Improved Information Technology</w:t>
      </w:r>
      <w:r>
        <w:tab/>
      </w:r>
      <w:r w:rsidRPr="005029BB">
        <w:tab/>
      </w:r>
      <w:r w:rsidR="00C16B83">
        <w:t>5</w:t>
      </w:r>
    </w:p>
    <w:p w:rsidR="008478A9" w:rsidRDefault="008478A9" w:rsidP="00C60F81">
      <w:pPr>
        <w:pStyle w:val="TOC2"/>
        <w:tabs>
          <w:tab w:val="clear" w:pos="2160"/>
          <w:tab w:val="left" w:pos="270"/>
          <w:tab w:val="left" w:pos="1080"/>
        </w:tabs>
        <w:ind w:left="900"/>
      </w:pPr>
      <w:r w:rsidRPr="005029BB">
        <w:t>A.4</w:t>
      </w:r>
      <w:r w:rsidRPr="005029BB">
        <w:tab/>
        <w:t>Efforts to Identify Duplication</w:t>
      </w:r>
      <w:r>
        <w:tab/>
      </w:r>
      <w:r w:rsidRPr="005029BB">
        <w:tab/>
      </w:r>
      <w:r w:rsidR="00C16B83">
        <w:t>5</w:t>
      </w:r>
    </w:p>
    <w:p w:rsidR="008478A9" w:rsidRPr="005029BB" w:rsidRDefault="008478A9" w:rsidP="00C60F81">
      <w:pPr>
        <w:pStyle w:val="TOC2"/>
        <w:tabs>
          <w:tab w:val="clear" w:pos="2160"/>
          <w:tab w:val="left" w:pos="270"/>
          <w:tab w:val="left" w:pos="1080"/>
        </w:tabs>
        <w:ind w:left="900"/>
      </w:pPr>
      <w:r w:rsidRPr="005029BB">
        <w:t>A.</w:t>
      </w:r>
      <w:r w:rsidR="00322067">
        <w:t>5</w:t>
      </w:r>
      <w:r w:rsidRPr="005029BB">
        <w:tab/>
        <w:t>Consultations Outside the Agency</w:t>
      </w:r>
      <w:r>
        <w:tab/>
      </w:r>
      <w:r w:rsidRPr="005029BB">
        <w:tab/>
      </w:r>
      <w:r w:rsidR="00C16B83">
        <w:t>6</w:t>
      </w:r>
    </w:p>
    <w:p w:rsidR="008478A9" w:rsidRPr="005029BB" w:rsidRDefault="008478A9" w:rsidP="00C60F81">
      <w:pPr>
        <w:pStyle w:val="TOC2"/>
        <w:tabs>
          <w:tab w:val="clear" w:pos="2160"/>
          <w:tab w:val="left" w:pos="270"/>
          <w:tab w:val="left" w:pos="1080"/>
        </w:tabs>
        <w:ind w:left="900"/>
      </w:pPr>
      <w:r w:rsidRPr="005029BB">
        <w:t>A.</w:t>
      </w:r>
      <w:r w:rsidR="00322067">
        <w:t>6</w:t>
      </w:r>
      <w:r w:rsidRPr="005029BB">
        <w:tab/>
        <w:t>Payments to Respondents</w:t>
      </w:r>
      <w:r>
        <w:tab/>
      </w:r>
      <w:r w:rsidRPr="005029BB">
        <w:tab/>
      </w:r>
      <w:r w:rsidR="00C60F81">
        <w:t>8</w:t>
      </w:r>
    </w:p>
    <w:p w:rsidR="008478A9" w:rsidRPr="005029BB" w:rsidRDefault="008478A9" w:rsidP="00C60F81">
      <w:pPr>
        <w:pStyle w:val="TOC2"/>
        <w:tabs>
          <w:tab w:val="clear" w:pos="2160"/>
          <w:tab w:val="left" w:pos="270"/>
          <w:tab w:val="left" w:pos="1080"/>
        </w:tabs>
        <w:ind w:left="900"/>
      </w:pPr>
      <w:r w:rsidRPr="005029BB">
        <w:t>A.</w:t>
      </w:r>
      <w:r w:rsidR="0068462A">
        <w:t>7</w:t>
      </w:r>
      <w:r w:rsidRPr="005029BB">
        <w:tab/>
        <w:t>Assurance of Confidentiality</w:t>
      </w:r>
      <w:r>
        <w:tab/>
      </w:r>
      <w:r w:rsidRPr="005029BB">
        <w:tab/>
      </w:r>
      <w:r w:rsidR="007D2285">
        <w:t>8</w:t>
      </w:r>
    </w:p>
    <w:p w:rsidR="008478A9" w:rsidRPr="005029BB" w:rsidRDefault="008478A9" w:rsidP="00C60F81">
      <w:pPr>
        <w:pStyle w:val="TOC2"/>
        <w:tabs>
          <w:tab w:val="clear" w:pos="2160"/>
          <w:tab w:val="left" w:pos="270"/>
          <w:tab w:val="left" w:pos="1080"/>
        </w:tabs>
        <w:ind w:left="900"/>
      </w:pPr>
      <w:r w:rsidRPr="005029BB">
        <w:t>A.</w:t>
      </w:r>
      <w:r w:rsidR="0068462A">
        <w:t>8</w:t>
      </w:r>
      <w:r w:rsidRPr="005029BB">
        <w:tab/>
        <w:t>Sensitive Questions</w:t>
      </w:r>
      <w:r>
        <w:tab/>
      </w:r>
      <w:r w:rsidRPr="005029BB">
        <w:tab/>
      </w:r>
      <w:r w:rsidR="007D2285">
        <w:t>8</w:t>
      </w:r>
    </w:p>
    <w:p w:rsidR="008478A9" w:rsidRPr="005029BB" w:rsidRDefault="008478A9" w:rsidP="00C60F81">
      <w:pPr>
        <w:pStyle w:val="TOC2"/>
        <w:tabs>
          <w:tab w:val="clear" w:pos="2160"/>
          <w:tab w:val="left" w:pos="270"/>
          <w:tab w:val="left" w:pos="1080"/>
        </w:tabs>
        <w:ind w:left="900"/>
      </w:pPr>
      <w:r w:rsidRPr="005029BB">
        <w:t>A.</w:t>
      </w:r>
      <w:r w:rsidR="0068462A">
        <w:t>9</w:t>
      </w:r>
      <w:r w:rsidRPr="005029BB">
        <w:tab/>
        <w:t>Estimated Response Burden</w:t>
      </w:r>
      <w:r>
        <w:tab/>
      </w:r>
      <w:r w:rsidRPr="005029BB">
        <w:tab/>
      </w:r>
      <w:r w:rsidR="00C60F81">
        <w:t>10</w:t>
      </w:r>
    </w:p>
    <w:p w:rsidR="008478A9" w:rsidRPr="005029BB" w:rsidRDefault="008478A9" w:rsidP="00C60F81">
      <w:pPr>
        <w:pStyle w:val="TOC2"/>
        <w:tabs>
          <w:tab w:val="clear" w:pos="2160"/>
          <w:tab w:val="left" w:pos="270"/>
          <w:tab w:val="left" w:pos="1080"/>
        </w:tabs>
        <w:ind w:left="900"/>
      </w:pPr>
      <w:r w:rsidRPr="005029BB">
        <w:t>A.</w:t>
      </w:r>
      <w:r w:rsidR="0068462A">
        <w:t>10</w:t>
      </w:r>
      <w:r w:rsidRPr="005029BB">
        <w:tab/>
        <w:t>Annualized Cost to Respondents</w:t>
      </w:r>
      <w:r>
        <w:tab/>
      </w:r>
      <w:r w:rsidRPr="005029BB">
        <w:tab/>
      </w:r>
      <w:r w:rsidR="007D2285">
        <w:t>10</w:t>
      </w:r>
    </w:p>
    <w:p w:rsidR="008478A9" w:rsidRPr="005029BB" w:rsidRDefault="008478A9" w:rsidP="00C60F81">
      <w:pPr>
        <w:pStyle w:val="TOC2"/>
        <w:tabs>
          <w:tab w:val="clear" w:pos="2160"/>
          <w:tab w:val="left" w:pos="270"/>
          <w:tab w:val="left" w:pos="1080"/>
        </w:tabs>
        <w:ind w:left="900"/>
      </w:pPr>
      <w:r w:rsidRPr="005029BB">
        <w:t>A.</w:t>
      </w:r>
      <w:r w:rsidR="0068462A" w:rsidRPr="005029BB">
        <w:t>1</w:t>
      </w:r>
      <w:r w:rsidR="0068462A">
        <w:t>1</w:t>
      </w:r>
      <w:r w:rsidRPr="005029BB">
        <w:tab/>
        <w:t>Annualized Cost to the Federal Government</w:t>
      </w:r>
      <w:r>
        <w:tab/>
      </w:r>
      <w:r w:rsidRPr="005029BB">
        <w:tab/>
      </w:r>
      <w:r w:rsidR="007D2285">
        <w:t>10</w:t>
      </w:r>
    </w:p>
    <w:p w:rsidR="008478A9" w:rsidRPr="005029BB" w:rsidRDefault="008478A9" w:rsidP="00C60F81">
      <w:pPr>
        <w:pStyle w:val="TOC2"/>
        <w:tabs>
          <w:tab w:val="clear" w:pos="2160"/>
          <w:tab w:val="left" w:pos="270"/>
          <w:tab w:val="left" w:pos="1080"/>
        </w:tabs>
        <w:ind w:left="900"/>
      </w:pPr>
      <w:r w:rsidRPr="005029BB">
        <w:t>A.</w:t>
      </w:r>
      <w:r w:rsidR="0068462A" w:rsidRPr="005029BB">
        <w:t>1</w:t>
      </w:r>
      <w:r w:rsidR="0068462A">
        <w:t>2</w:t>
      </w:r>
      <w:r w:rsidRPr="005029BB">
        <w:tab/>
        <w:t>Publication Plans and Project Schedule</w:t>
      </w:r>
      <w:r>
        <w:tab/>
      </w:r>
      <w:r w:rsidRPr="005029BB">
        <w:tab/>
      </w:r>
      <w:r w:rsidR="007D2285">
        <w:t>10</w:t>
      </w:r>
    </w:p>
    <w:p w:rsidR="008478A9" w:rsidRPr="005029BB" w:rsidRDefault="008478A9" w:rsidP="00C60F81">
      <w:pPr>
        <w:pStyle w:val="TOC2"/>
        <w:tabs>
          <w:tab w:val="clear" w:pos="2160"/>
          <w:tab w:val="left" w:pos="270"/>
          <w:tab w:val="left" w:pos="1080"/>
        </w:tabs>
        <w:ind w:left="900"/>
      </w:pPr>
      <w:r w:rsidRPr="005029BB">
        <w:t>A.</w:t>
      </w:r>
      <w:r w:rsidR="0068462A" w:rsidRPr="005029BB">
        <w:t>1</w:t>
      </w:r>
      <w:r w:rsidR="0068462A">
        <w:t>3</w:t>
      </w:r>
      <w:r w:rsidRPr="005029BB">
        <w:tab/>
        <w:t>Approval for Not Displaying the Expiration Date for OMB Approval</w:t>
      </w:r>
      <w:r>
        <w:tab/>
      </w:r>
      <w:r w:rsidRPr="005029BB">
        <w:tab/>
      </w:r>
      <w:r w:rsidR="006D5C9A">
        <w:t>11</w:t>
      </w:r>
    </w:p>
    <w:p w:rsidR="008478A9" w:rsidRDefault="008478A9" w:rsidP="00C60F81">
      <w:pPr>
        <w:pStyle w:val="TOC2"/>
        <w:tabs>
          <w:tab w:val="clear" w:pos="2160"/>
          <w:tab w:val="left" w:pos="270"/>
          <w:tab w:val="left" w:pos="1080"/>
        </w:tabs>
        <w:ind w:left="900"/>
      </w:pPr>
      <w:r w:rsidRPr="005029BB">
        <w:t>A.</w:t>
      </w:r>
      <w:r w:rsidR="0068462A" w:rsidRPr="005029BB">
        <w:t>1</w:t>
      </w:r>
      <w:r w:rsidR="0068462A">
        <w:t>4</w:t>
      </w:r>
      <w:r w:rsidRPr="005029BB">
        <w:tab/>
        <w:t>Exceptions to the Certification Statement</w:t>
      </w:r>
      <w:r>
        <w:tab/>
      </w:r>
      <w:r w:rsidRPr="005029BB">
        <w:tab/>
      </w:r>
      <w:r w:rsidR="006D5C9A">
        <w:t>11</w:t>
      </w:r>
    </w:p>
    <w:p w:rsidR="00EB03A7" w:rsidRPr="005029BB" w:rsidRDefault="00EB03A7" w:rsidP="00EB03A7">
      <w:pPr>
        <w:pStyle w:val="TOC2"/>
        <w:tabs>
          <w:tab w:val="clear" w:pos="2160"/>
          <w:tab w:val="left" w:pos="270"/>
          <w:tab w:val="left" w:pos="1080"/>
        </w:tabs>
        <w:ind w:left="900"/>
      </w:pPr>
      <w:r>
        <w:t>B</w:t>
      </w:r>
      <w:r w:rsidRPr="005029BB">
        <w:t>.1</w:t>
      </w:r>
      <w:r w:rsidRPr="005029BB">
        <w:tab/>
      </w:r>
      <w:r w:rsidR="004534A9">
        <w:t>Statistical Design and Estimation</w:t>
      </w:r>
      <w:r>
        <w:tab/>
      </w:r>
      <w:r w:rsidRPr="005029BB">
        <w:tab/>
      </w:r>
      <w:r w:rsidR="00EB789D">
        <w:t>11</w:t>
      </w:r>
    </w:p>
    <w:p w:rsidR="00EB03A7" w:rsidRPr="005029BB" w:rsidRDefault="00EB03A7" w:rsidP="00EB03A7">
      <w:pPr>
        <w:pStyle w:val="TOC2"/>
        <w:tabs>
          <w:tab w:val="clear" w:pos="2160"/>
          <w:tab w:val="left" w:pos="270"/>
          <w:tab w:val="left" w:pos="1080"/>
        </w:tabs>
        <w:ind w:left="900"/>
      </w:pPr>
      <w:r>
        <w:t>B</w:t>
      </w:r>
      <w:r w:rsidRPr="005029BB">
        <w:t>.2</w:t>
      </w:r>
      <w:r w:rsidRPr="005029BB">
        <w:tab/>
      </w:r>
      <w:r w:rsidR="004534A9">
        <w:t>Survey Procedures</w:t>
      </w:r>
      <w:r>
        <w:tab/>
      </w:r>
      <w:r w:rsidRPr="005029BB">
        <w:tab/>
      </w:r>
      <w:r w:rsidR="00EB789D">
        <w:t>15</w:t>
      </w:r>
    </w:p>
    <w:p w:rsidR="00EB03A7" w:rsidRDefault="00EB03A7" w:rsidP="00EB03A7">
      <w:pPr>
        <w:pStyle w:val="TOC2"/>
        <w:tabs>
          <w:tab w:val="clear" w:pos="2160"/>
          <w:tab w:val="left" w:pos="270"/>
          <w:tab w:val="left" w:pos="1080"/>
        </w:tabs>
        <w:ind w:left="900"/>
      </w:pPr>
      <w:r>
        <w:t>B</w:t>
      </w:r>
      <w:r w:rsidRPr="005029BB">
        <w:t>.3</w:t>
      </w:r>
      <w:r w:rsidRPr="005029BB">
        <w:tab/>
      </w:r>
      <w:r w:rsidR="004534A9">
        <w:t>Methods for Maximizing Response Rates</w:t>
      </w:r>
      <w:r>
        <w:tab/>
      </w:r>
      <w:r w:rsidRPr="005029BB">
        <w:tab/>
      </w:r>
      <w:r w:rsidR="005621EE">
        <w:t>17</w:t>
      </w:r>
    </w:p>
    <w:p w:rsidR="00EB03A7" w:rsidRDefault="00EB03A7" w:rsidP="00EB03A7">
      <w:pPr>
        <w:pStyle w:val="TOC2"/>
        <w:tabs>
          <w:tab w:val="clear" w:pos="2160"/>
          <w:tab w:val="left" w:pos="270"/>
          <w:tab w:val="left" w:pos="1080"/>
        </w:tabs>
        <w:ind w:left="900"/>
      </w:pPr>
      <w:r>
        <w:t>B</w:t>
      </w:r>
      <w:r w:rsidRPr="005029BB">
        <w:t>.4</w:t>
      </w:r>
      <w:r w:rsidRPr="005029BB">
        <w:tab/>
      </w:r>
      <w:r w:rsidR="00EB789D">
        <w:t>Individuals Responsible for Study Design and Performance</w:t>
      </w:r>
      <w:r>
        <w:tab/>
      </w:r>
      <w:r w:rsidRPr="005029BB">
        <w:tab/>
      </w:r>
      <w:r w:rsidR="005621EE">
        <w:t>18</w:t>
      </w:r>
    </w:p>
    <w:p w:rsidR="008478A9" w:rsidRPr="005029BB" w:rsidRDefault="008478A9" w:rsidP="00C60F81">
      <w:pPr>
        <w:pStyle w:val="TOC2"/>
        <w:tabs>
          <w:tab w:val="left" w:pos="270"/>
        </w:tabs>
      </w:pPr>
    </w:p>
    <w:p w:rsidR="008478A9" w:rsidRDefault="008478A9" w:rsidP="00C60F81">
      <w:pPr>
        <w:pStyle w:val="TOC1"/>
        <w:tabs>
          <w:tab w:val="left" w:pos="0"/>
        </w:tabs>
        <w:ind w:left="0"/>
      </w:pPr>
      <w:r w:rsidRPr="005029BB">
        <w:t>References</w:t>
      </w:r>
      <w:r>
        <w:tab/>
      </w:r>
      <w:r w:rsidRPr="005029BB">
        <w:tab/>
      </w:r>
      <w:r w:rsidR="00C60F81">
        <w:tab/>
      </w:r>
      <w:r w:rsidR="005621EE">
        <w:t>18</w:t>
      </w:r>
    </w:p>
    <w:p w:rsidR="008478A9" w:rsidRDefault="008478A9" w:rsidP="00C65649">
      <w:pPr>
        <w:pStyle w:val="TOC1"/>
      </w:pPr>
    </w:p>
    <w:p w:rsidR="008478A9" w:rsidRPr="00062B20" w:rsidRDefault="008478A9" w:rsidP="00EB03A7">
      <w:pPr>
        <w:pStyle w:val="C2-CtrSglSp"/>
        <w:rPr>
          <w:b/>
        </w:rPr>
      </w:pPr>
      <w:r w:rsidRPr="00062B20">
        <w:rPr>
          <w:b/>
        </w:rPr>
        <w:t>List of Tables</w:t>
      </w:r>
    </w:p>
    <w:p w:rsidR="008478A9" w:rsidRDefault="008478A9" w:rsidP="00D47B17">
      <w:pPr>
        <w:pStyle w:val="T0-ChapPgHd"/>
      </w:pPr>
      <w:r>
        <w:t>Table</w:t>
      </w:r>
      <w:r>
        <w:tab/>
        <w:t>Page</w:t>
      </w:r>
    </w:p>
    <w:p w:rsidR="008478A9" w:rsidRDefault="00CA355C" w:rsidP="00AD516C">
      <w:pPr>
        <w:pStyle w:val="TOC5"/>
        <w:tabs>
          <w:tab w:val="clear" w:pos="1440"/>
          <w:tab w:val="left" w:pos="900"/>
        </w:tabs>
        <w:ind w:left="900" w:right="1584" w:hanging="540"/>
      </w:pPr>
      <w:r>
        <w:t>1</w:t>
      </w:r>
      <w:r w:rsidR="008478A9">
        <w:tab/>
      </w:r>
      <w:r w:rsidR="008478A9" w:rsidRPr="005029BB">
        <w:t>Estimated response burden for NHES</w:t>
      </w:r>
      <w:r w:rsidR="00AD667F">
        <w:t xml:space="preserve"> Feasibility Study</w:t>
      </w:r>
      <w:r w:rsidR="008478A9">
        <w:tab/>
      </w:r>
      <w:r w:rsidR="008478A9" w:rsidRPr="005029BB">
        <w:tab/>
      </w:r>
      <w:r w:rsidR="008A294A">
        <w:t>10</w:t>
      </w:r>
    </w:p>
    <w:p w:rsidR="00611F29" w:rsidRDefault="00611F29" w:rsidP="00611F29">
      <w:pPr>
        <w:pStyle w:val="TOC5"/>
        <w:tabs>
          <w:tab w:val="clear" w:pos="1440"/>
          <w:tab w:val="left" w:pos="900"/>
        </w:tabs>
        <w:ind w:left="900" w:right="1584" w:hanging="540"/>
      </w:pPr>
      <w:r>
        <w:t>2</w:t>
      </w:r>
      <w:r>
        <w:tab/>
      </w:r>
      <w:r w:rsidRPr="00611F29">
        <w:t>Estimates of required sample size to detect a difference between two estimated proportions of 3 or 5 percentage points</w:t>
      </w:r>
      <w:r>
        <w:tab/>
      </w:r>
      <w:r w:rsidRPr="005029BB">
        <w:tab/>
      </w:r>
      <w:r>
        <w:t>12</w:t>
      </w:r>
    </w:p>
    <w:p w:rsidR="00300626" w:rsidRDefault="00611F29" w:rsidP="00AD516C">
      <w:pPr>
        <w:pStyle w:val="TOC5"/>
        <w:tabs>
          <w:tab w:val="clear" w:pos="1440"/>
          <w:tab w:val="left" w:pos="900"/>
        </w:tabs>
        <w:ind w:left="900" w:right="1584" w:hanging="540"/>
      </w:pPr>
      <w:r>
        <w:t>3</w:t>
      </w:r>
      <w:r w:rsidR="00300626">
        <w:tab/>
        <w:t>Expected percentage of households with eligible children or adults, by sampling domain</w:t>
      </w:r>
      <w:r w:rsidR="00300626">
        <w:tab/>
      </w:r>
      <w:r w:rsidR="00300626" w:rsidRPr="005029BB">
        <w:tab/>
      </w:r>
      <w:r w:rsidR="00300626">
        <w:t>13</w:t>
      </w:r>
    </w:p>
    <w:p w:rsidR="00611F29" w:rsidRDefault="00611F29" w:rsidP="00611F29">
      <w:pPr>
        <w:pStyle w:val="TOC5"/>
        <w:tabs>
          <w:tab w:val="clear" w:pos="1440"/>
          <w:tab w:val="left" w:pos="900"/>
        </w:tabs>
        <w:ind w:left="900" w:right="1584" w:hanging="540"/>
      </w:pPr>
      <w:r>
        <w:t>4</w:t>
      </w:r>
      <w:r w:rsidR="00300626">
        <w:tab/>
        <w:t>Expected numbers sampled and expected numbers of completed screeners and topical surveys in the NHES-FS</w:t>
      </w:r>
      <w:r w:rsidR="00300626">
        <w:tab/>
      </w:r>
      <w:r w:rsidR="00300626" w:rsidRPr="005029BB">
        <w:tab/>
      </w:r>
      <w:r w:rsidR="00300626">
        <w:t>13</w:t>
      </w:r>
    </w:p>
    <w:p w:rsidR="005D574C" w:rsidRDefault="005D574C" w:rsidP="00C65649">
      <w:pPr>
        <w:pStyle w:val="TOC1"/>
      </w:pPr>
    </w:p>
    <w:p w:rsidR="008478A9" w:rsidRDefault="008478A9" w:rsidP="005D574C">
      <w:pPr>
        <w:pStyle w:val="TOC1"/>
        <w:ind w:left="0"/>
      </w:pPr>
    </w:p>
    <w:p w:rsidR="008478A9" w:rsidRPr="00062B20" w:rsidRDefault="008478A9" w:rsidP="00EB03A7">
      <w:pPr>
        <w:pStyle w:val="C2-CtrSglSp"/>
        <w:rPr>
          <w:b/>
        </w:rPr>
      </w:pPr>
      <w:r w:rsidRPr="00062B20">
        <w:rPr>
          <w:b/>
        </w:rPr>
        <w:t>List of Exhibits</w:t>
      </w:r>
      <w:r w:rsidR="00D47B17" w:rsidRPr="00062B20">
        <w:rPr>
          <w:b/>
        </w:rPr>
        <w:t xml:space="preserve"> and Figures</w:t>
      </w:r>
    </w:p>
    <w:p w:rsidR="008478A9" w:rsidRDefault="008478A9" w:rsidP="00E45597">
      <w:pPr>
        <w:pStyle w:val="T0-ChapPgHd"/>
      </w:pPr>
      <w:r>
        <w:t>Exhibit</w:t>
      </w:r>
      <w:r>
        <w:tab/>
      </w:r>
    </w:p>
    <w:p w:rsidR="008478A9" w:rsidRDefault="008478A9" w:rsidP="00AD516C">
      <w:pPr>
        <w:pStyle w:val="TOC5"/>
        <w:tabs>
          <w:tab w:val="clear" w:pos="1440"/>
          <w:tab w:val="left" w:pos="900"/>
        </w:tabs>
        <w:ind w:left="900" w:right="1584" w:hanging="540"/>
      </w:pPr>
      <w:r w:rsidRPr="005029BB">
        <w:t>1</w:t>
      </w:r>
      <w:r>
        <w:tab/>
      </w:r>
      <w:r w:rsidRPr="005029BB">
        <w:t>Surveys conducted under the National Household Education Surveys Program, by years administered: 1991 through 20</w:t>
      </w:r>
      <w:r w:rsidR="00AD667F">
        <w:t>12</w:t>
      </w:r>
      <w:r>
        <w:tab/>
      </w:r>
      <w:r w:rsidRPr="005029BB">
        <w:tab/>
      </w:r>
      <w:r w:rsidR="008A294A">
        <w:t>3</w:t>
      </w:r>
    </w:p>
    <w:p w:rsidR="0068462A" w:rsidRDefault="008478A9" w:rsidP="00AD516C">
      <w:pPr>
        <w:pStyle w:val="TOC5"/>
        <w:tabs>
          <w:tab w:val="clear" w:pos="1440"/>
          <w:tab w:val="left" w:pos="900"/>
        </w:tabs>
        <w:ind w:left="900" w:right="1584" w:hanging="540"/>
      </w:pPr>
      <w:r w:rsidRPr="005029BB">
        <w:t>2</w:t>
      </w:r>
      <w:r>
        <w:tab/>
      </w:r>
      <w:r w:rsidR="0068462A" w:rsidRPr="0068462A">
        <w:t>Number of questionnaire items by survey section and adult topical survey type</w:t>
      </w:r>
      <w:r w:rsidR="0068462A">
        <w:tab/>
      </w:r>
      <w:r w:rsidR="0068462A" w:rsidRPr="005029BB">
        <w:tab/>
      </w:r>
      <w:r w:rsidR="00C60F81">
        <w:t>4</w:t>
      </w:r>
    </w:p>
    <w:p w:rsidR="008478A9" w:rsidRDefault="0068462A" w:rsidP="00AD516C">
      <w:pPr>
        <w:pStyle w:val="TOC5"/>
        <w:tabs>
          <w:tab w:val="clear" w:pos="1440"/>
          <w:tab w:val="left" w:pos="900"/>
        </w:tabs>
        <w:ind w:left="900" w:right="1584" w:hanging="540"/>
      </w:pPr>
      <w:r>
        <w:t>3</w:t>
      </w:r>
      <w:r>
        <w:tab/>
      </w:r>
      <w:r w:rsidR="008478A9" w:rsidRPr="005029BB">
        <w:t>NHES</w:t>
      </w:r>
      <w:r w:rsidR="00AD667F">
        <w:t xml:space="preserve"> Feasibility </w:t>
      </w:r>
      <w:r w:rsidR="00224091">
        <w:t>Test</w:t>
      </w:r>
      <w:r w:rsidR="008478A9" w:rsidRPr="005029BB">
        <w:t xml:space="preserve"> schedule of major activities</w:t>
      </w:r>
      <w:r w:rsidR="008478A9">
        <w:tab/>
      </w:r>
      <w:r w:rsidR="008478A9" w:rsidRPr="005029BB">
        <w:tab/>
      </w:r>
      <w:r w:rsidR="008A294A">
        <w:t>11</w:t>
      </w:r>
    </w:p>
    <w:p w:rsidR="00D47B17" w:rsidRDefault="00D47B17" w:rsidP="00D47B17">
      <w:pPr>
        <w:pStyle w:val="T0-ChapPgHd"/>
      </w:pPr>
      <w:r>
        <w:t>Figure</w:t>
      </w:r>
      <w:r>
        <w:tab/>
      </w:r>
    </w:p>
    <w:p w:rsidR="00D47B17" w:rsidRDefault="00D47B17" w:rsidP="00D47B17">
      <w:pPr>
        <w:pStyle w:val="TOC5"/>
        <w:tabs>
          <w:tab w:val="clear" w:pos="1440"/>
          <w:tab w:val="left" w:pos="900"/>
        </w:tabs>
        <w:ind w:left="900" w:right="1584" w:hanging="540"/>
      </w:pPr>
      <w:r w:rsidRPr="005029BB">
        <w:t>1</w:t>
      </w:r>
      <w:r>
        <w:tab/>
      </w:r>
      <w:r w:rsidRPr="001C4828">
        <w:t>Screener Data Collection</w:t>
      </w:r>
      <w:r>
        <w:tab/>
      </w:r>
      <w:r w:rsidRPr="005029BB">
        <w:tab/>
      </w:r>
      <w:r w:rsidR="005C6394">
        <w:t>19</w:t>
      </w:r>
    </w:p>
    <w:p w:rsidR="00D47B17" w:rsidRDefault="00D47B17" w:rsidP="00D47B17">
      <w:pPr>
        <w:pStyle w:val="TOC5"/>
        <w:tabs>
          <w:tab w:val="clear" w:pos="1440"/>
          <w:tab w:val="left" w:pos="900"/>
        </w:tabs>
        <w:ind w:left="900" w:right="1584" w:hanging="540"/>
      </w:pPr>
      <w:r w:rsidRPr="005029BB">
        <w:t>2</w:t>
      </w:r>
      <w:r>
        <w:tab/>
      </w:r>
      <w:r w:rsidRPr="001C4828">
        <w:t>Topical Mailing Plan – ASPA</w:t>
      </w:r>
      <w:r>
        <w:tab/>
      </w:r>
      <w:r w:rsidRPr="005029BB">
        <w:tab/>
      </w:r>
      <w:r w:rsidR="005C6394">
        <w:t>20</w:t>
      </w:r>
    </w:p>
    <w:p w:rsidR="00D47B17" w:rsidRDefault="00D47B17" w:rsidP="00D47B17">
      <w:pPr>
        <w:pStyle w:val="TOC5"/>
        <w:tabs>
          <w:tab w:val="clear" w:pos="1440"/>
          <w:tab w:val="left" w:pos="900"/>
        </w:tabs>
        <w:ind w:left="900" w:right="1584" w:hanging="540"/>
      </w:pPr>
      <w:r>
        <w:t>3</w:t>
      </w:r>
      <w:r>
        <w:tab/>
      </w:r>
      <w:r w:rsidR="005C6394" w:rsidRPr="001C4828">
        <w:t>Topical Mailing Plan – ATES</w:t>
      </w:r>
      <w:r>
        <w:tab/>
      </w:r>
      <w:r w:rsidRPr="005029BB">
        <w:tab/>
      </w:r>
      <w:r w:rsidR="005C6394">
        <w:t>2</w:t>
      </w:r>
      <w:r>
        <w:t>1</w:t>
      </w:r>
    </w:p>
    <w:p w:rsidR="00D47B17" w:rsidRDefault="00D47B17" w:rsidP="00D47B17">
      <w:pPr>
        <w:pStyle w:val="TOC5"/>
        <w:tabs>
          <w:tab w:val="clear" w:pos="1440"/>
          <w:tab w:val="left" w:pos="900"/>
        </w:tabs>
        <w:ind w:left="900" w:right="1584" w:hanging="540"/>
      </w:pPr>
      <w:r>
        <w:t>3</w:t>
      </w:r>
      <w:r>
        <w:tab/>
      </w:r>
      <w:r w:rsidR="005C6394">
        <w:t>Topical Mailing Plan – ASPA/ATES</w:t>
      </w:r>
      <w:r>
        <w:tab/>
      </w:r>
      <w:r w:rsidRPr="005029BB">
        <w:tab/>
      </w:r>
      <w:r w:rsidR="005C6394">
        <w:t>22</w:t>
      </w:r>
    </w:p>
    <w:p w:rsidR="00300626" w:rsidRDefault="00300626" w:rsidP="00E45597">
      <w:pPr>
        <w:pStyle w:val="TOC5"/>
        <w:ind w:left="1440" w:right="1584" w:hanging="1152"/>
      </w:pPr>
    </w:p>
    <w:p w:rsidR="008478A9" w:rsidRDefault="008478A9" w:rsidP="00E45597">
      <w:pPr>
        <w:pStyle w:val="TOC5"/>
        <w:ind w:left="1440" w:right="1584" w:hanging="1152"/>
      </w:pPr>
    </w:p>
    <w:p w:rsidR="008478A9" w:rsidRDefault="008478A9" w:rsidP="00603C3F">
      <w:pPr>
        <w:pStyle w:val="SL-FlLftSgl"/>
        <w:sectPr w:rsidR="008478A9" w:rsidSect="002D3B05">
          <w:footerReference w:type="even" r:id="rId9"/>
          <w:pgSz w:w="12240" w:h="15840"/>
          <w:pgMar w:top="1440" w:right="1440" w:bottom="1440" w:left="1440" w:header="720" w:footer="576" w:gutter="0"/>
          <w:pgNumType w:fmt="lowerRoman" w:start="1"/>
          <w:cols w:space="720" w:equalWidth="0">
            <w:col w:w="9360"/>
          </w:cols>
          <w:noEndnote/>
          <w:titlePg/>
          <w:docGrid w:linePitch="299"/>
        </w:sectPr>
      </w:pPr>
    </w:p>
    <w:p w:rsidR="008478A9" w:rsidRDefault="008478A9" w:rsidP="00DC56AA">
      <w:pPr>
        <w:pStyle w:val="C1-CtrBoldHd"/>
        <w:spacing w:after="240" w:line="240" w:lineRule="auto"/>
      </w:pPr>
      <w:bookmarkStart w:id="3" w:name="_Toc222888884"/>
      <w:r>
        <w:lastRenderedPageBreak/>
        <w:t>JUSTIFICATION</w:t>
      </w:r>
      <w:bookmarkEnd w:id="3"/>
    </w:p>
    <w:p w:rsidR="00C60F81" w:rsidRDefault="00C60F81" w:rsidP="00DC56AA">
      <w:pPr>
        <w:pStyle w:val="C1-CtrBoldHd"/>
        <w:spacing w:after="240" w:line="240" w:lineRule="auto"/>
      </w:pPr>
    </w:p>
    <w:p w:rsidR="008478A9" w:rsidRDefault="00C60F81" w:rsidP="007C3889">
      <w:pPr>
        <w:pStyle w:val="Heading4"/>
        <w:spacing w:after="240" w:line="240" w:lineRule="auto"/>
        <w:ind w:left="0" w:firstLine="0"/>
      </w:pPr>
      <w:r>
        <w:tab/>
      </w:r>
      <w:r w:rsidR="008478A9">
        <w:t>Request for Clearance</w:t>
      </w:r>
    </w:p>
    <w:p w:rsidR="000F1556" w:rsidRDefault="00722080" w:rsidP="007C3889">
      <w:pPr>
        <w:pStyle w:val="P1-StandPara"/>
        <w:spacing w:line="276" w:lineRule="auto"/>
      </w:pPr>
      <w:r>
        <w:t>In 2008, t</w:t>
      </w:r>
      <w:r w:rsidR="007F0EA8">
        <w:t xml:space="preserve">he National Household Education Surveys </w:t>
      </w:r>
      <w:r>
        <w:t>p</w:t>
      </w:r>
      <w:r w:rsidR="007F0EA8">
        <w:t xml:space="preserve">rogram (NHES) </w:t>
      </w:r>
      <w:r>
        <w:t xml:space="preserve">began </w:t>
      </w:r>
      <w:r w:rsidR="007F0EA8">
        <w:t xml:space="preserve">a redesign </w:t>
      </w:r>
      <w:r w:rsidR="002A17E1">
        <w:t xml:space="preserve">effort </w:t>
      </w:r>
      <w:r w:rsidR="007F0EA8">
        <w:t xml:space="preserve">to convert from a system of landline random digit dial (RDD) surveys </w:t>
      </w:r>
      <w:r>
        <w:t xml:space="preserve">to </w:t>
      </w:r>
      <w:r w:rsidR="007F0EA8">
        <w:t xml:space="preserve">a self-administered mail survey using an address-based sample (ABS). This redesign was prompted by declines in response rates to the telephone survey and concerns about population coverage using the landline </w:t>
      </w:r>
      <w:r w:rsidR="00352FC9">
        <w:t xml:space="preserve">telephone </w:t>
      </w:r>
      <w:r w:rsidR="007F0EA8">
        <w:t xml:space="preserve">frame (due to increasing conversion to cellular-only coverage). </w:t>
      </w:r>
      <w:r w:rsidR="008478A9">
        <w:t xml:space="preserve">The goals of the redesign effort </w:t>
      </w:r>
      <w:r w:rsidR="00DE584E">
        <w:t xml:space="preserve">were </w:t>
      </w:r>
      <w:r w:rsidR="008478A9">
        <w:t xml:space="preserve">to develop and assess approaches to collecting important information on education topics from households while improving response rates and coverage from the previous design. </w:t>
      </w:r>
      <w:r w:rsidR="00A24170">
        <w:t xml:space="preserve">A feasibility test of the new design was conducted in 2009 </w:t>
      </w:r>
      <w:r w:rsidR="002A17E1">
        <w:t>followed by</w:t>
      </w:r>
      <w:r w:rsidR="00A24170">
        <w:t xml:space="preserve"> a field test</w:t>
      </w:r>
      <w:r w:rsidR="00DE584E">
        <w:t xml:space="preserve"> </w:t>
      </w:r>
      <w:r w:rsidR="00A24170">
        <w:t xml:space="preserve">in 2011. </w:t>
      </w:r>
      <w:r w:rsidR="002A17E1">
        <w:t>The field test results helped to inform the final design of</w:t>
      </w:r>
      <w:r w:rsidR="00A24170">
        <w:t xml:space="preserve"> </w:t>
      </w:r>
      <w:r w:rsidR="002A17E1">
        <w:t xml:space="preserve">a </w:t>
      </w:r>
      <w:r w:rsidR="00FF75E7">
        <w:t>full</w:t>
      </w:r>
      <w:r w:rsidR="003C4A1A">
        <w:t>-</w:t>
      </w:r>
      <w:r w:rsidR="00FF75E7">
        <w:t xml:space="preserve">scale </w:t>
      </w:r>
      <w:r w:rsidR="00A24170">
        <w:t>NHES</w:t>
      </w:r>
      <w:r w:rsidR="000F1556">
        <w:t xml:space="preserve"> in </w:t>
      </w:r>
      <w:r w:rsidR="00E2307F">
        <w:t>2012</w:t>
      </w:r>
      <w:r w:rsidR="001C042E">
        <w:t xml:space="preserve"> </w:t>
      </w:r>
      <w:r w:rsidR="001C042E" w:rsidRPr="00501801">
        <w:t>(OMB# 1850-</w:t>
      </w:r>
      <w:r w:rsidR="00501801" w:rsidRPr="00501801">
        <w:t>0768</w:t>
      </w:r>
      <w:r w:rsidR="00501801">
        <w:t xml:space="preserve"> v.9</w:t>
      </w:r>
      <w:r w:rsidR="001C042E">
        <w:t>)</w:t>
      </w:r>
      <w:r w:rsidR="00A24170">
        <w:t>.</w:t>
      </w:r>
    </w:p>
    <w:p w:rsidR="000F1556" w:rsidRDefault="000F1556" w:rsidP="007F0EA8">
      <w:pPr>
        <w:pStyle w:val="P1-StandPara"/>
      </w:pPr>
    </w:p>
    <w:p w:rsidR="00301E6B" w:rsidRDefault="00020553" w:rsidP="007C3889">
      <w:pPr>
        <w:pStyle w:val="P1-StandPara"/>
        <w:spacing w:line="276" w:lineRule="auto"/>
      </w:pPr>
      <w:r>
        <w:t>During the same period of time</w:t>
      </w:r>
      <w:r w:rsidR="00641CC8">
        <w:t>,</w:t>
      </w:r>
      <w:r w:rsidR="00783CC8" w:rsidRPr="00783CC8">
        <w:t xml:space="preserve"> </w:t>
      </w:r>
      <w:r w:rsidR="000F1556">
        <w:t xml:space="preserve">NCES began supporting developmental work on new questionnaire items for federal household surveys </w:t>
      </w:r>
      <w:r w:rsidR="00011979">
        <w:t xml:space="preserve">on work-related </w:t>
      </w:r>
      <w:r w:rsidR="000F1556">
        <w:t xml:space="preserve">education, training, and credentials </w:t>
      </w:r>
      <w:r w:rsidR="00011979">
        <w:t>for</w:t>
      </w:r>
      <w:r w:rsidR="000F1556">
        <w:t xml:space="preserve"> adults and out-of-school you</w:t>
      </w:r>
      <w:r w:rsidR="00011979">
        <w:t>th</w:t>
      </w:r>
      <w:r w:rsidR="000F1556">
        <w:t xml:space="preserve">. </w:t>
      </w:r>
      <w:r w:rsidR="00783CC8" w:rsidRPr="00783CC8">
        <w:t xml:space="preserve">The Interagency Working Group on Expanded Measures of Enrollment and Attainment (GEMEnA) </w:t>
      </w:r>
      <w:r w:rsidR="00556815">
        <w:t>is a collaboration among federal statistical agencies</w:t>
      </w:r>
      <w:r w:rsidR="00466E94">
        <w:t xml:space="preserve"> established by</w:t>
      </w:r>
      <w:r w:rsidR="00556815">
        <w:t xml:space="preserve"> the OMB Office of Statistical and Science Policy, the Council of Economic Advisors, and the Under Secretary of Education</w:t>
      </w:r>
      <w:r w:rsidR="00466E94">
        <w:t xml:space="preserve"> to improve federal household statistics on the attainment of non-degree credentials such as industry-recognized certifications, occupational licenses, and educational certificates. In 2012, GEMEnA</w:t>
      </w:r>
      <w:r w:rsidR="00C93C26">
        <w:t>’s commission</w:t>
      </w:r>
      <w:r w:rsidR="00466E94">
        <w:t xml:space="preserve"> expanded to include the development of new and revised measures of enrollment or participation in education and training for work. </w:t>
      </w:r>
      <w:r w:rsidR="00C93C26">
        <w:t xml:space="preserve">One of GEMEnA’s roles is to guide NCES’s development of a new household survey </w:t>
      </w:r>
      <w:r w:rsidR="00E14215">
        <w:t xml:space="preserve">on these topics </w:t>
      </w:r>
      <w:r w:rsidR="00C93C26">
        <w:t>to support research and policy analysis.</w:t>
      </w:r>
      <w:r w:rsidR="00A9755C">
        <w:t xml:space="preserve"> </w:t>
      </w:r>
      <w:r w:rsidR="00E14215">
        <w:t>NCES conducted two pilot studies</w:t>
      </w:r>
      <w:r w:rsidR="006946B8">
        <w:t xml:space="preserve"> (OMB# 1850-0803)</w:t>
      </w:r>
      <w:r w:rsidR="00D55F22">
        <w:t>, first</w:t>
      </w:r>
      <w:r w:rsidR="00E14215">
        <w:t xml:space="preserve"> a two-stage telephone survey</w:t>
      </w:r>
      <w:r w:rsidR="00D55F22">
        <w:t xml:space="preserve"> (</w:t>
      </w:r>
      <w:r w:rsidR="00121B19">
        <w:t xml:space="preserve">42% </w:t>
      </w:r>
      <w:r w:rsidR="00D55F22">
        <w:t>response rate)</w:t>
      </w:r>
      <w:r w:rsidR="00E14215">
        <w:t xml:space="preserve"> and the</w:t>
      </w:r>
      <w:r w:rsidR="00D55F22">
        <w:t xml:space="preserve">n a </w:t>
      </w:r>
      <w:r w:rsidR="00E14215">
        <w:t xml:space="preserve">single-stage </w:t>
      </w:r>
      <w:r w:rsidR="00D55F22">
        <w:t xml:space="preserve">self-administered </w:t>
      </w:r>
      <w:r w:rsidR="00E14215">
        <w:t>mail survey</w:t>
      </w:r>
      <w:r w:rsidR="00D55F22">
        <w:t xml:space="preserve"> </w:t>
      </w:r>
      <w:r w:rsidR="00D55F22" w:rsidRPr="00056044">
        <w:t>(</w:t>
      </w:r>
      <w:r w:rsidR="009B150C" w:rsidRPr="00056044">
        <w:t>69</w:t>
      </w:r>
      <w:r w:rsidR="00121B19" w:rsidRPr="00056044">
        <w:t>% response rate</w:t>
      </w:r>
      <w:r w:rsidR="00D55F22" w:rsidRPr="00056044">
        <w:t>)</w:t>
      </w:r>
      <w:r w:rsidR="009B150C" w:rsidRPr="00056044">
        <w:t>.</w:t>
      </w:r>
      <w:r w:rsidR="00974A81">
        <w:t xml:space="preserve"> </w:t>
      </w:r>
    </w:p>
    <w:p w:rsidR="00301E6B" w:rsidRDefault="00301E6B" w:rsidP="007C3889">
      <w:pPr>
        <w:pStyle w:val="P1-StandPara"/>
        <w:spacing w:line="276" w:lineRule="auto"/>
      </w:pPr>
    </w:p>
    <w:p w:rsidR="00063F6D" w:rsidRDefault="00D55F22" w:rsidP="007C3889">
      <w:pPr>
        <w:pStyle w:val="P1-StandPara"/>
        <w:spacing w:line="276" w:lineRule="auto"/>
      </w:pPr>
      <w:r>
        <w:t xml:space="preserve">One of </w:t>
      </w:r>
      <w:r w:rsidR="002D6F89">
        <w:t>NCES’s goal</w:t>
      </w:r>
      <w:r>
        <w:t>s</w:t>
      </w:r>
      <w:r w:rsidR="002D6F89">
        <w:t xml:space="preserve"> from the beginning of the </w:t>
      </w:r>
      <w:r>
        <w:t>GEMEnA project was to</w:t>
      </w:r>
      <w:r w:rsidR="002D6F89">
        <w:t xml:space="preserve"> </w:t>
      </w:r>
      <w:r>
        <w:t xml:space="preserve">see whether it would be feasible to eventually </w:t>
      </w:r>
      <w:r w:rsidR="002D6F89">
        <w:t xml:space="preserve">incorporate a </w:t>
      </w:r>
      <w:r w:rsidR="008831CD">
        <w:t>revised survey</w:t>
      </w:r>
      <w:r w:rsidR="002D6F89">
        <w:t xml:space="preserve"> on adult credentials back into the NHES. </w:t>
      </w:r>
      <w:r w:rsidR="00447A49">
        <w:t xml:space="preserve">The NHES redesign work </w:t>
      </w:r>
      <w:r w:rsidR="003A6DF3">
        <w:t xml:space="preserve">had </w:t>
      </w:r>
      <w:r w:rsidR="002D6F89">
        <w:t>resulted in a delay of the next full-scale NHES to 2015, beyond its typical two-year cycle</w:t>
      </w:r>
      <w:r w:rsidR="00447A49">
        <w:t>, which</w:t>
      </w:r>
      <w:r w:rsidR="002D6F89">
        <w:t xml:space="preserve"> meant that the GEMEnA </w:t>
      </w:r>
      <w:r>
        <w:t xml:space="preserve">work </w:t>
      </w:r>
      <w:r w:rsidR="002D6F89">
        <w:t xml:space="preserve">was able to proceed to the point where it </w:t>
      </w:r>
      <w:r>
        <w:t>will be</w:t>
      </w:r>
      <w:r w:rsidR="002D6F89">
        <w:t xml:space="preserve"> possible to test instruments, operations, and processing</w:t>
      </w:r>
      <w:r w:rsidR="00916697">
        <w:t xml:space="preserve"> for both an adult and a child </w:t>
      </w:r>
      <w:r w:rsidR="00020553">
        <w:t>survey</w:t>
      </w:r>
      <w:r w:rsidR="00916697">
        <w:t xml:space="preserve"> </w:t>
      </w:r>
      <w:r w:rsidR="002D6F89">
        <w:t xml:space="preserve">in January 2014. </w:t>
      </w:r>
      <w:r w:rsidR="00707D30">
        <w:t>This package</w:t>
      </w:r>
      <w:r w:rsidR="00DC1147">
        <w:t>, therefore,</w:t>
      </w:r>
      <w:r w:rsidR="00707D30">
        <w:t xml:space="preserve"> requests clearance for a </w:t>
      </w:r>
      <w:r w:rsidR="00535616">
        <w:t>F</w:t>
      </w:r>
      <w:r w:rsidR="00707D30">
        <w:t xml:space="preserve">easibility </w:t>
      </w:r>
      <w:r w:rsidR="00535616">
        <w:t>S</w:t>
      </w:r>
      <w:r w:rsidR="00707D30">
        <w:t xml:space="preserve">tudy testing the integration of </w:t>
      </w:r>
      <w:r w:rsidR="00DC1147">
        <w:t>an</w:t>
      </w:r>
      <w:r w:rsidR="003D304D">
        <w:t xml:space="preserve"> </w:t>
      </w:r>
      <w:r w:rsidR="00180F7C">
        <w:t xml:space="preserve">adult topical survey </w:t>
      </w:r>
      <w:r w:rsidR="00707D30">
        <w:t xml:space="preserve">into NHES </w:t>
      </w:r>
      <w:r w:rsidR="00974A81">
        <w:t xml:space="preserve">mail </w:t>
      </w:r>
      <w:r w:rsidR="00707D30">
        <w:t>operations and processing.</w:t>
      </w:r>
      <w:r w:rsidR="00A169CE">
        <w:t xml:space="preserve"> </w:t>
      </w:r>
      <w:r w:rsidR="00535616" w:rsidRPr="005A4BAF">
        <w:t>The F</w:t>
      </w:r>
      <w:r w:rsidR="00C56537" w:rsidRPr="005A27E9">
        <w:t>easi</w:t>
      </w:r>
      <w:r w:rsidR="00535616" w:rsidRPr="00706190">
        <w:t>bility S</w:t>
      </w:r>
      <w:r w:rsidR="00611E6D">
        <w:t xml:space="preserve">tudy will also include several experiments to inform the final design of a planned 2015 full-scale NHES containing </w:t>
      </w:r>
      <w:r w:rsidR="005A4BAF" w:rsidRPr="00163558">
        <w:t>the ATES and the two child-focused surveys fielded in 2012</w:t>
      </w:r>
      <w:r w:rsidR="003C4A1A" w:rsidRPr="00163558">
        <w:t>.</w:t>
      </w:r>
    </w:p>
    <w:p w:rsidR="006641ED" w:rsidRDefault="006641ED" w:rsidP="007C3889">
      <w:pPr>
        <w:pStyle w:val="P1-StandPara"/>
        <w:spacing w:line="276" w:lineRule="auto"/>
      </w:pPr>
    </w:p>
    <w:p w:rsidR="008478A9" w:rsidRDefault="008478A9" w:rsidP="007C3889">
      <w:pPr>
        <w:pStyle w:val="P1-StandPara"/>
        <w:spacing w:line="276" w:lineRule="auto"/>
      </w:pPr>
      <w:r>
        <w:t>The NHES</w:t>
      </w:r>
      <w:r w:rsidR="00E2307F">
        <w:t xml:space="preserve"> Feasibility Study</w:t>
      </w:r>
      <w:r w:rsidR="004602E4">
        <w:t xml:space="preserve"> (NHES-FS)</w:t>
      </w:r>
      <w:r w:rsidR="00E2307F">
        <w:t xml:space="preserve"> </w:t>
      </w:r>
      <w:r>
        <w:t>will</w:t>
      </w:r>
      <w:r w:rsidR="00D02206">
        <w:t xml:space="preserve"> include two topical surveys, t</w:t>
      </w:r>
      <w:r w:rsidR="00E24688">
        <w:t xml:space="preserve">he </w:t>
      </w:r>
      <w:r w:rsidR="00180F7C">
        <w:t>A</w:t>
      </w:r>
      <w:r w:rsidR="006641ED">
        <w:t xml:space="preserve">dult </w:t>
      </w:r>
      <w:r w:rsidR="00180F7C">
        <w:t>T</w:t>
      </w:r>
      <w:r w:rsidR="006641ED">
        <w:t xml:space="preserve">raining and </w:t>
      </w:r>
      <w:r w:rsidR="00180F7C">
        <w:t>E</w:t>
      </w:r>
      <w:r w:rsidR="006641ED">
        <w:t xml:space="preserve">ducation </w:t>
      </w:r>
      <w:r w:rsidR="00180F7C">
        <w:t>S</w:t>
      </w:r>
      <w:r w:rsidR="006641ED">
        <w:t>urvey (ATES)</w:t>
      </w:r>
      <w:r w:rsidR="00C56537">
        <w:rPr>
          <w:rStyle w:val="FootnoteReference"/>
        </w:rPr>
        <w:footnoteReference w:id="1"/>
      </w:r>
      <w:r w:rsidR="00D02206">
        <w:t xml:space="preserve"> and the After</w:t>
      </w:r>
      <w:r w:rsidR="00180F7C">
        <w:t>-</w:t>
      </w:r>
      <w:r w:rsidR="00D02206">
        <w:t>school Programs and Activities Survey (ASPA)</w:t>
      </w:r>
      <w:r w:rsidR="00163558">
        <w:rPr>
          <w:rStyle w:val="FootnoteReference"/>
        </w:rPr>
        <w:footnoteReference w:id="2"/>
      </w:r>
      <w:r w:rsidR="00D02206">
        <w:t>.</w:t>
      </w:r>
      <w:r w:rsidR="00E24688">
        <w:t xml:space="preserve"> Adults ages 16 to 65 </w:t>
      </w:r>
      <w:r w:rsidR="00E52B33">
        <w:t>who are</w:t>
      </w:r>
      <w:r w:rsidR="00E24688">
        <w:t xml:space="preserve"> not enrolled in </w:t>
      </w:r>
      <w:r w:rsidR="00843E0A">
        <w:t>grade 12 or below</w:t>
      </w:r>
      <w:r w:rsidR="00E24688">
        <w:t xml:space="preserve"> will be eligible for the ATES topical survey and children in kindergarten through eighth grade </w:t>
      </w:r>
      <w:r w:rsidR="00E52B33">
        <w:t>who are</w:t>
      </w:r>
      <w:r w:rsidR="00E24688">
        <w:t xml:space="preserve"> age</w:t>
      </w:r>
      <w:r w:rsidR="00E52B33">
        <w:t>s</w:t>
      </w:r>
      <w:r w:rsidR="00E24688">
        <w:t xml:space="preserve"> 15 or younger will be eligible for the ASPA topical survey.</w:t>
      </w:r>
      <w:r w:rsidR="00D02206">
        <w:t xml:space="preserve"> The NHES </w:t>
      </w:r>
      <w:r w:rsidR="00D02206">
        <w:lastRenderedPageBreak/>
        <w:t>Feasibility Study will</w:t>
      </w:r>
      <w:r>
        <w:t xml:space="preserve"> screen </w:t>
      </w:r>
      <w:r w:rsidR="00480C62" w:rsidRPr="00F9525E">
        <w:t>60</w:t>
      </w:r>
      <w:r w:rsidRPr="00F9525E">
        <w:t>,000</w:t>
      </w:r>
      <w:r>
        <w:t xml:space="preserve"> households</w:t>
      </w:r>
      <w:r w:rsidR="00685FAF">
        <w:t xml:space="preserve">. </w:t>
      </w:r>
      <w:r w:rsidR="00F83C64">
        <w:t xml:space="preserve">Of these households, it is expected that approximately </w:t>
      </w:r>
      <w:r w:rsidR="00D01B0F">
        <w:t>37,914</w:t>
      </w:r>
      <w:r w:rsidR="004602E4">
        <w:t xml:space="preserve"> will</w:t>
      </w:r>
      <w:r w:rsidR="00D01B0F" w:rsidRPr="00740251">
        <w:t xml:space="preserve"> </w:t>
      </w:r>
      <w:r w:rsidR="00D01B0F">
        <w:t>return a screener survey.</w:t>
      </w:r>
      <w:r w:rsidR="00A9755C">
        <w:t xml:space="preserve"> </w:t>
      </w:r>
      <w:r w:rsidR="00D01B0F">
        <w:t xml:space="preserve">From these completed screeners, it is expected that </w:t>
      </w:r>
      <w:r w:rsidR="00F9525E">
        <w:t xml:space="preserve">approximately </w:t>
      </w:r>
      <w:r w:rsidR="00F9525E">
        <w:rPr>
          <w:color w:val="000000"/>
          <w:szCs w:val="22"/>
        </w:rPr>
        <w:t>24,45</w:t>
      </w:r>
      <w:r w:rsidR="006C0005">
        <w:rPr>
          <w:color w:val="000000"/>
          <w:szCs w:val="22"/>
        </w:rPr>
        <w:t>1</w:t>
      </w:r>
      <w:r w:rsidR="004602E4">
        <w:rPr>
          <w:color w:val="000000"/>
          <w:szCs w:val="22"/>
        </w:rPr>
        <w:t xml:space="preserve"> households</w:t>
      </w:r>
      <w:r w:rsidR="00F9525E">
        <w:rPr>
          <w:color w:val="000000"/>
          <w:szCs w:val="22"/>
        </w:rPr>
        <w:t xml:space="preserve"> will contain</w:t>
      </w:r>
      <w:r w:rsidR="00F83C64">
        <w:t xml:space="preserve"> an elig</w:t>
      </w:r>
      <w:r w:rsidR="00AF5F9A">
        <w:t>i</w:t>
      </w:r>
      <w:r w:rsidR="00F83C64">
        <w:t>b</w:t>
      </w:r>
      <w:r w:rsidR="00AF5F9A">
        <w:t>l</w:t>
      </w:r>
      <w:r w:rsidR="00F83C64">
        <w:t xml:space="preserve">e adult but no eligible children; approximately </w:t>
      </w:r>
      <w:r w:rsidR="00F9525E">
        <w:rPr>
          <w:color w:val="000000"/>
          <w:szCs w:val="22"/>
        </w:rPr>
        <w:t>7,0</w:t>
      </w:r>
      <w:r w:rsidR="006C0005">
        <w:rPr>
          <w:color w:val="000000"/>
          <w:szCs w:val="22"/>
        </w:rPr>
        <w:t>44</w:t>
      </w:r>
      <w:r w:rsidR="00A874B2">
        <w:rPr>
          <w:color w:val="000000"/>
          <w:szCs w:val="22"/>
        </w:rPr>
        <w:t xml:space="preserve"> </w:t>
      </w:r>
      <w:r w:rsidR="00F83C64">
        <w:t>will contain an eligible adult and</w:t>
      </w:r>
      <w:r w:rsidR="00180F7C">
        <w:t xml:space="preserve"> an eligible child</w:t>
      </w:r>
      <w:r w:rsidR="00F83C64">
        <w:t xml:space="preserve">; and approximately </w:t>
      </w:r>
      <w:r w:rsidR="00F9525E">
        <w:rPr>
          <w:color w:val="000000"/>
          <w:szCs w:val="22"/>
        </w:rPr>
        <w:t>15</w:t>
      </w:r>
      <w:r w:rsidR="006C0005">
        <w:rPr>
          <w:color w:val="000000"/>
          <w:szCs w:val="22"/>
        </w:rPr>
        <w:t>6</w:t>
      </w:r>
      <w:r w:rsidR="00F83C64">
        <w:t xml:space="preserve"> will contain an eligible child but no eligible adults</w:t>
      </w:r>
      <w:r w:rsidR="00783CC8">
        <w:t xml:space="preserve"> (for example, children who live with grandparents above age 65)</w:t>
      </w:r>
      <w:r w:rsidR="00F83C64">
        <w:t>.</w:t>
      </w:r>
      <w:r w:rsidR="00D02206">
        <w:t xml:space="preserve"> </w:t>
      </w:r>
      <w:r w:rsidR="000379B3">
        <w:t>Combining the ASPA and ATES provides greater efficiency in the data collection and reduces overall national burden by maximizing the use of a single household sample draw.</w:t>
      </w:r>
      <w:r w:rsidR="00974A81">
        <w:t xml:space="preserve"> </w:t>
      </w:r>
    </w:p>
    <w:p w:rsidR="00DE584E" w:rsidRDefault="00DE584E" w:rsidP="007C3889">
      <w:pPr>
        <w:pStyle w:val="P1-StandPara"/>
        <w:spacing w:line="23" w:lineRule="atLeast"/>
        <w:rPr>
          <w:b/>
        </w:rPr>
      </w:pPr>
    </w:p>
    <w:p w:rsidR="008478A9" w:rsidRDefault="00C60F81" w:rsidP="007C3889">
      <w:pPr>
        <w:pStyle w:val="Heading4"/>
        <w:spacing w:after="240" w:line="240" w:lineRule="auto"/>
        <w:ind w:left="0" w:firstLine="0"/>
      </w:pPr>
      <w:r>
        <w:tab/>
      </w:r>
      <w:r w:rsidR="008478A9">
        <w:t>NHES Background</w:t>
      </w:r>
    </w:p>
    <w:p w:rsidR="007548CE" w:rsidRDefault="008478A9" w:rsidP="007C3889">
      <w:pPr>
        <w:pStyle w:val="P1-StandPara"/>
        <w:spacing w:line="23" w:lineRule="atLeast"/>
      </w:pPr>
      <w:r>
        <w:t xml:space="preserve">NCES </w:t>
      </w:r>
      <w:r w:rsidR="00447A49">
        <w:t xml:space="preserve">developed NHES </w:t>
      </w:r>
      <w:r>
        <w:t>to complement its institutional surveys</w:t>
      </w:r>
      <w:r w:rsidR="00E52B33">
        <w:t xml:space="preserve"> as the</w:t>
      </w:r>
      <w:r>
        <w:t xml:space="preserve"> principal mechanism for addressing </w:t>
      </w:r>
      <w:r w:rsidR="00E52B33">
        <w:t xml:space="preserve">education </w:t>
      </w:r>
      <w:r>
        <w:t>topics</w:t>
      </w:r>
      <w:r w:rsidR="00E52B33">
        <w:t xml:space="preserve"> appropriate for households rather than</w:t>
      </w:r>
      <w:r>
        <w:t xml:space="preserve"> </w:t>
      </w:r>
      <w:r w:rsidR="00E52B33">
        <w:t>establishments</w:t>
      </w:r>
      <w:r>
        <w:t xml:space="preserve">. </w:t>
      </w:r>
      <w:r w:rsidR="00E52B33">
        <w:t xml:space="preserve">Such topics cover </w:t>
      </w:r>
      <w:r>
        <w:t xml:space="preserve">a wide range of issues, </w:t>
      </w:r>
      <w:r w:rsidR="00E52B33">
        <w:t>including</w:t>
      </w:r>
      <w:r>
        <w:t xml:space="preserve"> early childhood care and education, children’s readiness for school, parent perceptions of school safety and discipline, before- and after-school activities of school-age children, participation in adult and continuing education, parent involvement in education, school choice, homeschooling, and civic involvement. The</w:t>
      </w:r>
      <w:r w:rsidR="00E52B33">
        <w:t xml:space="preserve"> NHES consists of </w:t>
      </w:r>
      <w:r>
        <w:t>a series of rotating survey</w:t>
      </w:r>
      <w:r w:rsidR="007548CE">
        <w:t>s</w:t>
      </w:r>
      <w:r w:rsidR="00E52B33">
        <w:t xml:space="preserve"> using a two-stage design</w:t>
      </w:r>
      <w:r w:rsidR="00447A49">
        <w:t xml:space="preserve"> in which a </w:t>
      </w:r>
      <w:r w:rsidR="00E52B33">
        <w:t>household screener collects household membership and key characteristics for sampling and then appropriate topical survey(s) are mailed to sample members.</w:t>
      </w:r>
    </w:p>
    <w:p w:rsidR="007548CE" w:rsidRDefault="007548CE" w:rsidP="007C3889">
      <w:pPr>
        <w:pStyle w:val="P1-StandPara"/>
        <w:spacing w:line="23" w:lineRule="atLeast"/>
      </w:pPr>
    </w:p>
    <w:p w:rsidR="007548CE" w:rsidRDefault="007548CE" w:rsidP="007C3889">
      <w:pPr>
        <w:pStyle w:val="P1-StandPara"/>
        <w:spacing w:line="23" w:lineRule="atLeast"/>
      </w:pPr>
      <w:r>
        <w:t xml:space="preserve">Data from the NHES are used to provide national cross-sectional estimates on populations of special interest to education researchers and policymakers. For surveys about children, the population of interest is defined by age or grade in school, or both, depending on the particular survey topic and research questions. For surveys of adults, the population of interest is those ages 16 to 65 who are not enrolled in grade 12 or below, excluding those on active duty military service and those who are institutionalized. The NHES targets these populations using specific screening and sampling procedures. </w:t>
      </w:r>
    </w:p>
    <w:p w:rsidR="007548CE" w:rsidRDefault="007548CE" w:rsidP="007C3889">
      <w:pPr>
        <w:pStyle w:val="P1-StandPara"/>
        <w:spacing w:line="23" w:lineRule="atLeast"/>
      </w:pPr>
    </w:p>
    <w:p w:rsidR="007548CE" w:rsidRDefault="007548CE" w:rsidP="007C3889">
      <w:pPr>
        <w:pStyle w:val="P1-StandPara"/>
        <w:spacing w:line="23" w:lineRule="atLeast"/>
      </w:pPr>
      <w:r>
        <w:t>The NHES design also yields estimates for subgroups of interest for each child and adult survey, as defined by age (or grade for children), education level for adults, Hispanic origin, and racial background for all populations of interest</w:t>
      </w:r>
      <w:r w:rsidR="002F2221">
        <w:rPr>
          <w:rStyle w:val="FootnoteReference"/>
        </w:rPr>
        <w:footnoteReference w:id="3"/>
      </w:r>
      <w:r>
        <w:t>. In addition to providing cross-sectional estimates, the NHES is also designed to produce estimates from repeated cross sections to measure changes over time in key statistics.</w:t>
      </w:r>
    </w:p>
    <w:p w:rsidR="00FF75E7" w:rsidRDefault="00FF75E7" w:rsidP="007C3889">
      <w:pPr>
        <w:pStyle w:val="P1-StandPara"/>
        <w:spacing w:line="23" w:lineRule="atLeast"/>
      </w:pPr>
    </w:p>
    <w:p w:rsidR="007548CE" w:rsidRPr="0054617D" w:rsidRDefault="00F16FFA" w:rsidP="007C3889">
      <w:pPr>
        <w:pStyle w:val="P1-StandPara"/>
        <w:spacing w:line="23" w:lineRule="atLeast"/>
        <w:rPr>
          <w:szCs w:val="22"/>
        </w:rPr>
      </w:pPr>
      <w:r>
        <w:t xml:space="preserve">The </w:t>
      </w:r>
      <w:r w:rsidR="002E3212">
        <w:t xml:space="preserve">last NHES data collection prior to the redesign was conducted in </w:t>
      </w:r>
      <w:r>
        <w:t xml:space="preserve">2007 </w:t>
      </w:r>
      <w:r w:rsidR="002E3212">
        <w:t>and</w:t>
      </w:r>
      <w:r>
        <w:t xml:space="preserve"> included the Parent and Family Involvement in Education </w:t>
      </w:r>
      <w:r w:rsidR="00BA54A3">
        <w:t xml:space="preserve">Survey </w:t>
      </w:r>
      <w:r>
        <w:t xml:space="preserve">(PFI) and the School Readiness </w:t>
      </w:r>
      <w:r w:rsidR="00BA54A3">
        <w:t xml:space="preserve">Survey </w:t>
      </w:r>
      <w:r>
        <w:t>(SR)</w:t>
      </w:r>
      <w:r w:rsidR="00E64CF5">
        <w:rPr>
          <w:rStyle w:val="FootnoteReference"/>
        </w:rPr>
        <w:footnoteReference w:id="4"/>
      </w:r>
      <w:r>
        <w:t xml:space="preserve">. </w:t>
      </w:r>
      <w:r w:rsidR="00BA54A3">
        <w:t xml:space="preserve">The </w:t>
      </w:r>
      <w:r w:rsidR="00E64CF5">
        <w:rPr>
          <w:szCs w:val="22"/>
        </w:rPr>
        <w:t>NHES:2012 was the</w:t>
      </w:r>
      <w:r w:rsidR="00A9755C">
        <w:rPr>
          <w:szCs w:val="22"/>
        </w:rPr>
        <w:t xml:space="preserve"> </w:t>
      </w:r>
      <w:r w:rsidR="000A3B6C">
        <w:rPr>
          <w:szCs w:val="22"/>
        </w:rPr>
        <w:t xml:space="preserve">first full-scale data collection using </w:t>
      </w:r>
      <w:r w:rsidR="00E64CF5">
        <w:rPr>
          <w:szCs w:val="22"/>
        </w:rPr>
        <w:t xml:space="preserve">an addressed-based sample and a self-administered questionnaire and included </w:t>
      </w:r>
      <w:r w:rsidR="00843E0A">
        <w:rPr>
          <w:szCs w:val="22"/>
        </w:rPr>
        <w:t>the PFI</w:t>
      </w:r>
      <w:r w:rsidR="00066080">
        <w:rPr>
          <w:szCs w:val="22"/>
        </w:rPr>
        <w:t xml:space="preserve"> survey</w:t>
      </w:r>
      <w:r w:rsidR="00843E0A">
        <w:rPr>
          <w:szCs w:val="22"/>
        </w:rPr>
        <w:t xml:space="preserve"> and Early Childhood Program Participation Survey (ECPP).</w:t>
      </w:r>
      <w:r w:rsidR="000A3B6C">
        <w:rPr>
          <w:szCs w:val="22"/>
        </w:rPr>
        <w:t xml:space="preserve"> </w:t>
      </w:r>
      <w:r w:rsidR="007548CE">
        <w:rPr>
          <w:szCs w:val="22"/>
        </w:rPr>
        <w:t>T</w:t>
      </w:r>
      <w:r w:rsidR="007548CE">
        <w:t>he overall screener plus topical response rate was approximately 58 percent for both the PFI and the ECPP in 2012</w:t>
      </w:r>
      <w:r w:rsidR="007548CE">
        <w:rPr>
          <w:szCs w:val="22"/>
        </w:rPr>
        <w:t>, compared to the 2007 overall response rate of 39-</w:t>
      </w:r>
      <w:r w:rsidR="007548CE" w:rsidRPr="0054617D">
        <w:rPr>
          <w:szCs w:val="22"/>
        </w:rPr>
        <w:t>41% (depending on the survey). The results suggest that the new methodology has the ability to address the response rate and coverage issues identified in the 2007 data collection.</w:t>
      </w:r>
      <w:r w:rsidR="00A9755C">
        <w:rPr>
          <w:szCs w:val="22"/>
        </w:rPr>
        <w:t xml:space="preserve"> </w:t>
      </w:r>
    </w:p>
    <w:p w:rsidR="001511AF" w:rsidRPr="000B413E" w:rsidRDefault="001511AF" w:rsidP="000B413E">
      <w:pPr>
        <w:pStyle w:val="P1-StandPara"/>
        <w:spacing w:line="23" w:lineRule="atLeast"/>
      </w:pPr>
    </w:p>
    <w:p w:rsidR="003D304D" w:rsidRPr="000B413E" w:rsidRDefault="003D304D" w:rsidP="000B413E">
      <w:pPr>
        <w:pStyle w:val="P1-StandPara"/>
        <w:spacing w:line="23" w:lineRule="atLeast"/>
      </w:pPr>
      <w:r w:rsidRPr="000B413E">
        <w:t>The ATES will reintroduce an adult survey component to the NHES. ATES will provide a means to investigate issues related to education, training, and credentials for work that cannot be adequately studied through the Center’s institution-based data collection efforts.</w:t>
      </w:r>
      <w:r w:rsidR="00A9755C" w:rsidRPr="000B413E">
        <w:t xml:space="preserve"> </w:t>
      </w:r>
      <w:r w:rsidRPr="000B413E">
        <w:t>While the feasibility test is not being conducted to make survey estimates, the data gathered will allow for examination of the empirical properties of potential survey measures.</w:t>
      </w:r>
    </w:p>
    <w:p w:rsidR="008478A9" w:rsidRPr="000B413E" w:rsidRDefault="008478A9" w:rsidP="000B413E">
      <w:pPr>
        <w:pStyle w:val="P1-StandPara"/>
        <w:spacing w:line="23" w:lineRule="atLeast"/>
      </w:pPr>
    </w:p>
    <w:p w:rsidR="008478A9" w:rsidRDefault="008478A9" w:rsidP="007C3889">
      <w:pPr>
        <w:pStyle w:val="P1-StandPara"/>
        <w:spacing w:line="23" w:lineRule="atLeast"/>
      </w:pPr>
      <w:r w:rsidRPr="000B413E">
        <w:t>Survey data</w:t>
      </w:r>
      <w:r w:rsidRPr="0054617D">
        <w:rPr>
          <w:szCs w:val="22"/>
        </w:rPr>
        <w:t xml:space="preserve"> from the NHES have been</w:t>
      </w:r>
      <w:r>
        <w:t xml:space="preserve"> used for a large number of descriptive and analytic reports and articles, including NCES publications, publications of other Federal agencies, policy analyses, theses and </w:t>
      </w:r>
      <w:r>
        <w:lastRenderedPageBreak/>
        <w:t xml:space="preserve">dissertations, conference papers, and journal articles. A list of NHES publications issued by NCES can be found on the NHES website, </w:t>
      </w:r>
      <w:hyperlink r:id="rId10" w:history="1">
        <w:r>
          <w:rPr>
            <w:rStyle w:val="Hyperlink"/>
          </w:rPr>
          <w:t>http://nces.ed.gov/nhes</w:t>
        </w:r>
      </w:hyperlink>
      <w:r>
        <w:t>.</w:t>
      </w:r>
    </w:p>
    <w:p w:rsidR="000379B3" w:rsidRDefault="000379B3" w:rsidP="004A672C">
      <w:pPr>
        <w:pStyle w:val="P1-StandPara"/>
        <w:rPr>
          <w:szCs w:val="22"/>
        </w:rPr>
      </w:pPr>
      <w:bookmarkStart w:id="4" w:name="_Toc181176998"/>
      <w:bookmarkStart w:id="5" w:name="_Toc110220551"/>
    </w:p>
    <w:bookmarkEnd w:id="4"/>
    <w:bookmarkEnd w:id="5"/>
    <w:p w:rsidR="008478A9" w:rsidRPr="00DD21C9" w:rsidRDefault="00C60F81" w:rsidP="007C3889">
      <w:pPr>
        <w:pStyle w:val="Heading4"/>
        <w:spacing w:after="240" w:line="240" w:lineRule="auto"/>
        <w:ind w:left="0" w:firstLine="0"/>
      </w:pPr>
      <w:r>
        <w:tab/>
      </w:r>
      <w:r w:rsidR="008478A9" w:rsidRPr="00DD21C9">
        <w:t>NHES</w:t>
      </w:r>
      <w:r w:rsidR="0026489C">
        <w:t xml:space="preserve"> Feasibility Study Surveys </w:t>
      </w:r>
      <w:r w:rsidR="008731AA">
        <w:t>(NHES-FS)</w:t>
      </w:r>
    </w:p>
    <w:p w:rsidR="00C7459D" w:rsidRDefault="008478A9" w:rsidP="007C3889">
      <w:pPr>
        <w:pStyle w:val="P1-StandPara"/>
        <w:spacing w:line="23" w:lineRule="atLeast"/>
      </w:pPr>
      <w:r>
        <w:t xml:space="preserve">As shown in exhibit 1, each administration of the NHES has included more than one topical survey. </w:t>
      </w:r>
      <w:r w:rsidR="00A61082">
        <w:t>However, under the new mail data collection methodology</w:t>
      </w:r>
      <w:r w:rsidR="008731AA">
        <w:t>,</w:t>
      </w:r>
      <w:r w:rsidR="00A61082">
        <w:t xml:space="preserve"> households have only been screened for and topical </w:t>
      </w:r>
      <w:r w:rsidR="005D7AB5">
        <w:t>surveys</w:t>
      </w:r>
      <w:r w:rsidR="00A61082">
        <w:t xml:space="preserve"> have only focused on children. </w:t>
      </w:r>
      <w:r>
        <w:t>The NHES</w:t>
      </w:r>
      <w:r w:rsidR="00003002">
        <w:t>-FS</w:t>
      </w:r>
      <w:r w:rsidR="005B20EF">
        <w:t xml:space="preserve"> </w:t>
      </w:r>
      <w:r>
        <w:t xml:space="preserve">will include two topical surveys: the </w:t>
      </w:r>
      <w:r w:rsidR="005D7AB5">
        <w:t>AT</w:t>
      </w:r>
      <w:r w:rsidR="005B20EF">
        <w:t>ES</w:t>
      </w:r>
      <w:r>
        <w:t xml:space="preserve"> and the </w:t>
      </w:r>
      <w:r w:rsidR="005B20EF">
        <w:t>ASPA</w:t>
      </w:r>
      <w:r>
        <w:t xml:space="preserve">. </w:t>
      </w:r>
      <w:r w:rsidR="005D7AB5">
        <w:t xml:space="preserve">To develop the ATES survey, NCES </w:t>
      </w:r>
      <w:r w:rsidR="00783CC8" w:rsidRPr="00974A81">
        <w:t>has been redeveloping and testing new survey content since 2009</w:t>
      </w:r>
      <w:r w:rsidR="000379B3" w:rsidRPr="00974A81">
        <w:t xml:space="preserve">, including pilot testing, expert review, cognitive </w:t>
      </w:r>
      <w:r w:rsidR="00B920F2" w:rsidRPr="00974A81">
        <w:t>testing</w:t>
      </w:r>
      <w:r w:rsidR="00155E7B">
        <w:t>, and focus groups</w:t>
      </w:r>
      <w:r w:rsidR="00B920F2" w:rsidRPr="00974A81">
        <w:t>.</w:t>
      </w:r>
      <w:r w:rsidR="00003002">
        <w:t xml:space="preserve"> A summary of the cognitive interviews conducted dur</w:t>
      </w:r>
      <w:r w:rsidR="003342C7">
        <w:t>ing August 2013 is provided in a</w:t>
      </w:r>
      <w:r w:rsidR="00003002">
        <w:t xml:space="preserve">ppendix </w:t>
      </w:r>
      <w:r w:rsidR="003342C7">
        <w:t>D</w:t>
      </w:r>
      <w:r w:rsidR="00003002">
        <w:t>.</w:t>
      </w:r>
      <w:r w:rsidR="00B920F2" w:rsidRPr="00974A81">
        <w:t xml:space="preserve"> </w:t>
      </w:r>
      <w:r w:rsidR="00A0537E">
        <w:t>Before adding an adult education survey back into the NHES it is important to test the feasibility of using a mail survey to screen household</w:t>
      </w:r>
      <w:r w:rsidR="002F19AC">
        <w:t>s</w:t>
      </w:r>
      <w:r w:rsidR="00A0537E">
        <w:t xml:space="preserve"> for both adults and children</w:t>
      </w:r>
      <w:r w:rsidR="00FD32F3">
        <w:t>,</w:t>
      </w:r>
      <w:r w:rsidR="00A0537E">
        <w:t xml:space="preserve"> and to test different approaches to collecting topical data from households (e.g., sampling either an adult or a child from the same household for topical follow</w:t>
      </w:r>
      <w:r w:rsidR="002F19AC">
        <w:t xml:space="preserve"> </w:t>
      </w:r>
      <w:r w:rsidR="00A0537E">
        <w:t>up compared to sampling both and adult and a child for follow</w:t>
      </w:r>
      <w:r w:rsidR="002F19AC">
        <w:t xml:space="preserve"> </w:t>
      </w:r>
      <w:r w:rsidR="00A0537E">
        <w:t xml:space="preserve">up). </w:t>
      </w:r>
    </w:p>
    <w:p w:rsidR="00621B03" w:rsidRDefault="00621B03" w:rsidP="00B22A8C">
      <w:pPr>
        <w:pStyle w:val="P1-StandPara"/>
      </w:pPr>
    </w:p>
    <w:p w:rsidR="00621B03" w:rsidRDefault="00621B03" w:rsidP="00621B03">
      <w:pPr>
        <w:pStyle w:val="TT-TableTitle"/>
        <w:keepNext/>
        <w:keepLines/>
        <w:ind w:left="1138" w:hanging="1138"/>
      </w:pPr>
      <w:r>
        <w:t>Exhibit 1.</w:t>
      </w:r>
      <w:r>
        <w:t> </w:t>
      </w:r>
      <w:r>
        <w:t> </w:t>
      </w:r>
      <w:r>
        <w:t>Surv</w:t>
      </w:r>
      <w:r>
        <w:rPr>
          <w:rStyle w:val="BodyTextIndentChar"/>
          <w:b w:val="0"/>
        </w:rPr>
        <w:t>e</w:t>
      </w:r>
      <w:r>
        <w:t>ys conducted under the National Household Education Surveys Program, by years administered: 1991 through 2012</w:t>
      </w:r>
    </w:p>
    <w:tbl>
      <w:tblPr>
        <w:tblW w:w="9360" w:type="dxa"/>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2700"/>
        <w:gridCol w:w="630"/>
        <w:gridCol w:w="630"/>
        <w:gridCol w:w="630"/>
        <w:gridCol w:w="630"/>
        <w:gridCol w:w="720"/>
        <w:gridCol w:w="630"/>
        <w:gridCol w:w="718"/>
        <w:gridCol w:w="718"/>
        <w:gridCol w:w="724"/>
        <w:gridCol w:w="630"/>
      </w:tblGrid>
      <w:tr w:rsidR="00621B03" w:rsidRPr="0026489C" w:rsidTr="007C3889">
        <w:trPr>
          <w:cantSplit/>
        </w:trPr>
        <w:tc>
          <w:tcPr>
            <w:tcW w:w="2700" w:type="dxa"/>
            <w:vMerge w:val="restart"/>
            <w:tcBorders>
              <w:top w:val="single" w:sz="2" w:space="0" w:color="auto"/>
              <w:left w:val="nil"/>
              <w:bottom w:val="single" w:sz="2" w:space="0" w:color="auto"/>
              <w:right w:val="nil"/>
            </w:tcBorders>
            <w:vAlign w:val="center"/>
            <w:hideMark/>
          </w:tcPr>
          <w:p w:rsidR="00621B03" w:rsidRDefault="00621B03" w:rsidP="007C3889">
            <w:pPr>
              <w:pStyle w:val="SL-FlLftSgl"/>
              <w:spacing w:line="240" w:lineRule="auto"/>
              <w:jc w:val="left"/>
              <w:rPr>
                <w:sz w:val="20"/>
              </w:rPr>
            </w:pPr>
            <w:r>
              <w:rPr>
                <w:sz w:val="20"/>
              </w:rPr>
              <w:t>Topical survey</w:t>
            </w:r>
          </w:p>
        </w:tc>
        <w:tc>
          <w:tcPr>
            <w:tcW w:w="6030" w:type="dxa"/>
            <w:gridSpan w:val="9"/>
            <w:tcBorders>
              <w:top w:val="single" w:sz="2" w:space="0" w:color="auto"/>
              <w:left w:val="nil"/>
              <w:bottom w:val="single" w:sz="2" w:space="0" w:color="auto"/>
              <w:right w:val="nil"/>
            </w:tcBorders>
            <w:vAlign w:val="center"/>
            <w:hideMark/>
          </w:tcPr>
          <w:p w:rsidR="00621B03" w:rsidRDefault="00621B03" w:rsidP="007C3889">
            <w:pPr>
              <w:pStyle w:val="SL-FlLftSgl"/>
              <w:spacing w:line="240" w:lineRule="auto"/>
              <w:jc w:val="center"/>
              <w:rPr>
                <w:sz w:val="20"/>
              </w:rPr>
            </w:pPr>
            <w:r>
              <w:rPr>
                <w:sz w:val="20"/>
              </w:rPr>
              <w:t>NHES survey administration</w:t>
            </w:r>
          </w:p>
        </w:tc>
        <w:tc>
          <w:tcPr>
            <w:tcW w:w="630" w:type="dxa"/>
            <w:tcBorders>
              <w:top w:val="single" w:sz="2" w:space="0" w:color="auto"/>
              <w:left w:val="nil"/>
              <w:bottom w:val="single" w:sz="2" w:space="0" w:color="auto"/>
              <w:right w:val="nil"/>
            </w:tcBorders>
            <w:vAlign w:val="center"/>
          </w:tcPr>
          <w:p w:rsidR="00621B03" w:rsidRDefault="00621B03" w:rsidP="007C3889">
            <w:pPr>
              <w:pStyle w:val="SL-FlLftSgl"/>
              <w:spacing w:line="240" w:lineRule="auto"/>
              <w:jc w:val="center"/>
              <w:rPr>
                <w:sz w:val="20"/>
              </w:rPr>
            </w:pPr>
          </w:p>
        </w:tc>
      </w:tr>
      <w:tr w:rsidR="00621B03" w:rsidRPr="0026489C" w:rsidTr="007C3889">
        <w:trPr>
          <w:cantSplit/>
        </w:trPr>
        <w:tc>
          <w:tcPr>
            <w:tcW w:w="2700" w:type="dxa"/>
            <w:vMerge/>
            <w:tcBorders>
              <w:top w:val="single" w:sz="2" w:space="0" w:color="auto"/>
              <w:left w:val="nil"/>
              <w:bottom w:val="single" w:sz="2" w:space="0" w:color="auto"/>
              <w:right w:val="nil"/>
            </w:tcBorders>
            <w:vAlign w:val="center"/>
            <w:hideMark/>
          </w:tcPr>
          <w:p w:rsidR="00621B03" w:rsidRDefault="00621B03" w:rsidP="007C3889">
            <w:pPr>
              <w:spacing w:line="240" w:lineRule="auto"/>
              <w:jc w:val="left"/>
              <w:rPr>
                <w:sz w:val="20"/>
              </w:rPr>
            </w:pPr>
          </w:p>
        </w:tc>
        <w:tc>
          <w:tcPr>
            <w:tcW w:w="630" w:type="dxa"/>
            <w:tcBorders>
              <w:top w:val="single" w:sz="2" w:space="0" w:color="auto"/>
              <w:left w:val="nil"/>
              <w:bottom w:val="single" w:sz="2" w:space="0" w:color="auto"/>
              <w:right w:val="nil"/>
            </w:tcBorders>
            <w:vAlign w:val="center"/>
            <w:hideMark/>
          </w:tcPr>
          <w:p w:rsidR="00621B03" w:rsidRDefault="00621B03" w:rsidP="007C3889">
            <w:pPr>
              <w:pStyle w:val="SL-FlLftSgl"/>
              <w:spacing w:line="240" w:lineRule="auto"/>
              <w:jc w:val="right"/>
              <w:rPr>
                <w:sz w:val="20"/>
              </w:rPr>
            </w:pPr>
            <w:r>
              <w:rPr>
                <w:sz w:val="20"/>
              </w:rPr>
              <w:t>1991</w:t>
            </w:r>
          </w:p>
        </w:tc>
        <w:tc>
          <w:tcPr>
            <w:tcW w:w="630" w:type="dxa"/>
            <w:tcBorders>
              <w:top w:val="single" w:sz="2" w:space="0" w:color="auto"/>
              <w:left w:val="nil"/>
              <w:bottom w:val="single" w:sz="2" w:space="0" w:color="auto"/>
              <w:right w:val="nil"/>
            </w:tcBorders>
            <w:vAlign w:val="center"/>
            <w:hideMark/>
          </w:tcPr>
          <w:p w:rsidR="00621B03" w:rsidRDefault="00621B03" w:rsidP="007C3889">
            <w:pPr>
              <w:pStyle w:val="SL-FlLftSgl"/>
              <w:spacing w:line="240" w:lineRule="auto"/>
              <w:jc w:val="right"/>
              <w:rPr>
                <w:sz w:val="20"/>
              </w:rPr>
            </w:pPr>
            <w:r>
              <w:rPr>
                <w:sz w:val="20"/>
              </w:rPr>
              <w:t>1993</w:t>
            </w:r>
          </w:p>
        </w:tc>
        <w:tc>
          <w:tcPr>
            <w:tcW w:w="630" w:type="dxa"/>
            <w:tcBorders>
              <w:top w:val="single" w:sz="2" w:space="0" w:color="auto"/>
              <w:left w:val="nil"/>
              <w:bottom w:val="single" w:sz="2" w:space="0" w:color="auto"/>
              <w:right w:val="nil"/>
            </w:tcBorders>
            <w:vAlign w:val="center"/>
            <w:hideMark/>
          </w:tcPr>
          <w:p w:rsidR="00621B03" w:rsidRDefault="00621B03" w:rsidP="007C3889">
            <w:pPr>
              <w:pStyle w:val="SL-FlLftSgl"/>
              <w:spacing w:line="240" w:lineRule="auto"/>
              <w:jc w:val="right"/>
              <w:rPr>
                <w:sz w:val="20"/>
              </w:rPr>
            </w:pPr>
            <w:r>
              <w:rPr>
                <w:sz w:val="20"/>
              </w:rPr>
              <w:t>1995</w:t>
            </w:r>
          </w:p>
        </w:tc>
        <w:tc>
          <w:tcPr>
            <w:tcW w:w="630" w:type="dxa"/>
            <w:tcBorders>
              <w:top w:val="single" w:sz="2" w:space="0" w:color="auto"/>
              <w:left w:val="nil"/>
              <w:bottom w:val="single" w:sz="2" w:space="0" w:color="auto"/>
              <w:right w:val="nil"/>
            </w:tcBorders>
            <w:vAlign w:val="center"/>
            <w:hideMark/>
          </w:tcPr>
          <w:p w:rsidR="00621B03" w:rsidRDefault="00621B03" w:rsidP="007C3889">
            <w:pPr>
              <w:pStyle w:val="SL-FlLftSgl"/>
              <w:spacing w:line="240" w:lineRule="auto"/>
              <w:jc w:val="right"/>
              <w:rPr>
                <w:sz w:val="20"/>
              </w:rPr>
            </w:pPr>
            <w:r>
              <w:rPr>
                <w:sz w:val="20"/>
              </w:rPr>
              <w:t>1996</w:t>
            </w:r>
          </w:p>
        </w:tc>
        <w:tc>
          <w:tcPr>
            <w:tcW w:w="720" w:type="dxa"/>
            <w:tcBorders>
              <w:top w:val="single" w:sz="2" w:space="0" w:color="auto"/>
              <w:left w:val="nil"/>
              <w:bottom w:val="single" w:sz="2" w:space="0" w:color="auto"/>
              <w:right w:val="nil"/>
            </w:tcBorders>
            <w:vAlign w:val="center"/>
            <w:hideMark/>
          </w:tcPr>
          <w:p w:rsidR="00621B03" w:rsidRDefault="00621B03" w:rsidP="007C3889">
            <w:pPr>
              <w:pStyle w:val="SL-FlLftSgl"/>
              <w:spacing w:line="240" w:lineRule="auto"/>
              <w:jc w:val="right"/>
              <w:rPr>
                <w:sz w:val="20"/>
                <w:vertAlign w:val="superscript"/>
              </w:rPr>
            </w:pPr>
            <w:r>
              <w:rPr>
                <w:sz w:val="20"/>
              </w:rPr>
              <w:t>1999</w:t>
            </w:r>
            <w:r>
              <w:rPr>
                <w:sz w:val="20"/>
                <w:vertAlign w:val="superscript"/>
              </w:rPr>
              <w:t>1</w:t>
            </w:r>
          </w:p>
        </w:tc>
        <w:tc>
          <w:tcPr>
            <w:tcW w:w="630" w:type="dxa"/>
            <w:tcBorders>
              <w:top w:val="single" w:sz="2" w:space="0" w:color="auto"/>
              <w:left w:val="nil"/>
              <w:bottom w:val="single" w:sz="2" w:space="0" w:color="auto"/>
              <w:right w:val="nil"/>
            </w:tcBorders>
            <w:vAlign w:val="center"/>
            <w:hideMark/>
          </w:tcPr>
          <w:p w:rsidR="00621B03" w:rsidRDefault="00621B03" w:rsidP="007C3889">
            <w:pPr>
              <w:pStyle w:val="SL-FlLftSgl"/>
              <w:spacing w:line="240" w:lineRule="auto"/>
              <w:jc w:val="right"/>
              <w:rPr>
                <w:sz w:val="20"/>
              </w:rPr>
            </w:pPr>
            <w:r>
              <w:rPr>
                <w:sz w:val="20"/>
              </w:rPr>
              <w:t>2001</w:t>
            </w:r>
          </w:p>
        </w:tc>
        <w:tc>
          <w:tcPr>
            <w:tcW w:w="718" w:type="dxa"/>
            <w:tcBorders>
              <w:top w:val="single" w:sz="2" w:space="0" w:color="auto"/>
              <w:left w:val="nil"/>
              <w:bottom w:val="single" w:sz="2" w:space="0" w:color="auto"/>
              <w:right w:val="nil"/>
            </w:tcBorders>
            <w:vAlign w:val="center"/>
            <w:hideMark/>
          </w:tcPr>
          <w:p w:rsidR="00621B03" w:rsidRDefault="00621B03" w:rsidP="007C3889">
            <w:pPr>
              <w:pStyle w:val="SL-FlLftSgl"/>
              <w:spacing w:line="240" w:lineRule="auto"/>
              <w:jc w:val="right"/>
              <w:rPr>
                <w:sz w:val="20"/>
              </w:rPr>
            </w:pPr>
            <w:r>
              <w:rPr>
                <w:sz w:val="20"/>
              </w:rPr>
              <w:t>2003</w:t>
            </w:r>
          </w:p>
        </w:tc>
        <w:tc>
          <w:tcPr>
            <w:tcW w:w="718" w:type="dxa"/>
            <w:tcBorders>
              <w:top w:val="single" w:sz="2" w:space="0" w:color="auto"/>
              <w:left w:val="nil"/>
              <w:bottom w:val="single" w:sz="2" w:space="0" w:color="auto"/>
              <w:right w:val="nil"/>
            </w:tcBorders>
            <w:vAlign w:val="center"/>
            <w:hideMark/>
          </w:tcPr>
          <w:p w:rsidR="00621B03" w:rsidRDefault="00621B03" w:rsidP="007C3889">
            <w:pPr>
              <w:pStyle w:val="SL-FlLftSgl"/>
              <w:spacing w:line="240" w:lineRule="auto"/>
              <w:jc w:val="right"/>
              <w:rPr>
                <w:sz w:val="20"/>
              </w:rPr>
            </w:pPr>
            <w:r>
              <w:rPr>
                <w:sz w:val="20"/>
              </w:rPr>
              <w:t>2005</w:t>
            </w:r>
          </w:p>
        </w:tc>
        <w:tc>
          <w:tcPr>
            <w:tcW w:w="724" w:type="dxa"/>
            <w:tcBorders>
              <w:top w:val="single" w:sz="2" w:space="0" w:color="auto"/>
              <w:left w:val="nil"/>
              <w:bottom w:val="single" w:sz="2" w:space="0" w:color="auto"/>
              <w:right w:val="nil"/>
            </w:tcBorders>
            <w:vAlign w:val="center"/>
            <w:hideMark/>
          </w:tcPr>
          <w:p w:rsidR="00621B03" w:rsidRDefault="00621B03" w:rsidP="007C3889">
            <w:pPr>
              <w:pStyle w:val="SL-FlLftSgl"/>
              <w:spacing w:line="240" w:lineRule="auto"/>
              <w:jc w:val="right"/>
              <w:rPr>
                <w:sz w:val="20"/>
              </w:rPr>
            </w:pPr>
            <w:r>
              <w:rPr>
                <w:sz w:val="20"/>
              </w:rPr>
              <w:t>2007</w:t>
            </w:r>
          </w:p>
        </w:tc>
        <w:tc>
          <w:tcPr>
            <w:tcW w:w="630" w:type="dxa"/>
            <w:tcBorders>
              <w:top w:val="single" w:sz="2" w:space="0" w:color="auto"/>
              <w:left w:val="nil"/>
              <w:bottom w:val="single" w:sz="2" w:space="0" w:color="auto"/>
              <w:right w:val="nil"/>
            </w:tcBorders>
            <w:vAlign w:val="center"/>
            <w:hideMark/>
          </w:tcPr>
          <w:p w:rsidR="00621B03" w:rsidRDefault="00621B03" w:rsidP="007C3889">
            <w:pPr>
              <w:pStyle w:val="SL-FlLftSgl"/>
              <w:spacing w:line="240" w:lineRule="auto"/>
              <w:jc w:val="right"/>
              <w:rPr>
                <w:sz w:val="20"/>
              </w:rPr>
            </w:pPr>
            <w:r>
              <w:rPr>
                <w:sz w:val="20"/>
              </w:rPr>
              <w:t>2012</w:t>
            </w:r>
          </w:p>
        </w:tc>
      </w:tr>
      <w:tr w:rsidR="00621B03" w:rsidRPr="0026489C" w:rsidTr="007C3889">
        <w:trPr>
          <w:cantSplit/>
        </w:trPr>
        <w:tc>
          <w:tcPr>
            <w:tcW w:w="2700" w:type="dxa"/>
            <w:tcBorders>
              <w:top w:val="single" w:sz="2" w:space="0" w:color="auto"/>
              <w:left w:val="nil"/>
              <w:bottom w:val="nil"/>
              <w:right w:val="nil"/>
            </w:tcBorders>
            <w:vAlign w:val="center"/>
            <w:hideMark/>
          </w:tcPr>
          <w:p w:rsidR="00621B03" w:rsidRDefault="00621B03" w:rsidP="007C3889">
            <w:pPr>
              <w:pStyle w:val="SL-FlLftSgl"/>
              <w:spacing w:line="240" w:lineRule="auto"/>
              <w:jc w:val="left"/>
              <w:rPr>
                <w:sz w:val="20"/>
              </w:rPr>
            </w:pPr>
            <w:r>
              <w:rPr>
                <w:sz w:val="20"/>
              </w:rPr>
              <w:t>Early childhood education/</w:t>
            </w:r>
          </w:p>
          <w:p w:rsidR="00621B03" w:rsidRDefault="00A9755C" w:rsidP="007C3889">
            <w:pPr>
              <w:pStyle w:val="SL-FlLftSgl"/>
              <w:spacing w:line="240" w:lineRule="auto"/>
              <w:jc w:val="left"/>
              <w:rPr>
                <w:sz w:val="20"/>
              </w:rPr>
            </w:pPr>
            <w:r>
              <w:rPr>
                <w:sz w:val="20"/>
              </w:rPr>
              <w:t xml:space="preserve"> </w:t>
            </w:r>
            <w:r w:rsidR="00621B03">
              <w:rPr>
                <w:sz w:val="20"/>
              </w:rPr>
              <w:t>program participation</w:t>
            </w:r>
          </w:p>
        </w:tc>
        <w:tc>
          <w:tcPr>
            <w:tcW w:w="630" w:type="dxa"/>
            <w:tcBorders>
              <w:top w:val="single" w:sz="2" w:space="0" w:color="auto"/>
              <w:left w:val="nil"/>
              <w:bottom w:val="nil"/>
              <w:right w:val="nil"/>
            </w:tcBorders>
            <w:vAlign w:val="center"/>
            <w:hideMark/>
          </w:tcPr>
          <w:p w:rsidR="00621B03" w:rsidRDefault="00621B03" w:rsidP="00FD32F3">
            <w:pPr>
              <w:pStyle w:val="SL-FlLftSgl"/>
              <w:spacing w:line="240" w:lineRule="auto"/>
              <w:jc w:val="center"/>
              <w:rPr>
                <w:sz w:val="20"/>
              </w:rPr>
            </w:pPr>
            <w:r>
              <w:rPr>
                <w:sz w:val="20"/>
              </w:rPr>
              <w:t>√</w:t>
            </w:r>
          </w:p>
        </w:tc>
        <w:tc>
          <w:tcPr>
            <w:tcW w:w="630" w:type="dxa"/>
            <w:tcBorders>
              <w:top w:val="single" w:sz="2" w:space="0" w:color="auto"/>
              <w:left w:val="nil"/>
              <w:bottom w:val="nil"/>
              <w:right w:val="nil"/>
            </w:tcBorders>
            <w:vAlign w:val="center"/>
          </w:tcPr>
          <w:p w:rsidR="00621B03" w:rsidRDefault="00621B03" w:rsidP="00FD32F3">
            <w:pPr>
              <w:pStyle w:val="SL-FlLftSgl"/>
              <w:spacing w:line="240" w:lineRule="auto"/>
              <w:jc w:val="center"/>
              <w:rPr>
                <w:sz w:val="20"/>
              </w:rPr>
            </w:pPr>
          </w:p>
        </w:tc>
        <w:tc>
          <w:tcPr>
            <w:tcW w:w="630" w:type="dxa"/>
            <w:tcBorders>
              <w:top w:val="single" w:sz="2" w:space="0" w:color="auto"/>
              <w:left w:val="nil"/>
              <w:bottom w:val="nil"/>
              <w:right w:val="nil"/>
            </w:tcBorders>
            <w:vAlign w:val="center"/>
            <w:hideMark/>
          </w:tcPr>
          <w:p w:rsidR="00621B03" w:rsidRDefault="00621B03" w:rsidP="00FD32F3">
            <w:pPr>
              <w:pStyle w:val="SL-FlLftSgl"/>
              <w:spacing w:line="240" w:lineRule="auto"/>
              <w:jc w:val="center"/>
              <w:rPr>
                <w:sz w:val="20"/>
              </w:rPr>
            </w:pPr>
            <w:r>
              <w:rPr>
                <w:sz w:val="20"/>
              </w:rPr>
              <w:t>√</w:t>
            </w:r>
          </w:p>
        </w:tc>
        <w:tc>
          <w:tcPr>
            <w:tcW w:w="630" w:type="dxa"/>
            <w:tcBorders>
              <w:top w:val="single" w:sz="2" w:space="0" w:color="auto"/>
              <w:left w:val="nil"/>
              <w:bottom w:val="nil"/>
              <w:right w:val="nil"/>
            </w:tcBorders>
            <w:vAlign w:val="center"/>
          </w:tcPr>
          <w:p w:rsidR="00621B03" w:rsidRDefault="00621B03" w:rsidP="00FD32F3">
            <w:pPr>
              <w:pStyle w:val="SL-FlLftSgl"/>
              <w:spacing w:line="240" w:lineRule="auto"/>
              <w:jc w:val="center"/>
              <w:rPr>
                <w:sz w:val="20"/>
              </w:rPr>
            </w:pPr>
          </w:p>
        </w:tc>
        <w:tc>
          <w:tcPr>
            <w:tcW w:w="720" w:type="dxa"/>
            <w:tcBorders>
              <w:top w:val="single" w:sz="2" w:space="0" w:color="auto"/>
              <w:left w:val="nil"/>
              <w:bottom w:val="nil"/>
              <w:right w:val="nil"/>
            </w:tcBorders>
            <w:vAlign w:val="center"/>
            <w:hideMark/>
          </w:tcPr>
          <w:p w:rsidR="00621B03" w:rsidRDefault="00621B03" w:rsidP="00FD32F3">
            <w:pPr>
              <w:pStyle w:val="SL-FlLftSgl"/>
              <w:spacing w:line="240" w:lineRule="auto"/>
              <w:jc w:val="center"/>
              <w:rPr>
                <w:sz w:val="20"/>
              </w:rPr>
            </w:pPr>
            <w:r>
              <w:rPr>
                <w:sz w:val="20"/>
              </w:rPr>
              <w:t>√</w:t>
            </w:r>
          </w:p>
        </w:tc>
        <w:tc>
          <w:tcPr>
            <w:tcW w:w="630" w:type="dxa"/>
            <w:tcBorders>
              <w:top w:val="single" w:sz="2" w:space="0" w:color="auto"/>
              <w:left w:val="nil"/>
              <w:bottom w:val="nil"/>
              <w:right w:val="nil"/>
            </w:tcBorders>
            <w:vAlign w:val="center"/>
            <w:hideMark/>
          </w:tcPr>
          <w:p w:rsidR="00621B03" w:rsidRDefault="00621B03" w:rsidP="00FD32F3">
            <w:pPr>
              <w:pStyle w:val="SL-FlLftSgl"/>
              <w:spacing w:line="240" w:lineRule="auto"/>
              <w:jc w:val="center"/>
              <w:rPr>
                <w:sz w:val="20"/>
              </w:rPr>
            </w:pPr>
            <w:r>
              <w:rPr>
                <w:sz w:val="20"/>
              </w:rPr>
              <w:t>√</w:t>
            </w:r>
          </w:p>
        </w:tc>
        <w:tc>
          <w:tcPr>
            <w:tcW w:w="718" w:type="dxa"/>
            <w:tcBorders>
              <w:top w:val="single" w:sz="2" w:space="0" w:color="auto"/>
              <w:left w:val="nil"/>
              <w:bottom w:val="nil"/>
              <w:right w:val="nil"/>
            </w:tcBorders>
            <w:vAlign w:val="center"/>
          </w:tcPr>
          <w:p w:rsidR="00621B03" w:rsidRDefault="00621B03" w:rsidP="00FD32F3">
            <w:pPr>
              <w:pStyle w:val="SL-FlLftSgl"/>
              <w:spacing w:line="240" w:lineRule="auto"/>
              <w:jc w:val="center"/>
              <w:rPr>
                <w:sz w:val="20"/>
              </w:rPr>
            </w:pPr>
          </w:p>
        </w:tc>
        <w:tc>
          <w:tcPr>
            <w:tcW w:w="718" w:type="dxa"/>
            <w:tcBorders>
              <w:top w:val="single" w:sz="2" w:space="0" w:color="auto"/>
              <w:left w:val="nil"/>
              <w:bottom w:val="nil"/>
              <w:right w:val="nil"/>
            </w:tcBorders>
            <w:vAlign w:val="center"/>
            <w:hideMark/>
          </w:tcPr>
          <w:p w:rsidR="00621B03" w:rsidRDefault="00621B03" w:rsidP="00FD32F3">
            <w:pPr>
              <w:pStyle w:val="SL-FlLftSgl"/>
              <w:spacing w:line="240" w:lineRule="auto"/>
              <w:jc w:val="center"/>
              <w:rPr>
                <w:sz w:val="20"/>
              </w:rPr>
            </w:pPr>
            <w:r>
              <w:rPr>
                <w:sz w:val="20"/>
              </w:rPr>
              <w:t>√</w:t>
            </w:r>
          </w:p>
        </w:tc>
        <w:tc>
          <w:tcPr>
            <w:tcW w:w="724" w:type="dxa"/>
            <w:tcBorders>
              <w:top w:val="single" w:sz="2" w:space="0" w:color="auto"/>
              <w:left w:val="nil"/>
              <w:bottom w:val="nil"/>
              <w:right w:val="nil"/>
            </w:tcBorders>
            <w:vAlign w:val="center"/>
          </w:tcPr>
          <w:p w:rsidR="00621B03" w:rsidRDefault="00621B03" w:rsidP="00FD32F3">
            <w:pPr>
              <w:pStyle w:val="SL-FlLftSgl"/>
              <w:spacing w:line="240" w:lineRule="auto"/>
              <w:jc w:val="center"/>
              <w:rPr>
                <w:sz w:val="20"/>
              </w:rPr>
            </w:pPr>
          </w:p>
        </w:tc>
        <w:tc>
          <w:tcPr>
            <w:tcW w:w="630" w:type="dxa"/>
            <w:tcBorders>
              <w:top w:val="single" w:sz="2" w:space="0" w:color="auto"/>
              <w:left w:val="nil"/>
              <w:bottom w:val="nil"/>
              <w:right w:val="nil"/>
            </w:tcBorders>
            <w:vAlign w:val="center"/>
          </w:tcPr>
          <w:p w:rsidR="00621B03" w:rsidRDefault="00621B03" w:rsidP="00FD32F3">
            <w:pPr>
              <w:pStyle w:val="SL-FlLftSgl"/>
              <w:spacing w:line="240" w:lineRule="auto"/>
              <w:jc w:val="center"/>
              <w:rPr>
                <w:sz w:val="20"/>
              </w:rPr>
            </w:pPr>
          </w:p>
          <w:p w:rsidR="00621B03" w:rsidRDefault="00621B03" w:rsidP="00FD32F3">
            <w:pPr>
              <w:pStyle w:val="SL-FlLftSgl"/>
              <w:spacing w:line="240" w:lineRule="auto"/>
              <w:jc w:val="center"/>
              <w:rPr>
                <w:sz w:val="20"/>
              </w:rPr>
            </w:pPr>
            <w:r>
              <w:rPr>
                <w:sz w:val="20"/>
              </w:rPr>
              <w:t>√</w:t>
            </w:r>
          </w:p>
        </w:tc>
      </w:tr>
      <w:tr w:rsidR="00621B03" w:rsidRPr="0026489C" w:rsidTr="007C3889">
        <w:trPr>
          <w:cantSplit/>
        </w:trPr>
        <w:tc>
          <w:tcPr>
            <w:tcW w:w="2700" w:type="dxa"/>
            <w:tcBorders>
              <w:top w:val="nil"/>
              <w:left w:val="nil"/>
              <w:bottom w:val="nil"/>
              <w:right w:val="nil"/>
            </w:tcBorders>
            <w:vAlign w:val="center"/>
            <w:hideMark/>
          </w:tcPr>
          <w:p w:rsidR="00621B03" w:rsidRDefault="00621B03" w:rsidP="007C3889">
            <w:pPr>
              <w:pStyle w:val="SL-FlLftSgl"/>
              <w:spacing w:line="240" w:lineRule="auto"/>
              <w:jc w:val="left"/>
              <w:rPr>
                <w:sz w:val="20"/>
              </w:rPr>
            </w:pPr>
            <w:r>
              <w:rPr>
                <w:sz w:val="20"/>
              </w:rPr>
              <w:t>Adult education</w:t>
            </w:r>
          </w:p>
        </w:tc>
        <w:tc>
          <w:tcPr>
            <w:tcW w:w="630" w:type="dxa"/>
            <w:tcBorders>
              <w:top w:val="nil"/>
              <w:left w:val="nil"/>
              <w:bottom w:val="nil"/>
              <w:right w:val="nil"/>
            </w:tcBorders>
            <w:vAlign w:val="center"/>
            <w:hideMark/>
          </w:tcPr>
          <w:p w:rsidR="00621B03" w:rsidRDefault="00621B03" w:rsidP="00FD32F3">
            <w:pPr>
              <w:pStyle w:val="SL-FlLftSgl"/>
              <w:spacing w:line="240" w:lineRule="auto"/>
              <w:jc w:val="center"/>
              <w:rPr>
                <w:sz w:val="20"/>
              </w:rPr>
            </w:pPr>
            <w:r>
              <w:rPr>
                <w:sz w:val="20"/>
              </w:rPr>
              <w:t>√</w:t>
            </w:r>
          </w:p>
        </w:tc>
        <w:tc>
          <w:tcPr>
            <w:tcW w:w="630" w:type="dxa"/>
            <w:tcBorders>
              <w:top w:val="nil"/>
              <w:left w:val="nil"/>
              <w:bottom w:val="nil"/>
              <w:right w:val="nil"/>
            </w:tcBorders>
            <w:vAlign w:val="center"/>
          </w:tcPr>
          <w:p w:rsidR="00621B03" w:rsidRDefault="00621B03" w:rsidP="00FD32F3">
            <w:pPr>
              <w:pStyle w:val="SL-FlLftSgl"/>
              <w:spacing w:line="240" w:lineRule="auto"/>
              <w:jc w:val="center"/>
              <w:rPr>
                <w:sz w:val="20"/>
              </w:rPr>
            </w:pPr>
          </w:p>
        </w:tc>
        <w:tc>
          <w:tcPr>
            <w:tcW w:w="630" w:type="dxa"/>
            <w:tcBorders>
              <w:top w:val="nil"/>
              <w:left w:val="nil"/>
              <w:bottom w:val="nil"/>
              <w:right w:val="nil"/>
            </w:tcBorders>
            <w:vAlign w:val="center"/>
            <w:hideMark/>
          </w:tcPr>
          <w:p w:rsidR="00621B03" w:rsidRDefault="00621B03" w:rsidP="00FD32F3">
            <w:pPr>
              <w:pStyle w:val="SL-FlLftSgl"/>
              <w:spacing w:line="240" w:lineRule="auto"/>
              <w:jc w:val="center"/>
              <w:rPr>
                <w:sz w:val="20"/>
              </w:rPr>
            </w:pPr>
            <w:r>
              <w:rPr>
                <w:sz w:val="20"/>
              </w:rPr>
              <w:t>√</w:t>
            </w:r>
          </w:p>
        </w:tc>
        <w:tc>
          <w:tcPr>
            <w:tcW w:w="630" w:type="dxa"/>
            <w:tcBorders>
              <w:top w:val="nil"/>
              <w:left w:val="nil"/>
              <w:bottom w:val="nil"/>
              <w:right w:val="nil"/>
            </w:tcBorders>
            <w:vAlign w:val="center"/>
          </w:tcPr>
          <w:p w:rsidR="00621B03" w:rsidRDefault="00621B03" w:rsidP="00FD32F3">
            <w:pPr>
              <w:pStyle w:val="SL-FlLftSgl"/>
              <w:spacing w:line="240" w:lineRule="auto"/>
              <w:jc w:val="center"/>
              <w:rPr>
                <w:sz w:val="20"/>
              </w:rPr>
            </w:pPr>
          </w:p>
        </w:tc>
        <w:tc>
          <w:tcPr>
            <w:tcW w:w="720" w:type="dxa"/>
            <w:tcBorders>
              <w:top w:val="nil"/>
              <w:left w:val="nil"/>
              <w:bottom w:val="nil"/>
              <w:right w:val="nil"/>
            </w:tcBorders>
            <w:vAlign w:val="center"/>
            <w:hideMark/>
          </w:tcPr>
          <w:p w:rsidR="00621B03" w:rsidRDefault="00621B03" w:rsidP="00FD32F3">
            <w:pPr>
              <w:pStyle w:val="SL-FlLftSgl"/>
              <w:spacing w:line="240" w:lineRule="auto"/>
              <w:jc w:val="center"/>
              <w:rPr>
                <w:sz w:val="20"/>
              </w:rPr>
            </w:pPr>
            <w:r>
              <w:rPr>
                <w:sz w:val="20"/>
              </w:rPr>
              <w:t>√</w:t>
            </w:r>
          </w:p>
        </w:tc>
        <w:tc>
          <w:tcPr>
            <w:tcW w:w="630" w:type="dxa"/>
            <w:tcBorders>
              <w:top w:val="nil"/>
              <w:left w:val="nil"/>
              <w:bottom w:val="nil"/>
              <w:right w:val="nil"/>
            </w:tcBorders>
            <w:vAlign w:val="center"/>
            <w:hideMark/>
          </w:tcPr>
          <w:p w:rsidR="00621B03" w:rsidRDefault="00621B03" w:rsidP="00FD32F3">
            <w:pPr>
              <w:pStyle w:val="SL-FlLftSgl"/>
              <w:spacing w:line="240" w:lineRule="auto"/>
              <w:jc w:val="center"/>
              <w:rPr>
                <w:sz w:val="20"/>
              </w:rPr>
            </w:pPr>
            <w:r>
              <w:rPr>
                <w:sz w:val="20"/>
              </w:rPr>
              <w:t>√</w:t>
            </w:r>
          </w:p>
        </w:tc>
        <w:tc>
          <w:tcPr>
            <w:tcW w:w="718" w:type="dxa"/>
            <w:tcBorders>
              <w:top w:val="nil"/>
              <w:left w:val="nil"/>
              <w:bottom w:val="nil"/>
              <w:right w:val="nil"/>
            </w:tcBorders>
            <w:vAlign w:val="center"/>
            <w:hideMark/>
          </w:tcPr>
          <w:p w:rsidR="00621B03" w:rsidRDefault="00621B03" w:rsidP="00FD32F3">
            <w:pPr>
              <w:pStyle w:val="SL-FlLftSgl"/>
              <w:spacing w:line="240" w:lineRule="auto"/>
              <w:jc w:val="center"/>
              <w:rPr>
                <w:sz w:val="20"/>
              </w:rPr>
            </w:pPr>
            <w:r>
              <w:rPr>
                <w:sz w:val="20"/>
              </w:rPr>
              <w:t>√</w:t>
            </w:r>
          </w:p>
        </w:tc>
        <w:tc>
          <w:tcPr>
            <w:tcW w:w="718" w:type="dxa"/>
            <w:tcBorders>
              <w:top w:val="nil"/>
              <w:left w:val="nil"/>
              <w:bottom w:val="nil"/>
              <w:right w:val="nil"/>
            </w:tcBorders>
            <w:vAlign w:val="center"/>
            <w:hideMark/>
          </w:tcPr>
          <w:p w:rsidR="00621B03" w:rsidRDefault="00621B03" w:rsidP="00FD32F3">
            <w:pPr>
              <w:pStyle w:val="SL-FlLftSgl"/>
              <w:spacing w:line="240" w:lineRule="auto"/>
              <w:jc w:val="center"/>
              <w:rPr>
                <w:sz w:val="20"/>
              </w:rPr>
            </w:pPr>
            <w:r>
              <w:rPr>
                <w:sz w:val="20"/>
              </w:rPr>
              <w:t>√</w:t>
            </w:r>
          </w:p>
        </w:tc>
        <w:tc>
          <w:tcPr>
            <w:tcW w:w="724" w:type="dxa"/>
            <w:tcBorders>
              <w:top w:val="nil"/>
              <w:left w:val="nil"/>
              <w:bottom w:val="nil"/>
              <w:right w:val="nil"/>
            </w:tcBorders>
            <w:vAlign w:val="center"/>
          </w:tcPr>
          <w:p w:rsidR="00621B03" w:rsidRDefault="00621B03" w:rsidP="00FD32F3">
            <w:pPr>
              <w:pStyle w:val="SL-FlLftSgl"/>
              <w:spacing w:line="240" w:lineRule="auto"/>
              <w:jc w:val="center"/>
              <w:rPr>
                <w:sz w:val="20"/>
                <w:highlight w:val="yellow"/>
              </w:rPr>
            </w:pPr>
          </w:p>
        </w:tc>
        <w:tc>
          <w:tcPr>
            <w:tcW w:w="630" w:type="dxa"/>
            <w:tcBorders>
              <w:top w:val="nil"/>
              <w:left w:val="nil"/>
              <w:bottom w:val="nil"/>
              <w:right w:val="nil"/>
            </w:tcBorders>
            <w:vAlign w:val="center"/>
          </w:tcPr>
          <w:p w:rsidR="00621B03" w:rsidRDefault="00621B03" w:rsidP="00FD32F3">
            <w:pPr>
              <w:pStyle w:val="SL-FlLftSgl"/>
              <w:spacing w:line="240" w:lineRule="auto"/>
              <w:jc w:val="center"/>
              <w:rPr>
                <w:sz w:val="20"/>
                <w:highlight w:val="yellow"/>
              </w:rPr>
            </w:pPr>
          </w:p>
        </w:tc>
      </w:tr>
      <w:tr w:rsidR="00621B03" w:rsidRPr="0026489C" w:rsidTr="007C3889">
        <w:trPr>
          <w:cantSplit/>
        </w:trPr>
        <w:tc>
          <w:tcPr>
            <w:tcW w:w="2700" w:type="dxa"/>
            <w:tcBorders>
              <w:top w:val="nil"/>
              <w:left w:val="nil"/>
              <w:bottom w:val="nil"/>
              <w:right w:val="nil"/>
            </w:tcBorders>
            <w:vAlign w:val="center"/>
            <w:hideMark/>
          </w:tcPr>
          <w:p w:rsidR="00621B03" w:rsidRDefault="00621B03" w:rsidP="007C3889">
            <w:pPr>
              <w:pStyle w:val="SL-FlLftSgl"/>
              <w:spacing w:line="240" w:lineRule="auto"/>
              <w:jc w:val="left"/>
              <w:rPr>
                <w:sz w:val="20"/>
              </w:rPr>
            </w:pPr>
            <w:r>
              <w:rPr>
                <w:sz w:val="20"/>
              </w:rPr>
              <w:t>School readiness</w:t>
            </w:r>
          </w:p>
        </w:tc>
        <w:tc>
          <w:tcPr>
            <w:tcW w:w="630" w:type="dxa"/>
            <w:tcBorders>
              <w:top w:val="nil"/>
              <w:left w:val="nil"/>
              <w:bottom w:val="nil"/>
              <w:right w:val="nil"/>
            </w:tcBorders>
            <w:vAlign w:val="center"/>
          </w:tcPr>
          <w:p w:rsidR="00621B03" w:rsidRDefault="00621B03" w:rsidP="00FD32F3">
            <w:pPr>
              <w:pStyle w:val="SL-FlLftSgl"/>
              <w:spacing w:line="240" w:lineRule="auto"/>
              <w:jc w:val="center"/>
              <w:rPr>
                <w:sz w:val="20"/>
              </w:rPr>
            </w:pPr>
          </w:p>
        </w:tc>
        <w:tc>
          <w:tcPr>
            <w:tcW w:w="630" w:type="dxa"/>
            <w:tcBorders>
              <w:top w:val="nil"/>
              <w:left w:val="nil"/>
              <w:bottom w:val="nil"/>
              <w:right w:val="nil"/>
            </w:tcBorders>
            <w:vAlign w:val="center"/>
            <w:hideMark/>
          </w:tcPr>
          <w:p w:rsidR="00621B03" w:rsidRDefault="00621B03" w:rsidP="00FD32F3">
            <w:pPr>
              <w:pStyle w:val="SL-FlLftSgl"/>
              <w:spacing w:line="240" w:lineRule="auto"/>
              <w:jc w:val="center"/>
              <w:rPr>
                <w:sz w:val="20"/>
              </w:rPr>
            </w:pPr>
            <w:r>
              <w:rPr>
                <w:sz w:val="20"/>
              </w:rPr>
              <w:t>√</w:t>
            </w:r>
          </w:p>
        </w:tc>
        <w:tc>
          <w:tcPr>
            <w:tcW w:w="630" w:type="dxa"/>
            <w:tcBorders>
              <w:top w:val="nil"/>
              <w:left w:val="nil"/>
              <w:bottom w:val="nil"/>
              <w:right w:val="nil"/>
            </w:tcBorders>
            <w:vAlign w:val="center"/>
          </w:tcPr>
          <w:p w:rsidR="00621B03" w:rsidRDefault="00621B03" w:rsidP="00FD32F3">
            <w:pPr>
              <w:pStyle w:val="SL-FlLftSgl"/>
              <w:spacing w:line="240" w:lineRule="auto"/>
              <w:jc w:val="center"/>
              <w:rPr>
                <w:sz w:val="20"/>
              </w:rPr>
            </w:pPr>
          </w:p>
        </w:tc>
        <w:tc>
          <w:tcPr>
            <w:tcW w:w="630" w:type="dxa"/>
            <w:tcBorders>
              <w:top w:val="nil"/>
              <w:left w:val="nil"/>
              <w:bottom w:val="nil"/>
              <w:right w:val="nil"/>
            </w:tcBorders>
            <w:vAlign w:val="center"/>
          </w:tcPr>
          <w:p w:rsidR="00621B03" w:rsidRDefault="00621B03" w:rsidP="00FD32F3">
            <w:pPr>
              <w:pStyle w:val="SL-FlLftSgl"/>
              <w:spacing w:line="240" w:lineRule="auto"/>
              <w:jc w:val="center"/>
              <w:rPr>
                <w:sz w:val="20"/>
              </w:rPr>
            </w:pPr>
          </w:p>
        </w:tc>
        <w:tc>
          <w:tcPr>
            <w:tcW w:w="720" w:type="dxa"/>
            <w:tcBorders>
              <w:top w:val="nil"/>
              <w:left w:val="nil"/>
              <w:bottom w:val="nil"/>
              <w:right w:val="nil"/>
            </w:tcBorders>
            <w:vAlign w:val="center"/>
            <w:hideMark/>
          </w:tcPr>
          <w:p w:rsidR="00621B03" w:rsidRDefault="00621B03" w:rsidP="00FD32F3">
            <w:pPr>
              <w:pStyle w:val="SL-FlLftSgl"/>
              <w:spacing w:line="240" w:lineRule="auto"/>
              <w:jc w:val="center"/>
              <w:rPr>
                <w:sz w:val="20"/>
              </w:rPr>
            </w:pPr>
            <w:r>
              <w:rPr>
                <w:sz w:val="20"/>
              </w:rPr>
              <w:t>√</w:t>
            </w:r>
          </w:p>
        </w:tc>
        <w:tc>
          <w:tcPr>
            <w:tcW w:w="630" w:type="dxa"/>
            <w:tcBorders>
              <w:top w:val="nil"/>
              <w:left w:val="nil"/>
              <w:bottom w:val="nil"/>
              <w:right w:val="nil"/>
            </w:tcBorders>
            <w:vAlign w:val="center"/>
          </w:tcPr>
          <w:p w:rsidR="00621B03" w:rsidRDefault="00621B03" w:rsidP="00FD32F3">
            <w:pPr>
              <w:pStyle w:val="SL-FlLftSgl"/>
              <w:spacing w:line="240" w:lineRule="auto"/>
              <w:jc w:val="center"/>
              <w:rPr>
                <w:sz w:val="20"/>
              </w:rPr>
            </w:pPr>
          </w:p>
        </w:tc>
        <w:tc>
          <w:tcPr>
            <w:tcW w:w="718" w:type="dxa"/>
            <w:tcBorders>
              <w:top w:val="nil"/>
              <w:left w:val="nil"/>
              <w:bottom w:val="nil"/>
              <w:right w:val="nil"/>
            </w:tcBorders>
            <w:vAlign w:val="center"/>
          </w:tcPr>
          <w:p w:rsidR="00621B03" w:rsidRDefault="00621B03" w:rsidP="00FD32F3">
            <w:pPr>
              <w:pStyle w:val="SL-FlLftSgl"/>
              <w:spacing w:line="240" w:lineRule="auto"/>
              <w:jc w:val="center"/>
              <w:rPr>
                <w:sz w:val="20"/>
              </w:rPr>
            </w:pPr>
          </w:p>
        </w:tc>
        <w:tc>
          <w:tcPr>
            <w:tcW w:w="718" w:type="dxa"/>
            <w:tcBorders>
              <w:top w:val="nil"/>
              <w:left w:val="nil"/>
              <w:bottom w:val="nil"/>
              <w:right w:val="nil"/>
            </w:tcBorders>
            <w:vAlign w:val="center"/>
          </w:tcPr>
          <w:p w:rsidR="00621B03" w:rsidRDefault="00621B03" w:rsidP="00FD32F3">
            <w:pPr>
              <w:pStyle w:val="SL-FlLftSgl"/>
              <w:spacing w:line="240" w:lineRule="auto"/>
              <w:jc w:val="center"/>
              <w:rPr>
                <w:sz w:val="20"/>
              </w:rPr>
            </w:pPr>
          </w:p>
        </w:tc>
        <w:tc>
          <w:tcPr>
            <w:tcW w:w="724" w:type="dxa"/>
            <w:tcBorders>
              <w:top w:val="nil"/>
              <w:left w:val="nil"/>
              <w:bottom w:val="nil"/>
              <w:right w:val="nil"/>
            </w:tcBorders>
            <w:vAlign w:val="center"/>
            <w:hideMark/>
          </w:tcPr>
          <w:p w:rsidR="00621B03" w:rsidRDefault="00621B03" w:rsidP="00FD32F3">
            <w:pPr>
              <w:pStyle w:val="SL-FlLftSgl"/>
              <w:spacing w:line="240" w:lineRule="auto"/>
              <w:jc w:val="center"/>
              <w:rPr>
                <w:sz w:val="20"/>
              </w:rPr>
            </w:pPr>
            <w:r>
              <w:rPr>
                <w:sz w:val="20"/>
              </w:rPr>
              <w:t>√</w:t>
            </w:r>
          </w:p>
        </w:tc>
        <w:tc>
          <w:tcPr>
            <w:tcW w:w="630" w:type="dxa"/>
            <w:tcBorders>
              <w:top w:val="nil"/>
              <w:left w:val="nil"/>
              <w:bottom w:val="nil"/>
              <w:right w:val="nil"/>
            </w:tcBorders>
            <w:vAlign w:val="center"/>
          </w:tcPr>
          <w:p w:rsidR="00621B03" w:rsidRDefault="00621B03" w:rsidP="00FD32F3">
            <w:pPr>
              <w:pStyle w:val="SL-FlLftSgl"/>
              <w:spacing w:line="240" w:lineRule="auto"/>
              <w:jc w:val="center"/>
              <w:rPr>
                <w:sz w:val="20"/>
              </w:rPr>
            </w:pPr>
          </w:p>
        </w:tc>
      </w:tr>
      <w:tr w:rsidR="00621B03" w:rsidRPr="0026489C" w:rsidTr="007C3889">
        <w:trPr>
          <w:cantSplit/>
        </w:trPr>
        <w:tc>
          <w:tcPr>
            <w:tcW w:w="2700" w:type="dxa"/>
            <w:tcBorders>
              <w:top w:val="nil"/>
              <w:left w:val="nil"/>
              <w:bottom w:val="nil"/>
              <w:right w:val="nil"/>
            </w:tcBorders>
            <w:vAlign w:val="center"/>
            <w:hideMark/>
          </w:tcPr>
          <w:p w:rsidR="00621B03" w:rsidRDefault="00621B03" w:rsidP="007C3889">
            <w:pPr>
              <w:pStyle w:val="SL-FlLftSgl"/>
              <w:spacing w:line="240" w:lineRule="auto"/>
              <w:jc w:val="left"/>
              <w:rPr>
                <w:sz w:val="20"/>
              </w:rPr>
            </w:pPr>
            <w:r>
              <w:rPr>
                <w:sz w:val="20"/>
              </w:rPr>
              <w:t>School safety and discipline</w:t>
            </w:r>
          </w:p>
        </w:tc>
        <w:tc>
          <w:tcPr>
            <w:tcW w:w="630" w:type="dxa"/>
            <w:tcBorders>
              <w:top w:val="nil"/>
              <w:left w:val="nil"/>
              <w:bottom w:val="nil"/>
              <w:right w:val="nil"/>
            </w:tcBorders>
            <w:vAlign w:val="center"/>
          </w:tcPr>
          <w:p w:rsidR="00621B03" w:rsidRDefault="00621B03" w:rsidP="00FD32F3">
            <w:pPr>
              <w:pStyle w:val="SL-FlLftSgl"/>
              <w:spacing w:line="240" w:lineRule="auto"/>
              <w:jc w:val="center"/>
              <w:rPr>
                <w:sz w:val="20"/>
              </w:rPr>
            </w:pPr>
          </w:p>
        </w:tc>
        <w:tc>
          <w:tcPr>
            <w:tcW w:w="630" w:type="dxa"/>
            <w:tcBorders>
              <w:top w:val="nil"/>
              <w:left w:val="nil"/>
              <w:bottom w:val="nil"/>
              <w:right w:val="nil"/>
            </w:tcBorders>
            <w:vAlign w:val="center"/>
            <w:hideMark/>
          </w:tcPr>
          <w:p w:rsidR="00621B03" w:rsidRDefault="00621B03" w:rsidP="00FD32F3">
            <w:pPr>
              <w:pStyle w:val="SL-FlLftSgl"/>
              <w:spacing w:line="240" w:lineRule="auto"/>
              <w:jc w:val="center"/>
              <w:rPr>
                <w:sz w:val="20"/>
              </w:rPr>
            </w:pPr>
            <w:r>
              <w:rPr>
                <w:sz w:val="20"/>
              </w:rPr>
              <w:t>√</w:t>
            </w:r>
          </w:p>
        </w:tc>
        <w:tc>
          <w:tcPr>
            <w:tcW w:w="630" w:type="dxa"/>
            <w:tcBorders>
              <w:top w:val="nil"/>
              <w:left w:val="nil"/>
              <w:bottom w:val="nil"/>
              <w:right w:val="nil"/>
            </w:tcBorders>
            <w:vAlign w:val="center"/>
          </w:tcPr>
          <w:p w:rsidR="00621B03" w:rsidRDefault="00621B03" w:rsidP="00FD32F3">
            <w:pPr>
              <w:pStyle w:val="SL-FlLftSgl"/>
              <w:spacing w:line="240" w:lineRule="auto"/>
              <w:jc w:val="center"/>
              <w:rPr>
                <w:sz w:val="20"/>
              </w:rPr>
            </w:pPr>
          </w:p>
        </w:tc>
        <w:tc>
          <w:tcPr>
            <w:tcW w:w="630" w:type="dxa"/>
            <w:tcBorders>
              <w:top w:val="nil"/>
              <w:left w:val="nil"/>
              <w:bottom w:val="nil"/>
              <w:right w:val="nil"/>
            </w:tcBorders>
            <w:vAlign w:val="center"/>
          </w:tcPr>
          <w:p w:rsidR="00621B03" w:rsidRDefault="00621B03" w:rsidP="00FD32F3">
            <w:pPr>
              <w:pStyle w:val="SL-FlLftSgl"/>
              <w:spacing w:line="240" w:lineRule="auto"/>
              <w:jc w:val="center"/>
              <w:rPr>
                <w:sz w:val="20"/>
              </w:rPr>
            </w:pPr>
          </w:p>
        </w:tc>
        <w:tc>
          <w:tcPr>
            <w:tcW w:w="720" w:type="dxa"/>
            <w:tcBorders>
              <w:top w:val="nil"/>
              <w:left w:val="nil"/>
              <w:bottom w:val="nil"/>
              <w:right w:val="nil"/>
            </w:tcBorders>
            <w:vAlign w:val="center"/>
          </w:tcPr>
          <w:p w:rsidR="00621B03" w:rsidRDefault="00621B03" w:rsidP="00FD32F3">
            <w:pPr>
              <w:pStyle w:val="SL-FlLftSgl"/>
              <w:spacing w:line="240" w:lineRule="auto"/>
              <w:jc w:val="center"/>
              <w:rPr>
                <w:sz w:val="20"/>
              </w:rPr>
            </w:pPr>
          </w:p>
        </w:tc>
        <w:tc>
          <w:tcPr>
            <w:tcW w:w="630" w:type="dxa"/>
            <w:tcBorders>
              <w:top w:val="nil"/>
              <w:left w:val="nil"/>
              <w:bottom w:val="nil"/>
              <w:right w:val="nil"/>
            </w:tcBorders>
            <w:vAlign w:val="center"/>
          </w:tcPr>
          <w:p w:rsidR="00621B03" w:rsidRDefault="00621B03" w:rsidP="00FD32F3">
            <w:pPr>
              <w:pStyle w:val="SL-FlLftSgl"/>
              <w:spacing w:line="240" w:lineRule="auto"/>
              <w:jc w:val="center"/>
              <w:rPr>
                <w:sz w:val="20"/>
              </w:rPr>
            </w:pPr>
          </w:p>
        </w:tc>
        <w:tc>
          <w:tcPr>
            <w:tcW w:w="718" w:type="dxa"/>
            <w:tcBorders>
              <w:top w:val="nil"/>
              <w:left w:val="nil"/>
              <w:bottom w:val="nil"/>
              <w:right w:val="nil"/>
            </w:tcBorders>
            <w:vAlign w:val="center"/>
          </w:tcPr>
          <w:p w:rsidR="00621B03" w:rsidRDefault="00621B03" w:rsidP="00FD32F3">
            <w:pPr>
              <w:pStyle w:val="SL-FlLftSgl"/>
              <w:spacing w:line="240" w:lineRule="auto"/>
              <w:jc w:val="center"/>
              <w:rPr>
                <w:sz w:val="20"/>
              </w:rPr>
            </w:pPr>
          </w:p>
        </w:tc>
        <w:tc>
          <w:tcPr>
            <w:tcW w:w="718" w:type="dxa"/>
            <w:tcBorders>
              <w:top w:val="nil"/>
              <w:left w:val="nil"/>
              <w:bottom w:val="nil"/>
              <w:right w:val="nil"/>
            </w:tcBorders>
            <w:vAlign w:val="center"/>
          </w:tcPr>
          <w:p w:rsidR="00621B03" w:rsidRDefault="00621B03" w:rsidP="00FD32F3">
            <w:pPr>
              <w:pStyle w:val="SL-FlLftSgl"/>
              <w:spacing w:line="240" w:lineRule="auto"/>
              <w:jc w:val="center"/>
              <w:rPr>
                <w:sz w:val="20"/>
              </w:rPr>
            </w:pPr>
          </w:p>
        </w:tc>
        <w:tc>
          <w:tcPr>
            <w:tcW w:w="724" w:type="dxa"/>
            <w:tcBorders>
              <w:top w:val="nil"/>
              <w:left w:val="nil"/>
              <w:bottom w:val="nil"/>
              <w:right w:val="nil"/>
            </w:tcBorders>
            <w:vAlign w:val="center"/>
          </w:tcPr>
          <w:p w:rsidR="00621B03" w:rsidRDefault="00621B03" w:rsidP="00FD32F3">
            <w:pPr>
              <w:pStyle w:val="SL-FlLftSgl"/>
              <w:spacing w:line="240" w:lineRule="auto"/>
              <w:jc w:val="center"/>
              <w:rPr>
                <w:sz w:val="20"/>
              </w:rPr>
            </w:pPr>
          </w:p>
        </w:tc>
        <w:tc>
          <w:tcPr>
            <w:tcW w:w="630" w:type="dxa"/>
            <w:tcBorders>
              <w:top w:val="nil"/>
              <w:left w:val="nil"/>
              <w:bottom w:val="nil"/>
              <w:right w:val="nil"/>
            </w:tcBorders>
            <w:vAlign w:val="center"/>
          </w:tcPr>
          <w:p w:rsidR="00621B03" w:rsidRDefault="00621B03" w:rsidP="00FD32F3">
            <w:pPr>
              <w:pStyle w:val="SL-FlLftSgl"/>
              <w:spacing w:line="240" w:lineRule="auto"/>
              <w:jc w:val="center"/>
              <w:rPr>
                <w:sz w:val="20"/>
              </w:rPr>
            </w:pPr>
          </w:p>
        </w:tc>
      </w:tr>
      <w:tr w:rsidR="00621B03" w:rsidRPr="0026489C" w:rsidTr="007C3889">
        <w:trPr>
          <w:cantSplit/>
        </w:trPr>
        <w:tc>
          <w:tcPr>
            <w:tcW w:w="2700" w:type="dxa"/>
            <w:tcBorders>
              <w:top w:val="nil"/>
              <w:left w:val="nil"/>
              <w:bottom w:val="nil"/>
              <w:right w:val="nil"/>
            </w:tcBorders>
            <w:vAlign w:val="center"/>
            <w:hideMark/>
          </w:tcPr>
          <w:p w:rsidR="00621B03" w:rsidRDefault="00621B03" w:rsidP="007C3889">
            <w:pPr>
              <w:pStyle w:val="SL-FlLftSgl"/>
              <w:spacing w:line="240" w:lineRule="auto"/>
              <w:jc w:val="left"/>
              <w:rPr>
                <w:sz w:val="20"/>
              </w:rPr>
            </w:pPr>
            <w:r>
              <w:rPr>
                <w:sz w:val="20"/>
              </w:rPr>
              <w:t xml:space="preserve">Parent and family involvement </w:t>
            </w:r>
          </w:p>
          <w:p w:rsidR="00621B03" w:rsidRDefault="00A9755C" w:rsidP="007C3889">
            <w:pPr>
              <w:pStyle w:val="SL-FlLftSgl"/>
              <w:spacing w:line="240" w:lineRule="auto"/>
              <w:jc w:val="left"/>
              <w:rPr>
                <w:sz w:val="20"/>
              </w:rPr>
            </w:pPr>
            <w:r>
              <w:rPr>
                <w:sz w:val="20"/>
              </w:rPr>
              <w:t xml:space="preserve"> </w:t>
            </w:r>
            <w:r w:rsidR="00621B03">
              <w:rPr>
                <w:sz w:val="20"/>
              </w:rPr>
              <w:t>in education</w:t>
            </w:r>
          </w:p>
        </w:tc>
        <w:tc>
          <w:tcPr>
            <w:tcW w:w="630" w:type="dxa"/>
            <w:tcBorders>
              <w:top w:val="nil"/>
              <w:left w:val="nil"/>
              <w:bottom w:val="nil"/>
              <w:right w:val="nil"/>
            </w:tcBorders>
            <w:vAlign w:val="center"/>
          </w:tcPr>
          <w:p w:rsidR="00621B03" w:rsidRDefault="00621B03" w:rsidP="00FD32F3">
            <w:pPr>
              <w:pStyle w:val="SL-FlLftSgl"/>
              <w:spacing w:line="240" w:lineRule="auto"/>
              <w:jc w:val="center"/>
              <w:rPr>
                <w:sz w:val="20"/>
              </w:rPr>
            </w:pPr>
          </w:p>
        </w:tc>
        <w:tc>
          <w:tcPr>
            <w:tcW w:w="630" w:type="dxa"/>
            <w:tcBorders>
              <w:top w:val="nil"/>
              <w:left w:val="nil"/>
              <w:bottom w:val="nil"/>
              <w:right w:val="nil"/>
            </w:tcBorders>
            <w:vAlign w:val="center"/>
          </w:tcPr>
          <w:p w:rsidR="00621B03" w:rsidRDefault="00621B03" w:rsidP="00FD32F3">
            <w:pPr>
              <w:pStyle w:val="SL-FlLftSgl"/>
              <w:spacing w:line="240" w:lineRule="auto"/>
              <w:jc w:val="center"/>
              <w:rPr>
                <w:sz w:val="20"/>
              </w:rPr>
            </w:pPr>
          </w:p>
        </w:tc>
        <w:tc>
          <w:tcPr>
            <w:tcW w:w="630" w:type="dxa"/>
            <w:tcBorders>
              <w:top w:val="nil"/>
              <w:left w:val="nil"/>
              <w:bottom w:val="nil"/>
              <w:right w:val="nil"/>
            </w:tcBorders>
            <w:vAlign w:val="center"/>
          </w:tcPr>
          <w:p w:rsidR="00621B03" w:rsidRDefault="00621B03" w:rsidP="00FD32F3">
            <w:pPr>
              <w:pStyle w:val="SL-FlLftSgl"/>
              <w:spacing w:line="240" w:lineRule="auto"/>
              <w:jc w:val="center"/>
              <w:rPr>
                <w:sz w:val="20"/>
              </w:rPr>
            </w:pPr>
          </w:p>
        </w:tc>
        <w:tc>
          <w:tcPr>
            <w:tcW w:w="630" w:type="dxa"/>
            <w:tcBorders>
              <w:top w:val="nil"/>
              <w:left w:val="nil"/>
              <w:bottom w:val="nil"/>
              <w:right w:val="nil"/>
            </w:tcBorders>
            <w:vAlign w:val="center"/>
            <w:hideMark/>
          </w:tcPr>
          <w:p w:rsidR="00621B03" w:rsidRDefault="00621B03" w:rsidP="00FD32F3">
            <w:pPr>
              <w:pStyle w:val="SL-FlLftSgl"/>
              <w:spacing w:line="240" w:lineRule="auto"/>
              <w:jc w:val="center"/>
              <w:rPr>
                <w:sz w:val="20"/>
              </w:rPr>
            </w:pPr>
            <w:r>
              <w:rPr>
                <w:sz w:val="20"/>
              </w:rPr>
              <w:t>√</w:t>
            </w:r>
          </w:p>
        </w:tc>
        <w:tc>
          <w:tcPr>
            <w:tcW w:w="720" w:type="dxa"/>
            <w:tcBorders>
              <w:top w:val="nil"/>
              <w:left w:val="nil"/>
              <w:bottom w:val="nil"/>
              <w:right w:val="nil"/>
            </w:tcBorders>
            <w:vAlign w:val="center"/>
            <w:hideMark/>
          </w:tcPr>
          <w:p w:rsidR="00621B03" w:rsidRDefault="00621B03" w:rsidP="00FD32F3">
            <w:pPr>
              <w:pStyle w:val="SL-FlLftSgl"/>
              <w:spacing w:line="240" w:lineRule="auto"/>
              <w:jc w:val="center"/>
              <w:rPr>
                <w:sz w:val="20"/>
              </w:rPr>
            </w:pPr>
            <w:r>
              <w:rPr>
                <w:sz w:val="20"/>
              </w:rPr>
              <w:t>√</w:t>
            </w:r>
          </w:p>
        </w:tc>
        <w:tc>
          <w:tcPr>
            <w:tcW w:w="630" w:type="dxa"/>
            <w:tcBorders>
              <w:top w:val="nil"/>
              <w:left w:val="nil"/>
              <w:bottom w:val="nil"/>
              <w:right w:val="nil"/>
            </w:tcBorders>
            <w:vAlign w:val="center"/>
          </w:tcPr>
          <w:p w:rsidR="00621B03" w:rsidRDefault="00621B03" w:rsidP="00FD32F3">
            <w:pPr>
              <w:pStyle w:val="SL-FlLftSgl"/>
              <w:spacing w:line="240" w:lineRule="auto"/>
              <w:jc w:val="center"/>
              <w:rPr>
                <w:sz w:val="20"/>
              </w:rPr>
            </w:pPr>
          </w:p>
        </w:tc>
        <w:tc>
          <w:tcPr>
            <w:tcW w:w="718" w:type="dxa"/>
            <w:tcBorders>
              <w:top w:val="nil"/>
              <w:left w:val="nil"/>
              <w:bottom w:val="nil"/>
              <w:right w:val="nil"/>
            </w:tcBorders>
            <w:vAlign w:val="center"/>
            <w:hideMark/>
          </w:tcPr>
          <w:p w:rsidR="00621B03" w:rsidRDefault="00621B03" w:rsidP="00FD32F3">
            <w:pPr>
              <w:pStyle w:val="SL-FlLftSgl"/>
              <w:spacing w:line="240" w:lineRule="auto"/>
              <w:jc w:val="center"/>
              <w:rPr>
                <w:sz w:val="20"/>
              </w:rPr>
            </w:pPr>
            <w:r>
              <w:rPr>
                <w:sz w:val="20"/>
              </w:rPr>
              <w:t>√</w:t>
            </w:r>
          </w:p>
        </w:tc>
        <w:tc>
          <w:tcPr>
            <w:tcW w:w="718" w:type="dxa"/>
            <w:tcBorders>
              <w:top w:val="nil"/>
              <w:left w:val="nil"/>
              <w:bottom w:val="nil"/>
              <w:right w:val="nil"/>
            </w:tcBorders>
            <w:vAlign w:val="center"/>
          </w:tcPr>
          <w:p w:rsidR="00621B03" w:rsidRDefault="00621B03" w:rsidP="00FD32F3">
            <w:pPr>
              <w:pStyle w:val="SL-FlLftSgl"/>
              <w:spacing w:line="240" w:lineRule="auto"/>
              <w:jc w:val="center"/>
              <w:rPr>
                <w:sz w:val="20"/>
              </w:rPr>
            </w:pPr>
          </w:p>
        </w:tc>
        <w:tc>
          <w:tcPr>
            <w:tcW w:w="724" w:type="dxa"/>
            <w:tcBorders>
              <w:top w:val="nil"/>
              <w:left w:val="nil"/>
              <w:bottom w:val="nil"/>
              <w:right w:val="nil"/>
            </w:tcBorders>
            <w:vAlign w:val="center"/>
            <w:hideMark/>
          </w:tcPr>
          <w:p w:rsidR="00621B03" w:rsidRDefault="00621B03" w:rsidP="00FD32F3">
            <w:pPr>
              <w:pStyle w:val="SL-FlLftSgl"/>
              <w:spacing w:line="240" w:lineRule="auto"/>
              <w:jc w:val="center"/>
              <w:rPr>
                <w:sz w:val="20"/>
              </w:rPr>
            </w:pPr>
            <w:r>
              <w:rPr>
                <w:sz w:val="20"/>
              </w:rPr>
              <w:t>√</w:t>
            </w:r>
          </w:p>
        </w:tc>
        <w:tc>
          <w:tcPr>
            <w:tcW w:w="630" w:type="dxa"/>
            <w:tcBorders>
              <w:top w:val="nil"/>
              <w:left w:val="nil"/>
              <w:bottom w:val="nil"/>
              <w:right w:val="nil"/>
            </w:tcBorders>
            <w:vAlign w:val="center"/>
          </w:tcPr>
          <w:p w:rsidR="00621B03" w:rsidRDefault="00621B03" w:rsidP="00FD32F3">
            <w:pPr>
              <w:pStyle w:val="SL-FlLftSgl"/>
              <w:spacing w:line="240" w:lineRule="auto"/>
              <w:jc w:val="center"/>
              <w:rPr>
                <w:sz w:val="20"/>
              </w:rPr>
            </w:pPr>
          </w:p>
          <w:p w:rsidR="00621B03" w:rsidRDefault="00621B03" w:rsidP="00FD32F3">
            <w:pPr>
              <w:pStyle w:val="SL-FlLftSgl"/>
              <w:spacing w:line="240" w:lineRule="auto"/>
              <w:jc w:val="center"/>
              <w:rPr>
                <w:sz w:val="20"/>
              </w:rPr>
            </w:pPr>
            <w:r>
              <w:rPr>
                <w:sz w:val="20"/>
              </w:rPr>
              <w:t>√</w:t>
            </w:r>
          </w:p>
        </w:tc>
      </w:tr>
      <w:tr w:rsidR="00621B03" w:rsidRPr="0026489C" w:rsidTr="007C3889">
        <w:trPr>
          <w:cantSplit/>
        </w:trPr>
        <w:tc>
          <w:tcPr>
            <w:tcW w:w="2700" w:type="dxa"/>
            <w:tcBorders>
              <w:top w:val="nil"/>
              <w:left w:val="nil"/>
              <w:bottom w:val="nil"/>
              <w:right w:val="nil"/>
            </w:tcBorders>
            <w:vAlign w:val="center"/>
            <w:hideMark/>
          </w:tcPr>
          <w:p w:rsidR="00621B03" w:rsidRDefault="00621B03" w:rsidP="007C3889">
            <w:pPr>
              <w:pStyle w:val="SL-FlLftSgl"/>
              <w:spacing w:line="240" w:lineRule="auto"/>
              <w:jc w:val="left"/>
              <w:rPr>
                <w:sz w:val="20"/>
              </w:rPr>
            </w:pPr>
            <w:r>
              <w:rPr>
                <w:sz w:val="20"/>
              </w:rPr>
              <w:t>Civic involvement</w:t>
            </w:r>
          </w:p>
        </w:tc>
        <w:tc>
          <w:tcPr>
            <w:tcW w:w="630" w:type="dxa"/>
            <w:tcBorders>
              <w:top w:val="nil"/>
              <w:left w:val="nil"/>
              <w:bottom w:val="nil"/>
              <w:right w:val="nil"/>
            </w:tcBorders>
            <w:vAlign w:val="center"/>
          </w:tcPr>
          <w:p w:rsidR="00621B03" w:rsidRDefault="00621B03" w:rsidP="00FD32F3">
            <w:pPr>
              <w:pStyle w:val="SL-FlLftSgl"/>
              <w:spacing w:line="240" w:lineRule="auto"/>
              <w:jc w:val="center"/>
              <w:rPr>
                <w:sz w:val="20"/>
              </w:rPr>
            </w:pPr>
          </w:p>
        </w:tc>
        <w:tc>
          <w:tcPr>
            <w:tcW w:w="630" w:type="dxa"/>
            <w:tcBorders>
              <w:top w:val="nil"/>
              <w:left w:val="nil"/>
              <w:bottom w:val="nil"/>
              <w:right w:val="nil"/>
            </w:tcBorders>
            <w:vAlign w:val="center"/>
          </w:tcPr>
          <w:p w:rsidR="00621B03" w:rsidRDefault="00621B03" w:rsidP="00FD32F3">
            <w:pPr>
              <w:pStyle w:val="SL-FlLftSgl"/>
              <w:spacing w:line="240" w:lineRule="auto"/>
              <w:jc w:val="center"/>
              <w:rPr>
                <w:sz w:val="20"/>
              </w:rPr>
            </w:pPr>
          </w:p>
        </w:tc>
        <w:tc>
          <w:tcPr>
            <w:tcW w:w="630" w:type="dxa"/>
            <w:tcBorders>
              <w:top w:val="nil"/>
              <w:left w:val="nil"/>
              <w:bottom w:val="nil"/>
              <w:right w:val="nil"/>
            </w:tcBorders>
            <w:vAlign w:val="center"/>
          </w:tcPr>
          <w:p w:rsidR="00621B03" w:rsidRDefault="00621B03" w:rsidP="00FD32F3">
            <w:pPr>
              <w:pStyle w:val="SL-FlLftSgl"/>
              <w:spacing w:line="240" w:lineRule="auto"/>
              <w:jc w:val="center"/>
              <w:rPr>
                <w:sz w:val="20"/>
              </w:rPr>
            </w:pPr>
          </w:p>
        </w:tc>
        <w:tc>
          <w:tcPr>
            <w:tcW w:w="630" w:type="dxa"/>
            <w:tcBorders>
              <w:top w:val="nil"/>
              <w:left w:val="nil"/>
              <w:bottom w:val="nil"/>
              <w:right w:val="nil"/>
            </w:tcBorders>
            <w:vAlign w:val="center"/>
            <w:hideMark/>
          </w:tcPr>
          <w:p w:rsidR="00621B03" w:rsidRDefault="00621B03" w:rsidP="00FD32F3">
            <w:pPr>
              <w:pStyle w:val="SL-FlLftSgl"/>
              <w:spacing w:line="240" w:lineRule="auto"/>
              <w:jc w:val="center"/>
              <w:rPr>
                <w:sz w:val="20"/>
              </w:rPr>
            </w:pPr>
            <w:r>
              <w:rPr>
                <w:sz w:val="20"/>
              </w:rPr>
              <w:t>√</w:t>
            </w:r>
          </w:p>
        </w:tc>
        <w:tc>
          <w:tcPr>
            <w:tcW w:w="720" w:type="dxa"/>
            <w:tcBorders>
              <w:top w:val="nil"/>
              <w:left w:val="nil"/>
              <w:bottom w:val="nil"/>
              <w:right w:val="nil"/>
            </w:tcBorders>
            <w:vAlign w:val="center"/>
            <w:hideMark/>
          </w:tcPr>
          <w:p w:rsidR="00621B03" w:rsidRDefault="00621B03" w:rsidP="00FD32F3">
            <w:pPr>
              <w:pStyle w:val="SL-FlLftSgl"/>
              <w:spacing w:line="240" w:lineRule="auto"/>
              <w:jc w:val="center"/>
              <w:rPr>
                <w:sz w:val="20"/>
              </w:rPr>
            </w:pPr>
            <w:r>
              <w:rPr>
                <w:sz w:val="20"/>
              </w:rPr>
              <w:t>√</w:t>
            </w:r>
          </w:p>
        </w:tc>
        <w:tc>
          <w:tcPr>
            <w:tcW w:w="630" w:type="dxa"/>
            <w:tcBorders>
              <w:top w:val="nil"/>
              <w:left w:val="nil"/>
              <w:bottom w:val="nil"/>
              <w:right w:val="nil"/>
            </w:tcBorders>
            <w:vAlign w:val="center"/>
          </w:tcPr>
          <w:p w:rsidR="00621B03" w:rsidRDefault="00621B03" w:rsidP="00FD32F3">
            <w:pPr>
              <w:pStyle w:val="SL-FlLftSgl"/>
              <w:spacing w:line="240" w:lineRule="auto"/>
              <w:jc w:val="center"/>
              <w:rPr>
                <w:sz w:val="20"/>
              </w:rPr>
            </w:pPr>
          </w:p>
        </w:tc>
        <w:tc>
          <w:tcPr>
            <w:tcW w:w="718" w:type="dxa"/>
            <w:tcBorders>
              <w:top w:val="nil"/>
              <w:left w:val="nil"/>
              <w:bottom w:val="nil"/>
              <w:right w:val="nil"/>
            </w:tcBorders>
            <w:vAlign w:val="center"/>
          </w:tcPr>
          <w:p w:rsidR="00621B03" w:rsidRDefault="00621B03" w:rsidP="00FD32F3">
            <w:pPr>
              <w:pStyle w:val="SL-FlLftSgl"/>
              <w:spacing w:line="240" w:lineRule="auto"/>
              <w:jc w:val="center"/>
              <w:rPr>
                <w:sz w:val="20"/>
              </w:rPr>
            </w:pPr>
          </w:p>
        </w:tc>
        <w:tc>
          <w:tcPr>
            <w:tcW w:w="718" w:type="dxa"/>
            <w:tcBorders>
              <w:top w:val="nil"/>
              <w:left w:val="nil"/>
              <w:bottom w:val="nil"/>
              <w:right w:val="nil"/>
            </w:tcBorders>
            <w:vAlign w:val="center"/>
          </w:tcPr>
          <w:p w:rsidR="00621B03" w:rsidRDefault="00621B03" w:rsidP="00FD32F3">
            <w:pPr>
              <w:pStyle w:val="SL-FlLftSgl"/>
              <w:spacing w:line="240" w:lineRule="auto"/>
              <w:jc w:val="center"/>
              <w:rPr>
                <w:sz w:val="20"/>
              </w:rPr>
            </w:pPr>
          </w:p>
        </w:tc>
        <w:tc>
          <w:tcPr>
            <w:tcW w:w="724" w:type="dxa"/>
            <w:tcBorders>
              <w:top w:val="nil"/>
              <w:left w:val="nil"/>
              <w:bottom w:val="nil"/>
              <w:right w:val="nil"/>
            </w:tcBorders>
            <w:vAlign w:val="center"/>
          </w:tcPr>
          <w:p w:rsidR="00621B03" w:rsidRDefault="00621B03" w:rsidP="00FD32F3">
            <w:pPr>
              <w:pStyle w:val="SL-FlLftSgl"/>
              <w:spacing w:line="240" w:lineRule="auto"/>
              <w:jc w:val="center"/>
              <w:rPr>
                <w:sz w:val="20"/>
              </w:rPr>
            </w:pPr>
          </w:p>
        </w:tc>
        <w:tc>
          <w:tcPr>
            <w:tcW w:w="630" w:type="dxa"/>
            <w:tcBorders>
              <w:top w:val="nil"/>
              <w:left w:val="nil"/>
              <w:bottom w:val="nil"/>
              <w:right w:val="nil"/>
            </w:tcBorders>
            <w:vAlign w:val="center"/>
          </w:tcPr>
          <w:p w:rsidR="00621B03" w:rsidRDefault="00621B03" w:rsidP="00FD32F3">
            <w:pPr>
              <w:pStyle w:val="SL-FlLftSgl"/>
              <w:spacing w:line="240" w:lineRule="auto"/>
              <w:jc w:val="center"/>
              <w:rPr>
                <w:sz w:val="20"/>
              </w:rPr>
            </w:pPr>
          </w:p>
        </w:tc>
      </w:tr>
      <w:tr w:rsidR="00621B03" w:rsidRPr="0026489C" w:rsidTr="007C3889">
        <w:trPr>
          <w:cantSplit/>
        </w:trPr>
        <w:tc>
          <w:tcPr>
            <w:tcW w:w="2700" w:type="dxa"/>
            <w:tcBorders>
              <w:top w:val="nil"/>
              <w:left w:val="nil"/>
              <w:bottom w:val="nil"/>
              <w:right w:val="nil"/>
            </w:tcBorders>
            <w:vAlign w:val="center"/>
            <w:hideMark/>
          </w:tcPr>
          <w:p w:rsidR="00621B03" w:rsidRDefault="00621B03" w:rsidP="007C3889">
            <w:pPr>
              <w:pStyle w:val="SL-FlLftSgl"/>
              <w:spacing w:line="240" w:lineRule="auto"/>
              <w:jc w:val="left"/>
              <w:rPr>
                <w:sz w:val="20"/>
              </w:rPr>
            </w:pPr>
            <w:r>
              <w:rPr>
                <w:sz w:val="20"/>
              </w:rPr>
              <w:t xml:space="preserve">After-school programs and </w:t>
            </w:r>
            <w:r>
              <w:rPr>
                <w:sz w:val="20"/>
              </w:rPr>
              <w:br/>
            </w:r>
            <w:r>
              <w:rPr>
                <w:sz w:val="20"/>
              </w:rPr>
              <w:t> </w:t>
            </w:r>
            <w:r>
              <w:rPr>
                <w:sz w:val="20"/>
              </w:rPr>
              <w:t> </w:t>
            </w:r>
            <w:r>
              <w:rPr>
                <w:sz w:val="20"/>
              </w:rPr>
              <w:t> </w:t>
            </w:r>
            <w:r>
              <w:rPr>
                <w:sz w:val="20"/>
              </w:rPr>
              <w:t>activities</w:t>
            </w:r>
          </w:p>
        </w:tc>
        <w:tc>
          <w:tcPr>
            <w:tcW w:w="630" w:type="dxa"/>
            <w:tcBorders>
              <w:top w:val="nil"/>
              <w:left w:val="nil"/>
              <w:bottom w:val="nil"/>
              <w:right w:val="nil"/>
            </w:tcBorders>
            <w:vAlign w:val="center"/>
          </w:tcPr>
          <w:p w:rsidR="00621B03" w:rsidRDefault="00621B03" w:rsidP="00FD32F3">
            <w:pPr>
              <w:pStyle w:val="SL-FlLftSgl"/>
              <w:spacing w:line="240" w:lineRule="auto"/>
              <w:jc w:val="center"/>
              <w:rPr>
                <w:sz w:val="20"/>
              </w:rPr>
            </w:pPr>
          </w:p>
        </w:tc>
        <w:tc>
          <w:tcPr>
            <w:tcW w:w="630" w:type="dxa"/>
            <w:tcBorders>
              <w:top w:val="nil"/>
              <w:left w:val="nil"/>
              <w:bottom w:val="nil"/>
              <w:right w:val="nil"/>
            </w:tcBorders>
            <w:vAlign w:val="center"/>
          </w:tcPr>
          <w:p w:rsidR="00621B03" w:rsidRDefault="00621B03" w:rsidP="00FD32F3">
            <w:pPr>
              <w:pStyle w:val="SL-FlLftSgl"/>
              <w:spacing w:line="240" w:lineRule="auto"/>
              <w:jc w:val="center"/>
              <w:rPr>
                <w:sz w:val="20"/>
              </w:rPr>
            </w:pPr>
          </w:p>
        </w:tc>
        <w:tc>
          <w:tcPr>
            <w:tcW w:w="630" w:type="dxa"/>
            <w:tcBorders>
              <w:top w:val="nil"/>
              <w:left w:val="nil"/>
              <w:bottom w:val="nil"/>
              <w:right w:val="nil"/>
            </w:tcBorders>
            <w:vAlign w:val="center"/>
            <w:hideMark/>
          </w:tcPr>
          <w:p w:rsidR="00621B03" w:rsidRDefault="00621B03" w:rsidP="00FD32F3">
            <w:pPr>
              <w:pStyle w:val="SL-FlLftSgl"/>
              <w:spacing w:line="240" w:lineRule="auto"/>
              <w:jc w:val="center"/>
              <w:rPr>
                <w:sz w:val="20"/>
              </w:rPr>
            </w:pPr>
            <w:r>
              <w:rPr>
                <w:sz w:val="20"/>
              </w:rPr>
              <w:t>√</w:t>
            </w:r>
            <w:r>
              <w:rPr>
                <w:rStyle w:val="FootnoteReference"/>
                <w:spacing w:val="-2"/>
                <w:sz w:val="20"/>
              </w:rPr>
              <w:t>2</w:t>
            </w:r>
          </w:p>
        </w:tc>
        <w:tc>
          <w:tcPr>
            <w:tcW w:w="630" w:type="dxa"/>
            <w:tcBorders>
              <w:top w:val="nil"/>
              <w:left w:val="nil"/>
              <w:bottom w:val="nil"/>
              <w:right w:val="nil"/>
            </w:tcBorders>
            <w:vAlign w:val="center"/>
          </w:tcPr>
          <w:p w:rsidR="00621B03" w:rsidRDefault="00621B03" w:rsidP="00FD32F3">
            <w:pPr>
              <w:pStyle w:val="SL-FlLftSgl"/>
              <w:spacing w:line="240" w:lineRule="auto"/>
              <w:jc w:val="center"/>
              <w:rPr>
                <w:sz w:val="20"/>
              </w:rPr>
            </w:pPr>
          </w:p>
        </w:tc>
        <w:tc>
          <w:tcPr>
            <w:tcW w:w="720" w:type="dxa"/>
            <w:tcBorders>
              <w:top w:val="nil"/>
              <w:left w:val="nil"/>
              <w:bottom w:val="nil"/>
              <w:right w:val="nil"/>
            </w:tcBorders>
            <w:vAlign w:val="center"/>
            <w:hideMark/>
          </w:tcPr>
          <w:p w:rsidR="00621B03" w:rsidRDefault="00621B03" w:rsidP="00FD32F3">
            <w:pPr>
              <w:pStyle w:val="SL-FlLftSgl"/>
              <w:spacing w:line="240" w:lineRule="auto"/>
              <w:jc w:val="center"/>
              <w:rPr>
                <w:sz w:val="20"/>
              </w:rPr>
            </w:pPr>
            <w:r>
              <w:rPr>
                <w:sz w:val="20"/>
              </w:rPr>
              <w:t>√</w:t>
            </w:r>
          </w:p>
        </w:tc>
        <w:tc>
          <w:tcPr>
            <w:tcW w:w="630" w:type="dxa"/>
            <w:tcBorders>
              <w:top w:val="nil"/>
              <w:left w:val="nil"/>
              <w:bottom w:val="nil"/>
              <w:right w:val="nil"/>
            </w:tcBorders>
            <w:vAlign w:val="center"/>
            <w:hideMark/>
          </w:tcPr>
          <w:p w:rsidR="00621B03" w:rsidRDefault="00621B03" w:rsidP="00FD32F3">
            <w:pPr>
              <w:pStyle w:val="SL-FlLftSgl"/>
              <w:spacing w:line="240" w:lineRule="auto"/>
              <w:jc w:val="center"/>
              <w:rPr>
                <w:sz w:val="20"/>
              </w:rPr>
            </w:pPr>
            <w:r>
              <w:rPr>
                <w:sz w:val="20"/>
              </w:rPr>
              <w:t>√</w:t>
            </w:r>
            <w:r>
              <w:rPr>
                <w:sz w:val="20"/>
                <w:vertAlign w:val="superscript"/>
              </w:rPr>
              <w:t>3</w:t>
            </w:r>
          </w:p>
        </w:tc>
        <w:tc>
          <w:tcPr>
            <w:tcW w:w="718" w:type="dxa"/>
            <w:tcBorders>
              <w:top w:val="nil"/>
              <w:left w:val="nil"/>
              <w:bottom w:val="nil"/>
              <w:right w:val="nil"/>
            </w:tcBorders>
            <w:vAlign w:val="center"/>
          </w:tcPr>
          <w:p w:rsidR="00621B03" w:rsidRDefault="00621B03" w:rsidP="00FD32F3">
            <w:pPr>
              <w:pStyle w:val="SL-FlLftSgl"/>
              <w:spacing w:line="240" w:lineRule="auto"/>
              <w:jc w:val="center"/>
              <w:rPr>
                <w:sz w:val="20"/>
              </w:rPr>
            </w:pPr>
          </w:p>
        </w:tc>
        <w:tc>
          <w:tcPr>
            <w:tcW w:w="718" w:type="dxa"/>
            <w:tcBorders>
              <w:top w:val="nil"/>
              <w:left w:val="nil"/>
              <w:bottom w:val="nil"/>
              <w:right w:val="nil"/>
            </w:tcBorders>
            <w:vAlign w:val="center"/>
            <w:hideMark/>
          </w:tcPr>
          <w:p w:rsidR="00621B03" w:rsidRDefault="00621B03" w:rsidP="00FD32F3">
            <w:pPr>
              <w:pStyle w:val="SL-FlLftSgl"/>
              <w:spacing w:line="240" w:lineRule="auto"/>
              <w:jc w:val="center"/>
              <w:rPr>
                <w:sz w:val="20"/>
              </w:rPr>
            </w:pPr>
            <w:r>
              <w:rPr>
                <w:sz w:val="20"/>
              </w:rPr>
              <w:t>√</w:t>
            </w:r>
          </w:p>
        </w:tc>
        <w:tc>
          <w:tcPr>
            <w:tcW w:w="724" w:type="dxa"/>
            <w:tcBorders>
              <w:top w:val="nil"/>
              <w:left w:val="nil"/>
              <w:bottom w:val="nil"/>
              <w:right w:val="nil"/>
            </w:tcBorders>
            <w:vAlign w:val="center"/>
          </w:tcPr>
          <w:p w:rsidR="00621B03" w:rsidRDefault="00621B03" w:rsidP="00FD32F3">
            <w:pPr>
              <w:pStyle w:val="SL-FlLftSgl"/>
              <w:spacing w:line="240" w:lineRule="auto"/>
              <w:jc w:val="center"/>
              <w:rPr>
                <w:sz w:val="20"/>
              </w:rPr>
            </w:pPr>
          </w:p>
        </w:tc>
        <w:tc>
          <w:tcPr>
            <w:tcW w:w="630" w:type="dxa"/>
            <w:tcBorders>
              <w:top w:val="nil"/>
              <w:left w:val="nil"/>
              <w:bottom w:val="nil"/>
              <w:right w:val="nil"/>
            </w:tcBorders>
            <w:vAlign w:val="center"/>
          </w:tcPr>
          <w:p w:rsidR="00621B03" w:rsidRDefault="00621B03" w:rsidP="00FD32F3">
            <w:pPr>
              <w:pStyle w:val="SL-FlLftSgl"/>
              <w:spacing w:line="240" w:lineRule="auto"/>
              <w:jc w:val="center"/>
              <w:rPr>
                <w:sz w:val="20"/>
              </w:rPr>
            </w:pPr>
          </w:p>
        </w:tc>
      </w:tr>
      <w:tr w:rsidR="00621B03" w:rsidRPr="0026489C" w:rsidTr="007C3889">
        <w:trPr>
          <w:cantSplit/>
        </w:trPr>
        <w:tc>
          <w:tcPr>
            <w:tcW w:w="2700" w:type="dxa"/>
            <w:tcBorders>
              <w:top w:val="nil"/>
              <w:left w:val="nil"/>
              <w:bottom w:val="nil"/>
              <w:right w:val="nil"/>
            </w:tcBorders>
            <w:vAlign w:val="center"/>
            <w:hideMark/>
          </w:tcPr>
          <w:p w:rsidR="00621B03" w:rsidRDefault="00621B03" w:rsidP="007C3889">
            <w:pPr>
              <w:pStyle w:val="SL-FlLftSgl"/>
              <w:spacing w:line="240" w:lineRule="auto"/>
              <w:jc w:val="left"/>
              <w:rPr>
                <w:sz w:val="20"/>
              </w:rPr>
            </w:pPr>
            <w:r>
              <w:rPr>
                <w:sz w:val="20"/>
              </w:rPr>
              <w:t>Household library use</w:t>
            </w:r>
          </w:p>
        </w:tc>
        <w:tc>
          <w:tcPr>
            <w:tcW w:w="630" w:type="dxa"/>
            <w:tcBorders>
              <w:top w:val="nil"/>
              <w:left w:val="nil"/>
              <w:bottom w:val="nil"/>
              <w:right w:val="nil"/>
            </w:tcBorders>
            <w:vAlign w:val="center"/>
          </w:tcPr>
          <w:p w:rsidR="00621B03" w:rsidRDefault="00621B03" w:rsidP="00FD32F3">
            <w:pPr>
              <w:pStyle w:val="SL-FlLftSgl"/>
              <w:spacing w:line="240" w:lineRule="auto"/>
              <w:jc w:val="center"/>
              <w:rPr>
                <w:sz w:val="20"/>
              </w:rPr>
            </w:pPr>
          </w:p>
        </w:tc>
        <w:tc>
          <w:tcPr>
            <w:tcW w:w="630" w:type="dxa"/>
            <w:tcBorders>
              <w:top w:val="nil"/>
              <w:left w:val="nil"/>
              <w:bottom w:val="nil"/>
              <w:right w:val="nil"/>
            </w:tcBorders>
            <w:vAlign w:val="center"/>
          </w:tcPr>
          <w:p w:rsidR="00621B03" w:rsidRDefault="00621B03" w:rsidP="00FD32F3">
            <w:pPr>
              <w:pStyle w:val="SL-FlLftSgl"/>
              <w:spacing w:line="240" w:lineRule="auto"/>
              <w:jc w:val="center"/>
              <w:rPr>
                <w:sz w:val="20"/>
              </w:rPr>
            </w:pPr>
          </w:p>
        </w:tc>
        <w:tc>
          <w:tcPr>
            <w:tcW w:w="630" w:type="dxa"/>
            <w:tcBorders>
              <w:top w:val="nil"/>
              <w:left w:val="nil"/>
              <w:bottom w:val="nil"/>
              <w:right w:val="nil"/>
            </w:tcBorders>
            <w:vAlign w:val="center"/>
          </w:tcPr>
          <w:p w:rsidR="00621B03" w:rsidRDefault="00621B03" w:rsidP="00FD32F3">
            <w:pPr>
              <w:pStyle w:val="SL-FlLftSgl"/>
              <w:spacing w:line="240" w:lineRule="auto"/>
              <w:jc w:val="center"/>
              <w:rPr>
                <w:sz w:val="20"/>
              </w:rPr>
            </w:pPr>
          </w:p>
        </w:tc>
        <w:tc>
          <w:tcPr>
            <w:tcW w:w="630" w:type="dxa"/>
            <w:tcBorders>
              <w:top w:val="nil"/>
              <w:left w:val="nil"/>
              <w:bottom w:val="nil"/>
              <w:right w:val="nil"/>
            </w:tcBorders>
            <w:vAlign w:val="center"/>
            <w:hideMark/>
          </w:tcPr>
          <w:p w:rsidR="00621B03" w:rsidRDefault="00621B03" w:rsidP="00FD32F3">
            <w:pPr>
              <w:pStyle w:val="SL-FlLftSgl"/>
              <w:spacing w:line="240" w:lineRule="auto"/>
              <w:jc w:val="center"/>
              <w:rPr>
                <w:sz w:val="20"/>
              </w:rPr>
            </w:pPr>
            <w:r>
              <w:rPr>
                <w:sz w:val="20"/>
              </w:rPr>
              <w:t>√</w:t>
            </w:r>
          </w:p>
        </w:tc>
        <w:tc>
          <w:tcPr>
            <w:tcW w:w="720" w:type="dxa"/>
            <w:tcBorders>
              <w:top w:val="nil"/>
              <w:left w:val="nil"/>
              <w:bottom w:val="nil"/>
              <w:right w:val="nil"/>
            </w:tcBorders>
            <w:vAlign w:val="center"/>
          </w:tcPr>
          <w:p w:rsidR="00621B03" w:rsidRDefault="00621B03" w:rsidP="00FD32F3">
            <w:pPr>
              <w:pStyle w:val="SL-FlLftSgl"/>
              <w:spacing w:line="240" w:lineRule="auto"/>
              <w:jc w:val="center"/>
              <w:rPr>
                <w:sz w:val="20"/>
              </w:rPr>
            </w:pPr>
          </w:p>
        </w:tc>
        <w:tc>
          <w:tcPr>
            <w:tcW w:w="630" w:type="dxa"/>
            <w:tcBorders>
              <w:top w:val="nil"/>
              <w:left w:val="nil"/>
              <w:bottom w:val="nil"/>
              <w:right w:val="nil"/>
            </w:tcBorders>
            <w:vAlign w:val="center"/>
          </w:tcPr>
          <w:p w:rsidR="00621B03" w:rsidRDefault="00621B03" w:rsidP="00FD32F3">
            <w:pPr>
              <w:pStyle w:val="SL-FlLftSgl"/>
              <w:spacing w:line="240" w:lineRule="auto"/>
              <w:jc w:val="center"/>
              <w:rPr>
                <w:sz w:val="20"/>
              </w:rPr>
            </w:pPr>
          </w:p>
        </w:tc>
        <w:tc>
          <w:tcPr>
            <w:tcW w:w="718" w:type="dxa"/>
            <w:tcBorders>
              <w:top w:val="nil"/>
              <w:left w:val="nil"/>
              <w:bottom w:val="nil"/>
              <w:right w:val="nil"/>
            </w:tcBorders>
            <w:vAlign w:val="center"/>
          </w:tcPr>
          <w:p w:rsidR="00621B03" w:rsidRDefault="00621B03" w:rsidP="00FD32F3">
            <w:pPr>
              <w:pStyle w:val="SL-FlLftSgl"/>
              <w:spacing w:line="240" w:lineRule="auto"/>
              <w:jc w:val="center"/>
              <w:rPr>
                <w:sz w:val="20"/>
              </w:rPr>
            </w:pPr>
          </w:p>
        </w:tc>
        <w:tc>
          <w:tcPr>
            <w:tcW w:w="718" w:type="dxa"/>
            <w:tcBorders>
              <w:top w:val="nil"/>
              <w:left w:val="nil"/>
              <w:bottom w:val="nil"/>
              <w:right w:val="nil"/>
            </w:tcBorders>
            <w:vAlign w:val="center"/>
          </w:tcPr>
          <w:p w:rsidR="00621B03" w:rsidRDefault="00621B03" w:rsidP="00FD32F3">
            <w:pPr>
              <w:pStyle w:val="SL-FlLftSgl"/>
              <w:spacing w:line="240" w:lineRule="auto"/>
              <w:jc w:val="center"/>
              <w:rPr>
                <w:sz w:val="20"/>
              </w:rPr>
            </w:pPr>
          </w:p>
        </w:tc>
        <w:tc>
          <w:tcPr>
            <w:tcW w:w="724" w:type="dxa"/>
            <w:tcBorders>
              <w:top w:val="nil"/>
              <w:left w:val="nil"/>
              <w:bottom w:val="nil"/>
              <w:right w:val="nil"/>
            </w:tcBorders>
            <w:vAlign w:val="center"/>
          </w:tcPr>
          <w:p w:rsidR="00621B03" w:rsidRDefault="00621B03" w:rsidP="00FD32F3">
            <w:pPr>
              <w:pStyle w:val="SL-FlLftSgl"/>
              <w:spacing w:line="240" w:lineRule="auto"/>
              <w:jc w:val="center"/>
              <w:rPr>
                <w:sz w:val="20"/>
              </w:rPr>
            </w:pPr>
          </w:p>
        </w:tc>
        <w:tc>
          <w:tcPr>
            <w:tcW w:w="630" w:type="dxa"/>
            <w:tcBorders>
              <w:top w:val="nil"/>
              <w:left w:val="nil"/>
              <w:bottom w:val="nil"/>
              <w:right w:val="nil"/>
            </w:tcBorders>
            <w:vAlign w:val="center"/>
          </w:tcPr>
          <w:p w:rsidR="00621B03" w:rsidRDefault="00621B03" w:rsidP="00FD32F3">
            <w:pPr>
              <w:pStyle w:val="SL-FlLftSgl"/>
              <w:spacing w:line="240" w:lineRule="auto"/>
              <w:jc w:val="center"/>
              <w:rPr>
                <w:sz w:val="20"/>
              </w:rPr>
            </w:pPr>
          </w:p>
        </w:tc>
      </w:tr>
      <w:tr w:rsidR="00621B03" w:rsidRPr="0026489C" w:rsidTr="007C3889">
        <w:trPr>
          <w:cantSplit/>
        </w:trPr>
        <w:tc>
          <w:tcPr>
            <w:tcW w:w="2700" w:type="dxa"/>
            <w:tcBorders>
              <w:top w:val="nil"/>
              <w:left w:val="nil"/>
              <w:bottom w:val="single" w:sz="2" w:space="0" w:color="auto"/>
              <w:right w:val="nil"/>
            </w:tcBorders>
            <w:vAlign w:val="center"/>
            <w:hideMark/>
          </w:tcPr>
          <w:p w:rsidR="00621B03" w:rsidRDefault="00621B03" w:rsidP="007C3889">
            <w:pPr>
              <w:pStyle w:val="SL-FlLftSgl"/>
              <w:spacing w:line="240" w:lineRule="auto"/>
              <w:jc w:val="left"/>
              <w:rPr>
                <w:sz w:val="20"/>
              </w:rPr>
            </w:pPr>
            <w:r>
              <w:rPr>
                <w:sz w:val="20"/>
              </w:rPr>
              <w:t>Homeschooling</w:t>
            </w:r>
          </w:p>
        </w:tc>
        <w:tc>
          <w:tcPr>
            <w:tcW w:w="630" w:type="dxa"/>
            <w:tcBorders>
              <w:top w:val="nil"/>
              <w:left w:val="nil"/>
              <w:bottom w:val="single" w:sz="2" w:space="0" w:color="auto"/>
              <w:right w:val="nil"/>
            </w:tcBorders>
            <w:vAlign w:val="center"/>
          </w:tcPr>
          <w:p w:rsidR="00621B03" w:rsidRDefault="00621B03" w:rsidP="00FD32F3">
            <w:pPr>
              <w:pStyle w:val="SL-FlLftSgl"/>
              <w:spacing w:line="240" w:lineRule="auto"/>
              <w:jc w:val="center"/>
              <w:rPr>
                <w:sz w:val="20"/>
              </w:rPr>
            </w:pPr>
          </w:p>
        </w:tc>
        <w:tc>
          <w:tcPr>
            <w:tcW w:w="630" w:type="dxa"/>
            <w:tcBorders>
              <w:top w:val="nil"/>
              <w:left w:val="nil"/>
              <w:bottom w:val="single" w:sz="2" w:space="0" w:color="auto"/>
              <w:right w:val="nil"/>
            </w:tcBorders>
            <w:vAlign w:val="center"/>
          </w:tcPr>
          <w:p w:rsidR="00621B03" w:rsidRDefault="00621B03" w:rsidP="00FD32F3">
            <w:pPr>
              <w:pStyle w:val="SL-FlLftSgl"/>
              <w:spacing w:line="240" w:lineRule="auto"/>
              <w:jc w:val="center"/>
              <w:rPr>
                <w:sz w:val="20"/>
              </w:rPr>
            </w:pPr>
          </w:p>
        </w:tc>
        <w:tc>
          <w:tcPr>
            <w:tcW w:w="630" w:type="dxa"/>
            <w:tcBorders>
              <w:top w:val="nil"/>
              <w:left w:val="nil"/>
              <w:bottom w:val="single" w:sz="2" w:space="0" w:color="auto"/>
              <w:right w:val="nil"/>
            </w:tcBorders>
            <w:vAlign w:val="center"/>
          </w:tcPr>
          <w:p w:rsidR="00621B03" w:rsidRDefault="00621B03" w:rsidP="00FD32F3">
            <w:pPr>
              <w:pStyle w:val="SL-FlLftSgl"/>
              <w:spacing w:line="240" w:lineRule="auto"/>
              <w:jc w:val="center"/>
              <w:rPr>
                <w:sz w:val="20"/>
              </w:rPr>
            </w:pPr>
          </w:p>
        </w:tc>
        <w:tc>
          <w:tcPr>
            <w:tcW w:w="630" w:type="dxa"/>
            <w:tcBorders>
              <w:top w:val="nil"/>
              <w:left w:val="nil"/>
              <w:bottom w:val="single" w:sz="2" w:space="0" w:color="auto"/>
              <w:right w:val="nil"/>
            </w:tcBorders>
            <w:vAlign w:val="center"/>
          </w:tcPr>
          <w:p w:rsidR="00621B03" w:rsidRDefault="00621B03" w:rsidP="00FD32F3">
            <w:pPr>
              <w:pStyle w:val="SL-FlLftSgl"/>
              <w:spacing w:line="240" w:lineRule="auto"/>
              <w:jc w:val="center"/>
              <w:rPr>
                <w:sz w:val="20"/>
              </w:rPr>
            </w:pPr>
          </w:p>
        </w:tc>
        <w:tc>
          <w:tcPr>
            <w:tcW w:w="720" w:type="dxa"/>
            <w:tcBorders>
              <w:top w:val="nil"/>
              <w:left w:val="nil"/>
              <w:bottom w:val="single" w:sz="2" w:space="0" w:color="auto"/>
              <w:right w:val="nil"/>
            </w:tcBorders>
            <w:vAlign w:val="center"/>
            <w:hideMark/>
          </w:tcPr>
          <w:p w:rsidR="00621B03" w:rsidRDefault="00621B03" w:rsidP="00FD32F3">
            <w:pPr>
              <w:pStyle w:val="SL-FlLftSgl"/>
              <w:spacing w:line="240" w:lineRule="auto"/>
              <w:jc w:val="center"/>
              <w:rPr>
                <w:sz w:val="20"/>
              </w:rPr>
            </w:pPr>
            <w:r>
              <w:rPr>
                <w:sz w:val="20"/>
              </w:rPr>
              <w:t>√</w:t>
            </w:r>
          </w:p>
        </w:tc>
        <w:tc>
          <w:tcPr>
            <w:tcW w:w="630" w:type="dxa"/>
            <w:tcBorders>
              <w:top w:val="nil"/>
              <w:left w:val="nil"/>
              <w:bottom w:val="single" w:sz="2" w:space="0" w:color="auto"/>
              <w:right w:val="nil"/>
            </w:tcBorders>
            <w:vAlign w:val="center"/>
          </w:tcPr>
          <w:p w:rsidR="00621B03" w:rsidRDefault="00621B03" w:rsidP="00FD32F3">
            <w:pPr>
              <w:pStyle w:val="SL-FlLftSgl"/>
              <w:spacing w:line="240" w:lineRule="auto"/>
              <w:jc w:val="center"/>
              <w:rPr>
                <w:sz w:val="20"/>
              </w:rPr>
            </w:pPr>
          </w:p>
        </w:tc>
        <w:tc>
          <w:tcPr>
            <w:tcW w:w="718" w:type="dxa"/>
            <w:tcBorders>
              <w:top w:val="nil"/>
              <w:left w:val="nil"/>
              <w:bottom w:val="single" w:sz="2" w:space="0" w:color="auto"/>
              <w:right w:val="nil"/>
            </w:tcBorders>
            <w:vAlign w:val="center"/>
            <w:hideMark/>
          </w:tcPr>
          <w:p w:rsidR="00621B03" w:rsidRDefault="00621B03" w:rsidP="00FD32F3">
            <w:pPr>
              <w:pStyle w:val="SL-FlLftSgl"/>
              <w:spacing w:line="240" w:lineRule="auto"/>
              <w:jc w:val="center"/>
              <w:rPr>
                <w:sz w:val="20"/>
              </w:rPr>
            </w:pPr>
            <w:r>
              <w:rPr>
                <w:sz w:val="20"/>
              </w:rPr>
              <w:t>√</w:t>
            </w:r>
          </w:p>
        </w:tc>
        <w:tc>
          <w:tcPr>
            <w:tcW w:w="718" w:type="dxa"/>
            <w:tcBorders>
              <w:top w:val="nil"/>
              <w:left w:val="nil"/>
              <w:bottom w:val="single" w:sz="2" w:space="0" w:color="auto"/>
              <w:right w:val="nil"/>
            </w:tcBorders>
            <w:vAlign w:val="center"/>
          </w:tcPr>
          <w:p w:rsidR="00621B03" w:rsidRDefault="00621B03" w:rsidP="00FD32F3">
            <w:pPr>
              <w:pStyle w:val="SL-FlLftSgl"/>
              <w:spacing w:line="240" w:lineRule="auto"/>
              <w:jc w:val="center"/>
              <w:rPr>
                <w:sz w:val="20"/>
              </w:rPr>
            </w:pPr>
          </w:p>
        </w:tc>
        <w:tc>
          <w:tcPr>
            <w:tcW w:w="724" w:type="dxa"/>
            <w:tcBorders>
              <w:top w:val="nil"/>
              <w:left w:val="nil"/>
              <w:bottom w:val="single" w:sz="2" w:space="0" w:color="auto"/>
              <w:right w:val="nil"/>
            </w:tcBorders>
            <w:vAlign w:val="center"/>
            <w:hideMark/>
          </w:tcPr>
          <w:p w:rsidR="00621B03" w:rsidRDefault="00621B03" w:rsidP="00FD32F3">
            <w:pPr>
              <w:pStyle w:val="SL-FlLftSgl"/>
              <w:spacing w:line="240" w:lineRule="auto"/>
              <w:jc w:val="center"/>
              <w:rPr>
                <w:sz w:val="20"/>
              </w:rPr>
            </w:pPr>
            <w:r>
              <w:rPr>
                <w:sz w:val="20"/>
              </w:rPr>
              <w:t>√</w:t>
            </w:r>
          </w:p>
        </w:tc>
        <w:tc>
          <w:tcPr>
            <w:tcW w:w="630" w:type="dxa"/>
            <w:tcBorders>
              <w:top w:val="nil"/>
              <w:left w:val="nil"/>
              <w:bottom w:val="single" w:sz="2" w:space="0" w:color="auto"/>
              <w:right w:val="nil"/>
            </w:tcBorders>
            <w:vAlign w:val="center"/>
            <w:hideMark/>
          </w:tcPr>
          <w:p w:rsidR="00621B03" w:rsidRDefault="00621B03" w:rsidP="00FD32F3">
            <w:pPr>
              <w:pStyle w:val="SL-FlLftSgl"/>
              <w:spacing w:line="240" w:lineRule="auto"/>
              <w:jc w:val="center"/>
              <w:rPr>
                <w:sz w:val="20"/>
              </w:rPr>
            </w:pPr>
            <w:r>
              <w:rPr>
                <w:sz w:val="20"/>
              </w:rPr>
              <w:t>√</w:t>
            </w:r>
          </w:p>
        </w:tc>
      </w:tr>
    </w:tbl>
    <w:p w:rsidR="00621B03" w:rsidRDefault="00621B03" w:rsidP="00621B03">
      <w:pPr>
        <w:pStyle w:val="FootnoteText"/>
        <w:jc w:val="left"/>
        <w:rPr>
          <w:sz w:val="20"/>
        </w:rPr>
      </w:pPr>
      <w:r>
        <w:rPr>
          <w:sz w:val="20"/>
          <w:vertAlign w:val="superscript"/>
        </w:rPr>
        <w:t>1</w:t>
      </w:r>
      <w:r>
        <w:rPr>
          <w:sz w:val="20"/>
        </w:rPr>
        <w:t xml:space="preserve"> </w:t>
      </w:r>
      <w:r w:rsidRPr="007C3889">
        <w:rPr>
          <w:sz w:val="18"/>
          <w:szCs w:val="18"/>
        </w:rPr>
        <w:t>The NHES:1999 was a special end-of-decade administration that measured key indicators from the surveys fielded during the 1990s</w:t>
      </w:r>
      <w:r>
        <w:rPr>
          <w:sz w:val="20"/>
        </w:rPr>
        <w:t xml:space="preserve">. </w:t>
      </w:r>
    </w:p>
    <w:p w:rsidR="00621B03" w:rsidRDefault="00621B03" w:rsidP="00621B03">
      <w:pPr>
        <w:pStyle w:val="FootnoteText"/>
        <w:jc w:val="left"/>
        <w:rPr>
          <w:sz w:val="20"/>
        </w:rPr>
      </w:pPr>
      <w:r>
        <w:rPr>
          <w:sz w:val="20"/>
          <w:vertAlign w:val="superscript"/>
        </w:rPr>
        <w:t>2</w:t>
      </w:r>
      <w:r>
        <w:rPr>
          <w:sz w:val="20"/>
        </w:rPr>
        <w:t xml:space="preserve"> </w:t>
      </w:r>
      <w:r w:rsidRPr="007C3889">
        <w:rPr>
          <w:sz w:val="18"/>
          <w:szCs w:val="18"/>
        </w:rPr>
        <w:t>The After-School Programs and Activities Survey of the NHES:1995 only asked about children in first through third grades</w:t>
      </w:r>
      <w:r>
        <w:rPr>
          <w:sz w:val="20"/>
        </w:rPr>
        <w:t>.</w:t>
      </w:r>
    </w:p>
    <w:p w:rsidR="00621B03" w:rsidRPr="007C3889" w:rsidRDefault="00621B03" w:rsidP="00621B03">
      <w:pPr>
        <w:pStyle w:val="FootnoteText"/>
        <w:jc w:val="left"/>
        <w:rPr>
          <w:sz w:val="18"/>
          <w:szCs w:val="18"/>
        </w:rPr>
      </w:pPr>
      <w:r>
        <w:rPr>
          <w:sz w:val="20"/>
          <w:vertAlign w:val="superscript"/>
        </w:rPr>
        <w:t>3</w:t>
      </w:r>
      <w:r>
        <w:rPr>
          <w:sz w:val="20"/>
        </w:rPr>
        <w:t xml:space="preserve"> </w:t>
      </w:r>
      <w:r w:rsidRPr="007C3889">
        <w:rPr>
          <w:sz w:val="18"/>
          <w:szCs w:val="18"/>
        </w:rPr>
        <w:t>The After-School Programs and Activities Survey of the NHES:2001 also included items on before-school programs.</w:t>
      </w:r>
    </w:p>
    <w:p w:rsidR="00621B03" w:rsidRPr="007C3889" w:rsidRDefault="00621B03" w:rsidP="00621B03">
      <w:pPr>
        <w:pStyle w:val="FootnoteText"/>
        <w:jc w:val="left"/>
        <w:rPr>
          <w:sz w:val="18"/>
          <w:szCs w:val="18"/>
        </w:rPr>
      </w:pPr>
      <w:r w:rsidRPr="007C3889">
        <w:rPr>
          <w:sz w:val="18"/>
          <w:szCs w:val="18"/>
        </w:rPr>
        <w:t>SOURCE: U.S. Department of Education, National Center for Education Statistics, National Household Education Surveys Program (NHES), 1991–2012.</w:t>
      </w:r>
    </w:p>
    <w:p w:rsidR="0029322B" w:rsidRDefault="0029322B" w:rsidP="00B22A8C">
      <w:pPr>
        <w:pStyle w:val="P1-StandPara"/>
      </w:pPr>
    </w:p>
    <w:p w:rsidR="00C7459D" w:rsidRDefault="0029322B" w:rsidP="007C3889">
      <w:pPr>
        <w:pStyle w:val="P1-StandPara"/>
        <w:spacing w:line="23" w:lineRule="atLeast"/>
      </w:pPr>
      <w:r>
        <w:t>The ASPA is a repeated administration of a topic shown in the exhibit above but has been adapted for self-administration by mail and its content has been revised based on expert review and cognitive testing.</w:t>
      </w:r>
      <w:r w:rsidR="00003002">
        <w:t xml:space="preserve"> A summary of the cognitive int</w:t>
      </w:r>
      <w:r w:rsidR="003342C7">
        <w:t>erview findings is provided in a</w:t>
      </w:r>
      <w:r w:rsidR="00003002">
        <w:t xml:space="preserve">ppendix </w:t>
      </w:r>
      <w:r w:rsidR="003342C7">
        <w:t>D</w:t>
      </w:r>
      <w:r w:rsidR="00003002">
        <w:t>. Item justifications for questions includ</w:t>
      </w:r>
      <w:r w:rsidR="003342C7">
        <w:t>ed in the ASPA are provided in a</w:t>
      </w:r>
      <w:r w:rsidR="00003002">
        <w:t xml:space="preserve">ppendix </w:t>
      </w:r>
      <w:r w:rsidR="003342C7">
        <w:t>E</w:t>
      </w:r>
      <w:r w:rsidR="00003002">
        <w:t>.</w:t>
      </w:r>
    </w:p>
    <w:p w:rsidR="0029322B" w:rsidRDefault="0029322B" w:rsidP="007C3889">
      <w:pPr>
        <w:pStyle w:val="P1-StandPara"/>
        <w:spacing w:line="23" w:lineRule="atLeast"/>
      </w:pPr>
    </w:p>
    <w:p w:rsidR="00621B03" w:rsidRDefault="006F0697" w:rsidP="007C3889">
      <w:pPr>
        <w:pStyle w:val="P1-StandPara"/>
        <w:spacing w:line="23" w:lineRule="atLeast"/>
      </w:pPr>
      <w:r>
        <w:t xml:space="preserve">The full ATES questionnaire contains several sections asking respondents about credential attainment and others asking about work-related </w:t>
      </w:r>
      <w:r w:rsidR="00872836">
        <w:t xml:space="preserve">education and </w:t>
      </w:r>
      <w:r>
        <w:t xml:space="preserve">training. Because of concerns about respondent burden and </w:t>
      </w:r>
      <w:r w:rsidR="00E7615B">
        <w:t xml:space="preserve">to maximize response rates, GEMEnA has recommended that NCES test a separate Credentials </w:t>
      </w:r>
      <w:r w:rsidR="002F19AC">
        <w:t xml:space="preserve">for Work </w:t>
      </w:r>
      <w:r w:rsidR="00E7615B">
        <w:t>Survey</w:t>
      </w:r>
      <w:r w:rsidR="002F19AC">
        <w:t xml:space="preserve"> (CWS)</w:t>
      </w:r>
      <w:r w:rsidR="00E7615B">
        <w:t>, which would include a small number of core items about participation in education and training but eliminate most of the detail. NCES proposes to conduct a split panel experiment comparing unit and item level response rates for the full ATES versus the shorter C</w:t>
      </w:r>
      <w:r w:rsidR="002F19AC">
        <w:t>WS</w:t>
      </w:r>
      <w:r w:rsidR="00E7615B">
        <w:t>. If the shorter survey garners substantially higher response rates, NCES may choose, in the future, to test a separate Education and Training Survey</w:t>
      </w:r>
      <w:r w:rsidR="00621B03">
        <w:t xml:space="preserve">. The </w:t>
      </w:r>
      <w:r w:rsidR="00003002">
        <w:t>following e</w:t>
      </w:r>
      <w:r w:rsidR="0068462A">
        <w:t>xhibit</w:t>
      </w:r>
      <w:r w:rsidR="00621B03">
        <w:t xml:space="preserve"> compares the number of questionnaire items in the full ATES and in each separate survey</w:t>
      </w:r>
      <w:r w:rsidR="00F8399D">
        <w:t xml:space="preserve"> section</w:t>
      </w:r>
      <w:r w:rsidR="00003002">
        <w:t>.</w:t>
      </w:r>
    </w:p>
    <w:p w:rsidR="00621B03" w:rsidRDefault="00621B03" w:rsidP="00B22A8C">
      <w:pPr>
        <w:pStyle w:val="P1-StandPara"/>
      </w:pPr>
    </w:p>
    <w:p w:rsidR="00C60F81" w:rsidRDefault="00C60F81">
      <w:pPr>
        <w:spacing w:line="240" w:lineRule="auto"/>
        <w:jc w:val="left"/>
        <w:rPr>
          <w:b/>
          <w:bCs/>
        </w:rPr>
      </w:pPr>
      <w:r>
        <w:rPr>
          <w:b/>
          <w:bCs/>
        </w:rPr>
        <w:br w:type="page"/>
      </w:r>
    </w:p>
    <w:p w:rsidR="005A27E9" w:rsidRDefault="005A27E9" w:rsidP="005A27E9">
      <w:pPr>
        <w:rPr>
          <w:b/>
          <w:bCs/>
        </w:rPr>
      </w:pPr>
      <w:r>
        <w:rPr>
          <w:b/>
          <w:bCs/>
        </w:rPr>
        <w:lastRenderedPageBreak/>
        <w:t>Exhibit 2. Number of questionnaire items by survey section and adult topical survey type</w:t>
      </w:r>
    </w:p>
    <w:tbl>
      <w:tblPr>
        <w:tblW w:w="0" w:type="auto"/>
        <w:tblCellMar>
          <w:left w:w="0" w:type="dxa"/>
          <w:right w:w="0" w:type="dxa"/>
        </w:tblCellMar>
        <w:tblLook w:val="04A0" w:firstRow="1" w:lastRow="0" w:firstColumn="1" w:lastColumn="0" w:noHBand="0" w:noVBand="1"/>
      </w:tblPr>
      <w:tblGrid>
        <w:gridCol w:w="3078"/>
        <w:gridCol w:w="1620"/>
        <w:gridCol w:w="1980"/>
        <w:gridCol w:w="2970"/>
      </w:tblGrid>
      <w:tr w:rsidR="005A27E9" w:rsidTr="007C3889">
        <w:tc>
          <w:tcPr>
            <w:tcW w:w="3078" w:type="dxa"/>
            <w:tcBorders>
              <w:top w:val="single" w:sz="8" w:space="0" w:color="auto"/>
              <w:left w:val="nil"/>
              <w:bottom w:val="single" w:sz="8" w:space="0" w:color="auto"/>
              <w:right w:val="nil"/>
            </w:tcBorders>
            <w:tcMar>
              <w:top w:w="0" w:type="dxa"/>
              <w:left w:w="108" w:type="dxa"/>
              <w:bottom w:w="0" w:type="dxa"/>
              <w:right w:w="108" w:type="dxa"/>
            </w:tcMar>
            <w:vAlign w:val="center"/>
            <w:hideMark/>
          </w:tcPr>
          <w:p w:rsidR="005A27E9" w:rsidRPr="005A27E9" w:rsidRDefault="005A27E9" w:rsidP="007C3889">
            <w:pPr>
              <w:pStyle w:val="P1-StandPara"/>
              <w:spacing w:line="240" w:lineRule="auto"/>
              <w:ind w:firstLine="0"/>
              <w:rPr>
                <w:szCs w:val="22"/>
              </w:rPr>
            </w:pPr>
            <w:r w:rsidRPr="005A27E9">
              <w:rPr>
                <w:szCs w:val="22"/>
              </w:rPr>
              <w:t>Survey section</w:t>
            </w:r>
          </w:p>
        </w:tc>
        <w:tc>
          <w:tcPr>
            <w:tcW w:w="1620" w:type="dxa"/>
            <w:tcBorders>
              <w:top w:val="single" w:sz="8" w:space="0" w:color="auto"/>
              <w:left w:val="nil"/>
              <w:bottom w:val="single" w:sz="8" w:space="0" w:color="auto"/>
              <w:right w:val="nil"/>
            </w:tcBorders>
            <w:tcMar>
              <w:top w:w="0" w:type="dxa"/>
              <w:left w:w="108" w:type="dxa"/>
              <w:bottom w:w="0" w:type="dxa"/>
              <w:right w:w="108" w:type="dxa"/>
            </w:tcMar>
            <w:vAlign w:val="center"/>
            <w:hideMark/>
          </w:tcPr>
          <w:p w:rsidR="005A27E9" w:rsidRPr="005A27E9" w:rsidRDefault="005A27E9" w:rsidP="007C3889">
            <w:pPr>
              <w:pStyle w:val="P1-StandPara"/>
              <w:spacing w:line="240" w:lineRule="auto"/>
              <w:ind w:firstLine="0"/>
              <w:jc w:val="center"/>
              <w:rPr>
                <w:szCs w:val="22"/>
              </w:rPr>
            </w:pPr>
            <w:r w:rsidRPr="005A27E9">
              <w:rPr>
                <w:szCs w:val="22"/>
              </w:rPr>
              <w:t>ATES</w:t>
            </w:r>
          </w:p>
        </w:tc>
        <w:tc>
          <w:tcPr>
            <w:tcW w:w="1980" w:type="dxa"/>
            <w:tcBorders>
              <w:top w:val="single" w:sz="8" w:space="0" w:color="auto"/>
              <w:left w:val="nil"/>
              <w:bottom w:val="single" w:sz="8" w:space="0" w:color="auto"/>
              <w:right w:val="nil"/>
            </w:tcBorders>
            <w:tcMar>
              <w:top w:w="0" w:type="dxa"/>
              <w:left w:w="108" w:type="dxa"/>
              <w:bottom w:w="0" w:type="dxa"/>
              <w:right w:w="108" w:type="dxa"/>
            </w:tcMar>
            <w:vAlign w:val="center"/>
            <w:hideMark/>
          </w:tcPr>
          <w:p w:rsidR="005A27E9" w:rsidRPr="005A27E9" w:rsidRDefault="005A27E9" w:rsidP="007C3889">
            <w:pPr>
              <w:pStyle w:val="P1-StandPara"/>
              <w:spacing w:line="240" w:lineRule="auto"/>
              <w:ind w:firstLine="0"/>
              <w:jc w:val="center"/>
              <w:rPr>
                <w:szCs w:val="22"/>
              </w:rPr>
            </w:pPr>
            <w:r w:rsidRPr="005A27E9">
              <w:rPr>
                <w:szCs w:val="22"/>
              </w:rPr>
              <w:t>CWS</w:t>
            </w:r>
          </w:p>
        </w:tc>
        <w:tc>
          <w:tcPr>
            <w:tcW w:w="2970" w:type="dxa"/>
            <w:tcBorders>
              <w:top w:val="single" w:sz="8" w:space="0" w:color="auto"/>
              <w:left w:val="nil"/>
              <w:bottom w:val="single" w:sz="8" w:space="0" w:color="auto"/>
              <w:right w:val="nil"/>
            </w:tcBorders>
            <w:tcMar>
              <w:top w:w="0" w:type="dxa"/>
              <w:left w:w="108" w:type="dxa"/>
              <w:bottom w:w="0" w:type="dxa"/>
              <w:right w:w="108" w:type="dxa"/>
            </w:tcMar>
            <w:vAlign w:val="center"/>
            <w:hideMark/>
          </w:tcPr>
          <w:p w:rsidR="005A27E9" w:rsidRPr="0016395B" w:rsidRDefault="005A27E9" w:rsidP="007C3889">
            <w:pPr>
              <w:pStyle w:val="P1-StandPara"/>
              <w:spacing w:line="240" w:lineRule="auto"/>
              <w:ind w:firstLine="0"/>
              <w:jc w:val="center"/>
              <w:rPr>
                <w:color w:val="7F7F7F" w:themeColor="text1" w:themeTint="80"/>
                <w:szCs w:val="22"/>
              </w:rPr>
            </w:pPr>
            <w:r w:rsidRPr="0016395B">
              <w:rPr>
                <w:color w:val="7F7F7F" w:themeColor="text1" w:themeTint="80"/>
                <w:szCs w:val="22"/>
              </w:rPr>
              <w:t>Education &amp; Training Survey</w:t>
            </w:r>
            <w:r w:rsidR="0016395B">
              <w:rPr>
                <w:color w:val="7F7F7F" w:themeColor="text1" w:themeTint="80"/>
                <w:szCs w:val="22"/>
              </w:rPr>
              <w:t>*</w:t>
            </w:r>
          </w:p>
        </w:tc>
      </w:tr>
      <w:tr w:rsidR="005A27E9" w:rsidTr="007C3889">
        <w:tc>
          <w:tcPr>
            <w:tcW w:w="3078" w:type="dxa"/>
            <w:tcMar>
              <w:top w:w="0" w:type="dxa"/>
              <w:left w:w="108" w:type="dxa"/>
              <w:bottom w:w="0" w:type="dxa"/>
              <w:right w:w="108" w:type="dxa"/>
            </w:tcMar>
            <w:vAlign w:val="center"/>
            <w:hideMark/>
          </w:tcPr>
          <w:p w:rsidR="005A27E9" w:rsidRPr="005A27E9" w:rsidRDefault="005A27E9" w:rsidP="007C3889">
            <w:pPr>
              <w:pStyle w:val="P1-StandPara"/>
              <w:spacing w:line="240" w:lineRule="auto"/>
              <w:ind w:firstLine="0"/>
              <w:rPr>
                <w:szCs w:val="22"/>
              </w:rPr>
            </w:pPr>
            <w:r w:rsidRPr="005A27E9">
              <w:rPr>
                <w:szCs w:val="22"/>
              </w:rPr>
              <w:t>Educational attainment</w:t>
            </w:r>
          </w:p>
        </w:tc>
        <w:tc>
          <w:tcPr>
            <w:tcW w:w="1620" w:type="dxa"/>
            <w:tcMar>
              <w:top w:w="0" w:type="dxa"/>
              <w:left w:w="108" w:type="dxa"/>
              <w:bottom w:w="0" w:type="dxa"/>
              <w:right w:w="108" w:type="dxa"/>
            </w:tcMar>
            <w:vAlign w:val="center"/>
            <w:hideMark/>
          </w:tcPr>
          <w:p w:rsidR="005A27E9" w:rsidRPr="005A27E9" w:rsidRDefault="005A27E9" w:rsidP="007C3889">
            <w:pPr>
              <w:pStyle w:val="P1-StandPara"/>
              <w:spacing w:line="240" w:lineRule="auto"/>
              <w:ind w:firstLine="0"/>
              <w:jc w:val="center"/>
              <w:rPr>
                <w:szCs w:val="22"/>
              </w:rPr>
            </w:pPr>
            <w:r w:rsidRPr="005A27E9">
              <w:rPr>
                <w:szCs w:val="22"/>
              </w:rPr>
              <w:t>2</w:t>
            </w:r>
          </w:p>
        </w:tc>
        <w:tc>
          <w:tcPr>
            <w:tcW w:w="1980" w:type="dxa"/>
            <w:tcMar>
              <w:top w:w="0" w:type="dxa"/>
              <w:left w:w="108" w:type="dxa"/>
              <w:bottom w:w="0" w:type="dxa"/>
              <w:right w:w="108" w:type="dxa"/>
            </w:tcMar>
            <w:vAlign w:val="center"/>
            <w:hideMark/>
          </w:tcPr>
          <w:p w:rsidR="005A27E9" w:rsidRPr="005A27E9" w:rsidRDefault="005A27E9" w:rsidP="007C3889">
            <w:pPr>
              <w:pStyle w:val="P1-StandPara"/>
              <w:spacing w:line="240" w:lineRule="auto"/>
              <w:ind w:firstLine="0"/>
              <w:jc w:val="center"/>
              <w:rPr>
                <w:szCs w:val="22"/>
              </w:rPr>
            </w:pPr>
            <w:r w:rsidRPr="005A27E9">
              <w:rPr>
                <w:szCs w:val="22"/>
              </w:rPr>
              <w:t>2</w:t>
            </w:r>
          </w:p>
        </w:tc>
        <w:tc>
          <w:tcPr>
            <w:tcW w:w="2970" w:type="dxa"/>
            <w:tcMar>
              <w:top w:w="0" w:type="dxa"/>
              <w:left w:w="108" w:type="dxa"/>
              <w:bottom w:w="0" w:type="dxa"/>
              <w:right w:w="108" w:type="dxa"/>
            </w:tcMar>
            <w:vAlign w:val="center"/>
            <w:hideMark/>
          </w:tcPr>
          <w:p w:rsidR="005A27E9" w:rsidRPr="0016395B" w:rsidRDefault="005A27E9" w:rsidP="007C3889">
            <w:pPr>
              <w:pStyle w:val="P1-StandPara"/>
              <w:spacing w:line="240" w:lineRule="auto"/>
              <w:ind w:firstLine="0"/>
              <w:jc w:val="center"/>
              <w:rPr>
                <w:color w:val="7F7F7F" w:themeColor="text1" w:themeTint="80"/>
                <w:szCs w:val="22"/>
              </w:rPr>
            </w:pPr>
            <w:r w:rsidRPr="0016395B">
              <w:rPr>
                <w:color w:val="7F7F7F" w:themeColor="text1" w:themeTint="80"/>
                <w:szCs w:val="22"/>
              </w:rPr>
              <w:t>2</w:t>
            </w:r>
          </w:p>
        </w:tc>
      </w:tr>
      <w:tr w:rsidR="005A27E9" w:rsidTr="007C3889">
        <w:tc>
          <w:tcPr>
            <w:tcW w:w="3078" w:type="dxa"/>
            <w:tcMar>
              <w:top w:w="0" w:type="dxa"/>
              <w:left w:w="108" w:type="dxa"/>
              <w:bottom w:w="0" w:type="dxa"/>
              <w:right w:w="108" w:type="dxa"/>
            </w:tcMar>
            <w:vAlign w:val="center"/>
            <w:hideMark/>
          </w:tcPr>
          <w:p w:rsidR="005A27E9" w:rsidRPr="005A27E9" w:rsidRDefault="005A27E9" w:rsidP="007C3889">
            <w:pPr>
              <w:pStyle w:val="P1-StandPara"/>
              <w:spacing w:line="240" w:lineRule="auto"/>
              <w:ind w:firstLine="0"/>
              <w:rPr>
                <w:szCs w:val="22"/>
              </w:rPr>
            </w:pPr>
            <w:r w:rsidRPr="005A27E9">
              <w:rPr>
                <w:szCs w:val="22"/>
              </w:rPr>
              <w:t>Certification and licensures</w:t>
            </w:r>
          </w:p>
        </w:tc>
        <w:tc>
          <w:tcPr>
            <w:tcW w:w="1620" w:type="dxa"/>
            <w:tcMar>
              <w:top w:w="0" w:type="dxa"/>
              <w:left w:w="108" w:type="dxa"/>
              <w:bottom w:w="0" w:type="dxa"/>
              <w:right w:w="108" w:type="dxa"/>
            </w:tcMar>
            <w:vAlign w:val="center"/>
            <w:hideMark/>
          </w:tcPr>
          <w:p w:rsidR="005A27E9" w:rsidRPr="005A27E9" w:rsidRDefault="005A27E9" w:rsidP="007C3889">
            <w:pPr>
              <w:pStyle w:val="P1-StandPara"/>
              <w:spacing w:line="240" w:lineRule="auto"/>
              <w:ind w:firstLine="0"/>
              <w:jc w:val="center"/>
              <w:rPr>
                <w:szCs w:val="22"/>
              </w:rPr>
            </w:pPr>
            <w:r w:rsidRPr="005A27E9">
              <w:rPr>
                <w:szCs w:val="22"/>
              </w:rPr>
              <w:t>17</w:t>
            </w:r>
          </w:p>
        </w:tc>
        <w:tc>
          <w:tcPr>
            <w:tcW w:w="1980" w:type="dxa"/>
            <w:tcMar>
              <w:top w:w="0" w:type="dxa"/>
              <w:left w:w="108" w:type="dxa"/>
              <w:bottom w:w="0" w:type="dxa"/>
              <w:right w:w="108" w:type="dxa"/>
            </w:tcMar>
            <w:vAlign w:val="center"/>
            <w:hideMark/>
          </w:tcPr>
          <w:p w:rsidR="005A27E9" w:rsidRPr="005A27E9" w:rsidRDefault="005A27E9" w:rsidP="007C3889">
            <w:pPr>
              <w:pStyle w:val="P1-StandPara"/>
              <w:spacing w:line="240" w:lineRule="auto"/>
              <w:ind w:firstLine="0"/>
              <w:jc w:val="center"/>
              <w:rPr>
                <w:szCs w:val="22"/>
              </w:rPr>
            </w:pPr>
            <w:r w:rsidRPr="005A27E9">
              <w:rPr>
                <w:szCs w:val="22"/>
              </w:rPr>
              <w:t>17</w:t>
            </w:r>
          </w:p>
        </w:tc>
        <w:tc>
          <w:tcPr>
            <w:tcW w:w="2970" w:type="dxa"/>
            <w:tcMar>
              <w:top w:w="0" w:type="dxa"/>
              <w:left w:w="108" w:type="dxa"/>
              <w:bottom w:w="0" w:type="dxa"/>
              <w:right w:w="108" w:type="dxa"/>
            </w:tcMar>
            <w:vAlign w:val="center"/>
            <w:hideMark/>
          </w:tcPr>
          <w:p w:rsidR="005A27E9" w:rsidRPr="0016395B" w:rsidRDefault="005A27E9" w:rsidP="007C3889">
            <w:pPr>
              <w:pStyle w:val="P1-StandPara"/>
              <w:spacing w:line="240" w:lineRule="auto"/>
              <w:ind w:firstLine="0"/>
              <w:jc w:val="center"/>
              <w:rPr>
                <w:color w:val="7F7F7F" w:themeColor="text1" w:themeTint="80"/>
                <w:szCs w:val="22"/>
              </w:rPr>
            </w:pPr>
            <w:r w:rsidRPr="0016395B">
              <w:rPr>
                <w:color w:val="7F7F7F" w:themeColor="text1" w:themeTint="80"/>
                <w:szCs w:val="22"/>
              </w:rPr>
              <w:t>2</w:t>
            </w:r>
          </w:p>
        </w:tc>
      </w:tr>
      <w:tr w:rsidR="005A27E9" w:rsidTr="007C3889">
        <w:tc>
          <w:tcPr>
            <w:tcW w:w="3078" w:type="dxa"/>
            <w:tcMar>
              <w:top w:w="0" w:type="dxa"/>
              <w:left w:w="108" w:type="dxa"/>
              <w:bottom w:w="0" w:type="dxa"/>
              <w:right w:w="108" w:type="dxa"/>
            </w:tcMar>
            <w:vAlign w:val="center"/>
            <w:hideMark/>
          </w:tcPr>
          <w:p w:rsidR="005A27E9" w:rsidRPr="005A27E9" w:rsidRDefault="005A27E9" w:rsidP="007C3889">
            <w:pPr>
              <w:pStyle w:val="P1-StandPara"/>
              <w:spacing w:line="240" w:lineRule="auto"/>
              <w:ind w:firstLine="0"/>
              <w:rPr>
                <w:szCs w:val="22"/>
              </w:rPr>
            </w:pPr>
            <w:r w:rsidRPr="005A27E9">
              <w:rPr>
                <w:szCs w:val="22"/>
              </w:rPr>
              <w:t>Educational certificates</w:t>
            </w:r>
          </w:p>
        </w:tc>
        <w:tc>
          <w:tcPr>
            <w:tcW w:w="1620" w:type="dxa"/>
            <w:tcMar>
              <w:top w:w="0" w:type="dxa"/>
              <w:left w:w="108" w:type="dxa"/>
              <w:bottom w:w="0" w:type="dxa"/>
              <w:right w:w="108" w:type="dxa"/>
            </w:tcMar>
            <w:vAlign w:val="center"/>
            <w:hideMark/>
          </w:tcPr>
          <w:p w:rsidR="005A27E9" w:rsidRPr="005A27E9" w:rsidRDefault="005A27E9" w:rsidP="007C3889">
            <w:pPr>
              <w:pStyle w:val="P1-StandPara"/>
              <w:spacing w:line="240" w:lineRule="auto"/>
              <w:ind w:firstLine="0"/>
              <w:jc w:val="center"/>
              <w:rPr>
                <w:szCs w:val="22"/>
              </w:rPr>
            </w:pPr>
            <w:r w:rsidRPr="005A27E9">
              <w:rPr>
                <w:szCs w:val="22"/>
              </w:rPr>
              <w:t>16</w:t>
            </w:r>
          </w:p>
        </w:tc>
        <w:tc>
          <w:tcPr>
            <w:tcW w:w="1980" w:type="dxa"/>
            <w:tcMar>
              <w:top w:w="0" w:type="dxa"/>
              <w:left w:w="108" w:type="dxa"/>
              <w:bottom w:w="0" w:type="dxa"/>
              <w:right w:w="108" w:type="dxa"/>
            </w:tcMar>
            <w:vAlign w:val="center"/>
            <w:hideMark/>
          </w:tcPr>
          <w:p w:rsidR="005A27E9" w:rsidRPr="005A27E9" w:rsidRDefault="005A27E9" w:rsidP="007C3889">
            <w:pPr>
              <w:pStyle w:val="P1-StandPara"/>
              <w:spacing w:line="240" w:lineRule="auto"/>
              <w:ind w:firstLine="0"/>
              <w:jc w:val="center"/>
              <w:rPr>
                <w:szCs w:val="22"/>
              </w:rPr>
            </w:pPr>
            <w:r w:rsidRPr="005A27E9">
              <w:rPr>
                <w:szCs w:val="22"/>
              </w:rPr>
              <w:t>16</w:t>
            </w:r>
          </w:p>
        </w:tc>
        <w:tc>
          <w:tcPr>
            <w:tcW w:w="2970" w:type="dxa"/>
            <w:tcMar>
              <w:top w:w="0" w:type="dxa"/>
              <w:left w:w="108" w:type="dxa"/>
              <w:bottom w:w="0" w:type="dxa"/>
              <w:right w:w="108" w:type="dxa"/>
            </w:tcMar>
            <w:vAlign w:val="center"/>
            <w:hideMark/>
          </w:tcPr>
          <w:p w:rsidR="005A27E9" w:rsidRPr="0016395B" w:rsidRDefault="005A27E9" w:rsidP="007C3889">
            <w:pPr>
              <w:pStyle w:val="P1-StandPara"/>
              <w:spacing w:line="240" w:lineRule="auto"/>
              <w:ind w:firstLine="0"/>
              <w:jc w:val="center"/>
              <w:rPr>
                <w:color w:val="7F7F7F" w:themeColor="text1" w:themeTint="80"/>
                <w:szCs w:val="22"/>
              </w:rPr>
            </w:pPr>
            <w:r w:rsidRPr="0016395B">
              <w:rPr>
                <w:color w:val="7F7F7F" w:themeColor="text1" w:themeTint="80"/>
                <w:szCs w:val="22"/>
              </w:rPr>
              <w:t>2</w:t>
            </w:r>
          </w:p>
        </w:tc>
      </w:tr>
      <w:tr w:rsidR="005A27E9" w:rsidTr="007C3889">
        <w:tc>
          <w:tcPr>
            <w:tcW w:w="3078" w:type="dxa"/>
            <w:tcMar>
              <w:top w:w="0" w:type="dxa"/>
              <w:left w:w="108" w:type="dxa"/>
              <w:bottom w:w="0" w:type="dxa"/>
              <w:right w:w="108" w:type="dxa"/>
            </w:tcMar>
            <w:vAlign w:val="center"/>
            <w:hideMark/>
          </w:tcPr>
          <w:p w:rsidR="005A27E9" w:rsidRPr="005A27E9" w:rsidRDefault="005A27E9" w:rsidP="007C3889">
            <w:pPr>
              <w:pStyle w:val="P1-StandPara"/>
              <w:spacing w:line="240" w:lineRule="auto"/>
              <w:ind w:firstLine="0"/>
              <w:rPr>
                <w:szCs w:val="22"/>
              </w:rPr>
            </w:pPr>
            <w:r w:rsidRPr="005A27E9">
              <w:rPr>
                <w:szCs w:val="22"/>
              </w:rPr>
              <w:t>Apprenticeships</w:t>
            </w:r>
          </w:p>
        </w:tc>
        <w:tc>
          <w:tcPr>
            <w:tcW w:w="1620" w:type="dxa"/>
            <w:tcMar>
              <w:top w:w="0" w:type="dxa"/>
              <w:left w:w="108" w:type="dxa"/>
              <w:bottom w:w="0" w:type="dxa"/>
              <w:right w:w="108" w:type="dxa"/>
            </w:tcMar>
            <w:vAlign w:val="center"/>
            <w:hideMark/>
          </w:tcPr>
          <w:p w:rsidR="005A27E9" w:rsidRPr="005A27E9" w:rsidRDefault="005A27E9" w:rsidP="007C3889">
            <w:pPr>
              <w:pStyle w:val="P1-StandPara"/>
              <w:spacing w:line="240" w:lineRule="auto"/>
              <w:ind w:firstLine="0"/>
              <w:jc w:val="center"/>
              <w:rPr>
                <w:szCs w:val="22"/>
              </w:rPr>
            </w:pPr>
            <w:r w:rsidRPr="005A27E9">
              <w:rPr>
                <w:szCs w:val="22"/>
              </w:rPr>
              <w:t>12</w:t>
            </w:r>
          </w:p>
        </w:tc>
        <w:tc>
          <w:tcPr>
            <w:tcW w:w="1980" w:type="dxa"/>
            <w:tcMar>
              <w:top w:w="0" w:type="dxa"/>
              <w:left w:w="108" w:type="dxa"/>
              <w:bottom w:w="0" w:type="dxa"/>
              <w:right w:w="108" w:type="dxa"/>
            </w:tcMar>
            <w:vAlign w:val="center"/>
            <w:hideMark/>
          </w:tcPr>
          <w:p w:rsidR="005A27E9" w:rsidRPr="005A27E9" w:rsidRDefault="005A27E9" w:rsidP="007C3889">
            <w:pPr>
              <w:pStyle w:val="P1-StandPara"/>
              <w:spacing w:line="240" w:lineRule="auto"/>
              <w:ind w:firstLine="0"/>
              <w:jc w:val="center"/>
              <w:rPr>
                <w:szCs w:val="22"/>
              </w:rPr>
            </w:pPr>
            <w:r w:rsidRPr="005A27E9">
              <w:rPr>
                <w:szCs w:val="22"/>
              </w:rPr>
              <w:t>12</w:t>
            </w:r>
          </w:p>
        </w:tc>
        <w:tc>
          <w:tcPr>
            <w:tcW w:w="2970" w:type="dxa"/>
            <w:tcMar>
              <w:top w:w="0" w:type="dxa"/>
              <w:left w:w="108" w:type="dxa"/>
              <w:bottom w:w="0" w:type="dxa"/>
              <w:right w:w="108" w:type="dxa"/>
            </w:tcMar>
            <w:vAlign w:val="center"/>
            <w:hideMark/>
          </w:tcPr>
          <w:p w:rsidR="005A27E9" w:rsidRPr="0016395B" w:rsidRDefault="005A27E9" w:rsidP="007C3889">
            <w:pPr>
              <w:pStyle w:val="P1-StandPara"/>
              <w:spacing w:line="240" w:lineRule="auto"/>
              <w:ind w:firstLine="0"/>
              <w:jc w:val="center"/>
              <w:rPr>
                <w:color w:val="7F7F7F" w:themeColor="text1" w:themeTint="80"/>
                <w:szCs w:val="22"/>
              </w:rPr>
            </w:pPr>
            <w:r w:rsidRPr="0016395B">
              <w:rPr>
                <w:color w:val="7F7F7F" w:themeColor="text1" w:themeTint="80"/>
                <w:szCs w:val="22"/>
              </w:rPr>
              <w:t>2</w:t>
            </w:r>
          </w:p>
        </w:tc>
      </w:tr>
      <w:tr w:rsidR="005A27E9" w:rsidTr="007C3889">
        <w:tc>
          <w:tcPr>
            <w:tcW w:w="3078" w:type="dxa"/>
            <w:tcMar>
              <w:top w:w="0" w:type="dxa"/>
              <w:left w:w="108" w:type="dxa"/>
              <w:bottom w:w="0" w:type="dxa"/>
              <w:right w:w="108" w:type="dxa"/>
            </w:tcMar>
            <w:vAlign w:val="center"/>
            <w:hideMark/>
          </w:tcPr>
          <w:p w:rsidR="005A27E9" w:rsidRPr="005A27E9" w:rsidRDefault="005A27E9" w:rsidP="007C3889">
            <w:pPr>
              <w:pStyle w:val="P1-StandPara"/>
              <w:spacing w:line="240" w:lineRule="auto"/>
              <w:ind w:firstLine="0"/>
              <w:rPr>
                <w:szCs w:val="22"/>
              </w:rPr>
            </w:pPr>
            <w:r w:rsidRPr="005A27E9">
              <w:rPr>
                <w:szCs w:val="22"/>
              </w:rPr>
              <w:t>College and other classes</w:t>
            </w:r>
          </w:p>
        </w:tc>
        <w:tc>
          <w:tcPr>
            <w:tcW w:w="1620" w:type="dxa"/>
            <w:tcMar>
              <w:top w:w="0" w:type="dxa"/>
              <w:left w:w="108" w:type="dxa"/>
              <w:bottom w:w="0" w:type="dxa"/>
              <w:right w:w="108" w:type="dxa"/>
            </w:tcMar>
            <w:vAlign w:val="center"/>
            <w:hideMark/>
          </w:tcPr>
          <w:p w:rsidR="005A27E9" w:rsidRPr="005A27E9" w:rsidRDefault="005A27E9" w:rsidP="007C3889">
            <w:pPr>
              <w:pStyle w:val="P1-StandPara"/>
              <w:spacing w:line="240" w:lineRule="auto"/>
              <w:ind w:firstLine="0"/>
              <w:jc w:val="center"/>
              <w:rPr>
                <w:szCs w:val="22"/>
              </w:rPr>
            </w:pPr>
            <w:r w:rsidRPr="005A27E9">
              <w:rPr>
                <w:szCs w:val="22"/>
              </w:rPr>
              <w:t>13</w:t>
            </w:r>
          </w:p>
        </w:tc>
        <w:tc>
          <w:tcPr>
            <w:tcW w:w="1980" w:type="dxa"/>
            <w:tcMar>
              <w:top w:w="0" w:type="dxa"/>
              <w:left w:w="108" w:type="dxa"/>
              <w:bottom w:w="0" w:type="dxa"/>
              <w:right w:w="108" w:type="dxa"/>
            </w:tcMar>
            <w:vAlign w:val="center"/>
            <w:hideMark/>
          </w:tcPr>
          <w:p w:rsidR="005A27E9" w:rsidRPr="005A27E9" w:rsidRDefault="005A27E9" w:rsidP="007C3889">
            <w:pPr>
              <w:pStyle w:val="P1-StandPara"/>
              <w:spacing w:line="240" w:lineRule="auto"/>
              <w:ind w:firstLine="0"/>
              <w:jc w:val="center"/>
              <w:rPr>
                <w:szCs w:val="22"/>
              </w:rPr>
            </w:pPr>
            <w:r w:rsidRPr="005A27E9">
              <w:rPr>
                <w:szCs w:val="22"/>
              </w:rPr>
              <w:t>3</w:t>
            </w:r>
          </w:p>
        </w:tc>
        <w:tc>
          <w:tcPr>
            <w:tcW w:w="2970" w:type="dxa"/>
            <w:tcMar>
              <w:top w:w="0" w:type="dxa"/>
              <w:left w:w="108" w:type="dxa"/>
              <w:bottom w:w="0" w:type="dxa"/>
              <w:right w:w="108" w:type="dxa"/>
            </w:tcMar>
            <w:vAlign w:val="center"/>
            <w:hideMark/>
          </w:tcPr>
          <w:p w:rsidR="005A27E9" w:rsidRPr="0016395B" w:rsidRDefault="005A27E9" w:rsidP="007C3889">
            <w:pPr>
              <w:pStyle w:val="P1-StandPara"/>
              <w:spacing w:line="240" w:lineRule="auto"/>
              <w:ind w:firstLine="0"/>
              <w:jc w:val="center"/>
              <w:rPr>
                <w:color w:val="7F7F7F" w:themeColor="text1" w:themeTint="80"/>
                <w:szCs w:val="22"/>
              </w:rPr>
            </w:pPr>
            <w:r w:rsidRPr="0016395B">
              <w:rPr>
                <w:color w:val="7F7F7F" w:themeColor="text1" w:themeTint="80"/>
                <w:szCs w:val="22"/>
              </w:rPr>
              <w:t>13</w:t>
            </w:r>
          </w:p>
        </w:tc>
      </w:tr>
      <w:tr w:rsidR="005A27E9" w:rsidTr="007C3889">
        <w:tc>
          <w:tcPr>
            <w:tcW w:w="3078" w:type="dxa"/>
            <w:tcMar>
              <w:top w:w="0" w:type="dxa"/>
              <w:left w:w="108" w:type="dxa"/>
              <w:bottom w:w="0" w:type="dxa"/>
              <w:right w:w="108" w:type="dxa"/>
            </w:tcMar>
            <w:vAlign w:val="center"/>
            <w:hideMark/>
          </w:tcPr>
          <w:p w:rsidR="005A27E9" w:rsidRPr="005A27E9" w:rsidRDefault="005A27E9" w:rsidP="007C3889">
            <w:pPr>
              <w:pStyle w:val="P1-StandPara"/>
              <w:spacing w:line="240" w:lineRule="auto"/>
              <w:ind w:firstLine="0"/>
              <w:rPr>
                <w:szCs w:val="22"/>
              </w:rPr>
            </w:pPr>
            <w:r w:rsidRPr="005A27E9">
              <w:rPr>
                <w:szCs w:val="22"/>
              </w:rPr>
              <w:t>Training for work</w:t>
            </w:r>
          </w:p>
        </w:tc>
        <w:tc>
          <w:tcPr>
            <w:tcW w:w="1620" w:type="dxa"/>
            <w:tcMar>
              <w:top w:w="0" w:type="dxa"/>
              <w:left w:w="108" w:type="dxa"/>
              <w:bottom w:w="0" w:type="dxa"/>
              <w:right w:w="108" w:type="dxa"/>
            </w:tcMar>
            <w:vAlign w:val="center"/>
            <w:hideMark/>
          </w:tcPr>
          <w:p w:rsidR="005A27E9" w:rsidRPr="005A27E9" w:rsidRDefault="005A27E9" w:rsidP="007C3889">
            <w:pPr>
              <w:pStyle w:val="P1-StandPara"/>
              <w:spacing w:line="240" w:lineRule="auto"/>
              <w:ind w:firstLine="0"/>
              <w:jc w:val="center"/>
              <w:rPr>
                <w:szCs w:val="22"/>
              </w:rPr>
            </w:pPr>
            <w:r w:rsidRPr="005A27E9">
              <w:rPr>
                <w:szCs w:val="22"/>
              </w:rPr>
              <w:t>16</w:t>
            </w:r>
          </w:p>
        </w:tc>
        <w:tc>
          <w:tcPr>
            <w:tcW w:w="1980" w:type="dxa"/>
            <w:tcMar>
              <w:top w:w="0" w:type="dxa"/>
              <w:left w:w="108" w:type="dxa"/>
              <w:bottom w:w="0" w:type="dxa"/>
              <w:right w:w="108" w:type="dxa"/>
            </w:tcMar>
            <w:vAlign w:val="center"/>
            <w:hideMark/>
          </w:tcPr>
          <w:p w:rsidR="005A27E9" w:rsidRPr="005A27E9" w:rsidRDefault="005A27E9" w:rsidP="007C3889">
            <w:pPr>
              <w:pStyle w:val="P1-StandPara"/>
              <w:spacing w:line="240" w:lineRule="auto"/>
              <w:ind w:firstLine="0"/>
              <w:jc w:val="center"/>
              <w:rPr>
                <w:szCs w:val="22"/>
              </w:rPr>
            </w:pPr>
            <w:r w:rsidRPr="005A27E9">
              <w:rPr>
                <w:szCs w:val="22"/>
              </w:rPr>
              <w:t>2</w:t>
            </w:r>
          </w:p>
        </w:tc>
        <w:tc>
          <w:tcPr>
            <w:tcW w:w="2970" w:type="dxa"/>
            <w:tcMar>
              <w:top w:w="0" w:type="dxa"/>
              <w:left w:w="108" w:type="dxa"/>
              <w:bottom w:w="0" w:type="dxa"/>
              <w:right w:w="108" w:type="dxa"/>
            </w:tcMar>
            <w:vAlign w:val="center"/>
            <w:hideMark/>
          </w:tcPr>
          <w:p w:rsidR="005A27E9" w:rsidRPr="0016395B" w:rsidRDefault="005A27E9" w:rsidP="007C3889">
            <w:pPr>
              <w:pStyle w:val="P1-StandPara"/>
              <w:spacing w:line="240" w:lineRule="auto"/>
              <w:ind w:firstLine="0"/>
              <w:jc w:val="center"/>
              <w:rPr>
                <w:color w:val="7F7F7F" w:themeColor="text1" w:themeTint="80"/>
                <w:szCs w:val="22"/>
              </w:rPr>
            </w:pPr>
            <w:r w:rsidRPr="0016395B">
              <w:rPr>
                <w:color w:val="7F7F7F" w:themeColor="text1" w:themeTint="80"/>
                <w:szCs w:val="22"/>
              </w:rPr>
              <w:t>16</w:t>
            </w:r>
          </w:p>
        </w:tc>
      </w:tr>
      <w:tr w:rsidR="005A27E9" w:rsidTr="007C3889">
        <w:tc>
          <w:tcPr>
            <w:tcW w:w="3078" w:type="dxa"/>
            <w:tcMar>
              <w:top w:w="0" w:type="dxa"/>
              <w:left w:w="108" w:type="dxa"/>
              <w:bottom w:w="0" w:type="dxa"/>
              <w:right w:w="108" w:type="dxa"/>
            </w:tcMar>
            <w:vAlign w:val="center"/>
            <w:hideMark/>
          </w:tcPr>
          <w:p w:rsidR="005A27E9" w:rsidRPr="005A27E9" w:rsidRDefault="005A27E9" w:rsidP="007C3889">
            <w:pPr>
              <w:pStyle w:val="P1-StandPara"/>
              <w:spacing w:line="240" w:lineRule="auto"/>
              <w:ind w:firstLine="0"/>
              <w:rPr>
                <w:szCs w:val="22"/>
              </w:rPr>
            </w:pPr>
            <w:r w:rsidRPr="005A27E9">
              <w:rPr>
                <w:szCs w:val="22"/>
              </w:rPr>
              <w:t>Employment</w:t>
            </w:r>
          </w:p>
        </w:tc>
        <w:tc>
          <w:tcPr>
            <w:tcW w:w="1620" w:type="dxa"/>
            <w:tcMar>
              <w:top w:w="0" w:type="dxa"/>
              <w:left w:w="108" w:type="dxa"/>
              <w:bottom w:w="0" w:type="dxa"/>
              <w:right w:w="108" w:type="dxa"/>
            </w:tcMar>
            <w:vAlign w:val="center"/>
            <w:hideMark/>
          </w:tcPr>
          <w:p w:rsidR="005A27E9" w:rsidRPr="005A27E9" w:rsidRDefault="005A27E9" w:rsidP="007C3889">
            <w:pPr>
              <w:pStyle w:val="P1-StandPara"/>
              <w:spacing w:line="240" w:lineRule="auto"/>
              <w:ind w:firstLine="0"/>
              <w:jc w:val="center"/>
              <w:rPr>
                <w:szCs w:val="22"/>
              </w:rPr>
            </w:pPr>
            <w:r w:rsidRPr="005A27E9">
              <w:rPr>
                <w:szCs w:val="22"/>
              </w:rPr>
              <w:t>21</w:t>
            </w:r>
          </w:p>
        </w:tc>
        <w:tc>
          <w:tcPr>
            <w:tcW w:w="1980" w:type="dxa"/>
            <w:tcMar>
              <w:top w:w="0" w:type="dxa"/>
              <w:left w:w="108" w:type="dxa"/>
              <w:bottom w:w="0" w:type="dxa"/>
              <w:right w:w="108" w:type="dxa"/>
            </w:tcMar>
            <w:vAlign w:val="center"/>
            <w:hideMark/>
          </w:tcPr>
          <w:p w:rsidR="005A27E9" w:rsidRPr="005A27E9" w:rsidRDefault="005A27E9" w:rsidP="007C3889">
            <w:pPr>
              <w:pStyle w:val="P1-StandPara"/>
              <w:spacing w:line="240" w:lineRule="auto"/>
              <w:ind w:firstLine="0"/>
              <w:jc w:val="center"/>
              <w:rPr>
                <w:szCs w:val="22"/>
              </w:rPr>
            </w:pPr>
            <w:r w:rsidRPr="005A27E9">
              <w:rPr>
                <w:szCs w:val="22"/>
              </w:rPr>
              <w:t>17</w:t>
            </w:r>
          </w:p>
        </w:tc>
        <w:tc>
          <w:tcPr>
            <w:tcW w:w="2970" w:type="dxa"/>
            <w:tcMar>
              <w:top w:w="0" w:type="dxa"/>
              <w:left w:w="108" w:type="dxa"/>
              <w:bottom w:w="0" w:type="dxa"/>
              <w:right w:w="108" w:type="dxa"/>
            </w:tcMar>
            <w:vAlign w:val="center"/>
            <w:hideMark/>
          </w:tcPr>
          <w:p w:rsidR="005A27E9" w:rsidRPr="0016395B" w:rsidRDefault="005A27E9" w:rsidP="007C3889">
            <w:pPr>
              <w:pStyle w:val="P1-StandPara"/>
              <w:spacing w:line="240" w:lineRule="auto"/>
              <w:ind w:firstLine="0"/>
              <w:jc w:val="center"/>
              <w:rPr>
                <w:color w:val="7F7F7F" w:themeColor="text1" w:themeTint="80"/>
                <w:szCs w:val="22"/>
              </w:rPr>
            </w:pPr>
            <w:r w:rsidRPr="0016395B">
              <w:rPr>
                <w:color w:val="7F7F7F" w:themeColor="text1" w:themeTint="80"/>
                <w:szCs w:val="22"/>
              </w:rPr>
              <w:t>21</w:t>
            </w:r>
          </w:p>
        </w:tc>
      </w:tr>
      <w:tr w:rsidR="005A27E9" w:rsidTr="007C3889">
        <w:tc>
          <w:tcPr>
            <w:tcW w:w="3078" w:type="dxa"/>
            <w:tcMar>
              <w:top w:w="0" w:type="dxa"/>
              <w:left w:w="108" w:type="dxa"/>
              <w:bottom w:w="0" w:type="dxa"/>
              <w:right w:w="108" w:type="dxa"/>
            </w:tcMar>
            <w:vAlign w:val="center"/>
            <w:hideMark/>
          </w:tcPr>
          <w:p w:rsidR="005A27E9" w:rsidRPr="005A27E9" w:rsidRDefault="005A27E9" w:rsidP="007C3889">
            <w:pPr>
              <w:pStyle w:val="P1-StandPara"/>
              <w:spacing w:line="240" w:lineRule="auto"/>
              <w:ind w:firstLine="0"/>
              <w:rPr>
                <w:szCs w:val="22"/>
              </w:rPr>
            </w:pPr>
            <w:r w:rsidRPr="005A27E9">
              <w:rPr>
                <w:szCs w:val="22"/>
              </w:rPr>
              <w:t>Background</w:t>
            </w:r>
          </w:p>
        </w:tc>
        <w:tc>
          <w:tcPr>
            <w:tcW w:w="1620" w:type="dxa"/>
            <w:tcMar>
              <w:top w:w="0" w:type="dxa"/>
              <w:left w:w="108" w:type="dxa"/>
              <w:bottom w:w="0" w:type="dxa"/>
              <w:right w:w="108" w:type="dxa"/>
            </w:tcMar>
            <w:vAlign w:val="center"/>
            <w:hideMark/>
          </w:tcPr>
          <w:p w:rsidR="005A27E9" w:rsidRPr="005A27E9" w:rsidRDefault="005A27E9" w:rsidP="007C3889">
            <w:pPr>
              <w:pStyle w:val="P1-StandPara"/>
              <w:spacing w:line="240" w:lineRule="auto"/>
              <w:ind w:firstLine="0"/>
              <w:jc w:val="center"/>
              <w:rPr>
                <w:szCs w:val="22"/>
              </w:rPr>
            </w:pPr>
            <w:r w:rsidRPr="005A27E9">
              <w:rPr>
                <w:szCs w:val="22"/>
              </w:rPr>
              <w:t>9</w:t>
            </w:r>
          </w:p>
        </w:tc>
        <w:tc>
          <w:tcPr>
            <w:tcW w:w="1980" w:type="dxa"/>
            <w:tcMar>
              <w:top w:w="0" w:type="dxa"/>
              <w:left w:w="108" w:type="dxa"/>
              <w:bottom w:w="0" w:type="dxa"/>
              <w:right w:w="108" w:type="dxa"/>
            </w:tcMar>
            <w:vAlign w:val="center"/>
            <w:hideMark/>
          </w:tcPr>
          <w:p w:rsidR="005A27E9" w:rsidRPr="005A27E9" w:rsidRDefault="005A27E9" w:rsidP="007C3889">
            <w:pPr>
              <w:pStyle w:val="P1-StandPara"/>
              <w:spacing w:line="240" w:lineRule="auto"/>
              <w:ind w:firstLine="0"/>
              <w:jc w:val="center"/>
              <w:rPr>
                <w:szCs w:val="22"/>
              </w:rPr>
            </w:pPr>
            <w:r w:rsidRPr="005A27E9">
              <w:rPr>
                <w:szCs w:val="22"/>
              </w:rPr>
              <w:t>9</w:t>
            </w:r>
          </w:p>
        </w:tc>
        <w:tc>
          <w:tcPr>
            <w:tcW w:w="2970" w:type="dxa"/>
            <w:tcMar>
              <w:top w:w="0" w:type="dxa"/>
              <w:left w:w="108" w:type="dxa"/>
              <w:bottom w:w="0" w:type="dxa"/>
              <w:right w:w="108" w:type="dxa"/>
            </w:tcMar>
            <w:vAlign w:val="center"/>
            <w:hideMark/>
          </w:tcPr>
          <w:p w:rsidR="005A27E9" w:rsidRPr="0016395B" w:rsidRDefault="005A27E9" w:rsidP="007C3889">
            <w:pPr>
              <w:pStyle w:val="P1-StandPara"/>
              <w:spacing w:line="240" w:lineRule="auto"/>
              <w:ind w:firstLine="0"/>
              <w:jc w:val="center"/>
              <w:rPr>
                <w:color w:val="7F7F7F" w:themeColor="text1" w:themeTint="80"/>
                <w:szCs w:val="22"/>
              </w:rPr>
            </w:pPr>
            <w:r w:rsidRPr="0016395B">
              <w:rPr>
                <w:color w:val="7F7F7F" w:themeColor="text1" w:themeTint="80"/>
                <w:szCs w:val="22"/>
              </w:rPr>
              <w:t>9</w:t>
            </w:r>
          </w:p>
        </w:tc>
      </w:tr>
      <w:tr w:rsidR="005A27E9" w:rsidTr="007C3889">
        <w:tc>
          <w:tcPr>
            <w:tcW w:w="3078" w:type="dxa"/>
            <w:tcBorders>
              <w:top w:val="nil"/>
              <w:left w:val="nil"/>
              <w:bottom w:val="single" w:sz="8" w:space="0" w:color="auto"/>
              <w:right w:val="nil"/>
            </w:tcBorders>
            <w:tcMar>
              <w:top w:w="0" w:type="dxa"/>
              <w:left w:w="108" w:type="dxa"/>
              <w:bottom w:w="0" w:type="dxa"/>
              <w:right w:w="108" w:type="dxa"/>
            </w:tcMar>
            <w:vAlign w:val="center"/>
            <w:hideMark/>
          </w:tcPr>
          <w:p w:rsidR="005A27E9" w:rsidRPr="005A27E9" w:rsidRDefault="005A27E9" w:rsidP="007C3889">
            <w:pPr>
              <w:pStyle w:val="P1-StandPara"/>
              <w:spacing w:line="240" w:lineRule="auto"/>
              <w:ind w:firstLine="0"/>
              <w:rPr>
                <w:szCs w:val="22"/>
              </w:rPr>
            </w:pPr>
            <w:r w:rsidRPr="005A27E9">
              <w:rPr>
                <w:szCs w:val="22"/>
              </w:rPr>
              <w:t>TOTAL</w:t>
            </w:r>
          </w:p>
        </w:tc>
        <w:tc>
          <w:tcPr>
            <w:tcW w:w="1620" w:type="dxa"/>
            <w:tcBorders>
              <w:top w:val="nil"/>
              <w:left w:val="nil"/>
              <w:bottom w:val="single" w:sz="8" w:space="0" w:color="auto"/>
              <w:right w:val="nil"/>
            </w:tcBorders>
            <w:tcMar>
              <w:top w:w="0" w:type="dxa"/>
              <w:left w:w="108" w:type="dxa"/>
              <w:bottom w:w="0" w:type="dxa"/>
              <w:right w:w="108" w:type="dxa"/>
            </w:tcMar>
            <w:vAlign w:val="center"/>
            <w:hideMark/>
          </w:tcPr>
          <w:p w:rsidR="005A27E9" w:rsidRPr="005A27E9" w:rsidRDefault="005A27E9" w:rsidP="007C3889">
            <w:pPr>
              <w:pStyle w:val="P1-StandPara"/>
              <w:spacing w:line="240" w:lineRule="auto"/>
              <w:ind w:firstLine="0"/>
              <w:jc w:val="center"/>
              <w:rPr>
                <w:szCs w:val="22"/>
              </w:rPr>
            </w:pPr>
            <w:r w:rsidRPr="005A27E9">
              <w:rPr>
                <w:szCs w:val="22"/>
              </w:rPr>
              <w:t>106</w:t>
            </w:r>
          </w:p>
        </w:tc>
        <w:tc>
          <w:tcPr>
            <w:tcW w:w="1980" w:type="dxa"/>
            <w:tcBorders>
              <w:top w:val="nil"/>
              <w:left w:val="nil"/>
              <w:bottom w:val="single" w:sz="8" w:space="0" w:color="auto"/>
              <w:right w:val="nil"/>
            </w:tcBorders>
            <w:tcMar>
              <w:top w:w="0" w:type="dxa"/>
              <w:left w:w="108" w:type="dxa"/>
              <w:bottom w:w="0" w:type="dxa"/>
              <w:right w:w="108" w:type="dxa"/>
            </w:tcMar>
            <w:vAlign w:val="center"/>
            <w:hideMark/>
          </w:tcPr>
          <w:p w:rsidR="005A27E9" w:rsidRPr="005A27E9" w:rsidRDefault="005A27E9" w:rsidP="007C3889">
            <w:pPr>
              <w:pStyle w:val="P1-StandPara"/>
              <w:spacing w:line="240" w:lineRule="auto"/>
              <w:ind w:firstLine="0"/>
              <w:jc w:val="center"/>
              <w:rPr>
                <w:szCs w:val="22"/>
              </w:rPr>
            </w:pPr>
            <w:r w:rsidRPr="005A27E9">
              <w:rPr>
                <w:szCs w:val="22"/>
              </w:rPr>
              <w:t>78</w:t>
            </w:r>
          </w:p>
        </w:tc>
        <w:tc>
          <w:tcPr>
            <w:tcW w:w="2970" w:type="dxa"/>
            <w:tcBorders>
              <w:top w:val="nil"/>
              <w:left w:val="nil"/>
              <w:bottom w:val="single" w:sz="8" w:space="0" w:color="auto"/>
              <w:right w:val="nil"/>
            </w:tcBorders>
            <w:tcMar>
              <w:top w:w="0" w:type="dxa"/>
              <w:left w:w="108" w:type="dxa"/>
              <w:bottom w:w="0" w:type="dxa"/>
              <w:right w:w="108" w:type="dxa"/>
            </w:tcMar>
            <w:vAlign w:val="center"/>
            <w:hideMark/>
          </w:tcPr>
          <w:p w:rsidR="005A27E9" w:rsidRPr="0016395B" w:rsidRDefault="005A27E9" w:rsidP="007C3889">
            <w:pPr>
              <w:pStyle w:val="P1-StandPara"/>
              <w:spacing w:line="240" w:lineRule="auto"/>
              <w:ind w:firstLine="0"/>
              <w:jc w:val="center"/>
              <w:rPr>
                <w:color w:val="7F7F7F" w:themeColor="text1" w:themeTint="80"/>
                <w:szCs w:val="22"/>
              </w:rPr>
            </w:pPr>
            <w:r w:rsidRPr="0016395B">
              <w:rPr>
                <w:color w:val="7F7F7F" w:themeColor="text1" w:themeTint="80"/>
                <w:szCs w:val="22"/>
              </w:rPr>
              <w:t>67</w:t>
            </w:r>
          </w:p>
        </w:tc>
      </w:tr>
    </w:tbl>
    <w:p w:rsidR="0016395B" w:rsidRPr="0016395B" w:rsidRDefault="0016395B" w:rsidP="0016395B">
      <w:pPr>
        <w:pStyle w:val="P1-StandPara"/>
        <w:ind w:firstLine="0"/>
        <w:rPr>
          <w:sz w:val="20"/>
        </w:rPr>
      </w:pPr>
      <w:r w:rsidRPr="0016395B">
        <w:rPr>
          <w:sz w:val="20"/>
        </w:rPr>
        <w:t>* Not part of the NHES-FS and this submission.</w:t>
      </w:r>
    </w:p>
    <w:p w:rsidR="00C60F81" w:rsidRDefault="00C60F81">
      <w:pPr>
        <w:spacing w:line="240" w:lineRule="auto"/>
        <w:jc w:val="left"/>
      </w:pPr>
    </w:p>
    <w:p w:rsidR="00540585" w:rsidRPr="0016395B" w:rsidRDefault="008478A9" w:rsidP="0016395B">
      <w:pPr>
        <w:pStyle w:val="P1-StandPara"/>
        <w:spacing w:after="240" w:line="240" w:lineRule="auto"/>
        <w:ind w:firstLine="0"/>
      </w:pPr>
      <w:r>
        <w:t xml:space="preserve">The instruments </w:t>
      </w:r>
      <w:r w:rsidR="0068462A">
        <w:t xml:space="preserve">are provided </w:t>
      </w:r>
      <w:r w:rsidR="003342C7">
        <w:t>in appendices</w:t>
      </w:r>
      <w:r>
        <w:t xml:space="preserve"> B</w:t>
      </w:r>
      <w:r w:rsidR="003342C7">
        <w:t xml:space="preserve"> (screeners) and C (topical questionnaires)</w:t>
      </w:r>
      <w:r>
        <w:t>.</w:t>
      </w:r>
    </w:p>
    <w:p w:rsidR="00570886" w:rsidRDefault="008478A9" w:rsidP="00715A64">
      <w:pPr>
        <w:pStyle w:val="N2-2ndBullet"/>
        <w:numPr>
          <w:ilvl w:val="0"/>
          <w:numId w:val="38"/>
        </w:numPr>
        <w:tabs>
          <w:tab w:val="clear" w:pos="1728"/>
          <w:tab w:val="left" w:pos="513"/>
        </w:tabs>
      </w:pPr>
      <w:r w:rsidRPr="00974A81">
        <w:rPr>
          <w:b/>
        </w:rPr>
        <w:t>The</w:t>
      </w:r>
      <w:r w:rsidR="0026489C" w:rsidRPr="00974A81">
        <w:rPr>
          <w:b/>
        </w:rPr>
        <w:t xml:space="preserve"> Adult Training and Education Survey (ATES)</w:t>
      </w:r>
      <w:r w:rsidRPr="00974A81">
        <w:t xml:space="preserve"> </w:t>
      </w:r>
      <w:r w:rsidR="000379B3" w:rsidRPr="000379B3">
        <w:t>provide</w:t>
      </w:r>
      <w:r w:rsidR="007368DA">
        <w:t>s</w:t>
      </w:r>
      <w:r w:rsidR="000379B3" w:rsidRPr="000379B3">
        <w:t xml:space="preserve"> a means to investigate issues related to education, training, and credentials for work that cannot be adequately studied through the Center’s institution-based data collection efforts. </w:t>
      </w:r>
      <w:r w:rsidR="000379B3">
        <w:t xml:space="preserve">It </w:t>
      </w:r>
      <w:r w:rsidR="007368DA">
        <w:t>targets</w:t>
      </w:r>
      <w:r w:rsidR="000379B3">
        <w:t xml:space="preserve"> non-institutionalize</w:t>
      </w:r>
      <w:r w:rsidR="008832CB">
        <w:t>d</w:t>
      </w:r>
      <w:r w:rsidR="000379B3">
        <w:t xml:space="preserve"> adults in the United States</w:t>
      </w:r>
      <w:r w:rsidR="000379B3" w:rsidRPr="000379B3">
        <w:t xml:space="preserve"> </w:t>
      </w:r>
      <w:r w:rsidR="000379B3">
        <w:t>ages 16 to 65</w:t>
      </w:r>
      <w:r w:rsidR="007368DA">
        <w:t>, who are</w:t>
      </w:r>
      <w:r w:rsidR="005A4BAF">
        <w:t xml:space="preserve"> not enrolled at grade 12 or below</w:t>
      </w:r>
      <w:r w:rsidR="000379B3">
        <w:t>.</w:t>
      </w:r>
      <w:r w:rsidR="00A9755C">
        <w:t xml:space="preserve"> </w:t>
      </w:r>
      <w:r w:rsidR="000379B3">
        <w:t>The ATES will collect information on educational attainment, prevalence and characteristics of certification</w:t>
      </w:r>
      <w:r w:rsidR="006E12EE">
        <w:t>s</w:t>
      </w:r>
      <w:r w:rsidR="000379B3">
        <w:t xml:space="preserve"> and licenses and their holders, prevalence and characteristics of educational certificates and certificate holders, apprenticeships, and non-credit work-related training. It will also collect detailed employment information.</w:t>
      </w:r>
      <w:r w:rsidR="00570886">
        <w:t xml:space="preserve"> </w:t>
      </w:r>
    </w:p>
    <w:p w:rsidR="00931BBE" w:rsidRDefault="00931BBE" w:rsidP="00715A64">
      <w:pPr>
        <w:pStyle w:val="N2-2ndBullet"/>
        <w:numPr>
          <w:ilvl w:val="0"/>
          <w:numId w:val="38"/>
        </w:numPr>
        <w:tabs>
          <w:tab w:val="clear" w:pos="1728"/>
          <w:tab w:val="left" w:pos="513"/>
        </w:tabs>
      </w:pPr>
      <w:r>
        <w:rPr>
          <w:b/>
        </w:rPr>
        <w:t xml:space="preserve">The Credentials </w:t>
      </w:r>
      <w:r w:rsidR="005A4BAF">
        <w:rPr>
          <w:b/>
        </w:rPr>
        <w:t xml:space="preserve">for Work </w:t>
      </w:r>
      <w:r>
        <w:rPr>
          <w:b/>
        </w:rPr>
        <w:t>Survey (C</w:t>
      </w:r>
      <w:r w:rsidR="005A4BAF">
        <w:rPr>
          <w:b/>
        </w:rPr>
        <w:t>W</w:t>
      </w:r>
      <w:r>
        <w:rPr>
          <w:b/>
        </w:rPr>
        <w:t xml:space="preserve">S) </w:t>
      </w:r>
      <w:r>
        <w:t xml:space="preserve">consists of a subset of items from the ATES </w:t>
      </w:r>
      <w:r w:rsidR="00872836">
        <w:t xml:space="preserve">as </w:t>
      </w:r>
      <w:r w:rsidR="00872836" w:rsidRPr="008340C2">
        <w:t xml:space="preserve">shown in Exhibit 2 </w:t>
      </w:r>
      <w:r w:rsidRPr="008340C2">
        <w:t>and</w:t>
      </w:r>
      <w:r>
        <w:t xml:space="preserve"> focuses primarily on credential attainment. It will also include core education and training items from </w:t>
      </w:r>
      <w:r w:rsidR="00872836">
        <w:t>the ATES as well as the standard employment and background items.</w:t>
      </w:r>
    </w:p>
    <w:p w:rsidR="008478A9" w:rsidRDefault="008478A9" w:rsidP="00715A64">
      <w:pPr>
        <w:pStyle w:val="N2-2ndBullet"/>
        <w:numPr>
          <w:ilvl w:val="0"/>
          <w:numId w:val="38"/>
        </w:numPr>
        <w:tabs>
          <w:tab w:val="clear" w:pos="1728"/>
          <w:tab w:val="left" w:pos="513"/>
        </w:tabs>
      </w:pPr>
      <w:r w:rsidRPr="000379B3">
        <w:rPr>
          <w:b/>
        </w:rPr>
        <w:t>The</w:t>
      </w:r>
      <w:r w:rsidR="0026489C" w:rsidRPr="000379B3">
        <w:rPr>
          <w:b/>
        </w:rPr>
        <w:t xml:space="preserve"> After</w:t>
      </w:r>
      <w:r w:rsidR="00003002">
        <w:rPr>
          <w:b/>
        </w:rPr>
        <w:t>-</w:t>
      </w:r>
      <w:r w:rsidR="0026489C" w:rsidRPr="000379B3">
        <w:rPr>
          <w:b/>
        </w:rPr>
        <w:t>school Programs and Activities Survey (ASPA)</w:t>
      </w:r>
      <w:r w:rsidRPr="000379B3">
        <w:rPr>
          <w:b/>
        </w:rPr>
        <w:t xml:space="preserve">, </w:t>
      </w:r>
      <w:r w:rsidRPr="00540585">
        <w:t>previous</w:t>
      </w:r>
      <w:r w:rsidR="00540585" w:rsidRPr="00540585">
        <w:t>ly conducted in 199</w:t>
      </w:r>
      <w:r w:rsidR="00C253A1">
        <w:t>5</w:t>
      </w:r>
      <w:r w:rsidR="00540585" w:rsidRPr="00540585">
        <w:t xml:space="preserve">, </w:t>
      </w:r>
      <w:r w:rsidR="00C253A1" w:rsidRPr="00540585">
        <w:t>200</w:t>
      </w:r>
      <w:r w:rsidR="00C253A1">
        <w:t>1</w:t>
      </w:r>
      <w:r w:rsidR="00540585" w:rsidRPr="00540585">
        <w:t>, and</w:t>
      </w:r>
      <w:r w:rsidR="00540585">
        <w:t xml:space="preserve"> </w:t>
      </w:r>
      <w:r w:rsidR="00C253A1" w:rsidRPr="00540585">
        <w:t>200</w:t>
      </w:r>
      <w:r w:rsidR="00C253A1">
        <w:t>5</w:t>
      </w:r>
      <w:r w:rsidRPr="00540585">
        <w:t xml:space="preserve">, surveys families of children and youth enrolled in kindergarten through </w:t>
      </w:r>
      <w:r w:rsidR="00C253A1">
        <w:t>8</w:t>
      </w:r>
      <w:r w:rsidR="00C253A1" w:rsidRPr="00540585">
        <w:t xml:space="preserve">th </w:t>
      </w:r>
      <w:r w:rsidRPr="00540585">
        <w:t xml:space="preserve">grade, with an age limit of </w:t>
      </w:r>
      <w:r w:rsidR="00C253A1">
        <w:t>15</w:t>
      </w:r>
      <w:r w:rsidR="00C253A1" w:rsidRPr="00540585">
        <w:t xml:space="preserve"> </w:t>
      </w:r>
      <w:r w:rsidRPr="00540585">
        <w:t>years, and addresses specific</w:t>
      </w:r>
      <w:r w:rsidR="00715A64">
        <w:t xml:space="preserve"> center- or school-based programs that children participate in</w:t>
      </w:r>
      <w:r w:rsidR="005F64C5">
        <w:t xml:space="preserve"> during</w:t>
      </w:r>
      <w:r w:rsidR="00715A64">
        <w:t xml:space="preserve"> after</w:t>
      </w:r>
      <w:r w:rsidR="00003002">
        <w:t>-</w:t>
      </w:r>
      <w:r w:rsidR="00715A64">
        <w:t>school hours and the characteristics of these programs. The ASPA also collects information on care that children receive after</w:t>
      </w:r>
      <w:r w:rsidR="005F64C5">
        <w:t xml:space="preserve"> </w:t>
      </w:r>
      <w:r w:rsidR="00715A64">
        <w:t>school from relatives and nonrelatives</w:t>
      </w:r>
      <w:r w:rsidR="007368DA">
        <w:t>,</w:t>
      </w:r>
      <w:r w:rsidR="00715A64">
        <w:t xml:space="preserve"> and formal activities that children participate in after</w:t>
      </w:r>
      <w:r w:rsidR="005F64C5">
        <w:t xml:space="preserve"> </w:t>
      </w:r>
      <w:r w:rsidR="00715A64">
        <w:t>school.</w:t>
      </w:r>
      <w:r w:rsidR="00715A64" w:rsidRPr="00540585" w:rsidDel="00715A64">
        <w:t xml:space="preserve"> </w:t>
      </w:r>
      <w:r w:rsidR="00715A64">
        <w:t xml:space="preserve">Additional topics addressed in the ASPA include factors related to the parental selection of programs and activities; characteristics of the child’s school; child health and disability; and child, parent, and household characteristics. </w:t>
      </w:r>
    </w:p>
    <w:p w:rsidR="008478A9" w:rsidRDefault="008478A9" w:rsidP="007C3889">
      <w:pPr>
        <w:pStyle w:val="Heading1"/>
        <w:spacing w:after="240" w:line="240" w:lineRule="auto"/>
        <w:ind w:left="0" w:firstLine="0"/>
      </w:pPr>
      <w:bookmarkStart w:id="6" w:name="_Toc61176377"/>
      <w:bookmarkStart w:id="7" w:name="_Toc222888886"/>
      <w:r>
        <w:t>A.1</w:t>
      </w:r>
      <w:r>
        <w:tab/>
        <w:t>Circumstances Necessitating Collection of Information</w:t>
      </w:r>
      <w:bookmarkEnd w:id="6"/>
      <w:bookmarkEnd w:id="7"/>
    </w:p>
    <w:p w:rsidR="008478A9" w:rsidRDefault="008C3E6E" w:rsidP="007C3889">
      <w:pPr>
        <w:pStyle w:val="P1-StandPara"/>
        <w:spacing w:line="23" w:lineRule="atLeast"/>
      </w:pPr>
      <w:r>
        <w:t xml:space="preserve">The </w:t>
      </w:r>
      <w:r w:rsidRPr="008C3E6E">
        <w:t>Education Sciences Reform Act of 2002 (ESRA 2002</w:t>
      </w:r>
      <w:r>
        <w:t>:</w:t>
      </w:r>
      <w:r w:rsidRPr="008C3E6E">
        <w:t xml:space="preserve"> 20 U.S. Code</w:t>
      </w:r>
      <w:r>
        <w:t xml:space="preserve"> </w:t>
      </w:r>
      <w:r w:rsidRPr="008C3E6E">
        <w:t>§ 95</w:t>
      </w:r>
      <w:r>
        <w:t>4</w:t>
      </w:r>
      <w:r w:rsidRPr="008C3E6E">
        <w:t>3</w:t>
      </w:r>
      <w:r>
        <w:t xml:space="preserve">) defines the legislative mission of </w:t>
      </w:r>
      <w:r w:rsidR="008478A9">
        <w:t xml:space="preserve">NCES </w:t>
      </w:r>
      <w:r>
        <w:t>to</w:t>
      </w:r>
      <w:r w:rsidR="008478A9">
        <w:t xml:space="preserve"> </w:t>
      </w:r>
      <w:r w:rsidRPr="008C3E6E">
        <w:t>collect, report, analyze, and disseminate statistical data related to education in the United States and in other nations</w:t>
      </w:r>
      <w:r w:rsidR="008478A9">
        <w:t>.</w:t>
      </w:r>
    </w:p>
    <w:p w:rsidR="008478A9" w:rsidRDefault="008478A9" w:rsidP="007C3889">
      <w:pPr>
        <w:pStyle w:val="P1-StandPara"/>
        <w:spacing w:line="23" w:lineRule="atLeast"/>
      </w:pPr>
    </w:p>
    <w:p w:rsidR="003D304D" w:rsidRDefault="008478A9" w:rsidP="007C3889">
      <w:pPr>
        <w:pStyle w:val="P1-StandPara"/>
        <w:spacing w:line="23" w:lineRule="atLeast"/>
        <w:ind w:firstLine="1170"/>
        <w:jc w:val="left"/>
        <w:rPr>
          <w:szCs w:val="22"/>
        </w:rPr>
      </w:pPr>
      <w:r>
        <w:t xml:space="preserve">The NHES is specifically designed to support this mission by providing a means to investigate education issues that cannot be adequately studied through the Center’s institution-based data collection efforts. For example, </w:t>
      </w:r>
      <w:r w:rsidR="00715A64">
        <w:t xml:space="preserve">school-age </w:t>
      </w:r>
      <w:r>
        <w:t>children</w:t>
      </w:r>
      <w:r w:rsidR="00715A64">
        <w:t xml:space="preserve"> participate</w:t>
      </w:r>
      <w:r>
        <w:t xml:space="preserve"> in many types of informal or formal </w:t>
      </w:r>
      <w:r w:rsidR="00715A64">
        <w:t xml:space="preserve">care </w:t>
      </w:r>
      <w:r>
        <w:t>settings</w:t>
      </w:r>
      <w:r w:rsidR="00715A64">
        <w:t xml:space="preserve"> and activities after</w:t>
      </w:r>
      <w:r w:rsidR="00CB781E">
        <w:t xml:space="preserve"> </w:t>
      </w:r>
      <w:r w:rsidR="00715A64">
        <w:t xml:space="preserve">school. </w:t>
      </w:r>
      <w:r>
        <w:t>There is no available sample frame that includes all of these types of care arrangements</w:t>
      </w:r>
      <w:r w:rsidR="00715A64">
        <w:t xml:space="preserve"> and activities</w:t>
      </w:r>
      <w:r w:rsidR="006814A7">
        <w:t xml:space="preserve">. </w:t>
      </w:r>
      <w:r w:rsidR="00784C50" w:rsidRPr="003D304D">
        <w:rPr>
          <w:szCs w:val="22"/>
        </w:rPr>
        <w:t xml:space="preserve">Likewise, </w:t>
      </w:r>
      <w:r w:rsidR="003D304D" w:rsidRPr="003D304D">
        <w:rPr>
          <w:szCs w:val="22"/>
        </w:rPr>
        <w:t xml:space="preserve">although attaining a postsecondary credential has become increasingly important for securing opportunities to get high-return jobs in the United States in the 21st century, NCES has traditionally only collected data on postsecondary certificates and degrees awarded through credit-bearing instruction in institutions of higher education that participate in Title IV federal student aid programs. These comprise only a portion of subbaccalaureate education and training American adults seek and complete to learn the skills they need to find and keep good-paying jobs. </w:t>
      </w:r>
    </w:p>
    <w:p w:rsidR="00775228" w:rsidRPr="003D304D" w:rsidRDefault="00775228" w:rsidP="007C3889">
      <w:pPr>
        <w:pStyle w:val="P1-StandPara"/>
        <w:spacing w:line="23" w:lineRule="atLeast"/>
        <w:ind w:firstLine="1170"/>
        <w:jc w:val="left"/>
        <w:rPr>
          <w:szCs w:val="22"/>
        </w:rPr>
      </w:pPr>
    </w:p>
    <w:p w:rsidR="00CD7995" w:rsidRDefault="00784C50" w:rsidP="007C3889">
      <w:pPr>
        <w:pStyle w:val="P1-StandPara"/>
        <w:spacing w:line="23" w:lineRule="atLeast"/>
      </w:pPr>
      <w:r w:rsidRPr="003D304D">
        <w:rPr>
          <w:szCs w:val="22"/>
        </w:rPr>
        <w:lastRenderedPageBreak/>
        <w:t xml:space="preserve"> </w:t>
      </w:r>
      <w:r w:rsidR="008478A9" w:rsidRPr="003D304D">
        <w:rPr>
          <w:szCs w:val="22"/>
        </w:rPr>
        <w:t xml:space="preserve">It is efficient and economical to interview parents about their </w:t>
      </w:r>
      <w:r w:rsidR="00CB781E" w:rsidRPr="003D304D">
        <w:rPr>
          <w:szCs w:val="22"/>
        </w:rPr>
        <w:t>children’s participation in after-school programs an</w:t>
      </w:r>
      <w:r w:rsidR="00CB781E" w:rsidRPr="004826DC">
        <w:rPr>
          <w:szCs w:val="22"/>
        </w:rPr>
        <w:t xml:space="preserve">d </w:t>
      </w:r>
      <w:r w:rsidR="006814A7" w:rsidRPr="00863F1F">
        <w:rPr>
          <w:szCs w:val="22"/>
        </w:rPr>
        <w:t>activities</w:t>
      </w:r>
      <w:r w:rsidR="008478A9" w:rsidRPr="00863F1F">
        <w:rPr>
          <w:szCs w:val="22"/>
        </w:rPr>
        <w:t xml:space="preserve"> through a household-based approach rather</w:t>
      </w:r>
      <w:r w:rsidR="008478A9">
        <w:t xml:space="preserve"> than incurring the cost and nonresponse involved in enlisting schools, obtaining lists of parents, and sampling parents from those lists.</w:t>
      </w:r>
      <w:r>
        <w:t xml:space="preserve"> Similarly, it is also most efficient to interview adults through a household-based approach rather than trying to obtain lists </w:t>
      </w:r>
      <w:r w:rsidR="005A4BAF">
        <w:t>from a</w:t>
      </w:r>
      <w:r w:rsidR="003D304D">
        <w:t xml:space="preserve"> myriad of</w:t>
      </w:r>
      <w:r w:rsidR="00A9755C">
        <w:t xml:space="preserve"> </w:t>
      </w:r>
      <w:r w:rsidR="00775228">
        <w:t xml:space="preserve">private </w:t>
      </w:r>
      <w:r>
        <w:t xml:space="preserve">credential awarding bodies. Also, </w:t>
      </w:r>
      <w:r w:rsidR="003D304D">
        <w:t xml:space="preserve">the household approach allows for capture of adults who do not participate in training or have a credential, </w:t>
      </w:r>
      <w:r w:rsidR="005A4BAF">
        <w:t>providing a</w:t>
      </w:r>
      <w:r w:rsidR="003D304D">
        <w:t xml:space="preserve"> point of comparison</w:t>
      </w:r>
      <w:r>
        <w:t>.</w:t>
      </w:r>
      <w:r w:rsidR="008478A9">
        <w:t xml:space="preserve"> </w:t>
      </w:r>
    </w:p>
    <w:p w:rsidR="00974A81" w:rsidRDefault="00974A81" w:rsidP="007C3889">
      <w:pPr>
        <w:pStyle w:val="P1-StandPara"/>
        <w:spacing w:line="23" w:lineRule="atLeast"/>
      </w:pPr>
    </w:p>
    <w:p w:rsidR="00974A81" w:rsidRDefault="00974A81" w:rsidP="007C3889">
      <w:pPr>
        <w:pStyle w:val="P1-StandPara"/>
        <w:spacing w:line="23" w:lineRule="atLeast"/>
      </w:pPr>
      <w:r>
        <w:t xml:space="preserve">There are </w:t>
      </w:r>
      <w:r w:rsidR="00474A9A">
        <w:t xml:space="preserve">also </w:t>
      </w:r>
      <w:r>
        <w:t xml:space="preserve">methodological reasons necessitating the </w:t>
      </w:r>
      <w:r w:rsidR="00003002">
        <w:t>Feasibility Study</w:t>
      </w:r>
      <w:r>
        <w:t>. Response rates for the combined study were low for the adult education component in past NHES administrations conducted by telephone. Therefore, it is necessary to test the feasibility of the combined mail data collection in order to examine trade-offs between efficiency, response</w:t>
      </w:r>
      <w:r w:rsidR="005A4BAF">
        <w:t xml:space="preserve"> rates</w:t>
      </w:r>
      <w:r>
        <w:t>, and data quality.</w:t>
      </w:r>
    </w:p>
    <w:p w:rsidR="008478A9" w:rsidRDefault="008478A9" w:rsidP="007C3889">
      <w:pPr>
        <w:pStyle w:val="P1-StandPara"/>
        <w:spacing w:line="23" w:lineRule="atLeast"/>
        <w:ind w:firstLine="0"/>
      </w:pPr>
    </w:p>
    <w:p w:rsidR="008478A9" w:rsidRDefault="008478A9" w:rsidP="007C3889">
      <w:pPr>
        <w:pStyle w:val="Heading1"/>
        <w:spacing w:after="240" w:line="240" w:lineRule="auto"/>
        <w:ind w:left="0" w:firstLine="0"/>
      </w:pPr>
      <w:bookmarkStart w:id="8" w:name="_Toc61176378"/>
      <w:bookmarkStart w:id="9" w:name="_Toc222888887"/>
      <w:r>
        <w:t>A.2</w:t>
      </w:r>
      <w:r>
        <w:tab/>
        <w:t>Purposes and Uses of the Data</w:t>
      </w:r>
      <w:bookmarkEnd w:id="8"/>
      <w:bookmarkEnd w:id="9"/>
    </w:p>
    <w:p w:rsidR="006D6233" w:rsidRDefault="006D6233" w:rsidP="007C3889">
      <w:pPr>
        <w:pStyle w:val="P1-StandPara"/>
        <w:spacing w:line="23" w:lineRule="atLeast"/>
      </w:pPr>
      <w:r>
        <w:t>The data collected in the NHES</w:t>
      </w:r>
      <w:r w:rsidR="00003002">
        <w:t>-FS</w:t>
      </w:r>
      <w:r>
        <w:t xml:space="preserve"> will be used to evaluate whether or not adult and child topical surveys can be jointly administered using the new </w:t>
      </w:r>
      <w:r w:rsidR="000400AE">
        <w:t xml:space="preserve">NHES </w:t>
      </w:r>
      <w:r>
        <w:t>self-administered mail survey methodology. The NHES</w:t>
      </w:r>
      <w:r w:rsidR="00003002">
        <w:t>-FS</w:t>
      </w:r>
      <w:r>
        <w:t xml:space="preserve"> </w:t>
      </w:r>
      <w:r w:rsidR="000400AE">
        <w:t>data will also be used to evaluate item performance in the topical surveys</w:t>
      </w:r>
      <w:r w:rsidR="00346CE4">
        <w:t xml:space="preserve">. </w:t>
      </w:r>
      <w:r w:rsidR="00474A9A">
        <w:t>They</w:t>
      </w:r>
      <w:r w:rsidR="00784C50">
        <w:t xml:space="preserve"> will not be used to generate official national estimates of the population. Information gathered from this feasibility study will be used to make recommendations for methodological approaches and survey measures.</w:t>
      </w:r>
    </w:p>
    <w:p w:rsidR="008478A9" w:rsidRDefault="008478A9" w:rsidP="007C3889">
      <w:pPr>
        <w:pStyle w:val="P1-StandPara"/>
        <w:spacing w:line="23" w:lineRule="atLeast"/>
      </w:pPr>
    </w:p>
    <w:p w:rsidR="008478A9" w:rsidRDefault="008478A9" w:rsidP="007C3889">
      <w:pPr>
        <w:pStyle w:val="Heading1"/>
        <w:spacing w:after="240" w:line="240" w:lineRule="auto"/>
        <w:ind w:left="0" w:firstLine="0"/>
      </w:pPr>
      <w:bookmarkStart w:id="10" w:name="_Toc61176379"/>
      <w:bookmarkStart w:id="11" w:name="_Toc222888888"/>
      <w:r>
        <w:t>A.3</w:t>
      </w:r>
      <w:r>
        <w:tab/>
        <w:t>Use of Improved Information Technology</w:t>
      </w:r>
      <w:bookmarkEnd w:id="10"/>
      <w:bookmarkEnd w:id="11"/>
    </w:p>
    <w:p w:rsidR="00DF65D7" w:rsidRDefault="00DF65D7" w:rsidP="007C3889">
      <w:pPr>
        <w:pStyle w:val="P1-StandPara"/>
        <w:spacing w:line="23" w:lineRule="atLeast"/>
      </w:pPr>
      <w:r>
        <w:t xml:space="preserve">The </w:t>
      </w:r>
      <w:r w:rsidR="00A45612">
        <w:t xml:space="preserve">data for the </w:t>
      </w:r>
      <w:r>
        <w:t>NHES</w:t>
      </w:r>
      <w:r w:rsidR="00346CE4">
        <w:t xml:space="preserve"> Feasibility Study </w:t>
      </w:r>
      <w:r>
        <w:t xml:space="preserve">will be </w:t>
      </w:r>
      <w:r w:rsidR="00A45612">
        <w:t>collected</w:t>
      </w:r>
      <w:r>
        <w:t xml:space="preserve"> for NCES by the United States Bureau of </w:t>
      </w:r>
      <w:r w:rsidR="00CB781E">
        <w:t xml:space="preserve">the </w:t>
      </w:r>
      <w:r>
        <w:t>Census using three complementary survey systems - (1) Amgraf One Form Plus, (2) Docuprint</w:t>
      </w:r>
      <w:r w:rsidR="008C3E6E">
        <w:t>,</w:t>
      </w:r>
      <w:r>
        <w:t xml:space="preserve"> and (3) integrated Computer Assisted Data Entry (iCADE)</w:t>
      </w:r>
      <w:r w:rsidR="00A45612">
        <w:t xml:space="preserve">, chosen for </w:t>
      </w:r>
      <w:r>
        <w:t>the</w:t>
      </w:r>
      <w:r w:rsidR="00A45612">
        <w:t>ir</w:t>
      </w:r>
      <w:r>
        <w:t xml:space="preserve"> efficiency and accuracy </w:t>
      </w:r>
      <w:r w:rsidR="00A45612">
        <w:t>in</w:t>
      </w:r>
      <w:r>
        <w:t xml:space="preserve"> the data collection process. </w:t>
      </w:r>
    </w:p>
    <w:p w:rsidR="005F7D6C" w:rsidRDefault="0002065D" w:rsidP="007C3889">
      <w:pPr>
        <w:pStyle w:val="P1-StandPara"/>
        <w:numPr>
          <w:ilvl w:val="0"/>
          <w:numId w:val="40"/>
        </w:numPr>
        <w:spacing w:line="23" w:lineRule="atLeast"/>
        <w:ind w:hanging="375"/>
      </w:pPr>
      <w:r w:rsidRPr="008C3E6E">
        <w:rPr>
          <w:b/>
        </w:rPr>
        <w:t>Forms Design.</w:t>
      </w:r>
      <w:r w:rsidR="00DF65D7">
        <w:t xml:space="preserve"> Questionnaires will be crea</w:t>
      </w:r>
      <w:r w:rsidR="00CB781E">
        <w:t xml:space="preserve">ted using Amgraf One Form Plus. </w:t>
      </w:r>
      <w:r w:rsidR="00DF65D7">
        <w:t>Completed hardcopy forms can be processed by iCADE to capture responses through optical mark recognition (OMR) and keying from image (KFI). Questionnaires will be printed, trimmed</w:t>
      </w:r>
      <w:r w:rsidR="009B38E0">
        <w:t>,</w:t>
      </w:r>
      <w:r w:rsidR="00DF65D7">
        <w:t xml:space="preserve"> and stitched through an in</w:t>
      </w:r>
      <w:r w:rsidR="0084005F">
        <w:t>-</w:t>
      </w:r>
      <w:r w:rsidR="00DF65D7">
        <w:t>house print on</w:t>
      </w:r>
      <w:r w:rsidR="0084005F">
        <w:t>-</w:t>
      </w:r>
      <w:r w:rsidR="00DF65D7">
        <w:t xml:space="preserve">demand process </w:t>
      </w:r>
      <w:r w:rsidR="00A15024">
        <w:t xml:space="preserve">using a Docuprint system </w:t>
      </w:r>
      <w:r w:rsidR="00DF65D7">
        <w:t>which allows personalization</w:t>
      </w:r>
      <w:r w:rsidR="0084005F">
        <w:t>,</w:t>
      </w:r>
      <w:r w:rsidR="00DF65D7">
        <w:t xml:space="preserve"> </w:t>
      </w:r>
      <w:r w:rsidR="005B0D80">
        <w:t xml:space="preserve">and the ability to tailor items to </w:t>
      </w:r>
      <w:r w:rsidR="00DF65D7">
        <w:t xml:space="preserve">each specific respondent. The data from the questionnaires will be captured by the iCADE technology/software, which automatically extracts all check box entries (OMR) and captures and displays an image of all other entries </w:t>
      </w:r>
      <w:r w:rsidR="008624B7">
        <w:t xml:space="preserve">to an operator </w:t>
      </w:r>
      <w:r w:rsidR="00DF65D7">
        <w:t xml:space="preserve">for KFI. </w:t>
      </w:r>
    </w:p>
    <w:p w:rsidR="005F7D6C" w:rsidRDefault="0002065D" w:rsidP="007C3889">
      <w:pPr>
        <w:pStyle w:val="P1-StandPara"/>
        <w:numPr>
          <w:ilvl w:val="0"/>
          <w:numId w:val="40"/>
        </w:numPr>
        <w:spacing w:line="23" w:lineRule="atLeast"/>
      </w:pPr>
      <w:r w:rsidRPr="0002065D">
        <w:rPr>
          <w:b/>
        </w:rPr>
        <w:t>Image Preprocessing.</w:t>
      </w:r>
      <w:r w:rsidR="00DF65D7">
        <w:t xml:space="preserve"> iCADE applies image preprocessing to the forms in their image format in order to correct any skewing at the time of scanning</w:t>
      </w:r>
      <w:r w:rsidR="008624B7">
        <w:t>,</w:t>
      </w:r>
      <w:r w:rsidR="00DF65D7">
        <w:t xml:space="preserve"> and the iCADE software performs registration to align the individual questionnaire page template with the appropriate scanned image</w:t>
      </w:r>
      <w:r w:rsidR="006814A7">
        <w:t xml:space="preserve">. </w:t>
      </w:r>
      <w:r w:rsidR="00DF65D7">
        <w:t xml:space="preserve">The scanner despeckles the image to remove unwanted pixels. </w:t>
      </w:r>
    </w:p>
    <w:p w:rsidR="005F7D6C" w:rsidRDefault="0002065D" w:rsidP="007C3889">
      <w:pPr>
        <w:pStyle w:val="P1-StandPara"/>
        <w:numPr>
          <w:ilvl w:val="0"/>
          <w:numId w:val="40"/>
        </w:numPr>
        <w:spacing w:line="23" w:lineRule="atLeast"/>
      </w:pPr>
      <w:r w:rsidRPr="0002065D">
        <w:rPr>
          <w:b/>
        </w:rPr>
        <w:t>Data Capture.</w:t>
      </w:r>
      <w:r w:rsidR="00DF65D7">
        <w:t xml:space="preserve"> iCADE reads the form image files, checks the presence of data, processes all check box fields through OMR</w:t>
      </w:r>
      <w:r w:rsidR="009B38E0">
        <w:t>,</w:t>
      </w:r>
      <w:r w:rsidR="00DF65D7">
        <w:t xml:space="preserve"> and presents </w:t>
      </w:r>
      <w:r w:rsidR="008624B7">
        <w:t xml:space="preserve">an image of the handwritten fields </w:t>
      </w:r>
      <w:r w:rsidR="00DF65D7">
        <w:t xml:space="preserve">to an operator for KFI. </w:t>
      </w:r>
    </w:p>
    <w:p w:rsidR="005F7D6C" w:rsidRDefault="0002065D" w:rsidP="007C3889">
      <w:pPr>
        <w:pStyle w:val="P1-StandPara"/>
        <w:numPr>
          <w:ilvl w:val="0"/>
          <w:numId w:val="40"/>
        </w:numPr>
        <w:spacing w:line="23" w:lineRule="atLeast"/>
      </w:pPr>
      <w:r w:rsidRPr="0002065D">
        <w:rPr>
          <w:b/>
        </w:rPr>
        <w:t>Verification.</w:t>
      </w:r>
      <w:r w:rsidR="00DF65D7">
        <w:t xml:space="preserve"> Extracted KFI data are subject to 100% field validation according to project specifications</w:t>
      </w:r>
      <w:r w:rsidR="001511AF">
        <w:t xml:space="preserve">. </w:t>
      </w:r>
      <w:r w:rsidR="00DF65D7">
        <w:t xml:space="preserve">If a data value violates validation rules, the </w:t>
      </w:r>
      <w:r w:rsidR="009B38E0">
        <w:t>value</w:t>
      </w:r>
      <w:r w:rsidR="00DF65D7">
        <w:t xml:space="preserve"> is flagged for review by verifiers who interactively review the images and the corresponding extracted data, and resolve validation errors. </w:t>
      </w:r>
    </w:p>
    <w:p w:rsidR="005F7D6C" w:rsidRDefault="0002065D" w:rsidP="007C3889">
      <w:pPr>
        <w:pStyle w:val="N2-2ndBullet"/>
        <w:numPr>
          <w:ilvl w:val="0"/>
          <w:numId w:val="40"/>
        </w:numPr>
        <w:tabs>
          <w:tab w:val="clear" w:pos="1728"/>
        </w:tabs>
        <w:spacing w:after="0" w:line="23" w:lineRule="atLeast"/>
      </w:pPr>
      <w:r w:rsidRPr="0002065D">
        <w:rPr>
          <w:b/>
        </w:rPr>
        <w:t>Archiving.</w:t>
      </w:r>
      <w:r w:rsidR="00DF65D7">
        <w:t xml:space="preserve"> Images will be scanned and archived to magnetic storage located on a secured server in case they are needed later. This eliminates the need to save paper copies of the completed questionnaires. </w:t>
      </w:r>
    </w:p>
    <w:p w:rsidR="005F7D6C" w:rsidRDefault="005F7D6C" w:rsidP="007C3889">
      <w:pPr>
        <w:pStyle w:val="N2-2ndBullet"/>
        <w:numPr>
          <w:ilvl w:val="0"/>
          <w:numId w:val="0"/>
        </w:numPr>
        <w:tabs>
          <w:tab w:val="clear" w:pos="1728"/>
        </w:tabs>
        <w:spacing w:after="0" w:line="23" w:lineRule="atLeast"/>
        <w:ind w:left="1728" w:hanging="576"/>
      </w:pPr>
    </w:p>
    <w:p w:rsidR="008478A9" w:rsidRDefault="008478A9" w:rsidP="007C3889">
      <w:pPr>
        <w:pStyle w:val="Heading1"/>
        <w:spacing w:after="240" w:line="240" w:lineRule="auto"/>
        <w:ind w:left="0" w:firstLine="0"/>
      </w:pPr>
      <w:bookmarkStart w:id="12" w:name="_Toc61176380"/>
      <w:bookmarkStart w:id="13" w:name="_Toc222888889"/>
      <w:r>
        <w:t>A.4</w:t>
      </w:r>
      <w:r>
        <w:tab/>
        <w:t>Efforts to Identify Duplication</w:t>
      </w:r>
      <w:bookmarkEnd w:id="12"/>
      <w:bookmarkEnd w:id="13"/>
    </w:p>
    <w:p w:rsidR="00784C50" w:rsidRDefault="00257CB1" w:rsidP="007C3889">
      <w:pPr>
        <w:pStyle w:val="P1-StandPara"/>
        <w:spacing w:line="23" w:lineRule="atLeast"/>
      </w:pPr>
      <w:r w:rsidRPr="00257CB1">
        <w:rPr>
          <w:b/>
        </w:rPr>
        <w:t>ATES.</w:t>
      </w:r>
      <w:r>
        <w:t xml:space="preserve"> </w:t>
      </w:r>
      <w:r w:rsidR="00784C50" w:rsidRPr="00784C50">
        <w:t>Senior policy officials in the Departments of Education</w:t>
      </w:r>
      <w:r w:rsidR="00775228">
        <w:t>, Commerce,</w:t>
      </w:r>
      <w:r w:rsidR="00784C50" w:rsidRPr="00784C50">
        <w:t xml:space="preserve"> and Labor, foundations including the Gates Foundation and Lumina, and research organizations such as the Georgetown Center for Education and the Workforce have recognized that there is a lack of valid statistical information on prevalence of industry-recognized certifications and education certificates</w:t>
      </w:r>
      <w:r w:rsidR="003C0C29">
        <w:t>,</w:t>
      </w:r>
      <w:r w:rsidR="00784C50" w:rsidRPr="00784C50">
        <w:t xml:space="preserve"> and called for the development of new data sources. A series of meetings during the fall of 2009 launched a broad effort to begin to define and enumerate these credentials. NCES conducted a review of research literature and data collections since the work of a previous Interagency Committee in 2000, from which NCES developed a bank of existing survey items on certifications </w:t>
      </w:r>
      <w:r w:rsidR="00784C50" w:rsidRPr="00784C50">
        <w:lastRenderedPageBreak/>
        <w:t>(completed 11/2009) and education certificates (completed 1/2010). This research found no surveys that adequately capture comprehensive data on adult training</w:t>
      </w:r>
      <w:r w:rsidR="005A4BAF">
        <w:t xml:space="preserve">, </w:t>
      </w:r>
      <w:r w:rsidR="00784C50" w:rsidRPr="00784C50">
        <w:t>education</w:t>
      </w:r>
      <w:r w:rsidR="005A4BAF">
        <w:t>, and credentials</w:t>
      </w:r>
      <w:r w:rsidR="00784C50" w:rsidRPr="00784C50">
        <w:t xml:space="preserve">. </w:t>
      </w:r>
    </w:p>
    <w:p w:rsidR="003B0E98" w:rsidRDefault="003B0E98" w:rsidP="007C3889">
      <w:pPr>
        <w:pStyle w:val="P1-StandPara"/>
        <w:spacing w:line="23" w:lineRule="atLeast"/>
      </w:pPr>
    </w:p>
    <w:p w:rsidR="008478A9" w:rsidRDefault="00257CB1" w:rsidP="007C3889">
      <w:pPr>
        <w:pStyle w:val="P1-StandPara"/>
        <w:spacing w:line="23" w:lineRule="atLeast"/>
      </w:pPr>
      <w:r w:rsidRPr="00257CB1">
        <w:rPr>
          <w:b/>
        </w:rPr>
        <w:t>ASPA</w:t>
      </w:r>
      <w:r>
        <w:t xml:space="preserve">. </w:t>
      </w:r>
      <w:r w:rsidR="00784C50">
        <w:t xml:space="preserve">A panel of experts was convened in June 2013 to discuss and review the content and contributions of the ASPA survey. </w:t>
      </w:r>
      <w:r w:rsidR="008F01C9">
        <w:t xml:space="preserve">The experts identified a need for information about after-school activities that was not collected in a child-care framework. In particular, they felt there was a need for information about after-school activities that contribute to children’s learning. The ASPA survey was designed with these needs in mind. Limitations of other surveys are as follows: </w:t>
      </w:r>
      <w:r w:rsidR="005A4BAF">
        <w:t>c</w:t>
      </w:r>
      <w:r w:rsidR="008F01C9">
        <w:t>hild care surveys such as the National Survey of Early Childhood Education (NSECE) tend to focus on low-income children and preschool-age</w:t>
      </w:r>
      <w:r w:rsidR="005A4BAF">
        <w:t>d</w:t>
      </w:r>
      <w:r w:rsidR="008F01C9">
        <w:t xml:space="preserve"> children; other surveys</w:t>
      </w:r>
      <w:r w:rsidR="005A4BAF">
        <w:t xml:space="preserve"> of school-aged children</w:t>
      </w:r>
      <w:r w:rsidR="008F01C9">
        <w:t xml:space="preserve"> conducted by NCES such as the High School Longitudinal Study (HSLS), Early Childhood Longitudinal Study (ECLS); and Middle Grades Longitudinal Study (MGLS) are longitudinal in nature and therefore do not provide repeated, cross-sectional data across a wide</w:t>
      </w:r>
      <w:r w:rsidR="005A4BAF">
        <w:t xml:space="preserve"> </w:t>
      </w:r>
      <w:r w:rsidR="008F01C9">
        <w:t>range of ages; m</w:t>
      </w:r>
      <w:r w:rsidR="008F01C9" w:rsidRPr="008F01C9">
        <w:t>any studies of after-school programs are evaluations of particular types of programs, such as evaluations of the 21st Century Community Learning Center program, or focus on programs in a particular area, such as the evaluation LA’s Better Educated Students for Tomorrow (BEST) program.</w:t>
      </w:r>
      <w:r w:rsidR="008F01C9">
        <w:t xml:space="preserve"> </w:t>
      </w:r>
    </w:p>
    <w:p w:rsidR="008478A9" w:rsidRDefault="008478A9" w:rsidP="007C3889">
      <w:pPr>
        <w:pStyle w:val="P1-StandPara"/>
        <w:spacing w:line="23" w:lineRule="atLeast"/>
      </w:pPr>
    </w:p>
    <w:p w:rsidR="008478A9" w:rsidRDefault="008478A9" w:rsidP="007C3889">
      <w:pPr>
        <w:pStyle w:val="Heading1"/>
        <w:spacing w:after="240" w:line="240" w:lineRule="auto"/>
        <w:ind w:left="0" w:firstLine="0"/>
      </w:pPr>
      <w:bookmarkStart w:id="14" w:name="_Toc61176384"/>
      <w:bookmarkStart w:id="15" w:name="_Toc222888893"/>
      <w:r>
        <w:t>A.</w:t>
      </w:r>
      <w:r w:rsidR="00322067">
        <w:t>5</w:t>
      </w:r>
      <w:r>
        <w:tab/>
        <w:t>Consultations Outside the Agency</w:t>
      </w:r>
      <w:bookmarkEnd w:id="14"/>
      <w:bookmarkEnd w:id="15"/>
    </w:p>
    <w:p w:rsidR="008478A9" w:rsidRDefault="008478A9" w:rsidP="007C3889">
      <w:pPr>
        <w:pStyle w:val="P1-StandPara"/>
        <w:spacing w:line="23" w:lineRule="atLeast"/>
      </w:pPr>
      <w:r>
        <w:t>A Technical Review Panel (TRP) comprising leading experts in survey methodology was established to provide input to the redesign of the NHES system. Most members of the panel met in February 2010 to discuss the proposed design for the field test, and their comments and suggestions led to changes reflected in this submission.</w:t>
      </w:r>
    </w:p>
    <w:p w:rsidR="005A6D53" w:rsidRPr="005A6D53" w:rsidRDefault="005A6D53" w:rsidP="005A6D53">
      <w:pPr>
        <w:pStyle w:val="SU-FlLftUndln"/>
        <w:spacing w:line="240" w:lineRule="auto"/>
        <w:rPr>
          <w:b/>
          <w:sz w:val="14"/>
          <w:szCs w:val="14"/>
        </w:rPr>
      </w:pPr>
    </w:p>
    <w:p w:rsidR="008478A9" w:rsidRDefault="008478A9" w:rsidP="004A672C">
      <w:pPr>
        <w:pStyle w:val="SU-FlLftUndln"/>
        <w:rPr>
          <w:b/>
        </w:rPr>
      </w:pPr>
      <w:r w:rsidRPr="00CD7323">
        <w:rPr>
          <w:b/>
        </w:rPr>
        <w:t>Technical Review Panel Participants</w:t>
      </w:r>
      <w:r>
        <w:rPr>
          <w:b/>
        </w:rPr>
        <w:t xml:space="preserve"> and Their Affiliation at the Time of TRP Recruitment</w:t>
      </w:r>
    </w:p>
    <w:p w:rsidR="008478A9" w:rsidRPr="005A6D53" w:rsidRDefault="008478A9" w:rsidP="005A6D53">
      <w:pPr>
        <w:pStyle w:val="SU-FlLftUndln"/>
        <w:spacing w:line="240" w:lineRule="auto"/>
        <w:rPr>
          <w:b/>
          <w:sz w:val="14"/>
          <w:szCs w:val="14"/>
        </w:rPr>
      </w:pPr>
    </w:p>
    <w:p w:rsidR="008C3E6E" w:rsidRDefault="008C3E6E" w:rsidP="004A672C">
      <w:pPr>
        <w:pStyle w:val="SL-FlLftSgl"/>
        <w:keepNext/>
        <w:keepLines/>
        <w:rPr>
          <w:b/>
        </w:rPr>
        <w:sectPr w:rsidR="008C3E6E" w:rsidSect="00836E30">
          <w:headerReference w:type="even" r:id="rId11"/>
          <w:headerReference w:type="default" r:id="rId12"/>
          <w:footerReference w:type="even" r:id="rId13"/>
          <w:footerReference w:type="default" r:id="rId14"/>
          <w:footerReference w:type="first" r:id="rId15"/>
          <w:pgSz w:w="12240" w:h="15840" w:code="1"/>
          <w:pgMar w:top="1008" w:right="1008" w:bottom="1008" w:left="1008" w:header="432" w:footer="432" w:gutter="0"/>
          <w:pgNumType w:start="1"/>
          <w:cols w:space="720"/>
          <w:titlePg/>
          <w:docGrid w:linePitch="360"/>
        </w:sectPr>
      </w:pPr>
    </w:p>
    <w:p w:rsidR="008478A9" w:rsidRPr="005A6D53" w:rsidRDefault="008478A9" w:rsidP="005A6D53">
      <w:pPr>
        <w:pStyle w:val="SL-FlLftSgl"/>
        <w:keepNext/>
        <w:keepLines/>
        <w:spacing w:line="240" w:lineRule="auto"/>
        <w:rPr>
          <w:b/>
          <w:sz w:val="20"/>
        </w:rPr>
      </w:pPr>
      <w:r w:rsidRPr="005A6D53">
        <w:rPr>
          <w:b/>
          <w:sz w:val="20"/>
        </w:rPr>
        <w:lastRenderedPageBreak/>
        <w:t>Nancy Bates</w:t>
      </w:r>
    </w:p>
    <w:p w:rsidR="008478A9" w:rsidRPr="005A6D53" w:rsidRDefault="008478A9" w:rsidP="005A6D53">
      <w:pPr>
        <w:pStyle w:val="SL-FlLftSgl"/>
        <w:keepNext/>
        <w:keepLines/>
        <w:spacing w:line="240" w:lineRule="auto"/>
        <w:rPr>
          <w:sz w:val="20"/>
        </w:rPr>
      </w:pPr>
      <w:r w:rsidRPr="005A6D53">
        <w:rPr>
          <w:sz w:val="20"/>
        </w:rPr>
        <w:t xml:space="preserve">U.S. Census Bureau </w:t>
      </w:r>
    </w:p>
    <w:p w:rsidR="008478A9" w:rsidRPr="005A6D53" w:rsidRDefault="008478A9" w:rsidP="005A6D53">
      <w:pPr>
        <w:pStyle w:val="SL-FlLftSgl"/>
        <w:keepNext/>
        <w:keepLines/>
        <w:spacing w:line="240" w:lineRule="auto"/>
        <w:rPr>
          <w:sz w:val="20"/>
        </w:rPr>
      </w:pPr>
      <w:r w:rsidRPr="005A6D53">
        <w:rPr>
          <w:sz w:val="20"/>
        </w:rPr>
        <w:t>649 A. St. N.E.</w:t>
      </w:r>
    </w:p>
    <w:p w:rsidR="008478A9" w:rsidRPr="005A6D53" w:rsidRDefault="008478A9" w:rsidP="005A6D53">
      <w:pPr>
        <w:pStyle w:val="SL-FlLftSgl"/>
        <w:keepNext/>
        <w:keepLines/>
        <w:spacing w:line="240" w:lineRule="auto"/>
        <w:rPr>
          <w:sz w:val="20"/>
        </w:rPr>
      </w:pPr>
      <w:r w:rsidRPr="005A6D53">
        <w:rPr>
          <w:sz w:val="20"/>
        </w:rPr>
        <w:t>Washington, DC 20002</w:t>
      </w:r>
    </w:p>
    <w:p w:rsidR="008478A9" w:rsidRPr="005A6D53" w:rsidRDefault="008478A9" w:rsidP="005A6D53">
      <w:pPr>
        <w:pStyle w:val="SL-FlLftSgl"/>
        <w:keepNext/>
        <w:keepLines/>
        <w:spacing w:line="240" w:lineRule="auto"/>
        <w:rPr>
          <w:sz w:val="20"/>
        </w:rPr>
      </w:pPr>
      <w:r w:rsidRPr="005A6D53">
        <w:rPr>
          <w:sz w:val="20"/>
        </w:rPr>
        <w:t>Tel: 301-763-5248</w:t>
      </w:r>
    </w:p>
    <w:p w:rsidR="008478A9" w:rsidRPr="005A6D53" w:rsidRDefault="008478A9" w:rsidP="005A6D53">
      <w:pPr>
        <w:pStyle w:val="SL-FlLftSgl"/>
        <w:spacing w:line="240" w:lineRule="auto"/>
        <w:rPr>
          <w:sz w:val="20"/>
        </w:rPr>
      </w:pPr>
      <w:r w:rsidRPr="005A6D53">
        <w:rPr>
          <w:sz w:val="20"/>
        </w:rPr>
        <w:t xml:space="preserve">E-mail: </w:t>
      </w:r>
      <w:hyperlink r:id="rId16" w:history="1">
        <w:r w:rsidRPr="005A6D53">
          <w:rPr>
            <w:rStyle w:val="Hyperlink"/>
            <w:sz w:val="20"/>
          </w:rPr>
          <w:t>nancy.a.bates@census.gov</w:t>
        </w:r>
      </w:hyperlink>
    </w:p>
    <w:p w:rsidR="005A6D53" w:rsidRPr="005A6D53" w:rsidRDefault="005A6D53" w:rsidP="005A6D53">
      <w:pPr>
        <w:pStyle w:val="SU-FlLftUndln"/>
        <w:spacing w:line="240" w:lineRule="auto"/>
        <w:rPr>
          <w:b/>
          <w:sz w:val="20"/>
        </w:rPr>
      </w:pPr>
    </w:p>
    <w:p w:rsidR="008478A9" w:rsidRPr="005A6D53" w:rsidRDefault="008478A9" w:rsidP="005A6D53">
      <w:pPr>
        <w:pStyle w:val="SL-FlLftSgl"/>
        <w:keepNext/>
        <w:keepLines/>
        <w:spacing w:line="240" w:lineRule="auto"/>
        <w:rPr>
          <w:b/>
          <w:sz w:val="20"/>
        </w:rPr>
      </w:pPr>
      <w:r w:rsidRPr="005A6D53">
        <w:rPr>
          <w:b/>
          <w:sz w:val="20"/>
        </w:rPr>
        <w:t xml:space="preserve">Paul Beatty </w:t>
      </w:r>
    </w:p>
    <w:p w:rsidR="008478A9" w:rsidRPr="005A6D53" w:rsidRDefault="008478A9" w:rsidP="005A6D53">
      <w:pPr>
        <w:pStyle w:val="SL-FlLftSgl"/>
        <w:keepNext/>
        <w:keepLines/>
        <w:spacing w:line="240" w:lineRule="auto"/>
        <w:rPr>
          <w:sz w:val="20"/>
        </w:rPr>
      </w:pPr>
      <w:r w:rsidRPr="005A6D53">
        <w:rPr>
          <w:sz w:val="20"/>
        </w:rPr>
        <w:t>National Center for Health Statistics</w:t>
      </w:r>
    </w:p>
    <w:p w:rsidR="008478A9" w:rsidRPr="005A6D53" w:rsidRDefault="008478A9" w:rsidP="005A6D53">
      <w:pPr>
        <w:pStyle w:val="SL-FlLftSgl"/>
        <w:keepNext/>
        <w:keepLines/>
        <w:spacing w:line="240" w:lineRule="auto"/>
        <w:rPr>
          <w:sz w:val="20"/>
        </w:rPr>
      </w:pPr>
      <w:r w:rsidRPr="005A6D53">
        <w:rPr>
          <w:sz w:val="20"/>
        </w:rPr>
        <w:t>Division of Health Care Statistics</w:t>
      </w:r>
    </w:p>
    <w:p w:rsidR="008478A9" w:rsidRPr="005A6D53" w:rsidRDefault="008478A9" w:rsidP="005A6D53">
      <w:pPr>
        <w:pStyle w:val="SL-FlLftSgl"/>
        <w:keepNext/>
        <w:keepLines/>
        <w:spacing w:line="240" w:lineRule="auto"/>
        <w:rPr>
          <w:sz w:val="20"/>
        </w:rPr>
      </w:pPr>
      <w:r w:rsidRPr="005A6D53">
        <w:rPr>
          <w:sz w:val="20"/>
        </w:rPr>
        <w:t xml:space="preserve">3311 Toledo Road, </w:t>
      </w:r>
    </w:p>
    <w:p w:rsidR="008478A9" w:rsidRPr="005A6D53" w:rsidRDefault="008478A9" w:rsidP="005A6D53">
      <w:pPr>
        <w:pStyle w:val="SL-FlLftSgl"/>
        <w:keepNext/>
        <w:keepLines/>
        <w:spacing w:line="240" w:lineRule="auto"/>
        <w:rPr>
          <w:sz w:val="20"/>
        </w:rPr>
      </w:pPr>
      <w:r w:rsidRPr="005A6D53">
        <w:rPr>
          <w:sz w:val="20"/>
        </w:rPr>
        <w:t>Hyattsville, MD 20782</w:t>
      </w:r>
    </w:p>
    <w:p w:rsidR="008478A9" w:rsidRPr="005A6D53" w:rsidRDefault="008478A9" w:rsidP="005A6D53">
      <w:pPr>
        <w:pStyle w:val="SL-FlLftSgl"/>
        <w:keepNext/>
        <w:keepLines/>
        <w:spacing w:line="240" w:lineRule="auto"/>
        <w:rPr>
          <w:sz w:val="20"/>
        </w:rPr>
      </w:pPr>
      <w:r w:rsidRPr="005A6D53">
        <w:rPr>
          <w:sz w:val="20"/>
        </w:rPr>
        <w:t>Tel. 301-458-4090</w:t>
      </w:r>
    </w:p>
    <w:p w:rsidR="008478A9" w:rsidRPr="005A6D53" w:rsidRDefault="008478A9" w:rsidP="005A6D53">
      <w:pPr>
        <w:pStyle w:val="SL-FlLftSgl"/>
        <w:spacing w:line="240" w:lineRule="auto"/>
        <w:rPr>
          <w:sz w:val="20"/>
        </w:rPr>
      </w:pPr>
      <w:r w:rsidRPr="005A6D53">
        <w:rPr>
          <w:sz w:val="20"/>
        </w:rPr>
        <w:t xml:space="preserve">E-mail: </w:t>
      </w:r>
      <w:hyperlink r:id="rId17" w:history="1">
        <w:r w:rsidRPr="005A6D53">
          <w:rPr>
            <w:rStyle w:val="Hyperlink"/>
            <w:sz w:val="20"/>
          </w:rPr>
          <w:t>pbeatty@cdc.gov</w:t>
        </w:r>
      </w:hyperlink>
    </w:p>
    <w:p w:rsidR="005A6D53" w:rsidRPr="005A6D53" w:rsidRDefault="005A6D53" w:rsidP="005A6D53">
      <w:pPr>
        <w:pStyle w:val="SU-FlLftUndln"/>
        <w:spacing w:line="240" w:lineRule="auto"/>
        <w:rPr>
          <w:b/>
          <w:sz w:val="20"/>
        </w:rPr>
      </w:pPr>
    </w:p>
    <w:p w:rsidR="008478A9" w:rsidRPr="005A6D53" w:rsidRDefault="008478A9" w:rsidP="005A6D53">
      <w:pPr>
        <w:pStyle w:val="SL-FlLftSgl"/>
        <w:keepNext/>
        <w:keepLines/>
        <w:spacing w:line="240" w:lineRule="auto"/>
        <w:rPr>
          <w:b/>
          <w:sz w:val="20"/>
        </w:rPr>
      </w:pPr>
      <w:r w:rsidRPr="005A6D53">
        <w:rPr>
          <w:b/>
          <w:sz w:val="20"/>
        </w:rPr>
        <w:t>Johnny Blair</w:t>
      </w:r>
    </w:p>
    <w:p w:rsidR="008478A9" w:rsidRPr="005A6D53" w:rsidRDefault="008478A9" w:rsidP="005A6D53">
      <w:pPr>
        <w:pStyle w:val="SL-FlLftSgl"/>
        <w:keepNext/>
        <w:keepLines/>
        <w:spacing w:line="240" w:lineRule="auto"/>
        <w:rPr>
          <w:sz w:val="20"/>
        </w:rPr>
      </w:pPr>
      <w:r w:rsidRPr="005A6D53">
        <w:rPr>
          <w:sz w:val="20"/>
        </w:rPr>
        <w:t>Survey Sampling and Methodology</w:t>
      </w:r>
    </w:p>
    <w:p w:rsidR="008478A9" w:rsidRPr="005A6D53" w:rsidRDefault="008478A9" w:rsidP="005A6D53">
      <w:pPr>
        <w:pStyle w:val="SL-FlLftSgl"/>
        <w:keepNext/>
        <w:keepLines/>
        <w:spacing w:line="240" w:lineRule="auto"/>
        <w:rPr>
          <w:sz w:val="20"/>
        </w:rPr>
      </w:pPr>
      <w:r w:rsidRPr="005A6D53">
        <w:rPr>
          <w:sz w:val="20"/>
        </w:rPr>
        <w:t>Abt Associates Inc.</w:t>
      </w:r>
    </w:p>
    <w:p w:rsidR="008478A9" w:rsidRPr="005A6D53" w:rsidRDefault="008478A9" w:rsidP="005A6D53">
      <w:pPr>
        <w:pStyle w:val="SL-FlLftSgl"/>
        <w:keepNext/>
        <w:keepLines/>
        <w:spacing w:line="240" w:lineRule="auto"/>
        <w:rPr>
          <w:sz w:val="20"/>
        </w:rPr>
      </w:pPr>
      <w:r w:rsidRPr="005A6D53">
        <w:rPr>
          <w:sz w:val="20"/>
        </w:rPr>
        <w:t>4550 Montgomery Avenue</w:t>
      </w:r>
    </w:p>
    <w:p w:rsidR="008478A9" w:rsidRPr="005A6D53" w:rsidRDefault="008478A9" w:rsidP="005A6D53">
      <w:pPr>
        <w:pStyle w:val="SL-FlLftSgl"/>
        <w:keepNext/>
        <w:keepLines/>
        <w:spacing w:line="240" w:lineRule="auto"/>
        <w:rPr>
          <w:sz w:val="20"/>
        </w:rPr>
      </w:pPr>
      <w:r w:rsidRPr="005A6D53">
        <w:rPr>
          <w:sz w:val="20"/>
        </w:rPr>
        <w:t>Bethesda, MD 20814-3343</w:t>
      </w:r>
    </w:p>
    <w:p w:rsidR="008478A9" w:rsidRPr="005A6D53" w:rsidRDefault="008478A9" w:rsidP="005A6D53">
      <w:pPr>
        <w:pStyle w:val="SL-FlLftSgl"/>
        <w:keepNext/>
        <w:keepLines/>
        <w:spacing w:line="240" w:lineRule="auto"/>
        <w:rPr>
          <w:sz w:val="20"/>
        </w:rPr>
      </w:pPr>
      <w:r w:rsidRPr="005A6D53">
        <w:rPr>
          <w:sz w:val="20"/>
        </w:rPr>
        <w:t>Tel: 301-634-1825</w:t>
      </w:r>
    </w:p>
    <w:p w:rsidR="008478A9" w:rsidRPr="005A6D53" w:rsidRDefault="008478A9" w:rsidP="005A6D53">
      <w:pPr>
        <w:pStyle w:val="SL-FlLftSgl"/>
        <w:spacing w:line="240" w:lineRule="auto"/>
        <w:rPr>
          <w:sz w:val="20"/>
        </w:rPr>
      </w:pPr>
      <w:r w:rsidRPr="005A6D53">
        <w:rPr>
          <w:sz w:val="20"/>
        </w:rPr>
        <w:t xml:space="preserve">E-mail: </w:t>
      </w:r>
      <w:hyperlink r:id="rId18" w:history="1">
        <w:r w:rsidRPr="005A6D53">
          <w:rPr>
            <w:rStyle w:val="Hyperlink"/>
            <w:sz w:val="20"/>
          </w:rPr>
          <w:t>Johnny_Blair@AbtAssoc.com</w:t>
        </w:r>
      </w:hyperlink>
    </w:p>
    <w:p w:rsidR="005A6D53" w:rsidRPr="005A6D53" w:rsidRDefault="005A6D53" w:rsidP="005A6D53">
      <w:pPr>
        <w:pStyle w:val="SU-FlLftUndln"/>
        <w:spacing w:line="240" w:lineRule="auto"/>
        <w:rPr>
          <w:b/>
          <w:sz w:val="20"/>
        </w:rPr>
      </w:pPr>
    </w:p>
    <w:p w:rsidR="008478A9" w:rsidRPr="005A6D53" w:rsidRDefault="008478A9" w:rsidP="005A6D53">
      <w:pPr>
        <w:pStyle w:val="SL-FlLftSgl"/>
        <w:keepNext/>
        <w:keepLines/>
        <w:spacing w:line="240" w:lineRule="auto"/>
        <w:rPr>
          <w:b/>
          <w:sz w:val="20"/>
        </w:rPr>
      </w:pPr>
      <w:r w:rsidRPr="005A6D53">
        <w:rPr>
          <w:b/>
          <w:sz w:val="20"/>
        </w:rPr>
        <w:t>Stephen Blumberg</w:t>
      </w:r>
    </w:p>
    <w:p w:rsidR="008478A9" w:rsidRPr="005A6D53" w:rsidRDefault="008478A9" w:rsidP="005A6D53">
      <w:pPr>
        <w:pStyle w:val="SL-FlLftSgl"/>
        <w:keepNext/>
        <w:keepLines/>
        <w:spacing w:line="240" w:lineRule="auto"/>
        <w:rPr>
          <w:sz w:val="20"/>
        </w:rPr>
      </w:pPr>
      <w:r w:rsidRPr="005A6D53">
        <w:rPr>
          <w:sz w:val="20"/>
        </w:rPr>
        <w:t>National Center for Health Statistics</w:t>
      </w:r>
    </w:p>
    <w:p w:rsidR="008478A9" w:rsidRPr="005A6D53" w:rsidRDefault="008478A9" w:rsidP="005A6D53">
      <w:pPr>
        <w:pStyle w:val="SL-FlLftSgl"/>
        <w:keepNext/>
        <w:keepLines/>
        <w:spacing w:line="240" w:lineRule="auto"/>
        <w:rPr>
          <w:sz w:val="20"/>
        </w:rPr>
      </w:pPr>
      <w:r w:rsidRPr="005A6D53">
        <w:rPr>
          <w:sz w:val="20"/>
        </w:rPr>
        <w:t>3311 Toledo Road</w:t>
      </w:r>
    </w:p>
    <w:p w:rsidR="008478A9" w:rsidRPr="005A6D53" w:rsidRDefault="008478A9" w:rsidP="005A6D53">
      <w:pPr>
        <w:pStyle w:val="SL-FlLftSgl"/>
        <w:keepNext/>
        <w:keepLines/>
        <w:spacing w:line="240" w:lineRule="auto"/>
        <w:rPr>
          <w:sz w:val="20"/>
          <w:lang w:val="fr-FR"/>
        </w:rPr>
      </w:pPr>
      <w:r w:rsidRPr="005A6D53">
        <w:rPr>
          <w:sz w:val="20"/>
          <w:lang w:val="fr-FR"/>
        </w:rPr>
        <w:t>Hyattsville, MD 20782</w:t>
      </w:r>
    </w:p>
    <w:p w:rsidR="008478A9" w:rsidRPr="005A6D53" w:rsidRDefault="008478A9" w:rsidP="005A6D53">
      <w:pPr>
        <w:pStyle w:val="SL-FlLftSgl"/>
        <w:keepNext/>
        <w:keepLines/>
        <w:spacing w:line="240" w:lineRule="auto"/>
        <w:rPr>
          <w:sz w:val="20"/>
          <w:lang w:val="fr-FR"/>
        </w:rPr>
      </w:pPr>
      <w:r w:rsidRPr="005A6D53">
        <w:rPr>
          <w:sz w:val="20"/>
          <w:lang w:val="fr-FR"/>
        </w:rPr>
        <w:t>Tel.301-458-4107</w:t>
      </w:r>
    </w:p>
    <w:p w:rsidR="008478A9" w:rsidRPr="005A6D53" w:rsidRDefault="008478A9" w:rsidP="005A6D53">
      <w:pPr>
        <w:pStyle w:val="SL-FlLftSgl"/>
        <w:spacing w:line="240" w:lineRule="auto"/>
        <w:rPr>
          <w:sz w:val="20"/>
          <w:lang w:val="fr-FR"/>
        </w:rPr>
      </w:pPr>
      <w:r w:rsidRPr="005A6D53">
        <w:rPr>
          <w:sz w:val="20"/>
          <w:lang w:val="fr-FR"/>
        </w:rPr>
        <w:t xml:space="preserve">E-mail: </w:t>
      </w:r>
      <w:hyperlink r:id="rId19" w:history="1">
        <w:r w:rsidRPr="005A6D53">
          <w:rPr>
            <w:rStyle w:val="Hyperlink"/>
            <w:sz w:val="20"/>
            <w:lang w:val="fr-FR"/>
          </w:rPr>
          <w:t>stephen.blumberg@cdc.hhs.gov</w:t>
        </w:r>
      </w:hyperlink>
    </w:p>
    <w:p w:rsidR="005A6D53" w:rsidRPr="005A6D53" w:rsidRDefault="005A6D53" w:rsidP="005A6D53">
      <w:pPr>
        <w:pStyle w:val="SU-FlLftUndln"/>
        <w:spacing w:line="240" w:lineRule="auto"/>
        <w:rPr>
          <w:b/>
          <w:sz w:val="20"/>
        </w:rPr>
      </w:pPr>
    </w:p>
    <w:p w:rsidR="008478A9" w:rsidRPr="005A6D53" w:rsidRDefault="008478A9" w:rsidP="005A6D53">
      <w:pPr>
        <w:pStyle w:val="SL-FlLftSgl"/>
        <w:keepNext/>
        <w:keepLines/>
        <w:spacing w:line="240" w:lineRule="auto"/>
        <w:rPr>
          <w:b/>
          <w:sz w:val="20"/>
        </w:rPr>
      </w:pPr>
      <w:r w:rsidRPr="005A6D53">
        <w:rPr>
          <w:b/>
          <w:sz w:val="20"/>
        </w:rPr>
        <w:t>Mick Couper</w:t>
      </w:r>
    </w:p>
    <w:p w:rsidR="008478A9" w:rsidRPr="005A6D53" w:rsidRDefault="008478A9" w:rsidP="005A6D53">
      <w:pPr>
        <w:pStyle w:val="SL-FlLftSgl"/>
        <w:keepNext/>
        <w:keepLines/>
        <w:spacing w:line="240" w:lineRule="auto"/>
        <w:rPr>
          <w:sz w:val="20"/>
        </w:rPr>
      </w:pPr>
      <w:r w:rsidRPr="005A6D53">
        <w:rPr>
          <w:sz w:val="20"/>
        </w:rPr>
        <w:t>Survey Research Center</w:t>
      </w:r>
    </w:p>
    <w:p w:rsidR="008478A9" w:rsidRPr="005A6D53" w:rsidRDefault="008478A9" w:rsidP="005A6D53">
      <w:pPr>
        <w:pStyle w:val="SL-FlLftSgl"/>
        <w:keepNext/>
        <w:keepLines/>
        <w:spacing w:line="240" w:lineRule="auto"/>
        <w:rPr>
          <w:sz w:val="20"/>
        </w:rPr>
      </w:pPr>
      <w:r w:rsidRPr="005A6D53">
        <w:rPr>
          <w:sz w:val="20"/>
        </w:rPr>
        <w:t>University of Michigan</w:t>
      </w:r>
    </w:p>
    <w:p w:rsidR="008478A9" w:rsidRPr="005A6D53" w:rsidRDefault="008478A9" w:rsidP="005A6D53">
      <w:pPr>
        <w:pStyle w:val="SL-FlLftSgl"/>
        <w:keepNext/>
        <w:keepLines/>
        <w:spacing w:line="240" w:lineRule="auto"/>
        <w:rPr>
          <w:sz w:val="20"/>
        </w:rPr>
      </w:pPr>
      <w:r w:rsidRPr="005A6D53">
        <w:rPr>
          <w:sz w:val="20"/>
        </w:rPr>
        <w:t>ISR, 426 Thompson Street</w:t>
      </w:r>
    </w:p>
    <w:p w:rsidR="008478A9" w:rsidRPr="005A6D53" w:rsidRDefault="008478A9" w:rsidP="005A6D53">
      <w:pPr>
        <w:pStyle w:val="SL-FlLftSgl"/>
        <w:keepNext/>
        <w:keepLines/>
        <w:spacing w:line="240" w:lineRule="auto"/>
        <w:rPr>
          <w:sz w:val="20"/>
          <w:lang w:val="es-ES"/>
        </w:rPr>
      </w:pPr>
      <w:r w:rsidRPr="005A6D53">
        <w:rPr>
          <w:sz w:val="20"/>
          <w:lang w:val="es-ES"/>
        </w:rPr>
        <w:t>Ann Arbor, MI 48104</w:t>
      </w:r>
    </w:p>
    <w:p w:rsidR="008478A9" w:rsidRPr="005A6D53" w:rsidRDefault="008478A9" w:rsidP="005A6D53">
      <w:pPr>
        <w:pStyle w:val="SL-FlLftSgl"/>
        <w:keepNext/>
        <w:keepLines/>
        <w:spacing w:line="240" w:lineRule="auto"/>
        <w:rPr>
          <w:sz w:val="20"/>
          <w:lang w:val="es-ES"/>
        </w:rPr>
      </w:pPr>
      <w:r w:rsidRPr="005A6D53">
        <w:rPr>
          <w:sz w:val="20"/>
          <w:lang w:val="es-ES"/>
        </w:rPr>
        <w:t>Tel: 734-647-3577</w:t>
      </w:r>
    </w:p>
    <w:p w:rsidR="008478A9" w:rsidRPr="005A6D53" w:rsidRDefault="008478A9" w:rsidP="005A6D53">
      <w:pPr>
        <w:pStyle w:val="SL-FlLftSgl"/>
        <w:spacing w:line="240" w:lineRule="auto"/>
        <w:rPr>
          <w:sz w:val="20"/>
          <w:lang w:val="es-ES"/>
        </w:rPr>
      </w:pPr>
      <w:r w:rsidRPr="005A6D53">
        <w:rPr>
          <w:sz w:val="20"/>
          <w:lang w:val="es-ES"/>
        </w:rPr>
        <w:t xml:space="preserve">E-mail: </w:t>
      </w:r>
      <w:hyperlink r:id="rId20" w:history="1">
        <w:r w:rsidRPr="005A6D53">
          <w:rPr>
            <w:rStyle w:val="Hyperlink"/>
            <w:sz w:val="20"/>
            <w:lang w:val="es-ES"/>
          </w:rPr>
          <w:t>mcouper@umich.edu</w:t>
        </w:r>
      </w:hyperlink>
    </w:p>
    <w:p w:rsidR="005A6D53" w:rsidRPr="005A6D53" w:rsidRDefault="005A6D53" w:rsidP="005A6D53">
      <w:pPr>
        <w:pStyle w:val="SU-FlLftUndln"/>
        <w:spacing w:line="240" w:lineRule="auto"/>
        <w:rPr>
          <w:b/>
          <w:sz w:val="20"/>
        </w:rPr>
      </w:pPr>
    </w:p>
    <w:p w:rsidR="008478A9" w:rsidRPr="005A6D53" w:rsidRDefault="008478A9" w:rsidP="005A6D53">
      <w:pPr>
        <w:pStyle w:val="SL-FlLftSgl"/>
        <w:keepNext/>
        <w:keepLines/>
        <w:spacing w:line="240" w:lineRule="auto"/>
        <w:rPr>
          <w:b/>
          <w:sz w:val="20"/>
        </w:rPr>
      </w:pPr>
      <w:r w:rsidRPr="005A6D53">
        <w:rPr>
          <w:b/>
          <w:sz w:val="20"/>
        </w:rPr>
        <w:t>Don Dillman</w:t>
      </w:r>
    </w:p>
    <w:p w:rsidR="008478A9" w:rsidRPr="005A6D53" w:rsidRDefault="008478A9" w:rsidP="005A6D53">
      <w:pPr>
        <w:pStyle w:val="SL-FlLftSgl"/>
        <w:keepNext/>
        <w:keepLines/>
        <w:spacing w:line="240" w:lineRule="auto"/>
        <w:rPr>
          <w:sz w:val="20"/>
        </w:rPr>
      </w:pPr>
      <w:r w:rsidRPr="005A6D53">
        <w:rPr>
          <w:sz w:val="20"/>
        </w:rPr>
        <w:t>Social and Economic Sciences Research Center, Professor</w:t>
      </w:r>
    </w:p>
    <w:p w:rsidR="008478A9" w:rsidRPr="005A6D53" w:rsidRDefault="008478A9" w:rsidP="005A6D53">
      <w:pPr>
        <w:pStyle w:val="SL-FlLftSgl"/>
        <w:keepNext/>
        <w:keepLines/>
        <w:spacing w:line="240" w:lineRule="auto"/>
        <w:rPr>
          <w:sz w:val="20"/>
        </w:rPr>
      </w:pPr>
      <w:r w:rsidRPr="005A6D53">
        <w:rPr>
          <w:sz w:val="20"/>
        </w:rPr>
        <w:t xml:space="preserve">Washington State University </w:t>
      </w:r>
    </w:p>
    <w:p w:rsidR="008478A9" w:rsidRPr="005A6D53" w:rsidRDefault="008478A9" w:rsidP="005A6D53">
      <w:pPr>
        <w:pStyle w:val="SL-FlLftSgl"/>
        <w:keepNext/>
        <w:keepLines/>
        <w:spacing w:line="240" w:lineRule="auto"/>
        <w:rPr>
          <w:sz w:val="20"/>
        </w:rPr>
      </w:pPr>
      <w:r w:rsidRPr="005A6D53">
        <w:rPr>
          <w:sz w:val="20"/>
        </w:rPr>
        <w:t xml:space="preserve">133 Wilson Hall </w:t>
      </w:r>
    </w:p>
    <w:p w:rsidR="008478A9" w:rsidRPr="005A6D53" w:rsidRDefault="008478A9" w:rsidP="005A6D53">
      <w:pPr>
        <w:pStyle w:val="SL-FlLftSgl"/>
        <w:keepNext/>
        <w:keepLines/>
        <w:spacing w:line="240" w:lineRule="auto"/>
        <w:rPr>
          <w:sz w:val="20"/>
        </w:rPr>
      </w:pPr>
      <w:r w:rsidRPr="005A6D53">
        <w:rPr>
          <w:sz w:val="20"/>
        </w:rPr>
        <w:t>Pullman, WA 99164-4014</w:t>
      </w:r>
    </w:p>
    <w:p w:rsidR="008478A9" w:rsidRPr="005A6D53" w:rsidRDefault="008478A9" w:rsidP="005A6D53">
      <w:pPr>
        <w:pStyle w:val="SL-FlLftSgl"/>
        <w:keepNext/>
        <w:keepLines/>
        <w:spacing w:line="240" w:lineRule="auto"/>
        <w:rPr>
          <w:sz w:val="20"/>
        </w:rPr>
      </w:pPr>
      <w:r w:rsidRPr="005A6D53">
        <w:rPr>
          <w:sz w:val="20"/>
        </w:rPr>
        <w:t>Tel: 509-335-1511</w:t>
      </w:r>
    </w:p>
    <w:p w:rsidR="008478A9" w:rsidRPr="005A6D53" w:rsidRDefault="008478A9" w:rsidP="005A6D53">
      <w:pPr>
        <w:pStyle w:val="SL-FlLftSgl"/>
        <w:spacing w:line="240" w:lineRule="auto"/>
        <w:rPr>
          <w:sz w:val="20"/>
        </w:rPr>
      </w:pPr>
      <w:r w:rsidRPr="005A6D53">
        <w:rPr>
          <w:sz w:val="20"/>
        </w:rPr>
        <w:t xml:space="preserve">E-mail: </w:t>
      </w:r>
      <w:hyperlink r:id="rId21" w:history="1">
        <w:r w:rsidRPr="005A6D53">
          <w:rPr>
            <w:rStyle w:val="Hyperlink"/>
            <w:sz w:val="20"/>
          </w:rPr>
          <w:t>dillman@wsu.edu</w:t>
        </w:r>
      </w:hyperlink>
    </w:p>
    <w:p w:rsidR="005A6D53" w:rsidRPr="005A6D53" w:rsidRDefault="005A6D53" w:rsidP="005A6D53">
      <w:pPr>
        <w:pStyle w:val="SU-FlLftUndln"/>
        <w:spacing w:line="240" w:lineRule="auto"/>
        <w:rPr>
          <w:b/>
          <w:sz w:val="20"/>
        </w:rPr>
      </w:pPr>
    </w:p>
    <w:p w:rsidR="008478A9" w:rsidRPr="005A6D53" w:rsidRDefault="008478A9" w:rsidP="005A6D53">
      <w:pPr>
        <w:pStyle w:val="SL-FlLftSgl"/>
        <w:keepNext/>
        <w:keepLines/>
        <w:spacing w:line="240" w:lineRule="auto"/>
        <w:rPr>
          <w:b/>
          <w:sz w:val="20"/>
        </w:rPr>
      </w:pPr>
      <w:r w:rsidRPr="005A6D53">
        <w:rPr>
          <w:b/>
          <w:sz w:val="20"/>
        </w:rPr>
        <w:t>Robert Groves</w:t>
      </w:r>
    </w:p>
    <w:p w:rsidR="008478A9" w:rsidRPr="005A6D53" w:rsidRDefault="008478A9" w:rsidP="005A6D53">
      <w:pPr>
        <w:pStyle w:val="SL-FlLftSgl"/>
        <w:keepNext/>
        <w:keepLines/>
        <w:spacing w:line="240" w:lineRule="auto"/>
        <w:rPr>
          <w:sz w:val="20"/>
        </w:rPr>
      </w:pPr>
      <w:r w:rsidRPr="005A6D53">
        <w:rPr>
          <w:sz w:val="20"/>
        </w:rPr>
        <w:t>Survey Research Center, Institute for Social Research</w:t>
      </w:r>
    </w:p>
    <w:p w:rsidR="008478A9" w:rsidRPr="005A6D53" w:rsidRDefault="008478A9" w:rsidP="005A6D53">
      <w:pPr>
        <w:pStyle w:val="SL-FlLftSgl"/>
        <w:keepNext/>
        <w:keepLines/>
        <w:spacing w:line="240" w:lineRule="auto"/>
        <w:rPr>
          <w:sz w:val="20"/>
        </w:rPr>
      </w:pPr>
      <w:r w:rsidRPr="005A6D53">
        <w:rPr>
          <w:sz w:val="20"/>
        </w:rPr>
        <w:t>University of Michigan</w:t>
      </w:r>
    </w:p>
    <w:p w:rsidR="008478A9" w:rsidRPr="005A6D53" w:rsidRDefault="008478A9" w:rsidP="005A6D53">
      <w:pPr>
        <w:pStyle w:val="SL-FlLftSgl"/>
        <w:keepNext/>
        <w:keepLines/>
        <w:spacing w:line="240" w:lineRule="auto"/>
        <w:rPr>
          <w:sz w:val="20"/>
        </w:rPr>
      </w:pPr>
      <w:r w:rsidRPr="005A6D53">
        <w:rPr>
          <w:sz w:val="20"/>
        </w:rPr>
        <w:t>426 Thompson Street</w:t>
      </w:r>
    </w:p>
    <w:p w:rsidR="008478A9" w:rsidRPr="005A6D53" w:rsidRDefault="008478A9" w:rsidP="005A6D53">
      <w:pPr>
        <w:pStyle w:val="SL-FlLftSgl"/>
        <w:keepNext/>
        <w:keepLines/>
        <w:spacing w:line="240" w:lineRule="auto"/>
        <w:rPr>
          <w:sz w:val="20"/>
        </w:rPr>
      </w:pPr>
      <w:r w:rsidRPr="005A6D53">
        <w:rPr>
          <w:sz w:val="20"/>
        </w:rPr>
        <w:t>Ann Arbor, MI 48106-1248</w:t>
      </w:r>
    </w:p>
    <w:p w:rsidR="008478A9" w:rsidRPr="005A6D53" w:rsidRDefault="008478A9" w:rsidP="005A6D53">
      <w:pPr>
        <w:pStyle w:val="SL-FlLftSgl"/>
        <w:keepNext/>
        <w:keepLines/>
        <w:spacing w:line="240" w:lineRule="auto"/>
        <w:rPr>
          <w:sz w:val="20"/>
        </w:rPr>
      </w:pPr>
      <w:r w:rsidRPr="005A6D53">
        <w:rPr>
          <w:sz w:val="20"/>
        </w:rPr>
        <w:t>Tel: 734-764-8365</w:t>
      </w:r>
    </w:p>
    <w:p w:rsidR="008478A9" w:rsidRPr="005A6D53" w:rsidRDefault="008478A9" w:rsidP="005A6D53">
      <w:pPr>
        <w:pStyle w:val="SL-FlLftSgl"/>
        <w:spacing w:line="240" w:lineRule="auto"/>
        <w:rPr>
          <w:sz w:val="20"/>
        </w:rPr>
      </w:pPr>
      <w:r w:rsidRPr="005A6D53">
        <w:rPr>
          <w:sz w:val="20"/>
        </w:rPr>
        <w:t xml:space="preserve">E-mail: </w:t>
      </w:r>
      <w:hyperlink r:id="rId22" w:history="1">
        <w:r w:rsidRPr="005A6D53">
          <w:rPr>
            <w:rStyle w:val="Hyperlink"/>
            <w:sz w:val="20"/>
          </w:rPr>
          <w:t>bgroves@isr.umich.edu</w:t>
        </w:r>
      </w:hyperlink>
    </w:p>
    <w:p w:rsidR="005A6D53" w:rsidRPr="005A6D53" w:rsidRDefault="005A6D53" w:rsidP="005A6D53">
      <w:pPr>
        <w:pStyle w:val="SU-FlLftUndln"/>
        <w:spacing w:line="240" w:lineRule="auto"/>
        <w:rPr>
          <w:b/>
          <w:sz w:val="20"/>
        </w:rPr>
      </w:pPr>
    </w:p>
    <w:p w:rsidR="008478A9" w:rsidRPr="005A6D53" w:rsidRDefault="008478A9" w:rsidP="005A6D53">
      <w:pPr>
        <w:pStyle w:val="SL-FlLftSgl"/>
        <w:keepNext/>
        <w:keepLines/>
        <w:spacing w:line="240" w:lineRule="auto"/>
        <w:rPr>
          <w:b/>
          <w:sz w:val="20"/>
        </w:rPr>
      </w:pPr>
      <w:r w:rsidRPr="005A6D53">
        <w:rPr>
          <w:b/>
          <w:sz w:val="20"/>
        </w:rPr>
        <w:t>Scott Keeter</w:t>
      </w:r>
    </w:p>
    <w:p w:rsidR="008478A9" w:rsidRPr="005A6D53" w:rsidRDefault="008478A9" w:rsidP="005A6D53">
      <w:pPr>
        <w:pStyle w:val="SL-FlLftSgl"/>
        <w:keepNext/>
        <w:keepLines/>
        <w:spacing w:line="240" w:lineRule="auto"/>
        <w:rPr>
          <w:bCs/>
          <w:sz w:val="20"/>
        </w:rPr>
      </w:pPr>
      <w:r w:rsidRPr="005A6D53">
        <w:rPr>
          <w:bCs/>
          <w:sz w:val="20"/>
        </w:rPr>
        <w:t xml:space="preserve">Pew Research Center </w:t>
      </w:r>
    </w:p>
    <w:p w:rsidR="008478A9" w:rsidRPr="005A6D53" w:rsidRDefault="008478A9" w:rsidP="005A6D53">
      <w:pPr>
        <w:pStyle w:val="SL-FlLftSgl"/>
        <w:keepNext/>
        <w:keepLines/>
        <w:spacing w:line="240" w:lineRule="auto"/>
        <w:rPr>
          <w:bCs/>
          <w:sz w:val="20"/>
        </w:rPr>
      </w:pPr>
      <w:r w:rsidRPr="005A6D53">
        <w:rPr>
          <w:bCs/>
          <w:sz w:val="20"/>
        </w:rPr>
        <w:t>1615 L. St. NW. Suite 700</w:t>
      </w:r>
    </w:p>
    <w:p w:rsidR="008478A9" w:rsidRPr="005A6D53" w:rsidRDefault="008478A9" w:rsidP="005A6D53">
      <w:pPr>
        <w:pStyle w:val="SL-FlLftSgl"/>
        <w:keepNext/>
        <w:keepLines/>
        <w:spacing w:line="240" w:lineRule="auto"/>
        <w:rPr>
          <w:bCs/>
          <w:sz w:val="20"/>
        </w:rPr>
      </w:pPr>
      <w:r w:rsidRPr="005A6D53">
        <w:rPr>
          <w:bCs/>
          <w:sz w:val="20"/>
        </w:rPr>
        <w:t>Washington, DC 20036</w:t>
      </w:r>
    </w:p>
    <w:p w:rsidR="008478A9" w:rsidRPr="005A6D53" w:rsidRDefault="008478A9" w:rsidP="005A6D53">
      <w:pPr>
        <w:pStyle w:val="SL-FlLftSgl"/>
        <w:keepNext/>
        <w:keepLines/>
        <w:spacing w:line="240" w:lineRule="auto"/>
        <w:rPr>
          <w:bCs/>
          <w:sz w:val="20"/>
        </w:rPr>
      </w:pPr>
      <w:r w:rsidRPr="005A6D53">
        <w:rPr>
          <w:bCs/>
          <w:sz w:val="20"/>
        </w:rPr>
        <w:t>Tel: 202-419-4362</w:t>
      </w:r>
    </w:p>
    <w:p w:rsidR="008478A9" w:rsidRPr="005A6D53" w:rsidRDefault="008478A9" w:rsidP="005A6D53">
      <w:pPr>
        <w:pStyle w:val="SL-FlLftSgl"/>
        <w:spacing w:line="240" w:lineRule="auto"/>
        <w:rPr>
          <w:bCs/>
          <w:sz w:val="20"/>
        </w:rPr>
      </w:pPr>
      <w:r w:rsidRPr="005A6D53">
        <w:rPr>
          <w:bCs/>
          <w:sz w:val="20"/>
        </w:rPr>
        <w:t xml:space="preserve">E-mail: </w:t>
      </w:r>
      <w:hyperlink r:id="rId23" w:history="1">
        <w:r w:rsidRPr="005A6D53">
          <w:rPr>
            <w:rStyle w:val="Hyperlink"/>
            <w:bCs/>
            <w:sz w:val="20"/>
          </w:rPr>
          <w:t>skeeter@pewresearch.org</w:t>
        </w:r>
      </w:hyperlink>
    </w:p>
    <w:p w:rsidR="005A6D53" w:rsidRPr="005A6D53" w:rsidRDefault="005A6D53" w:rsidP="005A6D53">
      <w:pPr>
        <w:pStyle w:val="SU-FlLftUndln"/>
        <w:spacing w:line="240" w:lineRule="auto"/>
        <w:rPr>
          <w:b/>
          <w:sz w:val="20"/>
        </w:rPr>
      </w:pPr>
    </w:p>
    <w:p w:rsidR="008478A9" w:rsidRPr="005A6D53" w:rsidRDefault="008478A9" w:rsidP="005A6D53">
      <w:pPr>
        <w:pStyle w:val="SL-FlLftSgl"/>
        <w:keepNext/>
        <w:keepLines/>
        <w:spacing w:line="240" w:lineRule="auto"/>
        <w:rPr>
          <w:b/>
          <w:sz w:val="20"/>
        </w:rPr>
      </w:pPr>
      <w:r w:rsidRPr="005A6D53">
        <w:rPr>
          <w:b/>
          <w:sz w:val="20"/>
        </w:rPr>
        <w:t>Kristen Olsen</w:t>
      </w:r>
    </w:p>
    <w:p w:rsidR="008478A9" w:rsidRPr="005A6D53" w:rsidRDefault="008478A9" w:rsidP="005A6D53">
      <w:pPr>
        <w:pStyle w:val="SL-FlLftSgl"/>
        <w:keepNext/>
        <w:keepLines/>
        <w:spacing w:line="240" w:lineRule="auto"/>
        <w:rPr>
          <w:sz w:val="20"/>
        </w:rPr>
      </w:pPr>
      <w:r w:rsidRPr="005A6D53">
        <w:rPr>
          <w:sz w:val="20"/>
        </w:rPr>
        <w:t>Survey Research and Methodology</w:t>
      </w:r>
    </w:p>
    <w:p w:rsidR="008478A9" w:rsidRPr="005A6D53" w:rsidRDefault="008478A9" w:rsidP="005A6D53">
      <w:pPr>
        <w:pStyle w:val="SL-FlLftSgl"/>
        <w:keepNext/>
        <w:keepLines/>
        <w:spacing w:line="240" w:lineRule="auto"/>
        <w:rPr>
          <w:sz w:val="20"/>
        </w:rPr>
      </w:pPr>
      <w:r w:rsidRPr="005A6D53">
        <w:rPr>
          <w:sz w:val="20"/>
        </w:rPr>
        <w:t>University of Nebraska-Lincoln</w:t>
      </w:r>
    </w:p>
    <w:p w:rsidR="008478A9" w:rsidRPr="005A6D53" w:rsidRDefault="008478A9" w:rsidP="005A6D53">
      <w:pPr>
        <w:pStyle w:val="SL-FlLftSgl"/>
        <w:keepNext/>
        <w:keepLines/>
        <w:spacing w:line="240" w:lineRule="auto"/>
        <w:rPr>
          <w:sz w:val="20"/>
        </w:rPr>
      </w:pPr>
      <w:r w:rsidRPr="005A6D53">
        <w:rPr>
          <w:sz w:val="20"/>
        </w:rPr>
        <w:t>201 N. 13th St.</w:t>
      </w:r>
    </w:p>
    <w:p w:rsidR="008478A9" w:rsidRPr="005A6D53" w:rsidRDefault="008478A9" w:rsidP="005A6D53">
      <w:pPr>
        <w:pStyle w:val="SL-FlLftSgl"/>
        <w:keepNext/>
        <w:keepLines/>
        <w:spacing w:line="240" w:lineRule="auto"/>
        <w:rPr>
          <w:color w:val="333333"/>
          <w:sz w:val="20"/>
        </w:rPr>
      </w:pPr>
      <w:r w:rsidRPr="005A6D53">
        <w:rPr>
          <w:sz w:val="20"/>
        </w:rPr>
        <w:t>Lincoln, NE 68588-0241</w:t>
      </w:r>
    </w:p>
    <w:p w:rsidR="008478A9" w:rsidRPr="005A6D53" w:rsidRDefault="008478A9" w:rsidP="005A6D53">
      <w:pPr>
        <w:pStyle w:val="SL-FlLftSgl"/>
        <w:keepNext/>
        <w:keepLines/>
        <w:spacing w:line="240" w:lineRule="auto"/>
        <w:rPr>
          <w:color w:val="333333"/>
          <w:sz w:val="20"/>
        </w:rPr>
      </w:pPr>
      <w:r w:rsidRPr="005A6D53">
        <w:rPr>
          <w:color w:val="333333"/>
          <w:sz w:val="20"/>
        </w:rPr>
        <w:t>Tel: 402-472-7737</w:t>
      </w:r>
    </w:p>
    <w:p w:rsidR="008478A9" w:rsidRPr="005A6D53" w:rsidRDefault="008478A9" w:rsidP="005A6D53">
      <w:pPr>
        <w:pStyle w:val="SL-FlLftSgl"/>
        <w:spacing w:line="240" w:lineRule="auto"/>
        <w:rPr>
          <w:sz w:val="20"/>
          <w:lang w:val="fr-FR"/>
        </w:rPr>
      </w:pPr>
      <w:r w:rsidRPr="005A6D53">
        <w:rPr>
          <w:color w:val="333333"/>
          <w:sz w:val="20"/>
          <w:lang w:val="fr-FR"/>
        </w:rPr>
        <w:t xml:space="preserve">E-mail: </w:t>
      </w:r>
      <w:hyperlink r:id="rId24" w:history="1">
        <w:r w:rsidRPr="005A6D53">
          <w:rPr>
            <w:rStyle w:val="Hyperlink"/>
            <w:sz w:val="20"/>
            <w:lang w:val="fr-FR"/>
          </w:rPr>
          <w:t>kolson5@unl.edu</w:t>
        </w:r>
      </w:hyperlink>
    </w:p>
    <w:p w:rsidR="005A6D53" w:rsidRPr="005A6D53" w:rsidRDefault="005A6D53" w:rsidP="005A6D53">
      <w:pPr>
        <w:pStyle w:val="SU-FlLftUndln"/>
        <w:spacing w:line="240" w:lineRule="auto"/>
        <w:rPr>
          <w:b/>
          <w:sz w:val="20"/>
        </w:rPr>
      </w:pPr>
    </w:p>
    <w:p w:rsidR="008478A9" w:rsidRPr="005A6D53" w:rsidRDefault="008478A9" w:rsidP="005A6D53">
      <w:pPr>
        <w:pStyle w:val="SL-FlLftSgl"/>
        <w:keepNext/>
        <w:keepLines/>
        <w:spacing w:line="240" w:lineRule="auto"/>
        <w:rPr>
          <w:b/>
          <w:sz w:val="20"/>
          <w:lang w:val="fr-FR"/>
        </w:rPr>
      </w:pPr>
      <w:r w:rsidRPr="005A6D53">
        <w:rPr>
          <w:b/>
          <w:sz w:val="20"/>
          <w:lang w:val="fr-FR"/>
        </w:rPr>
        <w:t>Roger Tourangeau</w:t>
      </w:r>
    </w:p>
    <w:p w:rsidR="008478A9" w:rsidRPr="005A6D53" w:rsidRDefault="008478A9" w:rsidP="005A6D53">
      <w:pPr>
        <w:pStyle w:val="SL-FlLftSgl"/>
        <w:keepNext/>
        <w:keepLines/>
        <w:spacing w:line="240" w:lineRule="auto"/>
        <w:rPr>
          <w:sz w:val="20"/>
        </w:rPr>
      </w:pPr>
      <w:r w:rsidRPr="005A6D53">
        <w:rPr>
          <w:sz w:val="20"/>
        </w:rPr>
        <w:t>Joint Program in Survey Methodology</w:t>
      </w:r>
    </w:p>
    <w:p w:rsidR="008478A9" w:rsidRPr="005A6D53" w:rsidRDefault="008478A9" w:rsidP="005A6D53">
      <w:pPr>
        <w:pStyle w:val="SL-FlLftSgl"/>
        <w:keepNext/>
        <w:keepLines/>
        <w:spacing w:line="240" w:lineRule="auto"/>
        <w:rPr>
          <w:sz w:val="20"/>
        </w:rPr>
      </w:pPr>
      <w:r w:rsidRPr="005A6D53">
        <w:rPr>
          <w:sz w:val="20"/>
        </w:rPr>
        <w:t xml:space="preserve">University of Maryland </w:t>
      </w:r>
    </w:p>
    <w:p w:rsidR="008478A9" w:rsidRPr="005A6D53" w:rsidRDefault="008478A9" w:rsidP="005A6D53">
      <w:pPr>
        <w:pStyle w:val="SL-FlLftSgl"/>
        <w:keepNext/>
        <w:keepLines/>
        <w:spacing w:line="240" w:lineRule="auto"/>
        <w:rPr>
          <w:sz w:val="20"/>
        </w:rPr>
      </w:pPr>
      <w:r w:rsidRPr="005A6D53">
        <w:rPr>
          <w:sz w:val="20"/>
        </w:rPr>
        <w:t>1218 LeFrak Hall, University of Maryland</w:t>
      </w:r>
    </w:p>
    <w:p w:rsidR="008478A9" w:rsidRPr="005A6D53" w:rsidRDefault="008478A9" w:rsidP="005A6D53">
      <w:pPr>
        <w:pStyle w:val="SL-FlLftSgl"/>
        <w:keepNext/>
        <w:keepLines/>
        <w:spacing w:line="240" w:lineRule="auto"/>
        <w:rPr>
          <w:sz w:val="20"/>
        </w:rPr>
      </w:pPr>
      <w:r w:rsidRPr="005A6D53">
        <w:rPr>
          <w:sz w:val="20"/>
        </w:rPr>
        <w:t>College Park, MD 20742</w:t>
      </w:r>
    </w:p>
    <w:p w:rsidR="008478A9" w:rsidRPr="005A6D53" w:rsidRDefault="008478A9" w:rsidP="005A6D53">
      <w:pPr>
        <w:pStyle w:val="SL-FlLftSgl"/>
        <w:keepNext/>
        <w:keepLines/>
        <w:spacing w:line="240" w:lineRule="auto"/>
        <w:rPr>
          <w:sz w:val="20"/>
        </w:rPr>
      </w:pPr>
      <w:r w:rsidRPr="005A6D53">
        <w:rPr>
          <w:sz w:val="20"/>
        </w:rPr>
        <w:t>Tel: 240-595-0057</w:t>
      </w:r>
    </w:p>
    <w:p w:rsidR="008478A9" w:rsidRPr="005A6D53" w:rsidRDefault="008478A9" w:rsidP="005A6D53">
      <w:pPr>
        <w:pStyle w:val="SL-FlLftSgl"/>
        <w:spacing w:line="240" w:lineRule="auto"/>
        <w:rPr>
          <w:sz w:val="20"/>
        </w:rPr>
      </w:pPr>
      <w:r w:rsidRPr="005A6D53">
        <w:rPr>
          <w:sz w:val="20"/>
        </w:rPr>
        <w:t xml:space="preserve">E-mail: </w:t>
      </w:r>
      <w:hyperlink r:id="rId25" w:history="1">
        <w:r w:rsidRPr="005A6D53">
          <w:rPr>
            <w:rStyle w:val="Hyperlink"/>
            <w:sz w:val="20"/>
          </w:rPr>
          <w:t>RTourango@survey.umd.edu</w:t>
        </w:r>
      </w:hyperlink>
    </w:p>
    <w:p w:rsidR="005A6D53" w:rsidRPr="005A6D53" w:rsidRDefault="005A6D53" w:rsidP="005A6D53">
      <w:pPr>
        <w:pStyle w:val="SU-FlLftUndln"/>
        <w:spacing w:line="240" w:lineRule="auto"/>
        <w:rPr>
          <w:b/>
          <w:sz w:val="20"/>
        </w:rPr>
      </w:pPr>
    </w:p>
    <w:p w:rsidR="008478A9" w:rsidRPr="005A6D53" w:rsidRDefault="008478A9" w:rsidP="005A6D53">
      <w:pPr>
        <w:pStyle w:val="SL-FlLftSgl"/>
        <w:keepNext/>
        <w:keepLines/>
        <w:spacing w:line="240" w:lineRule="auto"/>
        <w:rPr>
          <w:b/>
          <w:sz w:val="20"/>
        </w:rPr>
      </w:pPr>
      <w:r w:rsidRPr="005A6D53">
        <w:rPr>
          <w:b/>
          <w:sz w:val="20"/>
        </w:rPr>
        <w:t>Gordon Willis</w:t>
      </w:r>
    </w:p>
    <w:p w:rsidR="008478A9" w:rsidRPr="005A6D53" w:rsidRDefault="008478A9" w:rsidP="005A6D53">
      <w:pPr>
        <w:pStyle w:val="SL-FlLftSgl"/>
        <w:keepNext/>
        <w:keepLines/>
        <w:spacing w:line="240" w:lineRule="auto"/>
        <w:rPr>
          <w:sz w:val="20"/>
        </w:rPr>
      </w:pPr>
      <w:r w:rsidRPr="005A6D53">
        <w:rPr>
          <w:sz w:val="20"/>
        </w:rPr>
        <w:t>Division of Cancer Control / Population Sciences</w:t>
      </w:r>
    </w:p>
    <w:p w:rsidR="008478A9" w:rsidRPr="005A6D53" w:rsidRDefault="008478A9" w:rsidP="005A6D53">
      <w:pPr>
        <w:pStyle w:val="SL-FlLftSgl"/>
        <w:keepNext/>
        <w:keepLines/>
        <w:spacing w:line="240" w:lineRule="auto"/>
        <w:rPr>
          <w:sz w:val="20"/>
        </w:rPr>
      </w:pPr>
      <w:r w:rsidRPr="005A6D53">
        <w:rPr>
          <w:sz w:val="20"/>
        </w:rPr>
        <w:t>National Cancer Institute</w:t>
      </w:r>
    </w:p>
    <w:p w:rsidR="008478A9" w:rsidRPr="005A6D53" w:rsidRDefault="008478A9" w:rsidP="005A6D53">
      <w:pPr>
        <w:pStyle w:val="SL-FlLftSgl"/>
        <w:keepNext/>
        <w:keepLines/>
        <w:spacing w:line="240" w:lineRule="auto"/>
        <w:rPr>
          <w:sz w:val="20"/>
        </w:rPr>
      </w:pPr>
      <w:r w:rsidRPr="005A6D53">
        <w:rPr>
          <w:sz w:val="20"/>
        </w:rPr>
        <w:t>6130 Executive Blvd, MSC 7344, EPN 4005</w:t>
      </w:r>
    </w:p>
    <w:p w:rsidR="008478A9" w:rsidRPr="005A6D53" w:rsidRDefault="008478A9" w:rsidP="005A6D53">
      <w:pPr>
        <w:pStyle w:val="SL-FlLftSgl"/>
        <w:keepNext/>
        <w:keepLines/>
        <w:spacing w:line="240" w:lineRule="auto"/>
        <w:rPr>
          <w:sz w:val="20"/>
        </w:rPr>
      </w:pPr>
      <w:r w:rsidRPr="005A6D53">
        <w:rPr>
          <w:sz w:val="20"/>
        </w:rPr>
        <w:t>Bethesda, MD 20892-7344</w:t>
      </w:r>
    </w:p>
    <w:p w:rsidR="008478A9" w:rsidRPr="005A6D53" w:rsidRDefault="008478A9" w:rsidP="005A6D53">
      <w:pPr>
        <w:pStyle w:val="SL-FlLftSgl"/>
        <w:keepNext/>
        <w:keepLines/>
        <w:spacing w:line="240" w:lineRule="auto"/>
        <w:rPr>
          <w:sz w:val="20"/>
        </w:rPr>
      </w:pPr>
      <w:r w:rsidRPr="005A6D53">
        <w:rPr>
          <w:sz w:val="20"/>
        </w:rPr>
        <w:t>Tel: 301-594-6652</w:t>
      </w:r>
    </w:p>
    <w:p w:rsidR="008478A9" w:rsidRPr="005A6D53" w:rsidRDefault="008478A9" w:rsidP="005A6D53">
      <w:pPr>
        <w:pStyle w:val="SL-FlLftSgl"/>
        <w:spacing w:line="240" w:lineRule="auto"/>
        <w:rPr>
          <w:sz w:val="20"/>
        </w:rPr>
      </w:pPr>
      <w:r w:rsidRPr="005A6D53">
        <w:rPr>
          <w:sz w:val="20"/>
        </w:rPr>
        <w:t xml:space="preserve">E-mail: </w:t>
      </w:r>
      <w:hyperlink r:id="rId26" w:history="1">
        <w:r w:rsidRPr="005A6D53">
          <w:rPr>
            <w:rStyle w:val="Hyperlink"/>
            <w:sz w:val="20"/>
          </w:rPr>
          <w:t>willisg@mail.nih.gov</w:t>
        </w:r>
      </w:hyperlink>
    </w:p>
    <w:p w:rsidR="008C3E6E" w:rsidRDefault="008C3E6E" w:rsidP="004A672C">
      <w:pPr>
        <w:pStyle w:val="P1-StandPara"/>
        <w:sectPr w:rsidR="008C3E6E" w:rsidSect="000C6BCB">
          <w:type w:val="continuous"/>
          <w:pgSz w:w="12240" w:h="15840"/>
          <w:pgMar w:top="1008" w:right="1008" w:bottom="1008" w:left="1008" w:header="720" w:footer="576" w:gutter="0"/>
          <w:cols w:num="2" w:space="720"/>
          <w:titlePg/>
          <w:docGrid w:linePitch="360"/>
        </w:sectPr>
      </w:pPr>
    </w:p>
    <w:p w:rsidR="008478A9" w:rsidRDefault="008478A9" w:rsidP="004A672C">
      <w:pPr>
        <w:pStyle w:val="P1-StandPara"/>
      </w:pPr>
    </w:p>
    <w:p w:rsidR="008478A9" w:rsidRDefault="008478A9" w:rsidP="007C3889">
      <w:pPr>
        <w:pStyle w:val="Heading4"/>
        <w:spacing w:after="240" w:line="240" w:lineRule="auto"/>
        <w:ind w:left="0" w:firstLine="0"/>
      </w:pPr>
      <w:r>
        <w:tab/>
        <w:t>Content Area Experts</w:t>
      </w:r>
    </w:p>
    <w:p w:rsidR="008478A9" w:rsidRDefault="008478A9" w:rsidP="007C3889">
      <w:pPr>
        <w:pStyle w:val="P1-StandPara"/>
        <w:spacing w:line="23" w:lineRule="atLeast"/>
      </w:pPr>
      <w:r>
        <w:t xml:space="preserve">The content of the </w:t>
      </w:r>
      <w:r w:rsidR="00813D6F">
        <w:t xml:space="preserve">ASPA topical survey </w:t>
      </w:r>
      <w:r>
        <w:t xml:space="preserve">repeats, to a great extent, the content developed for previous NHES administrations. As a result, the </w:t>
      </w:r>
      <w:r w:rsidR="00813D6F">
        <w:t>ASPA</w:t>
      </w:r>
      <w:r w:rsidR="00401B03">
        <w:t xml:space="preserve"> </w:t>
      </w:r>
      <w:r>
        <w:t>survey reflect</w:t>
      </w:r>
      <w:r w:rsidR="00813D6F">
        <w:t>s</w:t>
      </w:r>
      <w:r>
        <w:t xml:space="preserve"> the cumulative input of many experts in the field and past NHES Technical Review Panels. In order to ensure that the </w:t>
      </w:r>
      <w:r w:rsidR="00813D6F">
        <w:t>ASPA</w:t>
      </w:r>
      <w:r>
        <w:t xml:space="preserve"> address</w:t>
      </w:r>
      <w:r w:rsidR="00813D6F">
        <w:t>es</w:t>
      </w:r>
      <w:r>
        <w:t xml:space="preserve"> important issues in the topical areas of interest and incorporate</w:t>
      </w:r>
      <w:r w:rsidR="00813D6F">
        <w:t>s</w:t>
      </w:r>
      <w:r>
        <w:t xml:space="preserve"> important emerging issues, the design phase of the study included consultations with experts in the substantive areas addressed in the surveys. These experts included persons</w:t>
      </w:r>
      <w:r w:rsidR="003F06D3">
        <w:t xml:space="preserve"> in academe</w:t>
      </w:r>
      <w:r>
        <w:t xml:space="preserve"> and research organizations. </w:t>
      </w:r>
    </w:p>
    <w:p w:rsidR="000C6BCB" w:rsidRDefault="000C6BCB">
      <w:pPr>
        <w:spacing w:line="240" w:lineRule="auto"/>
        <w:jc w:val="left"/>
        <w:rPr>
          <w:b/>
          <w:u w:val="single"/>
        </w:rPr>
      </w:pPr>
      <w:bookmarkStart w:id="16" w:name="_Toc61176385"/>
    </w:p>
    <w:p w:rsidR="008478A9" w:rsidRPr="00D97038" w:rsidRDefault="008478A9" w:rsidP="004A672C">
      <w:pPr>
        <w:pStyle w:val="SU-FlLftUndln"/>
        <w:rPr>
          <w:b/>
        </w:rPr>
      </w:pPr>
      <w:r w:rsidRPr="00D97038">
        <w:rPr>
          <w:b/>
        </w:rPr>
        <w:t xml:space="preserve">Substantive Experts: </w:t>
      </w:r>
      <w:r w:rsidR="006264B3">
        <w:rPr>
          <w:b/>
        </w:rPr>
        <w:t xml:space="preserve">ASPA </w:t>
      </w:r>
      <w:r>
        <w:rPr>
          <w:b/>
        </w:rPr>
        <w:t>and Their Affiliation at the Time of TRP Recruitment</w:t>
      </w:r>
    </w:p>
    <w:p w:rsidR="008478A9" w:rsidRPr="00D97038" w:rsidRDefault="008478A9" w:rsidP="004A672C">
      <w:pPr>
        <w:pStyle w:val="SU-FlLftUndln"/>
        <w:rPr>
          <w:b/>
        </w:rPr>
      </w:pPr>
    </w:p>
    <w:p w:rsidR="008C3E6E" w:rsidRDefault="008C3E6E" w:rsidP="004A672C">
      <w:pPr>
        <w:pStyle w:val="SL-FlLftSgl"/>
        <w:keepNext/>
        <w:keepLines/>
        <w:rPr>
          <w:b/>
          <w:szCs w:val="22"/>
        </w:rPr>
        <w:sectPr w:rsidR="008C3E6E" w:rsidSect="000C6BCB">
          <w:type w:val="continuous"/>
          <w:pgSz w:w="12240" w:h="15840"/>
          <w:pgMar w:top="1008" w:right="1008" w:bottom="1008" w:left="1008" w:header="720" w:footer="576" w:gutter="0"/>
          <w:cols w:space="720"/>
          <w:titlePg/>
          <w:docGrid w:linePitch="360"/>
        </w:sectPr>
      </w:pPr>
    </w:p>
    <w:p w:rsidR="008478A9" w:rsidRPr="00BC4EA9" w:rsidRDefault="00D162E7" w:rsidP="005B0571">
      <w:pPr>
        <w:pStyle w:val="SL-FlLftSgl"/>
        <w:keepNext/>
        <w:keepLines/>
        <w:jc w:val="left"/>
        <w:rPr>
          <w:b/>
          <w:sz w:val="20"/>
        </w:rPr>
      </w:pPr>
      <w:r w:rsidRPr="00BC4EA9">
        <w:rPr>
          <w:b/>
          <w:sz w:val="20"/>
        </w:rPr>
        <w:lastRenderedPageBreak/>
        <w:t>Nancy L. Deutsch - University of Virginia</w:t>
      </w:r>
    </w:p>
    <w:p w:rsidR="00291860" w:rsidRPr="00BC4EA9" w:rsidRDefault="00291860" w:rsidP="005B0571">
      <w:pPr>
        <w:pStyle w:val="SL-FlLftSgl"/>
        <w:keepNext/>
        <w:keepLines/>
        <w:jc w:val="left"/>
        <w:rPr>
          <w:sz w:val="20"/>
        </w:rPr>
      </w:pPr>
      <w:r w:rsidRPr="00BC4EA9">
        <w:rPr>
          <w:sz w:val="20"/>
        </w:rPr>
        <w:t>Department of Leadership, Foundations, and Policy</w:t>
      </w:r>
    </w:p>
    <w:p w:rsidR="008478A9" w:rsidRPr="00BC4EA9" w:rsidRDefault="008478A9" w:rsidP="005B0571">
      <w:pPr>
        <w:pStyle w:val="SL-FlLftSgl"/>
        <w:jc w:val="left"/>
        <w:rPr>
          <w:b/>
          <w:sz w:val="20"/>
        </w:rPr>
      </w:pPr>
    </w:p>
    <w:p w:rsidR="008478A9" w:rsidRPr="00BC4EA9" w:rsidRDefault="00D162E7" w:rsidP="005B0571">
      <w:pPr>
        <w:pStyle w:val="SL-FlLftSgl"/>
        <w:keepNext/>
        <w:keepLines/>
        <w:jc w:val="left"/>
        <w:rPr>
          <w:sz w:val="20"/>
        </w:rPr>
      </w:pPr>
      <w:r w:rsidRPr="00BC4EA9">
        <w:rPr>
          <w:b/>
          <w:sz w:val="20"/>
        </w:rPr>
        <w:t>Jean Grossman</w:t>
      </w:r>
      <w:r w:rsidR="008478A9" w:rsidRPr="00BC4EA9">
        <w:rPr>
          <w:b/>
          <w:sz w:val="20"/>
        </w:rPr>
        <w:t xml:space="preserve"> </w:t>
      </w:r>
      <w:r w:rsidR="005B0571" w:rsidRPr="00BC4EA9">
        <w:rPr>
          <w:b/>
          <w:sz w:val="20"/>
        </w:rPr>
        <w:t>-</w:t>
      </w:r>
      <w:r w:rsidR="008478A9" w:rsidRPr="00BC4EA9">
        <w:rPr>
          <w:b/>
          <w:sz w:val="20"/>
        </w:rPr>
        <w:t xml:space="preserve"> </w:t>
      </w:r>
      <w:r w:rsidRPr="00BC4EA9">
        <w:rPr>
          <w:b/>
          <w:sz w:val="20"/>
        </w:rPr>
        <w:t>Princeton University</w:t>
      </w:r>
    </w:p>
    <w:p w:rsidR="000D2D4C" w:rsidRPr="00BC4EA9" w:rsidRDefault="000D2D4C" w:rsidP="005B0571">
      <w:pPr>
        <w:pStyle w:val="SL-FlLftSgl"/>
        <w:keepNext/>
        <w:keepLines/>
        <w:jc w:val="left"/>
        <w:rPr>
          <w:sz w:val="20"/>
        </w:rPr>
      </w:pPr>
      <w:r w:rsidRPr="00BC4EA9">
        <w:rPr>
          <w:sz w:val="20"/>
        </w:rPr>
        <w:t>Office of Population Research</w:t>
      </w:r>
    </w:p>
    <w:p w:rsidR="00AB73C6" w:rsidRPr="00BC4EA9" w:rsidRDefault="00AB73C6" w:rsidP="005B0571">
      <w:pPr>
        <w:pStyle w:val="SL-FlLftSgl"/>
        <w:jc w:val="left"/>
        <w:rPr>
          <w:b/>
          <w:sz w:val="20"/>
          <w:shd w:val="clear" w:color="auto" w:fill="F5F5F5"/>
        </w:rPr>
      </w:pPr>
    </w:p>
    <w:p w:rsidR="00B01A63" w:rsidRPr="00BC4EA9" w:rsidRDefault="0010679E" w:rsidP="005B0571">
      <w:pPr>
        <w:pStyle w:val="SL-FlLftSgl"/>
        <w:jc w:val="left"/>
        <w:rPr>
          <w:b/>
          <w:sz w:val="20"/>
        </w:rPr>
      </w:pPr>
      <w:r w:rsidRPr="00BC4EA9">
        <w:rPr>
          <w:b/>
          <w:sz w:val="20"/>
        </w:rPr>
        <w:t>Gwynn Hughes</w:t>
      </w:r>
      <w:r w:rsidR="005B0571" w:rsidRPr="00BC4EA9">
        <w:rPr>
          <w:b/>
          <w:sz w:val="20"/>
        </w:rPr>
        <w:t xml:space="preserve"> </w:t>
      </w:r>
      <w:r w:rsidRPr="00BC4EA9">
        <w:rPr>
          <w:b/>
          <w:sz w:val="20"/>
        </w:rPr>
        <w:t>- Charles Stewart Mott Foundation</w:t>
      </w:r>
    </w:p>
    <w:p w:rsidR="00D87E77" w:rsidRPr="00BC4EA9" w:rsidRDefault="00D87E77" w:rsidP="005B0571">
      <w:pPr>
        <w:pStyle w:val="SL-FlLftSgl"/>
        <w:jc w:val="left"/>
        <w:rPr>
          <w:b/>
          <w:sz w:val="20"/>
        </w:rPr>
      </w:pPr>
    </w:p>
    <w:p w:rsidR="00B01A63" w:rsidRPr="00BC4EA9" w:rsidRDefault="00B01A63" w:rsidP="005B0571">
      <w:pPr>
        <w:pStyle w:val="SL-FlLftSgl"/>
        <w:jc w:val="left"/>
        <w:rPr>
          <w:sz w:val="20"/>
        </w:rPr>
      </w:pPr>
      <w:r w:rsidRPr="00BC4EA9">
        <w:rPr>
          <w:b/>
          <w:sz w:val="20"/>
        </w:rPr>
        <w:t>Terry Peterson - Afterschool and Community Learning Network</w:t>
      </w:r>
    </w:p>
    <w:p w:rsidR="00B920F2" w:rsidRPr="00BC4EA9" w:rsidRDefault="00B920F2" w:rsidP="005B0571">
      <w:pPr>
        <w:jc w:val="left"/>
        <w:rPr>
          <w:b/>
          <w:sz w:val="20"/>
        </w:rPr>
      </w:pPr>
    </w:p>
    <w:p w:rsidR="000D2D4C" w:rsidRPr="00BC4EA9" w:rsidRDefault="000D2D4C" w:rsidP="005B0571">
      <w:pPr>
        <w:jc w:val="left"/>
        <w:rPr>
          <w:b/>
          <w:sz w:val="20"/>
        </w:rPr>
      </w:pPr>
      <w:r w:rsidRPr="00BC4EA9">
        <w:rPr>
          <w:b/>
          <w:sz w:val="20"/>
        </w:rPr>
        <w:t xml:space="preserve">Jacquelynne Eccles </w:t>
      </w:r>
      <w:r w:rsidR="005B0571" w:rsidRPr="00BC4EA9">
        <w:rPr>
          <w:b/>
          <w:sz w:val="20"/>
        </w:rPr>
        <w:t>-</w:t>
      </w:r>
      <w:r w:rsidRPr="00BC4EA9">
        <w:rPr>
          <w:b/>
          <w:sz w:val="20"/>
        </w:rPr>
        <w:t xml:space="preserve"> University of Michigan</w:t>
      </w:r>
    </w:p>
    <w:p w:rsidR="000D2D4C" w:rsidRPr="00BC4EA9" w:rsidRDefault="00291860" w:rsidP="005B0571">
      <w:pPr>
        <w:jc w:val="left"/>
        <w:rPr>
          <w:sz w:val="20"/>
        </w:rPr>
      </w:pPr>
      <w:r w:rsidRPr="00BC4EA9">
        <w:rPr>
          <w:sz w:val="20"/>
        </w:rPr>
        <w:lastRenderedPageBreak/>
        <w:t>Institute for Social Research</w:t>
      </w:r>
    </w:p>
    <w:p w:rsidR="000D2D4C" w:rsidRPr="00BC4EA9" w:rsidRDefault="000D2D4C" w:rsidP="005B0571">
      <w:pPr>
        <w:jc w:val="left"/>
        <w:rPr>
          <w:b/>
          <w:sz w:val="20"/>
        </w:rPr>
      </w:pPr>
    </w:p>
    <w:p w:rsidR="000D2D4C" w:rsidRPr="00BC4EA9" w:rsidRDefault="00291860" w:rsidP="005B0571">
      <w:pPr>
        <w:jc w:val="left"/>
        <w:rPr>
          <w:b/>
          <w:sz w:val="20"/>
        </w:rPr>
      </w:pPr>
      <w:r w:rsidRPr="00BC4EA9">
        <w:rPr>
          <w:b/>
          <w:sz w:val="20"/>
        </w:rPr>
        <w:t>Georgia Hall - Wellesley College</w:t>
      </w:r>
    </w:p>
    <w:p w:rsidR="00291860" w:rsidRPr="00BC4EA9" w:rsidRDefault="00291860" w:rsidP="005B0571">
      <w:pPr>
        <w:jc w:val="left"/>
        <w:rPr>
          <w:sz w:val="20"/>
        </w:rPr>
      </w:pPr>
      <w:r w:rsidRPr="00BC4EA9">
        <w:rPr>
          <w:sz w:val="20"/>
        </w:rPr>
        <w:t>National Institute on Out-of-School Time (NIOST)</w:t>
      </w:r>
    </w:p>
    <w:p w:rsidR="00494323" w:rsidRPr="00BC4EA9" w:rsidRDefault="00494323" w:rsidP="005B0571">
      <w:pPr>
        <w:jc w:val="left"/>
        <w:rPr>
          <w:sz w:val="20"/>
          <w:shd w:val="clear" w:color="auto" w:fill="FFFFFF"/>
        </w:rPr>
      </w:pPr>
    </w:p>
    <w:p w:rsidR="008478A9" w:rsidRPr="00BC4EA9" w:rsidRDefault="008478A9" w:rsidP="005B0571">
      <w:pPr>
        <w:jc w:val="left"/>
        <w:rPr>
          <w:sz w:val="20"/>
        </w:rPr>
      </w:pPr>
      <w:r w:rsidRPr="00BC4EA9">
        <w:rPr>
          <w:b/>
          <w:sz w:val="20"/>
        </w:rPr>
        <w:t>R</w:t>
      </w:r>
      <w:r w:rsidR="00B33540" w:rsidRPr="00BC4EA9">
        <w:rPr>
          <w:b/>
          <w:sz w:val="20"/>
        </w:rPr>
        <w:t xml:space="preserve">obert Halpern </w:t>
      </w:r>
      <w:r w:rsidR="005B0571" w:rsidRPr="00BC4EA9">
        <w:rPr>
          <w:b/>
          <w:sz w:val="20"/>
        </w:rPr>
        <w:t>-</w:t>
      </w:r>
      <w:r w:rsidR="00B33540" w:rsidRPr="00BC4EA9">
        <w:rPr>
          <w:b/>
          <w:sz w:val="20"/>
        </w:rPr>
        <w:t xml:space="preserve"> Erikson Institute</w:t>
      </w:r>
      <w:r w:rsidRPr="00BC4EA9">
        <w:rPr>
          <w:b/>
          <w:sz w:val="20"/>
        </w:rPr>
        <w:t xml:space="preserve"> </w:t>
      </w:r>
    </w:p>
    <w:p w:rsidR="00B01A63" w:rsidRPr="00BC4EA9" w:rsidRDefault="00B01A63" w:rsidP="005B0571">
      <w:pPr>
        <w:jc w:val="left"/>
        <w:rPr>
          <w:b/>
          <w:sz w:val="20"/>
        </w:rPr>
      </w:pPr>
    </w:p>
    <w:p w:rsidR="00B01A63" w:rsidRPr="00BC4EA9" w:rsidRDefault="00B01A63" w:rsidP="005B0571">
      <w:pPr>
        <w:jc w:val="left"/>
        <w:rPr>
          <w:b/>
          <w:sz w:val="20"/>
        </w:rPr>
      </w:pPr>
      <w:r w:rsidRPr="00BC4EA9">
        <w:rPr>
          <w:b/>
          <w:sz w:val="20"/>
        </w:rPr>
        <w:t xml:space="preserve">Larry Suter </w:t>
      </w:r>
      <w:r w:rsidR="005B0571" w:rsidRPr="00BC4EA9">
        <w:rPr>
          <w:b/>
          <w:sz w:val="20"/>
        </w:rPr>
        <w:t>-</w:t>
      </w:r>
      <w:r w:rsidRPr="00BC4EA9">
        <w:rPr>
          <w:b/>
          <w:sz w:val="20"/>
        </w:rPr>
        <w:t xml:space="preserve"> </w:t>
      </w:r>
      <w:r w:rsidR="001511AF" w:rsidRPr="00BC4EA9">
        <w:rPr>
          <w:b/>
          <w:sz w:val="20"/>
        </w:rPr>
        <w:t>University of Michigan</w:t>
      </w:r>
    </w:p>
    <w:p w:rsidR="005A6D53" w:rsidRPr="00BC4EA9" w:rsidRDefault="005A6D53" w:rsidP="005B0571">
      <w:pPr>
        <w:jc w:val="left"/>
        <w:rPr>
          <w:b/>
          <w:sz w:val="20"/>
        </w:rPr>
      </w:pPr>
    </w:p>
    <w:p w:rsidR="005A6D53" w:rsidRPr="00BC4EA9" w:rsidRDefault="005A6D53" w:rsidP="005B0571">
      <w:pPr>
        <w:jc w:val="left"/>
        <w:rPr>
          <w:b/>
          <w:sz w:val="20"/>
        </w:rPr>
      </w:pPr>
      <w:r w:rsidRPr="00BC4EA9">
        <w:rPr>
          <w:b/>
          <w:sz w:val="20"/>
        </w:rPr>
        <w:t>Deborah Vandell - University of California, Irvine</w:t>
      </w:r>
    </w:p>
    <w:p w:rsidR="008478A9" w:rsidRDefault="008478A9" w:rsidP="00BA62B9"/>
    <w:p w:rsidR="000C6BCB" w:rsidRDefault="000C6BCB" w:rsidP="00BA62B9">
      <w:pPr>
        <w:sectPr w:rsidR="000C6BCB" w:rsidSect="000C6BCB">
          <w:type w:val="continuous"/>
          <w:pgSz w:w="12240" w:h="15840"/>
          <w:pgMar w:top="1008" w:right="1008" w:bottom="1008" w:left="1008" w:header="720" w:footer="576" w:gutter="0"/>
          <w:pgNumType w:start="1"/>
          <w:cols w:num="2" w:space="720"/>
          <w:titlePg/>
          <w:docGrid w:linePitch="360"/>
        </w:sectPr>
      </w:pPr>
    </w:p>
    <w:p w:rsidR="008478A9" w:rsidRPr="00B01A63" w:rsidRDefault="008478A9" w:rsidP="00B01A63">
      <w:pPr>
        <w:pStyle w:val="P1-StandPara"/>
        <w:ind w:firstLine="0"/>
        <w:rPr>
          <w:b/>
        </w:rPr>
      </w:pPr>
    </w:p>
    <w:p w:rsidR="001F689D" w:rsidRDefault="001F689D" w:rsidP="007C3889">
      <w:pPr>
        <w:pStyle w:val="P1-StandPara"/>
        <w:spacing w:line="23" w:lineRule="atLeast"/>
        <w:ind w:firstLine="1170"/>
        <w:jc w:val="left"/>
        <w:rPr>
          <w:sz w:val="24"/>
          <w:szCs w:val="24"/>
        </w:rPr>
      </w:pPr>
      <w:bookmarkStart w:id="17" w:name="_Toc222888894"/>
      <w:r>
        <w:rPr>
          <w:sz w:val="24"/>
          <w:szCs w:val="24"/>
        </w:rPr>
        <w:t>As noted above, the ATES component of the feasibility study is part of ongoing work guided by GEMEnA, which</w:t>
      </w:r>
      <w:r w:rsidRPr="00EF5457">
        <w:rPr>
          <w:sz w:val="24"/>
          <w:szCs w:val="24"/>
        </w:rPr>
        <w:t xml:space="preserve"> has met monthly since October 2009 and</w:t>
      </w:r>
      <w:r>
        <w:rPr>
          <w:sz w:val="24"/>
          <w:szCs w:val="24"/>
        </w:rPr>
        <w:t xml:space="preserve"> consist</w:t>
      </w:r>
      <w:r w:rsidR="005A4BAF">
        <w:rPr>
          <w:sz w:val="24"/>
          <w:szCs w:val="24"/>
        </w:rPr>
        <w:t>s</w:t>
      </w:r>
      <w:r w:rsidRPr="00EF5457">
        <w:rPr>
          <w:sz w:val="24"/>
          <w:szCs w:val="24"/>
        </w:rPr>
        <w:t xml:space="preserve"> of</w:t>
      </w:r>
      <w:r>
        <w:rPr>
          <w:sz w:val="24"/>
          <w:szCs w:val="24"/>
        </w:rPr>
        <w:t xml:space="preserve"> senior</w:t>
      </w:r>
      <w:r w:rsidRPr="00EF5457">
        <w:rPr>
          <w:sz w:val="24"/>
          <w:szCs w:val="24"/>
        </w:rPr>
        <w:t xml:space="preserve"> staff from the</w:t>
      </w:r>
      <w:r>
        <w:rPr>
          <w:sz w:val="24"/>
          <w:szCs w:val="24"/>
        </w:rPr>
        <w:t xml:space="preserve"> Bureau of the Census</w:t>
      </w:r>
      <w:r w:rsidRPr="00EF5457">
        <w:rPr>
          <w:sz w:val="24"/>
          <w:szCs w:val="24"/>
        </w:rPr>
        <w:t>, the Bureau of Labor Statistics,</w:t>
      </w:r>
      <w:r>
        <w:rPr>
          <w:sz w:val="24"/>
          <w:szCs w:val="24"/>
        </w:rPr>
        <w:t xml:space="preserve"> </w:t>
      </w:r>
      <w:r w:rsidRPr="00EF5457">
        <w:rPr>
          <w:sz w:val="24"/>
          <w:szCs w:val="24"/>
        </w:rPr>
        <w:t>the Council of Economic Advisors,</w:t>
      </w:r>
      <w:r>
        <w:rPr>
          <w:sz w:val="24"/>
          <w:szCs w:val="24"/>
        </w:rPr>
        <w:t xml:space="preserve"> the National Center for Education Statistics, the National </w:t>
      </w:r>
      <w:r w:rsidR="00535616">
        <w:rPr>
          <w:sz w:val="24"/>
          <w:szCs w:val="24"/>
        </w:rPr>
        <w:t xml:space="preserve">Center for </w:t>
      </w:r>
      <w:r>
        <w:rPr>
          <w:sz w:val="24"/>
          <w:szCs w:val="24"/>
        </w:rPr>
        <w:t>Science</w:t>
      </w:r>
      <w:r w:rsidR="00535616">
        <w:rPr>
          <w:sz w:val="24"/>
          <w:szCs w:val="24"/>
        </w:rPr>
        <w:t xml:space="preserve"> and Engineering Statistics</w:t>
      </w:r>
      <w:r>
        <w:rPr>
          <w:sz w:val="24"/>
          <w:szCs w:val="24"/>
        </w:rPr>
        <w:t>,</w:t>
      </w:r>
      <w:r w:rsidRPr="00EF5457">
        <w:rPr>
          <w:sz w:val="24"/>
          <w:szCs w:val="24"/>
        </w:rPr>
        <w:t xml:space="preserve"> the Office of </w:t>
      </w:r>
      <w:r w:rsidR="00535616">
        <w:rPr>
          <w:sz w:val="24"/>
          <w:szCs w:val="24"/>
        </w:rPr>
        <w:t>Statistical and Science Policy (OMB)</w:t>
      </w:r>
      <w:r>
        <w:rPr>
          <w:sz w:val="24"/>
          <w:szCs w:val="24"/>
        </w:rPr>
        <w:t xml:space="preserve">, and the Office of the Under Secretary of Education. </w:t>
      </w:r>
    </w:p>
    <w:p w:rsidR="001F689D" w:rsidRDefault="001F689D" w:rsidP="001F689D">
      <w:pPr>
        <w:pStyle w:val="P1-StandPara"/>
        <w:ind w:firstLine="0"/>
        <w:jc w:val="left"/>
        <w:rPr>
          <w:sz w:val="24"/>
          <w:szCs w:val="24"/>
        </w:rPr>
      </w:pPr>
    </w:p>
    <w:p w:rsidR="001F689D" w:rsidRPr="00D97038" w:rsidRDefault="001F689D" w:rsidP="00BC4EA9">
      <w:pPr>
        <w:pStyle w:val="SU-FlLftUndln"/>
        <w:spacing w:after="120"/>
        <w:rPr>
          <w:b/>
        </w:rPr>
      </w:pPr>
      <w:r w:rsidRPr="00D97038">
        <w:rPr>
          <w:b/>
        </w:rPr>
        <w:t xml:space="preserve">Substantive Experts: </w:t>
      </w:r>
      <w:r w:rsidR="00535616">
        <w:rPr>
          <w:b/>
        </w:rPr>
        <w:t>GEMEnA Member Agency Representatives</w:t>
      </w:r>
    </w:p>
    <w:p w:rsidR="00BC4EA9" w:rsidRDefault="00BC4EA9" w:rsidP="001F689D">
      <w:pPr>
        <w:ind w:left="270"/>
        <w:rPr>
          <w:b/>
          <w:sz w:val="24"/>
          <w:szCs w:val="24"/>
        </w:rPr>
        <w:sectPr w:rsidR="00BC4EA9" w:rsidSect="000C6BCB">
          <w:type w:val="continuous"/>
          <w:pgSz w:w="12240" w:h="15840"/>
          <w:pgMar w:top="1008" w:right="1008" w:bottom="1008" w:left="1008" w:header="720" w:footer="576" w:gutter="0"/>
          <w:pgNumType w:start="9"/>
          <w:cols w:space="720"/>
          <w:titlePg/>
          <w:docGrid w:linePitch="360"/>
        </w:sectPr>
      </w:pPr>
    </w:p>
    <w:p w:rsidR="001F689D" w:rsidRPr="00BC4EA9" w:rsidRDefault="001F689D" w:rsidP="00BC4EA9">
      <w:pPr>
        <w:ind w:left="270"/>
        <w:jc w:val="left"/>
        <w:rPr>
          <w:b/>
          <w:sz w:val="20"/>
        </w:rPr>
      </w:pPr>
      <w:r w:rsidRPr="00BC4EA9">
        <w:rPr>
          <w:b/>
          <w:sz w:val="20"/>
        </w:rPr>
        <w:lastRenderedPageBreak/>
        <w:t>Census Bureau</w:t>
      </w:r>
    </w:p>
    <w:p w:rsidR="001F689D" w:rsidRPr="00BC4EA9" w:rsidRDefault="001F689D" w:rsidP="00BC4EA9">
      <w:pPr>
        <w:ind w:left="270"/>
        <w:jc w:val="left"/>
        <w:rPr>
          <w:sz w:val="20"/>
        </w:rPr>
      </w:pPr>
      <w:r w:rsidRPr="00BC4EA9">
        <w:rPr>
          <w:sz w:val="20"/>
        </w:rPr>
        <w:t>Bob Kominski</w:t>
      </w:r>
    </w:p>
    <w:p w:rsidR="001F689D" w:rsidRPr="00BC4EA9" w:rsidRDefault="001F689D" w:rsidP="00BC4EA9">
      <w:pPr>
        <w:ind w:left="270"/>
        <w:jc w:val="left"/>
        <w:rPr>
          <w:sz w:val="20"/>
        </w:rPr>
      </w:pPr>
      <w:r w:rsidRPr="00BC4EA9">
        <w:rPr>
          <w:sz w:val="20"/>
        </w:rPr>
        <w:t xml:space="preserve">Stephanie Ewert </w:t>
      </w:r>
    </w:p>
    <w:p w:rsidR="001F689D" w:rsidRPr="00BC4EA9" w:rsidRDefault="001F689D" w:rsidP="00BC4EA9">
      <w:pPr>
        <w:ind w:left="270"/>
        <w:jc w:val="left"/>
        <w:rPr>
          <w:sz w:val="20"/>
        </w:rPr>
      </w:pPr>
    </w:p>
    <w:p w:rsidR="001F689D" w:rsidRPr="00BC4EA9" w:rsidRDefault="001F689D" w:rsidP="00BC4EA9">
      <w:pPr>
        <w:ind w:left="270"/>
        <w:jc w:val="left"/>
        <w:rPr>
          <w:b/>
          <w:sz w:val="20"/>
        </w:rPr>
      </w:pPr>
      <w:r w:rsidRPr="00BC4EA9">
        <w:rPr>
          <w:b/>
          <w:sz w:val="20"/>
        </w:rPr>
        <w:t>Bureau of Labor Statistics</w:t>
      </w:r>
    </w:p>
    <w:p w:rsidR="001F689D" w:rsidRPr="00BC4EA9" w:rsidRDefault="001F689D" w:rsidP="00BC4EA9">
      <w:pPr>
        <w:ind w:left="270"/>
        <w:jc w:val="left"/>
        <w:rPr>
          <w:sz w:val="20"/>
        </w:rPr>
      </w:pPr>
      <w:r w:rsidRPr="00BC4EA9">
        <w:rPr>
          <w:sz w:val="20"/>
        </w:rPr>
        <w:t>Dori Allard</w:t>
      </w:r>
    </w:p>
    <w:p w:rsidR="001F689D" w:rsidRPr="00BC4EA9" w:rsidRDefault="001F689D" w:rsidP="00BC4EA9">
      <w:pPr>
        <w:ind w:left="270"/>
        <w:jc w:val="left"/>
        <w:rPr>
          <w:sz w:val="20"/>
        </w:rPr>
      </w:pPr>
      <w:r w:rsidRPr="00BC4EA9">
        <w:rPr>
          <w:sz w:val="20"/>
        </w:rPr>
        <w:t xml:space="preserve">Harley Frazis </w:t>
      </w:r>
    </w:p>
    <w:p w:rsidR="001F689D" w:rsidRPr="00BC4EA9" w:rsidRDefault="001F689D" w:rsidP="00BC4EA9">
      <w:pPr>
        <w:ind w:left="270"/>
        <w:jc w:val="left"/>
        <w:rPr>
          <w:sz w:val="20"/>
        </w:rPr>
      </w:pPr>
    </w:p>
    <w:p w:rsidR="001F689D" w:rsidRPr="00BC4EA9" w:rsidRDefault="001F689D" w:rsidP="00BC4EA9">
      <w:pPr>
        <w:ind w:left="270"/>
        <w:jc w:val="left"/>
        <w:rPr>
          <w:b/>
          <w:sz w:val="20"/>
        </w:rPr>
      </w:pPr>
      <w:r w:rsidRPr="00BC4EA9">
        <w:rPr>
          <w:b/>
          <w:sz w:val="20"/>
        </w:rPr>
        <w:t>National</w:t>
      </w:r>
      <w:r w:rsidR="005F64C5" w:rsidRPr="00BC4EA9">
        <w:rPr>
          <w:b/>
          <w:sz w:val="20"/>
        </w:rPr>
        <w:t xml:space="preserve"> Center for Science and Engineering Statistics</w:t>
      </w:r>
    </w:p>
    <w:p w:rsidR="001F689D" w:rsidRPr="00BC4EA9" w:rsidRDefault="001F689D" w:rsidP="00BC4EA9">
      <w:pPr>
        <w:ind w:left="270"/>
        <w:jc w:val="left"/>
        <w:rPr>
          <w:sz w:val="20"/>
        </w:rPr>
      </w:pPr>
      <w:r w:rsidRPr="00BC4EA9">
        <w:rPr>
          <w:sz w:val="20"/>
        </w:rPr>
        <w:t>Dan Foley</w:t>
      </w:r>
    </w:p>
    <w:p w:rsidR="001F689D" w:rsidRPr="00BC4EA9" w:rsidRDefault="001F689D" w:rsidP="00BC4EA9">
      <w:pPr>
        <w:ind w:left="270"/>
        <w:jc w:val="left"/>
        <w:rPr>
          <w:sz w:val="20"/>
        </w:rPr>
      </w:pPr>
      <w:r w:rsidRPr="00BC4EA9">
        <w:rPr>
          <w:sz w:val="20"/>
        </w:rPr>
        <w:t>John Finamore</w:t>
      </w:r>
    </w:p>
    <w:p w:rsidR="001F689D" w:rsidRPr="00BC4EA9" w:rsidRDefault="001F689D" w:rsidP="00BC4EA9">
      <w:pPr>
        <w:ind w:left="270"/>
        <w:jc w:val="left"/>
        <w:rPr>
          <w:sz w:val="20"/>
        </w:rPr>
      </w:pPr>
    </w:p>
    <w:p w:rsidR="001F689D" w:rsidRPr="00BC4EA9" w:rsidRDefault="001F689D" w:rsidP="00BC4EA9">
      <w:pPr>
        <w:ind w:left="270"/>
        <w:jc w:val="left"/>
        <w:rPr>
          <w:b/>
          <w:sz w:val="20"/>
        </w:rPr>
      </w:pPr>
      <w:r w:rsidRPr="00BC4EA9">
        <w:rPr>
          <w:b/>
          <w:sz w:val="20"/>
        </w:rPr>
        <w:t>O</w:t>
      </w:r>
      <w:r w:rsidR="005F64C5" w:rsidRPr="00BC4EA9">
        <w:rPr>
          <w:b/>
          <w:sz w:val="20"/>
        </w:rPr>
        <w:t>MB Office of Statistical and Science Policy</w:t>
      </w:r>
    </w:p>
    <w:p w:rsidR="001F689D" w:rsidRPr="00BC4EA9" w:rsidRDefault="001F689D" w:rsidP="00BC4EA9">
      <w:pPr>
        <w:ind w:left="270"/>
        <w:jc w:val="left"/>
        <w:rPr>
          <w:sz w:val="20"/>
        </w:rPr>
      </w:pPr>
      <w:r w:rsidRPr="00BC4EA9">
        <w:rPr>
          <w:sz w:val="20"/>
        </w:rPr>
        <w:lastRenderedPageBreak/>
        <w:t>Shelly Martinez</w:t>
      </w:r>
    </w:p>
    <w:p w:rsidR="001F689D" w:rsidRPr="00BC4EA9" w:rsidRDefault="001F689D" w:rsidP="00BC4EA9">
      <w:pPr>
        <w:ind w:left="270"/>
        <w:jc w:val="left"/>
        <w:rPr>
          <w:sz w:val="20"/>
        </w:rPr>
      </w:pPr>
    </w:p>
    <w:p w:rsidR="001F689D" w:rsidRPr="00BC4EA9" w:rsidRDefault="001F689D" w:rsidP="00BC4EA9">
      <w:pPr>
        <w:pStyle w:val="P1-StandPara"/>
        <w:spacing w:line="240" w:lineRule="auto"/>
        <w:ind w:left="270" w:firstLine="0"/>
        <w:jc w:val="left"/>
        <w:rPr>
          <w:b/>
          <w:sz w:val="20"/>
        </w:rPr>
      </w:pPr>
      <w:r w:rsidRPr="00BC4EA9">
        <w:rPr>
          <w:b/>
          <w:sz w:val="20"/>
        </w:rPr>
        <w:t>Department of Education – Office of the Under Secretary</w:t>
      </w:r>
    </w:p>
    <w:p w:rsidR="001F689D" w:rsidRPr="00BC4EA9" w:rsidRDefault="001F689D" w:rsidP="00BC4EA9">
      <w:pPr>
        <w:ind w:left="270"/>
        <w:jc w:val="left"/>
        <w:rPr>
          <w:sz w:val="20"/>
        </w:rPr>
      </w:pPr>
      <w:r w:rsidRPr="00BC4EA9">
        <w:rPr>
          <w:sz w:val="20"/>
        </w:rPr>
        <w:t>Jon O’Bergh</w:t>
      </w:r>
    </w:p>
    <w:p w:rsidR="001F689D" w:rsidRPr="00BC4EA9" w:rsidRDefault="001F689D" w:rsidP="00BC4EA9">
      <w:pPr>
        <w:ind w:left="270"/>
        <w:jc w:val="left"/>
        <w:rPr>
          <w:sz w:val="20"/>
        </w:rPr>
      </w:pPr>
    </w:p>
    <w:p w:rsidR="001F689D" w:rsidRPr="00BC4EA9" w:rsidRDefault="001F689D" w:rsidP="00BC4EA9">
      <w:pPr>
        <w:ind w:left="270"/>
        <w:jc w:val="left"/>
        <w:rPr>
          <w:b/>
          <w:sz w:val="20"/>
        </w:rPr>
      </w:pPr>
      <w:r w:rsidRPr="00BC4EA9">
        <w:rPr>
          <w:b/>
          <w:sz w:val="20"/>
        </w:rPr>
        <w:t>National Center for Education Statistics</w:t>
      </w:r>
    </w:p>
    <w:p w:rsidR="001F689D" w:rsidRPr="00BC4EA9" w:rsidRDefault="001F689D" w:rsidP="00BC4EA9">
      <w:pPr>
        <w:ind w:left="270"/>
        <w:jc w:val="left"/>
        <w:rPr>
          <w:sz w:val="20"/>
        </w:rPr>
      </w:pPr>
      <w:r w:rsidRPr="00BC4EA9">
        <w:rPr>
          <w:sz w:val="20"/>
        </w:rPr>
        <w:t>Sharon Boivin</w:t>
      </w:r>
    </w:p>
    <w:p w:rsidR="001F689D" w:rsidRPr="00BC4EA9" w:rsidRDefault="001F689D" w:rsidP="00BC4EA9">
      <w:pPr>
        <w:ind w:left="270"/>
        <w:jc w:val="left"/>
        <w:rPr>
          <w:sz w:val="20"/>
        </w:rPr>
      </w:pPr>
      <w:r w:rsidRPr="00BC4EA9">
        <w:rPr>
          <w:sz w:val="20"/>
        </w:rPr>
        <w:lastRenderedPageBreak/>
        <w:t xml:space="preserve">Lisa Hudson </w:t>
      </w:r>
    </w:p>
    <w:p w:rsidR="001F689D" w:rsidRPr="00BC4EA9" w:rsidRDefault="001F689D" w:rsidP="00BC4EA9">
      <w:pPr>
        <w:ind w:left="270"/>
        <w:jc w:val="left"/>
        <w:rPr>
          <w:sz w:val="20"/>
        </w:rPr>
      </w:pPr>
      <w:r w:rsidRPr="00BC4EA9">
        <w:rPr>
          <w:sz w:val="20"/>
        </w:rPr>
        <w:t xml:space="preserve">Kashka Kubzdela </w:t>
      </w:r>
    </w:p>
    <w:p w:rsidR="001F689D" w:rsidRPr="00BC4EA9" w:rsidRDefault="001F689D" w:rsidP="00BC4EA9">
      <w:pPr>
        <w:ind w:left="270"/>
        <w:jc w:val="left"/>
        <w:rPr>
          <w:sz w:val="20"/>
        </w:rPr>
      </w:pPr>
      <w:r w:rsidRPr="00BC4EA9">
        <w:rPr>
          <w:sz w:val="20"/>
        </w:rPr>
        <w:t xml:space="preserve">Matthew Soldner </w:t>
      </w:r>
    </w:p>
    <w:p w:rsidR="001F689D" w:rsidRPr="00BC4EA9" w:rsidRDefault="001F689D" w:rsidP="00BC4EA9">
      <w:pPr>
        <w:ind w:left="270"/>
        <w:jc w:val="left"/>
        <w:rPr>
          <w:sz w:val="20"/>
        </w:rPr>
      </w:pPr>
      <w:r w:rsidRPr="00BC4EA9">
        <w:rPr>
          <w:sz w:val="20"/>
        </w:rPr>
        <w:t>Sarah Crissey</w:t>
      </w:r>
    </w:p>
    <w:p w:rsidR="00BC4EA9" w:rsidRDefault="001F689D" w:rsidP="00BC4EA9">
      <w:pPr>
        <w:ind w:left="270"/>
        <w:jc w:val="left"/>
        <w:rPr>
          <w:sz w:val="20"/>
        </w:rPr>
      </w:pPr>
      <w:r w:rsidRPr="00BC4EA9">
        <w:rPr>
          <w:sz w:val="20"/>
        </w:rPr>
        <w:t>Andy Zukerberg</w:t>
      </w:r>
    </w:p>
    <w:p w:rsidR="00BC4EA9" w:rsidRDefault="00BC4EA9" w:rsidP="00BC4EA9">
      <w:pPr>
        <w:ind w:left="270"/>
        <w:jc w:val="left"/>
        <w:rPr>
          <w:sz w:val="20"/>
        </w:rPr>
      </w:pPr>
    </w:p>
    <w:p w:rsidR="00BC4EA9" w:rsidRDefault="00BC4EA9" w:rsidP="00BC4EA9">
      <w:pPr>
        <w:ind w:left="270"/>
        <w:jc w:val="left"/>
        <w:rPr>
          <w:sz w:val="20"/>
        </w:rPr>
      </w:pPr>
    </w:p>
    <w:p w:rsidR="00BC4EA9" w:rsidRPr="00BC4EA9" w:rsidRDefault="00BC4EA9" w:rsidP="00BC4EA9">
      <w:pPr>
        <w:ind w:left="270"/>
        <w:jc w:val="left"/>
        <w:rPr>
          <w:sz w:val="20"/>
        </w:rPr>
        <w:sectPr w:rsidR="00BC4EA9" w:rsidRPr="00BC4EA9" w:rsidSect="00C60F81">
          <w:type w:val="continuous"/>
          <w:pgSz w:w="12240" w:h="15840"/>
          <w:pgMar w:top="1008" w:right="1008" w:bottom="1008" w:left="1008" w:header="720" w:footer="576" w:gutter="0"/>
          <w:pgNumType w:start="7"/>
          <w:cols w:num="2" w:space="720"/>
          <w:titlePg/>
          <w:docGrid w:linePitch="360"/>
        </w:sectPr>
      </w:pPr>
    </w:p>
    <w:p w:rsidR="001F689D" w:rsidRDefault="001F689D" w:rsidP="001F689D">
      <w:pPr>
        <w:ind w:left="270"/>
        <w:rPr>
          <w:sz w:val="24"/>
          <w:szCs w:val="24"/>
        </w:rPr>
      </w:pPr>
    </w:p>
    <w:p w:rsidR="000C6BCB" w:rsidRDefault="000C6BCB">
      <w:pPr>
        <w:spacing w:line="240" w:lineRule="auto"/>
        <w:jc w:val="left"/>
        <w:rPr>
          <w:b/>
        </w:rPr>
      </w:pPr>
    </w:p>
    <w:p w:rsidR="008478A9" w:rsidRDefault="008478A9" w:rsidP="007C3889">
      <w:pPr>
        <w:pStyle w:val="Heading1"/>
        <w:spacing w:after="240" w:line="240" w:lineRule="auto"/>
        <w:ind w:left="0" w:firstLine="0"/>
      </w:pPr>
      <w:r>
        <w:t>A.</w:t>
      </w:r>
      <w:r w:rsidR="00322067">
        <w:t>6</w:t>
      </w:r>
      <w:r>
        <w:tab/>
        <w:t>Payments to Respondents</w:t>
      </w:r>
      <w:bookmarkEnd w:id="16"/>
      <w:bookmarkEnd w:id="17"/>
    </w:p>
    <w:p w:rsidR="00FB4532" w:rsidRDefault="008478A9" w:rsidP="007C3889">
      <w:pPr>
        <w:pStyle w:val="P1-StandPara"/>
        <w:spacing w:line="23" w:lineRule="atLeast"/>
      </w:pPr>
      <w:r>
        <w:t xml:space="preserve">The NHES:2003 included an extensive experiment in the use of small cash incentives to improve unit response. The experiment demonstrated that gains in respondent cooperation could be realized with relatively modest cash incentives (Brick et al. 2006). Such incentives were used in NHES:2005 and NHES:2007. </w:t>
      </w:r>
      <w:r w:rsidR="003917AA">
        <w:t xml:space="preserve">The NHES:2011 Field Test included an incentive experiment at the screener level testing the effect of </w:t>
      </w:r>
      <w:r w:rsidR="002B27EB">
        <w:t>including a</w:t>
      </w:r>
      <w:r w:rsidR="003917AA">
        <w:t xml:space="preserve"> $2 cash incentive on response rates compared to a $5 cash incentive</w:t>
      </w:r>
      <w:r w:rsidR="002B27EB">
        <w:t xml:space="preserve"> in the initial screener mailing</w:t>
      </w:r>
      <w:r w:rsidR="003917AA">
        <w:t xml:space="preserve">. The $5 screener was associated with </w:t>
      </w:r>
      <w:r w:rsidR="002B27EB">
        <w:t>higher response rates than the $2 incentive, so the $5 incentive was used in the NHES:2012</w:t>
      </w:r>
      <w:r w:rsidR="00401B03">
        <w:t>.</w:t>
      </w:r>
      <w:r w:rsidR="00FB4532">
        <w:t xml:space="preserve"> We will continue with this approach in the NHES Feasibility Test and use a $5 cash incentive in the first screener questionnaire mailing.</w:t>
      </w:r>
    </w:p>
    <w:p w:rsidR="00BC4EA9" w:rsidRDefault="00BC4EA9" w:rsidP="007C3889">
      <w:pPr>
        <w:pStyle w:val="P1-StandPara"/>
        <w:spacing w:line="23" w:lineRule="atLeast"/>
      </w:pPr>
    </w:p>
    <w:p w:rsidR="008478A9" w:rsidRDefault="002B27EB" w:rsidP="007C3889">
      <w:pPr>
        <w:pStyle w:val="P1-StandPara"/>
        <w:spacing w:line="23" w:lineRule="atLeast"/>
      </w:pPr>
      <w:r>
        <w:t xml:space="preserve"> The NHES:</w:t>
      </w:r>
      <w:r w:rsidR="003917AA">
        <w:t xml:space="preserve">2012 </w:t>
      </w:r>
      <w:r w:rsidR="00174716">
        <w:t>included an</w:t>
      </w:r>
      <w:r w:rsidR="00F3623F">
        <w:t xml:space="preserve"> incentive experiment </w:t>
      </w:r>
      <w:r w:rsidR="001328AE">
        <w:t xml:space="preserve">at the topical level </w:t>
      </w:r>
      <w:r w:rsidR="00F3623F">
        <w:t>to further refine an optimal strategy for the use of incentive</w:t>
      </w:r>
      <w:r w:rsidR="00174716">
        <w:t>s</w:t>
      </w:r>
      <w:r w:rsidR="00F3623F">
        <w:t xml:space="preserve"> in the NHES. </w:t>
      </w:r>
      <w:r w:rsidR="008478A9">
        <w:t xml:space="preserve">For those households in which </w:t>
      </w:r>
      <w:r w:rsidR="00074A6E">
        <w:t xml:space="preserve">a child </w:t>
      </w:r>
      <w:r w:rsidR="003917AA">
        <w:t>wa</w:t>
      </w:r>
      <w:r w:rsidR="008478A9">
        <w:t xml:space="preserve">s selected as the subject of an ECPP or PFI questionnaire, cases </w:t>
      </w:r>
      <w:r w:rsidR="00401B03">
        <w:t xml:space="preserve">that responded to the first or second mailing of the screener </w:t>
      </w:r>
      <w:r w:rsidR="008478A9">
        <w:t>receive</w:t>
      </w:r>
      <w:r>
        <w:t>d</w:t>
      </w:r>
      <w:r w:rsidR="008478A9">
        <w:t xml:space="preserve"> </w:t>
      </w:r>
      <w:r w:rsidR="00401B03">
        <w:t>a</w:t>
      </w:r>
      <w:r w:rsidR="008478A9">
        <w:t xml:space="preserve"> $5</w:t>
      </w:r>
      <w:r w:rsidR="00401B03">
        <w:t xml:space="preserve"> cash incentive </w:t>
      </w:r>
      <w:r w:rsidR="008478A9">
        <w:t xml:space="preserve">with the </w:t>
      </w:r>
      <w:r w:rsidR="00FB4532">
        <w:t xml:space="preserve">initial </w:t>
      </w:r>
      <w:r w:rsidR="008478A9">
        <w:t>topical sur</w:t>
      </w:r>
      <w:r w:rsidR="00FB4532">
        <w:t>vey mailing</w:t>
      </w:r>
      <w:r w:rsidR="008478A9">
        <w:t xml:space="preserve">. </w:t>
      </w:r>
      <w:r w:rsidR="00401B03">
        <w:t>Evidence from the 2011 Field Test indicated that topical response rates c</w:t>
      </w:r>
      <w:r>
        <w:t>ould</w:t>
      </w:r>
      <w:r w:rsidR="00401B03">
        <w:t xml:space="preserve"> benefit significantly by providing later screener respondents with a larger topical incentive. T</w:t>
      </w:r>
      <w:r w:rsidR="00FB4532">
        <w:t xml:space="preserve">o confirm this finding, we </w:t>
      </w:r>
      <w:r w:rsidR="00401B03">
        <w:t>subsample</w:t>
      </w:r>
      <w:r>
        <w:t>d</w:t>
      </w:r>
      <w:r w:rsidR="00401B03">
        <w:t xml:space="preserve"> late screener respondents (those responding to the 3</w:t>
      </w:r>
      <w:r w:rsidR="00401B03" w:rsidRPr="00401B03">
        <w:rPr>
          <w:vertAlign w:val="superscript"/>
        </w:rPr>
        <w:t>rd</w:t>
      </w:r>
      <w:r w:rsidR="00401B03">
        <w:t xml:space="preserve"> or 4</w:t>
      </w:r>
      <w:r w:rsidR="00401B03" w:rsidRPr="00401B03">
        <w:rPr>
          <w:vertAlign w:val="superscript"/>
        </w:rPr>
        <w:t>th</w:t>
      </w:r>
      <w:r w:rsidR="00401B03">
        <w:t xml:space="preserve"> questionnaire mailing) to receive either a $5 or $15 cash incentive</w:t>
      </w:r>
      <w:r w:rsidR="00074A6E">
        <w:t xml:space="preserve"> with their first topical survey mailing</w:t>
      </w:r>
      <w:r w:rsidR="00401B03">
        <w:t>.</w:t>
      </w:r>
      <w:r>
        <w:t xml:space="preserve"> The results from the NHES:2012</w:t>
      </w:r>
      <w:r w:rsidR="00421D6E">
        <w:t xml:space="preserve"> </w:t>
      </w:r>
      <w:r w:rsidR="00FB4532">
        <w:t>indicate that among later screener responders, the $15 incentive was associated with higher response rates compared to the $5 incentiv</w:t>
      </w:r>
      <w:r w:rsidR="00FB4532" w:rsidRPr="003839FD">
        <w:t>e. Based on these findings, we will use the same strategy in the NHES Feasibility Test and send a $5 cash incentive in the initial topical mailing to cases that responded to the first or second screener mailing and a $15 cash incentive</w:t>
      </w:r>
      <w:r w:rsidR="00AE4BFC" w:rsidRPr="003839FD">
        <w:t xml:space="preserve"> in the initial topical mailing to any cases that responded later than three days after the third screener mailing.</w:t>
      </w:r>
    </w:p>
    <w:p w:rsidR="00A874B2" w:rsidRDefault="00A874B2" w:rsidP="007C3889">
      <w:pPr>
        <w:pStyle w:val="P1-StandPara"/>
        <w:spacing w:line="23" w:lineRule="atLeast"/>
      </w:pPr>
    </w:p>
    <w:p w:rsidR="008478A9" w:rsidRDefault="008478A9" w:rsidP="007C3889">
      <w:pPr>
        <w:pStyle w:val="Heading1"/>
        <w:spacing w:after="240" w:line="240" w:lineRule="auto"/>
        <w:ind w:left="0" w:firstLine="0"/>
      </w:pPr>
      <w:bookmarkStart w:id="18" w:name="_Toc61176386"/>
      <w:bookmarkStart w:id="19" w:name="_Toc222888895"/>
      <w:r>
        <w:t>A.</w:t>
      </w:r>
      <w:r w:rsidR="0068462A">
        <w:t>7</w:t>
      </w:r>
      <w:r>
        <w:tab/>
        <w:t>Assurance of Confidentiality</w:t>
      </w:r>
      <w:bookmarkEnd w:id="18"/>
      <w:bookmarkEnd w:id="19"/>
    </w:p>
    <w:p w:rsidR="003F06D3" w:rsidRDefault="008478A9" w:rsidP="007C3889">
      <w:pPr>
        <w:pStyle w:val="P1-StandPara"/>
        <w:keepNext/>
        <w:spacing w:line="23" w:lineRule="atLeast"/>
      </w:pPr>
      <w:r>
        <w:t xml:space="preserve">Respondents will be informed of the voluntary nature of the survey and of the confidentiality provision in the initial cover letter and on the questionnaires, stating that their responses may be used for statistical purposes only and may not be disclosed, or used, in identifiable form for any other purpose except as required by law </w:t>
      </w:r>
      <w:r w:rsidRPr="007317FF">
        <w:t>[</w:t>
      </w:r>
      <w:r>
        <w:t xml:space="preserve">Education Sciences Reform Act of 2002 (ESRA 2002), </w:t>
      </w:r>
      <w:r w:rsidR="0010051E" w:rsidRPr="008C3E6E">
        <w:t>20 U.S. Code</w:t>
      </w:r>
      <w:r w:rsidR="0010051E">
        <w:t xml:space="preserve"> </w:t>
      </w:r>
      <w:r w:rsidR="0010051E" w:rsidRPr="008C3E6E">
        <w:t>§ 95</w:t>
      </w:r>
      <w:r w:rsidR="0010051E">
        <w:t>7</w:t>
      </w:r>
      <w:r w:rsidR="0010051E" w:rsidRPr="008C3E6E">
        <w:t>3</w:t>
      </w:r>
      <w:r w:rsidRPr="007317FF">
        <w:t>].</w:t>
      </w:r>
      <w:r w:rsidR="003F06D3">
        <w:t xml:space="preserve"> </w:t>
      </w:r>
    </w:p>
    <w:p w:rsidR="005F64C5" w:rsidRDefault="005F64C5" w:rsidP="007C3889">
      <w:pPr>
        <w:pStyle w:val="P1-StandPara"/>
        <w:keepNext/>
        <w:spacing w:line="23" w:lineRule="atLeast"/>
      </w:pPr>
    </w:p>
    <w:p w:rsidR="008478A9" w:rsidRDefault="008478A9" w:rsidP="007C3889">
      <w:pPr>
        <w:pStyle w:val="P1-StandPara"/>
        <w:keepNext/>
        <w:spacing w:line="23" w:lineRule="atLeast"/>
      </w:pPr>
      <w:r>
        <w:t>Additionally, all staff members and subcontractors working on the NHES and having access to the data are required to sign the NCES Affidavit of Nondisclosure. Notarized affidavits are kept on file by the contractor and submitted to NCES quarterly. In addition, all contractor staff members who have access to confidential data and work on the project more than 30 days are required to have a federal background check.</w:t>
      </w:r>
    </w:p>
    <w:p w:rsidR="00EC40E8" w:rsidRDefault="00EC40E8" w:rsidP="007C3889">
      <w:pPr>
        <w:pStyle w:val="P1-StandPara"/>
        <w:keepNext/>
        <w:spacing w:line="23" w:lineRule="atLeast"/>
      </w:pPr>
    </w:p>
    <w:p w:rsidR="008478A9" w:rsidRDefault="008478A9" w:rsidP="007C3889">
      <w:pPr>
        <w:pStyle w:val="Heading1"/>
        <w:spacing w:after="240" w:line="240" w:lineRule="auto"/>
        <w:ind w:left="0" w:firstLine="0"/>
      </w:pPr>
      <w:r>
        <w:t>A.</w:t>
      </w:r>
      <w:r w:rsidR="0068462A">
        <w:t>8</w:t>
      </w:r>
      <w:r>
        <w:tab/>
        <w:t>Sensitive Questions</w:t>
      </w:r>
    </w:p>
    <w:p w:rsidR="008478A9" w:rsidRDefault="008478A9" w:rsidP="007C3889">
      <w:pPr>
        <w:pStyle w:val="P1-StandPara"/>
        <w:spacing w:line="23" w:lineRule="atLeast"/>
      </w:pPr>
      <w:r>
        <w:t xml:space="preserve">The NHES is a voluntary survey, and no persons are required to respond to </w:t>
      </w:r>
      <w:r w:rsidR="000113F6">
        <w:t>it</w:t>
      </w:r>
      <w:r>
        <w:t xml:space="preserve">. In addition, respondents may decline to answer any question in the survey. Respondents are informed of the voluntary nature of the survey in the cover letter that accompanies the questionnaire, as well as on the actual questionnaire. </w:t>
      </w:r>
      <w:r w:rsidR="001E62CC">
        <w:t>At the same time, s</w:t>
      </w:r>
      <w:r>
        <w:t>ome items in the surveys may be considered sensitive by some respondents:</w:t>
      </w:r>
    </w:p>
    <w:p w:rsidR="0004232F" w:rsidRDefault="0004232F" w:rsidP="007C3889">
      <w:pPr>
        <w:pStyle w:val="P1-StandPara"/>
        <w:spacing w:line="23" w:lineRule="atLeast"/>
      </w:pPr>
    </w:p>
    <w:p w:rsidR="00155557" w:rsidRDefault="0004232F" w:rsidP="007C3889">
      <w:pPr>
        <w:pStyle w:val="P1-StandPara"/>
        <w:spacing w:line="23" w:lineRule="atLeast"/>
      </w:pPr>
      <w:r w:rsidRPr="003D304D">
        <w:rPr>
          <w:b/>
        </w:rPr>
        <w:t>ATES:</w:t>
      </w:r>
      <w:r w:rsidR="00DE3BEF">
        <w:rPr>
          <w:b/>
        </w:rPr>
        <w:t xml:space="preserve"> </w:t>
      </w:r>
      <w:r w:rsidR="00DE3BEF" w:rsidRPr="00A3174E">
        <w:t xml:space="preserve">The ATES survey currently asks </w:t>
      </w:r>
      <w:r w:rsidR="003B0E98">
        <w:t xml:space="preserve">a </w:t>
      </w:r>
      <w:r w:rsidR="00DE3BEF" w:rsidRPr="00A3174E">
        <w:t>question</w:t>
      </w:r>
      <w:r w:rsidR="00A3174E" w:rsidRPr="00A3174E">
        <w:t xml:space="preserve"> about income th</w:t>
      </w:r>
      <w:r w:rsidR="00155557">
        <w:t>at may be considered sensitive:</w:t>
      </w:r>
    </w:p>
    <w:p w:rsidR="00155557" w:rsidRDefault="00DE3BEF" w:rsidP="00155557">
      <w:pPr>
        <w:pStyle w:val="P1-StandPara"/>
        <w:numPr>
          <w:ilvl w:val="0"/>
          <w:numId w:val="45"/>
        </w:numPr>
        <w:spacing w:line="23" w:lineRule="atLeast"/>
      </w:pPr>
      <w:r w:rsidRPr="00A3174E">
        <w:t xml:space="preserve">Personal </w:t>
      </w:r>
      <w:r w:rsidR="00A3174E">
        <w:t>earnings</w:t>
      </w:r>
      <w:r w:rsidR="00A3174E" w:rsidRPr="00A3174E">
        <w:t xml:space="preserve"> in the past year</w:t>
      </w:r>
      <w:r w:rsidR="001E1690">
        <w:t>.</w:t>
      </w:r>
    </w:p>
    <w:p w:rsidR="00A3174E" w:rsidRPr="00DE3BEF" w:rsidRDefault="00535616" w:rsidP="00155557">
      <w:pPr>
        <w:pStyle w:val="P1-StandPara"/>
        <w:spacing w:line="23" w:lineRule="atLeast"/>
        <w:ind w:firstLine="0"/>
      </w:pPr>
      <w:r>
        <w:lastRenderedPageBreak/>
        <w:t>A m</w:t>
      </w:r>
      <w:r w:rsidR="00DE3BEF" w:rsidRPr="00DE3BEF">
        <w:t xml:space="preserve">easure of income </w:t>
      </w:r>
      <w:r>
        <w:t>is</w:t>
      </w:r>
      <w:r w:rsidR="00DE3BEF" w:rsidRPr="00DE3BEF">
        <w:t xml:space="preserve"> important because education attainment is statistically associated with income</w:t>
      </w:r>
      <w:r w:rsidR="00082920">
        <w:t>,</w:t>
      </w:r>
      <w:r w:rsidR="00DE3BEF" w:rsidRPr="00DE3BEF">
        <w:t xml:space="preserve"> and the empirical properties of the survey measures may differ for people with different income levels.</w:t>
      </w:r>
      <w:r w:rsidR="00A3174E">
        <w:t xml:space="preserve"> </w:t>
      </w:r>
      <w:r w:rsidR="004826DC">
        <w:t xml:space="preserve">The American Community Survey </w:t>
      </w:r>
      <w:r w:rsidR="00863F1F">
        <w:t xml:space="preserve">(ACS) </w:t>
      </w:r>
      <w:r w:rsidR="004826DC">
        <w:t xml:space="preserve">was the source for most of the ATES </w:t>
      </w:r>
      <w:r w:rsidR="00C03924">
        <w:t>employment and background</w:t>
      </w:r>
      <w:r w:rsidR="004826DC">
        <w:t xml:space="preserve"> items.</w:t>
      </w:r>
      <w:r w:rsidR="00A9755C">
        <w:t xml:space="preserve"> </w:t>
      </w:r>
      <w:r w:rsidR="00A3174E">
        <w:t xml:space="preserve">Item response rates for income questions were </w:t>
      </w:r>
      <w:r w:rsidR="00D459B1">
        <w:t>reasonably high</w:t>
      </w:r>
      <w:r w:rsidR="00A3174E">
        <w:t xml:space="preserve"> in the 2013 pilot test. The item response rate for personal earnings was </w:t>
      </w:r>
      <w:r w:rsidR="001E7612">
        <w:t>96.4</w:t>
      </w:r>
      <w:r w:rsidR="00A3174E">
        <w:t xml:space="preserve">. </w:t>
      </w:r>
    </w:p>
    <w:p w:rsidR="008478A9" w:rsidRDefault="008478A9" w:rsidP="007C3889">
      <w:pPr>
        <w:pStyle w:val="P1-StandPara"/>
        <w:spacing w:line="23" w:lineRule="atLeast"/>
      </w:pPr>
    </w:p>
    <w:p w:rsidR="008478A9" w:rsidRDefault="0098139D" w:rsidP="007C3889">
      <w:pPr>
        <w:pStyle w:val="P1-StandPara"/>
        <w:spacing w:line="23" w:lineRule="atLeast"/>
      </w:pPr>
      <w:r>
        <w:rPr>
          <w:b/>
        </w:rPr>
        <w:t>ASPA</w:t>
      </w:r>
      <w:r w:rsidR="000113F6">
        <w:rPr>
          <w:b/>
        </w:rPr>
        <w:t>:</w:t>
      </w:r>
      <w:r w:rsidR="00A9755C">
        <w:rPr>
          <w:b/>
        </w:rPr>
        <w:t xml:space="preserve"> </w:t>
      </w:r>
      <w:r w:rsidR="008478A9">
        <w:t>Child development and education experts consider economic disadvantage and children’s disabilities to be important factors in children’s school experiences and their</w:t>
      </w:r>
      <w:r w:rsidR="0004232F">
        <w:t xml:space="preserve"> activities outside of school</w:t>
      </w:r>
      <w:r w:rsidR="008478A9">
        <w:t xml:space="preserve">. As a result, the </w:t>
      </w:r>
      <w:r>
        <w:t>ASPA survey</w:t>
      </w:r>
      <w:r w:rsidR="008478A9">
        <w:t xml:space="preserve"> contain</w:t>
      </w:r>
      <w:r>
        <w:t>s</w:t>
      </w:r>
      <w:r w:rsidR="008478A9">
        <w:t xml:space="preserve"> measures of these characteristics, including: </w:t>
      </w:r>
    </w:p>
    <w:p w:rsidR="005F64C5" w:rsidRDefault="005F64C5" w:rsidP="007C3889">
      <w:pPr>
        <w:pStyle w:val="P1-StandPara"/>
        <w:spacing w:line="23" w:lineRule="atLeast"/>
      </w:pPr>
    </w:p>
    <w:p w:rsidR="00082920" w:rsidRDefault="00082920" w:rsidP="00082920">
      <w:pPr>
        <w:pStyle w:val="P1-StandPara"/>
        <w:numPr>
          <w:ilvl w:val="0"/>
          <w:numId w:val="45"/>
        </w:numPr>
        <w:spacing w:line="23" w:lineRule="atLeast"/>
      </w:pPr>
      <w:r>
        <w:t>Household income;</w:t>
      </w:r>
    </w:p>
    <w:p w:rsidR="00082920" w:rsidRDefault="00082920" w:rsidP="00082920">
      <w:pPr>
        <w:pStyle w:val="P1-StandPara"/>
        <w:numPr>
          <w:ilvl w:val="0"/>
          <w:numId w:val="45"/>
        </w:numPr>
        <w:spacing w:line="23" w:lineRule="atLeast"/>
      </w:pPr>
      <w:r>
        <w:t>Receipt of public assistance in the form of Temporary Assistance to Needy Families (TANF), food stamps, and the Women, Infants, and Children program (WIC); and</w:t>
      </w:r>
    </w:p>
    <w:p w:rsidR="00082920" w:rsidRDefault="00082920" w:rsidP="00082920">
      <w:pPr>
        <w:pStyle w:val="P1-StandPara"/>
        <w:numPr>
          <w:ilvl w:val="0"/>
          <w:numId w:val="45"/>
        </w:numPr>
        <w:spacing w:line="23" w:lineRule="atLeast"/>
      </w:pPr>
      <w:r>
        <w:t>Children’s disability conditions.</w:t>
      </w:r>
    </w:p>
    <w:p w:rsidR="00082920" w:rsidRDefault="00082920" w:rsidP="007C3889">
      <w:pPr>
        <w:pStyle w:val="P1-StandPara"/>
        <w:spacing w:line="23" w:lineRule="atLeast"/>
      </w:pPr>
    </w:p>
    <w:p w:rsidR="008478A9" w:rsidRDefault="008478A9" w:rsidP="007C3889">
      <w:pPr>
        <w:pStyle w:val="P1-StandPara"/>
        <w:spacing w:line="23" w:lineRule="atLeast"/>
      </w:pPr>
      <w:r>
        <w:t xml:space="preserve">Measures of household income and government assistance are important because </w:t>
      </w:r>
      <w:r w:rsidR="0004232F">
        <w:t>access to after-school programs and activities by children at</w:t>
      </w:r>
      <w:r w:rsidR="00C03924">
        <w:t xml:space="preserve"> </w:t>
      </w:r>
      <w:r w:rsidR="0004232F">
        <w:t>risk and children from families of different socioeconomic backgrounds is</w:t>
      </w:r>
      <w:r>
        <w:t xml:space="preserve"> of interest to policymakers, child development specialists, and educators. These items are important to identifying children at</w:t>
      </w:r>
      <w:r w:rsidR="00C03924">
        <w:t xml:space="preserve"> </w:t>
      </w:r>
      <w:r>
        <w:t xml:space="preserve">risk and have been administered successfully in previous NHES studies. Respondents are also asked the age at which they first became a parent to a child. This may be sensitive </w:t>
      </w:r>
      <w:r w:rsidR="001E1690">
        <w:t>for parents in some situations.</w:t>
      </w:r>
    </w:p>
    <w:p w:rsidR="001E1690" w:rsidRDefault="001E1690" w:rsidP="007C3889">
      <w:pPr>
        <w:pStyle w:val="P1-StandPara"/>
        <w:spacing w:line="23" w:lineRule="atLeast"/>
      </w:pPr>
    </w:p>
    <w:p w:rsidR="008478A9" w:rsidRDefault="008478A9" w:rsidP="007C3889">
      <w:pPr>
        <w:pStyle w:val="P1-StandPara"/>
        <w:spacing w:line="23" w:lineRule="atLeast"/>
      </w:pPr>
      <w:r>
        <w:t xml:space="preserve">The </w:t>
      </w:r>
      <w:r w:rsidR="0098139D">
        <w:t>2012</w:t>
      </w:r>
      <w:r>
        <w:t xml:space="preserve"> response rates for these items were very high. For total household income,</w:t>
      </w:r>
      <w:r w:rsidR="0004232F">
        <w:t xml:space="preserve"> </w:t>
      </w:r>
      <w:r>
        <w:t>the</w:t>
      </w:r>
      <w:r w:rsidR="0004232F">
        <w:t xml:space="preserve"> 2012 PFI survey had an item response rate of 95.4 percent.</w:t>
      </w:r>
      <w:r>
        <w:t xml:space="preserve"> </w:t>
      </w:r>
      <w:r w:rsidR="00F3623F">
        <w:t xml:space="preserve">Item response rates </w:t>
      </w:r>
      <w:r>
        <w:t xml:space="preserve">for receipt of public assistance were also high: for Temporary Assistance to Needy Families, </w:t>
      </w:r>
      <w:r w:rsidR="00EE6DDB">
        <w:t>97.9</w:t>
      </w:r>
      <w:r>
        <w:t xml:space="preserve"> percent; for the Women, Infants, and Children Program, </w:t>
      </w:r>
      <w:r w:rsidR="0004232F">
        <w:t xml:space="preserve">97.7 </w:t>
      </w:r>
      <w:r>
        <w:t xml:space="preserve">percent; and for Food Stamps, </w:t>
      </w:r>
      <w:r w:rsidR="0004232F">
        <w:t xml:space="preserve">98.4 </w:t>
      </w:r>
      <w:r>
        <w:t xml:space="preserve">percent. </w:t>
      </w:r>
      <w:r w:rsidR="00EE6DDB">
        <w:t>In the 2012 mail survey, it is not possible to examine item missing data for child disability because of the multiple response, list format of the question</w:t>
      </w:r>
      <w:r>
        <w:t xml:space="preserve">. </w:t>
      </w:r>
      <w:r w:rsidR="00C0235C">
        <w:t xml:space="preserve">Missing data may indicate either unreported data or that the child does not have a disability. </w:t>
      </w:r>
      <w:r w:rsidR="00EE6DDB">
        <w:t xml:space="preserve">However, </w:t>
      </w:r>
      <w:r w:rsidR="00C0235C">
        <w:t>in prior NHES collections</w:t>
      </w:r>
      <w:r w:rsidR="00EE6DDB">
        <w:t xml:space="preserve">, response </w:t>
      </w:r>
      <w:r w:rsidR="00C0235C">
        <w:t>to this item was high; in the 2007 PFI, the item response rates were over 99 percent.</w:t>
      </w:r>
      <w:r w:rsidR="00EE6DDB">
        <w:t xml:space="preserve"> </w:t>
      </w:r>
      <w:r>
        <w:t>In the 20</w:t>
      </w:r>
      <w:r w:rsidR="0004232F">
        <w:t>12 PFI</w:t>
      </w:r>
      <w:r>
        <w:t xml:space="preserve">, the item response rate for age at which </w:t>
      </w:r>
      <w:r w:rsidR="00EE6DDB">
        <w:t xml:space="preserve">the child’s parent </w:t>
      </w:r>
      <w:r>
        <w:t xml:space="preserve">first became a parent to any child was </w:t>
      </w:r>
      <w:r w:rsidR="00EE6DDB" w:rsidRPr="008340C2">
        <w:t>96</w:t>
      </w:r>
      <w:r w:rsidRPr="008340C2">
        <w:t>.</w:t>
      </w:r>
      <w:r w:rsidR="00EE6DDB" w:rsidRPr="008340C2">
        <w:t>2</w:t>
      </w:r>
      <w:r w:rsidR="00EE6DDB">
        <w:t xml:space="preserve"> for the first parent reported and 96.0 for the second parent reported. </w:t>
      </w:r>
    </w:p>
    <w:p w:rsidR="008478A9" w:rsidRDefault="008478A9" w:rsidP="007C3889">
      <w:pPr>
        <w:pStyle w:val="P1-StandPara"/>
        <w:spacing w:line="23" w:lineRule="atLeast"/>
      </w:pPr>
    </w:p>
    <w:p w:rsidR="00535616" w:rsidRDefault="0098139D" w:rsidP="00C616BD">
      <w:pPr>
        <w:pStyle w:val="P1-StandPara"/>
        <w:spacing w:line="23" w:lineRule="atLeast"/>
      </w:pPr>
      <w:r>
        <w:t>In order to understand families’ and children’s access to after-school programs and activities, the ASPA survey includes questions about assistance that the family receives to pay for:</w:t>
      </w:r>
    </w:p>
    <w:p w:rsidR="0098139D" w:rsidRDefault="0098139D" w:rsidP="00C616BD">
      <w:pPr>
        <w:pStyle w:val="P1-StandPara"/>
        <w:numPr>
          <w:ilvl w:val="0"/>
          <w:numId w:val="45"/>
        </w:numPr>
        <w:spacing w:line="23" w:lineRule="atLeast"/>
      </w:pPr>
      <w:r>
        <w:t>Formal after-school programs; and</w:t>
      </w:r>
    </w:p>
    <w:p w:rsidR="0098139D" w:rsidRDefault="0098139D" w:rsidP="00C616BD">
      <w:pPr>
        <w:pStyle w:val="P1-StandPara"/>
        <w:numPr>
          <w:ilvl w:val="0"/>
          <w:numId w:val="45"/>
        </w:numPr>
        <w:spacing w:line="23" w:lineRule="atLeast"/>
      </w:pPr>
      <w:r>
        <w:t xml:space="preserve">Organized after-school activities. </w:t>
      </w:r>
    </w:p>
    <w:p w:rsidR="006E65F3" w:rsidRDefault="0098139D" w:rsidP="007C3889">
      <w:pPr>
        <w:pStyle w:val="P1-StandPara"/>
        <w:spacing w:line="23" w:lineRule="atLeast"/>
        <w:ind w:firstLine="0"/>
      </w:pPr>
      <w:r>
        <w:t>Similar questions were asked in the NHES:2012 ECPP</w:t>
      </w:r>
      <w:r w:rsidR="006E65F3">
        <w:t xml:space="preserve"> survey. The response rates for a similar question asking families about the receipt of assistance paying for center-based care in the ECPP was </w:t>
      </w:r>
      <w:r w:rsidR="00EE6DDB">
        <w:t xml:space="preserve">97.5 </w:t>
      </w:r>
      <w:r w:rsidR="006E65F3">
        <w:t xml:space="preserve">percent. </w:t>
      </w:r>
    </w:p>
    <w:p w:rsidR="006E65F3" w:rsidRDefault="006E65F3" w:rsidP="007C3889">
      <w:pPr>
        <w:pStyle w:val="P1-StandPara"/>
        <w:spacing w:line="23" w:lineRule="atLeast"/>
        <w:ind w:firstLine="0"/>
      </w:pPr>
    </w:p>
    <w:p w:rsidR="005F64C5" w:rsidRDefault="0098139D" w:rsidP="00C616BD">
      <w:pPr>
        <w:pStyle w:val="P1-StandPara"/>
        <w:spacing w:line="23" w:lineRule="atLeast"/>
      </w:pPr>
      <w:r>
        <w:t>The ASPA survey also includes items concerning children’s school performance and difficulties in school. Among these are:</w:t>
      </w:r>
    </w:p>
    <w:p w:rsidR="0098139D" w:rsidRDefault="0098139D" w:rsidP="00C616BD">
      <w:pPr>
        <w:pStyle w:val="P1-StandPara"/>
        <w:numPr>
          <w:ilvl w:val="0"/>
          <w:numId w:val="45"/>
        </w:numPr>
        <w:spacing w:line="23" w:lineRule="atLeast"/>
      </w:pPr>
      <w:r>
        <w:t>Children’s school performance and difficulties, including school grades, suspensions, and expulsions; and</w:t>
      </w:r>
    </w:p>
    <w:p w:rsidR="0098139D" w:rsidRDefault="0098139D" w:rsidP="00C616BD">
      <w:pPr>
        <w:pStyle w:val="P1-StandPara"/>
        <w:numPr>
          <w:ilvl w:val="0"/>
          <w:numId w:val="45"/>
        </w:numPr>
        <w:spacing w:line="23" w:lineRule="atLeast"/>
      </w:pPr>
      <w:r>
        <w:t>Identification of children’s schools.</w:t>
      </w:r>
    </w:p>
    <w:p w:rsidR="008478A9" w:rsidRDefault="008478A9" w:rsidP="00C616BD">
      <w:pPr>
        <w:pStyle w:val="P1-StandPara"/>
        <w:spacing w:line="23" w:lineRule="atLeast"/>
        <w:ind w:firstLine="0"/>
      </w:pPr>
      <w:r>
        <w:t xml:space="preserve">Items concerning school performance and difficulty are important to the </w:t>
      </w:r>
      <w:r w:rsidR="006E65F3">
        <w:t>ASPA s</w:t>
      </w:r>
      <w:r>
        <w:t xml:space="preserve">urvey as correlates of </w:t>
      </w:r>
      <w:r w:rsidR="006E65F3">
        <w:t>children’s participation in various types of after-school programs and activities.</w:t>
      </w:r>
      <w:r>
        <w:t xml:space="preserve"> </w:t>
      </w:r>
      <w:r w:rsidR="006E65F3">
        <w:t xml:space="preserve">These items were asked in the NHES:2012 PFI and item response rates for these items </w:t>
      </w:r>
      <w:r w:rsidR="006814A7">
        <w:t>were</w:t>
      </w:r>
      <w:r w:rsidR="006E65F3">
        <w:t xml:space="preserve"> high</w:t>
      </w:r>
      <w:r w:rsidR="006E65F3" w:rsidRPr="00250F9A">
        <w:t>:</w:t>
      </w:r>
      <w:r w:rsidRPr="00250F9A">
        <w:t xml:space="preserve"> </w:t>
      </w:r>
      <w:r w:rsidR="009B1997" w:rsidRPr="00250F9A">
        <w:t>99</w:t>
      </w:r>
      <w:r w:rsidRPr="00250F9A">
        <w:t>.</w:t>
      </w:r>
      <w:r w:rsidR="009B1997" w:rsidRPr="00250F9A">
        <w:t xml:space="preserve">0 </w:t>
      </w:r>
      <w:r w:rsidRPr="00250F9A">
        <w:t xml:space="preserve">percent for children’s grades, </w:t>
      </w:r>
      <w:r w:rsidR="009B1997" w:rsidRPr="00250F9A">
        <w:t>97</w:t>
      </w:r>
      <w:r w:rsidRPr="00250F9A">
        <w:t>.</w:t>
      </w:r>
      <w:r w:rsidR="009B1997" w:rsidRPr="00250F9A">
        <w:t xml:space="preserve">6 </w:t>
      </w:r>
      <w:r w:rsidRPr="00250F9A">
        <w:t xml:space="preserve">percent for out-of-school suspension, and </w:t>
      </w:r>
      <w:r w:rsidR="009B1997" w:rsidRPr="00250F9A">
        <w:t>97</w:t>
      </w:r>
      <w:r w:rsidRPr="00250F9A">
        <w:t>.</w:t>
      </w:r>
      <w:r w:rsidR="009B1997" w:rsidRPr="00250F9A">
        <w:t xml:space="preserve">5 </w:t>
      </w:r>
      <w:r w:rsidRPr="00250F9A">
        <w:t>percent for expulsion.</w:t>
      </w:r>
    </w:p>
    <w:p w:rsidR="008478A9" w:rsidRDefault="008478A9" w:rsidP="007C3889">
      <w:pPr>
        <w:pStyle w:val="P1-StandPara"/>
        <w:spacing w:line="23" w:lineRule="atLeast"/>
      </w:pPr>
    </w:p>
    <w:p w:rsidR="008478A9" w:rsidRDefault="008478A9" w:rsidP="007C3889">
      <w:pPr>
        <w:pStyle w:val="P1-StandPara"/>
        <w:spacing w:line="23" w:lineRule="atLeast"/>
      </w:pPr>
      <w:r>
        <w:t xml:space="preserve">Another element of the surveys that may be sensitive to some parents is the identification of children’s schools. This feature allows analysts to link the NHES data to other NCES datasets containing additional </w:t>
      </w:r>
      <w:r w:rsidR="00155557">
        <w:t>information</w:t>
      </w:r>
      <w:r>
        <w:t xml:space="preserve"> about schools, greatly enhancing the ability to examine the relationships between students’ and families’ experiences and the characteristics of schools. </w:t>
      </w:r>
      <w:r w:rsidR="009B150C">
        <w:t>The</w:t>
      </w:r>
      <w:r>
        <w:t xml:space="preserve"> item response rate for </w:t>
      </w:r>
      <w:r w:rsidRPr="00A70C4F">
        <w:t xml:space="preserve">the identification of the child’s school was </w:t>
      </w:r>
      <w:r w:rsidR="00D459B1">
        <w:t>97.0</w:t>
      </w:r>
      <w:r w:rsidRPr="00A70C4F">
        <w:t> percent</w:t>
      </w:r>
      <w:r w:rsidR="009B150C">
        <w:t xml:space="preserve"> in 2012</w:t>
      </w:r>
      <w:r>
        <w:t>.</w:t>
      </w:r>
    </w:p>
    <w:p w:rsidR="008478A9" w:rsidRDefault="008478A9" w:rsidP="007C3889">
      <w:pPr>
        <w:pStyle w:val="P1-StandPara"/>
        <w:spacing w:line="23" w:lineRule="atLeast"/>
        <w:ind w:firstLine="0"/>
      </w:pPr>
    </w:p>
    <w:p w:rsidR="008478A9" w:rsidRDefault="008478A9" w:rsidP="007C3889">
      <w:pPr>
        <w:pStyle w:val="Heading1"/>
        <w:spacing w:after="240" w:line="240" w:lineRule="auto"/>
        <w:ind w:left="0" w:firstLine="0"/>
      </w:pPr>
      <w:bookmarkStart w:id="20" w:name="_Toc61176388"/>
      <w:bookmarkStart w:id="21" w:name="_Toc222888897"/>
      <w:r>
        <w:t>A.</w:t>
      </w:r>
      <w:r w:rsidR="0068462A">
        <w:t>9</w:t>
      </w:r>
      <w:r>
        <w:tab/>
        <w:t>Estimated Response Burden</w:t>
      </w:r>
      <w:bookmarkEnd w:id="20"/>
      <w:bookmarkEnd w:id="21"/>
    </w:p>
    <w:p w:rsidR="008478A9" w:rsidRDefault="00CC40D7" w:rsidP="007C3889">
      <w:pPr>
        <w:pStyle w:val="P1-StandPara"/>
        <w:spacing w:line="23" w:lineRule="atLeast"/>
        <w:jc w:val="left"/>
      </w:pPr>
      <w:r>
        <w:t xml:space="preserve">The response burden per instrument and the total response burden are shown in table </w:t>
      </w:r>
      <w:r w:rsidR="00700A6A">
        <w:t>1</w:t>
      </w:r>
      <w:r>
        <w:t xml:space="preserve">. The administration times for the screener, </w:t>
      </w:r>
      <w:r w:rsidR="0004232F">
        <w:t>ATES</w:t>
      </w:r>
      <w:r>
        <w:t xml:space="preserve">, and </w:t>
      </w:r>
      <w:r w:rsidR="0004232F">
        <w:t>ASPA</w:t>
      </w:r>
      <w:r>
        <w:t xml:space="preserve"> questionnaires are based on practice administrations</w:t>
      </w:r>
      <w:r w:rsidR="00C03924">
        <w:t xml:space="preserve"> and past experience</w:t>
      </w:r>
      <w:r>
        <w:t>.</w:t>
      </w:r>
      <w:r w:rsidR="001E62CC">
        <w:t xml:space="preserve"> </w:t>
      </w:r>
      <w:r>
        <w:t xml:space="preserve">The expected number of respondents and number of responses are based on the expected numbers of completed surveys of each type, discussed in section </w:t>
      </w:r>
      <w:r w:rsidRPr="00A54D78">
        <w:t>B.1.</w:t>
      </w:r>
      <w:r w:rsidR="00A54D78" w:rsidRPr="00A54D78">
        <w:t>3</w:t>
      </w:r>
      <w:r>
        <w:t>. The hourly rate of $</w:t>
      </w:r>
      <w:r w:rsidRPr="008340C2">
        <w:t>2</w:t>
      </w:r>
      <w:r w:rsidR="0004232F" w:rsidRPr="008340C2">
        <w:t>1</w:t>
      </w:r>
      <w:r w:rsidRPr="008340C2">
        <w:t>.</w:t>
      </w:r>
      <w:r w:rsidR="0004232F" w:rsidRPr="008340C2">
        <w:t>50</w:t>
      </w:r>
      <w:r>
        <w:t xml:space="preserve"> is based on the average for all civilian workers from the </w:t>
      </w:r>
      <w:r w:rsidR="0004232F">
        <w:t>March 2</w:t>
      </w:r>
      <w:r>
        <w:t>01</w:t>
      </w:r>
      <w:r w:rsidR="0004232F">
        <w:t>3</w:t>
      </w:r>
      <w:r>
        <w:t xml:space="preserve"> National Compensation Survey (</w:t>
      </w:r>
      <w:hyperlink r:id="rId27" w:history="1">
        <w:r w:rsidR="0004232F">
          <w:rPr>
            <w:rStyle w:val="Hyperlink"/>
          </w:rPr>
          <w:t>http://www.bls.gov/news.release/ecec.t02.htm</w:t>
        </w:r>
      </w:hyperlink>
      <w:r>
        <w:t>). There are no other costs to respondents</w:t>
      </w:r>
      <w:r w:rsidR="006814A7">
        <w:t xml:space="preserve">. </w:t>
      </w:r>
      <w:r>
        <w:t>There are also no recordkeeping requirements associated with NHES</w:t>
      </w:r>
      <w:r w:rsidR="006814A7">
        <w:t xml:space="preserve">. </w:t>
      </w:r>
      <w:r>
        <w:t>For the NHES</w:t>
      </w:r>
      <w:r w:rsidR="00A54D78">
        <w:t>-FS</w:t>
      </w:r>
      <w:r>
        <w:t>, a total of</w:t>
      </w:r>
      <w:r w:rsidR="00A54D78">
        <w:t xml:space="preserve"> </w:t>
      </w:r>
      <w:r w:rsidR="00C820CB">
        <w:t>11,26</w:t>
      </w:r>
      <w:r w:rsidR="00867FDF">
        <w:t>9</w:t>
      </w:r>
      <w:r>
        <w:t xml:space="preserve"> burden hours are anticipated, resulting in a </w:t>
      </w:r>
      <w:r w:rsidR="009063D4">
        <w:t xml:space="preserve">burden </w:t>
      </w:r>
      <w:r>
        <w:t xml:space="preserve">cost to respondents of approximately </w:t>
      </w:r>
      <w:r w:rsidRPr="00C820CB">
        <w:t>$</w:t>
      </w:r>
      <w:r w:rsidR="00A54D78" w:rsidRPr="00C820CB">
        <w:t>2</w:t>
      </w:r>
      <w:r w:rsidR="00C820CB" w:rsidRPr="00C820CB">
        <w:t>4</w:t>
      </w:r>
      <w:r w:rsidR="00A54D78" w:rsidRPr="00C820CB">
        <w:t>2,</w:t>
      </w:r>
      <w:r w:rsidR="00867FDF">
        <w:t>284</w:t>
      </w:r>
      <w:r w:rsidRPr="00C820CB">
        <w:t>.</w:t>
      </w:r>
    </w:p>
    <w:p w:rsidR="007C3889" w:rsidRDefault="007C3889" w:rsidP="007C3889">
      <w:pPr>
        <w:pStyle w:val="P1-StandPara"/>
        <w:spacing w:line="23" w:lineRule="atLeast"/>
        <w:jc w:val="left"/>
      </w:pPr>
    </w:p>
    <w:p w:rsidR="00700A6A" w:rsidRDefault="00700A6A" w:rsidP="00CC40D7">
      <w:pPr>
        <w:pStyle w:val="P1-StandPara"/>
        <w:jc w:val="left"/>
      </w:pPr>
    </w:p>
    <w:p w:rsidR="00CC40D7" w:rsidRDefault="00700A6A" w:rsidP="007C3889">
      <w:pPr>
        <w:pStyle w:val="TT-TableTitle"/>
        <w:keepNext/>
        <w:keepLines/>
      </w:pPr>
      <w:bookmarkStart w:id="22" w:name="_Toc418057945"/>
      <w:bookmarkStart w:id="23" w:name="_Toc61176389"/>
      <w:bookmarkStart w:id="24" w:name="_Toc418057946"/>
      <w:r>
        <w:t>Table 1.</w:t>
      </w:r>
      <w:r>
        <w:t> </w:t>
      </w:r>
      <w:r>
        <w:t> </w:t>
      </w:r>
      <w:r>
        <w:t>Estimated response burden for NHE</w:t>
      </w:r>
      <w:r w:rsidR="00535616">
        <w:t>S Feasibility Study</w:t>
      </w:r>
      <w:bookmarkStart w:id="25" w:name="_Toc222888898"/>
    </w:p>
    <w:tbl>
      <w:tblPr>
        <w:tblW w:w="5000" w:type="pct"/>
        <w:tblCellMar>
          <w:left w:w="0" w:type="dxa"/>
          <w:right w:w="0" w:type="dxa"/>
        </w:tblCellMar>
        <w:tblLook w:val="04A0" w:firstRow="1" w:lastRow="0" w:firstColumn="1" w:lastColumn="0" w:noHBand="0" w:noVBand="1"/>
      </w:tblPr>
      <w:tblGrid>
        <w:gridCol w:w="2300"/>
        <w:gridCol w:w="1211"/>
        <w:gridCol w:w="1756"/>
        <w:gridCol w:w="1243"/>
        <w:gridCol w:w="1537"/>
        <w:gridCol w:w="1182"/>
        <w:gridCol w:w="1211"/>
      </w:tblGrid>
      <w:tr w:rsidR="00CC40D7" w:rsidTr="001B6AF6">
        <w:trPr>
          <w:cantSplit/>
        </w:trPr>
        <w:tc>
          <w:tcPr>
            <w:tcW w:w="1102" w:type="pct"/>
            <w:tcBorders>
              <w:top w:val="single" w:sz="24" w:space="0" w:color="auto"/>
              <w:left w:val="nil"/>
              <w:bottom w:val="single" w:sz="18" w:space="0" w:color="auto"/>
              <w:right w:val="nil"/>
            </w:tcBorders>
            <w:tcMar>
              <w:top w:w="0" w:type="dxa"/>
              <w:left w:w="108" w:type="dxa"/>
              <w:bottom w:w="0" w:type="dxa"/>
              <w:right w:w="108" w:type="dxa"/>
            </w:tcMar>
            <w:vAlign w:val="bottom"/>
            <w:hideMark/>
          </w:tcPr>
          <w:p w:rsidR="00CC40D7" w:rsidRDefault="00CC40D7">
            <w:pPr>
              <w:pStyle w:val="SL-FlLftSgl"/>
              <w:keepNext/>
              <w:jc w:val="left"/>
            </w:pPr>
            <w:r>
              <w:t>Interview forms</w:t>
            </w:r>
          </w:p>
        </w:tc>
        <w:tc>
          <w:tcPr>
            <w:tcW w:w="580" w:type="pct"/>
            <w:tcBorders>
              <w:top w:val="single" w:sz="24" w:space="0" w:color="auto"/>
              <w:left w:val="nil"/>
              <w:bottom w:val="single" w:sz="18" w:space="0" w:color="auto"/>
              <w:right w:val="nil"/>
            </w:tcBorders>
            <w:tcMar>
              <w:top w:w="0" w:type="dxa"/>
              <w:left w:w="108" w:type="dxa"/>
              <w:bottom w:w="0" w:type="dxa"/>
              <w:right w:w="108" w:type="dxa"/>
            </w:tcMar>
            <w:vAlign w:val="bottom"/>
            <w:hideMark/>
          </w:tcPr>
          <w:p w:rsidR="00CC40D7" w:rsidRDefault="00CC40D7">
            <w:pPr>
              <w:pStyle w:val="SL-FlLftSgl"/>
              <w:keepNext/>
              <w:jc w:val="right"/>
            </w:pPr>
            <w:r>
              <w:t>Estimated time (minutes)</w:t>
            </w:r>
          </w:p>
        </w:tc>
        <w:tc>
          <w:tcPr>
            <w:tcW w:w="841" w:type="pct"/>
            <w:tcBorders>
              <w:top w:val="single" w:sz="24" w:space="0" w:color="auto"/>
              <w:left w:val="nil"/>
              <w:bottom w:val="single" w:sz="18" w:space="0" w:color="auto"/>
              <w:right w:val="nil"/>
            </w:tcBorders>
            <w:tcMar>
              <w:top w:w="0" w:type="dxa"/>
              <w:left w:w="108" w:type="dxa"/>
              <w:bottom w:w="0" w:type="dxa"/>
              <w:right w:w="108" w:type="dxa"/>
            </w:tcMar>
            <w:vAlign w:val="bottom"/>
            <w:hideMark/>
          </w:tcPr>
          <w:p w:rsidR="00CC40D7" w:rsidRDefault="00CC40D7">
            <w:pPr>
              <w:pStyle w:val="SL-FlLftSgl"/>
              <w:keepNext/>
              <w:jc w:val="right"/>
            </w:pPr>
            <w:r>
              <w:t>Number sampled</w:t>
            </w:r>
          </w:p>
        </w:tc>
        <w:tc>
          <w:tcPr>
            <w:tcW w:w="595" w:type="pct"/>
            <w:tcBorders>
              <w:top w:val="single" w:sz="24" w:space="0" w:color="auto"/>
              <w:left w:val="nil"/>
              <w:bottom w:val="single" w:sz="18" w:space="0" w:color="auto"/>
              <w:right w:val="nil"/>
            </w:tcBorders>
            <w:tcMar>
              <w:top w:w="0" w:type="dxa"/>
              <w:left w:w="108" w:type="dxa"/>
              <w:bottom w:w="0" w:type="dxa"/>
              <w:right w:w="108" w:type="dxa"/>
            </w:tcMar>
            <w:hideMark/>
          </w:tcPr>
          <w:p w:rsidR="00CC40D7" w:rsidRDefault="00CC40D7">
            <w:pPr>
              <w:pStyle w:val="SL-FlLftSgl"/>
              <w:keepNext/>
              <w:jc w:val="right"/>
            </w:pPr>
            <w:r>
              <w:t>Anticipated Response Rate</w:t>
            </w:r>
          </w:p>
        </w:tc>
        <w:tc>
          <w:tcPr>
            <w:tcW w:w="736" w:type="pct"/>
            <w:tcBorders>
              <w:top w:val="single" w:sz="24" w:space="0" w:color="auto"/>
              <w:left w:val="nil"/>
              <w:bottom w:val="single" w:sz="18" w:space="0" w:color="auto"/>
              <w:right w:val="nil"/>
            </w:tcBorders>
            <w:tcMar>
              <w:top w:w="0" w:type="dxa"/>
              <w:left w:w="108" w:type="dxa"/>
              <w:bottom w:w="0" w:type="dxa"/>
              <w:right w:w="108" w:type="dxa"/>
            </w:tcMar>
            <w:hideMark/>
          </w:tcPr>
          <w:p w:rsidR="00CC40D7" w:rsidRDefault="00CC40D7">
            <w:pPr>
              <w:pStyle w:val="SL-FlLftSgl"/>
              <w:keepNext/>
              <w:jc w:val="right"/>
            </w:pPr>
            <w:r>
              <w:t>Estimated Number of respondents</w:t>
            </w:r>
          </w:p>
        </w:tc>
        <w:tc>
          <w:tcPr>
            <w:tcW w:w="566" w:type="pct"/>
            <w:tcBorders>
              <w:top w:val="single" w:sz="24" w:space="0" w:color="auto"/>
              <w:left w:val="nil"/>
              <w:bottom w:val="single" w:sz="18" w:space="0" w:color="auto"/>
              <w:right w:val="nil"/>
            </w:tcBorders>
            <w:tcMar>
              <w:top w:w="0" w:type="dxa"/>
              <w:left w:w="108" w:type="dxa"/>
              <w:bottom w:w="0" w:type="dxa"/>
              <w:right w:w="108" w:type="dxa"/>
            </w:tcMar>
            <w:vAlign w:val="bottom"/>
            <w:hideMark/>
          </w:tcPr>
          <w:p w:rsidR="00CC40D7" w:rsidRDefault="00CC40D7">
            <w:pPr>
              <w:pStyle w:val="SL-FlLftSgl"/>
              <w:keepNext/>
              <w:jc w:val="right"/>
            </w:pPr>
            <w:r>
              <w:t>Estimated Number of responses</w:t>
            </w:r>
          </w:p>
        </w:tc>
        <w:tc>
          <w:tcPr>
            <w:tcW w:w="580" w:type="pct"/>
            <w:tcBorders>
              <w:top w:val="single" w:sz="24" w:space="0" w:color="auto"/>
              <w:left w:val="nil"/>
              <w:bottom w:val="single" w:sz="18" w:space="0" w:color="auto"/>
              <w:right w:val="nil"/>
            </w:tcBorders>
            <w:tcMar>
              <w:top w:w="0" w:type="dxa"/>
              <w:left w:w="108" w:type="dxa"/>
              <w:bottom w:w="0" w:type="dxa"/>
              <w:right w:w="108" w:type="dxa"/>
            </w:tcMar>
            <w:vAlign w:val="bottom"/>
            <w:hideMark/>
          </w:tcPr>
          <w:p w:rsidR="00CC40D7" w:rsidRDefault="00CC40D7">
            <w:pPr>
              <w:pStyle w:val="SL-FlLftSgl"/>
              <w:keepNext/>
              <w:jc w:val="right"/>
            </w:pPr>
            <w:r>
              <w:t>Total time (hours)</w:t>
            </w:r>
          </w:p>
        </w:tc>
      </w:tr>
      <w:tr w:rsidR="001E62CC" w:rsidTr="00D87E77">
        <w:trPr>
          <w:cantSplit/>
          <w:trHeight w:hRule="exact" w:val="130"/>
        </w:trPr>
        <w:tc>
          <w:tcPr>
            <w:tcW w:w="1102" w:type="pct"/>
            <w:tcMar>
              <w:top w:w="0" w:type="dxa"/>
              <w:left w:w="108" w:type="dxa"/>
              <w:bottom w:w="0" w:type="dxa"/>
              <w:right w:w="108" w:type="dxa"/>
            </w:tcMar>
            <w:hideMark/>
          </w:tcPr>
          <w:p w:rsidR="001E62CC" w:rsidRPr="00F97D82" w:rsidRDefault="001E62CC">
            <w:pPr>
              <w:spacing w:line="240" w:lineRule="auto"/>
              <w:jc w:val="left"/>
              <w:rPr>
                <w:rFonts w:ascii="Calibri" w:hAnsi="Calibri"/>
                <w:szCs w:val="22"/>
              </w:rPr>
            </w:pPr>
          </w:p>
        </w:tc>
        <w:tc>
          <w:tcPr>
            <w:tcW w:w="580" w:type="pct"/>
            <w:tcMar>
              <w:top w:w="0" w:type="dxa"/>
              <w:left w:w="108" w:type="dxa"/>
              <w:bottom w:w="0" w:type="dxa"/>
              <w:right w:w="108" w:type="dxa"/>
            </w:tcMar>
          </w:tcPr>
          <w:p w:rsidR="001E62CC" w:rsidRDefault="001E62CC">
            <w:pPr>
              <w:pStyle w:val="SL-FlLftSgl"/>
              <w:keepNext/>
              <w:jc w:val="right"/>
            </w:pPr>
          </w:p>
        </w:tc>
        <w:tc>
          <w:tcPr>
            <w:tcW w:w="841" w:type="pct"/>
            <w:shd w:val="clear" w:color="auto" w:fill="auto"/>
            <w:tcMar>
              <w:top w:w="0" w:type="dxa"/>
              <w:left w:w="108" w:type="dxa"/>
              <w:bottom w:w="0" w:type="dxa"/>
              <w:right w:w="108" w:type="dxa"/>
            </w:tcMar>
          </w:tcPr>
          <w:p w:rsidR="001E62CC" w:rsidRPr="00D87E77" w:rsidRDefault="001E62CC">
            <w:pPr>
              <w:pStyle w:val="SL-FlLftSgl"/>
              <w:keepNext/>
              <w:jc w:val="right"/>
            </w:pPr>
          </w:p>
        </w:tc>
        <w:tc>
          <w:tcPr>
            <w:tcW w:w="595" w:type="pct"/>
            <w:shd w:val="clear" w:color="auto" w:fill="auto"/>
            <w:tcMar>
              <w:top w:w="0" w:type="dxa"/>
              <w:left w:w="108" w:type="dxa"/>
              <w:bottom w:w="0" w:type="dxa"/>
              <w:right w:w="108" w:type="dxa"/>
            </w:tcMar>
          </w:tcPr>
          <w:p w:rsidR="001E62CC" w:rsidRPr="00D87E77" w:rsidRDefault="001E62CC">
            <w:pPr>
              <w:pStyle w:val="SL-FlLftSgl"/>
              <w:keepNext/>
              <w:jc w:val="right"/>
            </w:pPr>
          </w:p>
        </w:tc>
        <w:tc>
          <w:tcPr>
            <w:tcW w:w="736" w:type="pct"/>
            <w:shd w:val="clear" w:color="auto" w:fill="auto"/>
            <w:tcMar>
              <w:top w:w="0" w:type="dxa"/>
              <w:left w:w="108" w:type="dxa"/>
              <w:bottom w:w="0" w:type="dxa"/>
              <w:right w:w="108" w:type="dxa"/>
            </w:tcMar>
          </w:tcPr>
          <w:p w:rsidR="001E62CC" w:rsidRPr="00D87E77" w:rsidRDefault="001E62CC">
            <w:pPr>
              <w:pStyle w:val="SL-FlLftSgl"/>
              <w:keepNext/>
              <w:jc w:val="right"/>
            </w:pPr>
          </w:p>
        </w:tc>
        <w:tc>
          <w:tcPr>
            <w:tcW w:w="566" w:type="pct"/>
            <w:shd w:val="clear" w:color="auto" w:fill="auto"/>
            <w:tcMar>
              <w:top w:w="0" w:type="dxa"/>
              <w:left w:w="108" w:type="dxa"/>
              <w:bottom w:w="0" w:type="dxa"/>
              <w:right w:w="108" w:type="dxa"/>
            </w:tcMar>
          </w:tcPr>
          <w:p w:rsidR="001E62CC" w:rsidRPr="00D87E77" w:rsidRDefault="001E62CC">
            <w:pPr>
              <w:pStyle w:val="SL-FlLftSgl"/>
              <w:keepNext/>
              <w:jc w:val="right"/>
            </w:pPr>
          </w:p>
        </w:tc>
        <w:tc>
          <w:tcPr>
            <w:tcW w:w="580" w:type="pct"/>
            <w:shd w:val="clear" w:color="auto" w:fill="auto"/>
            <w:tcMar>
              <w:top w:w="0" w:type="dxa"/>
              <w:left w:w="108" w:type="dxa"/>
              <w:bottom w:w="0" w:type="dxa"/>
              <w:right w:w="108" w:type="dxa"/>
            </w:tcMar>
          </w:tcPr>
          <w:p w:rsidR="001E62CC" w:rsidRPr="00D87E77" w:rsidRDefault="001E62CC">
            <w:pPr>
              <w:pStyle w:val="SL-FlLftSgl"/>
              <w:keepNext/>
              <w:jc w:val="right"/>
            </w:pPr>
          </w:p>
        </w:tc>
      </w:tr>
      <w:tr w:rsidR="001B6AF6" w:rsidTr="00D87E77">
        <w:trPr>
          <w:cantSplit/>
        </w:trPr>
        <w:tc>
          <w:tcPr>
            <w:tcW w:w="1102" w:type="pct"/>
            <w:tcMar>
              <w:top w:w="0" w:type="dxa"/>
              <w:left w:w="108" w:type="dxa"/>
              <w:bottom w:w="0" w:type="dxa"/>
              <w:right w:w="108" w:type="dxa"/>
            </w:tcMar>
            <w:hideMark/>
          </w:tcPr>
          <w:p w:rsidR="001B6AF6" w:rsidRDefault="001B6AF6">
            <w:pPr>
              <w:pStyle w:val="SL-FlLftSgl"/>
              <w:keepNext/>
              <w:ind w:left="346" w:hanging="346"/>
            </w:pPr>
            <w:r>
              <w:t>Screener (average)</w:t>
            </w:r>
          </w:p>
        </w:tc>
        <w:tc>
          <w:tcPr>
            <w:tcW w:w="580" w:type="pct"/>
            <w:tcMar>
              <w:top w:w="0" w:type="dxa"/>
              <w:left w:w="108" w:type="dxa"/>
              <w:bottom w:w="0" w:type="dxa"/>
              <w:right w:w="108" w:type="dxa"/>
            </w:tcMar>
            <w:hideMark/>
          </w:tcPr>
          <w:p w:rsidR="001B6AF6" w:rsidRPr="00F9525E" w:rsidRDefault="009B150C">
            <w:pPr>
              <w:pStyle w:val="SL-FlLftSgl"/>
              <w:keepNext/>
              <w:jc w:val="right"/>
            </w:pPr>
            <w:r w:rsidRPr="00F9525E">
              <w:t>8</w:t>
            </w:r>
          </w:p>
        </w:tc>
        <w:tc>
          <w:tcPr>
            <w:tcW w:w="841" w:type="pct"/>
            <w:shd w:val="clear" w:color="auto" w:fill="auto"/>
            <w:tcMar>
              <w:top w:w="0" w:type="dxa"/>
              <w:left w:w="108" w:type="dxa"/>
              <w:bottom w:w="0" w:type="dxa"/>
              <w:right w:w="108" w:type="dxa"/>
            </w:tcMar>
            <w:hideMark/>
          </w:tcPr>
          <w:p w:rsidR="001B6AF6" w:rsidRPr="00D87E77" w:rsidRDefault="001B6AF6">
            <w:pPr>
              <w:pStyle w:val="SL-FlLftSgl"/>
              <w:keepNext/>
              <w:jc w:val="right"/>
            </w:pPr>
            <w:r w:rsidRPr="00D87E77">
              <w:t>60,000*</w:t>
            </w:r>
            <w:r w:rsidR="00221A9A">
              <w:t xml:space="preserve"> (</w:t>
            </w:r>
            <w:r w:rsidR="00221A9A" w:rsidRPr="00221A9A">
              <w:rPr>
                <w:szCs w:val="22"/>
              </w:rPr>
              <w:t>53,400</w:t>
            </w:r>
            <w:r w:rsidR="00221A9A">
              <w:t>)</w:t>
            </w:r>
          </w:p>
        </w:tc>
        <w:tc>
          <w:tcPr>
            <w:tcW w:w="595" w:type="pct"/>
            <w:shd w:val="clear" w:color="auto" w:fill="auto"/>
            <w:tcMar>
              <w:top w:w="0" w:type="dxa"/>
              <w:left w:w="108" w:type="dxa"/>
              <w:bottom w:w="0" w:type="dxa"/>
              <w:right w:w="108" w:type="dxa"/>
            </w:tcMar>
          </w:tcPr>
          <w:p w:rsidR="001B6AF6" w:rsidRPr="00D87E77" w:rsidRDefault="00DF2F6F">
            <w:pPr>
              <w:pStyle w:val="SL-FlLftSgl"/>
              <w:keepNext/>
              <w:jc w:val="right"/>
            </w:pPr>
            <w:r w:rsidRPr="00D87E77">
              <w:t>71%</w:t>
            </w:r>
          </w:p>
        </w:tc>
        <w:tc>
          <w:tcPr>
            <w:tcW w:w="736" w:type="pct"/>
            <w:shd w:val="clear" w:color="auto" w:fill="auto"/>
            <w:tcMar>
              <w:top w:w="0" w:type="dxa"/>
              <w:left w:w="108" w:type="dxa"/>
              <w:bottom w:w="0" w:type="dxa"/>
              <w:right w:w="108" w:type="dxa"/>
            </w:tcMar>
          </w:tcPr>
          <w:p w:rsidR="001B6AF6" w:rsidRPr="00221A9A" w:rsidRDefault="00DF2F6F">
            <w:pPr>
              <w:pStyle w:val="SL-FlLftSgl"/>
              <w:keepNext/>
              <w:jc w:val="right"/>
              <w:rPr>
                <w:b/>
              </w:rPr>
            </w:pPr>
            <w:r w:rsidRPr="00221A9A">
              <w:rPr>
                <w:b/>
              </w:rPr>
              <w:t>37,914</w:t>
            </w:r>
          </w:p>
        </w:tc>
        <w:tc>
          <w:tcPr>
            <w:tcW w:w="566" w:type="pct"/>
            <w:shd w:val="clear" w:color="auto" w:fill="auto"/>
            <w:tcMar>
              <w:top w:w="0" w:type="dxa"/>
              <w:left w:w="108" w:type="dxa"/>
              <w:bottom w:w="0" w:type="dxa"/>
              <w:right w:w="108" w:type="dxa"/>
            </w:tcMar>
          </w:tcPr>
          <w:p w:rsidR="001B6AF6" w:rsidRPr="00D87E77" w:rsidRDefault="00DF2F6F">
            <w:pPr>
              <w:pStyle w:val="SL-FlLftSgl"/>
              <w:keepNext/>
              <w:jc w:val="right"/>
            </w:pPr>
            <w:r w:rsidRPr="00D87E77">
              <w:t>37,914</w:t>
            </w:r>
          </w:p>
        </w:tc>
        <w:tc>
          <w:tcPr>
            <w:tcW w:w="580" w:type="pct"/>
            <w:shd w:val="clear" w:color="auto" w:fill="auto"/>
            <w:tcMar>
              <w:top w:w="0" w:type="dxa"/>
              <w:left w:w="108" w:type="dxa"/>
              <w:bottom w:w="0" w:type="dxa"/>
              <w:right w:w="108" w:type="dxa"/>
            </w:tcMar>
          </w:tcPr>
          <w:p w:rsidR="001B6AF6" w:rsidRPr="00D87E77" w:rsidRDefault="00056044">
            <w:pPr>
              <w:pStyle w:val="SL-FlLftSgl"/>
              <w:keepNext/>
              <w:jc w:val="right"/>
            </w:pPr>
            <w:r w:rsidRPr="00D87E77">
              <w:t>5,055</w:t>
            </w:r>
          </w:p>
        </w:tc>
      </w:tr>
      <w:tr w:rsidR="00D87E77" w:rsidTr="00D87E77">
        <w:trPr>
          <w:cantSplit/>
          <w:trHeight w:val="324"/>
        </w:trPr>
        <w:tc>
          <w:tcPr>
            <w:tcW w:w="1102" w:type="pct"/>
            <w:tcMar>
              <w:top w:w="0" w:type="dxa"/>
              <w:left w:w="108" w:type="dxa"/>
              <w:bottom w:w="0" w:type="dxa"/>
              <w:right w:w="108" w:type="dxa"/>
            </w:tcMar>
            <w:hideMark/>
          </w:tcPr>
          <w:p w:rsidR="00D87E77" w:rsidRDefault="00D87E77">
            <w:pPr>
              <w:pStyle w:val="SL-FlLftSgl"/>
              <w:keepNext/>
              <w:ind w:left="346" w:hanging="346"/>
            </w:pPr>
            <w:r>
              <w:t>ATES questionnaire – national sample</w:t>
            </w:r>
          </w:p>
        </w:tc>
        <w:tc>
          <w:tcPr>
            <w:tcW w:w="580" w:type="pct"/>
            <w:tcMar>
              <w:top w:w="0" w:type="dxa"/>
              <w:left w:w="108" w:type="dxa"/>
              <w:bottom w:w="0" w:type="dxa"/>
              <w:right w:w="108" w:type="dxa"/>
            </w:tcMar>
            <w:hideMark/>
          </w:tcPr>
          <w:p w:rsidR="00D87E77" w:rsidRPr="00F9525E" w:rsidRDefault="00D87E77">
            <w:pPr>
              <w:pStyle w:val="SL-FlLftSgl"/>
              <w:keepNext/>
              <w:jc w:val="right"/>
            </w:pPr>
            <w:r w:rsidRPr="00F9525E">
              <w:t>15</w:t>
            </w:r>
          </w:p>
        </w:tc>
        <w:tc>
          <w:tcPr>
            <w:tcW w:w="841" w:type="pct"/>
            <w:shd w:val="clear" w:color="auto" w:fill="auto"/>
            <w:tcMar>
              <w:top w:w="0" w:type="dxa"/>
              <w:left w:w="108" w:type="dxa"/>
              <w:bottom w:w="0" w:type="dxa"/>
              <w:right w:w="108" w:type="dxa"/>
            </w:tcMar>
            <w:hideMark/>
          </w:tcPr>
          <w:p w:rsidR="00D87E77" w:rsidRPr="00D87E77" w:rsidRDefault="00D87E77" w:rsidP="00CB1419">
            <w:pPr>
              <w:pStyle w:val="SL-FlLftSgl"/>
              <w:keepNext/>
              <w:jc w:val="right"/>
            </w:pPr>
            <w:r w:rsidRPr="00D87E77">
              <w:t>13,</w:t>
            </w:r>
            <w:r w:rsidR="00CB1419">
              <w:t>98</w:t>
            </w:r>
            <w:r w:rsidRPr="00D87E77">
              <w:t>7</w:t>
            </w:r>
          </w:p>
        </w:tc>
        <w:tc>
          <w:tcPr>
            <w:tcW w:w="595" w:type="pct"/>
            <w:shd w:val="clear" w:color="auto" w:fill="auto"/>
            <w:tcMar>
              <w:top w:w="0" w:type="dxa"/>
              <w:left w:w="108" w:type="dxa"/>
              <w:bottom w:w="0" w:type="dxa"/>
              <w:right w:w="108" w:type="dxa"/>
            </w:tcMar>
          </w:tcPr>
          <w:p w:rsidR="00D87E77" w:rsidRPr="00D87E77" w:rsidRDefault="00D87E77">
            <w:pPr>
              <w:pStyle w:val="SL-FlLftSgl"/>
              <w:keepNext/>
              <w:jc w:val="right"/>
            </w:pPr>
            <w:r w:rsidRPr="00D87E77">
              <w:t>70%</w:t>
            </w:r>
          </w:p>
        </w:tc>
        <w:tc>
          <w:tcPr>
            <w:tcW w:w="736" w:type="pct"/>
            <w:shd w:val="clear" w:color="auto" w:fill="auto"/>
            <w:tcMar>
              <w:top w:w="0" w:type="dxa"/>
              <w:left w:w="108" w:type="dxa"/>
              <w:bottom w:w="0" w:type="dxa"/>
              <w:right w:w="108" w:type="dxa"/>
            </w:tcMar>
          </w:tcPr>
          <w:p w:rsidR="00D87E77" w:rsidRPr="00D87E77" w:rsidRDefault="00D87E77" w:rsidP="00D87E77">
            <w:pPr>
              <w:pStyle w:val="SL-FlLftSgl"/>
              <w:keepNext/>
              <w:jc w:val="right"/>
            </w:pPr>
            <w:r w:rsidRPr="00D87E77">
              <w:t>9,791</w:t>
            </w:r>
          </w:p>
        </w:tc>
        <w:tc>
          <w:tcPr>
            <w:tcW w:w="566" w:type="pct"/>
            <w:shd w:val="clear" w:color="auto" w:fill="auto"/>
            <w:tcMar>
              <w:top w:w="0" w:type="dxa"/>
              <w:left w:w="108" w:type="dxa"/>
              <w:bottom w:w="0" w:type="dxa"/>
              <w:right w:w="108" w:type="dxa"/>
            </w:tcMar>
          </w:tcPr>
          <w:p w:rsidR="00D87E77" w:rsidRPr="00D87E77" w:rsidRDefault="00D87E77" w:rsidP="006946B8">
            <w:pPr>
              <w:pStyle w:val="SL-FlLftSgl"/>
              <w:keepNext/>
              <w:jc w:val="right"/>
            </w:pPr>
            <w:r w:rsidRPr="00D87E77">
              <w:t>9,791</w:t>
            </w:r>
          </w:p>
        </w:tc>
        <w:tc>
          <w:tcPr>
            <w:tcW w:w="580" w:type="pct"/>
            <w:shd w:val="clear" w:color="auto" w:fill="auto"/>
            <w:tcMar>
              <w:top w:w="0" w:type="dxa"/>
              <w:left w:w="108" w:type="dxa"/>
              <w:bottom w:w="0" w:type="dxa"/>
              <w:right w:w="108" w:type="dxa"/>
            </w:tcMar>
          </w:tcPr>
          <w:p w:rsidR="00D87E77" w:rsidRPr="00D87E77" w:rsidRDefault="00D87E77">
            <w:pPr>
              <w:pStyle w:val="SL-FlLftSgl"/>
              <w:keepNext/>
              <w:jc w:val="right"/>
            </w:pPr>
            <w:r w:rsidRPr="00D87E77">
              <w:t>2,448</w:t>
            </w:r>
          </w:p>
        </w:tc>
      </w:tr>
      <w:tr w:rsidR="00D87E77" w:rsidTr="00D87E77">
        <w:trPr>
          <w:cantSplit/>
          <w:trHeight w:val="315"/>
        </w:trPr>
        <w:tc>
          <w:tcPr>
            <w:tcW w:w="1102" w:type="pct"/>
            <w:tcBorders>
              <w:top w:val="nil"/>
              <w:left w:val="nil"/>
              <w:right w:val="nil"/>
            </w:tcBorders>
            <w:tcMar>
              <w:top w:w="0" w:type="dxa"/>
              <w:left w:w="108" w:type="dxa"/>
              <w:bottom w:w="0" w:type="dxa"/>
              <w:right w:w="108" w:type="dxa"/>
            </w:tcMar>
            <w:hideMark/>
          </w:tcPr>
          <w:p w:rsidR="00D87E77" w:rsidRDefault="00D87E77">
            <w:pPr>
              <w:pStyle w:val="SL-FlLftSgl"/>
              <w:keepNext/>
              <w:ind w:left="346" w:hanging="346"/>
            </w:pPr>
            <w:r>
              <w:t>CWS questionnaire – national sample</w:t>
            </w:r>
          </w:p>
        </w:tc>
        <w:tc>
          <w:tcPr>
            <w:tcW w:w="580" w:type="pct"/>
            <w:tcBorders>
              <w:top w:val="nil"/>
              <w:left w:val="nil"/>
              <w:right w:val="nil"/>
            </w:tcBorders>
            <w:tcMar>
              <w:top w:w="0" w:type="dxa"/>
              <w:left w:w="108" w:type="dxa"/>
              <w:bottom w:w="0" w:type="dxa"/>
              <w:right w:w="108" w:type="dxa"/>
            </w:tcMar>
            <w:hideMark/>
          </w:tcPr>
          <w:p w:rsidR="00D87E77" w:rsidRPr="00F9525E" w:rsidRDefault="00D87E77">
            <w:pPr>
              <w:pStyle w:val="SL-FlLftSgl"/>
              <w:keepNext/>
              <w:jc w:val="right"/>
            </w:pPr>
            <w:r w:rsidRPr="00F9525E">
              <w:t>10</w:t>
            </w:r>
          </w:p>
        </w:tc>
        <w:tc>
          <w:tcPr>
            <w:tcW w:w="841" w:type="pct"/>
            <w:tcBorders>
              <w:top w:val="nil"/>
              <w:left w:val="nil"/>
              <w:right w:val="nil"/>
            </w:tcBorders>
            <w:shd w:val="clear" w:color="auto" w:fill="auto"/>
            <w:tcMar>
              <w:top w:w="0" w:type="dxa"/>
              <w:left w:w="108" w:type="dxa"/>
              <w:bottom w:w="0" w:type="dxa"/>
              <w:right w:w="108" w:type="dxa"/>
            </w:tcMar>
            <w:hideMark/>
          </w:tcPr>
          <w:p w:rsidR="00D87E77" w:rsidRPr="00D87E77" w:rsidRDefault="00D87E77">
            <w:pPr>
              <w:pStyle w:val="SL-FlLftSgl"/>
              <w:keepNext/>
              <w:jc w:val="right"/>
            </w:pPr>
            <w:r w:rsidRPr="00D87E77">
              <w:t>13,</w:t>
            </w:r>
            <w:r w:rsidR="00CB1419">
              <w:t>98</w:t>
            </w:r>
            <w:r w:rsidRPr="00D87E77">
              <w:t>7</w:t>
            </w:r>
          </w:p>
        </w:tc>
        <w:tc>
          <w:tcPr>
            <w:tcW w:w="595" w:type="pct"/>
            <w:tcBorders>
              <w:top w:val="nil"/>
              <w:left w:val="nil"/>
              <w:right w:val="nil"/>
            </w:tcBorders>
            <w:shd w:val="clear" w:color="auto" w:fill="auto"/>
            <w:tcMar>
              <w:top w:w="0" w:type="dxa"/>
              <w:left w:w="108" w:type="dxa"/>
              <w:bottom w:w="0" w:type="dxa"/>
              <w:right w:w="108" w:type="dxa"/>
            </w:tcMar>
          </w:tcPr>
          <w:p w:rsidR="00D87E77" w:rsidRPr="00D87E77" w:rsidRDefault="00D87E77" w:rsidP="009B150C">
            <w:pPr>
              <w:pStyle w:val="SL-FlLftSgl"/>
              <w:keepNext/>
              <w:jc w:val="right"/>
            </w:pPr>
            <w:r w:rsidRPr="00D87E77">
              <w:t>70%</w:t>
            </w:r>
          </w:p>
        </w:tc>
        <w:tc>
          <w:tcPr>
            <w:tcW w:w="736" w:type="pct"/>
            <w:tcBorders>
              <w:top w:val="nil"/>
              <w:left w:val="nil"/>
              <w:right w:val="nil"/>
            </w:tcBorders>
            <w:shd w:val="clear" w:color="auto" w:fill="auto"/>
            <w:tcMar>
              <w:top w:w="0" w:type="dxa"/>
              <w:left w:w="108" w:type="dxa"/>
              <w:bottom w:w="0" w:type="dxa"/>
              <w:right w:w="108" w:type="dxa"/>
            </w:tcMar>
          </w:tcPr>
          <w:p w:rsidR="00D87E77" w:rsidRPr="00D87E77" w:rsidRDefault="00D87E77">
            <w:pPr>
              <w:pStyle w:val="SL-FlLftSgl"/>
              <w:keepNext/>
              <w:jc w:val="right"/>
            </w:pPr>
            <w:r w:rsidRPr="00D87E77">
              <w:t>9,791</w:t>
            </w:r>
          </w:p>
        </w:tc>
        <w:tc>
          <w:tcPr>
            <w:tcW w:w="566" w:type="pct"/>
            <w:tcBorders>
              <w:top w:val="nil"/>
              <w:left w:val="nil"/>
              <w:right w:val="nil"/>
            </w:tcBorders>
            <w:shd w:val="clear" w:color="auto" w:fill="auto"/>
            <w:tcMar>
              <w:top w:w="0" w:type="dxa"/>
              <w:left w:w="108" w:type="dxa"/>
              <w:bottom w:w="0" w:type="dxa"/>
              <w:right w:w="108" w:type="dxa"/>
            </w:tcMar>
          </w:tcPr>
          <w:p w:rsidR="00D87E77" w:rsidRPr="00D87E77" w:rsidRDefault="00D87E77" w:rsidP="006946B8">
            <w:pPr>
              <w:pStyle w:val="SL-FlLftSgl"/>
              <w:keepNext/>
              <w:jc w:val="right"/>
            </w:pPr>
            <w:r w:rsidRPr="00D87E77">
              <w:t>9,791</w:t>
            </w:r>
          </w:p>
        </w:tc>
        <w:tc>
          <w:tcPr>
            <w:tcW w:w="580" w:type="pct"/>
            <w:tcBorders>
              <w:top w:val="nil"/>
              <w:left w:val="nil"/>
              <w:right w:val="nil"/>
            </w:tcBorders>
            <w:shd w:val="clear" w:color="auto" w:fill="auto"/>
            <w:tcMar>
              <w:top w:w="0" w:type="dxa"/>
              <w:left w:w="108" w:type="dxa"/>
              <w:bottom w:w="0" w:type="dxa"/>
              <w:right w:w="108" w:type="dxa"/>
            </w:tcMar>
          </w:tcPr>
          <w:p w:rsidR="00D87E77" w:rsidRPr="00D87E77" w:rsidRDefault="00D87E77">
            <w:pPr>
              <w:pStyle w:val="SL-FlLftSgl"/>
              <w:keepNext/>
              <w:jc w:val="right"/>
            </w:pPr>
            <w:r w:rsidRPr="00D87E77">
              <w:t>1,632</w:t>
            </w:r>
          </w:p>
        </w:tc>
      </w:tr>
      <w:tr w:rsidR="00D87E77" w:rsidTr="00D87E77">
        <w:trPr>
          <w:cantSplit/>
        </w:trPr>
        <w:tc>
          <w:tcPr>
            <w:tcW w:w="1102" w:type="pct"/>
            <w:tcBorders>
              <w:top w:val="nil"/>
              <w:left w:val="nil"/>
              <w:right w:val="nil"/>
            </w:tcBorders>
            <w:tcMar>
              <w:top w:w="0" w:type="dxa"/>
              <w:left w:w="108" w:type="dxa"/>
              <w:bottom w:w="0" w:type="dxa"/>
              <w:right w:w="108" w:type="dxa"/>
            </w:tcMar>
          </w:tcPr>
          <w:p w:rsidR="00D87E77" w:rsidRDefault="00D87E77" w:rsidP="00D87E77">
            <w:pPr>
              <w:pStyle w:val="SL-FlLftSgl"/>
              <w:keepNext/>
              <w:ind w:left="346" w:hanging="346"/>
            </w:pPr>
            <w:r>
              <w:t>ATES questionnaire – seeded sample</w:t>
            </w:r>
          </w:p>
        </w:tc>
        <w:tc>
          <w:tcPr>
            <w:tcW w:w="580" w:type="pct"/>
            <w:tcBorders>
              <w:top w:val="nil"/>
              <w:left w:val="nil"/>
              <w:right w:val="nil"/>
            </w:tcBorders>
            <w:tcMar>
              <w:top w:w="0" w:type="dxa"/>
              <w:left w:w="108" w:type="dxa"/>
              <w:bottom w:w="0" w:type="dxa"/>
              <w:right w:w="108" w:type="dxa"/>
            </w:tcMar>
          </w:tcPr>
          <w:p w:rsidR="00D87E77" w:rsidRPr="00F9525E" w:rsidRDefault="00D87E77">
            <w:pPr>
              <w:pStyle w:val="SL-FlLftSgl"/>
              <w:keepNext/>
              <w:jc w:val="right"/>
            </w:pPr>
            <w:r>
              <w:t>15</w:t>
            </w:r>
          </w:p>
        </w:tc>
        <w:tc>
          <w:tcPr>
            <w:tcW w:w="841" w:type="pct"/>
            <w:tcBorders>
              <w:top w:val="nil"/>
              <w:left w:val="nil"/>
              <w:right w:val="nil"/>
            </w:tcBorders>
            <w:tcMar>
              <w:top w:w="0" w:type="dxa"/>
              <w:left w:w="108" w:type="dxa"/>
              <w:bottom w:w="0" w:type="dxa"/>
              <w:right w:w="108" w:type="dxa"/>
            </w:tcMar>
          </w:tcPr>
          <w:p w:rsidR="00D87E77" w:rsidRPr="00D87E77" w:rsidRDefault="00D87E77">
            <w:pPr>
              <w:pStyle w:val="SL-FlLftSgl"/>
              <w:keepNext/>
              <w:jc w:val="right"/>
            </w:pPr>
            <w:r w:rsidRPr="00D87E77">
              <w:t>2,150</w:t>
            </w:r>
          </w:p>
        </w:tc>
        <w:tc>
          <w:tcPr>
            <w:tcW w:w="595" w:type="pct"/>
            <w:tcBorders>
              <w:top w:val="nil"/>
              <w:left w:val="nil"/>
              <w:right w:val="nil"/>
            </w:tcBorders>
            <w:tcMar>
              <w:top w:w="0" w:type="dxa"/>
              <w:left w:w="108" w:type="dxa"/>
              <w:bottom w:w="0" w:type="dxa"/>
              <w:right w:w="108" w:type="dxa"/>
            </w:tcMar>
          </w:tcPr>
          <w:p w:rsidR="00D87E77" w:rsidRPr="00D87E77" w:rsidRDefault="00D87E77" w:rsidP="009B150C">
            <w:pPr>
              <w:pStyle w:val="SL-FlLftSgl"/>
              <w:keepNext/>
              <w:jc w:val="right"/>
            </w:pPr>
            <w:r w:rsidRPr="00D87E77">
              <w:t>70%</w:t>
            </w:r>
          </w:p>
        </w:tc>
        <w:tc>
          <w:tcPr>
            <w:tcW w:w="736" w:type="pct"/>
            <w:tcBorders>
              <w:top w:val="nil"/>
              <w:left w:val="nil"/>
              <w:right w:val="nil"/>
            </w:tcBorders>
            <w:tcMar>
              <w:top w:w="0" w:type="dxa"/>
              <w:left w:w="108" w:type="dxa"/>
              <w:bottom w:w="0" w:type="dxa"/>
              <w:right w:w="108" w:type="dxa"/>
            </w:tcMar>
          </w:tcPr>
          <w:p w:rsidR="00D87E77" w:rsidRPr="00221A9A" w:rsidRDefault="00D87E77">
            <w:pPr>
              <w:pStyle w:val="SL-FlLftSgl"/>
              <w:keepNext/>
              <w:jc w:val="right"/>
              <w:rPr>
                <w:b/>
              </w:rPr>
            </w:pPr>
            <w:r w:rsidRPr="00221A9A">
              <w:rPr>
                <w:b/>
              </w:rPr>
              <w:t>1,505</w:t>
            </w:r>
          </w:p>
        </w:tc>
        <w:tc>
          <w:tcPr>
            <w:tcW w:w="566" w:type="pct"/>
            <w:tcBorders>
              <w:top w:val="nil"/>
              <w:left w:val="nil"/>
              <w:right w:val="nil"/>
            </w:tcBorders>
            <w:tcMar>
              <w:top w:w="0" w:type="dxa"/>
              <w:left w:w="108" w:type="dxa"/>
              <w:bottom w:w="0" w:type="dxa"/>
              <w:right w:w="108" w:type="dxa"/>
            </w:tcMar>
          </w:tcPr>
          <w:p w:rsidR="00D87E77" w:rsidRPr="00D87E77" w:rsidRDefault="00D87E77">
            <w:pPr>
              <w:pStyle w:val="SL-FlLftSgl"/>
              <w:keepNext/>
              <w:jc w:val="right"/>
            </w:pPr>
            <w:r w:rsidRPr="00D87E77">
              <w:t>1,505</w:t>
            </w:r>
          </w:p>
        </w:tc>
        <w:tc>
          <w:tcPr>
            <w:tcW w:w="580" w:type="pct"/>
            <w:tcBorders>
              <w:top w:val="nil"/>
              <w:left w:val="nil"/>
              <w:right w:val="nil"/>
            </w:tcBorders>
            <w:tcMar>
              <w:top w:w="0" w:type="dxa"/>
              <w:left w:w="108" w:type="dxa"/>
              <w:bottom w:w="0" w:type="dxa"/>
              <w:right w:w="108" w:type="dxa"/>
            </w:tcMar>
          </w:tcPr>
          <w:p w:rsidR="00D87E77" w:rsidRPr="00D87E77" w:rsidRDefault="00867FDF">
            <w:pPr>
              <w:pStyle w:val="SL-FlLftSgl"/>
              <w:keepNext/>
              <w:jc w:val="right"/>
            </w:pPr>
            <w:r>
              <w:t>376</w:t>
            </w:r>
          </w:p>
        </w:tc>
      </w:tr>
      <w:tr w:rsidR="00D87E77" w:rsidTr="00D87E77">
        <w:trPr>
          <w:cantSplit/>
        </w:trPr>
        <w:tc>
          <w:tcPr>
            <w:tcW w:w="1102" w:type="pct"/>
            <w:tcBorders>
              <w:top w:val="nil"/>
              <w:left w:val="nil"/>
              <w:right w:val="nil"/>
            </w:tcBorders>
            <w:tcMar>
              <w:top w:w="0" w:type="dxa"/>
              <w:left w:w="108" w:type="dxa"/>
              <w:bottom w:w="0" w:type="dxa"/>
              <w:right w:w="108" w:type="dxa"/>
            </w:tcMar>
          </w:tcPr>
          <w:p w:rsidR="00D87E77" w:rsidRDefault="00D87E77" w:rsidP="00D87E77">
            <w:pPr>
              <w:pStyle w:val="SL-FlLftSgl"/>
              <w:keepNext/>
              <w:ind w:left="346" w:hanging="346"/>
            </w:pPr>
            <w:r>
              <w:t>CWS questionnaire – seeded sample</w:t>
            </w:r>
          </w:p>
        </w:tc>
        <w:tc>
          <w:tcPr>
            <w:tcW w:w="580" w:type="pct"/>
            <w:tcBorders>
              <w:top w:val="nil"/>
              <w:left w:val="nil"/>
              <w:right w:val="nil"/>
            </w:tcBorders>
            <w:tcMar>
              <w:top w:w="0" w:type="dxa"/>
              <w:left w:w="108" w:type="dxa"/>
              <w:bottom w:w="0" w:type="dxa"/>
              <w:right w:w="108" w:type="dxa"/>
            </w:tcMar>
          </w:tcPr>
          <w:p w:rsidR="00D87E77" w:rsidRPr="00F9525E" w:rsidRDefault="00D87E77">
            <w:pPr>
              <w:pStyle w:val="SL-FlLftSgl"/>
              <w:keepNext/>
              <w:jc w:val="right"/>
            </w:pPr>
            <w:r>
              <w:t>10</w:t>
            </w:r>
          </w:p>
        </w:tc>
        <w:tc>
          <w:tcPr>
            <w:tcW w:w="841" w:type="pct"/>
            <w:tcBorders>
              <w:top w:val="nil"/>
              <w:left w:val="nil"/>
              <w:right w:val="nil"/>
            </w:tcBorders>
            <w:tcMar>
              <w:top w:w="0" w:type="dxa"/>
              <w:left w:w="108" w:type="dxa"/>
              <w:bottom w:w="0" w:type="dxa"/>
              <w:right w:w="108" w:type="dxa"/>
            </w:tcMar>
          </w:tcPr>
          <w:p w:rsidR="00D87E77" w:rsidRPr="00D87E77" w:rsidRDefault="00D87E77">
            <w:pPr>
              <w:pStyle w:val="SL-FlLftSgl"/>
              <w:keepNext/>
              <w:jc w:val="right"/>
            </w:pPr>
            <w:r w:rsidRPr="00D87E77">
              <w:t>2,150</w:t>
            </w:r>
          </w:p>
        </w:tc>
        <w:tc>
          <w:tcPr>
            <w:tcW w:w="595" w:type="pct"/>
            <w:tcBorders>
              <w:top w:val="nil"/>
              <w:left w:val="nil"/>
              <w:right w:val="nil"/>
            </w:tcBorders>
            <w:tcMar>
              <w:top w:w="0" w:type="dxa"/>
              <w:left w:w="108" w:type="dxa"/>
              <w:bottom w:w="0" w:type="dxa"/>
              <w:right w:w="108" w:type="dxa"/>
            </w:tcMar>
          </w:tcPr>
          <w:p w:rsidR="00D87E77" w:rsidRPr="00D87E77" w:rsidRDefault="00D87E77" w:rsidP="009B150C">
            <w:pPr>
              <w:pStyle w:val="SL-FlLftSgl"/>
              <w:keepNext/>
              <w:jc w:val="right"/>
            </w:pPr>
            <w:r w:rsidRPr="00D87E77">
              <w:t>70%</w:t>
            </w:r>
          </w:p>
        </w:tc>
        <w:tc>
          <w:tcPr>
            <w:tcW w:w="736" w:type="pct"/>
            <w:tcBorders>
              <w:top w:val="nil"/>
              <w:left w:val="nil"/>
              <w:right w:val="nil"/>
            </w:tcBorders>
            <w:tcMar>
              <w:top w:w="0" w:type="dxa"/>
              <w:left w:w="108" w:type="dxa"/>
              <w:bottom w:w="0" w:type="dxa"/>
              <w:right w:w="108" w:type="dxa"/>
            </w:tcMar>
          </w:tcPr>
          <w:p w:rsidR="00D87E77" w:rsidRPr="00221A9A" w:rsidRDefault="00D87E77">
            <w:pPr>
              <w:pStyle w:val="SL-FlLftSgl"/>
              <w:keepNext/>
              <w:jc w:val="right"/>
              <w:rPr>
                <w:b/>
              </w:rPr>
            </w:pPr>
            <w:r w:rsidRPr="00221A9A">
              <w:rPr>
                <w:b/>
              </w:rPr>
              <w:t>1,505</w:t>
            </w:r>
          </w:p>
        </w:tc>
        <w:tc>
          <w:tcPr>
            <w:tcW w:w="566" w:type="pct"/>
            <w:tcBorders>
              <w:top w:val="nil"/>
              <w:left w:val="nil"/>
              <w:right w:val="nil"/>
            </w:tcBorders>
            <w:tcMar>
              <w:top w:w="0" w:type="dxa"/>
              <w:left w:w="108" w:type="dxa"/>
              <w:bottom w:w="0" w:type="dxa"/>
              <w:right w:w="108" w:type="dxa"/>
            </w:tcMar>
          </w:tcPr>
          <w:p w:rsidR="00D87E77" w:rsidRPr="00D87E77" w:rsidRDefault="00D87E77">
            <w:pPr>
              <w:pStyle w:val="SL-FlLftSgl"/>
              <w:keepNext/>
              <w:jc w:val="right"/>
            </w:pPr>
            <w:r w:rsidRPr="00D87E77">
              <w:t>1,505</w:t>
            </w:r>
          </w:p>
        </w:tc>
        <w:tc>
          <w:tcPr>
            <w:tcW w:w="580" w:type="pct"/>
            <w:tcBorders>
              <w:top w:val="nil"/>
              <w:left w:val="nil"/>
              <w:right w:val="nil"/>
            </w:tcBorders>
            <w:tcMar>
              <w:top w:w="0" w:type="dxa"/>
              <w:left w:w="108" w:type="dxa"/>
              <w:bottom w:w="0" w:type="dxa"/>
              <w:right w:w="108" w:type="dxa"/>
            </w:tcMar>
          </w:tcPr>
          <w:p w:rsidR="00D87E77" w:rsidRPr="00D87E77" w:rsidRDefault="00D87E77">
            <w:pPr>
              <w:pStyle w:val="SL-FlLftSgl"/>
              <w:keepNext/>
              <w:jc w:val="right"/>
            </w:pPr>
            <w:r w:rsidRPr="00D87E77">
              <w:t>251</w:t>
            </w:r>
          </w:p>
        </w:tc>
      </w:tr>
      <w:tr w:rsidR="00D87E77" w:rsidTr="009063D4">
        <w:trPr>
          <w:cantSplit/>
        </w:trPr>
        <w:tc>
          <w:tcPr>
            <w:tcW w:w="1102" w:type="pct"/>
            <w:tcBorders>
              <w:left w:val="nil"/>
              <w:bottom w:val="single" w:sz="4" w:space="0" w:color="auto"/>
              <w:right w:val="nil"/>
            </w:tcBorders>
            <w:tcMar>
              <w:top w:w="0" w:type="dxa"/>
              <w:left w:w="108" w:type="dxa"/>
              <w:bottom w:w="0" w:type="dxa"/>
              <w:right w:w="108" w:type="dxa"/>
            </w:tcMar>
          </w:tcPr>
          <w:p w:rsidR="00D87E77" w:rsidRDefault="00D87E77">
            <w:pPr>
              <w:pStyle w:val="SL-FlLftSgl"/>
              <w:keepNext/>
              <w:ind w:left="346" w:hanging="346"/>
            </w:pPr>
            <w:r>
              <w:t>ASPA questionnaire</w:t>
            </w:r>
          </w:p>
        </w:tc>
        <w:tc>
          <w:tcPr>
            <w:tcW w:w="580" w:type="pct"/>
            <w:tcBorders>
              <w:left w:val="nil"/>
              <w:bottom w:val="single" w:sz="4" w:space="0" w:color="auto"/>
              <w:right w:val="nil"/>
            </w:tcBorders>
            <w:tcMar>
              <w:top w:w="0" w:type="dxa"/>
              <w:left w:w="108" w:type="dxa"/>
              <w:bottom w:w="0" w:type="dxa"/>
              <w:right w:w="108" w:type="dxa"/>
            </w:tcMar>
          </w:tcPr>
          <w:p w:rsidR="00D87E77" w:rsidRPr="00F9525E" w:rsidRDefault="00D87E77">
            <w:pPr>
              <w:pStyle w:val="SL-FlLftSgl"/>
              <w:keepNext/>
              <w:jc w:val="right"/>
            </w:pPr>
            <w:r w:rsidRPr="00F9525E">
              <w:t>20</w:t>
            </w:r>
          </w:p>
        </w:tc>
        <w:tc>
          <w:tcPr>
            <w:tcW w:w="841" w:type="pct"/>
            <w:tcBorders>
              <w:left w:val="nil"/>
              <w:bottom w:val="single" w:sz="4" w:space="0" w:color="auto"/>
              <w:right w:val="nil"/>
            </w:tcBorders>
            <w:tcMar>
              <w:top w:w="0" w:type="dxa"/>
              <w:left w:w="108" w:type="dxa"/>
              <w:bottom w:w="0" w:type="dxa"/>
              <w:right w:w="108" w:type="dxa"/>
            </w:tcMar>
          </w:tcPr>
          <w:p w:rsidR="00D87E77" w:rsidRPr="00D87E77" w:rsidRDefault="00D87E77">
            <w:pPr>
              <w:pStyle w:val="SL-FlLftSgl"/>
              <w:keepNext/>
              <w:jc w:val="right"/>
            </w:pPr>
            <w:r w:rsidRPr="00D87E77">
              <w:t>6,026</w:t>
            </w:r>
          </w:p>
        </w:tc>
        <w:tc>
          <w:tcPr>
            <w:tcW w:w="595" w:type="pct"/>
            <w:tcBorders>
              <w:left w:val="nil"/>
              <w:bottom w:val="single" w:sz="4" w:space="0" w:color="auto"/>
              <w:right w:val="nil"/>
            </w:tcBorders>
            <w:tcMar>
              <w:top w:w="0" w:type="dxa"/>
              <w:left w:w="108" w:type="dxa"/>
              <w:bottom w:w="0" w:type="dxa"/>
              <w:right w:w="108" w:type="dxa"/>
            </w:tcMar>
          </w:tcPr>
          <w:p w:rsidR="00D87E77" w:rsidRPr="00D87E77" w:rsidRDefault="00D87E77" w:rsidP="009B150C">
            <w:pPr>
              <w:pStyle w:val="SL-FlLftSgl"/>
              <w:keepNext/>
              <w:jc w:val="right"/>
            </w:pPr>
            <w:r w:rsidRPr="00D87E77">
              <w:t>75%</w:t>
            </w:r>
          </w:p>
        </w:tc>
        <w:tc>
          <w:tcPr>
            <w:tcW w:w="736" w:type="pct"/>
            <w:tcBorders>
              <w:left w:val="nil"/>
              <w:bottom w:val="single" w:sz="4" w:space="0" w:color="auto"/>
              <w:right w:val="nil"/>
            </w:tcBorders>
            <w:tcMar>
              <w:top w:w="0" w:type="dxa"/>
              <w:left w:w="108" w:type="dxa"/>
              <w:bottom w:w="0" w:type="dxa"/>
              <w:right w:w="108" w:type="dxa"/>
            </w:tcMar>
          </w:tcPr>
          <w:p w:rsidR="00D87E77" w:rsidRPr="00D87E77" w:rsidRDefault="00D87E77">
            <w:pPr>
              <w:pStyle w:val="SL-FlLftSgl"/>
              <w:keepNext/>
              <w:jc w:val="right"/>
            </w:pPr>
            <w:r w:rsidRPr="00D87E77">
              <w:t>4,520</w:t>
            </w:r>
          </w:p>
        </w:tc>
        <w:tc>
          <w:tcPr>
            <w:tcW w:w="566" w:type="pct"/>
            <w:tcBorders>
              <w:left w:val="nil"/>
              <w:bottom w:val="single" w:sz="4" w:space="0" w:color="auto"/>
              <w:right w:val="nil"/>
            </w:tcBorders>
            <w:tcMar>
              <w:top w:w="0" w:type="dxa"/>
              <w:left w:w="108" w:type="dxa"/>
              <w:bottom w:w="0" w:type="dxa"/>
              <w:right w:w="108" w:type="dxa"/>
            </w:tcMar>
          </w:tcPr>
          <w:p w:rsidR="00D87E77" w:rsidRPr="00D87E77" w:rsidRDefault="00D87E77">
            <w:pPr>
              <w:pStyle w:val="SL-FlLftSgl"/>
              <w:keepNext/>
              <w:jc w:val="right"/>
            </w:pPr>
            <w:r w:rsidRPr="00D87E77">
              <w:t>4,520</w:t>
            </w:r>
          </w:p>
        </w:tc>
        <w:tc>
          <w:tcPr>
            <w:tcW w:w="580" w:type="pct"/>
            <w:tcBorders>
              <w:left w:val="nil"/>
              <w:bottom w:val="single" w:sz="4" w:space="0" w:color="auto"/>
              <w:right w:val="nil"/>
            </w:tcBorders>
            <w:tcMar>
              <w:top w:w="0" w:type="dxa"/>
              <w:left w:w="108" w:type="dxa"/>
              <w:bottom w:w="0" w:type="dxa"/>
              <w:right w:w="108" w:type="dxa"/>
            </w:tcMar>
          </w:tcPr>
          <w:p w:rsidR="00D87E77" w:rsidRPr="00D87E77" w:rsidRDefault="00D87E77">
            <w:pPr>
              <w:pStyle w:val="SL-FlLftSgl"/>
              <w:keepNext/>
              <w:jc w:val="right"/>
            </w:pPr>
            <w:r w:rsidRPr="00D87E77">
              <w:t>1,507</w:t>
            </w:r>
          </w:p>
        </w:tc>
      </w:tr>
      <w:tr w:rsidR="009063D4" w:rsidRPr="009063D4" w:rsidTr="009063D4">
        <w:trPr>
          <w:cantSplit/>
        </w:trPr>
        <w:tc>
          <w:tcPr>
            <w:tcW w:w="1102" w:type="pct"/>
            <w:tcBorders>
              <w:top w:val="single" w:sz="4" w:space="0" w:color="auto"/>
            </w:tcBorders>
            <w:tcMar>
              <w:top w:w="0" w:type="dxa"/>
              <w:left w:w="108" w:type="dxa"/>
              <w:bottom w:w="0" w:type="dxa"/>
              <w:right w:w="108" w:type="dxa"/>
            </w:tcMar>
            <w:hideMark/>
          </w:tcPr>
          <w:p w:rsidR="009063D4" w:rsidRPr="009063D4" w:rsidRDefault="009063D4" w:rsidP="009063D4">
            <w:pPr>
              <w:pStyle w:val="SL-FlLftSgl"/>
              <w:keepNext/>
              <w:rPr>
                <w:b/>
              </w:rPr>
            </w:pPr>
            <w:r w:rsidRPr="009063D4">
              <w:rPr>
                <w:b/>
              </w:rPr>
              <w:t>Study Total</w:t>
            </w:r>
          </w:p>
        </w:tc>
        <w:tc>
          <w:tcPr>
            <w:tcW w:w="580" w:type="pct"/>
            <w:tcBorders>
              <w:top w:val="single" w:sz="4" w:space="0" w:color="auto"/>
            </w:tcBorders>
            <w:tcMar>
              <w:top w:w="0" w:type="dxa"/>
              <w:left w:w="108" w:type="dxa"/>
              <w:bottom w:w="0" w:type="dxa"/>
              <w:right w:w="108" w:type="dxa"/>
            </w:tcMar>
          </w:tcPr>
          <w:p w:rsidR="009063D4" w:rsidRPr="009063D4" w:rsidRDefault="009063D4" w:rsidP="00A9755C">
            <w:pPr>
              <w:pStyle w:val="SL-FlLftSgl"/>
              <w:keepNext/>
              <w:jc w:val="right"/>
              <w:rPr>
                <w:b/>
              </w:rPr>
            </w:pPr>
          </w:p>
        </w:tc>
        <w:tc>
          <w:tcPr>
            <w:tcW w:w="841" w:type="pct"/>
            <w:tcBorders>
              <w:top w:val="single" w:sz="4" w:space="0" w:color="auto"/>
            </w:tcBorders>
            <w:shd w:val="clear" w:color="auto" w:fill="auto"/>
            <w:tcMar>
              <w:top w:w="0" w:type="dxa"/>
              <w:left w:w="108" w:type="dxa"/>
              <w:bottom w:w="0" w:type="dxa"/>
              <w:right w:w="108" w:type="dxa"/>
            </w:tcMar>
            <w:hideMark/>
          </w:tcPr>
          <w:p w:rsidR="009063D4" w:rsidRPr="009063D4" w:rsidRDefault="009063D4" w:rsidP="00A9755C">
            <w:pPr>
              <w:pStyle w:val="SL-FlLftSgl"/>
              <w:keepNext/>
              <w:jc w:val="right"/>
              <w:rPr>
                <w:b/>
              </w:rPr>
            </w:pPr>
            <w:r w:rsidRPr="009063D4">
              <w:rPr>
                <w:b/>
              </w:rPr>
              <w:t>60,000</w:t>
            </w:r>
          </w:p>
        </w:tc>
        <w:tc>
          <w:tcPr>
            <w:tcW w:w="595" w:type="pct"/>
            <w:tcBorders>
              <w:top w:val="single" w:sz="4" w:space="0" w:color="auto"/>
            </w:tcBorders>
            <w:shd w:val="clear" w:color="auto" w:fill="auto"/>
            <w:tcMar>
              <w:top w:w="0" w:type="dxa"/>
              <w:left w:w="108" w:type="dxa"/>
              <w:bottom w:w="0" w:type="dxa"/>
              <w:right w:w="108" w:type="dxa"/>
            </w:tcMar>
          </w:tcPr>
          <w:p w:rsidR="009063D4" w:rsidRPr="009063D4" w:rsidRDefault="009063D4" w:rsidP="00A9755C">
            <w:pPr>
              <w:pStyle w:val="SL-FlLftSgl"/>
              <w:keepNext/>
              <w:jc w:val="right"/>
              <w:rPr>
                <w:b/>
              </w:rPr>
            </w:pPr>
          </w:p>
        </w:tc>
        <w:tc>
          <w:tcPr>
            <w:tcW w:w="736" w:type="pct"/>
            <w:tcBorders>
              <w:top w:val="single" w:sz="4" w:space="0" w:color="auto"/>
            </w:tcBorders>
            <w:shd w:val="clear" w:color="auto" w:fill="auto"/>
            <w:tcMar>
              <w:top w:w="0" w:type="dxa"/>
              <w:left w:w="108" w:type="dxa"/>
              <w:bottom w:w="0" w:type="dxa"/>
              <w:right w:w="108" w:type="dxa"/>
            </w:tcMar>
          </w:tcPr>
          <w:p w:rsidR="009063D4" w:rsidRPr="009063D4" w:rsidRDefault="009063D4" w:rsidP="00A9755C">
            <w:pPr>
              <w:pStyle w:val="SL-FlLftSgl"/>
              <w:keepNext/>
              <w:jc w:val="right"/>
              <w:rPr>
                <w:b/>
              </w:rPr>
            </w:pPr>
            <w:r w:rsidRPr="009063D4">
              <w:rPr>
                <w:b/>
              </w:rPr>
              <w:t>40,924</w:t>
            </w:r>
          </w:p>
        </w:tc>
        <w:tc>
          <w:tcPr>
            <w:tcW w:w="566" w:type="pct"/>
            <w:tcBorders>
              <w:top w:val="single" w:sz="4" w:space="0" w:color="auto"/>
            </w:tcBorders>
            <w:shd w:val="clear" w:color="auto" w:fill="auto"/>
            <w:tcMar>
              <w:top w:w="0" w:type="dxa"/>
              <w:left w:w="108" w:type="dxa"/>
              <w:bottom w:w="0" w:type="dxa"/>
              <w:right w:w="108" w:type="dxa"/>
            </w:tcMar>
          </w:tcPr>
          <w:p w:rsidR="009063D4" w:rsidRPr="009063D4" w:rsidRDefault="009063D4" w:rsidP="00221A9A">
            <w:pPr>
              <w:pStyle w:val="SL-FlLftSgl"/>
              <w:keepNext/>
              <w:jc w:val="right"/>
              <w:rPr>
                <w:b/>
              </w:rPr>
            </w:pPr>
            <w:r w:rsidRPr="009063D4">
              <w:rPr>
                <w:b/>
              </w:rPr>
              <w:t>65,02</w:t>
            </w:r>
            <w:r w:rsidR="00221A9A">
              <w:rPr>
                <w:b/>
              </w:rPr>
              <w:t>6</w:t>
            </w:r>
          </w:p>
        </w:tc>
        <w:tc>
          <w:tcPr>
            <w:tcW w:w="580" w:type="pct"/>
            <w:tcBorders>
              <w:top w:val="single" w:sz="4" w:space="0" w:color="auto"/>
            </w:tcBorders>
            <w:shd w:val="clear" w:color="auto" w:fill="auto"/>
            <w:tcMar>
              <w:top w:w="0" w:type="dxa"/>
              <w:left w:w="108" w:type="dxa"/>
              <w:bottom w:w="0" w:type="dxa"/>
              <w:right w:w="108" w:type="dxa"/>
            </w:tcMar>
          </w:tcPr>
          <w:p w:rsidR="009063D4" w:rsidRPr="009063D4" w:rsidRDefault="009063D4" w:rsidP="00A9755C">
            <w:pPr>
              <w:pStyle w:val="SL-FlLftSgl"/>
              <w:keepNext/>
              <w:jc w:val="right"/>
              <w:rPr>
                <w:b/>
              </w:rPr>
            </w:pPr>
            <w:r w:rsidRPr="009063D4">
              <w:rPr>
                <w:b/>
              </w:rPr>
              <w:t>11,269</w:t>
            </w:r>
          </w:p>
        </w:tc>
      </w:tr>
    </w:tbl>
    <w:p w:rsidR="00CC40D7" w:rsidRPr="00F97D82" w:rsidRDefault="00CC40D7" w:rsidP="001E62CC">
      <w:pPr>
        <w:pStyle w:val="Table-Footnote"/>
        <w:keepNext/>
        <w:rPr>
          <w:rFonts w:eastAsia="Calibri"/>
          <w:sz w:val="20"/>
        </w:rPr>
      </w:pPr>
      <w:r w:rsidRPr="001E62CC">
        <w:rPr>
          <w:sz w:val="20"/>
        </w:rPr>
        <w:t xml:space="preserve">* Approximately </w:t>
      </w:r>
      <w:r w:rsidR="00F9525E">
        <w:rPr>
          <w:sz w:val="20"/>
        </w:rPr>
        <w:t>11</w:t>
      </w:r>
      <w:r w:rsidRPr="001E62CC">
        <w:rPr>
          <w:sz w:val="20"/>
        </w:rPr>
        <w:t xml:space="preserve">% of addresses will be returned by USPS as invalid, reducing the final sample size to </w:t>
      </w:r>
      <w:r w:rsidR="00F9525E">
        <w:rPr>
          <w:sz w:val="20"/>
        </w:rPr>
        <w:t>53,400</w:t>
      </w:r>
      <w:r w:rsidRPr="001E62CC">
        <w:rPr>
          <w:sz w:val="20"/>
        </w:rPr>
        <w:t xml:space="preserve"> addresses</w:t>
      </w:r>
      <w:r w:rsidR="001E62CC" w:rsidRPr="00F97D82">
        <w:rPr>
          <w:rFonts w:eastAsia="Calibri"/>
          <w:sz w:val="20"/>
        </w:rPr>
        <w:t>.</w:t>
      </w:r>
    </w:p>
    <w:p w:rsidR="00CC40D7" w:rsidRDefault="00CC40D7" w:rsidP="00CC40D7">
      <w:pPr>
        <w:rPr>
          <w:rFonts w:ascii="Calibri" w:hAnsi="Calibri"/>
          <w:color w:val="1F497D"/>
        </w:rPr>
      </w:pPr>
    </w:p>
    <w:p w:rsidR="008478A9" w:rsidRDefault="008478A9" w:rsidP="007C3889">
      <w:pPr>
        <w:pStyle w:val="Heading1"/>
        <w:spacing w:after="240" w:line="240" w:lineRule="auto"/>
        <w:ind w:left="0" w:firstLine="0"/>
      </w:pPr>
      <w:r>
        <w:t>A.</w:t>
      </w:r>
      <w:r w:rsidR="0068462A">
        <w:t>10</w:t>
      </w:r>
      <w:r>
        <w:tab/>
        <w:t>Annualized Cost to Respondents</w:t>
      </w:r>
      <w:bookmarkEnd w:id="22"/>
      <w:bookmarkEnd w:id="23"/>
      <w:bookmarkEnd w:id="25"/>
      <w:r>
        <w:t xml:space="preserve"> </w:t>
      </w:r>
    </w:p>
    <w:p w:rsidR="008478A9" w:rsidRDefault="008478A9" w:rsidP="007C3889">
      <w:pPr>
        <w:pStyle w:val="P1-StandPara"/>
        <w:spacing w:line="23" w:lineRule="atLeast"/>
      </w:pPr>
      <w:r>
        <w:t>There are no costs beyond</w:t>
      </w:r>
      <w:r w:rsidR="009B4E1C">
        <w:t xml:space="preserve"> those presented in section A.11</w:t>
      </w:r>
      <w:r>
        <w:t xml:space="preserve">. </w:t>
      </w:r>
    </w:p>
    <w:p w:rsidR="008478A9" w:rsidRDefault="008478A9" w:rsidP="007C3889">
      <w:pPr>
        <w:pStyle w:val="P1-StandPara"/>
        <w:spacing w:line="23" w:lineRule="atLeast"/>
      </w:pPr>
    </w:p>
    <w:p w:rsidR="008478A9" w:rsidRDefault="008478A9" w:rsidP="007C3889">
      <w:pPr>
        <w:pStyle w:val="Heading1"/>
        <w:spacing w:after="240" w:line="240" w:lineRule="auto"/>
        <w:ind w:left="0" w:firstLine="0"/>
      </w:pPr>
      <w:bookmarkStart w:id="26" w:name="_Toc61176390"/>
      <w:bookmarkStart w:id="27" w:name="_Toc222888899"/>
      <w:r>
        <w:t>A.</w:t>
      </w:r>
      <w:r w:rsidR="0068462A">
        <w:t>11</w:t>
      </w:r>
      <w:r>
        <w:tab/>
        <w:t>Annualized Cost to the Federal Government</w:t>
      </w:r>
      <w:bookmarkEnd w:id="26"/>
      <w:bookmarkEnd w:id="27"/>
    </w:p>
    <w:p w:rsidR="008478A9" w:rsidRDefault="008478A9" w:rsidP="007C3889">
      <w:pPr>
        <w:pStyle w:val="P1-StandPara"/>
        <w:spacing w:line="23" w:lineRule="atLeast"/>
      </w:pPr>
      <w:r>
        <w:t>The total cost of NHES</w:t>
      </w:r>
      <w:r w:rsidR="00A0537E">
        <w:t xml:space="preserve"> Feasibility Study </w:t>
      </w:r>
      <w:r>
        <w:t xml:space="preserve">to the government is </w:t>
      </w:r>
      <w:r w:rsidRPr="005714CB">
        <w:t>approximatel</w:t>
      </w:r>
      <w:r w:rsidRPr="00706190">
        <w:t xml:space="preserve">y </w:t>
      </w:r>
      <w:r w:rsidR="00020628">
        <w:t>3.2</w:t>
      </w:r>
      <w:r w:rsidR="00CC25CF">
        <w:t xml:space="preserve"> million dollars </w:t>
      </w:r>
      <w:r w:rsidRPr="005714CB">
        <w:t>over</w:t>
      </w:r>
      <w:r>
        <w:t xml:space="preserve"> a period of 20 months. This includes all direct and indirect costs of the design, data collection, analysis, and reporting phases of the study, as well as the delivery of data sets to NCES. </w:t>
      </w:r>
    </w:p>
    <w:bookmarkEnd w:id="24"/>
    <w:p w:rsidR="008478A9" w:rsidRDefault="008478A9" w:rsidP="007C3889">
      <w:pPr>
        <w:pStyle w:val="P1-StandPara"/>
        <w:spacing w:line="23" w:lineRule="atLeast"/>
      </w:pPr>
    </w:p>
    <w:p w:rsidR="008478A9" w:rsidRDefault="008478A9" w:rsidP="007C3889">
      <w:pPr>
        <w:pStyle w:val="Heading1"/>
        <w:spacing w:after="240" w:line="240" w:lineRule="auto"/>
        <w:ind w:left="0" w:firstLine="0"/>
      </w:pPr>
      <w:bookmarkStart w:id="28" w:name="_Toc418057948"/>
      <w:bookmarkStart w:id="29" w:name="_Toc61176392"/>
      <w:bookmarkStart w:id="30" w:name="_Toc222888901"/>
      <w:r>
        <w:t>A.</w:t>
      </w:r>
      <w:r w:rsidR="0068462A">
        <w:t>12</w:t>
      </w:r>
      <w:r>
        <w:tab/>
      </w:r>
      <w:bookmarkEnd w:id="28"/>
      <w:bookmarkEnd w:id="29"/>
      <w:r>
        <w:t>Publication Plans and Project Schedule</w:t>
      </w:r>
      <w:bookmarkEnd w:id="30"/>
    </w:p>
    <w:p w:rsidR="00AD667F" w:rsidRDefault="00AD667F" w:rsidP="007C3889">
      <w:pPr>
        <w:pStyle w:val="P1-StandPara"/>
        <w:spacing w:line="23" w:lineRule="atLeast"/>
      </w:pPr>
      <w:r>
        <w:t>The primary objectives of the NHES</w:t>
      </w:r>
      <w:r w:rsidR="00A54D78">
        <w:t>-FS</w:t>
      </w:r>
      <w:r>
        <w:t xml:space="preserve"> are to evaluate whether and how the ATES can be incorporated into the NHES data collection </w:t>
      </w:r>
      <w:r w:rsidR="006E65F3">
        <w:t>operations</w:t>
      </w:r>
      <w:r w:rsidR="00221A9A">
        <w:t>,</w:t>
      </w:r>
      <w:r w:rsidR="006E65F3">
        <w:t xml:space="preserve"> </w:t>
      </w:r>
      <w:r>
        <w:t>and to evaluate item performance on the ATES and ASPA topical surveys. Future NHES data collections will implement these findings and produce datasets, statistics, and reports. The following are the planned outcomes of the NHES</w:t>
      </w:r>
      <w:r w:rsidR="00A54D78">
        <w:t>-FS</w:t>
      </w:r>
      <w:r>
        <w:t>:</w:t>
      </w:r>
    </w:p>
    <w:p w:rsidR="00AD667F" w:rsidRPr="004D5C32" w:rsidRDefault="00AD667F" w:rsidP="00AD667F">
      <w:pPr>
        <w:pStyle w:val="P1-StandPara"/>
        <w:keepNext/>
        <w:keepLines/>
        <w:rPr>
          <w:sz w:val="12"/>
          <w:szCs w:val="12"/>
        </w:rPr>
      </w:pPr>
    </w:p>
    <w:p w:rsidR="00AD667F" w:rsidRDefault="00AD667F" w:rsidP="00AD667F">
      <w:pPr>
        <w:pStyle w:val="N2-2ndBullet"/>
        <w:tabs>
          <w:tab w:val="clear" w:pos="0"/>
          <w:tab w:val="clear" w:pos="1728"/>
          <w:tab w:val="left" w:pos="855"/>
        </w:tabs>
        <w:spacing w:after="120" w:line="120" w:lineRule="atLeast"/>
        <w:ind w:left="850"/>
      </w:pPr>
      <w:r w:rsidRPr="00E574D1">
        <w:rPr>
          <w:b/>
        </w:rPr>
        <w:t>Operational issues:</w:t>
      </w:r>
      <w:r>
        <w:t xml:space="preserve"> Any events or issues that result in a delay to the implementation of each event within the Feasibility Test schedule. Since many of these operational tasks will be evaluated, each process will need to be documented so procedures are </w:t>
      </w:r>
      <w:r w:rsidR="00C03924">
        <w:t>in place for</w:t>
      </w:r>
      <w:r>
        <w:t xml:space="preserve"> </w:t>
      </w:r>
      <w:r w:rsidR="00FD08A6">
        <w:t>full scale</w:t>
      </w:r>
      <w:r>
        <w:t xml:space="preserve"> data collection in 2015. </w:t>
      </w:r>
    </w:p>
    <w:p w:rsidR="00AD667F" w:rsidRDefault="00AD667F" w:rsidP="00AD667F">
      <w:pPr>
        <w:pStyle w:val="N2-2ndBullet"/>
        <w:tabs>
          <w:tab w:val="clear" w:pos="0"/>
          <w:tab w:val="clear" w:pos="1728"/>
          <w:tab w:val="left" w:pos="855"/>
        </w:tabs>
        <w:spacing w:after="120" w:line="120" w:lineRule="atLeast"/>
        <w:ind w:left="850"/>
      </w:pPr>
      <w:r w:rsidRPr="00E574D1">
        <w:rPr>
          <w:b/>
        </w:rPr>
        <w:t xml:space="preserve">Respondent feedback: </w:t>
      </w:r>
      <w:r>
        <w:t>Any feedback received from a respondent will be evaluated for reaction to methods (e.g., reaction to the use of government funds for incentives, difficulty of mode, etc.).</w:t>
      </w:r>
    </w:p>
    <w:p w:rsidR="00AD667F" w:rsidRDefault="00AD667F" w:rsidP="00AD667F">
      <w:pPr>
        <w:pStyle w:val="N2-2ndBullet"/>
        <w:tabs>
          <w:tab w:val="clear" w:pos="0"/>
          <w:tab w:val="clear" w:pos="1728"/>
          <w:tab w:val="left" w:pos="855"/>
        </w:tabs>
        <w:spacing w:after="120" w:line="120" w:lineRule="atLeast"/>
        <w:ind w:left="850"/>
      </w:pPr>
      <w:r w:rsidRPr="00E574D1">
        <w:rPr>
          <w:b/>
        </w:rPr>
        <w:lastRenderedPageBreak/>
        <w:t xml:space="preserve">Response rates and components: </w:t>
      </w:r>
      <w:r>
        <w:t xml:space="preserve">Overall, and for each experimental manipulation/stage, response rates (both unit and item response rates, return rates, and any appropriate refusal conversion rates) will be tracked. </w:t>
      </w:r>
    </w:p>
    <w:p w:rsidR="008478A9" w:rsidRPr="00AD667F" w:rsidRDefault="00AD667F" w:rsidP="00AD667F">
      <w:pPr>
        <w:pStyle w:val="N2-2ndBullet"/>
        <w:tabs>
          <w:tab w:val="clear" w:pos="0"/>
          <w:tab w:val="clear" w:pos="1728"/>
          <w:tab w:val="left" w:pos="855"/>
        </w:tabs>
        <w:spacing w:after="120" w:line="120" w:lineRule="atLeast"/>
        <w:ind w:left="850"/>
      </w:pPr>
      <w:r w:rsidRPr="00AD667F">
        <w:rPr>
          <w:b/>
        </w:rPr>
        <w:t>Response timing:</w:t>
      </w:r>
      <w:r>
        <w:t xml:space="preserve"> For each manipulation, time to response/questionnaire receipt will be assessed to determine the effects on the data collection schedule</w:t>
      </w:r>
      <w:r w:rsidR="00702E4C">
        <w:t>.</w:t>
      </w:r>
    </w:p>
    <w:p w:rsidR="008478A9" w:rsidRDefault="008478A9" w:rsidP="004D5C32">
      <w:pPr>
        <w:pStyle w:val="P1-StandPara"/>
        <w:keepNext/>
        <w:keepLines/>
        <w:ind w:firstLine="0"/>
      </w:pPr>
      <w:r>
        <w:t>Exhibit</w:t>
      </w:r>
      <w:r w:rsidR="00D87099">
        <w:t xml:space="preserve"> </w:t>
      </w:r>
      <w:r w:rsidR="0068462A">
        <w:t xml:space="preserve">3 </w:t>
      </w:r>
      <w:r>
        <w:t>present</w:t>
      </w:r>
      <w:r w:rsidR="00D87099">
        <w:t>s the</w:t>
      </w:r>
      <w:r>
        <w:t xml:space="preserve"> schedule of project activities for </w:t>
      </w:r>
      <w:r w:rsidR="00AD667F">
        <w:t>NHES Feasibility Study.</w:t>
      </w:r>
    </w:p>
    <w:p w:rsidR="008478A9" w:rsidRDefault="008478A9" w:rsidP="009562D8">
      <w:pPr>
        <w:pStyle w:val="P1-StandPara"/>
        <w:keepNext/>
        <w:keepLines/>
      </w:pPr>
    </w:p>
    <w:p w:rsidR="008478A9" w:rsidRDefault="008478A9" w:rsidP="007C3889">
      <w:pPr>
        <w:pStyle w:val="TT-TableTitle"/>
        <w:keepNext/>
        <w:keepLines/>
      </w:pPr>
      <w:r>
        <w:t xml:space="preserve">Exhibit </w:t>
      </w:r>
      <w:r w:rsidR="0068462A">
        <w:t>3</w:t>
      </w:r>
      <w:r>
        <w:t>.</w:t>
      </w:r>
      <w:r>
        <w:t> </w:t>
      </w:r>
      <w:r>
        <w:t> </w:t>
      </w:r>
      <w:r>
        <w:t>NHES</w:t>
      </w:r>
      <w:r w:rsidR="006E65F3">
        <w:t xml:space="preserve"> Feasibility Test</w:t>
      </w:r>
      <w:r>
        <w:t xml:space="preserve"> schedule of major activities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8"/>
        <w:gridCol w:w="4788"/>
      </w:tblGrid>
      <w:tr w:rsidR="008478A9" w:rsidRPr="00AC68E3" w:rsidTr="007C3889">
        <w:trPr>
          <w:cantSplit/>
          <w:jc w:val="center"/>
        </w:trPr>
        <w:tc>
          <w:tcPr>
            <w:tcW w:w="4788" w:type="dxa"/>
          </w:tcPr>
          <w:p w:rsidR="008478A9" w:rsidRPr="00AC68E3" w:rsidRDefault="008478A9" w:rsidP="005425CF">
            <w:pPr>
              <w:pStyle w:val="SL-FlLftSgl"/>
              <w:keepNext/>
              <w:keepLines/>
              <w:jc w:val="center"/>
              <w:rPr>
                <w:b/>
                <w:szCs w:val="22"/>
              </w:rPr>
            </w:pPr>
            <w:r w:rsidRPr="00AC68E3">
              <w:rPr>
                <w:b/>
              </w:rPr>
              <w:t>Task</w:t>
            </w:r>
          </w:p>
        </w:tc>
        <w:tc>
          <w:tcPr>
            <w:tcW w:w="4788" w:type="dxa"/>
          </w:tcPr>
          <w:p w:rsidR="008478A9" w:rsidRPr="00AC68E3" w:rsidRDefault="008478A9" w:rsidP="005425CF">
            <w:pPr>
              <w:pStyle w:val="SL-FlLftSgl"/>
              <w:keepNext/>
              <w:keepLines/>
              <w:jc w:val="center"/>
              <w:rPr>
                <w:b/>
                <w:szCs w:val="22"/>
              </w:rPr>
            </w:pPr>
            <w:r w:rsidRPr="00AC68E3">
              <w:rPr>
                <w:b/>
              </w:rPr>
              <w:t>Date of Scheduled Conduct/Completion</w:t>
            </w:r>
          </w:p>
        </w:tc>
      </w:tr>
      <w:tr w:rsidR="00525528" w:rsidTr="007C3889">
        <w:trPr>
          <w:cantSplit/>
          <w:jc w:val="center"/>
        </w:trPr>
        <w:tc>
          <w:tcPr>
            <w:tcW w:w="4788" w:type="dxa"/>
          </w:tcPr>
          <w:p w:rsidR="00525528" w:rsidRDefault="00525528" w:rsidP="005425CF">
            <w:pPr>
              <w:pStyle w:val="SL-FlLftSgl"/>
              <w:keepNext/>
              <w:keepLines/>
            </w:pPr>
            <w:r>
              <w:t>Survey Instruments Formatting and Printing</w:t>
            </w:r>
          </w:p>
        </w:tc>
        <w:tc>
          <w:tcPr>
            <w:tcW w:w="4788" w:type="dxa"/>
          </w:tcPr>
          <w:p w:rsidR="00525528" w:rsidRDefault="00FD08A6" w:rsidP="0024034A">
            <w:pPr>
              <w:pStyle w:val="SL-FlLftSgl"/>
              <w:keepNext/>
              <w:keepLines/>
            </w:pPr>
            <w:r>
              <w:t>Octo</w:t>
            </w:r>
            <w:r w:rsidR="00525528">
              <w:t>ber-December, 201</w:t>
            </w:r>
            <w:r w:rsidR="0024034A">
              <w:t>3</w:t>
            </w:r>
          </w:p>
        </w:tc>
      </w:tr>
      <w:tr w:rsidR="007C4588" w:rsidTr="007C3889">
        <w:trPr>
          <w:cantSplit/>
          <w:jc w:val="center"/>
        </w:trPr>
        <w:tc>
          <w:tcPr>
            <w:tcW w:w="4788" w:type="dxa"/>
          </w:tcPr>
          <w:p w:rsidR="007C4588" w:rsidRDefault="007C4588" w:rsidP="005425CF">
            <w:pPr>
              <w:pStyle w:val="SL-FlLftSgl"/>
              <w:keepNext/>
              <w:keepLines/>
            </w:pPr>
            <w:r>
              <w:t>Data Collection Begins (advance letter mailing)</w:t>
            </w:r>
          </w:p>
        </w:tc>
        <w:tc>
          <w:tcPr>
            <w:tcW w:w="4788" w:type="dxa"/>
          </w:tcPr>
          <w:p w:rsidR="007C4588" w:rsidRDefault="0024034A" w:rsidP="00A0537E">
            <w:pPr>
              <w:pStyle w:val="SL-FlLftSgl"/>
              <w:keepNext/>
              <w:keepLines/>
            </w:pPr>
            <w:r>
              <w:t xml:space="preserve">January </w:t>
            </w:r>
            <w:r w:rsidR="00A0537E">
              <w:t>2</w:t>
            </w:r>
            <w:r>
              <w:t>, 2014</w:t>
            </w:r>
          </w:p>
        </w:tc>
      </w:tr>
      <w:tr w:rsidR="007C4588" w:rsidTr="007C3889">
        <w:trPr>
          <w:cantSplit/>
          <w:jc w:val="center"/>
        </w:trPr>
        <w:tc>
          <w:tcPr>
            <w:tcW w:w="4788" w:type="dxa"/>
          </w:tcPr>
          <w:p w:rsidR="007C4588" w:rsidRDefault="007C4588" w:rsidP="007C4588">
            <w:pPr>
              <w:pStyle w:val="SL-FlLftSgl"/>
              <w:keepNext/>
              <w:keepLines/>
              <w:rPr>
                <w:szCs w:val="22"/>
              </w:rPr>
            </w:pPr>
            <w:r>
              <w:t xml:space="preserve">Data Collection Ends </w:t>
            </w:r>
          </w:p>
        </w:tc>
        <w:tc>
          <w:tcPr>
            <w:tcW w:w="4788" w:type="dxa"/>
          </w:tcPr>
          <w:p w:rsidR="007C4588" w:rsidRDefault="007C4588" w:rsidP="00A0537E">
            <w:pPr>
              <w:pStyle w:val="SL-FlLftSgl"/>
              <w:keepNext/>
              <w:keepLines/>
              <w:rPr>
                <w:szCs w:val="22"/>
              </w:rPr>
            </w:pPr>
            <w:r w:rsidRPr="00A0537E">
              <w:t xml:space="preserve">August </w:t>
            </w:r>
            <w:r w:rsidR="00A0537E" w:rsidRPr="00A0537E">
              <w:t>20</w:t>
            </w:r>
            <w:r w:rsidRPr="00A0537E">
              <w:t>, 201</w:t>
            </w:r>
            <w:r w:rsidR="00A0537E" w:rsidRPr="00A0537E">
              <w:t>4</w:t>
            </w:r>
          </w:p>
        </w:tc>
      </w:tr>
    </w:tbl>
    <w:p w:rsidR="008478A9" w:rsidRDefault="008478A9" w:rsidP="009562D8">
      <w:pPr>
        <w:pStyle w:val="P1-StandPara"/>
      </w:pPr>
    </w:p>
    <w:p w:rsidR="008478A9" w:rsidRDefault="008478A9" w:rsidP="007C3889">
      <w:pPr>
        <w:pStyle w:val="Heading1"/>
        <w:spacing w:after="240" w:line="240" w:lineRule="auto"/>
        <w:ind w:left="0" w:firstLine="0"/>
      </w:pPr>
      <w:bookmarkStart w:id="31" w:name="_Toc61176393"/>
      <w:bookmarkStart w:id="32" w:name="_Toc222888902"/>
      <w:r>
        <w:t>A.</w:t>
      </w:r>
      <w:r w:rsidR="0068462A">
        <w:t>13</w:t>
      </w:r>
      <w:r>
        <w:tab/>
        <w:t>Approval for Not Displaying the Expiration Date for OMB Approval</w:t>
      </w:r>
      <w:bookmarkEnd w:id="31"/>
      <w:bookmarkEnd w:id="32"/>
    </w:p>
    <w:p w:rsidR="008478A9" w:rsidRDefault="008478A9" w:rsidP="007C3889">
      <w:pPr>
        <w:pStyle w:val="P1-StandPara"/>
        <w:spacing w:line="23" w:lineRule="atLeast"/>
      </w:pPr>
      <w:r w:rsidRPr="007810C8">
        <w:t xml:space="preserve">The OMB authorization number and expiration date will be displayed on the hard copy </w:t>
      </w:r>
      <w:r w:rsidRPr="0010290A">
        <w:t>questionnaire.</w:t>
      </w:r>
      <w:r>
        <w:t xml:space="preserve"> </w:t>
      </w:r>
    </w:p>
    <w:p w:rsidR="008478A9" w:rsidRDefault="008478A9" w:rsidP="007C3889">
      <w:pPr>
        <w:pStyle w:val="P1-StandPara"/>
        <w:spacing w:line="23" w:lineRule="atLeast"/>
        <w:ind w:firstLine="0"/>
      </w:pPr>
    </w:p>
    <w:p w:rsidR="008478A9" w:rsidRDefault="008478A9" w:rsidP="007C3889">
      <w:pPr>
        <w:pStyle w:val="Heading1"/>
        <w:spacing w:after="240" w:line="240" w:lineRule="auto"/>
        <w:ind w:left="0" w:firstLine="0"/>
      </w:pPr>
      <w:bookmarkStart w:id="33" w:name="_Toc61176394"/>
      <w:bookmarkStart w:id="34" w:name="_Toc222888903"/>
      <w:r>
        <w:t>A.</w:t>
      </w:r>
      <w:r w:rsidR="00A0537E">
        <w:t>1</w:t>
      </w:r>
      <w:r w:rsidR="0068462A">
        <w:t>4</w:t>
      </w:r>
      <w:r>
        <w:tab/>
        <w:t>Exceptions to the Certification Statement</w:t>
      </w:r>
      <w:bookmarkEnd w:id="33"/>
      <w:bookmarkEnd w:id="34"/>
    </w:p>
    <w:p w:rsidR="008478A9" w:rsidRDefault="008478A9" w:rsidP="007C3889">
      <w:pPr>
        <w:pStyle w:val="P1-StandPara"/>
      </w:pPr>
      <w:r>
        <w:t>There are no exceptions to the certification statement.</w:t>
      </w:r>
    </w:p>
    <w:p w:rsidR="007C3889" w:rsidRDefault="007C3889" w:rsidP="007C3889">
      <w:pPr>
        <w:pStyle w:val="P1-StandPara"/>
      </w:pPr>
    </w:p>
    <w:p w:rsidR="00854191" w:rsidRDefault="00854191" w:rsidP="00854191">
      <w:pPr>
        <w:pStyle w:val="Heading1"/>
        <w:spacing w:after="0" w:line="240" w:lineRule="auto"/>
      </w:pPr>
      <w:bookmarkStart w:id="35" w:name="_Toc438438089"/>
      <w:bookmarkStart w:id="36" w:name="_Toc438438090"/>
      <w:bookmarkStart w:id="37" w:name="_Toc61176403"/>
      <w:bookmarkStart w:id="38" w:name="_Toc222888910"/>
      <w:bookmarkStart w:id="39" w:name="_Toc61176406"/>
      <w:bookmarkEnd w:id="35"/>
      <w:bookmarkEnd w:id="36"/>
      <w:r>
        <w:t>B.1</w:t>
      </w:r>
      <w:r>
        <w:tab/>
        <w:t>Statistical Design and Estimation</w:t>
      </w:r>
    </w:p>
    <w:p w:rsidR="00854191" w:rsidRDefault="00854191" w:rsidP="00854191">
      <w:pPr>
        <w:pStyle w:val="P1-StandPara"/>
        <w:spacing w:line="240" w:lineRule="auto"/>
      </w:pPr>
    </w:p>
    <w:p w:rsidR="00854191" w:rsidRDefault="00854191" w:rsidP="00854191">
      <w:pPr>
        <w:pStyle w:val="P1-StandPara"/>
        <w:spacing w:line="240" w:lineRule="auto"/>
      </w:pPr>
      <w:r>
        <w:t>The NHES Feasibility Study administered in 2014 (NHES-FS) will be an address-based sample covering the 50 states and the District of Columbia and will be conducted from January through August 2014. Households will be randomly sampled as described in section B.1.1, and a screener questionnaire will be sent to each sampled household. Demographic information about household members provided on the screener will be used to determine whether anyone is eligible for the After-School Programs and Activities (ASPA) survey, the Adult Training and Education Survey (ATES), or both. In order to limit respondent burden, regardless of the number of eligible people in a household, no more than one child and one adult per household will be sampled for the topical surveys and no more than two topical surveys will b</w:t>
      </w:r>
      <w:r w:rsidR="004C2BA3">
        <w:t>e administered in a household.</w:t>
      </w:r>
    </w:p>
    <w:p w:rsidR="00854191" w:rsidRDefault="00854191" w:rsidP="00854191">
      <w:pPr>
        <w:pStyle w:val="P1-StandPara"/>
        <w:spacing w:line="240" w:lineRule="auto"/>
      </w:pPr>
    </w:p>
    <w:p w:rsidR="00854191" w:rsidRDefault="00854191" w:rsidP="00854191">
      <w:pPr>
        <w:pStyle w:val="P1-StandPara"/>
        <w:spacing w:line="240" w:lineRule="auto"/>
      </w:pPr>
      <w:r w:rsidRPr="00C5620A">
        <w:t xml:space="preserve">In addition, the study will include a seeded sample of adults with certain types of </w:t>
      </w:r>
      <w:r>
        <w:t>occupational credentials</w:t>
      </w:r>
      <w:r w:rsidRPr="00C5620A">
        <w:t xml:space="preserve">. </w:t>
      </w:r>
      <w:r>
        <w:t xml:space="preserve">Because the names and addresses of potential seeded sample members were solicited from credentialing organizations, they will receive a personally-addressed copy of the topical questionnaire. They are not part of the household sample and are not included in the screener operation for NHES-FS. </w:t>
      </w:r>
      <w:r w:rsidRPr="00C5620A">
        <w:t xml:space="preserve">   </w:t>
      </w:r>
    </w:p>
    <w:p w:rsidR="00854191" w:rsidRDefault="00854191" w:rsidP="00854191">
      <w:pPr>
        <w:pStyle w:val="P1-StandPara"/>
        <w:spacing w:line="240" w:lineRule="auto"/>
      </w:pPr>
    </w:p>
    <w:p w:rsidR="00854191" w:rsidRDefault="00854191" w:rsidP="00854191">
      <w:pPr>
        <w:pStyle w:val="P1-StandPara"/>
        <w:spacing w:line="240" w:lineRule="auto"/>
      </w:pPr>
      <w:r>
        <w:t xml:space="preserve">The target population for the ASPA survey consists of children ages 3-15 (as of December 31, 2013) who are enrolled in kindergarten through eighth grade. The target population for the ATES survey includes adults ages 16-65 who are not enrolled in grade 12 or below. </w:t>
      </w:r>
    </w:p>
    <w:p w:rsidR="00854191" w:rsidRDefault="00854191" w:rsidP="00854191">
      <w:pPr>
        <w:pStyle w:val="P1-StandPara"/>
        <w:spacing w:line="240" w:lineRule="auto"/>
      </w:pPr>
    </w:p>
    <w:p w:rsidR="00854191" w:rsidRDefault="00854191" w:rsidP="00854191">
      <w:pPr>
        <w:pStyle w:val="Heading2"/>
        <w:spacing w:after="0" w:line="240" w:lineRule="auto"/>
      </w:pPr>
      <w:bookmarkStart w:id="40" w:name="_Toc222888906"/>
      <w:bookmarkStart w:id="41" w:name="_Toc222888907"/>
      <w:r>
        <w:t>B.1.1</w:t>
      </w:r>
      <w:r>
        <w:tab/>
        <w:t>Sampling Households</w:t>
      </w:r>
      <w:bookmarkEnd w:id="40"/>
    </w:p>
    <w:p w:rsidR="00F370B1" w:rsidRDefault="00F370B1" w:rsidP="00854191">
      <w:pPr>
        <w:pStyle w:val="P1-StandPara"/>
        <w:spacing w:line="240" w:lineRule="auto"/>
      </w:pPr>
    </w:p>
    <w:p w:rsidR="00854191" w:rsidRDefault="00854191" w:rsidP="00854191">
      <w:pPr>
        <w:pStyle w:val="P1-StandPara"/>
        <w:spacing w:line="240" w:lineRule="auto"/>
      </w:pPr>
      <w:r>
        <w:t>A nationally representative sample of 60</w:t>
      </w:r>
      <w:r w:rsidRPr="006B3F8E">
        <w:t>,000</w:t>
      </w:r>
      <w:r>
        <w:t xml:space="preserve"> addresses will be used. The sample will be drawn in a single stage from a file of residential addresses maintained by a vendor, Marketing Systems Group (MSG), updated with the United States Postal Service (USPS) Computerized Delivery Sequence File (CDSF).  </w:t>
      </w:r>
    </w:p>
    <w:p w:rsidR="00854191" w:rsidRDefault="00854191" w:rsidP="00854191">
      <w:pPr>
        <w:pStyle w:val="P1-StandPara"/>
        <w:spacing w:line="240" w:lineRule="auto"/>
      </w:pPr>
    </w:p>
    <w:p w:rsidR="00854191" w:rsidRDefault="00854191" w:rsidP="00854191">
      <w:pPr>
        <w:pStyle w:val="P1-StandPara"/>
        <w:spacing w:line="240" w:lineRule="auto"/>
      </w:pPr>
      <w:r>
        <w:t xml:space="preserve">The NHES-FS is designed to meet precision requirements that allow for comparison among various experiments included in the study. The precision requirements are the ability to detect a 3 percentage point change in estimates between 60 and 80 percent. </w:t>
      </w:r>
      <w:r w:rsidRPr="00740251">
        <w:t xml:space="preserve">Table </w:t>
      </w:r>
      <w:r w:rsidR="00611F29">
        <w:t>2</w:t>
      </w:r>
      <w:r>
        <w:t xml:space="preserve"> shows the sample sizes needed to meet these precision requirements (alpha=.05, 1-</w:t>
      </w:r>
      <w:r w:rsidRPr="000B1683">
        <w:rPr>
          <w:i/>
        </w:rPr>
        <w:t>B</w:t>
      </w:r>
      <w:r>
        <w:t>=.80).</w:t>
      </w:r>
    </w:p>
    <w:p w:rsidR="00854191" w:rsidRDefault="00854191" w:rsidP="00854191">
      <w:pPr>
        <w:pStyle w:val="P1-StandPara"/>
      </w:pPr>
    </w:p>
    <w:p w:rsidR="00854191" w:rsidRDefault="00854191" w:rsidP="00854191">
      <w:pPr>
        <w:spacing w:line="240" w:lineRule="auto"/>
        <w:ind w:left="1170" w:hanging="1170"/>
        <w:rPr>
          <w:sz w:val="24"/>
          <w:szCs w:val="24"/>
        </w:rPr>
      </w:pPr>
      <w:r w:rsidRPr="00C5620A">
        <w:rPr>
          <w:b/>
          <w:szCs w:val="22"/>
        </w:rPr>
        <w:t xml:space="preserve">Table </w:t>
      </w:r>
      <w:r w:rsidR="00611F29">
        <w:rPr>
          <w:b/>
          <w:szCs w:val="22"/>
        </w:rPr>
        <w:t>2</w:t>
      </w:r>
      <w:r w:rsidRPr="00C5620A">
        <w:rPr>
          <w:b/>
          <w:szCs w:val="22"/>
        </w:rPr>
        <w:t>.</w:t>
      </w:r>
      <w:r>
        <w:rPr>
          <w:b/>
          <w:szCs w:val="22"/>
        </w:rPr>
        <w:t xml:space="preserve"> </w:t>
      </w:r>
      <w:r>
        <w:rPr>
          <w:b/>
          <w:szCs w:val="22"/>
        </w:rPr>
        <w:tab/>
      </w:r>
      <w:r w:rsidRPr="000B1683">
        <w:rPr>
          <w:b/>
          <w:szCs w:val="22"/>
        </w:rPr>
        <w:t xml:space="preserve">Estimates of </w:t>
      </w:r>
      <w:r>
        <w:rPr>
          <w:b/>
          <w:szCs w:val="22"/>
        </w:rPr>
        <w:t>r</w:t>
      </w:r>
      <w:r w:rsidRPr="000B1683">
        <w:rPr>
          <w:b/>
          <w:szCs w:val="22"/>
        </w:rPr>
        <w:t xml:space="preserve">equired </w:t>
      </w:r>
      <w:r>
        <w:rPr>
          <w:b/>
          <w:szCs w:val="22"/>
        </w:rPr>
        <w:t>s</w:t>
      </w:r>
      <w:r w:rsidRPr="000B1683">
        <w:rPr>
          <w:b/>
          <w:szCs w:val="22"/>
        </w:rPr>
        <w:t xml:space="preserve">ample </w:t>
      </w:r>
      <w:r>
        <w:rPr>
          <w:b/>
          <w:szCs w:val="22"/>
        </w:rPr>
        <w:t>s</w:t>
      </w:r>
      <w:r w:rsidRPr="000B1683">
        <w:rPr>
          <w:b/>
          <w:szCs w:val="22"/>
        </w:rPr>
        <w:t xml:space="preserve">ize to </w:t>
      </w:r>
      <w:r>
        <w:rPr>
          <w:b/>
          <w:szCs w:val="22"/>
        </w:rPr>
        <w:t>d</w:t>
      </w:r>
      <w:r w:rsidRPr="000B1683">
        <w:rPr>
          <w:b/>
          <w:szCs w:val="22"/>
        </w:rPr>
        <w:t xml:space="preserve">etect a </w:t>
      </w:r>
      <w:r>
        <w:rPr>
          <w:b/>
          <w:szCs w:val="22"/>
        </w:rPr>
        <w:t>d</w:t>
      </w:r>
      <w:r w:rsidRPr="000B1683">
        <w:rPr>
          <w:b/>
          <w:szCs w:val="22"/>
        </w:rPr>
        <w:t xml:space="preserve">ifference </w:t>
      </w:r>
      <w:r>
        <w:rPr>
          <w:b/>
          <w:szCs w:val="22"/>
        </w:rPr>
        <w:t>b</w:t>
      </w:r>
      <w:r w:rsidRPr="000B1683">
        <w:rPr>
          <w:b/>
          <w:szCs w:val="22"/>
        </w:rPr>
        <w:t>etwee</w:t>
      </w:r>
      <w:r>
        <w:rPr>
          <w:b/>
          <w:szCs w:val="22"/>
        </w:rPr>
        <w:t>n t</w:t>
      </w:r>
      <w:r w:rsidRPr="000B1683">
        <w:rPr>
          <w:b/>
          <w:szCs w:val="22"/>
        </w:rPr>
        <w:t xml:space="preserve">wo </w:t>
      </w:r>
      <w:r>
        <w:rPr>
          <w:b/>
          <w:szCs w:val="22"/>
        </w:rPr>
        <w:t>e</w:t>
      </w:r>
      <w:r w:rsidRPr="000B1683">
        <w:rPr>
          <w:b/>
          <w:szCs w:val="22"/>
        </w:rPr>
        <w:t xml:space="preserve">stimated </w:t>
      </w:r>
      <w:r>
        <w:rPr>
          <w:b/>
          <w:szCs w:val="22"/>
        </w:rPr>
        <w:t>p</w:t>
      </w:r>
      <w:r w:rsidRPr="000B1683">
        <w:rPr>
          <w:b/>
          <w:szCs w:val="22"/>
        </w:rPr>
        <w:t xml:space="preserve">roportions of </w:t>
      </w:r>
      <w:r>
        <w:rPr>
          <w:b/>
          <w:szCs w:val="22"/>
        </w:rPr>
        <w:t>3</w:t>
      </w:r>
      <w:r w:rsidRPr="000B1683">
        <w:rPr>
          <w:b/>
          <w:szCs w:val="22"/>
        </w:rPr>
        <w:t xml:space="preserve"> or 5 percent</w:t>
      </w:r>
      <w:r>
        <w:rPr>
          <w:b/>
          <w:szCs w:val="22"/>
        </w:rPr>
        <w:t>age points</w:t>
      </w:r>
    </w:p>
    <w:tbl>
      <w:tblPr>
        <w:tblW w:w="5000" w:type="pct"/>
        <w:tblCellMar>
          <w:left w:w="100" w:type="dxa"/>
          <w:right w:w="100" w:type="dxa"/>
        </w:tblCellMar>
        <w:tblLook w:val="0000" w:firstRow="0" w:lastRow="0" w:firstColumn="0" w:lastColumn="0" w:noHBand="0" w:noVBand="0"/>
      </w:tblPr>
      <w:tblGrid>
        <w:gridCol w:w="2084"/>
        <w:gridCol w:w="2085"/>
        <w:gridCol w:w="1845"/>
        <w:gridCol w:w="2325"/>
        <w:gridCol w:w="2085"/>
      </w:tblGrid>
      <w:tr w:rsidR="00854191" w:rsidRPr="000B1683" w:rsidTr="00854191">
        <w:trPr>
          <w:cantSplit/>
        </w:trPr>
        <w:tc>
          <w:tcPr>
            <w:tcW w:w="1000" w:type="pct"/>
            <w:vMerge w:val="restart"/>
            <w:tcBorders>
              <w:top w:val="single" w:sz="24" w:space="0" w:color="auto"/>
              <w:bottom w:val="single" w:sz="12" w:space="0" w:color="auto"/>
            </w:tcBorders>
          </w:tcPr>
          <w:p w:rsidR="00854191" w:rsidRPr="000B1683" w:rsidRDefault="00854191" w:rsidP="00854191">
            <w:pPr>
              <w:spacing w:line="240" w:lineRule="auto"/>
              <w:jc w:val="left"/>
              <w:rPr>
                <w:b/>
                <w:szCs w:val="22"/>
              </w:rPr>
            </w:pPr>
            <w:r w:rsidRPr="000B1683">
              <w:rPr>
                <w:b/>
                <w:szCs w:val="22"/>
              </w:rPr>
              <w:t xml:space="preserve">True </w:t>
            </w:r>
            <w:r>
              <w:rPr>
                <w:b/>
                <w:szCs w:val="22"/>
              </w:rPr>
              <w:t>v</w:t>
            </w:r>
            <w:r w:rsidRPr="000B1683">
              <w:rPr>
                <w:b/>
                <w:szCs w:val="22"/>
              </w:rPr>
              <w:t>alue of</w:t>
            </w:r>
            <w:r>
              <w:rPr>
                <w:b/>
                <w:szCs w:val="22"/>
              </w:rPr>
              <w:t xml:space="preserve"> </w:t>
            </w:r>
            <w:r w:rsidRPr="004E3263">
              <w:rPr>
                <w:b/>
                <w:i/>
                <w:szCs w:val="22"/>
              </w:rPr>
              <w:t>P</w:t>
            </w:r>
            <w:r w:rsidRPr="004E3263">
              <w:rPr>
                <w:b/>
                <w:szCs w:val="22"/>
                <w:vertAlign w:val="subscript"/>
              </w:rPr>
              <w:t>1</w:t>
            </w:r>
            <w:r w:rsidRPr="000B1683">
              <w:rPr>
                <w:b/>
                <w:szCs w:val="22"/>
              </w:rPr>
              <w:t xml:space="preserve"> </w:t>
            </w:r>
            <w:r w:rsidRPr="000B1683">
              <w:rPr>
                <w:b/>
                <w:szCs w:val="22"/>
              </w:rPr>
              <w:fldChar w:fldCharType="begin"/>
            </w:r>
            <w:r w:rsidRPr="000B1683">
              <w:rPr>
                <w:b/>
                <w:szCs w:val="22"/>
              </w:rPr>
              <w:instrText>ADVANCE \d 6</w:instrText>
            </w:r>
            <w:r w:rsidRPr="000B1683">
              <w:rPr>
                <w:b/>
                <w:szCs w:val="22"/>
              </w:rPr>
              <w:fldChar w:fldCharType="end"/>
            </w:r>
            <w:r w:rsidRPr="000B1683">
              <w:rPr>
                <w:b/>
                <w:szCs w:val="22"/>
              </w:rPr>
              <w:fldChar w:fldCharType="begin"/>
            </w:r>
            <w:r w:rsidRPr="000B1683">
              <w:rPr>
                <w:b/>
                <w:szCs w:val="22"/>
              </w:rPr>
              <w:instrText>ADVANCE \u 6</w:instrText>
            </w:r>
            <w:r w:rsidRPr="000B1683">
              <w:rPr>
                <w:b/>
                <w:szCs w:val="22"/>
              </w:rPr>
              <w:fldChar w:fldCharType="end"/>
            </w:r>
          </w:p>
        </w:tc>
        <w:tc>
          <w:tcPr>
            <w:tcW w:w="1885" w:type="pct"/>
            <w:gridSpan w:val="2"/>
            <w:tcBorders>
              <w:top w:val="single" w:sz="24" w:space="0" w:color="auto"/>
              <w:bottom w:val="single" w:sz="12" w:space="0" w:color="auto"/>
            </w:tcBorders>
          </w:tcPr>
          <w:p w:rsidR="00854191" w:rsidRPr="000B1683" w:rsidRDefault="00854191" w:rsidP="00854191">
            <w:pPr>
              <w:spacing w:line="240" w:lineRule="auto"/>
              <w:jc w:val="center"/>
              <w:rPr>
                <w:b/>
                <w:szCs w:val="22"/>
              </w:rPr>
            </w:pPr>
            <w:r>
              <w:rPr>
                <w:b/>
                <w:szCs w:val="22"/>
              </w:rPr>
              <w:t>3</w:t>
            </w:r>
            <w:r w:rsidRPr="000B1683">
              <w:rPr>
                <w:b/>
                <w:szCs w:val="22"/>
              </w:rPr>
              <w:t xml:space="preserve"> percent</w:t>
            </w:r>
            <w:r>
              <w:rPr>
                <w:b/>
                <w:szCs w:val="22"/>
              </w:rPr>
              <w:t>age point</w:t>
            </w:r>
            <w:r w:rsidRPr="000B1683">
              <w:rPr>
                <w:b/>
                <w:szCs w:val="22"/>
              </w:rPr>
              <w:t xml:space="preserve"> difference</w:t>
            </w:r>
          </w:p>
        </w:tc>
        <w:tc>
          <w:tcPr>
            <w:tcW w:w="2115" w:type="pct"/>
            <w:gridSpan w:val="2"/>
            <w:tcBorders>
              <w:top w:val="single" w:sz="24" w:space="0" w:color="auto"/>
              <w:bottom w:val="single" w:sz="12" w:space="0" w:color="auto"/>
            </w:tcBorders>
          </w:tcPr>
          <w:p w:rsidR="00854191" w:rsidRPr="000B1683" w:rsidRDefault="00854191" w:rsidP="00854191">
            <w:pPr>
              <w:spacing w:line="240" w:lineRule="auto"/>
              <w:jc w:val="center"/>
              <w:rPr>
                <w:b/>
                <w:szCs w:val="22"/>
              </w:rPr>
            </w:pPr>
            <w:r w:rsidRPr="000B1683">
              <w:rPr>
                <w:b/>
                <w:szCs w:val="22"/>
              </w:rPr>
              <w:t>5 percent</w:t>
            </w:r>
            <w:r>
              <w:rPr>
                <w:b/>
                <w:szCs w:val="22"/>
              </w:rPr>
              <w:t>age point</w:t>
            </w:r>
            <w:r w:rsidRPr="000B1683">
              <w:rPr>
                <w:b/>
                <w:szCs w:val="22"/>
              </w:rPr>
              <w:t xml:space="preserve"> difference</w:t>
            </w:r>
          </w:p>
        </w:tc>
      </w:tr>
      <w:tr w:rsidR="00854191" w:rsidRPr="000B1683" w:rsidTr="00854191">
        <w:trPr>
          <w:cantSplit/>
        </w:trPr>
        <w:tc>
          <w:tcPr>
            <w:tcW w:w="1000" w:type="pct"/>
            <w:vMerge/>
            <w:tcBorders>
              <w:top w:val="single" w:sz="12" w:space="0" w:color="auto"/>
            </w:tcBorders>
          </w:tcPr>
          <w:p w:rsidR="00854191" w:rsidRPr="000B1683" w:rsidRDefault="00854191" w:rsidP="00854191">
            <w:pPr>
              <w:spacing w:line="240" w:lineRule="auto"/>
              <w:rPr>
                <w:b/>
                <w:szCs w:val="22"/>
              </w:rPr>
            </w:pPr>
          </w:p>
        </w:tc>
        <w:tc>
          <w:tcPr>
            <w:tcW w:w="1000" w:type="pct"/>
            <w:tcBorders>
              <w:top w:val="single" w:sz="12" w:space="0" w:color="auto"/>
              <w:bottom w:val="single" w:sz="12" w:space="0" w:color="auto"/>
            </w:tcBorders>
          </w:tcPr>
          <w:p w:rsidR="00854191" w:rsidRPr="000B1683" w:rsidRDefault="00854191" w:rsidP="00854191">
            <w:pPr>
              <w:spacing w:line="240" w:lineRule="auto"/>
              <w:rPr>
                <w:b/>
                <w:szCs w:val="22"/>
              </w:rPr>
            </w:pPr>
            <w:r w:rsidRPr="000B1683">
              <w:rPr>
                <w:b/>
                <w:szCs w:val="22"/>
              </w:rPr>
              <w:t xml:space="preserve">Value of </w:t>
            </w:r>
            <w:r w:rsidRPr="004E3263">
              <w:rPr>
                <w:b/>
                <w:i/>
                <w:szCs w:val="22"/>
              </w:rPr>
              <w:t>P</w:t>
            </w:r>
            <w:r w:rsidRPr="004E3263">
              <w:rPr>
                <w:b/>
                <w:szCs w:val="22"/>
                <w:vertAlign w:val="subscript"/>
              </w:rPr>
              <w:t>2</w:t>
            </w:r>
            <w:r>
              <w:rPr>
                <w:b/>
                <w:szCs w:val="22"/>
              </w:rPr>
              <w:t xml:space="preserve"> </w:t>
            </w:r>
            <w:r w:rsidRPr="000B1683">
              <w:rPr>
                <w:b/>
                <w:szCs w:val="22"/>
              </w:rPr>
              <w:fldChar w:fldCharType="begin"/>
            </w:r>
            <w:r w:rsidRPr="000B1683">
              <w:rPr>
                <w:b/>
                <w:szCs w:val="22"/>
              </w:rPr>
              <w:instrText>ADVANCE \d 6</w:instrText>
            </w:r>
            <w:r w:rsidRPr="000B1683">
              <w:rPr>
                <w:b/>
                <w:szCs w:val="22"/>
              </w:rPr>
              <w:fldChar w:fldCharType="end"/>
            </w:r>
            <w:r w:rsidRPr="000B1683">
              <w:rPr>
                <w:b/>
                <w:szCs w:val="22"/>
              </w:rPr>
              <w:fldChar w:fldCharType="begin"/>
            </w:r>
            <w:r w:rsidRPr="000B1683">
              <w:rPr>
                <w:b/>
                <w:szCs w:val="22"/>
              </w:rPr>
              <w:instrText>ADVANCE \u 6</w:instrText>
            </w:r>
            <w:r w:rsidRPr="000B1683">
              <w:rPr>
                <w:b/>
                <w:szCs w:val="22"/>
              </w:rPr>
              <w:fldChar w:fldCharType="end"/>
            </w:r>
            <w:r w:rsidRPr="000B1683">
              <w:rPr>
                <w:b/>
                <w:szCs w:val="22"/>
              </w:rPr>
              <w:t>(1)</w:t>
            </w:r>
          </w:p>
        </w:tc>
        <w:tc>
          <w:tcPr>
            <w:tcW w:w="885" w:type="pct"/>
            <w:tcBorders>
              <w:top w:val="single" w:sz="12" w:space="0" w:color="auto"/>
              <w:bottom w:val="single" w:sz="12" w:space="0" w:color="auto"/>
            </w:tcBorders>
          </w:tcPr>
          <w:p w:rsidR="00854191" w:rsidRPr="000B1683" w:rsidRDefault="00854191" w:rsidP="00854191">
            <w:pPr>
              <w:spacing w:line="240" w:lineRule="auto"/>
              <w:rPr>
                <w:b/>
                <w:szCs w:val="22"/>
              </w:rPr>
            </w:pPr>
            <w:r w:rsidRPr="000B1683">
              <w:rPr>
                <w:b/>
                <w:szCs w:val="22"/>
              </w:rPr>
              <w:t xml:space="preserve">Sample </w:t>
            </w:r>
            <w:r>
              <w:rPr>
                <w:b/>
                <w:szCs w:val="22"/>
              </w:rPr>
              <w:t>s</w:t>
            </w:r>
            <w:r w:rsidRPr="000B1683">
              <w:rPr>
                <w:b/>
                <w:szCs w:val="22"/>
              </w:rPr>
              <w:t>ize</w:t>
            </w:r>
            <w:r>
              <w:rPr>
                <w:b/>
                <w:szCs w:val="22"/>
              </w:rPr>
              <w:t xml:space="preserve"> </w:t>
            </w:r>
            <w:r w:rsidRPr="000B1683">
              <w:rPr>
                <w:b/>
                <w:szCs w:val="22"/>
              </w:rPr>
              <w:t>(2)</w:t>
            </w:r>
          </w:p>
        </w:tc>
        <w:tc>
          <w:tcPr>
            <w:tcW w:w="1115" w:type="pct"/>
            <w:tcBorders>
              <w:top w:val="single" w:sz="12" w:space="0" w:color="auto"/>
              <w:bottom w:val="single" w:sz="12" w:space="0" w:color="auto"/>
            </w:tcBorders>
          </w:tcPr>
          <w:p w:rsidR="00854191" w:rsidRPr="000B1683" w:rsidRDefault="00854191" w:rsidP="00854191">
            <w:pPr>
              <w:spacing w:line="240" w:lineRule="auto"/>
              <w:rPr>
                <w:b/>
                <w:szCs w:val="22"/>
              </w:rPr>
            </w:pPr>
            <w:r w:rsidRPr="000B1683">
              <w:rPr>
                <w:b/>
                <w:szCs w:val="22"/>
              </w:rPr>
              <w:t>Value of</w:t>
            </w:r>
            <w:r>
              <w:rPr>
                <w:b/>
                <w:szCs w:val="22"/>
              </w:rPr>
              <w:t xml:space="preserve"> </w:t>
            </w:r>
            <w:r w:rsidRPr="004E3263">
              <w:rPr>
                <w:b/>
                <w:i/>
                <w:szCs w:val="22"/>
              </w:rPr>
              <w:t>P</w:t>
            </w:r>
            <w:r w:rsidRPr="004E3263">
              <w:rPr>
                <w:b/>
                <w:szCs w:val="22"/>
                <w:vertAlign w:val="subscript"/>
              </w:rPr>
              <w:t>2</w:t>
            </w:r>
            <w:r w:rsidRPr="000B1683">
              <w:rPr>
                <w:b/>
                <w:szCs w:val="22"/>
              </w:rPr>
              <w:t xml:space="preserve"> </w:t>
            </w:r>
            <w:r w:rsidRPr="000B1683">
              <w:rPr>
                <w:b/>
                <w:szCs w:val="22"/>
              </w:rPr>
              <w:fldChar w:fldCharType="begin"/>
            </w:r>
            <w:r w:rsidRPr="000B1683">
              <w:rPr>
                <w:b/>
                <w:szCs w:val="22"/>
              </w:rPr>
              <w:instrText>ADVANCE \d 6</w:instrText>
            </w:r>
            <w:r w:rsidRPr="000B1683">
              <w:rPr>
                <w:b/>
                <w:szCs w:val="22"/>
              </w:rPr>
              <w:fldChar w:fldCharType="end"/>
            </w:r>
            <w:r w:rsidRPr="000B1683">
              <w:rPr>
                <w:b/>
                <w:szCs w:val="22"/>
              </w:rPr>
              <w:fldChar w:fldCharType="begin"/>
            </w:r>
            <w:r w:rsidRPr="000B1683">
              <w:rPr>
                <w:b/>
                <w:szCs w:val="22"/>
              </w:rPr>
              <w:instrText>ADVANCE \u 6</w:instrText>
            </w:r>
            <w:r w:rsidRPr="000B1683">
              <w:rPr>
                <w:b/>
                <w:szCs w:val="22"/>
              </w:rPr>
              <w:fldChar w:fldCharType="end"/>
            </w:r>
            <w:r w:rsidRPr="000B1683">
              <w:rPr>
                <w:b/>
                <w:szCs w:val="22"/>
              </w:rPr>
              <w:t>(1)</w:t>
            </w:r>
          </w:p>
        </w:tc>
        <w:tc>
          <w:tcPr>
            <w:tcW w:w="1000" w:type="pct"/>
            <w:tcBorders>
              <w:top w:val="single" w:sz="12" w:space="0" w:color="auto"/>
              <w:bottom w:val="single" w:sz="12" w:space="0" w:color="auto"/>
            </w:tcBorders>
          </w:tcPr>
          <w:p w:rsidR="00854191" w:rsidRPr="000B1683" w:rsidRDefault="00854191" w:rsidP="00854191">
            <w:pPr>
              <w:spacing w:line="240" w:lineRule="auto"/>
              <w:rPr>
                <w:b/>
                <w:szCs w:val="22"/>
              </w:rPr>
            </w:pPr>
            <w:r w:rsidRPr="000B1683">
              <w:rPr>
                <w:b/>
                <w:szCs w:val="22"/>
              </w:rPr>
              <w:t xml:space="preserve">Sample </w:t>
            </w:r>
            <w:r>
              <w:rPr>
                <w:b/>
                <w:szCs w:val="22"/>
              </w:rPr>
              <w:t>s</w:t>
            </w:r>
            <w:r w:rsidRPr="000B1683">
              <w:rPr>
                <w:b/>
                <w:szCs w:val="22"/>
              </w:rPr>
              <w:t>ize</w:t>
            </w:r>
            <w:r>
              <w:rPr>
                <w:b/>
                <w:szCs w:val="22"/>
              </w:rPr>
              <w:t xml:space="preserve"> </w:t>
            </w:r>
            <w:r w:rsidRPr="000B1683">
              <w:rPr>
                <w:b/>
                <w:szCs w:val="22"/>
              </w:rPr>
              <w:t>(2)</w:t>
            </w:r>
          </w:p>
        </w:tc>
      </w:tr>
      <w:tr w:rsidR="00854191" w:rsidRPr="000B1683" w:rsidTr="00854191">
        <w:trPr>
          <w:cantSplit/>
        </w:trPr>
        <w:tc>
          <w:tcPr>
            <w:tcW w:w="1000" w:type="pct"/>
          </w:tcPr>
          <w:p w:rsidR="00854191" w:rsidRPr="000B1683" w:rsidRDefault="00854191" w:rsidP="00854191">
            <w:pPr>
              <w:spacing w:line="240" w:lineRule="auto"/>
              <w:rPr>
                <w:szCs w:val="22"/>
              </w:rPr>
            </w:pPr>
            <w:r>
              <w:rPr>
                <w:szCs w:val="22"/>
              </w:rPr>
              <w:t>8</w:t>
            </w:r>
            <w:r w:rsidRPr="000B1683">
              <w:rPr>
                <w:szCs w:val="22"/>
              </w:rPr>
              <w:t>0 percent</w:t>
            </w:r>
          </w:p>
        </w:tc>
        <w:tc>
          <w:tcPr>
            <w:tcW w:w="1000" w:type="pct"/>
            <w:tcBorders>
              <w:top w:val="single" w:sz="12" w:space="0" w:color="auto"/>
            </w:tcBorders>
          </w:tcPr>
          <w:p w:rsidR="00854191" w:rsidRPr="000B1683" w:rsidRDefault="00854191" w:rsidP="00854191">
            <w:pPr>
              <w:spacing w:line="240" w:lineRule="auto"/>
              <w:rPr>
                <w:szCs w:val="22"/>
              </w:rPr>
            </w:pPr>
            <w:r>
              <w:rPr>
                <w:szCs w:val="22"/>
              </w:rPr>
              <w:t>77 or 83</w:t>
            </w:r>
            <w:r w:rsidRPr="000B1683">
              <w:rPr>
                <w:szCs w:val="22"/>
              </w:rPr>
              <w:t xml:space="preserve"> percent</w:t>
            </w:r>
          </w:p>
        </w:tc>
        <w:tc>
          <w:tcPr>
            <w:tcW w:w="885" w:type="pct"/>
            <w:tcBorders>
              <w:top w:val="single" w:sz="12" w:space="0" w:color="auto"/>
            </w:tcBorders>
          </w:tcPr>
          <w:p w:rsidR="00854191" w:rsidRPr="000B1683" w:rsidRDefault="00854191" w:rsidP="00854191">
            <w:pPr>
              <w:spacing w:line="240" w:lineRule="auto"/>
              <w:rPr>
                <w:szCs w:val="22"/>
              </w:rPr>
            </w:pPr>
            <w:r>
              <w:rPr>
                <w:szCs w:val="22"/>
              </w:rPr>
              <w:t xml:space="preserve">    1,550</w:t>
            </w:r>
          </w:p>
        </w:tc>
        <w:tc>
          <w:tcPr>
            <w:tcW w:w="1115" w:type="pct"/>
            <w:tcBorders>
              <w:top w:val="single" w:sz="12" w:space="0" w:color="auto"/>
            </w:tcBorders>
          </w:tcPr>
          <w:p w:rsidR="00854191" w:rsidRPr="000B1683" w:rsidRDefault="00854191" w:rsidP="00854191">
            <w:pPr>
              <w:spacing w:line="240" w:lineRule="auto"/>
              <w:jc w:val="left"/>
              <w:rPr>
                <w:szCs w:val="22"/>
              </w:rPr>
            </w:pPr>
            <w:r>
              <w:rPr>
                <w:szCs w:val="22"/>
              </w:rPr>
              <w:t>75 or 85</w:t>
            </w:r>
            <w:r w:rsidRPr="000B1683">
              <w:rPr>
                <w:szCs w:val="22"/>
              </w:rPr>
              <w:t xml:space="preserve"> percent</w:t>
            </w:r>
          </w:p>
        </w:tc>
        <w:tc>
          <w:tcPr>
            <w:tcW w:w="1000" w:type="pct"/>
            <w:tcBorders>
              <w:top w:val="single" w:sz="12" w:space="0" w:color="auto"/>
            </w:tcBorders>
          </w:tcPr>
          <w:p w:rsidR="00854191" w:rsidRPr="000B1683" w:rsidRDefault="00854191" w:rsidP="00854191">
            <w:pPr>
              <w:spacing w:line="240" w:lineRule="auto"/>
              <w:rPr>
                <w:szCs w:val="22"/>
              </w:rPr>
            </w:pPr>
            <w:r>
              <w:rPr>
                <w:szCs w:val="22"/>
              </w:rPr>
              <w:t xml:space="preserve">           560</w:t>
            </w:r>
          </w:p>
        </w:tc>
      </w:tr>
      <w:tr w:rsidR="00854191" w:rsidRPr="000B1683" w:rsidTr="00854191">
        <w:trPr>
          <w:cantSplit/>
        </w:trPr>
        <w:tc>
          <w:tcPr>
            <w:tcW w:w="1000" w:type="pct"/>
            <w:tcBorders>
              <w:bottom w:val="single" w:sz="24" w:space="0" w:color="auto"/>
            </w:tcBorders>
          </w:tcPr>
          <w:p w:rsidR="00854191" w:rsidRPr="000B1683" w:rsidRDefault="00854191" w:rsidP="00854191">
            <w:pPr>
              <w:spacing w:line="240" w:lineRule="auto"/>
              <w:rPr>
                <w:szCs w:val="22"/>
              </w:rPr>
            </w:pPr>
            <w:r w:rsidRPr="000B1683">
              <w:rPr>
                <w:szCs w:val="22"/>
              </w:rPr>
              <w:t>60 percent</w:t>
            </w:r>
          </w:p>
        </w:tc>
        <w:tc>
          <w:tcPr>
            <w:tcW w:w="1000" w:type="pct"/>
            <w:tcBorders>
              <w:bottom w:val="single" w:sz="24" w:space="0" w:color="auto"/>
            </w:tcBorders>
          </w:tcPr>
          <w:p w:rsidR="00854191" w:rsidRPr="000B1683" w:rsidRDefault="00854191" w:rsidP="00854191">
            <w:pPr>
              <w:spacing w:line="240" w:lineRule="auto"/>
              <w:rPr>
                <w:szCs w:val="22"/>
              </w:rPr>
            </w:pPr>
            <w:r>
              <w:rPr>
                <w:szCs w:val="22"/>
              </w:rPr>
              <w:t>57 or 63</w:t>
            </w:r>
            <w:r w:rsidRPr="000B1683">
              <w:rPr>
                <w:szCs w:val="22"/>
              </w:rPr>
              <w:t xml:space="preserve"> percent</w:t>
            </w:r>
          </w:p>
        </w:tc>
        <w:tc>
          <w:tcPr>
            <w:tcW w:w="885" w:type="pct"/>
            <w:tcBorders>
              <w:bottom w:val="single" w:sz="24" w:space="0" w:color="auto"/>
            </w:tcBorders>
          </w:tcPr>
          <w:p w:rsidR="00854191" w:rsidRPr="000B1683" w:rsidRDefault="00854191" w:rsidP="00854191">
            <w:pPr>
              <w:spacing w:line="240" w:lineRule="auto"/>
              <w:rPr>
                <w:szCs w:val="22"/>
              </w:rPr>
            </w:pPr>
            <w:r>
              <w:rPr>
                <w:szCs w:val="22"/>
              </w:rPr>
              <w:t xml:space="preserve">    2,310</w:t>
            </w:r>
          </w:p>
        </w:tc>
        <w:tc>
          <w:tcPr>
            <w:tcW w:w="1115" w:type="pct"/>
            <w:tcBorders>
              <w:bottom w:val="single" w:sz="24" w:space="0" w:color="auto"/>
            </w:tcBorders>
          </w:tcPr>
          <w:p w:rsidR="00854191" w:rsidRPr="000B1683" w:rsidRDefault="00854191" w:rsidP="00854191">
            <w:pPr>
              <w:spacing w:line="240" w:lineRule="auto"/>
              <w:rPr>
                <w:szCs w:val="22"/>
              </w:rPr>
            </w:pPr>
            <w:r>
              <w:rPr>
                <w:szCs w:val="22"/>
              </w:rPr>
              <w:t>55 or 65</w:t>
            </w:r>
            <w:r w:rsidRPr="000B1683">
              <w:rPr>
                <w:szCs w:val="22"/>
              </w:rPr>
              <w:t xml:space="preserve"> percent</w:t>
            </w:r>
          </w:p>
        </w:tc>
        <w:tc>
          <w:tcPr>
            <w:tcW w:w="1000" w:type="pct"/>
            <w:tcBorders>
              <w:bottom w:val="single" w:sz="24" w:space="0" w:color="auto"/>
            </w:tcBorders>
          </w:tcPr>
          <w:p w:rsidR="00854191" w:rsidRPr="000B1683" w:rsidRDefault="00854191" w:rsidP="00854191">
            <w:pPr>
              <w:spacing w:line="240" w:lineRule="auto"/>
              <w:rPr>
                <w:szCs w:val="22"/>
              </w:rPr>
            </w:pPr>
            <w:r>
              <w:rPr>
                <w:szCs w:val="22"/>
              </w:rPr>
              <w:t xml:space="preserve">           840</w:t>
            </w:r>
          </w:p>
        </w:tc>
      </w:tr>
    </w:tbl>
    <w:p w:rsidR="00854191" w:rsidRPr="0068397E" w:rsidRDefault="00854191" w:rsidP="00854191">
      <w:pPr>
        <w:spacing w:line="240" w:lineRule="auto"/>
        <w:ind w:left="806" w:hanging="446"/>
        <w:contextualSpacing/>
        <w:rPr>
          <w:sz w:val="20"/>
        </w:rPr>
      </w:pPr>
      <w:r w:rsidRPr="0068397E">
        <w:rPr>
          <w:sz w:val="20"/>
        </w:rPr>
        <w:t xml:space="preserve">(1): </w:t>
      </w:r>
      <w:r w:rsidRPr="0068397E">
        <w:rPr>
          <w:sz w:val="20"/>
        </w:rPr>
        <w:tab/>
        <w:t>the value of</w:t>
      </w:r>
      <w:r w:rsidRPr="0068397E">
        <w:rPr>
          <w:sz w:val="20"/>
        </w:rPr>
        <w:fldChar w:fldCharType="begin"/>
      </w:r>
      <w:r w:rsidRPr="0068397E">
        <w:rPr>
          <w:sz w:val="20"/>
        </w:rPr>
        <w:instrText>ADVANCE \d 6</w:instrText>
      </w:r>
      <w:r w:rsidRPr="0068397E">
        <w:rPr>
          <w:sz w:val="20"/>
        </w:rPr>
        <w:fldChar w:fldCharType="end"/>
      </w:r>
      <w:r w:rsidRPr="0068397E">
        <w:rPr>
          <w:sz w:val="20"/>
        </w:rPr>
        <w:fldChar w:fldCharType="begin"/>
      </w:r>
      <w:r w:rsidRPr="0068397E">
        <w:rPr>
          <w:sz w:val="20"/>
        </w:rPr>
        <w:instrText>ADVANCE \u 6</w:instrText>
      </w:r>
      <w:r w:rsidRPr="0068397E">
        <w:rPr>
          <w:sz w:val="20"/>
        </w:rPr>
        <w:fldChar w:fldCharType="end"/>
      </w:r>
      <w:r w:rsidRPr="0068397E">
        <w:rPr>
          <w:sz w:val="20"/>
        </w:rPr>
        <w:t xml:space="preserve"> </w:t>
      </w:r>
      <w:r w:rsidRPr="004E3263">
        <w:rPr>
          <w:i/>
          <w:sz w:val="20"/>
        </w:rPr>
        <w:t>P</w:t>
      </w:r>
      <w:r w:rsidRPr="004E3263">
        <w:rPr>
          <w:sz w:val="20"/>
          <w:vertAlign w:val="subscript"/>
        </w:rPr>
        <w:t>2</w:t>
      </w:r>
      <w:r>
        <w:rPr>
          <w:sz w:val="20"/>
        </w:rPr>
        <w:t xml:space="preserve"> </w:t>
      </w:r>
      <w:r w:rsidRPr="0068397E">
        <w:rPr>
          <w:sz w:val="20"/>
        </w:rPr>
        <w:t>when the true difference is 3 or 5 percentage points.</w:t>
      </w:r>
    </w:p>
    <w:p w:rsidR="00854191" w:rsidRPr="000B1683" w:rsidRDefault="00854191" w:rsidP="00854191">
      <w:pPr>
        <w:spacing w:line="240" w:lineRule="auto"/>
        <w:ind w:left="806" w:hanging="446"/>
        <w:contextualSpacing/>
        <w:rPr>
          <w:szCs w:val="22"/>
        </w:rPr>
      </w:pPr>
      <w:r w:rsidRPr="0068397E">
        <w:rPr>
          <w:sz w:val="20"/>
        </w:rPr>
        <w:t xml:space="preserve">(2): </w:t>
      </w:r>
      <w:r w:rsidRPr="0068397E">
        <w:rPr>
          <w:sz w:val="20"/>
        </w:rPr>
        <w:tab/>
        <w:t>the number of completed interviews assuming one or two eligible people per household are selected for either ASPA or ATES.  The sample size applies to overall estimates and for any particular subgroup of interest, e.g. Hispanic.</w:t>
      </w:r>
    </w:p>
    <w:p w:rsidR="00854191" w:rsidRDefault="00854191" w:rsidP="00854191">
      <w:pPr>
        <w:pStyle w:val="P1-StandPara"/>
      </w:pPr>
    </w:p>
    <w:p w:rsidR="00854191" w:rsidRDefault="00854191" w:rsidP="00854191">
      <w:pPr>
        <w:pStyle w:val="Heading2"/>
        <w:spacing w:after="0" w:line="240" w:lineRule="auto"/>
      </w:pPr>
      <w:bookmarkStart w:id="42" w:name="_Toc222888908"/>
      <w:bookmarkEnd w:id="41"/>
      <w:r>
        <w:t>B.1.2</w:t>
      </w:r>
      <w:r>
        <w:tab/>
        <w:t>Within-Household Sampling</w:t>
      </w:r>
      <w:bookmarkEnd w:id="42"/>
    </w:p>
    <w:p w:rsidR="00F370B1" w:rsidRDefault="00F370B1" w:rsidP="00854191">
      <w:pPr>
        <w:pStyle w:val="P1-StandPara"/>
        <w:spacing w:line="240" w:lineRule="auto"/>
      </w:pPr>
    </w:p>
    <w:p w:rsidR="00854191" w:rsidRDefault="00854191" w:rsidP="00854191">
      <w:pPr>
        <w:pStyle w:val="P1-StandPara"/>
        <w:spacing w:line="240" w:lineRule="auto"/>
      </w:pPr>
      <w:r>
        <w:t>Eligible children and adults within households that have a completed screener will be sampled for the ASPA or ATES topical surveys. One aspect in the development of the sampling scheme for the NHES-FS is to determine the impact on response rates of sampling an adult and a child from the same household. To facilitate being able to make this comparison, one-third of the sample households with both an eligible adult and an eligible child  will be designated to receive both ASPA and ATES, with the other two-thirds of the sample households with both an eligible adult and an eligible child receiving only one or the other. With a mail survey, the potential adverse impact of response burden is more of a concern than with a CATI instrument, since the customization that is possible with CATI is impossible or impractical with a hard-copy mail instrument.  As a result, the decision for 2014 is to measure the change in response rate associated with administering two topical survey interviews per household rather than one.</w:t>
      </w:r>
    </w:p>
    <w:p w:rsidR="00854191" w:rsidRDefault="00854191" w:rsidP="00854191">
      <w:pPr>
        <w:pStyle w:val="P1-StandPara"/>
        <w:spacing w:line="240" w:lineRule="auto"/>
      </w:pPr>
    </w:p>
    <w:p w:rsidR="00854191" w:rsidRDefault="00854191" w:rsidP="00854191">
      <w:pPr>
        <w:pStyle w:val="P1-StandPara"/>
        <w:spacing w:line="240" w:lineRule="auto"/>
      </w:pPr>
      <w:r>
        <w:t xml:space="preserve">Each household will be randomly pre-designated as “ASPA household,” “ATES household,” or “BOTH household”.  This pre-designation will be used only when a household has members in both domains. In any household with adults and children in the eligible population for only </w:t>
      </w:r>
      <w:r>
        <w:rPr>
          <w:u w:val="single"/>
        </w:rPr>
        <w:t>one</w:t>
      </w:r>
      <w:r>
        <w:t xml:space="preserve"> survey (either ASPA or ATES, but not both), one child or adult will be randomly selected in that domain. Because ASPA eligible children comprise a smaller portion of the population compared to ATES eligible adults, differential sampling will be applied to ensure a sufficient sample size for the ASPA survey. </w:t>
      </w:r>
      <w:r w:rsidRPr="00566683">
        <w:t xml:space="preserve">Among households with children </w:t>
      </w:r>
      <w:r>
        <w:t xml:space="preserve">and adults </w:t>
      </w:r>
      <w:r w:rsidRPr="00566683">
        <w:t>eligible fo</w:t>
      </w:r>
      <w:r>
        <w:t>r both surveys and not designated for both, approximately 75</w:t>
      </w:r>
      <w:r w:rsidRPr="00566683">
        <w:t xml:space="preserve"> percent </w:t>
      </w:r>
      <w:r>
        <w:t>will be</w:t>
      </w:r>
      <w:r w:rsidRPr="00566683">
        <w:t xml:space="preserve"> desi</w:t>
      </w:r>
      <w:r>
        <w:t>gnated to the ASPA only domain and 25</w:t>
      </w:r>
      <w:r w:rsidRPr="00566683">
        <w:t xml:space="preserve"> percent </w:t>
      </w:r>
      <w:r>
        <w:t>will</w:t>
      </w:r>
      <w:r w:rsidRPr="00566683">
        <w:t xml:space="preserve"> </w:t>
      </w:r>
      <w:r>
        <w:t>be designated to the ATES</w:t>
      </w:r>
      <w:r w:rsidRPr="00566683">
        <w:t xml:space="preserve"> </w:t>
      </w:r>
      <w:r>
        <w:t xml:space="preserve">only </w:t>
      </w:r>
      <w:r w:rsidRPr="00566683">
        <w:t xml:space="preserve">domain. </w:t>
      </w:r>
      <w:r>
        <w:t xml:space="preserve">If a sampled household has more than one person eligible for ASPA or ATES, the sampled person will be determined randomly.  </w:t>
      </w:r>
    </w:p>
    <w:p w:rsidR="00854191" w:rsidRDefault="00854191" w:rsidP="00854191">
      <w:pPr>
        <w:pStyle w:val="P1-StandPara"/>
        <w:spacing w:line="240" w:lineRule="auto"/>
      </w:pPr>
    </w:p>
    <w:p w:rsidR="00854191" w:rsidRDefault="00854191" w:rsidP="00854191">
      <w:pPr>
        <w:pStyle w:val="Heading2"/>
        <w:spacing w:after="0" w:line="240" w:lineRule="auto"/>
      </w:pPr>
      <w:bookmarkStart w:id="43" w:name="_Toc222888909"/>
      <w:r>
        <w:t>B.1.3</w:t>
      </w:r>
      <w:r>
        <w:tab/>
        <w:t>Expected Yield</w:t>
      </w:r>
      <w:bookmarkEnd w:id="43"/>
    </w:p>
    <w:p w:rsidR="00F370B1" w:rsidRDefault="00F370B1" w:rsidP="00854191">
      <w:pPr>
        <w:pStyle w:val="P1-StandPara"/>
        <w:spacing w:line="240" w:lineRule="auto"/>
      </w:pPr>
    </w:p>
    <w:p w:rsidR="00854191" w:rsidRDefault="00854191" w:rsidP="00854191">
      <w:pPr>
        <w:pStyle w:val="P1-StandPara"/>
        <w:spacing w:line="240" w:lineRule="auto"/>
      </w:pPr>
      <w:r>
        <w:t>As described above, the initial sample will consist of approximately 60,000 addresses. An expected screener response rate of 71 percent and an address ineligibility</w:t>
      </w:r>
      <w:r>
        <w:rPr>
          <w:rStyle w:val="FootnoteReference"/>
        </w:rPr>
        <w:footnoteReference w:id="5"/>
      </w:r>
      <w:r>
        <w:t xml:space="preserve"> rate of 11 percent are assumed, based on results from the NHES:2012. Under these assumptions, the expected number of completed screeners is 37,914.</w:t>
      </w:r>
    </w:p>
    <w:p w:rsidR="00854191" w:rsidRDefault="00854191" w:rsidP="00854191">
      <w:pPr>
        <w:pStyle w:val="P1-StandPara"/>
        <w:spacing w:line="240" w:lineRule="auto"/>
      </w:pPr>
    </w:p>
    <w:p w:rsidR="00854191" w:rsidRDefault="00854191" w:rsidP="00854191">
      <w:pPr>
        <w:pStyle w:val="P1-StandPara"/>
        <w:spacing w:line="240" w:lineRule="auto"/>
      </w:pPr>
      <w:r>
        <w:t xml:space="preserve">The ASPA and ATES topical surveys will be administered to households with completed screeners that have eligible children or adults. For the NHES Feasibility Study, we expect to achieve a percentage of households with eligible children of about 19 percent, and for eligible adults of about 83 percent.  Expected estimates of the percentage of households with eligible children or adults overall and in each sampling domain are given in </w:t>
      </w:r>
      <w:r w:rsidRPr="00740251">
        <w:t xml:space="preserve">table </w:t>
      </w:r>
      <w:r w:rsidR="00611F29">
        <w:t>3</w:t>
      </w:r>
      <w:r w:rsidRPr="00740251">
        <w:t>, as well as the expected number of screened households in the nationally representative sample, based on the distribution of household composition</w:t>
      </w:r>
      <w:r>
        <w:t xml:space="preserve"> and assuming a total of 37,914</w:t>
      </w:r>
      <w:r w:rsidRPr="00740251">
        <w:t xml:space="preserve"> completed screeners</w:t>
      </w:r>
      <w:r>
        <w:t xml:space="preserve">. </w:t>
      </w:r>
    </w:p>
    <w:p w:rsidR="00854191" w:rsidRDefault="00854191" w:rsidP="00854191">
      <w:pPr>
        <w:pStyle w:val="P1-StandPara"/>
      </w:pPr>
    </w:p>
    <w:p w:rsidR="00854191" w:rsidRPr="0019684E" w:rsidRDefault="00854191" w:rsidP="00854191">
      <w:pPr>
        <w:pStyle w:val="TT-TableTitle"/>
        <w:keepNext/>
        <w:keepLines/>
        <w:rPr>
          <w:sz w:val="10"/>
          <w:szCs w:val="10"/>
          <w:highlight w:val="yellow"/>
        </w:rPr>
      </w:pPr>
      <w:bookmarkStart w:id="44" w:name="_Toc222888221"/>
      <w:bookmarkStart w:id="45" w:name="_Toc222888226"/>
      <w:r w:rsidRPr="00740251">
        <w:lastRenderedPageBreak/>
        <w:t xml:space="preserve">Table </w:t>
      </w:r>
      <w:r w:rsidR="00611F29">
        <w:t>3</w:t>
      </w:r>
      <w:r>
        <w:t>.</w:t>
      </w:r>
      <w:r>
        <w:t> </w:t>
      </w:r>
      <w:r>
        <w:t> </w:t>
      </w:r>
      <w:r>
        <w:t>Expected percentage of households with eligible children or adults, by sampling domain</w:t>
      </w:r>
      <w:bookmarkEnd w:id="44"/>
      <w:bookmarkEnd w:id="45"/>
    </w:p>
    <w:tbl>
      <w:tblPr>
        <w:tblW w:w="5000" w:type="pct"/>
        <w:tblBorders>
          <w:top w:val="single" w:sz="24" w:space="0" w:color="auto"/>
          <w:bottom w:val="single" w:sz="24" w:space="0" w:color="auto"/>
        </w:tblBorders>
        <w:tblLook w:val="0000" w:firstRow="0" w:lastRow="0" w:firstColumn="0" w:lastColumn="0" w:noHBand="0" w:noVBand="0"/>
      </w:tblPr>
      <w:tblGrid>
        <w:gridCol w:w="7939"/>
        <w:gridCol w:w="1261"/>
        <w:gridCol w:w="1240"/>
      </w:tblGrid>
      <w:tr w:rsidR="00854191" w:rsidTr="00854191">
        <w:trPr>
          <w:cantSplit/>
        </w:trPr>
        <w:tc>
          <w:tcPr>
            <w:tcW w:w="3802" w:type="pct"/>
            <w:tcBorders>
              <w:top w:val="single" w:sz="24" w:space="0" w:color="auto"/>
              <w:bottom w:val="single" w:sz="18" w:space="0" w:color="auto"/>
            </w:tcBorders>
            <w:vAlign w:val="bottom"/>
          </w:tcPr>
          <w:p w:rsidR="00854191" w:rsidRDefault="00854191" w:rsidP="00854191">
            <w:pPr>
              <w:pStyle w:val="SL-FlLftSgl"/>
              <w:keepNext/>
              <w:keepLines/>
              <w:spacing w:line="240" w:lineRule="auto"/>
              <w:jc w:val="left"/>
            </w:pPr>
            <w:r>
              <w:t>Household composition</w:t>
            </w:r>
          </w:p>
        </w:tc>
        <w:tc>
          <w:tcPr>
            <w:tcW w:w="604" w:type="pct"/>
            <w:tcBorders>
              <w:top w:val="single" w:sz="24" w:space="0" w:color="auto"/>
              <w:bottom w:val="single" w:sz="18" w:space="0" w:color="auto"/>
            </w:tcBorders>
            <w:vAlign w:val="bottom"/>
          </w:tcPr>
          <w:p w:rsidR="00854191" w:rsidRDefault="00854191" w:rsidP="00854191">
            <w:pPr>
              <w:pStyle w:val="SL-FlLftSgl"/>
              <w:keepNext/>
              <w:keepLines/>
              <w:spacing w:line="240" w:lineRule="auto"/>
              <w:jc w:val="right"/>
            </w:pPr>
            <w:r>
              <w:t>Percent of households</w:t>
            </w:r>
          </w:p>
        </w:tc>
        <w:tc>
          <w:tcPr>
            <w:tcW w:w="594" w:type="pct"/>
            <w:tcBorders>
              <w:top w:val="single" w:sz="24" w:space="0" w:color="auto"/>
              <w:bottom w:val="single" w:sz="18" w:space="0" w:color="auto"/>
            </w:tcBorders>
            <w:vAlign w:val="bottom"/>
          </w:tcPr>
          <w:p w:rsidR="00854191" w:rsidRDefault="00854191" w:rsidP="00854191">
            <w:pPr>
              <w:pStyle w:val="SL-FlLftSgl"/>
              <w:keepNext/>
              <w:keepLines/>
              <w:spacing w:line="240" w:lineRule="auto"/>
              <w:jc w:val="right"/>
            </w:pPr>
            <w:r>
              <w:t>Expected number of screened households</w:t>
            </w:r>
          </w:p>
        </w:tc>
      </w:tr>
      <w:tr w:rsidR="00854191" w:rsidTr="00854191">
        <w:trPr>
          <w:cantSplit/>
        </w:trPr>
        <w:tc>
          <w:tcPr>
            <w:tcW w:w="3802" w:type="pct"/>
            <w:vAlign w:val="bottom"/>
          </w:tcPr>
          <w:p w:rsidR="00854191" w:rsidRDefault="00854191" w:rsidP="00854191">
            <w:pPr>
              <w:pStyle w:val="SL-Indented"/>
              <w:keepNext/>
              <w:keepLines/>
              <w:spacing w:line="240" w:lineRule="auto"/>
              <w:ind w:left="576" w:hanging="576"/>
            </w:pPr>
            <w:r>
              <w:t>Households with at least one ASPA eligible child and no ATES eligible Adults</w:t>
            </w:r>
          </w:p>
        </w:tc>
        <w:tc>
          <w:tcPr>
            <w:tcW w:w="604" w:type="pct"/>
            <w:vAlign w:val="bottom"/>
          </w:tcPr>
          <w:p w:rsidR="00854191" w:rsidRDefault="00854191" w:rsidP="00854191">
            <w:pPr>
              <w:pStyle w:val="SL-FlLftSgl"/>
              <w:keepNext/>
              <w:keepLines/>
              <w:spacing w:line="240" w:lineRule="auto"/>
              <w:jc w:val="right"/>
              <w:rPr>
                <w:color w:val="000000"/>
              </w:rPr>
            </w:pPr>
            <w:r>
              <w:rPr>
                <w:color w:val="000000"/>
              </w:rPr>
              <w:t>0.4</w:t>
            </w:r>
          </w:p>
        </w:tc>
        <w:tc>
          <w:tcPr>
            <w:tcW w:w="594" w:type="pct"/>
            <w:vAlign w:val="bottom"/>
          </w:tcPr>
          <w:p w:rsidR="00854191" w:rsidRPr="00403D26" w:rsidRDefault="00854191" w:rsidP="00854191">
            <w:pPr>
              <w:pStyle w:val="SL-FlLftSgl"/>
              <w:keepNext/>
              <w:keepLines/>
              <w:spacing w:line="240" w:lineRule="auto"/>
              <w:jc w:val="right"/>
              <w:rPr>
                <w:color w:val="000000"/>
                <w:szCs w:val="22"/>
              </w:rPr>
            </w:pPr>
            <w:r>
              <w:rPr>
                <w:color w:val="000000"/>
                <w:szCs w:val="22"/>
              </w:rPr>
              <w:t>156</w:t>
            </w:r>
          </w:p>
        </w:tc>
      </w:tr>
      <w:tr w:rsidR="00854191" w:rsidTr="00854191">
        <w:trPr>
          <w:cantSplit/>
        </w:trPr>
        <w:tc>
          <w:tcPr>
            <w:tcW w:w="3802" w:type="pct"/>
            <w:vAlign w:val="bottom"/>
          </w:tcPr>
          <w:p w:rsidR="00854191" w:rsidRDefault="00854191" w:rsidP="00854191">
            <w:pPr>
              <w:pStyle w:val="SL-Indented"/>
              <w:keepNext/>
              <w:keepLines/>
              <w:spacing w:line="240" w:lineRule="auto"/>
              <w:ind w:left="576" w:hanging="576"/>
            </w:pPr>
            <w:r>
              <w:t>Households with no ASPA eligible child and at least one ATES eligible adult</w:t>
            </w:r>
          </w:p>
        </w:tc>
        <w:tc>
          <w:tcPr>
            <w:tcW w:w="604" w:type="pct"/>
            <w:vAlign w:val="bottom"/>
          </w:tcPr>
          <w:p w:rsidR="00854191" w:rsidRDefault="00854191" w:rsidP="00854191">
            <w:pPr>
              <w:pStyle w:val="SL-FlLftSgl"/>
              <w:keepNext/>
              <w:keepLines/>
              <w:spacing w:line="240" w:lineRule="auto"/>
              <w:jc w:val="right"/>
              <w:rPr>
                <w:color w:val="000000"/>
              </w:rPr>
            </w:pPr>
            <w:r>
              <w:rPr>
                <w:color w:val="000000"/>
              </w:rPr>
              <w:t>64.5</w:t>
            </w:r>
          </w:p>
        </w:tc>
        <w:tc>
          <w:tcPr>
            <w:tcW w:w="594" w:type="pct"/>
            <w:vAlign w:val="bottom"/>
          </w:tcPr>
          <w:p w:rsidR="00854191" w:rsidRPr="00403D26" w:rsidRDefault="00854191" w:rsidP="00854191">
            <w:pPr>
              <w:pStyle w:val="SL-FlLftSgl"/>
              <w:keepNext/>
              <w:keepLines/>
              <w:spacing w:line="240" w:lineRule="auto"/>
              <w:jc w:val="right"/>
              <w:rPr>
                <w:color w:val="000000"/>
                <w:szCs w:val="22"/>
              </w:rPr>
            </w:pPr>
            <w:r>
              <w:rPr>
                <w:color w:val="000000"/>
                <w:szCs w:val="22"/>
              </w:rPr>
              <w:t>24,451</w:t>
            </w:r>
          </w:p>
        </w:tc>
      </w:tr>
      <w:tr w:rsidR="00854191" w:rsidTr="00854191">
        <w:trPr>
          <w:cantSplit/>
        </w:trPr>
        <w:tc>
          <w:tcPr>
            <w:tcW w:w="3802" w:type="pct"/>
            <w:tcBorders>
              <w:bottom w:val="single" w:sz="4" w:space="0" w:color="auto"/>
            </w:tcBorders>
            <w:vAlign w:val="bottom"/>
          </w:tcPr>
          <w:p w:rsidR="00854191" w:rsidRDefault="00854191" w:rsidP="00854191">
            <w:pPr>
              <w:pStyle w:val="SL-Indented"/>
              <w:keepNext/>
              <w:keepLines/>
              <w:spacing w:line="240" w:lineRule="auto"/>
              <w:ind w:left="576" w:hanging="576"/>
            </w:pPr>
            <w:r>
              <w:t>Households with at least one ASPA eligible child and at least one ATES eligible adult</w:t>
            </w:r>
          </w:p>
        </w:tc>
        <w:tc>
          <w:tcPr>
            <w:tcW w:w="604" w:type="pct"/>
            <w:tcBorders>
              <w:bottom w:val="single" w:sz="4" w:space="0" w:color="auto"/>
            </w:tcBorders>
            <w:vAlign w:val="bottom"/>
          </w:tcPr>
          <w:p w:rsidR="00854191" w:rsidRDefault="00854191" w:rsidP="00854191">
            <w:pPr>
              <w:pStyle w:val="SL-FlLftSgl"/>
              <w:keepNext/>
              <w:keepLines/>
              <w:spacing w:line="240" w:lineRule="auto"/>
              <w:jc w:val="right"/>
              <w:rPr>
                <w:color w:val="000000"/>
              </w:rPr>
            </w:pPr>
            <w:r>
              <w:rPr>
                <w:color w:val="000000"/>
              </w:rPr>
              <w:t>18.6</w:t>
            </w:r>
          </w:p>
        </w:tc>
        <w:tc>
          <w:tcPr>
            <w:tcW w:w="594" w:type="pct"/>
            <w:tcBorders>
              <w:bottom w:val="single" w:sz="4" w:space="0" w:color="auto"/>
            </w:tcBorders>
            <w:vAlign w:val="bottom"/>
          </w:tcPr>
          <w:p w:rsidR="00854191" w:rsidRPr="00403D26" w:rsidRDefault="00854191" w:rsidP="00854191">
            <w:pPr>
              <w:pStyle w:val="SL-FlLftSgl"/>
              <w:keepNext/>
              <w:keepLines/>
              <w:spacing w:line="240" w:lineRule="auto"/>
              <w:jc w:val="right"/>
              <w:rPr>
                <w:color w:val="000000"/>
                <w:szCs w:val="22"/>
              </w:rPr>
            </w:pPr>
            <w:r>
              <w:rPr>
                <w:color w:val="000000"/>
                <w:szCs w:val="22"/>
              </w:rPr>
              <w:t>7,044</w:t>
            </w:r>
          </w:p>
        </w:tc>
      </w:tr>
      <w:tr w:rsidR="00854191" w:rsidRPr="0068397E" w:rsidTr="00854191">
        <w:trPr>
          <w:cantSplit/>
        </w:trPr>
        <w:tc>
          <w:tcPr>
            <w:tcW w:w="3802" w:type="pct"/>
            <w:tcBorders>
              <w:top w:val="single" w:sz="4" w:space="0" w:color="auto"/>
              <w:bottom w:val="single" w:sz="24" w:space="0" w:color="auto"/>
            </w:tcBorders>
            <w:vAlign w:val="bottom"/>
          </w:tcPr>
          <w:p w:rsidR="00854191" w:rsidRPr="0068397E" w:rsidRDefault="00854191" w:rsidP="00854191">
            <w:pPr>
              <w:pStyle w:val="SL-Indented"/>
              <w:keepNext/>
              <w:keepLines/>
              <w:spacing w:line="240" w:lineRule="auto"/>
              <w:ind w:left="576" w:hanging="346"/>
              <w:rPr>
                <w:b/>
              </w:rPr>
            </w:pPr>
            <w:r w:rsidRPr="0068397E">
              <w:rPr>
                <w:b/>
              </w:rPr>
              <w:t>Total households with eligible children or adults</w:t>
            </w:r>
          </w:p>
        </w:tc>
        <w:tc>
          <w:tcPr>
            <w:tcW w:w="604" w:type="pct"/>
            <w:tcBorders>
              <w:top w:val="single" w:sz="4" w:space="0" w:color="auto"/>
              <w:bottom w:val="single" w:sz="24" w:space="0" w:color="auto"/>
            </w:tcBorders>
            <w:vAlign w:val="bottom"/>
          </w:tcPr>
          <w:p w:rsidR="00854191" w:rsidRPr="0068397E" w:rsidRDefault="00854191" w:rsidP="00854191">
            <w:pPr>
              <w:pStyle w:val="SL-FlLftSgl"/>
              <w:keepNext/>
              <w:keepLines/>
              <w:spacing w:line="240" w:lineRule="auto"/>
              <w:jc w:val="right"/>
              <w:rPr>
                <w:b/>
                <w:color w:val="000000"/>
              </w:rPr>
            </w:pPr>
            <w:r w:rsidRPr="0068397E">
              <w:rPr>
                <w:b/>
                <w:color w:val="000000"/>
              </w:rPr>
              <w:t>83.5</w:t>
            </w:r>
          </w:p>
        </w:tc>
        <w:tc>
          <w:tcPr>
            <w:tcW w:w="594" w:type="pct"/>
            <w:tcBorders>
              <w:top w:val="single" w:sz="4" w:space="0" w:color="auto"/>
              <w:bottom w:val="single" w:sz="24" w:space="0" w:color="auto"/>
            </w:tcBorders>
            <w:vAlign w:val="bottom"/>
          </w:tcPr>
          <w:p w:rsidR="00854191" w:rsidRPr="0068397E" w:rsidRDefault="00854191" w:rsidP="00854191">
            <w:pPr>
              <w:pStyle w:val="SL-FlLftSgl"/>
              <w:keepNext/>
              <w:keepLines/>
              <w:spacing w:line="240" w:lineRule="auto"/>
              <w:jc w:val="right"/>
              <w:rPr>
                <w:b/>
                <w:color w:val="000000"/>
                <w:szCs w:val="22"/>
              </w:rPr>
            </w:pPr>
            <w:r w:rsidRPr="0068397E">
              <w:rPr>
                <w:b/>
                <w:color w:val="000000"/>
                <w:szCs w:val="22"/>
              </w:rPr>
              <w:t>31,653</w:t>
            </w:r>
          </w:p>
        </w:tc>
      </w:tr>
    </w:tbl>
    <w:p w:rsidR="00854191" w:rsidRPr="0019684E" w:rsidRDefault="00854191" w:rsidP="00854191">
      <w:pPr>
        <w:pStyle w:val="Table-Footnote"/>
        <w:keepNext/>
        <w:keepLines/>
        <w:rPr>
          <w:sz w:val="18"/>
          <w:szCs w:val="18"/>
        </w:rPr>
      </w:pPr>
      <w:r w:rsidRPr="0019684E">
        <w:rPr>
          <w:sz w:val="18"/>
          <w:szCs w:val="18"/>
        </w:rPr>
        <w:t xml:space="preserve">NOTE: The distribution in this table assumes </w:t>
      </w:r>
      <w:r>
        <w:rPr>
          <w:sz w:val="18"/>
          <w:szCs w:val="18"/>
        </w:rPr>
        <w:t>37,914</w:t>
      </w:r>
      <w:r w:rsidRPr="0019684E">
        <w:rPr>
          <w:sz w:val="18"/>
          <w:szCs w:val="18"/>
        </w:rPr>
        <w:t xml:space="preserve"> screened households. Detail may not sum to totals because of rounding.</w:t>
      </w:r>
    </w:p>
    <w:p w:rsidR="00854191" w:rsidRPr="0019684E" w:rsidRDefault="00854191" w:rsidP="00854191">
      <w:pPr>
        <w:pStyle w:val="Table-Footnote"/>
        <w:rPr>
          <w:sz w:val="18"/>
          <w:szCs w:val="18"/>
          <w:highlight w:val="yellow"/>
        </w:rPr>
      </w:pPr>
      <w:r>
        <w:rPr>
          <w:sz w:val="18"/>
          <w:szCs w:val="18"/>
        </w:rPr>
        <w:t>SOURCE:  Annual Social and Economic Supplement to the Current Population Survey, Bureau of Labor Statistics, U.S. Department of Labor, 2011.</w:t>
      </w:r>
    </w:p>
    <w:p w:rsidR="00854191" w:rsidRDefault="00854191" w:rsidP="00854191">
      <w:pPr>
        <w:pStyle w:val="P1-StandPara"/>
      </w:pPr>
    </w:p>
    <w:p w:rsidR="00854191" w:rsidRDefault="00854191" w:rsidP="00854191">
      <w:pPr>
        <w:pStyle w:val="P1-StandPara"/>
        <w:spacing w:line="240" w:lineRule="auto"/>
      </w:pPr>
      <w:r w:rsidRPr="00740251">
        <w:t xml:space="preserve">Table </w:t>
      </w:r>
      <w:r w:rsidR="00611F29">
        <w:t>4</w:t>
      </w:r>
      <w:r w:rsidRPr="00740251">
        <w:rPr>
          <w:b/>
        </w:rPr>
        <w:t xml:space="preserve"> </w:t>
      </w:r>
      <w:r w:rsidRPr="00740251">
        <w:t>summarizes the expected numbers of comple</w:t>
      </w:r>
      <w:r>
        <w:t>ted interviews for the NHES-FS</w:t>
      </w:r>
      <w:r w:rsidRPr="00740251">
        <w:t xml:space="preserve">. These numbers take into account within-household sampling. </w:t>
      </w:r>
      <w:r>
        <w:t>A topical response rate of 75</w:t>
      </w:r>
      <w:r w:rsidRPr="00740251">
        <w:t xml:space="preserve"> percent is assumed </w:t>
      </w:r>
      <w:r>
        <w:t>for ASPA b</w:t>
      </w:r>
      <w:r w:rsidRPr="00740251">
        <w:t xml:space="preserve">ased on results from the </w:t>
      </w:r>
      <w:r>
        <w:t>NHES:2012, and 70 percent is assumed for ATES based on unpublished test results.  Based on an initial sample of 60,000 addresses, the expected number of completed screener questionnaires is 37,914. Of these, we expect to have approximately 6,000 children selected for the ASPA questionnaire and approximately 28,000 adults selected for the ATES questionnaire. In addition, a seeded sample of 4,300 adults believed to have industry-recognized certifications, state licenses, or educational certificates will be selected for the ATES questionnaire.</w:t>
      </w:r>
    </w:p>
    <w:p w:rsidR="00854191" w:rsidRDefault="00854191" w:rsidP="00854191">
      <w:pPr>
        <w:pStyle w:val="P1-StandPara"/>
        <w:tabs>
          <w:tab w:val="left" w:pos="7125"/>
        </w:tabs>
        <w:ind w:firstLine="0"/>
      </w:pPr>
      <w:r>
        <w:tab/>
      </w:r>
    </w:p>
    <w:p w:rsidR="00854191" w:rsidRDefault="00854191" w:rsidP="00854191">
      <w:pPr>
        <w:pStyle w:val="TT-TableTitle"/>
        <w:keepNext/>
        <w:keepLines/>
        <w:tabs>
          <w:tab w:val="clear" w:pos="1152"/>
          <w:tab w:val="left" w:pos="900"/>
        </w:tabs>
        <w:ind w:left="900" w:hanging="900"/>
      </w:pPr>
      <w:r w:rsidRPr="00740251">
        <w:t xml:space="preserve">Table </w:t>
      </w:r>
      <w:r w:rsidR="00611F29">
        <w:t>4</w:t>
      </w:r>
      <w:r>
        <w:t>.</w:t>
      </w:r>
      <w:r>
        <w:t> </w:t>
      </w:r>
      <w:r>
        <w:tab/>
        <w:t>Expected numbers sampled and expected numbers of completed screeners and</w:t>
      </w:r>
      <w:r w:rsidR="00300626">
        <w:t xml:space="preserve"> topical surveys in the NHES-FS</w:t>
      </w:r>
    </w:p>
    <w:tbl>
      <w:tblPr>
        <w:tblW w:w="5000" w:type="pct"/>
        <w:tblBorders>
          <w:top w:val="single" w:sz="24" w:space="0" w:color="auto"/>
          <w:bottom w:val="single" w:sz="24" w:space="0" w:color="auto"/>
        </w:tblBorders>
        <w:tblLook w:val="0000" w:firstRow="0" w:lastRow="0" w:firstColumn="0" w:lastColumn="0" w:noHBand="0" w:noVBand="0"/>
      </w:tblPr>
      <w:tblGrid>
        <w:gridCol w:w="3077"/>
        <w:gridCol w:w="3241"/>
        <w:gridCol w:w="4122"/>
      </w:tblGrid>
      <w:tr w:rsidR="00854191" w:rsidTr="00854191">
        <w:tc>
          <w:tcPr>
            <w:tcW w:w="1474" w:type="pct"/>
            <w:tcBorders>
              <w:top w:val="single" w:sz="24" w:space="0" w:color="auto"/>
              <w:bottom w:val="single" w:sz="18" w:space="0" w:color="auto"/>
            </w:tcBorders>
            <w:vAlign w:val="bottom"/>
          </w:tcPr>
          <w:p w:rsidR="00854191" w:rsidRDefault="00854191" w:rsidP="00854191">
            <w:pPr>
              <w:pStyle w:val="SL-FlLftSgl"/>
              <w:keepNext/>
              <w:keepLines/>
              <w:jc w:val="left"/>
            </w:pPr>
            <w:r>
              <w:t>Survey</w:t>
            </w:r>
          </w:p>
        </w:tc>
        <w:tc>
          <w:tcPr>
            <w:tcW w:w="1552" w:type="pct"/>
            <w:tcBorders>
              <w:top w:val="single" w:sz="24" w:space="0" w:color="auto"/>
              <w:bottom w:val="single" w:sz="18" w:space="0" w:color="auto"/>
            </w:tcBorders>
            <w:vAlign w:val="bottom"/>
          </w:tcPr>
          <w:p w:rsidR="00854191" w:rsidRDefault="00854191" w:rsidP="00854191">
            <w:pPr>
              <w:pStyle w:val="SL-FlLftSgl"/>
              <w:keepNext/>
              <w:keepLines/>
              <w:jc w:val="right"/>
            </w:pPr>
            <w:r>
              <w:t xml:space="preserve">Expected number sampled </w:t>
            </w:r>
          </w:p>
        </w:tc>
        <w:tc>
          <w:tcPr>
            <w:tcW w:w="1974" w:type="pct"/>
            <w:tcBorders>
              <w:top w:val="single" w:sz="24" w:space="0" w:color="auto"/>
              <w:bottom w:val="single" w:sz="18" w:space="0" w:color="auto"/>
            </w:tcBorders>
            <w:vAlign w:val="bottom"/>
          </w:tcPr>
          <w:p w:rsidR="00854191" w:rsidRDefault="00854191" w:rsidP="00854191">
            <w:pPr>
              <w:pStyle w:val="SL-FlLftSgl"/>
              <w:keepNext/>
              <w:keepLines/>
              <w:jc w:val="right"/>
            </w:pPr>
            <w:r>
              <w:t xml:space="preserve">Expected number of completed interviews </w:t>
            </w:r>
          </w:p>
        </w:tc>
      </w:tr>
      <w:tr w:rsidR="00854191" w:rsidTr="00854191">
        <w:tc>
          <w:tcPr>
            <w:tcW w:w="1474" w:type="pct"/>
            <w:tcBorders>
              <w:top w:val="single" w:sz="18" w:space="0" w:color="auto"/>
            </w:tcBorders>
          </w:tcPr>
          <w:p w:rsidR="00854191" w:rsidRDefault="00854191" w:rsidP="00854191">
            <w:pPr>
              <w:pStyle w:val="SL-FlLftSgl"/>
              <w:keepNext/>
              <w:keepLines/>
              <w:jc w:val="left"/>
            </w:pPr>
            <w:r>
              <w:t>Household screeners</w:t>
            </w:r>
          </w:p>
        </w:tc>
        <w:tc>
          <w:tcPr>
            <w:tcW w:w="1552" w:type="pct"/>
            <w:tcBorders>
              <w:top w:val="single" w:sz="18" w:space="0" w:color="auto"/>
            </w:tcBorders>
          </w:tcPr>
          <w:p w:rsidR="00854191" w:rsidRDefault="00854191" w:rsidP="00854191">
            <w:pPr>
              <w:pStyle w:val="SL-FlLftSgl"/>
              <w:keepNext/>
              <w:keepLines/>
              <w:jc w:val="right"/>
            </w:pPr>
            <w:r>
              <w:t>60,000</w:t>
            </w:r>
          </w:p>
        </w:tc>
        <w:tc>
          <w:tcPr>
            <w:tcW w:w="1974" w:type="pct"/>
            <w:tcBorders>
              <w:top w:val="single" w:sz="18" w:space="0" w:color="auto"/>
            </w:tcBorders>
          </w:tcPr>
          <w:p w:rsidR="00854191" w:rsidRDefault="00854191" w:rsidP="00854191">
            <w:pPr>
              <w:pStyle w:val="SL-FlLftSgl"/>
              <w:keepNext/>
              <w:keepLines/>
              <w:jc w:val="right"/>
            </w:pPr>
            <w:r>
              <w:t>37,914</w:t>
            </w:r>
          </w:p>
        </w:tc>
      </w:tr>
      <w:tr w:rsidR="00854191" w:rsidRPr="000A6994" w:rsidTr="00854191">
        <w:tc>
          <w:tcPr>
            <w:tcW w:w="1474" w:type="pct"/>
          </w:tcPr>
          <w:p w:rsidR="00854191" w:rsidRDefault="00854191" w:rsidP="00854191">
            <w:pPr>
              <w:pStyle w:val="SL-FlLftSgl"/>
              <w:keepNext/>
              <w:keepLines/>
              <w:jc w:val="left"/>
            </w:pPr>
            <w:r>
              <w:tab/>
              <w:t>ASPA</w:t>
            </w:r>
          </w:p>
        </w:tc>
        <w:tc>
          <w:tcPr>
            <w:tcW w:w="1552" w:type="pct"/>
          </w:tcPr>
          <w:p w:rsidR="00854191" w:rsidRPr="000A6994" w:rsidRDefault="00854191" w:rsidP="00854191">
            <w:pPr>
              <w:pStyle w:val="SL-FlLftSgl"/>
              <w:keepNext/>
              <w:keepLines/>
              <w:jc w:val="right"/>
            </w:pPr>
            <w:r w:rsidRPr="000A6994">
              <w:t>6,026</w:t>
            </w:r>
          </w:p>
        </w:tc>
        <w:tc>
          <w:tcPr>
            <w:tcW w:w="1974" w:type="pct"/>
          </w:tcPr>
          <w:p w:rsidR="00854191" w:rsidRPr="000A6994" w:rsidRDefault="00854191" w:rsidP="00854191">
            <w:pPr>
              <w:pStyle w:val="SL-FlLftSgl"/>
              <w:keepNext/>
              <w:keepLines/>
              <w:jc w:val="right"/>
            </w:pPr>
            <w:r w:rsidRPr="000A6994">
              <w:t>4,520</w:t>
            </w:r>
          </w:p>
        </w:tc>
      </w:tr>
      <w:tr w:rsidR="00854191" w:rsidRPr="000A6994" w:rsidTr="00854191">
        <w:tc>
          <w:tcPr>
            <w:tcW w:w="1474" w:type="pct"/>
          </w:tcPr>
          <w:p w:rsidR="00854191" w:rsidRDefault="00854191" w:rsidP="00854191">
            <w:pPr>
              <w:pStyle w:val="SL-FlLftSgl"/>
              <w:jc w:val="left"/>
            </w:pPr>
            <w:r>
              <w:tab/>
              <w:t xml:space="preserve">ATES </w:t>
            </w:r>
          </w:p>
        </w:tc>
        <w:tc>
          <w:tcPr>
            <w:tcW w:w="1552" w:type="pct"/>
          </w:tcPr>
          <w:p w:rsidR="00854191" w:rsidRPr="000A6994" w:rsidRDefault="00854191" w:rsidP="00854191">
            <w:pPr>
              <w:pStyle w:val="SL-FlLftSgl"/>
              <w:jc w:val="right"/>
            </w:pPr>
            <w:r w:rsidRPr="000A6994">
              <w:t>27,974</w:t>
            </w:r>
          </w:p>
        </w:tc>
        <w:tc>
          <w:tcPr>
            <w:tcW w:w="1974" w:type="pct"/>
          </w:tcPr>
          <w:p w:rsidR="00854191" w:rsidRPr="000A6994" w:rsidRDefault="00854191" w:rsidP="00854191">
            <w:pPr>
              <w:pStyle w:val="SL-FlLftSgl"/>
              <w:jc w:val="right"/>
            </w:pPr>
            <w:r w:rsidRPr="000A6994">
              <w:t>19,582</w:t>
            </w:r>
          </w:p>
        </w:tc>
      </w:tr>
      <w:tr w:rsidR="00854191" w:rsidRPr="00C87318" w:rsidTr="00854191">
        <w:tc>
          <w:tcPr>
            <w:tcW w:w="1474" w:type="pct"/>
          </w:tcPr>
          <w:p w:rsidR="00854191" w:rsidRDefault="00854191" w:rsidP="00854191">
            <w:pPr>
              <w:pStyle w:val="SL-FlLftSgl"/>
              <w:jc w:val="left"/>
            </w:pPr>
            <w:r>
              <w:t>ATES Seeded Sample</w:t>
            </w:r>
          </w:p>
        </w:tc>
        <w:tc>
          <w:tcPr>
            <w:tcW w:w="1552" w:type="pct"/>
          </w:tcPr>
          <w:p w:rsidR="00854191" w:rsidRDefault="00854191" w:rsidP="00854191">
            <w:pPr>
              <w:pStyle w:val="SL-FlLftSgl"/>
              <w:jc w:val="right"/>
            </w:pPr>
            <w:r>
              <w:t>4,300</w:t>
            </w:r>
          </w:p>
        </w:tc>
        <w:tc>
          <w:tcPr>
            <w:tcW w:w="1974" w:type="pct"/>
          </w:tcPr>
          <w:p w:rsidR="00854191" w:rsidRPr="00C87318" w:rsidRDefault="00854191" w:rsidP="00854191">
            <w:pPr>
              <w:pStyle w:val="SL-FlLftSgl"/>
              <w:jc w:val="right"/>
            </w:pPr>
            <w:r>
              <w:t>3,010</w:t>
            </w:r>
          </w:p>
        </w:tc>
      </w:tr>
    </w:tbl>
    <w:p w:rsidR="00854191" w:rsidRDefault="00854191" w:rsidP="00854191">
      <w:pPr>
        <w:pStyle w:val="P1-StandPara"/>
        <w:spacing w:line="240" w:lineRule="atLeast"/>
      </w:pPr>
    </w:p>
    <w:p w:rsidR="00854191" w:rsidRDefault="00854191" w:rsidP="00854191">
      <w:pPr>
        <w:pStyle w:val="Heading2"/>
        <w:spacing w:after="0" w:line="240" w:lineRule="auto"/>
      </w:pPr>
      <w:r>
        <w:t>B.1.4</w:t>
      </w:r>
      <w:r>
        <w:tab/>
        <w:t>Estimation Procedures</w:t>
      </w:r>
    </w:p>
    <w:p w:rsidR="00F370B1" w:rsidRDefault="00F370B1" w:rsidP="00854191">
      <w:pPr>
        <w:pStyle w:val="P1-StandPara"/>
        <w:spacing w:line="240" w:lineRule="auto"/>
      </w:pPr>
    </w:p>
    <w:p w:rsidR="00854191" w:rsidRPr="00C3054A" w:rsidRDefault="00854191" w:rsidP="00854191">
      <w:pPr>
        <w:pStyle w:val="P1-StandPara"/>
        <w:spacing w:line="240" w:lineRule="auto"/>
        <w:rPr>
          <w:color w:val="000000"/>
          <w:szCs w:val="22"/>
        </w:rPr>
      </w:pPr>
      <w:r w:rsidRPr="00631543">
        <w:t>The data sets from the NHES-FS will have weights assigned to facilitate estimation of nationally representative statistics</w:t>
      </w:r>
      <w:r>
        <w:t>.</w:t>
      </w:r>
      <w:r w:rsidRPr="00631543">
        <w:t xml:space="preserve"> All households responding to the screener will be assigned weights based on their probability of selection and a non-response adjustment, making them representative of the household population.</w:t>
      </w:r>
      <w:r>
        <w:t xml:space="preserve"> All individuals responding to the topical questionnaires will have a record with a person weight designed such that the complete data set represents the target population. </w:t>
      </w:r>
      <w:r>
        <w:rPr>
          <w:color w:val="000000"/>
          <w:szCs w:val="22"/>
        </w:rPr>
        <w:t>The seeded sample cases from the ATES questionnaire will be excluded from weighting process since they were not selected using a probabilistic sampling procedure.</w:t>
      </w:r>
    </w:p>
    <w:p w:rsidR="00854191" w:rsidRDefault="00854191" w:rsidP="00854191">
      <w:pPr>
        <w:pStyle w:val="P1-StandPara"/>
        <w:spacing w:line="240" w:lineRule="auto"/>
      </w:pPr>
    </w:p>
    <w:p w:rsidR="00854191" w:rsidRPr="00C3054A" w:rsidRDefault="00854191" w:rsidP="00854191">
      <w:pPr>
        <w:pStyle w:val="P1-StandPara"/>
        <w:spacing w:line="240" w:lineRule="auto"/>
      </w:pPr>
      <w:r w:rsidRPr="00C3054A">
        <w:t>The es</w:t>
      </w:r>
      <w:r>
        <w:t>timation weights for the NHES-FS</w:t>
      </w:r>
      <w:r w:rsidRPr="00C3054A">
        <w:t xml:space="preserve"> survey</w:t>
      </w:r>
      <w:r>
        <w:t>s</w:t>
      </w:r>
      <w:r w:rsidRPr="00C3054A">
        <w:t xml:space="preserve"> will be formed in stages.</w:t>
      </w:r>
      <w:r>
        <w:t xml:space="preserve"> </w:t>
      </w:r>
      <w:r w:rsidRPr="00C3054A">
        <w:t>The first stage is the creation of a base weight for the household, which is the inverse of the probability of selection of the</w:t>
      </w:r>
      <w:r>
        <w:t xml:space="preserve"> address</w:t>
      </w:r>
      <w:r w:rsidRPr="00C3054A">
        <w:t>.</w:t>
      </w:r>
      <w:r>
        <w:t xml:space="preserve"> </w:t>
      </w:r>
      <w:r w:rsidRPr="00C3054A">
        <w:t xml:space="preserve">The </w:t>
      </w:r>
      <w:r>
        <w:t>second s</w:t>
      </w:r>
      <w:r w:rsidRPr="00C3054A">
        <w:t xml:space="preserve">tage is a </w:t>
      </w:r>
      <w:r>
        <w:t xml:space="preserve">screener </w:t>
      </w:r>
      <w:r w:rsidRPr="00C3054A">
        <w:t>nonresponse adjustment</w:t>
      </w:r>
      <w:r>
        <w:t xml:space="preserve"> to be performed based on characteristics available on the frame and discussed below</w:t>
      </w:r>
      <w:r w:rsidRPr="00C3054A">
        <w:t>.</w:t>
      </w:r>
      <w:r>
        <w:t xml:space="preserve"> These weights may be used to produce national household-level estimates to aid in evaluating the performance of questionnaire items.</w:t>
      </w:r>
    </w:p>
    <w:p w:rsidR="00854191" w:rsidRPr="00C3054A" w:rsidRDefault="00854191" w:rsidP="00854191">
      <w:pPr>
        <w:pStyle w:val="P1-StandPara"/>
        <w:spacing w:line="240" w:lineRule="auto"/>
        <w:rPr>
          <w:color w:val="000000"/>
          <w:szCs w:val="22"/>
        </w:rPr>
      </w:pPr>
    </w:p>
    <w:p w:rsidR="00854191" w:rsidRPr="00C3054A" w:rsidRDefault="00854191" w:rsidP="00854191">
      <w:pPr>
        <w:pStyle w:val="P1-StandPara"/>
        <w:spacing w:line="240" w:lineRule="auto"/>
        <w:rPr>
          <w:color w:val="000000"/>
          <w:szCs w:val="22"/>
        </w:rPr>
      </w:pPr>
      <w:r w:rsidRPr="00C3054A">
        <w:rPr>
          <w:color w:val="000000"/>
          <w:szCs w:val="22"/>
        </w:rPr>
        <w:t>The household-level weights are the base weights for the person-level weights.</w:t>
      </w:r>
      <w:r>
        <w:rPr>
          <w:color w:val="000000"/>
          <w:szCs w:val="22"/>
        </w:rPr>
        <w:t xml:space="preserve"> </w:t>
      </w:r>
      <w:r w:rsidRPr="00C3054A">
        <w:rPr>
          <w:color w:val="000000"/>
          <w:szCs w:val="22"/>
        </w:rPr>
        <w:t>For each</w:t>
      </w:r>
      <w:r>
        <w:rPr>
          <w:color w:val="000000"/>
          <w:szCs w:val="22"/>
        </w:rPr>
        <w:t xml:space="preserve"> completed topical questionnaire</w:t>
      </w:r>
      <w:r w:rsidRPr="00C3054A">
        <w:rPr>
          <w:color w:val="000000"/>
          <w:szCs w:val="22"/>
        </w:rPr>
        <w:t>, the person-level weights also undergo a series of adjustments.</w:t>
      </w:r>
      <w:r>
        <w:rPr>
          <w:color w:val="000000"/>
          <w:szCs w:val="22"/>
        </w:rPr>
        <w:t xml:space="preserve"> </w:t>
      </w:r>
      <w:r w:rsidRPr="00C3054A">
        <w:rPr>
          <w:color w:val="000000"/>
          <w:szCs w:val="22"/>
        </w:rPr>
        <w:t>The first stage is the adjustment of these weights for the probability of selecting the person within the household.</w:t>
      </w:r>
      <w:r>
        <w:rPr>
          <w:color w:val="000000"/>
          <w:szCs w:val="22"/>
        </w:rPr>
        <w:t xml:space="preserve"> </w:t>
      </w:r>
      <w:r w:rsidRPr="00C3054A">
        <w:rPr>
          <w:color w:val="000000"/>
          <w:szCs w:val="22"/>
        </w:rPr>
        <w:t xml:space="preserve">The second stage is the adjustment of the weights for </w:t>
      </w:r>
      <w:r>
        <w:rPr>
          <w:color w:val="000000"/>
          <w:szCs w:val="22"/>
        </w:rPr>
        <w:t xml:space="preserve">topical survey </w:t>
      </w:r>
      <w:r w:rsidRPr="00C3054A">
        <w:rPr>
          <w:color w:val="000000"/>
          <w:szCs w:val="22"/>
        </w:rPr>
        <w:t>nonresponse</w:t>
      </w:r>
      <w:r w:rsidRPr="00E277B0">
        <w:t xml:space="preserve"> </w:t>
      </w:r>
      <w:r>
        <w:t>to be performed based on characteristics available on the frame and discussed below</w:t>
      </w:r>
      <w:r w:rsidRPr="00C3054A">
        <w:t>.</w:t>
      </w:r>
      <w:r>
        <w:rPr>
          <w:color w:val="000000"/>
          <w:szCs w:val="22"/>
        </w:rPr>
        <w:t xml:space="preserve"> </w:t>
      </w:r>
      <w:r w:rsidRPr="00C3054A">
        <w:rPr>
          <w:color w:val="000000"/>
          <w:szCs w:val="22"/>
        </w:rPr>
        <w:t>The third stage is the raking adjustment of the weights to Census Bureau estimates of the target population.</w:t>
      </w:r>
      <w:r>
        <w:rPr>
          <w:color w:val="000000"/>
          <w:szCs w:val="22"/>
        </w:rPr>
        <w:t xml:space="preserve"> </w:t>
      </w:r>
      <w:r w:rsidRPr="00C3054A">
        <w:rPr>
          <w:color w:val="000000"/>
          <w:szCs w:val="22"/>
        </w:rPr>
        <w:t xml:space="preserve">The variables that may be used for raking at the person level include race and ethnicity of the sampled person, household income, home tenure (own/rent/other), region, age, </w:t>
      </w:r>
      <w:r>
        <w:rPr>
          <w:color w:val="000000"/>
          <w:szCs w:val="22"/>
        </w:rPr>
        <w:t xml:space="preserve">grade of enrollment, </w:t>
      </w:r>
      <w:r w:rsidRPr="00C3054A">
        <w:rPr>
          <w:color w:val="000000"/>
          <w:szCs w:val="22"/>
        </w:rPr>
        <w:t xml:space="preserve">gender, family structure (one parent or two parent), and </w:t>
      </w:r>
      <w:r>
        <w:rPr>
          <w:color w:val="000000"/>
          <w:szCs w:val="22"/>
        </w:rPr>
        <w:t>highest educational attainment in household</w:t>
      </w:r>
      <w:r w:rsidRPr="00C3054A">
        <w:rPr>
          <w:color w:val="000000"/>
          <w:szCs w:val="22"/>
        </w:rPr>
        <w:t>.</w:t>
      </w:r>
      <w:r>
        <w:rPr>
          <w:color w:val="000000"/>
          <w:szCs w:val="22"/>
        </w:rPr>
        <w:t xml:space="preserve"> </w:t>
      </w:r>
      <w:r w:rsidRPr="00C3054A">
        <w:rPr>
          <w:color w:val="000000"/>
          <w:szCs w:val="22"/>
        </w:rPr>
        <w:t xml:space="preserve">These variables (e.g., family </w:t>
      </w:r>
      <w:r w:rsidRPr="00C3054A">
        <w:rPr>
          <w:color w:val="000000"/>
          <w:szCs w:val="22"/>
        </w:rPr>
        <w:lastRenderedPageBreak/>
        <w:t>structure) have b</w:t>
      </w:r>
      <w:r>
        <w:rPr>
          <w:color w:val="000000"/>
          <w:szCs w:val="22"/>
        </w:rPr>
        <w:t>een shown to be associated with response rates</w:t>
      </w:r>
      <w:r w:rsidRPr="00C3054A">
        <w:rPr>
          <w:color w:val="000000"/>
          <w:szCs w:val="22"/>
        </w:rPr>
        <w:t>.</w:t>
      </w:r>
      <w:r>
        <w:rPr>
          <w:color w:val="000000"/>
          <w:szCs w:val="22"/>
        </w:rPr>
        <w:t xml:space="preserve"> </w:t>
      </w:r>
      <w:r w:rsidRPr="00C3054A">
        <w:rPr>
          <w:color w:val="000000"/>
          <w:szCs w:val="22"/>
        </w:rPr>
        <w:t xml:space="preserve">The </w:t>
      </w:r>
      <w:r w:rsidRPr="00F370B1">
        <w:rPr>
          <w:color w:val="000000"/>
          <w:szCs w:val="22"/>
        </w:rPr>
        <w:t>final ra</w:t>
      </w:r>
      <w:r w:rsidR="00F370B1" w:rsidRPr="00F370B1">
        <w:rPr>
          <w:color w:val="000000"/>
          <w:szCs w:val="22"/>
        </w:rPr>
        <w:t>n</w:t>
      </w:r>
      <w:r w:rsidRPr="00F370B1">
        <w:rPr>
          <w:color w:val="000000"/>
          <w:szCs w:val="22"/>
        </w:rPr>
        <w:t>ked person-level weights include undercoverage adjustments as well as adjustments for nonrespons</w:t>
      </w:r>
      <w:r>
        <w:rPr>
          <w:color w:val="000000"/>
          <w:szCs w:val="22"/>
        </w:rPr>
        <w:t>e</w:t>
      </w:r>
      <w:r w:rsidRPr="00C3054A">
        <w:rPr>
          <w:color w:val="000000"/>
          <w:szCs w:val="22"/>
        </w:rPr>
        <w:t>.</w:t>
      </w:r>
      <w:r>
        <w:rPr>
          <w:color w:val="000000"/>
          <w:szCs w:val="22"/>
        </w:rPr>
        <w:t xml:space="preserve">  </w:t>
      </w:r>
    </w:p>
    <w:p w:rsidR="00854191" w:rsidRPr="00C3054A" w:rsidRDefault="00854191" w:rsidP="00854191">
      <w:pPr>
        <w:pStyle w:val="P1-StandPara"/>
        <w:spacing w:line="240" w:lineRule="auto"/>
        <w:rPr>
          <w:color w:val="000000"/>
          <w:szCs w:val="22"/>
        </w:rPr>
      </w:pPr>
    </w:p>
    <w:p w:rsidR="00854191" w:rsidRDefault="00854191" w:rsidP="00854191">
      <w:pPr>
        <w:pStyle w:val="P1-StandPara"/>
        <w:spacing w:line="240" w:lineRule="auto"/>
        <w:rPr>
          <w:color w:val="000000"/>
          <w:szCs w:val="22"/>
        </w:rPr>
      </w:pPr>
      <w:r w:rsidRPr="00C3054A">
        <w:rPr>
          <w:color w:val="000000"/>
          <w:szCs w:val="22"/>
        </w:rPr>
        <w:t>Standard errors of the estimates will be computed using a jackknife replication method.</w:t>
      </w:r>
      <w:r>
        <w:rPr>
          <w:color w:val="000000"/>
          <w:szCs w:val="22"/>
        </w:rPr>
        <w:t xml:space="preserve"> </w:t>
      </w:r>
      <w:r w:rsidRPr="00C3054A">
        <w:rPr>
          <w:color w:val="000000"/>
          <w:szCs w:val="22"/>
        </w:rPr>
        <w:t>The replication process repeats each stage of estimation separately for each replicate.</w:t>
      </w:r>
      <w:r>
        <w:rPr>
          <w:color w:val="000000"/>
          <w:szCs w:val="22"/>
        </w:rPr>
        <w:t xml:space="preserve"> </w:t>
      </w:r>
      <w:r w:rsidRPr="00C3054A">
        <w:rPr>
          <w:color w:val="000000"/>
          <w:szCs w:val="22"/>
        </w:rPr>
        <w:t>The replication method is especially useful for obtaining standard errors for statistics such as quantiles.</w:t>
      </w:r>
      <w:r>
        <w:rPr>
          <w:color w:val="000000"/>
          <w:szCs w:val="22"/>
        </w:rPr>
        <w:t xml:space="preserve"> </w:t>
      </w:r>
      <w:r w:rsidRPr="00C3054A">
        <w:rPr>
          <w:color w:val="000000"/>
          <w:szCs w:val="22"/>
        </w:rPr>
        <w:t>The standard errors may be computed using the complex survey data analysis package WesVar Complex Samples Software or other software packages that use replication methods such as S</w:t>
      </w:r>
      <w:r>
        <w:rPr>
          <w:color w:val="000000"/>
          <w:szCs w:val="22"/>
        </w:rPr>
        <w:t>tata</w:t>
      </w:r>
      <w:r w:rsidRPr="00C3054A">
        <w:rPr>
          <w:color w:val="000000"/>
          <w:szCs w:val="22"/>
        </w:rPr>
        <w:t>, SAS, SUDAAN</w:t>
      </w:r>
      <w:r w:rsidR="00E9776F">
        <w:rPr>
          <w:color w:val="000000"/>
          <w:szCs w:val="22"/>
        </w:rPr>
        <w:t>,</w:t>
      </w:r>
      <w:r w:rsidRPr="00C3054A">
        <w:rPr>
          <w:color w:val="000000"/>
          <w:szCs w:val="22"/>
        </w:rPr>
        <w:t xml:space="preserve"> or the AM software package.</w:t>
      </w:r>
      <w:r>
        <w:rPr>
          <w:color w:val="000000"/>
          <w:szCs w:val="22"/>
        </w:rPr>
        <w:t xml:space="preserve"> </w:t>
      </w:r>
      <w:r w:rsidRPr="00C3054A">
        <w:rPr>
          <w:color w:val="000000"/>
          <w:szCs w:val="22"/>
        </w:rPr>
        <w:t xml:space="preserve">Also, PSU and STRATUM variables will be available </w:t>
      </w:r>
      <w:r>
        <w:rPr>
          <w:color w:val="000000"/>
          <w:szCs w:val="22"/>
        </w:rPr>
        <w:t>for use in</w:t>
      </w:r>
      <w:r w:rsidRPr="00C3054A">
        <w:rPr>
          <w:color w:val="000000"/>
          <w:szCs w:val="22"/>
        </w:rPr>
        <w:t xml:space="preserve"> Taylor series linearization</w:t>
      </w:r>
      <w:r>
        <w:rPr>
          <w:color w:val="000000"/>
          <w:szCs w:val="22"/>
        </w:rPr>
        <w:t xml:space="preserve"> or</w:t>
      </w:r>
      <w:r w:rsidRPr="00C3054A">
        <w:rPr>
          <w:color w:val="000000"/>
          <w:szCs w:val="22"/>
        </w:rPr>
        <w:t xml:space="preserve"> to compute standard errors</w:t>
      </w:r>
      <w:r>
        <w:rPr>
          <w:color w:val="000000"/>
          <w:szCs w:val="22"/>
        </w:rPr>
        <w:t xml:space="preserve"> for internal analysis</w:t>
      </w:r>
      <w:r w:rsidRPr="00C3054A">
        <w:rPr>
          <w:color w:val="000000"/>
          <w:szCs w:val="22"/>
        </w:rPr>
        <w:t>.</w:t>
      </w:r>
    </w:p>
    <w:p w:rsidR="00854191" w:rsidRDefault="00854191" w:rsidP="00854191">
      <w:pPr>
        <w:pStyle w:val="P1-StandPara"/>
        <w:spacing w:line="240" w:lineRule="auto"/>
        <w:rPr>
          <w:color w:val="000000"/>
          <w:szCs w:val="22"/>
        </w:rPr>
      </w:pPr>
    </w:p>
    <w:p w:rsidR="00854191" w:rsidRDefault="00854191" w:rsidP="00854191">
      <w:pPr>
        <w:pStyle w:val="Heading2"/>
        <w:spacing w:after="0" w:line="240" w:lineRule="auto"/>
      </w:pPr>
      <w:r>
        <w:t>B.1.5</w:t>
      </w:r>
      <w:r>
        <w:tab/>
        <w:t>Nonresponse Bias Analysis</w:t>
      </w:r>
    </w:p>
    <w:p w:rsidR="00F370B1" w:rsidRDefault="00F370B1" w:rsidP="00854191">
      <w:pPr>
        <w:spacing w:line="240" w:lineRule="auto"/>
        <w:ind w:firstLine="1170"/>
        <w:rPr>
          <w:szCs w:val="22"/>
        </w:rPr>
      </w:pPr>
    </w:p>
    <w:p w:rsidR="00854191" w:rsidRPr="003D46F3" w:rsidRDefault="00854191" w:rsidP="00854191">
      <w:pPr>
        <w:spacing w:line="240" w:lineRule="auto"/>
        <w:ind w:firstLine="1170"/>
        <w:rPr>
          <w:szCs w:val="22"/>
        </w:rPr>
      </w:pPr>
      <w:r w:rsidRPr="003D46F3">
        <w:rPr>
          <w:szCs w:val="22"/>
        </w:rPr>
        <w:t xml:space="preserve">To the extent that those who respond to surveys and those who do not differ in important ways, there is a potential for nonresponse biases in estimates from survey data. The </w:t>
      </w:r>
      <w:r>
        <w:rPr>
          <w:szCs w:val="22"/>
        </w:rPr>
        <w:t>estimates from NHES-FS</w:t>
      </w:r>
      <w:r w:rsidRPr="003D46F3">
        <w:rPr>
          <w:szCs w:val="22"/>
        </w:rPr>
        <w:t xml:space="preserve"> are subject to bias because of unit nonresponse to both the </w:t>
      </w:r>
      <w:r>
        <w:rPr>
          <w:szCs w:val="22"/>
        </w:rPr>
        <w:t>s</w:t>
      </w:r>
      <w:r w:rsidRPr="003D46F3">
        <w:rPr>
          <w:szCs w:val="22"/>
        </w:rPr>
        <w:t xml:space="preserve">creener and the extended topical surveys, as well as nonresponse to specific items. Per NCES statistical standards, a unit-level nonresponse bias analysis will be </w:t>
      </w:r>
      <w:r>
        <w:rPr>
          <w:szCs w:val="22"/>
        </w:rPr>
        <w:t>conducted if the</w:t>
      </w:r>
      <w:r w:rsidRPr="003D46F3">
        <w:rPr>
          <w:szCs w:val="22"/>
        </w:rPr>
        <w:t xml:space="preserve"> </w:t>
      </w:r>
      <w:r>
        <w:rPr>
          <w:szCs w:val="22"/>
        </w:rPr>
        <w:t>NHES-FS</w:t>
      </w:r>
      <w:r w:rsidRPr="003D46F3">
        <w:rPr>
          <w:szCs w:val="22"/>
        </w:rPr>
        <w:t xml:space="preserve"> overall unit response rate (the screener response rate multiplied by the topical response rate) falls below 85 percent. Additionally, any item with an i</w:t>
      </w:r>
      <w:r>
        <w:rPr>
          <w:szCs w:val="22"/>
        </w:rPr>
        <w:t>tem-level response rate below 85</w:t>
      </w:r>
      <w:r w:rsidRPr="003D46F3">
        <w:rPr>
          <w:szCs w:val="22"/>
        </w:rPr>
        <w:t xml:space="preserve"> percent will be subject to an examination of bias due to item nonresponse.</w:t>
      </w:r>
      <w:r>
        <w:rPr>
          <w:szCs w:val="22"/>
        </w:rPr>
        <w:t xml:space="preserve"> </w:t>
      </w:r>
    </w:p>
    <w:p w:rsidR="00854191" w:rsidRDefault="00854191" w:rsidP="00F370B1">
      <w:pPr>
        <w:spacing w:line="240" w:lineRule="auto"/>
        <w:ind w:firstLine="1166"/>
        <w:rPr>
          <w:b/>
          <w:szCs w:val="22"/>
        </w:rPr>
      </w:pPr>
    </w:p>
    <w:p w:rsidR="00854191" w:rsidRPr="003D46F3" w:rsidRDefault="00854191" w:rsidP="00854191">
      <w:pPr>
        <w:spacing w:line="240" w:lineRule="auto"/>
        <w:ind w:firstLine="1170"/>
        <w:rPr>
          <w:b/>
          <w:szCs w:val="22"/>
        </w:rPr>
      </w:pPr>
      <w:r w:rsidRPr="003D46F3">
        <w:rPr>
          <w:b/>
          <w:szCs w:val="22"/>
        </w:rPr>
        <w:t>Unit nonresponse</w:t>
      </w:r>
    </w:p>
    <w:p w:rsidR="00F370B1" w:rsidRDefault="00F370B1" w:rsidP="00854191">
      <w:pPr>
        <w:pStyle w:val="P1-StandPara"/>
        <w:spacing w:line="240" w:lineRule="auto"/>
        <w:ind w:firstLine="1170"/>
        <w:rPr>
          <w:szCs w:val="22"/>
        </w:rPr>
      </w:pPr>
    </w:p>
    <w:p w:rsidR="00854191" w:rsidRDefault="00854191" w:rsidP="00854191">
      <w:pPr>
        <w:pStyle w:val="P1-StandPara"/>
        <w:spacing w:line="240" w:lineRule="auto"/>
        <w:ind w:firstLine="1170"/>
        <w:rPr>
          <w:szCs w:val="22"/>
        </w:rPr>
      </w:pPr>
      <w:r w:rsidRPr="003D46F3">
        <w:rPr>
          <w:szCs w:val="22"/>
        </w:rPr>
        <w:t xml:space="preserve">To identify characteristics associated with unit nonresponse, a multivariate analysis will be conducted using a categorical search algorithm called Chi-Square Automatic Interaction Detection (CHAID). CHAID begins by identifying the characteristic of the data that is the best predictor of response. Then, within the levels of that characteristic, CHAID identifies the next best predictor(s) of response, and so forth, until a tree is formed with all of the response predictors that were identified at each step. The final result is a division of the entire data set into cells by attempting to determine sequentially the cells that have the greatest discrimination with respect to the unit response rates. In other words, it divides the data set into groups so that the unit response rate within cells is as constant as possible, and the unit response rate between cells is as different as possible. Since the variables considered for use as predictors of response must be available for both respondents and nonrespondents, demographic variables from the sampling frame provided by </w:t>
      </w:r>
      <w:r>
        <w:rPr>
          <w:szCs w:val="22"/>
        </w:rPr>
        <w:t xml:space="preserve">the vendor </w:t>
      </w:r>
      <w:r w:rsidRPr="003D46F3">
        <w:rPr>
          <w:szCs w:val="22"/>
        </w:rPr>
        <w:t>(including household education level, household race/ethnicity, household income, number of children in the household, number of adults in the household, age of head of household, whether the household owns or rents the dwelling, and whether there is a surname and/or phone number present on the sampling frame) will be included in the CHAID analysis.</w:t>
      </w:r>
    </w:p>
    <w:p w:rsidR="00854191" w:rsidRPr="003D46F3" w:rsidRDefault="00854191" w:rsidP="00854191">
      <w:pPr>
        <w:pStyle w:val="P1-StandPara"/>
        <w:spacing w:line="240" w:lineRule="auto"/>
        <w:ind w:firstLine="1170"/>
        <w:rPr>
          <w:szCs w:val="22"/>
        </w:rPr>
      </w:pPr>
    </w:p>
    <w:p w:rsidR="00854191" w:rsidRPr="003D46F3" w:rsidRDefault="00854191" w:rsidP="00854191">
      <w:pPr>
        <w:pStyle w:val="P1-StandPara"/>
        <w:spacing w:line="240" w:lineRule="auto"/>
        <w:ind w:firstLine="1170"/>
        <w:rPr>
          <w:szCs w:val="22"/>
        </w:rPr>
      </w:pPr>
      <w:r w:rsidRPr="003D46F3">
        <w:rPr>
          <w:szCs w:val="22"/>
        </w:rPr>
        <w:t>In addition to the above, the magnitude of unit nonresponse bias and the likely effectiveness of statistical adjustments in reducing that bias will be examined by comparing estimates computed using adjusted weights to those computed using unadjusted weights. The unadjusted weight is the reciprocal of the probability of selection, reflecting all stages of selection. The adjusted weight is the extended interview weight adjusted for unit nonresponse (without the raking adjustment). In this analysis, the statistical significance of differences in estimates will be investigated only for key survey estimates including, but not limited to</w:t>
      </w:r>
      <w:r>
        <w:rPr>
          <w:szCs w:val="22"/>
        </w:rPr>
        <w:t>,</w:t>
      </w:r>
      <w:r w:rsidRPr="003D46F3">
        <w:rPr>
          <w:szCs w:val="22"/>
        </w:rPr>
        <w:t xml:space="preserve"> the following:</w:t>
      </w:r>
    </w:p>
    <w:p w:rsidR="00854191" w:rsidRPr="003D46F3" w:rsidRDefault="00854191" w:rsidP="00854191">
      <w:pPr>
        <w:pStyle w:val="P1-StandPara"/>
        <w:spacing w:line="240" w:lineRule="auto"/>
        <w:ind w:firstLine="0"/>
        <w:rPr>
          <w:szCs w:val="22"/>
        </w:rPr>
      </w:pPr>
    </w:p>
    <w:p w:rsidR="00854191" w:rsidRPr="003D46F3" w:rsidRDefault="00854191" w:rsidP="00854191">
      <w:pPr>
        <w:pStyle w:val="P1-StandPara"/>
        <w:spacing w:line="240" w:lineRule="auto"/>
        <w:ind w:firstLine="0"/>
        <w:rPr>
          <w:szCs w:val="22"/>
          <w:u w:val="single"/>
        </w:rPr>
      </w:pPr>
      <w:r w:rsidRPr="003D46F3">
        <w:rPr>
          <w:szCs w:val="22"/>
          <w:u w:val="single"/>
        </w:rPr>
        <w:t>All surveys</w:t>
      </w:r>
    </w:p>
    <w:p w:rsidR="00854191" w:rsidRPr="0068397E" w:rsidRDefault="00854191" w:rsidP="00854191">
      <w:pPr>
        <w:pStyle w:val="P1-StandPara"/>
        <w:spacing w:line="240" w:lineRule="auto"/>
        <w:rPr>
          <w:sz w:val="14"/>
          <w:szCs w:val="14"/>
        </w:rPr>
      </w:pPr>
    </w:p>
    <w:p w:rsidR="00854191" w:rsidRDefault="00854191" w:rsidP="00854191">
      <w:pPr>
        <w:pStyle w:val="P1-StandPara"/>
        <w:spacing w:line="240" w:lineRule="auto"/>
        <w:rPr>
          <w:szCs w:val="22"/>
        </w:rPr>
        <w:sectPr w:rsidR="00854191" w:rsidSect="00854191">
          <w:footerReference w:type="default" r:id="rId28"/>
          <w:type w:val="continuous"/>
          <w:pgSz w:w="12240" w:h="15840"/>
          <w:pgMar w:top="1008" w:right="1008" w:bottom="1008" w:left="1008" w:header="720" w:footer="720" w:gutter="0"/>
          <w:cols w:space="720"/>
          <w:docGrid w:linePitch="360"/>
        </w:sectPr>
      </w:pPr>
    </w:p>
    <w:p w:rsidR="00854191" w:rsidRPr="003D46F3" w:rsidRDefault="00854191" w:rsidP="00854191">
      <w:pPr>
        <w:pStyle w:val="P1-StandPara"/>
        <w:numPr>
          <w:ilvl w:val="0"/>
          <w:numId w:val="46"/>
        </w:numPr>
        <w:spacing w:line="240" w:lineRule="auto"/>
        <w:rPr>
          <w:szCs w:val="22"/>
        </w:rPr>
      </w:pPr>
      <w:r w:rsidRPr="003D46F3">
        <w:rPr>
          <w:szCs w:val="22"/>
        </w:rPr>
        <w:lastRenderedPageBreak/>
        <w:t>Age/grade of child</w:t>
      </w:r>
      <w:r>
        <w:rPr>
          <w:szCs w:val="22"/>
        </w:rPr>
        <w:t xml:space="preserve"> or age of adult</w:t>
      </w:r>
    </w:p>
    <w:p w:rsidR="00854191" w:rsidRPr="003D46F3" w:rsidRDefault="00854191" w:rsidP="00854191">
      <w:pPr>
        <w:pStyle w:val="P1-StandPara"/>
        <w:numPr>
          <w:ilvl w:val="0"/>
          <w:numId w:val="46"/>
        </w:numPr>
        <w:spacing w:line="240" w:lineRule="auto"/>
        <w:rPr>
          <w:szCs w:val="22"/>
        </w:rPr>
      </w:pPr>
      <w:r w:rsidRPr="003D46F3">
        <w:rPr>
          <w:szCs w:val="22"/>
        </w:rPr>
        <w:t>Census region</w:t>
      </w:r>
    </w:p>
    <w:p w:rsidR="00854191" w:rsidRPr="003D46F3" w:rsidRDefault="00854191" w:rsidP="00854191">
      <w:pPr>
        <w:pStyle w:val="P1-StandPara"/>
        <w:numPr>
          <w:ilvl w:val="0"/>
          <w:numId w:val="46"/>
        </w:numPr>
        <w:spacing w:line="240" w:lineRule="auto"/>
        <w:rPr>
          <w:szCs w:val="22"/>
        </w:rPr>
      </w:pPr>
      <w:r>
        <w:rPr>
          <w:szCs w:val="22"/>
        </w:rPr>
        <w:t xml:space="preserve">Race/ethnicity </w:t>
      </w:r>
    </w:p>
    <w:p w:rsidR="00854191" w:rsidRPr="003D46F3" w:rsidRDefault="00854191" w:rsidP="00854191">
      <w:pPr>
        <w:pStyle w:val="P1-StandPara"/>
        <w:numPr>
          <w:ilvl w:val="0"/>
          <w:numId w:val="46"/>
        </w:numPr>
        <w:spacing w:line="240" w:lineRule="auto"/>
        <w:rPr>
          <w:szCs w:val="22"/>
        </w:rPr>
      </w:pPr>
      <w:r w:rsidRPr="003D46F3">
        <w:rPr>
          <w:szCs w:val="22"/>
        </w:rPr>
        <w:t xml:space="preserve">Mother’s </w:t>
      </w:r>
      <w:r>
        <w:rPr>
          <w:szCs w:val="22"/>
        </w:rPr>
        <w:t xml:space="preserve">or adult’s </w:t>
      </w:r>
      <w:r w:rsidRPr="003D46F3">
        <w:rPr>
          <w:szCs w:val="22"/>
        </w:rPr>
        <w:t>employment status</w:t>
      </w:r>
      <w:r>
        <w:rPr>
          <w:szCs w:val="22"/>
        </w:rPr>
        <w:t xml:space="preserve"> </w:t>
      </w:r>
    </w:p>
    <w:p w:rsidR="00854191" w:rsidRPr="003D46F3" w:rsidRDefault="00854191" w:rsidP="00854191">
      <w:pPr>
        <w:pStyle w:val="P1-StandPara"/>
        <w:numPr>
          <w:ilvl w:val="0"/>
          <w:numId w:val="46"/>
        </w:numPr>
        <w:spacing w:line="240" w:lineRule="auto"/>
        <w:rPr>
          <w:szCs w:val="22"/>
        </w:rPr>
      </w:pPr>
      <w:r w:rsidRPr="003D46F3">
        <w:rPr>
          <w:szCs w:val="22"/>
        </w:rPr>
        <w:t>Mother’s</w:t>
      </w:r>
      <w:r>
        <w:rPr>
          <w:szCs w:val="22"/>
        </w:rPr>
        <w:t xml:space="preserve"> or adult’s</w:t>
      </w:r>
      <w:r w:rsidRPr="003D46F3">
        <w:rPr>
          <w:szCs w:val="22"/>
        </w:rPr>
        <w:t xml:space="preserve"> home language</w:t>
      </w:r>
    </w:p>
    <w:p w:rsidR="00854191" w:rsidRPr="003D46F3" w:rsidRDefault="00854191" w:rsidP="00854191">
      <w:pPr>
        <w:pStyle w:val="P1-StandPara"/>
        <w:numPr>
          <w:ilvl w:val="0"/>
          <w:numId w:val="46"/>
        </w:numPr>
        <w:spacing w:line="240" w:lineRule="auto"/>
        <w:rPr>
          <w:szCs w:val="22"/>
        </w:rPr>
      </w:pPr>
      <w:r w:rsidRPr="003D46F3">
        <w:rPr>
          <w:szCs w:val="22"/>
        </w:rPr>
        <w:lastRenderedPageBreak/>
        <w:t>Educational attainment of mother</w:t>
      </w:r>
      <w:r>
        <w:rPr>
          <w:szCs w:val="22"/>
        </w:rPr>
        <w:t>/adult</w:t>
      </w:r>
    </w:p>
    <w:p w:rsidR="00854191" w:rsidRPr="003D46F3" w:rsidRDefault="00854191" w:rsidP="00854191">
      <w:pPr>
        <w:pStyle w:val="P1-StandPara"/>
        <w:numPr>
          <w:ilvl w:val="0"/>
          <w:numId w:val="46"/>
        </w:numPr>
        <w:spacing w:line="240" w:lineRule="auto"/>
        <w:rPr>
          <w:szCs w:val="22"/>
        </w:rPr>
      </w:pPr>
      <w:r w:rsidRPr="003D46F3">
        <w:rPr>
          <w:szCs w:val="22"/>
        </w:rPr>
        <w:t>Family type</w:t>
      </w:r>
    </w:p>
    <w:p w:rsidR="00854191" w:rsidRPr="003D46F3" w:rsidRDefault="00854191" w:rsidP="00854191">
      <w:pPr>
        <w:pStyle w:val="P1-StandPara"/>
        <w:numPr>
          <w:ilvl w:val="0"/>
          <w:numId w:val="46"/>
        </w:numPr>
        <w:spacing w:line="240" w:lineRule="auto"/>
        <w:rPr>
          <w:szCs w:val="22"/>
        </w:rPr>
      </w:pPr>
      <w:r w:rsidRPr="003D46F3">
        <w:rPr>
          <w:szCs w:val="22"/>
        </w:rPr>
        <w:t>Household income</w:t>
      </w:r>
      <w:r>
        <w:rPr>
          <w:szCs w:val="22"/>
        </w:rPr>
        <w:t xml:space="preserve"> (ASPA only)</w:t>
      </w:r>
    </w:p>
    <w:p w:rsidR="00854191" w:rsidRPr="003D46F3" w:rsidRDefault="00854191" w:rsidP="00854191">
      <w:pPr>
        <w:pStyle w:val="P1-StandPara"/>
        <w:numPr>
          <w:ilvl w:val="0"/>
          <w:numId w:val="46"/>
        </w:numPr>
        <w:spacing w:line="240" w:lineRule="auto"/>
        <w:rPr>
          <w:szCs w:val="22"/>
        </w:rPr>
      </w:pPr>
      <w:r w:rsidRPr="003D46F3">
        <w:rPr>
          <w:szCs w:val="22"/>
        </w:rPr>
        <w:t>Home ownership</w:t>
      </w:r>
    </w:p>
    <w:p w:rsidR="00854191" w:rsidRDefault="00854191" w:rsidP="00854191">
      <w:pPr>
        <w:pStyle w:val="P1-StandPara"/>
        <w:spacing w:line="240" w:lineRule="auto"/>
        <w:ind w:firstLine="0"/>
        <w:rPr>
          <w:szCs w:val="22"/>
        </w:rPr>
        <w:sectPr w:rsidR="00854191" w:rsidSect="00854191">
          <w:type w:val="continuous"/>
          <w:pgSz w:w="12240" w:h="15840"/>
          <w:pgMar w:top="1008" w:right="1008" w:bottom="1008" w:left="1008" w:header="720" w:footer="720" w:gutter="0"/>
          <w:cols w:num="2" w:space="720"/>
          <w:docGrid w:linePitch="360"/>
        </w:sectPr>
      </w:pPr>
    </w:p>
    <w:p w:rsidR="00854191" w:rsidRPr="003D46F3" w:rsidRDefault="00854191" w:rsidP="00854191">
      <w:pPr>
        <w:pStyle w:val="P1-StandPara"/>
        <w:spacing w:line="240" w:lineRule="auto"/>
        <w:ind w:firstLine="0"/>
        <w:rPr>
          <w:szCs w:val="22"/>
        </w:rPr>
      </w:pPr>
    </w:p>
    <w:p w:rsidR="00714E85" w:rsidRDefault="00714E85">
      <w:pPr>
        <w:spacing w:line="240" w:lineRule="auto"/>
        <w:jc w:val="left"/>
        <w:rPr>
          <w:szCs w:val="22"/>
          <w:u w:val="single"/>
        </w:rPr>
      </w:pPr>
      <w:r>
        <w:rPr>
          <w:szCs w:val="22"/>
          <w:u w:val="single"/>
        </w:rPr>
        <w:br w:type="page"/>
      </w:r>
    </w:p>
    <w:p w:rsidR="00854191" w:rsidRDefault="00854191" w:rsidP="00854191">
      <w:pPr>
        <w:pStyle w:val="P1-StandPara"/>
        <w:spacing w:line="240" w:lineRule="auto"/>
        <w:ind w:firstLine="0"/>
        <w:rPr>
          <w:szCs w:val="22"/>
        </w:rPr>
      </w:pPr>
      <w:r>
        <w:rPr>
          <w:szCs w:val="22"/>
          <w:u w:val="single"/>
        </w:rPr>
        <w:lastRenderedPageBreak/>
        <w:t>Adult Training and Education Survey (ATES)</w:t>
      </w:r>
    </w:p>
    <w:p w:rsidR="00854191" w:rsidRPr="0068397E" w:rsidRDefault="00854191" w:rsidP="00854191">
      <w:pPr>
        <w:pStyle w:val="P1-StandPara"/>
        <w:spacing w:line="240" w:lineRule="auto"/>
        <w:ind w:firstLine="0"/>
        <w:rPr>
          <w:sz w:val="14"/>
          <w:szCs w:val="14"/>
        </w:rPr>
      </w:pPr>
    </w:p>
    <w:p w:rsidR="00854191" w:rsidRDefault="00854191" w:rsidP="00854191">
      <w:pPr>
        <w:pStyle w:val="P1-StandPara"/>
        <w:numPr>
          <w:ilvl w:val="0"/>
          <w:numId w:val="48"/>
        </w:numPr>
        <w:spacing w:line="240" w:lineRule="auto"/>
        <w:rPr>
          <w:szCs w:val="22"/>
        </w:rPr>
        <w:sectPr w:rsidR="00854191" w:rsidSect="00854191">
          <w:type w:val="continuous"/>
          <w:pgSz w:w="12240" w:h="15840"/>
          <w:pgMar w:top="1008" w:right="1008" w:bottom="1008" w:left="1008" w:header="720" w:footer="720" w:gutter="0"/>
          <w:cols w:space="720"/>
          <w:docGrid w:linePitch="360"/>
        </w:sectPr>
      </w:pPr>
    </w:p>
    <w:p w:rsidR="00854191" w:rsidRDefault="00854191" w:rsidP="00854191">
      <w:pPr>
        <w:pStyle w:val="P1-StandPara"/>
        <w:numPr>
          <w:ilvl w:val="0"/>
          <w:numId w:val="48"/>
        </w:numPr>
        <w:spacing w:line="240" w:lineRule="auto"/>
        <w:rPr>
          <w:szCs w:val="22"/>
        </w:rPr>
      </w:pPr>
      <w:r>
        <w:rPr>
          <w:szCs w:val="22"/>
        </w:rPr>
        <w:lastRenderedPageBreak/>
        <w:t>Highest degree or level of school</w:t>
      </w:r>
    </w:p>
    <w:p w:rsidR="00854191" w:rsidRDefault="00854191" w:rsidP="00854191">
      <w:pPr>
        <w:pStyle w:val="P1-StandPara"/>
        <w:numPr>
          <w:ilvl w:val="0"/>
          <w:numId w:val="48"/>
        </w:numPr>
        <w:spacing w:line="240" w:lineRule="auto"/>
        <w:rPr>
          <w:szCs w:val="22"/>
        </w:rPr>
      </w:pPr>
      <w:r>
        <w:rPr>
          <w:szCs w:val="22"/>
        </w:rPr>
        <w:t>Certification or license</w:t>
      </w:r>
    </w:p>
    <w:p w:rsidR="00854191" w:rsidRDefault="00854191" w:rsidP="00854191">
      <w:pPr>
        <w:pStyle w:val="P1-StandPara"/>
        <w:numPr>
          <w:ilvl w:val="0"/>
          <w:numId w:val="48"/>
        </w:numPr>
        <w:spacing w:line="240" w:lineRule="auto"/>
        <w:rPr>
          <w:szCs w:val="22"/>
        </w:rPr>
      </w:pPr>
      <w:r>
        <w:rPr>
          <w:szCs w:val="22"/>
        </w:rPr>
        <w:t>Certificate</w:t>
      </w:r>
    </w:p>
    <w:p w:rsidR="00854191" w:rsidRDefault="00854191" w:rsidP="00854191">
      <w:pPr>
        <w:pStyle w:val="P1-StandPara"/>
        <w:numPr>
          <w:ilvl w:val="0"/>
          <w:numId w:val="48"/>
        </w:numPr>
        <w:spacing w:line="240" w:lineRule="auto"/>
        <w:rPr>
          <w:szCs w:val="22"/>
        </w:rPr>
      </w:pPr>
      <w:r>
        <w:rPr>
          <w:szCs w:val="22"/>
        </w:rPr>
        <w:lastRenderedPageBreak/>
        <w:t>Completed work-related training last 12 months</w:t>
      </w:r>
    </w:p>
    <w:p w:rsidR="00854191" w:rsidRDefault="00854191" w:rsidP="00854191">
      <w:pPr>
        <w:spacing w:line="240" w:lineRule="auto"/>
        <w:rPr>
          <w:szCs w:val="22"/>
        </w:rPr>
        <w:sectPr w:rsidR="00854191" w:rsidSect="00854191">
          <w:type w:val="continuous"/>
          <w:pgSz w:w="12240" w:h="15840"/>
          <w:pgMar w:top="1008" w:right="1008" w:bottom="1008" w:left="1008" w:header="720" w:footer="720" w:gutter="0"/>
          <w:cols w:num="2" w:space="720"/>
          <w:docGrid w:linePitch="360"/>
        </w:sectPr>
      </w:pPr>
    </w:p>
    <w:p w:rsidR="00854191" w:rsidRDefault="00854191" w:rsidP="00854191">
      <w:pPr>
        <w:spacing w:line="240" w:lineRule="auto"/>
        <w:rPr>
          <w:szCs w:val="22"/>
        </w:rPr>
      </w:pPr>
    </w:p>
    <w:p w:rsidR="00854191" w:rsidRDefault="00854191" w:rsidP="00854191">
      <w:pPr>
        <w:spacing w:line="240" w:lineRule="auto"/>
        <w:rPr>
          <w:szCs w:val="22"/>
          <w:u w:val="single"/>
        </w:rPr>
      </w:pPr>
      <w:r>
        <w:rPr>
          <w:szCs w:val="22"/>
          <w:u w:val="single"/>
        </w:rPr>
        <w:t>After School Programs and Activities (ASPA)</w:t>
      </w:r>
    </w:p>
    <w:p w:rsidR="00854191" w:rsidRPr="0068397E" w:rsidRDefault="00854191" w:rsidP="00854191">
      <w:pPr>
        <w:spacing w:line="240" w:lineRule="auto"/>
        <w:rPr>
          <w:sz w:val="14"/>
          <w:szCs w:val="14"/>
        </w:rPr>
      </w:pPr>
    </w:p>
    <w:p w:rsidR="00854191" w:rsidRPr="0068397E" w:rsidRDefault="00854191" w:rsidP="00854191">
      <w:pPr>
        <w:spacing w:line="240" w:lineRule="auto"/>
        <w:sectPr w:rsidR="00854191" w:rsidRPr="0068397E" w:rsidSect="00854191">
          <w:type w:val="continuous"/>
          <w:pgSz w:w="12240" w:h="15840"/>
          <w:pgMar w:top="1008" w:right="1008" w:bottom="1008" w:left="1008" w:header="720" w:footer="720" w:gutter="0"/>
          <w:cols w:space="720"/>
          <w:docGrid w:linePitch="360"/>
        </w:sectPr>
      </w:pPr>
    </w:p>
    <w:p w:rsidR="00854191" w:rsidRPr="002A18AB" w:rsidRDefault="00854191" w:rsidP="00854191">
      <w:pPr>
        <w:pStyle w:val="ListParagraph"/>
        <w:numPr>
          <w:ilvl w:val="0"/>
          <w:numId w:val="49"/>
        </w:numPr>
        <w:spacing w:after="0" w:line="240" w:lineRule="auto"/>
        <w:contextualSpacing w:val="0"/>
        <w:jc w:val="both"/>
        <w:rPr>
          <w:rFonts w:ascii="Times New Roman" w:hAnsi="Times New Roman" w:cs="Times New Roman"/>
        </w:rPr>
      </w:pPr>
      <w:r w:rsidRPr="002A18AB">
        <w:rPr>
          <w:rFonts w:ascii="Times New Roman" w:hAnsi="Times New Roman" w:cs="Times New Roman"/>
        </w:rPr>
        <w:lastRenderedPageBreak/>
        <w:t>Type of care arrangement</w:t>
      </w:r>
    </w:p>
    <w:p w:rsidR="00854191" w:rsidRPr="002A18AB" w:rsidRDefault="00854191" w:rsidP="00854191">
      <w:pPr>
        <w:pStyle w:val="ListParagraph"/>
        <w:numPr>
          <w:ilvl w:val="0"/>
          <w:numId w:val="49"/>
        </w:numPr>
        <w:spacing w:after="0" w:line="240" w:lineRule="auto"/>
        <w:contextualSpacing w:val="0"/>
        <w:jc w:val="both"/>
        <w:rPr>
          <w:rFonts w:ascii="Times New Roman" w:hAnsi="Times New Roman" w:cs="Times New Roman"/>
        </w:rPr>
      </w:pPr>
      <w:r w:rsidRPr="002A18AB">
        <w:rPr>
          <w:rFonts w:ascii="Times New Roman" w:hAnsi="Times New Roman" w:cs="Times New Roman"/>
        </w:rPr>
        <w:t>Mean hours in care arrangement</w:t>
      </w:r>
    </w:p>
    <w:p w:rsidR="00854191" w:rsidRPr="002A18AB" w:rsidRDefault="00854191" w:rsidP="00854191">
      <w:pPr>
        <w:pStyle w:val="ListParagraph"/>
        <w:numPr>
          <w:ilvl w:val="0"/>
          <w:numId w:val="49"/>
        </w:numPr>
        <w:spacing w:after="0" w:line="240" w:lineRule="auto"/>
        <w:contextualSpacing w:val="0"/>
        <w:jc w:val="both"/>
        <w:rPr>
          <w:rFonts w:ascii="Times New Roman" w:hAnsi="Times New Roman" w:cs="Times New Roman"/>
        </w:rPr>
      </w:pPr>
      <w:r w:rsidRPr="002A18AB">
        <w:rPr>
          <w:rFonts w:ascii="Times New Roman" w:hAnsi="Times New Roman" w:cs="Times New Roman"/>
        </w:rPr>
        <w:t>Whether or not there is a charge or fee for care arrangement</w:t>
      </w:r>
    </w:p>
    <w:p w:rsidR="00854191" w:rsidRPr="002A18AB" w:rsidRDefault="00854191" w:rsidP="00854191">
      <w:pPr>
        <w:pStyle w:val="ListParagraph"/>
        <w:numPr>
          <w:ilvl w:val="0"/>
          <w:numId w:val="49"/>
        </w:numPr>
        <w:spacing w:after="0" w:line="240" w:lineRule="auto"/>
        <w:contextualSpacing w:val="0"/>
        <w:jc w:val="both"/>
        <w:rPr>
          <w:rFonts w:ascii="Times New Roman" w:hAnsi="Times New Roman" w:cs="Times New Roman"/>
        </w:rPr>
      </w:pPr>
      <w:r w:rsidRPr="002A18AB">
        <w:rPr>
          <w:rFonts w:ascii="Times New Roman" w:hAnsi="Times New Roman" w:cs="Times New Roman"/>
        </w:rPr>
        <w:lastRenderedPageBreak/>
        <w:t>Participation in learning enrichment activities</w:t>
      </w:r>
    </w:p>
    <w:p w:rsidR="00854191" w:rsidRPr="002A18AB" w:rsidRDefault="00854191" w:rsidP="00854191">
      <w:pPr>
        <w:pStyle w:val="ListParagraph"/>
        <w:numPr>
          <w:ilvl w:val="0"/>
          <w:numId w:val="49"/>
        </w:numPr>
        <w:spacing w:after="0" w:line="240" w:lineRule="auto"/>
        <w:contextualSpacing w:val="0"/>
        <w:jc w:val="both"/>
        <w:rPr>
          <w:rFonts w:ascii="Times New Roman" w:hAnsi="Times New Roman" w:cs="Times New Roman"/>
        </w:rPr>
      </w:pPr>
      <w:r w:rsidRPr="002A18AB">
        <w:rPr>
          <w:rFonts w:ascii="Times New Roman" w:hAnsi="Times New Roman" w:cs="Times New Roman"/>
        </w:rPr>
        <w:t>School type</w:t>
      </w:r>
    </w:p>
    <w:p w:rsidR="00854191" w:rsidRDefault="00854191" w:rsidP="00854191">
      <w:pPr>
        <w:spacing w:line="240" w:lineRule="auto"/>
        <w:rPr>
          <w:szCs w:val="22"/>
          <w:u w:val="single"/>
        </w:rPr>
        <w:sectPr w:rsidR="00854191" w:rsidSect="00854191">
          <w:type w:val="continuous"/>
          <w:pgSz w:w="12240" w:h="15840"/>
          <w:pgMar w:top="1008" w:right="1008" w:bottom="1008" w:left="1008" w:header="720" w:footer="720" w:gutter="0"/>
          <w:cols w:num="2" w:space="720"/>
          <w:docGrid w:linePitch="360"/>
        </w:sectPr>
      </w:pPr>
    </w:p>
    <w:p w:rsidR="00854191" w:rsidRDefault="00854191" w:rsidP="00854191">
      <w:pPr>
        <w:spacing w:line="240" w:lineRule="auto"/>
        <w:rPr>
          <w:szCs w:val="22"/>
          <w:u w:val="single"/>
        </w:rPr>
      </w:pPr>
    </w:p>
    <w:p w:rsidR="00854191" w:rsidRPr="003D46F3" w:rsidRDefault="00854191" w:rsidP="00854191">
      <w:pPr>
        <w:spacing w:line="240" w:lineRule="auto"/>
        <w:ind w:firstLine="1170"/>
        <w:rPr>
          <w:szCs w:val="22"/>
        </w:rPr>
      </w:pPr>
      <w:r w:rsidRPr="003D46F3">
        <w:rPr>
          <w:szCs w:val="22"/>
        </w:rPr>
        <w:t xml:space="preserve">The final component of the bias analysis will include comparisons between respondent characteristics known population characteristics from extant sources including the </w:t>
      </w:r>
      <w:r>
        <w:rPr>
          <w:szCs w:val="22"/>
        </w:rPr>
        <w:t>C</w:t>
      </w:r>
      <w:r w:rsidRPr="003D46F3">
        <w:rPr>
          <w:szCs w:val="22"/>
        </w:rPr>
        <w:t>urrent Population Survey (CPS) and the American Community Survey (ACS). Additionally, for substantive variables, weighted estimates will be compared to prior NHES administrations</w:t>
      </w:r>
      <w:r>
        <w:rPr>
          <w:szCs w:val="22"/>
        </w:rPr>
        <w:t xml:space="preserve"> if available.</w:t>
      </w:r>
      <w:r w:rsidRPr="003D46F3">
        <w:rPr>
          <w:szCs w:val="22"/>
        </w:rPr>
        <w:t xml:space="preserve">  While differences between </w:t>
      </w:r>
      <w:r>
        <w:rPr>
          <w:szCs w:val="22"/>
        </w:rPr>
        <w:t>NHES-FS</w:t>
      </w:r>
      <w:r w:rsidRPr="003D46F3">
        <w:rPr>
          <w:szCs w:val="22"/>
        </w:rPr>
        <w:t xml:space="preserve"> estimates and those from external sources as well as prior NHES administrations could be attributable to factors other than bias, differences will be examined in order to confirm the reasonableness of the 201</w:t>
      </w:r>
      <w:r>
        <w:rPr>
          <w:szCs w:val="22"/>
        </w:rPr>
        <w:t>4</w:t>
      </w:r>
      <w:r w:rsidRPr="003D46F3">
        <w:rPr>
          <w:szCs w:val="22"/>
        </w:rPr>
        <w:t xml:space="preserve"> estimates.</w:t>
      </w:r>
    </w:p>
    <w:p w:rsidR="00854191" w:rsidRDefault="00854191" w:rsidP="00854191">
      <w:pPr>
        <w:spacing w:line="240" w:lineRule="auto"/>
        <w:ind w:left="1170"/>
        <w:rPr>
          <w:b/>
          <w:szCs w:val="22"/>
        </w:rPr>
      </w:pPr>
    </w:p>
    <w:p w:rsidR="00854191" w:rsidRPr="003D46F3" w:rsidRDefault="00854191" w:rsidP="00854191">
      <w:pPr>
        <w:spacing w:line="240" w:lineRule="auto"/>
        <w:ind w:left="1170"/>
        <w:rPr>
          <w:b/>
          <w:szCs w:val="22"/>
        </w:rPr>
      </w:pPr>
      <w:r w:rsidRPr="003D46F3">
        <w:rPr>
          <w:b/>
          <w:szCs w:val="22"/>
        </w:rPr>
        <w:t>Item nonresponse</w:t>
      </w:r>
    </w:p>
    <w:p w:rsidR="00714E85" w:rsidRDefault="00714E85" w:rsidP="00854191">
      <w:pPr>
        <w:pStyle w:val="P1-StandPara"/>
        <w:spacing w:line="240" w:lineRule="auto"/>
        <w:rPr>
          <w:szCs w:val="22"/>
        </w:rPr>
      </w:pPr>
    </w:p>
    <w:p w:rsidR="00854191" w:rsidRDefault="00854191" w:rsidP="00854191">
      <w:pPr>
        <w:pStyle w:val="P1-StandPara"/>
        <w:spacing w:line="240" w:lineRule="auto"/>
        <w:rPr>
          <w:szCs w:val="22"/>
        </w:rPr>
      </w:pPr>
      <w:r w:rsidRPr="003D46F3">
        <w:rPr>
          <w:szCs w:val="22"/>
        </w:rPr>
        <w:t>In order to examine item nonresponse, all it</w:t>
      </w:r>
      <w:r>
        <w:rPr>
          <w:szCs w:val="22"/>
        </w:rPr>
        <w:t>ems with response rates below 85</w:t>
      </w:r>
      <w:r w:rsidRPr="003D46F3">
        <w:rPr>
          <w:szCs w:val="22"/>
        </w:rPr>
        <w:t xml:space="preserve"> percent will be listed. </w:t>
      </w:r>
      <w:r>
        <w:rPr>
          <w:szCs w:val="22"/>
        </w:rPr>
        <w:t>Alternative</w:t>
      </w:r>
      <w:r w:rsidRPr="003D46F3">
        <w:rPr>
          <w:szCs w:val="22"/>
        </w:rPr>
        <w:t xml:space="preserve"> sets of imputed values will be generated by imposing extreme assumptions on the item nonrespondents.  For most items, two new sets of imputed values—one based on a “low” assumption and one based on a “high” assumption—will be created.  For most continuous variables, a “low” imputed value variable will be created by resetting imputed values to the value at the 5</w:t>
      </w:r>
      <w:r w:rsidRPr="003D46F3">
        <w:rPr>
          <w:szCs w:val="22"/>
          <w:vertAlign w:val="superscript"/>
        </w:rPr>
        <w:t>th</w:t>
      </w:r>
      <w:r w:rsidRPr="003D46F3">
        <w:rPr>
          <w:szCs w:val="22"/>
        </w:rPr>
        <w:t xml:space="preserve"> percentile of the original distribution; a “high” imputed value variable will be created by resetting imputed values to the value at the 95</w:t>
      </w:r>
      <w:r w:rsidRPr="003D46F3">
        <w:rPr>
          <w:szCs w:val="22"/>
          <w:vertAlign w:val="superscript"/>
        </w:rPr>
        <w:t>th</w:t>
      </w:r>
      <w:r w:rsidRPr="003D46F3">
        <w:rPr>
          <w:szCs w:val="22"/>
        </w:rPr>
        <w:t xml:space="preserve"> percentile of the original distribution.  For dichotomous and most polytomous variables, a “low” imputed value variable will be created by resetting imputed values to the lowest value in the original distribution, and a “high” imputed value variable will be created by resetting imputed values to the highest value in the original distribution.  Both the “low” imputed value variable distributions and the “high” imputed value variable distributions will be compared to the </w:t>
      </w:r>
      <w:r>
        <w:rPr>
          <w:szCs w:val="22"/>
        </w:rPr>
        <w:t>unimputed</w:t>
      </w:r>
      <w:r w:rsidRPr="003D46F3">
        <w:rPr>
          <w:szCs w:val="22"/>
        </w:rPr>
        <w:t xml:space="preserve"> distributions. This analysis helps to place bounds on the potential for item nonresponse bias through the use of “worst case” scenarios.</w:t>
      </w:r>
    </w:p>
    <w:p w:rsidR="00854191" w:rsidRDefault="00854191" w:rsidP="00854191">
      <w:pPr>
        <w:pStyle w:val="P1-StandPara"/>
        <w:spacing w:line="240" w:lineRule="auto"/>
      </w:pPr>
    </w:p>
    <w:p w:rsidR="00854191" w:rsidRDefault="00854191" w:rsidP="00854191">
      <w:pPr>
        <w:pStyle w:val="Heading1"/>
        <w:spacing w:after="0" w:line="240" w:lineRule="auto"/>
      </w:pPr>
      <w:r>
        <w:t>B.2</w:t>
      </w:r>
      <w:r>
        <w:tab/>
        <w:t>Survey Procedures</w:t>
      </w:r>
      <w:bookmarkEnd w:id="37"/>
      <w:bookmarkEnd w:id="38"/>
    </w:p>
    <w:p w:rsidR="00FF27A2" w:rsidRDefault="00FF27A2" w:rsidP="00854191">
      <w:pPr>
        <w:pStyle w:val="P1-StandPara"/>
        <w:spacing w:line="240" w:lineRule="auto"/>
      </w:pPr>
    </w:p>
    <w:p w:rsidR="00854191" w:rsidRDefault="00854191" w:rsidP="00854191">
      <w:pPr>
        <w:pStyle w:val="P1-StandPara"/>
        <w:spacing w:line="240" w:lineRule="auto"/>
      </w:pPr>
      <w:r>
        <w:t>This section describes the data collection procedures to be used in the NHES-FS:2014. These procedures represent a combination of best practices to maximize response rates based on findings from the NHES:2012 and NATES within the Agency’s budget constraints.  The NHES is a two-phase self-administered survey.  In the first phase, households are screened to determine if they have eligible adults or children.  In the second phase, a detailed topical questionnaire is sent to households with the eligible adults and/or children.  The NHES employs multiple contacts with households to maximize response.  These include an advance letter and up to four questionnaire mailings for both the screener and the topical surveys. In addition, households will receive one reminder postcard after the initial mailing of a screener or topical and an automated phone call reminder for nonrespondents in conjunction with the third mailing.  To further improve the design, a small number of experiments are proposed.  These experiments are outlined below.  Respondent contact materials are provided in appendix A and questionnaires are provided in appendices B (screeners) and C (topical questionnaires).</w:t>
      </w:r>
    </w:p>
    <w:p w:rsidR="00854191" w:rsidRDefault="00854191" w:rsidP="00854191">
      <w:pPr>
        <w:pStyle w:val="P1-StandPara"/>
        <w:spacing w:line="240" w:lineRule="auto"/>
      </w:pPr>
      <w:r>
        <w:tab/>
      </w:r>
    </w:p>
    <w:p w:rsidR="00854191" w:rsidRPr="00FF27A2" w:rsidRDefault="00854191" w:rsidP="00854191">
      <w:pPr>
        <w:pStyle w:val="P1-StandPara"/>
        <w:spacing w:line="240" w:lineRule="auto"/>
        <w:ind w:left="432" w:firstLine="720"/>
        <w:rPr>
          <w:b/>
        </w:rPr>
      </w:pPr>
      <w:r w:rsidRPr="00FF27A2">
        <w:rPr>
          <w:b/>
        </w:rPr>
        <w:t>Screener Procedures</w:t>
      </w:r>
    </w:p>
    <w:p w:rsidR="00FF27A2" w:rsidRDefault="00FF27A2" w:rsidP="00854191">
      <w:pPr>
        <w:pStyle w:val="P1-StandPara"/>
        <w:spacing w:line="240" w:lineRule="auto"/>
      </w:pPr>
    </w:p>
    <w:p w:rsidR="00854191" w:rsidRDefault="00854191" w:rsidP="00854191">
      <w:pPr>
        <w:pStyle w:val="P1-StandPara"/>
        <w:spacing w:line="240" w:lineRule="auto"/>
      </w:pPr>
      <w:r>
        <w:t xml:space="preserve">Figure 1 presents a flow chart for the NHES-FS data collection which will begin with the mailing of an advance notification letter in early January 2014. Both NHES:2012 and NATES showed that an advance letter was effective at raising response rates to the first questionnaire mailing, which reduces the amount of follow-up </w:t>
      </w:r>
      <w:r>
        <w:lastRenderedPageBreak/>
        <w:t>required</w:t>
      </w:r>
      <w:r w:rsidRPr="009E1CE4">
        <w:t xml:space="preserve">.  A questionnaire package will be mailed to households one week after the advance letter.  The packages will contain a cover letter, household screener, and business reply envelope. </w:t>
      </w:r>
      <w:r>
        <w:t>In some cases, the initial questionnaire mailing package will contain a $5 cash incentive and/or a magnet as parts of two experiments which are described below.</w:t>
      </w:r>
      <w:r w:rsidRPr="009E1CE4">
        <w:t xml:space="preserve"> </w:t>
      </w:r>
      <w:r w:rsidRPr="00801CA3">
        <w:t>The</w:t>
      </w:r>
      <w:r>
        <w:t xml:space="preserve"> same version of the questionnaire sent in the first mailing will be sent in all subsequent nonresponse follow-up mailings.  A thank you/reminder postcard will be sent to all sampled addresses approximately one week after the first mailing. All nonresponse follow-up questionnaire mailings will contain a cover letter, replacement screener questionnaire, and business reply envelope. A second questionnaire mailing will be sent to nonresponding households approximately two weeks after the postcard.  Approximately three weeks after the second mailing, a third questionnaire mailing will be sent to non-responding households using rush delivery (FedEx or UPS). For addresses for which the frame includes a telephone number, an automated reminder phone call will be made on the same day as the third questionnaire mailing to encourage households to complete the study as soon as possible. Results from the 2009 and 2011 tests indicated that households with eligible children tend to respond to later mailings, for this reason we added an additional mailing to our process and extended the data collection period as part of the NHES:2012 data collection and we will continue that protocol in the NHES-FS.  The fourth questionnaire package will be sent to nonresponding households approximately three weeks after the third questionnaire mailing.</w:t>
      </w:r>
    </w:p>
    <w:p w:rsidR="00854191" w:rsidRDefault="00854191" w:rsidP="00854191">
      <w:pPr>
        <w:pStyle w:val="P1-StandPara"/>
        <w:spacing w:line="240" w:lineRule="auto"/>
      </w:pPr>
    </w:p>
    <w:p w:rsidR="00854191" w:rsidRDefault="00854191" w:rsidP="00854191">
      <w:pPr>
        <w:spacing w:line="240" w:lineRule="auto"/>
      </w:pPr>
      <w:r>
        <w:tab/>
        <w:t xml:space="preserve">The NHES-FS includes several experiments to test approaches aimed toward decreasing unit and item nonresponse. These experiments are illustrated in Figure 1. Experiment 1 will </w:t>
      </w:r>
      <w:r w:rsidRPr="00D0113D">
        <w:t>test unit and item response rate differences between a screener that asks for age measured in years versus a screener that asks for age measured as year and month of birth. NCES would prefer to ask age as year and month of birth in order to implement more accurate age-eligibility criteria for topical surveys. However, there is a concern that this type of age measure is more personal and therefore more sensitive which can potentially lead to greater unit or item nonresponse.</w:t>
      </w:r>
      <w:r>
        <w:t xml:space="preserve"> </w:t>
      </w:r>
    </w:p>
    <w:p w:rsidR="00854191" w:rsidRDefault="00854191" w:rsidP="00854191">
      <w:pPr>
        <w:spacing w:line="240" w:lineRule="auto"/>
      </w:pPr>
    </w:p>
    <w:p w:rsidR="00854191" w:rsidRDefault="00854191" w:rsidP="00854191">
      <w:pPr>
        <w:spacing w:line="240" w:lineRule="auto"/>
      </w:pPr>
      <w:r>
        <w:tab/>
        <w:t xml:space="preserve">Experiment 2 will test </w:t>
      </w:r>
      <w:r w:rsidRPr="00D0113D">
        <w:t>response rate differences</w:t>
      </w:r>
      <w:r>
        <w:t xml:space="preserve"> between household</w:t>
      </w:r>
      <w:r w:rsidR="00847599">
        <w:t>s</w:t>
      </w:r>
      <w:r>
        <w:t xml:space="preserve"> that do not receive a cash incentive with their initial screener questionnaire mailing and </w:t>
      </w:r>
      <w:r w:rsidRPr="00D0113D">
        <w:t xml:space="preserve">households that receive the NHES standard $5 incentive. </w:t>
      </w:r>
      <w:r>
        <w:t>A</w:t>
      </w:r>
      <w:r w:rsidRPr="00D0113D">
        <w:t xml:space="preserve"> small </w:t>
      </w:r>
      <w:r>
        <w:t>pro</w:t>
      </w:r>
      <w:r w:rsidRPr="00D0113D">
        <w:t xml:space="preserve">portion of households (around 1,800) </w:t>
      </w:r>
      <w:r>
        <w:t>will be randomly assigned to not receive the $5 cash incentive.</w:t>
      </w:r>
      <w:r w:rsidRPr="00D0113D">
        <w:t xml:space="preserve"> The purpose of this experiment is to provide up-to-date information about the effectiveness of the household</w:t>
      </w:r>
      <w:r>
        <w:t>-</w:t>
      </w:r>
      <w:r w:rsidRPr="00D0113D">
        <w:t>level incentive compared to no incentive</w:t>
      </w:r>
      <w:r>
        <w:t>.</w:t>
      </w:r>
    </w:p>
    <w:p w:rsidR="00854191" w:rsidRPr="00D0113D" w:rsidRDefault="00854191" w:rsidP="00854191">
      <w:pPr>
        <w:spacing w:line="240" w:lineRule="auto"/>
      </w:pPr>
    </w:p>
    <w:p w:rsidR="00854191" w:rsidRDefault="00854191" w:rsidP="00854191">
      <w:pPr>
        <w:pStyle w:val="P1-StandPara"/>
        <w:spacing w:line="240" w:lineRule="auto"/>
        <w:ind w:firstLine="0"/>
      </w:pPr>
      <w:r>
        <w:tab/>
        <w:t xml:space="preserve">Experiment 3 </w:t>
      </w:r>
      <w:r w:rsidRPr="00D0113D">
        <w:t>will test the effectiveness of mailing a large credit-card sized magnet with the screener to serve as a reminder to complete the survey.</w:t>
      </w:r>
      <w:r>
        <w:t xml:space="preserve"> </w:t>
      </w:r>
      <w:r w:rsidRPr="00D0113D">
        <w:t>NCES previously tested the use of a coin-sized magnet during the NHES:2012 development. This small magnet did not increase screener response, but there was some evidence it boosted topical response. We will examine screener and topical unit response in the magnet and no magnet treatment groups.</w:t>
      </w:r>
    </w:p>
    <w:p w:rsidR="00854191" w:rsidRDefault="00854191" w:rsidP="00854191">
      <w:pPr>
        <w:pStyle w:val="P1-StandPara"/>
        <w:spacing w:line="240" w:lineRule="auto"/>
        <w:ind w:firstLine="0"/>
      </w:pPr>
    </w:p>
    <w:p w:rsidR="00854191" w:rsidRPr="00C734A0" w:rsidRDefault="00C734A0" w:rsidP="00C734A0">
      <w:pPr>
        <w:pStyle w:val="Heading4"/>
        <w:tabs>
          <w:tab w:val="clear" w:pos="1152"/>
          <w:tab w:val="left" w:pos="720"/>
        </w:tabs>
        <w:spacing w:after="0" w:line="240" w:lineRule="auto"/>
        <w:ind w:left="0" w:firstLine="0"/>
      </w:pPr>
      <w:r>
        <w:tab/>
      </w:r>
      <w:r w:rsidR="00854191" w:rsidRPr="00C734A0">
        <w:t>Topical Procedures</w:t>
      </w:r>
    </w:p>
    <w:p w:rsidR="00C734A0" w:rsidRDefault="00C734A0" w:rsidP="00854191">
      <w:pPr>
        <w:pStyle w:val="P1-StandPara"/>
        <w:spacing w:line="240" w:lineRule="auto"/>
        <w:ind w:firstLine="720"/>
      </w:pPr>
    </w:p>
    <w:p w:rsidR="00854191" w:rsidRDefault="00854191" w:rsidP="00854191">
      <w:pPr>
        <w:pStyle w:val="P1-StandPara"/>
        <w:spacing w:line="240" w:lineRule="auto"/>
        <w:ind w:firstLine="720"/>
      </w:pPr>
      <w:r w:rsidRPr="005B7EBF">
        <w:t xml:space="preserve">Topical survey mailings will follow procedures similar to the screener procedures. </w:t>
      </w:r>
      <w:r>
        <w:t>H</w:t>
      </w:r>
      <w:r w:rsidRPr="005B7EBF">
        <w:t xml:space="preserve">ouseholds </w:t>
      </w:r>
      <w:r>
        <w:t xml:space="preserve">with at least one sample person will be assigned to one of three </w:t>
      </w:r>
      <w:r w:rsidRPr="005B7EBF">
        <w:t>topical survey mailing groups</w:t>
      </w:r>
      <w:r>
        <w:t>:</w:t>
      </w:r>
      <w:r w:rsidRPr="005B7EBF">
        <w:t xml:space="preserve"> </w:t>
      </w:r>
    </w:p>
    <w:p w:rsidR="00854191" w:rsidRDefault="00854191" w:rsidP="00854191">
      <w:pPr>
        <w:pStyle w:val="P1-StandPara"/>
        <w:spacing w:line="240" w:lineRule="auto"/>
        <w:ind w:firstLine="0"/>
      </w:pPr>
    </w:p>
    <w:p w:rsidR="00854191" w:rsidRDefault="00854191" w:rsidP="00854191">
      <w:pPr>
        <w:pStyle w:val="P1-StandPara"/>
        <w:numPr>
          <w:ilvl w:val="0"/>
          <w:numId w:val="47"/>
        </w:numPr>
        <w:spacing w:line="240" w:lineRule="auto"/>
      </w:pPr>
      <w:r>
        <w:t>Households</w:t>
      </w:r>
      <w:r w:rsidRPr="005B7EBF">
        <w:t xml:space="preserve"> that </w:t>
      </w:r>
      <w:r>
        <w:t xml:space="preserve">have been selected to receive an ASPA questionnaire only;  </w:t>
      </w:r>
    </w:p>
    <w:p w:rsidR="00854191" w:rsidRDefault="00854191" w:rsidP="00854191">
      <w:pPr>
        <w:pStyle w:val="P1-StandPara"/>
        <w:numPr>
          <w:ilvl w:val="0"/>
          <w:numId w:val="47"/>
        </w:numPr>
        <w:spacing w:line="240" w:lineRule="auto"/>
      </w:pPr>
      <w:r>
        <w:t>H</w:t>
      </w:r>
      <w:r w:rsidRPr="005B7EBF">
        <w:t xml:space="preserve">ouseholds that </w:t>
      </w:r>
      <w:r>
        <w:t xml:space="preserve">have been selected to receive an </w:t>
      </w:r>
      <w:r w:rsidRPr="005B7EBF">
        <w:t>ATES questionnaire only</w:t>
      </w:r>
      <w:r>
        <w:t>;</w:t>
      </w:r>
      <w:r w:rsidRPr="005B7EBF">
        <w:t xml:space="preserve"> </w:t>
      </w:r>
      <w:r>
        <w:t>and</w:t>
      </w:r>
    </w:p>
    <w:p w:rsidR="00854191" w:rsidRDefault="00854191" w:rsidP="00854191">
      <w:pPr>
        <w:pStyle w:val="P1-StandPara"/>
        <w:numPr>
          <w:ilvl w:val="0"/>
          <w:numId w:val="47"/>
        </w:numPr>
        <w:spacing w:line="240" w:lineRule="auto"/>
      </w:pPr>
      <w:r>
        <w:t>H</w:t>
      </w:r>
      <w:r w:rsidRPr="005B7EBF">
        <w:t>ousehold</w:t>
      </w:r>
      <w:r>
        <w:t>s</w:t>
      </w:r>
      <w:r w:rsidRPr="005B7EBF">
        <w:t xml:space="preserve"> that </w:t>
      </w:r>
      <w:r>
        <w:t xml:space="preserve">have been selected to receive both </w:t>
      </w:r>
      <w:r w:rsidRPr="005B7EBF">
        <w:t xml:space="preserve">an ASPA and ATES questionnaire. </w:t>
      </w:r>
    </w:p>
    <w:p w:rsidR="00854191" w:rsidRDefault="00854191" w:rsidP="00854191">
      <w:pPr>
        <w:pStyle w:val="P1-StandPara"/>
        <w:spacing w:line="240" w:lineRule="auto"/>
      </w:pPr>
    </w:p>
    <w:p w:rsidR="00854191" w:rsidRDefault="00854191" w:rsidP="00854191">
      <w:pPr>
        <w:pStyle w:val="P1-StandPara"/>
        <w:spacing w:line="240" w:lineRule="auto"/>
        <w:ind w:firstLine="0"/>
      </w:pPr>
      <w:r>
        <w:t>Within each group, questionnaires will be mailed in waves to minimize the time between the receipt of the screener and the mailing of the topical.</w:t>
      </w:r>
    </w:p>
    <w:p w:rsidR="00854191" w:rsidRDefault="00854191" w:rsidP="00854191">
      <w:pPr>
        <w:pStyle w:val="P1-StandPara"/>
        <w:spacing w:line="240" w:lineRule="auto"/>
        <w:ind w:firstLine="0"/>
      </w:pPr>
    </w:p>
    <w:p w:rsidR="00854191" w:rsidRDefault="00854191" w:rsidP="00854191">
      <w:pPr>
        <w:pStyle w:val="P1-StandPara"/>
        <w:spacing w:line="240" w:lineRule="auto"/>
        <w:ind w:firstLine="720"/>
      </w:pPr>
      <w:r>
        <w:t xml:space="preserve">Regardless of treatment group or wave, households with a selected sample member will have the same topical contact strategy. </w:t>
      </w:r>
      <w:r w:rsidRPr="005B7EBF">
        <w:t>The initial topical mailing will include a cover letter, questionnaire, business reply envelope, and a cash incentive.</w:t>
      </w:r>
      <w:r>
        <w:t xml:space="preserve"> All nonresponse follow-up mailings will contain a cover letter, replacement questionnaire, and business reply envelope.  The NHES:2011 Field Test </w:t>
      </w:r>
      <w:r w:rsidRPr="00801CA3">
        <w:t>as well as the NHES:</w:t>
      </w:r>
      <w:r>
        <w:t>20</w:t>
      </w:r>
      <w:r w:rsidRPr="00801CA3">
        <w:t>12</w:t>
      </w:r>
      <w:r>
        <w:t xml:space="preserve"> showed that a $5 incentive was effective with most respondents at the topical level.  However, late screener respondents (those that responded to the third or fourth mailing) were more likely to respond to the $15 incentive amount.  As a result, </w:t>
      </w:r>
      <w:r>
        <w:lastRenderedPageBreak/>
        <w:t xml:space="preserve">we will offer these late screener responders a $15 prepaid incentive with their first topical questionnaire mailing.  Late screener responders receiving both the ASPA and ATES questionnaires will receive two $15 incentives with their first topical questionnaire mailing. All other respondents will receive $5 with their initial mailing, with the dual households receiving two $5 incentives.  One week after the initial topical mailing, all households will receive a thank you/reminder postcard.  </w:t>
      </w:r>
    </w:p>
    <w:p w:rsidR="00854191" w:rsidRDefault="00854191" w:rsidP="00854191">
      <w:pPr>
        <w:pStyle w:val="P1-StandPara"/>
        <w:spacing w:line="240" w:lineRule="auto"/>
        <w:ind w:firstLine="0"/>
      </w:pPr>
    </w:p>
    <w:p w:rsidR="00854191" w:rsidRDefault="00854191" w:rsidP="00854191">
      <w:pPr>
        <w:pStyle w:val="P1-StandPara"/>
        <w:spacing w:line="240" w:lineRule="auto"/>
        <w:ind w:firstLine="720"/>
      </w:pPr>
      <w:r>
        <w:t xml:space="preserve">Nonresponding households will be mailed a second topical questionnaire approximately two weeks after the reminder postcard.  </w:t>
      </w:r>
      <w:r w:rsidRPr="000A6994">
        <w:t>If households that have been mailed a second topical questionnaire do not respond, a third package will be mailed by rush delivery (FedEx or UPS) approximately three weeks after the second mailing.</w:t>
      </w:r>
      <w:r>
        <w:t xml:space="preserve">  </w:t>
      </w:r>
      <w:r w:rsidRPr="00801CA3">
        <w:t>An automated reminder phone call will also be made to households where the frame vendor has a phone number.</w:t>
      </w:r>
      <w:r>
        <w:t xml:space="preserve">  If the household does not respond to the third mailing, a fourth mailing will be sent.  Figure 2 shows the topical mailing plans.</w:t>
      </w:r>
    </w:p>
    <w:p w:rsidR="00854191" w:rsidRDefault="00854191" w:rsidP="00854191">
      <w:pPr>
        <w:pStyle w:val="P1-StandPara"/>
        <w:spacing w:line="240" w:lineRule="auto"/>
        <w:ind w:firstLine="0"/>
      </w:pPr>
      <w:r>
        <w:tab/>
      </w:r>
    </w:p>
    <w:p w:rsidR="00854191" w:rsidRDefault="00854191" w:rsidP="00854191">
      <w:pPr>
        <w:pStyle w:val="P1-StandPara"/>
        <w:spacing w:line="240" w:lineRule="auto"/>
        <w:ind w:firstLine="720"/>
      </w:pPr>
      <w:r>
        <w:t xml:space="preserve">In addition to the screener experiments described earlier, the NHES-FS also contains topical experiments designed to test methods of decreasing unit response to the topical survey and to help refine questionnaire content. Experiment 4 </w:t>
      </w:r>
      <w:r w:rsidRPr="00D0113D">
        <w:t xml:space="preserve">will compare unit response rates when a household is mailed both the ATES and ASPA questionnaires versus a single ATES or ASPA questionnaire.  We hypothesize that households mailed two surveys will have lower unit response than households mailed one survey. </w:t>
      </w:r>
      <w:r>
        <w:t>However, collecting information from multiple members of the same household could allow us to improve the efficiency of the data collection and generate cost savings in the future if it does not depress unit response rates.</w:t>
      </w:r>
    </w:p>
    <w:p w:rsidR="00854191" w:rsidRDefault="00854191" w:rsidP="00854191">
      <w:pPr>
        <w:pStyle w:val="P1-StandPara"/>
        <w:spacing w:line="240" w:lineRule="auto"/>
        <w:ind w:firstLine="0"/>
      </w:pPr>
      <w:r>
        <w:tab/>
      </w:r>
    </w:p>
    <w:p w:rsidR="00854191" w:rsidRDefault="00854191" w:rsidP="00854191">
      <w:pPr>
        <w:pStyle w:val="P1-StandPara"/>
        <w:spacing w:line="240" w:lineRule="auto"/>
        <w:ind w:firstLine="720"/>
      </w:pPr>
      <w:r>
        <w:t>Experiment 5 will include a split-ballot test of the ASPA topical instrument to test the efficiency of different question wordings and formats for selected items. Households will be randomly assigned to each version. Response patterns will be compared to previous NHES administrations and external surveys to identify the item wording that is yielding the best response. Item response rates and navigation error rates will also be compared across the two versions of the ASPA instruments to determine which format is yielding higher quality data. The highest performing items and format will be used in the NHES:2015 where applicable and in the NHES:2017 when the ASPA is planned for administration.</w:t>
      </w:r>
    </w:p>
    <w:p w:rsidR="00854191" w:rsidRDefault="00854191" w:rsidP="00854191">
      <w:pPr>
        <w:pStyle w:val="P1-StandPara"/>
        <w:spacing w:line="240" w:lineRule="auto"/>
        <w:ind w:firstLine="0"/>
      </w:pPr>
      <w:r>
        <w:tab/>
      </w:r>
    </w:p>
    <w:p w:rsidR="00854191" w:rsidRDefault="00854191" w:rsidP="00854191">
      <w:pPr>
        <w:pStyle w:val="P1-StandPara"/>
        <w:spacing w:line="240" w:lineRule="auto"/>
        <w:ind w:firstLine="720"/>
      </w:pPr>
      <w:r>
        <w:t xml:space="preserve">Experiment 6 will include a split-ballot test of the full ATES instrument including sections on work-related training and non-credit college classes versus a shorter instrument including only key items from those sections. Households will be randomly assigned to either the ATES or the Credentials for Work Survey (CWS). Because of historical concerns about response rates from adults on household surveys about their own education and training, this experiment will determine whether the longer length of the ATES instrument discourages respondents from completing and mailing the form. Unit and item nonresponse rates will be compared across the two instruments. If the nonresponse rates are substantially lower for the ATES than for the CWS, NCES will field the CWS in NHES:2015 with plans to field the complementary Education and Training Survey in NHES:2017.  </w:t>
      </w:r>
    </w:p>
    <w:p w:rsidR="00854191" w:rsidRDefault="00854191" w:rsidP="00BC05CD">
      <w:pPr>
        <w:pStyle w:val="P1-StandPara"/>
        <w:spacing w:line="240" w:lineRule="auto"/>
        <w:ind w:firstLine="0"/>
        <w:jc w:val="left"/>
      </w:pPr>
    </w:p>
    <w:p w:rsidR="003540EE" w:rsidRPr="00847599" w:rsidRDefault="003540EE" w:rsidP="003540EE">
      <w:pPr>
        <w:pStyle w:val="P1-StandPara"/>
        <w:spacing w:line="240" w:lineRule="auto"/>
        <w:ind w:left="432" w:firstLine="720"/>
        <w:rPr>
          <w:b/>
        </w:rPr>
      </w:pPr>
      <w:bookmarkStart w:id="46" w:name="_Toc61176404"/>
      <w:bookmarkStart w:id="47" w:name="_Toc222888911"/>
      <w:r w:rsidRPr="00847599">
        <w:rPr>
          <w:b/>
        </w:rPr>
        <w:t>Survey Monitoring</w:t>
      </w:r>
    </w:p>
    <w:p w:rsidR="00847599" w:rsidRDefault="00847599" w:rsidP="003540EE">
      <w:pPr>
        <w:pStyle w:val="P1-StandPara"/>
        <w:spacing w:line="240" w:lineRule="auto"/>
      </w:pPr>
    </w:p>
    <w:p w:rsidR="003540EE" w:rsidRDefault="003540EE" w:rsidP="003540EE">
      <w:pPr>
        <w:pStyle w:val="P1-StandPara"/>
        <w:spacing w:line="240" w:lineRule="auto"/>
      </w:pPr>
      <w:r>
        <w:t xml:space="preserve">Mail survey returns will be processed upon receipt, and reports from the survey management system will be prepared at least weekly. The reports will be used to continually assess the progress of data collection. </w:t>
      </w:r>
    </w:p>
    <w:p w:rsidR="003540EE" w:rsidRDefault="003540EE" w:rsidP="003540EE">
      <w:pPr>
        <w:pStyle w:val="P1-StandPara"/>
        <w:spacing w:line="240" w:lineRule="auto"/>
        <w:ind w:firstLine="0"/>
      </w:pPr>
    </w:p>
    <w:p w:rsidR="003540EE" w:rsidRDefault="003540EE" w:rsidP="003540EE">
      <w:pPr>
        <w:pStyle w:val="TT-TableTitle"/>
        <w:spacing w:line="240" w:lineRule="auto"/>
        <w:jc w:val="both"/>
      </w:pPr>
      <w:r>
        <w:t>B.3</w:t>
      </w:r>
      <w:r>
        <w:tab/>
      </w:r>
      <w:bookmarkEnd w:id="46"/>
      <w:r>
        <w:t>Methods for Maximizing Response Rates</w:t>
      </w:r>
      <w:bookmarkEnd w:id="47"/>
    </w:p>
    <w:p w:rsidR="00BC05CD" w:rsidRDefault="00BC05CD" w:rsidP="003540EE">
      <w:pPr>
        <w:pStyle w:val="P1-StandPara"/>
        <w:spacing w:line="240" w:lineRule="auto"/>
      </w:pPr>
    </w:p>
    <w:p w:rsidR="003540EE" w:rsidRDefault="003540EE" w:rsidP="003540EE">
      <w:pPr>
        <w:pStyle w:val="P1-StandPara"/>
        <w:spacing w:line="240" w:lineRule="auto"/>
      </w:pPr>
      <w:r>
        <w:t>The NHES-FS design incorporates a number of features to maximize response rates. This section discusses those features.</w:t>
      </w:r>
    </w:p>
    <w:p w:rsidR="003540EE" w:rsidRDefault="003540EE" w:rsidP="003540EE">
      <w:pPr>
        <w:pStyle w:val="P1-StandPara"/>
        <w:spacing w:line="240" w:lineRule="auto"/>
        <w:ind w:firstLine="0"/>
      </w:pPr>
    </w:p>
    <w:p w:rsidR="003540EE" w:rsidRDefault="003540EE" w:rsidP="003540EE">
      <w:pPr>
        <w:pStyle w:val="P1-StandPara"/>
        <w:spacing w:line="240" w:lineRule="auto"/>
      </w:pPr>
      <w:r>
        <w:rPr>
          <w:b/>
        </w:rPr>
        <w:t xml:space="preserve">Total Design Method/Respondent-Friendly Design. </w:t>
      </w:r>
      <w:r>
        <w:t xml:space="preserve">Surveys that take advantage of respondent-friendly design have demonstrated increases in survey response (Dillman, Smyth, and Christian 2008; Dillman, Sinclair, and Clark 1993).  We have honed the design of the NHES forms through multiple iterations of cognitive interviewing and field testing.  These efforts have focused on the design and content of all respondent contact materials.  As noted previously, we will include a respondent incentive in the initial screener mailing for some households. Respondent incentives will also be used in the initial topical mailing.  Many years of testing in the </w:t>
      </w:r>
      <w:r>
        <w:lastRenderedPageBreak/>
        <w:t>NHES have shown the effectiveness of a small cash incentive on increasing response.  The Census Bureau will maintain an email address and a</w:t>
      </w:r>
      <w:r w:rsidR="007C51C3">
        <w:t xml:space="preserve"> </w:t>
      </w:r>
      <w:r>
        <w:t xml:space="preserve">toll-free questionnaire assistance (TQA) line to answer respondent questions or concerns.  Additionally, if a respondent chooses to provide their information to the </w:t>
      </w:r>
      <w:r w:rsidRPr="00733721">
        <w:rPr>
          <w:rFonts w:eastAsiaTheme="minorHAnsi"/>
          <w:color w:val="000000"/>
          <w:szCs w:val="22"/>
        </w:rPr>
        <w:t>TQA staff</w:t>
      </w:r>
      <w:r>
        <w:rPr>
          <w:rFonts w:eastAsiaTheme="minorHAnsi"/>
          <w:color w:val="000000"/>
          <w:szCs w:val="22"/>
        </w:rPr>
        <w:t xml:space="preserve">, staff will be able to collect the respondent’s information in </w:t>
      </w:r>
      <w:r w:rsidRPr="00733721">
        <w:rPr>
          <w:rFonts w:eastAsiaTheme="minorHAnsi"/>
          <w:color w:val="000000"/>
          <w:szCs w:val="22"/>
        </w:rPr>
        <w:t xml:space="preserve">an </w:t>
      </w:r>
      <w:r>
        <w:rPr>
          <w:rFonts w:eastAsiaTheme="minorHAnsi"/>
          <w:color w:val="000000"/>
          <w:szCs w:val="22"/>
        </w:rPr>
        <w:t>I</w:t>
      </w:r>
      <w:r w:rsidRPr="00733721">
        <w:rPr>
          <w:rFonts w:eastAsiaTheme="minorHAnsi"/>
          <w:color w:val="000000"/>
          <w:szCs w:val="22"/>
        </w:rPr>
        <w:t>nternet-based screener questionnaire.</w:t>
      </w:r>
      <w:r>
        <w:rPr>
          <w:rFonts w:eastAsiaTheme="minorHAnsi"/>
          <w:color w:val="000000"/>
          <w:szCs w:val="22"/>
        </w:rPr>
        <w:t xml:space="preserve">  I</w:t>
      </w:r>
      <w:r w:rsidRPr="00733721">
        <w:rPr>
          <w:rFonts w:eastAsiaTheme="minorHAnsi"/>
          <w:color w:val="000000"/>
          <w:szCs w:val="22"/>
        </w:rPr>
        <w:t>f successful in the feasibility study, this online questionnaire could be used for future NHES self-response.</w:t>
      </w:r>
      <w:r w:rsidRPr="00733721">
        <w:rPr>
          <w:szCs w:val="22"/>
        </w:rPr>
        <w:t xml:space="preserve"> </w:t>
      </w:r>
      <w:r>
        <w:t xml:space="preserve"> Additionally, the questionnaires contain contact information for the Project Officer.</w:t>
      </w:r>
    </w:p>
    <w:p w:rsidR="003540EE" w:rsidRDefault="003540EE" w:rsidP="003540EE">
      <w:pPr>
        <w:pStyle w:val="P1-StandPara"/>
        <w:spacing w:line="240" w:lineRule="auto"/>
        <w:ind w:firstLine="0"/>
        <w:rPr>
          <w:b/>
        </w:rPr>
      </w:pPr>
    </w:p>
    <w:p w:rsidR="003540EE" w:rsidRDefault="003540EE" w:rsidP="003540EE">
      <w:pPr>
        <w:pStyle w:val="P1-StandPara"/>
        <w:spacing w:line="240" w:lineRule="auto"/>
      </w:pPr>
      <w:r>
        <w:rPr>
          <w:b/>
        </w:rPr>
        <w:t xml:space="preserve">Engaging Respondent Interest and Cooperation. </w:t>
      </w:r>
      <w:r>
        <w:t xml:space="preserve">The content of respondent letters and frequently asked questions (FAQs) is focused on communicating the legitimacy and importance of the study. Past experience has shown that the NHES survey topics are salient to most parents. In the NHES:2012, Census Bureau “branding” was experimentally tested against Department of Education branding. Response rates to Census Bureau branded questionnaires were associated with higher response rates compared to Department of Education branded questionnaires. Based on this finding, we will highlight the Census Bureau’s participation in the data collection. </w:t>
      </w:r>
    </w:p>
    <w:p w:rsidR="003540EE" w:rsidRDefault="003540EE" w:rsidP="003540EE">
      <w:pPr>
        <w:pStyle w:val="P1-StandPara"/>
        <w:spacing w:line="240" w:lineRule="auto"/>
        <w:rPr>
          <w:b/>
        </w:rPr>
      </w:pPr>
    </w:p>
    <w:p w:rsidR="003540EE" w:rsidRDefault="003540EE" w:rsidP="003540EE">
      <w:pPr>
        <w:pStyle w:val="P1-StandPara"/>
        <w:spacing w:line="240" w:lineRule="auto"/>
      </w:pPr>
      <w:r>
        <w:rPr>
          <w:b/>
        </w:rPr>
        <w:t xml:space="preserve">Nonresponse Follow-up. </w:t>
      </w:r>
      <w:r>
        <w:t xml:space="preserve">The data collection protocol includes several stages of nonresponse follow-up at each phase. In addition to the number of contacts, changes in method (mail, FedEx, and alternate envelopes) are designed to capture the attention of potential respondents. </w:t>
      </w:r>
    </w:p>
    <w:p w:rsidR="003540EE" w:rsidRDefault="003540EE" w:rsidP="003540EE">
      <w:pPr>
        <w:pStyle w:val="P1-StandPara"/>
        <w:spacing w:line="240" w:lineRule="auto"/>
        <w:ind w:firstLine="0"/>
      </w:pPr>
      <w:bookmarkStart w:id="48" w:name="_Toc222888913"/>
    </w:p>
    <w:p w:rsidR="003540EE" w:rsidRDefault="003540EE" w:rsidP="003540EE">
      <w:pPr>
        <w:pStyle w:val="Heading1"/>
        <w:spacing w:after="0" w:line="240" w:lineRule="auto"/>
      </w:pPr>
      <w:r>
        <w:t>B.4</w:t>
      </w:r>
      <w:r>
        <w:tab/>
        <w:t>Individuals Responsible for Study Design and Performance</w:t>
      </w:r>
      <w:bookmarkEnd w:id="48"/>
    </w:p>
    <w:p w:rsidR="007C51C3" w:rsidRDefault="007C51C3" w:rsidP="003540EE">
      <w:pPr>
        <w:pStyle w:val="P1-StandPara"/>
        <w:keepNext/>
        <w:tabs>
          <w:tab w:val="left" w:pos="4320"/>
          <w:tab w:val="left" w:pos="7560"/>
        </w:tabs>
        <w:spacing w:line="240" w:lineRule="auto"/>
      </w:pPr>
    </w:p>
    <w:p w:rsidR="003540EE" w:rsidRDefault="003540EE" w:rsidP="003540EE">
      <w:pPr>
        <w:pStyle w:val="P1-StandPara"/>
        <w:keepNext/>
        <w:tabs>
          <w:tab w:val="left" w:pos="4320"/>
          <w:tab w:val="left" w:pos="7560"/>
        </w:tabs>
        <w:spacing w:line="240" w:lineRule="auto"/>
      </w:pPr>
      <w:r>
        <w:t>From NCES, the following persons participated in the study design and are responsible for the collection and analysis of the data: Sarah Carroll, Sharon Boivin, Lisa Hudson, and Chris Chapman, and from the Census Bureau Sharon Stern.</w:t>
      </w:r>
    </w:p>
    <w:p w:rsidR="003540EE" w:rsidRDefault="003540EE" w:rsidP="003540EE">
      <w:pPr>
        <w:pStyle w:val="P1-StandPara"/>
        <w:ind w:firstLine="0"/>
      </w:pPr>
    </w:p>
    <w:p w:rsidR="003540EE" w:rsidRDefault="003540EE" w:rsidP="003540EE">
      <w:pPr>
        <w:pStyle w:val="C1-CtrBoldHd"/>
        <w:spacing w:after="240" w:line="240" w:lineRule="auto"/>
        <w:outlineLvl w:val="3"/>
      </w:pPr>
      <w:r>
        <w:t>Refer</w:t>
      </w:r>
      <w:bookmarkStart w:id="49" w:name="OLE_LINK1"/>
      <w:bookmarkEnd w:id="49"/>
      <w:r>
        <w:t>ences</w:t>
      </w:r>
    </w:p>
    <w:p w:rsidR="003540EE" w:rsidRDefault="003540EE" w:rsidP="003540EE">
      <w:pPr>
        <w:pStyle w:val="N0-FlLftBullet"/>
      </w:pPr>
      <w:r>
        <w:t xml:space="preserve">Blumberg, S.J. and Luke, J.V. (2009). Wireless substitution: Early release of estimates from the National Health Interview Survey, July-December 2009. National Center for Health Statistics. Available from: </w:t>
      </w:r>
      <w:hyperlink r:id="rId29" w:history="1">
        <w:r w:rsidRPr="00E87391">
          <w:rPr>
            <w:rStyle w:val="Hyperlink"/>
          </w:rPr>
          <w:t>http://www.cdc.gov/nchs/nhis.htm</w:t>
        </w:r>
      </w:hyperlink>
      <w:r>
        <w:rPr>
          <w:u w:val="single"/>
        </w:rPr>
        <w:t>.</w:t>
      </w:r>
      <w:r>
        <w:t xml:space="preserve"> May 18, 2010.</w:t>
      </w:r>
    </w:p>
    <w:p w:rsidR="003540EE" w:rsidRDefault="003540EE" w:rsidP="003540EE">
      <w:pPr>
        <w:pStyle w:val="N0-FlLftBullet"/>
        <w:rPr>
          <w:color w:val="000000"/>
          <w:szCs w:val="22"/>
        </w:rPr>
      </w:pPr>
      <w:r>
        <w:rPr>
          <w:color w:val="000000"/>
          <w:szCs w:val="22"/>
        </w:rPr>
        <w:t xml:space="preserve">Brick, J.M., Hagedorn, M.C., Montaquila, J., Brock Roth, S., and Chapman, C. (2006). </w:t>
      </w:r>
      <w:r>
        <w:rPr>
          <w:i/>
          <w:color w:val="000000"/>
          <w:szCs w:val="22"/>
        </w:rPr>
        <w:t>Monetary Incentives and Mailing Procedures in a Federally Sponsored Telephone Survey: Methodology Report.</w:t>
      </w:r>
      <w:r>
        <w:rPr>
          <w:color w:val="000000"/>
          <w:szCs w:val="22"/>
        </w:rPr>
        <w:t xml:space="preserve"> U.S. Department of Education. Washington, DC: National Center for Education Statistics.</w:t>
      </w:r>
    </w:p>
    <w:p w:rsidR="003540EE" w:rsidRPr="00507AAF" w:rsidRDefault="003540EE" w:rsidP="003540EE">
      <w:pPr>
        <w:pStyle w:val="N0-FlLftBullet"/>
        <w:rPr>
          <w:szCs w:val="22"/>
        </w:rPr>
      </w:pPr>
      <w:r w:rsidRPr="00507AAF">
        <w:rPr>
          <w:szCs w:val="22"/>
        </w:rPr>
        <w:t xml:space="preserve">Dillman, D.A., Sinclair, M.D., and Clark, J.R. (1993). Effects of questionnaire length, respondent-friendly design, and difficult questions on response rates for occupant-addressed Census mail surveys. </w:t>
      </w:r>
      <w:r w:rsidRPr="00507AAF">
        <w:rPr>
          <w:i/>
          <w:szCs w:val="22"/>
        </w:rPr>
        <w:t>Public Opinion Quarterly,</w:t>
      </w:r>
      <w:r w:rsidRPr="00507AAF">
        <w:rPr>
          <w:szCs w:val="22"/>
        </w:rPr>
        <w:t xml:space="preserve"> 57, 289-304.</w:t>
      </w:r>
    </w:p>
    <w:p w:rsidR="003540EE" w:rsidRDefault="003540EE" w:rsidP="003540EE">
      <w:pPr>
        <w:pStyle w:val="N0-FlLftBullet"/>
        <w:rPr>
          <w:color w:val="000000"/>
          <w:szCs w:val="22"/>
        </w:rPr>
      </w:pPr>
      <w:r w:rsidRPr="00507AAF">
        <w:rPr>
          <w:szCs w:val="22"/>
        </w:rPr>
        <w:t xml:space="preserve">Dillman, D.A., Smyth, J.D., and Christian, L.M. (2008). </w:t>
      </w:r>
      <w:r w:rsidRPr="00507AAF">
        <w:rPr>
          <w:i/>
          <w:szCs w:val="22"/>
        </w:rPr>
        <w:t>Internet, mail, and mixed mode surveys: The Tailored Design Method.</w:t>
      </w:r>
      <w:r w:rsidRPr="00507AAF">
        <w:rPr>
          <w:szCs w:val="22"/>
        </w:rPr>
        <w:t xml:space="preserve"> New York: Wiley.</w:t>
      </w:r>
    </w:p>
    <w:p w:rsidR="003540EE" w:rsidRDefault="003540EE" w:rsidP="003540EE">
      <w:pPr>
        <w:pStyle w:val="N0-FlLftBullet"/>
        <w:rPr>
          <w:color w:val="000000"/>
          <w:szCs w:val="22"/>
        </w:rPr>
      </w:pPr>
      <w:r>
        <w:rPr>
          <w:spacing w:val="-2"/>
          <w:szCs w:val="22"/>
        </w:rPr>
        <w:t xml:space="preserve">Hagedorn, M., Roth, S.B., Carver, P., Van de Kerckhove, W., Smith, S., and Mulligan, G. (2009). </w:t>
      </w:r>
      <w:r>
        <w:rPr>
          <w:i/>
          <w:spacing w:val="-2"/>
          <w:szCs w:val="22"/>
        </w:rPr>
        <w:t>National Household Education Surveys Program of 2007: Methodology Report</w:t>
      </w:r>
      <w:r>
        <w:rPr>
          <w:spacing w:val="-2"/>
          <w:szCs w:val="22"/>
        </w:rPr>
        <w:t>.</w:t>
      </w:r>
      <w:r>
        <w:rPr>
          <w:szCs w:val="22"/>
        </w:rPr>
        <w:t xml:space="preserve"> National Center for Education Statistics, Institute of Education Sciences, U.S. Department of Education. Washington,</w:t>
      </w:r>
      <w:r>
        <w:t> </w:t>
      </w:r>
      <w:r>
        <w:rPr>
          <w:szCs w:val="22"/>
        </w:rPr>
        <w:t>DC.</w:t>
      </w:r>
    </w:p>
    <w:p w:rsidR="003540EE" w:rsidRDefault="003540EE" w:rsidP="003540EE">
      <w:pPr>
        <w:pStyle w:val="N0-FlLftBullet"/>
        <w:rPr>
          <w:szCs w:val="22"/>
        </w:rPr>
      </w:pPr>
      <w:r>
        <w:rPr>
          <w:szCs w:val="22"/>
        </w:rPr>
        <w:t xml:space="preserve">U.S. Department of Labor. (2013). </w:t>
      </w:r>
      <w:r>
        <w:rPr>
          <w:i/>
          <w:szCs w:val="22"/>
        </w:rPr>
        <w:t>Employer Costs for Employee Compensation – March 2013.</w:t>
      </w:r>
      <w:r>
        <w:rPr>
          <w:szCs w:val="22"/>
        </w:rPr>
        <w:t xml:space="preserve"> Washington, DC: Bureau of Labor Statistics. Available online at </w:t>
      </w:r>
      <w:hyperlink r:id="rId30" w:history="1">
        <w:r w:rsidRPr="00B10669">
          <w:rPr>
            <w:rStyle w:val="Hyperlink"/>
          </w:rPr>
          <w:t>http://www.bls.gov/news.release/pdf/ecec.pdf</w:t>
        </w:r>
      </w:hyperlink>
      <w:r>
        <w:t xml:space="preserve"> </w:t>
      </w:r>
    </w:p>
    <w:p w:rsidR="00854191" w:rsidRDefault="00854191" w:rsidP="00854191">
      <w:pPr>
        <w:spacing w:after="200" w:line="276" w:lineRule="auto"/>
        <w:jc w:val="left"/>
      </w:pPr>
      <w:r>
        <w:br w:type="page"/>
      </w:r>
    </w:p>
    <w:p w:rsidR="00854191" w:rsidRDefault="00854191" w:rsidP="00854191">
      <w:pPr>
        <w:pStyle w:val="P1-StandPara"/>
        <w:ind w:firstLine="0"/>
      </w:pPr>
      <w:r>
        <w:lastRenderedPageBreak/>
        <w:t>Figure</w:t>
      </w:r>
      <w:r w:rsidR="00D47B17">
        <w:t xml:space="preserve"> </w:t>
      </w:r>
      <w:r>
        <w:t xml:space="preserve">1: </w:t>
      </w:r>
      <w:r w:rsidRPr="001C4828">
        <w:t>Screener Data Collection</w:t>
      </w:r>
    </w:p>
    <w:p w:rsidR="00854191" w:rsidRDefault="00854191" w:rsidP="00854191">
      <w:pPr>
        <w:pStyle w:val="P1-StandPara"/>
        <w:ind w:firstLine="0"/>
      </w:pPr>
    </w:p>
    <w:p w:rsidR="00854191" w:rsidRDefault="00F94C88" w:rsidP="00854191">
      <w:pPr>
        <w:pStyle w:val="P1-StandPara"/>
        <w:ind w:firstLine="0"/>
        <w:jc w:val="right"/>
      </w:pPr>
      <w:r>
        <w:rPr>
          <w:noProof/>
        </w:rPr>
        <mc:AlternateContent>
          <mc:Choice Requires="wps">
            <w:drawing>
              <wp:anchor distT="0" distB="0" distL="114300" distR="114300" simplePos="0" relativeHeight="251661312" behindDoc="0" locked="0" layoutInCell="1" allowOverlap="1">
                <wp:simplePos x="0" y="0"/>
                <wp:positionH relativeFrom="column">
                  <wp:posOffset>-424815</wp:posOffset>
                </wp:positionH>
                <wp:positionV relativeFrom="paragraph">
                  <wp:posOffset>2648585</wp:posOffset>
                </wp:positionV>
                <wp:extent cx="733425" cy="276225"/>
                <wp:effectExtent l="0" t="0" r="28575" b="28575"/>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76225"/>
                        </a:xfrm>
                        <a:prstGeom prst="rect">
                          <a:avLst/>
                        </a:prstGeom>
                        <a:solidFill>
                          <a:srgbClr val="FFFFFF"/>
                        </a:solidFill>
                        <a:ln w="9525">
                          <a:solidFill>
                            <a:srgbClr val="000000"/>
                          </a:solidFill>
                          <a:miter lim="800000"/>
                          <a:headEnd/>
                          <a:tailEnd/>
                        </a:ln>
                      </wps:spPr>
                      <wps:txbx>
                        <w:txbxContent>
                          <w:p w:rsidR="00854191" w:rsidRDefault="00854191" w:rsidP="00854191">
                            <w:r>
                              <w:t>Exp. 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33.45pt;margin-top:208.55pt;width:57.7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">
                <v:textbox>
                  <w:txbxContent>
                    <w:p w:rsidR="00854191" w:rsidRDefault="00854191" w:rsidP="00854191">
                      <w:r>
                        <w:t>Exp. 6</w:t>
                      </w:r>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-424815</wp:posOffset>
                </wp:positionH>
                <wp:positionV relativeFrom="paragraph">
                  <wp:posOffset>1397635</wp:posOffset>
                </wp:positionV>
                <wp:extent cx="733425" cy="422275"/>
                <wp:effectExtent l="0" t="0" r="28575" b="1587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422275"/>
                        </a:xfrm>
                        <a:prstGeom prst="rect">
                          <a:avLst/>
                        </a:prstGeom>
                        <a:solidFill>
                          <a:srgbClr val="FFFFFF"/>
                        </a:solidFill>
                        <a:ln w="9525">
                          <a:solidFill>
                            <a:srgbClr val="000000"/>
                          </a:solidFill>
                          <a:miter lim="800000"/>
                          <a:headEnd/>
                          <a:tailEnd/>
                        </a:ln>
                      </wps:spPr>
                      <wps:txbx>
                        <w:txbxContent>
                          <w:p w:rsidR="00854191" w:rsidRDefault="00854191" w:rsidP="00854191">
                            <w:r>
                              <w:t>Exp. 2 &amp;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33.45pt;margin-top:110.05pt;width:57.75pt;height:3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">
                <v:textbox>
                  <w:txbxContent>
                    <w:p w:rsidR="00854191" w:rsidRDefault="00854191" w:rsidP="00854191">
                      <w:r>
                        <w:t>Exp. 2 &amp; 3</w:t>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-424815</wp:posOffset>
                </wp:positionH>
                <wp:positionV relativeFrom="paragraph">
                  <wp:posOffset>638175</wp:posOffset>
                </wp:positionV>
                <wp:extent cx="733425" cy="276225"/>
                <wp:effectExtent l="0" t="0" r="28575" b="2857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76225"/>
                        </a:xfrm>
                        <a:prstGeom prst="rect">
                          <a:avLst/>
                        </a:prstGeom>
                        <a:solidFill>
                          <a:srgbClr val="FFFFFF"/>
                        </a:solidFill>
                        <a:ln w="9525">
                          <a:solidFill>
                            <a:srgbClr val="000000"/>
                          </a:solidFill>
                          <a:miter lim="800000"/>
                          <a:headEnd/>
                          <a:tailEnd/>
                        </a:ln>
                      </wps:spPr>
                      <wps:txbx>
                        <w:txbxContent>
                          <w:p w:rsidR="00854191" w:rsidRDefault="00854191" w:rsidP="00854191">
                            <w:r>
                              <w:t>Exp.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33.45pt;margin-top:50.25pt;width:57.7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">
                <v:textbox>
                  <w:txbxContent>
                    <w:p w:rsidR="00854191" w:rsidRDefault="00854191" w:rsidP="00854191">
                      <w:r>
                        <w:t>Exp. 1</w:t>
                      </w:r>
                    </w:p>
                  </w:txbxContent>
                </v:textbox>
              </v:shape>
            </w:pict>
          </mc:Fallback>
        </mc:AlternateContent>
      </w:r>
      <w:r>
        <w:rPr>
          <w:noProof/>
          <w:color w:val="FFFFFF" w:themeColor="background1"/>
        </w:rPr>
        <mc:AlternateContent>
          <mc:Choice Requires="wps">
            <w:drawing>
              <wp:anchor distT="0" distB="0" distL="114300" distR="114300" simplePos="0" relativeHeight="251663360" behindDoc="0" locked="0" layoutInCell="1" allowOverlap="1">
                <wp:simplePos x="0" y="0"/>
                <wp:positionH relativeFrom="column">
                  <wp:posOffset>2225675</wp:posOffset>
                </wp:positionH>
                <wp:positionV relativeFrom="paragraph">
                  <wp:posOffset>6003925</wp:posOffset>
                </wp:positionV>
                <wp:extent cx="733425" cy="276225"/>
                <wp:effectExtent l="0" t="0" r="28575" b="28575"/>
                <wp:wrapNone/>
                <wp:docPr id="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76225"/>
                        </a:xfrm>
                        <a:prstGeom prst="rect">
                          <a:avLst/>
                        </a:prstGeom>
                        <a:solidFill>
                          <a:srgbClr val="FFFFFF"/>
                        </a:solidFill>
                        <a:ln w="9525">
                          <a:solidFill>
                            <a:srgbClr val="000000"/>
                          </a:solidFill>
                          <a:miter lim="800000"/>
                          <a:headEnd/>
                          <a:tailEnd/>
                        </a:ln>
                      </wps:spPr>
                      <wps:txbx>
                        <w:txbxContent>
                          <w:p w:rsidR="00854191" w:rsidRDefault="00854191" w:rsidP="00854191">
                            <w:r>
                              <w:t>Exp. 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9" type="#_x0000_t202" style="position:absolute;left:0;text-align:left;margin-left:175.25pt;margin-top:472.75pt;width:57.75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">
                <v:textbox>
                  <w:txbxContent>
                    <w:p w:rsidR="00854191" w:rsidRDefault="00854191" w:rsidP="00854191">
                      <w:r>
                        <w:t>Exp. 5</w:t>
                      </w:r>
                    </w:p>
                  </w:txbxContent>
                </v:textbox>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1087755</wp:posOffset>
                </wp:positionH>
                <wp:positionV relativeFrom="paragraph">
                  <wp:posOffset>6003925</wp:posOffset>
                </wp:positionV>
                <wp:extent cx="733425" cy="276225"/>
                <wp:effectExtent l="0" t="0" r="28575" b="28575"/>
                <wp:wrapNone/>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76225"/>
                        </a:xfrm>
                        <a:prstGeom prst="rect">
                          <a:avLst/>
                        </a:prstGeom>
                        <a:solidFill>
                          <a:srgbClr val="FFFFFF"/>
                        </a:solidFill>
                        <a:ln w="9525">
                          <a:solidFill>
                            <a:srgbClr val="000000"/>
                          </a:solidFill>
                          <a:miter lim="800000"/>
                          <a:headEnd/>
                          <a:tailEnd/>
                        </a:ln>
                      </wps:spPr>
                      <wps:txbx>
                        <w:txbxContent>
                          <w:p w:rsidR="00854191" w:rsidRDefault="00854191" w:rsidP="00854191">
                            <w:r>
                              <w:t>Exp.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0" type="#_x0000_t202" style="position:absolute;left:0;text-align:left;margin-left:85.65pt;margin-top:472.75pt;width:57.75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">
                <v:textbox>
                  <w:txbxContent>
                    <w:p w:rsidR="00854191" w:rsidRDefault="00854191" w:rsidP="00854191">
                      <w:r>
                        <w:t>Exp. 4</w:t>
                      </w:r>
                    </w:p>
                  </w:txbxContent>
                </v:textbox>
              </v:shape>
            </w:pict>
          </mc:Fallback>
        </mc:AlternateContent>
      </w:r>
      <w:r w:rsidR="00854191">
        <w:rPr>
          <w:noProof/>
        </w:rPr>
        <w:drawing>
          <wp:inline distT="0" distB="0" distL="0" distR="0" wp14:anchorId="39AE9586" wp14:editId="79AAFCB5">
            <wp:extent cx="6229350" cy="6241459"/>
            <wp:effectExtent l="0" t="0" r="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235836" cy="6247958"/>
                    </a:xfrm>
                    <a:prstGeom prst="rect">
                      <a:avLst/>
                    </a:prstGeom>
                    <a:noFill/>
                    <a:ln>
                      <a:noFill/>
                    </a:ln>
                  </pic:spPr>
                </pic:pic>
              </a:graphicData>
            </a:graphic>
          </wp:inline>
        </w:drawing>
      </w:r>
    </w:p>
    <w:p w:rsidR="00854191" w:rsidRDefault="00854191" w:rsidP="00854191">
      <w:pPr>
        <w:pStyle w:val="P1-StandPara"/>
        <w:ind w:firstLine="0"/>
      </w:pPr>
    </w:p>
    <w:p w:rsidR="00854191" w:rsidRDefault="00854191" w:rsidP="00854191">
      <w:pPr>
        <w:pStyle w:val="P1-StandPara"/>
        <w:ind w:firstLine="0"/>
      </w:pPr>
      <w:r>
        <w:t xml:space="preserve">Experiment 1 – Version A (age) or B (month and year of birth) of the screener </w:t>
      </w:r>
    </w:p>
    <w:p w:rsidR="00854191" w:rsidRDefault="00854191" w:rsidP="00854191">
      <w:pPr>
        <w:pStyle w:val="P1-StandPara"/>
        <w:ind w:firstLine="0"/>
      </w:pPr>
      <w:r>
        <w:t>Experiment 2 - $0 vs. $5 cash incentive in initial screener mailing</w:t>
      </w:r>
    </w:p>
    <w:p w:rsidR="00854191" w:rsidRDefault="00854191" w:rsidP="00854191">
      <w:pPr>
        <w:pStyle w:val="P1-StandPara"/>
        <w:ind w:firstLine="0"/>
      </w:pPr>
      <w:r>
        <w:t>Experiment 3 – magnet or no magnet in initial screener mailing</w:t>
      </w:r>
    </w:p>
    <w:p w:rsidR="00854191" w:rsidRDefault="00854191" w:rsidP="00854191">
      <w:pPr>
        <w:pStyle w:val="P1-StandPara"/>
        <w:ind w:firstLine="0"/>
      </w:pPr>
      <w:r>
        <w:t>Experiment 4 – Joint ASPA and ATES topical group</w:t>
      </w:r>
    </w:p>
    <w:p w:rsidR="00854191" w:rsidRDefault="00854191" w:rsidP="00854191">
      <w:pPr>
        <w:pStyle w:val="P1-StandPara"/>
        <w:ind w:firstLine="0"/>
      </w:pPr>
      <w:r>
        <w:t>Experiment 5 – ASPA split panel</w:t>
      </w:r>
    </w:p>
    <w:p w:rsidR="00854191" w:rsidRDefault="00854191" w:rsidP="00854191">
      <w:pPr>
        <w:pStyle w:val="P1-StandPara"/>
        <w:ind w:firstLine="0"/>
      </w:pPr>
      <w:r>
        <w:t>Experiment 6 – ATES split panel</w:t>
      </w:r>
    </w:p>
    <w:p w:rsidR="00854191" w:rsidRDefault="00854191" w:rsidP="00854191">
      <w:pPr>
        <w:spacing w:after="200" w:line="276" w:lineRule="auto"/>
        <w:jc w:val="left"/>
      </w:pPr>
      <w:r>
        <w:br w:type="page"/>
      </w:r>
    </w:p>
    <w:p w:rsidR="00854191" w:rsidRPr="001C4828" w:rsidRDefault="00854191" w:rsidP="00854191">
      <w:pPr>
        <w:pStyle w:val="P1-StandPara"/>
        <w:ind w:firstLine="0"/>
      </w:pPr>
      <w:r w:rsidRPr="001C4828">
        <w:lastRenderedPageBreak/>
        <w:t>Figure 2. Topical Mailing Plan – ASPA</w:t>
      </w:r>
    </w:p>
    <w:p w:rsidR="00854191" w:rsidRDefault="00854191" w:rsidP="00854191">
      <w:pPr>
        <w:pStyle w:val="P1-StandPara"/>
        <w:ind w:firstLine="0"/>
        <w:rPr>
          <w:color w:val="FFFFFF" w:themeColor="background1"/>
          <w:highlight w:val="cyan"/>
        </w:rPr>
      </w:pPr>
    </w:p>
    <w:p w:rsidR="00854191" w:rsidRPr="00756AC1" w:rsidRDefault="00854191" w:rsidP="00854191">
      <w:pPr>
        <w:pStyle w:val="P1-StandPara"/>
        <w:ind w:firstLine="0"/>
        <w:jc w:val="center"/>
        <w:rPr>
          <w:color w:val="FFFFFF" w:themeColor="background1"/>
          <w:highlight w:val="cyan"/>
        </w:rPr>
      </w:pPr>
      <w:r>
        <w:rPr>
          <w:noProof/>
        </w:rPr>
        <w:drawing>
          <wp:inline distT="0" distB="0" distL="0" distR="0" wp14:anchorId="2FADB373" wp14:editId="35CA1AD2">
            <wp:extent cx="5923722" cy="5923722"/>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2" cstate="print"/>
                    <a:srcRect l="21490" t="4412" r="25796" b="29650"/>
                    <a:stretch/>
                  </pic:blipFill>
                  <pic:spPr bwMode="auto">
                    <a:xfrm>
                      <a:off x="0" y="0"/>
                      <a:ext cx="5973669" cy="5973669"/>
                    </a:xfrm>
                    <a:prstGeom prst="rect">
                      <a:avLst/>
                    </a:prstGeom>
                    <a:ln>
                      <a:noFill/>
                    </a:ln>
                    <a:extLst>
                      <a:ext uri="{53640926-AAD7-44D8-BBD7-CCE9431645EC}">
                        <a14:shadowObscured xmlns:a14="http://schemas.microsoft.com/office/drawing/2010/main"/>
                      </a:ext>
                    </a:extLst>
                  </pic:spPr>
                </pic:pic>
              </a:graphicData>
            </a:graphic>
          </wp:inline>
        </w:drawing>
      </w:r>
    </w:p>
    <w:p w:rsidR="00854191" w:rsidRDefault="00854191" w:rsidP="00854191">
      <w:pPr>
        <w:pStyle w:val="P1-StandPara"/>
        <w:ind w:firstLine="0"/>
        <w:jc w:val="center"/>
        <w:rPr>
          <w:color w:val="FFFFFF" w:themeColor="background1"/>
        </w:rPr>
      </w:pPr>
    </w:p>
    <w:p w:rsidR="00854191" w:rsidRDefault="00854191" w:rsidP="00854191">
      <w:pPr>
        <w:pStyle w:val="P1-StandPara"/>
        <w:ind w:firstLine="0"/>
        <w:jc w:val="center"/>
        <w:rPr>
          <w:color w:val="FFFFFF" w:themeColor="background1"/>
        </w:rPr>
      </w:pPr>
    </w:p>
    <w:p w:rsidR="00854191" w:rsidRDefault="00854191" w:rsidP="00854191">
      <w:pPr>
        <w:pStyle w:val="P1-StandPara"/>
        <w:ind w:firstLine="0"/>
        <w:jc w:val="center"/>
        <w:rPr>
          <w:color w:val="FFFFFF" w:themeColor="background1"/>
        </w:rPr>
      </w:pPr>
    </w:p>
    <w:p w:rsidR="00854191" w:rsidRDefault="00854191" w:rsidP="00854191">
      <w:pPr>
        <w:pStyle w:val="P1-StandPara"/>
        <w:ind w:firstLine="0"/>
        <w:jc w:val="center"/>
        <w:rPr>
          <w:color w:val="FFFFFF" w:themeColor="background1"/>
        </w:rPr>
      </w:pPr>
    </w:p>
    <w:p w:rsidR="00854191" w:rsidRDefault="00854191" w:rsidP="00854191">
      <w:pPr>
        <w:pStyle w:val="P1-StandPara"/>
        <w:ind w:firstLine="0"/>
        <w:jc w:val="left"/>
      </w:pPr>
    </w:p>
    <w:p w:rsidR="00854191" w:rsidRDefault="00854191" w:rsidP="00854191">
      <w:pPr>
        <w:spacing w:after="200" w:line="276" w:lineRule="auto"/>
        <w:jc w:val="left"/>
      </w:pPr>
      <w:r>
        <w:br w:type="page"/>
      </w:r>
    </w:p>
    <w:p w:rsidR="00854191" w:rsidRPr="001C4828" w:rsidRDefault="00757BF6" w:rsidP="00854191">
      <w:pPr>
        <w:pStyle w:val="P1-StandPara"/>
        <w:ind w:firstLine="0"/>
        <w:jc w:val="left"/>
      </w:pPr>
      <w:r>
        <w:lastRenderedPageBreak/>
        <w:t>Figure 3</w:t>
      </w:r>
      <w:r w:rsidRPr="001C4828">
        <w:t xml:space="preserve">. </w:t>
      </w:r>
      <w:r w:rsidR="00854191" w:rsidRPr="001C4828">
        <w:t>Topical Mailing Plan – ATES</w:t>
      </w:r>
    </w:p>
    <w:p w:rsidR="00854191" w:rsidRDefault="00854191" w:rsidP="00854191">
      <w:pPr>
        <w:pStyle w:val="P1-StandPara"/>
        <w:ind w:firstLine="0"/>
        <w:jc w:val="left"/>
      </w:pPr>
    </w:p>
    <w:p w:rsidR="00854191" w:rsidRPr="00756AC1" w:rsidRDefault="00854191" w:rsidP="00854191">
      <w:pPr>
        <w:pStyle w:val="P1-StandPara"/>
        <w:ind w:firstLine="0"/>
        <w:jc w:val="center"/>
        <w:rPr>
          <w:color w:val="FFFFFF" w:themeColor="background1"/>
        </w:rPr>
      </w:pPr>
      <w:r>
        <w:rPr>
          <w:noProof/>
        </w:rPr>
        <w:drawing>
          <wp:inline distT="0" distB="0" distL="0" distR="0" wp14:anchorId="2573AE2D" wp14:editId="61EDBD8D">
            <wp:extent cx="5995283" cy="6153054"/>
            <wp:effectExtent l="0" t="0" r="5715"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3" cstate="print"/>
                    <a:srcRect l="20506" t="1921" r="20365" b="22213"/>
                    <a:stretch/>
                  </pic:blipFill>
                  <pic:spPr bwMode="auto">
                    <a:xfrm>
                      <a:off x="0" y="0"/>
                      <a:ext cx="6064120" cy="6223702"/>
                    </a:xfrm>
                    <a:prstGeom prst="rect">
                      <a:avLst/>
                    </a:prstGeom>
                    <a:ln>
                      <a:noFill/>
                    </a:ln>
                    <a:extLst>
                      <a:ext uri="{53640926-AAD7-44D8-BBD7-CCE9431645EC}">
                        <a14:shadowObscured xmlns:a14="http://schemas.microsoft.com/office/drawing/2010/main"/>
                      </a:ext>
                    </a:extLst>
                  </pic:spPr>
                </pic:pic>
              </a:graphicData>
            </a:graphic>
          </wp:inline>
        </w:drawing>
      </w:r>
    </w:p>
    <w:p w:rsidR="00854191" w:rsidRDefault="00854191" w:rsidP="00854191">
      <w:pPr>
        <w:pStyle w:val="P1-StandPara"/>
        <w:ind w:firstLine="0"/>
        <w:jc w:val="left"/>
      </w:pPr>
    </w:p>
    <w:p w:rsidR="00854191" w:rsidRDefault="00854191" w:rsidP="00854191">
      <w:pPr>
        <w:spacing w:after="200" w:line="276" w:lineRule="auto"/>
        <w:jc w:val="left"/>
      </w:pPr>
      <w:r>
        <w:br w:type="page"/>
      </w:r>
    </w:p>
    <w:p w:rsidR="00854191" w:rsidRDefault="00757BF6" w:rsidP="00854191">
      <w:pPr>
        <w:pStyle w:val="P1-StandPara"/>
        <w:ind w:firstLine="0"/>
        <w:jc w:val="left"/>
      </w:pPr>
      <w:r>
        <w:lastRenderedPageBreak/>
        <w:t>Figure 4</w:t>
      </w:r>
      <w:r w:rsidRPr="001C4828">
        <w:t xml:space="preserve">. </w:t>
      </w:r>
      <w:r w:rsidR="00854191">
        <w:t>Topical Mailing Plan – ASPA/ATES</w:t>
      </w:r>
    </w:p>
    <w:p w:rsidR="008478A9" w:rsidRDefault="00854191" w:rsidP="003540EE">
      <w:pPr>
        <w:pStyle w:val="TT-TableTitle"/>
        <w:spacing w:line="240" w:lineRule="auto"/>
        <w:jc w:val="center"/>
      </w:pPr>
      <w:r>
        <w:rPr>
          <w:noProof/>
        </w:rPr>
        <w:drawing>
          <wp:inline distT="0" distB="0" distL="0" distR="0" wp14:anchorId="788DB5D1" wp14:editId="6F850CD5">
            <wp:extent cx="5241684" cy="7867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4" cstate="print"/>
                    <a:srcRect l="25341" t="8188" r="25372" b="-658"/>
                    <a:stretch/>
                  </pic:blipFill>
                  <pic:spPr bwMode="auto">
                    <a:xfrm>
                      <a:off x="0" y="0"/>
                      <a:ext cx="5251830" cy="7882879"/>
                    </a:xfrm>
                    <a:prstGeom prst="rect">
                      <a:avLst/>
                    </a:prstGeom>
                    <a:ln>
                      <a:noFill/>
                    </a:ln>
                    <a:extLst>
                      <a:ext uri="{53640926-AAD7-44D8-BBD7-CCE9431645EC}">
                        <a14:shadowObscured xmlns:a14="http://schemas.microsoft.com/office/drawing/2010/main"/>
                      </a:ext>
                    </a:extLst>
                  </pic:spPr>
                </pic:pic>
              </a:graphicData>
            </a:graphic>
          </wp:inline>
        </w:drawing>
      </w:r>
      <w:bookmarkEnd w:id="39"/>
      <w:r w:rsidR="006814A7">
        <w:t xml:space="preserve"> </w:t>
      </w:r>
    </w:p>
    <w:sectPr w:rsidR="008478A9" w:rsidSect="005621EE">
      <w:type w:val="continuous"/>
      <w:pgSz w:w="12240" w:h="15840"/>
      <w:pgMar w:top="1008" w:right="1008" w:bottom="1008" w:left="1008" w:header="720" w:footer="576" w:gutter="0"/>
      <w:pgNumType w:start="15"/>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74F4B32" w15:done="0"/>
  <w15:commentEx w15:paraId="012A849D" w15:done="0"/>
  <w15:commentEx w15:paraId="5BABAF90" w15:done="0"/>
  <w15:commentEx w15:paraId="1E9EDB28" w15:done="0"/>
  <w15:commentEx w15:paraId="4F4A5F94" w15:done="0"/>
  <w15:commentEx w15:paraId="53AFE371" w15:done="0"/>
  <w15:commentEx w15:paraId="4F74A793" w15:done="0"/>
  <w15:commentEx w15:paraId="66BDD71A" w15:done="0"/>
  <w15:commentEx w15:paraId="1BF1E4C7" w15:done="0"/>
  <w15:commentEx w15:paraId="29E2621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52E3" w:rsidRDefault="00A852E3">
      <w:r>
        <w:separator/>
      </w:r>
    </w:p>
    <w:p w:rsidR="00A852E3" w:rsidRDefault="00A852E3"/>
  </w:endnote>
  <w:endnote w:type="continuationSeparator" w:id="0">
    <w:p w:rsidR="00A852E3" w:rsidRDefault="00A852E3">
      <w:r>
        <w:continuationSeparator/>
      </w:r>
    </w:p>
    <w:p w:rsidR="00A852E3" w:rsidRDefault="00A852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odern">
    <w:panose1 w:val="00000000000000000000"/>
    <w:charset w:val="FF"/>
    <w:family w:val="modern"/>
    <w:notTrueType/>
    <w:pitch w:val="variable"/>
  </w:font>
  <w:font w:name="Georgia">
    <w:panose1 w:val="02040502050405020303"/>
    <w:charset w:val="00"/>
    <w:family w:val="roman"/>
    <w:pitch w:val="variable"/>
    <w:sig w:usb0="00000287" w:usb1="00000000" w:usb2="00000000" w:usb3="00000000" w:csb0="0000009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191" w:rsidRDefault="00854191" w:rsidP="00AD5101">
    <w:pPr>
      <w:pStyle w:val="Footer"/>
      <w:pBdr>
        <w:top w:val="single" w:sz="4" w:space="1" w:color="auto"/>
      </w:pBdr>
      <w:tabs>
        <w:tab w:val="left" w:pos="8550"/>
      </w:tabs>
      <w:rPr>
        <w:rStyle w:val="PageNumber"/>
      </w:rPr>
    </w:pPr>
  </w:p>
  <w:p w:rsidR="00854191" w:rsidRDefault="00854191" w:rsidP="00AD5101">
    <w:pPr>
      <w:pStyle w:val="Footer"/>
      <w:pBdr>
        <w:top w:val="single" w:sz="4" w:space="1" w:color="auto"/>
      </w:pBdr>
      <w:tabs>
        <w:tab w:val="left" w:pos="8550"/>
      </w:tabs>
    </w:pPr>
    <w:r>
      <w:rPr>
        <w:rStyle w:val="PageNumber"/>
      </w:rPr>
      <w:fldChar w:fldCharType="begin"/>
    </w:r>
    <w:r>
      <w:rPr>
        <w:rStyle w:val="PageNumber"/>
      </w:rPr>
      <w:instrText xml:space="preserve"> PAGE </w:instrText>
    </w:r>
    <w:r>
      <w:rPr>
        <w:rStyle w:val="PageNumber"/>
      </w:rPr>
      <w:fldChar w:fldCharType="separate"/>
    </w:r>
    <w:r w:rsidR="00F94C88">
      <w:rPr>
        <w:rStyle w:val="PageNumber"/>
        <w:noProof/>
      </w:rPr>
      <w:t>ii</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191" w:rsidRDefault="00854191" w:rsidP="007C3889">
    <w:pPr>
      <w:pStyle w:val="Footer"/>
      <w:spacing w:line="240" w:lineRule="auto"/>
      <w:jc w:val="right"/>
    </w:pPr>
    <w:r>
      <w:fldChar w:fldCharType="begin"/>
    </w:r>
    <w:r>
      <w:instrText xml:space="preserve"> PAGE   \* MERGEFORMAT </w:instrText>
    </w:r>
    <w:r>
      <w:fldChar w:fldCharType="separate"/>
    </w:r>
    <w:r w:rsidR="00F94C88">
      <w:rPr>
        <w:noProof/>
      </w:rPr>
      <w:t>22</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191" w:rsidRDefault="00854191" w:rsidP="006800E7">
    <w:pPr>
      <w:pStyle w:val="Footer"/>
      <w:jc w:val="right"/>
    </w:pPr>
    <w:r>
      <w:fldChar w:fldCharType="begin"/>
    </w:r>
    <w:r>
      <w:instrText xml:space="preserve"> PAGE   \* MERGEFORMAT </w:instrText>
    </w:r>
    <w:r>
      <w:fldChar w:fldCharType="separate"/>
    </w:r>
    <w:r w:rsidR="00F94C88">
      <w:rPr>
        <w:noProof/>
      </w:rPr>
      <w:t>7</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191" w:rsidRDefault="00854191" w:rsidP="007C3889">
    <w:pPr>
      <w:pStyle w:val="Footer"/>
      <w:spacing w:line="240" w:lineRule="auto"/>
      <w:jc w:val="right"/>
    </w:pPr>
    <w:r>
      <w:fldChar w:fldCharType="begin"/>
    </w:r>
    <w:r>
      <w:instrText xml:space="preserve"> PAGE   \* MERGEFORMAT </w:instrText>
    </w:r>
    <w:r>
      <w:fldChar w:fldCharType="separate"/>
    </w:r>
    <w:r w:rsidR="00F94C88">
      <w:rPr>
        <w:noProof/>
      </w:rPr>
      <w:t>1</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0627944"/>
      <w:docPartObj>
        <w:docPartGallery w:val="Page Numbers (Bottom of Page)"/>
        <w:docPartUnique/>
      </w:docPartObj>
    </w:sdtPr>
    <w:sdtEndPr>
      <w:rPr>
        <w:noProof/>
      </w:rPr>
    </w:sdtEndPr>
    <w:sdtContent>
      <w:p w:rsidR="00854191" w:rsidRDefault="00854191" w:rsidP="00854191">
        <w:pPr>
          <w:pStyle w:val="Footer"/>
          <w:jc w:val="center"/>
        </w:pPr>
        <w:r>
          <w:fldChar w:fldCharType="begin"/>
        </w:r>
        <w:r>
          <w:instrText xml:space="preserve"> PAGE   \* MERGEFORMAT </w:instrText>
        </w:r>
        <w:r>
          <w:fldChar w:fldCharType="separate"/>
        </w:r>
        <w:r w:rsidR="00F94C88">
          <w:rPr>
            <w:noProof/>
          </w:rPr>
          <w:t>21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52E3" w:rsidRDefault="00A852E3">
      <w:r>
        <w:separator/>
      </w:r>
    </w:p>
  </w:footnote>
  <w:footnote w:type="continuationSeparator" w:id="0">
    <w:p w:rsidR="00A852E3" w:rsidRDefault="00A852E3">
      <w:r>
        <w:continuationSeparator/>
      </w:r>
    </w:p>
    <w:p w:rsidR="00A852E3" w:rsidRDefault="00A852E3"/>
  </w:footnote>
  <w:footnote w:id="1">
    <w:p w:rsidR="00854191" w:rsidRPr="001511AF" w:rsidRDefault="00854191" w:rsidP="00163558">
      <w:pPr>
        <w:pStyle w:val="FootnoteText"/>
        <w:spacing w:after="60" w:line="240" w:lineRule="auto"/>
        <w:rPr>
          <w:sz w:val="18"/>
          <w:szCs w:val="18"/>
        </w:rPr>
      </w:pPr>
      <w:r w:rsidRPr="001511AF">
        <w:rPr>
          <w:rStyle w:val="FootnoteReference"/>
          <w:sz w:val="18"/>
          <w:szCs w:val="18"/>
        </w:rPr>
        <w:footnoteRef/>
      </w:r>
      <w:r w:rsidRPr="001511AF">
        <w:rPr>
          <w:sz w:val="18"/>
          <w:szCs w:val="18"/>
        </w:rPr>
        <w:t xml:space="preserve"> For convenience, this package refers to the question</w:t>
      </w:r>
      <w:r>
        <w:rPr>
          <w:sz w:val="18"/>
          <w:szCs w:val="18"/>
        </w:rPr>
        <w:t>n</w:t>
      </w:r>
      <w:r w:rsidRPr="001511AF">
        <w:rPr>
          <w:sz w:val="18"/>
          <w:szCs w:val="18"/>
        </w:rPr>
        <w:t xml:space="preserve">aire that will be sent to adults as ATES. As described later in this package, NCES actually plans to field two versions of this questionnaire, one </w:t>
      </w:r>
      <w:r>
        <w:rPr>
          <w:sz w:val="18"/>
          <w:szCs w:val="18"/>
        </w:rPr>
        <w:t>named</w:t>
      </w:r>
      <w:r w:rsidRPr="001511AF">
        <w:rPr>
          <w:sz w:val="18"/>
          <w:szCs w:val="18"/>
        </w:rPr>
        <w:t xml:space="preserve"> ATES and the other—a subset of ATES</w:t>
      </w:r>
      <w:r>
        <w:rPr>
          <w:sz w:val="18"/>
          <w:szCs w:val="18"/>
        </w:rPr>
        <w:t xml:space="preserve"> items</w:t>
      </w:r>
      <w:r w:rsidRPr="001511AF">
        <w:rPr>
          <w:sz w:val="18"/>
          <w:szCs w:val="18"/>
        </w:rPr>
        <w:t>—</w:t>
      </w:r>
      <w:r>
        <w:rPr>
          <w:sz w:val="18"/>
          <w:szCs w:val="18"/>
        </w:rPr>
        <w:t>named</w:t>
      </w:r>
      <w:r w:rsidRPr="001511AF">
        <w:rPr>
          <w:sz w:val="18"/>
          <w:szCs w:val="18"/>
        </w:rPr>
        <w:t xml:space="preserve"> the </w:t>
      </w:r>
      <w:r>
        <w:rPr>
          <w:sz w:val="18"/>
          <w:szCs w:val="18"/>
        </w:rPr>
        <w:t>Credentials for Work Survey</w:t>
      </w:r>
      <w:r w:rsidRPr="001511AF">
        <w:rPr>
          <w:sz w:val="18"/>
          <w:szCs w:val="18"/>
        </w:rPr>
        <w:t>.</w:t>
      </w:r>
    </w:p>
  </w:footnote>
  <w:footnote w:id="2">
    <w:p w:rsidR="00854191" w:rsidRPr="00163558" w:rsidRDefault="00854191">
      <w:pPr>
        <w:pStyle w:val="FootnoteText"/>
        <w:rPr>
          <w:sz w:val="18"/>
          <w:szCs w:val="18"/>
        </w:rPr>
      </w:pPr>
      <w:r w:rsidRPr="002F2221">
        <w:rPr>
          <w:rStyle w:val="FootnoteReference"/>
          <w:sz w:val="18"/>
          <w:szCs w:val="18"/>
        </w:rPr>
        <w:footnoteRef/>
      </w:r>
      <w:r>
        <w:t xml:space="preserve"> </w:t>
      </w:r>
      <w:r w:rsidRPr="00163558">
        <w:rPr>
          <w:sz w:val="18"/>
          <w:szCs w:val="18"/>
        </w:rPr>
        <w:t xml:space="preserve">The APSA is not planned for administration until 2017. In 2015, </w:t>
      </w:r>
      <w:r>
        <w:rPr>
          <w:sz w:val="18"/>
          <w:szCs w:val="18"/>
        </w:rPr>
        <w:t>NCES</w:t>
      </w:r>
      <w:r w:rsidRPr="00163558">
        <w:rPr>
          <w:sz w:val="18"/>
          <w:szCs w:val="18"/>
        </w:rPr>
        <w:t xml:space="preserve"> plan</w:t>
      </w:r>
      <w:r>
        <w:rPr>
          <w:sz w:val="18"/>
          <w:szCs w:val="18"/>
        </w:rPr>
        <w:t>s</w:t>
      </w:r>
      <w:r w:rsidRPr="00163558">
        <w:rPr>
          <w:sz w:val="18"/>
          <w:szCs w:val="18"/>
        </w:rPr>
        <w:t xml:space="preserve"> to re-field the Parent and Family Involvement in Education Survey (PFI) and Early Childhood Program Participation Survey (ECPP)</w:t>
      </w:r>
      <w:r>
        <w:rPr>
          <w:sz w:val="18"/>
          <w:szCs w:val="18"/>
        </w:rPr>
        <w:t xml:space="preserve">, </w:t>
      </w:r>
      <w:r w:rsidRPr="00163558">
        <w:rPr>
          <w:sz w:val="18"/>
          <w:szCs w:val="18"/>
        </w:rPr>
        <w:t xml:space="preserve">which were originally planned for the full-scale collection in 2014 that was cancelled due the </w:t>
      </w:r>
      <w:r>
        <w:rPr>
          <w:sz w:val="18"/>
          <w:szCs w:val="18"/>
        </w:rPr>
        <w:t xml:space="preserve">2013 </w:t>
      </w:r>
      <w:r w:rsidRPr="00163558">
        <w:rPr>
          <w:sz w:val="18"/>
          <w:szCs w:val="18"/>
        </w:rPr>
        <w:t xml:space="preserve">sequestration budget cuts. The PFI and ECPP surveys have already been through extensive development work </w:t>
      </w:r>
      <w:r>
        <w:rPr>
          <w:sz w:val="18"/>
          <w:szCs w:val="18"/>
        </w:rPr>
        <w:t>via</w:t>
      </w:r>
      <w:r w:rsidRPr="00163558">
        <w:rPr>
          <w:sz w:val="18"/>
          <w:szCs w:val="18"/>
        </w:rPr>
        <w:t xml:space="preserve"> cognitive interviews, the NHES pilot test</w:t>
      </w:r>
      <w:r>
        <w:rPr>
          <w:sz w:val="18"/>
          <w:szCs w:val="18"/>
        </w:rPr>
        <w:t>,</w:t>
      </w:r>
      <w:r w:rsidRPr="00163558">
        <w:rPr>
          <w:sz w:val="18"/>
          <w:szCs w:val="18"/>
        </w:rPr>
        <w:t xml:space="preserve"> the NHES field test</w:t>
      </w:r>
      <w:r>
        <w:rPr>
          <w:sz w:val="18"/>
          <w:szCs w:val="18"/>
        </w:rPr>
        <w:t>, and</w:t>
      </w:r>
      <w:r w:rsidRPr="00163558">
        <w:rPr>
          <w:sz w:val="18"/>
          <w:szCs w:val="18"/>
        </w:rPr>
        <w:t xml:space="preserve"> the full-scale NHES:2012</w:t>
      </w:r>
      <w:r>
        <w:rPr>
          <w:sz w:val="18"/>
          <w:szCs w:val="18"/>
        </w:rPr>
        <w:t>, so</w:t>
      </w:r>
      <w:r w:rsidRPr="00163558">
        <w:rPr>
          <w:sz w:val="18"/>
          <w:szCs w:val="18"/>
        </w:rPr>
        <w:t xml:space="preserve"> further testing of the full instruments </w:t>
      </w:r>
      <w:r>
        <w:rPr>
          <w:sz w:val="18"/>
          <w:szCs w:val="18"/>
        </w:rPr>
        <w:t>is not</w:t>
      </w:r>
      <w:r w:rsidRPr="00163558">
        <w:rPr>
          <w:sz w:val="18"/>
          <w:szCs w:val="18"/>
        </w:rPr>
        <w:t xml:space="preserve"> ne</w:t>
      </w:r>
      <w:r>
        <w:rPr>
          <w:sz w:val="18"/>
          <w:szCs w:val="18"/>
        </w:rPr>
        <w:t>eded</w:t>
      </w:r>
      <w:r w:rsidRPr="00163558">
        <w:rPr>
          <w:sz w:val="18"/>
          <w:szCs w:val="18"/>
        </w:rPr>
        <w:t xml:space="preserve">. The ASPA </w:t>
      </w:r>
      <w:r>
        <w:rPr>
          <w:sz w:val="18"/>
          <w:szCs w:val="18"/>
        </w:rPr>
        <w:t xml:space="preserve">is being tested because it </w:t>
      </w:r>
      <w:r w:rsidRPr="00163558">
        <w:rPr>
          <w:sz w:val="18"/>
          <w:szCs w:val="18"/>
        </w:rPr>
        <w:t xml:space="preserve">has not yet been administered in the new mail data collection mode and was last administered in 2005. There are a few items </w:t>
      </w:r>
      <w:r>
        <w:rPr>
          <w:sz w:val="18"/>
          <w:szCs w:val="18"/>
        </w:rPr>
        <w:t>i</w:t>
      </w:r>
      <w:r w:rsidRPr="00163558">
        <w:rPr>
          <w:sz w:val="18"/>
          <w:szCs w:val="18"/>
        </w:rPr>
        <w:t>n the ASPA that are shared with the PFI and ECPP</w:t>
      </w:r>
      <w:r>
        <w:rPr>
          <w:sz w:val="18"/>
          <w:szCs w:val="18"/>
        </w:rPr>
        <w:t>. W</w:t>
      </w:r>
      <w:r w:rsidRPr="00163558">
        <w:rPr>
          <w:sz w:val="18"/>
          <w:szCs w:val="18"/>
        </w:rPr>
        <w:t>e will use the results of the ASPA split panel tests to select which items to include in the 2015 PFI and ECPP surveys.</w:t>
      </w:r>
    </w:p>
  </w:footnote>
  <w:footnote w:id="3">
    <w:p w:rsidR="00854191" w:rsidRPr="002F2221" w:rsidRDefault="00854191" w:rsidP="002F2221">
      <w:pPr>
        <w:pStyle w:val="FootnoteText"/>
        <w:spacing w:after="60"/>
        <w:rPr>
          <w:sz w:val="18"/>
          <w:szCs w:val="18"/>
        </w:rPr>
      </w:pPr>
      <w:r w:rsidRPr="002F2221">
        <w:rPr>
          <w:rStyle w:val="FootnoteReference"/>
          <w:sz w:val="18"/>
          <w:szCs w:val="18"/>
        </w:rPr>
        <w:footnoteRef/>
      </w:r>
      <w:r w:rsidRPr="002F2221">
        <w:rPr>
          <w:sz w:val="18"/>
          <w:szCs w:val="18"/>
        </w:rPr>
        <w:t xml:space="preserve"> </w:t>
      </w:r>
      <w:r>
        <w:rPr>
          <w:sz w:val="18"/>
          <w:szCs w:val="18"/>
        </w:rPr>
        <w:t>NCES</w:t>
      </w:r>
      <w:r w:rsidRPr="002F2221">
        <w:rPr>
          <w:sz w:val="18"/>
          <w:szCs w:val="18"/>
        </w:rPr>
        <w:t xml:space="preserve"> collect</w:t>
      </w:r>
      <w:r>
        <w:rPr>
          <w:sz w:val="18"/>
          <w:szCs w:val="18"/>
        </w:rPr>
        <w:t>s</w:t>
      </w:r>
      <w:r w:rsidRPr="002F2221">
        <w:rPr>
          <w:sz w:val="18"/>
          <w:szCs w:val="18"/>
        </w:rPr>
        <w:t xml:space="preserve"> information on the following racial/ethnic groups in the NHES child topical surveys: American Indian or Alaska Native, Asian, Black or African American, Hispanic, Native Hawaiian or other Pacific Islander, and White. </w:t>
      </w:r>
      <w:r>
        <w:rPr>
          <w:sz w:val="18"/>
          <w:szCs w:val="18"/>
        </w:rPr>
        <w:t>R</w:t>
      </w:r>
      <w:r w:rsidRPr="002F2221">
        <w:rPr>
          <w:sz w:val="18"/>
          <w:szCs w:val="18"/>
        </w:rPr>
        <w:t>eport</w:t>
      </w:r>
      <w:r>
        <w:rPr>
          <w:sz w:val="18"/>
          <w:szCs w:val="18"/>
        </w:rPr>
        <w:t>ed</w:t>
      </w:r>
      <w:r w:rsidRPr="002F2221">
        <w:rPr>
          <w:sz w:val="18"/>
          <w:szCs w:val="18"/>
        </w:rPr>
        <w:t xml:space="preserve"> estimates by race typically use the following categories: White, non-Hispanic; Black, non-Hispanic; Hispanic; Asian or other Pacific Islander, non-Hispan</w:t>
      </w:r>
      <w:r>
        <w:rPr>
          <w:sz w:val="18"/>
          <w:szCs w:val="18"/>
        </w:rPr>
        <w:t>ic; and other, non-Hispanic. A</w:t>
      </w:r>
      <w:r w:rsidRPr="002F2221">
        <w:rPr>
          <w:sz w:val="18"/>
          <w:szCs w:val="18"/>
        </w:rPr>
        <w:t xml:space="preserve">reas with higher concentrations of Blacks and Hispanics </w:t>
      </w:r>
      <w:r>
        <w:rPr>
          <w:sz w:val="18"/>
          <w:szCs w:val="18"/>
        </w:rPr>
        <w:t xml:space="preserve">are </w:t>
      </w:r>
      <w:r w:rsidRPr="002F2221">
        <w:rPr>
          <w:sz w:val="18"/>
          <w:szCs w:val="18"/>
        </w:rPr>
        <w:t>typically oversample</w:t>
      </w:r>
      <w:r>
        <w:rPr>
          <w:sz w:val="18"/>
          <w:szCs w:val="18"/>
        </w:rPr>
        <w:t>d</w:t>
      </w:r>
      <w:r w:rsidRPr="002F2221">
        <w:rPr>
          <w:sz w:val="18"/>
          <w:szCs w:val="18"/>
        </w:rPr>
        <w:t xml:space="preserve"> in order to ensure sufficient samples sizes to generate reliable estimates for these subgroups. </w:t>
      </w:r>
      <w:r>
        <w:rPr>
          <w:sz w:val="18"/>
          <w:szCs w:val="18"/>
        </w:rPr>
        <w:t>In</w:t>
      </w:r>
      <w:r w:rsidRPr="002F2221">
        <w:rPr>
          <w:sz w:val="18"/>
          <w:szCs w:val="18"/>
        </w:rPr>
        <w:t xml:space="preserve"> the Feasibility Study</w:t>
      </w:r>
      <w:r>
        <w:rPr>
          <w:sz w:val="18"/>
          <w:szCs w:val="18"/>
        </w:rPr>
        <w:t>,</w:t>
      </w:r>
      <w:r w:rsidRPr="002F2221">
        <w:rPr>
          <w:sz w:val="18"/>
          <w:szCs w:val="18"/>
        </w:rPr>
        <w:t xml:space="preserve"> these groups </w:t>
      </w:r>
      <w:r>
        <w:rPr>
          <w:sz w:val="18"/>
          <w:szCs w:val="18"/>
        </w:rPr>
        <w:t>will</w:t>
      </w:r>
      <w:r w:rsidRPr="002F2221">
        <w:rPr>
          <w:sz w:val="18"/>
          <w:szCs w:val="18"/>
        </w:rPr>
        <w:t xml:space="preserve"> not </w:t>
      </w:r>
      <w:r>
        <w:rPr>
          <w:sz w:val="18"/>
          <w:szCs w:val="18"/>
        </w:rPr>
        <w:t xml:space="preserve">be </w:t>
      </w:r>
      <w:r w:rsidRPr="002F2221">
        <w:rPr>
          <w:sz w:val="18"/>
          <w:szCs w:val="18"/>
        </w:rPr>
        <w:t>oversampl</w:t>
      </w:r>
      <w:r>
        <w:rPr>
          <w:sz w:val="18"/>
          <w:szCs w:val="18"/>
        </w:rPr>
        <w:t>ed</w:t>
      </w:r>
      <w:r w:rsidRPr="002F2221">
        <w:rPr>
          <w:sz w:val="18"/>
          <w:szCs w:val="18"/>
        </w:rPr>
        <w:t xml:space="preserve"> </w:t>
      </w:r>
      <w:r>
        <w:rPr>
          <w:sz w:val="18"/>
          <w:szCs w:val="18"/>
        </w:rPr>
        <w:t xml:space="preserve">because no </w:t>
      </w:r>
      <w:r w:rsidRPr="002F2221">
        <w:rPr>
          <w:sz w:val="18"/>
          <w:szCs w:val="18"/>
        </w:rPr>
        <w:t>estimates will be publish</w:t>
      </w:r>
      <w:r>
        <w:rPr>
          <w:sz w:val="18"/>
          <w:szCs w:val="18"/>
        </w:rPr>
        <w:t>ed, instead</w:t>
      </w:r>
      <w:r w:rsidRPr="002F2221">
        <w:rPr>
          <w:sz w:val="18"/>
          <w:szCs w:val="18"/>
        </w:rPr>
        <w:t xml:space="preserve"> comparisons will primarily be made across item distributions for the two split panel forms.</w:t>
      </w:r>
    </w:p>
  </w:footnote>
  <w:footnote w:id="4">
    <w:p w:rsidR="00854191" w:rsidRPr="002F2221" w:rsidRDefault="00854191">
      <w:pPr>
        <w:pStyle w:val="FootnoteText"/>
        <w:rPr>
          <w:sz w:val="18"/>
          <w:szCs w:val="18"/>
        </w:rPr>
      </w:pPr>
      <w:r w:rsidRPr="002F2221">
        <w:rPr>
          <w:rStyle w:val="FootnoteReference"/>
          <w:sz w:val="18"/>
          <w:szCs w:val="18"/>
        </w:rPr>
        <w:footnoteRef/>
      </w:r>
      <w:r w:rsidRPr="002F2221">
        <w:rPr>
          <w:sz w:val="18"/>
          <w:szCs w:val="18"/>
        </w:rPr>
        <w:t xml:space="preserve"> NHES:2007 also included an adult education module, but data collection was stopped due to low response rates.</w:t>
      </w:r>
    </w:p>
  </w:footnote>
  <w:footnote w:id="5">
    <w:p w:rsidR="00854191" w:rsidRDefault="00854191" w:rsidP="00854191">
      <w:pPr>
        <w:pStyle w:val="FootnoteText"/>
      </w:pPr>
      <w:r>
        <w:rPr>
          <w:rStyle w:val="FootnoteReference"/>
        </w:rPr>
        <w:footnoteRef/>
      </w:r>
      <w:r>
        <w:t> Ineligible addresses are those which are undeliverable. O</w:t>
      </w:r>
      <w:r w:rsidRPr="006F7968">
        <w:t xml:space="preserve">nce a </w:t>
      </w:r>
      <w:r>
        <w:t>screener</w:t>
      </w:r>
      <w:r w:rsidRPr="006F7968">
        <w:t xml:space="preserve"> mailing </w:t>
      </w:r>
      <w:r>
        <w:t>for an address is returned as undeliverable as addressed (UAA)</w:t>
      </w:r>
      <w:r w:rsidRPr="006F7968">
        <w:t>, the address will be coded ineligible</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191" w:rsidRPr="00836E30" w:rsidRDefault="00854191" w:rsidP="00836E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191" w:rsidRPr="00836E30" w:rsidRDefault="00854191" w:rsidP="00836E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D09FD8"/>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1E6EBC1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C0A63282"/>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543C1BF4"/>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E110A3E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DB8BDC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7A4542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47EBD9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BE66FA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2F427E8"/>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rPr>
        <w:rFonts w:cs="Times New Roman"/>
      </w:rPr>
    </w:lvl>
  </w:abstractNum>
  <w:abstractNum w:abstractNumId="11">
    <w:nsid w:val="088F7FF8"/>
    <w:multiLevelType w:val="hybridMultilevel"/>
    <w:tmpl w:val="4538EC24"/>
    <w:lvl w:ilvl="0" w:tplc="FFFFFFFF">
      <w:start w:val="1"/>
      <w:numFmt w:val="bullet"/>
      <w:lvlText w:val=""/>
      <w:lvlJc w:val="left"/>
      <w:pPr>
        <w:ind w:left="1872" w:hanging="360"/>
      </w:pPr>
      <w:rPr>
        <w:rFonts w:ascii="Wingdings" w:hAnsi="Wingdings" w:hint="default"/>
        <w:sz w:val="16"/>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2">
    <w:nsid w:val="09496461"/>
    <w:multiLevelType w:val="hybridMultilevel"/>
    <w:tmpl w:val="6A3AC6F0"/>
    <w:lvl w:ilvl="0" w:tplc="A2A05CF0">
      <w:start w:val="1"/>
      <w:numFmt w:val="bullet"/>
      <w:lvlText w:val="□"/>
      <w:lvlJc w:val="left"/>
      <w:pPr>
        <w:tabs>
          <w:tab w:val="num" w:pos="3060"/>
        </w:tabs>
        <w:ind w:left="3060" w:hanging="360"/>
      </w:pPr>
      <w:rPr>
        <w:rFonts w:ascii="Arial" w:hAnsi="Arial" w:hint="default"/>
        <w:sz w:val="36"/>
      </w:rPr>
    </w:lvl>
    <w:lvl w:ilvl="1" w:tplc="04090003" w:tentative="1">
      <w:start w:val="1"/>
      <w:numFmt w:val="bullet"/>
      <w:lvlText w:val="o"/>
      <w:lvlJc w:val="left"/>
      <w:pPr>
        <w:tabs>
          <w:tab w:val="num" w:pos="2880"/>
        </w:tabs>
        <w:ind w:left="2880" w:hanging="360"/>
      </w:pPr>
      <w:rPr>
        <w:rFonts w:ascii="Courier New" w:hAnsi="Courier New" w:hint="default"/>
      </w:rPr>
    </w:lvl>
    <w:lvl w:ilvl="2" w:tplc="81E4AA04">
      <w:start w:val="1"/>
      <w:numFmt w:val="bullet"/>
      <w:lvlText w:val="■"/>
      <w:lvlJc w:val="left"/>
      <w:pPr>
        <w:tabs>
          <w:tab w:val="num" w:pos="2160"/>
        </w:tabs>
        <w:ind w:left="2160" w:hanging="360"/>
      </w:pPr>
      <w:rPr>
        <w:rFonts w:ascii="Arial" w:hAnsi="Arial" w:hint="default"/>
        <w:color w:val="FFFFFF"/>
        <w:sz w:val="36"/>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nsid w:val="0CBC4999"/>
    <w:multiLevelType w:val="hybridMultilevel"/>
    <w:tmpl w:val="60787080"/>
    <w:lvl w:ilvl="0" w:tplc="1B82D2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07A4CC0"/>
    <w:multiLevelType w:val="hybridMultilevel"/>
    <w:tmpl w:val="5C64C2C8"/>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5">
    <w:nsid w:val="10A52E2D"/>
    <w:multiLevelType w:val="hybridMultilevel"/>
    <w:tmpl w:val="52E69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14C36DB"/>
    <w:multiLevelType w:val="hybridMultilevel"/>
    <w:tmpl w:val="58566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3223737"/>
    <w:multiLevelType w:val="multilevel"/>
    <w:tmpl w:val="F00CAAF8"/>
    <w:lvl w:ilvl="0">
      <w:start w:val="1"/>
      <w:numFmt w:val="decimal"/>
      <w:lvlText w:val="%1."/>
      <w:lvlJc w:val="left"/>
      <w:pPr>
        <w:tabs>
          <w:tab w:val="num" w:pos="2088"/>
        </w:tabs>
        <w:ind w:left="2088" w:hanging="360"/>
      </w:pPr>
      <w:rPr>
        <w:rFonts w:ascii="Garamond" w:hAnsi="Garamond" w:cs="Times New Roman" w:hint="default"/>
        <w:sz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nsid w:val="1A6B3C2F"/>
    <w:multiLevelType w:val="hybridMultilevel"/>
    <w:tmpl w:val="4DA4FBAA"/>
    <w:lvl w:ilvl="0" w:tplc="055E38F0">
      <w:start w:val="1"/>
      <w:numFmt w:val="bullet"/>
      <w:lvlText w:val="□"/>
      <w:lvlJc w:val="left"/>
      <w:pPr>
        <w:tabs>
          <w:tab w:val="num" w:pos="1620"/>
        </w:tabs>
        <w:ind w:left="1620" w:hanging="360"/>
      </w:pPr>
      <w:rPr>
        <w:rFonts w:ascii="Arial" w:hAnsi="Arial" w:hint="default"/>
        <w:sz w:val="3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08B1F97"/>
    <w:multiLevelType w:val="hybridMultilevel"/>
    <w:tmpl w:val="1352A76C"/>
    <w:lvl w:ilvl="0" w:tplc="4CAE420C">
      <w:start w:val="1"/>
      <w:numFmt w:val="bullet"/>
      <w:lvlText w:val="□"/>
      <w:lvlJc w:val="left"/>
      <w:pPr>
        <w:tabs>
          <w:tab w:val="num" w:pos="1620"/>
        </w:tabs>
        <w:ind w:left="1620" w:hanging="360"/>
      </w:pPr>
      <w:rPr>
        <w:rFonts w:ascii="Arial" w:hAnsi="Arial" w:hint="default"/>
        <w:sz w:val="36"/>
      </w:rPr>
    </w:lvl>
    <w:lvl w:ilvl="1" w:tplc="04090019" w:tentative="1">
      <w:start w:val="1"/>
      <w:numFmt w:val="bullet"/>
      <w:lvlText w:val="o"/>
      <w:lvlJc w:val="left"/>
      <w:pPr>
        <w:tabs>
          <w:tab w:val="num" w:pos="3600"/>
        </w:tabs>
        <w:ind w:left="3600" w:hanging="360"/>
      </w:pPr>
      <w:rPr>
        <w:rFonts w:ascii="Courier New" w:hAnsi="Courier New" w:hint="default"/>
      </w:rPr>
    </w:lvl>
    <w:lvl w:ilvl="2" w:tplc="0409001B" w:tentative="1">
      <w:start w:val="1"/>
      <w:numFmt w:val="bullet"/>
      <w:lvlText w:val=""/>
      <w:lvlJc w:val="left"/>
      <w:pPr>
        <w:tabs>
          <w:tab w:val="num" w:pos="4320"/>
        </w:tabs>
        <w:ind w:left="4320" w:hanging="360"/>
      </w:pPr>
      <w:rPr>
        <w:rFonts w:ascii="Wingdings" w:hAnsi="Wingdings" w:hint="default"/>
      </w:rPr>
    </w:lvl>
    <w:lvl w:ilvl="3" w:tplc="0409000F">
      <w:start w:val="1"/>
      <w:numFmt w:val="bullet"/>
      <w:lvlText w:val=""/>
      <w:lvlJc w:val="left"/>
      <w:pPr>
        <w:tabs>
          <w:tab w:val="num" w:pos="5040"/>
        </w:tabs>
        <w:ind w:left="5040" w:hanging="360"/>
      </w:pPr>
      <w:rPr>
        <w:rFonts w:ascii="Symbol" w:hAnsi="Symbol" w:hint="default"/>
      </w:rPr>
    </w:lvl>
    <w:lvl w:ilvl="4" w:tplc="04090019" w:tentative="1">
      <w:start w:val="1"/>
      <w:numFmt w:val="bullet"/>
      <w:lvlText w:val="o"/>
      <w:lvlJc w:val="left"/>
      <w:pPr>
        <w:tabs>
          <w:tab w:val="num" w:pos="5760"/>
        </w:tabs>
        <w:ind w:left="5760" w:hanging="360"/>
      </w:pPr>
      <w:rPr>
        <w:rFonts w:ascii="Courier New" w:hAnsi="Courier New" w:hint="default"/>
      </w:rPr>
    </w:lvl>
    <w:lvl w:ilvl="5" w:tplc="0409001B" w:tentative="1">
      <w:start w:val="1"/>
      <w:numFmt w:val="bullet"/>
      <w:lvlText w:val=""/>
      <w:lvlJc w:val="left"/>
      <w:pPr>
        <w:tabs>
          <w:tab w:val="num" w:pos="6480"/>
        </w:tabs>
        <w:ind w:left="6480" w:hanging="360"/>
      </w:pPr>
      <w:rPr>
        <w:rFonts w:ascii="Wingdings" w:hAnsi="Wingdings" w:hint="default"/>
      </w:rPr>
    </w:lvl>
    <w:lvl w:ilvl="6" w:tplc="0409000F" w:tentative="1">
      <w:start w:val="1"/>
      <w:numFmt w:val="bullet"/>
      <w:lvlText w:val=""/>
      <w:lvlJc w:val="left"/>
      <w:pPr>
        <w:tabs>
          <w:tab w:val="num" w:pos="7200"/>
        </w:tabs>
        <w:ind w:left="7200" w:hanging="360"/>
      </w:pPr>
      <w:rPr>
        <w:rFonts w:ascii="Symbol" w:hAnsi="Symbol" w:hint="default"/>
      </w:rPr>
    </w:lvl>
    <w:lvl w:ilvl="7" w:tplc="04090019" w:tentative="1">
      <w:start w:val="1"/>
      <w:numFmt w:val="bullet"/>
      <w:lvlText w:val="o"/>
      <w:lvlJc w:val="left"/>
      <w:pPr>
        <w:tabs>
          <w:tab w:val="num" w:pos="7920"/>
        </w:tabs>
        <w:ind w:left="7920" w:hanging="360"/>
      </w:pPr>
      <w:rPr>
        <w:rFonts w:ascii="Courier New" w:hAnsi="Courier New" w:hint="default"/>
      </w:rPr>
    </w:lvl>
    <w:lvl w:ilvl="8" w:tplc="0409001B" w:tentative="1">
      <w:start w:val="1"/>
      <w:numFmt w:val="bullet"/>
      <w:lvlText w:val=""/>
      <w:lvlJc w:val="left"/>
      <w:pPr>
        <w:tabs>
          <w:tab w:val="num" w:pos="8640"/>
        </w:tabs>
        <w:ind w:left="8640" w:hanging="360"/>
      </w:pPr>
      <w:rPr>
        <w:rFonts w:ascii="Wingdings" w:hAnsi="Wingdings" w:hint="default"/>
      </w:rPr>
    </w:lvl>
  </w:abstractNum>
  <w:abstractNum w:abstractNumId="20">
    <w:nsid w:val="26AB185B"/>
    <w:multiLevelType w:val="hybridMultilevel"/>
    <w:tmpl w:val="3FA4FCA4"/>
    <w:lvl w:ilvl="0" w:tplc="D8D867CC">
      <w:start w:val="1"/>
      <w:numFmt w:val="lowerLetter"/>
      <w:lvlText w:val="%1."/>
      <w:lvlJc w:val="left"/>
      <w:pPr>
        <w:ind w:left="2448" w:hanging="360"/>
      </w:pPr>
      <w:rPr>
        <w:rFonts w:cs="Times New Roman"/>
      </w:rPr>
    </w:lvl>
    <w:lvl w:ilvl="1" w:tplc="65002DB8" w:tentative="1">
      <w:start w:val="1"/>
      <w:numFmt w:val="lowerLetter"/>
      <w:lvlText w:val="%2."/>
      <w:lvlJc w:val="left"/>
      <w:pPr>
        <w:ind w:left="3168" w:hanging="360"/>
      </w:pPr>
      <w:rPr>
        <w:rFonts w:cs="Times New Roman"/>
      </w:rPr>
    </w:lvl>
    <w:lvl w:ilvl="2" w:tplc="35986688" w:tentative="1">
      <w:start w:val="1"/>
      <w:numFmt w:val="lowerRoman"/>
      <w:lvlText w:val="%3."/>
      <w:lvlJc w:val="right"/>
      <w:pPr>
        <w:ind w:left="3888" w:hanging="180"/>
      </w:pPr>
      <w:rPr>
        <w:rFonts w:cs="Times New Roman"/>
      </w:rPr>
    </w:lvl>
    <w:lvl w:ilvl="3" w:tplc="D200E2FC" w:tentative="1">
      <w:start w:val="1"/>
      <w:numFmt w:val="decimal"/>
      <w:lvlText w:val="%4."/>
      <w:lvlJc w:val="left"/>
      <w:pPr>
        <w:ind w:left="4608" w:hanging="360"/>
      </w:pPr>
      <w:rPr>
        <w:rFonts w:cs="Times New Roman"/>
      </w:rPr>
    </w:lvl>
    <w:lvl w:ilvl="4" w:tplc="7AD6BFBA" w:tentative="1">
      <w:start w:val="1"/>
      <w:numFmt w:val="lowerLetter"/>
      <w:lvlText w:val="%5."/>
      <w:lvlJc w:val="left"/>
      <w:pPr>
        <w:ind w:left="5328" w:hanging="360"/>
      </w:pPr>
      <w:rPr>
        <w:rFonts w:cs="Times New Roman"/>
      </w:rPr>
    </w:lvl>
    <w:lvl w:ilvl="5" w:tplc="CA5A6EDE" w:tentative="1">
      <w:start w:val="1"/>
      <w:numFmt w:val="lowerRoman"/>
      <w:lvlText w:val="%6."/>
      <w:lvlJc w:val="right"/>
      <w:pPr>
        <w:ind w:left="6048" w:hanging="180"/>
      </w:pPr>
      <w:rPr>
        <w:rFonts w:cs="Times New Roman"/>
      </w:rPr>
    </w:lvl>
    <w:lvl w:ilvl="6" w:tplc="A4F6EF72" w:tentative="1">
      <w:start w:val="1"/>
      <w:numFmt w:val="decimal"/>
      <w:lvlText w:val="%7."/>
      <w:lvlJc w:val="left"/>
      <w:pPr>
        <w:ind w:left="6768" w:hanging="360"/>
      </w:pPr>
      <w:rPr>
        <w:rFonts w:cs="Times New Roman"/>
      </w:rPr>
    </w:lvl>
    <w:lvl w:ilvl="7" w:tplc="81A05CE4" w:tentative="1">
      <w:start w:val="1"/>
      <w:numFmt w:val="lowerLetter"/>
      <w:lvlText w:val="%8."/>
      <w:lvlJc w:val="left"/>
      <w:pPr>
        <w:ind w:left="7488" w:hanging="360"/>
      </w:pPr>
      <w:rPr>
        <w:rFonts w:cs="Times New Roman"/>
      </w:rPr>
    </w:lvl>
    <w:lvl w:ilvl="8" w:tplc="041AAE08" w:tentative="1">
      <w:start w:val="1"/>
      <w:numFmt w:val="lowerRoman"/>
      <w:lvlText w:val="%9."/>
      <w:lvlJc w:val="right"/>
      <w:pPr>
        <w:ind w:left="8208" w:hanging="180"/>
      </w:pPr>
      <w:rPr>
        <w:rFonts w:cs="Times New Roman"/>
      </w:rPr>
    </w:lvl>
  </w:abstractNum>
  <w:abstractNum w:abstractNumId="21">
    <w:nsid w:val="26BF2591"/>
    <w:multiLevelType w:val="hybridMultilevel"/>
    <w:tmpl w:val="DB5E30A2"/>
    <w:lvl w:ilvl="0" w:tplc="055E38F0">
      <w:start w:val="1"/>
      <w:numFmt w:val="bullet"/>
      <w:lvlText w:val=""/>
      <w:lvlJc w:val="left"/>
      <w:pPr>
        <w:tabs>
          <w:tab w:val="num" w:pos="1152"/>
        </w:tabs>
        <w:ind w:left="1152" w:hanging="576"/>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8951AB8"/>
    <w:multiLevelType w:val="hybridMultilevel"/>
    <w:tmpl w:val="5630E8EE"/>
    <w:lvl w:ilvl="0" w:tplc="A2A05CF0">
      <w:start w:val="1"/>
      <w:numFmt w:val="bullet"/>
      <w:lvlText w:val="□"/>
      <w:lvlJc w:val="left"/>
      <w:pPr>
        <w:tabs>
          <w:tab w:val="num" w:pos="1620"/>
        </w:tabs>
        <w:ind w:left="1620" w:hanging="360"/>
      </w:pPr>
      <w:rPr>
        <w:rFonts w:ascii="Arial" w:hAnsi="Arial" w:hint="default"/>
        <w:sz w:val="36"/>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3">
    <w:nsid w:val="308F13BE"/>
    <w:multiLevelType w:val="hybridMultilevel"/>
    <w:tmpl w:val="F0A81DD2"/>
    <w:lvl w:ilvl="0" w:tplc="A2A05CF0">
      <w:start w:val="1"/>
      <w:numFmt w:val="bullet"/>
      <w:lvlText w:val="■"/>
      <w:lvlJc w:val="left"/>
      <w:pPr>
        <w:tabs>
          <w:tab w:val="num" w:pos="1620"/>
        </w:tabs>
        <w:ind w:left="1620" w:hanging="360"/>
      </w:pPr>
      <w:rPr>
        <w:rFonts w:ascii="Arial" w:hAnsi="Arial" w:hint="default"/>
        <w:color w:val="FFFFFF"/>
        <w:sz w:val="36"/>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4">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25">
    <w:nsid w:val="39187E05"/>
    <w:multiLevelType w:val="hybridMultilevel"/>
    <w:tmpl w:val="A300EA8A"/>
    <w:lvl w:ilvl="0" w:tplc="12FCC3E8">
      <w:start w:val="1"/>
      <w:numFmt w:val="lowerLetter"/>
      <w:lvlText w:val="%1."/>
      <w:lvlJc w:val="left"/>
      <w:pPr>
        <w:ind w:left="2448" w:hanging="360"/>
      </w:pPr>
      <w:rPr>
        <w:rFonts w:cs="Times New Roman"/>
      </w:rPr>
    </w:lvl>
    <w:lvl w:ilvl="1" w:tplc="04090003" w:tentative="1">
      <w:start w:val="1"/>
      <w:numFmt w:val="lowerLetter"/>
      <w:lvlText w:val="%2."/>
      <w:lvlJc w:val="left"/>
      <w:pPr>
        <w:ind w:left="3168" w:hanging="360"/>
      </w:pPr>
      <w:rPr>
        <w:rFonts w:cs="Times New Roman"/>
      </w:rPr>
    </w:lvl>
    <w:lvl w:ilvl="2" w:tplc="04090005" w:tentative="1">
      <w:start w:val="1"/>
      <w:numFmt w:val="lowerRoman"/>
      <w:lvlText w:val="%3."/>
      <w:lvlJc w:val="right"/>
      <w:pPr>
        <w:ind w:left="3888" w:hanging="180"/>
      </w:pPr>
      <w:rPr>
        <w:rFonts w:cs="Times New Roman"/>
      </w:rPr>
    </w:lvl>
    <w:lvl w:ilvl="3" w:tplc="04090001" w:tentative="1">
      <w:start w:val="1"/>
      <w:numFmt w:val="decimal"/>
      <w:lvlText w:val="%4."/>
      <w:lvlJc w:val="left"/>
      <w:pPr>
        <w:ind w:left="4608" w:hanging="360"/>
      </w:pPr>
      <w:rPr>
        <w:rFonts w:cs="Times New Roman"/>
      </w:rPr>
    </w:lvl>
    <w:lvl w:ilvl="4" w:tplc="04090003" w:tentative="1">
      <w:start w:val="1"/>
      <w:numFmt w:val="lowerLetter"/>
      <w:lvlText w:val="%5."/>
      <w:lvlJc w:val="left"/>
      <w:pPr>
        <w:ind w:left="5328" w:hanging="360"/>
      </w:pPr>
      <w:rPr>
        <w:rFonts w:cs="Times New Roman"/>
      </w:rPr>
    </w:lvl>
    <w:lvl w:ilvl="5" w:tplc="04090005" w:tentative="1">
      <w:start w:val="1"/>
      <w:numFmt w:val="lowerRoman"/>
      <w:lvlText w:val="%6."/>
      <w:lvlJc w:val="right"/>
      <w:pPr>
        <w:ind w:left="6048" w:hanging="180"/>
      </w:pPr>
      <w:rPr>
        <w:rFonts w:cs="Times New Roman"/>
      </w:rPr>
    </w:lvl>
    <w:lvl w:ilvl="6" w:tplc="04090001" w:tentative="1">
      <w:start w:val="1"/>
      <w:numFmt w:val="decimal"/>
      <w:lvlText w:val="%7."/>
      <w:lvlJc w:val="left"/>
      <w:pPr>
        <w:ind w:left="6768" w:hanging="360"/>
      </w:pPr>
      <w:rPr>
        <w:rFonts w:cs="Times New Roman"/>
      </w:rPr>
    </w:lvl>
    <w:lvl w:ilvl="7" w:tplc="04090003" w:tentative="1">
      <w:start w:val="1"/>
      <w:numFmt w:val="lowerLetter"/>
      <w:lvlText w:val="%8."/>
      <w:lvlJc w:val="left"/>
      <w:pPr>
        <w:ind w:left="7488" w:hanging="360"/>
      </w:pPr>
      <w:rPr>
        <w:rFonts w:cs="Times New Roman"/>
      </w:rPr>
    </w:lvl>
    <w:lvl w:ilvl="8" w:tplc="04090005" w:tentative="1">
      <w:start w:val="1"/>
      <w:numFmt w:val="lowerRoman"/>
      <w:lvlText w:val="%9."/>
      <w:lvlJc w:val="right"/>
      <w:pPr>
        <w:ind w:left="8208" w:hanging="180"/>
      </w:pPr>
      <w:rPr>
        <w:rFonts w:cs="Times New Roman"/>
      </w:rPr>
    </w:lvl>
  </w:abstractNum>
  <w:abstractNum w:abstractNumId="26">
    <w:nsid w:val="3B600593"/>
    <w:multiLevelType w:val="hybridMultilevel"/>
    <w:tmpl w:val="115659BE"/>
    <w:lvl w:ilvl="0" w:tplc="A2A05CF0">
      <w:start w:val="1"/>
      <w:numFmt w:val="decimal"/>
      <w:lvlText w:val="%1."/>
      <w:lvlJc w:val="left"/>
      <w:pPr>
        <w:tabs>
          <w:tab w:val="num" w:pos="1440"/>
        </w:tabs>
        <w:ind w:left="144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44C5B73"/>
    <w:multiLevelType w:val="hybridMultilevel"/>
    <w:tmpl w:val="E45C4B30"/>
    <w:lvl w:ilvl="0" w:tplc="04090005">
      <w:start w:val="1"/>
      <w:numFmt w:val="bullet"/>
      <w:lvlText w:val=""/>
      <w:lvlJc w:val="left"/>
      <w:pPr>
        <w:ind w:left="825" w:hanging="360"/>
      </w:pPr>
      <w:rPr>
        <w:rFonts w:ascii="Wingdings" w:hAnsi="Wingdings"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8">
    <w:nsid w:val="44B210A5"/>
    <w:multiLevelType w:val="hybridMultilevel"/>
    <w:tmpl w:val="781A0F08"/>
    <w:lvl w:ilvl="0" w:tplc="46209900">
      <w:start w:val="1"/>
      <w:numFmt w:val="bullet"/>
      <w:lvlText w:val="□"/>
      <w:lvlJc w:val="left"/>
      <w:pPr>
        <w:tabs>
          <w:tab w:val="num" w:pos="1620"/>
        </w:tabs>
        <w:ind w:left="1620" w:hanging="360"/>
      </w:pPr>
      <w:rPr>
        <w:rFonts w:ascii="Arial" w:hAnsi="Arial" w:hint="default"/>
        <w:sz w:val="36"/>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9">
    <w:nsid w:val="48A222B1"/>
    <w:multiLevelType w:val="hybridMultilevel"/>
    <w:tmpl w:val="49F80020"/>
    <w:lvl w:ilvl="0" w:tplc="342835B0">
      <w:start w:val="1"/>
      <w:numFmt w:val="bullet"/>
      <w:lvlText w:val="□"/>
      <w:lvlJc w:val="left"/>
      <w:pPr>
        <w:tabs>
          <w:tab w:val="num" w:pos="1620"/>
        </w:tabs>
        <w:ind w:left="1620" w:hanging="360"/>
      </w:pPr>
      <w:rPr>
        <w:rFonts w:ascii="Arial" w:hAnsi="Arial" w:hint="default"/>
        <w:sz w:val="36"/>
      </w:rPr>
    </w:lvl>
    <w:lvl w:ilvl="1" w:tplc="EDB00F10">
      <w:start w:val="1"/>
      <w:numFmt w:val="bullet"/>
      <w:lvlText w:val="o"/>
      <w:lvlJc w:val="left"/>
      <w:pPr>
        <w:tabs>
          <w:tab w:val="num" w:pos="1440"/>
        </w:tabs>
        <w:ind w:left="1440" w:hanging="360"/>
      </w:pPr>
      <w:rPr>
        <w:rFonts w:ascii="Courier New" w:hAnsi="Courier New" w:hint="default"/>
      </w:rPr>
    </w:lvl>
    <w:lvl w:ilvl="2" w:tplc="5EE0125A">
      <w:start w:val="1"/>
      <w:numFmt w:val="bullet"/>
      <w:lvlText w:val="■"/>
      <w:lvlJc w:val="left"/>
      <w:pPr>
        <w:tabs>
          <w:tab w:val="num" w:pos="720"/>
        </w:tabs>
        <w:ind w:left="720" w:hanging="360"/>
      </w:pPr>
      <w:rPr>
        <w:rFonts w:ascii="Arial" w:hAnsi="Arial" w:hint="default"/>
        <w:color w:val="FFFFFF"/>
        <w:sz w:val="36"/>
      </w:rPr>
    </w:lvl>
    <w:lvl w:ilvl="3" w:tplc="4DC4E726">
      <w:start w:val="1"/>
      <w:numFmt w:val="bullet"/>
      <w:lvlText w:val=""/>
      <w:lvlJc w:val="left"/>
      <w:pPr>
        <w:tabs>
          <w:tab w:val="num" w:pos="2880"/>
        </w:tabs>
        <w:ind w:left="2880" w:hanging="360"/>
      </w:pPr>
      <w:rPr>
        <w:rFonts w:ascii="Symbol" w:hAnsi="Symbol" w:hint="default"/>
      </w:rPr>
    </w:lvl>
    <w:lvl w:ilvl="4" w:tplc="462A0C3A" w:tentative="1">
      <w:start w:val="1"/>
      <w:numFmt w:val="bullet"/>
      <w:lvlText w:val="o"/>
      <w:lvlJc w:val="left"/>
      <w:pPr>
        <w:tabs>
          <w:tab w:val="num" w:pos="3600"/>
        </w:tabs>
        <w:ind w:left="3600" w:hanging="360"/>
      </w:pPr>
      <w:rPr>
        <w:rFonts w:ascii="Courier New" w:hAnsi="Courier New" w:hint="default"/>
      </w:rPr>
    </w:lvl>
    <w:lvl w:ilvl="5" w:tplc="84C01CBA" w:tentative="1">
      <w:start w:val="1"/>
      <w:numFmt w:val="bullet"/>
      <w:lvlText w:val=""/>
      <w:lvlJc w:val="left"/>
      <w:pPr>
        <w:tabs>
          <w:tab w:val="num" w:pos="4320"/>
        </w:tabs>
        <w:ind w:left="4320" w:hanging="360"/>
      </w:pPr>
      <w:rPr>
        <w:rFonts w:ascii="Wingdings" w:hAnsi="Wingdings" w:hint="default"/>
      </w:rPr>
    </w:lvl>
    <w:lvl w:ilvl="6" w:tplc="52D40714" w:tentative="1">
      <w:start w:val="1"/>
      <w:numFmt w:val="bullet"/>
      <w:lvlText w:val=""/>
      <w:lvlJc w:val="left"/>
      <w:pPr>
        <w:tabs>
          <w:tab w:val="num" w:pos="5040"/>
        </w:tabs>
        <w:ind w:left="5040" w:hanging="360"/>
      </w:pPr>
      <w:rPr>
        <w:rFonts w:ascii="Symbol" w:hAnsi="Symbol" w:hint="default"/>
      </w:rPr>
    </w:lvl>
    <w:lvl w:ilvl="7" w:tplc="D11CAE16" w:tentative="1">
      <w:start w:val="1"/>
      <w:numFmt w:val="bullet"/>
      <w:lvlText w:val="o"/>
      <w:lvlJc w:val="left"/>
      <w:pPr>
        <w:tabs>
          <w:tab w:val="num" w:pos="5760"/>
        </w:tabs>
        <w:ind w:left="5760" w:hanging="360"/>
      </w:pPr>
      <w:rPr>
        <w:rFonts w:ascii="Courier New" w:hAnsi="Courier New" w:hint="default"/>
      </w:rPr>
    </w:lvl>
    <w:lvl w:ilvl="8" w:tplc="FF96AB08" w:tentative="1">
      <w:start w:val="1"/>
      <w:numFmt w:val="bullet"/>
      <w:lvlText w:val=""/>
      <w:lvlJc w:val="left"/>
      <w:pPr>
        <w:tabs>
          <w:tab w:val="num" w:pos="6480"/>
        </w:tabs>
        <w:ind w:left="6480" w:hanging="360"/>
      </w:pPr>
      <w:rPr>
        <w:rFonts w:ascii="Wingdings" w:hAnsi="Wingdings" w:hint="default"/>
      </w:rPr>
    </w:lvl>
  </w:abstractNum>
  <w:abstractNum w:abstractNumId="30">
    <w:nsid w:val="4C0F2038"/>
    <w:multiLevelType w:val="hybridMultilevel"/>
    <w:tmpl w:val="635E62B4"/>
    <w:lvl w:ilvl="0" w:tplc="FD6CB7E8">
      <w:start w:val="1"/>
      <w:numFmt w:val="lowerLetter"/>
      <w:lvlText w:val="%1."/>
      <w:lvlJc w:val="left"/>
      <w:pPr>
        <w:ind w:left="2088" w:hanging="360"/>
      </w:pPr>
      <w:rPr>
        <w:rFonts w:cs="Times New Roman"/>
      </w:rPr>
    </w:lvl>
    <w:lvl w:ilvl="1" w:tplc="04090019" w:tentative="1">
      <w:start w:val="1"/>
      <w:numFmt w:val="lowerLetter"/>
      <w:lvlText w:val="%2."/>
      <w:lvlJc w:val="left"/>
      <w:pPr>
        <w:ind w:left="2808" w:hanging="360"/>
      </w:pPr>
      <w:rPr>
        <w:rFonts w:cs="Times New Roman"/>
      </w:rPr>
    </w:lvl>
    <w:lvl w:ilvl="2" w:tplc="0409001B" w:tentative="1">
      <w:start w:val="1"/>
      <w:numFmt w:val="lowerRoman"/>
      <w:lvlText w:val="%3."/>
      <w:lvlJc w:val="right"/>
      <w:pPr>
        <w:ind w:left="3528" w:hanging="180"/>
      </w:pPr>
      <w:rPr>
        <w:rFonts w:cs="Times New Roman"/>
      </w:rPr>
    </w:lvl>
    <w:lvl w:ilvl="3" w:tplc="0409000F" w:tentative="1">
      <w:start w:val="1"/>
      <w:numFmt w:val="decimal"/>
      <w:lvlText w:val="%4."/>
      <w:lvlJc w:val="left"/>
      <w:pPr>
        <w:ind w:left="4248" w:hanging="360"/>
      </w:pPr>
      <w:rPr>
        <w:rFonts w:cs="Times New Roman"/>
      </w:rPr>
    </w:lvl>
    <w:lvl w:ilvl="4" w:tplc="04090019" w:tentative="1">
      <w:start w:val="1"/>
      <w:numFmt w:val="lowerLetter"/>
      <w:lvlText w:val="%5."/>
      <w:lvlJc w:val="left"/>
      <w:pPr>
        <w:ind w:left="4968" w:hanging="360"/>
      </w:pPr>
      <w:rPr>
        <w:rFonts w:cs="Times New Roman"/>
      </w:rPr>
    </w:lvl>
    <w:lvl w:ilvl="5" w:tplc="0409001B" w:tentative="1">
      <w:start w:val="1"/>
      <w:numFmt w:val="lowerRoman"/>
      <w:lvlText w:val="%6."/>
      <w:lvlJc w:val="right"/>
      <w:pPr>
        <w:ind w:left="5688" w:hanging="180"/>
      </w:pPr>
      <w:rPr>
        <w:rFonts w:cs="Times New Roman"/>
      </w:rPr>
    </w:lvl>
    <w:lvl w:ilvl="6" w:tplc="0409000F" w:tentative="1">
      <w:start w:val="1"/>
      <w:numFmt w:val="decimal"/>
      <w:lvlText w:val="%7."/>
      <w:lvlJc w:val="left"/>
      <w:pPr>
        <w:ind w:left="6408" w:hanging="360"/>
      </w:pPr>
      <w:rPr>
        <w:rFonts w:cs="Times New Roman"/>
      </w:rPr>
    </w:lvl>
    <w:lvl w:ilvl="7" w:tplc="04090019" w:tentative="1">
      <w:start w:val="1"/>
      <w:numFmt w:val="lowerLetter"/>
      <w:lvlText w:val="%8."/>
      <w:lvlJc w:val="left"/>
      <w:pPr>
        <w:ind w:left="7128" w:hanging="360"/>
      </w:pPr>
      <w:rPr>
        <w:rFonts w:cs="Times New Roman"/>
      </w:rPr>
    </w:lvl>
    <w:lvl w:ilvl="8" w:tplc="0409001B" w:tentative="1">
      <w:start w:val="1"/>
      <w:numFmt w:val="lowerRoman"/>
      <w:lvlText w:val="%9."/>
      <w:lvlJc w:val="right"/>
      <w:pPr>
        <w:ind w:left="7848" w:hanging="180"/>
      </w:pPr>
      <w:rPr>
        <w:rFonts w:cs="Times New Roman"/>
      </w:rPr>
    </w:lvl>
  </w:abstractNum>
  <w:abstractNum w:abstractNumId="31">
    <w:nsid w:val="505802CE"/>
    <w:multiLevelType w:val="hybridMultilevel"/>
    <w:tmpl w:val="489605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2195DAD"/>
    <w:multiLevelType w:val="multilevel"/>
    <w:tmpl w:val="AD784F1A"/>
    <w:lvl w:ilvl="0">
      <w:start w:val="1"/>
      <w:numFmt w:val="bullet"/>
      <w:lvlText w:val=""/>
      <w:lvlJc w:val="left"/>
      <w:pPr>
        <w:tabs>
          <w:tab w:val="num" w:pos="1152"/>
        </w:tabs>
        <w:ind w:left="1152" w:hanging="576"/>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55352AF0"/>
    <w:multiLevelType w:val="hybridMultilevel"/>
    <w:tmpl w:val="FDBE103C"/>
    <w:lvl w:ilvl="0" w:tplc="0409000F">
      <w:start w:val="1"/>
      <w:numFmt w:val="bullet"/>
      <w:lvlText w:val=""/>
      <w:lvlJc w:val="left"/>
      <w:pPr>
        <w:tabs>
          <w:tab w:val="num" w:pos="1440"/>
        </w:tabs>
        <w:ind w:left="1728" w:hanging="576"/>
      </w:pPr>
      <w:rPr>
        <w:rFonts w:ascii="Wingdings 3" w:hAnsi="Wingdings 3"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A8E4940"/>
    <w:multiLevelType w:val="hybridMultilevel"/>
    <w:tmpl w:val="BFB8940E"/>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35">
    <w:nsid w:val="5DB2342E"/>
    <w:multiLevelType w:val="hybridMultilevel"/>
    <w:tmpl w:val="1E0643E8"/>
    <w:lvl w:ilvl="0" w:tplc="FD6CB7E8">
      <w:start w:val="1"/>
      <w:numFmt w:val="lowerLetter"/>
      <w:lvlText w:val="%1."/>
      <w:lvlJc w:val="left"/>
      <w:pPr>
        <w:ind w:left="2088" w:hanging="360"/>
      </w:pPr>
      <w:rPr>
        <w:rFonts w:cs="Times New Roman"/>
      </w:rPr>
    </w:lvl>
    <w:lvl w:ilvl="1" w:tplc="04090019" w:tentative="1">
      <w:start w:val="1"/>
      <w:numFmt w:val="lowerLetter"/>
      <w:lvlText w:val="%2."/>
      <w:lvlJc w:val="left"/>
      <w:pPr>
        <w:ind w:left="2808" w:hanging="360"/>
      </w:pPr>
      <w:rPr>
        <w:rFonts w:cs="Times New Roman"/>
      </w:rPr>
    </w:lvl>
    <w:lvl w:ilvl="2" w:tplc="0409001B" w:tentative="1">
      <w:start w:val="1"/>
      <w:numFmt w:val="lowerRoman"/>
      <w:lvlText w:val="%3."/>
      <w:lvlJc w:val="right"/>
      <w:pPr>
        <w:ind w:left="3528" w:hanging="180"/>
      </w:pPr>
      <w:rPr>
        <w:rFonts w:cs="Times New Roman"/>
      </w:rPr>
    </w:lvl>
    <w:lvl w:ilvl="3" w:tplc="0409000F" w:tentative="1">
      <w:start w:val="1"/>
      <w:numFmt w:val="decimal"/>
      <w:lvlText w:val="%4."/>
      <w:lvlJc w:val="left"/>
      <w:pPr>
        <w:ind w:left="4248" w:hanging="360"/>
      </w:pPr>
      <w:rPr>
        <w:rFonts w:cs="Times New Roman"/>
      </w:rPr>
    </w:lvl>
    <w:lvl w:ilvl="4" w:tplc="04090019" w:tentative="1">
      <w:start w:val="1"/>
      <w:numFmt w:val="lowerLetter"/>
      <w:lvlText w:val="%5."/>
      <w:lvlJc w:val="left"/>
      <w:pPr>
        <w:ind w:left="4968" w:hanging="360"/>
      </w:pPr>
      <w:rPr>
        <w:rFonts w:cs="Times New Roman"/>
      </w:rPr>
    </w:lvl>
    <w:lvl w:ilvl="5" w:tplc="0409001B" w:tentative="1">
      <w:start w:val="1"/>
      <w:numFmt w:val="lowerRoman"/>
      <w:lvlText w:val="%6."/>
      <w:lvlJc w:val="right"/>
      <w:pPr>
        <w:ind w:left="5688" w:hanging="180"/>
      </w:pPr>
      <w:rPr>
        <w:rFonts w:cs="Times New Roman"/>
      </w:rPr>
    </w:lvl>
    <w:lvl w:ilvl="6" w:tplc="0409000F" w:tentative="1">
      <w:start w:val="1"/>
      <w:numFmt w:val="decimal"/>
      <w:lvlText w:val="%7."/>
      <w:lvlJc w:val="left"/>
      <w:pPr>
        <w:ind w:left="6408" w:hanging="360"/>
      </w:pPr>
      <w:rPr>
        <w:rFonts w:cs="Times New Roman"/>
      </w:rPr>
    </w:lvl>
    <w:lvl w:ilvl="7" w:tplc="04090019" w:tentative="1">
      <w:start w:val="1"/>
      <w:numFmt w:val="lowerLetter"/>
      <w:lvlText w:val="%8."/>
      <w:lvlJc w:val="left"/>
      <w:pPr>
        <w:ind w:left="7128" w:hanging="360"/>
      </w:pPr>
      <w:rPr>
        <w:rFonts w:cs="Times New Roman"/>
      </w:rPr>
    </w:lvl>
    <w:lvl w:ilvl="8" w:tplc="0409001B" w:tentative="1">
      <w:start w:val="1"/>
      <w:numFmt w:val="lowerRoman"/>
      <w:lvlText w:val="%9."/>
      <w:lvlJc w:val="right"/>
      <w:pPr>
        <w:ind w:left="7848" w:hanging="180"/>
      </w:pPr>
      <w:rPr>
        <w:rFonts w:cs="Times New Roman"/>
      </w:rPr>
    </w:lvl>
  </w:abstractNum>
  <w:abstractNum w:abstractNumId="36">
    <w:nsid w:val="5FC41AD7"/>
    <w:multiLevelType w:val="hybridMultilevel"/>
    <w:tmpl w:val="2FD2D2B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0B12582"/>
    <w:multiLevelType w:val="hybridMultilevel"/>
    <w:tmpl w:val="64F695FC"/>
    <w:lvl w:ilvl="0" w:tplc="04090005">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8">
    <w:nsid w:val="60E61409"/>
    <w:multiLevelType w:val="hybridMultilevel"/>
    <w:tmpl w:val="C5E6951C"/>
    <w:lvl w:ilvl="0" w:tplc="30F20B06">
      <w:start w:val="1"/>
      <w:numFmt w:val="lowerLetter"/>
      <w:lvlText w:val="%1."/>
      <w:lvlJc w:val="left"/>
      <w:pPr>
        <w:ind w:left="2448" w:hanging="360"/>
      </w:pPr>
      <w:rPr>
        <w:rFonts w:cs="Times New Roman"/>
      </w:rPr>
    </w:lvl>
    <w:lvl w:ilvl="1" w:tplc="2CBA5F8C" w:tentative="1">
      <w:start w:val="1"/>
      <w:numFmt w:val="lowerLetter"/>
      <w:lvlText w:val="%2."/>
      <w:lvlJc w:val="left"/>
      <w:pPr>
        <w:ind w:left="3168" w:hanging="360"/>
      </w:pPr>
      <w:rPr>
        <w:rFonts w:cs="Times New Roman"/>
      </w:rPr>
    </w:lvl>
    <w:lvl w:ilvl="2" w:tplc="FDDEB870" w:tentative="1">
      <w:start w:val="1"/>
      <w:numFmt w:val="lowerRoman"/>
      <w:lvlText w:val="%3."/>
      <w:lvlJc w:val="right"/>
      <w:pPr>
        <w:ind w:left="3888" w:hanging="180"/>
      </w:pPr>
      <w:rPr>
        <w:rFonts w:cs="Times New Roman"/>
      </w:rPr>
    </w:lvl>
    <w:lvl w:ilvl="3" w:tplc="138E6AFE" w:tentative="1">
      <w:start w:val="1"/>
      <w:numFmt w:val="decimal"/>
      <w:lvlText w:val="%4."/>
      <w:lvlJc w:val="left"/>
      <w:pPr>
        <w:ind w:left="4608" w:hanging="360"/>
      </w:pPr>
      <w:rPr>
        <w:rFonts w:cs="Times New Roman"/>
      </w:rPr>
    </w:lvl>
    <w:lvl w:ilvl="4" w:tplc="22DA7A88" w:tentative="1">
      <w:start w:val="1"/>
      <w:numFmt w:val="lowerLetter"/>
      <w:lvlText w:val="%5."/>
      <w:lvlJc w:val="left"/>
      <w:pPr>
        <w:ind w:left="5328" w:hanging="360"/>
      </w:pPr>
      <w:rPr>
        <w:rFonts w:cs="Times New Roman"/>
      </w:rPr>
    </w:lvl>
    <w:lvl w:ilvl="5" w:tplc="1E540682" w:tentative="1">
      <w:start w:val="1"/>
      <w:numFmt w:val="lowerRoman"/>
      <w:lvlText w:val="%6."/>
      <w:lvlJc w:val="right"/>
      <w:pPr>
        <w:ind w:left="6048" w:hanging="180"/>
      </w:pPr>
      <w:rPr>
        <w:rFonts w:cs="Times New Roman"/>
      </w:rPr>
    </w:lvl>
    <w:lvl w:ilvl="6" w:tplc="F4248E56" w:tentative="1">
      <w:start w:val="1"/>
      <w:numFmt w:val="decimal"/>
      <w:lvlText w:val="%7."/>
      <w:lvlJc w:val="left"/>
      <w:pPr>
        <w:ind w:left="6768" w:hanging="360"/>
      </w:pPr>
      <w:rPr>
        <w:rFonts w:cs="Times New Roman"/>
      </w:rPr>
    </w:lvl>
    <w:lvl w:ilvl="7" w:tplc="24C4DB50" w:tentative="1">
      <w:start w:val="1"/>
      <w:numFmt w:val="lowerLetter"/>
      <w:lvlText w:val="%8."/>
      <w:lvlJc w:val="left"/>
      <w:pPr>
        <w:ind w:left="7488" w:hanging="360"/>
      </w:pPr>
      <w:rPr>
        <w:rFonts w:cs="Times New Roman"/>
      </w:rPr>
    </w:lvl>
    <w:lvl w:ilvl="8" w:tplc="4A949830" w:tentative="1">
      <w:start w:val="1"/>
      <w:numFmt w:val="lowerRoman"/>
      <w:lvlText w:val="%9."/>
      <w:lvlJc w:val="right"/>
      <w:pPr>
        <w:ind w:left="8208" w:hanging="180"/>
      </w:pPr>
      <w:rPr>
        <w:rFonts w:cs="Times New Roman"/>
      </w:rPr>
    </w:lvl>
  </w:abstractNum>
  <w:abstractNum w:abstractNumId="39">
    <w:nsid w:val="627563D1"/>
    <w:multiLevelType w:val="hybridMultilevel"/>
    <w:tmpl w:val="49F80020"/>
    <w:lvl w:ilvl="0" w:tplc="A2A05CF0">
      <w:start w:val="1"/>
      <w:numFmt w:val="bullet"/>
      <w:lvlText w:val="□"/>
      <w:lvlJc w:val="left"/>
      <w:pPr>
        <w:tabs>
          <w:tab w:val="num" w:pos="1620"/>
        </w:tabs>
        <w:ind w:left="1620" w:hanging="360"/>
      </w:pPr>
      <w:rPr>
        <w:rFonts w:ascii="Arial" w:hAnsi="Arial" w:hint="default"/>
        <w:sz w:val="3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720"/>
        </w:tabs>
        <w:ind w:left="720" w:hanging="360"/>
      </w:pPr>
      <w:rPr>
        <w:rFonts w:ascii="Arial" w:hAnsi="Arial" w:hint="default"/>
        <w:color w:val="FFFFFF"/>
        <w:sz w:val="36"/>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B3A5B8B"/>
    <w:multiLevelType w:val="hybridMultilevel"/>
    <w:tmpl w:val="59441052"/>
    <w:lvl w:ilvl="0" w:tplc="A2A05CF0">
      <w:start w:val="1"/>
      <w:numFmt w:val="lowerLetter"/>
      <w:lvlText w:val="%1."/>
      <w:lvlJc w:val="left"/>
      <w:pPr>
        <w:ind w:left="2448" w:hanging="360"/>
      </w:pPr>
      <w:rPr>
        <w:rFonts w:cs="Times New Roman"/>
      </w:rPr>
    </w:lvl>
    <w:lvl w:ilvl="1" w:tplc="04090003" w:tentative="1">
      <w:start w:val="1"/>
      <w:numFmt w:val="lowerLetter"/>
      <w:lvlText w:val="%2."/>
      <w:lvlJc w:val="left"/>
      <w:pPr>
        <w:ind w:left="3168" w:hanging="360"/>
      </w:pPr>
      <w:rPr>
        <w:rFonts w:cs="Times New Roman"/>
      </w:rPr>
    </w:lvl>
    <w:lvl w:ilvl="2" w:tplc="9D5C6D4A" w:tentative="1">
      <w:start w:val="1"/>
      <w:numFmt w:val="lowerRoman"/>
      <w:lvlText w:val="%3."/>
      <w:lvlJc w:val="right"/>
      <w:pPr>
        <w:ind w:left="3888" w:hanging="180"/>
      </w:pPr>
      <w:rPr>
        <w:rFonts w:cs="Times New Roman"/>
      </w:rPr>
    </w:lvl>
    <w:lvl w:ilvl="3" w:tplc="04090001" w:tentative="1">
      <w:start w:val="1"/>
      <w:numFmt w:val="decimal"/>
      <w:lvlText w:val="%4."/>
      <w:lvlJc w:val="left"/>
      <w:pPr>
        <w:ind w:left="4608" w:hanging="360"/>
      </w:pPr>
      <w:rPr>
        <w:rFonts w:cs="Times New Roman"/>
      </w:rPr>
    </w:lvl>
    <w:lvl w:ilvl="4" w:tplc="04090003" w:tentative="1">
      <w:start w:val="1"/>
      <w:numFmt w:val="lowerLetter"/>
      <w:lvlText w:val="%5."/>
      <w:lvlJc w:val="left"/>
      <w:pPr>
        <w:ind w:left="5328" w:hanging="360"/>
      </w:pPr>
      <w:rPr>
        <w:rFonts w:cs="Times New Roman"/>
      </w:rPr>
    </w:lvl>
    <w:lvl w:ilvl="5" w:tplc="04090005" w:tentative="1">
      <w:start w:val="1"/>
      <w:numFmt w:val="lowerRoman"/>
      <w:lvlText w:val="%6."/>
      <w:lvlJc w:val="right"/>
      <w:pPr>
        <w:ind w:left="6048" w:hanging="180"/>
      </w:pPr>
      <w:rPr>
        <w:rFonts w:cs="Times New Roman"/>
      </w:rPr>
    </w:lvl>
    <w:lvl w:ilvl="6" w:tplc="04090001" w:tentative="1">
      <w:start w:val="1"/>
      <w:numFmt w:val="decimal"/>
      <w:lvlText w:val="%7."/>
      <w:lvlJc w:val="left"/>
      <w:pPr>
        <w:ind w:left="6768" w:hanging="360"/>
      </w:pPr>
      <w:rPr>
        <w:rFonts w:cs="Times New Roman"/>
      </w:rPr>
    </w:lvl>
    <w:lvl w:ilvl="7" w:tplc="04090003" w:tentative="1">
      <w:start w:val="1"/>
      <w:numFmt w:val="lowerLetter"/>
      <w:lvlText w:val="%8."/>
      <w:lvlJc w:val="left"/>
      <w:pPr>
        <w:ind w:left="7488" w:hanging="360"/>
      </w:pPr>
      <w:rPr>
        <w:rFonts w:cs="Times New Roman"/>
      </w:rPr>
    </w:lvl>
    <w:lvl w:ilvl="8" w:tplc="04090005" w:tentative="1">
      <w:start w:val="1"/>
      <w:numFmt w:val="lowerRoman"/>
      <w:lvlText w:val="%9."/>
      <w:lvlJc w:val="right"/>
      <w:pPr>
        <w:ind w:left="8208" w:hanging="180"/>
      </w:pPr>
      <w:rPr>
        <w:rFonts w:cs="Times New Roman"/>
      </w:rPr>
    </w:lvl>
  </w:abstractNum>
  <w:abstractNum w:abstractNumId="41">
    <w:nsid w:val="6C106194"/>
    <w:multiLevelType w:val="hybridMultilevel"/>
    <w:tmpl w:val="8AEE7530"/>
    <w:lvl w:ilvl="0" w:tplc="04090019">
      <w:start w:val="1"/>
      <w:numFmt w:val="lowerLetter"/>
      <w:lvlText w:val="%1."/>
      <w:lvlJc w:val="left"/>
      <w:pPr>
        <w:ind w:left="2448" w:hanging="360"/>
      </w:pPr>
      <w:rPr>
        <w:rFonts w:cs="Times New Roman"/>
      </w:rPr>
    </w:lvl>
    <w:lvl w:ilvl="1" w:tplc="04090019" w:tentative="1">
      <w:start w:val="1"/>
      <w:numFmt w:val="lowerLetter"/>
      <w:lvlText w:val="%2."/>
      <w:lvlJc w:val="left"/>
      <w:pPr>
        <w:ind w:left="3168" w:hanging="360"/>
      </w:pPr>
      <w:rPr>
        <w:rFonts w:cs="Times New Roman"/>
      </w:rPr>
    </w:lvl>
    <w:lvl w:ilvl="2" w:tplc="0409001B" w:tentative="1">
      <w:start w:val="1"/>
      <w:numFmt w:val="lowerRoman"/>
      <w:lvlText w:val="%3."/>
      <w:lvlJc w:val="right"/>
      <w:pPr>
        <w:ind w:left="3888" w:hanging="180"/>
      </w:pPr>
      <w:rPr>
        <w:rFonts w:cs="Times New Roman"/>
      </w:rPr>
    </w:lvl>
    <w:lvl w:ilvl="3" w:tplc="0409000F" w:tentative="1">
      <w:start w:val="1"/>
      <w:numFmt w:val="decimal"/>
      <w:lvlText w:val="%4."/>
      <w:lvlJc w:val="left"/>
      <w:pPr>
        <w:ind w:left="4608" w:hanging="360"/>
      </w:pPr>
      <w:rPr>
        <w:rFonts w:cs="Times New Roman"/>
      </w:rPr>
    </w:lvl>
    <w:lvl w:ilvl="4" w:tplc="04090019" w:tentative="1">
      <w:start w:val="1"/>
      <w:numFmt w:val="lowerLetter"/>
      <w:lvlText w:val="%5."/>
      <w:lvlJc w:val="left"/>
      <w:pPr>
        <w:ind w:left="5328" w:hanging="360"/>
      </w:pPr>
      <w:rPr>
        <w:rFonts w:cs="Times New Roman"/>
      </w:rPr>
    </w:lvl>
    <w:lvl w:ilvl="5" w:tplc="0409001B" w:tentative="1">
      <w:start w:val="1"/>
      <w:numFmt w:val="lowerRoman"/>
      <w:lvlText w:val="%6."/>
      <w:lvlJc w:val="right"/>
      <w:pPr>
        <w:ind w:left="6048" w:hanging="180"/>
      </w:pPr>
      <w:rPr>
        <w:rFonts w:cs="Times New Roman"/>
      </w:rPr>
    </w:lvl>
    <w:lvl w:ilvl="6" w:tplc="0409000F" w:tentative="1">
      <w:start w:val="1"/>
      <w:numFmt w:val="decimal"/>
      <w:lvlText w:val="%7."/>
      <w:lvlJc w:val="left"/>
      <w:pPr>
        <w:ind w:left="6768" w:hanging="360"/>
      </w:pPr>
      <w:rPr>
        <w:rFonts w:cs="Times New Roman"/>
      </w:rPr>
    </w:lvl>
    <w:lvl w:ilvl="7" w:tplc="04090019" w:tentative="1">
      <w:start w:val="1"/>
      <w:numFmt w:val="lowerLetter"/>
      <w:lvlText w:val="%8."/>
      <w:lvlJc w:val="left"/>
      <w:pPr>
        <w:ind w:left="7488" w:hanging="360"/>
      </w:pPr>
      <w:rPr>
        <w:rFonts w:cs="Times New Roman"/>
      </w:rPr>
    </w:lvl>
    <w:lvl w:ilvl="8" w:tplc="0409001B" w:tentative="1">
      <w:start w:val="1"/>
      <w:numFmt w:val="lowerRoman"/>
      <w:lvlText w:val="%9."/>
      <w:lvlJc w:val="right"/>
      <w:pPr>
        <w:ind w:left="8208" w:hanging="180"/>
      </w:pPr>
      <w:rPr>
        <w:rFonts w:cs="Times New Roman"/>
      </w:rPr>
    </w:lvl>
  </w:abstractNum>
  <w:abstractNum w:abstractNumId="42">
    <w:nsid w:val="724C2CC1"/>
    <w:multiLevelType w:val="hybridMultilevel"/>
    <w:tmpl w:val="6BC4D690"/>
    <w:lvl w:ilvl="0" w:tplc="04090005">
      <w:start w:val="1"/>
      <w:numFmt w:val="bullet"/>
      <w:lvlText w:val=""/>
      <w:lvlJc w:val="left"/>
      <w:pPr>
        <w:ind w:left="1872" w:hanging="360"/>
      </w:pPr>
      <w:rPr>
        <w:rFonts w:ascii="Wingdings" w:hAnsi="Wingdings"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43">
    <w:nsid w:val="73E744ED"/>
    <w:multiLevelType w:val="hybridMultilevel"/>
    <w:tmpl w:val="D3F60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A2409FD"/>
    <w:multiLevelType w:val="hybridMultilevel"/>
    <w:tmpl w:val="A014AA42"/>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45">
    <w:nsid w:val="7C5F2AF7"/>
    <w:multiLevelType w:val="hybridMultilevel"/>
    <w:tmpl w:val="C73A87C8"/>
    <w:lvl w:ilvl="0" w:tplc="53DEBB7E">
      <w:start w:val="1"/>
      <w:numFmt w:val="bullet"/>
      <w:lvlText w:val="□"/>
      <w:lvlJc w:val="left"/>
      <w:pPr>
        <w:tabs>
          <w:tab w:val="num" w:pos="1620"/>
        </w:tabs>
        <w:ind w:left="1620" w:hanging="360"/>
      </w:pPr>
      <w:rPr>
        <w:rFonts w:ascii="Arial" w:hAnsi="Arial" w:hint="default"/>
        <w:sz w:val="36"/>
      </w:rPr>
    </w:lvl>
    <w:lvl w:ilvl="1" w:tplc="854AE9E4">
      <w:start w:val="1"/>
      <w:numFmt w:val="bullet"/>
      <w:lvlText w:val="o"/>
      <w:lvlJc w:val="left"/>
      <w:pPr>
        <w:tabs>
          <w:tab w:val="num" w:pos="1440"/>
        </w:tabs>
        <w:ind w:left="1440" w:hanging="360"/>
      </w:pPr>
      <w:rPr>
        <w:rFonts w:ascii="Courier New" w:hAnsi="Courier New" w:hint="default"/>
      </w:rPr>
    </w:lvl>
    <w:lvl w:ilvl="2" w:tplc="5866CC78" w:tentative="1">
      <w:start w:val="1"/>
      <w:numFmt w:val="bullet"/>
      <w:lvlText w:val=""/>
      <w:lvlJc w:val="left"/>
      <w:pPr>
        <w:tabs>
          <w:tab w:val="num" w:pos="2160"/>
        </w:tabs>
        <w:ind w:left="2160" w:hanging="360"/>
      </w:pPr>
      <w:rPr>
        <w:rFonts w:ascii="Wingdings" w:hAnsi="Wingdings" w:hint="default"/>
      </w:rPr>
    </w:lvl>
    <w:lvl w:ilvl="3" w:tplc="B44A0BFA">
      <w:start w:val="1"/>
      <w:numFmt w:val="bullet"/>
      <w:lvlText w:val=""/>
      <w:lvlJc w:val="left"/>
      <w:pPr>
        <w:tabs>
          <w:tab w:val="num" w:pos="2880"/>
        </w:tabs>
        <w:ind w:left="2880" w:hanging="360"/>
      </w:pPr>
      <w:rPr>
        <w:rFonts w:ascii="Symbol" w:hAnsi="Symbol" w:hint="default"/>
      </w:rPr>
    </w:lvl>
    <w:lvl w:ilvl="4" w:tplc="B8FE76B2" w:tentative="1">
      <w:start w:val="1"/>
      <w:numFmt w:val="bullet"/>
      <w:lvlText w:val="o"/>
      <w:lvlJc w:val="left"/>
      <w:pPr>
        <w:tabs>
          <w:tab w:val="num" w:pos="3600"/>
        </w:tabs>
        <w:ind w:left="3600" w:hanging="360"/>
      </w:pPr>
      <w:rPr>
        <w:rFonts w:ascii="Courier New" w:hAnsi="Courier New" w:hint="default"/>
      </w:rPr>
    </w:lvl>
    <w:lvl w:ilvl="5" w:tplc="19D2E866" w:tentative="1">
      <w:start w:val="1"/>
      <w:numFmt w:val="bullet"/>
      <w:lvlText w:val=""/>
      <w:lvlJc w:val="left"/>
      <w:pPr>
        <w:tabs>
          <w:tab w:val="num" w:pos="4320"/>
        </w:tabs>
        <w:ind w:left="4320" w:hanging="360"/>
      </w:pPr>
      <w:rPr>
        <w:rFonts w:ascii="Wingdings" w:hAnsi="Wingdings" w:hint="default"/>
      </w:rPr>
    </w:lvl>
    <w:lvl w:ilvl="6" w:tplc="1688D1E8" w:tentative="1">
      <w:start w:val="1"/>
      <w:numFmt w:val="bullet"/>
      <w:lvlText w:val=""/>
      <w:lvlJc w:val="left"/>
      <w:pPr>
        <w:tabs>
          <w:tab w:val="num" w:pos="5040"/>
        </w:tabs>
        <w:ind w:left="5040" w:hanging="360"/>
      </w:pPr>
      <w:rPr>
        <w:rFonts w:ascii="Symbol" w:hAnsi="Symbol" w:hint="default"/>
      </w:rPr>
    </w:lvl>
    <w:lvl w:ilvl="7" w:tplc="6EF427A0" w:tentative="1">
      <w:start w:val="1"/>
      <w:numFmt w:val="bullet"/>
      <w:lvlText w:val="o"/>
      <w:lvlJc w:val="left"/>
      <w:pPr>
        <w:tabs>
          <w:tab w:val="num" w:pos="5760"/>
        </w:tabs>
        <w:ind w:left="5760" w:hanging="360"/>
      </w:pPr>
      <w:rPr>
        <w:rFonts w:ascii="Courier New" w:hAnsi="Courier New" w:hint="default"/>
      </w:rPr>
    </w:lvl>
    <w:lvl w:ilvl="8" w:tplc="B26C86F6" w:tentative="1">
      <w:start w:val="1"/>
      <w:numFmt w:val="bullet"/>
      <w:lvlText w:val=""/>
      <w:lvlJc w:val="left"/>
      <w:pPr>
        <w:tabs>
          <w:tab w:val="num" w:pos="6480"/>
        </w:tabs>
        <w:ind w:left="6480" w:hanging="360"/>
      </w:pPr>
      <w:rPr>
        <w:rFonts w:ascii="Wingdings" w:hAnsi="Wingdings" w:hint="default"/>
      </w:rPr>
    </w:lvl>
  </w:abstractNum>
  <w:abstractNum w:abstractNumId="46">
    <w:nsid w:val="7E060616"/>
    <w:multiLevelType w:val="hybridMultilevel"/>
    <w:tmpl w:val="44083CBC"/>
    <w:lvl w:ilvl="0" w:tplc="04090019">
      <w:start w:val="1"/>
      <w:numFmt w:val="bullet"/>
      <w:lvlText w:val="□"/>
      <w:lvlJc w:val="left"/>
      <w:pPr>
        <w:tabs>
          <w:tab w:val="num" w:pos="1620"/>
        </w:tabs>
        <w:ind w:left="1620" w:hanging="360"/>
      </w:pPr>
      <w:rPr>
        <w:rFonts w:ascii="Arial" w:hAnsi="Arial" w:hint="default"/>
        <w:sz w:val="36"/>
      </w:rPr>
    </w:lvl>
    <w:lvl w:ilvl="1" w:tplc="04090019" w:tentative="1">
      <w:start w:val="1"/>
      <w:numFmt w:val="bullet"/>
      <w:lvlText w:val="o"/>
      <w:lvlJc w:val="left"/>
      <w:pPr>
        <w:tabs>
          <w:tab w:val="num" w:pos="4320"/>
        </w:tabs>
        <w:ind w:left="4320" w:hanging="360"/>
      </w:pPr>
      <w:rPr>
        <w:rFonts w:ascii="Courier New" w:hAnsi="Courier New" w:hint="default"/>
      </w:rPr>
    </w:lvl>
    <w:lvl w:ilvl="2" w:tplc="0409001B" w:tentative="1">
      <w:start w:val="1"/>
      <w:numFmt w:val="bullet"/>
      <w:lvlText w:val=""/>
      <w:lvlJc w:val="left"/>
      <w:pPr>
        <w:tabs>
          <w:tab w:val="num" w:pos="5040"/>
        </w:tabs>
        <w:ind w:left="5040" w:hanging="360"/>
      </w:pPr>
      <w:rPr>
        <w:rFonts w:ascii="Wingdings" w:hAnsi="Wingdings" w:hint="default"/>
      </w:rPr>
    </w:lvl>
    <w:lvl w:ilvl="3" w:tplc="0409000F" w:tentative="1">
      <w:start w:val="1"/>
      <w:numFmt w:val="bullet"/>
      <w:lvlText w:val=""/>
      <w:lvlJc w:val="left"/>
      <w:pPr>
        <w:tabs>
          <w:tab w:val="num" w:pos="5760"/>
        </w:tabs>
        <w:ind w:left="5760" w:hanging="360"/>
      </w:pPr>
      <w:rPr>
        <w:rFonts w:ascii="Symbol" w:hAnsi="Symbol" w:hint="default"/>
      </w:rPr>
    </w:lvl>
    <w:lvl w:ilvl="4" w:tplc="04090019">
      <w:start w:val="1"/>
      <w:numFmt w:val="bullet"/>
      <w:lvlText w:val="o"/>
      <w:lvlJc w:val="left"/>
      <w:pPr>
        <w:tabs>
          <w:tab w:val="num" w:pos="6480"/>
        </w:tabs>
        <w:ind w:left="6480" w:hanging="360"/>
      </w:pPr>
      <w:rPr>
        <w:rFonts w:ascii="Courier New" w:hAnsi="Courier New" w:hint="default"/>
      </w:rPr>
    </w:lvl>
    <w:lvl w:ilvl="5" w:tplc="0409001B" w:tentative="1">
      <w:start w:val="1"/>
      <w:numFmt w:val="bullet"/>
      <w:lvlText w:val=""/>
      <w:lvlJc w:val="left"/>
      <w:pPr>
        <w:tabs>
          <w:tab w:val="num" w:pos="7200"/>
        </w:tabs>
        <w:ind w:left="7200" w:hanging="360"/>
      </w:pPr>
      <w:rPr>
        <w:rFonts w:ascii="Wingdings" w:hAnsi="Wingdings" w:hint="default"/>
      </w:rPr>
    </w:lvl>
    <w:lvl w:ilvl="6" w:tplc="0409000F" w:tentative="1">
      <w:start w:val="1"/>
      <w:numFmt w:val="bullet"/>
      <w:lvlText w:val=""/>
      <w:lvlJc w:val="left"/>
      <w:pPr>
        <w:tabs>
          <w:tab w:val="num" w:pos="7920"/>
        </w:tabs>
        <w:ind w:left="7920" w:hanging="360"/>
      </w:pPr>
      <w:rPr>
        <w:rFonts w:ascii="Symbol" w:hAnsi="Symbol" w:hint="default"/>
      </w:rPr>
    </w:lvl>
    <w:lvl w:ilvl="7" w:tplc="04090019" w:tentative="1">
      <w:start w:val="1"/>
      <w:numFmt w:val="bullet"/>
      <w:lvlText w:val="o"/>
      <w:lvlJc w:val="left"/>
      <w:pPr>
        <w:tabs>
          <w:tab w:val="num" w:pos="8640"/>
        </w:tabs>
        <w:ind w:left="8640" w:hanging="360"/>
      </w:pPr>
      <w:rPr>
        <w:rFonts w:ascii="Courier New" w:hAnsi="Courier New" w:hint="default"/>
      </w:rPr>
    </w:lvl>
    <w:lvl w:ilvl="8" w:tplc="0409001B" w:tentative="1">
      <w:start w:val="1"/>
      <w:numFmt w:val="bullet"/>
      <w:lvlText w:val=""/>
      <w:lvlJc w:val="left"/>
      <w:pPr>
        <w:tabs>
          <w:tab w:val="num" w:pos="9360"/>
        </w:tabs>
        <w:ind w:left="9360" w:hanging="360"/>
      </w:pPr>
      <w:rPr>
        <w:rFonts w:ascii="Wingdings" w:hAnsi="Wingdings" w:hint="default"/>
      </w:rPr>
    </w:lvl>
  </w:abstractNum>
  <w:abstractNum w:abstractNumId="47">
    <w:nsid w:val="7EF665C0"/>
    <w:multiLevelType w:val="hybridMultilevel"/>
    <w:tmpl w:val="AB3A6AB2"/>
    <w:lvl w:ilvl="0" w:tplc="04090019">
      <w:start w:val="1"/>
      <w:numFmt w:val="lowerLetter"/>
      <w:lvlText w:val="%1."/>
      <w:lvlJc w:val="left"/>
      <w:pPr>
        <w:ind w:left="2448" w:hanging="360"/>
      </w:pPr>
      <w:rPr>
        <w:rFonts w:cs="Times New Roman"/>
      </w:rPr>
    </w:lvl>
    <w:lvl w:ilvl="1" w:tplc="04090019" w:tentative="1">
      <w:start w:val="1"/>
      <w:numFmt w:val="lowerLetter"/>
      <w:lvlText w:val="%2."/>
      <w:lvlJc w:val="left"/>
      <w:pPr>
        <w:ind w:left="3168" w:hanging="360"/>
      </w:pPr>
      <w:rPr>
        <w:rFonts w:cs="Times New Roman"/>
      </w:rPr>
    </w:lvl>
    <w:lvl w:ilvl="2" w:tplc="0409001B" w:tentative="1">
      <w:start w:val="1"/>
      <w:numFmt w:val="lowerRoman"/>
      <w:lvlText w:val="%3."/>
      <w:lvlJc w:val="right"/>
      <w:pPr>
        <w:ind w:left="3888" w:hanging="180"/>
      </w:pPr>
      <w:rPr>
        <w:rFonts w:cs="Times New Roman"/>
      </w:rPr>
    </w:lvl>
    <w:lvl w:ilvl="3" w:tplc="0409000F" w:tentative="1">
      <w:start w:val="1"/>
      <w:numFmt w:val="decimal"/>
      <w:lvlText w:val="%4."/>
      <w:lvlJc w:val="left"/>
      <w:pPr>
        <w:ind w:left="4608" w:hanging="360"/>
      </w:pPr>
      <w:rPr>
        <w:rFonts w:cs="Times New Roman"/>
      </w:rPr>
    </w:lvl>
    <w:lvl w:ilvl="4" w:tplc="04090019" w:tentative="1">
      <w:start w:val="1"/>
      <w:numFmt w:val="lowerLetter"/>
      <w:lvlText w:val="%5."/>
      <w:lvlJc w:val="left"/>
      <w:pPr>
        <w:ind w:left="5328" w:hanging="360"/>
      </w:pPr>
      <w:rPr>
        <w:rFonts w:cs="Times New Roman"/>
      </w:rPr>
    </w:lvl>
    <w:lvl w:ilvl="5" w:tplc="0409001B" w:tentative="1">
      <w:start w:val="1"/>
      <w:numFmt w:val="lowerRoman"/>
      <w:lvlText w:val="%6."/>
      <w:lvlJc w:val="right"/>
      <w:pPr>
        <w:ind w:left="6048" w:hanging="180"/>
      </w:pPr>
      <w:rPr>
        <w:rFonts w:cs="Times New Roman"/>
      </w:rPr>
    </w:lvl>
    <w:lvl w:ilvl="6" w:tplc="0409000F" w:tentative="1">
      <w:start w:val="1"/>
      <w:numFmt w:val="decimal"/>
      <w:lvlText w:val="%7."/>
      <w:lvlJc w:val="left"/>
      <w:pPr>
        <w:ind w:left="6768" w:hanging="360"/>
      </w:pPr>
      <w:rPr>
        <w:rFonts w:cs="Times New Roman"/>
      </w:rPr>
    </w:lvl>
    <w:lvl w:ilvl="7" w:tplc="04090019" w:tentative="1">
      <w:start w:val="1"/>
      <w:numFmt w:val="lowerLetter"/>
      <w:lvlText w:val="%8."/>
      <w:lvlJc w:val="left"/>
      <w:pPr>
        <w:ind w:left="7488" w:hanging="360"/>
      </w:pPr>
      <w:rPr>
        <w:rFonts w:cs="Times New Roman"/>
      </w:rPr>
    </w:lvl>
    <w:lvl w:ilvl="8" w:tplc="0409001B" w:tentative="1">
      <w:start w:val="1"/>
      <w:numFmt w:val="lowerRoman"/>
      <w:lvlText w:val="%9."/>
      <w:lvlJc w:val="right"/>
      <w:pPr>
        <w:ind w:left="8208" w:hanging="180"/>
      </w:pPr>
      <w:rPr>
        <w:rFonts w:cs="Times New Roman"/>
      </w:rPr>
    </w:lvl>
  </w:abstractNum>
  <w:num w:numId="1">
    <w:abstractNumId w:val="24"/>
  </w:num>
  <w:num w:numId="2">
    <w:abstractNumId w:val="26"/>
  </w:num>
  <w:num w:numId="3">
    <w:abstractNumId w:val="30"/>
  </w:num>
  <w:num w:numId="4">
    <w:abstractNumId w:val="35"/>
  </w:num>
  <w:num w:numId="5">
    <w:abstractNumId w:val="25"/>
  </w:num>
  <w:num w:numId="6">
    <w:abstractNumId w:val="20"/>
  </w:num>
  <w:num w:numId="7">
    <w:abstractNumId w:val="47"/>
  </w:num>
  <w:num w:numId="8">
    <w:abstractNumId w:val="38"/>
  </w:num>
  <w:num w:numId="9">
    <w:abstractNumId w:val="40"/>
  </w:num>
  <w:num w:numId="10">
    <w:abstractNumId w:val="41"/>
  </w:num>
  <w:num w:numId="11">
    <w:abstractNumId w:val="29"/>
  </w:num>
  <w:num w:numId="12">
    <w:abstractNumId w:val="39"/>
  </w:num>
  <w:num w:numId="13">
    <w:abstractNumId w:val="45"/>
  </w:num>
  <w:num w:numId="14">
    <w:abstractNumId w:val="28"/>
  </w:num>
  <w:num w:numId="15">
    <w:abstractNumId w:val="12"/>
  </w:num>
  <w:num w:numId="16">
    <w:abstractNumId w:val="46"/>
  </w:num>
  <w:num w:numId="17">
    <w:abstractNumId w:val="22"/>
  </w:num>
  <w:num w:numId="18">
    <w:abstractNumId w:val="18"/>
  </w:num>
  <w:num w:numId="19">
    <w:abstractNumId w:val="19"/>
  </w:num>
  <w:num w:numId="20">
    <w:abstractNumId w:val="23"/>
  </w:num>
  <w:num w:numId="21">
    <w:abstractNumId w:val="33"/>
  </w:num>
  <w:num w:numId="22">
    <w:abstractNumId w:val="10"/>
    <w:lvlOverride w:ilvl="0">
      <w:lvl w:ilvl="0">
        <w:start w:val="1"/>
        <w:numFmt w:val="bullet"/>
        <w:lvlText w:val="-"/>
        <w:legacy w:legacy="1" w:legacySpace="0" w:legacyIndent="576"/>
        <w:lvlJc w:val="left"/>
        <w:pPr>
          <w:ind w:left="2304" w:hanging="576"/>
        </w:pPr>
        <w:rPr>
          <w:rFonts w:ascii="Times New Roman" w:hAnsi="Times New Roman" w:hint="default"/>
        </w:rPr>
      </w:lvl>
    </w:lvlOverride>
  </w:num>
  <w:num w:numId="23">
    <w:abstractNumId w:val="21"/>
  </w:num>
  <w:num w:numId="24">
    <w:abstractNumId w:val="17"/>
  </w:num>
  <w:num w:numId="25">
    <w:abstractNumId w:val="32"/>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 w:numId="36">
    <w:abstractNumId w:val="24"/>
  </w:num>
  <w:num w:numId="37">
    <w:abstractNumId w:val="44"/>
  </w:num>
  <w:num w:numId="38">
    <w:abstractNumId w:val="31"/>
  </w:num>
  <w:num w:numId="39">
    <w:abstractNumId w:val="37"/>
  </w:num>
  <w:num w:numId="40">
    <w:abstractNumId w:val="27"/>
  </w:num>
  <w:num w:numId="41">
    <w:abstractNumId w:val="42"/>
  </w:num>
  <w:num w:numId="42">
    <w:abstractNumId w:val="14"/>
  </w:num>
  <w:num w:numId="43">
    <w:abstractNumId w:val="11"/>
  </w:num>
  <w:num w:numId="44">
    <w:abstractNumId w:val="36"/>
  </w:num>
  <w:num w:numId="45">
    <w:abstractNumId w:val="34"/>
  </w:num>
  <w:num w:numId="46">
    <w:abstractNumId w:val="16"/>
  </w:num>
  <w:num w:numId="47">
    <w:abstractNumId w:val="13"/>
  </w:num>
  <w:num w:numId="48">
    <w:abstractNumId w:val="15"/>
  </w:num>
  <w:num w:numId="49">
    <w:abstractNumId w:val="43"/>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aron Boivin">
    <w15:presenceInfo w15:providerId="Windows Live" w15:userId="3954e6f4e0467a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3D6B1D1-0235-4C2B-A1C6-CBDFF6F754B3}"/>
    <w:docVar w:name="dgnword-eventsink" w:val="86686968"/>
  </w:docVars>
  <w:rsids>
    <w:rsidRoot w:val="005D0276"/>
    <w:rsid w:val="00000988"/>
    <w:rsid w:val="00001E9A"/>
    <w:rsid w:val="00003002"/>
    <w:rsid w:val="000113F6"/>
    <w:rsid w:val="000118DA"/>
    <w:rsid w:val="00011979"/>
    <w:rsid w:val="00016376"/>
    <w:rsid w:val="0001797F"/>
    <w:rsid w:val="00017BA6"/>
    <w:rsid w:val="00020553"/>
    <w:rsid w:val="00020628"/>
    <w:rsid w:val="0002065D"/>
    <w:rsid w:val="00020771"/>
    <w:rsid w:val="00023C3C"/>
    <w:rsid w:val="00023D6A"/>
    <w:rsid w:val="0002470A"/>
    <w:rsid w:val="00024BEC"/>
    <w:rsid w:val="00027991"/>
    <w:rsid w:val="00030DE2"/>
    <w:rsid w:val="0003109C"/>
    <w:rsid w:val="00031ACC"/>
    <w:rsid w:val="0003594A"/>
    <w:rsid w:val="000368AF"/>
    <w:rsid w:val="000379B3"/>
    <w:rsid w:val="00037A83"/>
    <w:rsid w:val="00037B5F"/>
    <w:rsid w:val="000400AE"/>
    <w:rsid w:val="0004232F"/>
    <w:rsid w:val="00043D90"/>
    <w:rsid w:val="000537BF"/>
    <w:rsid w:val="00053CE3"/>
    <w:rsid w:val="000550D8"/>
    <w:rsid w:val="000554E7"/>
    <w:rsid w:val="00056044"/>
    <w:rsid w:val="00062B20"/>
    <w:rsid w:val="000632E2"/>
    <w:rsid w:val="00063F6D"/>
    <w:rsid w:val="0006422A"/>
    <w:rsid w:val="0006457E"/>
    <w:rsid w:val="00066080"/>
    <w:rsid w:val="0007143D"/>
    <w:rsid w:val="00074A6E"/>
    <w:rsid w:val="0007587C"/>
    <w:rsid w:val="00075A0C"/>
    <w:rsid w:val="00076F67"/>
    <w:rsid w:val="00082920"/>
    <w:rsid w:val="00087E07"/>
    <w:rsid w:val="000902B6"/>
    <w:rsid w:val="00091B70"/>
    <w:rsid w:val="00092299"/>
    <w:rsid w:val="0009615D"/>
    <w:rsid w:val="000A00D4"/>
    <w:rsid w:val="000A0344"/>
    <w:rsid w:val="000A1D16"/>
    <w:rsid w:val="000A2AE0"/>
    <w:rsid w:val="000A3B6C"/>
    <w:rsid w:val="000A4D63"/>
    <w:rsid w:val="000A6763"/>
    <w:rsid w:val="000A6C9F"/>
    <w:rsid w:val="000A73D1"/>
    <w:rsid w:val="000B413E"/>
    <w:rsid w:val="000C332B"/>
    <w:rsid w:val="000C51E0"/>
    <w:rsid w:val="000C6BCB"/>
    <w:rsid w:val="000D0AA1"/>
    <w:rsid w:val="000D27AA"/>
    <w:rsid w:val="000D2D4C"/>
    <w:rsid w:val="000E19B9"/>
    <w:rsid w:val="000E23B7"/>
    <w:rsid w:val="000E449E"/>
    <w:rsid w:val="000E6761"/>
    <w:rsid w:val="000F04AC"/>
    <w:rsid w:val="000F1041"/>
    <w:rsid w:val="000F1556"/>
    <w:rsid w:val="000F34EB"/>
    <w:rsid w:val="000F44A7"/>
    <w:rsid w:val="0010051E"/>
    <w:rsid w:val="001017DD"/>
    <w:rsid w:val="0010290A"/>
    <w:rsid w:val="00104381"/>
    <w:rsid w:val="00106019"/>
    <w:rsid w:val="00106459"/>
    <w:rsid w:val="0010679E"/>
    <w:rsid w:val="00110223"/>
    <w:rsid w:val="001139D6"/>
    <w:rsid w:val="001140DE"/>
    <w:rsid w:val="00116AE7"/>
    <w:rsid w:val="00121511"/>
    <w:rsid w:val="001219A1"/>
    <w:rsid w:val="00121B19"/>
    <w:rsid w:val="00123384"/>
    <w:rsid w:val="00123A47"/>
    <w:rsid w:val="00125534"/>
    <w:rsid w:val="0013161F"/>
    <w:rsid w:val="001328AE"/>
    <w:rsid w:val="00132985"/>
    <w:rsid w:val="00137E30"/>
    <w:rsid w:val="001419D7"/>
    <w:rsid w:val="00142490"/>
    <w:rsid w:val="00143BE3"/>
    <w:rsid w:val="00144763"/>
    <w:rsid w:val="001447B7"/>
    <w:rsid w:val="00146D8C"/>
    <w:rsid w:val="00147CC4"/>
    <w:rsid w:val="001511AF"/>
    <w:rsid w:val="001536E5"/>
    <w:rsid w:val="00155557"/>
    <w:rsid w:val="00155E7B"/>
    <w:rsid w:val="00156907"/>
    <w:rsid w:val="0016158B"/>
    <w:rsid w:val="00162380"/>
    <w:rsid w:val="00163558"/>
    <w:rsid w:val="0016395B"/>
    <w:rsid w:val="001639E8"/>
    <w:rsid w:val="00170863"/>
    <w:rsid w:val="00170ECE"/>
    <w:rsid w:val="00173B08"/>
    <w:rsid w:val="00174716"/>
    <w:rsid w:val="00174C32"/>
    <w:rsid w:val="00180F7C"/>
    <w:rsid w:val="0018473A"/>
    <w:rsid w:val="001861C5"/>
    <w:rsid w:val="00191A51"/>
    <w:rsid w:val="00194566"/>
    <w:rsid w:val="0019684E"/>
    <w:rsid w:val="001A4F12"/>
    <w:rsid w:val="001A65EE"/>
    <w:rsid w:val="001A6E86"/>
    <w:rsid w:val="001B36A6"/>
    <w:rsid w:val="001B6476"/>
    <w:rsid w:val="001B6AF6"/>
    <w:rsid w:val="001B7897"/>
    <w:rsid w:val="001C042E"/>
    <w:rsid w:val="001C382B"/>
    <w:rsid w:val="001C65F6"/>
    <w:rsid w:val="001C69E4"/>
    <w:rsid w:val="001D1AC5"/>
    <w:rsid w:val="001D31DD"/>
    <w:rsid w:val="001D52EC"/>
    <w:rsid w:val="001D7AAB"/>
    <w:rsid w:val="001E08F7"/>
    <w:rsid w:val="001E13FB"/>
    <w:rsid w:val="001E1690"/>
    <w:rsid w:val="001E2736"/>
    <w:rsid w:val="001E32BC"/>
    <w:rsid w:val="001E4E74"/>
    <w:rsid w:val="001E62CC"/>
    <w:rsid w:val="001E7612"/>
    <w:rsid w:val="001F2B9C"/>
    <w:rsid w:val="001F50B1"/>
    <w:rsid w:val="001F5434"/>
    <w:rsid w:val="001F55F8"/>
    <w:rsid w:val="001F5ACB"/>
    <w:rsid w:val="001F5F01"/>
    <w:rsid w:val="001F6474"/>
    <w:rsid w:val="001F689D"/>
    <w:rsid w:val="001F7DFF"/>
    <w:rsid w:val="00200FDB"/>
    <w:rsid w:val="00204658"/>
    <w:rsid w:val="00211103"/>
    <w:rsid w:val="00212754"/>
    <w:rsid w:val="00214AB6"/>
    <w:rsid w:val="00216390"/>
    <w:rsid w:val="00221A9A"/>
    <w:rsid w:val="00222BF4"/>
    <w:rsid w:val="002238F2"/>
    <w:rsid w:val="00224091"/>
    <w:rsid w:val="00233139"/>
    <w:rsid w:val="002339A0"/>
    <w:rsid w:val="0024034A"/>
    <w:rsid w:val="0024486E"/>
    <w:rsid w:val="00247E25"/>
    <w:rsid w:val="00250C06"/>
    <w:rsid w:val="00250F9A"/>
    <w:rsid w:val="0025130B"/>
    <w:rsid w:val="00251BDA"/>
    <w:rsid w:val="00253B9B"/>
    <w:rsid w:val="00254734"/>
    <w:rsid w:val="00255BC3"/>
    <w:rsid w:val="00255D5D"/>
    <w:rsid w:val="00257CB1"/>
    <w:rsid w:val="002615FC"/>
    <w:rsid w:val="0026329B"/>
    <w:rsid w:val="0026489C"/>
    <w:rsid w:val="0027785D"/>
    <w:rsid w:val="00280547"/>
    <w:rsid w:val="00281245"/>
    <w:rsid w:val="002815EC"/>
    <w:rsid w:val="002816C5"/>
    <w:rsid w:val="00282C5B"/>
    <w:rsid w:val="002833B5"/>
    <w:rsid w:val="00286B44"/>
    <w:rsid w:val="0029139F"/>
    <w:rsid w:val="00291860"/>
    <w:rsid w:val="002922BD"/>
    <w:rsid w:val="0029322B"/>
    <w:rsid w:val="0029337A"/>
    <w:rsid w:val="00295FF1"/>
    <w:rsid w:val="002A17E1"/>
    <w:rsid w:val="002A288B"/>
    <w:rsid w:val="002A433B"/>
    <w:rsid w:val="002A5164"/>
    <w:rsid w:val="002A6F51"/>
    <w:rsid w:val="002A7CCF"/>
    <w:rsid w:val="002B10CF"/>
    <w:rsid w:val="002B1175"/>
    <w:rsid w:val="002B27EB"/>
    <w:rsid w:val="002B5F98"/>
    <w:rsid w:val="002C05C1"/>
    <w:rsid w:val="002C33C4"/>
    <w:rsid w:val="002D2899"/>
    <w:rsid w:val="002D29D1"/>
    <w:rsid w:val="002D2B40"/>
    <w:rsid w:val="002D3B05"/>
    <w:rsid w:val="002D68AD"/>
    <w:rsid w:val="002D6F89"/>
    <w:rsid w:val="002E158E"/>
    <w:rsid w:val="002E2361"/>
    <w:rsid w:val="002E3212"/>
    <w:rsid w:val="002E343C"/>
    <w:rsid w:val="002E675F"/>
    <w:rsid w:val="002E7143"/>
    <w:rsid w:val="002E7C6B"/>
    <w:rsid w:val="002F19AC"/>
    <w:rsid w:val="002F2221"/>
    <w:rsid w:val="002F2B0A"/>
    <w:rsid w:val="002F2DAA"/>
    <w:rsid w:val="002F3120"/>
    <w:rsid w:val="002F4ACA"/>
    <w:rsid w:val="002F7CDF"/>
    <w:rsid w:val="00300626"/>
    <w:rsid w:val="00301E6B"/>
    <w:rsid w:val="00304E4E"/>
    <w:rsid w:val="00305132"/>
    <w:rsid w:val="00306930"/>
    <w:rsid w:val="0030733D"/>
    <w:rsid w:val="003077F8"/>
    <w:rsid w:val="00310950"/>
    <w:rsid w:val="003114DE"/>
    <w:rsid w:val="00315D3C"/>
    <w:rsid w:val="00315DDF"/>
    <w:rsid w:val="00322067"/>
    <w:rsid w:val="00324B17"/>
    <w:rsid w:val="003268B3"/>
    <w:rsid w:val="00327DD0"/>
    <w:rsid w:val="0033339F"/>
    <w:rsid w:val="003342C7"/>
    <w:rsid w:val="003400F0"/>
    <w:rsid w:val="00340C9D"/>
    <w:rsid w:val="00346CE4"/>
    <w:rsid w:val="00347F1C"/>
    <w:rsid w:val="003503AD"/>
    <w:rsid w:val="00350884"/>
    <w:rsid w:val="00351112"/>
    <w:rsid w:val="00352E3A"/>
    <w:rsid w:val="00352FC9"/>
    <w:rsid w:val="003540EE"/>
    <w:rsid w:val="00356E37"/>
    <w:rsid w:val="003571BF"/>
    <w:rsid w:val="00360D14"/>
    <w:rsid w:val="0036326A"/>
    <w:rsid w:val="003664D4"/>
    <w:rsid w:val="00366A50"/>
    <w:rsid w:val="00375E47"/>
    <w:rsid w:val="003839FD"/>
    <w:rsid w:val="00384379"/>
    <w:rsid w:val="00384B51"/>
    <w:rsid w:val="003852E0"/>
    <w:rsid w:val="00390180"/>
    <w:rsid w:val="00390ABB"/>
    <w:rsid w:val="003917AA"/>
    <w:rsid w:val="0039228D"/>
    <w:rsid w:val="00394091"/>
    <w:rsid w:val="00394CE1"/>
    <w:rsid w:val="00396B2D"/>
    <w:rsid w:val="003A11DF"/>
    <w:rsid w:val="003A2F59"/>
    <w:rsid w:val="003A4E44"/>
    <w:rsid w:val="003A601B"/>
    <w:rsid w:val="003A6DF3"/>
    <w:rsid w:val="003A72FA"/>
    <w:rsid w:val="003B0E98"/>
    <w:rsid w:val="003B12A9"/>
    <w:rsid w:val="003B1632"/>
    <w:rsid w:val="003B175F"/>
    <w:rsid w:val="003B317D"/>
    <w:rsid w:val="003B35D7"/>
    <w:rsid w:val="003C088C"/>
    <w:rsid w:val="003C0C29"/>
    <w:rsid w:val="003C2518"/>
    <w:rsid w:val="003C2889"/>
    <w:rsid w:val="003C4A1A"/>
    <w:rsid w:val="003C7781"/>
    <w:rsid w:val="003D0AAB"/>
    <w:rsid w:val="003D1182"/>
    <w:rsid w:val="003D19D1"/>
    <w:rsid w:val="003D304D"/>
    <w:rsid w:val="003D3096"/>
    <w:rsid w:val="003D428A"/>
    <w:rsid w:val="003D5143"/>
    <w:rsid w:val="003D6ED6"/>
    <w:rsid w:val="003E18C2"/>
    <w:rsid w:val="003E20D9"/>
    <w:rsid w:val="003F01AD"/>
    <w:rsid w:val="003F06D3"/>
    <w:rsid w:val="003F1469"/>
    <w:rsid w:val="003F26BA"/>
    <w:rsid w:val="00401B03"/>
    <w:rsid w:val="00403909"/>
    <w:rsid w:val="00403D26"/>
    <w:rsid w:val="00404E76"/>
    <w:rsid w:val="00406577"/>
    <w:rsid w:val="00406908"/>
    <w:rsid w:val="00410786"/>
    <w:rsid w:val="00413037"/>
    <w:rsid w:val="004143AA"/>
    <w:rsid w:val="00420F82"/>
    <w:rsid w:val="004216F2"/>
    <w:rsid w:val="00421A5D"/>
    <w:rsid w:val="00421D6E"/>
    <w:rsid w:val="004247B7"/>
    <w:rsid w:val="004250AF"/>
    <w:rsid w:val="0042589F"/>
    <w:rsid w:val="00425BBE"/>
    <w:rsid w:val="00426073"/>
    <w:rsid w:val="00430D2F"/>
    <w:rsid w:val="0043408D"/>
    <w:rsid w:val="00435F38"/>
    <w:rsid w:val="0043777F"/>
    <w:rsid w:val="00437885"/>
    <w:rsid w:val="00442459"/>
    <w:rsid w:val="0044639C"/>
    <w:rsid w:val="004469F5"/>
    <w:rsid w:val="00447514"/>
    <w:rsid w:val="00447A49"/>
    <w:rsid w:val="00450BE4"/>
    <w:rsid w:val="004534A9"/>
    <w:rsid w:val="004539D4"/>
    <w:rsid w:val="004602E4"/>
    <w:rsid w:val="0046052A"/>
    <w:rsid w:val="004647AD"/>
    <w:rsid w:val="004649E8"/>
    <w:rsid w:val="00466E94"/>
    <w:rsid w:val="00470A63"/>
    <w:rsid w:val="00471D48"/>
    <w:rsid w:val="0047394C"/>
    <w:rsid w:val="0047415B"/>
    <w:rsid w:val="00474A9A"/>
    <w:rsid w:val="00475A9E"/>
    <w:rsid w:val="00475F35"/>
    <w:rsid w:val="00480C62"/>
    <w:rsid w:val="00482189"/>
    <w:rsid w:val="004826DC"/>
    <w:rsid w:val="004863D6"/>
    <w:rsid w:val="00487EBA"/>
    <w:rsid w:val="00494323"/>
    <w:rsid w:val="00496DE6"/>
    <w:rsid w:val="00497A4F"/>
    <w:rsid w:val="004A32EB"/>
    <w:rsid w:val="004A4F43"/>
    <w:rsid w:val="004A66C3"/>
    <w:rsid w:val="004A672C"/>
    <w:rsid w:val="004A77CA"/>
    <w:rsid w:val="004B4440"/>
    <w:rsid w:val="004B6868"/>
    <w:rsid w:val="004C07FD"/>
    <w:rsid w:val="004C13C8"/>
    <w:rsid w:val="004C2BA3"/>
    <w:rsid w:val="004C5B08"/>
    <w:rsid w:val="004D1234"/>
    <w:rsid w:val="004D5C32"/>
    <w:rsid w:val="004D68FD"/>
    <w:rsid w:val="004D73B8"/>
    <w:rsid w:val="004D76BF"/>
    <w:rsid w:val="004E3311"/>
    <w:rsid w:val="004E6345"/>
    <w:rsid w:val="004F07D5"/>
    <w:rsid w:val="004F18E9"/>
    <w:rsid w:val="004F27B1"/>
    <w:rsid w:val="004F3F6D"/>
    <w:rsid w:val="004F45DE"/>
    <w:rsid w:val="004F4FAD"/>
    <w:rsid w:val="004F5FD4"/>
    <w:rsid w:val="004F6D89"/>
    <w:rsid w:val="004F77DD"/>
    <w:rsid w:val="00500B9C"/>
    <w:rsid w:val="00501801"/>
    <w:rsid w:val="005029BB"/>
    <w:rsid w:val="005034CF"/>
    <w:rsid w:val="00504E68"/>
    <w:rsid w:val="00505AD9"/>
    <w:rsid w:val="00507B52"/>
    <w:rsid w:val="00516F71"/>
    <w:rsid w:val="005170A7"/>
    <w:rsid w:val="00517B51"/>
    <w:rsid w:val="00520744"/>
    <w:rsid w:val="005215DF"/>
    <w:rsid w:val="00523B1A"/>
    <w:rsid w:val="00524802"/>
    <w:rsid w:val="00525528"/>
    <w:rsid w:val="005319AC"/>
    <w:rsid w:val="00535616"/>
    <w:rsid w:val="00540585"/>
    <w:rsid w:val="00542000"/>
    <w:rsid w:val="005425CF"/>
    <w:rsid w:val="00542A4F"/>
    <w:rsid w:val="00543C01"/>
    <w:rsid w:val="0054617D"/>
    <w:rsid w:val="005530EA"/>
    <w:rsid w:val="00553D47"/>
    <w:rsid w:val="00554379"/>
    <w:rsid w:val="005558B2"/>
    <w:rsid w:val="0055669C"/>
    <w:rsid w:val="00556815"/>
    <w:rsid w:val="00560B4F"/>
    <w:rsid w:val="00561CC9"/>
    <w:rsid w:val="00561E41"/>
    <w:rsid w:val="005621EE"/>
    <w:rsid w:val="00570129"/>
    <w:rsid w:val="00570502"/>
    <w:rsid w:val="00570886"/>
    <w:rsid w:val="005714CB"/>
    <w:rsid w:val="00572ADC"/>
    <w:rsid w:val="00575140"/>
    <w:rsid w:val="00575738"/>
    <w:rsid w:val="00576763"/>
    <w:rsid w:val="00577B82"/>
    <w:rsid w:val="0058258D"/>
    <w:rsid w:val="00583BF6"/>
    <w:rsid w:val="00585041"/>
    <w:rsid w:val="00585F6C"/>
    <w:rsid w:val="005861DC"/>
    <w:rsid w:val="00586AD9"/>
    <w:rsid w:val="005870D2"/>
    <w:rsid w:val="00593DD5"/>
    <w:rsid w:val="00594144"/>
    <w:rsid w:val="00597708"/>
    <w:rsid w:val="005A0E53"/>
    <w:rsid w:val="005A191E"/>
    <w:rsid w:val="005A1EAB"/>
    <w:rsid w:val="005A27E9"/>
    <w:rsid w:val="005A33B6"/>
    <w:rsid w:val="005A485E"/>
    <w:rsid w:val="005A4BAF"/>
    <w:rsid w:val="005A5DF8"/>
    <w:rsid w:val="005A6D53"/>
    <w:rsid w:val="005B0571"/>
    <w:rsid w:val="005B06B2"/>
    <w:rsid w:val="005B0A54"/>
    <w:rsid w:val="005B0D80"/>
    <w:rsid w:val="005B20EF"/>
    <w:rsid w:val="005B5549"/>
    <w:rsid w:val="005B780A"/>
    <w:rsid w:val="005C0448"/>
    <w:rsid w:val="005C1767"/>
    <w:rsid w:val="005C3149"/>
    <w:rsid w:val="005C37FA"/>
    <w:rsid w:val="005C49D7"/>
    <w:rsid w:val="005C6394"/>
    <w:rsid w:val="005C6544"/>
    <w:rsid w:val="005C7689"/>
    <w:rsid w:val="005C7E99"/>
    <w:rsid w:val="005D0276"/>
    <w:rsid w:val="005D0474"/>
    <w:rsid w:val="005D3D9B"/>
    <w:rsid w:val="005D574C"/>
    <w:rsid w:val="005D6EFB"/>
    <w:rsid w:val="005D7AB5"/>
    <w:rsid w:val="005E0FCF"/>
    <w:rsid w:val="005E17A2"/>
    <w:rsid w:val="005F05F3"/>
    <w:rsid w:val="005F0AFA"/>
    <w:rsid w:val="005F64C5"/>
    <w:rsid w:val="005F66E5"/>
    <w:rsid w:val="005F7D6C"/>
    <w:rsid w:val="00601B4F"/>
    <w:rsid w:val="00603C3F"/>
    <w:rsid w:val="00604542"/>
    <w:rsid w:val="00604D1A"/>
    <w:rsid w:val="006068D7"/>
    <w:rsid w:val="00610154"/>
    <w:rsid w:val="00610F37"/>
    <w:rsid w:val="00611E6D"/>
    <w:rsid w:val="00611F29"/>
    <w:rsid w:val="006148BD"/>
    <w:rsid w:val="00621B03"/>
    <w:rsid w:val="00624EC7"/>
    <w:rsid w:val="006264B3"/>
    <w:rsid w:val="00626F0A"/>
    <w:rsid w:val="00627983"/>
    <w:rsid w:val="006302A2"/>
    <w:rsid w:val="0063168A"/>
    <w:rsid w:val="00633BE4"/>
    <w:rsid w:val="0063427E"/>
    <w:rsid w:val="00641B0D"/>
    <w:rsid w:val="00641CC8"/>
    <w:rsid w:val="00644167"/>
    <w:rsid w:val="00645870"/>
    <w:rsid w:val="006503FB"/>
    <w:rsid w:val="00650EFD"/>
    <w:rsid w:val="006519AE"/>
    <w:rsid w:val="0065386A"/>
    <w:rsid w:val="00656D29"/>
    <w:rsid w:val="00660F6A"/>
    <w:rsid w:val="00662653"/>
    <w:rsid w:val="006641ED"/>
    <w:rsid w:val="00664317"/>
    <w:rsid w:val="0066567C"/>
    <w:rsid w:val="006707E8"/>
    <w:rsid w:val="006722EA"/>
    <w:rsid w:val="00672FE5"/>
    <w:rsid w:val="00673498"/>
    <w:rsid w:val="006734BC"/>
    <w:rsid w:val="006800E7"/>
    <w:rsid w:val="006814A7"/>
    <w:rsid w:val="00682DDF"/>
    <w:rsid w:val="006841BD"/>
    <w:rsid w:val="0068462A"/>
    <w:rsid w:val="00685FAF"/>
    <w:rsid w:val="006933C3"/>
    <w:rsid w:val="006946B8"/>
    <w:rsid w:val="00695FD0"/>
    <w:rsid w:val="00696B67"/>
    <w:rsid w:val="006A04DE"/>
    <w:rsid w:val="006A1487"/>
    <w:rsid w:val="006A2C1E"/>
    <w:rsid w:val="006A3DC6"/>
    <w:rsid w:val="006A48E7"/>
    <w:rsid w:val="006A674E"/>
    <w:rsid w:val="006A7C58"/>
    <w:rsid w:val="006B0555"/>
    <w:rsid w:val="006B0D6A"/>
    <w:rsid w:val="006B1471"/>
    <w:rsid w:val="006B37F3"/>
    <w:rsid w:val="006B3F8E"/>
    <w:rsid w:val="006B4B35"/>
    <w:rsid w:val="006C0005"/>
    <w:rsid w:val="006C1986"/>
    <w:rsid w:val="006D0EF4"/>
    <w:rsid w:val="006D3619"/>
    <w:rsid w:val="006D4034"/>
    <w:rsid w:val="006D5C9A"/>
    <w:rsid w:val="006D6233"/>
    <w:rsid w:val="006E12EE"/>
    <w:rsid w:val="006E65F3"/>
    <w:rsid w:val="006F0697"/>
    <w:rsid w:val="006F08D7"/>
    <w:rsid w:val="006F227B"/>
    <w:rsid w:val="006F567F"/>
    <w:rsid w:val="006F7449"/>
    <w:rsid w:val="006F7968"/>
    <w:rsid w:val="006F7FEC"/>
    <w:rsid w:val="00700A6A"/>
    <w:rsid w:val="00701130"/>
    <w:rsid w:val="00701556"/>
    <w:rsid w:val="00701E4B"/>
    <w:rsid w:val="00702E4C"/>
    <w:rsid w:val="00706190"/>
    <w:rsid w:val="00707BF9"/>
    <w:rsid w:val="00707D30"/>
    <w:rsid w:val="00711B74"/>
    <w:rsid w:val="00712884"/>
    <w:rsid w:val="0071479E"/>
    <w:rsid w:val="00714A31"/>
    <w:rsid w:val="00714E85"/>
    <w:rsid w:val="00715A64"/>
    <w:rsid w:val="007209C0"/>
    <w:rsid w:val="00722080"/>
    <w:rsid w:val="00724DBA"/>
    <w:rsid w:val="00726A50"/>
    <w:rsid w:val="00726E2F"/>
    <w:rsid w:val="00730CF8"/>
    <w:rsid w:val="007317FF"/>
    <w:rsid w:val="00732991"/>
    <w:rsid w:val="0073663C"/>
    <w:rsid w:val="007368DA"/>
    <w:rsid w:val="00744C23"/>
    <w:rsid w:val="00747C71"/>
    <w:rsid w:val="00753FE5"/>
    <w:rsid w:val="007548CE"/>
    <w:rsid w:val="00754D13"/>
    <w:rsid w:val="00754F8D"/>
    <w:rsid w:val="00757BF6"/>
    <w:rsid w:val="0076236B"/>
    <w:rsid w:val="00765EE4"/>
    <w:rsid w:val="00775102"/>
    <w:rsid w:val="00775228"/>
    <w:rsid w:val="00776311"/>
    <w:rsid w:val="0078006E"/>
    <w:rsid w:val="0078046A"/>
    <w:rsid w:val="007809DA"/>
    <w:rsid w:val="00780B17"/>
    <w:rsid w:val="007810C8"/>
    <w:rsid w:val="0078197F"/>
    <w:rsid w:val="00783C20"/>
    <w:rsid w:val="00783CC8"/>
    <w:rsid w:val="00783DE6"/>
    <w:rsid w:val="00783F0C"/>
    <w:rsid w:val="007843B7"/>
    <w:rsid w:val="00784C50"/>
    <w:rsid w:val="00784D48"/>
    <w:rsid w:val="00786312"/>
    <w:rsid w:val="00787CF3"/>
    <w:rsid w:val="00787DA0"/>
    <w:rsid w:val="00790026"/>
    <w:rsid w:val="0079432F"/>
    <w:rsid w:val="007A52A7"/>
    <w:rsid w:val="007A6AAF"/>
    <w:rsid w:val="007A6B89"/>
    <w:rsid w:val="007A7982"/>
    <w:rsid w:val="007B009A"/>
    <w:rsid w:val="007B423D"/>
    <w:rsid w:val="007C075C"/>
    <w:rsid w:val="007C12DA"/>
    <w:rsid w:val="007C2D9E"/>
    <w:rsid w:val="007C3889"/>
    <w:rsid w:val="007C4588"/>
    <w:rsid w:val="007C51C3"/>
    <w:rsid w:val="007C5A9F"/>
    <w:rsid w:val="007C6C6A"/>
    <w:rsid w:val="007D1029"/>
    <w:rsid w:val="007D2140"/>
    <w:rsid w:val="007D216E"/>
    <w:rsid w:val="007D2285"/>
    <w:rsid w:val="007D257C"/>
    <w:rsid w:val="007D4ACF"/>
    <w:rsid w:val="007D6B9E"/>
    <w:rsid w:val="007E1EC8"/>
    <w:rsid w:val="007F0EA8"/>
    <w:rsid w:val="007F20F2"/>
    <w:rsid w:val="007F36B2"/>
    <w:rsid w:val="007F654E"/>
    <w:rsid w:val="00800003"/>
    <w:rsid w:val="008018B6"/>
    <w:rsid w:val="00813D6F"/>
    <w:rsid w:val="00814126"/>
    <w:rsid w:val="0081535A"/>
    <w:rsid w:val="00815671"/>
    <w:rsid w:val="008159D2"/>
    <w:rsid w:val="00815CA5"/>
    <w:rsid w:val="00815F3A"/>
    <w:rsid w:val="00815F75"/>
    <w:rsid w:val="00817FA2"/>
    <w:rsid w:val="00822B38"/>
    <w:rsid w:val="008269EF"/>
    <w:rsid w:val="0083141E"/>
    <w:rsid w:val="00833B80"/>
    <w:rsid w:val="008340C2"/>
    <w:rsid w:val="00836E30"/>
    <w:rsid w:val="0084005F"/>
    <w:rsid w:val="00843E0A"/>
    <w:rsid w:val="00847115"/>
    <w:rsid w:val="00847236"/>
    <w:rsid w:val="00847599"/>
    <w:rsid w:val="008478A9"/>
    <w:rsid w:val="00853D70"/>
    <w:rsid w:val="00854191"/>
    <w:rsid w:val="0085467A"/>
    <w:rsid w:val="00856A51"/>
    <w:rsid w:val="008624B7"/>
    <w:rsid w:val="00863F1F"/>
    <w:rsid w:val="00864A23"/>
    <w:rsid w:val="00865716"/>
    <w:rsid w:val="00866F1E"/>
    <w:rsid w:val="00867A0F"/>
    <w:rsid w:val="00867FDF"/>
    <w:rsid w:val="008727E7"/>
    <w:rsid w:val="00872836"/>
    <w:rsid w:val="008731AA"/>
    <w:rsid w:val="00880700"/>
    <w:rsid w:val="008821C1"/>
    <w:rsid w:val="008831CD"/>
    <w:rsid w:val="008832CB"/>
    <w:rsid w:val="00885E0B"/>
    <w:rsid w:val="008A2827"/>
    <w:rsid w:val="008A294A"/>
    <w:rsid w:val="008A4D2E"/>
    <w:rsid w:val="008B0DF8"/>
    <w:rsid w:val="008B77E1"/>
    <w:rsid w:val="008C3E6E"/>
    <w:rsid w:val="008C4B8B"/>
    <w:rsid w:val="008C50FA"/>
    <w:rsid w:val="008C5E63"/>
    <w:rsid w:val="008D0B09"/>
    <w:rsid w:val="008D25B0"/>
    <w:rsid w:val="008D33A4"/>
    <w:rsid w:val="008D3EBE"/>
    <w:rsid w:val="008D42B7"/>
    <w:rsid w:val="008D4BD1"/>
    <w:rsid w:val="008D4D42"/>
    <w:rsid w:val="008D5F70"/>
    <w:rsid w:val="008D7EDB"/>
    <w:rsid w:val="008E42FC"/>
    <w:rsid w:val="008E7635"/>
    <w:rsid w:val="008E7D9F"/>
    <w:rsid w:val="008F01C9"/>
    <w:rsid w:val="008F0D69"/>
    <w:rsid w:val="008F1442"/>
    <w:rsid w:val="008F22B1"/>
    <w:rsid w:val="008F4D54"/>
    <w:rsid w:val="008F4D88"/>
    <w:rsid w:val="008F4F25"/>
    <w:rsid w:val="008F6068"/>
    <w:rsid w:val="009003F6"/>
    <w:rsid w:val="009057A1"/>
    <w:rsid w:val="009063D4"/>
    <w:rsid w:val="00910409"/>
    <w:rsid w:val="0091242E"/>
    <w:rsid w:val="00913A2A"/>
    <w:rsid w:val="00913CCF"/>
    <w:rsid w:val="00913FB1"/>
    <w:rsid w:val="009149FB"/>
    <w:rsid w:val="00915F34"/>
    <w:rsid w:val="00916697"/>
    <w:rsid w:val="009171A8"/>
    <w:rsid w:val="00917DE6"/>
    <w:rsid w:val="00922E8F"/>
    <w:rsid w:val="009236A4"/>
    <w:rsid w:val="00931BBE"/>
    <w:rsid w:val="00933F2B"/>
    <w:rsid w:val="00934B18"/>
    <w:rsid w:val="00934FA0"/>
    <w:rsid w:val="00937754"/>
    <w:rsid w:val="00942FF2"/>
    <w:rsid w:val="009457B7"/>
    <w:rsid w:val="0095095B"/>
    <w:rsid w:val="0095320B"/>
    <w:rsid w:val="009562D8"/>
    <w:rsid w:val="009574F7"/>
    <w:rsid w:val="00970A82"/>
    <w:rsid w:val="00970FD9"/>
    <w:rsid w:val="00973549"/>
    <w:rsid w:val="00974A81"/>
    <w:rsid w:val="00975BED"/>
    <w:rsid w:val="00975D43"/>
    <w:rsid w:val="00977801"/>
    <w:rsid w:val="009808BD"/>
    <w:rsid w:val="00981097"/>
    <w:rsid w:val="0098139D"/>
    <w:rsid w:val="00982588"/>
    <w:rsid w:val="009878B7"/>
    <w:rsid w:val="009955AF"/>
    <w:rsid w:val="00996032"/>
    <w:rsid w:val="00997172"/>
    <w:rsid w:val="009A02C6"/>
    <w:rsid w:val="009A1B27"/>
    <w:rsid w:val="009A335D"/>
    <w:rsid w:val="009A3FF1"/>
    <w:rsid w:val="009A5E26"/>
    <w:rsid w:val="009A6A5E"/>
    <w:rsid w:val="009B150C"/>
    <w:rsid w:val="009B1997"/>
    <w:rsid w:val="009B38E0"/>
    <w:rsid w:val="009B4E1C"/>
    <w:rsid w:val="009B66C3"/>
    <w:rsid w:val="009C0375"/>
    <w:rsid w:val="009C672B"/>
    <w:rsid w:val="009D30CC"/>
    <w:rsid w:val="009D41B3"/>
    <w:rsid w:val="009D425F"/>
    <w:rsid w:val="009E310A"/>
    <w:rsid w:val="009E56B5"/>
    <w:rsid w:val="009E57ED"/>
    <w:rsid w:val="009E6B85"/>
    <w:rsid w:val="009F19A8"/>
    <w:rsid w:val="009F1ADE"/>
    <w:rsid w:val="009F3837"/>
    <w:rsid w:val="009F5737"/>
    <w:rsid w:val="00A008C5"/>
    <w:rsid w:val="00A021B4"/>
    <w:rsid w:val="00A03420"/>
    <w:rsid w:val="00A04787"/>
    <w:rsid w:val="00A0509A"/>
    <w:rsid w:val="00A0537E"/>
    <w:rsid w:val="00A07E39"/>
    <w:rsid w:val="00A07FE7"/>
    <w:rsid w:val="00A14F33"/>
    <w:rsid w:val="00A15024"/>
    <w:rsid w:val="00A16259"/>
    <w:rsid w:val="00A1697C"/>
    <w:rsid w:val="00A169CE"/>
    <w:rsid w:val="00A24170"/>
    <w:rsid w:val="00A3174E"/>
    <w:rsid w:val="00A31ED7"/>
    <w:rsid w:val="00A326C8"/>
    <w:rsid w:val="00A32718"/>
    <w:rsid w:val="00A33104"/>
    <w:rsid w:val="00A37841"/>
    <w:rsid w:val="00A45612"/>
    <w:rsid w:val="00A4587E"/>
    <w:rsid w:val="00A45A1B"/>
    <w:rsid w:val="00A461B1"/>
    <w:rsid w:val="00A50332"/>
    <w:rsid w:val="00A54D78"/>
    <w:rsid w:val="00A556F2"/>
    <w:rsid w:val="00A57363"/>
    <w:rsid w:val="00A57BB4"/>
    <w:rsid w:val="00A61082"/>
    <w:rsid w:val="00A6139A"/>
    <w:rsid w:val="00A63AC5"/>
    <w:rsid w:val="00A64272"/>
    <w:rsid w:val="00A6671A"/>
    <w:rsid w:val="00A66DFA"/>
    <w:rsid w:val="00A670E8"/>
    <w:rsid w:val="00A70297"/>
    <w:rsid w:val="00A70668"/>
    <w:rsid w:val="00A70C4F"/>
    <w:rsid w:val="00A75CEE"/>
    <w:rsid w:val="00A76BDD"/>
    <w:rsid w:val="00A77763"/>
    <w:rsid w:val="00A8060B"/>
    <w:rsid w:val="00A80A7D"/>
    <w:rsid w:val="00A83198"/>
    <w:rsid w:val="00A84748"/>
    <w:rsid w:val="00A852E3"/>
    <w:rsid w:val="00A874B2"/>
    <w:rsid w:val="00A876FF"/>
    <w:rsid w:val="00A9004E"/>
    <w:rsid w:val="00A9018A"/>
    <w:rsid w:val="00A914FC"/>
    <w:rsid w:val="00A92798"/>
    <w:rsid w:val="00A93C7D"/>
    <w:rsid w:val="00A9755C"/>
    <w:rsid w:val="00AA284C"/>
    <w:rsid w:val="00AA292B"/>
    <w:rsid w:val="00AA3751"/>
    <w:rsid w:val="00AA4021"/>
    <w:rsid w:val="00AA77CE"/>
    <w:rsid w:val="00AB73C6"/>
    <w:rsid w:val="00AC2EE9"/>
    <w:rsid w:val="00AC68E3"/>
    <w:rsid w:val="00AC768B"/>
    <w:rsid w:val="00AD00DA"/>
    <w:rsid w:val="00AD1B34"/>
    <w:rsid w:val="00AD2BFF"/>
    <w:rsid w:val="00AD2F46"/>
    <w:rsid w:val="00AD4472"/>
    <w:rsid w:val="00AD5101"/>
    <w:rsid w:val="00AD516C"/>
    <w:rsid w:val="00AD667F"/>
    <w:rsid w:val="00AE1BF8"/>
    <w:rsid w:val="00AE2B02"/>
    <w:rsid w:val="00AE35AE"/>
    <w:rsid w:val="00AE3D6A"/>
    <w:rsid w:val="00AE4BFC"/>
    <w:rsid w:val="00AE57DE"/>
    <w:rsid w:val="00AF0DEE"/>
    <w:rsid w:val="00AF1221"/>
    <w:rsid w:val="00AF3A94"/>
    <w:rsid w:val="00AF568C"/>
    <w:rsid w:val="00AF5F9A"/>
    <w:rsid w:val="00B00FB4"/>
    <w:rsid w:val="00B01A63"/>
    <w:rsid w:val="00B01CCA"/>
    <w:rsid w:val="00B04AC2"/>
    <w:rsid w:val="00B04D16"/>
    <w:rsid w:val="00B06FB5"/>
    <w:rsid w:val="00B101C6"/>
    <w:rsid w:val="00B10939"/>
    <w:rsid w:val="00B1274A"/>
    <w:rsid w:val="00B12E93"/>
    <w:rsid w:val="00B166D3"/>
    <w:rsid w:val="00B22A8C"/>
    <w:rsid w:val="00B22ABA"/>
    <w:rsid w:val="00B231A9"/>
    <w:rsid w:val="00B23FA5"/>
    <w:rsid w:val="00B31308"/>
    <w:rsid w:val="00B32A03"/>
    <w:rsid w:val="00B33272"/>
    <w:rsid w:val="00B33540"/>
    <w:rsid w:val="00B33A17"/>
    <w:rsid w:val="00B35742"/>
    <w:rsid w:val="00B444E3"/>
    <w:rsid w:val="00B44B46"/>
    <w:rsid w:val="00B460A7"/>
    <w:rsid w:val="00B526D3"/>
    <w:rsid w:val="00B542AE"/>
    <w:rsid w:val="00B56992"/>
    <w:rsid w:val="00B61E9C"/>
    <w:rsid w:val="00B627AE"/>
    <w:rsid w:val="00B63B5E"/>
    <w:rsid w:val="00B82C0B"/>
    <w:rsid w:val="00B8627C"/>
    <w:rsid w:val="00B86EA5"/>
    <w:rsid w:val="00B911E6"/>
    <w:rsid w:val="00B920F2"/>
    <w:rsid w:val="00B94659"/>
    <w:rsid w:val="00B96B71"/>
    <w:rsid w:val="00B96BEF"/>
    <w:rsid w:val="00B97CB3"/>
    <w:rsid w:val="00BA025E"/>
    <w:rsid w:val="00BA1280"/>
    <w:rsid w:val="00BA1F8B"/>
    <w:rsid w:val="00BA2666"/>
    <w:rsid w:val="00BA4FB3"/>
    <w:rsid w:val="00BA54A3"/>
    <w:rsid w:val="00BA5FD4"/>
    <w:rsid w:val="00BA62B9"/>
    <w:rsid w:val="00BA65B7"/>
    <w:rsid w:val="00BA78DD"/>
    <w:rsid w:val="00BB397B"/>
    <w:rsid w:val="00BB412D"/>
    <w:rsid w:val="00BB64F7"/>
    <w:rsid w:val="00BC05CD"/>
    <w:rsid w:val="00BC1551"/>
    <w:rsid w:val="00BC28EB"/>
    <w:rsid w:val="00BC4837"/>
    <w:rsid w:val="00BC4EA9"/>
    <w:rsid w:val="00BC534B"/>
    <w:rsid w:val="00BD242B"/>
    <w:rsid w:val="00BD63E3"/>
    <w:rsid w:val="00BE0D40"/>
    <w:rsid w:val="00BE188D"/>
    <w:rsid w:val="00BE27CB"/>
    <w:rsid w:val="00BE45F3"/>
    <w:rsid w:val="00BE6D1C"/>
    <w:rsid w:val="00BE6EBB"/>
    <w:rsid w:val="00BF0BFB"/>
    <w:rsid w:val="00BF7B0F"/>
    <w:rsid w:val="00BF7D2A"/>
    <w:rsid w:val="00C0235C"/>
    <w:rsid w:val="00C03924"/>
    <w:rsid w:val="00C03961"/>
    <w:rsid w:val="00C04FFB"/>
    <w:rsid w:val="00C10DF9"/>
    <w:rsid w:val="00C12E61"/>
    <w:rsid w:val="00C135FA"/>
    <w:rsid w:val="00C16B83"/>
    <w:rsid w:val="00C16ED6"/>
    <w:rsid w:val="00C20343"/>
    <w:rsid w:val="00C2071D"/>
    <w:rsid w:val="00C21E25"/>
    <w:rsid w:val="00C22075"/>
    <w:rsid w:val="00C22D40"/>
    <w:rsid w:val="00C253A1"/>
    <w:rsid w:val="00C26815"/>
    <w:rsid w:val="00C27979"/>
    <w:rsid w:val="00C27B9C"/>
    <w:rsid w:val="00C3054A"/>
    <w:rsid w:val="00C34832"/>
    <w:rsid w:val="00C34A04"/>
    <w:rsid w:val="00C34C7D"/>
    <w:rsid w:val="00C37973"/>
    <w:rsid w:val="00C41E50"/>
    <w:rsid w:val="00C41ECE"/>
    <w:rsid w:val="00C4207E"/>
    <w:rsid w:val="00C46FDB"/>
    <w:rsid w:val="00C50494"/>
    <w:rsid w:val="00C5446C"/>
    <w:rsid w:val="00C5462F"/>
    <w:rsid w:val="00C56537"/>
    <w:rsid w:val="00C57396"/>
    <w:rsid w:val="00C60F81"/>
    <w:rsid w:val="00C616BD"/>
    <w:rsid w:val="00C65649"/>
    <w:rsid w:val="00C70157"/>
    <w:rsid w:val="00C70C90"/>
    <w:rsid w:val="00C734A0"/>
    <w:rsid w:val="00C7459D"/>
    <w:rsid w:val="00C74FE8"/>
    <w:rsid w:val="00C77E81"/>
    <w:rsid w:val="00C809DC"/>
    <w:rsid w:val="00C820CB"/>
    <w:rsid w:val="00C8224E"/>
    <w:rsid w:val="00C831BD"/>
    <w:rsid w:val="00C8481C"/>
    <w:rsid w:val="00C855FB"/>
    <w:rsid w:val="00C85898"/>
    <w:rsid w:val="00C91A10"/>
    <w:rsid w:val="00C927DD"/>
    <w:rsid w:val="00C93C26"/>
    <w:rsid w:val="00C949A1"/>
    <w:rsid w:val="00C94A27"/>
    <w:rsid w:val="00C96385"/>
    <w:rsid w:val="00C97583"/>
    <w:rsid w:val="00CA2794"/>
    <w:rsid w:val="00CA355C"/>
    <w:rsid w:val="00CA42E5"/>
    <w:rsid w:val="00CA461B"/>
    <w:rsid w:val="00CB0523"/>
    <w:rsid w:val="00CB0F1E"/>
    <w:rsid w:val="00CB1419"/>
    <w:rsid w:val="00CB20D9"/>
    <w:rsid w:val="00CB2AB4"/>
    <w:rsid w:val="00CB5D9C"/>
    <w:rsid w:val="00CB75E7"/>
    <w:rsid w:val="00CB781E"/>
    <w:rsid w:val="00CC25CF"/>
    <w:rsid w:val="00CC366A"/>
    <w:rsid w:val="00CC40D7"/>
    <w:rsid w:val="00CC7CE7"/>
    <w:rsid w:val="00CD12E9"/>
    <w:rsid w:val="00CD1C54"/>
    <w:rsid w:val="00CD326F"/>
    <w:rsid w:val="00CD3AD8"/>
    <w:rsid w:val="00CD5BBE"/>
    <w:rsid w:val="00CD6404"/>
    <w:rsid w:val="00CD7323"/>
    <w:rsid w:val="00CD7995"/>
    <w:rsid w:val="00CE0256"/>
    <w:rsid w:val="00CE3555"/>
    <w:rsid w:val="00CF084A"/>
    <w:rsid w:val="00CF124F"/>
    <w:rsid w:val="00CF1700"/>
    <w:rsid w:val="00CF31CA"/>
    <w:rsid w:val="00CF6C2C"/>
    <w:rsid w:val="00CF7FBB"/>
    <w:rsid w:val="00D01B0F"/>
    <w:rsid w:val="00D02206"/>
    <w:rsid w:val="00D034D5"/>
    <w:rsid w:val="00D05546"/>
    <w:rsid w:val="00D05EBB"/>
    <w:rsid w:val="00D10CD8"/>
    <w:rsid w:val="00D10E80"/>
    <w:rsid w:val="00D143A9"/>
    <w:rsid w:val="00D162E7"/>
    <w:rsid w:val="00D1774E"/>
    <w:rsid w:val="00D17EF1"/>
    <w:rsid w:val="00D24E0E"/>
    <w:rsid w:val="00D30344"/>
    <w:rsid w:val="00D31EA9"/>
    <w:rsid w:val="00D33380"/>
    <w:rsid w:val="00D34428"/>
    <w:rsid w:val="00D405A8"/>
    <w:rsid w:val="00D407BC"/>
    <w:rsid w:val="00D40FFF"/>
    <w:rsid w:val="00D43F2D"/>
    <w:rsid w:val="00D44D76"/>
    <w:rsid w:val="00D459B1"/>
    <w:rsid w:val="00D47B17"/>
    <w:rsid w:val="00D557DF"/>
    <w:rsid w:val="00D55F22"/>
    <w:rsid w:val="00D57360"/>
    <w:rsid w:val="00D6245D"/>
    <w:rsid w:val="00D64637"/>
    <w:rsid w:val="00D67592"/>
    <w:rsid w:val="00D71A25"/>
    <w:rsid w:val="00D73763"/>
    <w:rsid w:val="00D76190"/>
    <w:rsid w:val="00D768CD"/>
    <w:rsid w:val="00D82674"/>
    <w:rsid w:val="00D8507B"/>
    <w:rsid w:val="00D8591F"/>
    <w:rsid w:val="00D87099"/>
    <w:rsid w:val="00D87E77"/>
    <w:rsid w:val="00D91CD7"/>
    <w:rsid w:val="00D92AC5"/>
    <w:rsid w:val="00D9473E"/>
    <w:rsid w:val="00D97038"/>
    <w:rsid w:val="00D97D2B"/>
    <w:rsid w:val="00D97F1C"/>
    <w:rsid w:val="00DA1276"/>
    <w:rsid w:val="00DA1E2F"/>
    <w:rsid w:val="00DB44B5"/>
    <w:rsid w:val="00DB4853"/>
    <w:rsid w:val="00DB5A45"/>
    <w:rsid w:val="00DC05A2"/>
    <w:rsid w:val="00DC0CE4"/>
    <w:rsid w:val="00DC1147"/>
    <w:rsid w:val="00DC56AA"/>
    <w:rsid w:val="00DD0734"/>
    <w:rsid w:val="00DD084E"/>
    <w:rsid w:val="00DD21C9"/>
    <w:rsid w:val="00DD3092"/>
    <w:rsid w:val="00DD4080"/>
    <w:rsid w:val="00DD4F23"/>
    <w:rsid w:val="00DD7613"/>
    <w:rsid w:val="00DD7717"/>
    <w:rsid w:val="00DE06B7"/>
    <w:rsid w:val="00DE1894"/>
    <w:rsid w:val="00DE2006"/>
    <w:rsid w:val="00DE216E"/>
    <w:rsid w:val="00DE2EF0"/>
    <w:rsid w:val="00DE3BEF"/>
    <w:rsid w:val="00DE584E"/>
    <w:rsid w:val="00DE65CF"/>
    <w:rsid w:val="00DF0EFC"/>
    <w:rsid w:val="00DF2F6F"/>
    <w:rsid w:val="00DF61B2"/>
    <w:rsid w:val="00DF65D7"/>
    <w:rsid w:val="00DF660E"/>
    <w:rsid w:val="00E00BFF"/>
    <w:rsid w:val="00E04882"/>
    <w:rsid w:val="00E10EFB"/>
    <w:rsid w:val="00E14215"/>
    <w:rsid w:val="00E20108"/>
    <w:rsid w:val="00E20906"/>
    <w:rsid w:val="00E2158C"/>
    <w:rsid w:val="00E222BF"/>
    <w:rsid w:val="00E2307F"/>
    <w:rsid w:val="00E23C8F"/>
    <w:rsid w:val="00E24688"/>
    <w:rsid w:val="00E2688E"/>
    <w:rsid w:val="00E3481C"/>
    <w:rsid w:val="00E34927"/>
    <w:rsid w:val="00E362A6"/>
    <w:rsid w:val="00E4040B"/>
    <w:rsid w:val="00E42887"/>
    <w:rsid w:val="00E4344B"/>
    <w:rsid w:val="00E4448D"/>
    <w:rsid w:val="00E45597"/>
    <w:rsid w:val="00E50028"/>
    <w:rsid w:val="00E50674"/>
    <w:rsid w:val="00E51992"/>
    <w:rsid w:val="00E52B33"/>
    <w:rsid w:val="00E541CD"/>
    <w:rsid w:val="00E54D90"/>
    <w:rsid w:val="00E55093"/>
    <w:rsid w:val="00E574D1"/>
    <w:rsid w:val="00E60A34"/>
    <w:rsid w:val="00E61E1D"/>
    <w:rsid w:val="00E641E8"/>
    <w:rsid w:val="00E644E2"/>
    <w:rsid w:val="00E64CF5"/>
    <w:rsid w:val="00E664D9"/>
    <w:rsid w:val="00E7042E"/>
    <w:rsid w:val="00E71636"/>
    <w:rsid w:val="00E75AC9"/>
    <w:rsid w:val="00E7615B"/>
    <w:rsid w:val="00E813ED"/>
    <w:rsid w:val="00E83CF0"/>
    <w:rsid w:val="00E87391"/>
    <w:rsid w:val="00E93680"/>
    <w:rsid w:val="00E96C49"/>
    <w:rsid w:val="00E9776F"/>
    <w:rsid w:val="00EA443A"/>
    <w:rsid w:val="00EA6FB3"/>
    <w:rsid w:val="00EA7C6E"/>
    <w:rsid w:val="00EB03A7"/>
    <w:rsid w:val="00EB4261"/>
    <w:rsid w:val="00EB586F"/>
    <w:rsid w:val="00EB789D"/>
    <w:rsid w:val="00EC0FDD"/>
    <w:rsid w:val="00EC1934"/>
    <w:rsid w:val="00EC1F0E"/>
    <w:rsid w:val="00EC2FA1"/>
    <w:rsid w:val="00EC40E8"/>
    <w:rsid w:val="00EC6823"/>
    <w:rsid w:val="00ED03F0"/>
    <w:rsid w:val="00ED2E86"/>
    <w:rsid w:val="00ED3A2F"/>
    <w:rsid w:val="00ED4313"/>
    <w:rsid w:val="00ED5B21"/>
    <w:rsid w:val="00ED6EEB"/>
    <w:rsid w:val="00ED75C3"/>
    <w:rsid w:val="00EE01A0"/>
    <w:rsid w:val="00EE4FAB"/>
    <w:rsid w:val="00EE5679"/>
    <w:rsid w:val="00EE67CC"/>
    <w:rsid w:val="00EE6835"/>
    <w:rsid w:val="00EE6DDB"/>
    <w:rsid w:val="00EE7290"/>
    <w:rsid w:val="00EE74BE"/>
    <w:rsid w:val="00EF04B5"/>
    <w:rsid w:val="00EF1B5C"/>
    <w:rsid w:val="00EF2729"/>
    <w:rsid w:val="00EF3226"/>
    <w:rsid w:val="00EF46DF"/>
    <w:rsid w:val="00EF54F0"/>
    <w:rsid w:val="00F00AAF"/>
    <w:rsid w:val="00F0550D"/>
    <w:rsid w:val="00F05552"/>
    <w:rsid w:val="00F07351"/>
    <w:rsid w:val="00F07BED"/>
    <w:rsid w:val="00F16FFA"/>
    <w:rsid w:val="00F20708"/>
    <w:rsid w:val="00F226BD"/>
    <w:rsid w:val="00F22E49"/>
    <w:rsid w:val="00F23C27"/>
    <w:rsid w:val="00F24118"/>
    <w:rsid w:val="00F24208"/>
    <w:rsid w:val="00F26A35"/>
    <w:rsid w:val="00F27152"/>
    <w:rsid w:val="00F3141C"/>
    <w:rsid w:val="00F314EE"/>
    <w:rsid w:val="00F31FFA"/>
    <w:rsid w:val="00F336DC"/>
    <w:rsid w:val="00F345E7"/>
    <w:rsid w:val="00F3623F"/>
    <w:rsid w:val="00F370B1"/>
    <w:rsid w:val="00F42C5B"/>
    <w:rsid w:val="00F43957"/>
    <w:rsid w:val="00F54E13"/>
    <w:rsid w:val="00F564D2"/>
    <w:rsid w:val="00F57C58"/>
    <w:rsid w:val="00F57D24"/>
    <w:rsid w:val="00F61954"/>
    <w:rsid w:val="00F6240B"/>
    <w:rsid w:val="00F65A75"/>
    <w:rsid w:val="00F66F96"/>
    <w:rsid w:val="00F7077B"/>
    <w:rsid w:val="00F72695"/>
    <w:rsid w:val="00F730A2"/>
    <w:rsid w:val="00F75D04"/>
    <w:rsid w:val="00F762C4"/>
    <w:rsid w:val="00F805A7"/>
    <w:rsid w:val="00F8399D"/>
    <w:rsid w:val="00F83C64"/>
    <w:rsid w:val="00F8505E"/>
    <w:rsid w:val="00F9024E"/>
    <w:rsid w:val="00F94C88"/>
    <w:rsid w:val="00F9525E"/>
    <w:rsid w:val="00F95924"/>
    <w:rsid w:val="00F96060"/>
    <w:rsid w:val="00F97D82"/>
    <w:rsid w:val="00FA21EE"/>
    <w:rsid w:val="00FA34BB"/>
    <w:rsid w:val="00FA5ACA"/>
    <w:rsid w:val="00FB2D46"/>
    <w:rsid w:val="00FB4532"/>
    <w:rsid w:val="00FB546D"/>
    <w:rsid w:val="00FB6DE9"/>
    <w:rsid w:val="00FC17F9"/>
    <w:rsid w:val="00FC279F"/>
    <w:rsid w:val="00FC3082"/>
    <w:rsid w:val="00FD08A6"/>
    <w:rsid w:val="00FD1CD4"/>
    <w:rsid w:val="00FD1E48"/>
    <w:rsid w:val="00FD2B8C"/>
    <w:rsid w:val="00FD32F3"/>
    <w:rsid w:val="00FE0868"/>
    <w:rsid w:val="00FE1CE9"/>
    <w:rsid w:val="00FE2530"/>
    <w:rsid w:val="00FE678E"/>
    <w:rsid w:val="00FE6A5B"/>
    <w:rsid w:val="00FF27A2"/>
    <w:rsid w:val="00FF285A"/>
    <w:rsid w:val="00FF30A5"/>
    <w:rsid w:val="00FF7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F2729"/>
    <w:pPr>
      <w:spacing w:line="240" w:lineRule="atLeast"/>
      <w:jc w:val="both"/>
    </w:pPr>
    <w:rPr>
      <w:sz w:val="22"/>
    </w:rPr>
  </w:style>
  <w:style w:type="paragraph" w:styleId="Heading1">
    <w:name w:val="heading 1"/>
    <w:aliases w:val="H1-Sec.Head,H1-Sec.Hea"/>
    <w:basedOn w:val="Normal"/>
    <w:next w:val="P1-StandPara"/>
    <w:link w:val="Heading1Char"/>
    <w:uiPriority w:val="99"/>
    <w:qFormat/>
    <w:rsid w:val="00EF2729"/>
    <w:pPr>
      <w:keepNext/>
      <w:tabs>
        <w:tab w:val="left" w:pos="1152"/>
      </w:tabs>
      <w:spacing w:after="360" w:line="360" w:lineRule="atLeast"/>
      <w:ind w:left="1152" w:hanging="1152"/>
      <w:outlineLvl w:val="0"/>
    </w:pPr>
    <w:rPr>
      <w:b/>
    </w:rPr>
  </w:style>
  <w:style w:type="paragraph" w:styleId="Heading2">
    <w:name w:val="heading 2"/>
    <w:aliases w:val="H2-Sec. Head,H2-Sec. He"/>
    <w:basedOn w:val="Normal"/>
    <w:next w:val="P1-StandPara"/>
    <w:link w:val="Heading2Char"/>
    <w:uiPriority w:val="99"/>
    <w:qFormat/>
    <w:rsid w:val="00EF2729"/>
    <w:pPr>
      <w:keepNext/>
      <w:tabs>
        <w:tab w:val="left" w:pos="1152"/>
      </w:tabs>
      <w:spacing w:after="360" w:line="360" w:lineRule="atLeast"/>
      <w:ind w:left="1152" w:hanging="1152"/>
      <w:outlineLvl w:val="1"/>
    </w:pPr>
    <w:rPr>
      <w:b/>
    </w:rPr>
  </w:style>
  <w:style w:type="paragraph" w:styleId="Heading3">
    <w:name w:val="heading 3"/>
    <w:aliases w:val="H3-Sec. Head,H3-Sec. He"/>
    <w:basedOn w:val="Normal"/>
    <w:next w:val="P1-StandPara"/>
    <w:link w:val="Heading3Char"/>
    <w:uiPriority w:val="99"/>
    <w:qFormat/>
    <w:rsid w:val="00EF2729"/>
    <w:pPr>
      <w:keepNext/>
      <w:tabs>
        <w:tab w:val="left" w:pos="1152"/>
      </w:tabs>
      <w:spacing w:after="360" w:line="360" w:lineRule="atLeast"/>
      <w:ind w:left="1152" w:hanging="1152"/>
      <w:outlineLvl w:val="2"/>
    </w:pPr>
    <w:rPr>
      <w:b/>
    </w:rPr>
  </w:style>
  <w:style w:type="paragraph" w:styleId="Heading4">
    <w:name w:val="heading 4"/>
    <w:aliases w:val="H4 Sec.Heading,H4 Sec.Hea"/>
    <w:basedOn w:val="Normal"/>
    <w:next w:val="P1-StandPara"/>
    <w:link w:val="Heading4Char"/>
    <w:uiPriority w:val="99"/>
    <w:qFormat/>
    <w:rsid w:val="00EF2729"/>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uiPriority w:val="99"/>
    <w:qFormat/>
    <w:rsid w:val="00EF2729"/>
    <w:pPr>
      <w:keepLines/>
      <w:spacing w:before="360" w:line="360" w:lineRule="atLeast"/>
      <w:jc w:val="center"/>
      <w:outlineLvl w:val="4"/>
    </w:pPr>
  </w:style>
  <w:style w:type="paragraph" w:styleId="Heading6">
    <w:name w:val="heading 6"/>
    <w:basedOn w:val="Normal"/>
    <w:next w:val="Normal"/>
    <w:link w:val="Heading6Char"/>
    <w:uiPriority w:val="99"/>
    <w:qFormat/>
    <w:rsid w:val="00EF2729"/>
    <w:pPr>
      <w:keepNext/>
      <w:spacing w:before="240"/>
      <w:jc w:val="center"/>
      <w:outlineLvl w:val="5"/>
    </w:pPr>
    <w:rPr>
      <w:b/>
      <w:caps/>
    </w:rPr>
  </w:style>
  <w:style w:type="paragraph" w:styleId="Heading7">
    <w:name w:val="heading 7"/>
    <w:basedOn w:val="Normal"/>
    <w:next w:val="Normal"/>
    <w:link w:val="Heading7Char"/>
    <w:uiPriority w:val="99"/>
    <w:qFormat/>
    <w:rsid w:val="00EF2729"/>
    <w:pPr>
      <w:spacing w:before="240" w:after="60"/>
      <w:outlineLvl w:val="6"/>
    </w:pPr>
  </w:style>
  <w:style w:type="paragraph" w:styleId="Heading8">
    <w:name w:val="heading 8"/>
    <w:basedOn w:val="Normal"/>
    <w:next w:val="Normal"/>
    <w:link w:val="Heading8Char"/>
    <w:uiPriority w:val="99"/>
    <w:qFormat/>
    <w:rsid w:val="005A33B6"/>
    <w:pPr>
      <w:keepNext/>
      <w:ind w:left="720"/>
      <w:outlineLvl w:val="7"/>
    </w:pPr>
    <w:rPr>
      <w:i/>
      <w:u w:val="single"/>
    </w:rPr>
  </w:style>
  <w:style w:type="paragraph" w:styleId="Heading9">
    <w:name w:val="heading 9"/>
    <w:basedOn w:val="Normal"/>
    <w:next w:val="Normal"/>
    <w:link w:val="Heading9Char"/>
    <w:uiPriority w:val="99"/>
    <w:qFormat/>
    <w:rsid w:val="005A33B6"/>
    <w:pPr>
      <w:keepNex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H1-Sec.Hea Char"/>
    <w:link w:val="Heading1"/>
    <w:uiPriority w:val="99"/>
    <w:locked/>
    <w:rsid w:val="005A33B6"/>
    <w:rPr>
      <w:rFonts w:ascii="Cambria" w:hAnsi="Cambria" w:cs="Times New Roman"/>
      <w:b/>
      <w:bCs/>
      <w:kern w:val="32"/>
      <w:sz w:val="32"/>
      <w:szCs w:val="32"/>
    </w:rPr>
  </w:style>
  <w:style w:type="character" w:customStyle="1" w:styleId="Heading2Char">
    <w:name w:val="Heading 2 Char"/>
    <w:aliases w:val="H2-Sec. Head Char,H2-Sec. He Char"/>
    <w:link w:val="Heading2"/>
    <w:uiPriority w:val="99"/>
    <w:locked/>
    <w:rsid w:val="005A33B6"/>
    <w:rPr>
      <w:rFonts w:ascii="Cambria" w:hAnsi="Cambria" w:cs="Times New Roman"/>
      <w:b/>
      <w:bCs/>
      <w:i/>
      <w:iCs/>
      <w:sz w:val="28"/>
      <w:szCs w:val="28"/>
    </w:rPr>
  </w:style>
  <w:style w:type="character" w:customStyle="1" w:styleId="Heading3Char">
    <w:name w:val="Heading 3 Char"/>
    <w:aliases w:val="H3-Sec. Head Char,H3-Sec. He Char"/>
    <w:link w:val="Heading3"/>
    <w:uiPriority w:val="99"/>
    <w:locked/>
    <w:rsid w:val="005A33B6"/>
    <w:rPr>
      <w:rFonts w:ascii="Cambria" w:hAnsi="Cambria" w:cs="Times New Roman"/>
      <w:b/>
      <w:bCs/>
      <w:sz w:val="26"/>
      <w:szCs w:val="26"/>
    </w:rPr>
  </w:style>
  <w:style w:type="character" w:customStyle="1" w:styleId="Heading4Char">
    <w:name w:val="Heading 4 Char"/>
    <w:aliases w:val="H4 Sec.Heading Char,H4 Sec.Hea Char"/>
    <w:link w:val="Heading4"/>
    <w:uiPriority w:val="99"/>
    <w:locked/>
    <w:rsid w:val="005A33B6"/>
    <w:rPr>
      <w:rFonts w:ascii="Calibri" w:hAnsi="Calibri" w:cs="Times New Roman"/>
      <w:b/>
      <w:bCs/>
      <w:sz w:val="28"/>
      <w:szCs w:val="28"/>
    </w:rPr>
  </w:style>
  <w:style w:type="character" w:customStyle="1" w:styleId="Heading5Char">
    <w:name w:val="Heading 5 Char"/>
    <w:link w:val="Heading5"/>
    <w:uiPriority w:val="99"/>
    <w:locked/>
    <w:rsid w:val="005A33B6"/>
    <w:rPr>
      <w:rFonts w:ascii="Calibri" w:hAnsi="Calibri" w:cs="Times New Roman"/>
      <w:b/>
      <w:bCs/>
      <w:i/>
      <w:iCs/>
      <w:sz w:val="26"/>
      <w:szCs w:val="26"/>
    </w:rPr>
  </w:style>
  <w:style w:type="character" w:customStyle="1" w:styleId="Heading6Char">
    <w:name w:val="Heading 6 Char"/>
    <w:link w:val="Heading6"/>
    <w:uiPriority w:val="99"/>
    <w:locked/>
    <w:rsid w:val="005A33B6"/>
    <w:rPr>
      <w:rFonts w:ascii="Calibri" w:hAnsi="Calibri" w:cs="Times New Roman"/>
      <w:b/>
      <w:bCs/>
      <w:sz w:val="22"/>
      <w:szCs w:val="22"/>
    </w:rPr>
  </w:style>
  <w:style w:type="character" w:customStyle="1" w:styleId="Heading7Char">
    <w:name w:val="Heading 7 Char"/>
    <w:link w:val="Heading7"/>
    <w:uiPriority w:val="99"/>
    <w:locked/>
    <w:rsid w:val="005A33B6"/>
    <w:rPr>
      <w:rFonts w:ascii="Calibri" w:hAnsi="Calibri" w:cs="Times New Roman"/>
      <w:sz w:val="24"/>
      <w:szCs w:val="24"/>
    </w:rPr>
  </w:style>
  <w:style w:type="character" w:customStyle="1" w:styleId="Heading8Char">
    <w:name w:val="Heading 8 Char"/>
    <w:link w:val="Heading8"/>
    <w:uiPriority w:val="99"/>
    <w:locked/>
    <w:rsid w:val="005A33B6"/>
    <w:rPr>
      <w:rFonts w:ascii="Calibri" w:hAnsi="Calibri" w:cs="Times New Roman"/>
      <w:i/>
      <w:iCs/>
      <w:sz w:val="24"/>
      <w:szCs w:val="24"/>
    </w:rPr>
  </w:style>
  <w:style w:type="character" w:customStyle="1" w:styleId="Heading9Char">
    <w:name w:val="Heading 9 Char"/>
    <w:link w:val="Heading9"/>
    <w:uiPriority w:val="99"/>
    <w:locked/>
    <w:rsid w:val="005A33B6"/>
    <w:rPr>
      <w:rFonts w:ascii="Cambria" w:hAnsi="Cambria" w:cs="Times New Roman"/>
      <w:sz w:val="22"/>
      <w:szCs w:val="22"/>
    </w:rPr>
  </w:style>
  <w:style w:type="paragraph" w:customStyle="1" w:styleId="P1-StandPara">
    <w:name w:val="P1-Stand Para"/>
    <w:uiPriority w:val="99"/>
    <w:rsid w:val="00EF2729"/>
    <w:pPr>
      <w:spacing w:line="360" w:lineRule="atLeast"/>
      <w:ind w:firstLine="1152"/>
      <w:jc w:val="both"/>
    </w:pPr>
    <w:rPr>
      <w:sz w:val="22"/>
    </w:rPr>
  </w:style>
  <w:style w:type="paragraph" w:customStyle="1" w:styleId="N1-1stBullet">
    <w:name w:val="N1-1st Bullet"/>
    <w:basedOn w:val="Normal"/>
    <w:uiPriority w:val="99"/>
    <w:rsid w:val="00EF2729"/>
    <w:pPr>
      <w:tabs>
        <w:tab w:val="left" w:pos="1152"/>
      </w:tabs>
      <w:spacing w:after="240"/>
      <w:ind w:left="1152" w:hanging="576"/>
    </w:pPr>
  </w:style>
  <w:style w:type="paragraph" w:customStyle="1" w:styleId="N2-2ndBullet">
    <w:name w:val="N2-2nd Bullet"/>
    <w:basedOn w:val="Normal"/>
    <w:uiPriority w:val="99"/>
    <w:rsid w:val="00EF2729"/>
    <w:pPr>
      <w:numPr>
        <w:numId w:val="1"/>
      </w:numPr>
      <w:tabs>
        <w:tab w:val="left" w:pos="1728"/>
      </w:tabs>
      <w:spacing w:after="240"/>
    </w:pPr>
  </w:style>
  <w:style w:type="character" w:styleId="Hyperlink">
    <w:name w:val="Hyperlink"/>
    <w:uiPriority w:val="99"/>
    <w:rsid w:val="005A33B6"/>
    <w:rPr>
      <w:rFonts w:cs="Times New Roman"/>
      <w:color w:val="0000FF"/>
      <w:u w:val="single"/>
    </w:rPr>
  </w:style>
  <w:style w:type="paragraph" w:styleId="Caption">
    <w:name w:val="caption"/>
    <w:basedOn w:val="Normal"/>
    <w:next w:val="Normal"/>
    <w:uiPriority w:val="99"/>
    <w:qFormat/>
    <w:rsid w:val="005A33B6"/>
    <w:rPr>
      <w:rFonts w:ascii="CG Times" w:hAnsi="CG Times"/>
      <w:sz w:val="24"/>
    </w:rPr>
  </w:style>
  <w:style w:type="paragraph" w:customStyle="1" w:styleId="SL-FlLftSgl">
    <w:name w:val="SL-Fl Lft Sgl"/>
    <w:link w:val="SL-FlLftSglChar"/>
    <w:uiPriority w:val="99"/>
    <w:rsid w:val="00EF2729"/>
    <w:pPr>
      <w:spacing w:line="240" w:lineRule="atLeast"/>
      <w:jc w:val="both"/>
    </w:pPr>
    <w:rPr>
      <w:sz w:val="22"/>
    </w:rPr>
  </w:style>
  <w:style w:type="paragraph" w:customStyle="1" w:styleId="C3-CtrSp12">
    <w:name w:val="C3-Ctr Sp&amp;1/2"/>
    <w:uiPriority w:val="99"/>
    <w:rsid w:val="00EF2729"/>
    <w:pPr>
      <w:keepLines/>
      <w:spacing w:line="360" w:lineRule="atLeast"/>
      <w:jc w:val="center"/>
    </w:pPr>
    <w:rPr>
      <w:sz w:val="22"/>
    </w:rPr>
  </w:style>
  <w:style w:type="paragraph" w:customStyle="1" w:styleId="C1-CtrBoldHd">
    <w:name w:val="C1-Ctr BoldHd"/>
    <w:uiPriority w:val="99"/>
    <w:rsid w:val="00EF2729"/>
    <w:pPr>
      <w:keepNext/>
      <w:spacing w:after="720" w:line="240" w:lineRule="atLeast"/>
      <w:jc w:val="center"/>
    </w:pPr>
    <w:rPr>
      <w:b/>
      <w:caps/>
      <w:sz w:val="22"/>
    </w:rPr>
  </w:style>
  <w:style w:type="paragraph" w:customStyle="1" w:styleId="C2-CtrSglSp">
    <w:name w:val="C2-Ctr Sgl Sp"/>
    <w:uiPriority w:val="99"/>
    <w:rsid w:val="00EF2729"/>
    <w:pPr>
      <w:keepLines/>
      <w:spacing w:line="240" w:lineRule="atLeast"/>
      <w:jc w:val="center"/>
    </w:pPr>
    <w:rPr>
      <w:sz w:val="22"/>
    </w:rPr>
  </w:style>
  <w:style w:type="paragraph" w:customStyle="1" w:styleId="SP-SglSpPara">
    <w:name w:val="SP-Sgl Sp Para"/>
    <w:uiPriority w:val="99"/>
    <w:rsid w:val="00EF2729"/>
    <w:pPr>
      <w:tabs>
        <w:tab w:val="left" w:pos="576"/>
      </w:tabs>
      <w:spacing w:line="240" w:lineRule="atLeast"/>
      <w:ind w:firstLine="576"/>
      <w:jc w:val="both"/>
    </w:pPr>
    <w:rPr>
      <w:sz w:val="22"/>
    </w:rPr>
  </w:style>
  <w:style w:type="paragraph" w:customStyle="1" w:styleId="N0-FlLftBullet">
    <w:name w:val="N0-Fl Lft Bullet"/>
    <w:basedOn w:val="Normal"/>
    <w:uiPriority w:val="99"/>
    <w:rsid w:val="00EF2729"/>
    <w:pPr>
      <w:tabs>
        <w:tab w:val="left" w:pos="576"/>
      </w:tabs>
      <w:spacing w:after="240"/>
      <w:ind w:left="576" w:hanging="576"/>
    </w:pPr>
  </w:style>
  <w:style w:type="character" w:customStyle="1" w:styleId="ALT-uunderlining">
    <w:name w:val="ALT-u underlining"/>
    <w:uiPriority w:val="99"/>
    <w:rsid w:val="005A33B6"/>
    <w:rPr>
      <w:rFonts w:ascii="Times" w:hAnsi="Times"/>
      <w:sz w:val="22"/>
      <w:u w:val="single"/>
    </w:rPr>
  </w:style>
  <w:style w:type="character" w:styleId="PageNumber">
    <w:name w:val="page number"/>
    <w:uiPriority w:val="99"/>
    <w:rsid w:val="00EF2729"/>
    <w:rPr>
      <w:rFonts w:cs="Times New Roman"/>
    </w:rPr>
  </w:style>
  <w:style w:type="paragraph" w:styleId="Footer">
    <w:name w:val="footer"/>
    <w:basedOn w:val="Normal"/>
    <w:link w:val="FooterChar"/>
    <w:uiPriority w:val="99"/>
    <w:rsid w:val="00EF2729"/>
    <w:pPr>
      <w:tabs>
        <w:tab w:val="center" w:pos="4320"/>
        <w:tab w:val="right" w:pos="8640"/>
      </w:tabs>
    </w:pPr>
  </w:style>
  <w:style w:type="character" w:customStyle="1" w:styleId="FooterChar">
    <w:name w:val="Footer Char"/>
    <w:link w:val="Footer"/>
    <w:uiPriority w:val="99"/>
    <w:locked/>
    <w:rsid w:val="005A33B6"/>
    <w:rPr>
      <w:rFonts w:cs="Times New Roman"/>
    </w:rPr>
  </w:style>
  <w:style w:type="character" w:styleId="FollowedHyperlink">
    <w:name w:val="FollowedHyperlink"/>
    <w:uiPriority w:val="99"/>
    <w:rsid w:val="005A33B6"/>
    <w:rPr>
      <w:rFonts w:cs="Times New Roman"/>
      <w:color w:val="800080"/>
      <w:u w:val="single"/>
    </w:rPr>
  </w:style>
  <w:style w:type="paragraph" w:styleId="Header">
    <w:name w:val="header"/>
    <w:basedOn w:val="Normal"/>
    <w:link w:val="HeaderChar"/>
    <w:uiPriority w:val="99"/>
    <w:rsid w:val="00EF2729"/>
    <w:pPr>
      <w:tabs>
        <w:tab w:val="center" w:pos="4320"/>
        <w:tab w:val="right" w:pos="8640"/>
      </w:tabs>
    </w:pPr>
    <w:rPr>
      <w:sz w:val="16"/>
    </w:rPr>
  </w:style>
  <w:style w:type="character" w:customStyle="1" w:styleId="HeaderChar">
    <w:name w:val="Header Char"/>
    <w:link w:val="Header"/>
    <w:uiPriority w:val="99"/>
    <w:locked/>
    <w:rsid w:val="005A33B6"/>
    <w:rPr>
      <w:rFonts w:cs="Times New Roman"/>
    </w:rPr>
  </w:style>
  <w:style w:type="paragraph" w:customStyle="1" w:styleId="TT-TableTitle">
    <w:name w:val="TT-Table Title"/>
    <w:uiPriority w:val="99"/>
    <w:rsid w:val="00EF2729"/>
    <w:pPr>
      <w:tabs>
        <w:tab w:val="left" w:pos="1152"/>
      </w:tabs>
      <w:spacing w:line="240" w:lineRule="atLeast"/>
      <w:ind w:left="1152" w:hanging="1152"/>
    </w:pPr>
    <w:rPr>
      <w:b/>
      <w:sz w:val="22"/>
      <w:szCs w:val="22"/>
    </w:rPr>
  </w:style>
  <w:style w:type="paragraph" w:styleId="Title">
    <w:name w:val="Title"/>
    <w:basedOn w:val="Normal"/>
    <w:link w:val="TitleChar"/>
    <w:uiPriority w:val="99"/>
    <w:qFormat/>
    <w:rsid w:val="005A33B6"/>
    <w:pPr>
      <w:jc w:val="center"/>
    </w:pPr>
    <w:rPr>
      <w:b/>
    </w:rPr>
  </w:style>
  <w:style w:type="character" w:customStyle="1" w:styleId="TitleChar">
    <w:name w:val="Title Char"/>
    <w:link w:val="Title"/>
    <w:uiPriority w:val="99"/>
    <w:locked/>
    <w:rsid w:val="005A33B6"/>
    <w:rPr>
      <w:rFonts w:ascii="Cambria" w:hAnsi="Cambria" w:cs="Times New Roman"/>
      <w:b/>
      <w:bCs/>
      <w:kern w:val="28"/>
      <w:sz w:val="32"/>
      <w:szCs w:val="32"/>
    </w:rPr>
  </w:style>
  <w:style w:type="paragraph" w:customStyle="1" w:styleId="N1-2ndBullet">
    <w:name w:val="N1-2nd Bullet"/>
    <w:autoRedefine/>
    <w:uiPriority w:val="99"/>
    <w:rsid w:val="005A33B6"/>
    <w:pPr>
      <w:keepNext/>
      <w:tabs>
        <w:tab w:val="left" w:pos="180"/>
        <w:tab w:val="right" w:pos="1530"/>
        <w:tab w:val="right" w:leader="dot" w:pos="6462"/>
        <w:tab w:val="right" w:pos="7632"/>
      </w:tabs>
      <w:spacing w:line="240" w:lineRule="atLeast"/>
      <w:jc w:val="center"/>
    </w:pPr>
    <w:rPr>
      <w:noProof/>
      <w:sz w:val="18"/>
    </w:rPr>
  </w:style>
  <w:style w:type="paragraph" w:customStyle="1" w:styleId="E1-Equation">
    <w:name w:val="E1-Equation"/>
    <w:uiPriority w:val="99"/>
    <w:rsid w:val="00EF2729"/>
    <w:pPr>
      <w:tabs>
        <w:tab w:val="center" w:pos="4680"/>
        <w:tab w:val="right" w:pos="9360"/>
      </w:tabs>
      <w:spacing w:line="240" w:lineRule="atLeast"/>
      <w:jc w:val="both"/>
    </w:pPr>
    <w:rPr>
      <w:sz w:val="22"/>
    </w:rPr>
  </w:style>
  <w:style w:type="paragraph" w:styleId="BodyTextIndent2">
    <w:name w:val="Body Text Indent 2"/>
    <w:basedOn w:val="Normal"/>
    <w:link w:val="BodyTextIndent2Char"/>
    <w:uiPriority w:val="99"/>
    <w:rsid w:val="005A33B6"/>
    <w:pPr>
      <w:ind w:left="720"/>
    </w:pPr>
  </w:style>
  <w:style w:type="character" w:customStyle="1" w:styleId="BodyTextIndent2Char">
    <w:name w:val="Body Text Indent 2 Char"/>
    <w:link w:val="BodyTextIndent2"/>
    <w:uiPriority w:val="99"/>
    <w:locked/>
    <w:rsid w:val="005A33B6"/>
    <w:rPr>
      <w:rFonts w:cs="Times New Roman"/>
    </w:rPr>
  </w:style>
  <w:style w:type="paragraph" w:styleId="BodyText">
    <w:name w:val="Body Text"/>
    <w:basedOn w:val="Normal"/>
    <w:link w:val="BodyTextChar"/>
    <w:uiPriority w:val="99"/>
    <w:rsid w:val="005A33B6"/>
  </w:style>
  <w:style w:type="character" w:customStyle="1" w:styleId="BodyTextChar">
    <w:name w:val="Body Text Char"/>
    <w:link w:val="BodyText"/>
    <w:uiPriority w:val="99"/>
    <w:locked/>
    <w:rsid w:val="005A33B6"/>
    <w:rPr>
      <w:rFonts w:cs="Times New Roman"/>
    </w:rPr>
  </w:style>
  <w:style w:type="character" w:customStyle="1" w:styleId="footnotetex">
    <w:name w:val="footnote tex"/>
    <w:uiPriority w:val="99"/>
    <w:rsid w:val="005A33B6"/>
    <w:rPr>
      <w:rFonts w:ascii="Times New Roman" w:hAnsi="Times New Roman" w:cs="Times New Roman"/>
      <w:sz w:val="24"/>
      <w:lang w:val="en-US"/>
    </w:rPr>
  </w:style>
  <w:style w:type="paragraph" w:customStyle="1" w:styleId="OMBSecHead">
    <w:name w:val="OMBSecHead"/>
    <w:basedOn w:val="Normal"/>
    <w:uiPriority w:val="99"/>
    <w:rsid w:val="005A33B6"/>
    <w:pPr>
      <w:tabs>
        <w:tab w:val="left" w:pos="0"/>
        <w:tab w:val="left" w:pos="1194"/>
        <w:tab w:val="left" w:pos="1728"/>
        <w:tab w:val="left" w:pos="2160"/>
      </w:tabs>
      <w:suppressAutoHyphens/>
      <w:spacing w:line="360" w:lineRule="auto"/>
    </w:pPr>
    <w:rPr>
      <w:b/>
      <w:spacing w:val="-2"/>
    </w:rPr>
  </w:style>
  <w:style w:type="character" w:styleId="FootnoteReference">
    <w:name w:val="footnote reference"/>
    <w:uiPriority w:val="99"/>
    <w:semiHidden/>
    <w:rsid w:val="00EF2729"/>
    <w:rPr>
      <w:rFonts w:cs="Times New Roman"/>
      <w:vertAlign w:val="superscript"/>
    </w:rPr>
  </w:style>
  <w:style w:type="paragraph" w:customStyle="1" w:styleId="OMBRef">
    <w:name w:val="OMBRef"/>
    <w:basedOn w:val="P1-StandPara"/>
    <w:uiPriority w:val="99"/>
    <w:rsid w:val="005A33B6"/>
    <w:pPr>
      <w:spacing w:line="240" w:lineRule="auto"/>
      <w:ind w:left="432" w:hanging="432"/>
    </w:pPr>
  </w:style>
  <w:style w:type="paragraph" w:styleId="FootnoteText">
    <w:name w:val="footnote text"/>
    <w:aliases w:val="F1"/>
    <w:basedOn w:val="Normal"/>
    <w:link w:val="FootnoteTextChar"/>
    <w:uiPriority w:val="99"/>
    <w:semiHidden/>
    <w:rsid w:val="00EF2729"/>
    <w:pPr>
      <w:tabs>
        <w:tab w:val="left" w:pos="120"/>
      </w:tabs>
      <w:spacing w:line="200" w:lineRule="atLeast"/>
    </w:pPr>
    <w:rPr>
      <w:sz w:val="16"/>
    </w:rPr>
  </w:style>
  <w:style w:type="character" w:customStyle="1" w:styleId="FootnoteTextChar">
    <w:name w:val="Footnote Text Char"/>
    <w:aliases w:val="F1 Char"/>
    <w:link w:val="FootnoteText"/>
    <w:uiPriority w:val="99"/>
    <w:locked/>
    <w:rsid w:val="005A33B6"/>
    <w:rPr>
      <w:rFonts w:cs="Times New Roman"/>
      <w:sz w:val="16"/>
      <w:lang w:val="en-US" w:eastAsia="en-US" w:bidi="ar-SA"/>
    </w:rPr>
  </w:style>
  <w:style w:type="paragraph" w:styleId="BodyTextIndent">
    <w:name w:val="Body Text Indent"/>
    <w:basedOn w:val="Normal"/>
    <w:link w:val="BodyTextIndentChar"/>
    <w:uiPriority w:val="99"/>
    <w:rsid w:val="005A33B6"/>
    <w:pPr>
      <w:ind w:left="720" w:hanging="720"/>
    </w:pPr>
  </w:style>
  <w:style w:type="character" w:customStyle="1" w:styleId="BodyTextIndentChar">
    <w:name w:val="Body Text Indent Char"/>
    <w:link w:val="BodyTextIndent"/>
    <w:uiPriority w:val="99"/>
    <w:locked/>
    <w:rsid w:val="005A33B6"/>
    <w:rPr>
      <w:rFonts w:cs="Times New Roman"/>
      <w:sz w:val="22"/>
      <w:lang w:val="en-US" w:eastAsia="en-US" w:bidi="ar-SA"/>
    </w:rPr>
  </w:style>
  <w:style w:type="paragraph" w:styleId="BodyText2">
    <w:name w:val="Body Text 2"/>
    <w:basedOn w:val="Normal"/>
    <w:link w:val="BodyText2Char"/>
    <w:uiPriority w:val="99"/>
    <w:rsid w:val="005A33B6"/>
    <w:rPr>
      <w:b/>
    </w:rPr>
  </w:style>
  <w:style w:type="character" w:customStyle="1" w:styleId="BodyText2Char">
    <w:name w:val="Body Text 2 Char"/>
    <w:link w:val="BodyText2"/>
    <w:uiPriority w:val="99"/>
    <w:locked/>
    <w:rsid w:val="005A33B6"/>
    <w:rPr>
      <w:rFonts w:cs="Times New Roman"/>
      <w:b/>
      <w:sz w:val="22"/>
      <w:lang w:val="en-US" w:eastAsia="en-US" w:bidi="ar-SA"/>
    </w:rPr>
  </w:style>
  <w:style w:type="paragraph" w:customStyle="1" w:styleId="SH-SglSpHead">
    <w:name w:val="SH-Sgl Sp Head"/>
    <w:uiPriority w:val="99"/>
    <w:rsid w:val="00EF2729"/>
    <w:pPr>
      <w:keepNext/>
      <w:tabs>
        <w:tab w:val="left" w:pos="576"/>
      </w:tabs>
      <w:spacing w:line="240" w:lineRule="atLeast"/>
      <w:ind w:left="576" w:hanging="576"/>
    </w:pPr>
    <w:rPr>
      <w:b/>
      <w:sz w:val="22"/>
    </w:rPr>
  </w:style>
  <w:style w:type="paragraph" w:styleId="TOC1">
    <w:name w:val="toc 1"/>
    <w:basedOn w:val="Normal"/>
    <w:uiPriority w:val="99"/>
    <w:rsid w:val="00EF2729"/>
    <w:pPr>
      <w:tabs>
        <w:tab w:val="left" w:pos="1440"/>
        <w:tab w:val="right" w:leader="dot" w:pos="8208"/>
        <w:tab w:val="left" w:pos="8640"/>
      </w:tabs>
      <w:ind w:left="288"/>
      <w:jc w:val="left"/>
    </w:pPr>
    <w:rPr>
      <w:caps/>
    </w:rPr>
  </w:style>
  <w:style w:type="paragraph" w:styleId="TOC2">
    <w:name w:val="toc 2"/>
    <w:basedOn w:val="Normal"/>
    <w:uiPriority w:val="99"/>
    <w:rsid w:val="00EF2729"/>
    <w:pPr>
      <w:tabs>
        <w:tab w:val="left" w:pos="2160"/>
        <w:tab w:val="right" w:leader="dot" w:pos="8208"/>
        <w:tab w:val="left" w:pos="8640"/>
      </w:tabs>
      <w:ind w:left="2160" w:hanging="720"/>
      <w:jc w:val="left"/>
    </w:pPr>
  </w:style>
  <w:style w:type="paragraph" w:styleId="TableofFigures">
    <w:name w:val="table of figures"/>
    <w:basedOn w:val="Normal"/>
    <w:next w:val="Normal"/>
    <w:uiPriority w:val="99"/>
    <w:semiHidden/>
    <w:rsid w:val="005A33B6"/>
    <w:pPr>
      <w:ind w:left="1440" w:right="1440" w:hanging="1440"/>
    </w:pPr>
  </w:style>
  <w:style w:type="paragraph" w:styleId="DocumentMap">
    <w:name w:val="Document Map"/>
    <w:basedOn w:val="Normal"/>
    <w:link w:val="DocumentMapChar"/>
    <w:uiPriority w:val="99"/>
    <w:semiHidden/>
    <w:rsid w:val="005A33B6"/>
    <w:pPr>
      <w:shd w:val="clear" w:color="auto" w:fill="000080"/>
    </w:pPr>
    <w:rPr>
      <w:rFonts w:ascii="Tahoma" w:hAnsi="Tahoma"/>
    </w:rPr>
  </w:style>
  <w:style w:type="character" w:customStyle="1" w:styleId="DocumentMapChar">
    <w:name w:val="Document Map Char"/>
    <w:link w:val="DocumentMap"/>
    <w:uiPriority w:val="99"/>
    <w:semiHidden/>
    <w:locked/>
    <w:rsid w:val="005A33B6"/>
    <w:rPr>
      <w:rFonts w:cs="Times New Roman"/>
      <w:sz w:val="2"/>
    </w:rPr>
  </w:style>
  <w:style w:type="paragraph" w:styleId="TOAHeading">
    <w:name w:val="toa heading"/>
    <w:basedOn w:val="Normal"/>
    <w:next w:val="Normal"/>
    <w:uiPriority w:val="99"/>
    <w:semiHidden/>
    <w:rsid w:val="005A33B6"/>
    <w:pPr>
      <w:tabs>
        <w:tab w:val="left" w:pos="720"/>
        <w:tab w:val="left" w:pos="1440"/>
        <w:tab w:val="left" w:pos="2160"/>
        <w:tab w:val="right" w:pos="9360"/>
        <w:tab w:val="right" w:leader="dot" w:pos="9720"/>
      </w:tabs>
      <w:suppressAutoHyphens/>
    </w:pPr>
    <w:rPr>
      <w:rFonts w:ascii="Arial" w:hAnsi="Arial"/>
      <w:noProof/>
    </w:rPr>
  </w:style>
  <w:style w:type="paragraph" w:customStyle="1" w:styleId="f1">
    <w:name w:val="f1"/>
    <w:uiPriority w:val="99"/>
    <w:rsid w:val="005A33B6"/>
    <w:pPr>
      <w:widowControl w:val="0"/>
      <w:tabs>
        <w:tab w:val="left" w:pos="0"/>
      </w:tabs>
      <w:suppressAutoHyphens/>
    </w:pPr>
    <w:rPr>
      <w:rFonts w:ascii="CG Times" w:hAnsi="CG Times"/>
      <w:sz w:val="18"/>
    </w:rPr>
  </w:style>
  <w:style w:type="paragraph" w:styleId="MacroText">
    <w:name w:val="macro"/>
    <w:link w:val="MacroTextChar"/>
    <w:uiPriority w:val="99"/>
    <w:semiHidden/>
    <w:rsid w:val="005A33B6"/>
    <w:pPr>
      <w:widowControl w:val="0"/>
      <w:tabs>
        <w:tab w:val="left" w:pos="0"/>
        <w:tab w:val="left" w:pos="480"/>
        <w:tab w:val="left" w:pos="960"/>
        <w:tab w:val="left" w:pos="1440"/>
        <w:tab w:val="left" w:pos="1920"/>
        <w:tab w:val="left" w:pos="2400"/>
        <w:tab w:val="left" w:pos="2880"/>
        <w:tab w:val="left" w:pos="3360"/>
        <w:tab w:val="left" w:pos="3840"/>
        <w:tab w:val="left" w:pos="4320"/>
      </w:tabs>
      <w:suppressAutoHyphens/>
      <w:jc w:val="both"/>
    </w:pPr>
    <w:rPr>
      <w:rFonts w:ascii="Courier New" w:hAnsi="Courier New"/>
      <w:spacing w:val="-2"/>
      <w:sz w:val="18"/>
    </w:rPr>
  </w:style>
  <w:style w:type="character" w:customStyle="1" w:styleId="MacroTextChar">
    <w:name w:val="Macro Text Char"/>
    <w:link w:val="MacroText"/>
    <w:uiPriority w:val="99"/>
    <w:semiHidden/>
    <w:locked/>
    <w:rsid w:val="005A33B6"/>
    <w:rPr>
      <w:rFonts w:ascii="Courier New" w:hAnsi="Courier New" w:cs="Times New Roman"/>
      <w:spacing w:val="-2"/>
      <w:sz w:val="18"/>
      <w:lang w:val="en-US" w:eastAsia="en-US" w:bidi="ar-SA"/>
    </w:rPr>
  </w:style>
  <w:style w:type="paragraph" w:customStyle="1" w:styleId="SL-Indented">
    <w:name w:val="SL-Indented"/>
    <w:basedOn w:val="SL-FlLftSgl"/>
    <w:uiPriority w:val="99"/>
    <w:rsid w:val="00EF2729"/>
    <w:pPr>
      <w:ind w:left="230"/>
      <w:jc w:val="left"/>
    </w:pPr>
  </w:style>
  <w:style w:type="paragraph" w:customStyle="1" w:styleId="L1-FlLSp12">
    <w:name w:val="L1-FlL Sp&amp;1/2"/>
    <w:uiPriority w:val="99"/>
    <w:rsid w:val="00EF2729"/>
    <w:pPr>
      <w:tabs>
        <w:tab w:val="left" w:pos="1152"/>
      </w:tabs>
      <w:spacing w:line="360" w:lineRule="atLeast"/>
      <w:jc w:val="both"/>
    </w:pPr>
    <w:rPr>
      <w:sz w:val="22"/>
    </w:rPr>
  </w:style>
  <w:style w:type="paragraph" w:customStyle="1" w:styleId="E2-Equation">
    <w:name w:val="E2-Equation"/>
    <w:basedOn w:val="E1-Equation"/>
    <w:uiPriority w:val="99"/>
    <w:rsid w:val="00EF2729"/>
    <w:pPr>
      <w:tabs>
        <w:tab w:val="clear" w:pos="4680"/>
        <w:tab w:val="clear" w:pos="9360"/>
        <w:tab w:val="right" w:pos="1152"/>
        <w:tab w:val="center" w:pos="1440"/>
        <w:tab w:val="left" w:pos="1728"/>
      </w:tabs>
      <w:ind w:left="1728" w:hanging="1728"/>
    </w:pPr>
  </w:style>
  <w:style w:type="paragraph" w:customStyle="1" w:styleId="N3-3rdBullet">
    <w:name w:val="N3-3rd Bullet"/>
    <w:basedOn w:val="Normal"/>
    <w:uiPriority w:val="99"/>
    <w:rsid w:val="00EF2729"/>
    <w:pPr>
      <w:tabs>
        <w:tab w:val="left" w:pos="2304"/>
      </w:tabs>
      <w:spacing w:after="240"/>
      <w:ind w:left="2304" w:hanging="576"/>
    </w:pPr>
  </w:style>
  <w:style w:type="paragraph" w:customStyle="1" w:styleId="N4-4thBullet">
    <w:name w:val="N4-4th Bullet"/>
    <w:basedOn w:val="Normal"/>
    <w:uiPriority w:val="99"/>
    <w:rsid w:val="00EF2729"/>
    <w:pPr>
      <w:tabs>
        <w:tab w:val="left" w:pos="2880"/>
      </w:tabs>
      <w:spacing w:after="240"/>
      <w:ind w:left="2880" w:hanging="576"/>
    </w:pPr>
  </w:style>
  <w:style w:type="paragraph" w:customStyle="1" w:styleId="N5-5thBullet">
    <w:name w:val="N5-5th Bullet"/>
    <w:basedOn w:val="Normal"/>
    <w:uiPriority w:val="99"/>
    <w:rsid w:val="00EF2729"/>
    <w:pPr>
      <w:tabs>
        <w:tab w:val="left" w:pos="3456"/>
      </w:tabs>
      <w:spacing w:after="240"/>
      <w:ind w:left="3456" w:hanging="576"/>
    </w:pPr>
  </w:style>
  <w:style w:type="paragraph" w:customStyle="1" w:styleId="N6-DateInd">
    <w:name w:val="N6-Date Ind."/>
    <w:basedOn w:val="Normal"/>
    <w:uiPriority w:val="99"/>
    <w:rsid w:val="00EF2729"/>
    <w:pPr>
      <w:tabs>
        <w:tab w:val="left" w:pos="5400"/>
      </w:tabs>
      <w:ind w:left="5400"/>
    </w:pPr>
  </w:style>
  <w:style w:type="paragraph" w:customStyle="1" w:styleId="N7-3Block">
    <w:name w:val="N7-3&quot; Block"/>
    <w:basedOn w:val="Normal"/>
    <w:uiPriority w:val="99"/>
    <w:rsid w:val="00EF2729"/>
    <w:pPr>
      <w:tabs>
        <w:tab w:val="left" w:pos="1152"/>
      </w:tabs>
      <w:ind w:left="1152" w:right="1152"/>
    </w:pPr>
  </w:style>
  <w:style w:type="paragraph" w:customStyle="1" w:styleId="N8-QxQBlock">
    <w:name w:val="N8-QxQ Block"/>
    <w:uiPriority w:val="99"/>
    <w:rsid w:val="00EF2729"/>
    <w:pPr>
      <w:tabs>
        <w:tab w:val="left" w:pos="1152"/>
      </w:tabs>
      <w:spacing w:after="360" w:line="360" w:lineRule="atLeast"/>
      <w:ind w:left="1152" w:hanging="1152"/>
      <w:jc w:val="both"/>
    </w:pPr>
    <w:rPr>
      <w:sz w:val="22"/>
    </w:rPr>
  </w:style>
  <w:style w:type="paragraph" w:customStyle="1" w:styleId="Q1-BestFinQ">
    <w:name w:val="Q1-Best/Fin Q"/>
    <w:uiPriority w:val="99"/>
    <w:rsid w:val="00EF2729"/>
    <w:pPr>
      <w:tabs>
        <w:tab w:val="left" w:pos="1152"/>
      </w:tabs>
      <w:spacing w:after="360" w:line="240" w:lineRule="atLeast"/>
      <w:ind w:left="1152" w:hanging="1152"/>
      <w:jc w:val="both"/>
    </w:pPr>
    <w:rPr>
      <w:b/>
      <w:sz w:val="22"/>
    </w:rPr>
  </w:style>
  <w:style w:type="paragraph" w:customStyle="1" w:styleId="T0-ChapPgHd">
    <w:name w:val="T0-Chap/Pg Hd"/>
    <w:uiPriority w:val="99"/>
    <w:rsid w:val="00EF2729"/>
    <w:pPr>
      <w:tabs>
        <w:tab w:val="left" w:pos="8640"/>
      </w:tabs>
      <w:spacing w:line="240" w:lineRule="atLeast"/>
      <w:jc w:val="both"/>
    </w:pPr>
    <w:rPr>
      <w:sz w:val="22"/>
      <w:u w:val="words"/>
    </w:rPr>
  </w:style>
  <w:style w:type="paragraph" w:customStyle="1" w:styleId="CT-ContractInformation">
    <w:name w:val="CT-Contract Information"/>
    <w:uiPriority w:val="99"/>
    <w:rsid w:val="00EF2729"/>
    <w:pPr>
      <w:tabs>
        <w:tab w:val="left" w:pos="1958"/>
      </w:tabs>
      <w:spacing w:line="240" w:lineRule="exact"/>
    </w:pPr>
    <w:rPr>
      <w:vanish/>
      <w:sz w:val="22"/>
    </w:rPr>
  </w:style>
  <w:style w:type="paragraph" w:customStyle="1" w:styleId="R1-ResPara">
    <w:name w:val="R1-Res. Para"/>
    <w:uiPriority w:val="99"/>
    <w:rsid w:val="00EF2729"/>
    <w:pPr>
      <w:spacing w:line="240" w:lineRule="exact"/>
      <w:ind w:left="288"/>
      <w:jc w:val="both"/>
    </w:pPr>
    <w:rPr>
      <w:sz w:val="22"/>
    </w:rPr>
  </w:style>
  <w:style w:type="paragraph" w:customStyle="1" w:styleId="R2-ResBullet">
    <w:name w:val="R2-Res Bullet"/>
    <w:uiPriority w:val="99"/>
    <w:rsid w:val="00EF2729"/>
    <w:pPr>
      <w:tabs>
        <w:tab w:val="left" w:pos="720"/>
      </w:tabs>
      <w:spacing w:line="240" w:lineRule="exact"/>
      <w:ind w:left="720" w:hanging="432"/>
      <w:jc w:val="both"/>
    </w:pPr>
    <w:rPr>
      <w:sz w:val="22"/>
    </w:rPr>
  </w:style>
  <w:style w:type="paragraph" w:customStyle="1" w:styleId="RF-Reference">
    <w:name w:val="RF-Reference"/>
    <w:uiPriority w:val="99"/>
    <w:rsid w:val="00EF2729"/>
    <w:pPr>
      <w:spacing w:line="240" w:lineRule="exact"/>
      <w:ind w:left="216" w:hanging="216"/>
    </w:pPr>
    <w:rPr>
      <w:sz w:val="22"/>
    </w:rPr>
  </w:style>
  <w:style w:type="paragraph" w:customStyle="1" w:styleId="RH-SglSpHead">
    <w:name w:val="RH-Sgl Sp Head"/>
    <w:basedOn w:val="Normal"/>
    <w:next w:val="RL-FlLftSgl"/>
    <w:uiPriority w:val="99"/>
    <w:rsid w:val="00EF2729"/>
    <w:pPr>
      <w:keepNext/>
      <w:pBdr>
        <w:bottom w:val="double" w:sz="6" w:space="1" w:color="auto"/>
      </w:pBdr>
      <w:spacing w:after="480" w:line="240" w:lineRule="exact"/>
      <w:jc w:val="left"/>
    </w:pPr>
    <w:rPr>
      <w:b/>
    </w:rPr>
  </w:style>
  <w:style w:type="paragraph" w:customStyle="1" w:styleId="RL-FlLftSgl">
    <w:name w:val="RL-Fl Lft Sgl"/>
    <w:basedOn w:val="Normal"/>
    <w:uiPriority w:val="99"/>
    <w:rsid w:val="00EF2729"/>
    <w:pPr>
      <w:keepNext/>
      <w:spacing w:line="240" w:lineRule="exact"/>
    </w:pPr>
    <w:rPr>
      <w:b/>
    </w:rPr>
  </w:style>
  <w:style w:type="paragraph" w:customStyle="1" w:styleId="SU-FlLftUndln">
    <w:name w:val="SU-Fl Lft Undln"/>
    <w:uiPriority w:val="99"/>
    <w:rsid w:val="00EF2729"/>
    <w:pPr>
      <w:keepNext/>
      <w:spacing w:line="240" w:lineRule="exact"/>
    </w:pPr>
    <w:rPr>
      <w:sz w:val="22"/>
      <w:u w:val="single"/>
    </w:rPr>
  </w:style>
  <w:style w:type="paragraph" w:styleId="BalloonText">
    <w:name w:val="Balloon Text"/>
    <w:basedOn w:val="Normal"/>
    <w:link w:val="BalloonTextChar"/>
    <w:uiPriority w:val="99"/>
    <w:semiHidden/>
    <w:rsid w:val="005A33B6"/>
    <w:rPr>
      <w:rFonts w:ascii="Tahoma" w:hAnsi="Tahoma"/>
      <w:sz w:val="16"/>
    </w:rPr>
  </w:style>
  <w:style w:type="character" w:customStyle="1" w:styleId="BalloonTextChar">
    <w:name w:val="Balloon Text Char"/>
    <w:link w:val="BalloonText"/>
    <w:uiPriority w:val="99"/>
    <w:semiHidden/>
    <w:locked/>
    <w:rsid w:val="005A33B6"/>
    <w:rPr>
      <w:rFonts w:cs="Times New Roman"/>
      <w:sz w:val="2"/>
    </w:rPr>
  </w:style>
  <w:style w:type="character" w:customStyle="1" w:styleId="txtparagraph1">
    <w:name w:val="txtparagraph1"/>
    <w:uiPriority w:val="99"/>
    <w:rsid w:val="005A33B6"/>
    <w:rPr>
      <w:rFonts w:ascii="Arial" w:hAnsi="Arial" w:cs="Arial"/>
      <w:color w:val="333333"/>
      <w:sz w:val="18"/>
      <w:szCs w:val="18"/>
    </w:rPr>
  </w:style>
  <w:style w:type="paragraph" w:styleId="HTMLPreformatted">
    <w:name w:val="HTML Preformatted"/>
    <w:basedOn w:val="Normal"/>
    <w:link w:val="HTMLPreformattedChar"/>
    <w:uiPriority w:val="99"/>
    <w:rsid w:val="005A3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locked/>
    <w:rsid w:val="005A33B6"/>
    <w:rPr>
      <w:rFonts w:ascii="Courier New" w:hAnsi="Courier New" w:cs="Courier New"/>
    </w:rPr>
  </w:style>
  <w:style w:type="character" w:customStyle="1" w:styleId="txtfacultyphone1">
    <w:name w:val="txtfacultyphone1"/>
    <w:uiPriority w:val="99"/>
    <w:rsid w:val="005A33B6"/>
    <w:rPr>
      <w:rFonts w:ascii="Arial" w:hAnsi="Arial" w:cs="Arial"/>
      <w:color w:val="656565"/>
      <w:sz w:val="20"/>
      <w:szCs w:val="20"/>
    </w:rPr>
  </w:style>
  <w:style w:type="paragraph" w:customStyle="1" w:styleId="Exhibittitle">
    <w:name w:val="Exhibit title"/>
    <w:basedOn w:val="TT-TableTitle"/>
    <w:next w:val="SL-FlLftSgl"/>
    <w:autoRedefine/>
    <w:uiPriority w:val="99"/>
    <w:rsid w:val="005A33B6"/>
    <w:pPr>
      <w:ind w:firstLine="0"/>
      <w:jc w:val="center"/>
    </w:pPr>
  </w:style>
  <w:style w:type="paragraph" w:styleId="TOC5">
    <w:name w:val="toc 5"/>
    <w:basedOn w:val="TOC1"/>
    <w:uiPriority w:val="99"/>
    <w:rsid w:val="00EF2729"/>
    <w:rPr>
      <w:caps w:val="0"/>
    </w:rPr>
  </w:style>
  <w:style w:type="paragraph" w:styleId="TOC3">
    <w:name w:val="toc 3"/>
    <w:basedOn w:val="Normal"/>
    <w:uiPriority w:val="99"/>
    <w:rsid w:val="00EF2729"/>
    <w:pPr>
      <w:tabs>
        <w:tab w:val="left" w:pos="3024"/>
        <w:tab w:val="right" w:leader="dot" w:pos="8208"/>
        <w:tab w:val="left" w:pos="8640"/>
      </w:tabs>
      <w:ind w:left="3024" w:hanging="864"/>
      <w:jc w:val="left"/>
    </w:pPr>
  </w:style>
  <w:style w:type="paragraph" w:styleId="TOC4">
    <w:name w:val="toc 4"/>
    <w:basedOn w:val="Normal"/>
    <w:uiPriority w:val="99"/>
    <w:rsid w:val="00EF2729"/>
    <w:pPr>
      <w:tabs>
        <w:tab w:val="left" w:pos="3888"/>
        <w:tab w:val="right" w:leader="dot" w:pos="8208"/>
        <w:tab w:val="left" w:pos="8640"/>
      </w:tabs>
      <w:ind w:left="3888" w:hanging="864"/>
      <w:jc w:val="left"/>
    </w:pPr>
  </w:style>
  <w:style w:type="paragraph" w:styleId="NormalWeb">
    <w:name w:val="Normal (Web)"/>
    <w:basedOn w:val="Normal"/>
    <w:uiPriority w:val="99"/>
    <w:rsid w:val="005A33B6"/>
    <w:pPr>
      <w:spacing w:before="100" w:beforeAutospacing="1" w:after="100" w:afterAutospacing="1"/>
    </w:pPr>
    <w:rPr>
      <w:sz w:val="24"/>
      <w:szCs w:val="24"/>
    </w:rPr>
  </w:style>
  <w:style w:type="paragraph" w:styleId="TOC9">
    <w:name w:val="toc 9"/>
    <w:basedOn w:val="Normal"/>
    <w:next w:val="Normal"/>
    <w:uiPriority w:val="99"/>
    <w:rsid w:val="0063168A"/>
    <w:pPr>
      <w:ind w:left="1760"/>
    </w:pPr>
  </w:style>
  <w:style w:type="character" w:styleId="LineNumber">
    <w:name w:val="line number"/>
    <w:uiPriority w:val="99"/>
    <w:rsid w:val="005A33B6"/>
    <w:rPr>
      <w:rFonts w:cs="Times New Roman"/>
    </w:rPr>
  </w:style>
  <w:style w:type="character" w:customStyle="1" w:styleId="SD">
    <w:name w:val="SD"/>
    <w:uiPriority w:val="99"/>
    <w:rsid w:val="005A33B6"/>
    <w:rPr>
      <w:rFonts w:ascii="Arial" w:hAnsi="Arial" w:cs="Times New Roman"/>
      <w:sz w:val="20"/>
      <w:lang w:val="en-US"/>
    </w:rPr>
  </w:style>
  <w:style w:type="paragraph" w:customStyle="1" w:styleId="Q1">
    <w:name w:val="Q1"/>
    <w:uiPriority w:val="99"/>
    <w:rsid w:val="005A33B6"/>
    <w:pPr>
      <w:widowControl w:val="0"/>
      <w:tabs>
        <w:tab w:val="left" w:pos="0"/>
        <w:tab w:val="left" w:pos="1195"/>
      </w:tabs>
      <w:suppressAutoHyphens/>
      <w:ind w:left="1195" w:hanging="1195"/>
      <w:jc w:val="both"/>
    </w:pPr>
    <w:rPr>
      <w:rFonts w:ascii="CG Times" w:hAnsi="CG Times"/>
      <w:spacing w:val="-2"/>
      <w:sz w:val="22"/>
    </w:rPr>
  </w:style>
  <w:style w:type="character" w:customStyle="1" w:styleId="SC">
    <w:name w:val="SC"/>
    <w:uiPriority w:val="99"/>
    <w:rsid w:val="005A33B6"/>
    <w:rPr>
      <w:rFonts w:ascii="CG Times" w:hAnsi="CG Times" w:cs="Times New Roman"/>
      <w:smallCaps/>
      <w:sz w:val="22"/>
      <w:lang w:val="en-US"/>
    </w:rPr>
  </w:style>
  <w:style w:type="paragraph" w:styleId="Subtitle">
    <w:name w:val="Subtitle"/>
    <w:basedOn w:val="Normal"/>
    <w:link w:val="SubtitleChar"/>
    <w:uiPriority w:val="99"/>
    <w:qFormat/>
    <w:rsid w:val="005A33B6"/>
    <w:pPr>
      <w:tabs>
        <w:tab w:val="left" w:pos="-720"/>
        <w:tab w:val="left" w:pos="0"/>
        <w:tab w:val="left" w:pos="720"/>
        <w:tab w:val="left" w:pos="1440"/>
        <w:tab w:val="left" w:pos="2160"/>
        <w:tab w:val="right" w:leader="dot" w:pos="7200"/>
        <w:tab w:val="left" w:pos="7488"/>
      </w:tabs>
      <w:suppressAutoHyphens/>
      <w:ind w:right="-792"/>
    </w:pPr>
    <w:rPr>
      <w:rFonts w:ascii="Univers" w:hAnsi="Univers"/>
      <w:i/>
    </w:rPr>
  </w:style>
  <w:style w:type="character" w:customStyle="1" w:styleId="SubtitleChar">
    <w:name w:val="Subtitle Char"/>
    <w:link w:val="Subtitle"/>
    <w:uiPriority w:val="99"/>
    <w:locked/>
    <w:rsid w:val="005A33B6"/>
    <w:rPr>
      <w:rFonts w:ascii="Cambria" w:hAnsi="Cambria" w:cs="Times New Roman"/>
      <w:sz w:val="24"/>
      <w:szCs w:val="24"/>
    </w:rPr>
  </w:style>
  <w:style w:type="paragraph" w:styleId="BodyTextIndent3">
    <w:name w:val="Body Text Indent 3"/>
    <w:basedOn w:val="Normal"/>
    <w:link w:val="BodyTextIndent3Char"/>
    <w:uiPriority w:val="99"/>
    <w:rsid w:val="005A33B6"/>
    <w:pPr>
      <w:tabs>
        <w:tab w:val="left" w:pos="-720"/>
        <w:tab w:val="left" w:pos="0"/>
        <w:tab w:val="left" w:pos="720"/>
        <w:tab w:val="left" w:pos="1440"/>
        <w:tab w:val="left" w:pos="2160"/>
        <w:tab w:val="right" w:leader="dot" w:pos="7200"/>
        <w:tab w:val="left" w:pos="7488"/>
      </w:tabs>
      <w:suppressAutoHyphens/>
      <w:ind w:left="1440" w:hanging="1440"/>
    </w:pPr>
    <w:rPr>
      <w:rFonts w:ascii="Univers" w:hAnsi="Univers"/>
    </w:rPr>
  </w:style>
  <w:style w:type="character" w:customStyle="1" w:styleId="BodyTextIndent3Char">
    <w:name w:val="Body Text Indent 3 Char"/>
    <w:link w:val="BodyTextIndent3"/>
    <w:uiPriority w:val="99"/>
    <w:locked/>
    <w:rsid w:val="005A33B6"/>
    <w:rPr>
      <w:rFonts w:cs="Times New Roman"/>
      <w:sz w:val="16"/>
      <w:szCs w:val="16"/>
    </w:rPr>
  </w:style>
  <w:style w:type="paragraph" w:styleId="BlockText">
    <w:name w:val="Block Text"/>
    <w:basedOn w:val="Normal"/>
    <w:uiPriority w:val="99"/>
    <w:rsid w:val="005A33B6"/>
    <w:pPr>
      <w:pBdr>
        <w:top w:val="double" w:sz="4" w:space="1" w:color="auto"/>
        <w:left w:val="double" w:sz="4" w:space="4" w:color="auto"/>
        <w:bottom w:val="double" w:sz="4" w:space="1" w:color="auto"/>
        <w:right w:val="double" w:sz="4" w:space="4" w:color="auto"/>
      </w:pBdr>
      <w:tabs>
        <w:tab w:val="left" w:pos="-720"/>
        <w:tab w:val="left" w:pos="0"/>
        <w:tab w:val="left" w:pos="720"/>
        <w:tab w:val="left" w:pos="2160"/>
        <w:tab w:val="right" w:leader="dot" w:pos="7200"/>
        <w:tab w:val="left" w:pos="7488"/>
      </w:tabs>
      <w:suppressAutoHyphens/>
      <w:ind w:left="2160" w:right="2160"/>
      <w:jc w:val="center"/>
    </w:pPr>
    <w:rPr>
      <w:rFonts w:ascii="Arial" w:hAnsi="Arial"/>
      <w:i/>
    </w:rPr>
  </w:style>
  <w:style w:type="paragraph" w:styleId="BodyText3">
    <w:name w:val="Body Text 3"/>
    <w:basedOn w:val="Normal"/>
    <w:link w:val="BodyText3Char"/>
    <w:uiPriority w:val="99"/>
    <w:rsid w:val="005A33B6"/>
    <w:pPr>
      <w:tabs>
        <w:tab w:val="left" w:pos="-720"/>
        <w:tab w:val="left" w:pos="0"/>
        <w:tab w:val="left" w:pos="720"/>
        <w:tab w:val="left" w:pos="1440"/>
        <w:tab w:val="left" w:pos="2160"/>
        <w:tab w:val="right" w:leader="dot" w:pos="7200"/>
        <w:tab w:val="left" w:pos="7488"/>
      </w:tabs>
      <w:suppressAutoHyphens/>
      <w:ind w:right="72"/>
    </w:pPr>
    <w:rPr>
      <w:rFonts w:ascii="Arial" w:hAnsi="Arial"/>
      <w:sz w:val="16"/>
    </w:rPr>
  </w:style>
  <w:style w:type="character" w:customStyle="1" w:styleId="BodyText3Char">
    <w:name w:val="Body Text 3 Char"/>
    <w:link w:val="BodyText3"/>
    <w:uiPriority w:val="99"/>
    <w:locked/>
    <w:rsid w:val="005A33B6"/>
    <w:rPr>
      <w:rFonts w:cs="Times New Roman"/>
      <w:sz w:val="16"/>
      <w:szCs w:val="16"/>
    </w:rPr>
  </w:style>
  <w:style w:type="character" w:customStyle="1" w:styleId="kwang">
    <w:name w:val="kwang"/>
    <w:uiPriority w:val="99"/>
    <w:rsid w:val="005A33B6"/>
    <w:rPr>
      <w:rFonts w:ascii="Arial" w:hAnsi="Arial" w:cs="Times New Roman"/>
      <w:b/>
      <w:smallCaps/>
      <w:sz w:val="20"/>
    </w:rPr>
  </w:style>
  <w:style w:type="paragraph" w:customStyle="1" w:styleId="C1-CtrSglSp">
    <w:name w:val="C1-Ctr Sgl Sp"/>
    <w:uiPriority w:val="99"/>
    <w:rsid w:val="005A33B6"/>
    <w:pPr>
      <w:keepLines/>
      <w:spacing w:line="240" w:lineRule="atLeast"/>
      <w:jc w:val="center"/>
    </w:pPr>
    <w:rPr>
      <w:rFonts w:ascii="CG Times (WN)" w:hAnsi="CG Times (WN)"/>
      <w:sz w:val="22"/>
    </w:rPr>
  </w:style>
  <w:style w:type="paragraph" w:customStyle="1" w:styleId="N9-DateInd">
    <w:name w:val="N9-Date Ind."/>
    <w:uiPriority w:val="99"/>
    <w:rsid w:val="005A33B6"/>
    <w:pPr>
      <w:tabs>
        <w:tab w:val="left" w:pos="5400"/>
      </w:tabs>
      <w:spacing w:line="240" w:lineRule="atLeast"/>
      <w:ind w:left="6005" w:hanging="605"/>
      <w:jc w:val="both"/>
    </w:pPr>
    <w:rPr>
      <w:rFonts w:ascii="CG Times (WN)" w:hAnsi="CG Times (WN)"/>
      <w:sz w:val="22"/>
    </w:rPr>
  </w:style>
  <w:style w:type="character" w:styleId="Emphasis">
    <w:name w:val="Emphasis"/>
    <w:uiPriority w:val="99"/>
    <w:qFormat/>
    <w:rsid w:val="005A33B6"/>
    <w:rPr>
      <w:rFonts w:cs="Times New Roman"/>
      <w:i/>
    </w:rPr>
  </w:style>
  <w:style w:type="paragraph" w:customStyle="1" w:styleId="FootnoteText1">
    <w:name w:val="Footnote Text1"/>
    <w:uiPriority w:val="99"/>
    <w:rsid w:val="005A33B6"/>
    <w:pPr>
      <w:widowControl w:val="0"/>
      <w:suppressAutoHyphens/>
    </w:pPr>
    <w:rPr>
      <w:rFonts w:ascii="Modern" w:hAnsi="Modern"/>
    </w:rPr>
  </w:style>
  <w:style w:type="paragraph" w:styleId="EnvelopeReturn">
    <w:name w:val="envelope return"/>
    <w:basedOn w:val="Normal"/>
    <w:uiPriority w:val="99"/>
    <w:rsid w:val="005A33B6"/>
    <w:pPr>
      <w:widowControl w:val="0"/>
      <w:tabs>
        <w:tab w:val="left" w:pos="-720"/>
      </w:tabs>
      <w:suppressAutoHyphens/>
    </w:pPr>
    <w:rPr>
      <w:spacing w:val="-2"/>
    </w:rPr>
  </w:style>
  <w:style w:type="paragraph" w:customStyle="1" w:styleId="Footnoterefer">
    <w:name w:val="Footnote refer"/>
    <w:uiPriority w:val="99"/>
    <w:rsid w:val="005A33B6"/>
    <w:pPr>
      <w:tabs>
        <w:tab w:val="left" w:pos="-720"/>
      </w:tabs>
      <w:suppressAutoHyphens/>
    </w:pPr>
    <w:rPr>
      <w:rFonts w:ascii="Modern" w:hAnsi="Modern"/>
      <w:sz w:val="18"/>
      <w:vertAlign w:val="superscript"/>
    </w:rPr>
  </w:style>
  <w:style w:type="paragraph" w:customStyle="1" w:styleId="F2-Footnote2">
    <w:name w:val="F2-Footnote2"/>
    <w:uiPriority w:val="99"/>
    <w:rsid w:val="005A33B6"/>
    <w:pPr>
      <w:tabs>
        <w:tab w:val="left" w:pos="0"/>
        <w:tab w:val="left" w:pos="240"/>
        <w:tab w:val="left" w:pos="720"/>
      </w:tabs>
      <w:suppressAutoHyphens/>
      <w:jc w:val="both"/>
    </w:pPr>
    <w:rPr>
      <w:spacing w:val="-2"/>
      <w:sz w:val="16"/>
    </w:rPr>
  </w:style>
  <w:style w:type="character" w:customStyle="1" w:styleId="MTEquationSection">
    <w:name w:val="MTEquationSection"/>
    <w:uiPriority w:val="99"/>
    <w:rsid w:val="005A33B6"/>
    <w:rPr>
      <w:rFonts w:cs="Times New Roman"/>
      <w:b/>
      <w:vanish/>
      <w:color w:val="FF0000"/>
    </w:rPr>
  </w:style>
  <w:style w:type="character" w:customStyle="1" w:styleId="P1-StandParaChar">
    <w:name w:val="P1-Stand Para Char"/>
    <w:uiPriority w:val="99"/>
    <w:rsid w:val="005A33B6"/>
    <w:rPr>
      <w:rFonts w:cs="Times New Roman"/>
      <w:sz w:val="22"/>
      <w:lang w:val="en-US" w:eastAsia="en-US" w:bidi="ar-SA"/>
    </w:rPr>
  </w:style>
  <w:style w:type="paragraph" w:styleId="PlainText">
    <w:name w:val="Plain Text"/>
    <w:basedOn w:val="Normal"/>
    <w:link w:val="PlainTextChar"/>
    <w:uiPriority w:val="99"/>
    <w:rsid w:val="005A33B6"/>
    <w:rPr>
      <w:rFonts w:ascii="Courier New" w:hAnsi="Courier New" w:cs="Courier New"/>
    </w:rPr>
  </w:style>
  <w:style w:type="character" w:customStyle="1" w:styleId="PlainTextChar">
    <w:name w:val="Plain Text Char"/>
    <w:link w:val="PlainText"/>
    <w:uiPriority w:val="99"/>
    <w:locked/>
    <w:rsid w:val="005A33B6"/>
    <w:rPr>
      <w:rFonts w:ascii="Courier New" w:hAnsi="Courier New" w:cs="Courier New"/>
    </w:rPr>
  </w:style>
  <w:style w:type="paragraph" w:customStyle="1" w:styleId="FootnoteTable">
    <w:name w:val="Footnote Table"/>
    <w:basedOn w:val="FootnoteText"/>
    <w:uiPriority w:val="99"/>
    <w:rsid w:val="005A33B6"/>
    <w:pPr>
      <w:spacing w:line="240" w:lineRule="atLeast"/>
    </w:pPr>
    <w:rPr>
      <w:sz w:val="22"/>
    </w:rPr>
  </w:style>
  <w:style w:type="paragraph" w:customStyle="1" w:styleId="CharCharCharCharCharCharCharChar">
    <w:name w:val="Char Char Char Char Char Char Char Char"/>
    <w:basedOn w:val="Normal"/>
    <w:uiPriority w:val="99"/>
    <w:rsid w:val="005A33B6"/>
    <w:pPr>
      <w:spacing w:before="80" w:after="80"/>
      <w:ind w:left="4320"/>
    </w:pPr>
    <w:rPr>
      <w:rFonts w:ascii="Arial" w:hAnsi="Arial"/>
      <w:szCs w:val="24"/>
    </w:rPr>
  </w:style>
  <w:style w:type="character" w:customStyle="1" w:styleId="N1-1stBulletChar">
    <w:name w:val="N1-1st Bullet Char"/>
    <w:uiPriority w:val="99"/>
    <w:rsid w:val="005A33B6"/>
    <w:rPr>
      <w:rFonts w:cs="Times New Roman"/>
      <w:sz w:val="22"/>
      <w:lang w:val="en-US" w:eastAsia="en-US" w:bidi="ar-SA"/>
    </w:rPr>
  </w:style>
  <w:style w:type="character" w:styleId="Strong">
    <w:name w:val="Strong"/>
    <w:uiPriority w:val="99"/>
    <w:qFormat/>
    <w:rsid w:val="005A33B6"/>
    <w:rPr>
      <w:rFonts w:cs="Times New Roman"/>
      <w:b/>
      <w:bCs/>
    </w:rPr>
  </w:style>
  <w:style w:type="character" w:customStyle="1" w:styleId="contentpage-bodytext1">
    <w:name w:val="contentpage-bodytext1"/>
    <w:uiPriority w:val="99"/>
    <w:rsid w:val="005A33B6"/>
    <w:rPr>
      <w:rFonts w:ascii="Georgia" w:hAnsi="Georgia" w:cs="Times New Roman"/>
      <w:color w:val="3A3838"/>
      <w:sz w:val="20"/>
      <w:szCs w:val="20"/>
    </w:rPr>
  </w:style>
  <w:style w:type="paragraph" w:customStyle="1" w:styleId="Default">
    <w:name w:val="Default"/>
    <w:uiPriority w:val="99"/>
    <w:rsid w:val="005A33B6"/>
    <w:pPr>
      <w:autoSpaceDE w:val="0"/>
      <w:autoSpaceDN w:val="0"/>
      <w:adjustRightInd w:val="0"/>
    </w:pPr>
    <w:rPr>
      <w:rFonts w:ascii="TimesNewRoman" w:hAnsi="TimesNewRoman" w:cs="TimesNewRoman"/>
    </w:rPr>
  </w:style>
  <w:style w:type="character" w:styleId="CommentReference">
    <w:name w:val="annotation reference"/>
    <w:uiPriority w:val="99"/>
    <w:semiHidden/>
    <w:rsid w:val="005A33B6"/>
    <w:rPr>
      <w:rFonts w:cs="Times New Roman"/>
      <w:sz w:val="16"/>
      <w:szCs w:val="16"/>
    </w:rPr>
  </w:style>
  <w:style w:type="paragraph" w:styleId="CommentText">
    <w:name w:val="annotation text"/>
    <w:basedOn w:val="Normal"/>
    <w:link w:val="CommentTextChar"/>
    <w:uiPriority w:val="99"/>
    <w:semiHidden/>
    <w:rsid w:val="005A33B6"/>
  </w:style>
  <w:style w:type="character" w:customStyle="1" w:styleId="CommentTextChar">
    <w:name w:val="Comment Text Char"/>
    <w:link w:val="CommentText"/>
    <w:uiPriority w:val="99"/>
    <w:locked/>
    <w:rsid w:val="005A33B6"/>
    <w:rPr>
      <w:rFonts w:cs="Times New Roman"/>
    </w:rPr>
  </w:style>
  <w:style w:type="paragraph" w:styleId="CommentSubject">
    <w:name w:val="annotation subject"/>
    <w:basedOn w:val="CommentText"/>
    <w:next w:val="CommentText"/>
    <w:link w:val="CommentSubjectChar"/>
    <w:uiPriority w:val="99"/>
    <w:semiHidden/>
    <w:rsid w:val="005A33B6"/>
    <w:rPr>
      <w:b/>
      <w:bCs/>
    </w:rPr>
  </w:style>
  <w:style w:type="character" w:customStyle="1" w:styleId="CommentSubjectChar">
    <w:name w:val="Comment Subject Char"/>
    <w:link w:val="CommentSubject"/>
    <w:uiPriority w:val="99"/>
    <w:semiHidden/>
    <w:locked/>
    <w:rsid w:val="005A33B6"/>
    <w:rPr>
      <w:rFonts w:cs="Times New Roman"/>
      <w:b/>
      <w:bCs/>
    </w:rPr>
  </w:style>
  <w:style w:type="paragraph" w:styleId="Revision">
    <w:name w:val="Revision"/>
    <w:hidden/>
    <w:uiPriority w:val="99"/>
    <w:semiHidden/>
    <w:rsid w:val="0010290A"/>
  </w:style>
  <w:style w:type="table" w:styleId="TableGrid">
    <w:name w:val="Table Grid"/>
    <w:aliases w:val="Table NCES"/>
    <w:basedOn w:val="TableNormal"/>
    <w:uiPriority w:val="99"/>
    <w:rsid w:val="00EF2729"/>
    <w:pPr>
      <w:spacing w:line="240" w:lineRule="atLeast"/>
      <w:jc w:val="both"/>
    </w:pPr>
    <w:tblPr>
      <w:tblInd w:w="0" w:type="dxa"/>
      <w:tblBorders>
        <w:top w:val="single" w:sz="24" w:space="0" w:color="auto"/>
        <w:bottom w:val="single" w:sz="24" w:space="0" w:color="auto"/>
      </w:tblBorders>
      <w:tblCellMar>
        <w:top w:w="0" w:type="dxa"/>
        <w:left w:w="108" w:type="dxa"/>
        <w:bottom w:w="0" w:type="dxa"/>
        <w:right w:w="108" w:type="dxa"/>
      </w:tblCellMar>
    </w:tblPr>
  </w:style>
  <w:style w:type="table" w:customStyle="1" w:styleId="TableWestatStandardFormat">
    <w:name w:val="Table Westat Standard Format"/>
    <w:uiPriority w:val="99"/>
    <w:rsid w:val="001A6E86"/>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styleId="TOC6">
    <w:name w:val="toc 6"/>
    <w:basedOn w:val="Normal"/>
    <w:next w:val="Normal"/>
    <w:uiPriority w:val="99"/>
    <w:rsid w:val="0063168A"/>
    <w:pPr>
      <w:ind w:left="1100"/>
    </w:pPr>
  </w:style>
  <w:style w:type="paragraph" w:styleId="TOC7">
    <w:name w:val="toc 7"/>
    <w:basedOn w:val="Normal"/>
    <w:next w:val="Normal"/>
    <w:uiPriority w:val="99"/>
    <w:rsid w:val="0063168A"/>
    <w:pPr>
      <w:ind w:left="1320"/>
    </w:pPr>
  </w:style>
  <w:style w:type="paragraph" w:styleId="TOC8">
    <w:name w:val="toc 8"/>
    <w:basedOn w:val="Normal"/>
    <w:next w:val="Normal"/>
    <w:uiPriority w:val="99"/>
    <w:rsid w:val="0063168A"/>
    <w:pPr>
      <w:ind w:left="1540"/>
    </w:pPr>
  </w:style>
  <w:style w:type="paragraph" w:customStyle="1" w:styleId="Table-Footnote">
    <w:name w:val="Table-Footnote"/>
    <w:basedOn w:val="SL-FlLftSgl"/>
    <w:uiPriority w:val="99"/>
    <w:rsid w:val="00EF2729"/>
    <w:pPr>
      <w:spacing w:line="240" w:lineRule="auto"/>
      <w:jc w:val="left"/>
    </w:pPr>
  </w:style>
  <w:style w:type="table" w:customStyle="1" w:styleId="NCES">
    <w:name w:val="NCES"/>
    <w:uiPriority w:val="99"/>
    <w:rsid w:val="00570129"/>
    <w:tblPr>
      <w:tblInd w:w="0" w:type="dxa"/>
      <w:tblBorders>
        <w:top w:val="single" w:sz="24" w:space="0" w:color="auto"/>
        <w:bottom w:val="single" w:sz="24" w:space="0" w:color="auto"/>
      </w:tblBorders>
      <w:tblCellMar>
        <w:top w:w="0" w:type="dxa"/>
        <w:left w:w="108" w:type="dxa"/>
        <w:bottom w:w="0" w:type="dxa"/>
        <w:right w:w="108" w:type="dxa"/>
      </w:tblCellMar>
    </w:tblPr>
  </w:style>
  <w:style w:type="paragraph" w:customStyle="1" w:styleId="Q1-FirstLevelQuestion">
    <w:name w:val="Q1-First Level Question"/>
    <w:uiPriority w:val="99"/>
    <w:rsid w:val="006707E8"/>
    <w:pPr>
      <w:tabs>
        <w:tab w:val="left" w:pos="1440"/>
      </w:tabs>
      <w:spacing w:line="240" w:lineRule="atLeast"/>
      <w:ind w:left="1440" w:hanging="1440"/>
      <w:jc w:val="both"/>
    </w:pPr>
    <w:rPr>
      <w:rFonts w:ascii="Arial" w:hAnsi="Arial"/>
    </w:rPr>
  </w:style>
  <w:style w:type="paragraph" w:customStyle="1" w:styleId="A0">
    <w:name w:val="A0"/>
    <w:basedOn w:val="Normal"/>
    <w:uiPriority w:val="99"/>
    <w:rsid w:val="006707E8"/>
    <w:pPr>
      <w:tabs>
        <w:tab w:val="left" w:pos="3600"/>
        <w:tab w:val="right" w:leader="dot" w:pos="7200"/>
        <w:tab w:val="right" w:pos="7488"/>
        <w:tab w:val="left" w:pos="7632"/>
      </w:tabs>
      <w:jc w:val="left"/>
    </w:pPr>
    <w:rPr>
      <w:rFonts w:ascii="Arial" w:hAnsi="Arial"/>
      <w:sz w:val="20"/>
    </w:rPr>
  </w:style>
  <w:style w:type="paragraph" w:customStyle="1" w:styleId="A5-2ndLeader">
    <w:name w:val="A5-2nd Leader"/>
    <w:uiPriority w:val="99"/>
    <w:rsid w:val="00F07BED"/>
    <w:pPr>
      <w:tabs>
        <w:tab w:val="right" w:leader="dot" w:pos="7200"/>
        <w:tab w:val="right" w:pos="7488"/>
        <w:tab w:val="left" w:pos="7632"/>
      </w:tabs>
      <w:spacing w:line="240" w:lineRule="atLeast"/>
      <w:ind w:left="3600"/>
    </w:pPr>
    <w:rPr>
      <w:rFonts w:ascii="Arial" w:hAnsi="Arial"/>
    </w:rPr>
  </w:style>
  <w:style w:type="paragraph" w:customStyle="1" w:styleId="A1-1stLeader">
    <w:name w:val="A1-1st Leader"/>
    <w:uiPriority w:val="99"/>
    <w:rsid w:val="00384B51"/>
    <w:pPr>
      <w:tabs>
        <w:tab w:val="right" w:leader="dot" w:pos="7200"/>
        <w:tab w:val="right" w:pos="7488"/>
        <w:tab w:val="left" w:pos="7632"/>
      </w:tabs>
      <w:spacing w:line="240" w:lineRule="atLeast"/>
      <w:ind w:left="1440"/>
    </w:pPr>
    <w:rPr>
      <w:rFonts w:ascii="Arial" w:hAnsi="Arial"/>
    </w:rPr>
  </w:style>
  <w:style w:type="character" w:customStyle="1" w:styleId="SL-FlLftSglChar">
    <w:name w:val="SL-Fl Lft Sgl Char"/>
    <w:link w:val="SL-FlLftSgl"/>
    <w:uiPriority w:val="99"/>
    <w:locked/>
    <w:rsid w:val="004D76BF"/>
    <w:rPr>
      <w:rFonts w:cs="Times New Roman"/>
      <w:sz w:val="22"/>
      <w:lang w:val="en-US" w:eastAsia="en-US" w:bidi="ar-SA"/>
    </w:rPr>
  </w:style>
  <w:style w:type="paragraph" w:customStyle="1" w:styleId="TH-TableHeading">
    <w:name w:val="TH-Table Heading"/>
    <w:basedOn w:val="Heading1"/>
    <w:uiPriority w:val="99"/>
    <w:rsid w:val="009D41B3"/>
    <w:pPr>
      <w:tabs>
        <w:tab w:val="clear" w:pos="1152"/>
      </w:tabs>
      <w:spacing w:after="0" w:line="240" w:lineRule="atLeast"/>
      <w:ind w:left="0" w:firstLine="0"/>
      <w:jc w:val="center"/>
    </w:pPr>
    <w:rPr>
      <w:rFonts w:ascii="Arial" w:hAnsi="Arial" w:cs="Arial"/>
      <w:sz w:val="18"/>
      <w:szCs w:val="18"/>
    </w:rPr>
  </w:style>
  <w:style w:type="paragraph" w:customStyle="1" w:styleId="TX-TableText">
    <w:name w:val="TX-Table Text"/>
    <w:basedOn w:val="Normal"/>
    <w:uiPriority w:val="99"/>
    <w:rsid w:val="009D41B3"/>
    <w:rPr>
      <w:rFonts w:ascii="Arial" w:hAnsi="Arial"/>
      <w:sz w:val="18"/>
      <w:szCs w:val="18"/>
    </w:rPr>
  </w:style>
  <w:style w:type="paragraph" w:customStyle="1" w:styleId="Heading0">
    <w:name w:val="Heading 0"/>
    <w:aliases w:val="H0-Chap Head"/>
    <w:basedOn w:val="Heading1"/>
    <w:uiPriority w:val="99"/>
    <w:rsid w:val="009D41B3"/>
    <w:pPr>
      <w:tabs>
        <w:tab w:val="clear" w:pos="1152"/>
      </w:tabs>
      <w:spacing w:after="0"/>
      <w:ind w:left="0" w:firstLine="0"/>
      <w:jc w:val="right"/>
    </w:pPr>
    <w:rPr>
      <w:rFonts w:ascii="Arial" w:hAnsi="Arial"/>
      <w:color w:val="324162"/>
      <w:sz w:val="40"/>
    </w:rPr>
  </w:style>
  <w:style w:type="paragraph" w:customStyle="1" w:styleId="Header-1">
    <w:name w:val="Header-1"/>
    <w:basedOn w:val="Heading1"/>
    <w:uiPriority w:val="99"/>
    <w:rsid w:val="009D41B3"/>
    <w:pPr>
      <w:tabs>
        <w:tab w:val="clear" w:pos="1152"/>
      </w:tabs>
      <w:spacing w:after="0" w:line="240" w:lineRule="atLeast"/>
      <w:ind w:left="0" w:firstLine="0"/>
      <w:jc w:val="right"/>
    </w:pPr>
    <w:rPr>
      <w:rFonts w:ascii="Arial" w:hAnsi="Arial"/>
      <w:color w:val="324162"/>
      <w:sz w:val="20"/>
    </w:rPr>
  </w:style>
  <w:style w:type="paragraph" w:customStyle="1" w:styleId="TC-TableofContentsHeading">
    <w:name w:val="TC-Table of Contents Heading"/>
    <w:basedOn w:val="Heading1"/>
    <w:next w:val="T0-ChapPgHd"/>
    <w:uiPriority w:val="99"/>
    <w:rsid w:val="009D41B3"/>
    <w:pPr>
      <w:pBdr>
        <w:bottom w:val="single" w:sz="24" w:space="1" w:color="AFBED7"/>
      </w:pBdr>
      <w:tabs>
        <w:tab w:val="clear" w:pos="1152"/>
      </w:tabs>
      <w:spacing w:after="720"/>
      <w:ind w:left="6869" w:firstLine="0"/>
      <w:jc w:val="center"/>
    </w:pPr>
    <w:rPr>
      <w:rFonts w:ascii="Arial" w:hAnsi="Arial"/>
      <w:color w:val="324162"/>
      <w:sz w:val="32"/>
    </w:rPr>
  </w:style>
  <w:style w:type="paragraph" w:customStyle="1" w:styleId="R0-FLLftSglBoldItalic">
    <w:name w:val="R0-FL Lft Sgl Bold Italic"/>
    <w:basedOn w:val="Heading1"/>
    <w:uiPriority w:val="99"/>
    <w:rsid w:val="009D41B3"/>
    <w:pPr>
      <w:tabs>
        <w:tab w:val="clear" w:pos="1152"/>
      </w:tabs>
      <w:spacing w:after="0" w:line="240" w:lineRule="atLeast"/>
      <w:ind w:left="0" w:firstLine="0"/>
    </w:pPr>
    <w:rPr>
      <w:rFonts w:ascii="Arial" w:hAnsi="Arial" w:cs="Times New Roman Bold"/>
      <w:b w:val="0"/>
      <w:i/>
      <w:sz w:val="24"/>
    </w:rPr>
  </w:style>
  <w:style w:type="paragraph" w:customStyle="1" w:styleId="TF-TblFN">
    <w:name w:val="TF-Tbl FN"/>
    <w:basedOn w:val="FootnoteText"/>
    <w:uiPriority w:val="99"/>
    <w:rsid w:val="009D41B3"/>
    <w:pPr>
      <w:spacing w:before="120"/>
      <w:ind w:left="115" w:hanging="115"/>
      <w:jc w:val="left"/>
    </w:pPr>
    <w:rPr>
      <w:rFonts w:ascii="Arial" w:hAnsi="Arial"/>
      <w:szCs w:val="16"/>
    </w:rPr>
  </w:style>
  <w:style w:type="paragraph" w:customStyle="1" w:styleId="CM1">
    <w:name w:val="CM1"/>
    <w:basedOn w:val="Default"/>
    <w:next w:val="Default"/>
    <w:uiPriority w:val="99"/>
    <w:rsid w:val="00543C01"/>
    <w:pPr>
      <w:widowControl w:val="0"/>
    </w:pPr>
    <w:rPr>
      <w:rFonts w:ascii="Times New Roman" w:hAnsi="Times New Roman" w:cs="Times New Roman"/>
      <w:sz w:val="24"/>
      <w:szCs w:val="24"/>
    </w:rPr>
  </w:style>
  <w:style w:type="paragraph" w:customStyle="1" w:styleId="CM3">
    <w:name w:val="CM3"/>
    <w:basedOn w:val="Default"/>
    <w:next w:val="Default"/>
    <w:uiPriority w:val="99"/>
    <w:rsid w:val="00543C01"/>
    <w:pPr>
      <w:widowControl w:val="0"/>
    </w:pPr>
    <w:rPr>
      <w:rFonts w:ascii="Times New Roman" w:hAnsi="Times New Roman" w:cs="Times New Roman"/>
      <w:sz w:val="24"/>
      <w:szCs w:val="24"/>
    </w:rPr>
  </w:style>
  <w:style w:type="paragraph" w:customStyle="1" w:styleId="CM4">
    <w:name w:val="CM4"/>
    <w:basedOn w:val="Default"/>
    <w:next w:val="Default"/>
    <w:uiPriority w:val="99"/>
    <w:rsid w:val="00543C01"/>
    <w:pPr>
      <w:widowControl w:val="0"/>
    </w:pPr>
    <w:rPr>
      <w:rFonts w:ascii="Times New Roman" w:hAnsi="Times New Roman" w:cs="Times New Roman"/>
      <w:sz w:val="24"/>
      <w:szCs w:val="24"/>
    </w:rPr>
  </w:style>
  <w:style w:type="paragraph" w:customStyle="1" w:styleId="CM5">
    <w:name w:val="CM5"/>
    <w:basedOn w:val="Default"/>
    <w:next w:val="Default"/>
    <w:uiPriority w:val="99"/>
    <w:rsid w:val="00543C01"/>
    <w:pPr>
      <w:widowControl w:val="0"/>
    </w:pPr>
    <w:rPr>
      <w:rFonts w:ascii="Times New Roman" w:hAnsi="Times New Roman" w:cs="Times New Roman"/>
      <w:sz w:val="24"/>
      <w:szCs w:val="24"/>
    </w:rPr>
  </w:style>
  <w:style w:type="character" w:customStyle="1" w:styleId="apple-converted-space">
    <w:name w:val="apple-converted-space"/>
    <w:rsid w:val="00375E47"/>
  </w:style>
  <w:style w:type="paragraph" w:styleId="NoSpacing">
    <w:name w:val="No Spacing"/>
    <w:uiPriority w:val="1"/>
    <w:qFormat/>
    <w:rsid w:val="00340C9D"/>
    <w:pPr>
      <w:jc w:val="both"/>
    </w:pPr>
    <w:rPr>
      <w:sz w:val="22"/>
    </w:rPr>
  </w:style>
  <w:style w:type="paragraph" w:styleId="EndnoteText">
    <w:name w:val="endnote text"/>
    <w:basedOn w:val="Normal"/>
    <w:link w:val="EndnoteTextChar"/>
    <w:uiPriority w:val="99"/>
    <w:semiHidden/>
    <w:unhideWhenUsed/>
    <w:locked/>
    <w:rsid w:val="004A66C3"/>
    <w:pPr>
      <w:spacing w:line="240" w:lineRule="auto"/>
    </w:pPr>
    <w:rPr>
      <w:sz w:val="20"/>
    </w:rPr>
  </w:style>
  <w:style w:type="character" w:customStyle="1" w:styleId="EndnoteTextChar">
    <w:name w:val="Endnote Text Char"/>
    <w:basedOn w:val="DefaultParagraphFont"/>
    <w:link w:val="EndnoteText"/>
    <w:uiPriority w:val="99"/>
    <w:semiHidden/>
    <w:rsid w:val="004A66C3"/>
  </w:style>
  <w:style w:type="character" w:styleId="EndnoteReference">
    <w:name w:val="endnote reference"/>
    <w:basedOn w:val="DefaultParagraphFont"/>
    <w:uiPriority w:val="99"/>
    <w:semiHidden/>
    <w:unhideWhenUsed/>
    <w:locked/>
    <w:rsid w:val="004A66C3"/>
    <w:rPr>
      <w:vertAlign w:val="superscript"/>
    </w:rPr>
  </w:style>
  <w:style w:type="paragraph" w:styleId="ListParagraph">
    <w:name w:val="List Paragraph"/>
    <w:basedOn w:val="Normal"/>
    <w:uiPriority w:val="34"/>
    <w:qFormat/>
    <w:rsid w:val="00854191"/>
    <w:pPr>
      <w:spacing w:after="200" w:line="276" w:lineRule="auto"/>
      <w:ind w:left="720"/>
      <w:contextualSpacing/>
      <w:jc w:val="left"/>
    </w:pPr>
    <w:rPr>
      <w:rFonts w:asciiTheme="minorHAnsi" w:eastAsiaTheme="minorHAnsi" w:hAnsiTheme="minorHAnsi" w:cstheme="minorBid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F2729"/>
    <w:pPr>
      <w:spacing w:line="240" w:lineRule="atLeast"/>
      <w:jc w:val="both"/>
    </w:pPr>
    <w:rPr>
      <w:sz w:val="22"/>
    </w:rPr>
  </w:style>
  <w:style w:type="paragraph" w:styleId="Heading1">
    <w:name w:val="heading 1"/>
    <w:aliases w:val="H1-Sec.Head,H1-Sec.Hea"/>
    <w:basedOn w:val="Normal"/>
    <w:next w:val="P1-StandPara"/>
    <w:link w:val="Heading1Char"/>
    <w:uiPriority w:val="99"/>
    <w:qFormat/>
    <w:rsid w:val="00EF2729"/>
    <w:pPr>
      <w:keepNext/>
      <w:tabs>
        <w:tab w:val="left" w:pos="1152"/>
      </w:tabs>
      <w:spacing w:after="360" w:line="360" w:lineRule="atLeast"/>
      <w:ind w:left="1152" w:hanging="1152"/>
      <w:outlineLvl w:val="0"/>
    </w:pPr>
    <w:rPr>
      <w:b/>
    </w:rPr>
  </w:style>
  <w:style w:type="paragraph" w:styleId="Heading2">
    <w:name w:val="heading 2"/>
    <w:aliases w:val="H2-Sec. Head,H2-Sec. He"/>
    <w:basedOn w:val="Normal"/>
    <w:next w:val="P1-StandPara"/>
    <w:link w:val="Heading2Char"/>
    <w:uiPriority w:val="99"/>
    <w:qFormat/>
    <w:rsid w:val="00EF2729"/>
    <w:pPr>
      <w:keepNext/>
      <w:tabs>
        <w:tab w:val="left" w:pos="1152"/>
      </w:tabs>
      <w:spacing w:after="360" w:line="360" w:lineRule="atLeast"/>
      <w:ind w:left="1152" w:hanging="1152"/>
      <w:outlineLvl w:val="1"/>
    </w:pPr>
    <w:rPr>
      <w:b/>
    </w:rPr>
  </w:style>
  <w:style w:type="paragraph" w:styleId="Heading3">
    <w:name w:val="heading 3"/>
    <w:aliases w:val="H3-Sec. Head,H3-Sec. He"/>
    <w:basedOn w:val="Normal"/>
    <w:next w:val="P1-StandPara"/>
    <w:link w:val="Heading3Char"/>
    <w:uiPriority w:val="99"/>
    <w:qFormat/>
    <w:rsid w:val="00EF2729"/>
    <w:pPr>
      <w:keepNext/>
      <w:tabs>
        <w:tab w:val="left" w:pos="1152"/>
      </w:tabs>
      <w:spacing w:after="360" w:line="360" w:lineRule="atLeast"/>
      <w:ind w:left="1152" w:hanging="1152"/>
      <w:outlineLvl w:val="2"/>
    </w:pPr>
    <w:rPr>
      <w:b/>
    </w:rPr>
  </w:style>
  <w:style w:type="paragraph" w:styleId="Heading4">
    <w:name w:val="heading 4"/>
    <w:aliases w:val="H4 Sec.Heading,H4 Sec.Hea"/>
    <w:basedOn w:val="Normal"/>
    <w:next w:val="P1-StandPara"/>
    <w:link w:val="Heading4Char"/>
    <w:uiPriority w:val="99"/>
    <w:qFormat/>
    <w:rsid w:val="00EF2729"/>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uiPriority w:val="99"/>
    <w:qFormat/>
    <w:rsid w:val="00EF2729"/>
    <w:pPr>
      <w:keepLines/>
      <w:spacing w:before="360" w:line="360" w:lineRule="atLeast"/>
      <w:jc w:val="center"/>
      <w:outlineLvl w:val="4"/>
    </w:pPr>
  </w:style>
  <w:style w:type="paragraph" w:styleId="Heading6">
    <w:name w:val="heading 6"/>
    <w:basedOn w:val="Normal"/>
    <w:next w:val="Normal"/>
    <w:link w:val="Heading6Char"/>
    <w:uiPriority w:val="99"/>
    <w:qFormat/>
    <w:rsid w:val="00EF2729"/>
    <w:pPr>
      <w:keepNext/>
      <w:spacing w:before="240"/>
      <w:jc w:val="center"/>
      <w:outlineLvl w:val="5"/>
    </w:pPr>
    <w:rPr>
      <w:b/>
      <w:caps/>
    </w:rPr>
  </w:style>
  <w:style w:type="paragraph" w:styleId="Heading7">
    <w:name w:val="heading 7"/>
    <w:basedOn w:val="Normal"/>
    <w:next w:val="Normal"/>
    <w:link w:val="Heading7Char"/>
    <w:uiPriority w:val="99"/>
    <w:qFormat/>
    <w:rsid w:val="00EF2729"/>
    <w:pPr>
      <w:spacing w:before="240" w:after="60"/>
      <w:outlineLvl w:val="6"/>
    </w:pPr>
  </w:style>
  <w:style w:type="paragraph" w:styleId="Heading8">
    <w:name w:val="heading 8"/>
    <w:basedOn w:val="Normal"/>
    <w:next w:val="Normal"/>
    <w:link w:val="Heading8Char"/>
    <w:uiPriority w:val="99"/>
    <w:qFormat/>
    <w:rsid w:val="005A33B6"/>
    <w:pPr>
      <w:keepNext/>
      <w:ind w:left="720"/>
      <w:outlineLvl w:val="7"/>
    </w:pPr>
    <w:rPr>
      <w:i/>
      <w:u w:val="single"/>
    </w:rPr>
  </w:style>
  <w:style w:type="paragraph" w:styleId="Heading9">
    <w:name w:val="heading 9"/>
    <w:basedOn w:val="Normal"/>
    <w:next w:val="Normal"/>
    <w:link w:val="Heading9Char"/>
    <w:uiPriority w:val="99"/>
    <w:qFormat/>
    <w:rsid w:val="005A33B6"/>
    <w:pPr>
      <w:keepNex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H1-Sec.Hea Char"/>
    <w:link w:val="Heading1"/>
    <w:uiPriority w:val="99"/>
    <w:locked/>
    <w:rsid w:val="005A33B6"/>
    <w:rPr>
      <w:rFonts w:ascii="Cambria" w:hAnsi="Cambria" w:cs="Times New Roman"/>
      <w:b/>
      <w:bCs/>
      <w:kern w:val="32"/>
      <w:sz w:val="32"/>
      <w:szCs w:val="32"/>
    </w:rPr>
  </w:style>
  <w:style w:type="character" w:customStyle="1" w:styleId="Heading2Char">
    <w:name w:val="Heading 2 Char"/>
    <w:aliases w:val="H2-Sec. Head Char,H2-Sec. He Char"/>
    <w:link w:val="Heading2"/>
    <w:uiPriority w:val="99"/>
    <w:locked/>
    <w:rsid w:val="005A33B6"/>
    <w:rPr>
      <w:rFonts w:ascii="Cambria" w:hAnsi="Cambria" w:cs="Times New Roman"/>
      <w:b/>
      <w:bCs/>
      <w:i/>
      <w:iCs/>
      <w:sz w:val="28"/>
      <w:szCs w:val="28"/>
    </w:rPr>
  </w:style>
  <w:style w:type="character" w:customStyle="1" w:styleId="Heading3Char">
    <w:name w:val="Heading 3 Char"/>
    <w:aliases w:val="H3-Sec. Head Char,H3-Sec. He Char"/>
    <w:link w:val="Heading3"/>
    <w:uiPriority w:val="99"/>
    <w:locked/>
    <w:rsid w:val="005A33B6"/>
    <w:rPr>
      <w:rFonts w:ascii="Cambria" w:hAnsi="Cambria" w:cs="Times New Roman"/>
      <w:b/>
      <w:bCs/>
      <w:sz w:val="26"/>
      <w:szCs w:val="26"/>
    </w:rPr>
  </w:style>
  <w:style w:type="character" w:customStyle="1" w:styleId="Heading4Char">
    <w:name w:val="Heading 4 Char"/>
    <w:aliases w:val="H4 Sec.Heading Char,H4 Sec.Hea Char"/>
    <w:link w:val="Heading4"/>
    <w:uiPriority w:val="99"/>
    <w:locked/>
    <w:rsid w:val="005A33B6"/>
    <w:rPr>
      <w:rFonts w:ascii="Calibri" w:hAnsi="Calibri" w:cs="Times New Roman"/>
      <w:b/>
      <w:bCs/>
      <w:sz w:val="28"/>
      <w:szCs w:val="28"/>
    </w:rPr>
  </w:style>
  <w:style w:type="character" w:customStyle="1" w:styleId="Heading5Char">
    <w:name w:val="Heading 5 Char"/>
    <w:link w:val="Heading5"/>
    <w:uiPriority w:val="99"/>
    <w:locked/>
    <w:rsid w:val="005A33B6"/>
    <w:rPr>
      <w:rFonts w:ascii="Calibri" w:hAnsi="Calibri" w:cs="Times New Roman"/>
      <w:b/>
      <w:bCs/>
      <w:i/>
      <w:iCs/>
      <w:sz w:val="26"/>
      <w:szCs w:val="26"/>
    </w:rPr>
  </w:style>
  <w:style w:type="character" w:customStyle="1" w:styleId="Heading6Char">
    <w:name w:val="Heading 6 Char"/>
    <w:link w:val="Heading6"/>
    <w:uiPriority w:val="99"/>
    <w:locked/>
    <w:rsid w:val="005A33B6"/>
    <w:rPr>
      <w:rFonts w:ascii="Calibri" w:hAnsi="Calibri" w:cs="Times New Roman"/>
      <w:b/>
      <w:bCs/>
      <w:sz w:val="22"/>
      <w:szCs w:val="22"/>
    </w:rPr>
  </w:style>
  <w:style w:type="character" w:customStyle="1" w:styleId="Heading7Char">
    <w:name w:val="Heading 7 Char"/>
    <w:link w:val="Heading7"/>
    <w:uiPriority w:val="99"/>
    <w:locked/>
    <w:rsid w:val="005A33B6"/>
    <w:rPr>
      <w:rFonts w:ascii="Calibri" w:hAnsi="Calibri" w:cs="Times New Roman"/>
      <w:sz w:val="24"/>
      <w:szCs w:val="24"/>
    </w:rPr>
  </w:style>
  <w:style w:type="character" w:customStyle="1" w:styleId="Heading8Char">
    <w:name w:val="Heading 8 Char"/>
    <w:link w:val="Heading8"/>
    <w:uiPriority w:val="99"/>
    <w:locked/>
    <w:rsid w:val="005A33B6"/>
    <w:rPr>
      <w:rFonts w:ascii="Calibri" w:hAnsi="Calibri" w:cs="Times New Roman"/>
      <w:i/>
      <w:iCs/>
      <w:sz w:val="24"/>
      <w:szCs w:val="24"/>
    </w:rPr>
  </w:style>
  <w:style w:type="character" w:customStyle="1" w:styleId="Heading9Char">
    <w:name w:val="Heading 9 Char"/>
    <w:link w:val="Heading9"/>
    <w:uiPriority w:val="99"/>
    <w:locked/>
    <w:rsid w:val="005A33B6"/>
    <w:rPr>
      <w:rFonts w:ascii="Cambria" w:hAnsi="Cambria" w:cs="Times New Roman"/>
      <w:sz w:val="22"/>
      <w:szCs w:val="22"/>
    </w:rPr>
  </w:style>
  <w:style w:type="paragraph" w:customStyle="1" w:styleId="P1-StandPara">
    <w:name w:val="P1-Stand Para"/>
    <w:uiPriority w:val="99"/>
    <w:rsid w:val="00EF2729"/>
    <w:pPr>
      <w:spacing w:line="360" w:lineRule="atLeast"/>
      <w:ind w:firstLine="1152"/>
      <w:jc w:val="both"/>
    </w:pPr>
    <w:rPr>
      <w:sz w:val="22"/>
    </w:rPr>
  </w:style>
  <w:style w:type="paragraph" w:customStyle="1" w:styleId="N1-1stBullet">
    <w:name w:val="N1-1st Bullet"/>
    <w:basedOn w:val="Normal"/>
    <w:uiPriority w:val="99"/>
    <w:rsid w:val="00EF2729"/>
    <w:pPr>
      <w:tabs>
        <w:tab w:val="left" w:pos="1152"/>
      </w:tabs>
      <w:spacing w:after="240"/>
      <w:ind w:left="1152" w:hanging="576"/>
    </w:pPr>
  </w:style>
  <w:style w:type="paragraph" w:customStyle="1" w:styleId="N2-2ndBullet">
    <w:name w:val="N2-2nd Bullet"/>
    <w:basedOn w:val="Normal"/>
    <w:uiPriority w:val="99"/>
    <w:rsid w:val="00EF2729"/>
    <w:pPr>
      <w:numPr>
        <w:numId w:val="1"/>
      </w:numPr>
      <w:tabs>
        <w:tab w:val="left" w:pos="1728"/>
      </w:tabs>
      <w:spacing w:after="240"/>
    </w:pPr>
  </w:style>
  <w:style w:type="character" w:styleId="Hyperlink">
    <w:name w:val="Hyperlink"/>
    <w:uiPriority w:val="99"/>
    <w:rsid w:val="005A33B6"/>
    <w:rPr>
      <w:rFonts w:cs="Times New Roman"/>
      <w:color w:val="0000FF"/>
      <w:u w:val="single"/>
    </w:rPr>
  </w:style>
  <w:style w:type="paragraph" w:styleId="Caption">
    <w:name w:val="caption"/>
    <w:basedOn w:val="Normal"/>
    <w:next w:val="Normal"/>
    <w:uiPriority w:val="99"/>
    <w:qFormat/>
    <w:rsid w:val="005A33B6"/>
    <w:rPr>
      <w:rFonts w:ascii="CG Times" w:hAnsi="CG Times"/>
      <w:sz w:val="24"/>
    </w:rPr>
  </w:style>
  <w:style w:type="paragraph" w:customStyle="1" w:styleId="SL-FlLftSgl">
    <w:name w:val="SL-Fl Lft Sgl"/>
    <w:link w:val="SL-FlLftSglChar"/>
    <w:uiPriority w:val="99"/>
    <w:rsid w:val="00EF2729"/>
    <w:pPr>
      <w:spacing w:line="240" w:lineRule="atLeast"/>
      <w:jc w:val="both"/>
    </w:pPr>
    <w:rPr>
      <w:sz w:val="22"/>
    </w:rPr>
  </w:style>
  <w:style w:type="paragraph" w:customStyle="1" w:styleId="C3-CtrSp12">
    <w:name w:val="C3-Ctr Sp&amp;1/2"/>
    <w:uiPriority w:val="99"/>
    <w:rsid w:val="00EF2729"/>
    <w:pPr>
      <w:keepLines/>
      <w:spacing w:line="360" w:lineRule="atLeast"/>
      <w:jc w:val="center"/>
    </w:pPr>
    <w:rPr>
      <w:sz w:val="22"/>
    </w:rPr>
  </w:style>
  <w:style w:type="paragraph" w:customStyle="1" w:styleId="C1-CtrBoldHd">
    <w:name w:val="C1-Ctr BoldHd"/>
    <w:uiPriority w:val="99"/>
    <w:rsid w:val="00EF2729"/>
    <w:pPr>
      <w:keepNext/>
      <w:spacing w:after="720" w:line="240" w:lineRule="atLeast"/>
      <w:jc w:val="center"/>
    </w:pPr>
    <w:rPr>
      <w:b/>
      <w:caps/>
      <w:sz w:val="22"/>
    </w:rPr>
  </w:style>
  <w:style w:type="paragraph" w:customStyle="1" w:styleId="C2-CtrSglSp">
    <w:name w:val="C2-Ctr Sgl Sp"/>
    <w:uiPriority w:val="99"/>
    <w:rsid w:val="00EF2729"/>
    <w:pPr>
      <w:keepLines/>
      <w:spacing w:line="240" w:lineRule="atLeast"/>
      <w:jc w:val="center"/>
    </w:pPr>
    <w:rPr>
      <w:sz w:val="22"/>
    </w:rPr>
  </w:style>
  <w:style w:type="paragraph" w:customStyle="1" w:styleId="SP-SglSpPara">
    <w:name w:val="SP-Sgl Sp Para"/>
    <w:uiPriority w:val="99"/>
    <w:rsid w:val="00EF2729"/>
    <w:pPr>
      <w:tabs>
        <w:tab w:val="left" w:pos="576"/>
      </w:tabs>
      <w:spacing w:line="240" w:lineRule="atLeast"/>
      <w:ind w:firstLine="576"/>
      <w:jc w:val="both"/>
    </w:pPr>
    <w:rPr>
      <w:sz w:val="22"/>
    </w:rPr>
  </w:style>
  <w:style w:type="paragraph" w:customStyle="1" w:styleId="N0-FlLftBullet">
    <w:name w:val="N0-Fl Lft Bullet"/>
    <w:basedOn w:val="Normal"/>
    <w:uiPriority w:val="99"/>
    <w:rsid w:val="00EF2729"/>
    <w:pPr>
      <w:tabs>
        <w:tab w:val="left" w:pos="576"/>
      </w:tabs>
      <w:spacing w:after="240"/>
      <w:ind w:left="576" w:hanging="576"/>
    </w:pPr>
  </w:style>
  <w:style w:type="character" w:customStyle="1" w:styleId="ALT-uunderlining">
    <w:name w:val="ALT-u underlining"/>
    <w:uiPriority w:val="99"/>
    <w:rsid w:val="005A33B6"/>
    <w:rPr>
      <w:rFonts w:ascii="Times" w:hAnsi="Times"/>
      <w:sz w:val="22"/>
      <w:u w:val="single"/>
    </w:rPr>
  </w:style>
  <w:style w:type="character" w:styleId="PageNumber">
    <w:name w:val="page number"/>
    <w:uiPriority w:val="99"/>
    <w:rsid w:val="00EF2729"/>
    <w:rPr>
      <w:rFonts w:cs="Times New Roman"/>
    </w:rPr>
  </w:style>
  <w:style w:type="paragraph" w:styleId="Footer">
    <w:name w:val="footer"/>
    <w:basedOn w:val="Normal"/>
    <w:link w:val="FooterChar"/>
    <w:uiPriority w:val="99"/>
    <w:rsid w:val="00EF2729"/>
    <w:pPr>
      <w:tabs>
        <w:tab w:val="center" w:pos="4320"/>
        <w:tab w:val="right" w:pos="8640"/>
      </w:tabs>
    </w:pPr>
  </w:style>
  <w:style w:type="character" w:customStyle="1" w:styleId="FooterChar">
    <w:name w:val="Footer Char"/>
    <w:link w:val="Footer"/>
    <w:uiPriority w:val="99"/>
    <w:locked/>
    <w:rsid w:val="005A33B6"/>
    <w:rPr>
      <w:rFonts w:cs="Times New Roman"/>
    </w:rPr>
  </w:style>
  <w:style w:type="character" w:styleId="FollowedHyperlink">
    <w:name w:val="FollowedHyperlink"/>
    <w:uiPriority w:val="99"/>
    <w:rsid w:val="005A33B6"/>
    <w:rPr>
      <w:rFonts w:cs="Times New Roman"/>
      <w:color w:val="800080"/>
      <w:u w:val="single"/>
    </w:rPr>
  </w:style>
  <w:style w:type="paragraph" w:styleId="Header">
    <w:name w:val="header"/>
    <w:basedOn w:val="Normal"/>
    <w:link w:val="HeaderChar"/>
    <w:uiPriority w:val="99"/>
    <w:rsid w:val="00EF2729"/>
    <w:pPr>
      <w:tabs>
        <w:tab w:val="center" w:pos="4320"/>
        <w:tab w:val="right" w:pos="8640"/>
      </w:tabs>
    </w:pPr>
    <w:rPr>
      <w:sz w:val="16"/>
    </w:rPr>
  </w:style>
  <w:style w:type="character" w:customStyle="1" w:styleId="HeaderChar">
    <w:name w:val="Header Char"/>
    <w:link w:val="Header"/>
    <w:uiPriority w:val="99"/>
    <w:locked/>
    <w:rsid w:val="005A33B6"/>
    <w:rPr>
      <w:rFonts w:cs="Times New Roman"/>
    </w:rPr>
  </w:style>
  <w:style w:type="paragraph" w:customStyle="1" w:styleId="TT-TableTitle">
    <w:name w:val="TT-Table Title"/>
    <w:uiPriority w:val="99"/>
    <w:rsid w:val="00EF2729"/>
    <w:pPr>
      <w:tabs>
        <w:tab w:val="left" w:pos="1152"/>
      </w:tabs>
      <w:spacing w:line="240" w:lineRule="atLeast"/>
      <w:ind w:left="1152" w:hanging="1152"/>
    </w:pPr>
    <w:rPr>
      <w:b/>
      <w:sz w:val="22"/>
      <w:szCs w:val="22"/>
    </w:rPr>
  </w:style>
  <w:style w:type="paragraph" w:styleId="Title">
    <w:name w:val="Title"/>
    <w:basedOn w:val="Normal"/>
    <w:link w:val="TitleChar"/>
    <w:uiPriority w:val="99"/>
    <w:qFormat/>
    <w:rsid w:val="005A33B6"/>
    <w:pPr>
      <w:jc w:val="center"/>
    </w:pPr>
    <w:rPr>
      <w:b/>
    </w:rPr>
  </w:style>
  <w:style w:type="character" w:customStyle="1" w:styleId="TitleChar">
    <w:name w:val="Title Char"/>
    <w:link w:val="Title"/>
    <w:uiPriority w:val="99"/>
    <w:locked/>
    <w:rsid w:val="005A33B6"/>
    <w:rPr>
      <w:rFonts w:ascii="Cambria" w:hAnsi="Cambria" w:cs="Times New Roman"/>
      <w:b/>
      <w:bCs/>
      <w:kern w:val="28"/>
      <w:sz w:val="32"/>
      <w:szCs w:val="32"/>
    </w:rPr>
  </w:style>
  <w:style w:type="paragraph" w:customStyle="1" w:styleId="N1-2ndBullet">
    <w:name w:val="N1-2nd Bullet"/>
    <w:autoRedefine/>
    <w:uiPriority w:val="99"/>
    <w:rsid w:val="005A33B6"/>
    <w:pPr>
      <w:keepNext/>
      <w:tabs>
        <w:tab w:val="left" w:pos="180"/>
        <w:tab w:val="right" w:pos="1530"/>
        <w:tab w:val="right" w:leader="dot" w:pos="6462"/>
        <w:tab w:val="right" w:pos="7632"/>
      </w:tabs>
      <w:spacing w:line="240" w:lineRule="atLeast"/>
      <w:jc w:val="center"/>
    </w:pPr>
    <w:rPr>
      <w:noProof/>
      <w:sz w:val="18"/>
    </w:rPr>
  </w:style>
  <w:style w:type="paragraph" w:customStyle="1" w:styleId="E1-Equation">
    <w:name w:val="E1-Equation"/>
    <w:uiPriority w:val="99"/>
    <w:rsid w:val="00EF2729"/>
    <w:pPr>
      <w:tabs>
        <w:tab w:val="center" w:pos="4680"/>
        <w:tab w:val="right" w:pos="9360"/>
      </w:tabs>
      <w:spacing w:line="240" w:lineRule="atLeast"/>
      <w:jc w:val="both"/>
    </w:pPr>
    <w:rPr>
      <w:sz w:val="22"/>
    </w:rPr>
  </w:style>
  <w:style w:type="paragraph" w:styleId="BodyTextIndent2">
    <w:name w:val="Body Text Indent 2"/>
    <w:basedOn w:val="Normal"/>
    <w:link w:val="BodyTextIndent2Char"/>
    <w:uiPriority w:val="99"/>
    <w:rsid w:val="005A33B6"/>
    <w:pPr>
      <w:ind w:left="720"/>
    </w:pPr>
  </w:style>
  <w:style w:type="character" w:customStyle="1" w:styleId="BodyTextIndent2Char">
    <w:name w:val="Body Text Indent 2 Char"/>
    <w:link w:val="BodyTextIndent2"/>
    <w:uiPriority w:val="99"/>
    <w:locked/>
    <w:rsid w:val="005A33B6"/>
    <w:rPr>
      <w:rFonts w:cs="Times New Roman"/>
    </w:rPr>
  </w:style>
  <w:style w:type="paragraph" w:styleId="BodyText">
    <w:name w:val="Body Text"/>
    <w:basedOn w:val="Normal"/>
    <w:link w:val="BodyTextChar"/>
    <w:uiPriority w:val="99"/>
    <w:rsid w:val="005A33B6"/>
  </w:style>
  <w:style w:type="character" w:customStyle="1" w:styleId="BodyTextChar">
    <w:name w:val="Body Text Char"/>
    <w:link w:val="BodyText"/>
    <w:uiPriority w:val="99"/>
    <w:locked/>
    <w:rsid w:val="005A33B6"/>
    <w:rPr>
      <w:rFonts w:cs="Times New Roman"/>
    </w:rPr>
  </w:style>
  <w:style w:type="character" w:customStyle="1" w:styleId="footnotetex">
    <w:name w:val="footnote tex"/>
    <w:uiPriority w:val="99"/>
    <w:rsid w:val="005A33B6"/>
    <w:rPr>
      <w:rFonts w:ascii="Times New Roman" w:hAnsi="Times New Roman" w:cs="Times New Roman"/>
      <w:sz w:val="24"/>
      <w:lang w:val="en-US"/>
    </w:rPr>
  </w:style>
  <w:style w:type="paragraph" w:customStyle="1" w:styleId="OMBSecHead">
    <w:name w:val="OMBSecHead"/>
    <w:basedOn w:val="Normal"/>
    <w:uiPriority w:val="99"/>
    <w:rsid w:val="005A33B6"/>
    <w:pPr>
      <w:tabs>
        <w:tab w:val="left" w:pos="0"/>
        <w:tab w:val="left" w:pos="1194"/>
        <w:tab w:val="left" w:pos="1728"/>
        <w:tab w:val="left" w:pos="2160"/>
      </w:tabs>
      <w:suppressAutoHyphens/>
      <w:spacing w:line="360" w:lineRule="auto"/>
    </w:pPr>
    <w:rPr>
      <w:b/>
      <w:spacing w:val="-2"/>
    </w:rPr>
  </w:style>
  <w:style w:type="character" w:styleId="FootnoteReference">
    <w:name w:val="footnote reference"/>
    <w:uiPriority w:val="99"/>
    <w:semiHidden/>
    <w:rsid w:val="00EF2729"/>
    <w:rPr>
      <w:rFonts w:cs="Times New Roman"/>
      <w:vertAlign w:val="superscript"/>
    </w:rPr>
  </w:style>
  <w:style w:type="paragraph" w:customStyle="1" w:styleId="OMBRef">
    <w:name w:val="OMBRef"/>
    <w:basedOn w:val="P1-StandPara"/>
    <w:uiPriority w:val="99"/>
    <w:rsid w:val="005A33B6"/>
    <w:pPr>
      <w:spacing w:line="240" w:lineRule="auto"/>
      <w:ind w:left="432" w:hanging="432"/>
    </w:pPr>
  </w:style>
  <w:style w:type="paragraph" w:styleId="FootnoteText">
    <w:name w:val="footnote text"/>
    <w:aliases w:val="F1"/>
    <w:basedOn w:val="Normal"/>
    <w:link w:val="FootnoteTextChar"/>
    <w:uiPriority w:val="99"/>
    <w:semiHidden/>
    <w:rsid w:val="00EF2729"/>
    <w:pPr>
      <w:tabs>
        <w:tab w:val="left" w:pos="120"/>
      </w:tabs>
      <w:spacing w:line="200" w:lineRule="atLeast"/>
    </w:pPr>
    <w:rPr>
      <w:sz w:val="16"/>
    </w:rPr>
  </w:style>
  <w:style w:type="character" w:customStyle="1" w:styleId="FootnoteTextChar">
    <w:name w:val="Footnote Text Char"/>
    <w:aliases w:val="F1 Char"/>
    <w:link w:val="FootnoteText"/>
    <w:uiPriority w:val="99"/>
    <w:locked/>
    <w:rsid w:val="005A33B6"/>
    <w:rPr>
      <w:rFonts w:cs="Times New Roman"/>
      <w:sz w:val="16"/>
      <w:lang w:val="en-US" w:eastAsia="en-US" w:bidi="ar-SA"/>
    </w:rPr>
  </w:style>
  <w:style w:type="paragraph" w:styleId="BodyTextIndent">
    <w:name w:val="Body Text Indent"/>
    <w:basedOn w:val="Normal"/>
    <w:link w:val="BodyTextIndentChar"/>
    <w:uiPriority w:val="99"/>
    <w:rsid w:val="005A33B6"/>
    <w:pPr>
      <w:ind w:left="720" w:hanging="720"/>
    </w:pPr>
  </w:style>
  <w:style w:type="character" w:customStyle="1" w:styleId="BodyTextIndentChar">
    <w:name w:val="Body Text Indent Char"/>
    <w:link w:val="BodyTextIndent"/>
    <w:uiPriority w:val="99"/>
    <w:locked/>
    <w:rsid w:val="005A33B6"/>
    <w:rPr>
      <w:rFonts w:cs="Times New Roman"/>
      <w:sz w:val="22"/>
      <w:lang w:val="en-US" w:eastAsia="en-US" w:bidi="ar-SA"/>
    </w:rPr>
  </w:style>
  <w:style w:type="paragraph" w:styleId="BodyText2">
    <w:name w:val="Body Text 2"/>
    <w:basedOn w:val="Normal"/>
    <w:link w:val="BodyText2Char"/>
    <w:uiPriority w:val="99"/>
    <w:rsid w:val="005A33B6"/>
    <w:rPr>
      <w:b/>
    </w:rPr>
  </w:style>
  <w:style w:type="character" w:customStyle="1" w:styleId="BodyText2Char">
    <w:name w:val="Body Text 2 Char"/>
    <w:link w:val="BodyText2"/>
    <w:uiPriority w:val="99"/>
    <w:locked/>
    <w:rsid w:val="005A33B6"/>
    <w:rPr>
      <w:rFonts w:cs="Times New Roman"/>
      <w:b/>
      <w:sz w:val="22"/>
      <w:lang w:val="en-US" w:eastAsia="en-US" w:bidi="ar-SA"/>
    </w:rPr>
  </w:style>
  <w:style w:type="paragraph" w:customStyle="1" w:styleId="SH-SglSpHead">
    <w:name w:val="SH-Sgl Sp Head"/>
    <w:uiPriority w:val="99"/>
    <w:rsid w:val="00EF2729"/>
    <w:pPr>
      <w:keepNext/>
      <w:tabs>
        <w:tab w:val="left" w:pos="576"/>
      </w:tabs>
      <w:spacing w:line="240" w:lineRule="atLeast"/>
      <w:ind w:left="576" w:hanging="576"/>
    </w:pPr>
    <w:rPr>
      <w:b/>
      <w:sz w:val="22"/>
    </w:rPr>
  </w:style>
  <w:style w:type="paragraph" w:styleId="TOC1">
    <w:name w:val="toc 1"/>
    <w:basedOn w:val="Normal"/>
    <w:uiPriority w:val="99"/>
    <w:rsid w:val="00EF2729"/>
    <w:pPr>
      <w:tabs>
        <w:tab w:val="left" w:pos="1440"/>
        <w:tab w:val="right" w:leader="dot" w:pos="8208"/>
        <w:tab w:val="left" w:pos="8640"/>
      </w:tabs>
      <w:ind w:left="288"/>
      <w:jc w:val="left"/>
    </w:pPr>
    <w:rPr>
      <w:caps/>
    </w:rPr>
  </w:style>
  <w:style w:type="paragraph" w:styleId="TOC2">
    <w:name w:val="toc 2"/>
    <w:basedOn w:val="Normal"/>
    <w:uiPriority w:val="99"/>
    <w:rsid w:val="00EF2729"/>
    <w:pPr>
      <w:tabs>
        <w:tab w:val="left" w:pos="2160"/>
        <w:tab w:val="right" w:leader="dot" w:pos="8208"/>
        <w:tab w:val="left" w:pos="8640"/>
      </w:tabs>
      <w:ind w:left="2160" w:hanging="720"/>
      <w:jc w:val="left"/>
    </w:pPr>
  </w:style>
  <w:style w:type="paragraph" w:styleId="TableofFigures">
    <w:name w:val="table of figures"/>
    <w:basedOn w:val="Normal"/>
    <w:next w:val="Normal"/>
    <w:uiPriority w:val="99"/>
    <w:semiHidden/>
    <w:rsid w:val="005A33B6"/>
    <w:pPr>
      <w:ind w:left="1440" w:right="1440" w:hanging="1440"/>
    </w:pPr>
  </w:style>
  <w:style w:type="paragraph" w:styleId="DocumentMap">
    <w:name w:val="Document Map"/>
    <w:basedOn w:val="Normal"/>
    <w:link w:val="DocumentMapChar"/>
    <w:uiPriority w:val="99"/>
    <w:semiHidden/>
    <w:rsid w:val="005A33B6"/>
    <w:pPr>
      <w:shd w:val="clear" w:color="auto" w:fill="000080"/>
    </w:pPr>
    <w:rPr>
      <w:rFonts w:ascii="Tahoma" w:hAnsi="Tahoma"/>
    </w:rPr>
  </w:style>
  <w:style w:type="character" w:customStyle="1" w:styleId="DocumentMapChar">
    <w:name w:val="Document Map Char"/>
    <w:link w:val="DocumentMap"/>
    <w:uiPriority w:val="99"/>
    <w:semiHidden/>
    <w:locked/>
    <w:rsid w:val="005A33B6"/>
    <w:rPr>
      <w:rFonts w:cs="Times New Roman"/>
      <w:sz w:val="2"/>
    </w:rPr>
  </w:style>
  <w:style w:type="paragraph" w:styleId="TOAHeading">
    <w:name w:val="toa heading"/>
    <w:basedOn w:val="Normal"/>
    <w:next w:val="Normal"/>
    <w:uiPriority w:val="99"/>
    <w:semiHidden/>
    <w:rsid w:val="005A33B6"/>
    <w:pPr>
      <w:tabs>
        <w:tab w:val="left" w:pos="720"/>
        <w:tab w:val="left" w:pos="1440"/>
        <w:tab w:val="left" w:pos="2160"/>
        <w:tab w:val="right" w:pos="9360"/>
        <w:tab w:val="right" w:leader="dot" w:pos="9720"/>
      </w:tabs>
      <w:suppressAutoHyphens/>
    </w:pPr>
    <w:rPr>
      <w:rFonts w:ascii="Arial" w:hAnsi="Arial"/>
      <w:noProof/>
    </w:rPr>
  </w:style>
  <w:style w:type="paragraph" w:customStyle="1" w:styleId="f1">
    <w:name w:val="f1"/>
    <w:uiPriority w:val="99"/>
    <w:rsid w:val="005A33B6"/>
    <w:pPr>
      <w:widowControl w:val="0"/>
      <w:tabs>
        <w:tab w:val="left" w:pos="0"/>
      </w:tabs>
      <w:suppressAutoHyphens/>
    </w:pPr>
    <w:rPr>
      <w:rFonts w:ascii="CG Times" w:hAnsi="CG Times"/>
      <w:sz w:val="18"/>
    </w:rPr>
  </w:style>
  <w:style w:type="paragraph" w:styleId="MacroText">
    <w:name w:val="macro"/>
    <w:link w:val="MacroTextChar"/>
    <w:uiPriority w:val="99"/>
    <w:semiHidden/>
    <w:rsid w:val="005A33B6"/>
    <w:pPr>
      <w:widowControl w:val="0"/>
      <w:tabs>
        <w:tab w:val="left" w:pos="0"/>
        <w:tab w:val="left" w:pos="480"/>
        <w:tab w:val="left" w:pos="960"/>
        <w:tab w:val="left" w:pos="1440"/>
        <w:tab w:val="left" w:pos="1920"/>
        <w:tab w:val="left" w:pos="2400"/>
        <w:tab w:val="left" w:pos="2880"/>
        <w:tab w:val="left" w:pos="3360"/>
        <w:tab w:val="left" w:pos="3840"/>
        <w:tab w:val="left" w:pos="4320"/>
      </w:tabs>
      <w:suppressAutoHyphens/>
      <w:jc w:val="both"/>
    </w:pPr>
    <w:rPr>
      <w:rFonts w:ascii="Courier New" w:hAnsi="Courier New"/>
      <w:spacing w:val="-2"/>
      <w:sz w:val="18"/>
    </w:rPr>
  </w:style>
  <w:style w:type="character" w:customStyle="1" w:styleId="MacroTextChar">
    <w:name w:val="Macro Text Char"/>
    <w:link w:val="MacroText"/>
    <w:uiPriority w:val="99"/>
    <w:semiHidden/>
    <w:locked/>
    <w:rsid w:val="005A33B6"/>
    <w:rPr>
      <w:rFonts w:ascii="Courier New" w:hAnsi="Courier New" w:cs="Times New Roman"/>
      <w:spacing w:val="-2"/>
      <w:sz w:val="18"/>
      <w:lang w:val="en-US" w:eastAsia="en-US" w:bidi="ar-SA"/>
    </w:rPr>
  </w:style>
  <w:style w:type="paragraph" w:customStyle="1" w:styleId="SL-Indented">
    <w:name w:val="SL-Indented"/>
    <w:basedOn w:val="SL-FlLftSgl"/>
    <w:uiPriority w:val="99"/>
    <w:rsid w:val="00EF2729"/>
    <w:pPr>
      <w:ind w:left="230"/>
      <w:jc w:val="left"/>
    </w:pPr>
  </w:style>
  <w:style w:type="paragraph" w:customStyle="1" w:styleId="L1-FlLSp12">
    <w:name w:val="L1-FlL Sp&amp;1/2"/>
    <w:uiPriority w:val="99"/>
    <w:rsid w:val="00EF2729"/>
    <w:pPr>
      <w:tabs>
        <w:tab w:val="left" w:pos="1152"/>
      </w:tabs>
      <w:spacing w:line="360" w:lineRule="atLeast"/>
      <w:jc w:val="both"/>
    </w:pPr>
    <w:rPr>
      <w:sz w:val="22"/>
    </w:rPr>
  </w:style>
  <w:style w:type="paragraph" w:customStyle="1" w:styleId="E2-Equation">
    <w:name w:val="E2-Equation"/>
    <w:basedOn w:val="E1-Equation"/>
    <w:uiPriority w:val="99"/>
    <w:rsid w:val="00EF2729"/>
    <w:pPr>
      <w:tabs>
        <w:tab w:val="clear" w:pos="4680"/>
        <w:tab w:val="clear" w:pos="9360"/>
        <w:tab w:val="right" w:pos="1152"/>
        <w:tab w:val="center" w:pos="1440"/>
        <w:tab w:val="left" w:pos="1728"/>
      </w:tabs>
      <w:ind w:left="1728" w:hanging="1728"/>
    </w:pPr>
  </w:style>
  <w:style w:type="paragraph" w:customStyle="1" w:styleId="N3-3rdBullet">
    <w:name w:val="N3-3rd Bullet"/>
    <w:basedOn w:val="Normal"/>
    <w:uiPriority w:val="99"/>
    <w:rsid w:val="00EF2729"/>
    <w:pPr>
      <w:tabs>
        <w:tab w:val="left" w:pos="2304"/>
      </w:tabs>
      <w:spacing w:after="240"/>
      <w:ind w:left="2304" w:hanging="576"/>
    </w:pPr>
  </w:style>
  <w:style w:type="paragraph" w:customStyle="1" w:styleId="N4-4thBullet">
    <w:name w:val="N4-4th Bullet"/>
    <w:basedOn w:val="Normal"/>
    <w:uiPriority w:val="99"/>
    <w:rsid w:val="00EF2729"/>
    <w:pPr>
      <w:tabs>
        <w:tab w:val="left" w:pos="2880"/>
      </w:tabs>
      <w:spacing w:after="240"/>
      <w:ind w:left="2880" w:hanging="576"/>
    </w:pPr>
  </w:style>
  <w:style w:type="paragraph" w:customStyle="1" w:styleId="N5-5thBullet">
    <w:name w:val="N5-5th Bullet"/>
    <w:basedOn w:val="Normal"/>
    <w:uiPriority w:val="99"/>
    <w:rsid w:val="00EF2729"/>
    <w:pPr>
      <w:tabs>
        <w:tab w:val="left" w:pos="3456"/>
      </w:tabs>
      <w:spacing w:after="240"/>
      <w:ind w:left="3456" w:hanging="576"/>
    </w:pPr>
  </w:style>
  <w:style w:type="paragraph" w:customStyle="1" w:styleId="N6-DateInd">
    <w:name w:val="N6-Date Ind."/>
    <w:basedOn w:val="Normal"/>
    <w:uiPriority w:val="99"/>
    <w:rsid w:val="00EF2729"/>
    <w:pPr>
      <w:tabs>
        <w:tab w:val="left" w:pos="5400"/>
      </w:tabs>
      <w:ind w:left="5400"/>
    </w:pPr>
  </w:style>
  <w:style w:type="paragraph" w:customStyle="1" w:styleId="N7-3Block">
    <w:name w:val="N7-3&quot; Block"/>
    <w:basedOn w:val="Normal"/>
    <w:uiPriority w:val="99"/>
    <w:rsid w:val="00EF2729"/>
    <w:pPr>
      <w:tabs>
        <w:tab w:val="left" w:pos="1152"/>
      </w:tabs>
      <w:ind w:left="1152" w:right="1152"/>
    </w:pPr>
  </w:style>
  <w:style w:type="paragraph" w:customStyle="1" w:styleId="N8-QxQBlock">
    <w:name w:val="N8-QxQ Block"/>
    <w:uiPriority w:val="99"/>
    <w:rsid w:val="00EF2729"/>
    <w:pPr>
      <w:tabs>
        <w:tab w:val="left" w:pos="1152"/>
      </w:tabs>
      <w:spacing w:after="360" w:line="360" w:lineRule="atLeast"/>
      <w:ind w:left="1152" w:hanging="1152"/>
      <w:jc w:val="both"/>
    </w:pPr>
    <w:rPr>
      <w:sz w:val="22"/>
    </w:rPr>
  </w:style>
  <w:style w:type="paragraph" w:customStyle="1" w:styleId="Q1-BestFinQ">
    <w:name w:val="Q1-Best/Fin Q"/>
    <w:uiPriority w:val="99"/>
    <w:rsid w:val="00EF2729"/>
    <w:pPr>
      <w:tabs>
        <w:tab w:val="left" w:pos="1152"/>
      </w:tabs>
      <w:spacing w:after="360" w:line="240" w:lineRule="atLeast"/>
      <w:ind w:left="1152" w:hanging="1152"/>
      <w:jc w:val="both"/>
    </w:pPr>
    <w:rPr>
      <w:b/>
      <w:sz w:val="22"/>
    </w:rPr>
  </w:style>
  <w:style w:type="paragraph" w:customStyle="1" w:styleId="T0-ChapPgHd">
    <w:name w:val="T0-Chap/Pg Hd"/>
    <w:uiPriority w:val="99"/>
    <w:rsid w:val="00EF2729"/>
    <w:pPr>
      <w:tabs>
        <w:tab w:val="left" w:pos="8640"/>
      </w:tabs>
      <w:spacing w:line="240" w:lineRule="atLeast"/>
      <w:jc w:val="both"/>
    </w:pPr>
    <w:rPr>
      <w:sz w:val="22"/>
      <w:u w:val="words"/>
    </w:rPr>
  </w:style>
  <w:style w:type="paragraph" w:customStyle="1" w:styleId="CT-ContractInformation">
    <w:name w:val="CT-Contract Information"/>
    <w:uiPriority w:val="99"/>
    <w:rsid w:val="00EF2729"/>
    <w:pPr>
      <w:tabs>
        <w:tab w:val="left" w:pos="1958"/>
      </w:tabs>
      <w:spacing w:line="240" w:lineRule="exact"/>
    </w:pPr>
    <w:rPr>
      <w:vanish/>
      <w:sz w:val="22"/>
    </w:rPr>
  </w:style>
  <w:style w:type="paragraph" w:customStyle="1" w:styleId="R1-ResPara">
    <w:name w:val="R1-Res. Para"/>
    <w:uiPriority w:val="99"/>
    <w:rsid w:val="00EF2729"/>
    <w:pPr>
      <w:spacing w:line="240" w:lineRule="exact"/>
      <w:ind w:left="288"/>
      <w:jc w:val="both"/>
    </w:pPr>
    <w:rPr>
      <w:sz w:val="22"/>
    </w:rPr>
  </w:style>
  <w:style w:type="paragraph" w:customStyle="1" w:styleId="R2-ResBullet">
    <w:name w:val="R2-Res Bullet"/>
    <w:uiPriority w:val="99"/>
    <w:rsid w:val="00EF2729"/>
    <w:pPr>
      <w:tabs>
        <w:tab w:val="left" w:pos="720"/>
      </w:tabs>
      <w:spacing w:line="240" w:lineRule="exact"/>
      <w:ind w:left="720" w:hanging="432"/>
      <w:jc w:val="both"/>
    </w:pPr>
    <w:rPr>
      <w:sz w:val="22"/>
    </w:rPr>
  </w:style>
  <w:style w:type="paragraph" w:customStyle="1" w:styleId="RF-Reference">
    <w:name w:val="RF-Reference"/>
    <w:uiPriority w:val="99"/>
    <w:rsid w:val="00EF2729"/>
    <w:pPr>
      <w:spacing w:line="240" w:lineRule="exact"/>
      <w:ind w:left="216" w:hanging="216"/>
    </w:pPr>
    <w:rPr>
      <w:sz w:val="22"/>
    </w:rPr>
  </w:style>
  <w:style w:type="paragraph" w:customStyle="1" w:styleId="RH-SglSpHead">
    <w:name w:val="RH-Sgl Sp Head"/>
    <w:basedOn w:val="Normal"/>
    <w:next w:val="RL-FlLftSgl"/>
    <w:uiPriority w:val="99"/>
    <w:rsid w:val="00EF2729"/>
    <w:pPr>
      <w:keepNext/>
      <w:pBdr>
        <w:bottom w:val="double" w:sz="6" w:space="1" w:color="auto"/>
      </w:pBdr>
      <w:spacing w:after="480" w:line="240" w:lineRule="exact"/>
      <w:jc w:val="left"/>
    </w:pPr>
    <w:rPr>
      <w:b/>
    </w:rPr>
  </w:style>
  <w:style w:type="paragraph" w:customStyle="1" w:styleId="RL-FlLftSgl">
    <w:name w:val="RL-Fl Lft Sgl"/>
    <w:basedOn w:val="Normal"/>
    <w:uiPriority w:val="99"/>
    <w:rsid w:val="00EF2729"/>
    <w:pPr>
      <w:keepNext/>
      <w:spacing w:line="240" w:lineRule="exact"/>
    </w:pPr>
    <w:rPr>
      <w:b/>
    </w:rPr>
  </w:style>
  <w:style w:type="paragraph" w:customStyle="1" w:styleId="SU-FlLftUndln">
    <w:name w:val="SU-Fl Lft Undln"/>
    <w:uiPriority w:val="99"/>
    <w:rsid w:val="00EF2729"/>
    <w:pPr>
      <w:keepNext/>
      <w:spacing w:line="240" w:lineRule="exact"/>
    </w:pPr>
    <w:rPr>
      <w:sz w:val="22"/>
      <w:u w:val="single"/>
    </w:rPr>
  </w:style>
  <w:style w:type="paragraph" w:styleId="BalloonText">
    <w:name w:val="Balloon Text"/>
    <w:basedOn w:val="Normal"/>
    <w:link w:val="BalloonTextChar"/>
    <w:uiPriority w:val="99"/>
    <w:semiHidden/>
    <w:rsid w:val="005A33B6"/>
    <w:rPr>
      <w:rFonts w:ascii="Tahoma" w:hAnsi="Tahoma"/>
      <w:sz w:val="16"/>
    </w:rPr>
  </w:style>
  <w:style w:type="character" w:customStyle="1" w:styleId="BalloonTextChar">
    <w:name w:val="Balloon Text Char"/>
    <w:link w:val="BalloonText"/>
    <w:uiPriority w:val="99"/>
    <w:semiHidden/>
    <w:locked/>
    <w:rsid w:val="005A33B6"/>
    <w:rPr>
      <w:rFonts w:cs="Times New Roman"/>
      <w:sz w:val="2"/>
    </w:rPr>
  </w:style>
  <w:style w:type="character" w:customStyle="1" w:styleId="txtparagraph1">
    <w:name w:val="txtparagraph1"/>
    <w:uiPriority w:val="99"/>
    <w:rsid w:val="005A33B6"/>
    <w:rPr>
      <w:rFonts w:ascii="Arial" w:hAnsi="Arial" w:cs="Arial"/>
      <w:color w:val="333333"/>
      <w:sz w:val="18"/>
      <w:szCs w:val="18"/>
    </w:rPr>
  </w:style>
  <w:style w:type="paragraph" w:styleId="HTMLPreformatted">
    <w:name w:val="HTML Preformatted"/>
    <w:basedOn w:val="Normal"/>
    <w:link w:val="HTMLPreformattedChar"/>
    <w:uiPriority w:val="99"/>
    <w:rsid w:val="005A3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locked/>
    <w:rsid w:val="005A33B6"/>
    <w:rPr>
      <w:rFonts w:ascii="Courier New" w:hAnsi="Courier New" w:cs="Courier New"/>
    </w:rPr>
  </w:style>
  <w:style w:type="character" w:customStyle="1" w:styleId="txtfacultyphone1">
    <w:name w:val="txtfacultyphone1"/>
    <w:uiPriority w:val="99"/>
    <w:rsid w:val="005A33B6"/>
    <w:rPr>
      <w:rFonts w:ascii="Arial" w:hAnsi="Arial" w:cs="Arial"/>
      <w:color w:val="656565"/>
      <w:sz w:val="20"/>
      <w:szCs w:val="20"/>
    </w:rPr>
  </w:style>
  <w:style w:type="paragraph" w:customStyle="1" w:styleId="Exhibittitle">
    <w:name w:val="Exhibit title"/>
    <w:basedOn w:val="TT-TableTitle"/>
    <w:next w:val="SL-FlLftSgl"/>
    <w:autoRedefine/>
    <w:uiPriority w:val="99"/>
    <w:rsid w:val="005A33B6"/>
    <w:pPr>
      <w:ind w:firstLine="0"/>
      <w:jc w:val="center"/>
    </w:pPr>
  </w:style>
  <w:style w:type="paragraph" w:styleId="TOC5">
    <w:name w:val="toc 5"/>
    <w:basedOn w:val="TOC1"/>
    <w:uiPriority w:val="99"/>
    <w:rsid w:val="00EF2729"/>
    <w:rPr>
      <w:caps w:val="0"/>
    </w:rPr>
  </w:style>
  <w:style w:type="paragraph" w:styleId="TOC3">
    <w:name w:val="toc 3"/>
    <w:basedOn w:val="Normal"/>
    <w:uiPriority w:val="99"/>
    <w:rsid w:val="00EF2729"/>
    <w:pPr>
      <w:tabs>
        <w:tab w:val="left" w:pos="3024"/>
        <w:tab w:val="right" w:leader="dot" w:pos="8208"/>
        <w:tab w:val="left" w:pos="8640"/>
      </w:tabs>
      <w:ind w:left="3024" w:hanging="864"/>
      <w:jc w:val="left"/>
    </w:pPr>
  </w:style>
  <w:style w:type="paragraph" w:styleId="TOC4">
    <w:name w:val="toc 4"/>
    <w:basedOn w:val="Normal"/>
    <w:uiPriority w:val="99"/>
    <w:rsid w:val="00EF2729"/>
    <w:pPr>
      <w:tabs>
        <w:tab w:val="left" w:pos="3888"/>
        <w:tab w:val="right" w:leader="dot" w:pos="8208"/>
        <w:tab w:val="left" w:pos="8640"/>
      </w:tabs>
      <w:ind w:left="3888" w:hanging="864"/>
      <w:jc w:val="left"/>
    </w:pPr>
  </w:style>
  <w:style w:type="paragraph" w:styleId="NormalWeb">
    <w:name w:val="Normal (Web)"/>
    <w:basedOn w:val="Normal"/>
    <w:uiPriority w:val="99"/>
    <w:rsid w:val="005A33B6"/>
    <w:pPr>
      <w:spacing w:before="100" w:beforeAutospacing="1" w:after="100" w:afterAutospacing="1"/>
    </w:pPr>
    <w:rPr>
      <w:sz w:val="24"/>
      <w:szCs w:val="24"/>
    </w:rPr>
  </w:style>
  <w:style w:type="paragraph" w:styleId="TOC9">
    <w:name w:val="toc 9"/>
    <w:basedOn w:val="Normal"/>
    <w:next w:val="Normal"/>
    <w:uiPriority w:val="99"/>
    <w:rsid w:val="0063168A"/>
    <w:pPr>
      <w:ind w:left="1760"/>
    </w:pPr>
  </w:style>
  <w:style w:type="character" w:styleId="LineNumber">
    <w:name w:val="line number"/>
    <w:uiPriority w:val="99"/>
    <w:rsid w:val="005A33B6"/>
    <w:rPr>
      <w:rFonts w:cs="Times New Roman"/>
    </w:rPr>
  </w:style>
  <w:style w:type="character" w:customStyle="1" w:styleId="SD">
    <w:name w:val="SD"/>
    <w:uiPriority w:val="99"/>
    <w:rsid w:val="005A33B6"/>
    <w:rPr>
      <w:rFonts w:ascii="Arial" w:hAnsi="Arial" w:cs="Times New Roman"/>
      <w:sz w:val="20"/>
      <w:lang w:val="en-US"/>
    </w:rPr>
  </w:style>
  <w:style w:type="paragraph" w:customStyle="1" w:styleId="Q1">
    <w:name w:val="Q1"/>
    <w:uiPriority w:val="99"/>
    <w:rsid w:val="005A33B6"/>
    <w:pPr>
      <w:widowControl w:val="0"/>
      <w:tabs>
        <w:tab w:val="left" w:pos="0"/>
        <w:tab w:val="left" w:pos="1195"/>
      </w:tabs>
      <w:suppressAutoHyphens/>
      <w:ind w:left="1195" w:hanging="1195"/>
      <w:jc w:val="both"/>
    </w:pPr>
    <w:rPr>
      <w:rFonts w:ascii="CG Times" w:hAnsi="CG Times"/>
      <w:spacing w:val="-2"/>
      <w:sz w:val="22"/>
    </w:rPr>
  </w:style>
  <w:style w:type="character" w:customStyle="1" w:styleId="SC">
    <w:name w:val="SC"/>
    <w:uiPriority w:val="99"/>
    <w:rsid w:val="005A33B6"/>
    <w:rPr>
      <w:rFonts w:ascii="CG Times" w:hAnsi="CG Times" w:cs="Times New Roman"/>
      <w:smallCaps/>
      <w:sz w:val="22"/>
      <w:lang w:val="en-US"/>
    </w:rPr>
  </w:style>
  <w:style w:type="paragraph" w:styleId="Subtitle">
    <w:name w:val="Subtitle"/>
    <w:basedOn w:val="Normal"/>
    <w:link w:val="SubtitleChar"/>
    <w:uiPriority w:val="99"/>
    <w:qFormat/>
    <w:rsid w:val="005A33B6"/>
    <w:pPr>
      <w:tabs>
        <w:tab w:val="left" w:pos="-720"/>
        <w:tab w:val="left" w:pos="0"/>
        <w:tab w:val="left" w:pos="720"/>
        <w:tab w:val="left" w:pos="1440"/>
        <w:tab w:val="left" w:pos="2160"/>
        <w:tab w:val="right" w:leader="dot" w:pos="7200"/>
        <w:tab w:val="left" w:pos="7488"/>
      </w:tabs>
      <w:suppressAutoHyphens/>
      <w:ind w:right="-792"/>
    </w:pPr>
    <w:rPr>
      <w:rFonts w:ascii="Univers" w:hAnsi="Univers"/>
      <w:i/>
    </w:rPr>
  </w:style>
  <w:style w:type="character" w:customStyle="1" w:styleId="SubtitleChar">
    <w:name w:val="Subtitle Char"/>
    <w:link w:val="Subtitle"/>
    <w:uiPriority w:val="99"/>
    <w:locked/>
    <w:rsid w:val="005A33B6"/>
    <w:rPr>
      <w:rFonts w:ascii="Cambria" w:hAnsi="Cambria" w:cs="Times New Roman"/>
      <w:sz w:val="24"/>
      <w:szCs w:val="24"/>
    </w:rPr>
  </w:style>
  <w:style w:type="paragraph" w:styleId="BodyTextIndent3">
    <w:name w:val="Body Text Indent 3"/>
    <w:basedOn w:val="Normal"/>
    <w:link w:val="BodyTextIndent3Char"/>
    <w:uiPriority w:val="99"/>
    <w:rsid w:val="005A33B6"/>
    <w:pPr>
      <w:tabs>
        <w:tab w:val="left" w:pos="-720"/>
        <w:tab w:val="left" w:pos="0"/>
        <w:tab w:val="left" w:pos="720"/>
        <w:tab w:val="left" w:pos="1440"/>
        <w:tab w:val="left" w:pos="2160"/>
        <w:tab w:val="right" w:leader="dot" w:pos="7200"/>
        <w:tab w:val="left" w:pos="7488"/>
      </w:tabs>
      <w:suppressAutoHyphens/>
      <w:ind w:left="1440" w:hanging="1440"/>
    </w:pPr>
    <w:rPr>
      <w:rFonts w:ascii="Univers" w:hAnsi="Univers"/>
    </w:rPr>
  </w:style>
  <w:style w:type="character" w:customStyle="1" w:styleId="BodyTextIndent3Char">
    <w:name w:val="Body Text Indent 3 Char"/>
    <w:link w:val="BodyTextIndent3"/>
    <w:uiPriority w:val="99"/>
    <w:locked/>
    <w:rsid w:val="005A33B6"/>
    <w:rPr>
      <w:rFonts w:cs="Times New Roman"/>
      <w:sz w:val="16"/>
      <w:szCs w:val="16"/>
    </w:rPr>
  </w:style>
  <w:style w:type="paragraph" w:styleId="BlockText">
    <w:name w:val="Block Text"/>
    <w:basedOn w:val="Normal"/>
    <w:uiPriority w:val="99"/>
    <w:rsid w:val="005A33B6"/>
    <w:pPr>
      <w:pBdr>
        <w:top w:val="double" w:sz="4" w:space="1" w:color="auto"/>
        <w:left w:val="double" w:sz="4" w:space="4" w:color="auto"/>
        <w:bottom w:val="double" w:sz="4" w:space="1" w:color="auto"/>
        <w:right w:val="double" w:sz="4" w:space="4" w:color="auto"/>
      </w:pBdr>
      <w:tabs>
        <w:tab w:val="left" w:pos="-720"/>
        <w:tab w:val="left" w:pos="0"/>
        <w:tab w:val="left" w:pos="720"/>
        <w:tab w:val="left" w:pos="2160"/>
        <w:tab w:val="right" w:leader="dot" w:pos="7200"/>
        <w:tab w:val="left" w:pos="7488"/>
      </w:tabs>
      <w:suppressAutoHyphens/>
      <w:ind w:left="2160" w:right="2160"/>
      <w:jc w:val="center"/>
    </w:pPr>
    <w:rPr>
      <w:rFonts w:ascii="Arial" w:hAnsi="Arial"/>
      <w:i/>
    </w:rPr>
  </w:style>
  <w:style w:type="paragraph" w:styleId="BodyText3">
    <w:name w:val="Body Text 3"/>
    <w:basedOn w:val="Normal"/>
    <w:link w:val="BodyText3Char"/>
    <w:uiPriority w:val="99"/>
    <w:rsid w:val="005A33B6"/>
    <w:pPr>
      <w:tabs>
        <w:tab w:val="left" w:pos="-720"/>
        <w:tab w:val="left" w:pos="0"/>
        <w:tab w:val="left" w:pos="720"/>
        <w:tab w:val="left" w:pos="1440"/>
        <w:tab w:val="left" w:pos="2160"/>
        <w:tab w:val="right" w:leader="dot" w:pos="7200"/>
        <w:tab w:val="left" w:pos="7488"/>
      </w:tabs>
      <w:suppressAutoHyphens/>
      <w:ind w:right="72"/>
    </w:pPr>
    <w:rPr>
      <w:rFonts w:ascii="Arial" w:hAnsi="Arial"/>
      <w:sz w:val="16"/>
    </w:rPr>
  </w:style>
  <w:style w:type="character" w:customStyle="1" w:styleId="BodyText3Char">
    <w:name w:val="Body Text 3 Char"/>
    <w:link w:val="BodyText3"/>
    <w:uiPriority w:val="99"/>
    <w:locked/>
    <w:rsid w:val="005A33B6"/>
    <w:rPr>
      <w:rFonts w:cs="Times New Roman"/>
      <w:sz w:val="16"/>
      <w:szCs w:val="16"/>
    </w:rPr>
  </w:style>
  <w:style w:type="character" w:customStyle="1" w:styleId="kwang">
    <w:name w:val="kwang"/>
    <w:uiPriority w:val="99"/>
    <w:rsid w:val="005A33B6"/>
    <w:rPr>
      <w:rFonts w:ascii="Arial" w:hAnsi="Arial" w:cs="Times New Roman"/>
      <w:b/>
      <w:smallCaps/>
      <w:sz w:val="20"/>
    </w:rPr>
  </w:style>
  <w:style w:type="paragraph" w:customStyle="1" w:styleId="C1-CtrSglSp">
    <w:name w:val="C1-Ctr Sgl Sp"/>
    <w:uiPriority w:val="99"/>
    <w:rsid w:val="005A33B6"/>
    <w:pPr>
      <w:keepLines/>
      <w:spacing w:line="240" w:lineRule="atLeast"/>
      <w:jc w:val="center"/>
    </w:pPr>
    <w:rPr>
      <w:rFonts w:ascii="CG Times (WN)" w:hAnsi="CG Times (WN)"/>
      <w:sz w:val="22"/>
    </w:rPr>
  </w:style>
  <w:style w:type="paragraph" w:customStyle="1" w:styleId="N9-DateInd">
    <w:name w:val="N9-Date Ind."/>
    <w:uiPriority w:val="99"/>
    <w:rsid w:val="005A33B6"/>
    <w:pPr>
      <w:tabs>
        <w:tab w:val="left" w:pos="5400"/>
      </w:tabs>
      <w:spacing w:line="240" w:lineRule="atLeast"/>
      <w:ind w:left="6005" w:hanging="605"/>
      <w:jc w:val="both"/>
    </w:pPr>
    <w:rPr>
      <w:rFonts w:ascii="CG Times (WN)" w:hAnsi="CG Times (WN)"/>
      <w:sz w:val="22"/>
    </w:rPr>
  </w:style>
  <w:style w:type="character" w:styleId="Emphasis">
    <w:name w:val="Emphasis"/>
    <w:uiPriority w:val="99"/>
    <w:qFormat/>
    <w:rsid w:val="005A33B6"/>
    <w:rPr>
      <w:rFonts w:cs="Times New Roman"/>
      <w:i/>
    </w:rPr>
  </w:style>
  <w:style w:type="paragraph" w:customStyle="1" w:styleId="FootnoteText1">
    <w:name w:val="Footnote Text1"/>
    <w:uiPriority w:val="99"/>
    <w:rsid w:val="005A33B6"/>
    <w:pPr>
      <w:widowControl w:val="0"/>
      <w:suppressAutoHyphens/>
    </w:pPr>
    <w:rPr>
      <w:rFonts w:ascii="Modern" w:hAnsi="Modern"/>
    </w:rPr>
  </w:style>
  <w:style w:type="paragraph" w:styleId="EnvelopeReturn">
    <w:name w:val="envelope return"/>
    <w:basedOn w:val="Normal"/>
    <w:uiPriority w:val="99"/>
    <w:rsid w:val="005A33B6"/>
    <w:pPr>
      <w:widowControl w:val="0"/>
      <w:tabs>
        <w:tab w:val="left" w:pos="-720"/>
      </w:tabs>
      <w:suppressAutoHyphens/>
    </w:pPr>
    <w:rPr>
      <w:spacing w:val="-2"/>
    </w:rPr>
  </w:style>
  <w:style w:type="paragraph" w:customStyle="1" w:styleId="Footnoterefer">
    <w:name w:val="Footnote refer"/>
    <w:uiPriority w:val="99"/>
    <w:rsid w:val="005A33B6"/>
    <w:pPr>
      <w:tabs>
        <w:tab w:val="left" w:pos="-720"/>
      </w:tabs>
      <w:suppressAutoHyphens/>
    </w:pPr>
    <w:rPr>
      <w:rFonts w:ascii="Modern" w:hAnsi="Modern"/>
      <w:sz w:val="18"/>
      <w:vertAlign w:val="superscript"/>
    </w:rPr>
  </w:style>
  <w:style w:type="paragraph" w:customStyle="1" w:styleId="F2-Footnote2">
    <w:name w:val="F2-Footnote2"/>
    <w:uiPriority w:val="99"/>
    <w:rsid w:val="005A33B6"/>
    <w:pPr>
      <w:tabs>
        <w:tab w:val="left" w:pos="0"/>
        <w:tab w:val="left" w:pos="240"/>
        <w:tab w:val="left" w:pos="720"/>
      </w:tabs>
      <w:suppressAutoHyphens/>
      <w:jc w:val="both"/>
    </w:pPr>
    <w:rPr>
      <w:spacing w:val="-2"/>
      <w:sz w:val="16"/>
    </w:rPr>
  </w:style>
  <w:style w:type="character" w:customStyle="1" w:styleId="MTEquationSection">
    <w:name w:val="MTEquationSection"/>
    <w:uiPriority w:val="99"/>
    <w:rsid w:val="005A33B6"/>
    <w:rPr>
      <w:rFonts w:cs="Times New Roman"/>
      <w:b/>
      <w:vanish/>
      <w:color w:val="FF0000"/>
    </w:rPr>
  </w:style>
  <w:style w:type="character" w:customStyle="1" w:styleId="P1-StandParaChar">
    <w:name w:val="P1-Stand Para Char"/>
    <w:uiPriority w:val="99"/>
    <w:rsid w:val="005A33B6"/>
    <w:rPr>
      <w:rFonts w:cs="Times New Roman"/>
      <w:sz w:val="22"/>
      <w:lang w:val="en-US" w:eastAsia="en-US" w:bidi="ar-SA"/>
    </w:rPr>
  </w:style>
  <w:style w:type="paragraph" w:styleId="PlainText">
    <w:name w:val="Plain Text"/>
    <w:basedOn w:val="Normal"/>
    <w:link w:val="PlainTextChar"/>
    <w:uiPriority w:val="99"/>
    <w:rsid w:val="005A33B6"/>
    <w:rPr>
      <w:rFonts w:ascii="Courier New" w:hAnsi="Courier New" w:cs="Courier New"/>
    </w:rPr>
  </w:style>
  <w:style w:type="character" w:customStyle="1" w:styleId="PlainTextChar">
    <w:name w:val="Plain Text Char"/>
    <w:link w:val="PlainText"/>
    <w:uiPriority w:val="99"/>
    <w:locked/>
    <w:rsid w:val="005A33B6"/>
    <w:rPr>
      <w:rFonts w:ascii="Courier New" w:hAnsi="Courier New" w:cs="Courier New"/>
    </w:rPr>
  </w:style>
  <w:style w:type="paragraph" w:customStyle="1" w:styleId="FootnoteTable">
    <w:name w:val="Footnote Table"/>
    <w:basedOn w:val="FootnoteText"/>
    <w:uiPriority w:val="99"/>
    <w:rsid w:val="005A33B6"/>
    <w:pPr>
      <w:spacing w:line="240" w:lineRule="atLeast"/>
    </w:pPr>
    <w:rPr>
      <w:sz w:val="22"/>
    </w:rPr>
  </w:style>
  <w:style w:type="paragraph" w:customStyle="1" w:styleId="CharCharCharCharCharCharCharChar">
    <w:name w:val="Char Char Char Char Char Char Char Char"/>
    <w:basedOn w:val="Normal"/>
    <w:uiPriority w:val="99"/>
    <w:rsid w:val="005A33B6"/>
    <w:pPr>
      <w:spacing w:before="80" w:after="80"/>
      <w:ind w:left="4320"/>
    </w:pPr>
    <w:rPr>
      <w:rFonts w:ascii="Arial" w:hAnsi="Arial"/>
      <w:szCs w:val="24"/>
    </w:rPr>
  </w:style>
  <w:style w:type="character" w:customStyle="1" w:styleId="N1-1stBulletChar">
    <w:name w:val="N1-1st Bullet Char"/>
    <w:uiPriority w:val="99"/>
    <w:rsid w:val="005A33B6"/>
    <w:rPr>
      <w:rFonts w:cs="Times New Roman"/>
      <w:sz w:val="22"/>
      <w:lang w:val="en-US" w:eastAsia="en-US" w:bidi="ar-SA"/>
    </w:rPr>
  </w:style>
  <w:style w:type="character" w:styleId="Strong">
    <w:name w:val="Strong"/>
    <w:uiPriority w:val="99"/>
    <w:qFormat/>
    <w:rsid w:val="005A33B6"/>
    <w:rPr>
      <w:rFonts w:cs="Times New Roman"/>
      <w:b/>
      <w:bCs/>
    </w:rPr>
  </w:style>
  <w:style w:type="character" w:customStyle="1" w:styleId="contentpage-bodytext1">
    <w:name w:val="contentpage-bodytext1"/>
    <w:uiPriority w:val="99"/>
    <w:rsid w:val="005A33B6"/>
    <w:rPr>
      <w:rFonts w:ascii="Georgia" w:hAnsi="Georgia" w:cs="Times New Roman"/>
      <w:color w:val="3A3838"/>
      <w:sz w:val="20"/>
      <w:szCs w:val="20"/>
    </w:rPr>
  </w:style>
  <w:style w:type="paragraph" w:customStyle="1" w:styleId="Default">
    <w:name w:val="Default"/>
    <w:uiPriority w:val="99"/>
    <w:rsid w:val="005A33B6"/>
    <w:pPr>
      <w:autoSpaceDE w:val="0"/>
      <w:autoSpaceDN w:val="0"/>
      <w:adjustRightInd w:val="0"/>
    </w:pPr>
    <w:rPr>
      <w:rFonts w:ascii="TimesNewRoman" w:hAnsi="TimesNewRoman" w:cs="TimesNewRoman"/>
    </w:rPr>
  </w:style>
  <w:style w:type="character" w:styleId="CommentReference">
    <w:name w:val="annotation reference"/>
    <w:uiPriority w:val="99"/>
    <w:semiHidden/>
    <w:rsid w:val="005A33B6"/>
    <w:rPr>
      <w:rFonts w:cs="Times New Roman"/>
      <w:sz w:val="16"/>
      <w:szCs w:val="16"/>
    </w:rPr>
  </w:style>
  <w:style w:type="paragraph" w:styleId="CommentText">
    <w:name w:val="annotation text"/>
    <w:basedOn w:val="Normal"/>
    <w:link w:val="CommentTextChar"/>
    <w:uiPriority w:val="99"/>
    <w:semiHidden/>
    <w:rsid w:val="005A33B6"/>
  </w:style>
  <w:style w:type="character" w:customStyle="1" w:styleId="CommentTextChar">
    <w:name w:val="Comment Text Char"/>
    <w:link w:val="CommentText"/>
    <w:uiPriority w:val="99"/>
    <w:locked/>
    <w:rsid w:val="005A33B6"/>
    <w:rPr>
      <w:rFonts w:cs="Times New Roman"/>
    </w:rPr>
  </w:style>
  <w:style w:type="paragraph" w:styleId="CommentSubject">
    <w:name w:val="annotation subject"/>
    <w:basedOn w:val="CommentText"/>
    <w:next w:val="CommentText"/>
    <w:link w:val="CommentSubjectChar"/>
    <w:uiPriority w:val="99"/>
    <w:semiHidden/>
    <w:rsid w:val="005A33B6"/>
    <w:rPr>
      <w:b/>
      <w:bCs/>
    </w:rPr>
  </w:style>
  <w:style w:type="character" w:customStyle="1" w:styleId="CommentSubjectChar">
    <w:name w:val="Comment Subject Char"/>
    <w:link w:val="CommentSubject"/>
    <w:uiPriority w:val="99"/>
    <w:semiHidden/>
    <w:locked/>
    <w:rsid w:val="005A33B6"/>
    <w:rPr>
      <w:rFonts w:cs="Times New Roman"/>
      <w:b/>
      <w:bCs/>
    </w:rPr>
  </w:style>
  <w:style w:type="paragraph" w:styleId="Revision">
    <w:name w:val="Revision"/>
    <w:hidden/>
    <w:uiPriority w:val="99"/>
    <w:semiHidden/>
    <w:rsid w:val="0010290A"/>
  </w:style>
  <w:style w:type="table" w:styleId="TableGrid">
    <w:name w:val="Table Grid"/>
    <w:aliases w:val="Table NCES"/>
    <w:basedOn w:val="TableNormal"/>
    <w:uiPriority w:val="99"/>
    <w:rsid w:val="00EF2729"/>
    <w:pPr>
      <w:spacing w:line="240" w:lineRule="atLeast"/>
      <w:jc w:val="both"/>
    </w:pPr>
    <w:tblPr>
      <w:tblInd w:w="0" w:type="dxa"/>
      <w:tblBorders>
        <w:top w:val="single" w:sz="24" w:space="0" w:color="auto"/>
        <w:bottom w:val="single" w:sz="24" w:space="0" w:color="auto"/>
      </w:tblBorders>
      <w:tblCellMar>
        <w:top w:w="0" w:type="dxa"/>
        <w:left w:w="108" w:type="dxa"/>
        <w:bottom w:w="0" w:type="dxa"/>
        <w:right w:w="108" w:type="dxa"/>
      </w:tblCellMar>
    </w:tblPr>
  </w:style>
  <w:style w:type="table" w:customStyle="1" w:styleId="TableWestatStandardFormat">
    <w:name w:val="Table Westat Standard Format"/>
    <w:uiPriority w:val="99"/>
    <w:rsid w:val="001A6E86"/>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styleId="TOC6">
    <w:name w:val="toc 6"/>
    <w:basedOn w:val="Normal"/>
    <w:next w:val="Normal"/>
    <w:uiPriority w:val="99"/>
    <w:rsid w:val="0063168A"/>
    <w:pPr>
      <w:ind w:left="1100"/>
    </w:pPr>
  </w:style>
  <w:style w:type="paragraph" w:styleId="TOC7">
    <w:name w:val="toc 7"/>
    <w:basedOn w:val="Normal"/>
    <w:next w:val="Normal"/>
    <w:uiPriority w:val="99"/>
    <w:rsid w:val="0063168A"/>
    <w:pPr>
      <w:ind w:left="1320"/>
    </w:pPr>
  </w:style>
  <w:style w:type="paragraph" w:styleId="TOC8">
    <w:name w:val="toc 8"/>
    <w:basedOn w:val="Normal"/>
    <w:next w:val="Normal"/>
    <w:uiPriority w:val="99"/>
    <w:rsid w:val="0063168A"/>
    <w:pPr>
      <w:ind w:left="1540"/>
    </w:pPr>
  </w:style>
  <w:style w:type="paragraph" w:customStyle="1" w:styleId="Table-Footnote">
    <w:name w:val="Table-Footnote"/>
    <w:basedOn w:val="SL-FlLftSgl"/>
    <w:uiPriority w:val="99"/>
    <w:rsid w:val="00EF2729"/>
    <w:pPr>
      <w:spacing w:line="240" w:lineRule="auto"/>
      <w:jc w:val="left"/>
    </w:pPr>
  </w:style>
  <w:style w:type="table" w:customStyle="1" w:styleId="NCES">
    <w:name w:val="NCES"/>
    <w:uiPriority w:val="99"/>
    <w:rsid w:val="00570129"/>
    <w:tblPr>
      <w:tblInd w:w="0" w:type="dxa"/>
      <w:tblBorders>
        <w:top w:val="single" w:sz="24" w:space="0" w:color="auto"/>
        <w:bottom w:val="single" w:sz="24" w:space="0" w:color="auto"/>
      </w:tblBorders>
      <w:tblCellMar>
        <w:top w:w="0" w:type="dxa"/>
        <w:left w:w="108" w:type="dxa"/>
        <w:bottom w:w="0" w:type="dxa"/>
        <w:right w:w="108" w:type="dxa"/>
      </w:tblCellMar>
    </w:tblPr>
  </w:style>
  <w:style w:type="paragraph" w:customStyle="1" w:styleId="Q1-FirstLevelQuestion">
    <w:name w:val="Q1-First Level Question"/>
    <w:uiPriority w:val="99"/>
    <w:rsid w:val="006707E8"/>
    <w:pPr>
      <w:tabs>
        <w:tab w:val="left" w:pos="1440"/>
      </w:tabs>
      <w:spacing w:line="240" w:lineRule="atLeast"/>
      <w:ind w:left="1440" w:hanging="1440"/>
      <w:jc w:val="both"/>
    </w:pPr>
    <w:rPr>
      <w:rFonts w:ascii="Arial" w:hAnsi="Arial"/>
    </w:rPr>
  </w:style>
  <w:style w:type="paragraph" w:customStyle="1" w:styleId="A0">
    <w:name w:val="A0"/>
    <w:basedOn w:val="Normal"/>
    <w:uiPriority w:val="99"/>
    <w:rsid w:val="006707E8"/>
    <w:pPr>
      <w:tabs>
        <w:tab w:val="left" w:pos="3600"/>
        <w:tab w:val="right" w:leader="dot" w:pos="7200"/>
        <w:tab w:val="right" w:pos="7488"/>
        <w:tab w:val="left" w:pos="7632"/>
      </w:tabs>
      <w:jc w:val="left"/>
    </w:pPr>
    <w:rPr>
      <w:rFonts w:ascii="Arial" w:hAnsi="Arial"/>
      <w:sz w:val="20"/>
    </w:rPr>
  </w:style>
  <w:style w:type="paragraph" w:customStyle="1" w:styleId="A5-2ndLeader">
    <w:name w:val="A5-2nd Leader"/>
    <w:uiPriority w:val="99"/>
    <w:rsid w:val="00F07BED"/>
    <w:pPr>
      <w:tabs>
        <w:tab w:val="right" w:leader="dot" w:pos="7200"/>
        <w:tab w:val="right" w:pos="7488"/>
        <w:tab w:val="left" w:pos="7632"/>
      </w:tabs>
      <w:spacing w:line="240" w:lineRule="atLeast"/>
      <w:ind w:left="3600"/>
    </w:pPr>
    <w:rPr>
      <w:rFonts w:ascii="Arial" w:hAnsi="Arial"/>
    </w:rPr>
  </w:style>
  <w:style w:type="paragraph" w:customStyle="1" w:styleId="A1-1stLeader">
    <w:name w:val="A1-1st Leader"/>
    <w:uiPriority w:val="99"/>
    <w:rsid w:val="00384B51"/>
    <w:pPr>
      <w:tabs>
        <w:tab w:val="right" w:leader="dot" w:pos="7200"/>
        <w:tab w:val="right" w:pos="7488"/>
        <w:tab w:val="left" w:pos="7632"/>
      </w:tabs>
      <w:spacing w:line="240" w:lineRule="atLeast"/>
      <w:ind w:left="1440"/>
    </w:pPr>
    <w:rPr>
      <w:rFonts w:ascii="Arial" w:hAnsi="Arial"/>
    </w:rPr>
  </w:style>
  <w:style w:type="character" w:customStyle="1" w:styleId="SL-FlLftSglChar">
    <w:name w:val="SL-Fl Lft Sgl Char"/>
    <w:link w:val="SL-FlLftSgl"/>
    <w:uiPriority w:val="99"/>
    <w:locked/>
    <w:rsid w:val="004D76BF"/>
    <w:rPr>
      <w:rFonts w:cs="Times New Roman"/>
      <w:sz w:val="22"/>
      <w:lang w:val="en-US" w:eastAsia="en-US" w:bidi="ar-SA"/>
    </w:rPr>
  </w:style>
  <w:style w:type="paragraph" w:customStyle="1" w:styleId="TH-TableHeading">
    <w:name w:val="TH-Table Heading"/>
    <w:basedOn w:val="Heading1"/>
    <w:uiPriority w:val="99"/>
    <w:rsid w:val="009D41B3"/>
    <w:pPr>
      <w:tabs>
        <w:tab w:val="clear" w:pos="1152"/>
      </w:tabs>
      <w:spacing w:after="0" w:line="240" w:lineRule="atLeast"/>
      <w:ind w:left="0" w:firstLine="0"/>
      <w:jc w:val="center"/>
    </w:pPr>
    <w:rPr>
      <w:rFonts w:ascii="Arial" w:hAnsi="Arial" w:cs="Arial"/>
      <w:sz w:val="18"/>
      <w:szCs w:val="18"/>
    </w:rPr>
  </w:style>
  <w:style w:type="paragraph" w:customStyle="1" w:styleId="TX-TableText">
    <w:name w:val="TX-Table Text"/>
    <w:basedOn w:val="Normal"/>
    <w:uiPriority w:val="99"/>
    <w:rsid w:val="009D41B3"/>
    <w:rPr>
      <w:rFonts w:ascii="Arial" w:hAnsi="Arial"/>
      <w:sz w:val="18"/>
      <w:szCs w:val="18"/>
    </w:rPr>
  </w:style>
  <w:style w:type="paragraph" w:customStyle="1" w:styleId="Heading0">
    <w:name w:val="Heading 0"/>
    <w:aliases w:val="H0-Chap Head"/>
    <w:basedOn w:val="Heading1"/>
    <w:uiPriority w:val="99"/>
    <w:rsid w:val="009D41B3"/>
    <w:pPr>
      <w:tabs>
        <w:tab w:val="clear" w:pos="1152"/>
      </w:tabs>
      <w:spacing w:after="0"/>
      <w:ind w:left="0" w:firstLine="0"/>
      <w:jc w:val="right"/>
    </w:pPr>
    <w:rPr>
      <w:rFonts w:ascii="Arial" w:hAnsi="Arial"/>
      <w:color w:val="324162"/>
      <w:sz w:val="40"/>
    </w:rPr>
  </w:style>
  <w:style w:type="paragraph" w:customStyle="1" w:styleId="Header-1">
    <w:name w:val="Header-1"/>
    <w:basedOn w:val="Heading1"/>
    <w:uiPriority w:val="99"/>
    <w:rsid w:val="009D41B3"/>
    <w:pPr>
      <w:tabs>
        <w:tab w:val="clear" w:pos="1152"/>
      </w:tabs>
      <w:spacing w:after="0" w:line="240" w:lineRule="atLeast"/>
      <w:ind w:left="0" w:firstLine="0"/>
      <w:jc w:val="right"/>
    </w:pPr>
    <w:rPr>
      <w:rFonts w:ascii="Arial" w:hAnsi="Arial"/>
      <w:color w:val="324162"/>
      <w:sz w:val="20"/>
    </w:rPr>
  </w:style>
  <w:style w:type="paragraph" w:customStyle="1" w:styleId="TC-TableofContentsHeading">
    <w:name w:val="TC-Table of Contents Heading"/>
    <w:basedOn w:val="Heading1"/>
    <w:next w:val="T0-ChapPgHd"/>
    <w:uiPriority w:val="99"/>
    <w:rsid w:val="009D41B3"/>
    <w:pPr>
      <w:pBdr>
        <w:bottom w:val="single" w:sz="24" w:space="1" w:color="AFBED7"/>
      </w:pBdr>
      <w:tabs>
        <w:tab w:val="clear" w:pos="1152"/>
      </w:tabs>
      <w:spacing w:after="720"/>
      <w:ind w:left="6869" w:firstLine="0"/>
      <w:jc w:val="center"/>
    </w:pPr>
    <w:rPr>
      <w:rFonts w:ascii="Arial" w:hAnsi="Arial"/>
      <w:color w:val="324162"/>
      <w:sz w:val="32"/>
    </w:rPr>
  </w:style>
  <w:style w:type="paragraph" w:customStyle="1" w:styleId="R0-FLLftSglBoldItalic">
    <w:name w:val="R0-FL Lft Sgl Bold Italic"/>
    <w:basedOn w:val="Heading1"/>
    <w:uiPriority w:val="99"/>
    <w:rsid w:val="009D41B3"/>
    <w:pPr>
      <w:tabs>
        <w:tab w:val="clear" w:pos="1152"/>
      </w:tabs>
      <w:spacing w:after="0" w:line="240" w:lineRule="atLeast"/>
      <w:ind w:left="0" w:firstLine="0"/>
    </w:pPr>
    <w:rPr>
      <w:rFonts w:ascii="Arial" w:hAnsi="Arial" w:cs="Times New Roman Bold"/>
      <w:b w:val="0"/>
      <w:i/>
      <w:sz w:val="24"/>
    </w:rPr>
  </w:style>
  <w:style w:type="paragraph" w:customStyle="1" w:styleId="TF-TblFN">
    <w:name w:val="TF-Tbl FN"/>
    <w:basedOn w:val="FootnoteText"/>
    <w:uiPriority w:val="99"/>
    <w:rsid w:val="009D41B3"/>
    <w:pPr>
      <w:spacing w:before="120"/>
      <w:ind w:left="115" w:hanging="115"/>
      <w:jc w:val="left"/>
    </w:pPr>
    <w:rPr>
      <w:rFonts w:ascii="Arial" w:hAnsi="Arial"/>
      <w:szCs w:val="16"/>
    </w:rPr>
  </w:style>
  <w:style w:type="paragraph" w:customStyle="1" w:styleId="CM1">
    <w:name w:val="CM1"/>
    <w:basedOn w:val="Default"/>
    <w:next w:val="Default"/>
    <w:uiPriority w:val="99"/>
    <w:rsid w:val="00543C01"/>
    <w:pPr>
      <w:widowControl w:val="0"/>
    </w:pPr>
    <w:rPr>
      <w:rFonts w:ascii="Times New Roman" w:hAnsi="Times New Roman" w:cs="Times New Roman"/>
      <w:sz w:val="24"/>
      <w:szCs w:val="24"/>
    </w:rPr>
  </w:style>
  <w:style w:type="paragraph" w:customStyle="1" w:styleId="CM3">
    <w:name w:val="CM3"/>
    <w:basedOn w:val="Default"/>
    <w:next w:val="Default"/>
    <w:uiPriority w:val="99"/>
    <w:rsid w:val="00543C01"/>
    <w:pPr>
      <w:widowControl w:val="0"/>
    </w:pPr>
    <w:rPr>
      <w:rFonts w:ascii="Times New Roman" w:hAnsi="Times New Roman" w:cs="Times New Roman"/>
      <w:sz w:val="24"/>
      <w:szCs w:val="24"/>
    </w:rPr>
  </w:style>
  <w:style w:type="paragraph" w:customStyle="1" w:styleId="CM4">
    <w:name w:val="CM4"/>
    <w:basedOn w:val="Default"/>
    <w:next w:val="Default"/>
    <w:uiPriority w:val="99"/>
    <w:rsid w:val="00543C01"/>
    <w:pPr>
      <w:widowControl w:val="0"/>
    </w:pPr>
    <w:rPr>
      <w:rFonts w:ascii="Times New Roman" w:hAnsi="Times New Roman" w:cs="Times New Roman"/>
      <w:sz w:val="24"/>
      <w:szCs w:val="24"/>
    </w:rPr>
  </w:style>
  <w:style w:type="paragraph" w:customStyle="1" w:styleId="CM5">
    <w:name w:val="CM5"/>
    <w:basedOn w:val="Default"/>
    <w:next w:val="Default"/>
    <w:uiPriority w:val="99"/>
    <w:rsid w:val="00543C01"/>
    <w:pPr>
      <w:widowControl w:val="0"/>
    </w:pPr>
    <w:rPr>
      <w:rFonts w:ascii="Times New Roman" w:hAnsi="Times New Roman" w:cs="Times New Roman"/>
      <w:sz w:val="24"/>
      <w:szCs w:val="24"/>
    </w:rPr>
  </w:style>
  <w:style w:type="character" w:customStyle="1" w:styleId="apple-converted-space">
    <w:name w:val="apple-converted-space"/>
    <w:rsid w:val="00375E47"/>
  </w:style>
  <w:style w:type="paragraph" w:styleId="NoSpacing">
    <w:name w:val="No Spacing"/>
    <w:uiPriority w:val="1"/>
    <w:qFormat/>
    <w:rsid w:val="00340C9D"/>
    <w:pPr>
      <w:jc w:val="both"/>
    </w:pPr>
    <w:rPr>
      <w:sz w:val="22"/>
    </w:rPr>
  </w:style>
  <w:style w:type="paragraph" w:styleId="EndnoteText">
    <w:name w:val="endnote text"/>
    <w:basedOn w:val="Normal"/>
    <w:link w:val="EndnoteTextChar"/>
    <w:uiPriority w:val="99"/>
    <w:semiHidden/>
    <w:unhideWhenUsed/>
    <w:locked/>
    <w:rsid w:val="004A66C3"/>
    <w:pPr>
      <w:spacing w:line="240" w:lineRule="auto"/>
    </w:pPr>
    <w:rPr>
      <w:sz w:val="20"/>
    </w:rPr>
  </w:style>
  <w:style w:type="character" w:customStyle="1" w:styleId="EndnoteTextChar">
    <w:name w:val="Endnote Text Char"/>
    <w:basedOn w:val="DefaultParagraphFont"/>
    <w:link w:val="EndnoteText"/>
    <w:uiPriority w:val="99"/>
    <w:semiHidden/>
    <w:rsid w:val="004A66C3"/>
  </w:style>
  <w:style w:type="character" w:styleId="EndnoteReference">
    <w:name w:val="endnote reference"/>
    <w:basedOn w:val="DefaultParagraphFont"/>
    <w:uiPriority w:val="99"/>
    <w:semiHidden/>
    <w:unhideWhenUsed/>
    <w:locked/>
    <w:rsid w:val="004A66C3"/>
    <w:rPr>
      <w:vertAlign w:val="superscript"/>
    </w:rPr>
  </w:style>
  <w:style w:type="paragraph" w:styleId="ListParagraph">
    <w:name w:val="List Paragraph"/>
    <w:basedOn w:val="Normal"/>
    <w:uiPriority w:val="34"/>
    <w:qFormat/>
    <w:rsid w:val="00854191"/>
    <w:pPr>
      <w:spacing w:after="200" w:line="276" w:lineRule="auto"/>
      <w:ind w:left="720"/>
      <w:contextualSpacing/>
      <w:jc w:val="left"/>
    </w:pPr>
    <w:rPr>
      <w:rFonts w:asciiTheme="minorHAnsi" w:eastAsiaTheme="minorHAnsi"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092728">
      <w:bodyDiv w:val="1"/>
      <w:marLeft w:val="0"/>
      <w:marRight w:val="0"/>
      <w:marTop w:val="0"/>
      <w:marBottom w:val="0"/>
      <w:divBdr>
        <w:top w:val="none" w:sz="0" w:space="0" w:color="auto"/>
        <w:left w:val="none" w:sz="0" w:space="0" w:color="auto"/>
        <w:bottom w:val="none" w:sz="0" w:space="0" w:color="auto"/>
        <w:right w:val="none" w:sz="0" w:space="0" w:color="auto"/>
      </w:divBdr>
    </w:div>
    <w:div w:id="256332371">
      <w:bodyDiv w:val="1"/>
      <w:marLeft w:val="0"/>
      <w:marRight w:val="0"/>
      <w:marTop w:val="0"/>
      <w:marBottom w:val="0"/>
      <w:divBdr>
        <w:top w:val="none" w:sz="0" w:space="0" w:color="auto"/>
        <w:left w:val="none" w:sz="0" w:space="0" w:color="auto"/>
        <w:bottom w:val="none" w:sz="0" w:space="0" w:color="auto"/>
        <w:right w:val="none" w:sz="0" w:space="0" w:color="auto"/>
      </w:divBdr>
    </w:div>
    <w:div w:id="303388760">
      <w:bodyDiv w:val="1"/>
      <w:marLeft w:val="0"/>
      <w:marRight w:val="0"/>
      <w:marTop w:val="0"/>
      <w:marBottom w:val="0"/>
      <w:divBdr>
        <w:top w:val="none" w:sz="0" w:space="0" w:color="auto"/>
        <w:left w:val="none" w:sz="0" w:space="0" w:color="auto"/>
        <w:bottom w:val="none" w:sz="0" w:space="0" w:color="auto"/>
        <w:right w:val="none" w:sz="0" w:space="0" w:color="auto"/>
      </w:divBdr>
    </w:div>
    <w:div w:id="364136059">
      <w:bodyDiv w:val="1"/>
      <w:marLeft w:val="0"/>
      <w:marRight w:val="0"/>
      <w:marTop w:val="0"/>
      <w:marBottom w:val="0"/>
      <w:divBdr>
        <w:top w:val="none" w:sz="0" w:space="0" w:color="auto"/>
        <w:left w:val="none" w:sz="0" w:space="0" w:color="auto"/>
        <w:bottom w:val="none" w:sz="0" w:space="0" w:color="auto"/>
        <w:right w:val="none" w:sz="0" w:space="0" w:color="auto"/>
      </w:divBdr>
    </w:div>
    <w:div w:id="392434741">
      <w:bodyDiv w:val="1"/>
      <w:marLeft w:val="0"/>
      <w:marRight w:val="0"/>
      <w:marTop w:val="0"/>
      <w:marBottom w:val="0"/>
      <w:divBdr>
        <w:top w:val="none" w:sz="0" w:space="0" w:color="auto"/>
        <w:left w:val="none" w:sz="0" w:space="0" w:color="auto"/>
        <w:bottom w:val="none" w:sz="0" w:space="0" w:color="auto"/>
        <w:right w:val="none" w:sz="0" w:space="0" w:color="auto"/>
      </w:divBdr>
    </w:div>
    <w:div w:id="739983446">
      <w:bodyDiv w:val="1"/>
      <w:marLeft w:val="0"/>
      <w:marRight w:val="0"/>
      <w:marTop w:val="0"/>
      <w:marBottom w:val="0"/>
      <w:divBdr>
        <w:top w:val="none" w:sz="0" w:space="0" w:color="auto"/>
        <w:left w:val="none" w:sz="0" w:space="0" w:color="auto"/>
        <w:bottom w:val="none" w:sz="0" w:space="0" w:color="auto"/>
        <w:right w:val="none" w:sz="0" w:space="0" w:color="auto"/>
      </w:divBdr>
    </w:div>
    <w:div w:id="1334332892">
      <w:bodyDiv w:val="1"/>
      <w:marLeft w:val="0"/>
      <w:marRight w:val="0"/>
      <w:marTop w:val="0"/>
      <w:marBottom w:val="0"/>
      <w:divBdr>
        <w:top w:val="none" w:sz="0" w:space="0" w:color="auto"/>
        <w:left w:val="none" w:sz="0" w:space="0" w:color="auto"/>
        <w:bottom w:val="none" w:sz="0" w:space="0" w:color="auto"/>
        <w:right w:val="none" w:sz="0" w:space="0" w:color="auto"/>
      </w:divBdr>
    </w:div>
    <w:div w:id="1400900379">
      <w:bodyDiv w:val="1"/>
      <w:marLeft w:val="0"/>
      <w:marRight w:val="0"/>
      <w:marTop w:val="0"/>
      <w:marBottom w:val="0"/>
      <w:divBdr>
        <w:top w:val="none" w:sz="0" w:space="0" w:color="auto"/>
        <w:left w:val="none" w:sz="0" w:space="0" w:color="auto"/>
        <w:bottom w:val="none" w:sz="0" w:space="0" w:color="auto"/>
        <w:right w:val="none" w:sz="0" w:space="0" w:color="auto"/>
      </w:divBdr>
    </w:div>
    <w:div w:id="1433816553">
      <w:bodyDiv w:val="1"/>
      <w:marLeft w:val="0"/>
      <w:marRight w:val="0"/>
      <w:marTop w:val="0"/>
      <w:marBottom w:val="0"/>
      <w:divBdr>
        <w:top w:val="none" w:sz="0" w:space="0" w:color="auto"/>
        <w:left w:val="none" w:sz="0" w:space="0" w:color="auto"/>
        <w:bottom w:val="none" w:sz="0" w:space="0" w:color="auto"/>
        <w:right w:val="none" w:sz="0" w:space="0" w:color="auto"/>
      </w:divBdr>
    </w:div>
    <w:div w:id="1700354239">
      <w:bodyDiv w:val="1"/>
      <w:marLeft w:val="0"/>
      <w:marRight w:val="0"/>
      <w:marTop w:val="0"/>
      <w:marBottom w:val="0"/>
      <w:divBdr>
        <w:top w:val="none" w:sz="0" w:space="0" w:color="auto"/>
        <w:left w:val="none" w:sz="0" w:space="0" w:color="auto"/>
        <w:bottom w:val="none" w:sz="0" w:space="0" w:color="auto"/>
        <w:right w:val="none" w:sz="0" w:space="0" w:color="auto"/>
      </w:divBdr>
    </w:div>
    <w:div w:id="1823081743">
      <w:marLeft w:val="0"/>
      <w:marRight w:val="0"/>
      <w:marTop w:val="0"/>
      <w:marBottom w:val="0"/>
      <w:divBdr>
        <w:top w:val="none" w:sz="0" w:space="0" w:color="auto"/>
        <w:left w:val="none" w:sz="0" w:space="0" w:color="auto"/>
        <w:bottom w:val="none" w:sz="0" w:space="0" w:color="auto"/>
        <w:right w:val="none" w:sz="0" w:space="0" w:color="auto"/>
      </w:divBdr>
    </w:div>
    <w:div w:id="1823081744">
      <w:marLeft w:val="0"/>
      <w:marRight w:val="0"/>
      <w:marTop w:val="0"/>
      <w:marBottom w:val="0"/>
      <w:divBdr>
        <w:top w:val="none" w:sz="0" w:space="0" w:color="auto"/>
        <w:left w:val="none" w:sz="0" w:space="0" w:color="auto"/>
        <w:bottom w:val="none" w:sz="0" w:space="0" w:color="auto"/>
        <w:right w:val="none" w:sz="0" w:space="0" w:color="auto"/>
      </w:divBdr>
    </w:div>
    <w:div w:id="1823081745">
      <w:marLeft w:val="0"/>
      <w:marRight w:val="0"/>
      <w:marTop w:val="0"/>
      <w:marBottom w:val="0"/>
      <w:divBdr>
        <w:top w:val="none" w:sz="0" w:space="0" w:color="auto"/>
        <w:left w:val="none" w:sz="0" w:space="0" w:color="auto"/>
        <w:bottom w:val="none" w:sz="0" w:space="0" w:color="auto"/>
        <w:right w:val="none" w:sz="0" w:space="0" w:color="auto"/>
      </w:divBdr>
    </w:div>
    <w:div w:id="1823081746">
      <w:marLeft w:val="0"/>
      <w:marRight w:val="0"/>
      <w:marTop w:val="0"/>
      <w:marBottom w:val="0"/>
      <w:divBdr>
        <w:top w:val="none" w:sz="0" w:space="0" w:color="auto"/>
        <w:left w:val="none" w:sz="0" w:space="0" w:color="auto"/>
        <w:bottom w:val="none" w:sz="0" w:space="0" w:color="auto"/>
        <w:right w:val="none" w:sz="0" w:space="0" w:color="auto"/>
      </w:divBdr>
    </w:div>
    <w:div w:id="1823081747">
      <w:marLeft w:val="0"/>
      <w:marRight w:val="0"/>
      <w:marTop w:val="0"/>
      <w:marBottom w:val="0"/>
      <w:divBdr>
        <w:top w:val="none" w:sz="0" w:space="0" w:color="auto"/>
        <w:left w:val="none" w:sz="0" w:space="0" w:color="auto"/>
        <w:bottom w:val="none" w:sz="0" w:space="0" w:color="auto"/>
        <w:right w:val="none" w:sz="0" w:space="0" w:color="auto"/>
      </w:divBdr>
    </w:div>
    <w:div w:id="182308174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mailto:Johnny_Blair@AbtAssoc.com" TargetMode="External"/><Relationship Id="rId26" Type="http://schemas.openxmlformats.org/officeDocument/2006/relationships/hyperlink" Target="mailto:willisg@mail.nih.gov" TargetMode="External"/><Relationship Id="rId3" Type="http://schemas.openxmlformats.org/officeDocument/2006/relationships/styles" Target="styles.xml"/><Relationship Id="rId21" Type="http://schemas.openxmlformats.org/officeDocument/2006/relationships/hyperlink" Target="mailto:dillman@wsu.edu" TargetMode="External"/><Relationship Id="rId34" Type="http://schemas.openxmlformats.org/officeDocument/2006/relationships/image" Target="media/image4.png"/><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mailto:pbeatty@cdc.gov" TargetMode="External"/><Relationship Id="rId25" Type="http://schemas.openxmlformats.org/officeDocument/2006/relationships/hyperlink" Target="mailto:RTourango@survey.umd.edu" TargetMode="External"/><Relationship Id="rId33" Type="http://schemas.openxmlformats.org/officeDocument/2006/relationships/image" Target="media/image3.png"/><Relationship Id="rId38"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yperlink" Target="mailto:nancy.a.bates@census.gov" TargetMode="External"/><Relationship Id="rId20" Type="http://schemas.openxmlformats.org/officeDocument/2006/relationships/hyperlink" Target="mailto:mcouper@umich.edu" TargetMode="External"/><Relationship Id="rId29" Type="http://schemas.openxmlformats.org/officeDocument/2006/relationships/hyperlink" Target="http://www.cdc.gov/nchs/nhis.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mailto:kolson5@unl.edu" TargetMode="External"/><Relationship Id="rId32" Type="http://schemas.openxmlformats.org/officeDocument/2006/relationships/image" Target="media/image2.png"/><Relationship Id="rId37" Type="http://schemas.microsoft.com/office/2011/relationships/people" Target="people.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yperlink" Target="mailto:skeeter@pewresearch.org" TargetMode="External"/><Relationship Id="rId28" Type="http://schemas.openxmlformats.org/officeDocument/2006/relationships/footer" Target="footer5.xml"/><Relationship Id="rId36" Type="http://schemas.openxmlformats.org/officeDocument/2006/relationships/theme" Target="theme/theme1.xml"/><Relationship Id="rId10" Type="http://schemas.openxmlformats.org/officeDocument/2006/relationships/hyperlink" Target="http://nces.ed.gov/nhes" TargetMode="External"/><Relationship Id="rId19" Type="http://schemas.openxmlformats.org/officeDocument/2006/relationships/hyperlink" Target="mailto:stephen.blumberg@cdc.hhs.gov" TargetMode="External"/><Relationship Id="rId31"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yperlink" Target="mailto:bgroves@isr.umich.edu" TargetMode="External"/><Relationship Id="rId27" Type="http://schemas.openxmlformats.org/officeDocument/2006/relationships/hyperlink" Target="http://www.bls.gov/news.release/ecec.t02.htm" TargetMode="External"/><Relationship Id="rId30" Type="http://schemas.openxmlformats.org/officeDocument/2006/relationships/hyperlink" Target="http://www.bls.gov/news.release/pdf/ecec.pdf"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8A6223-53B0-42CD-B5FB-E19709533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10345</Words>
  <Characters>58971</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Westat, Inc.</Company>
  <LinksUpToDate>false</LinksUpToDate>
  <CharactersWithSpaces>69178</CharactersWithSpaces>
  <SharedDoc>false</SharedDoc>
  <HLinks>
    <vt:vector size="90" baseType="variant">
      <vt:variant>
        <vt:i4>1900546</vt:i4>
      </vt:variant>
      <vt:variant>
        <vt:i4>42</vt:i4>
      </vt:variant>
      <vt:variant>
        <vt:i4>0</vt:i4>
      </vt:variant>
      <vt:variant>
        <vt:i4>5</vt:i4>
      </vt:variant>
      <vt:variant>
        <vt:lpwstr>http://www.bls.gov/news.release/pdf/ecec.pdf</vt:lpwstr>
      </vt:variant>
      <vt:variant>
        <vt:lpwstr/>
      </vt:variant>
      <vt:variant>
        <vt:i4>851991</vt:i4>
      </vt:variant>
      <vt:variant>
        <vt:i4>39</vt:i4>
      </vt:variant>
      <vt:variant>
        <vt:i4>0</vt:i4>
      </vt:variant>
      <vt:variant>
        <vt:i4>5</vt:i4>
      </vt:variant>
      <vt:variant>
        <vt:lpwstr>http://www.cdc.gov/nchs/nhis.htm</vt:lpwstr>
      </vt:variant>
      <vt:variant>
        <vt:lpwstr/>
      </vt:variant>
      <vt:variant>
        <vt:i4>196634</vt:i4>
      </vt:variant>
      <vt:variant>
        <vt:i4>36</vt:i4>
      </vt:variant>
      <vt:variant>
        <vt:i4>0</vt:i4>
      </vt:variant>
      <vt:variant>
        <vt:i4>5</vt:i4>
      </vt:variant>
      <vt:variant>
        <vt:lpwstr>http://www.bls.gov/news.release/ecec.t02.htm</vt:lpwstr>
      </vt:variant>
      <vt:variant>
        <vt:lpwstr/>
      </vt:variant>
      <vt:variant>
        <vt:i4>7667728</vt:i4>
      </vt:variant>
      <vt:variant>
        <vt:i4>33</vt:i4>
      </vt:variant>
      <vt:variant>
        <vt:i4>0</vt:i4>
      </vt:variant>
      <vt:variant>
        <vt:i4>5</vt:i4>
      </vt:variant>
      <vt:variant>
        <vt:lpwstr>mailto:willisg@mail.nih.gov</vt:lpwstr>
      </vt:variant>
      <vt:variant>
        <vt:lpwstr/>
      </vt:variant>
      <vt:variant>
        <vt:i4>6356995</vt:i4>
      </vt:variant>
      <vt:variant>
        <vt:i4>30</vt:i4>
      </vt:variant>
      <vt:variant>
        <vt:i4>0</vt:i4>
      </vt:variant>
      <vt:variant>
        <vt:i4>5</vt:i4>
      </vt:variant>
      <vt:variant>
        <vt:lpwstr>mailto:RTourango@survey.umd.edu</vt:lpwstr>
      </vt:variant>
      <vt:variant>
        <vt:lpwstr/>
      </vt:variant>
      <vt:variant>
        <vt:i4>3539036</vt:i4>
      </vt:variant>
      <vt:variant>
        <vt:i4>27</vt:i4>
      </vt:variant>
      <vt:variant>
        <vt:i4>0</vt:i4>
      </vt:variant>
      <vt:variant>
        <vt:i4>5</vt:i4>
      </vt:variant>
      <vt:variant>
        <vt:lpwstr>mailto:kolson5@unl.edu</vt:lpwstr>
      </vt:variant>
      <vt:variant>
        <vt:lpwstr/>
      </vt:variant>
      <vt:variant>
        <vt:i4>6750299</vt:i4>
      </vt:variant>
      <vt:variant>
        <vt:i4>24</vt:i4>
      </vt:variant>
      <vt:variant>
        <vt:i4>0</vt:i4>
      </vt:variant>
      <vt:variant>
        <vt:i4>5</vt:i4>
      </vt:variant>
      <vt:variant>
        <vt:lpwstr>mailto:skeeter@pewresearch.org</vt:lpwstr>
      </vt:variant>
      <vt:variant>
        <vt:lpwstr/>
      </vt:variant>
      <vt:variant>
        <vt:i4>524414</vt:i4>
      </vt:variant>
      <vt:variant>
        <vt:i4>21</vt:i4>
      </vt:variant>
      <vt:variant>
        <vt:i4>0</vt:i4>
      </vt:variant>
      <vt:variant>
        <vt:i4>5</vt:i4>
      </vt:variant>
      <vt:variant>
        <vt:lpwstr>mailto:bgroves@isr.umich.edu</vt:lpwstr>
      </vt:variant>
      <vt:variant>
        <vt:lpwstr/>
      </vt:variant>
      <vt:variant>
        <vt:i4>8061015</vt:i4>
      </vt:variant>
      <vt:variant>
        <vt:i4>18</vt:i4>
      </vt:variant>
      <vt:variant>
        <vt:i4>0</vt:i4>
      </vt:variant>
      <vt:variant>
        <vt:i4>5</vt:i4>
      </vt:variant>
      <vt:variant>
        <vt:lpwstr>mailto:dillman@wsu.edu</vt:lpwstr>
      </vt:variant>
      <vt:variant>
        <vt:lpwstr/>
      </vt:variant>
      <vt:variant>
        <vt:i4>393277</vt:i4>
      </vt:variant>
      <vt:variant>
        <vt:i4>15</vt:i4>
      </vt:variant>
      <vt:variant>
        <vt:i4>0</vt:i4>
      </vt:variant>
      <vt:variant>
        <vt:i4>5</vt:i4>
      </vt:variant>
      <vt:variant>
        <vt:lpwstr>mailto:mcouper@umich.edu</vt:lpwstr>
      </vt:variant>
      <vt:variant>
        <vt:lpwstr/>
      </vt:variant>
      <vt:variant>
        <vt:i4>5636218</vt:i4>
      </vt:variant>
      <vt:variant>
        <vt:i4>12</vt:i4>
      </vt:variant>
      <vt:variant>
        <vt:i4>0</vt:i4>
      </vt:variant>
      <vt:variant>
        <vt:i4>5</vt:i4>
      </vt:variant>
      <vt:variant>
        <vt:lpwstr>mailto:stephen.blumberg@cdc.hhs.gov</vt:lpwstr>
      </vt:variant>
      <vt:variant>
        <vt:lpwstr/>
      </vt:variant>
      <vt:variant>
        <vt:i4>589835</vt:i4>
      </vt:variant>
      <vt:variant>
        <vt:i4>9</vt:i4>
      </vt:variant>
      <vt:variant>
        <vt:i4>0</vt:i4>
      </vt:variant>
      <vt:variant>
        <vt:i4>5</vt:i4>
      </vt:variant>
      <vt:variant>
        <vt:lpwstr>mailto:Johnny_Blair@AbtAssoc.com</vt:lpwstr>
      </vt:variant>
      <vt:variant>
        <vt:lpwstr/>
      </vt:variant>
      <vt:variant>
        <vt:i4>7012440</vt:i4>
      </vt:variant>
      <vt:variant>
        <vt:i4>6</vt:i4>
      </vt:variant>
      <vt:variant>
        <vt:i4>0</vt:i4>
      </vt:variant>
      <vt:variant>
        <vt:i4>5</vt:i4>
      </vt:variant>
      <vt:variant>
        <vt:lpwstr>mailto:pbeatty@cdc.gov</vt:lpwstr>
      </vt:variant>
      <vt:variant>
        <vt:lpwstr/>
      </vt:variant>
      <vt:variant>
        <vt:i4>2490382</vt:i4>
      </vt:variant>
      <vt:variant>
        <vt:i4>3</vt:i4>
      </vt:variant>
      <vt:variant>
        <vt:i4>0</vt:i4>
      </vt:variant>
      <vt:variant>
        <vt:i4>5</vt:i4>
      </vt:variant>
      <vt:variant>
        <vt:lpwstr>mailto:nancy.a.bates@census.gov</vt:lpwstr>
      </vt:variant>
      <vt:variant>
        <vt:lpwstr/>
      </vt:variant>
      <vt:variant>
        <vt:i4>7340154</vt:i4>
      </vt:variant>
      <vt:variant>
        <vt:i4>0</vt:i4>
      </vt:variant>
      <vt:variant>
        <vt:i4>0</vt:i4>
      </vt:variant>
      <vt:variant>
        <vt:i4>5</vt:i4>
      </vt:variant>
      <vt:variant>
        <vt:lpwstr>http://nces.ed.gov/nhes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WAITS_T</dc:creator>
  <cp:lastModifiedBy>Axt, Kathy</cp:lastModifiedBy>
  <cp:revision>2</cp:revision>
  <cp:lastPrinted>2013-09-27T13:51:00Z</cp:lastPrinted>
  <dcterms:created xsi:type="dcterms:W3CDTF">2013-10-17T15:56:00Z</dcterms:created>
  <dcterms:modified xsi:type="dcterms:W3CDTF">2013-10-17T15:56:00Z</dcterms:modified>
</cp:coreProperties>
</file>