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5CF" w:rsidRPr="00165FC7" w:rsidRDefault="002155CF" w:rsidP="00165FC7">
      <w:pPr>
        <w:widowControl w:val="0"/>
        <w:spacing w:after="0"/>
        <w:jc w:val="center"/>
        <w:rPr>
          <w:rFonts w:ascii="Times New Roman" w:hAnsi="Times New Roman"/>
          <w:smallCaps/>
          <w:sz w:val="40"/>
          <w:szCs w:val="40"/>
        </w:rPr>
      </w:pPr>
      <w:r w:rsidRPr="00165FC7">
        <w:rPr>
          <w:rFonts w:ascii="Times New Roman" w:hAnsi="Times New Roman"/>
          <w:smallCaps/>
          <w:sz w:val="40"/>
          <w:szCs w:val="40"/>
        </w:rPr>
        <w:t xml:space="preserve">National </w:t>
      </w:r>
      <w:smartTag w:uri="urn:schemas-microsoft-com:office:smarttags" w:element="PlaceType">
        <w:r w:rsidRPr="00165FC7">
          <w:rPr>
            <w:rFonts w:ascii="Times New Roman" w:hAnsi="Times New Roman"/>
            <w:smallCaps/>
            <w:sz w:val="40"/>
            <w:szCs w:val="40"/>
          </w:rPr>
          <w:t>Center</w:t>
        </w:r>
      </w:smartTag>
      <w:r w:rsidRPr="00165FC7">
        <w:rPr>
          <w:rFonts w:ascii="Times New Roman" w:hAnsi="Times New Roman"/>
          <w:smallCaps/>
          <w:sz w:val="40"/>
          <w:szCs w:val="40"/>
        </w:rPr>
        <w:t xml:space="preserve"> for Education Statistics</w:t>
      </w:r>
    </w:p>
    <w:p w:rsidR="002155CF" w:rsidRPr="00743434" w:rsidRDefault="002155CF" w:rsidP="003E16DC">
      <w:pPr>
        <w:widowControl w:val="0"/>
        <w:jc w:val="center"/>
        <w:rPr>
          <w:rFonts w:ascii="Times New Roman" w:hAnsi="Times New Roman"/>
          <w:smallCaps/>
          <w:sz w:val="40"/>
          <w:szCs w:val="40"/>
        </w:rPr>
      </w:pPr>
      <w:r w:rsidRPr="00743434">
        <w:rPr>
          <w:rFonts w:ascii="Times New Roman" w:hAnsi="Times New Roman"/>
          <w:smallCaps/>
          <w:sz w:val="40"/>
          <w:szCs w:val="40"/>
        </w:rPr>
        <w:t>National Assessment of Educational Progress</w:t>
      </w:r>
    </w:p>
    <w:p w:rsidR="002155CF" w:rsidRPr="00F51FFD" w:rsidRDefault="002155CF" w:rsidP="003E16DC">
      <w:pPr>
        <w:widowControl w:val="0"/>
        <w:jc w:val="center"/>
        <w:rPr>
          <w:sz w:val="40"/>
          <w:szCs w:val="40"/>
        </w:rPr>
      </w:pPr>
    </w:p>
    <w:p w:rsidR="002155CF" w:rsidRPr="00CB060F" w:rsidRDefault="002155CF" w:rsidP="00FB6548">
      <w:pPr>
        <w:widowControl w:val="0"/>
        <w:spacing w:after="0"/>
        <w:jc w:val="center"/>
        <w:rPr>
          <w:rFonts w:ascii="Times New Roman" w:hAnsi="Times New Roman"/>
          <w:i/>
          <w:sz w:val="40"/>
          <w:szCs w:val="40"/>
        </w:rPr>
      </w:pPr>
      <w:r w:rsidRPr="00CB060F">
        <w:rPr>
          <w:rFonts w:ascii="Times New Roman" w:hAnsi="Times New Roman"/>
          <w:i/>
          <w:sz w:val="40"/>
          <w:szCs w:val="40"/>
        </w:rPr>
        <w:t>Volume I</w:t>
      </w:r>
      <w:r w:rsidR="00873A9A">
        <w:rPr>
          <w:rFonts w:ascii="Times New Roman" w:hAnsi="Times New Roman"/>
          <w:i/>
          <w:sz w:val="40"/>
          <w:szCs w:val="40"/>
        </w:rPr>
        <w:t xml:space="preserve"> and II</w:t>
      </w:r>
    </w:p>
    <w:p w:rsidR="002155CF" w:rsidRPr="00CB060F" w:rsidRDefault="002155CF" w:rsidP="003E16DC">
      <w:pPr>
        <w:widowControl w:val="0"/>
        <w:jc w:val="center"/>
        <w:rPr>
          <w:rFonts w:ascii="Times New Roman" w:hAnsi="Times New Roman"/>
          <w:i/>
          <w:sz w:val="40"/>
          <w:szCs w:val="40"/>
        </w:rPr>
      </w:pPr>
      <w:r w:rsidRPr="00CB060F">
        <w:rPr>
          <w:rFonts w:ascii="Times New Roman" w:hAnsi="Times New Roman"/>
          <w:i/>
          <w:sz w:val="40"/>
          <w:szCs w:val="40"/>
        </w:rPr>
        <w:t>Supporting Statement</w:t>
      </w:r>
    </w:p>
    <w:p w:rsidR="002155CF" w:rsidRDefault="002155CF" w:rsidP="003E16DC">
      <w:pPr>
        <w:widowControl w:val="0"/>
        <w:rPr>
          <w:rFonts w:ascii="Times New Roman" w:hAnsi="Times New Roman"/>
          <w:b/>
          <w:i/>
          <w:sz w:val="36"/>
        </w:rPr>
      </w:pPr>
    </w:p>
    <w:p w:rsidR="002155CF" w:rsidRPr="00CB060F" w:rsidRDefault="00616F00" w:rsidP="003E16DC">
      <w:pPr>
        <w:jc w:val="center"/>
        <w:rPr>
          <w:rFonts w:ascii="Times New Roman" w:hAnsi="Times New Roman"/>
          <w:b/>
          <w:i/>
          <w:sz w:val="36"/>
        </w:rPr>
      </w:pPr>
      <w:r w:rsidRPr="00616F00">
        <w:rPr>
          <w:rFonts w:ascii="Times New Roman" w:hAnsi="Times New Roman"/>
          <w:b/>
          <w:i/>
          <w:sz w:val="36"/>
          <w:szCs w:val="36"/>
        </w:rPr>
        <w:t>NAEP Science Interactive Computer Task and Hands-on Task Tablet Study</w:t>
      </w:r>
    </w:p>
    <w:p w:rsidR="002155CF" w:rsidRDefault="002155CF" w:rsidP="003E16DC">
      <w:pPr>
        <w:widowControl w:val="0"/>
        <w:jc w:val="center"/>
        <w:rPr>
          <w:i/>
          <w:sz w:val="36"/>
          <w:szCs w:val="36"/>
        </w:rPr>
      </w:pPr>
    </w:p>
    <w:p w:rsidR="00F35BD6" w:rsidRDefault="00F35BD6" w:rsidP="00F35BD6">
      <w:pPr>
        <w:jc w:val="center"/>
        <w:rPr>
          <w:rFonts w:ascii="Times New Roman" w:hAnsi="Times New Roman"/>
          <w:i/>
          <w:sz w:val="32"/>
          <w:szCs w:val="32"/>
        </w:rPr>
      </w:pPr>
      <w:r>
        <w:rPr>
          <w:rFonts w:ascii="Times New Roman" w:hAnsi="Times New Roman"/>
          <w:i/>
          <w:sz w:val="32"/>
          <w:szCs w:val="32"/>
        </w:rPr>
        <w:t xml:space="preserve">OMB# </w:t>
      </w:r>
      <w:r w:rsidRPr="008019DA">
        <w:rPr>
          <w:rFonts w:ascii="Times New Roman" w:hAnsi="Times New Roman"/>
          <w:i/>
          <w:sz w:val="32"/>
          <w:szCs w:val="32"/>
        </w:rPr>
        <w:t>1850-0803</w:t>
      </w:r>
      <w:r>
        <w:rPr>
          <w:rFonts w:ascii="Times New Roman" w:hAnsi="Times New Roman"/>
          <w:i/>
          <w:sz w:val="32"/>
          <w:szCs w:val="32"/>
        </w:rPr>
        <w:t xml:space="preserve"> </w:t>
      </w:r>
      <w:r w:rsidR="00815AE8">
        <w:rPr>
          <w:rFonts w:ascii="Times New Roman" w:hAnsi="Times New Roman"/>
          <w:i/>
          <w:sz w:val="32"/>
          <w:szCs w:val="32"/>
        </w:rPr>
        <w:t>v.91</w:t>
      </w:r>
    </w:p>
    <w:p w:rsidR="002155CF" w:rsidRPr="00F51FFD" w:rsidRDefault="002155CF" w:rsidP="003E16DC">
      <w:pPr>
        <w:widowControl w:val="0"/>
        <w:jc w:val="center"/>
        <w:rPr>
          <w:i/>
          <w:sz w:val="40"/>
          <w:szCs w:val="40"/>
        </w:rPr>
      </w:pPr>
    </w:p>
    <w:p w:rsidR="002155CF" w:rsidRDefault="0001266E" w:rsidP="003E16DC">
      <w:pPr>
        <w:widowControl w:val="0"/>
        <w:jc w:val="center"/>
        <w:rPr>
          <w:i/>
          <w:sz w:val="40"/>
          <w:szCs w:val="40"/>
        </w:rPr>
      </w:pPr>
      <w:r>
        <w:rPr>
          <w:rFonts w:ascii="Times New Roman" w:hAnsi="Times New Roman"/>
          <w:noProof/>
          <w:sz w:val="24"/>
          <w:szCs w:val="24"/>
        </w:rPr>
        <w:drawing>
          <wp:inline distT="0" distB="0" distL="0" distR="0">
            <wp:extent cx="1311910" cy="1494790"/>
            <wp:effectExtent l="19050" t="0" r="254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3" cstate="print"/>
                    <a:srcRect/>
                    <a:stretch>
                      <a:fillRect/>
                    </a:stretch>
                  </pic:blipFill>
                  <pic:spPr bwMode="auto">
                    <a:xfrm>
                      <a:off x="0" y="0"/>
                      <a:ext cx="1311910" cy="1494790"/>
                    </a:xfrm>
                    <a:prstGeom prst="rect">
                      <a:avLst/>
                    </a:prstGeom>
                    <a:noFill/>
                    <a:ln w="9525">
                      <a:noFill/>
                      <a:miter lim="800000"/>
                      <a:headEnd/>
                      <a:tailEnd/>
                    </a:ln>
                  </pic:spPr>
                </pic:pic>
              </a:graphicData>
            </a:graphic>
          </wp:inline>
        </w:drawing>
      </w:r>
    </w:p>
    <w:p w:rsidR="002155CF" w:rsidRDefault="002155CF" w:rsidP="003E16DC">
      <w:pPr>
        <w:widowControl w:val="0"/>
        <w:jc w:val="center"/>
        <w:rPr>
          <w:i/>
          <w:sz w:val="40"/>
          <w:szCs w:val="40"/>
        </w:rPr>
      </w:pPr>
    </w:p>
    <w:p w:rsidR="002155CF" w:rsidRDefault="002155CF" w:rsidP="00FB6548">
      <w:pPr>
        <w:pStyle w:val="NormalWeb"/>
      </w:pPr>
    </w:p>
    <w:p w:rsidR="002155CF" w:rsidRPr="0040189E" w:rsidRDefault="00616F00" w:rsidP="00FB6548">
      <w:pPr>
        <w:pStyle w:val="NormalWeb"/>
      </w:pPr>
      <w:r>
        <w:t>November</w:t>
      </w:r>
      <w:r w:rsidR="00FB6548" w:rsidRPr="00FB6548">
        <w:t xml:space="preserve"> </w:t>
      </w:r>
      <w:r w:rsidR="00377855">
        <w:t>2</w:t>
      </w:r>
      <w:r w:rsidR="00206DD5">
        <w:t>7</w:t>
      </w:r>
      <w:r w:rsidR="002155CF" w:rsidRPr="0040189E">
        <w:t>, 2013</w:t>
      </w:r>
    </w:p>
    <w:p w:rsidR="002155CF" w:rsidRDefault="002155CF" w:rsidP="003E16DC">
      <w:pPr>
        <w:rPr>
          <w:rFonts w:ascii="Candara" w:hAnsi="Candara" w:cs="Arial"/>
          <w:b/>
          <w:color w:val="365F91"/>
          <w:sz w:val="32"/>
          <w:szCs w:val="28"/>
        </w:rPr>
      </w:pPr>
    </w:p>
    <w:p w:rsidR="00206DD5" w:rsidRDefault="00206DD5" w:rsidP="00D90D0C">
      <w:pPr>
        <w:pStyle w:val="TOCHeading"/>
      </w:pPr>
    </w:p>
    <w:p w:rsidR="002155CF" w:rsidRDefault="002155CF" w:rsidP="00D90D0C">
      <w:pPr>
        <w:pStyle w:val="TOCHeading"/>
      </w:pPr>
      <w:r>
        <w:t>Contents</w:t>
      </w:r>
    </w:p>
    <w:p w:rsidR="00206DD5" w:rsidRPr="00206DD5" w:rsidRDefault="00206DD5" w:rsidP="00206DD5"/>
    <w:p w:rsidR="002155CF" w:rsidRPr="00A84F8A" w:rsidRDefault="000F550D" w:rsidP="00206DD5">
      <w:pPr>
        <w:pStyle w:val="TOC1"/>
        <w:tabs>
          <w:tab w:val="left" w:pos="440"/>
          <w:tab w:val="right" w:leader="dot" w:pos="9350"/>
        </w:tabs>
        <w:spacing w:before="0" w:after="240"/>
        <w:rPr>
          <w:b w:val="0"/>
          <w:bCs w:val="0"/>
          <w:caps w:val="0"/>
          <w:noProof/>
          <w:sz w:val="22"/>
          <w:szCs w:val="22"/>
        </w:rPr>
      </w:pPr>
      <w:r>
        <w:rPr>
          <w:smallCaps/>
        </w:rPr>
        <w:fldChar w:fldCharType="begin"/>
      </w:r>
      <w:r w:rsidR="002155CF">
        <w:rPr>
          <w:smallCaps/>
        </w:rPr>
        <w:instrText xml:space="preserve"> TOC \o "1-1" \h \z \t "aAppendix,1" </w:instrText>
      </w:r>
      <w:r>
        <w:rPr>
          <w:smallCaps/>
        </w:rPr>
        <w:fldChar w:fldCharType="separate"/>
      </w:r>
      <w:hyperlink w:anchor="_Toc366138679" w:history="1">
        <w:r w:rsidR="002155CF" w:rsidRPr="00C011D6">
          <w:rPr>
            <w:rStyle w:val="Hyperlink"/>
            <w:noProof/>
          </w:rPr>
          <w:t>1</w:t>
        </w:r>
        <w:r w:rsidR="002155CF" w:rsidRPr="00A84F8A">
          <w:rPr>
            <w:b w:val="0"/>
            <w:bCs w:val="0"/>
            <w:caps w:val="0"/>
            <w:noProof/>
            <w:sz w:val="22"/>
            <w:szCs w:val="22"/>
          </w:rPr>
          <w:tab/>
        </w:r>
        <w:r w:rsidR="002155CF" w:rsidRPr="00C011D6">
          <w:rPr>
            <w:rStyle w:val="Hyperlink"/>
            <w:noProof/>
          </w:rPr>
          <w:t>Submittal-Related Information</w:t>
        </w:r>
        <w:r w:rsidR="002155CF">
          <w:rPr>
            <w:noProof/>
            <w:webHidden/>
          </w:rPr>
          <w:tab/>
        </w:r>
        <w:r>
          <w:rPr>
            <w:noProof/>
            <w:webHidden/>
          </w:rPr>
          <w:fldChar w:fldCharType="begin"/>
        </w:r>
        <w:r w:rsidR="002155CF">
          <w:rPr>
            <w:noProof/>
            <w:webHidden/>
          </w:rPr>
          <w:instrText xml:space="preserve"> PAGEREF _</w:instrText>
        </w:r>
        <w:r w:rsidR="00D51B5C">
          <w:rPr>
            <w:noProof/>
            <w:webHidden/>
          </w:rPr>
          <w:instrText>Toc366138679</w:instrText>
        </w:r>
        <w:r w:rsidR="002155CF">
          <w:rPr>
            <w:noProof/>
            <w:webHidden/>
          </w:rPr>
          <w:instrText xml:space="preserve"> \h </w:instrText>
        </w:r>
        <w:r>
          <w:rPr>
            <w:noProof/>
            <w:webHidden/>
          </w:rPr>
        </w:r>
        <w:r>
          <w:rPr>
            <w:noProof/>
            <w:webHidden/>
          </w:rPr>
          <w:fldChar w:fldCharType="separate"/>
        </w:r>
        <w:r w:rsidR="00032E4A">
          <w:rPr>
            <w:noProof/>
            <w:webHidden/>
          </w:rPr>
          <w:t>3</w:t>
        </w:r>
        <w:r>
          <w:rPr>
            <w:noProof/>
            <w:webHidden/>
          </w:rPr>
          <w:fldChar w:fldCharType="end"/>
        </w:r>
      </w:hyperlink>
    </w:p>
    <w:p w:rsidR="002155CF" w:rsidRPr="00A84F8A" w:rsidRDefault="0022368E" w:rsidP="00206DD5">
      <w:pPr>
        <w:pStyle w:val="TOC1"/>
        <w:tabs>
          <w:tab w:val="left" w:pos="440"/>
          <w:tab w:val="right" w:leader="dot" w:pos="9350"/>
        </w:tabs>
        <w:spacing w:before="0" w:after="240"/>
        <w:rPr>
          <w:b w:val="0"/>
          <w:bCs w:val="0"/>
          <w:caps w:val="0"/>
          <w:noProof/>
          <w:sz w:val="22"/>
          <w:szCs w:val="22"/>
        </w:rPr>
      </w:pPr>
      <w:hyperlink w:anchor="_Toc366138680" w:history="1">
        <w:r w:rsidR="002155CF" w:rsidRPr="00C011D6">
          <w:rPr>
            <w:rStyle w:val="Hyperlink"/>
            <w:noProof/>
          </w:rPr>
          <w:t>2</w:t>
        </w:r>
        <w:r w:rsidR="002155CF" w:rsidRPr="00A84F8A">
          <w:rPr>
            <w:b w:val="0"/>
            <w:bCs w:val="0"/>
            <w:caps w:val="0"/>
            <w:noProof/>
            <w:sz w:val="22"/>
            <w:szCs w:val="22"/>
          </w:rPr>
          <w:tab/>
        </w:r>
        <w:r w:rsidR="002155CF" w:rsidRPr="00C011D6">
          <w:rPr>
            <w:rStyle w:val="Hyperlink"/>
            <w:noProof/>
          </w:rPr>
          <w:t>Background and Study Rationale</w:t>
        </w:r>
        <w:r w:rsidR="002155CF">
          <w:rPr>
            <w:noProof/>
            <w:webHidden/>
          </w:rPr>
          <w:tab/>
        </w:r>
        <w:r w:rsidR="000F550D">
          <w:rPr>
            <w:noProof/>
            <w:webHidden/>
          </w:rPr>
          <w:fldChar w:fldCharType="begin"/>
        </w:r>
        <w:r w:rsidR="002155CF">
          <w:rPr>
            <w:noProof/>
            <w:webHidden/>
          </w:rPr>
          <w:instrText xml:space="preserve"> PAGEREF _</w:instrText>
        </w:r>
        <w:r w:rsidR="00D51B5C">
          <w:rPr>
            <w:noProof/>
            <w:webHidden/>
          </w:rPr>
          <w:instrText>Toc366138680</w:instrText>
        </w:r>
        <w:r w:rsidR="002155CF">
          <w:rPr>
            <w:noProof/>
            <w:webHidden/>
          </w:rPr>
          <w:instrText xml:space="preserve"> \h </w:instrText>
        </w:r>
        <w:r w:rsidR="000F550D">
          <w:rPr>
            <w:noProof/>
            <w:webHidden/>
          </w:rPr>
        </w:r>
        <w:r w:rsidR="000F550D">
          <w:rPr>
            <w:noProof/>
            <w:webHidden/>
          </w:rPr>
          <w:fldChar w:fldCharType="separate"/>
        </w:r>
        <w:r w:rsidR="00032E4A">
          <w:rPr>
            <w:noProof/>
            <w:webHidden/>
          </w:rPr>
          <w:t>3</w:t>
        </w:r>
        <w:r w:rsidR="000F550D">
          <w:rPr>
            <w:noProof/>
            <w:webHidden/>
          </w:rPr>
          <w:fldChar w:fldCharType="end"/>
        </w:r>
      </w:hyperlink>
    </w:p>
    <w:p w:rsidR="002155CF" w:rsidRPr="00A84F8A" w:rsidRDefault="0022368E" w:rsidP="00206DD5">
      <w:pPr>
        <w:pStyle w:val="TOC1"/>
        <w:tabs>
          <w:tab w:val="left" w:pos="440"/>
          <w:tab w:val="right" w:leader="dot" w:pos="9350"/>
        </w:tabs>
        <w:spacing w:before="0" w:after="240"/>
        <w:rPr>
          <w:b w:val="0"/>
          <w:bCs w:val="0"/>
          <w:caps w:val="0"/>
          <w:noProof/>
          <w:sz w:val="22"/>
          <w:szCs w:val="22"/>
        </w:rPr>
      </w:pPr>
      <w:hyperlink w:anchor="_Toc366138681" w:history="1">
        <w:r w:rsidR="002155CF" w:rsidRPr="00C011D6">
          <w:rPr>
            <w:rStyle w:val="Hyperlink"/>
            <w:noProof/>
          </w:rPr>
          <w:t>3</w:t>
        </w:r>
        <w:r w:rsidR="002155CF" w:rsidRPr="00A84F8A">
          <w:rPr>
            <w:b w:val="0"/>
            <w:bCs w:val="0"/>
            <w:caps w:val="0"/>
            <w:noProof/>
            <w:sz w:val="22"/>
            <w:szCs w:val="22"/>
          </w:rPr>
          <w:tab/>
        </w:r>
        <w:r w:rsidR="002155CF" w:rsidRPr="00C011D6">
          <w:rPr>
            <w:rStyle w:val="Hyperlink"/>
            <w:noProof/>
          </w:rPr>
          <w:t xml:space="preserve">Recruitment and </w:t>
        </w:r>
        <w:r w:rsidR="002155CF" w:rsidRPr="00FB6548">
          <w:rPr>
            <w:rStyle w:val="Hyperlink"/>
            <w:noProof/>
            <w:sz w:val="22"/>
          </w:rPr>
          <w:t>Sample</w:t>
        </w:r>
        <w:r w:rsidR="002155CF" w:rsidRPr="00C011D6">
          <w:rPr>
            <w:rStyle w:val="Hyperlink"/>
            <w:noProof/>
          </w:rPr>
          <w:t xml:space="preserve"> Characteristics</w:t>
        </w:r>
        <w:r w:rsidR="002155CF">
          <w:rPr>
            <w:noProof/>
            <w:webHidden/>
          </w:rPr>
          <w:tab/>
        </w:r>
        <w:r w:rsidR="000F550D">
          <w:rPr>
            <w:noProof/>
            <w:webHidden/>
          </w:rPr>
          <w:fldChar w:fldCharType="begin"/>
        </w:r>
        <w:r w:rsidR="002155CF">
          <w:rPr>
            <w:noProof/>
            <w:webHidden/>
          </w:rPr>
          <w:instrText xml:space="preserve"> PAGEREF _</w:instrText>
        </w:r>
        <w:r w:rsidR="00D51B5C">
          <w:rPr>
            <w:noProof/>
            <w:webHidden/>
          </w:rPr>
          <w:instrText>Toc366138681</w:instrText>
        </w:r>
        <w:r w:rsidR="002155CF">
          <w:rPr>
            <w:noProof/>
            <w:webHidden/>
          </w:rPr>
          <w:instrText xml:space="preserve"> \h </w:instrText>
        </w:r>
        <w:r w:rsidR="000F550D">
          <w:rPr>
            <w:noProof/>
            <w:webHidden/>
          </w:rPr>
        </w:r>
        <w:r w:rsidR="000F550D">
          <w:rPr>
            <w:noProof/>
            <w:webHidden/>
          </w:rPr>
          <w:fldChar w:fldCharType="separate"/>
        </w:r>
        <w:r w:rsidR="00032E4A">
          <w:rPr>
            <w:noProof/>
            <w:webHidden/>
          </w:rPr>
          <w:t>4</w:t>
        </w:r>
        <w:r w:rsidR="000F550D">
          <w:rPr>
            <w:noProof/>
            <w:webHidden/>
          </w:rPr>
          <w:fldChar w:fldCharType="end"/>
        </w:r>
      </w:hyperlink>
    </w:p>
    <w:p w:rsidR="002155CF" w:rsidRPr="00A84F8A" w:rsidRDefault="0022368E" w:rsidP="00206DD5">
      <w:pPr>
        <w:pStyle w:val="TOC1"/>
        <w:tabs>
          <w:tab w:val="left" w:pos="440"/>
          <w:tab w:val="right" w:leader="dot" w:pos="9350"/>
        </w:tabs>
        <w:spacing w:before="0" w:after="240"/>
        <w:rPr>
          <w:b w:val="0"/>
          <w:bCs w:val="0"/>
          <w:caps w:val="0"/>
          <w:noProof/>
          <w:sz w:val="22"/>
          <w:szCs w:val="22"/>
        </w:rPr>
      </w:pPr>
      <w:hyperlink w:anchor="_Toc366138682" w:history="1">
        <w:r w:rsidR="002155CF" w:rsidRPr="00C011D6">
          <w:rPr>
            <w:rStyle w:val="Hyperlink"/>
            <w:noProof/>
          </w:rPr>
          <w:t>4</w:t>
        </w:r>
        <w:r w:rsidR="002155CF" w:rsidRPr="00A84F8A">
          <w:rPr>
            <w:b w:val="0"/>
            <w:bCs w:val="0"/>
            <w:caps w:val="0"/>
            <w:noProof/>
            <w:sz w:val="22"/>
            <w:szCs w:val="22"/>
          </w:rPr>
          <w:tab/>
        </w:r>
        <w:r w:rsidR="002155CF" w:rsidRPr="00C011D6">
          <w:rPr>
            <w:rStyle w:val="Hyperlink"/>
            <w:noProof/>
          </w:rPr>
          <w:t>Study design and data collection</w:t>
        </w:r>
        <w:r w:rsidR="002155CF">
          <w:rPr>
            <w:noProof/>
            <w:webHidden/>
          </w:rPr>
          <w:tab/>
        </w:r>
        <w:r w:rsidR="000F550D">
          <w:rPr>
            <w:noProof/>
            <w:webHidden/>
          </w:rPr>
          <w:fldChar w:fldCharType="begin"/>
        </w:r>
        <w:r w:rsidR="002155CF">
          <w:rPr>
            <w:noProof/>
            <w:webHidden/>
          </w:rPr>
          <w:instrText xml:space="preserve"> PAGEREF _</w:instrText>
        </w:r>
        <w:r w:rsidR="00D51B5C">
          <w:rPr>
            <w:noProof/>
            <w:webHidden/>
          </w:rPr>
          <w:instrText>Toc366138682</w:instrText>
        </w:r>
        <w:r w:rsidR="002155CF">
          <w:rPr>
            <w:noProof/>
            <w:webHidden/>
          </w:rPr>
          <w:instrText xml:space="preserve"> \h </w:instrText>
        </w:r>
        <w:r w:rsidR="000F550D">
          <w:rPr>
            <w:noProof/>
            <w:webHidden/>
          </w:rPr>
        </w:r>
        <w:r w:rsidR="000F550D">
          <w:rPr>
            <w:noProof/>
            <w:webHidden/>
          </w:rPr>
          <w:fldChar w:fldCharType="separate"/>
        </w:r>
        <w:r w:rsidR="00032E4A">
          <w:rPr>
            <w:noProof/>
            <w:webHidden/>
          </w:rPr>
          <w:t>5</w:t>
        </w:r>
        <w:r w:rsidR="000F550D">
          <w:rPr>
            <w:noProof/>
            <w:webHidden/>
          </w:rPr>
          <w:fldChar w:fldCharType="end"/>
        </w:r>
      </w:hyperlink>
    </w:p>
    <w:p w:rsidR="002155CF" w:rsidRPr="00A84F8A" w:rsidRDefault="0022368E" w:rsidP="00206DD5">
      <w:pPr>
        <w:pStyle w:val="TOC1"/>
        <w:tabs>
          <w:tab w:val="left" w:pos="440"/>
          <w:tab w:val="right" w:leader="dot" w:pos="9350"/>
        </w:tabs>
        <w:spacing w:before="0" w:after="240"/>
        <w:rPr>
          <w:b w:val="0"/>
          <w:bCs w:val="0"/>
          <w:caps w:val="0"/>
          <w:noProof/>
          <w:sz w:val="22"/>
          <w:szCs w:val="22"/>
        </w:rPr>
      </w:pPr>
      <w:hyperlink w:anchor="_Toc366138683" w:history="1">
        <w:r w:rsidR="002155CF" w:rsidRPr="00C011D6">
          <w:rPr>
            <w:rStyle w:val="Hyperlink"/>
            <w:noProof/>
          </w:rPr>
          <w:t>5</w:t>
        </w:r>
        <w:r w:rsidR="002155CF" w:rsidRPr="00A84F8A">
          <w:rPr>
            <w:b w:val="0"/>
            <w:bCs w:val="0"/>
            <w:caps w:val="0"/>
            <w:noProof/>
            <w:sz w:val="22"/>
            <w:szCs w:val="22"/>
          </w:rPr>
          <w:tab/>
        </w:r>
        <w:r w:rsidR="002155CF" w:rsidRPr="00C011D6">
          <w:rPr>
            <w:rStyle w:val="Hyperlink"/>
            <w:noProof/>
          </w:rPr>
          <w:t>Consultations outside the agency</w:t>
        </w:r>
        <w:r w:rsidR="002155CF">
          <w:rPr>
            <w:noProof/>
            <w:webHidden/>
          </w:rPr>
          <w:tab/>
        </w:r>
        <w:r w:rsidR="000F550D">
          <w:rPr>
            <w:noProof/>
            <w:webHidden/>
          </w:rPr>
          <w:fldChar w:fldCharType="begin"/>
        </w:r>
        <w:r w:rsidR="002155CF">
          <w:rPr>
            <w:noProof/>
            <w:webHidden/>
          </w:rPr>
          <w:instrText xml:space="preserve"> PAGEREF _</w:instrText>
        </w:r>
        <w:r w:rsidR="00D51B5C">
          <w:rPr>
            <w:noProof/>
            <w:webHidden/>
          </w:rPr>
          <w:instrText>Toc366138683</w:instrText>
        </w:r>
        <w:r w:rsidR="002155CF">
          <w:rPr>
            <w:noProof/>
            <w:webHidden/>
          </w:rPr>
          <w:instrText xml:space="preserve"> \h </w:instrText>
        </w:r>
        <w:r w:rsidR="000F550D">
          <w:rPr>
            <w:noProof/>
            <w:webHidden/>
          </w:rPr>
        </w:r>
        <w:r w:rsidR="000F550D">
          <w:rPr>
            <w:noProof/>
            <w:webHidden/>
          </w:rPr>
          <w:fldChar w:fldCharType="separate"/>
        </w:r>
        <w:r w:rsidR="00032E4A">
          <w:rPr>
            <w:noProof/>
            <w:webHidden/>
          </w:rPr>
          <w:t>6</w:t>
        </w:r>
        <w:r w:rsidR="000F550D">
          <w:rPr>
            <w:noProof/>
            <w:webHidden/>
          </w:rPr>
          <w:fldChar w:fldCharType="end"/>
        </w:r>
      </w:hyperlink>
    </w:p>
    <w:p w:rsidR="002155CF" w:rsidRPr="00A84F8A" w:rsidRDefault="0022368E" w:rsidP="00206DD5">
      <w:pPr>
        <w:pStyle w:val="TOC1"/>
        <w:tabs>
          <w:tab w:val="left" w:pos="440"/>
          <w:tab w:val="right" w:leader="dot" w:pos="9350"/>
        </w:tabs>
        <w:spacing w:before="0" w:after="240"/>
        <w:rPr>
          <w:b w:val="0"/>
          <w:bCs w:val="0"/>
          <w:caps w:val="0"/>
          <w:noProof/>
          <w:sz w:val="22"/>
          <w:szCs w:val="22"/>
        </w:rPr>
      </w:pPr>
      <w:hyperlink w:anchor="_Toc366138684" w:history="1">
        <w:r w:rsidR="002155CF" w:rsidRPr="00C011D6">
          <w:rPr>
            <w:rStyle w:val="Hyperlink"/>
            <w:noProof/>
          </w:rPr>
          <w:t>6</w:t>
        </w:r>
        <w:r w:rsidR="002155CF" w:rsidRPr="00A84F8A">
          <w:rPr>
            <w:b w:val="0"/>
            <w:bCs w:val="0"/>
            <w:caps w:val="0"/>
            <w:noProof/>
            <w:sz w:val="22"/>
            <w:szCs w:val="22"/>
          </w:rPr>
          <w:tab/>
        </w:r>
        <w:r w:rsidR="002155CF" w:rsidRPr="00C011D6">
          <w:rPr>
            <w:rStyle w:val="Hyperlink"/>
            <w:noProof/>
          </w:rPr>
          <w:t>Justification for Sensitive Questions</w:t>
        </w:r>
        <w:r w:rsidR="002155CF">
          <w:rPr>
            <w:noProof/>
            <w:webHidden/>
          </w:rPr>
          <w:tab/>
        </w:r>
        <w:r w:rsidR="000F550D">
          <w:rPr>
            <w:noProof/>
            <w:webHidden/>
          </w:rPr>
          <w:fldChar w:fldCharType="begin"/>
        </w:r>
        <w:r w:rsidR="002155CF">
          <w:rPr>
            <w:noProof/>
            <w:webHidden/>
          </w:rPr>
          <w:instrText xml:space="preserve"> PAGEREF _</w:instrText>
        </w:r>
        <w:r w:rsidR="00D51B5C">
          <w:rPr>
            <w:noProof/>
            <w:webHidden/>
          </w:rPr>
          <w:instrText>Toc366138684</w:instrText>
        </w:r>
        <w:r w:rsidR="002155CF">
          <w:rPr>
            <w:noProof/>
            <w:webHidden/>
          </w:rPr>
          <w:instrText xml:space="preserve"> \h </w:instrText>
        </w:r>
        <w:r w:rsidR="000F550D">
          <w:rPr>
            <w:noProof/>
            <w:webHidden/>
          </w:rPr>
        </w:r>
        <w:r w:rsidR="000F550D">
          <w:rPr>
            <w:noProof/>
            <w:webHidden/>
          </w:rPr>
          <w:fldChar w:fldCharType="separate"/>
        </w:r>
        <w:r w:rsidR="00032E4A">
          <w:rPr>
            <w:noProof/>
            <w:webHidden/>
          </w:rPr>
          <w:t>6</w:t>
        </w:r>
        <w:r w:rsidR="000F550D">
          <w:rPr>
            <w:noProof/>
            <w:webHidden/>
          </w:rPr>
          <w:fldChar w:fldCharType="end"/>
        </w:r>
      </w:hyperlink>
    </w:p>
    <w:p w:rsidR="002155CF" w:rsidRPr="00A84F8A" w:rsidRDefault="0022368E" w:rsidP="00206DD5">
      <w:pPr>
        <w:pStyle w:val="TOC1"/>
        <w:tabs>
          <w:tab w:val="left" w:pos="440"/>
          <w:tab w:val="right" w:leader="dot" w:pos="9350"/>
        </w:tabs>
        <w:spacing w:before="0" w:after="240"/>
        <w:rPr>
          <w:b w:val="0"/>
          <w:bCs w:val="0"/>
          <w:caps w:val="0"/>
          <w:noProof/>
          <w:sz w:val="22"/>
          <w:szCs w:val="22"/>
        </w:rPr>
      </w:pPr>
      <w:hyperlink w:anchor="_Toc366138685" w:history="1">
        <w:r w:rsidR="002155CF" w:rsidRPr="00C011D6">
          <w:rPr>
            <w:rStyle w:val="Hyperlink"/>
            <w:noProof/>
          </w:rPr>
          <w:t>7</w:t>
        </w:r>
        <w:r w:rsidR="002155CF" w:rsidRPr="00A84F8A">
          <w:rPr>
            <w:b w:val="0"/>
            <w:bCs w:val="0"/>
            <w:caps w:val="0"/>
            <w:noProof/>
            <w:sz w:val="22"/>
            <w:szCs w:val="22"/>
          </w:rPr>
          <w:tab/>
        </w:r>
        <w:r w:rsidR="002155CF" w:rsidRPr="00C011D6">
          <w:rPr>
            <w:rStyle w:val="Hyperlink"/>
            <w:noProof/>
          </w:rPr>
          <w:t>Paying Respondents</w:t>
        </w:r>
        <w:r w:rsidR="002155CF">
          <w:rPr>
            <w:noProof/>
            <w:webHidden/>
          </w:rPr>
          <w:tab/>
        </w:r>
        <w:r w:rsidR="000F550D">
          <w:rPr>
            <w:noProof/>
            <w:webHidden/>
          </w:rPr>
          <w:fldChar w:fldCharType="begin"/>
        </w:r>
        <w:r w:rsidR="002155CF">
          <w:rPr>
            <w:noProof/>
            <w:webHidden/>
          </w:rPr>
          <w:instrText xml:space="preserve"> PAGEREF _</w:instrText>
        </w:r>
        <w:r w:rsidR="00D51B5C">
          <w:rPr>
            <w:noProof/>
            <w:webHidden/>
          </w:rPr>
          <w:instrText>Toc366138685</w:instrText>
        </w:r>
        <w:r w:rsidR="002155CF">
          <w:rPr>
            <w:noProof/>
            <w:webHidden/>
          </w:rPr>
          <w:instrText xml:space="preserve"> \h </w:instrText>
        </w:r>
        <w:r w:rsidR="000F550D">
          <w:rPr>
            <w:noProof/>
            <w:webHidden/>
          </w:rPr>
        </w:r>
        <w:r w:rsidR="000F550D">
          <w:rPr>
            <w:noProof/>
            <w:webHidden/>
          </w:rPr>
          <w:fldChar w:fldCharType="separate"/>
        </w:r>
        <w:r w:rsidR="00032E4A">
          <w:rPr>
            <w:noProof/>
            <w:webHidden/>
          </w:rPr>
          <w:t>6</w:t>
        </w:r>
        <w:r w:rsidR="000F550D">
          <w:rPr>
            <w:noProof/>
            <w:webHidden/>
          </w:rPr>
          <w:fldChar w:fldCharType="end"/>
        </w:r>
      </w:hyperlink>
    </w:p>
    <w:p w:rsidR="002155CF" w:rsidRPr="00A84F8A" w:rsidRDefault="0022368E" w:rsidP="00206DD5">
      <w:pPr>
        <w:pStyle w:val="TOC1"/>
        <w:tabs>
          <w:tab w:val="left" w:pos="440"/>
          <w:tab w:val="right" w:leader="dot" w:pos="9350"/>
        </w:tabs>
        <w:spacing w:before="0" w:after="240"/>
        <w:rPr>
          <w:b w:val="0"/>
          <w:bCs w:val="0"/>
          <w:caps w:val="0"/>
          <w:noProof/>
          <w:sz w:val="22"/>
          <w:szCs w:val="22"/>
        </w:rPr>
      </w:pPr>
      <w:hyperlink w:anchor="_Toc366138686" w:history="1">
        <w:r w:rsidR="002155CF" w:rsidRPr="00C011D6">
          <w:rPr>
            <w:rStyle w:val="Hyperlink"/>
            <w:noProof/>
          </w:rPr>
          <w:t>8</w:t>
        </w:r>
        <w:r w:rsidR="002155CF" w:rsidRPr="00A84F8A">
          <w:rPr>
            <w:b w:val="0"/>
            <w:bCs w:val="0"/>
            <w:caps w:val="0"/>
            <w:noProof/>
            <w:sz w:val="22"/>
            <w:szCs w:val="22"/>
          </w:rPr>
          <w:tab/>
        </w:r>
        <w:r w:rsidR="002155CF" w:rsidRPr="00C011D6">
          <w:rPr>
            <w:rStyle w:val="Hyperlink"/>
            <w:noProof/>
          </w:rPr>
          <w:t>Assurance of Confidentiality</w:t>
        </w:r>
        <w:r w:rsidR="002155CF">
          <w:rPr>
            <w:noProof/>
            <w:webHidden/>
          </w:rPr>
          <w:tab/>
        </w:r>
        <w:r w:rsidR="000F550D">
          <w:rPr>
            <w:noProof/>
            <w:webHidden/>
          </w:rPr>
          <w:fldChar w:fldCharType="begin"/>
        </w:r>
        <w:r w:rsidR="002155CF">
          <w:rPr>
            <w:noProof/>
            <w:webHidden/>
          </w:rPr>
          <w:instrText xml:space="preserve"> PAGEREF _</w:instrText>
        </w:r>
        <w:r w:rsidR="00D51B5C">
          <w:rPr>
            <w:noProof/>
            <w:webHidden/>
          </w:rPr>
          <w:instrText>Toc366138686</w:instrText>
        </w:r>
        <w:r w:rsidR="002155CF">
          <w:rPr>
            <w:noProof/>
            <w:webHidden/>
          </w:rPr>
          <w:instrText xml:space="preserve"> \h </w:instrText>
        </w:r>
        <w:r w:rsidR="000F550D">
          <w:rPr>
            <w:noProof/>
            <w:webHidden/>
          </w:rPr>
        </w:r>
        <w:r w:rsidR="000F550D">
          <w:rPr>
            <w:noProof/>
            <w:webHidden/>
          </w:rPr>
          <w:fldChar w:fldCharType="separate"/>
        </w:r>
        <w:r w:rsidR="00032E4A">
          <w:rPr>
            <w:noProof/>
            <w:webHidden/>
          </w:rPr>
          <w:t>6</w:t>
        </w:r>
        <w:r w:rsidR="000F550D">
          <w:rPr>
            <w:noProof/>
            <w:webHidden/>
          </w:rPr>
          <w:fldChar w:fldCharType="end"/>
        </w:r>
      </w:hyperlink>
    </w:p>
    <w:p w:rsidR="002155CF" w:rsidRPr="00A84F8A" w:rsidRDefault="0022368E" w:rsidP="00206DD5">
      <w:pPr>
        <w:pStyle w:val="TOC1"/>
        <w:tabs>
          <w:tab w:val="left" w:pos="440"/>
          <w:tab w:val="right" w:leader="dot" w:pos="9350"/>
        </w:tabs>
        <w:spacing w:before="0" w:after="240"/>
        <w:rPr>
          <w:b w:val="0"/>
          <w:bCs w:val="0"/>
          <w:caps w:val="0"/>
          <w:noProof/>
          <w:sz w:val="22"/>
          <w:szCs w:val="22"/>
        </w:rPr>
      </w:pPr>
      <w:hyperlink w:anchor="_Toc366138687" w:history="1">
        <w:r w:rsidR="002155CF" w:rsidRPr="00C011D6">
          <w:rPr>
            <w:rStyle w:val="Hyperlink"/>
            <w:noProof/>
          </w:rPr>
          <w:t>9</w:t>
        </w:r>
        <w:r w:rsidR="002155CF" w:rsidRPr="00A84F8A">
          <w:rPr>
            <w:b w:val="0"/>
            <w:bCs w:val="0"/>
            <w:caps w:val="0"/>
            <w:noProof/>
            <w:sz w:val="22"/>
            <w:szCs w:val="22"/>
          </w:rPr>
          <w:tab/>
        </w:r>
        <w:r w:rsidR="002155CF" w:rsidRPr="00C011D6">
          <w:rPr>
            <w:rStyle w:val="Hyperlink"/>
            <w:noProof/>
          </w:rPr>
          <w:t>Estimate of Hourly burden</w:t>
        </w:r>
        <w:r w:rsidR="002155CF">
          <w:rPr>
            <w:noProof/>
            <w:webHidden/>
          </w:rPr>
          <w:tab/>
        </w:r>
        <w:r w:rsidR="000F550D">
          <w:rPr>
            <w:noProof/>
            <w:webHidden/>
          </w:rPr>
          <w:fldChar w:fldCharType="begin"/>
        </w:r>
        <w:r w:rsidR="002155CF">
          <w:rPr>
            <w:noProof/>
            <w:webHidden/>
          </w:rPr>
          <w:instrText xml:space="preserve"> PAGEREF _</w:instrText>
        </w:r>
        <w:r w:rsidR="00D51B5C">
          <w:rPr>
            <w:noProof/>
            <w:webHidden/>
          </w:rPr>
          <w:instrText>Toc366138687</w:instrText>
        </w:r>
        <w:r w:rsidR="002155CF">
          <w:rPr>
            <w:noProof/>
            <w:webHidden/>
          </w:rPr>
          <w:instrText xml:space="preserve"> \h </w:instrText>
        </w:r>
        <w:r w:rsidR="000F550D">
          <w:rPr>
            <w:noProof/>
            <w:webHidden/>
          </w:rPr>
        </w:r>
        <w:r w:rsidR="000F550D">
          <w:rPr>
            <w:noProof/>
            <w:webHidden/>
          </w:rPr>
          <w:fldChar w:fldCharType="separate"/>
        </w:r>
        <w:r w:rsidR="00032E4A">
          <w:rPr>
            <w:noProof/>
            <w:webHidden/>
          </w:rPr>
          <w:t>7</w:t>
        </w:r>
        <w:r w:rsidR="000F550D">
          <w:rPr>
            <w:noProof/>
            <w:webHidden/>
          </w:rPr>
          <w:fldChar w:fldCharType="end"/>
        </w:r>
      </w:hyperlink>
    </w:p>
    <w:p w:rsidR="002155CF" w:rsidRPr="00A84F8A" w:rsidRDefault="0022368E" w:rsidP="00206DD5">
      <w:pPr>
        <w:pStyle w:val="TOC1"/>
        <w:tabs>
          <w:tab w:val="left" w:pos="440"/>
          <w:tab w:val="right" w:leader="dot" w:pos="9350"/>
        </w:tabs>
        <w:spacing w:before="0" w:after="240"/>
        <w:rPr>
          <w:b w:val="0"/>
          <w:bCs w:val="0"/>
          <w:caps w:val="0"/>
          <w:noProof/>
          <w:sz w:val="22"/>
          <w:szCs w:val="22"/>
        </w:rPr>
      </w:pPr>
      <w:hyperlink w:anchor="_Toc366138688" w:history="1">
        <w:r w:rsidR="002155CF" w:rsidRPr="00C011D6">
          <w:rPr>
            <w:rStyle w:val="Hyperlink"/>
            <w:noProof/>
          </w:rPr>
          <w:t>10</w:t>
        </w:r>
        <w:r w:rsidR="002155CF" w:rsidRPr="00A84F8A">
          <w:rPr>
            <w:b w:val="0"/>
            <w:bCs w:val="0"/>
            <w:caps w:val="0"/>
            <w:noProof/>
            <w:sz w:val="22"/>
            <w:szCs w:val="22"/>
          </w:rPr>
          <w:tab/>
        </w:r>
        <w:r w:rsidR="002155CF" w:rsidRPr="00C011D6">
          <w:rPr>
            <w:rStyle w:val="Hyperlink"/>
            <w:noProof/>
          </w:rPr>
          <w:t>Cost to federal government</w:t>
        </w:r>
        <w:r w:rsidR="002155CF">
          <w:rPr>
            <w:noProof/>
            <w:webHidden/>
          </w:rPr>
          <w:tab/>
        </w:r>
        <w:r w:rsidR="000F550D">
          <w:rPr>
            <w:noProof/>
            <w:webHidden/>
          </w:rPr>
          <w:fldChar w:fldCharType="begin"/>
        </w:r>
        <w:r w:rsidR="002155CF">
          <w:rPr>
            <w:noProof/>
            <w:webHidden/>
          </w:rPr>
          <w:instrText xml:space="preserve"> PAGEREF _</w:instrText>
        </w:r>
        <w:r w:rsidR="00D51B5C">
          <w:rPr>
            <w:noProof/>
            <w:webHidden/>
          </w:rPr>
          <w:instrText>Toc366138688</w:instrText>
        </w:r>
        <w:r w:rsidR="002155CF">
          <w:rPr>
            <w:noProof/>
            <w:webHidden/>
          </w:rPr>
          <w:instrText xml:space="preserve"> \h </w:instrText>
        </w:r>
        <w:r w:rsidR="000F550D">
          <w:rPr>
            <w:noProof/>
            <w:webHidden/>
          </w:rPr>
        </w:r>
        <w:r w:rsidR="000F550D">
          <w:rPr>
            <w:noProof/>
            <w:webHidden/>
          </w:rPr>
          <w:fldChar w:fldCharType="separate"/>
        </w:r>
        <w:r w:rsidR="00032E4A">
          <w:rPr>
            <w:noProof/>
            <w:webHidden/>
          </w:rPr>
          <w:t>8</w:t>
        </w:r>
        <w:r w:rsidR="000F550D">
          <w:rPr>
            <w:noProof/>
            <w:webHidden/>
          </w:rPr>
          <w:fldChar w:fldCharType="end"/>
        </w:r>
      </w:hyperlink>
    </w:p>
    <w:p w:rsidR="002155CF" w:rsidRPr="00A84F8A" w:rsidRDefault="0022368E" w:rsidP="00206DD5">
      <w:pPr>
        <w:pStyle w:val="TOC1"/>
        <w:tabs>
          <w:tab w:val="left" w:pos="440"/>
          <w:tab w:val="right" w:leader="dot" w:pos="9350"/>
        </w:tabs>
        <w:spacing w:before="0" w:after="240"/>
        <w:rPr>
          <w:b w:val="0"/>
          <w:bCs w:val="0"/>
          <w:caps w:val="0"/>
          <w:noProof/>
          <w:sz w:val="22"/>
          <w:szCs w:val="22"/>
        </w:rPr>
      </w:pPr>
      <w:hyperlink w:anchor="_Toc366138689" w:history="1">
        <w:r w:rsidR="002155CF" w:rsidRPr="00C011D6">
          <w:rPr>
            <w:rStyle w:val="Hyperlink"/>
            <w:noProof/>
          </w:rPr>
          <w:t>11</w:t>
        </w:r>
        <w:r w:rsidR="002155CF" w:rsidRPr="00A84F8A">
          <w:rPr>
            <w:b w:val="0"/>
            <w:bCs w:val="0"/>
            <w:caps w:val="0"/>
            <w:noProof/>
            <w:sz w:val="22"/>
            <w:szCs w:val="22"/>
          </w:rPr>
          <w:tab/>
        </w:r>
        <w:r w:rsidR="002155CF" w:rsidRPr="00C011D6">
          <w:rPr>
            <w:rStyle w:val="Hyperlink"/>
            <w:noProof/>
          </w:rPr>
          <w:t>Project Schedule</w:t>
        </w:r>
        <w:r w:rsidR="002155CF">
          <w:rPr>
            <w:noProof/>
            <w:webHidden/>
          </w:rPr>
          <w:tab/>
        </w:r>
        <w:r w:rsidR="000F550D">
          <w:rPr>
            <w:noProof/>
            <w:webHidden/>
          </w:rPr>
          <w:fldChar w:fldCharType="begin"/>
        </w:r>
        <w:r w:rsidR="002155CF">
          <w:rPr>
            <w:noProof/>
            <w:webHidden/>
          </w:rPr>
          <w:instrText xml:space="preserve"> PAGEREF _</w:instrText>
        </w:r>
        <w:r w:rsidR="00D51B5C">
          <w:rPr>
            <w:noProof/>
            <w:webHidden/>
          </w:rPr>
          <w:instrText>Toc366138689</w:instrText>
        </w:r>
        <w:r w:rsidR="002155CF">
          <w:rPr>
            <w:noProof/>
            <w:webHidden/>
          </w:rPr>
          <w:instrText xml:space="preserve"> \h </w:instrText>
        </w:r>
        <w:r w:rsidR="000F550D">
          <w:rPr>
            <w:noProof/>
            <w:webHidden/>
          </w:rPr>
        </w:r>
        <w:r w:rsidR="000F550D">
          <w:rPr>
            <w:noProof/>
            <w:webHidden/>
          </w:rPr>
          <w:fldChar w:fldCharType="separate"/>
        </w:r>
        <w:r w:rsidR="00032E4A">
          <w:rPr>
            <w:noProof/>
            <w:webHidden/>
          </w:rPr>
          <w:t>8</w:t>
        </w:r>
        <w:r w:rsidR="000F550D">
          <w:rPr>
            <w:noProof/>
            <w:webHidden/>
          </w:rPr>
          <w:fldChar w:fldCharType="end"/>
        </w:r>
      </w:hyperlink>
    </w:p>
    <w:p w:rsidR="002155CF" w:rsidRDefault="000F550D" w:rsidP="00206DD5">
      <w:pPr>
        <w:pStyle w:val="TOCHeading"/>
        <w:spacing w:before="0" w:after="240"/>
      </w:pPr>
      <w:r>
        <w:rPr>
          <w:smallCaps/>
        </w:rPr>
        <w:fldChar w:fldCharType="end"/>
      </w:r>
      <w:r w:rsidR="002155CF" w:rsidDel="007B6F0F">
        <w:t xml:space="preserve"> </w:t>
      </w:r>
    </w:p>
    <w:p w:rsidR="002155CF" w:rsidRDefault="002155CF" w:rsidP="00DD2CE8"/>
    <w:p w:rsidR="009112D3" w:rsidRDefault="009112D3" w:rsidP="00DD2CE8"/>
    <w:p w:rsidR="009112D3" w:rsidRDefault="009112D3" w:rsidP="009112D3">
      <w:pPr>
        <w:spacing w:after="120"/>
      </w:pPr>
      <w:r>
        <w:t>Appendix A: Sample School Contact Script</w:t>
      </w:r>
    </w:p>
    <w:p w:rsidR="009112D3" w:rsidRDefault="009112D3" w:rsidP="009112D3">
      <w:pPr>
        <w:spacing w:after="120"/>
      </w:pPr>
      <w:r>
        <w:t>Appendix B: Sample Parent/Guardian Notification Letter</w:t>
      </w:r>
    </w:p>
    <w:p w:rsidR="009112D3" w:rsidRDefault="009112D3" w:rsidP="009112D3">
      <w:pPr>
        <w:spacing w:after="120"/>
        <w:sectPr w:rsidR="009112D3" w:rsidSect="00CB5BC0">
          <w:footerReference w:type="default" r:id="rId14"/>
          <w:headerReference w:type="first" r:id="rId15"/>
          <w:footerReference w:type="first" r:id="rId16"/>
          <w:pgSz w:w="12240" w:h="15840"/>
          <w:pgMar w:top="1440" w:right="1440" w:bottom="1440" w:left="1440" w:header="720" w:footer="720" w:gutter="0"/>
          <w:pgNumType w:fmt="lowerRoman" w:start="1"/>
          <w:cols w:space="720"/>
          <w:titlePg/>
          <w:docGrid w:linePitch="360"/>
        </w:sectPr>
      </w:pPr>
      <w:r>
        <w:t>Appendix C: Sample School Debriefing Script</w:t>
      </w:r>
      <w:bookmarkStart w:id="0" w:name="_GoBack"/>
      <w:bookmarkEnd w:id="0"/>
    </w:p>
    <w:p w:rsidR="00206DD5" w:rsidRDefault="00206DD5" w:rsidP="00206DD5">
      <w:pPr>
        <w:pStyle w:val="aHeading1"/>
        <w:numPr>
          <w:ilvl w:val="0"/>
          <w:numId w:val="0"/>
        </w:numPr>
        <w:ind w:left="432" w:hanging="432"/>
      </w:pPr>
      <w:bookmarkStart w:id="1" w:name="_Toc365710612"/>
      <w:bookmarkStart w:id="2" w:name="_Toc366138679"/>
    </w:p>
    <w:p w:rsidR="002155CF" w:rsidRDefault="002155CF" w:rsidP="00D66324">
      <w:pPr>
        <w:pStyle w:val="aHeading1"/>
      </w:pPr>
      <w:r>
        <w:t>Submittal-Related Information</w:t>
      </w:r>
      <w:bookmarkEnd w:id="1"/>
      <w:bookmarkEnd w:id="2"/>
    </w:p>
    <w:p w:rsidR="002155CF" w:rsidRPr="00D66324" w:rsidRDefault="002155CF" w:rsidP="002B25F9">
      <w:r w:rsidRPr="002B25F9">
        <w:t>This material is being submitted under the generic National Center for Education Statistics (NCES) clearance agreement (OMB #1850-0803) that provides for NCES to conduct various procedures (such as field tests</w:t>
      </w:r>
      <w:r>
        <w:t xml:space="preserve">, </w:t>
      </w:r>
      <w:r w:rsidRPr="002B25F9">
        <w:t>cognitive interviews</w:t>
      </w:r>
      <w:r>
        <w:t>, usability studies</w:t>
      </w:r>
      <w:r w:rsidRPr="002B25F9">
        <w:t>) to test new methodologies, question types, or delivery methods to improve survey and assessment instruments</w:t>
      </w:r>
      <w:r>
        <w:t>.</w:t>
      </w:r>
    </w:p>
    <w:p w:rsidR="002155CF" w:rsidRPr="009544D6" w:rsidRDefault="002155CF" w:rsidP="005E4E21">
      <w:pPr>
        <w:pStyle w:val="aHeading1"/>
      </w:pPr>
      <w:bookmarkStart w:id="3" w:name="_Toc343777859"/>
      <w:bookmarkStart w:id="4" w:name="_Toc343777945"/>
      <w:bookmarkStart w:id="5" w:name="_Toc343778037"/>
      <w:bookmarkStart w:id="6" w:name="_Toc343778129"/>
      <w:bookmarkStart w:id="7" w:name="_Toc343778229"/>
      <w:bookmarkStart w:id="8" w:name="_Toc343778319"/>
      <w:bookmarkStart w:id="9" w:name="_Toc343778966"/>
      <w:bookmarkStart w:id="10" w:name="_Toc343779079"/>
      <w:bookmarkStart w:id="11" w:name="_Toc343779198"/>
      <w:bookmarkStart w:id="12" w:name="_Toc343779311"/>
      <w:bookmarkStart w:id="13" w:name="_Toc343785726"/>
      <w:bookmarkStart w:id="14" w:name="_Toc343850439"/>
      <w:bookmarkStart w:id="15" w:name="_Toc343850957"/>
      <w:bookmarkStart w:id="16" w:name="_Toc343862903"/>
      <w:bookmarkStart w:id="17" w:name="_Toc343863093"/>
      <w:bookmarkStart w:id="18" w:name="_Toc365710613"/>
      <w:bookmarkStart w:id="19" w:name="_Toc36613868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t xml:space="preserve">Background </w:t>
      </w:r>
      <w:smartTag w:uri="urn:schemas-microsoft-com:office:smarttags" w:element="stockticker">
        <w:r>
          <w:t>and</w:t>
        </w:r>
      </w:smartTag>
      <w:r>
        <w:t xml:space="preserve"> Study Rationale</w:t>
      </w:r>
      <w:bookmarkEnd w:id="18"/>
      <w:bookmarkEnd w:id="19"/>
    </w:p>
    <w:p w:rsidR="002155CF" w:rsidRDefault="002155CF" w:rsidP="008A796E">
      <w:r w:rsidRPr="003854DE">
        <w:rPr>
          <w:rStyle w:val="StyleTimesNewRoman"/>
          <w:sz w:val="22"/>
        </w:rPr>
        <w:t xml:space="preserve">The National Assessment of Educational Progress (NAEP) is a federally authorized survey of student achievement at grades 4, 8, and 12 in various subject areas, such as mathematics, reading, writing, science, </w:t>
      </w:r>
      <w:smartTag w:uri="urn:schemas-microsoft-com:office:smarttags" w:element="country-region">
        <w:smartTag w:uri="urn:schemas-microsoft-com:office:smarttags" w:element="place">
          <w:r w:rsidRPr="003854DE">
            <w:rPr>
              <w:rStyle w:val="StyleTimesNewRoman"/>
              <w:sz w:val="22"/>
            </w:rPr>
            <w:t>U.S.</w:t>
          </w:r>
        </w:smartTag>
      </w:smartTag>
      <w:r w:rsidRPr="003854DE">
        <w:rPr>
          <w:rStyle w:val="StyleTimesNewRoman"/>
          <w:sz w:val="22"/>
        </w:rPr>
        <w:t xml:space="preserve"> history, civics, geography, economics, and the arts. NAEP is administered by NCES, part of the Institute for Education Sciences, in the U.S. Department of Education. NAEP’s primary purpose is to assess student achievement in the various subject areas and to also collect </w:t>
      </w:r>
      <w:r w:rsidR="001E5CDA">
        <w:rPr>
          <w:rStyle w:val="StyleTimesNewRoman"/>
          <w:sz w:val="22"/>
        </w:rPr>
        <w:t>survey</w:t>
      </w:r>
      <w:r w:rsidR="001E5CDA" w:rsidRPr="003854DE">
        <w:rPr>
          <w:rStyle w:val="StyleTimesNewRoman"/>
          <w:sz w:val="22"/>
        </w:rPr>
        <w:t xml:space="preserve"> </w:t>
      </w:r>
      <w:r w:rsidRPr="003854DE">
        <w:rPr>
          <w:rStyle w:val="StyleTimesNewRoman"/>
          <w:sz w:val="22"/>
        </w:rPr>
        <w:t xml:space="preserve">questionnaire (i.e., non-cognitive) data to provide context for the </w:t>
      </w:r>
      <w:r w:rsidRPr="003B631E">
        <w:t xml:space="preserve">reporting and interpretation of assessment results. </w:t>
      </w:r>
    </w:p>
    <w:p w:rsidR="009207FD" w:rsidRDefault="009207FD" w:rsidP="009207FD">
      <w:r w:rsidRPr="009207FD">
        <w:t xml:space="preserve">NAEP has been assessing science at grades 4, 8, and 12 since 1969. The first assessments were administered via paper-and-pencil, and they have since evolved to include interactive computer tasks (ICTs) and hands-on </w:t>
      </w:r>
      <w:r w:rsidR="004A3BA4">
        <w:t xml:space="preserve">performance </w:t>
      </w:r>
      <w:r w:rsidRPr="009207FD">
        <w:t xml:space="preserve">tasks (HOTs). ICTs challenge students to solve scientific problems, often by simulations. They allow students to demonstrate the skills involved in solving problems through scientific investigations without the logistical constraints associated with a natural or laboratory setting. Through HOTs, students have the opportunity to physically manipulate objects and perform </w:t>
      </w:r>
      <w:r w:rsidR="004A3BA4">
        <w:t>scientific investigations</w:t>
      </w:r>
      <w:r w:rsidRPr="009207FD">
        <w:t xml:space="preserve">. Each </w:t>
      </w:r>
      <w:r w:rsidR="00C13654">
        <w:t xml:space="preserve">hands-on </w:t>
      </w:r>
      <w:r w:rsidRPr="009207FD">
        <w:t>task allows students to demonstrate how well they are able to plan and conduct scientific investigations, reason through complex problems, and apply their knowledge in real-world contexts.</w:t>
      </w:r>
      <w:r w:rsidRPr="00254F8A">
        <w:rPr>
          <w:rStyle w:val="FootnoteReference"/>
          <w:rFonts w:asciiTheme="minorHAnsi" w:hAnsiTheme="minorHAnsi" w:cstheme="minorHAnsi"/>
        </w:rPr>
        <w:footnoteReference w:id="1"/>
      </w:r>
    </w:p>
    <w:p w:rsidR="00AA52F0" w:rsidRDefault="00AA52F0" w:rsidP="00AA52F0">
      <w:r w:rsidRPr="00616F00">
        <w:t>As digital tools continue to play an important role in today’s classroom, NCES is exploring new ways to use technology</w:t>
      </w:r>
      <w:r>
        <w:t>—</w:t>
      </w:r>
      <w:r w:rsidRPr="00616F00">
        <w:t xml:space="preserve">including </w:t>
      </w:r>
      <w:r w:rsidR="00CB5BC0">
        <w:t xml:space="preserve">tablets or other </w:t>
      </w:r>
      <w:r w:rsidRPr="00616F00">
        <w:t>touch-enabled devices</w:t>
      </w:r>
      <w:r>
        <w:t>—</w:t>
      </w:r>
      <w:r w:rsidRPr="00616F00">
        <w:t xml:space="preserve">to </w:t>
      </w:r>
      <w:r>
        <w:t>gauge</w:t>
      </w:r>
      <w:r w:rsidRPr="00616F00">
        <w:t xml:space="preserve"> what students know and can do.</w:t>
      </w:r>
      <w:r>
        <w:t xml:space="preserve"> This study will help inform how NCES can use and maximize touch-enabled devices to capture how students respond to scientific challenges in ICTs and HOTs. It will also allow NCES to explore the logistical challenges related to administering NAEP assessments on touch-enabled devices.</w:t>
      </w:r>
    </w:p>
    <w:p w:rsidR="00AF404C" w:rsidRDefault="00AF404C" w:rsidP="00AF404C">
      <w:r w:rsidRPr="003B631E">
        <w:t xml:space="preserve">Previously, </w:t>
      </w:r>
      <w:r>
        <w:t xml:space="preserve">NAEP </w:t>
      </w:r>
      <w:proofErr w:type="gramStart"/>
      <w:r w:rsidR="004A3BA4">
        <w:t xml:space="preserve">science </w:t>
      </w:r>
      <w:r w:rsidR="004A3BA4" w:rsidRPr="003B631E">
        <w:t xml:space="preserve">ICTs </w:t>
      </w:r>
      <w:r w:rsidRPr="003B631E">
        <w:t>were</w:t>
      </w:r>
      <w:proofErr w:type="gramEnd"/>
      <w:r w:rsidRPr="003B631E">
        <w:t xml:space="preserve"> administered on a computer</w:t>
      </w:r>
      <w:r>
        <w:t xml:space="preserve"> without touch-screen capabilities</w:t>
      </w:r>
      <w:r w:rsidRPr="003B631E">
        <w:t xml:space="preserve">. For this </w:t>
      </w:r>
      <w:r>
        <w:t>study</w:t>
      </w:r>
      <w:r w:rsidRPr="003B631E">
        <w:t xml:space="preserve">, ICTs will be administered on </w:t>
      </w:r>
      <w:r>
        <w:t>touch-</w:t>
      </w:r>
      <w:r w:rsidR="00C13654">
        <w:t xml:space="preserve">enabled </w:t>
      </w:r>
      <w:r>
        <w:t>devices</w:t>
      </w:r>
      <w:r w:rsidRPr="003B631E">
        <w:t>.</w:t>
      </w:r>
      <w:r>
        <w:t xml:space="preserve"> In addition, </w:t>
      </w:r>
      <w:r w:rsidDel="004A3BA4">
        <w:t xml:space="preserve">NAEP has previously administered science HOTs in which students </w:t>
      </w:r>
      <w:r w:rsidRPr="003B631E" w:rsidDel="004A3BA4">
        <w:t>work</w:t>
      </w:r>
      <w:r w:rsidDel="004A3BA4">
        <w:t>ed</w:t>
      </w:r>
      <w:r w:rsidRPr="003B631E" w:rsidDel="004A3BA4">
        <w:t xml:space="preserve"> with laboratory materials and other equipment to pe</w:t>
      </w:r>
      <w:r w:rsidDel="004A3BA4">
        <w:t>rform scientific investigations, while receiving instructions and recording their responses using paper-and-pencil booklets.</w:t>
      </w:r>
      <w:r w:rsidRPr="003B631E" w:rsidDel="004A3BA4">
        <w:t xml:space="preserve"> </w:t>
      </w:r>
      <w:r w:rsidDel="004A3BA4">
        <w:t xml:space="preserve">For this study, students will continue to complete HOTs by working with laboratory materials and performing scientific investigations, but they will </w:t>
      </w:r>
      <w:r w:rsidRPr="003B631E" w:rsidDel="004A3BA4">
        <w:t xml:space="preserve">use a </w:t>
      </w:r>
      <w:r w:rsidDel="004A3BA4">
        <w:t>touch-</w:t>
      </w:r>
      <w:r w:rsidR="00C13654">
        <w:t xml:space="preserve">enabled </w:t>
      </w:r>
      <w:r w:rsidDel="004A3BA4">
        <w:t>device rather than a paper-and-pencil booklet</w:t>
      </w:r>
      <w:r w:rsidRPr="003B631E" w:rsidDel="004A3BA4">
        <w:t xml:space="preserve"> to receive directions, record results, and respond to questions.</w:t>
      </w:r>
      <w:r w:rsidDel="004A3BA4">
        <w:t xml:space="preserve"> </w:t>
      </w:r>
      <w:r>
        <w:t>Finally, NAEP has previously administered ICTs and HOTs to separate samples of students. For this study, students will respond to both types of tasks in one sitting.</w:t>
      </w:r>
    </w:p>
    <w:p w:rsidR="001F477A" w:rsidRDefault="001E5CDA" w:rsidP="00616F00">
      <w:r>
        <w:lastRenderedPageBreak/>
        <w:t>Ano</w:t>
      </w:r>
      <w:r w:rsidR="001F477A">
        <w:t>ther NAEP</w:t>
      </w:r>
      <w:r w:rsidR="00920B78">
        <w:t xml:space="preserve"> stud</w:t>
      </w:r>
      <w:r>
        <w:t>y</w:t>
      </w:r>
      <w:r w:rsidR="003D45E3">
        <w:rPr>
          <w:rStyle w:val="FootnoteReference"/>
        </w:rPr>
        <w:footnoteReference w:id="2"/>
      </w:r>
      <w:r w:rsidR="004A3BA4">
        <w:t xml:space="preserve"> </w:t>
      </w:r>
      <w:r>
        <w:t xml:space="preserve">is </w:t>
      </w:r>
      <w:r w:rsidR="001F477A">
        <w:t>examining</w:t>
      </w:r>
      <w:r w:rsidR="00920B78">
        <w:t xml:space="preserve"> the usability implications of administering on touch-</w:t>
      </w:r>
      <w:r w:rsidR="00C13654">
        <w:t xml:space="preserve">enabled </w:t>
      </w:r>
      <w:r w:rsidR="00920B78">
        <w:t>devices, e.g., the impact of changes in screen size and input device (touch screen vs. mouse) on students’ ability to interact with assessment items. In this</w:t>
      </w:r>
      <w:r w:rsidR="003B631E">
        <w:t xml:space="preserve"> study, NCES </w:t>
      </w:r>
      <w:r w:rsidR="00AA52F0">
        <w:t>will</w:t>
      </w:r>
      <w:r w:rsidR="003B631E">
        <w:t xml:space="preserve"> </w:t>
      </w:r>
    </w:p>
    <w:p w:rsidR="00EE5875" w:rsidRDefault="00743395" w:rsidP="00743395">
      <w:pPr>
        <w:numPr>
          <w:ilvl w:val="0"/>
          <w:numId w:val="38"/>
        </w:numPr>
      </w:pPr>
      <w:r>
        <w:t xml:space="preserve">examine the administration implications of administering </w:t>
      </w:r>
      <w:r w:rsidR="003B631E">
        <w:t>ICTs and HOTs on touch-</w:t>
      </w:r>
      <w:r w:rsidR="000E5EA7" w:rsidRPr="000E5EA7">
        <w:t xml:space="preserve"> </w:t>
      </w:r>
      <w:r w:rsidR="000E5EA7">
        <w:t xml:space="preserve">enabled </w:t>
      </w:r>
      <w:r w:rsidR="003B631E">
        <w:t>devices</w:t>
      </w:r>
      <w:r w:rsidR="00EE5875">
        <w:t>;</w:t>
      </w:r>
    </w:p>
    <w:p w:rsidR="00743395" w:rsidRDefault="00EE5875" w:rsidP="00743395">
      <w:pPr>
        <w:numPr>
          <w:ilvl w:val="0"/>
          <w:numId w:val="38"/>
        </w:numPr>
      </w:pPr>
      <w:r>
        <w:t>examine the administration implications of administering</w:t>
      </w:r>
      <w:r w:rsidR="00743395">
        <w:t xml:space="preserve"> HOTs that combine interactions with laboratory materials and touch-</w:t>
      </w:r>
      <w:r w:rsidR="000E5EA7">
        <w:t xml:space="preserve">enabled </w:t>
      </w:r>
      <w:r w:rsidR="00743395">
        <w:t>devices;</w:t>
      </w:r>
    </w:p>
    <w:p w:rsidR="00743395" w:rsidRDefault="00743395" w:rsidP="00743395">
      <w:pPr>
        <w:numPr>
          <w:ilvl w:val="0"/>
          <w:numId w:val="38"/>
        </w:numPr>
      </w:pPr>
      <w:r>
        <w:t>test a new assessment delivery system optimized for touch-enabled devices; and</w:t>
      </w:r>
    </w:p>
    <w:p w:rsidR="00920B78" w:rsidRDefault="00743395" w:rsidP="00743395">
      <w:pPr>
        <w:numPr>
          <w:ilvl w:val="0"/>
          <w:numId w:val="38"/>
        </w:numPr>
      </w:pPr>
      <w:proofErr w:type="gramStart"/>
      <w:r>
        <w:t>collect</w:t>
      </w:r>
      <w:proofErr w:type="gramEnd"/>
      <w:r>
        <w:t xml:space="preserve"> student response information for the ICTs and HOTs that will inform future item development.</w:t>
      </w:r>
    </w:p>
    <w:p w:rsidR="008768B4" w:rsidRDefault="008768B4" w:rsidP="008C3CB9">
      <w:r>
        <w:t xml:space="preserve">For the study, </w:t>
      </w:r>
      <w:r w:rsidR="00AA52F0">
        <w:t xml:space="preserve">each </w:t>
      </w:r>
      <w:r>
        <w:t xml:space="preserve">student will be administered two ICTs and </w:t>
      </w:r>
      <w:r w:rsidR="00AA52F0">
        <w:t>one</w:t>
      </w:r>
      <w:r>
        <w:t xml:space="preserve"> HOT</w:t>
      </w:r>
      <w:r w:rsidR="004A3BA4">
        <w:t xml:space="preserve"> on a touch-</w:t>
      </w:r>
      <w:r w:rsidR="000E5EA7">
        <w:t xml:space="preserve">enabled </w:t>
      </w:r>
      <w:r w:rsidR="004A3BA4">
        <w:t>device</w:t>
      </w:r>
      <w:r>
        <w:t>.</w:t>
      </w:r>
      <w:r w:rsidR="004A3BA4">
        <w:rPr>
          <w:rStyle w:val="FootnoteReference"/>
        </w:rPr>
        <w:footnoteReference w:id="3"/>
      </w:r>
      <w:r>
        <w:t xml:space="preserve"> Students will not be asked to complete any survey questions as part of the assessment, but NAEP </w:t>
      </w:r>
      <w:r w:rsidR="000E5EA7">
        <w:t xml:space="preserve">field </w:t>
      </w:r>
      <w:r>
        <w:t>administration staff w</w:t>
      </w:r>
      <w:r w:rsidR="00AF404C">
        <w:t>ill conduct a short 5-10 minute</w:t>
      </w:r>
      <w:r>
        <w:t xml:space="preserve"> </w:t>
      </w:r>
      <w:r w:rsidR="00E34D78">
        <w:t xml:space="preserve">group </w:t>
      </w:r>
      <w:r>
        <w:t>debriefing session with students to ask for their feedback on the assessment experience</w:t>
      </w:r>
      <w:r w:rsidR="003D45E3">
        <w:t xml:space="preserve"> (see Volume II)</w:t>
      </w:r>
      <w:r>
        <w:t xml:space="preserve">. </w:t>
      </w:r>
    </w:p>
    <w:p w:rsidR="00616F00" w:rsidRDefault="00616F00" w:rsidP="008C3CB9">
      <w:r w:rsidRPr="00616F00">
        <w:t xml:space="preserve">Results from this </w:t>
      </w:r>
      <w:r w:rsidR="008768B4">
        <w:t>study</w:t>
      </w:r>
      <w:r w:rsidRPr="00616F00">
        <w:t xml:space="preserve"> will not be released, but </w:t>
      </w:r>
      <w:r w:rsidR="00AF404C">
        <w:t xml:space="preserve">they </w:t>
      </w:r>
      <w:r w:rsidRPr="00616F00">
        <w:t>will be used to</w:t>
      </w:r>
      <w:r w:rsidR="008768B4">
        <w:t xml:space="preserve"> inform future NAEP assessments, including an administration of the ICTs and HOTs in 2015. </w:t>
      </w:r>
    </w:p>
    <w:p w:rsidR="002155CF" w:rsidRDefault="002155CF" w:rsidP="008C3CB9">
      <w:r w:rsidRPr="004E6024">
        <w:t xml:space="preserve">Volume I of this submittal contains descriptions as well as design, sampling, burden, cost, and schedule information for the </w:t>
      </w:r>
      <w:r>
        <w:t>study</w:t>
      </w:r>
      <w:r w:rsidRPr="004E6024">
        <w:t xml:space="preserve">. Volume II contains the </w:t>
      </w:r>
      <w:r w:rsidR="00CF2478">
        <w:t xml:space="preserve">student </w:t>
      </w:r>
      <w:r w:rsidR="008768B4">
        <w:t>debriefing</w:t>
      </w:r>
      <w:r>
        <w:t xml:space="preserve"> questions</w:t>
      </w:r>
      <w:r w:rsidR="000E5EA7">
        <w:t>,</w:t>
      </w:r>
      <w:r>
        <w:t xml:space="preserve"> while t</w:t>
      </w:r>
      <w:r w:rsidRPr="004E6024">
        <w:t>he appendices contain sample scripts and notification documents.</w:t>
      </w:r>
    </w:p>
    <w:p w:rsidR="002155CF" w:rsidRPr="00BF4106" w:rsidRDefault="002155CF" w:rsidP="00BF4106">
      <w:pPr>
        <w:pStyle w:val="aHeading1"/>
      </w:pPr>
      <w:bookmarkStart w:id="20" w:name="_Toc365710614"/>
      <w:bookmarkStart w:id="21" w:name="_Toc366138681"/>
      <w:r w:rsidRPr="00BF4106">
        <w:t xml:space="preserve">Recruitment </w:t>
      </w:r>
      <w:smartTag w:uri="urn:schemas-microsoft-com:office:smarttags" w:element="stockticker">
        <w:r w:rsidRPr="00BF4106">
          <w:t>and</w:t>
        </w:r>
      </w:smartTag>
      <w:r w:rsidRPr="00BF4106">
        <w:t xml:space="preserve"> Sample Characteristics</w:t>
      </w:r>
      <w:bookmarkEnd w:id="20"/>
      <w:bookmarkEnd w:id="21"/>
    </w:p>
    <w:p w:rsidR="00515592" w:rsidRDefault="002155CF" w:rsidP="00515592">
      <w:pPr>
        <w:widowControl w:val="0"/>
      </w:pPr>
      <w:r>
        <w:t>T</w:t>
      </w:r>
      <w:r w:rsidR="008768B4">
        <w:t xml:space="preserve">he study </w:t>
      </w:r>
      <w:r w:rsidR="006E65A4">
        <w:t>requires a minimum of 200 students per grade at grades 4, 8, and 12. Depending on the number of schools and students who are able to participate, u</w:t>
      </w:r>
      <w:r w:rsidR="00CF2478">
        <w:t xml:space="preserve">p to </w:t>
      </w:r>
      <w:r w:rsidR="00A90A7B">
        <w:t>4</w:t>
      </w:r>
      <w:r w:rsidR="008768B4">
        <w:t>00 students</w:t>
      </w:r>
      <w:r>
        <w:t xml:space="preserve"> </w:t>
      </w:r>
      <w:r w:rsidR="006E65A4">
        <w:t>per grade may participate,</w:t>
      </w:r>
      <w:r w:rsidR="008768B4">
        <w:t xml:space="preserve"> for a </w:t>
      </w:r>
      <w:r w:rsidR="00CF2478">
        <w:t xml:space="preserve">maximum </w:t>
      </w:r>
      <w:r w:rsidR="008768B4">
        <w:t xml:space="preserve">total of approximately </w:t>
      </w:r>
      <w:r w:rsidR="00A90A7B">
        <w:t>1</w:t>
      </w:r>
      <w:r w:rsidR="00FE7ED1">
        <w:t>,</w:t>
      </w:r>
      <w:r w:rsidR="00A90A7B">
        <w:t>2</w:t>
      </w:r>
      <w:r w:rsidR="008768B4">
        <w:t>00 students</w:t>
      </w:r>
      <w:r>
        <w:t>. Only schools that have not been selected to participate in NAEP assessments in the 2013</w:t>
      </w:r>
      <w:r w:rsidR="00AA52F0">
        <w:t>–</w:t>
      </w:r>
      <w:r>
        <w:t xml:space="preserve">2014 school-year will be selected for this study so that students will not have had recent experience with NAEP assessments. </w:t>
      </w:r>
      <w:r w:rsidRPr="00BF4106">
        <w:rPr>
          <w:rStyle w:val="StyleTimesNewRoman"/>
          <w:sz w:val="22"/>
        </w:rPr>
        <w:t xml:space="preserve">A </w:t>
      </w:r>
      <w:r w:rsidR="00515592">
        <w:rPr>
          <w:rStyle w:val="StyleTimesNewRoman"/>
          <w:sz w:val="22"/>
        </w:rPr>
        <w:t xml:space="preserve">sample </w:t>
      </w:r>
      <w:r w:rsidRPr="00BF4106">
        <w:rPr>
          <w:rStyle w:val="StyleTimesNewRoman"/>
          <w:sz w:val="22"/>
        </w:rPr>
        <w:t>parental notification letter</w:t>
      </w:r>
      <w:r>
        <w:rPr>
          <w:rStyle w:val="StyleTimesNewRoman"/>
          <w:sz w:val="22"/>
        </w:rPr>
        <w:t xml:space="preserve"> (see appendix </w:t>
      </w:r>
      <w:r w:rsidR="00A83EE4">
        <w:rPr>
          <w:rStyle w:val="StyleTimesNewRoman"/>
          <w:sz w:val="22"/>
        </w:rPr>
        <w:t>B</w:t>
      </w:r>
      <w:r>
        <w:rPr>
          <w:rStyle w:val="StyleTimesNewRoman"/>
          <w:sz w:val="22"/>
        </w:rPr>
        <w:t>)</w:t>
      </w:r>
      <w:r w:rsidRPr="00BF4106">
        <w:rPr>
          <w:rStyle w:val="StyleTimesNewRoman"/>
          <w:sz w:val="22"/>
        </w:rPr>
        <w:t xml:space="preserve"> will be provided to the schools for their use to notify parents or guardians of students in the study.</w:t>
      </w:r>
      <w:r w:rsidR="00515592" w:rsidRPr="00515592">
        <w:t xml:space="preserve"> </w:t>
      </w:r>
      <w:r w:rsidR="00515592">
        <w:t>T</w:t>
      </w:r>
      <w:r w:rsidR="00515592" w:rsidRPr="007B64A4">
        <w:t>he school principal may edit it</w:t>
      </w:r>
      <w:r w:rsidR="00515592">
        <w:t xml:space="preserve">; </w:t>
      </w:r>
      <w:r w:rsidR="00515592" w:rsidRPr="007B64A4">
        <w:t>however, the information regarding confidentiality and the appropriate law reference will remain unchanged</w:t>
      </w:r>
      <w:r w:rsidR="00515592">
        <w:t>.</w:t>
      </w:r>
    </w:p>
    <w:p w:rsidR="009207FD" w:rsidRDefault="006E65A4" w:rsidP="009207FD">
      <w:pPr>
        <w:rPr>
          <w:rStyle w:val="StyleTimesNewRoman"/>
          <w:sz w:val="22"/>
        </w:rPr>
      </w:pPr>
      <w:r>
        <w:t xml:space="preserve">Up to </w:t>
      </w:r>
      <w:r w:rsidR="00CF2478">
        <w:t xml:space="preserve">27 </w:t>
      </w:r>
      <w:r w:rsidR="009207FD">
        <w:t xml:space="preserve">schools will </w:t>
      </w:r>
      <w:r>
        <w:t>participate</w:t>
      </w:r>
      <w:r w:rsidR="00A83EE4">
        <w:t xml:space="preserve"> </w:t>
      </w:r>
      <w:r>
        <w:t>in</w:t>
      </w:r>
      <w:r w:rsidR="009207FD">
        <w:t xml:space="preserve"> the study</w:t>
      </w:r>
      <w:r w:rsidR="009207FD" w:rsidRPr="009207FD">
        <w:t xml:space="preserve">. </w:t>
      </w:r>
      <w:r w:rsidR="002155CF" w:rsidRPr="00BF4106">
        <w:rPr>
          <w:rStyle w:val="StyleTimesNewRoman"/>
          <w:sz w:val="22"/>
        </w:rPr>
        <w:t xml:space="preserve">NAEP State Coordinators </w:t>
      </w:r>
      <w:r w:rsidR="002155CF">
        <w:rPr>
          <w:rStyle w:val="StyleTimesNewRoman"/>
          <w:sz w:val="22"/>
        </w:rPr>
        <w:t xml:space="preserve">(see section 5) </w:t>
      </w:r>
      <w:r w:rsidR="002155CF" w:rsidRPr="00BF4106">
        <w:rPr>
          <w:rStyle w:val="StyleTimesNewRoman"/>
          <w:sz w:val="22"/>
        </w:rPr>
        <w:t xml:space="preserve">will leverage their relationships within the states to contact </w:t>
      </w:r>
      <w:r w:rsidR="00712760">
        <w:rPr>
          <w:rStyle w:val="StyleTimesNewRoman"/>
          <w:sz w:val="22"/>
        </w:rPr>
        <w:t xml:space="preserve">schools </w:t>
      </w:r>
      <w:r w:rsidR="002155CF" w:rsidRPr="00BF4106">
        <w:rPr>
          <w:rStyle w:val="StyleTimesNewRoman"/>
          <w:sz w:val="22"/>
        </w:rPr>
        <w:t xml:space="preserve">and identify </w:t>
      </w:r>
      <w:r w:rsidR="003D58D8">
        <w:rPr>
          <w:rStyle w:val="StyleTimesNewRoman"/>
          <w:sz w:val="22"/>
        </w:rPr>
        <w:t>those</w:t>
      </w:r>
      <w:r w:rsidR="003D58D8" w:rsidRPr="00BF4106">
        <w:rPr>
          <w:rStyle w:val="StyleTimesNewRoman"/>
          <w:sz w:val="22"/>
        </w:rPr>
        <w:t xml:space="preserve"> </w:t>
      </w:r>
      <w:r w:rsidR="002155CF" w:rsidRPr="00BF4106">
        <w:rPr>
          <w:rStyle w:val="StyleTimesNewRoman"/>
          <w:sz w:val="22"/>
        </w:rPr>
        <w:t xml:space="preserve">schools willing to participate in the study. </w:t>
      </w:r>
      <w:r w:rsidR="004A34A9">
        <w:rPr>
          <w:rStyle w:val="StyleTimesNewRoman"/>
          <w:sz w:val="22"/>
        </w:rPr>
        <w:t>T</w:t>
      </w:r>
      <w:r w:rsidR="002155CF" w:rsidRPr="00BF4106">
        <w:rPr>
          <w:rStyle w:val="StyleTimesNewRoman"/>
          <w:sz w:val="22"/>
        </w:rPr>
        <w:t>he NAEP State Coordinators will forward the contact information</w:t>
      </w:r>
      <w:r w:rsidR="004A34A9">
        <w:rPr>
          <w:rStyle w:val="StyleTimesNewRoman"/>
          <w:sz w:val="22"/>
        </w:rPr>
        <w:t xml:space="preserve"> for participating schools</w:t>
      </w:r>
      <w:r w:rsidR="002155CF" w:rsidRPr="00BF4106">
        <w:rPr>
          <w:rStyle w:val="StyleTimesNewRoman"/>
          <w:sz w:val="22"/>
        </w:rPr>
        <w:t xml:space="preserve"> to </w:t>
      </w:r>
      <w:r w:rsidR="008768B4">
        <w:rPr>
          <w:rStyle w:val="StyleTimesNewRoman"/>
          <w:sz w:val="22"/>
        </w:rPr>
        <w:t>Westat</w:t>
      </w:r>
      <w:r w:rsidR="002155CF" w:rsidRPr="00BF4106">
        <w:rPr>
          <w:rStyle w:val="StyleTimesNewRoman"/>
          <w:sz w:val="22"/>
        </w:rPr>
        <w:t xml:space="preserve">, </w:t>
      </w:r>
      <w:r w:rsidR="009E1CF5">
        <w:rPr>
          <w:rStyle w:val="StyleTimesNewRoman"/>
          <w:sz w:val="22"/>
        </w:rPr>
        <w:t xml:space="preserve">the NAEP </w:t>
      </w:r>
      <w:r w:rsidR="008768B4">
        <w:rPr>
          <w:rStyle w:val="StyleTimesNewRoman"/>
          <w:sz w:val="22"/>
        </w:rPr>
        <w:t>data collection</w:t>
      </w:r>
      <w:r w:rsidR="009E1CF5">
        <w:rPr>
          <w:rStyle w:val="StyleTimesNewRoman"/>
          <w:sz w:val="22"/>
        </w:rPr>
        <w:t xml:space="preserve"> contractor (see section 5)</w:t>
      </w:r>
      <w:r w:rsidR="004A34A9">
        <w:rPr>
          <w:rStyle w:val="StyleTimesNewRoman"/>
          <w:sz w:val="22"/>
        </w:rPr>
        <w:t xml:space="preserve">. </w:t>
      </w:r>
      <w:r w:rsidR="008768B4">
        <w:rPr>
          <w:rStyle w:val="StyleTimesNewRoman"/>
          <w:sz w:val="22"/>
        </w:rPr>
        <w:t>Westat field administration staff</w:t>
      </w:r>
      <w:r w:rsidR="002155CF" w:rsidRPr="00BF4106">
        <w:rPr>
          <w:rStyle w:val="StyleTimesNewRoman"/>
          <w:sz w:val="22"/>
        </w:rPr>
        <w:t xml:space="preserve"> will contact </w:t>
      </w:r>
      <w:r w:rsidR="004A34A9">
        <w:rPr>
          <w:rStyle w:val="StyleTimesNewRoman"/>
          <w:sz w:val="22"/>
        </w:rPr>
        <w:t>each school</w:t>
      </w:r>
      <w:r w:rsidR="002155CF" w:rsidRPr="00BF4106">
        <w:rPr>
          <w:rStyle w:val="StyleTimesNewRoman"/>
          <w:sz w:val="22"/>
        </w:rPr>
        <w:t xml:space="preserve"> to make the arrangements for students from </w:t>
      </w:r>
      <w:r w:rsidR="004A34A9">
        <w:rPr>
          <w:rStyle w:val="StyleTimesNewRoman"/>
          <w:sz w:val="22"/>
        </w:rPr>
        <w:t>that</w:t>
      </w:r>
      <w:r w:rsidR="002C011F" w:rsidRPr="00BF4106">
        <w:rPr>
          <w:rStyle w:val="StyleTimesNewRoman"/>
          <w:sz w:val="22"/>
        </w:rPr>
        <w:t xml:space="preserve"> </w:t>
      </w:r>
      <w:r w:rsidR="002155CF" w:rsidRPr="00BF4106">
        <w:rPr>
          <w:rStyle w:val="StyleTimesNewRoman"/>
          <w:sz w:val="22"/>
        </w:rPr>
        <w:t>school to participate</w:t>
      </w:r>
      <w:r w:rsidR="009207FD">
        <w:rPr>
          <w:rStyle w:val="StyleTimesNewRoman"/>
          <w:sz w:val="22"/>
        </w:rPr>
        <w:t xml:space="preserve"> </w:t>
      </w:r>
      <w:r w:rsidR="009207FD" w:rsidRPr="009207FD">
        <w:rPr>
          <w:rStyle w:val="StyleTimesNewRoman"/>
          <w:sz w:val="22"/>
        </w:rPr>
        <w:t xml:space="preserve">(see </w:t>
      </w:r>
      <w:r w:rsidR="00254F8A">
        <w:rPr>
          <w:rStyle w:val="StyleTimesNewRoman"/>
          <w:sz w:val="22"/>
        </w:rPr>
        <w:t>a</w:t>
      </w:r>
      <w:r w:rsidR="00254F8A" w:rsidRPr="009207FD">
        <w:rPr>
          <w:rStyle w:val="StyleTimesNewRoman"/>
          <w:sz w:val="22"/>
        </w:rPr>
        <w:t xml:space="preserve">ppendix </w:t>
      </w:r>
      <w:r w:rsidR="009207FD" w:rsidRPr="009207FD">
        <w:rPr>
          <w:rStyle w:val="StyleTimesNewRoman"/>
          <w:sz w:val="22"/>
        </w:rPr>
        <w:t xml:space="preserve">A for sample </w:t>
      </w:r>
      <w:r w:rsidR="0007112C">
        <w:rPr>
          <w:rStyle w:val="StyleTimesNewRoman"/>
          <w:sz w:val="22"/>
        </w:rPr>
        <w:t xml:space="preserve">school </w:t>
      </w:r>
      <w:r w:rsidR="009207FD" w:rsidRPr="009207FD">
        <w:rPr>
          <w:rStyle w:val="StyleTimesNewRoman"/>
          <w:sz w:val="22"/>
        </w:rPr>
        <w:t>contact script)</w:t>
      </w:r>
      <w:r w:rsidR="002155CF" w:rsidRPr="00BF4106">
        <w:rPr>
          <w:rStyle w:val="StyleTimesNewRoman"/>
          <w:sz w:val="22"/>
        </w:rPr>
        <w:t xml:space="preserve">. </w:t>
      </w:r>
    </w:p>
    <w:p w:rsidR="009207FD" w:rsidRPr="009207FD" w:rsidRDefault="009207FD" w:rsidP="009207FD">
      <w:pPr>
        <w:rPr>
          <w:rStyle w:val="StyleTimesNewRoman"/>
          <w:sz w:val="22"/>
        </w:rPr>
      </w:pPr>
      <w:r>
        <w:rPr>
          <w:rStyle w:val="StyleTimesNewRoman"/>
          <w:sz w:val="22"/>
        </w:rPr>
        <w:lastRenderedPageBreak/>
        <w:t>From each school,</w:t>
      </w:r>
      <w:r w:rsidR="0008395A">
        <w:rPr>
          <w:rStyle w:val="StyleTimesNewRoman"/>
          <w:sz w:val="22"/>
        </w:rPr>
        <w:t xml:space="preserve"> approximately</w:t>
      </w:r>
      <w:r>
        <w:rPr>
          <w:rStyle w:val="StyleTimesNewRoman"/>
          <w:sz w:val="22"/>
        </w:rPr>
        <w:t xml:space="preserve"> 40–50 students will be asked to participate. </w:t>
      </w:r>
      <w:r w:rsidRPr="009207FD">
        <w:rPr>
          <w:rStyle w:val="StyleTimesNewRoman"/>
          <w:sz w:val="22"/>
        </w:rPr>
        <w:t xml:space="preserve">To ensure a sample that is diverse with respect to gender, race, and familiarity with technology, Westat will request a random mix of </w:t>
      </w:r>
      <w:r>
        <w:rPr>
          <w:rStyle w:val="StyleTimesNewRoman"/>
          <w:sz w:val="22"/>
        </w:rPr>
        <w:t>students</w:t>
      </w:r>
      <w:r w:rsidRPr="009207FD">
        <w:rPr>
          <w:rStyle w:val="StyleTimesNewRoman"/>
          <w:sz w:val="22"/>
        </w:rPr>
        <w:t xml:space="preserve">. However, schools will also have the option of providing an intact class, such as a homeroom, for convenience. The parents/guardians of the participating students will be sent a notification </w:t>
      </w:r>
      <w:r w:rsidR="0007112C">
        <w:rPr>
          <w:rStyle w:val="StyleTimesNewRoman"/>
          <w:sz w:val="22"/>
        </w:rPr>
        <w:t>letter</w:t>
      </w:r>
      <w:r w:rsidR="0007112C" w:rsidRPr="009207FD">
        <w:rPr>
          <w:rStyle w:val="StyleTimesNewRoman"/>
          <w:sz w:val="22"/>
        </w:rPr>
        <w:t xml:space="preserve"> </w:t>
      </w:r>
      <w:r w:rsidRPr="009207FD">
        <w:rPr>
          <w:rStyle w:val="StyleTimesNewRoman"/>
          <w:sz w:val="22"/>
        </w:rPr>
        <w:t xml:space="preserve">in advance of the </w:t>
      </w:r>
      <w:r>
        <w:rPr>
          <w:rStyle w:val="StyleTimesNewRoman"/>
          <w:sz w:val="22"/>
        </w:rPr>
        <w:t>study</w:t>
      </w:r>
      <w:r w:rsidRPr="009207FD">
        <w:rPr>
          <w:rStyle w:val="StyleTimesNewRoman"/>
          <w:sz w:val="22"/>
        </w:rPr>
        <w:t xml:space="preserve"> (see </w:t>
      </w:r>
      <w:r w:rsidR="00254F8A">
        <w:rPr>
          <w:rStyle w:val="StyleTimesNewRoman"/>
          <w:sz w:val="22"/>
        </w:rPr>
        <w:t>a</w:t>
      </w:r>
      <w:r w:rsidR="00254F8A" w:rsidRPr="009207FD">
        <w:rPr>
          <w:rStyle w:val="StyleTimesNewRoman"/>
          <w:sz w:val="22"/>
        </w:rPr>
        <w:t xml:space="preserve">ppendix </w:t>
      </w:r>
      <w:r w:rsidRPr="009207FD">
        <w:rPr>
          <w:rStyle w:val="StyleTimesNewRoman"/>
          <w:sz w:val="22"/>
        </w:rPr>
        <w:t xml:space="preserve">B for </w:t>
      </w:r>
      <w:r w:rsidR="0007112C">
        <w:rPr>
          <w:rStyle w:val="StyleTimesNewRoman"/>
          <w:sz w:val="22"/>
        </w:rPr>
        <w:t>a sample</w:t>
      </w:r>
      <w:r w:rsidR="0007112C" w:rsidRPr="009207FD">
        <w:rPr>
          <w:rStyle w:val="StyleTimesNewRoman"/>
          <w:sz w:val="22"/>
        </w:rPr>
        <w:t xml:space="preserve"> </w:t>
      </w:r>
      <w:r w:rsidRPr="009207FD">
        <w:rPr>
          <w:rStyle w:val="StyleTimesNewRoman"/>
          <w:sz w:val="22"/>
        </w:rPr>
        <w:t xml:space="preserve">notification letter). </w:t>
      </w:r>
    </w:p>
    <w:p w:rsidR="002155CF" w:rsidRDefault="002155CF" w:rsidP="0005462E">
      <w:pPr>
        <w:pStyle w:val="aHeading1"/>
      </w:pPr>
      <w:bookmarkStart w:id="22" w:name="_Toc365710615"/>
      <w:bookmarkStart w:id="23" w:name="_Toc366138682"/>
      <w:r>
        <w:t xml:space="preserve">Study design </w:t>
      </w:r>
      <w:smartTag w:uri="urn:schemas-microsoft-com:office:smarttags" w:element="stockticker">
        <w:r>
          <w:t>and</w:t>
        </w:r>
      </w:smartTag>
      <w:r>
        <w:t xml:space="preserve"> </w:t>
      </w:r>
      <w:smartTag w:uri="urn:schemas-microsoft-com:office:smarttags" w:element="stockticker">
        <w:r>
          <w:t>data</w:t>
        </w:r>
      </w:smartTag>
      <w:r>
        <w:t xml:space="preserve"> collection</w:t>
      </w:r>
      <w:bookmarkEnd w:id="22"/>
      <w:bookmarkEnd w:id="23"/>
    </w:p>
    <w:p w:rsidR="00BD451A" w:rsidRPr="00BD451A" w:rsidRDefault="00BD451A" w:rsidP="00BD451A">
      <w:r w:rsidRPr="00BD451A">
        <w:t xml:space="preserve">Prior to the </w:t>
      </w:r>
      <w:r>
        <w:t>study</w:t>
      </w:r>
      <w:r w:rsidRPr="00BD451A">
        <w:t xml:space="preserve"> (see timeline in Table </w:t>
      </w:r>
      <w:r w:rsidR="004B4028">
        <w:t>3</w:t>
      </w:r>
      <w:r w:rsidRPr="00BD451A">
        <w:t xml:space="preserve">), Westat field </w:t>
      </w:r>
      <w:r w:rsidR="000E5EA7">
        <w:t xml:space="preserve">administration </w:t>
      </w:r>
      <w:r w:rsidRPr="00BD451A">
        <w:t xml:space="preserve">staff will contact cooperating schools to confirm student sampling and make logistical arrangements. Westat field </w:t>
      </w:r>
      <w:r w:rsidR="000E5EA7">
        <w:t xml:space="preserve">administration </w:t>
      </w:r>
      <w:r w:rsidRPr="00BD451A">
        <w:t xml:space="preserve">staff who are familiar with </w:t>
      </w:r>
      <w:r w:rsidR="000B3CE0">
        <w:t>technology</w:t>
      </w:r>
      <w:r w:rsidRPr="00BD451A">
        <w:t xml:space="preserve">-based administrations will conduct the </w:t>
      </w:r>
      <w:r w:rsidR="004B4028">
        <w:t>study</w:t>
      </w:r>
      <w:r w:rsidRPr="00BD451A">
        <w:t xml:space="preserve">. They will bring all necessary materials, including </w:t>
      </w:r>
      <w:r w:rsidR="000E5EA7">
        <w:t xml:space="preserve">the </w:t>
      </w:r>
      <w:r>
        <w:t>touch-enabled devices</w:t>
      </w:r>
      <w:r w:rsidRPr="00BD451A">
        <w:t xml:space="preserve">, to the schools on the assessment days. </w:t>
      </w:r>
    </w:p>
    <w:p w:rsidR="00252038" w:rsidRDefault="00AA52F0" w:rsidP="00BD451A">
      <w:r>
        <w:t>The study will be conducted in April</w:t>
      </w:r>
      <w:r w:rsidR="00A30492">
        <w:t xml:space="preserve"> through </w:t>
      </w:r>
      <w:r>
        <w:t xml:space="preserve">May 2014. </w:t>
      </w:r>
      <w:r w:rsidR="00BD451A" w:rsidRPr="00BD451A">
        <w:t xml:space="preserve">On the day of the assessment, a field </w:t>
      </w:r>
      <w:r w:rsidR="000E5EA7">
        <w:t xml:space="preserve">administration </w:t>
      </w:r>
      <w:r w:rsidR="00BD451A" w:rsidRPr="00BD451A">
        <w:t xml:space="preserve">team will administer the </w:t>
      </w:r>
      <w:r w:rsidR="00252038">
        <w:t>science</w:t>
      </w:r>
      <w:r>
        <w:t xml:space="preserve"> </w:t>
      </w:r>
      <w:r w:rsidR="00254F8A">
        <w:t xml:space="preserve">ICT and HOT </w:t>
      </w:r>
      <w:r>
        <w:t>tablet</w:t>
      </w:r>
      <w:r w:rsidR="00252038">
        <w:t xml:space="preserve"> study</w:t>
      </w:r>
      <w:r w:rsidR="00BD451A" w:rsidRPr="00BD451A">
        <w:t xml:space="preserve"> via </w:t>
      </w:r>
      <w:r w:rsidR="00252038">
        <w:t>touch-enabled devices</w:t>
      </w:r>
      <w:r w:rsidR="00BD451A" w:rsidRPr="00BD451A">
        <w:t xml:space="preserve"> with two groups of up to </w:t>
      </w:r>
      <w:r w:rsidR="00252038">
        <w:t>25</w:t>
      </w:r>
      <w:r w:rsidR="00BD451A" w:rsidRPr="00BD451A">
        <w:t xml:space="preserve"> students each, scheduled consecutively. </w:t>
      </w:r>
    </w:p>
    <w:p w:rsidR="00252038" w:rsidRDefault="00BD451A" w:rsidP="00252038">
      <w:r w:rsidRPr="00BD451A">
        <w:t xml:space="preserve">Students will be asked to complete </w:t>
      </w:r>
      <w:r w:rsidR="00252038">
        <w:t>one 15-minute ICT, one 30-minute ICT, and one 30-minute HOT.</w:t>
      </w:r>
      <w:r w:rsidRPr="00BD451A">
        <w:t xml:space="preserve"> </w:t>
      </w:r>
      <w:r w:rsidR="00252038">
        <w:t xml:space="preserve">The ICTs are extended performance tasks, which embed multiple items into a scenario, providing context and motivation. Scenarios will be administered as interactive computer-based tasks allowing students to, for example, use simulated laboratory equipment in order to conduct </w:t>
      </w:r>
      <w:r w:rsidR="0008395A">
        <w:t>scientific investigations</w:t>
      </w:r>
      <w:r w:rsidR="00252038">
        <w:t xml:space="preserve">. ICTs consist of long and short varieties that differ in length and complexity. Students will be allowed 30 minutes to complete the long ICT and 15 minutes to complete the short ICT. Each student will also answer one 30-minute HOT, for which they will receive a kit of laboratory materials from the </w:t>
      </w:r>
      <w:r w:rsidR="0008395A">
        <w:t xml:space="preserve">field </w:t>
      </w:r>
      <w:r w:rsidR="000E5EA7">
        <w:t xml:space="preserve">administration </w:t>
      </w:r>
      <w:r w:rsidR="0008395A">
        <w:t>staff</w:t>
      </w:r>
      <w:r w:rsidR="00252038">
        <w:t>. Students will use the touch-enabled device to check the kit of laboratory materials, receive instructions for how to work with the laboratory materials, and record their responses to questions and results from their experiments.</w:t>
      </w:r>
    </w:p>
    <w:p w:rsidR="006E65A4" w:rsidRDefault="006E65A4" w:rsidP="006E65A4">
      <w:r>
        <w:t xml:space="preserve">The study will require approximately 100 minutes (15 minutes for getting students situated and logged on to the </w:t>
      </w:r>
      <w:r w:rsidR="0008395A">
        <w:t>touch-enabled devices</w:t>
      </w:r>
      <w:r>
        <w:t>, 75 minutes of assessment time, and another 10 minutes for a short classroom debriefing session).</w:t>
      </w:r>
      <w:r w:rsidR="00CB5BC0">
        <w:rPr>
          <w:rStyle w:val="FootnoteReference"/>
        </w:rPr>
        <w:footnoteReference w:id="4"/>
      </w:r>
      <w:r>
        <w:t xml:space="preserve"> </w:t>
      </w:r>
    </w:p>
    <w:p w:rsidR="006E65A4" w:rsidRDefault="00BD451A" w:rsidP="00252038">
      <w:r w:rsidRPr="00BD451A">
        <w:t xml:space="preserve">During the </w:t>
      </w:r>
      <w:r w:rsidR="00252038">
        <w:t xml:space="preserve">study </w:t>
      </w:r>
      <w:r w:rsidRPr="00BD451A">
        <w:t>administration, field</w:t>
      </w:r>
      <w:r w:rsidR="000E5EA7">
        <w:t xml:space="preserve"> administration</w:t>
      </w:r>
      <w:r w:rsidRPr="00BD451A">
        <w:t xml:space="preserve"> staff will observe student interaction</w:t>
      </w:r>
      <w:r w:rsidR="00AA52F0">
        <w:t>s</w:t>
      </w:r>
      <w:r w:rsidRPr="00BD451A">
        <w:t xml:space="preserve"> with the </w:t>
      </w:r>
      <w:r w:rsidR="0008395A">
        <w:t xml:space="preserve">tasks </w:t>
      </w:r>
      <w:r w:rsidR="00252038">
        <w:t>and equipment</w:t>
      </w:r>
      <w:r w:rsidRPr="00BD451A">
        <w:t xml:space="preserve"> and record student questions and issues that may arise during the sessions. </w:t>
      </w:r>
      <w:r w:rsidR="00252038">
        <w:t xml:space="preserve">After </w:t>
      </w:r>
      <w:r w:rsidR="00C37CC6">
        <w:t xml:space="preserve">all </w:t>
      </w:r>
      <w:r w:rsidR="00252038">
        <w:t xml:space="preserve">students </w:t>
      </w:r>
      <w:r w:rsidR="00C37CC6">
        <w:t xml:space="preserve">have </w:t>
      </w:r>
      <w:r w:rsidR="00252038">
        <w:t>complete</w:t>
      </w:r>
      <w:r w:rsidR="00C37CC6">
        <w:t>d</w:t>
      </w:r>
      <w:r w:rsidR="00252038">
        <w:t xml:space="preserve"> the two ICTs and </w:t>
      </w:r>
      <w:r w:rsidR="0008395A">
        <w:t xml:space="preserve">one </w:t>
      </w:r>
      <w:r w:rsidR="00252038">
        <w:t xml:space="preserve">HOT, they will engage in a 5–10 minute </w:t>
      </w:r>
      <w:r w:rsidR="00C37CC6">
        <w:t xml:space="preserve">verbal </w:t>
      </w:r>
      <w:r w:rsidR="00252038">
        <w:t xml:space="preserve">classroom debriefing session with the field </w:t>
      </w:r>
      <w:r w:rsidR="000E5EA7">
        <w:t>administration</w:t>
      </w:r>
      <w:r w:rsidR="000E5EA7" w:rsidRPr="00BD451A">
        <w:t xml:space="preserve"> </w:t>
      </w:r>
      <w:r w:rsidR="00252038">
        <w:t xml:space="preserve">staff. The field </w:t>
      </w:r>
      <w:r w:rsidR="000E5EA7">
        <w:t xml:space="preserve">administration </w:t>
      </w:r>
      <w:r w:rsidR="00252038">
        <w:t>staff will ask the students questions about their experiences working with the equipment</w:t>
      </w:r>
      <w:r w:rsidR="0008395A">
        <w:t>, kit of laboratory materials,</w:t>
      </w:r>
      <w:r w:rsidR="00252038">
        <w:t xml:space="preserve"> and instructions (see </w:t>
      </w:r>
      <w:r w:rsidR="00CF2478">
        <w:t>Volume II</w:t>
      </w:r>
      <w:r w:rsidR="00252038">
        <w:t xml:space="preserve"> for the </w:t>
      </w:r>
      <w:r w:rsidR="00AA52F0">
        <w:t xml:space="preserve">classroom </w:t>
      </w:r>
      <w:r w:rsidR="00252038">
        <w:t xml:space="preserve">debriefing questions). The field </w:t>
      </w:r>
      <w:r w:rsidR="000E5EA7">
        <w:t xml:space="preserve">administration </w:t>
      </w:r>
      <w:r w:rsidR="00252038">
        <w:t xml:space="preserve">staff will record the students’ responses to the questions. </w:t>
      </w:r>
      <w:r w:rsidR="00CF2478">
        <w:t xml:space="preserve">In addition, after each assessment, the field </w:t>
      </w:r>
      <w:r w:rsidR="000E5EA7">
        <w:t xml:space="preserve">administration </w:t>
      </w:r>
      <w:r w:rsidR="00CF2478">
        <w:t xml:space="preserve">staff will </w:t>
      </w:r>
      <w:r w:rsidR="006E65A4">
        <w:t>telephone</w:t>
      </w:r>
      <w:r w:rsidR="00CF2478">
        <w:t xml:space="preserve"> the school coordinator for a debriefing interview. The purpose of this interview is to obtain feedback on how well the assessment went in that school and any issues that were noted. (See appendix </w:t>
      </w:r>
      <w:r w:rsidR="000E5EA7">
        <w:t xml:space="preserve">C </w:t>
      </w:r>
      <w:r w:rsidR="00CF2478">
        <w:t>for the debriefing interview</w:t>
      </w:r>
      <w:r w:rsidR="006E65A4">
        <w:t xml:space="preserve"> script</w:t>
      </w:r>
      <w:r w:rsidR="00CF2478">
        <w:t>.)</w:t>
      </w:r>
    </w:p>
    <w:p w:rsidR="0092494A" w:rsidRDefault="0092494A" w:rsidP="0092494A">
      <w:r>
        <w:t xml:space="preserve">In addition to the touch-enabled device, students will be provided with all other necessary </w:t>
      </w:r>
      <w:r w:rsidRPr="004B14B6">
        <w:t>equipment, including an attached ke</w:t>
      </w:r>
      <w:r>
        <w:t xml:space="preserve">yboard, a stylus, and earbuds, as well as the laboratory </w:t>
      </w:r>
      <w:r w:rsidRPr="004B14B6">
        <w:t>materials for the HOT.</w:t>
      </w:r>
      <w:r>
        <w:t xml:space="preserve"> </w:t>
      </w:r>
    </w:p>
    <w:p w:rsidR="00CF2478" w:rsidRDefault="004B14B6" w:rsidP="00083C33">
      <w:pPr>
        <w:rPr>
          <w:rStyle w:val="StyleTimesNewRoman"/>
          <w:sz w:val="22"/>
        </w:rPr>
      </w:pPr>
      <w:r w:rsidRPr="004B14B6">
        <w:rPr>
          <w:rStyle w:val="StyleTimesNewRoman"/>
          <w:sz w:val="22"/>
        </w:rPr>
        <w:lastRenderedPageBreak/>
        <w:t xml:space="preserve">The response data for the </w:t>
      </w:r>
      <w:r>
        <w:rPr>
          <w:rStyle w:val="StyleTimesNewRoman"/>
          <w:sz w:val="22"/>
        </w:rPr>
        <w:t>study</w:t>
      </w:r>
      <w:r w:rsidRPr="004B14B6">
        <w:rPr>
          <w:rStyle w:val="StyleTimesNewRoman"/>
          <w:sz w:val="22"/>
        </w:rPr>
        <w:t xml:space="preserve"> will be processed and scored for statistical analysis. Analyses will be performed at the overall </w:t>
      </w:r>
      <w:r>
        <w:rPr>
          <w:rStyle w:val="StyleTimesNewRoman"/>
          <w:sz w:val="22"/>
        </w:rPr>
        <w:t xml:space="preserve">task </w:t>
      </w:r>
      <w:r w:rsidRPr="004B14B6">
        <w:rPr>
          <w:rStyle w:val="StyleTimesNewRoman"/>
          <w:sz w:val="22"/>
        </w:rPr>
        <w:t xml:space="preserve">level as well as on items within individual </w:t>
      </w:r>
      <w:r>
        <w:rPr>
          <w:rStyle w:val="StyleTimesNewRoman"/>
          <w:sz w:val="22"/>
        </w:rPr>
        <w:t>task</w:t>
      </w:r>
      <w:r w:rsidRPr="004B14B6">
        <w:rPr>
          <w:rStyle w:val="StyleTimesNewRoman"/>
          <w:sz w:val="22"/>
        </w:rPr>
        <w:t>s in order to assess difficulty, reliability, and common and uncommon response patterns.</w:t>
      </w:r>
      <w:r w:rsidR="00AA52F0">
        <w:rPr>
          <w:rStyle w:val="StyleTimesNewRoman"/>
          <w:sz w:val="22"/>
        </w:rPr>
        <w:t xml:space="preserve"> </w:t>
      </w:r>
    </w:p>
    <w:p w:rsidR="0092494A" w:rsidRPr="00AA52F0" w:rsidRDefault="0092494A" w:rsidP="00083C33">
      <w:pPr>
        <w:rPr>
          <w:color w:val="000000"/>
        </w:rPr>
      </w:pPr>
      <w:r>
        <w:rPr>
          <w:rStyle w:val="StyleTimesNewRoman"/>
          <w:sz w:val="22"/>
        </w:rPr>
        <w:t xml:space="preserve">Responses from the classroom debriefing session will be used, in combination with </w:t>
      </w:r>
      <w:r w:rsidR="00CF2478">
        <w:rPr>
          <w:rStyle w:val="StyleTimesNewRoman"/>
          <w:sz w:val="22"/>
        </w:rPr>
        <w:t xml:space="preserve">the school debriefing </w:t>
      </w:r>
      <w:r w:rsidR="006E65A4">
        <w:rPr>
          <w:rStyle w:val="StyleTimesNewRoman"/>
          <w:sz w:val="22"/>
        </w:rPr>
        <w:t xml:space="preserve">responses and </w:t>
      </w:r>
      <w:r>
        <w:rPr>
          <w:rStyle w:val="StyleTimesNewRoman"/>
          <w:sz w:val="22"/>
        </w:rPr>
        <w:t xml:space="preserve">feedback collected </w:t>
      </w:r>
      <w:r w:rsidR="00CF2478">
        <w:rPr>
          <w:rStyle w:val="StyleTimesNewRoman"/>
          <w:sz w:val="22"/>
        </w:rPr>
        <w:t xml:space="preserve">from </w:t>
      </w:r>
      <w:r w:rsidR="0008395A">
        <w:rPr>
          <w:rStyle w:val="StyleTimesNewRoman"/>
          <w:sz w:val="22"/>
        </w:rPr>
        <w:t xml:space="preserve">field </w:t>
      </w:r>
      <w:r w:rsidR="000E5EA7">
        <w:t xml:space="preserve">administration </w:t>
      </w:r>
      <w:r w:rsidR="0008395A">
        <w:rPr>
          <w:rStyle w:val="StyleTimesNewRoman"/>
          <w:sz w:val="22"/>
        </w:rPr>
        <w:t>staff</w:t>
      </w:r>
      <w:r>
        <w:rPr>
          <w:rStyle w:val="StyleTimesNewRoman"/>
          <w:sz w:val="22"/>
        </w:rPr>
        <w:t>, to inform logistical planning for future test administrations.</w:t>
      </w:r>
    </w:p>
    <w:p w:rsidR="002155CF" w:rsidRPr="009544D6" w:rsidRDefault="002155CF" w:rsidP="002625E2">
      <w:pPr>
        <w:pStyle w:val="aHeading1"/>
      </w:pPr>
      <w:bookmarkStart w:id="24" w:name="_Toc365710616"/>
      <w:bookmarkStart w:id="25" w:name="_Toc365710617"/>
      <w:bookmarkStart w:id="26" w:name="_Toc366138683"/>
      <w:bookmarkStart w:id="27" w:name="_Toc92798618"/>
      <w:bookmarkEnd w:id="24"/>
      <w:r>
        <w:t>Consultations outside the agency</w:t>
      </w:r>
      <w:bookmarkEnd w:id="25"/>
      <w:bookmarkEnd w:id="26"/>
    </w:p>
    <w:p w:rsidR="004B14B6" w:rsidRPr="004B14B6" w:rsidRDefault="004B14B6" w:rsidP="004B14B6">
      <w:pPr>
        <w:spacing w:after="0"/>
        <w:rPr>
          <w:u w:val="single"/>
        </w:rPr>
      </w:pPr>
      <w:bookmarkStart w:id="28" w:name="_File_Delivery_Expectations"/>
      <w:bookmarkStart w:id="29" w:name="_Toc224109324"/>
      <w:bookmarkStart w:id="30" w:name="_Toc224109833"/>
      <w:bookmarkStart w:id="31" w:name="_Toc314844475"/>
      <w:bookmarkEnd w:id="27"/>
      <w:bookmarkEnd w:id="28"/>
      <w:bookmarkEnd w:id="29"/>
      <w:bookmarkEnd w:id="30"/>
      <w:r w:rsidRPr="004B14B6">
        <w:rPr>
          <w:u w:val="single"/>
        </w:rPr>
        <w:t>Educational Testing Service (ETS)</w:t>
      </w:r>
      <w:bookmarkEnd w:id="31"/>
    </w:p>
    <w:p w:rsidR="004B14B6" w:rsidRPr="004B14B6" w:rsidRDefault="004B14B6" w:rsidP="004B14B6">
      <w:r>
        <w:t xml:space="preserve">ETS serves as the </w:t>
      </w:r>
      <w:r w:rsidR="001073DE">
        <w:t>NAEP</w:t>
      </w:r>
      <w:r w:rsidRPr="004B14B6">
        <w:t xml:space="preserve"> Item Development </w:t>
      </w:r>
      <w:r>
        <w:t xml:space="preserve">contractor (including development of the science HOTs) and as the NAEP </w:t>
      </w:r>
      <w:r w:rsidR="007F4B7A">
        <w:t xml:space="preserve">Science ICT </w:t>
      </w:r>
      <w:r w:rsidR="001073DE">
        <w:t>Item</w:t>
      </w:r>
      <w:r>
        <w:t xml:space="preserve"> Development contractor. In addition, ETS serves as the</w:t>
      </w:r>
      <w:r w:rsidRPr="004B14B6">
        <w:t xml:space="preserve"> Design, Analysis, and Reporting (DAR) contractor.</w:t>
      </w:r>
      <w:r w:rsidR="004B4028">
        <w:t xml:space="preserve"> </w:t>
      </w:r>
      <w:r w:rsidRPr="004B14B6">
        <w:t>ETS staff will be involved in item development</w:t>
      </w:r>
      <w:r w:rsidR="004B4028">
        <w:t>, scoring</w:t>
      </w:r>
      <w:r w:rsidR="005F3017">
        <w:t>,</w:t>
      </w:r>
      <w:r w:rsidRPr="004B14B6">
        <w:t xml:space="preserve"> and analysis activities for the </w:t>
      </w:r>
      <w:r w:rsidR="004B4028">
        <w:t>science</w:t>
      </w:r>
      <w:r>
        <w:t xml:space="preserve"> </w:t>
      </w:r>
      <w:r w:rsidR="00254F8A">
        <w:t xml:space="preserve">ICT and HOT </w:t>
      </w:r>
      <w:r w:rsidR="00AA52F0">
        <w:t>tablet</w:t>
      </w:r>
      <w:r>
        <w:t xml:space="preserve"> study</w:t>
      </w:r>
      <w:r w:rsidRPr="004B14B6">
        <w:t>.</w:t>
      </w:r>
    </w:p>
    <w:p w:rsidR="002155CF" w:rsidRPr="00B91A1A" w:rsidRDefault="002155CF" w:rsidP="00B91A1A">
      <w:pPr>
        <w:spacing w:after="0"/>
        <w:rPr>
          <w:u w:val="single"/>
        </w:rPr>
      </w:pPr>
      <w:r w:rsidRPr="00B91A1A">
        <w:rPr>
          <w:u w:val="single"/>
        </w:rPr>
        <w:t>Fulcrum IT LLC (Fulcrum IT)</w:t>
      </w:r>
    </w:p>
    <w:p w:rsidR="002155CF" w:rsidRPr="00040547" w:rsidRDefault="002155CF" w:rsidP="00083C33">
      <w:r w:rsidRPr="00040547">
        <w:t xml:space="preserve">Fulcrum IT is the NAEP contractor responsible for the development and ongoing support of NAEP </w:t>
      </w:r>
      <w:r w:rsidR="004B14B6">
        <w:t>technology</w:t>
      </w:r>
      <w:r w:rsidRPr="00040547">
        <w:t>-based assessments for NCES</w:t>
      </w:r>
      <w:r w:rsidR="00D31048">
        <w:t>,</w:t>
      </w:r>
      <w:r w:rsidR="00D31048" w:rsidRPr="00D31048">
        <w:t xml:space="preserve"> including the system to be used for the </w:t>
      </w:r>
      <w:r w:rsidR="004B4028">
        <w:t>science</w:t>
      </w:r>
      <w:r w:rsidR="004B14B6">
        <w:t xml:space="preserve"> </w:t>
      </w:r>
      <w:r w:rsidR="00254F8A">
        <w:t xml:space="preserve">ICT and HOT </w:t>
      </w:r>
      <w:r w:rsidR="00AA52F0">
        <w:t>tablet</w:t>
      </w:r>
      <w:r w:rsidR="00D31048" w:rsidRPr="00D31048">
        <w:t xml:space="preserve"> study.</w:t>
      </w:r>
    </w:p>
    <w:p w:rsidR="00907CAC" w:rsidRDefault="002155CF">
      <w:pPr>
        <w:keepNext/>
        <w:spacing w:after="0"/>
        <w:rPr>
          <w:u w:val="single"/>
        </w:rPr>
      </w:pPr>
      <w:r w:rsidRPr="00B91A1A">
        <w:rPr>
          <w:u w:val="single"/>
        </w:rPr>
        <w:t>NAEP State Coordinators</w:t>
      </w:r>
    </w:p>
    <w:p w:rsidR="002155CF" w:rsidRDefault="002155CF" w:rsidP="002F31A6">
      <w:r w:rsidRPr="00040547">
        <w:t>The NAEP State Coordinator serves as the liaison between the state education agency and NAEP, coordinating NAEP activities in his or her state.</w:t>
      </w:r>
      <w:r>
        <w:t xml:space="preserve"> </w:t>
      </w:r>
      <w:r w:rsidRPr="00040547">
        <w:t xml:space="preserve">As previously noted, NAEP State </w:t>
      </w:r>
      <w:r w:rsidR="00CD1F0A">
        <w:t>C</w:t>
      </w:r>
      <w:r w:rsidRPr="00040547">
        <w:t>oordinators will work with schools within their states to identify participating schools.</w:t>
      </w:r>
      <w:r>
        <w:t xml:space="preserve"> </w:t>
      </w:r>
    </w:p>
    <w:p w:rsidR="004B14B6" w:rsidRPr="004B14B6" w:rsidRDefault="004B14B6" w:rsidP="001073DE">
      <w:pPr>
        <w:keepNext/>
        <w:spacing w:after="0"/>
        <w:rPr>
          <w:rStyle w:val="StyleTimesNewRoman"/>
          <w:sz w:val="22"/>
          <w:u w:val="single"/>
        </w:rPr>
      </w:pPr>
      <w:bookmarkStart w:id="32" w:name="_Toc314844478"/>
      <w:r w:rsidRPr="004B14B6">
        <w:rPr>
          <w:rStyle w:val="StyleTimesNewRoman"/>
          <w:sz w:val="22"/>
          <w:u w:val="single"/>
        </w:rPr>
        <w:t>Westat</w:t>
      </w:r>
      <w:bookmarkEnd w:id="32"/>
      <w:r w:rsidRPr="004B14B6">
        <w:rPr>
          <w:rStyle w:val="StyleTimesNewRoman"/>
          <w:sz w:val="22"/>
          <w:u w:val="single"/>
        </w:rPr>
        <w:t xml:space="preserve"> </w:t>
      </w:r>
    </w:p>
    <w:p w:rsidR="004B14B6" w:rsidRPr="004B14B6" w:rsidRDefault="004B14B6" w:rsidP="004B14B6">
      <w:r w:rsidRPr="004B14B6">
        <w:t xml:space="preserve">Westat is the Sampling and Data Collection (SDC) contractor for NAEP. Westat will administer the </w:t>
      </w:r>
      <w:r w:rsidR="004B4028">
        <w:t>science</w:t>
      </w:r>
      <w:r w:rsidR="00AA52F0">
        <w:t xml:space="preserve"> </w:t>
      </w:r>
      <w:r w:rsidR="00254F8A">
        <w:t xml:space="preserve">ICT and HOT </w:t>
      </w:r>
      <w:r w:rsidR="00AA52F0">
        <w:t>tablet study</w:t>
      </w:r>
      <w:r w:rsidRPr="004B14B6">
        <w:t>.</w:t>
      </w:r>
    </w:p>
    <w:p w:rsidR="002155CF" w:rsidRPr="002F31A6" w:rsidRDefault="002155CF" w:rsidP="002F31A6">
      <w:pPr>
        <w:pStyle w:val="aHeading1"/>
      </w:pPr>
      <w:bookmarkStart w:id="33" w:name="_Toc365710618"/>
      <w:bookmarkStart w:id="34" w:name="_Toc366138684"/>
      <w:bookmarkStart w:id="35" w:name="_Ref354382645"/>
      <w:bookmarkStart w:id="36" w:name="_Toc354400455"/>
      <w:bookmarkStart w:id="37" w:name="_Toc354407077"/>
      <w:bookmarkStart w:id="38" w:name="_Toc296956896"/>
      <w:bookmarkStart w:id="39" w:name="_Toc297739270"/>
      <w:bookmarkStart w:id="40" w:name="_Toc311707098"/>
      <w:r w:rsidRPr="002F31A6">
        <w:t>Justification for Sensitive Questions</w:t>
      </w:r>
      <w:bookmarkEnd w:id="33"/>
      <w:bookmarkEnd w:id="34"/>
    </w:p>
    <w:p w:rsidR="002155CF" w:rsidRDefault="00AA52F0" w:rsidP="002F31A6">
      <w:r>
        <w:t>Throughout the item</w:t>
      </w:r>
      <w:r w:rsidR="002155CF" w:rsidRPr="002F31A6">
        <w:t xml:space="preserve"> and </w:t>
      </w:r>
      <w:r w:rsidR="00FE7791">
        <w:t>debriefing question</w:t>
      </w:r>
      <w:r w:rsidR="002155CF" w:rsidRPr="002F31A6">
        <w:t xml:space="preserve"> development processes, effort has been made to avoid asking for information that might be considered sensitive or offensive.</w:t>
      </w:r>
    </w:p>
    <w:p w:rsidR="002155CF" w:rsidRPr="009544D6" w:rsidRDefault="002155CF" w:rsidP="002F31A6">
      <w:pPr>
        <w:pStyle w:val="aHeading1"/>
      </w:pPr>
      <w:bookmarkStart w:id="41" w:name="_Toc365710619"/>
      <w:bookmarkStart w:id="42" w:name="_Toc366138685"/>
      <w:r>
        <w:t>Paying Respondents</w:t>
      </w:r>
      <w:bookmarkEnd w:id="41"/>
      <w:bookmarkEnd w:id="42"/>
      <w:r w:rsidRPr="009544D6">
        <w:t xml:space="preserve"> </w:t>
      </w:r>
      <w:bookmarkEnd w:id="35"/>
      <w:bookmarkEnd w:id="36"/>
      <w:bookmarkEnd w:id="37"/>
    </w:p>
    <w:p w:rsidR="001073DE" w:rsidRPr="001073DE" w:rsidRDefault="001073DE" w:rsidP="001073DE">
      <w:bookmarkStart w:id="43" w:name="_Toc365710620"/>
      <w:bookmarkStart w:id="44" w:name="_Toc366138686"/>
      <w:bookmarkStart w:id="45" w:name="_Toc94498582"/>
      <w:bookmarkStart w:id="46" w:name="_Ref354382733"/>
      <w:bookmarkStart w:id="47" w:name="_Toc92798620"/>
      <w:r>
        <w:t>The</w:t>
      </w:r>
      <w:r w:rsidRPr="001073DE">
        <w:t xml:space="preserve"> study will take place during regular school hours, and thus there will not be any </w:t>
      </w:r>
      <w:r w:rsidR="00CD1F0A">
        <w:t xml:space="preserve">monetary incentive </w:t>
      </w:r>
      <w:r w:rsidRPr="001073DE">
        <w:t xml:space="preserve">for the student participants. However, students will be permitted to keep the earbuds used during </w:t>
      </w:r>
      <w:r>
        <w:t>the study</w:t>
      </w:r>
      <w:r w:rsidRPr="001073DE">
        <w:t>.</w:t>
      </w:r>
    </w:p>
    <w:p w:rsidR="002155CF" w:rsidRDefault="002155CF" w:rsidP="00B55B2F">
      <w:pPr>
        <w:pStyle w:val="aHeading1"/>
      </w:pPr>
      <w:r>
        <w:t>Assurance of Confidentiality</w:t>
      </w:r>
      <w:bookmarkEnd w:id="43"/>
      <w:bookmarkEnd w:id="44"/>
    </w:p>
    <w:p w:rsidR="002155CF" w:rsidRPr="004F2282" w:rsidRDefault="002155CF" w:rsidP="00C325D6">
      <w:pPr>
        <w:rPr>
          <w:rStyle w:val="StyleTimesNewRoman"/>
          <w:color w:val="auto"/>
          <w:sz w:val="22"/>
        </w:rPr>
      </w:pPr>
      <w:r w:rsidRPr="00F20A49">
        <w:t>The study will not collect any pers</w:t>
      </w:r>
      <w:r>
        <w:t>onally identifiable information</w:t>
      </w:r>
      <w:r w:rsidRPr="00F20A49">
        <w:t>. Prior to the start of the study</w:t>
      </w:r>
      <w:r>
        <w:t xml:space="preserve">, </w:t>
      </w:r>
      <w:r>
        <w:rPr>
          <w:rStyle w:val="StyleTimesNewRoman"/>
          <w:sz w:val="22"/>
        </w:rPr>
        <w:t>p</w:t>
      </w:r>
      <w:r w:rsidRPr="002F31A6">
        <w:rPr>
          <w:rStyle w:val="StyleTimesNewRoman"/>
          <w:sz w:val="22"/>
        </w:rPr>
        <w:t xml:space="preserve">articipants will be notified that their participation is voluntary and that their answers may be used only for statistical purposes and may not be disclosed, or used, in identifiable form for any other purpose except as required by law [Education Sciences Reform Act of 2002 (20 U.S.C. §9573)]. </w:t>
      </w:r>
    </w:p>
    <w:p w:rsidR="002155CF" w:rsidRPr="002F31A6" w:rsidRDefault="002155CF" w:rsidP="00C325D6">
      <w:pPr>
        <w:rPr>
          <w:rStyle w:val="StyleTimesNewRoman"/>
          <w:sz w:val="22"/>
        </w:rPr>
      </w:pPr>
      <w:r w:rsidRPr="002F31A6">
        <w:rPr>
          <w:rStyle w:val="StyleTimesNewRoman"/>
          <w:sz w:val="22"/>
        </w:rPr>
        <w:lastRenderedPageBreak/>
        <w:t xml:space="preserve">Written </w:t>
      </w:r>
      <w:r>
        <w:rPr>
          <w:rStyle w:val="StyleTimesNewRoman"/>
          <w:sz w:val="22"/>
        </w:rPr>
        <w:t>notification will be sent to</w:t>
      </w:r>
      <w:r w:rsidRPr="002F31A6">
        <w:rPr>
          <w:rStyle w:val="StyleTimesNewRoman"/>
          <w:sz w:val="22"/>
        </w:rPr>
        <w:t xml:space="preserve"> </w:t>
      </w:r>
      <w:r w:rsidR="00A90A7B">
        <w:rPr>
          <w:rStyle w:val="StyleTimesNewRoman"/>
          <w:sz w:val="22"/>
        </w:rPr>
        <w:t>parents/</w:t>
      </w:r>
      <w:r w:rsidRPr="002F31A6">
        <w:rPr>
          <w:rStyle w:val="StyleTimesNewRoman"/>
          <w:sz w:val="22"/>
        </w:rPr>
        <w:t>guardians</w:t>
      </w:r>
      <w:r>
        <w:rPr>
          <w:rStyle w:val="StyleTimesNewRoman"/>
          <w:sz w:val="22"/>
        </w:rPr>
        <w:t xml:space="preserve"> of students</w:t>
      </w:r>
      <w:r w:rsidRPr="002F31A6">
        <w:rPr>
          <w:rStyle w:val="StyleTimesNewRoman"/>
          <w:sz w:val="22"/>
        </w:rPr>
        <w:t xml:space="preserve"> before </w:t>
      </w:r>
      <w:r w:rsidR="001073DE">
        <w:rPr>
          <w:rStyle w:val="StyleTimesNewRoman"/>
          <w:sz w:val="22"/>
        </w:rPr>
        <w:t>the study</w:t>
      </w:r>
      <w:r w:rsidRPr="002F31A6">
        <w:rPr>
          <w:rStyle w:val="StyleTimesNewRoman"/>
          <w:sz w:val="22"/>
        </w:rPr>
        <w:t xml:space="preserve"> is conducted</w:t>
      </w:r>
      <w:r w:rsidR="00AA52F0">
        <w:rPr>
          <w:rStyle w:val="StyleTimesNewRoman"/>
          <w:sz w:val="22"/>
        </w:rPr>
        <w:t xml:space="preserve"> (see appendix </w:t>
      </w:r>
      <w:r w:rsidR="00A90A7B">
        <w:rPr>
          <w:rStyle w:val="StyleTimesNewRoman"/>
          <w:sz w:val="22"/>
        </w:rPr>
        <w:t>B</w:t>
      </w:r>
      <w:r w:rsidR="00AA52F0">
        <w:rPr>
          <w:rStyle w:val="StyleTimesNewRoman"/>
          <w:sz w:val="22"/>
        </w:rPr>
        <w:t>)</w:t>
      </w:r>
      <w:r w:rsidRPr="002F31A6">
        <w:rPr>
          <w:rStyle w:val="StyleTimesNewRoman"/>
          <w:sz w:val="22"/>
        </w:rPr>
        <w:t>. Participants will be assigned a unique identifier (ID), which will be created solely for data file management and used to keep all participant materials together. The participant ID will not be linked to the participant name in any way or form.</w:t>
      </w:r>
    </w:p>
    <w:p w:rsidR="002155CF" w:rsidRPr="009544D6" w:rsidRDefault="002155CF" w:rsidP="00B55B2F">
      <w:pPr>
        <w:pStyle w:val="aHeading1"/>
      </w:pPr>
      <w:bookmarkStart w:id="48" w:name="_Toc365710621"/>
      <w:bookmarkStart w:id="49" w:name="_Toc366138687"/>
      <w:r>
        <w:t xml:space="preserve">Estimate of Hourly </w:t>
      </w:r>
      <w:r w:rsidR="001073DE">
        <w:t>B</w:t>
      </w:r>
      <w:r>
        <w:t>urden</w:t>
      </w:r>
      <w:bookmarkEnd w:id="48"/>
      <w:bookmarkEnd w:id="49"/>
      <w:r w:rsidRPr="009544D6">
        <w:t xml:space="preserve"> </w:t>
      </w:r>
    </w:p>
    <w:p w:rsidR="002155CF" w:rsidRDefault="002155CF" w:rsidP="008807F7">
      <w:pPr>
        <w:rPr>
          <w:rStyle w:val="StyleTimesNewRoman"/>
          <w:rFonts w:cs="Calibri"/>
          <w:sz w:val="22"/>
        </w:rPr>
      </w:pPr>
      <w:r w:rsidRPr="008807F7">
        <w:rPr>
          <w:rStyle w:val="StyleTimesNewRoman"/>
          <w:rFonts w:cs="Calibri"/>
          <w:sz w:val="22"/>
        </w:rPr>
        <w:t xml:space="preserve">School administrators </w:t>
      </w:r>
      <w:r w:rsidR="009F5B03">
        <w:rPr>
          <w:rStyle w:val="StyleTimesNewRoman"/>
          <w:rFonts w:cs="Calibri"/>
          <w:sz w:val="22"/>
        </w:rPr>
        <w:t xml:space="preserve">and personnel </w:t>
      </w:r>
      <w:r w:rsidRPr="008807F7">
        <w:rPr>
          <w:rStyle w:val="StyleTimesNewRoman"/>
          <w:rFonts w:cs="Calibri"/>
          <w:sz w:val="22"/>
        </w:rPr>
        <w:t xml:space="preserve">provide pre-assessment information and help with the logistics of student and room coordination and other related duties. The school administrator burden is estimated at </w:t>
      </w:r>
      <w:r>
        <w:rPr>
          <w:rStyle w:val="StyleTimesNewRoman"/>
          <w:rFonts w:cs="Calibri"/>
          <w:sz w:val="22"/>
        </w:rPr>
        <w:t>1</w:t>
      </w:r>
      <w:r w:rsidR="00A90A7B">
        <w:rPr>
          <w:rStyle w:val="StyleTimesNewRoman"/>
          <w:rFonts w:cs="Calibri"/>
          <w:sz w:val="22"/>
        </w:rPr>
        <w:t>0</w:t>
      </w:r>
      <w:r>
        <w:rPr>
          <w:rStyle w:val="StyleTimesNewRoman"/>
          <w:rFonts w:cs="Calibri"/>
          <w:sz w:val="22"/>
        </w:rPr>
        <w:t xml:space="preserve"> </w:t>
      </w:r>
      <w:r w:rsidRPr="008807F7">
        <w:rPr>
          <w:rStyle w:val="StyleTimesNewRoman"/>
          <w:rFonts w:cs="Calibri"/>
          <w:sz w:val="22"/>
        </w:rPr>
        <w:t>minutes for the pre-assessment contact</w:t>
      </w:r>
      <w:r w:rsidR="009F5B03">
        <w:rPr>
          <w:rStyle w:val="StyleTimesNewRoman"/>
          <w:rFonts w:cs="Calibri"/>
          <w:sz w:val="22"/>
        </w:rPr>
        <w:t>. The school personnel burden is estimated at</w:t>
      </w:r>
      <w:r w:rsidRPr="008807F7">
        <w:rPr>
          <w:rStyle w:val="StyleTimesNewRoman"/>
          <w:rFonts w:cs="Calibri"/>
          <w:sz w:val="22"/>
        </w:rPr>
        <w:t xml:space="preserve"> one hour for administration support</w:t>
      </w:r>
      <w:r w:rsidR="006E65A4">
        <w:rPr>
          <w:rStyle w:val="StyleTimesNewRoman"/>
          <w:rFonts w:cs="Calibri"/>
          <w:sz w:val="22"/>
        </w:rPr>
        <w:t xml:space="preserve"> and 10 minutes for the post-assessment debriefing interview</w:t>
      </w:r>
      <w:r w:rsidRPr="008807F7">
        <w:rPr>
          <w:rStyle w:val="StyleTimesNewRoman"/>
          <w:rFonts w:cs="Calibri"/>
          <w:sz w:val="22"/>
        </w:rPr>
        <w:t>.</w:t>
      </w:r>
      <w:r>
        <w:rPr>
          <w:rStyle w:val="StyleTimesNewRoman"/>
          <w:rFonts w:cs="Calibri"/>
          <w:sz w:val="22"/>
        </w:rPr>
        <w:t xml:space="preserve">  </w:t>
      </w:r>
    </w:p>
    <w:p w:rsidR="002155CF" w:rsidRDefault="002155CF" w:rsidP="00C512D9">
      <w:pPr>
        <w:rPr>
          <w:rStyle w:val="StyleTimesNewRoman"/>
          <w:rFonts w:cs="Calibri"/>
          <w:sz w:val="22"/>
        </w:rPr>
      </w:pPr>
      <w:r w:rsidRPr="008807F7">
        <w:rPr>
          <w:rStyle w:val="StyleTimesNewRoman"/>
          <w:rFonts w:cs="Calibri"/>
          <w:sz w:val="22"/>
        </w:rPr>
        <w:t>Parents of participating students will receive a letter explaining the study, for which the parent’s burden is estimated at 3 minutes. An additional burden (15 minutes) is estimated for a small portion of parents</w:t>
      </w:r>
      <w:r>
        <w:rPr>
          <w:rStyle w:val="StyleTimesNewRoman"/>
          <w:rFonts w:cs="Calibri"/>
          <w:sz w:val="22"/>
        </w:rPr>
        <w:t xml:space="preserve"> (up to </w:t>
      </w:r>
      <w:r w:rsidR="00C37CC6">
        <w:rPr>
          <w:rStyle w:val="StyleTimesNewRoman"/>
          <w:rFonts w:cs="Calibri"/>
          <w:sz w:val="22"/>
        </w:rPr>
        <w:t>120</w:t>
      </w:r>
      <w:r>
        <w:rPr>
          <w:rStyle w:val="StyleTimesNewRoman"/>
          <w:rFonts w:cs="Calibri"/>
          <w:sz w:val="22"/>
        </w:rPr>
        <w:t>)</w:t>
      </w:r>
      <w:r w:rsidRPr="008807F7">
        <w:rPr>
          <w:rStyle w:val="StyleTimesNewRoman"/>
          <w:rFonts w:cs="Calibri"/>
          <w:sz w:val="22"/>
        </w:rPr>
        <w:t xml:space="preserve"> who may write refusing approval for their child or may research information related to the study.</w:t>
      </w:r>
      <w:r>
        <w:rPr>
          <w:rStyle w:val="StyleTimesNewRoman"/>
          <w:rFonts w:cs="Calibri"/>
          <w:sz w:val="22"/>
        </w:rPr>
        <w:t xml:space="preserve"> </w:t>
      </w:r>
    </w:p>
    <w:p w:rsidR="00A90A7B" w:rsidRPr="008807F7" w:rsidRDefault="00485743" w:rsidP="00C512D9">
      <w:pPr>
        <w:rPr>
          <w:rStyle w:val="StyleTimesNewRoman"/>
          <w:rFonts w:cs="Calibri"/>
          <w:sz w:val="22"/>
        </w:rPr>
      </w:pPr>
      <w:r>
        <w:rPr>
          <w:rStyle w:val="StyleTimesNewRoman"/>
          <w:rFonts w:cs="Calibri"/>
          <w:sz w:val="22"/>
        </w:rPr>
        <w:t>Up to a</w:t>
      </w:r>
      <w:r w:rsidRPr="00A90A7B">
        <w:rPr>
          <w:rStyle w:val="StyleTimesNewRoman"/>
          <w:rFonts w:cs="Calibri"/>
          <w:sz w:val="22"/>
        </w:rPr>
        <w:t xml:space="preserve">pproximately </w:t>
      </w:r>
      <w:r w:rsidR="00A90A7B">
        <w:rPr>
          <w:rStyle w:val="StyleTimesNewRoman"/>
          <w:rFonts w:cs="Calibri"/>
          <w:sz w:val="22"/>
        </w:rPr>
        <w:t>1</w:t>
      </w:r>
      <w:r w:rsidR="008570A9">
        <w:rPr>
          <w:rStyle w:val="StyleTimesNewRoman"/>
          <w:rFonts w:cs="Calibri"/>
          <w:sz w:val="22"/>
        </w:rPr>
        <w:t>,</w:t>
      </w:r>
      <w:r w:rsidR="00A90A7B">
        <w:rPr>
          <w:rStyle w:val="StyleTimesNewRoman"/>
          <w:rFonts w:cs="Calibri"/>
          <w:sz w:val="22"/>
        </w:rPr>
        <w:t>200</w:t>
      </w:r>
      <w:r w:rsidR="00A90A7B" w:rsidRPr="00A90A7B">
        <w:rPr>
          <w:rStyle w:val="StyleTimesNewRoman"/>
          <w:rFonts w:cs="Calibri"/>
          <w:sz w:val="22"/>
        </w:rPr>
        <w:t xml:space="preserve"> students from </w:t>
      </w:r>
      <w:r w:rsidR="00AE23CA">
        <w:rPr>
          <w:rStyle w:val="StyleTimesNewRoman"/>
          <w:rFonts w:cs="Calibri"/>
          <w:sz w:val="22"/>
        </w:rPr>
        <w:t>27</w:t>
      </w:r>
      <w:r w:rsidR="00AE23CA" w:rsidRPr="00A90A7B">
        <w:rPr>
          <w:rStyle w:val="StyleTimesNewRoman"/>
          <w:rFonts w:cs="Calibri"/>
          <w:sz w:val="22"/>
        </w:rPr>
        <w:t xml:space="preserve"> </w:t>
      </w:r>
      <w:r w:rsidR="00A90A7B" w:rsidRPr="00A90A7B">
        <w:rPr>
          <w:rStyle w:val="StyleTimesNewRoman"/>
          <w:rFonts w:cs="Calibri"/>
          <w:sz w:val="22"/>
        </w:rPr>
        <w:t xml:space="preserve">schools will participate in the study. Student burden is calculated based on the </w:t>
      </w:r>
      <w:r w:rsidR="00A90A7B">
        <w:rPr>
          <w:rStyle w:val="StyleTimesNewRoman"/>
          <w:rFonts w:cs="Calibri"/>
          <w:sz w:val="22"/>
        </w:rPr>
        <w:t xml:space="preserve">up to 10 minutes of </w:t>
      </w:r>
      <w:r w:rsidR="00A90A7B" w:rsidRPr="00A90A7B">
        <w:rPr>
          <w:rStyle w:val="StyleTimesNewRoman"/>
          <w:rFonts w:cs="Calibri"/>
          <w:sz w:val="22"/>
        </w:rPr>
        <w:t xml:space="preserve">time for the </w:t>
      </w:r>
      <w:r w:rsidR="00A90A7B">
        <w:rPr>
          <w:rStyle w:val="StyleTimesNewRoman"/>
          <w:rFonts w:cs="Calibri"/>
          <w:sz w:val="22"/>
        </w:rPr>
        <w:t xml:space="preserve">classroom debriefing </w:t>
      </w:r>
      <w:r w:rsidR="00A90A7B" w:rsidRPr="00A90A7B">
        <w:rPr>
          <w:rStyle w:val="StyleTimesNewRoman"/>
          <w:rFonts w:cs="Calibri"/>
          <w:sz w:val="22"/>
        </w:rPr>
        <w:t xml:space="preserve">questions and 15 minutes for setup, out of the total </w:t>
      </w:r>
      <w:r w:rsidR="004B4028">
        <w:rPr>
          <w:rStyle w:val="StyleTimesNewRoman"/>
          <w:rFonts w:cs="Calibri"/>
          <w:sz w:val="22"/>
        </w:rPr>
        <w:t>study</w:t>
      </w:r>
      <w:r w:rsidR="00A90A7B" w:rsidRPr="00A90A7B">
        <w:rPr>
          <w:rStyle w:val="StyleTimesNewRoman"/>
          <w:rFonts w:cs="Calibri"/>
          <w:sz w:val="22"/>
        </w:rPr>
        <w:t xml:space="preserve"> time of </w:t>
      </w:r>
      <w:r w:rsidR="00A90A7B">
        <w:rPr>
          <w:rStyle w:val="StyleTimesNewRoman"/>
          <w:rFonts w:cs="Calibri"/>
          <w:sz w:val="22"/>
        </w:rPr>
        <w:t>100</w:t>
      </w:r>
      <w:r w:rsidR="00A90A7B" w:rsidRPr="00A90A7B">
        <w:rPr>
          <w:rStyle w:val="StyleTimesNewRoman"/>
          <w:rFonts w:cs="Calibri"/>
          <w:sz w:val="22"/>
        </w:rPr>
        <w:t xml:space="preserve"> minutes.</w:t>
      </w:r>
      <w:r w:rsidR="00A90A7B" w:rsidRPr="00A90A7B">
        <w:rPr>
          <w:rStyle w:val="StyleTimesNewRoman"/>
          <w:rFonts w:cs="Calibri"/>
          <w:sz w:val="22"/>
          <w:vertAlign w:val="superscript"/>
        </w:rPr>
        <w:footnoteReference w:id="5"/>
      </w:r>
    </w:p>
    <w:p w:rsidR="002155CF" w:rsidRDefault="002155CF" w:rsidP="00C325D6">
      <w:r>
        <w:t xml:space="preserve">Estimated hourly burden for the participants is described in Table 1, below. </w:t>
      </w:r>
    </w:p>
    <w:p w:rsidR="002155CF" w:rsidRPr="00176E8D" w:rsidRDefault="002155CF" w:rsidP="0005462E">
      <w:pPr>
        <w:pStyle w:val="Caption"/>
        <w:keepNext/>
        <w:rPr>
          <w:sz w:val="24"/>
          <w:szCs w:val="24"/>
        </w:rPr>
      </w:pPr>
      <w:bookmarkStart w:id="50" w:name="_Toc359503613"/>
      <w:proofErr w:type="gramStart"/>
      <w:r w:rsidRPr="00EA4688">
        <w:rPr>
          <w:sz w:val="24"/>
          <w:szCs w:val="24"/>
        </w:rPr>
        <w:t xml:space="preserve">Table </w:t>
      </w:r>
      <w:r>
        <w:rPr>
          <w:sz w:val="24"/>
          <w:szCs w:val="24"/>
        </w:rPr>
        <w:t>1</w:t>
      </w:r>
      <w:r w:rsidRPr="00EA4688">
        <w:rPr>
          <w:sz w:val="24"/>
          <w:szCs w:val="24"/>
        </w:rPr>
        <w:t>.</w:t>
      </w:r>
      <w:proofErr w:type="gramEnd"/>
      <w:r>
        <w:rPr>
          <w:sz w:val="24"/>
          <w:szCs w:val="24"/>
        </w:rPr>
        <w:t xml:space="preserve"> </w:t>
      </w:r>
      <w:r w:rsidRPr="00EA4688">
        <w:rPr>
          <w:sz w:val="24"/>
          <w:szCs w:val="24"/>
        </w:rPr>
        <w:t>Estimate of Hourly Burden</w:t>
      </w:r>
      <w:bookmarkEnd w:id="50"/>
    </w:p>
    <w:tbl>
      <w:tblPr>
        <w:tblW w:w="5000" w:type="pct"/>
        <w:jc w:val="center"/>
        <w:tblBorders>
          <w:top w:val="single" w:sz="18" w:space="0" w:color="auto"/>
          <w:bottom w:val="single" w:sz="18" w:space="0" w:color="auto"/>
        </w:tblBorders>
        <w:tblLook w:val="04A0" w:firstRow="1" w:lastRow="0" w:firstColumn="1" w:lastColumn="0" w:noHBand="0" w:noVBand="1"/>
      </w:tblPr>
      <w:tblGrid>
        <w:gridCol w:w="2037"/>
        <w:gridCol w:w="2652"/>
        <w:gridCol w:w="1633"/>
        <w:gridCol w:w="2506"/>
        <w:gridCol w:w="1612"/>
      </w:tblGrid>
      <w:tr w:rsidR="002155CF" w:rsidRPr="00DC5175" w:rsidTr="008570A9">
        <w:trPr>
          <w:trHeight w:val="648"/>
          <w:jc w:val="center"/>
        </w:trPr>
        <w:tc>
          <w:tcPr>
            <w:tcW w:w="976" w:type="pct"/>
            <w:tcBorders>
              <w:top w:val="single" w:sz="18" w:space="0" w:color="auto"/>
              <w:left w:val="single" w:sz="18" w:space="0" w:color="auto"/>
              <w:bottom w:val="single" w:sz="8" w:space="0" w:color="auto"/>
              <w:right w:val="single" w:sz="8" w:space="0" w:color="auto"/>
            </w:tcBorders>
            <w:shd w:val="clear" w:color="auto" w:fill="EEECE1"/>
            <w:vAlign w:val="center"/>
          </w:tcPr>
          <w:p w:rsidR="002155CF" w:rsidRPr="00DC5175" w:rsidRDefault="002155CF" w:rsidP="008570A9">
            <w:pPr>
              <w:keepNext/>
              <w:spacing w:after="0" w:line="240" w:lineRule="auto"/>
              <w:jc w:val="center"/>
              <w:rPr>
                <w:b/>
                <w:bCs/>
              </w:rPr>
            </w:pPr>
            <w:r w:rsidRPr="00DC5175">
              <w:rPr>
                <w:b/>
                <w:bCs/>
              </w:rPr>
              <w:t>Person</w:t>
            </w:r>
          </w:p>
        </w:tc>
        <w:tc>
          <w:tcPr>
            <w:tcW w:w="1270" w:type="pct"/>
            <w:tcBorders>
              <w:top w:val="single" w:sz="18" w:space="0" w:color="auto"/>
              <w:left w:val="single" w:sz="8" w:space="0" w:color="auto"/>
              <w:bottom w:val="single" w:sz="8" w:space="0" w:color="auto"/>
              <w:right w:val="single" w:sz="8" w:space="0" w:color="auto"/>
            </w:tcBorders>
            <w:shd w:val="clear" w:color="auto" w:fill="EEECE1"/>
            <w:vAlign w:val="center"/>
          </w:tcPr>
          <w:p w:rsidR="002155CF" w:rsidRPr="00DC5175" w:rsidRDefault="002155CF" w:rsidP="008570A9">
            <w:pPr>
              <w:keepNext/>
              <w:spacing w:after="0" w:line="240" w:lineRule="auto"/>
              <w:jc w:val="center"/>
              <w:rPr>
                <w:b/>
                <w:bCs/>
              </w:rPr>
            </w:pPr>
            <w:r w:rsidRPr="00DC5175">
              <w:rPr>
                <w:b/>
                <w:bCs/>
              </w:rPr>
              <w:t>Task</w:t>
            </w:r>
          </w:p>
        </w:tc>
        <w:tc>
          <w:tcPr>
            <w:tcW w:w="782" w:type="pct"/>
            <w:tcBorders>
              <w:top w:val="single" w:sz="18" w:space="0" w:color="auto"/>
              <w:left w:val="single" w:sz="8" w:space="0" w:color="auto"/>
              <w:bottom w:val="single" w:sz="8" w:space="0" w:color="auto"/>
              <w:right w:val="single" w:sz="8" w:space="0" w:color="auto"/>
            </w:tcBorders>
            <w:shd w:val="clear" w:color="auto" w:fill="EEECE1"/>
            <w:vAlign w:val="center"/>
          </w:tcPr>
          <w:p w:rsidR="002155CF" w:rsidRPr="00DC5175" w:rsidRDefault="002155CF" w:rsidP="008570A9">
            <w:pPr>
              <w:keepNext/>
              <w:spacing w:after="0" w:line="240" w:lineRule="auto"/>
              <w:jc w:val="center"/>
              <w:rPr>
                <w:b/>
                <w:bCs/>
              </w:rPr>
            </w:pPr>
            <w:r w:rsidRPr="00DC5175">
              <w:rPr>
                <w:b/>
                <w:bCs/>
              </w:rPr>
              <w:t>Number of Individuals</w:t>
            </w:r>
          </w:p>
        </w:tc>
        <w:tc>
          <w:tcPr>
            <w:tcW w:w="1200" w:type="pct"/>
            <w:tcBorders>
              <w:top w:val="single" w:sz="18" w:space="0" w:color="auto"/>
              <w:left w:val="single" w:sz="8" w:space="0" w:color="auto"/>
              <w:bottom w:val="single" w:sz="8" w:space="0" w:color="auto"/>
              <w:right w:val="single" w:sz="8" w:space="0" w:color="auto"/>
            </w:tcBorders>
            <w:shd w:val="clear" w:color="auto" w:fill="EEECE1"/>
            <w:vAlign w:val="center"/>
          </w:tcPr>
          <w:p w:rsidR="002155CF" w:rsidRPr="00DC5175" w:rsidRDefault="002155CF" w:rsidP="008570A9">
            <w:pPr>
              <w:keepNext/>
              <w:spacing w:after="0" w:line="240" w:lineRule="auto"/>
              <w:jc w:val="center"/>
              <w:rPr>
                <w:b/>
                <w:bCs/>
              </w:rPr>
            </w:pPr>
            <w:r w:rsidRPr="00DC5175">
              <w:rPr>
                <w:b/>
                <w:bCs/>
              </w:rPr>
              <w:t>Individual Participant Burden</w:t>
            </w:r>
          </w:p>
        </w:tc>
        <w:tc>
          <w:tcPr>
            <w:tcW w:w="772" w:type="pct"/>
            <w:tcBorders>
              <w:top w:val="single" w:sz="18" w:space="0" w:color="auto"/>
              <w:left w:val="single" w:sz="8" w:space="0" w:color="auto"/>
              <w:bottom w:val="single" w:sz="8" w:space="0" w:color="auto"/>
              <w:right w:val="single" w:sz="18" w:space="0" w:color="auto"/>
            </w:tcBorders>
            <w:shd w:val="clear" w:color="auto" w:fill="EEECE1"/>
            <w:vAlign w:val="center"/>
          </w:tcPr>
          <w:p w:rsidR="002155CF" w:rsidRPr="00DC5175" w:rsidRDefault="002155CF" w:rsidP="008570A9">
            <w:pPr>
              <w:keepNext/>
              <w:spacing w:after="0" w:line="240" w:lineRule="auto"/>
              <w:jc w:val="center"/>
              <w:rPr>
                <w:b/>
                <w:bCs/>
              </w:rPr>
            </w:pPr>
            <w:r w:rsidRPr="00DC5175">
              <w:rPr>
                <w:b/>
                <w:bCs/>
              </w:rPr>
              <w:t>Total Burden</w:t>
            </w:r>
          </w:p>
        </w:tc>
      </w:tr>
      <w:tr w:rsidR="002155CF" w:rsidRPr="00DC5175" w:rsidTr="008570A9">
        <w:trPr>
          <w:trHeight w:val="648"/>
          <w:jc w:val="center"/>
        </w:trPr>
        <w:tc>
          <w:tcPr>
            <w:tcW w:w="976" w:type="pct"/>
            <w:tcBorders>
              <w:top w:val="single" w:sz="8" w:space="0" w:color="auto"/>
              <w:left w:val="single" w:sz="18" w:space="0" w:color="auto"/>
              <w:bottom w:val="single" w:sz="8" w:space="0" w:color="auto"/>
              <w:right w:val="single" w:sz="8" w:space="0" w:color="auto"/>
            </w:tcBorders>
            <w:vAlign w:val="center"/>
          </w:tcPr>
          <w:p w:rsidR="002155CF" w:rsidRPr="00DC5175" w:rsidRDefault="002155CF" w:rsidP="008570A9">
            <w:pPr>
              <w:keepNext/>
              <w:spacing w:after="0" w:line="240" w:lineRule="auto"/>
              <w:jc w:val="center"/>
              <w:rPr>
                <w:b/>
                <w:bCs/>
              </w:rPr>
            </w:pPr>
            <w:r w:rsidRPr="00DC5175">
              <w:rPr>
                <w:b/>
                <w:bCs/>
              </w:rPr>
              <w:t>School Administrator</w:t>
            </w:r>
          </w:p>
        </w:tc>
        <w:tc>
          <w:tcPr>
            <w:tcW w:w="1270" w:type="pct"/>
            <w:tcBorders>
              <w:top w:val="single" w:sz="8" w:space="0" w:color="auto"/>
              <w:left w:val="single" w:sz="8" w:space="0" w:color="auto"/>
              <w:bottom w:val="single" w:sz="8" w:space="0" w:color="auto"/>
              <w:right w:val="single" w:sz="8" w:space="0" w:color="auto"/>
            </w:tcBorders>
            <w:vAlign w:val="center"/>
          </w:tcPr>
          <w:p w:rsidR="002155CF" w:rsidRPr="00DC5175" w:rsidRDefault="002155CF" w:rsidP="008570A9">
            <w:pPr>
              <w:keepNext/>
              <w:spacing w:after="0" w:line="240" w:lineRule="auto"/>
              <w:jc w:val="center"/>
            </w:pPr>
            <w:r w:rsidRPr="00DC5175">
              <w:t xml:space="preserve">Initial </w:t>
            </w:r>
            <w:r w:rsidR="004B4028">
              <w:t>C</w:t>
            </w:r>
            <w:r w:rsidRPr="00DC5175">
              <w:t>ontact by NAEP State Coordinator</w:t>
            </w:r>
          </w:p>
        </w:tc>
        <w:tc>
          <w:tcPr>
            <w:tcW w:w="782" w:type="pct"/>
            <w:tcBorders>
              <w:top w:val="single" w:sz="8" w:space="0" w:color="auto"/>
              <w:left w:val="single" w:sz="8" w:space="0" w:color="auto"/>
              <w:bottom w:val="single" w:sz="8" w:space="0" w:color="auto"/>
              <w:right w:val="single" w:sz="8" w:space="0" w:color="auto"/>
            </w:tcBorders>
            <w:vAlign w:val="center"/>
          </w:tcPr>
          <w:p w:rsidR="002155CF" w:rsidRPr="00DC5175" w:rsidRDefault="00AE23CA" w:rsidP="008570A9">
            <w:pPr>
              <w:keepNext/>
              <w:spacing w:after="0" w:line="240" w:lineRule="auto"/>
              <w:jc w:val="center"/>
            </w:pPr>
            <w:r>
              <w:t>27</w:t>
            </w:r>
          </w:p>
        </w:tc>
        <w:tc>
          <w:tcPr>
            <w:tcW w:w="1200" w:type="pct"/>
            <w:tcBorders>
              <w:top w:val="single" w:sz="8" w:space="0" w:color="auto"/>
              <w:left w:val="single" w:sz="8" w:space="0" w:color="auto"/>
              <w:bottom w:val="single" w:sz="8" w:space="0" w:color="auto"/>
              <w:right w:val="single" w:sz="8" w:space="0" w:color="auto"/>
            </w:tcBorders>
            <w:vAlign w:val="center"/>
          </w:tcPr>
          <w:p w:rsidR="002155CF" w:rsidRPr="00DC5175" w:rsidRDefault="000B3CE0" w:rsidP="008570A9">
            <w:pPr>
              <w:keepNext/>
              <w:spacing w:after="0" w:line="240" w:lineRule="auto"/>
              <w:jc w:val="center"/>
            </w:pPr>
            <w:r>
              <w:t>10</w:t>
            </w:r>
            <w:r w:rsidR="002155CF" w:rsidRPr="00DC5175">
              <w:t xml:space="preserve"> minutes</w:t>
            </w:r>
          </w:p>
        </w:tc>
        <w:tc>
          <w:tcPr>
            <w:tcW w:w="772" w:type="pct"/>
            <w:tcBorders>
              <w:top w:val="single" w:sz="8" w:space="0" w:color="auto"/>
              <w:left w:val="single" w:sz="8" w:space="0" w:color="auto"/>
              <w:bottom w:val="single" w:sz="8" w:space="0" w:color="auto"/>
              <w:right w:val="single" w:sz="18" w:space="0" w:color="auto"/>
            </w:tcBorders>
            <w:vAlign w:val="center"/>
          </w:tcPr>
          <w:p w:rsidR="002155CF" w:rsidRPr="00DC5175" w:rsidRDefault="000B3CE0" w:rsidP="008570A9">
            <w:pPr>
              <w:keepNext/>
              <w:spacing w:after="0" w:line="240" w:lineRule="auto"/>
              <w:jc w:val="center"/>
            </w:pPr>
            <w:r>
              <w:t>5</w:t>
            </w:r>
            <w:r w:rsidR="002155CF" w:rsidRPr="00DC5175">
              <w:t xml:space="preserve"> hours</w:t>
            </w:r>
          </w:p>
        </w:tc>
      </w:tr>
      <w:tr w:rsidR="002155CF" w:rsidRPr="00DC5175" w:rsidTr="008570A9">
        <w:trPr>
          <w:trHeight w:val="648"/>
          <w:jc w:val="center"/>
        </w:trPr>
        <w:tc>
          <w:tcPr>
            <w:tcW w:w="976" w:type="pct"/>
            <w:tcBorders>
              <w:top w:val="single" w:sz="8" w:space="0" w:color="auto"/>
              <w:left w:val="single" w:sz="18" w:space="0" w:color="auto"/>
              <w:bottom w:val="single" w:sz="8" w:space="0" w:color="auto"/>
              <w:right w:val="single" w:sz="8" w:space="0" w:color="auto"/>
            </w:tcBorders>
            <w:vAlign w:val="center"/>
          </w:tcPr>
          <w:p w:rsidR="002155CF" w:rsidRPr="00DC5175" w:rsidRDefault="002155CF" w:rsidP="008570A9">
            <w:pPr>
              <w:keepNext/>
              <w:spacing w:after="0" w:line="240" w:lineRule="auto"/>
              <w:jc w:val="center"/>
              <w:rPr>
                <w:b/>
                <w:bCs/>
              </w:rPr>
            </w:pPr>
            <w:r w:rsidRPr="00DC5175">
              <w:rPr>
                <w:b/>
                <w:bCs/>
              </w:rPr>
              <w:t>School personnel</w:t>
            </w:r>
          </w:p>
        </w:tc>
        <w:tc>
          <w:tcPr>
            <w:tcW w:w="1270" w:type="pct"/>
            <w:tcBorders>
              <w:top w:val="single" w:sz="8" w:space="0" w:color="auto"/>
              <w:left w:val="single" w:sz="8" w:space="0" w:color="auto"/>
              <w:bottom w:val="single" w:sz="8" w:space="0" w:color="auto"/>
              <w:right w:val="single" w:sz="8" w:space="0" w:color="auto"/>
            </w:tcBorders>
            <w:vAlign w:val="center"/>
          </w:tcPr>
          <w:p w:rsidR="002155CF" w:rsidRPr="00DC5175" w:rsidRDefault="002155CF" w:rsidP="008570A9">
            <w:pPr>
              <w:keepNext/>
              <w:spacing w:after="0" w:line="240" w:lineRule="auto"/>
              <w:jc w:val="center"/>
            </w:pPr>
            <w:r w:rsidRPr="00DC5175">
              <w:t>Scheduling &amp; Logistics</w:t>
            </w:r>
          </w:p>
        </w:tc>
        <w:tc>
          <w:tcPr>
            <w:tcW w:w="782" w:type="pct"/>
            <w:tcBorders>
              <w:top w:val="single" w:sz="8" w:space="0" w:color="auto"/>
              <w:left w:val="single" w:sz="8" w:space="0" w:color="auto"/>
              <w:bottom w:val="single" w:sz="8" w:space="0" w:color="auto"/>
              <w:right w:val="single" w:sz="8" w:space="0" w:color="auto"/>
            </w:tcBorders>
            <w:vAlign w:val="center"/>
          </w:tcPr>
          <w:p w:rsidR="002155CF" w:rsidRPr="00DC5175" w:rsidRDefault="00AE23CA" w:rsidP="008570A9">
            <w:pPr>
              <w:keepNext/>
              <w:spacing w:after="0" w:line="240" w:lineRule="auto"/>
              <w:jc w:val="center"/>
            </w:pPr>
            <w:r>
              <w:t>27</w:t>
            </w:r>
          </w:p>
        </w:tc>
        <w:tc>
          <w:tcPr>
            <w:tcW w:w="1200" w:type="pct"/>
            <w:tcBorders>
              <w:top w:val="single" w:sz="8" w:space="0" w:color="auto"/>
              <w:left w:val="single" w:sz="8" w:space="0" w:color="auto"/>
              <w:bottom w:val="single" w:sz="8" w:space="0" w:color="auto"/>
              <w:right w:val="single" w:sz="8" w:space="0" w:color="auto"/>
            </w:tcBorders>
            <w:vAlign w:val="center"/>
          </w:tcPr>
          <w:p w:rsidR="002155CF" w:rsidRPr="00DC5175" w:rsidRDefault="00AE23CA" w:rsidP="008570A9">
            <w:pPr>
              <w:keepNext/>
              <w:spacing w:after="0" w:line="240" w:lineRule="auto"/>
              <w:jc w:val="center"/>
            </w:pPr>
            <w:r>
              <w:t>7</w:t>
            </w:r>
            <w:r w:rsidRPr="00DC5175">
              <w:t xml:space="preserve">0 </w:t>
            </w:r>
            <w:r w:rsidR="002155CF" w:rsidRPr="00DC5175">
              <w:t>minutes</w:t>
            </w:r>
          </w:p>
        </w:tc>
        <w:tc>
          <w:tcPr>
            <w:tcW w:w="772" w:type="pct"/>
            <w:tcBorders>
              <w:top w:val="single" w:sz="8" w:space="0" w:color="auto"/>
              <w:left w:val="single" w:sz="8" w:space="0" w:color="auto"/>
              <w:bottom w:val="single" w:sz="8" w:space="0" w:color="auto"/>
              <w:right w:val="single" w:sz="18" w:space="0" w:color="auto"/>
            </w:tcBorders>
            <w:vAlign w:val="center"/>
          </w:tcPr>
          <w:p w:rsidR="002155CF" w:rsidRPr="00DC5175" w:rsidRDefault="00AE23CA" w:rsidP="00626B15">
            <w:pPr>
              <w:keepNext/>
              <w:spacing w:after="0" w:line="240" w:lineRule="auto"/>
              <w:jc w:val="center"/>
            </w:pPr>
            <w:r>
              <w:t>3</w:t>
            </w:r>
            <w:r w:rsidR="00626B15">
              <w:t>2</w:t>
            </w:r>
            <w:r>
              <w:t xml:space="preserve"> </w:t>
            </w:r>
            <w:r w:rsidR="002155CF" w:rsidRPr="00DC5175">
              <w:t>hours</w:t>
            </w:r>
          </w:p>
        </w:tc>
      </w:tr>
      <w:tr w:rsidR="002155CF" w:rsidRPr="00DC5175" w:rsidTr="008570A9">
        <w:trPr>
          <w:trHeight w:val="648"/>
          <w:jc w:val="center"/>
        </w:trPr>
        <w:tc>
          <w:tcPr>
            <w:tcW w:w="976" w:type="pct"/>
            <w:tcBorders>
              <w:top w:val="single" w:sz="8" w:space="0" w:color="auto"/>
              <w:left w:val="single" w:sz="18" w:space="0" w:color="auto"/>
              <w:bottom w:val="single" w:sz="8" w:space="0" w:color="auto"/>
              <w:right w:val="single" w:sz="8" w:space="0" w:color="auto"/>
            </w:tcBorders>
            <w:vAlign w:val="center"/>
          </w:tcPr>
          <w:p w:rsidR="002155CF" w:rsidRPr="00DC5175" w:rsidRDefault="002155CF" w:rsidP="008570A9">
            <w:pPr>
              <w:keepNext/>
              <w:spacing w:after="0" w:line="240" w:lineRule="auto"/>
              <w:jc w:val="center"/>
              <w:rPr>
                <w:b/>
                <w:bCs/>
              </w:rPr>
            </w:pPr>
            <w:r w:rsidRPr="00DC5175">
              <w:rPr>
                <w:b/>
                <w:bCs/>
              </w:rPr>
              <w:t>Parents</w:t>
            </w:r>
          </w:p>
        </w:tc>
        <w:tc>
          <w:tcPr>
            <w:tcW w:w="1270" w:type="pct"/>
            <w:tcBorders>
              <w:top w:val="single" w:sz="8" w:space="0" w:color="auto"/>
              <w:left w:val="single" w:sz="8" w:space="0" w:color="auto"/>
              <w:bottom w:val="single" w:sz="8" w:space="0" w:color="auto"/>
              <w:right w:val="single" w:sz="8" w:space="0" w:color="auto"/>
            </w:tcBorders>
            <w:vAlign w:val="center"/>
          </w:tcPr>
          <w:p w:rsidR="002155CF" w:rsidRPr="00DC5175" w:rsidRDefault="002155CF" w:rsidP="008570A9">
            <w:pPr>
              <w:keepNext/>
              <w:spacing w:after="0" w:line="240" w:lineRule="auto"/>
              <w:jc w:val="center"/>
            </w:pPr>
            <w:r w:rsidRPr="00DC5175">
              <w:t xml:space="preserve">Initial Notification </w:t>
            </w:r>
          </w:p>
        </w:tc>
        <w:tc>
          <w:tcPr>
            <w:tcW w:w="782" w:type="pct"/>
            <w:tcBorders>
              <w:top w:val="single" w:sz="8" w:space="0" w:color="auto"/>
              <w:left w:val="single" w:sz="8" w:space="0" w:color="auto"/>
              <w:bottom w:val="single" w:sz="8" w:space="0" w:color="auto"/>
              <w:right w:val="single" w:sz="8" w:space="0" w:color="auto"/>
            </w:tcBorders>
            <w:vAlign w:val="center"/>
          </w:tcPr>
          <w:p w:rsidR="002155CF" w:rsidRPr="00DC5175" w:rsidRDefault="002C32D2" w:rsidP="008570A9">
            <w:pPr>
              <w:keepNext/>
              <w:spacing w:after="0" w:line="240" w:lineRule="auto"/>
              <w:jc w:val="center"/>
            </w:pPr>
            <w:r>
              <w:t>1</w:t>
            </w:r>
            <w:r w:rsidR="008570A9">
              <w:t>,</w:t>
            </w:r>
            <w:r>
              <w:t>320</w:t>
            </w:r>
          </w:p>
        </w:tc>
        <w:tc>
          <w:tcPr>
            <w:tcW w:w="1200" w:type="pct"/>
            <w:tcBorders>
              <w:top w:val="single" w:sz="8" w:space="0" w:color="auto"/>
              <w:left w:val="single" w:sz="8" w:space="0" w:color="auto"/>
              <w:bottom w:val="single" w:sz="8" w:space="0" w:color="auto"/>
              <w:right w:val="single" w:sz="8" w:space="0" w:color="auto"/>
            </w:tcBorders>
            <w:vAlign w:val="center"/>
          </w:tcPr>
          <w:p w:rsidR="002155CF" w:rsidRPr="00DC5175" w:rsidRDefault="002155CF" w:rsidP="008570A9">
            <w:pPr>
              <w:keepNext/>
              <w:spacing w:after="0" w:line="240" w:lineRule="auto"/>
              <w:jc w:val="center"/>
            </w:pPr>
            <w:r w:rsidRPr="00DC5175">
              <w:t>3 minutes</w:t>
            </w:r>
          </w:p>
        </w:tc>
        <w:tc>
          <w:tcPr>
            <w:tcW w:w="772" w:type="pct"/>
            <w:tcBorders>
              <w:top w:val="single" w:sz="8" w:space="0" w:color="auto"/>
              <w:left w:val="single" w:sz="8" w:space="0" w:color="auto"/>
              <w:bottom w:val="single" w:sz="8" w:space="0" w:color="auto"/>
              <w:right w:val="single" w:sz="18" w:space="0" w:color="auto"/>
            </w:tcBorders>
            <w:vAlign w:val="center"/>
          </w:tcPr>
          <w:p w:rsidR="002155CF" w:rsidRPr="00DC5175" w:rsidRDefault="002C32D2" w:rsidP="008570A9">
            <w:pPr>
              <w:keepNext/>
              <w:spacing w:after="0" w:line="240" w:lineRule="auto"/>
              <w:jc w:val="center"/>
            </w:pPr>
            <w:r>
              <w:t xml:space="preserve">66 </w:t>
            </w:r>
            <w:r w:rsidR="002155CF" w:rsidRPr="00DC5175">
              <w:t>hours</w:t>
            </w:r>
          </w:p>
        </w:tc>
      </w:tr>
      <w:tr w:rsidR="002155CF" w:rsidRPr="00DC5175" w:rsidTr="008570A9">
        <w:trPr>
          <w:trHeight w:val="648"/>
          <w:jc w:val="center"/>
        </w:trPr>
        <w:tc>
          <w:tcPr>
            <w:tcW w:w="976" w:type="pct"/>
            <w:tcBorders>
              <w:top w:val="single" w:sz="8" w:space="0" w:color="auto"/>
              <w:left w:val="single" w:sz="18" w:space="0" w:color="auto"/>
              <w:bottom w:val="single" w:sz="8" w:space="0" w:color="auto"/>
              <w:right w:val="single" w:sz="8" w:space="0" w:color="auto"/>
            </w:tcBorders>
            <w:vAlign w:val="center"/>
          </w:tcPr>
          <w:p w:rsidR="002155CF" w:rsidRPr="00DC5175" w:rsidRDefault="002155CF" w:rsidP="008570A9">
            <w:pPr>
              <w:keepNext/>
              <w:spacing w:after="0" w:line="240" w:lineRule="auto"/>
              <w:jc w:val="center"/>
              <w:rPr>
                <w:b/>
                <w:bCs/>
              </w:rPr>
            </w:pPr>
            <w:r w:rsidRPr="00DC5175">
              <w:rPr>
                <w:b/>
                <w:bCs/>
              </w:rPr>
              <w:t>Parents*</w:t>
            </w:r>
          </w:p>
        </w:tc>
        <w:tc>
          <w:tcPr>
            <w:tcW w:w="1270" w:type="pct"/>
            <w:tcBorders>
              <w:top w:val="single" w:sz="8" w:space="0" w:color="auto"/>
              <w:left w:val="single" w:sz="8" w:space="0" w:color="auto"/>
              <w:bottom w:val="single" w:sz="8" w:space="0" w:color="auto"/>
              <w:right w:val="single" w:sz="8" w:space="0" w:color="auto"/>
            </w:tcBorders>
            <w:vAlign w:val="center"/>
          </w:tcPr>
          <w:p w:rsidR="002155CF" w:rsidRPr="00DC5175" w:rsidRDefault="007F4B7A" w:rsidP="008570A9">
            <w:pPr>
              <w:keepNext/>
              <w:spacing w:after="0" w:line="240" w:lineRule="auto"/>
              <w:jc w:val="center"/>
            </w:pPr>
            <w:r>
              <w:t>Refusals or Additional Research</w:t>
            </w:r>
          </w:p>
        </w:tc>
        <w:tc>
          <w:tcPr>
            <w:tcW w:w="782" w:type="pct"/>
            <w:tcBorders>
              <w:top w:val="single" w:sz="8" w:space="0" w:color="auto"/>
              <w:left w:val="single" w:sz="8" w:space="0" w:color="auto"/>
              <w:bottom w:val="single" w:sz="8" w:space="0" w:color="auto"/>
              <w:right w:val="single" w:sz="8" w:space="0" w:color="auto"/>
            </w:tcBorders>
            <w:vAlign w:val="center"/>
          </w:tcPr>
          <w:p w:rsidR="002155CF" w:rsidRPr="00DC5175" w:rsidRDefault="000B3CE0" w:rsidP="008570A9">
            <w:pPr>
              <w:keepNext/>
              <w:spacing w:after="0" w:line="240" w:lineRule="auto"/>
              <w:jc w:val="center"/>
            </w:pPr>
            <w:r>
              <w:t>1</w:t>
            </w:r>
            <w:r w:rsidR="00B802C1">
              <w:t>20</w:t>
            </w:r>
            <w:r w:rsidR="002155CF" w:rsidRPr="00DC5175">
              <w:t>*</w:t>
            </w:r>
          </w:p>
        </w:tc>
        <w:tc>
          <w:tcPr>
            <w:tcW w:w="1200" w:type="pct"/>
            <w:tcBorders>
              <w:top w:val="single" w:sz="8" w:space="0" w:color="auto"/>
              <w:left w:val="single" w:sz="8" w:space="0" w:color="auto"/>
              <w:bottom w:val="single" w:sz="8" w:space="0" w:color="auto"/>
              <w:right w:val="single" w:sz="8" w:space="0" w:color="auto"/>
            </w:tcBorders>
            <w:vAlign w:val="center"/>
          </w:tcPr>
          <w:p w:rsidR="002155CF" w:rsidRPr="00DC5175" w:rsidRDefault="002155CF" w:rsidP="008570A9">
            <w:pPr>
              <w:keepNext/>
              <w:spacing w:after="0" w:line="240" w:lineRule="auto"/>
              <w:jc w:val="center"/>
            </w:pPr>
            <w:r w:rsidRPr="00DC5175">
              <w:t>15 minutes</w:t>
            </w:r>
          </w:p>
        </w:tc>
        <w:tc>
          <w:tcPr>
            <w:tcW w:w="772" w:type="pct"/>
            <w:tcBorders>
              <w:top w:val="single" w:sz="8" w:space="0" w:color="auto"/>
              <w:left w:val="single" w:sz="8" w:space="0" w:color="auto"/>
              <w:bottom w:val="single" w:sz="8" w:space="0" w:color="auto"/>
              <w:right w:val="single" w:sz="18" w:space="0" w:color="auto"/>
            </w:tcBorders>
            <w:vAlign w:val="center"/>
          </w:tcPr>
          <w:p w:rsidR="002155CF" w:rsidRPr="00DC5175" w:rsidRDefault="000B3CE0" w:rsidP="008570A9">
            <w:pPr>
              <w:keepNext/>
              <w:spacing w:after="0" w:line="240" w:lineRule="auto"/>
              <w:jc w:val="center"/>
            </w:pPr>
            <w:r>
              <w:t>30</w:t>
            </w:r>
            <w:r w:rsidR="002155CF" w:rsidRPr="00DC5175">
              <w:t xml:space="preserve"> hours</w:t>
            </w:r>
          </w:p>
        </w:tc>
      </w:tr>
      <w:tr w:rsidR="002155CF" w:rsidRPr="00DC5175" w:rsidTr="008570A9">
        <w:trPr>
          <w:trHeight w:val="648"/>
          <w:jc w:val="center"/>
        </w:trPr>
        <w:tc>
          <w:tcPr>
            <w:tcW w:w="976" w:type="pct"/>
            <w:tcBorders>
              <w:top w:val="single" w:sz="8" w:space="0" w:color="auto"/>
              <w:left w:val="single" w:sz="18" w:space="0" w:color="auto"/>
              <w:bottom w:val="single" w:sz="18" w:space="0" w:color="auto"/>
              <w:right w:val="single" w:sz="8" w:space="0" w:color="auto"/>
            </w:tcBorders>
            <w:vAlign w:val="center"/>
          </w:tcPr>
          <w:p w:rsidR="002155CF" w:rsidRPr="00DC5175" w:rsidRDefault="002155CF" w:rsidP="008570A9">
            <w:pPr>
              <w:keepNext/>
              <w:spacing w:after="0" w:line="240" w:lineRule="auto"/>
              <w:jc w:val="center"/>
              <w:rPr>
                <w:b/>
                <w:bCs/>
              </w:rPr>
            </w:pPr>
            <w:r w:rsidRPr="00DC5175">
              <w:rPr>
                <w:b/>
                <w:bCs/>
              </w:rPr>
              <w:t>Students</w:t>
            </w:r>
          </w:p>
        </w:tc>
        <w:tc>
          <w:tcPr>
            <w:tcW w:w="1270" w:type="pct"/>
            <w:tcBorders>
              <w:top w:val="single" w:sz="8" w:space="0" w:color="auto"/>
              <w:left w:val="single" w:sz="8" w:space="0" w:color="auto"/>
              <w:bottom w:val="single" w:sz="18" w:space="0" w:color="auto"/>
              <w:right w:val="single" w:sz="8" w:space="0" w:color="auto"/>
            </w:tcBorders>
            <w:vAlign w:val="center"/>
          </w:tcPr>
          <w:p w:rsidR="002155CF" w:rsidRPr="00DC5175" w:rsidRDefault="000B3CE0" w:rsidP="008570A9">
            <w:pPr>
              <w:keepNext/>
              <w:spacing w:after="0" w:line="240" w:lineRule="auto"/>
              <w:jc w:val="center"/>
            </w:pPr>
            <w:r>
              <w:t>Tablet Study</w:t>
            </w:r>
          </w:p>
        </w:tc>
        <w:tc>
          <w:tcPr>
            <w:tcW w:w="782" w:type="pct"/>
            <w:tcBorders>
              <w:top w:val="single" w:sz="8" w:space="0" w:color="auto"/>
              <w:left w:val="single" w:sz="8" w:space="0" w:color="auto"/>
              <w:bottom w:val="single" w:sz="18" w:space="0" w:color="auto"/>
              <w:right w:val="single" w:sz="8" w:space="0" w:color="auto"/>
            </w:tcBorders>
            <w:vAlign w:val="center"/>
          </w:tcPr>
          <w:p w:rsidR="002155CF" w:rsidRPr="00DC5175" w:rsidRDefault="002155CF" w:rsidP="008570A9">
            <w:pPr>
              <w:keepNext/>
              <w:spacing w:after="0" w:line="240" w:lineRule="auto"/>
              <w:jc w:val="center"/>
            </w:pPr>
            <w:r w:rsidRPr="00DC5175">
              <w:t>1</w:t>
            </w:r>
            <w:r w:rsidR="008570A9">
              <w:t>,</w:t>
            </w:r>
            <w:r w:rsidR="00B802C1">
              <w:t>2</w:t>
            </w:r>
            <w:r w:rsidRPr="00DC5175">
              <w:t>0</w:t>
            </w:r>
            <w:r w:rsidR="000B3CE0">
              <w:t>0</w:t>
            </w:r>
          </w:p>
        </w:tc>
        <w:tc>
          <w:tcPr>
            <w:tcW w:w="1200" w:type="pct"/>
            <w:tcBorders>
              <w:top w:val="single" w:sz="8" w:space="0" w:color="auto"/>
              <w:left w:val="single" w:sz="8" w:space="0" w:color="auto"/>
              <w:bottom w:val="single" w:sz="18" w:space="0" w:color="auto"/>
              <w:right w:val="single" w:sz="8" w:space="0" w:color="auto"/>
            </w:tcBorders>
            <w:vAlign w:val="center"/>
          </w:tcPr>
          <w:p w:rsidR="002155CF" w:rsidRPr="00DC5175" w:rsidRDefault="000B3CE0" w:rsidP="008570A9">
            <w:pPr>
              <w:keepNext/>
              <w:spacing w:after="0" w:line="240" w:lineRule="auto"/>
              <w:jc w:val="center"/>
            </w:pPr>
            <w:r>
              <w:t>25</w:t>
            </w:r>
            <w:r w:rsidR="002155CF" w:rsidRPr="00DC5175">
              <w:t xml:space="preserve"> minutes</w:t>
            </w:r>
          </w:p>
        </w:tc>
        <w:tc>
          <w:tcPr>
            <w:tcW w:w="772" w:type="pct"/>
            <w:tcBorders>
              <w:top w:val="single" w:sz="8" w:space="0" w:color="auto"/>
              <w:left w:val="single" w:sz="8" w:space="0" w:color="auto"/>
              <w:bottom w:val="single" w:sz="18" w:space="0" w:color="auto"/>
              <w:right w:val="single" w:sz="18" w:space="0" w:color="auto"/>
            </w:tcBorders>
            <w:vAlign w:val="center"/>
          </w:tcPr>
          <w:p w:rsidR="002155CF" w:rsidRPr="00DC5175" w:rsidRDefault="000B3CE0" w:rsidP="008570A9">
            <w:pPr>
              <w:keepNext/>
              <w:spacing w:after="0" w:line="240" w:lineRule="auto"/>
              <w:jc w:val="center"/>
            </w:pPr>
            <w:r>
              <w:t>500</w:t>
            </w:r>
            <w:r w:rsidR="00B802C1">
              <w:t xml:space="preserve"> </w:t>
            </w:r>
            <w:r w:rsidR="002155CF" w:rsidRPr="00DC5175">
              <w:t>hours</w:t>
            </w:r>
          </w:p>
        </w:tc>
      </w:tr>
      <w:tr w:rsidR="002155CF" w:rsidRPr="00DC5175" w:rsidTr="008570A9">
        <w:trPr>
          <w:trHeight w:val="648"/>
          <w:jc w:val="center"/>
        </w:trPr>
        <w:tc>
          <w:tcPr>
            <w:tcW w:w="2246" w:type="pct"/>
            <w:gridSpan w:val="2"/>
            <w:tcBorders>
              <w:top w:val="single" w:sz="18" w:space="0" w:color="auto"/>
              <w:left w:val="single" w:sz="18" w:space="0" w:color="auto"/>
              <w:bottom w:val="single" w:sz="18" w:space="0" w:color="auto"/>
              <w:right w:val="single" w:sz="8" w:space="0" w:color="auto"/>
            </w:tcBorders>
            <w:vAlign w:val="center"/>
          </w:tcPr>
          <w:p w:rsidR="002155CF" w:rsidRPr="00DC5175" w:rsidRDefault="002155CF" w:rsidP="008570A9">
            <w:pPr>
              <w:keepNext/>
              <w:spacing w:after="0" w:line="240" w:lineRule="auto"/>
              <w:jc w:val="center"/>
              <w:rPr>
                <w:b/>
                <w:bCs/>
              </w:rPr>
            </w:pPr>
            <w:r w:rsidRPr="00DC5175">
              <w:rPr>
                <w:b/>
                <w:bCs/>
              </w:rPr>
              <w:t>Total</w:t>
            </w:r>
            <w:r w:rsidR="00FB5BC0">
              <w:rPr>
                <w:b/>
                <w:bCs/>
              </w:rPr>
              <w:t xml:space="preserve">   (2,694 responses)</w:t>
            </w:r>
          </w:p>
        </w:tc>
        <w:tc>
          <w:tcPr>
            <w:tcW w:w="782" w:type="pct"/>
            <w:tcBorders>
              <w:top w:val="single" w:sz="18" w:space="0" w:color="auto"/>
              <w:left w:val="single" w:sz="8" w:space="0" w:color="auto"/>
              <w:bottom w:val="single" w:sz="18" w:space="0" w:color="auto"/>
              <w:right w:val="single" w:sz="8" w:space="0" w:color="auto"/>
            </w:tcBorders>
            <w:vAlign w:val="center"/>
          </w:tcPr>
          <w:p w:rsidR="002155CF" w:rsidRPr="00DC5175" w:rsidRDefault="002C32D2" w:rsidP="008570A9">
            <w:pPr>
              <w:keepNext/>
              <w:spacing w:after="0" w:line="240" w:lineRule="auto"/>
              <w:jc w:val="center"/>
            </w:pPr>
            <w:r>
              <w:t>2</w:t>
            </w:r>
            <w:r w:rsidR="008570A9">
              <w:t>,</w:t>
            </w:r>
            <w:r>
              <w:t>574</w:t>
            </w:r>
          </w:p>
        </w:tc>
        <w:tc>
          <w:tcPr>
            <w:tcW w:w="1200" w:type="pct"/>
            <w:tcBorders>
              <w:top w:val="single" w:sz="18" w:space="0" w:color="auto"/>
              <w:left w:val="single" w:sz="8" w:space="0" w:color="auto"/>
              <w:bottom w:val="single" w:sz="18" w:space="0" w:color="auto"/>
              <w:right w:val="single" w:sz="8" w:space="0" w:color="auto"/>
            </w:tcBorders>
            <w:vAlign w:val="center"/>
          </w:tcPr>
          <w:p w:rsidR="002155CF" w:rsidRPr="00DC5175" w:rsidRDefault="002155CF" w:rsidP="008570A9">
            <w:pPr>
              <w:keepNext/>
              <w:spacing w:after="0" w:line="240" w:lineRule="auto"/>
              <w:jc w:val="center"/>
            </w:pPr>
            <w:r w:rsidRPr="00DC5175">
              <w:t>NA</w:t>
            </w:r>
          </w:p>
        </w:tc>
        <w:tc>
          <w:tcPr>
            <w:tcW w:w="772" w:type="pct"/>
            <w:tcBorders>
              <w:top w:val="single" w:sz="18" w:space="0" w:color="auto"/>
              <w:left w:val="single" w:sz="8" w:space="0" w:color="auto"/>
              <w:bottom w:val="single" w:sz="18" w:space="0" w:color="auto"/>
              <w:right w:val="single" w:sz="18" w:space="0" w:color="auto"/>
            </w:tcBorders>
            <w:vAlign w:val="center"/>
          </w:tcPr>
          <w:p w:rsidR="002155CF" w:rsidRPr="00DC5175" w:rsidRDefault="002C32D2" w:rsidP="00626B15">
            <w:pPr>
              <w:keepNext/>
              <w:spacing w:after="0" w:line="240" w:lineRule="auto"/>
              <w:jc w:val="center"/>
            </w:pPr>
            <w:r>
              <w:t>63</w:t>
            </w:r>
            <w:r w:rsidR="00626B15">
              <w:t>3</w:t>
            </w:r>
            <w:r>
              <w:t xml:space="preserve"> </w:t>
            </w:r>
            <w:r w:rsidR="002155CF" w:rsidRPr="00DC5175">
              <w:t>hours</w:t>
            </w:r>
          </w:p>
        </w:tc>
      </w:tr>
    </w:tbl>
    <w:bookmarkEnd w:id="38"/>
    <w:bookmarkEnd w:id="39"/>
    <w:bookmarkEnd w:id="40"/>
    <w:bookmarkEnd w:id="45"/>
    <w:bookmarkEnd w:id="46"/>
    <w:bookmarkEnd w:id="47"/>
    <w:p w:rsidR="00D04CD9" w:rsidRDefault="002155CF">
      <w:pPr>
        <w:spacing w:after="0" w:line="240" w:lineRule="auto"/>
        <w:rPr>
          <w:rFonts w:ascii="Candara" w:hAnsi="Candara"/>
          <w:b/>
          <w:smallCaps/>
          <w:color w:val="1F497D"/>
          <w:sz w:val="32"/>
          <w:szCs w:val="32"/>
        </w:rPr>
      </w:pPr>
      <w:r>
        <w:t>* These parents are a subset of those who were initially notified.</w:t>
      </w:r>
      <w:bookmarkStart w:id="51" w:name="_Toc365710622"/>
      <w:bookmarkStart w:id="52" w:name="_Toc366138688"/>
    </w:p>
    <w:p w:rsidR="00F7334C" w:rsidRDefault="00F7334C">
      <w:pPr>
        <w:spacing w:after="0" w:line="240" w:lineRule="auto"/>
        <w:rPr>
          <w:rFonts w:ascii="Candara" w:hAnsi="Candara"/>
          <w:b/>
          <w:smallCaps/>
          <w:color w:val="1F497D"/>
          <w:sz w:val="32"/>
          <w:szCs w:val="32"/>
        </w:rPr>
      </w:pPr>
      <w:r>
        <w:br w:type="page"/>
      </w:r>
    </w:p>
    <w:p w:rsidR="002155CF" w:rsidRDefault="002155CF" w:rsidP="00BB3666">
      <w:pPr>
        <w:pStyle w:val="aHeading1"/>
      </w:pPr>
      <w:r>
        <w:lastRenderedPageBreak/>
        <w:t>Cost to federal government</w:t>
      </w:r>
      <w:bookmarkEnd w:id="51"/>
      <w:bookmarkEnd w:id="52"/>
      <w:r>
        <w:t xml:space="preserve"> </w:t>
      </w:r>
    </w:p>
    <w:p w:rsidR="002155CF" w:rsidRDefault="002155CF" w:rsidP="00BB3666">
      <w:r>
        <w:t>T</w:t>
      </w:r>
      <w:r w:rsidRPr="00841265">
        <w:t>able</w:t>
      </w:r>
      <w:r>
        <w:t xml:space="preserve"> 2, below,</w:t>
      </w:r>
      <w:r w:rsidRPr="00841265">
        <w:t xml:space="preserve"> provides the overall project cost estimates</w:t>
      </w:r>
      <w:r>
        <w:t>.</w:t>
      </w:r>
    </w:p>
    <w:p w:rsidR="002155CF" w:rsidRPr="00B91A1A" w:rsidRDefault="002155CF" w:rsidP="001A1B8C">
      <w:pPr>
        <w:pStyle w:val="Caption"/>
        <w:keepNext/>
        <w:rPr>
          <w:sz w:val="24"/>
          <w:szCs w:val="24"/>
        </w:rPr>
      </w:pPr>
      <w:bookmarkStart w:id="53" w:name="_Toc359503615"/>
      <w:r w:rsidRPr="00B91A1A">
        <w:rPr>
          <w:sz w:val="24"/>
          <w:szCs w:val="24"/>
        </w:rPr>
        <w:t xml:space="preserve">Table </w:t>
      </w:r>
      <w:r>
        <w:rPr>
          <w:sz w:val="24"/>
          <w:szCs w:val="24"/>
        </w:rPr>
        <w:t>2</w:t>
      </w:r>
      <w:r w:rsidRPr="00B91A1A">
        <w:rPr>
          <w:sz w:val="24"/>
          <w:szCs w:val="24"/>
        </w:rPr>
        <w:t>: Estimate of Costs</w:t>
      </w:r>
      <w:bookmarkEnd w:id="53"/>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6145"/>
        <w:gridCol w:w="2160"/>
        <w:gridCol w:w="2149"/>
      </w:tblGrid>
      <w:tr w:rsidR="002155CF" w:rsidRPr="00DC5175" w:rsidTr="00FB5BC0">
        <w:trPr>
          <w:trHeight w:val="576"/>
        </w:trPr>
        <w:tc>
          <w:tcPr>
            <w:tcW w:w="2939" w:type="pct"/>
            <w:tcBorders>
              <w:top w:val="single" w:sz="18" w:space="0" w:color="auto"/>
              <w:bottom w:val="single" w:sz="8" w:space="0" w:color="auto"/>
            </w:tcBorders>
            <w:shd w:val="clear" w:color="auto" w:fill="EEECE1"/>
            <w:vAlign w:val="center"/>
          </w:tcPr>
          <w:p w:rsidR="002155CF" w:rsidRPr="00DC5175" w:rsidRDefault="002155CF" w:rsidP="00DC5175">
            <w:pPr>
              <w:keepNext/>
              <w:spacing w:after="0" w:line="240" w:lineRule="auto"/>
              <w:jc w:val="center"/>
              <w:rPr>
                <w:b/>
                <w:bCs/>
                <w:color w:val="000000"/>
              </w:rPr>
            </w:pPr>
            <w:r w:rsidRPr="00DC5175">
              <w:rPr>
                <w:b/>
                <w:bCs/>
                <w:color w:val="000000"/>
              </w:rPr>
              <w:t>Activity</w:t>
            </w:r>
          </w:p>
        </w:tc>
        <w:tc>
          <w:tcPr>
            <w:tcW w:w="1033" w:type="pct"/>
            <w:tcBorders>
              <w:top w:val="single" w:sz="18" w:space="0" w:color="auto"/>
              <w:bottom w:val="single" w:sz="8" w:space="0" w:color="auto"/>
            </w:tcBorders>
            <w:shd w:val="clear" w:color="auto" w:fill="EEECE1"/>
            <w:vAlign w:val="center"/>
          </w:tcPr>
          <w:p w:rsidR="002155CF" w:rsidRPr="00DC5175" w:rsidRDefault="002155CF" w:rsidP="00DC5175">
            <w:pPr>
              <w:keepNext/>
              <w:spacing w:after="0" w:line="240" w:lineRule="auto"/>
              <w:jc w:val="center"/>
              <w:rPr>
                <w:b/>
                <w:bCs/>
                <w:color w:val="000000"/>
              </w:rPr>
            </w:pPr>
            <w:r w:rsidRPr="00DC5175">
              <w:rPr>
                <w:b/>
                <w:bCs/>
                <w:color w:val="000000"/>
              </w:rPr>
              <w:t>Provider</w:t>
            </w:r>
          </w:p>
        </w:tc>
        <w:tc>
          <w:tcPr>
            <w:tcW w:w="1028" w:type="pct"/>
            <w:tcBorders>
              <w:top w:val="single" w:sz="18" w:space="0" w:color="auto"/>
              <w:bottom w:val="single" w:sz="8" w:space="0" w:color="auto"/>
            </w:tcBorders>
            <w:shd w:val="clear" w:color="auto" w:fill="EEECE1"/>
            <w:vAlign w:val="center"/>
          </w:tcPr>
          <w:p w:rsidR="002155CF" w:rsidRPr="00DC5175" w:rsidRDefault="002155CF" w:rsidP="00DC5175">
            <w:pPr>
              <w:keepNext/>
              <w:spacing w:after="0" w:line="240" w:lineRule="auto"/>
              <w:jc w:val="center"/>
              <w:rPr>
                <w:b/>
                <w:bCs/>
                <w:color w:val="000000"/>
              </w:rPr>
            </w:pPr>
            <w:r w:rsidRPr="00DC5175">
              <w:rPr>
                <w:b/>
                <w:bCs/>
                <w:color w:val="000000"/>
              </w:rPr>
              <w:t>Estimated Cost</w:t>
            </w:r>
          </w:p>
        </w:tc>
      </w:tr>
      <w:tr w:rsidR="000B3CE0" w:rsidRPr="00DC5175" w:rsidTr="00FB5BC0">
        <w:trPr>
          <w:trHeight w:val="576"/>
        </w:trPr>
        <w:tc>
          <w:tcPr>
            <w:tcW w:w="2939" w:type="pct"/>
            <w:tcBorders>
              <w:top w:val="single" w:sz="8" w:space="0" w:color="auto"/>
            </w:tcBorders>
            <w:vAlign w:val="center"/>
          </w:tcPr>
          <w:p w:rsidR="000B3CE0" w:rsidRPr="00DC5175" w:rsidRDefault="000B3CE0" w:rsidP="00FB5BC0">
            <w:pPr>
              <w:keepNext/>
              <w:spacing w:after="0" w:line="240" w:lineRule="auto"/>
              <w:rPr>
                <w:b/>
                <w:bCs/>
                <w:color w:val="000000"/>
              </w:rPr>
            </w:pPr>
            <w:r>
              <w:rPr>
                <w:b/>
                <w:bCs/>
                <w:color w:val="000000"/>
              </w:rPr>
              <w:t xml:space="preserve">Design, preparation of tasks, </w:t>
            </w:r>
            <w:r w:rsidR="00515592">
              <w:rPr>
                <w:b/>
                <w:bCs/>
                <w:color w:val="000000"/>
              </w:rPr>
              <w:t xml:space="preserve">scoring and </w:t>
            </w:r>
            <w:r>
              <w:rPr>
                <w:b/>
                <w:bCs/>
                <w:color w:val="000000"/>
              </w:rPr>
              <w:t>analysis of data</w:t>
            </w:r>
          </w:p>
        </w:tc>
        <w:tc>
          <w:tcPr>
            <w:tcW w:w="1033" w:type="pct"/>
            <w:tcBorders>
              <w:top w:val="single" w:sz="8" w:space="0" w:color="auto"/>
            </w:tcBorders>
            <w:vAlign w:val="center"/>
          </w:tcPr>
          <w:p w:rsidR="000B3CE0" w:rsidRPr="00DC5175" w:rsidRDefault="000B3CE0" w:rsidP="00DC5175">
            <w:pPr>
              <w:keepNext/>
              <w:spacing w:after="0" w:line="240" w:lineRule="auto"/>
              <w:jc w:val="center"/>
              <w:rPr>
                <w:color w:val="000000"/>
              </w:rPr>
            </w:pPr>
            <w:r>
              <w:rPr>
                <w:color w:val="000000"/>
              </w:rPr>
              <w:t>ETS</w:t>
            </w:r>
          </w:p>
        </w:tc>
        <w:tc>
          <w:tcPr>
            <w:tcW w:w="1028" w:type="pct"/>
            <w:tcBorders>
              <w:top w:val="single" w:sz="8" w:space="0" w:color="auto"/>
            </w:tcBorders>
            <w:vAlign w:val="center"/>
          </w:tcPr>
          <w:p w:rsidR="000B3CE0" w:rsidRDefault="000B3CE0" w:rsidP="00515592">
            <w:pPr>
              <w:keepNext/>
              <w:spacing w:after="0" w:line="240" w:lineRule="auto"/>
              <w:jc w:val="center"/>
              <w:rPr>
                <w:color w:val="000000"/>
              </w:rPr>
            </w:pPr>
            <w:r>
              <w:rPr>
                <w:color w:val="000000"/>
              </w:rPr>
              <w:t>$</w:t>
            </w:r>
            <w:r w:rsidR="00515592">
              <w:rPr>
                <w:color w:val="000000"/>
              </w:rPr>
              <w:t>105</w:t>
            </w:r>
            <w:r w:rsidR="00652342">
              <w:rPr>
                <w:color w:val="000000"/>
              </w:rPr>
              <w:t>,000</w:t>
            </w:r>
          </w:p>
        </w:tc>
      </w:tr>
      <w:tr w:rsidR="002155CF" w:rsidRPr="00DC5175" w:rsidTr="00FB5BC0">
        <w:trPr>
          <w:trHeight w:val="576"/>
        </w:trPr>
        <w:tc>
          <w:tcPr>
            <w:tcW w:w="2939" w:type="pct"/>
            <w:tcBorders>
              <w:top w:val="single" w:sz="8" w:space="0" w:color="auto"/>
            </w:tcBorders>
            <w:vAlign w:val="center"/>
          </w:tcPr>
          <w:p w:rsidR="002155CF" w:rsidRPr="00DC5175" w:rsidRDefault="002155CF" w:rsidP="00FB5BC0">
            <w:pPr>
              <w:keepNext/>
              <w:spacing w:after="0" w:line="240" w:lineRule="auto"/>
              <w:rPr>
                <w:b/>
                <w:bCs/>
              </w:rPr>
            </w:pPr>
            <w:r w:rsidRPr="00DC5175">
              <w:rPr>
                <w:b/>
                <w:bCs/>
                <w:color w:val="000000"/>
              </w:rPr>
              <w:t>Recruitment</w:t>
            </w:r>
            <w:r w:rsidR="000B3CE0">
              <w:rPr>
                <w:b/>
                <w:bCs/>
                <w:color w:val="000000"/>
              </w:rPr>
              <w:t xml:space="preserve"> and data collection activities</w:t>
            </w:r>
          </w:p>
        </w:tc>
        <w:tc>
          <w:tcPr>
            <w:tcW w:w="1033" w:type="pct"/>
            <w:tcBorders>
              <w:top w:val="single" w:sz="8" w:space="0" w:color="auto"/>
            </w:tcBorders>
            <w:vAlign w:val="center"/>
          </w:tcPr>
          <w:p w:rsidR="002155CF" w:rsidRPr="00DC5175" w:rsidRDefault="000B3CE0" w:rsidP="00DC5175">
            <w:pPr>
              <w:keepNext/>
              <w:spacing w:after="0" w:line="240" w:lineRule="auto"/>
              <w:jc w:val="center"/>
              <w:rPr>
                <w:color w:val="000000"/>
              </w:rPr>
            </w:pPr>
            <w:r>
              <w:rPr>
                <w:color w:val="000000"/>
              </w:rPr>
              <w:t>Westat-SDC</w:t>
            </w:r>
          </w:p>
        </w:tc>
        <w:tc>
          <w:tcPr>
            <w:tcW w:w="1028" w:type="pct"/>
            <w:tcBorders>
              <w:top w:val="single" w:sz="8" w:space="0" w:color="auto"/>
            </w:tcBorders>
            <w:vAlign w:val="center"/>
          </w:tcPr>
          <w:p w:rsidR="002155CF" w:rsidRPr="00DC5175" w:rsidRDefault="00DD3C62" w:rsidP="000B3CE0">
            <w:pPr>
              <w:keepNext/>
              <w:spacing w:after="0" w:line="240" w:lineRule="auto"/>
              <w:jc w:val="center"/>
              <w:rPr>
                <w:color w:val="000000"/>
              </w:rPr>
            </w:pPr>
            <w:r>
              <w:rPr>
                <w:color w:val="000000"/>
              </w:rPr>
              <w:t>$</w:t>
            </w:r>
            <w:r w:rsidR="00652342">
              <w:rPr>
                <w:color w:val="000000"/>
              </w:rPr>
              <w:t>100,000</w:t>
            </w:r>
          </w:p>
        </w:tc>
      </w:tr>
      <w:tr w:rsidR="002155CF" w:rsidRPr="00DC5175" w:rsidTr="00FB5BC0">
        <w:trPr>
          <w:trHeight w:val="576"/>
        </w:trPr>
        <w:tc>
          <w:tcPr>
            <w:tcW w:w="2939" w:type="pct"/>
            <w:vAlign w:val="center"/>
          </w:tcPr>
          <w:p w:rsidR="002155CF" w:rsidRPr="00DC5175" w:rsidRDefault="000B3CE0" w:rsidP="00FB5BC0">
            <w:pPr>
              <w:keepNext/>
              <w:spacing w:after="0" w:line="240" w:lineRule="auto"/>
              <w:ind w:left="720" w:hanging="720"/>
              <w:rPr>
                <w:b/>
                <w:bCs/>
              </w:rPr>
            </w:pPr>
            <w:r>
              <w:rPr>
                <w:b/>
                <w:bCs/>
                <w:color w:val="000000"/>
              </w:rPr>
              <w:t>Development and support of technology-based system delivery activities</w:t>
            </w:r>
          </w:p>
        </w:tc>
        <w:tc>
          <w:tcPr>
            <w:tcW w:w="1033" w:type="pct"/>
            <w:vAlign w:val="center"/>
          </w:tcPr>
          <w:p w:rsidR="002155CF" w:rsidRPr="00DC5175" w:rsidRDefault="002155CF" w:rsidP="00DC5175">
            <w:pPr>
              <w:keepNext/>
              <w:spacing w:after="0" w:line="240" w:lineRule="auto"/>
              <w:jc w:val="center"/>
            </w:pPr>
            <w:r w:rsidRPr="00DC5175">
              <w:rPr>
                <w:color w:val="000000"/>
              </w:rPr>
              <w:t>Fulcrum IT</w:t>
            </w:r>
          </w:p>
        </w:tc>
        <w:tc>
          <w:tcPr>
            <w:tcW w:w="1028" w:type="pct"/>
            <w:vAlign w:val="center"/>
          </w:tcPr>
          <w:p w:rsidR="002155CF" w:rsidRPr="00DC5175" w:rsidRDefault="002155CF" w:rsidP="000B3CE0">
            <w:pPr>
              <w:keepNext/>
              <w:spacing w:after="0" w:line="240" w:lineRule="auto"/>
              <w:jc w:val="center"/>
            </w:pPr>
            <w:r w:rsidRPr="00DC5175">
              <w:t>$</w:t>
            </w:r>
            <w:r w:rsidR="00652342">
              <w:t>155,600</w:t>
            </w:r>
          </w:p>
        </w:tc>
      </w:tr>
      <w:tr w:rsidR="00165FC7" w:rsidRPr="00DC5175" w:rsidTr="00FB5BC0">
        <w:trPr>
          <w:trHeight w:val="576"/>
        </w:trPr>
        <w:tc>
          <w:tcPr>
            <w:tcW w:w="2939" w:type="pct"/>
            <w:tcBorders>
              <w:bottom w:val="single" w:sz="18" w:space="0" w:color="auto"/>
            </w:tcBorders>
            <w:vAlign w:val="center"/>
          </w:tcPr>
          <w:p w:rsidR="00165FC7" w:rsidRPr="00DC5175" w:rsidRDefault="00165FC7" w:rsidP="00DC5175">
            <w:pPr>
              <w:keepNext/>
              <w:spacing w:after="0" w:line="240" w:lineRule="auto"/>
              <w:jc w:val="center"/>
              <w:rPr>
                <w:b/>
                <w:bCs/>
                <w:color w:val="000000"/>
              </w:rPr>
            </w:pPr>
            <w:r>
              <w:rPr>
                <w:b/>
                <w:bCs/>
                <w:color w:val="000000"/>
              </w:rPr>
              <w:t>Total</w:t>
            </w:r>
          </w:p>
        </w:tc>
        <w:tc>
          <w:tcPr>
            <w:tcW w:w="1033" w:type="pct"/>
            <w:tcBorders>
              <w:bottom w:val="single" w:sz="18" w:space="0" w:color="auto"/>
            </w:tcBorders>
            <w:vAlign w:val="center"/>
          </w:tcPr>
          <w:p w:rsidR="00165FC7" w:rsidRPr="00DC5175" w:rsidRDefault="00165FC7" w:rsidP="00DC5175">
            <w:pPr>
              <w:keepNext/>
              <w:spacing w:after="0" w:line="240" w:lineRule="auto"/>
              <w:jc w:val="center"/>
              <w:rPr>
                <w:color w:val="000000"/>
              </w:rPr>
            </w:pPr>
          </w:p>
        </w:tc>
        <w:tc>
          <w:tcPr>
            <w:tcW w:w="1028" w:type="pct"/>
            <w:tcBorders>
              <w:bottom w:val="single" w:sz="18" w:space="0" w:color="auto"/>
            </w:tcBorders>
            <w:vAlign w:val="center"/>
          </w:tcPr>
          <w:p w:rsidR="00165FC7" w:rsidRPr="006F05BE" w:rsidRDefault="00527335" w:rsidP="00515592">
            <w:pPr>
              <w:keepNext/>
              <w:spacing w:after="0" w:line="240" w:lineRule="auto"/>
              <w:jc w:val="center"/>
              <w:rPr>
                <w:b/>
              </w:rPr>
            </w:pPr>
            <w:r w:rsidRPr="006F05BE">
              <w:rPr>
                <w:b/>
              </w:rPr>
              <w:t>$</w:t>
            </w:r>
            <w:r w:rsidR="00515592" w:rsidRPr="006F05BE">
              <w:rPr>
                <w:b/>
              </w:rPr>
              <w:t>360</w:t>
            </w:r>
            <w:r w:rsidR="00652342" w:rsidRPr="006F05BE">
              <w:rPr>
                <w:b/>
              </w:rPr>
              <w:t>,600</w:t>
            </w:r>
          </w:p>
        </w:tc>
      </w:tr>
    </w:tbl>
    <w:p w:rsidR="002155CF" w:rsidRDefault="002155CF" w:rsidP="00E16E67">
      <w:pPr>
        <w:pStyle w:val="aHeading1"/>
      </w:pPr>
      <w:bookmarkStart w:id="54" w:name="_Toc365710623"/>
      <w:bookmarkStart w:id="55" w:name="_Toc366138689"/>
      <w:r>
        <w:t>Project Schedule</w:t>
      </w:r>
      <w:bookmarkEnd w:id="54"/>
      <w:bookmarkEnd w:id="55"/>
    </w:p>
    <w:p w:rsidR="002155CF" w:rsidRDefault="002155CF" w:rsidP="00B91A1A">
      <w:bookmarkStart w:id="56" w:name="_Toc359503616"/>
      <w:r>
        <w:t>T</w:t>
      </w:r>
      <w:r w:rsidRPr="00841265">
        <w:t>able</w:t>
      </w:r>
      <w:r>
        <w:t xml:space="preserve"> 3, below,</w:t>
      </w:r>
      <w:r w:rsidRPr="00841265">
        <w:t xml:space="preserve"> provides the overall </w:t>
      </w:r>
      <w:r w:rsidR="00F63642">
        <w:t>schedule</w:t>
      </w:r>
      <w:r>
        <w:t>.</w:t>
      </w:r>
    </w:p>
    <w:p w:rsidR="002155CF" w:rsidRPr="00176E8D" w:rsidRDefault="002155CF" w:rsidP="00E16E67">
      <w:pPr>
        <w:pStyle w:val="Caption"/>
        <w:keepNext/>
        <w:rPr>
          <w:sz w:val="24"/>
          <w:szCs w:val="24"/>
        </w:rPr>
      </w:pPr>
      <w:r w:rsidRPr="00805D63">
        <w:rPr>
          <w:sz w:val="24"/>
          <w:szCs w:val="24"/>
        </w:rPr>
        <w:t xml:space="preserve">Table </w:t>
      </w:r>
      <w:r>
        <w:rPr>
          <w:sz w:val="24"/>
          <w:szCs w:val="24"/>
        </w:rPr>
        <w:t>3</w:t>
      </w:r>
      <w:r w:rsidRPr="00805D63">
        <w:rPr>
          <w:sz w:val="24"/>
          <w:szCs w:val="24"/>
        </w:rPr>
        <w:t>: Schedule</w:t>
      </w:r>
      <w:bookmarkEnd w:id="56"/>
    </w:p>
    <w:tbl>
      <w:tblPr>
        <w:tblW w:w="5000"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4055"/>
        <w:gridCol w:w="6385"/>
      </w:tblGrid>
      <w:tr w:rsidR="002155CF" w:rsidRPr="00DC5175" w:rsidTr="00206DD5">
        <w:trPr>
          <w:trHeight w:val="432"/>
        </w:trPr>
        <w:tc>
          <w:tcPr>
            <w:tcW w:w="1942" w:type="pct"/>
            <w:tcBorders>
              <w:top w:val="single" w:sz="18" w:space="0" w:color="000000"/>
              <w:bottom w:val="single" w:sz="18" w:space="0" w:color="000000"/>
              <w:right w:val="single" w:sz="8" w:space="0" w:color="000000"/>
            </w:tcBorders>
            <w:shd w:val="clear" w:color="auto" w:fill="EEECE1"/>
            <w:vAlign w:val="center"/>
          </w:tcPr>
          <w:p w:rsidR="002155CF" w:rsidRPr="00DC5175" w:rsidRDefault="002155CF" w:rsidP="00DC5175">
            <w:pPr>
              <w:keepNext/>
              <w:spacing w:after="0" w:line="240" w:lineRule="auto"/>
              <w:jc w:val="center"/>
              <w:rPr>
                <w:b/>
                <w:bCs/>
                <w:color w:val="000000"/>
              </w:rPr>
            </w:pPr>
            <w:r w:rsidRPr="00DC5175">
              <w:rPr>
                <w:b/>
                <w:bCs/>
                <w:color w:val="000000"/>
              </w:rPr>
              <w:t>Date</w:t>
            </w:r>
          </w:p>
        </w:tc>
        <w:tc>
          <w:tcPr>
            <w:tcW w:w="3058" w:type="pct"/>
            <w:tcBorders>
              <w:top w:val="single" w:sz="18" w:space="0" w:color="000000"/>
              <w:left w:val="single" w:sz="8" w:space="0" w:color="000000"/>
              <w:bottom w:val="single" w:sz="18" w:space="0" w:color="000000"/>
            </w:tcBorders>
            <w:shd w:val="clear" w:color="auto" w:fill="EEECE1"/>
            <w:vAlign w:val="center"/>
          </w:tcPr>
          <w:p w:rsidR="002155CF" w:rsidRPr="00DC5175" w:rsidRDefault="002155CF" w:rsidP="00DC5175">
            <w:pPr>
              <w:keepNext/>
              <w:spacing w:after="0" w:line="240" w:lineRule="auto"/>
              <w:jc w:val="center"/>
              <w:rPr>
                <w:b/>
                <w:bCs/>
                <w:color w:val="000000"/>
              </w:rPr>
            </w:pPr>
            <w:r w:rsidRPr="00DC5175">
              <w:rPr>
                <w:b/>
                <w:bCs/>
                <w:color w:val="000000"/>
              </w:rPr>
              <w:t>Event</w:t>
            </w:r>
          </w:p>
        </w:tc>
      </w:tr>
      <w:tr w:rsidR="002155CF" w:rsidRPr="00DC5175" w:rsidTr="00206DD5">
        <w:trPr>
          <w:trHeight w:val="432"/>
        </w:trPr>
        <w:tc>
          <w:tcPr>
            <w:tcW w:w="1942" w:type="pct"/>
            <w:tcBorders>
              <w:top w:val="single" w:sz="18" w:space="0" w:color="000000"/>
              <w:bottom w:val="single" w:sz="8" w:space="0" w:color="000000"/>
              <w:right w:val="single" w:sz="8" w:space="0" w:color="000000"/>
            </w:tcBorders>
            <w:vAlign w:val="center"/>
          </w:tcPr>
          <w:p w:rsidR="002155CF" w:rsidRPr="00DC5175" w:rsidRDefault="000B3CE0" w:rsidP="000B3CE0">
            <w:pPr>
              <w:keepNext/>
              <w:spacing w:after="0" w:line="240" w:lineRule="auto"/>
              <w:jc w:val="center"/>
              <w:rPr>
                <w:b/>
                <w:bCs/>
              </w:rPr>
            </w:pPr>
            <w:r>
              <w:rPr>
                <w:b/>
                <w:bCs/>
                <w:color w:val="000000"/>
              </w:rPr>
              <w:t>December</w:t>
            </w:r>
            <w:r w:rsidR="002155CF" w:rsidRPr="00DC5175">
              <w:rPr>
                <w:b/>
                <w:bCs/>
                <w:color w:val="000000"/>
              </w:rPr>
              <w:t xml:space="preserve"> 2013</w:t>
            </w:r>
            <w:r>
              <w:rPr>
                <w:b/>
                <w:bCs/>
                <w:color w:val="000000"/>
              </w:rPr>
              <w:t>–April 2014</w:t>
            </w:r>
          </w:p>
        </w:tc>
        <w:tc>
          <w:tcPr>
            <w:tcW w:w="3058" w:type="pct"/>
            <w:tcBorders>
              <w:top w:val="single" w:sz="18" w:space="0" w:color="000000"/>
              <w:left w:val="single" w:sz="8" w:space="0" w:color="000000"/>
              <w:bottom w:val="single" w:sz="8" w:space="0" w:color="000000"/>
            </w:tcBorders>
            <w:vAlign w:val="center"/>
          </w:tcPr>
          <w:p w:rsidR="002155CF" w:rsidRPr="00DC5175" w:rsidRDefault="002155CF" w:rsidP="000B3CE0">
            <w:pPr>
              <w:keepNext/>
              <w:keepLines/>
              <w:spacing w:after="0"/>
              <w:jc w:val="center"/>
            </w:pPr>
            <w:r w:rsidRPr="00DC5175">
              <w:rPr>
                <w:color w:val="000000"/>
              </w:rPr>
              <w:t>Task</w:t>
            </w:r>
            <w:r w:rsidR="000B3CE0">
              <w:rPr>
                <w:color w:val="000000"/>
              </w:rPr>
              <w:t xml:space="preserve"> and System</w:t>
            </w:r>
            <w:r w:rsidRPr="00DC5175">
              <w:rPr>
                <w:color w:val="000000"/>
              </w:rPr>
              <w:t xml:space="preserve"> </w:t>
            </w:r>
            <w:r w:rsidR="000B3CE0">
              <w:rPr>
                <w:color w:val="000000"/>
              </w:rPr>
              <w:t>Development</w:t>
            </w:r>
            <w:r w:rsidRPr="00DC5175">
              <w:rPr>
                <w:color w:val="000000"/>
              </w:rPr>
              <w:t xml:space="preserve"> and Tablet Preparation</w:t>
            </w:r>
          </w:p>
        </w:tc>
      </w:tr>
      <w:tr w:rsidR="002155CF" w:rsidRPr="00DC5175" w:rsidTr="00206DD5">
        <w:trPr>
          <w:trHeight w:val="432"/>
        </w:trPr>
        <w:tc>
          <w:tcPr>
            <w:tcW w:w="1942" w:type="pct"/>
            <w:tcBorders>
              <w:top w:val="single" w:sz="8" w:space="0" w:color="000000"/>
              <w:bottom w:val="single" w:sz="8" w:space="0" w:color="000000"/>
              <w:right w:val="single" w:sz="8" w:space="0" w:color="000000"/>
            </w:tcBorders>
            <w:vAlign w:val="center"/>
          </w:tcPr>
          <w:p w:rsidR="002155CF" w:rsidRPr="00DC5175" w:rsidRDefault="007F4B7A" w:rsidP="000B3CE0">
            <w:pPr>
              <w:keepNext/>
              <w:spacing w:after="0" w:line="240" w:lineRule="auto"/>
              <w:jc w:val="center"/>
              <w:rPr>
                <w:b/>
                <w:bCs/>
              </w:rPr>
            </w:pPr>
            <w:r>
              <w:rPr>
                <w:b/>
                <w:bCs/>
                <w:color w:val="000000"/>
              </w:rPr>
              <w:t>December</w:t>
            </w:r>
            <w:r w:rsidR="00A94E32">
              <w:rPr>
                <w:b/>
                <w:bCs/>
                <w:color w:val="000000"/>
              </w:rPr>
              <w:t xml:space="preserve"> 2013</w:t>
            </w:r>
            <w:r w:rsidR="000B3CE0">
              <w:rPr>
                <w:b/>
                <w:bCs/>
                <w:color w:val="000000"/>
              </w:rPr>
              <w:t>–March 2014</w:t>
            </w:r>
          </w:p>
        </w:tc>
        <w:tc>
          <w:tcPr>
            <w:tcW w:w="3058" w:type="pct"/>
            <w:tcBorders>
              <w:top w:val="single" w:sz="8" w:space="0" w:color="000000"/>
              <w:left w:val="single" w:sz="8" w:space="0" w:color="000000"/>
              <w:bottom w:val="single" w:sz="8" w:space="0" w:color="000000"/>
            </w:tcBorders>
            <w:vAlign w:val="center"/>
          </w:tcPr>
          <w:p w:rsidR="002155CF" w:rsidRPr="00DC5175" w:rsidRDefault="002155CF" w:rsidP="00DC5175">
            <w:pPr>
              <w:keepNext/>
              <w:keepLines/>
              <w:spacing w:after="0" w:line="240" w:lineRule="auto"/>
              <w:jc w:val="center"/>
            </w:pPr>
            <w:r w:rsidRPr="00DC5175">
              <w:rPr>
                <w:color w:val="000000"/>
              </w:rPr>
              <w:t>Recruiting</w:t>
            </w:r>
          </w:p>
        </w:tc>
      </w:tr>
      <w:tr w:rsidR="002155CF" w:rsidRPr="00DC5175" w:rsidTr="00206DD5">
        <w:trPr>
          <w:trHeight w:val="432"/>
        </w:trPr>
        <w:tc>
          <w:tcPr>
            <w:tcW w:w="1942" w:type="pct"/>
            <w:tcBorders>
              <w:top w:val="single" w:sz="8" w:space="0" w:color="000000"/>
              <w:bottom w:val="single" w:sz="8" w:space="0" w:color="000000"/>
              <w:right w:val="single" w:sz="8" w:space="0" w:color="000000"/>
            </w:tcBorders>
            <w:vAlign w:val="center"/>
          </w:tcPr>
          <w:p w:rsidR="002155CF" w:rsidRPr="00DC5175" w:rsidRDefault="000B3CE0" w:rsidP="000B3CE0">
            <w:pPr>
              <w:keepNext/>
              <w:keepLines/>
              <w:spacing w:after="0"/>
              <w:jc w:val="center"/>
              <w:rPr>
                <w:b/>
                <w:bCs/>
              </w:rPr>
            </w:pPr>
            <w:r>
              <w:rPr>
                <w:b/>
                <w:bCs/>
                <w:color w:val="000000"/>
              </w:rPr>
              <w:t>April–May 2014</w:t>
            </w:r>
          </w:p>
        </w:tc>
        <w:tc>
          <w:tcPr>
            <w:tcW w:w="3058" w:type="pct"/>
            <w:tcBorders>
              <w:top w:val="single" w:sz="8" w:space="0" w:color="000000"/>
              <w:left w:val="single" w:sz="8" w:space="0" w:color="000000"/>
              <w:bottom w:val="single" w:sz="8" w:space="0" w:color="000000"/>
            </w:tcBorders>
            <w:vAlign w:val="center"/>
          </w:tcPr>
          <w:p w:rsidR="002155CF" w:rsidRPr="00DC5175" w:rsidRDefault="000B3CE0" w:rsidP="00DC5175">
            <w:pPr>
              <w:keepNext/>
              <w:keepLines/>
              <w:spacing w:after="0"/>
              <w:jc w:val="center"/>
            </w:pPr>
            <w:r>
              <w:rPr>
                <w:color w:val="000000"/>
              </w:rPr>
              <w:t>Data Collection</w:t>
            </w:r>
          </w:p>
        </w:tc>
      </w:tr>
      <w:tr w:rsidR="002155CF" w:rsidRPr="00DC5175" w:rsidTr="00206DD5">
        <w:trPr>
          <w:trHeight w:val="432"/>
        </w:trPr>
        <w:tc>
          <w:tcPr>
            <w:tcW w:w="1942" w:type="pct"/>
            <w:tcBorders>
              <w:top w:val="single" w:sz="8" w:space="0" w:color="000000"/>
              <w:bottom w:val="single" w:sz="18" w:space="0" w:color="000000"/>
              <w:right w:val="single" w:sz="8" w:space="0" w:color="000000"/>
            </w:tcBorders>
            <w:vAlign w:val="center"/>
          </w:tcPr>
          <w:p w:rsidR="002155CF" w:rsidRPr="00DC5175" w:rsidRDefault="000B3CE0" w:rsidP="000B3CE0">
            <w:pPr>
              <w:keepLines/>
              <w:spacing w:after="0"/>
              <w:jc w:val="center"/>
              <w:rPr>
                <w:b/>
                <w:bCs/>
              </w:rPr>
            </w:pPr>
            <w:r>
              <w:rPr>
                <w:b/>
                <w:bCs/>
                <w:color w:val="000000"/>
              </w:rPr>
              <w:t>June–July 2014</w:t>
            </w:r>
          </w:p>
        </w:tc>
        <w:tc>
          <w:tcPr>
            <w:tcW w:w="3058" w:type="pct"/>
            <w:tcBorders>
              <w:top w:val="single" w:sz="8" w:space="0" w:color="000000"/>
              <w:left w:val="single" w:sz="8" w:space="0" w:color="000000"/>
              <w:bottom w:val="single" w:sz="18" w:space="0" w:color="000000"/>
            </w:tcBorders>
            <w:vAlign w:val="center"/>
          </w:tcPr>
          <w:p w:rsidR="002155CF" w:rsidRPr="00DC5175" w:rsidRDefault="000B3CE0" w:rsidP="00DC5175">
            <w:pPr>
              <w:keepLines/>
              <w:spacing w:after="0"/>
              <w:jc w:val="center"/>
            </w:pPr>
            <w:r>
              <w:rPr>
                <w:color w:val="000000"/>
              </w:rPr>
              <w:t>Scoring and Data Analysis</w:t>
            </w:r>
          </w:p>
        </w:tc>
      </w:tr>
    </w:tbl>
    <w:p w:rsidR="002155CF" w:rsidRDefault="002155CF" w:rsidP="009C18E8">
      <w:pPr>
        <w:pStyle w:val="aAppendix"/>
        <w:numPr>
          <w:ilvl w:val="0"/>
          <w:numId w:val="0"/>
        </w:numPr>
        <w:rPr>
          <w:rStyle w:val="Strong"/>
        </w:rPr>
      </w:pPr>
    </w:p>
    <w:sectPr w:rsidR="002155CF" w:rsidSect="00206DD5">
      <w:footerReference w:type="default" r:id="rId17"/>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68E" w:rsidRDefault="0022368E" w:rsidP="00A35ED6">
      <w:pPr>
        <w:spacing w:after="0" w:line="240" w:lineRule="auto"/>
      </w:pPr>
      <w:r>
        <w:separator/>
      </w:r>
    </w:p>
  </w:endnote>
  <w:endnote w:type="continuationSeparator" w:id="0">
    <w:p w:rsidR="0022368E" w:rsidRDefault="0022368E" w:rsidP="00A3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Century Schlbk">
    <w:altName w:val="NewCenturySchlbk"/>
    <w:panose1 w:val="00000000000000000000"/>
    <w:charset w:val="4D"/>
    <w:family w:val="auto"/>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GaramondPro-Regular">
    <w:altName w:val="Times New Roman"/>
    <w:charset w:val="00"/>
    <w:family w:val="auto"/>
    <w:pitch w:val="default"/>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15184"/>
      <w:docPartObj>
        <w:docPartGallery w:val="Page Numbers (Bottom of Page)"/>
        <w:docPartUnique/>
      </w:docPartObj>
    </w:sdtPr>
    <w:sdtEndPr/>
    <w:sdtContent>
      <w:p w:rsidR="000E5EA7" w:rsidRDefault="00CB5BC0" w:rsidP="00206DD5">
        <w:pPr>
          <w:pStyle w:val="Footer"/>
          <w:jc w:val="center"/>
        </w:pPr>
        <w:proofErr w:type="gramStart"/>
        <w:r>
          <w:t>i</w:t>
        </w:r>
        <w:proofErr w:type="gramEnd"/>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A7" w:rsidRPr="00B55B2F" w:rsidRDefault="000E5EA7" w:rsidP="00B55B2F">
    <w:pPr>
      <w:pStyle w:val="Footer"/>
      <w:jc w:val="right"/>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A7" w:rsidRDefault="000364D6" w:rsidP="00206DD5">
    <w:pPr>
      <w:spacing w:after="0"/>
      <w:jc w:val="center"/>
    </w:pPr>
    <w:r>
      <w:fldChar w:fldCharType="begin"/>
    </w:r>
    <w:r>
      <w:instrText xml:space="preserve"> PAGE   \* MERGEFORMAT </w:instrText>
    </w:r>
    <w:r>
      <w:fldChar w:fldCharType="separate"/>
    </w:r>
    <w:r w:rsidR="009112D3">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68E" w:rsidRDefault="0022368E" w:rsidP="00A35ED6">
      <w:pPr>
        <w:spacing w:after="0" w:line="240" w:lineRule="auto"/>
      </w:pPr>
      <w:r>
        <w:separator/>
      </w:r>
    </w:p>
  </w:footnote>
  <w:footnote w:type="continuationSeparator" w:id="0">
    <w:p w:rsidR="0022368E" w:rsidRDefault="0022368E" w:rsidP="00A35ED6">
      <w:pPr>
        <w:spacing w:after="0" w:line="240" w:lineRule="auto"/>
      </w:pPr>
      <w:r>
        <w:continuationSeparator/>
      </w:r>
    </w:p>
  </w:footnote>
  <w:footnote w:id="1">
    <w:p w:rsidR="000E5EA7" w:rsidRPr="009207FD" w:rsidRDefault="000E5EA7">
      <w:pPr>
        <w:pStyle w:val="FootnoteText"/>
      </w:pPr>
      <w:r>
        <w:rPr>
          <w:rStyle w:val="FootnoteReference"/>
        </w:rPr>
        <w:footnoteRef/>
      </w:r>
      <w:r>
        <w:t xml:space="preserve"> The science framework is available at the following link: </w:t>
      </w:r>
      <w:hyperlink r:id="rId1" w:history="1">
        <w:r w:rsidRPr="006B5658">
          <w:rPr>
            <w:rStyle w:val="Hyperlink"/>
          </w:rPr>
          <w:t>http://www.nagb.org/content/nagb/assets/documents/publications/frameworks/science-2011.pdf</w:t>
        </w:r>
      </w:hyperlink>
      <w:r>
        <w:t xml:space="preserve"> </w:t>
      </w:r>
    </w:p>
  </w:footnote>
  <w:footnote w:id="2">
    <w:p w:rsidR="000E5EA7" w:rsidRPr="004A3BA4" w:rsidRDefault="000E5EA7" w:rsidP="00FE7ED1">
      <w:pPr>
        <w:spacing w:after="120" w:line="240" w:lineRule="auto"/>
      </w:pPr>
      <w:r w:rsidRPr="004A3BA4">
        <w:rPr>
          <w:rStyle w:val="FootnoteReference"/>
        </w:rPr>
        <w:footnoteRef/>
      </w:r>
      <w:r w:rsidRPr="004A3BA4">
        <w:t xml:space="preserve"> </w:t>
      </w:r>
      <w:r w:rsidRPr="004A3BA4">
        <w:rPr>
          <w:sz w:val="20"/>
          <w:szCs w:val="20"/>
        </w:rPr>
        <w:t>Usability Study for Use of Touch-Screen Tablets in NAEP Assessments</w:t>
      </w:r>
      <w:r>
        <w:rPr>
          <w:sz w:val="20"/>
          <w:szCs w:val="20"/>
        </w:rPr>
        <w:t xml:space="preserve"> </w:t>
      </w:r>
      <w:r w:rsidRPr="004A3BA4">
        <w:rPr>
          <w:sz w:val="20"/>
          <w:szCs w:val="20"/>
        </w:rPr>
        <w:t>(OMB #1850-0803</w:t>
      </w:r>
      <w:r w:rsidR="001E5CDA">
        <w:rPr>
          <w:sz w:val="20"/>
          <w:szCs w:val="20"/>
        </w:rPr>
        <w:t xml:space="preserve"> v.87,</w:t>
      </w:r>
      <w:r w:rsidRPr="004A3BA4">
        <w:rPr>
          <w:sz w:val="20"/>
          <w:szCs w:val="20"/>
        </w:rPr>
        <w:t xml:space="preserve"> October 2013).</w:t>
      </w:r>
    </w:p>
  </w:footnote>
  <w:footnote w:id="3">
    <w:p w:rsidR="000E5EA7" w:rsidRDefault="000E5EA7" w:rsidP="00FE7ED1">
      <w:pPr>
        <w:pStyle w:val="FootnoteText"/>
        <w:spacing w:after="120"/>
      </w:pPr>
      <w:r w:rsidRPr="004A3BA4">
        <w:rPr>
          <w:rStyle w:val="FootnoteReference"/>
        </w:rPr>
        <w:footnoteRef/>
      </w:r>
      <w:r w:rsidRPr="004A3BA4">
        <w:t xml:space="preserve"> The </w:t>
      </w:r>
      <w:r>
        <w:t>science ICT and HOT tablet</w:t>
      </w:r>
      <w:r w:rsidRPr="004A3BA4">
        <w:t xml:space="preserve"> study will be administered on Microsoft Surface Pro 2 </w:t>
      </w:r>
      <w:r w:rsidR="00485743">
        <w:t>touch-enabled devices</w:t>
      </w:r>
      <w:r w:rsidRPr="004A3BA4">
        <w:t xml:space="preserve"> with attachable keyboards.</w:t>
      </w:r>
    </w:p>
  </w:footnote>
  <w:footnote w:id="4">
    <w:p w:rsidR="00CB5BC0" w:rsidRDefault="00CB5BC0">
      <w:pPr>
        <w:pStyle w:val="FootnoteText"/>
      </w:pPr>
      <w:r>
        <w:rPr>
          <w:rStyle w:val="FootnoteReference"/>
        </w:rPr>
        <w:footnoteRef/>
      </w:r>
      <w:r>
        <w:t xml:space="preserve"> Communications to schools and parents indicate 120 minutes to allow for transition time to and from the study classroom.</w:t>
      </w:r>
    </w:p>
  </w:footnote>
  <w:footnote w:id="5">
    <w:p w:rsidR="000E5EA7" w:rsidRPr="00A90A7B" w:rsidRDefault="000E5EA7" w:rsidP="00A90A7B">
      <w:pPr>
        <w:pStyle w:val="FootnoteText"/>
        <w:rPr>
          <w:rFonts w:cs="Calibri"/>
        </w:rPr>
      </w:pPr>
      <w:r w:rsidRPr="00A90A7B">
        <w:rPr>
          <w:rStyle w:val="FootnoteReference"/>
          <w:rFonts w:cs="Calibri"/>
        </w:rPr>
        <w:footnoteRef/>
      </w:r>
      <w:r w:rsidRPr="00A90A7B">
        <w:rPr>
          <w:rFonts w:cs="Calibri"/>
        </w:rPr>
        <w:t xml:space="preserve"> </w:t>
      </w:r>
      <w:r w:rsidRPr="00A90A7B">
        <w:rPr>
          <w:rStyle w:val="StyleTimesNewRoman"/>
          <w:rFonts w:cs="Calibri"/>
          <w:sz w:val="20"/>
          <w:szCs w:val="24"/>
        </w:rPr>
        <w:t xml:space="preserve">Similar to main NAEP assessments, the cognitive item portions of the </w:t>
      </w:r>
      <w:r>
        <w:rPr>
          <w:rStyle w:val="StyleTimesNewRoman"/>
          <w:rFonts w:cs="Calibri"/>
          <w:sz w:val="20"/>
          <w:szCs w:val="24"/>
        </w:rPr>
        <w:t>study</w:t>
      </w:r>
      <w:r w:rsidRPr="00A90A7B">
        <w:rPr>
          <w:rStyle w:val="StyleTimesNewRoman"/>
          <w:rFonts w:cs="Calibri"/>
          <w:sz w:val="20"/>
          <w:szCs w:val="24"/>
        </w:rPr>
        <w:t xml:space="preserve"> are not included in the burden calculation.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A7" w:rsidRDefault="000E5EA7" w:rsidP="007709E2">
    <w:pPr>
      <w:pStyle w:val="Header"/>
      <w:pBdr>
        <w:between w:val="single" w:sz="4" w:space="1" w:color="4F81BD"/>
      </w:pBdr>
      <w:spacing w:line="276" w:lineRule="auto"/>
      <w:jc w:val="center"/>
      <w:rPr>
        <w:rFonts w:ascii="Candara" w:hAnsi="Candara"/>
        <w:b/>
        <w:smallCaps/>
        <w:color w:val="1F497D"/>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84244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0AD6E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D862B026"/>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560686AE"/>
    <w:lvl w:ilvl="0">
      <w:start w:val="1"/>
      <w:numFmt w:val="decimal"/>
      <w:lvlText w:val="%1."/>
      <w:lvlJc w:val="left"/>
      <w:pPr>
        <w:tabs>
          <w:tab w:val="num" w:pos="720"/>
        </w:tabs>
        <w:ind w:left="720" w:hanging="360"/>
      </w:pPr>
    </w:lvl>
  </w:abstractNum>
  <w:abstractNum w:abstractNumId="4">
    <w:nsid w:val="FFFFFF80"/>
    <w:multiLevelType w:val="singleLevel"/>
    <w:tmpl w:val="7024AA0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02EFE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E623D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B6BB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D2B6A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01B866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7"/>
    <w:multiLevelType w:val="multilevel"/>
    <w:tmpl w:val="05F28B8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5177693"/>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E7D0D8B"/>
    <w:multiLevelType w:val="multilevel"/>
    <w:tmpl w:val="5B76164A"/>
    <w:lvl w:ilvl="0">
      <w:start w:val="4"/>
      <w:numFmt w:val="bullet"/>
      <w:lvlText w:val=""/>
      <w:lvlJc w:val="left"/>
      <w:rPr>
        <w:rFonts w:ascii="Symbol" w:eastAsia="Times New Roman"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437323B"/>
    <w:multiLevelType w:val="hybridMultilevel"/>
    <w:tmpl w:val="A19C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3C4616"/>
    <w:multiLevelType w:val="hybridMultilevel"/>
    <w:tmpl w:val="16C4D7B8"/>
    <w:lvl w:ilvl="0" w:tplc="0409000F">
      <w:start w:val="1"/>
      <w:numFmt w:val="bullet"/>
      <w:pStyle w:val="NP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
    <w:nsid w:val="1B66538B"/>
    <w:multiLevelType w:val="hybridMultilevel"/>
    <w:tmpl w:val="6A20DAA6"/>
    <w:lvl w:ilvl="0" w:tplc="A3A6A072">
      <w:numFmt w:val="bullet"/>
      <w:lvlText w:val="-"/>
      <w:lvlJc w:val="left"/>
      <w:pPr>
        <w:tabs>
          <w:tab w:val="num" w:pos="720"/>
        </w:tabs>
        <w:ind w:left="720" w:hanging="360"/>
      </w:pPr>
      <w:rPr>
        <w:rFonts w:ascii="Times New Roman" w:eastAsia="Times New Roman" w:hAnsi="Times New Roman" w:hint="default"/>
      </w:rPr>
    </w:lvl>
    <w:lvl w:ilvl="1" w:tplc="76E833C0">
      <w:start w:val="1"/>
      <w:numFmt w:val="bullet"/>
      <w:pStyle w:val="Bullet1"/>
      <w:lvlText w:val=""/>
      <w:lvlJc w:val="left"/>
      <w:pPr>
        <w:tabs>
          <w:tab w:val="num" w:pos="720"/>
        </w:tabs>
        <w:ind w:left="720" w:hanging="360"/>
      </w:pPr>
      <w:rPr>
        <w:rFonts w:ascii="Wingdings" w:hAnsi="Wingding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FE464F"/>
    <w:multiLevelType w:val="hybridMultilevel"/>
    <w:tmpl w:val="18D85B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8E1638"/>
    <w:multiLevelType w:val="hybridMultilevel"/>
    <w:tmpl w:val="ECCE1CB2"/>
    <w:lvl w:ilvl="0" w:tplc="5EE62388">
      <w:start w:val="1"/>
      <w:numFmt w:val="bullet"/>
      <w:lvlText w:val="•"/>
      <w:lvlJc w:val="left"/>
      <w:pPr>
        <w:ind w:left="765"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73A2482"/>
    <w:multiLevelType w:val="hybridMultilevel"/>
    <w:tmpl w:val="65F4A45A"/>
    <w:lvl w:ilvl="0" w:tplc="AF582EFA">
      <w:start w:val="1"/>
      <w:numFmt w:val="upperLetter"/>
      <w:pStyle w:val="aAppendix"/>
      <w:lvlText w:val="Appendix %1: "/>
      <w:lvlJc w:val="left"/>
      <w:pPr>
        <w:ind w:left="360" w:hanging="360"/>
      </w:pPr>
      <w:rPr>
        <w:rFonts w:ascii="Candara" w:hAnsi="Candara" w:cs="Times New Roman" w:hint="default"/>
        <w:b/>
        <w:i w:val="0"/>
        <w:caps/>
        <w:vanish w:val="0"/>
        <w:color w:val="1F497D"/>
        <w:sz w:val="3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2B504868"/>
    <w:multiLevelType w:val="hybridMultilevel"/>
    <w:tmpl w:val="493293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24D6A38"/>
    <w:multiLevelType w:val="hybridMultilevel"/>
    <w:tmpl w:val="A3C65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43E744B"/>
    <w:multiLevelType w:val="hybridMultilevel"/>
    <w:tmpl w:val="57F8336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3AC97CC7"/>
    <w:multiLevelType w:val="hybridMultilevel"/>
    <w:tmpl w:val="454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8145DB"/>
    <w:multiLevelType w:val="hybridMultilevel"/>
    <w:tmpl w:val="5B9E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800AB8"/>
    <w:multiLevelType w:val="hybridMultilevel"/>
    <w:tmpl w:val="9E940C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3BF1F5C"/>
    <w:multiLevelType w:val="hybridMultilevel"/>
    <w:tmpl w:val="621E84FC"/>
    <w:lvl w:ilvl="0" w:tplc="5EE62388">
      <w:start w:val="1"/>
      <w:numFmt w:val="bullet"/>
      <w:lvlText w:val="•"/>
      <w:lvlJc w:val="left"/>
      <w:pPr>
        <w:ind w:left="765"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95F6A5E"/>
    <w:multiLevelType w:val="hybridMultilevel"/>
    <w:tmpl w:val="005887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A640611"/>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EAA7C24"/>
    <w:multiLevelType w:val="hybridMultilevel"/>
    <w:tmpl w:val="649404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D680C9D"/>
    <w:multiLevelType w:val="multilevel"/>
    <w:tmpl w:val="E7D8E920"/>
    <w:lvl w:ilvl="0">
      <w:start w:val="1"/>
      <w:numFmt w:val="decimal"/>
      <w:pStyle w:val="a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0">
    <w:nsid w:val="76C11CA6"/>
    <w:multiLevelType w:val="hybridMultilevel"/>
    <w:tmpl w:val="9BF0E2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AF12FE"/>
    <w:multiLevelType w:val="hybridMultilevel"/>
    <w:tmpl w:val="A028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B41160"/>
    <w:multiLevelType w:val="hybridMultilevel"/>
    <w:tmpl w:val="53B262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CF81B7F"/>
    <w:multiLevelType w:val="hybridMultilevel"/>
    <w:tmpl w:val="AAC603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9"/>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29"/>
  </w:num>
  <w:num w:numId="12">
    <w:abstractNumId w:val="15"/>
  </w:num>
  <w:num w:numId="13">
    <w:abstractNumId w:val="9"/>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14"/>
  </w:num>
  <w:num w:numId="22">
    <w:abstractNumId w:val="18"/>
  </w:num>
  <w:num w:numId="23">
    <w:abstractNumId w:val="11"/>
  </w:num>
  <w:num w:numId="24">
    <w:abstractNumId w:val="23"/>
  </w:num>
  <w:num w:numId="25">
    <w:abstractNumId w:val="22"/>
  </w:num>
  <w:num w:numId="26">
    <w:abstractNumId w:val="26"/>
  </w:num>
  <w:num w:numId="27">
    <w:abstractNumId w:val="27"/>
  </w:num>
  <w:num w:numId="28">
    <w:abstractNumId w:val="12"/>
  </w:num>
  <w:num w:numId="29">
    <w:abstractNumId w:val="28"/>
  </w:num>
  <w:num w:numId="30">
    <w:abstractNumId w:val="13"/>
  </w:num>
  <w:num w:numId="31">
    <w:abstractNumId w:val="10"/>
  </w:num>
  <w:num w:numId="32">
    <w:abstractNumId w:val="21"/>
  </w:num>
  <w:num w:numId="33">
    <w:abstractNumId w:val="20"/>
  </w:num>
  <w:num w:numId="34">
    <w:abstractNumId w:val="32"/>
  </w:num>
  <w:num w:numId="35">
    <w:abstractNumId w:val="19"/>
  </w:num>
  <w:num w:numId="36">
    <w:abstractNumId w:val="33"/>
  </w:num>
  <w:num w:numId="37">
    <w:abstractNumId w:val="24"/>
  </w:num>
  <w:num w:numId="38">
    <w:abstractNumId w:val="31"/>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6"/>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7F68"/>
    <w:rsid w:val="00002CE0"/>
    <w:rsid w:val="00003060"/>
    <w:rsid w:val="00003D89"/>
    <w:rsid w:val="00004CB4"/>
    <w:rsid w:val="0001258F"/>
    <w:rsid w:val="0001266E"/>
    <w:rsid w:val="00014599"/>
    <w:rsid w:val="00020BF5"/>
    <w:rsid w:val="0002496D"/>
    <w:rsid w:val="00027A72"/>
    <w:rsid w:val="0003036C"/>
    <w:rsid w:val="00030FEC"/>
    <w:rsid w:val="00032E4A"/>
    <w:rsid w:val="00033821"/>
    <w:rsid w:val="0003568E"/>
    <w:rsid w:val="00035C59"/>
    <w:rsid w:val="000364D6"/>
    <w:rsid w:val="00040547"/>
    <w:rsid w:val="00041F3C"/>
    <w:rsid w:val="000436C4"/>
    <w:rsid w:val="00043AB6"/>
    <w:rsid w:val="00043DCC"/>
    <w:rsid w:val="00045688"/>
    <w:rsid w:val="00045F0C"/>
    <w:rsid w:val="00046973"/>
    <w:rsid w:val="0005283E"/>
    <w:rsid w:val="0005462E"/>
    <w:rsid w:val="000606F8"/>
    <w:rsid w:val="000609DF"/>
    <w:rsid w:val="00064916"/>
    <w:rsid w:val="000662FF"/>
    <w:rsid w:val="0007112C"/>
    <w:rsid w:val="00073C97"/>
    <w:rsid w:val="00073F6D"/>
    <w:rsid w:val="00074AAE"/>
    <w:rsid w:val="00075397"/>
    <w:rsid w:val="00077CB5"/>
    <w:rsid w:val="0008331F"/>
    <w:rsid w:val="0008395A"/>
    <w:rsid w:val="00083C33"/>
    <w:rsid w:val="00083F59"/>
    <w:rsid w:val="00084B57"/>
    <w:rsid w:val="00085DEC"/>
    <w:rsid w:val="00096AB5"/>
    <w:rsid w:val="00097D6E"/>
    <w:rsid w:val="000A0E1D"/>
    <w:rsid w:val="000A15F7"/>
    <w:rsid w:val="000A239B"/>
    <w:rsid w:val="000A679F"/>
    <w:rsid w:val="000B04B9"/>
    <w:rsid w:val="000B3564"/>
    <w:rsid w:val="000B3597"/>
    <w:rsid w:val="000B39E9"/>
    <w:rsid w:val="000B3CE0"/>
    <w:rsid w:val="000B3FFC"/>
    <w:rsid w:val="000B4E6A"/>
    <w:rsid w:val="000C0169"/>
    <w:rsid w:val="000C461D"/>
    <w:rsid w:val="000C6A27"/>
    <w:rsid w:val="000D2FE3"/>
    <w:rsid w:val="000D4330"/>
    <w:rsid w:val="000D434A"/>
    <w:rsid w:val="000D4D61"/>
    <w:rsid w:val="000E1AE5"/>
    <w:rsid w:val="000E2012"/>
    <w:rsid w:val="000E3133"/>
    <w:rsid w:val="000E5EA7"/>
    <w:rsid w:val="000E7F20"/>
    <w:rsid w:val="000F146F"/>
    <w:rsid w:val="000F3654"/>
    <w:rsid w:val="000F550D"/>
    <w:rsid w:val="000F6FA3"/>
    <w:rsid w:val="00101214"/>
    <w:rsid w:val="001019DA"/>
    <w:rsid w:val="00102B2A"/>
    <w:rsid w:val="001073DE"/>
    <w:rsid w:val="001136A6"/>
    <w:rsid w:val="00113ED6"/>
    <w:rsid w:val="001144AE"/>
    <w:rsid w:val="001160C6"/>
    <w:rsid w:val="0011643B"/>
    <w:rsid w:val="00117ADB"/>
    <w:rsid w:val="00124108"/>
    <w:rsid w:val="001305C8"/>
    <w:rsid w:val="0013546E"/>
    <w:rsid w:val="0013721A"/>
    <w:rsid w:val="00137F30"/>
    <w:rsid w:val="001418CC"/>
    <w:rsid w:val="00143E50"/>
    <w:rsid w:val="001521D3"/>
    <w:rsid w:val="001527C3"/>
    <w:rsid w:val="0015440F"/>
    <w:rsid w:val="00155159"/>
    <w:rsid w:val="001555F8"/>
    <w:rsid w:val="00155D3F"/>
    <w:rsid w:val="0016206F"/>
    <w:rsid w:val="00165FC7"/>
    <w:rsid w:val="00174AC6"/>
    <w:rsid w:val="00176E8D"/>
    <w:rsid w:val="00177FC7"/>
    <w:rsid w:val="001848D5"/>
    <w:rsid w:val="00190111"/>
    <w:rsid w:val="0019590B"/>
    <w:rsid w:val="001A1B8C"/>
    <w:rsid w:val="001A392F"/>
    <w:rsid w:val="001A57D2"/>
    <w:rsid w:val="001A5F98"/>
    <w:rsid w:val="001B0269"/>
    <w:rsid w:val="001B08E9"/>
    <w:rsid w:val="001B4C0B"/>
    <w:rsid w:val="001B7D49"/>
    <w:rsid w:val="001C3643"/>
    <w:rsid w:val="001C708B"/>
    <w:rsid w:val="001D182E"/>
    <w:rsid w:val="001D4209"/>
    <w:rsid w:val="001D4C05"/>
    <w:rsid w:val="001D6A1F"/>
    <w:rsid w:val="001D75E8"/>
    <w:rsid w:val="001E11D7"/>
    <w:rsid w:val="001E2027"/>
    <w:rsid w:val="001E40A3"/>
    <w:rsid w:val="001E510D"/>
    <w:rsid w:val="001E51BB"/>
    <w:rsid w:val="001E5CDA"/>
    <w:rsid w:val="001E7875"/>
    <w:rsid w:val="001F477A"/>
    <w:rsid w:val="001F5117"/>
    <w:rsid w:val="001F7907"/>
    <w:rsid w:val="002028FF"/>
    <w:rsid w:val="00203115"/>
    <w:rsid w:val="002033AE"/>
    <w:rsid w:val="00204A31"/>
    <w:rsid w:val="00205C3C"/>
    <w:rsid w:val="00206DD5"/>
    <w:rsid w:val="00207A48"/>
    <w:rsid w:val="002155CF"/>
    <w:rsid w:val="00216EB5"/>
    <w:rsid w:val="0022368E"/>
    <w:rsid w:val="00227E38"/>
    <w:rsid w:val="002306B0"/>
    <w:rsid w:val="00230D91"/>
    <w:rsid w:val="002341CA"/>
    <w:rsid w:val="00237BA0"/>
    <w:rsid w:val="0024224D"/>
    <w:rsid w:val="00244E5B"/>
    <w:rsid w:val="002469E6"/>
    <w:rsid w:val="00250FA2"/>
    <w:rsid w:val="00252038"/>
    <w:rsid w:val="002527FD"/>
    <w:rsid w:val="002538E1"/>
    <w:rsid w:val="00254F8A"/>
    <w:rsid w:val="0025624F"/>
    <w:rsid w:val="002625E2"/>
    <w:rsid w:val="00262F53"/>
    <w:rsid w:val="00263637"/>
    <w:rsid w:val="002656F9"/>
    <w:rsid w:val="00266E6A"/>
    <w:rsid w:val="0026714A"/>
    <w:rsid w:val="00267399"/>
    <w:rsid w:val="00272C42"/>
    <w:rsid w:val="0027577A"/>
    <w:rsid w:val="002766AC"/>
    <w:rsid w:val="002776DF"/>
    <w:rsid w:val="00280E81"/>
    <w:rsid w:val="00281399"/>
    <w:rsid w:val="00286B58"/>
    <w:rsid w:val="00290C43"/>
    <w:rsid w:val="00290F4D"/>
    <w:rsid w:val="0029502E"/>
    <w:rsid w:val="00295857"/>
    <w:rsid w:val="0029683C"/>
    <w:rsid w:val="00296B94"/>
    <w:rsid w:val="00296DB4"/>
    <w:rsid w:val="002A10B2"/>
    <w:rsid w:val="002A5750"/>
    <w:rsid w:val="002A74AC"/>
    <w:rsid w:val="002A7B3B"/>
    <w:rsid w:val="002B17E3"/>
    <w:rsid w:val="002B25F9"/>
    <w:rsid w:val="002B2722"/>
    <w:rsid w:val="002B3C6B"/>
    <w:rsid w:val="002B3E8E"/>
    <w:rsid w:val="002B49D5"/>
    <w:rsid w:val="002B5225"/>
    <w:rsid w:val="002B6EC4"/>
    <w:rsid w:val="002B7AAD"/>
    <w:rsid w:val="002C011F"/>
    <w:rsid w:val="002C16B3"/>
    <w:rsid w:val="002C32D2"/>
    <w:rsid w:val="002C33F7"/>
    <w:rsid w:val="002C4585"/>
    <w:rsid w:val="002C78DE"/>
    <w:rsid w:val="002D1E67"/>
    <w:rsid w:val="002D2E84"/>
    <w:rsid w:val="002D37A7"/>
    <w:rsid w:val="002D4F19"/>
    <w:rsid w:val="002E1DB2"/>
    <w:rsid w:val="002E3140"/>
    <w:rsid w:val="002E5FEF"/>
    <w:rsid w:val="002F22D5"/>
    <w:rsid w:val="002F31A6"/>
    <w:rsid w:val="002F3CB6"/>
    <w:rsid w:val="002F42E2"/>
    <w:rsid w:val="002F4616"/>
    <w:rsid w:val="002F5C62"/>
    <w:rsid w:val="002F660B"/>
    <w:rsid w:val="003068BE"/>
    <w:rsid w:val="00306C80"/>
    <w:rsid w:val="00310177"/>
    <w:rsid w:val="00310F1D"/>
    <w:rsid w:val="00312303"/>
    <w:rsid w:val="0031318D"/>
    <w:rsid w:val="00321578"/>
    <w:rsid w:val="00324382"/>
    <w:rsid w:val="003312F3"/>
    <w:rsid w:val="003479DC"/>
    <w:rsid w:val="00350B47"/>
    <w:rsid w:val="00350DD3"/>
    <w:rsid w:val="00351FFB"/>
    <w:rsid w:val="003525C1"/>
    <w:rsid w:val="003529CD"/>
    <w:rsid w:val="003536DC"/>
    <w:rsid w:val="00354E83"/>
    <w:rsid w:val="003570BE"/>
    <w:rsid w:val="003609BC"/>
    <w:rsid w:val="00361AE9"/>
    <w:rsid w:val="00363498"/>
    <w:rsid w:val="00363CEE"/>
    <w:rsid w:val="00364C57"/>
    <w:rsid w:val="00370CF7"/>
    <w:rsid w:val="00377855"/>
    <w:rsid w:val="0038367B"/>
    <w:rsid w:val="003854DE"/>
    <w:rsid w:val="00385EA5"/>
    <w:rsid w:val="00387391"/>
    <w:rsid w:val="00387932"/>
    <w:rsid w:val="00391816"/>
    <w:rsid w:val="00397D50"/>
    <w:rsid w:val="003A0D62"/>
    <w:rsid w:val="003A2DEC"/>
    <w:rsid w:val="003A4714"/>
    <w:rsid w:val="003A5B56"/>
    <w:rsid w:val="003A63F6"/>
    <w:rsid w:val="003A79A2"/>
    <w:rsid w:val="003B04CE"/>
    <w:rsid w:val="003B0C11"/>
    <w:rsid w:val="003B631E"/>
    <w:rsid w:val="003C3463"/>
    <w:rsid w:val="003C4B1E"/>
    <w:rsid w:val="003C5A08"/>
    <w:rsid w:val="003C5F9A"/>
    <w:rsid w:val="003C6EC8"/>
    <w:rsid w:val="003C7F45"/>
    <w:rsid w:val="003D45E3"/>
    <w:rsid w:val="003D58D8"/>
    <w:rsid w:val="003E0146"/>
    <w:rsid w:val="003E1575"/>
    <w:rsid w:val="003E16DC"/>
    <w:rsid w:val="003F0DF3"/>
    <w:rsid w:val="003F4206"/>
    <w:rsid w:val="003F7EBD"/>
    <w:rsid w:val="0040041F"/>
    <w:rsid w:val="0040189E"/>
    <w:rsid w:val="0040238C"/>
    <w:rsid w:val="0040288D"/>
    <w:rsid w:val="00405061"/>
    <w:rsid w:val="0040600A"/>
    <w:rsid w:val="00411E45"/>
    <w:rsid w:val="00416F35"/>
    <w:rsid w:val="004175DD"/>
    <w:rsid w:val="004204CE"/>
    <w:rsid w:val="0042057B"/>
    <w:rsid w:val="00422920"/>
    <w:rsid w:val="00423E38"/>
    <w:rsid w:val="00431F49"/>
    <w:rsid w:val="00433E56"/>
    <w:rsid w:val="0043486D"/>
    <w:rsid w:val="0044081A"/>
    <w:rsid w:val="00443628"/>
    <w:rsid w:val="00446CD4"/>
    <w:rsid w:val="004501AF"/>
    <w:rsid w:val="00452C45"/>
    <w:rsid w:val="00454131"/>
    <w:rsid w:val="00456F32"/>
    <w:rsid w:val="0046239B"/>
    <w:rsid w:val="00462B31"/>
    <w:rsid w:val="00462F1C"/>
    <w:rsid w:val="00463C33"/>
    <w:rsid w:val="004672B1"/>
    <w:rsid w:val="00467D0F"/>
    <w:rsid w:val="00473BB6"/>
    <w:rsid w:val="00475E7B"/>
    <w:rsid w:val="0047729B"/>
    <w:rsid w:val="00480BD0"/>
    <w:rsid w:val="00481B7E"/>
    <w:rsid w:val="00483EF0"/>
    <w:rsid w:val="00485743"/>
    <w:rsid w:val="004861C0"/>
    <w:rsid w:val="0048687F"/>
    <w:rsid w:val="00487FDB"/>
    <w:rsid w:val="00497944"/>
    <w:rsid w:val="004A1428"/>
    <w:rsid w:val="004A298C"/>
    <w:rsid w:val="004A34A9"/>
    <w:rsid w:val="004A3BA4"/>
    <w:rsid w:val="004B14B6"/>
    <w:rsid w:val="004B1583"/>
    <w:rsid w:val="004B4028"/>
    <w:rsid w:val="004B4477"/>
    <w:rsid w:val="004B4A86"/>
    <w:rsid w:val="004B5AEC"/>
    <w:rsid w:val="004B62AB"/>
    <w:rsid w:val="004C1E4C"/>
    <w:rsid w:val="004C3870"/>
    <w:rsid w:val="004D0F8A"/>
    <w:rsid w:val="004D143B"/>
    <w:rsid w:val="004D6ADF"/>
    <w:rsid w:val="004E5507"/>
    <w:rsid w:val="004E56B9"/>
    <w:rsid w:val="004E6024"/>
    <w:rsid w:val="004E68A3"/>
    <w:rsid w:val="004E6939"/>
    <w:rsid w:val="004F2282"/>
    <w:rsid w:val="004F7D20"/>
    <w:rsid w:val="00502478"/>
    <w:rsid w:val="005024A3"/>
    <w:rsid w:val="00504C38"/>
    <w:rsid w:val="005055ED"/>
    <w:rsid w:val="005062A5"/>
    <w:rsid w:val="00506769"/>
    <w:rsid w:val="00514262"/>
    <w:rsid w:val="00514761"/>
    <w:rsid w:val="00515592"/>
    <w:rsid w:val="00515CE5"/>
    <w:rsid w:val="00520241"/>
    <w:rsid w:val="0052155F"/>
    <w:rsid w:val="005266A4"/>
    <w:rsid w:val="00527335"/>
    <w:rsid w:val="0052733F"/>
    <w:rsid w:val="005332A8"/>
    <w:rsid w:val="0053509C"/>
    <w:rsid w:val="005464C5"/>
    <w:rsid w:val="00560538"/>
    <w:rsid w:val="00561C4B"/>
    <w:rsid w:val="005673BF"/>
    <w:rsid w:val="0057199B"/>
    <w:rsid w:val="00572F71"/>
    <w:rsid w:val="00575616"/>
    <w:rsid w:val="00575D5F"/>
    <w:rsid w:val="005814EE"/>
    <w:rsid w:val="00581B9F"/>
    <w:rsid w:val="00582435"/>
    <w:rsid w:val="005861CD"/>
    <w:rsid w:val="00587D07"/>
    <w:rsid w:val="00590E63"/>
    <w:rsid w:val="0059113F"/>
    <w:rsid w:val="0059262A"/>
    <w:rsid w:val="00597358"/>
    <w:rsid w:val="005A68DC"/>
    <w:rsid w:val="005B0FD0"/>
    <w:rsid w:val="005B3055"/>
    <w:rsid w:val="005B38FE"/>
    <w:rsid w:val="005C26E8"/>
    <w:rsid w:val="005C5429"/>
    <w:rsid w:val="005C6422"/>
    <w:rsid w:val="005C77B9"/>
    <w:rsid w:val="005D220D"/>
    <w:rsid w:val="005D75ED"/>
    <w:rsid w:val="005D7E96"/>
    <w:rsid w:val="005E08D1"/>
    <w:rsid w:val="005E2EE4"/>
    <w:rsid w:val="005E4E21"/>
    <w:rsid w:val="005E68A5"/>
    <w:rsid w:val="005F1AFB"/>
    <w:rsid w:val="005F2E0A"/>
    <w:rsid w:val="005F3017"/>
    <w:rsid w:val="005F4FB0"/>
    <w:rsid w:val="005F54C8"/>
    <w:rsid w:val="006065C1"/>
    <w:rsid w:val="00610F40"/>
    <w:rsid w:val="00616F00"/>
    <w:rsid w:val="006236E7"/>
    <w:rsid w:val="00624739"/>
    <w:rsid w:val="00626B15"/>
    <w:rsid w:val="00630BD3"/>
    <w:rsid w:val="00631B8D"/>
    <w:rsid w:val="00632A9F"/>
    <w:rsid w:val="006330FE"/>
    <w:rsid w:val="00643657"/>
    <w:rsid w:val="00643E5A"/>
    <w:rsid w:val="00652342"/>
    <w:rsid w:val="00652D18"/>
    <w:rsid w:val="00653C16"/>
    <w:rsid w:val="00654E24"/>
    <w:rsid w:val="0065632B"/>
    <w:rsid w:val="00667906"/>
    <w:rsid w:val="00667C27"/>
    <w:rsid w:val="00670BD5"/>
    <w:rsid w:val="00670F48"/>
    <w:rsid w:val="0067574F"/>
    <w:rsid w:val="0067756F"/>
    <w:rsid w:val="00686FC1"/>
    <w:rsid w:val="00687BDA"/>
    <w:rsid w:val="00690F2C"/>
    <w:rsid w:val="00692DF3"/>
    <w:rsid w:val="00693745"/>
    <w:rsid w:val="006957A1"/>
    <w:rsid w:val="0069698D"/>
    <w:rsid w:val="006B152D"/>
    <w:rsid w:val="006B4FF4"/>
    <w:rsid w:val="006B51B8"/>
    <w:rsid w:val="006B55CF"/>
    <w:rsid w:val="006C0CA0"/>
    <w:rsid w:val="006C4AB5"/>
    <w:rsid w:val="006D300B"/>
    <w:rsid w:val="006D42CF"/>
    <w:rsid w:val="006D5353"/>
    <w:rsid w:val="006E442C"/>
    <w:rsid w:val="006E4A4D"/>
    <w:rsid w:val="006E5B2D"/>
    <w:rsid w:val="006E65A4"/>
    <w:rsid w:val="006E711E"/>
    <w:rsid w:val="006F05BE"/>
    <w:rsid w:val="006F6F19"/>
    <w:rsid w:val="006F7630"/>
    <w:rsid w:val="0070063C"/>
    <w:rsid w:val="00704D04"/>
    <w:rsid w:val="00712760"/>
    <w:rsid w:val="007133B3"/>
    <w:rsid w:val="00713637"/>
    <w:rsid w:val="00713E33"/>
    <w:rsid w:val="00714E0B"/>
    <w:rsid w:val="007156AF"/>
    <w:rsid w:val="00723D15"/>
    <w:rsid w:val="00724490"/>
    <w:rsid w:val="00724E46"/>
    <w:rsid w:val="007256B1"/>
    <w:rsid w:val="00743395"/>
    <w:rsid w:val="00743434"/>
    <w:rsid w:val="00743E53"/>
    <w:rsid w:val="00744104"/>
    <w:rsid w:val="0074685A"/>
    <w:rsid w:val="0075051B"/>
    <w:rsid w:val="00757FBC"/>
    <w:rsid w:val="0076591D"/>
    <w:rsid w:val="00767466"/>
    <w:rsid w:val="0076769B"/>
    <w:rsid w:val="007709E2"/>
    <w:rsid w:val="00771C36"/>
    <w:rsid w:val="007729D7"/>
    <w:rsid w:val="007732C6"/>
    <w:rsid w:val="007753BA"/>
    <w:rsid w:val="00775B08"/>
    <w:rsid w:val="00783CAD"/>
    <w:rsid w:val="00783FA0"/>
    <w:rsid w:val="00786EDC"/>
    <w:rsid w:val="00787EDA"/>
    <w:rsid w:val="00796708"/>
    <w:rsid w:val="00797A8C"/>
    <w:rsid w:val="007A042A"/>
    <w:rsid w:val="007A4454"/>
    <w:rsid w:val="007B0DCB"/>
    <w:rsid w:val="007B1A84"/>
    <w:rsid w:val="007B24EA"/>
    <w:rsid w:val="007B2A7F"/>
    <w:rsid w:val="007B3874"/>
    <w:rsid w:val="007B3C61"/>
    <w:rsid w:val="007B6F0F"/>
    <w:rsid w:val="007C042B"/>
    <w:rsid w:val="007C0BCD"/>
    <w:rsid w:val="007C25A1"/>
    <w:rsid w:val="007C2C36"/>
    <w:rsid w:val="007C3298"/>
    <w:rsid w:val="007D3536"/>
    <w:rsid w:val="007D6C4A"/>
    <w:rsid w:val="007D743D"/>
    <w:rsid w:val="007D7928"/>
    <w:rsid w:val="007D7FE7"/>
    <w:rsid w:val="007E07AA"/>
    <w:rsid w:val="007E169C"/>
    <w:rsid w:val="007E47AE"/>
    <w:rsid w:val="007E48F7"/>
    <w:rsid w:val="007E5496"/>
    <w:rsid w:val="007F0CBD"/>
    <w:rsid w:val="007F2D4B"/>
    <w:rsid w:val="007F2EFC"/>
    <w:rsid w:val="007F4B7A"/>
    <w:rsid w:val="007F5F3E"/>
    <w:rsid w:val="007F6852"/>
    <w:rsid w:val="00801836"/>
    <w:rsid w:val="00803748"/>
    <w:rsid w:val="00805D63"/>
    <w:rsid w:val="00806C9E"/>
    <w:rsid w:val="00806FE2"/>
    <w:rsid w:val="00807FF9"/>
    <w:rsid w:val="00813FED"/>
    <w:rsid w:val="00815AE8"/>
    <w:rsid w:val="008177BE"/>
    <w:rsid w:val="0082397F"/>
    <w:rsid w:val="00825D0A"/>
    <w:rsid w:val="008270DF"/>
    <w:rsid w:val="00830630"/>
    <w:rsid w:val="0083263A"/>
    <w:rsid w:val="00840231"/>
    <w:rsid w:val="008402CF"/>
    <w:rsid w:val="00841265"/>
    <w:rsid w:val="00841C76"/>
    <w:rsid w:val="00842ECD"/>
    <w:rsid w:val="008431C1"/>
    <w:rsid w:val="00846E45"/>
    <w:rsid w:val="00847494"/>
    <w:rsid w:val="00853032"/>
    <w:rsid w:val="008537A4"/>
    <w:rsid w:val="0085640F"/>
    <w:rsid w:val="008570A9"/>
    <w:rsid w:val="008577BF"/>
    <w:rsid w:val="00857AEC"/>
    <w:rsid w:val="00860404"/>
    <w:rsid w:val="00864A42"/>
    <w:rsid w:val="00873203"/>
    <w:rsid w:val="00873A9A"/>
    <w:rsid w:val="00876779"/>
    <w:rsid w:val="008768B4"/>
    <w:rsid w:val="008807F7"/>
    <w:rsid w:val="00891C99"/>
    <w:rsid w:val="0089507F"/>
    <w:rsid w:val="0089796B"/>
    <w:rsid w:val="008A28F8"/>
    <w:rsid w:val="008A3EDA"/>
    <w:rsid w:val="008A4881"/>
    <w:rsid w:val="008A4EAD"/>
    <w:rsid w:val="008A796E"/>
    <w:rsid w:val="008B5D9D"/>
    <w:rsid w:val="008C0A76"/>
    <w:rsid w:val="008C2CF4"/>
    <w:rsid w:val="008C3CB9"/>
    <w:rsid w:val="008D7633"/>
    <w:rsid w:val="008F0637"/>
    <w:rsid w:val="008F1979"/>
    <w:rsid w:val="008F2FFC"/>
    <w:rsid w:val="009007E0"/>
    <w:rsid w:val="00905BB4"/>
    <w:rsid w:val="00906EFA"/>
    <w:rsid w:val="00907CAC"/>
    <w:rsid w:val="00910C18"/>
    <w:rsid w:val="009112D3"/>
    <w:rsid w:val="009156EB"/>
    <w:rsid w:val="009207FD"/>
    <w:rsid w:val="00920B78"/>
    <w:rsid w:val="0092494A"/>
    <w:rsid w:val="009333AF"/>
    <w:rsid w:val="00937476"/>
    <w:rsid w:val="00943A15"/>
    <w:rsid w:val="00944A5A"/>
    <w:rsid w:val="00950835"/>
    <w:rsid w:val="00951F0A"/>
    <w:rsid w:val="0095218E"/>
    <w:rsid w:val="00952F44"/>
    <w:rsid w:val="009544D6"/>
    <w:rsid w:val="00956BC0"/>
    <w:rsid w:val="00960BC1"/>
    <w:rsid w:val="00960DC0"/>
    <w:rsid w:val="009661EA"/>
    <w:rsid w:val="00966ABA"/>
    <w:rsid w:val="0097084F"/>
    <w:rsid w:val="00971544"/>
    <w:rsid w:val="00971804"/>
    <w:rsid w:val="009725FC"/>
    <w:rsid w:val="00981F14"/>
    <w:rsid w:val="0098254E"/>
    <w:rsid w:val="009838E4"/>
    <w:rsid w:val="00984574"/>
    <w:rsid w:val="00984711"/>
    <w:rsid w:val="00987321"/>
    <w:rsid w:val="00987C80"/>
    <w:rsid w:val="009947EB"/>
    <w:rsid w:val="00994D9A"/>
    <w:rsid w:val="009A43AF"/>
    <w:rsid w:val="009A6D16"/>
    <w:rsid w:val="009A7D61"/>
    <w:rsid w:val="009B1B43"/>
    <w:rsid w:val="009B5957"/>
    <w:rsid w:val="009C18E8"/>
    <w:rsid w:val="009C1ADD"/>
    <w:rsid w:val="009C332C"/>
    <w:rsid w:val="009C68B7"/>
    <w:rsid w:val="009D4EC8"/>
    <w:rsid w:val="009E0B61"/>
    <w:rsid w:val="009E1CF5"/>
    <w:rsid w:val="009E28BB"/>
    <w:rsid w:val="009E3AF0"/>
    <w:rsid w:val="009E6CE4"/>
    <w:rsid w:val="009F091F"/>
    <w:rsid w:val="009F17A6"/>
    <w:rsid w:val="009F2219"/>
    <w:rsid w:val="009F44A5"/>
    <w:rsid w:val="009F5B03"/>
    <w:rsid w:val="009F648D"/>
    <w:rsid w:val="009F73AC"/>
    <w:rsid w:val="00A00061"/>
    <w:rsid w:val="00A00CF0"/>
    <w:rsid w:val="00A0396F"/>
    <w:rsid w:val="00A06707"/>
    <w:rsid w:val="00A07FCA"/>
    <w:rsid w:val="00A10380"/>
    <w:rsid w:val="00A113C9"/>
    <w:rsid w:val="00A12C27"/>
    <w:rsid w:val="00A13CE3"/>
    <w:rsid w:val="00A14539"/>
    <w:rsid w:val="00A14C4A"/>
    <w:rsid w:val="00A15719"/>
    <w:rsid w:val="00A15A47"/>
    <w:rsid w:val="00A22F51"/>
    <w:rsid w:val="00A239B3"/>
    <w:rsid w:val="00A248DC"/>
    <w:rsid w:val="00A25702"/>
    <w:rsid w:val="00A27D7F"/>
    <w:rsid w:val="00A30492"/>
    <w:rsid w:val="00A305D7"/>
    <w:rsid w:val="00A3115F"/>
    <w:rsid w:val="00A31B33"/>
    <w:rsid w:val="00A328EF"/>
    <w:rsid w:val="00A35C51"/>
    <w:rsid w:val="00A35ED6"/>
    <w:rsid w:val="00A36181"/>
    <w:rsid w:val="00A3625A"/>
    <w:rsid w:val="00A36604"/>
    <w:rsid w:val="00A37F68"/>
    <w:rsid w:val="00A426A5"/>
    <w:rsid w:val="00A46CF8"/>
    <w:rsid w:val="00A50F09"/>
    <w:rsid w:val="00A63792"/>
    <w:rsid w:val="00A74B1F"/>
    <w:rsid w:val="00A770EC"/>
    <w:rsid w:val="00A80192"/>
    <w:rsid w:val="00A8338F"/>
    <w:rsid w:val="00A83EE4"/>
    <w:rsid w:val="00A84F8A"/>
    <w:rsid w:val="00A865D3"/>
    <w:rsid w:val="00A868EB"/>
    <w:rsid w:val="00A87F4D"/>
    <w:rsid w:val="00A90A7B"/>
    <w:rsid w:val="00A92C4E"/>
    <w:rsid w:val="00A93492"/>
    <w:rsid w:val="00A94E32"/>
    <w:rsid w:val="00A9610B"/>
    <w:rsid w:val="00A9660D"/>
    <w:rsid w:val="00AA0729"/>
    <w:rsid w:val="00AA52F0"/>
    <w:rsid w:val="00AA5E28"/>
    <w:rsid w:val="00AA6A36"/>
    <w:rsid w:val="00AB2759"/>
    <w:rsid w:val="00AB2DAE"/>
    <w:rsid w:val="00AB6642"/>
    <w:rsid w:val="00AB6D3C"/>
    <w:rsid w:val="00AC104A"/>
    <w:rsid w:val="00AC30CB"/>
    <w:rsid w:val="00AC4DDF"/>
    <w:rsid w:val="00AC745C"/>
    <w:rsid w:val="00AD14BA"/>
    <w:rsid w:val="00AD1A3B"/>
    <w:rsid w:val="00AD3018"/>
    <w:rsid w:val="00AD4E1C"/>
    <w:rsid w:val="00AD654E"/>
    <w:rsid w:val="00AD74BA"/>
    <w:rsid w:val="00AD7B96"/>
    <w:rsid w:val="00AE23CA"/>
    <w:rsid w:val="00AE2FD3"/>
    <w:rsid w:val="00AE4D37"/>
    <w:rsid w:val="00AE63D8"/>
    <w:rsid w:val="00AF2C2D"/>
    <w:rsid w:val="00AF404C"/>
    <w:rsid w:val="00AF5BAB"/>
    <w:rsid w:val="00AF6E2D"/>
    <w:rsid w:val="00B035D3"/>
    <w:rsid w:val="00B041DB"/>
    <w:rsid w:val="00B12368"/>
    <w:rsid w:val="00B12EB8"/>
    <w:rsid w:val="00B17C47"/>
    <w:rsid w:val="00B2075C"/>
    <w:rsid w:val="00B21975"/>
    <w:rsid w:val="00B22543"/>
    <w:rsid w:val="00B4238D"/>
    <w:rsid w:val="00B466E1"/>
    <w:rsid w:val="00B46B27"/>
    <w:rsid w:val="00B47AF7"/>
    <w:rsid w:val="00B52ABF"/>
    <w:rsid w:val="00B54897"/>
    <w:rsid w:val="00B55B2F"/>
    <w:rsid w:val="00B5609F"/>
    <w:rsid w:val="00B567EC"/>
    <w:rsid w:val="00B6562F"/>
    <w:rsid w:val="00B7407A"/>
    <w:rsid w:val="00B75A4C"/>
    <w:rsid w:val="00B8014A"/>
    <w:rsid w:val="00B802C1"/>
    <w:rsid w:val="00B80D09"/>
    <w:rsid w:val="00B81535"/>
    <w:rsid w:val="00B81E9D"/>
    <w:rsid w:val="00B822CE"/>
    <w:rsid w:val="00B83633"/>
    <w:rsid w:val="00B91A1A"/>
    <w:rsid w:val="00B91C9E"/>
    <w:rsid w:val="00B93158"/>
    <w:rsid w:val="00BA178F"/>
    <w:rsid w:val="00BA2D26"/>
    <w:rsid w:val="00BA6C6E"/>
    <w:rsid w:val="00BB038A"/>
    <w:rsid w:val="00BB114A"/>
    <w:rsid w:val="00BB1447"/>
    <w:rsid w:val="00BB17BE"/>
    <w:rsid w:val="00BB3666"/>
    <w:rsid w:val="00BC24E5"/>
    <w:rsid w:val="00BC3FC0"/>
    <w:rsid w:val="00BC5748"/>
    <w:rsid w:val="00BC5B27"/>
    <w:rsid w:val="00BC5FA2"/>
    <w:rsid w:val="00BD0A9E"/>
    <w:rsid w:val="00BD451A"/>
    <w:rsid w:val="00BE4DA2"/>
    <w:rsid w:val="00BE5954"/>
    <w:rsid w:val="00BF4106"/>
    <w:rsid w:val="00BF50CB"/>
    <w:rsid w:val="00C00434"/>
    <w:rsid w:val="00C014FD"/>
    <w:rsid w:val="00C03376"/>
    <w:rsid w:val="00C0339E"/>
    <w:rsid w:val="00C042AE"/>
    <w:rsid w:val="00C05991"/>
    <w:rsid w:val="00C0682C"/>
    <w:rsid w:val="00C10DBA"/>
    <w:rsid w:val="00C1318A"/>
    <w:rsid w:val="00C1354A"/>
    <w:rsid w:val="00C13654"/>
    <w:rsid w:val="00C244AD"/>
    <w:rsid w:val="00C262DE"/>
    <w:rsid w:val="00C26D73"/>
    <w:rsid w:val="00C27603"/>
    <w:rsid w:val="00C30403"/>
    <w:rsid w:val="00C325D6"/>
    <w:rsid w:val="00C33699"/>
    <w:rsid w:val="00C33DF6"/>
    <w:rsid w:val="00C35F9F"/>
    <w:rsid w:val="00C37CA7"/>
    <w:rsid w:val="00C37CC6"/>
    <w:rsid w:val="00C44F85"/>
    <w:rsid w:val="00C45C02"/>
    <w:rsid w:val="00C512D9"/>
    <w:rsid w:val="00C53264"/>
    <w:rsid w:val="00C552BD"/>
    <w:rsid w:val="00C55A44"/>
    <w:rsid w:val="00C60282"/>
    <w:rsid w:val="00C62206"/>
    <w:rsid w:val="00C62A59"/>
    <w:rsid w:val="00C71129"/>
    <w:rsid w:val="00C732F2"/>
    <w:rsid w:val="00C749AC"/>
    <w:rsid w:val="00C76628"/>
    <w:rsid w:val="00C769EA"/>
    <w:rsid w:val="00C7708C"/>
    <w:rsid w:val="00C775DC"/>
    <w:rsid w:val="00C8368B"/>
    <w:rsid w:val="00C83BE0"/>
    <w:rsid w:val="00C872B1"/>
    <w:rsid w:val="00C90FED"/>
    <w:rsid w:val="00C93F5D"/>
    <w:rsid w:val="00C94398"/>
    <w:rsid w:val="00C950F2"/>
    <w:rsid w:val="00C979E3"/>
    <w:rsid w:val="00CA21B9"/>
    <w:rsid w:val="00CA21D4"/>
    <w:rsid w:val="00CA3A7F"/>
    <w:rsid w:val="00CB060F"/>
    <w:rsid w:val="00CB2E64"/>
    <w:rsid w:val="00CB33DE"/>
    <w:rsid w:val="00CB36B3"/>
    <w:rsid w:val="00CB5BC0"/>
    <w:rsid w:val="00CB69F4"/>
    <w:rsid w:val="00CB75A9"/>
    <w:rsid w:val="00CC592A"/>
    <w:rsid w:val="00CC782F"/>
    <w:rsid w:val="00CD0110"/>
    <w:rsid w:val="00CD1172"/>
    <w:rsid w:val="00CD1F0A"/>
    <w:rsid w:val="00CD7F5D"/>
    <w:rsid w:val="00CE1071"/>
    <w:rsid w:val="00CE5B9C"/>
    <w:rsid w:val="00CF0323"/>
    <w:rsid w:val="00CF2478"/>
    <w:rsid w:val="00CF2C4F"/>
    <w:rsid w:val="00D03827"/>
    <w:rsid w:val="00D04444"/>
    <w:rsid w:val="00D04CD9"/>
    <w:rsid w:val="00D067C5"/>
    <w:rsid w:val="00D06E56"/>
    <w:rsid w:val="00D17CC9"/>
    <w:rsid w:val="00D2052E"/>
    <w:rsid w:val="00D233C3"/>
    <w:rsid w:val="00D255A8"/>
    <w:rsid w:val="00D26E1A"/>
    <w:rsid w:val="00D27438"/>
    <w:rsid w:val="00D306DF"/>
    <w:rsid w:val="00D31048"/>
    <w:rsid w:val="00D3195A"/>
    <w:rsid w:val="00D321DB"/>
    <w:rsid w:val="00D33F79"/>
    <w:rsid w:val="00D37A71"/>
    <w:rsid w:val="00D51B5C"/>
    <w:rsid w:val="00D61000"/>
    <w:rsid w:val="00D65464"/>
    <w:rsid w:val="00D66308"/>
    <w:rsid w:val="00D66324"/>
    <w:rsid w:val="00D742EB"/>
    <w:rsid w:val="00D76B0D"/>
    <w:rsid w:val="00D84293"/>
    <w:rsid w:val="00D85AFF"/>
    <w:rsid w:val="00D85D3A"/>
    <w:rsid w:val="00D8773D"/>
    <w:rsid w:val="00D90D0C"/>
    <w:rsid w:val="00D90F5C"/>
    <w:rsid w:val="00D94C24"/>
    <w:rsid w:val="00D963AF"/>
    <w:rsid w:val="00D97DF5"/>
    <w:rsid w:val="00DA1450"/>
    <w:rsid w:val="00DA1E09"/>
    <w:rsid w:val="00DA41B2"/>
    <w:rsid w:val="00DB7B65"/>
    <w:rsid w:val="00DC0AB0"/>
    <w:rsid w:val="00DC1546"/>
    <w:rsid w:val="00DC1CB7"/>
    <w:rsid w:val="00DC2D0F"/>
    <w:rsid w:val="00DC3CD9"/>
    <w:rsid w:val="00DC5175"/>
    <w:rsid w:val="00DC5437"/>
    <w:rsid w:val="00DC7695"/>
    <w:rsid w:val="00DC7887"/>
    <w:rsid w:val="00DD197D"/>
    <w:rsid w:val="00DD2CE8"/>
    <w:rsid w:val="00DD35BC"/>
    <w:rsid w:val="00DD3C62"/>
    <w:rsid w:val="00DE043B"/>
    <w:rsid w:val="00DE4541"/>
    <w:rsid w:val="00DE4E58"/>
    <w:rsid w:val="00DE78DF"/>
    <w:rsid w:val="00DF07B8"/>
    <w:rsid w:val="00DF1FED"/>
    <w:rsid w:val="00DF2921"/>
    <w:rsid w:val="00DF5CD2"/>
    <w:rsid w:val="00DF7326"/>
    <w:rsid w:val="00E013F2"/>
    <w:rsid w:val="00E02DDF"/>
    <w:rsid w:val="00E05977"/>
    <w:rsid w:val="00E06A01"/>
    <w:rsid w:val="00E1507C"/>
    <w:rsid w:val="00E16E67"/>
    <w:rsid w:val="00E16F08"/>
    <w:rsid w:val="00E17A5C"/>
    <w:rsid w:val="00E17E48"/>
    <w:rsid w:val="00E20F8B"/>
    <w:rsid w:val="00E21F8F"/>
    <w:rsid w:val="00E243BA"/>
    <w:rsid w:val="00E250DB"/>
    <w:rsid w:val="00E2776D"/>
    <w:rsid w:val="00E30B9D"/>
    <w:rsid w:val="00E332D7"/>
    <w:rsid w:val="00E34D78"/>
    <w:rsid w:val="00E36CA5"/>
    <w:rsid w:val="00E409B3"/>
    <w:rsid w:val="00E441C5"/>
    <w:rsid w:val="00E46E4A"/>
    <w:rsid w:val="00E47808"/>
    <w:rsid w:val="00E5317F"/>
    <w:rsid w:val="00E554BF"/>
    <w:rsid w:val="00E721E9"/>
    <w:rsid w:val="00E81A08"/>
    <w:rsid w:val="00E836BB"/>
    <w:rsid w:val="00E90DC6"/>
    <w:rsid w:val="00E9156A"/>
    <w:rsid w:val="00E922BA"/>
    <w:rsid w:val="00E9250A"/>
    <w:rsid w:val="00E93119"/>
    <w:rsid w:val="00E94DF0"/>
    <w:rsid w:val="00E96612"/>
    <w:rsid w:val="00E975A8"/>
    <w:rsid w:val="00EA434B"/>
    <w:rsid w:val="00EA4688"/>
    <w:rsid w:val="00EA656E"/>
    <w:rsid w:val="00EB3DEB"/>
    <w:rsid w:val="00EB417C"/>
    <w:rsid w:val="00EB4754"/>
    <w:rsid w:val="00EC22E0"/>
    <w:rsid w:val="00EC663A"/>
    <w:rsid w:val="00ED17DA"/>
    <w:rsid w:val="00ED49D7"/>
    <w:rsid w:val="00EE5875"/>
    <w:rsid w:val="00EE729A"/>
    <w:rsid w:val="00EE7F10"/>
    <w:rsid w:val="00EF0550"/>
    <w:rsid w:val="00EF1064"/>
    <w:rsid w:val="00EF596A"/>
    <w:rsid w:val="00EF67CE"/>
    <w:rsid w:val="00EF7695"/>
    <w:rsid w:val="00F00C66"/>
    <w:rsid w:val="00F03960"/>
    <w:rsid w:val="00F0449F"/>
    <w:rsid w:val="00F05962"/>
    <w:rsid w:val="00F05F67"/>
    <w:rsid w:val="00F12BB2"/>
    <w:rsid w:val="00F14DCF"/>
    <w:rsid w:val="00F17EE6"/>
    <w:rsid w:val="00F20A49"/>
    <w:rsid w:val="00F22EAE"/>
    <w:rsid w:val="00F24144"/>
    <w:rsid w:val="00F26D20"/>
    <w:rsid w:val="00F316EF"/>
    <w:rsid w:val="00F31BD7"/>
    <w:rsid w:val="00F32F35"/>
    <w:rsid w:val="00F341E2"/>
    <w:rsid w:val="00F35BD6"/>
    <w:rsid w:val="00F37A94"/>
    <w:rsid w:val="00F41301"/>
    <w:rsid w:val="00F4770A"/>
    <w:rsid w:val="00F506D6"/>
    <w:rsid w:val="00F51FFD"/>
    <w:rsid w:val="00F54BAE"/>
    <w:rsid w:val="00F6219F"/>
    <w:rsid w:val="00F625C6"/>
    <w:rsid w:val="00F63642"/>
    <w:rsid w:val="00F67F25"/>
    <w:rsid w:val="00F7013C"/>
    <w:rsid w:val="00F70AF1"/>
    <w:rsid w:val="00F7334C"/>
    <w:rsid w:val="00F73900"/>
    <w:rsid w:val="00F747FB"/>
    <w:rsid w:val="00F82E0B"/>
    <w:rsid w:val="00F837BD"/>
    <w:rsid w:val="00F86387"/>
    <w:rsid w:val="00F9123B"/>
    <w:rsid w:val="00F91F56"/>
    <w:rsid w:val="00F946C1"/>
    <w:rsid w:val="00F97814"/>
    <w:rsid w:val="00FA0810"/>
    <w:rsid w:val="00FA61F8"/>
    <w:rsid w:val="00FB1916"/>
    <w:rsid w:val="00FB369C"/>
    <w:rsid w:val="00FB44EC"/>
    <w:rsid w:val="00FB5668"/>
    <w:rsid w:val="00FB5BC0"/>
    <w:rsid w:val="00FB5EFE"/>
    <w:rsid w:val="00FB6548"/>
    <w:rsid w:val="00FB7270"/>
    <w:rsid w:val="00FC355B"/>
    <w:rsid w:val="00FC558D"/>
    <w:rsid w:val="00FD1F49"/>
    <w:rsid w:val="00FD218E"/>
    <w:rsid w:val="00FD3828"/>
    <w:rsid w:val="00FD3E3E"/>
    <w:rsid w:val="00FD42E4"/>
    <w:rsid w:val="00FD4C75"/>
    <w:rsid w:val="00FD6FF9"/>
    <w:rsid w:val="00FE2771"/>
    <w:rsid w:val="00FE4B86"/>
    <w:rsid w:val="00FE7791"/>
    <w:rsid w:val="00FE7ED1"/>
    <w:rsid w:val="00FF05E2"/>
    <w:rsid w:val="00FF399A"/>
    <w:rsid w:val="00FF4B91"/>
    <w:rsid w:val="00FF539C"/>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A865D3"/>
    <w:pPr>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TableNormal"/>
    <w:uiPriority w:val="61"/>
    <w:rsid w:val="00462B31"/>
    <w:rPr>
      <w:rFonts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DA1450"/>
    <w:pPr>
      <w:numPr>
        <w:numId w:val="11"/>
      </w:numPr>
      <w:spacing w:before="240" w:after="240"/>
    </w:p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DA1450"/>
    <w:rPr>
      <w:rFonts w:ascii="Candara" w:hAnsi="Candara"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0385">
      <w:bodyDiv w:val="1"/>
      <w:marLeft w:val="0"/>
      <w:marRight w:val="0"/>
      <w:marTop w:val="0"/>
      <w:marBottom w:val="0"/>
      <w:divBdr>
        <w:top w:val="none" w:sz="0" w:space="0" w:color="auto"/>
        <w:left w:val="none" w:sz="0" w:space="0" w:color="auto"/>
        <w:bottom w:val="none" w:sz="0" w:space="0" w:color="auto"/>
        <w:right w:val="none" w:sz="0" w:space="0" w:color="auto"/>
      </w:divBdr>
    </w:div>
    <w:div w:id="412633087">
      <w:bodyDiv w:val="1"/>
      <w:marLeft w:val="0"/>
      <w:marRight w:val="0"/>
      <w:marTop w:val="0"/>
      <w:marBottom w:val="0"/>
      <w:divBdr>
        <w:top w:val="none" w:sz="0" w:space="0" w:color="auto"/>
        <w:left w:val="none" w:sz="0" w:space="0" w:color="auto"/>
        <w:bottom w:val="none" w:sz="0" w:space="0" w:color="auto"/>
        <w:right w:val="none" w:sz="0" w:space="0" w:color="auto"/>
      </w:divBdr>
    </w:div>
    <w:div w:id="825820385">
      <w:bodyDiv w:val="1"/>
      <w:marLeft w:val="0"/>
      <w:marRight w:val="0"/>
      <w:marTop w:val="0"/>
      <w:marBottom w:val="0"/>
      <w:divBdr>
        <w:top w:val="none" w:sz="0" w:space="0" w:color="auto"/>
        <w:left w:val="none" w:sz="0" w:space="0" w:color="auto"/>
        <w:bottom w:val="none" w:sz="0" w:space="0" w:color="auto"/>
        <w:right w:val="none" w:sz="0" w:space="0" w:color="auto"/>
      </w:divBdr>
    </w:div>
    <w:div w:id="878399653">
      <w:bodyDiv w:val="1"/>
      <w:marLeft w:val="0"/>
      <w:marRight w:val="0"/>
      <w:marTop w:val="0"/>
      <w:marBottom w:val="0"/>
      <w:divBdr>
        <w:top w:val="none" w:sz="0" w:space="0" w:color="auto"/>
        <w:left w:val="none" w:sz="0" w:space="0" w:color="auto"/>
        <w:bottom w:val="none" w:sz="0" w:space="0" w:color="auto"/>
        <w:right w:val="none" w:sz="0" w:space="0" w:color="auto"/>
      </w:divBdr>
    </w:div>
    <w:div w:id="886260687">
      <w:bodyDiv w:val="1"/>
      <w:marLeft w:val="0"/>
      <w:marRight w:val="0"/>
      <w:marTop w:val="0"/>
      <w:marBottom w:val="0"/>
      <w:divBdr>
        <w:top w:val="none" w:sz="0" w:space="0" w:color="auto"/>
        <w:left w:val="none" w:sz="0" w:space="0" w:color="auto"/>
        <w:bottom w:val="none" w:sz="0" w:space="0" w:color="auto"/>
        <w:right w:val="none" w:sz="0" w:space="0" w:color="auto"/>
      </w:divBdr>
    </w:div>
    <w:div w:id="1651977032">
      <w:bodyDiv w:val="1"/>
      <w:marLeft w:val="0"/>
      <w:marRight w:val="0"/>
      <w:marTop w:val="0"/>
      <w:marBottom w:val="0"/>
      <w:divBdr>
        <w:top w:val="none" w:sz="0" w:space="0" w:color="auto"/>
        <w:left w:val="none" w:sz="0" w:space="0" w:color="auto"/>
        <w:bottom w:val="none" w:sz="0" w:space="0" w:color="auto"/>
        <w:right w:val="none" w:sz="0" w:space="0" w:color="auto"/>
      </w:divBdr>
    </w:div>
    <w:div w:id="1812745696">
      <w:marLeft w:val="0"/>
      <w:marRight w:val="0"/>
      <w:marTop w:val="0"/>
      <w:marBottom w:val="0"/>
      <w:divBdr>
        <w:top w:val="none" w:sz="0" w:space="0" w:color="auto"/>
        <w:left w:val="none" w:sz="0" w:space="0" w:color="auto"/>
        <w:bottom w:val="none" w:sz="0" w:space="0" w:color="auto"/>
        <w:right w:val="none" w:sz="0" w:space="0" w:color="auto"/>
      </w:divBdr>
    </w:div>
    <w:div w:id="1812745697">
      <w:marLeft w:val="0"/>
      <w:marRight w:val="0"/>
      <w:marTop w:val="0"/>
      <w:marBottom w:val="0"/>
      <w:divBdr>
        <w:top w:val="none" w:sz="0" w:space="0" w:color="auto"/>
        <w:left w:val="none" w:sz="0" w:space="0" w:color="auto"/>
        <w:bottom w:val="none" w:sz="0" w:space="0" w:color="auto"/>
        <w:right w:val="none" w:sz="0" w:space="0" w:color="auto"/>
      </w:divBdr>
    </w:div>
    <w:div w:id="1812745698">
      <w:marLeft w:val="0"/>
      <w:marRight w:val="0"/>
      <w:marTop w:val="0"/>
      <w:marBottom w:val="0"/>
      <w:divBdr>
        <w:top w:val="none" w:sz="0" w:space="0" w:color="auto"/>
        <w:left w:val="none" w:sz="0" w:space="0" w:color="auto"/>
        <w:bottom w:val="none" w:sz="0" w:space="0" w:color="auto"/>
        <w:right w:val="none" w:sz="0" w:space="0" w:color="auto"/>
      </w:divBdr>
    </w:div>
    <w:div w:id="1812745699">
      <w:marLeft w:val="0"/>
      <w:marRight w:val="0"/>
      <w:marTop w:val="0"/>
      <w:marBottom w:val="0"/>
      <w:divBdr>
        <w:top w:val="none" w:sz="0" w:space="0" w:color="auto"/>
        <w:left w:val="none" w:sz="0" w:space="0" w:color="auto"/>
        <w:bottom w:val="none" w:sz="0" w:space="0" w:color="auto"/>
        <w:right w:val="none" w:sz="0" w:space="0" w:color="auto"/>
      </w:divBdr>
    </w:div>
    <w:div w:id="1812745700">
      <w:marLeft w:val="0"/>
      <w:marRight w:val="0"/>
      <w:marTop w:val="0"/>
      <w:marBottom w:val="0"/>
      <w:divBdr>
        <w:top w:val="none" w:sz="0" w:space="0" w:color="auto"/>
        <w:left w:val="none" w:sz="0" w:space="0" w:color="auto"/>
        <w:bottom w:val="none" w:sz="0" w:space="0" w:color="auto"/>
        <w:right w:val="none" w:sz="0" w:space="0" w:color="auto"/>
      </w:divBdr>
    </w:div>
    <w:div w:id="1812745701">
      <w:marLeft w:val="0"/>
      <w:marRight w:val="0"/>
      <w:marTop w:val="0"/>
      <w:marBottom w:val="0"/>
      <w:divBdr>
        <w:top w:val="none" w:sz="0" w:space="0" w:color="auto"/>
        <w:left w:val="none" w:sz="0" w:space="0" w:color="auto"/>
        <w:bottom w:val="none" w:sz="0" w:space="0" w:color="auto"/>
        <w:right w:val="none" w:sz="0" w:space="0" w:color="auto"/>
      </w:divBdr>
    </w:div>
    <w:div w:id="1812745702">
      <w:marLeft w:val="0"/>
      <w:marRight w:val="0"/>
      <w:marTop w:val="0"/>
      <w:marBottom w:val="0"/>
      <w:divBdr>
        <w:top w:val="none" w:sz="0" w:space="0" w:color="auto"/>
        <w:left w:val="none" w:sz="0" w:space="0" w:color="auto"/>
        <w:bottom w:val="none" w:sz="0" w:space="0" w:color="auto"/>
        <w:right w:val="none" w:sz="0" w:space="0" w:color="auto"/>
      </w:divBdr>
    </w:div>
    <w:div w:id="1812745703">
      <w:marLeft w:val="0"/>
      <w:marRight w:val="0"/>
      <w:marTop w:val="0"/>
      <w:marBottom w:val="0"/>
      <w:divBdr>
        <w:top w:val="none" w:sz="0" w:space="0" w:color="auto"/>
        <w:left w:val="none" w:sz="0" w:space="0" w:color="auto"/>
        <w:bottom w:val="none" w:sz="0" w:space="0" w:color="auto"/>
        <w:right w:val="none" w:sz="0" w:space="0" w:color="auto"/>
      </w:divBdr>
    </w:div>
    <w:div w:id="1812745704">
      <w:marLeft w:val="0"/>
      <w:marRight w:val="0"/>
      <w:marTop w:val="0"/>
      <w:marBottom w:val="0"/>
      <w:divBdr>
        <w:top w:val="none" w:sz="0" w:space="0" w:color="auto"/>
        <w:left w:val="none" w:sz="0" w:space="0" w:color="auto"/>
        <w:bottom w:val="none" w:sz="0" w:space="0" w:color="auto"/>
        <w:right w:val="none" w:sz="0" w:space="0" w:color="auto"/>
      </w:divBdr>
    </w:div>
    <w:div w:id="1812745705">
      <w:marLeft w:val="0"/>
      <w:marRight w:val="0"/>
      <w:marTop w:val="0"/>
      <w:marBottom w:val="0"/>
      <w:divBdr>
        <w:top w:val="none" w:sz="0" w:space="0" w:color="auto"/>
        <w:left w:val="none" w:sz="0" w:space="0" w:color="auto"/>
        <w:bottom w:val="none" w:sz="0" w:space="0" w:color="auto"/>
        <w:right w:val="none" w:sz="0" w:space="0" w:color="auto"/>
      </w:divBdr>
    </w:div>
    <w:div w:id="1812745706">
      <w:marLeft w:val="0"/>
      <w:marRight w:val="0"/>
      <w:marTop w:val="0"/>
      <w:marBottom w:val="0"/>
      <w:divBdr>
        <w:top w:val="none" w:sz="0" w:space="0" w:color="auto"/>
        <w:left w:val="none" w:sz="0" w:space="0" w:color="auto"/>
        <w:bottom w:val="none" w:sz="0" w:space="0" w:color="auto"/>
        <w:right w:val="none" w:sz="0" w:space="0" w:color="auto"/>
      </w:divBdr>
    </w:div>
    <w:div w:id="1812745707">
      <w:marLeft w:val="0"/>
      <w:marRight w:val="0"/>
      <w:marTop w:val="0"/>
      <w:marBottom w:val="0"/>
      <w:divBdr>
        <w:top w:val="none" w:sz="0" w:space="0" w:color="auto"/>
        <w:left w:val="none" w:sz="0" w:space="0" w:color="auto"/>
        <w:bottom w:val="none" w:sz="0" w:space="0" w:color="auto"/>
        <w:right w:val="none" w:sz="0" w:space="0" w:color="auto"/>
      </w:divBdr>
    </w:div>
    <w:div w:id="20011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agb.org/content/nagb/assets/documents/publications/frameworks/science-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05cbd13404cf4ef19dba1addffe260c2">
  <xsd:schema xmlns:xsd="http://www.w3.org/2001/XMLSchema" xmlns:xs="http://www.w3.org/2001/XMLSchema" xmlns:p="http://schemas.microsoft.com/office/2006/metadata/properties" xmlns:ns2="http://schemas.microsoft.com/sharepoint/v4" targetNamespace="http://schemas.microsoft.com/office/2006/metadata/properties" ma:root="true" ma:fieldsID="d40cc6f2fc6f5483dcad35307c607ecc"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3A04-0BC6-4980-B426-ACB53862F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1FA06-62EF-45B8-A213-11D469A50D42}">
  <ds:schemaRefs>
    <ds:schemaRef ds:uri="http://schemas.microsoft.com/sharepoint/v3/contenttype/forms"/>
  </ds:schemaRefs>
</ds:datastoreItem>
</file>

<file path=customXml/itemProps3.xml><?xml version="1.0" encoding="utf-8"?>
<ds:datastoreItem xmlns:ds="http://schemas.openxmlformats.org/officeDocument/2006/customXml" ds:itemID="{6FC3FC7B-A224-41F8-B825-CB70F482D1CE}">
  <ds:schemaRefs>
    <ds:schemaRef ds:uri="http://schemas.microsoft.com/office/2006/metadata/properties"/>
    <ds:schemaRef ds:uri="http://schemas.microsoft.com/sharepoint/v4"/>
  </ds:schemaRefs>
</ds:datastoreItem>
</file>

<file path=customXml/itemProps4.xml><?xml version="1.0" encoding="utf-8"?>
<ds:datastoreItem xmlns:ds="http://schemas.openxmlformats.org/officeDocument/2006/customXml" ds:itemID="{6654BC11-0DF5-4A11-A5A5-D3E8CA7560AC}">
  <ds:schemaRefs>
    <ds:schemaRef ds:uri="http://schemas.openxmlformats.org/officeDocument/2006/bibliography"/>
  </ds:schemaRefs>
</ds:datastoreItem>
</file>

<file path=customXml/itemProps5.xml><?xml version="1.0" encoding="utf-8"?>
<ds:datastoreItem xmlns:ds="http://schemas.openxmlformats.org/officeDocument/2006/customXml" ds:itemID="{DAAB27BA-A299-470E-914F-D4ECCAC9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8</Pages>
  <Words>2428</Words>
  <Characters>13843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TabletStudyUsability_Vol1_9-10-13</vt:lpstr>
    </vt:vector>
  </TitlesOfParts>
  <Manager>Virginia Davis</Manager>
  <Company>Department of Education</Company>
  <LinksUpToDate>false</LinksUpToDate>
  <CharactersWithSpaces>16239</CharactersWithSpaces>
  <SharedDoc>false</SharedDoc>
  <HLinks>
    <vt:vector size="72" baseType="variant">
      <vt:variant>
        <vt:i4>1048624</vt:i4>
      </vt:variant>
      <vt:variant>
        <vt:i4>62</vt:i4>
      </vt:variant>
      <vt:variant>
        <vt:i4>0</vt:i4>
      </vt:variant>
      <vt:variant>
        <vt:i4>5</vt:i4>
      </vt:variant>
      <vt:variant>
        <vt:lpwstr/>
      </vt:variant>
      <vt:variant>
        <vt:lpwstr>_Toc366138689</vt:lpwstr>
      </vt:variant>
      <vt:variant>
        <vt:i4>1048624</vt:i4>
      </vt:variant>
      <vt:variant>
        <vt:i4>56</vt:i4>
      </vt:variant>
      <vt:variant>
        <vt:i4>0</vt:i4>
      </vt:variant>
      <vt:variant>
        <vt:i4>5</vt:i4>
      </vt:variant>
      <vt:variant>
        <vt:lpwstr/>
      </vt:variant>
      <vt:variant>
        <vt:lpwstr>_Toc366138688</vt:lpwstr>
      </vt:variant>
      <vt:variant>
        <vt:i4>1048624</vt:i4>
      </vt:variant>
      <vt:variant>
        <vt:i4>50</vt:i4>
      </vt:variant>
      <vt:variant>
        <vt:i4>0</vt:i4>
      </vt:variant>
      <vt:variant>
        <vt:i4>5</vt:i4>
      </vt:variant>
      <vt:variant>
        <vt:lpwstr/>
      </vt:variant>
      <vt:variant>
        <vt:lpwstr>_Toc366138687</vt:lpwstr>
      </vt:variant>
      <vt:variant>
        <vt:i4>1048624</vt:i4>
      </vt:variant>
      <vt:variant>
        <vt:i4>44</vt:i4>
      </vt:variant>
      <vt:variant>
        <vt:i4>0</vt:i4>
      </vt:variant>
      <vt:variant>
        <vt:i4>5</vt:i4>
      </vt:variant>
      <vt:variant>
        <vt:lpwstr/>
      </vt:variant>
      <vt:variant>
        <vt:lpwstr>_Toc366138686</vt:lpwstr>
      </vt:variant>
      <vt:variant>
        <vt:i4>1048624</vt:i4>
      </vt:variant>
      <vt:variant>
        <vt:i4>38</vt:i4>
      </vt:variant>
      <vt:variant>
        <vt:i4>0</vt:i4>
      </vt:variant>
      <vt:variant>
        <vt:i4>5</vt:i4>
      </vt:variant>
      <vt:variant>
        <vt:lpwstr/>
      </vt:variant>
      <vt:variant>
        <vt:lpwstr>_Toc366138685</vt:lpwstr>
      </vt:variant>
      <vt:variant>
        <vt:i4>1048624</vt:i4>
      </vt:variant>
      <vt:variant>
        <vt:i4>32</vt:i4>
      </vt:variant>
      <vt:variant>
        <vt:i4>0</vt:i4>
      </vt:variant>
      <vt:variant>
        <vt:i4>5</vt:i4>
      </vt:variant>
      <vt:variant>
        <vt:lpwstr/>
      </vt:variant>
      <vt:variant>
        <vt:lpwstr>_Toc366138684</vt:lpwstr>
      </vt:variant>
      <vt:variant>
        <vt:i4>1048624</vt:i4>
      </vt:variant>
      <vt:variant>
        <vt:i4>26</vt:i4>
      </vt:variant>
      <vt:variant>
        <vt:i4>0</vt:i4>
      </vt:variant>
      <vt:variant>
        <vt:i4>5</vt:i4>
      </vt:variant>
      <vt:variant>
        <vt:lpwstr/>
      </vt:variant>
      <vt:variant>
        <vt:lpwstr>_Toc366138683</vt:lpwstr>
      </vt:variant>
      <vt:variant>
        <vt:i4>1048624</vt:i4>
      </vt:variant>
      <vt:variant>
        <vt:i4>20</vt:i4>
      </vt:variant>
      <vt:variant>
        <vt:i4>0</vt:i4>
      </vt:variant>
      <vt:variant>
        <vt:i4>5</vt:i4>
      </vt:variant>
      <vt:variant>
        <vt:lpwstr/>
      </vt:variant>
      <vt:variant>
        <vt:lpwstr>_Toc366138682</vt:lpwstr>
      </vt:variant>
      <vt:variant>
        <vt:i4>1048624</vt:i4>
      </vt:variant>
      <vt:variant>
        <vt:i4>14</vt:i4>
      </vt:variant>
      <vt:variant>
        <vt:i4>0</vt:i4>
      </vt:variant>
      <vt:variant>
        <vt:i4>5</vt:i4>
      </vt:variant>
      <vt:variant>
        <vt:lpwstr/>
      </vt:variant>
      <vt:variant>
        <vt:lpwstr>_Toc366138681</vt:lpwstr>
      </vt:variant>
      <vt:variant>
        <vt:i4>1048624</vt:i4>
      </vt:variant>
      <vt:variant>
        <vt:i4>8</vt:i4>
      </vt:variant>
      <vt:variant>
        <vt:i4>0</vt:i4>
      </vt:variant>
      <vt:variant>
        <vt:i4>5</vt:i4>
      </vt:variant>
      <vt:variant>
        <vt:lpwstr/>
      </vt:variant>
      <vt:variant>
        <vt:lpwstr>_Toc366138680</vt:lpwstr>
      </vt:variant>
      <vt:variant>
        <vt:i4>2031664</vt:i4>
      </vt:variant>
      <vt:variant>
        <vt:i4>2</vt:i4>
      </vt:variant>
      <vt:variant>
        <vt:i4>0</vt:i4>
      </vt:variant>
      <vt:variant>
        <vt:i4>5</vt:i4>
      </vt:variant>
      <vt:variant>
        <vt:lpwstr/>
      </vt:variant>
      <vt:variant>
        <vt:lpwstr>_Toc366138679</vt:lpwstr>
      </vt:variant>
      <vt:variant>
        <vt:i4>6357104</vt:i4>
      </vt:variant>
      <vt:variant>
        <vt:i4>0</vt:i4>
      </vt:variant>
      <vt:variant>
        <vt:i4>0</vt:i4>
      </vt:variant>
      <vt:variant>
        <vt:i4>5</vt:i4>
      </vt:variant>
      <vt:variant>
        <vt:lpwstr>http://www.nagb.org/content/nagb/assets/documents/publications/frameworks/science-2011.pdf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TabletStudyUsability_Vol1_9-10-13</dc:title>
  <dc:subject>Operational Analysis</dc:subject>
  <dc:creator>Fulcrum IT</dc:creator>
  <cp:lastModifiedBy>Kashka Kubzdela</cp:lastModifiedBy>
  <cp:revision>19</cp:revision>
  <cp:lastPrinted>2013-11-19T16:56:00Z</cp:lastPrinted>
  <dcterms:created xsi:type="dcterms:W3CDTF">2013-11-25T16:09:00Z</dcterms:created>
  <dcterms:modified xsi:type="dcterms:W3CDTF">2013-11-29T21:16:00Z</dcterms:modified>
  <cp:category>IAMT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0x010100305089FDEC9B7E419625D16765380F4D</vt:lpwstr>
  </property>
</Properties>
</file>