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0DF" w:rsidRPr="00E70892" w:rsidRDefault="004060DF" w:rsidP="004060DF">
      <w:pPr>
        <w:jc w:val="center"/>
        <w:rPr>
          <w:rFonts w:ascii="Times New Roman" w:hAnsi="Times New Roman"/>
          <w:smallCaps/>
          <w:sz w:val="40"/>
          <w:szCs w:val="40"/>
        </w:rPr>
      </w:pPr>
      <w:r w:rsidRPr="00E70892">
        <w:rPr>
          <w:rFonts w:ascii="Times New Roman" w:hAnsi="Times New Roman"/>
          <w:smallCaps/>
          <w:sz w:val="40"/>
          <w:szCs w:val="40"/>
        </w:rPr>
        <w:t>National Center for Education Statistics</w:t>
      </w:r>
    </w:p>
    <w:p w:rsidR="004060DF" w:rsidRDefault="004060DF" w:rsidP="004060DF">
      <w:pPr>
        <w:jc w:val="center"/>
        <w:rPr>
          <w:rFonts w:ascii="Times New Roman" w:hAnsi="Times New Roman"/>
          <w:sz w:val="40"/>
          <w:szCs w:val="40"/>
        </w:rPr>
      </w:pPr>
    </w:p>
    <w:p w:rsidR="004060DF" w:rsidRDefault="004060DF" w:rsidP="004060DF">
      <w:pPr>
        <w:jc w:val="center"/>
        <w:rPr>
          <w:rFonts w:ascii="Times New Roman" w:hAnsi="Times New Roman"/>
          <w:sz w:val="40"/>
          <w:szCs w:val="40"/>
        </w:rPr>
      </w:pPr>
    </w:p>
    <w:p w:rsidR="004060DF" w:rsidRDefault="004060DF" w:rsidP="004060DF">
      <w:pPr>
        <w:jc w:val="center"/>
        <w:rPr>
          <w:rFonts w:ascii="Times New Roman" w:hAnsi="Times New Roman"/>
          <w:i/>
          <w:sz w:val="40"/>
          <w:szCs w:val="40"/>
        </w:rPr>
      </w:pPr>
      <w:r w:rsidRPr="00F51FFD">
        <w:rPr>
          <w:rFonts w:ascii="Times New Roman" w:hAnsi="Times New Roman"/>
          <w:i/>
          <w:sz w:val="40"/>
          <w:szCs w:val="40"/>
        </w:rPr>
        <w:t>Volume I</w:t>
      </w:r>
    </w:p>
    <w:p w:rsidR="004060DF" w:rsidRDefault="004060DF" w:rsidP="004060DF">
      <w:pPr>
        <w:jc w:val="center"/>
        <w:rPr>
          <w:rFonts w:ascii="Times New Roman" w:hAnsi="Times New Roman"/>
          <w:i/>
          <w:sz w:val="40"/>
          <w:szCs w:val="40"/>
        </w:rPr>
      </w:pPr>
      <w:r w:rsidRPr="00F51FFD">
        <w:rPr>
          <w:rFonts w:ascii="Times New Roman" w:hAnsi="Times New Roman"/>
          <w:i/>
          <w:sz w:val="40"/>
          <w:szCs w:val="40"/>
        </w:rPr>
        <w:t>Supporting Statement</w:t>
      </w:r>
    </w:p>
    <w:p w:rsidR="004060DF" w:rsidRDefault="004060DF" w:rsidP="004060DF">
      <w:pPr>
        <w:rPr>
          <w:rFonts w:ascii="Times New Roman" w:hAnsi="Times New Roman"/>
          <w:i/>
          <w:sz w:val="40"/>
          <w:szCs w:val="40"/>
        </w:rPr>
      </w:pPr>
    </w:p>
    <w:p w:rsidR="004060DF" w:rsidRDefault="004060DF" w:rsidP="004060DF">
      <w:pPr>
        <w:rPr>
          <w:rFonts w:ascii="Times New Roman" w:hAnsi="Times New Roman"/>
          <w:i/>
          <w:sz w:val="40"/>
          <w:szCs w:val="40"/>
        </w:rPr>
      </w:pPr>
    </w:p>
    <w:p w:rsidR="004060DF" w:rsidRDefault="004060DF" w:rsidP="004060DF">
      <w:pPr>
        <w:jc w:val="center"/>
        <w:rPr>
          <w:rFonts w:ascii="Times New Roman" w:hAnsi="Times New Roman"/>
          <w:i/>
          <w:sz w:val="36"/>
          <w:szCs w:val="36"/>
        </w:rPr>
      </w:pPr>
      <w:r w:rsidRPr="00AD14BF" w:rsidDel="00015A46">
        <w:rPr>
          <w:rFonts w:ascii="Times New Roman" w:hAnsi="Times New Roman"/>
          <w:i/>
          <w:sz w:val="36"/>
          <w:szCs w:val="36"/>
        </w:rPr>
        <w:t xml:space="preserve"> </w:t>
      </w:r>
      <w:r w:rsidRPr="004060DF">
        <w:rPr>
          <w:rFonts w:ascii="Times New Roman" w:hAnsi="Times New Roman"/>
          <w:i/>
          <w:sz w:val="36"/>
          <w:szCs w:val="36"/>
        </w:rPr>
        <w:t>2015-16 Schools and Staffing Survey</w:t>
      </w:r>
      <w:r w:rsidR="00155895">
        <w:rPr>
          <w:rFonts w:ascii="Times New Roman" w:hAnsi="Times New Roman"/>
          <w:i/>
          <w:sz w:val="36"/>
          <w:szCs w:val="36"/>
        </w:rPr>
        <w:t xml:space="preserve"> (SASS) </w:t>
      </w:r>
      <w:r w:rsidRPr="004060DF">
        <w:rPr>
          <w:rFonts w:ascii="Times New Roman" w:hAnsi="Times New Roman"/>
          <w:i/>
          <w:sz w:val="36"/>
          <w:szCs w:val="36"/>
        </w:rPr>
        <w:t xml:space="preserve">/ National Teacher and Principal Survey </w:t>
      </w:r>
      <w:r w:rsidR="00155895">
        <w:rPr>
          <w:rFonts w:ascii="Times New Roman" w:hAnsi="Times New Roman"/>
          <w:i/>
          <w:sz w:val="36"/>
          <w:szCs w:val="36"/>
        </w:rPr>
        <w:t xml:space="preserve">(NTPS) </w:t>
      </w:r>
      <w:bookmarkStart w:id="0" w:name="_GoBack"/>
      <w:bookmarkEnd w:id="0"/>
      <w:r w:rsidRPr="004060DF">
        <w:rPr>
          <w:rFonts w:ascii="Times New Roman" w:hAnsi="Times New Roman"/>
          <w:i/>
          <w:sz w:val="36"/>
          <w:szCs w:val="36"/>
        </w:rPr>
        <w:t>Cognitive Interviews</w:t>
      </w:r>
    </w:p>
    <w:p w:rsidR="004060DF" w:rsidRDefault="004060DF" w:rsidP="004060DF">
      <w:pPr>
        <w:jc w:val="center"/>
        <w:rPr>
          <w:rFonts w:ascii="Times New Roman" w:hAnsi="Times New Roman"/>
          <w:i/>
          <w:sz w:val="36"/>
          <w:szCs w:val="36"/>
        </w:rPr>
      </w:pPr>
    </w:p>
    <w:p w:rsidR="004060DF" w:rsidRDefault="004060DF" w:rsidP="004060DF">
      <w:pPr>
        <w:jc w:val="center"/>
        <w:rPr>
          <w:rFonts w:ascii="Times New Roman" w:hAnsi="Times New Roman"/>
          <w:i/>
          <w:sz w:val="32"/>
          <w:szCs w:val="32"/>
        </w:rPr>
      </w:pPr>
    </w:p>
    <w:p w:rsidR="004060DF" w:rsidRDefault="004060DF" w:rsidP="004060DF">
      <w:pPr>
        <w:jc w:val="center"/>
        <w:rPr>
          <w:rFonts w:ascii="Times New Roman" w:hAnsi="Times New Roman"/>
          <w:i/>
          <w:sz w:val="32"/>
          <w:szCs w:val="32"/>
        </w:rPr>
      </w:pPr>
      <w:r>
        <w:rPr>
          <w:rFonts w:ascii="Times New Roman" w:hAnsi="Times New Roman"/>
          <w:i/>
          <w:sz w:val="32"/>
          <w:szCs w:val="32"/>
        </w:rPr>
        <w:t xml:space="preserve">OMB# </w:t>
      </w:r>
      <w:r w:rsidRPr="008019DA">
        <w:rPr>
          <w:rFonts w:ascii="Times New Roman" w:hAnsi="Times New Roman"/>
          <w:i/>
          <w:sz w:val="32"/>
          <w:szCs w:val="32"/>
        </w:rPr>
        <w:t>1850-0803</w:t>
      </w:r>
      <w:r>
        <w:rPr>
          <w:rFonts w:ascii="Times New Roman" w:hAnsi="Times New Roman"/>
          <w:i/>
          <w:sz w:val="32"/>
          <w:szCs w:val="32"/>
        </w:rPr>
        <w:t xml:space="preserve"> v.89</w:t>
      </w:r>
    </w:p>
    <w:p w:rsidR="004060DF" w:rsidRDefault="004060DF" w:rsidP="004060DF">
      <w:pPr>
        <w:jc w:val="center"/>
        <w:rPr>
          <w:rFonts w:ascii="Times New Roman" w:hAnsi="Times New Roman"/>
          <w:i/>
          <w:sz w:val="36"/>
          <w:szCs w:val="36"/>
        </w:rPr>
      </w:pPr>
    </w:p>
    <w:p w:rsidR="004060DF" w:rsidRDefault="003568AA" w:rsidP="003568AA">
      <w:pPr>
        <w:rPr>
          <w:rFonts w:ascii="Times New Roman" w:hAnsi="Times New Roman"/>
          <w:i/>
          <w:sz w:val="40"/>
          <w:szCs w:val="40"/>
        </w:rPr>
      </w:pPr>
      <w:r>
        <w:rPr>
          <w:rFonts w:ascii="Times New Roman" w:hAnsi="Times New Roman"/>
          <w:i/>
          <w:sz w:val="40"/>
          <w:szCs w:val="40"/>
        </w:rPr>
        <w:t>Attachments:</w:t>
      </w:r>
    </w:p>
    <w:p w:rsidR="0072657D" w:rsidRPr="0072657D" w:rsidRDefault="0072657D" w:rsidP="0072657D">
      <w:pPr>
        <w:tabs>
          <w:tab w:val="left" w:pos="1890"/>
        </w:tabs>
        <w:spacing w:after="0" w:line="240" w:lineRule="auto"/>
        <w:rPr>
          <w:rFonts w:ascii="Garamond" w:eastAsiaTheme="majorEastAsia" w:hAnsi="Garamond" w:cstheme="majorBidi"/>
          <w:b/>
          <w:bCs/>
          <w:sz w:val="28"/>
          <w:szCs w:val="28"/>
        </w:rPr>
      </w:pPr>
      <w:r w:rsidRPr="0072657D">
        <w:rPr>
          <w:rFonts w:ascii="Garamond" w:eastAsiaTheme="majorEastAsia" w:hAnsi="Garamond" w:cstheme="majorBidi"/>
          <w:b/>
          <w:bCs/>
          <w:sz w:val="28"/>
          <w:szCs w:val="28"/>
        </w:rPr>
        <w:t>Attachment I</w:t>
      </w:r>
      <w:r w:rsidRPr="0072657D">
        <w:rPr>
          <w:rFonts w:ascii="Garamond" w:eastAsiaTheme="majorEastAsia" w:hAnsi="Garamond" w:cstheme="majorBidi"/>
          <w:b/>
          <w:bCs/>
          <w:sz w:val="28"/>
          <w:szCs w:val="28"/>
        </w:rPr>
        <w:tab/>
        <w:t xml:space="preserve">– </w:t>
      </w:r>
      <w:r w:rsidR="008D4AC4">
        <w:rPr>
          <w:rFonts w:ascii="Garamond" w:eastAsiaTheme="majorEastAsia" w:hAnsi="Garamond" w:cstheme="majorBidi"/>
          <w:b/>
          <w:bCs/>
          <w:sz w:val="28"/>
          <w:szCs w:val="28"/>
        </w:rPr>
        <w:t>Draft</w:t>
      </w:r>
      <w:r w:rsidRPr="0072657D">
        <w:rPr>
          <w:rFonts w:ascii="Garamond" w:eastAsiaTheme="majorEastAsia" w:hAnsi="Garamond" w:cstheme="majorBidi"/>
          <w:b/>
          <w:bCs/>
          <w:sz w:val="28"/>
          <w:szCs w:val="28"/>
        </w:rPr>
        <w:t xml:space="preserve"> </w:t>
      </w:r>
      <w:r w:rsidR="008D4AC4">
        <w:rPr>
          <w:rFonts w:ascii="Garamond" w:eastAsiaTheme="majorEastAsia" w:hAnsi="Garamond" w:cstheme="majorBidi"/>
          <w:b/>
          <w:bCs/>
          <w:sz w:val="28"/>
          <w:szCs w:val="28"/>
        </w:rPr>
        <w:t xml:space="preserve">SASS 2012 – </w:t>
      </w:r>
      <w:r w:rsidRPr="0072657D">
        <w:rPr>
          <w:rFonts w:ascii="Garamond" w:eastAsiaTheme="majorEastAsia" w:hAnsi="Garamond" w:cstheme="majorBidi"/>
          <w:b/>
          <w:bCs/>
          <w:sz w:val="28"/>
          <w:szCs w:val="28"/>
        </w:rPr>
        <w:t>NTPS 2015-2018</w:t>
      </w:r>
      <w:r w:rsidR="008D4AC4">
        <w:rPr>
          <w:rFonts w:ascii="Garamond" w:eastAsiaTheme="majorEastAsia" w:hAnsi="Garamond" w:cstheme="majorBidi"/>
          <w:b/>
          <w:bCs/>
          <w:sz w:val="28"/>
          <w:szCs w:val="28"/>
        </w:rPr>
        <w:t xml:space="preserve"> Crosswalk</w:t>
      </w:r>
    </w:p>
    <w:p w:rsidR="003568AA" w:rsidRPr="0072657D" w:rsidRDefault="003568AA" w:rsidP="0072657D">
      <w:pPr>
        <w:tabs>
          <w:tab w:val="left" w:pos="1890"/>
        </w:tabs>
        <w:spacing w:after="0" w:line="240" w:lineRule="auto"/>
        <w:rPr>
          <w:rFonts w:ascii="Garamond" w:eastAsiaTheme="majorEastAsia" w:hAnsi="Garamond" w:cstheme="majorBidi"/>
          <w:b/>
          <w:bCs/>
          <w:sz w:val="28"/>
          <w:szCs w:val="28"/>
        </w:rPr>
      </w:pPr>
      <w:r w:rsidRPr="0072657D">
        <w:rPr>
          <w:rFonts w:ascii="Garamond" w:eastAsiaTheme="majorEastAsia" w:hAnsi="Garamond" w:cstheme="majorBidi"/>
          <w:b/>
          <w:bCs/>
          <w:sz w:val="28"/>
          <w:szCs w:val="28"/>
        </w:rPr>
        <w:t xml:space="preserve">Attachment </w:t>
      </w:r>
      <w:r w:rsidR="00A760CD">
        <w:rPr>
          <w:rFonts w:ascii="Garamond" w:eastAsiaTheme="majorEastAsia" w:hAnsi="Garamond" w:cstheme="majorBidi"/>
          <w:b/>
          <w:bCs/>
          <w:sz w:val="28"/>
          <w:szCs w:val="28"/>
        </w:rPr>
        <w:t>II</w:t>
      </w:r>
      <w:r w:rsidR="00E5012C" w:rsidRPr="0072657D">
        <w:rPr>
          <w:rFonts w:ascii="Garamond" w:eastAsiaTheme="majorEastAsia" w:hAnsi="Garamond" w:cstheme="majorBidi"/>
          <w:b/>
          <w:bCs/>
          <w:sz w:val="28"/>
          <w:szCs w:val="28"/>
        </w:rPr>
        <w:tab/>
        <w:t xml:space="preserve">– </w:t>
      </w:r>
      <w:r w:rsidRPr="0072657D">
        <w:rPr>
          <w:rFonts w:ascii="Garamond" w:eastAsiaTheme="majorEastAsia" w:hAnsi="Garamond" w:cstheme="majorBidi"/>
          <w:b/>
          <w:bCs/>
          <w:sz w:val="28"/>
          <w:szCs w:val="28"/>
        </w:rPr>
        <w:t>Recruitment Protocol and Eligibility Screener</w:t>
      </w:r>
    </w:p>
    <w:p w:rsidR="00E5012C" w:rsidRPr="00E5012C" w:rsidRDefault="00E5012C" w:rsidP="00E5012C">
      <w:pPr>
        <w:tabs>
          <w:tab w:val="left" w:pos="1890"/>
        </w:tabs>
        <w:spacing w:after="0" w:line="240" w:lineRule="auto"/>
        <w:rPr>
          <w:rFonts w:ascii="Garamond" w:eastAsiaTheme="majorEastAsia" w:hAnsi="Garamond" w:cstheme="majorBidi"/>
          <w:b/>
          <w:bCs/>
          <w:sz w:val="28"/>
          <w:szCs w:val="28"/>
        </w:rPr>
      </w:pPr>
      <w:r w:rsidRPr="00E5012C">
        <w:rPr>
          <w:rFonts w:ascii="Garamond" w:eastAsiaTheme="majorEastAsia" w:hAnsi="Garamond" w:cstheme="majorBidi"/>
          <w:b/>
          <w:bCs/>
          <w:sz w:val="28"/>
          <w:szCs w:val="28"/>
        </w:rPr>
        <w:t>Attachment I</w:t>
      </w:r>
      <w:r w:rsidR="00A760CD">
        <w:rPr>
          <w:rFonts w:ascii="Garamond" w:eastAsiaTheme="majorEastAsia" w:hAnsi="Garamond" w:cstheme="majorBidi"/>
          <w:b/>
          <w:bCs/>
          <w:sz w:val="28"/>
          <w:szCs w:val="28"/>
        </w:rPr>
        <w:t>I</w:t>
      </w:r>
      <w:r w:rsidRPr="00E5012C">
        <w:rPr>
          <w:rFonts w:ascii="Garamond" w:eastAsiaTheme="majorEastAsia" w:hAnsi="Garamond" w:cstheme="majorBidi"/>
          <w:b/>
          <w:bCs/>
          <w:sz w:val="28"/>
          <w:szCs w:val="28"/>
        </w:rPr>
        <w:t>I</w:t>
      </w:r>
      <w:r w:rsidRPr="00E5012C">
        <w:rPr>
          <w:rFonts w:ascii="Garamond" w:hAnsi="Garamond"/>
          <w:b/>
          <w:sz w:val="28"/>
          <w:szCs w:val="28"/>
        </w:rPr>
        <w:tab/>
        <w:t xml:space="preserve">– </w:t>
      </w:r>
      <w:r w:rsidRPr="00E5012C">
        <w:rPr>
          <w:rFonts w:ascii="Garamond" w:eastAsiaTheme="majorEastAsia" w:hAnsi="Garamond" w:cstheme="majorBidi"/>
          <w:b/>
          <w:bCs/>
          <w:sz w:val="28"/>
          <w:szCs w:val="28"/>
        </w:rPr>
        <w:t>Sample Consent Form</w:t>
      </w:r>
    </w:p>
    <w:p w:rsidR="003568AA" w:rsidRPr="00E5012C" w:rsidRDefault="003568AA" w:rsidP="00E5012C">
      <w:pPr>
        <w:pStyle w:val="Heading1"/>
        <w:tabs>
          <w:tab w:val="left" w:pos="1890"/>
        </w:tabs>
        <w:spacing w:before="0" w:line="240" w:lineRule="auto"/>
        <w:rPr>
          <w:rFonts w:ascii="Garamond" w:hAnsi="Garamond"/>
          <w:color w:val="auto"/>
        </w:rPr>
      </w:pPr>
      <w:r w:rsidRPr="00E5012C">
        <w:rPr>
          <w:rFonts w:ascii="Garamond" w:hAnsi="Garamond"/>
          <w:color w:val="auto"/>
        </w:rPr>
        <w:t>Attachment I</w:t>
      </w:r>
      <w:r w:rsidR="00A760CD">
        <w:rPr>
          <w:rFonts w:ascii="Garamond" w:hAnsi="Garamond"/>
          <w:color w:val="auto"/>
        </w:rPr>
        <w:t>V</w:t>
      </w:r>
      <w:r w:rsidR="00E5012C" w:rsidRPr="00E5012C">
        <w:rPr>
          <w:rFonts w:ascii="Garamond" w:hAnsi="Garamond"/>
          <w:color w:val="auto"/>
        </w:rPr>
        <w:tab/>
        <w:t xml:space="preserve">– </w:t>
      </w:r>
      <w:r w:rsidRPr="00E5012C">
        <w:rPr>
          <w:rFonts w:ascii="Garamond" w:hAnsi="Garamond"/>
          <w:color w:val="auto"/>
        </w:rPr>
        <w:t>Cognitive Interview Protocol and Questionnaire Items</w:t>
      </w:r>
    </w:p>
    <w:p w:rsidR="003568AA" w:rsidRDefault="003568AA" w:rsidP="004060DF">
      <w:pPr>
        <w:jc w:val="center"/>
        <w:rPr>
          <w:rFonts w:ascii="Times New Roman" w:hAnsi="Times New Roman"/>
          <w:i/>
          <w:sz w:val="40"/>
          <w:szCs w:val="40"/>
        </w:rPr>
      </w:pPr>
    </w:p>
    <w:p w:rsidR="004060DF" w:rsidRDefault="004060DF" w:rsidP="004060DF">
      <w:pPr>
        <w:pStyle w:val="TOC2"/>
      </w:pPr>
    </w:p>
    <w:p w:rsidR="004060DF" w:rsidRDefault="004060DF" w:rsidP="004060DF">
      <w:pPr>
        <w:pStyle w:val="TOC2"/>
      </w:pPr>
    </w:p>
    <w:p w:rsidR="004060DF" w:rsidRDefault="004060DF" w:rsidP="004060DF">
      <w:pPr>
        <w:pStyle w:val="TOC2"/>
      </w:pPr>
    </w:p>
    <w:p w:rsidR="004060DF" w:rsidRDefault="004060DF" w:rsidP="004060DF">
      <w:pPr>
        <w:pStyle w:val="TOC2"/>
      </w:pPr>
      <w:r>
        <w:t>November 13, 2013</w:t>
      </w:r>
      <w:r w:rsidRPr="004A71B8">
        <w:t xml:space="preserve"> </w:t>
      </w:r>
    </w:p>
    <w:p w:rsidR="004060DF" w:rsidRDefault="004060DF" w:rsidP="004060DF">
      <w:r>
        <w:br w:type="page"/>
      </w:r>
    </w:p>
    <w:p w:rsidR="00D131E4" w:rsidRPr="004231EB" w:rsidRDefault="0081031A" w:rsidP="0081031A">
      <w:pPr>
        <w:pStyle w:val="Heading1"/>
        <w:rPr>
          <w:rFonts w:ascii="Garamond" w:hAnsi="Garamond"/>
          <w:color w:val="auto"/>
        </w:rPr>
      </w:pPr>
      <w:r w:rsidRPr="004231EB">
        <w:rPr>
          <w:rFonts w:ascii="Garamond" w:hAnsi="Garamond"/>
          <w:color w:val="auto"/>
        </w:rPr>
        <w:lastRenderedPageBreak/>
        <w:t>Submittal-Related Information</w:t>
      </w:r>
    </w:p>
    <w:p w:rsidR="0081031A" w:rsidRPr="004231EB" w:rsidRDefault="0081031A">
      <w:pPr>
        <w:rPr>
          <w:rFonts w:ascii="Garamond" w:hAnsi="Garamond"/>
        </w:rPr>
      </w:pPr>
      <w:r w:rsidRPr="004231EB">
        <w:rPr>
          <w:rFonts w:ascii="Garamond" w:hAnsi="Garamond"/>
        </w:rPr>
        <w:tab/>
        <w:t>The following material is being submitted under the National Center for Education Statistics (NCES) generic clearance agreement (OMB</w:t>
      </w:r>
      <w:r w:rsidR="003378CE">
        <w:rPr>
          <w:rFonts w:ascii="Garamond" w:hAnsi="Garamond"/>
        </w:rPr>
        <w:t>#</w:t>
      </w:r>
      <w:r w:rsidRPr="004231EB">
        <w:rPr>
          <w:rFonts w:ascii="Garamond" w:hAnsi="Garamond"/>
        </w:rPr>
        <w:t xml:space="preserve"> 1850-0803) which provides for NCES to improve meth</w:t>
      </w:r>
      <w:r w:rsidR="003378CE">
        <w:rPr>
          <w:rFonts w:ascii="Garamond" w:hAnsi="Garamond"/>
        </w:rPr>
        <w:t>odologies, question types, and/</w:t>
      </w:r>
      <w:r w:rsidRPr="004231EB">
        <w:rPr>
          <w:rFonts w:ascii="Garamond" w:hAnsi="Garamond"/>
        </w:rPr>
        <w:t xml:space="preserve">or delivery methods of its survey and assessment instruments by conducting field tests, focus groups, and cognitive interviews. </w:t>
      </w:r>
    </w:p>
    <w:p w:rsidR="0081031A" w:rsidRPr="004231EB" w:rsidRDefault="0081031A">
      <w:pPr>
        <w:rPr>
          <w:rFonts w:ascii="Garamond" w:hAnsi="Garamond"/>
        </w:rPr>
      </w:pPr>
      <w:r w:rsidRPr="004231EB">
        <w:rPr>
          <w:rFonts w:ascii="Garamond" w:hAnsi="Garamond"/>
        </w:rPr>
        <w:tab/>
        <w:t>The request for approval described in this memorandum includes recruiting and screening activities and cognitive testing of the questionnaire items to be used in the 2015-16 National Teacher and Principal Survey</w:t>
      </w:r>
      <w:r w:rsidR="007933E6">
        <w:rPr>
          <w:rFonts w:ascii="Garamond" w:hAnsi="Garamond"/>
        </w:rPr>
        <w:t xml:space="preserve"> (NTPS), which is a redesign of the NCES Schools and Staffing Survey (SASS)</w:t>
      </w:r>
      <w:r w:rsidRPr="004231EB">
        <w:rPr>
          <w:rFonts w:ascii="Garamond" w:hAnsi="Garamond"/>
        </w:rPr>
        <w:t>. This package provides information about plans and procedures for conducting the cognitive testing, and presents the question wording to be tested in the cognitive interviews.</w:t>
      </w:r>
    </w:p>
    <w:p w:rsidR="0081031A" w:rsidRPr="004231EB" w:rsidRDefault="0081031A" w:rsidP="003568AA">
      <w:pPr>
        <w:pStyle w:val="Heading1"/>
        <w:spacing w:before="240"/>
        <w:rPr>
          <w:rFonts w:ascii="Garamond" w:hAnsi="Garamond"/>
          <w:color w:val="auto"/>
        </w:rPr>
      </w:pPr>
      <w:r w:rsidRPr="004231EB">
        <w:rPr>
          <w:rFonts w:ascii="Garamond" w:hAnsi="Garamond"/>
          <w:color w:val="auto"/>
        </w:rPr>
        <w:t>Background</w:t>
      </w:r>
    </w:p>
    <w:p w:rsidR="00FE15F3" w:rsidRDefault="004231EB" w:rsidP="004231EB">
      <w:pPr>
        <w:ind w:firstLine="720"/>
        <w:rPr>
          <w:rFonts w:ascii="Garamond" w:hAnsi="Garamond"/>
        </w:rPr>
      </w:pPr>
      <w:r w:rsidRPr="004231EB">
        <w:rPr>
          <w:rFonts w:ascii="Garamond" w:hAnsi="Garamond"/>
        </w:rPr>
        <w:t xml:space="preserve">The National Center for Education Statistics (NCES) sponsors the Schools and Staffing Survey (SASS), which has been the U.S. Department of Education’s (ED’s) primary source of information on what is happening in K-12 schools from teachers’ </w:t>
      </w:r>
      <w:r w:rsidR="003378CE">
        <w:rPr>
          <w:rFonts w:ascii="Garamond" w:hAnsi="Garamond"/>
        </w:rPr>
        <w:t>and</w:t>
      </w:r>
      <w:r w:rsidRPr="004231EB">
        <w:rPr>
          <w:rFonts w:ascii="Garamond" w:hAnsi="Garamond"/>
        </w:rPr>
        <w:t xml:space="preserve"> administrators’ perspectives</w:t>
      </w:r>
      <w:r w:rsidR="003378CE">
        <w:rPr>
          <w:rFonts w:ascii="Garamond" w:hAnsi="Garamond"/>
        </w:rPr>
        <w:t>,</w:t>
      </w:r>
      <w:r w:rsidRPr="004231EB">
        <w:rPr>
          <w:rFonts w:ascii="Garamond" w:hAnsi="Garamond"/>
        </w:rPr>
        <w:t xml:space="preserve"> since </w:t>
      </w:r>
      <w:r w:rsidR="003378CE">
        <w:rPr>
          <w:rFonts w:ascii="Garamond" w:hAnsi="Garamond"/>
        </w:rPr>
        <w:t>the survey</w:t>
      </w:r>
      <w:r w:rsidRPr="004231EB">
        <w:rPr>
          <w:rFonts w:ascii="Garamond" w:hAnsi="Garamond"/>
        </w:rPr>
        <w:t xml:space="preserve"> began in 1987. </w:t>
      </w:r>
      <w:r w:rsidR="003378CE">
        <w:rPr>
          <w:rFonts w:ascii="Garamond" w:hAnsi="Garamond"/>
        </w:rPr>
        <w:t xml:space="preserve">In 2012, </w:t>
      </w:r>
      <w:r w:rsidRPr="004231EB">
        <w:rPr>
          <w:rFonts w:ascii="Garamond" w:hAnsi="Garamond"/>
        </w:rPr>
        <w:t xml:space="preserve">NCES </w:t>
      </w:r>
      <w:r w:rsidR="003378CE">
        <w:rPr>
          <w:rFonts w:ascii="Garamond" w:hAnsi="Garamond"/>
        </w:rPr>
        <w:t xml:space="preserve">initiated the </w:t>
      </w:r>
      <w:r w:rsidRPr="004231EB">
        <w:rPr>
          <w:rFonts w:ascii="Garamond" w:hAnsi="Garamond"/>
        </w:rPr>
        <w:t>redesign</w:t>
      </w:r>
      <w:r w:rsidR="003378CE">
        <w:rPr>
          <w:rFonts w:ascii="Garamond" w:hAnsi="Garamond"/>
        </w:rPr>
        <w:t xml:space="preserve"> of SASS</w:t>
      </w:r>
      <w:r w:rsidRPr="004231EB">
        <w:rPr>
          <w:rFonts w:ascii="Garamond" w:hAnsi="Garamond"/>
        </w:rPr>
        <w:t>. NCES’s vision for the</w:t>
      </w:r>
      <w:r w:rsidR="00DF608A">
        <w:rPr>
          <w:rFonts w:ascii="Garamond" w:hAnsi="Garamond"/>
        </w:rPr>
        <w:t xml:space="preserve"> redesigned SASS</w:t>
      </w:r>
      <w:r w:rsidRPr="004231EB">
        <w:rPr>
          <w:rFonts w:ascii="Garamond" w:hAnsi="Garamond"/>
        </w:rPr>
        <w:t>, named the National Teacher and Principal Survey (NTPS)</w:t>
      </w:r>
      <w:r w:rsidR="00DF608A">
        <w:rPr>
          <w:rFonts w:ascii="Garamond" w:hAnsi="Garamond"/>
        </w:rPr>
        <w:t>, is for a highly flexible, timely collection that is integrated with other ED data</w:t>
      </w:r>
      <w:r w:rsidRPr="004231EB">
        <w:rPr>
          <w:rFonts w:ascii="Garamond" w:hAnsi="Garamond"/>
        </w:rPr>
        <w:t xml:space="preserve">. </w:t>
      </w:r>
      <w:r w:rsidR="00DF608A">
        <w:rPr>
          <w:rFonts w:ascii="Garamond" w:hAnsi="Garamond"/>
        </w:rPr>
        <w:t xml:space="preserve">To that end, the new NTPS will include modular content that can be easily swapped in and out of the survey, will be fielded more frequently than SASS was fielded, and will provide data users with relevant extant data rather than burdening respondents with answering questions that have been asked in other ED collections. </w:t>
      </w:r>
      <w:r w:rsidR="003378CE">
        <w:rPr>
          <w:rFonts w:ascii="Garamond" w:hAnsi="Garamond"/>
        </w:rPr>
        <w:t>The SASS/</w:t>
      </w:r>
      <w:r w:rsidRPr="004231EB">
        <w:rPr>
          <w:rFonts w:ascii="Garamond" w:hAnsi="Garamond"/>
        </w:rPr>
        <w:t>NTPS will be fielded for the first time in 2015-16.</w:t>
      </w:r>
    </w:p>
    <w:p w:rsidR="00027BB1" w:rsidRPr="004231EB" w:rsidRDefault="00027BB1" w:rsidP="004231EB">
      <w:pPr>
        <w:ind w:firstLine="720"/>
        <w:rPr>
          <w:rFonts w:ascii="Garamond" w:hAnsi="Garamond"/>
        </w:rPr>
      </w:pPr>
      <w:r w:rsidRPr="00AE3B26">
        <w:rPr>
          <w:rFonts w:ascii="Garamond" w:hAnsi="Garamond"/>
        </w:rPr>
        <w:t xml:space="preserve">The content of the 2011-12 SASS forms the basis of the NTPS content, though many questions will be shifted to different questionnaire instruments or </w:t>
      </w:r>
      <w:r>
        <w:rPr>
          <w:rFonts w:ascii="Garamond" w:hAnsi="Garamond"/>
        </w:rPr>
        <w:t>will be answered through the use of</w:t>
      </w:r>
      <w:r w:rsidRPr="00AE3B26">
        <w:rPr>
          <w:rFonts w:ascii="Garamond" w:hAnsi="Garamond"/>
        </w:rPr>
        <w:t xml:space="preserve"> extant data sources.</w:t>
      </w:r>
      <w:r>
        <w:rPr>
          <w:rFonts w:ascii="Garamond" w:hAnsi="Garamond"/>
        </w:rPr>
        <w:t xml:space="preserve"> Teacher instruments will remain relatively similar to previous teacher instruments. Principal instruments, however, will include question items that were formerly fielded as separate school and district-level questionnaires. Several </w:t>
      </w:r>
      <w:r w:rsidR="007C4CF4">
        <w:rPr>
          <w:rFonts w:ascii="Garamond" w:hAnsi="Garamond"/>
        </w:rPr>
        <w:t xml:space="preserve">SASS </w:t>
      </w:r>
      <w:r>
        <w:rPr>
          <w:rFonts w:ascii="Garamond" w:hAnsi="Garamond"/>
        </w:rPr>
        <w:t>items measuring school characteristics will be provided to data users from ED</w:t>
      </w:r>
      <w:r w:rsidRPr="00A6259A">
        <w:rPr>
          <w:rFonts w:ascii="Garamond" w:hAnsi="Garamond"/>
          <w:i/>
        </w:rPr>
        <w:t>Facts</w:t>
      </w:r>
      <w:r>
        <w:rPr>
          <w:rFonts w:ascii="Garamond" w:hAnsi="Garamond"/>
        </w:rPr>
        <w:t xml:space="preserve"> data, Civil Rights Data Collection </w:t>
      </w:r>
      <w:r w:rsidR="003378CE">
        <w:rPr>
          <w:rFonts w:ascii="Garamond" w:hAnsi="Garamond"/>
        </w:rPr>
        <w:t xml:space="preserve">(CRDC) </w:t>
      </w:r>
      <w:r>
        <w:rPr>
          <w:rFonts w:ascii="Garamond" w:hAnsi="Garamond"/>
        </w:rPr>
        <w:t xml:space="preserve">data, or Private School Universe Survey </w:t>
      </w:r>
      <w:r w:rsidR="003378CE">
        <w:rPr>
          <w:rFonts w:ascii="Garamond" w:hAnsi="Garamond"/>
        </w:rPr>
        <w:t xml:space="preserve">(PSS) </w:t>
      </w:r>
      <w:r>
        <w:rPr>
          <w:rFonts w:ascii="Garamond" w:hAnsi="Garamond"/>
        </w:rPr>
        <w:t>data</w:t>
      </w:r>
      <w:r w:rsidR="007C4CF4">
        <w:rPr>
          <w:rFonts w:ascii="Garamond" w:hAnsi="Garamond"/>
        </w:rPr>
        <w:t xml:space="preserve"> but will no longer be collected directly in the NTPS</w:t>
      </w:r>
      <w:r>
        <w:rPr>
          <w:rFonts w:ascii="Garamond" w:hAnsi="Garamond"/>
        </w:rPr>
        <w:t>.</w:t>
      </w:r>
    </w:p>
    <w:p w:rsidR="004231EB" w:rsidRPr="004231EB" w:rsidRDefault="004231EB" w:rsidP="004231EB">
      <w:pPr>
        <w:ind w:firstLine="720"/>
        <w:rPr>
          <w:rFonts w:ascii="Garamond" w:hAnsi="Garamond"/>
        </w:rPr>
      </w:pPr>
      <w:r w:rsidRPr="004231EB">
        <w:rPr>
          <w:rFonts w:ascii="Garamond" w:hAnsi="Garamond"/>
        </w:rPr>
        <w:t xml:space="preserve">Cognitive interviews will be conducted to evaluate new items </w:t>
      </w:r>
      <w:r w:rsidR="003378CE">
        <w:rPr>
          <w:rFonts w:ascii="Garamond" w:hAnsi="Garamond"/>
        </w:rPr>
        <w:t>for</w:t>
      </w:r>
      <w:r w:rsidRPr="004231EB">
        <w:rPr>
          <w:rFonts w:ascii="Garamond" w:hAnsi="Garamond"/>
        </w:rPr>
        <w:t xml:space="preserve"> the NTPS</w:t>
      </w:r>
      <w:r w:rsidR="00151EAA">
        <w:rPr>
          <w:rFonts w:ascii="Garamond" w:hAnsi="Garamond"/>
        </w:rPr>
        <w:t xml:space="preserve"> and to test the reconfigured question order on the </w:t>
      </w:r>
      <w:r w:rsidR="00242FE5">
        <w:rPr>
          <w:rFonts w:ascii="Garamond" w:hAnsi="Garamond"/>
        </w:rPr>
        <w:t>new instruments</w:t>
      </w:r>
      <w:r w:rsidRPr="004231EB">
        <w:rPr>
          <w:rFonts w:ascii="Garamond" w:hAnsi="Garamond"/>
        </w:rPr>
        <w:t>. The cognitive interviews will enable the team to</w:t>
      </w:r>
      <w:r w:rsidR="00242FE5">
        <w:rPr>
          <w:rFonts w:ascii="Garamond" w:hAnsi="Garamond"/>
        </w:rPr>
        <w:t xml:space="preserve"> identify problems with items and with the organization and order of the instruments. The interviews will also allow us to evaluate how principals respond to questions about their schools and school districts in the context of an instrument that also asks about the principals’ experiences and characteristics. </w:t>
      </w:r>
    </w:p>
    <w:p w:rsidR="00FE15F3" w:rsidRPr="004231EB" w:rsidRDefault="007277EF" w:rsidP="003568AA">
      <w:pPr>
        <w:pStyle w:val="Heading1"/>
        <w:spacing w:before="240"/>
        <w:rPr>
          <w:rFonts w:ascii="Garamond" w:hAnsi="Garamond"/>
          <w:color w:val="auto"/>
        </w:rPr>
      </w:pPr>
      <w:r>
        <w:rPr>
          <w:rFonts w:ascii="Garamond" w:hAnsi="Garamond"/>
          <w:color w:val="auto"/>
        </w:rPr>
        <w:t xml:space="preserve">Study Design, </w:t>
      </w:r>
      <w:r w:rsidR="00FE15F3" w:rsidRPr="004231EB">
        <w:rPr>
          <w:rFonts w:ascii="Garamond" w:hAnsi="Garamond"/>
          <w:color w:val="auto"/>
        </w:rPr>
        <w:t>Context</w:t>
      </w:r>
      <w:r>
        <w:rPr>
          <w:rFonts w:ascii="Garamond" w:hAnsi="Garamond"/>
          <w:color w:val="auto"/>
        </w:rPr>
        <w:t>, and Respondent Burden</w:t>
      </w:r>
    </w:p>
    <w:p w:rsidR="00596AB3" w:rsidRPr="004E4C06" w:rsidRDefault="00596AB3" w:rsidP="00E74329">
      <w:pPr>
        <w:rPr>
          <w:rFonts w:ascii="Garamond" w:hAnsi="Garamond"/>
        </w:rPr>
      </w:pPr>
      <w:r w:rsidRPr="004E4C06">
        <w:rPr>
          <w:rFonts w:ascii="Garamond" w:hAnsi="Garamond"/>
        </w:rPr>
        <w:t>Four instruments are being prepared for cognitive testing:</w:t>
      </w:r>
    </w:p>
    <w:p w:rsidR="00596AB3" w:rsidRPr="004E4C06" w:rsidRDefault="00596AB3" w:rsidP="00596AB3">
      <w:pPr>
        <w:pStyle w:val="ListParagraph"/>
        <w:numPr>
          <w:ilvl w:val="0"/>
          <w:numId w:val="2"/>
        </w:numPr>
        <w:rPr>
          <w:rFonts w:ascii="Garamond" w:hAnsi="Garamond"/>
        </w:rPr>
      </w:pPr>
      <w:r w:rsidRPr="004E4C06">
        <w:rPr>
          <w:rFonts w:ascii="Garamond" w:hAnsi="Garamond"/>
        </w:rPr>
        <w:t>Teacher Questionnaire</w:t>
      </w:r>
      <w:r w:rsidR="000128C8">
        <w:rPr>
          <w:rFonts w:ascii="Garamond" w:hAnsi="Garamond"/>
        </w:rPr>
        <w:t xml:space="preserve"> (public and charter school version)</w:t>
      </w:r>
    </w:p>
    <w:p w:rsidR="00596AB3" w:rsidRPr="004E4C06" w:rsidRDefault="00596AB3" w:rsidP="00596AB3">
      <w:pPr>
        <w:pStyle w:val="ListParagraph"/>
        <w:numPr>
          <w:ilvl w:val="0"/>
          <w:numId w:val="2"/>
        </w:numPr>
        <w:rPr>
          <w:rFonts w:ascii="Garamond" w:hAnsi="Garamond"/>
        </w:rPr>
      </w:pPr>
      <w:r w:rsidRPr="004E4C06">
        <w:rPr>
          <w:rFonts w:ascii="Garamond" w:hAnsi="Garamond"/>
        </w:rPr>
        <w:t>Teacher Questionnaire</w:t>
      </w:r>
      <w:r w:rsidR="000128C8">
        <w:rPr>
          <w:rFonts w:ascii="Garamond" w:hAnsi="Garamond"/>
        </w:rPr>
        <w:t xml:space="preserve"> (private school version)</w:t>
      </w:r>
    </w:p>
    <w:p w:rsidR="00596AB3" w:rsidRPr="004E4C06" w:rsidRDefault="00596AB3" w:rsidP="00596AB3">
      <w:pPr>
        <w:pStyle w:val="ListParagraph"/>
        <w:numPr>
          <w:ilvl w:val="0"/>
          <w:numId w:val="2"/>
        </w:numPr>
        <w:rPr>
          <w:rFonts w:ascii="Garamond" w:hAnsi="Garamond"/>
        </w:rPr>
      </w:pPr>
      <w:r w:rsidRPr="004E4C06">
        <w:rPr>
          <w:rFonts w:ascii="Garamond" w:hAnsi="Garamond"/>
        </w:rPr>
        <w:t>Principal Questionnaire</w:t>
      </w:r>
      <w:r w:rsidR="000128C8">
        <w:rPr>
          <w:rFonts w:ascii="Garamond" w:hAnsi="Garamond"/>
        </w:rPr>
        <w:t xml:space="preserve"> (public and charter school version)</w:t>
      </w:r>
    </w:p>
    <w:p w:rsidR="00596AB3" w:rsidRPr="004E4C06" w:rsidRDefault="00596AB3" w:rsidP="00596AB3">
      <w:pPr>
        <w:pStyle w:val="ListParagraph"/>
        <w:numPr>
          <w:ilvl w:val="0"/>
          <w:numId w:val="2"/>
        </w:numPr>
        <w:rPr>
          <w:rFonts w:ascii="Garamond" w:hAnsi="Garamond"/>
        </w:rPr>
      </w:pPr>
      <w:r w:rsidRPr="004E4C06">
        <w:rPr>
          <w:rFonts w:ascii="Garamond" w:hAnsi="Garamond"/>
        </w:rPr>
        <w:t>Principal Questionnaire</w:t>
      </w:r>
      <w:r w:rsidR="000128C8">
        <w:rPr>
          <w:rFonts w:ascii="Garamond" w:hAnsi="Garamond"/>
        </w:rPr>
        <w:t xml:space="preserve"> (private school version)</w:t>
      </w:r>
    </w:p>
    <w:p w:rsidR="005B7F51" w:rsidRDefault="00596AB3" w:rsidP="005B7F51">
      <w:pPr>
        <w:ind w:firstLine="720"/>
        <w:rPr>
          <w:rFonts w:ascii="Garamond" w:hAnsi="Garamond"/>
        </w:rPr>
      </w:pPr>
      <w:r w:rsidRPr="004E4C06">
        <w:rPr>
          <w:rFonts w:ascii="Garamond" w:hAnsi="Garamond"/>
        </w:rPr>
        <w:t>Each instrument has Core sections with content that will be included in every survey administration.  In addition, th</w:t>
      </w:r>
      <w:r w:rsidR="00A6259A">
        <w:rPr>
          <w:rFonts w:ascii="Garamond" w:hAnsi="Garamond"/>
        </w:rPr>
        <w:t>e instruments include rotating m</w:t>
      </w:r>
      <w:r w:rsidRPr="004E4C06">
        <w:rPr>
          <w:rFonts w:ascii="Garamond" w:hAnsi="Garamond"/>
        </w:rPr>
        <w:t xml:space="preserve">odules that will be fielded in selected rounds.  Although from </w:t>
      </w:r>
      <w:r w:rsidR="00084941">
        <w:rPr>
          <w:rFonts w:ascii="Garamond" w:hAnsi="Garamond"/>
        </w:rPr>
        <w:t>a procedural</w:t>
      </w:r>
      <w:r w:rsidRPr="004E4C06">
        <w:rPr>
          <w:rFonts w:ascii="Garamond" w:hAnsi="Garamond"/>
        </w:rPr>
        <w:t xml:space="preserve"> perspective these will be considered distinct sections</w:t>
      </w:r>
      <w:r w:rsidR="00084941">
        <w:rPr>
          <w:rFonts w:ascii="Garamond" w:hAnsi="Garamond"/>
        </w:rPr>
        <w:t xml:space="preserve"> for survey administrators</w:t>
      </w:r>
      <w:r w:rsidRPr="004E4C06">
        <w:rPr>
          <w:rFonts w:ascii="Garamond" w:hAnsi="Garamond"/>
        </w:rPr>
        <w:t xml:space="preserve">, the </w:t>
      </w:r>
      <w:r w:rsidR="00084941">
        <w:rPr>
          <w:rFonts w:ascii="Garamond" w:hAnsi="Garamond"/>
        </w:rPr>
        <w:t xml:space="preserve">respondents will receive instruments in which the items are grouped in a logical order that is </w:t>
      </w:r>
      <w:r w:rsidR="005B7F51">
        <w:rPr>
          <w:rFonts w:ascii="Garamond" w:hAnsi="Garamond"/>
        </w:rPr>
        <w:t>organized for greatest clarity.</w:t>
      </w:r>
    </w:p>
    <w:p w:rsidR="004E4C06" w:rsidRDefault="004E4C06" w:rsidP="005B7F51">
      <w:pPr>
        <w:ind w:firstLine="720"/>
        <w:rPr>
          <w:rFonts w:ascii="Garamond" w:hAnsi="Garamond"/>
        </w:rPr>
      </w:pPr>
      <w:r w:rsidRPr="004E4C06">
        <w:rPr>
          <w:rFonts w:ascii="Garamond" w:hAnsi="Garamond"/>
        </w:rPr>
        <w:lastRenderedPageBreak/>
        <w:t xml:space="preserve">Exhibit </w:t>
      </w:r>
      <w:r w:rsidRPr="004E6218">
        <w:rPr>
          <w:rFonts w:ascii="Garamond" w:hAnsi="Garamond"/>
        </w:rPr>
        <w:t>1</w:t>
      </w:r>
      <w:r w:rsidRPr="004E4C06">
        <w:rPr>
          <w:rFonts w:ascii="Garamond" w:hAnsi="Garamond"/>
        </w:rPr>
        <w:t xml:space="preserve"> summarizes the number of interviews to be conducted with each instrument</w:t>
      </w:r>
      <w:r w:rsidR="00053C31">
        <w:rPr>
          <w:rFonts w:ascii="Garamond" w:hAnsi="Garamond"/>
        </w:rPr>
        <w:t>, as well as the recruitment burden</w:t>
      </w:r>
      <w:r w:rsidRPr="004E4C06">
        <w:rPr>
          <w:rFonts w:ascii="Garamond" w:hAnsi="Garamond"/>
        </w:rPr>
        <w:t xml:space="preserve">.  </w:t>
      </w:r>
      <w:r w:rsidR="00FF16BC">
        <w:rPr>
          <w:rFonts w:ascii="Garamond" w:hAnsi="Garamond"/>
        </w:rPr>
        <w:t>We</w:t>
      </w:r>
      <w:r w:rsidRPr="004E4C06">
        <w:rPr>
          <w:rFonts w:ascii="Garamond" w:hAnsi="Garamond"/>
        </w:rPr>
        <w:t xml:space="preserve"> are developing two version</w:t>
      </w:r>
      <w:r w:rsidR="000B2D2E">
        <w:rPr>
          <w:rFonts w:ascii="Garamond" w:hAnsi="Garamond"/>
        </w:rPr>
        <w:t>s of the teacher questionnaire</w:t>
      </w:r>
      <w:r w:rsidRPr="004E4C06">
        <w:rPr>
          <w:rFonts w:ascii="Garamond" w:hAnsi="Garamond"/>
        </w:rPr>
        <w:t xml:space="preserve"> and </w:t>
      </w:r>
      <w:r w:rsidR="00382ED3">
        <w:rPr>
          <w:rFonts w:ascii="Garamond" w:hAnsi="Garamond"/>
        </w:rPr>
        <w:t>two</w:t>
      </w:r>
      <w:r w:rsidR="00FF16BC">
        <w:rPr>
          <w:rFonts w:ascii="Garamond" w:hAnsi="Garamond"/>
        </w:rPr>
        <w:t xml:space="preserve"> </w:t>
      </w:r>
      <w:r w:rsidRPr="004E4C06">
        <w:rPr>
          <w:rFonts w:ascii="Garamond" w:hAnsi="Garamond"/>
        </w:rPr>
        <w:t>versions of the principal questionnaire (</w:t>
      </w:r>
      <w:r w:rsidR="000B2D2E">
        <w:rPr>
          <w:rFonts w:ascii="Garamond" w:hAnsi="Garamond"/>
        </w:rPr>
        <w:t xml:space="preserve">one version for </w:t>
      </w:r>
      <w:r w:rsidR="000B2D2E" w:rsidRPr="004E4C06">
        <w:rPr>
          <w:rFonts w:ascii="Garamond" w:hAnsi="Garamond"/>
        </w:rPr>
        <w:t>public</w:t>
      </w:r>
      <w:r w:rsidR="000B2D2E">
        <w:rPr>
          <w:rFonts w:ascii="Garamond" w:hAnsi="Garamond"/>
        </w:rPr>
        <w:t xml:space="preserve"> or </w:t>
      </w:r>
      <w:r w:rsidR="000B2D2E" w:rsidRPr="004E4C06">
        <w:rPr>
          <w:rFonts w:ascii="Garamond" w:hAnsi="Garamond"/>
        </w:rPr>
        <w:t xml:space="preserve">charter </w:t>
      </w:r>
      <w:r w:rsidR="000B2D2E">
        <w:rPr>
          <w:rFonts w:ascii="Garamond" w:hAnsi="Garamond"/>
        </w:rPr>
        <w:t xml:space="preserve">schools and one for </w:t>
      </w:r>
      <w:r w:rsidR="000B2D2E" w:rsidRPr="004E4C06">
        <w:rPr>
          <w:rFonts w:ascii="Garamond" w:hAnsi="Garamond"/>
        </w:rPr>
        <w:t>private</w:t>
      </w:r>
      <w:r w:rsidR="000B2D2E">
        <w:rPr>
          <w:rFonts w:ascii="Garamond" w:hAnsi="Garamond"/>
        </w:rPr>
        <w:t xml:space="preserve"> schools</w:t>
      </w:r>
      <w:r w:rsidRPr="004E4C06">
        <w:rPr>
          <w:rFonts w:ascii="Garamond" w:hAnsi="Garamond"/>
        </w:rPr>
        <w:t xml:space="preserve">).  To test these instruments, </w:t>
      </w:r>
      <w:r w:rsidR="00C21B22">
        <w:rPr>
          <w:rFonts w:ascii="Garamond" w:hAnsi="Garamond"/>
        </w:rPr>
        <w:t xml:space="preserve">we </w:t>
      </w:r>
      <w:r w:rsidRPr="004E4C06">
        <w:rPr>
          <w:rFonts w:ascii="Garamond" w:hAnsi="Garamond"/>
        </w:rPr>
        <w:t xml:space="preserve">will recruit teachers and principals from three types of schools (public, private, </w:t>
      </w:r>
      <w:r w:rsidR="00E20DC5">
        <w:rPr>
          <w:rFonts w:ascii="Garamond" w:hAnsi="Garamond"/>
        </w:rPr>
        <w:t xml:space="preserve">and </w:t>
      </w:r>
      <w:r w:rsidRPr="004E4C06">
        <w:rPr>
          <w:rFonts w:ascii="Garamond" w:hAnsi="Garamond"/>
        </w:rPr>
        <w:t>charter) representing both elementary and secondary schools.  We will strive to recruit both urban and suburban schools</w:t>
      </w:r>
      <w:r w:rsidR="00E20DC5">
        <w:rPr>
          <w:rFonts w:ascii="Garamond" w:hAnsi="Garamond"/>
        </w:rPr>
        <w:t>,</w:t>
      </w:r>
      <w:r w:rsidRPr="004E4C06">
        <w:rPr>
          <w:rFonts w:ascii="Garamond" w:hAnsi="Garamond"/>
        </w:rPr>
        <w:t xml:space="preserve"> educators from a variety of backgrounds who range in age and years of experience</w:t>
      </w:r>
      <w:r w:rsidR="00E20DC5">
        <w:rPr>
          <w:rFonts w:ascii="Garamond" w:hAnsi="Garamond"/>
        </w:rPr>
        <w:t>,</w:t>
      </w:r>
      <w:r w:rsidRPr="004E4C06">
        <w:rPr>
          <w:rFonts w:ascii="Garamond" w:hAnsi="Garamond"/>
        </w:rPr>
        <w:t xml:space="preserve"> and to select schools that vary across size and demographic characteristics.  </w:t>
      </w:r>
      <w:r w:rsidR="00DC076D">
        <w:rPr>
          <w:rFonts w:ascii="Garamond" w:hAnsi="Garamond"/>
        </w:rPr>
        <w:t xml:space="preserve">Although we do have specific recruitment goals for age, years of experience, school size, and demographic composition of school, we want to recruit educators from a variety of backgrounds to assure that the instruments are effective for a wide range of respondents. </w:t>
      </w:r>
      <w:r w:rsidRPr="004E4C06">
        <w:rPr>
          <w:rFonts w:ascii="Garamond" w:hAnsi="Garamond"/>
        </w:rPr>
        <w:t xml:space="preserve">A </w:t>
      </w:r>
      <w:r w:rsidR="00FD1207">
        <w:rPr>
          <w:rFonts w:ascii="Garamond" w:hAnsi="Garamond"/>
        </w:rPr>
        <w:t xml:space="preserve">maximum </w:t>
      </w:r>
      <w:r w:rsidR="00FD1207" w:rsidRPr="004E4C06">
        <w:rPr>
          <w:rFonts w:ascii="Garamond" w:hAnsi="Garamond"/>
        </w:rPr>
        <w:t>of</w:t>
      </w:r>
      <w:r w:rsidRPr="004E4C06">
        <w:rPr>
          <w:rFonts w:ascii="Garamond" w:hAnsi="Garamond"/>
        </w:rPr>
        <w:t xml:space="preserve"> </w:t>
      </w:r>
      <w:r w:rsidR="00A84EA5">
        <w:rPr>
          <w:rFonts w:ascii="Garamond" w:hAnsi="Garamond"/>
        </w:rPr>
        <w:t>1</w:t>
      </w:r>
      <w:r w:rsidR="001F30D1">
        <w:rPr>
          <w:rFonts w:ascii="Garamond" w:hAnsi="Garamond"/>
        </w:rPr>
        <w:t>64</w:t>
      </w:r>
      <w:r w:rsidR="00A84EA5">
        <w:rPr>
          <w:rFonts w:ascii="Garamond" w:hAnsi="Garamond"/>
        </w:rPr>
        <w:t xml:space="preserve"> interviews will be completed.  Our goal is to obtain 80 interviews with teachers and 84 interviews with Principals</w:t>
      </w:r>
      <w:r w:rsidRPr="004E4C06">
        <w:rPr>
          <w:rFonts w:ascii="Garamond" w:hAnsi="Garamond"/>
        </w:rPr>
        <w:t xml:space="preserve">. </w:t>
      </w:r>
      <w:r w:rsidR="00053C31">
        <w:rPr>
          <w:rFonts w:ascii="Garamond" w:hAnsi="Garamond"/>
        </w:rPr>
        <w:t>In the first set of interviews, 45 minutes will allow time for think aloud responses to in-depth probes of key question items. In the second set, t</w:t>
      </w:r>
      <w:r w:rsidR="00053C31" w:rsidRPr="004231EB">
        <w:rPr>
          <w:rFonts w:ascii="Garamond" w:hAnsi="Garamond"/>
        </w:rPr>
        <w:t>he time allotted will allow participants to review the entire survey</w:t>
      </w:r>
      <w:r w:rsidR="00053C31">
        <w:rPr>
          <w:rFonts w:ascii="Garamond" w:hAnsi="Garamond"/>
        </w:rPr>
        <w:t xml:space="preserve"> and provide responses to retrospective probes</w:t>
      </w:r>
      <w:r w:rsidR="00053C31" w:rsidRPr="004231EB">
        <w:rPr>
          <w:rFonts w:ascii="Garamond" w:hAnsi="Garamond"/>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7"/>
        <w:gridCol w:w="902"/>
        <w:gridCol w:w="1259"/>
        <w:gridCol w:w="810"/>
        <w:gridCol w:w="1531"/>
        <w:gridCol w:w="1620"/>
        <w:gridCol w:w="1259"/>
        <w:gridCol w:w="1422"/>
      </w:tblGrid>
      <w:tr w:rsidR="008E14E3" w:rsidRPr="00DC076D" w:rsidTr="008E14E3">
        <w:trPr>
          <w:trHeight w:val="117"/>
        </w:trPr>
        <w:tc>
          <w:tcPr>
            <w:tcW w:w="5000" w:type="pct"/>
            <w:gridSpan w:val="8"/>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 xml:space="preserve">Exhibit 1. </w:t>
            </w:r>
            <w:r>
              <w:rPr>
                <w:rFonts w:ascii="Garamond" w:eastAsia="Times New Roman" w:hAnsi="Garamond" w:cs="Times New Roman"/>
                <w:color w:val="000000"/>
              </w:rPr>
              <w:t xml:space="preserve">Expected </w:t>
            </w:r>
            <w:r w:rsidR="007277EF">
              <w:rPr>
                <w:rFonts w:ascii="Garamond" w:eastAsia="Times New Roman" w:hAnsi="Garamond" w:cs="Times New Roman"/>
                <w:color w:val="000000"/>
              </w:rPr>
              <w:t xml:space="preserve">Burden and </w:t>
            </w:r>
            <w:r w:rsidRPr="00DC076D">
              <w:rPr>
                <w:rFonts w:ascii="Garamond" w:eastAsia="Times New Roman" w:hAnsi="Garamond" w:cs="Times New Roman"/>
                <w:color w:val="000000"/>
              </w:rPr>
              <w:t>Breakdown of SASS Cognitive Interviews, by Instrument, Population, and Location</w:t>
            </w:r>
          </w:p>
        </w:tc>
      </w:tr>
      <w:tr w:rsidR="00E00329" w:rsidRPr="00DC076D" w:rsidTr="00F351BD">
        <w:trPr>
          <w:trHeight w:val="117"/>
        </w:trPr>
        <w:tc>
          <w:tcPr>
            <w:tcW w:w="5000" w:type="pct"/>
            <w:gridSpan w:val="8"/>
            <w:shd w:val="clear" w:color="auto" w:fill="auto"/>
            <w:noWrap/>
            <w:vAlign w:val="center"/>
            <w:hideMark/>
          </w:tcPr>
          <w:p w:rsidR="00E00329" w:rsidRPr="00DC076D" w:rsidRDefault="00E00329" w:rsidP="00F351BD">
            <w:pPr>
              <w:spacing w:after="0" w:line="240" w:lineRule="auto"/>
              <w:jc w:val="center"/>
              <w:rPr>
                <w:rFonts w:ascii="Garamond" w:eastAsia="Times New Roman" w:hAnsi="Garamond" w:cs="Times New Roman"/>
                <w:color w:val="000000"/>
              </w:rPr>
            </w:pPr>
          </w:p>
        </w:tc>
      </w:tr>
      <w:tr w:rsidR="00A52C38" w:rsidRPr="008E14E3" w:rsidTr="00A52C38">
        <w:trPr>
          <w:trHeight w:val="332"/>
        </w:trPr>
        <w:tc>
          <w:tcPr>
            <w:tcW w:w="784" w:type="pct"/>
            <w:vMerge w:val="restart"/>
            <w:shd w:val="clear" w:color="auto" w:fill="F2F2F2" w:themeFill="background1" w:themeFillShade="F2"/>
            <w:vAlign w:val="center"/>
            <w:hideMark/>
          </w:tcPr>
          <w:p w:rsidR="008E14E3" w:rsidRPr="008E14E3" w:rsidRDefault="008E14E3" w:rsidP="008E14E3">
            <w:pPr>
              <w:spacing w:after="0" w:line="240" w:lineRule="auto"/>
              <w:jc w:val="center"/>
              <w:rPr>
                <w:rFonts w:ascii="Garamond" w:eastAsia="Times New Roman" w:hAnsi="Garamond" w:cs="Times New Roman"/>
                <w:color w:val="000000"/>
                <w:sz w:val="20"/>
                <w:szCs w:val="20"/>
              </w:rPr>
            </w:pPr>
          </w:p>
        </w:tc>
        <w:tc>
          <w:tcPr>
            <w:tcW w:w="432" w:type="pct"/>
            <w:vMerge w:val="restart"/>
            <w:shd w:val="clear" w:color="auto" w:fill="F2F2F2" w:themeFill="background1" w:themeFillShade="F2"/>
            <w:vAlign w:val="center"/>
            <w:hideMark/>
          </w:tcPr>
          <w:p w:rsidR="008E14E3" w:rsidRPr="008E14E3" w:rsidRDefault="008E14E3" w:rsidP="008E14E3">
            <w:pPr>
              <w:spacing w:after="0" w:line="240" w:lineRule="auto"/>
              <w:jc w:val="center"/>
              <w:rPr>
                <w:rFonts w:ascii="Garamond" w:eastAsia="Times New Roman" w:hAnsi="Garamond" w:cs="Times New Roman"/>
                <w:color w:val="000000"/>
                <w:sz w:val="20"/>
                <w:szCs w:val="20"/>
              </w:rPr>
            </w:pPr>
            <w:r w:rsidRPr="008E14E3">
              <w:rPr>
                <w:rFonts w:ascii="Garamond" w:eastAsia="Times New Roman" w:hAnsi="Garamond" w:cs="Times New Roman"/>
                <w:color w:val="000000"/>
                <w:sz w:val="20"/>
                <w:szCs w:val="20"/>
              </w:rPr>
              <w:t>school type</w:t>
            </w:r>
          </w:p>
        </w:tc>
        <w:tc>
          <w:tcPr>
            <w:tcW w:w="603" w:type="pct"/>
            <w:vMerge w:val="restart"/>
            <w:shd w:val="clear" w:color="auto" w:fill="F2F2F2" w:themeFill="background1" w:themeFillShade="F2"/>
            <w:vAlign w:val="center"/>
            <w:hideMark/>
          </w:tcPr>
          <w:p w:rsidR="008E14E3" w:rsidRPr="008E14E3" w:rsidRDefault="008E14E3" w:rsidP="008E14E3">
            <w:pPr>
              <w:spacing w:after="0" w:line="240" w:lineRule="auto"/>
              <w:jc w:val="center"/>
              <w:rPr>
                <w:rFonts w:ascii="Garamond" w:eastAsia="Times New Roman" w:hAnsi="Garamond" w:cs="Times New Roman"/>
                <w:color w:val="000000"/>
                <w:sz w:val="20"/>
                <w:szCs w:val="20"/>
              </w:rPr>
            </w:pPr>
            <w:r w:rsidRPr="008E14E3">
              <w:rPr>
                <w:rFonts w:ascii="Garamond" w:eastAsia="Times New Roman" w:hAnsi="Garamond" w:cs="Times New Roman"/>
                <w:color w:val="000000"/>
                <w:sz w:val="20"/>
                <w:szCs w:val="20"/>
              </w:rPr>
              <w:t>time estimate (minutes)</w:t>
            </w:r>
          </w:p>
        </w:tc>
        <w:tc>
          <w:tcPr>
            <w:tcW w:w="388" w:type="pct"/>
            <w:vMerge w:val="restart"/>
            <w:shd w:val="clear" w:color="auto" w:fill="F2F2F2" w:themeFill="background1" w:themeFillShade="F2"/>
            <w:vAlign w:val="center"/>
            <w:hideMark/>
          </w:tcPr>
          <w:p w:rsidR="008E14E3" w:rsidRPr="008E14E3" w:rsidRDefault="008E14E3" w:rsidP="00303973">
            <w:pPr>
              <w:spacing w:after="0" w:line="240" w:lineRule="auto"/>
              <w:jc w:val="center"/>
              <w:rPr>
                <w:rFonts w:ascii="Garamond" w:eastAsia="Times New Roman" w:hAnsi="Garamond" w:cs="Times New Roman"/>
                <w:color w:val="000000"/>
                <w:sz w:val="20"/>
                <w:szCs w:val="20"/>
              </w:rPr>
            </w:pPr>
            <w:r w:rsidRPr="008E14E3">
              <w:rPr>
                <w:rFonts w:ascii="Garamond" w:eastAsia="Times New Roman" w:hAnsi="Garamond" w:cs="Times New Roman"/>
                <w:color w:val="000000"/>
                <w:sz w:val="20"/>
                <w:szCs w:val="20"/>
              </w:rPr>
              <w:t xml:space="preserve"># of </w:t>
            </w:r>
            <w:r w:rsidR="00303973">
              <w:rPr>
                <w:rFonts w:ascii="Garamond" w:eastAsia="Times New Roman" w:hAnsi="Garamond" w:cs="Times New Roman"/>
                <w:color w:val="000000"/>
                <w:sz w:val="20"/>
                <w:szCs w:val="20"/>
              </w:rPr>
              <w:t>rounds</w:t>
            </w:r>
          </w:p>
        </w:tc>
        <w:tc>
          <w:tcPr>
            <w:tcW w:w="1509" w:type="pct"/>
            <w:gridSpan w:val="2"/>
            <w:shd w:val="clear" w:color="auto" w:fill="F2F2F2" w:themeFill="background1" w:themeFillShade="F2"/>
            <w:vAlign w:val="center"/>
            <w:hideMark/>
          </w:tcPr>
          <w:p w:rsidR="008E14E3" w:rsidRPr="008E14E3" w:rsidRDefault="008E14E3" w:rsidP="00053C31">
            <w:pPr>
              <w:spacing w:after="0" w:line="240" w:lineRule="auto"/>
              <w:ind w:left="-108" w:right="-107"/>
              <w:jc w:val="center"/>
              <w:rPr>
                <w:rFonts w:ascii="Garamond" w:eastAsia="Times New Roman" w:hAnsi="Garamond" w:cs="Times New Roman"/>
                <w:color w:val="000000"/>
                <w:sz w:val="20"/>
                <w:szCs w:val="20"/>
              </w:rPr>
            </w:pPr>
            <w:r w:rsidRPr="008E14E3">
              <w:rPr>
                <w:rFonts w:ascii="Garamond" w:eastAsia="Times New Roman" w:hAnsi="Garamond" w:cs="Times New Roman"/>
                <w:color w:val="000000"/>
                <w:sz w:val="20"/>
                <w:szCs w:val="20"/>
              </w:rPr>
              <w:t xml:space="preserve">interviews per </w:t>
            </w:r>
            <w:r w:rsidR="00053C31">
              <w:rPr>
                <w:rFonts w:ascii="Garamond" w:eastAsia="Times New Roman" w:hAnsi="Garamond" w:cs="Times New Roman"/>
                <w:color w:val="000000"/>
                <w:sz w:val="20"/>
                <w:szCs w:val="20"/>
              </w:rPr>
              <w:t>round</w:t>
            </w:r>
            <w:r w:rsidRPr="008E14E3">
              <w:rPr>
                <w:rFonts w:ascii="Garamond" w:eastAsia="Times New Roman" w:hAnsi="Garamond" w:cs="Times New Roman"/>
                <w:color w:val="000000"/>
                <w:sz w:val="20"/>
                <w:szCs w:val="20"/>
              </w:rPr>
              <w:t xml:space="preserve"> in </w:t>
            </w:r>
            <w:r w:rsidR="00A52C38">
              <w:rPr>
                <w:rFonts w:ascii="Garamond" w:eastAsia="Times New Roman" w:hAnsi="Garamond" w:cs="Times New Roman"/>
                <w:color w:val="000000"/>
                <w:sz w:val="20"/>
                <w:szCs w:val="20"/>
              </w:rPr>
              <w:t>geographic</w:t>
            </w:r>
            <w:r w:rsidRPr="008E14E3">
              <w:rPr>
                <w:rFonts w:ascii="Garamond" w:eastAsia="Times New Roman" w:hAnsi="Garamond" w:cs="Times New Roman"/>
                <w:color w:val="000000"/>
                <w:sz w:val="20"/>
                <w:szCs w:val="20"/>
              </w:rPr>
              <w:t xml:space="preserve"> area</w:t>
            </w:r>
          </w:p>
        </w:tc>
        <w:tc>
          <w:tcPr>
            <w:tcW w:w="603" w:type="pct"/>
            <w:vMerge w:val="restart"/>
            <w:shd w:val="clear" w:color="auto" w:fill="F2F2F2" w:themeFill="background1" w:themeFillShade="F2"/>
            <w:vAlign w:val="center"/>
            <w:hideMark/>
          </w:tcPr>
          <w:p w:rsidR="008E14E3" w:rsidRPr="008E14E3" w:rsidRDefault="008E14E3" w:rsidP="008E14E3">
            <w:pPr>
              <w:spacing w:after="0" w:line="240" w:lineRule="auto"/>
              <w:jc w:val="center"/>
              <w:rPr>
                <w:rFonts w:ascii="Garamond" w:eastAsia="Times New Roman" w:hAnsi="Garamond" w:cs="Times New Roman"/>
                <w:color w:val="000000"/>
                <w:sz w:val="20"/>
                <w:szCs w:val="20"/>
              </w:rPr>
            </w:pPr>
            <w:r w:rsidRPr="008E14E3">
              <w:rPr>
                <w:rFonts w:ascii="Garamond" w:eastAsia="Times New Roman" w:hAnsi="Garamond" w:cs="Times New Roman"/>
                <w:color w:val="000000"/>
                <w:sz w:val="20"/>
                <w:szCs w:val="20"/>
              </w:rPr>
              <w:t xml:space="preserve">Total # of </w:t>
            </w:r>
            <w:r>
              <w:rPr>
                <w:rFonts w:ascii="Garamond" w:eastAsia="Times New Roman" w:hAnsi="Garamond" w:cs="Times New Roman"/>
                <w:color w:val="000000"/>
                <w:sz w:val="20"/>
                <w:szCs w:val="20"/>
              </w:rPr>
              <w:t>respondents</w:t>
            </w:r>
          </w:p>
        </w:tc>
        <w:tc>
          <w:tcPr>
            <w:tcW w:w="681" w:type="pct"/>
            <w:vMerge w:val="restart"/>
            <w:shd w:val="clear" w:color="auto" w:fill="F2F2F2" w:themeFill="background1" w:themeFillShade="F2"/>
            <w:vAlign w:val="center"/>
          </w:tcPr>
          <w:p w:rsidR="008E14E3" w:rsidRPr="008E14E3" w:rsidRDefault="008E14E3" w:rsidP="008E14E3">
            <w:pPr>
              <w:spacing w:after="0" w:line="240" w:lineRule="auto"/>
              <w:jc w:val="center"/>
              <w:rPr>
                <w:rFonts w:ascii="Garamond" w:eastAsia="Times New Roman" w:hAnsi="Garamond" w:cs="Times New Roman"/>
                <w:color w:val="000000"/>
                <w:sz w:val="20"/>
                <w:szCs w:val="20"/>
              </w:rPr>
            </w:pPr>
            <w:r w:rsidRPr="008E14E3">
              <w:rPr>
                <w:rFonts w:ascii="Garamond" w:eastAsia="Times New Roman" w:hAnsi="Garamond" w:cs="Times New Roman"/>
                <w:color w:val="000000"/>
                <w:sz w:val="20"/>
                <w:szCs w:val="20"/>
              </w:rPr>
              <w:t>Total burden hours</w:t>
            </w:r>
          </w:p>
        </w:tc>
      </w:tr>
      <w:tr w:rsidR="00A52C38" w:rsidRPr="00DC076D" w:rsidTr="00A52C38">
        <w:trPr>
          <w:trHeight w:val="278"/>
        </w:trPr>
        <w:tc>
          <w:tcPr>
            <w:tcW w:w="784" w:type="pct"/>
            <w:vMerge/>
            <w:shd w:val="clear" w:color="auto" w:fill="F2F2F2" w:themeFill="background1" w:themeFillShade="F2"/>
            <w:vAlign w:val="center"/>
          </w:tcPr>
          <w:p w:rsidR="008E14E3" w:rsidRPr="00DC076D" w:rsidRDefault="008E14E3" w:rsidP="008E14E3">
            <w:pPr>
              <w:spacing w:after="0" w:line="240" w:lineRule="auto"/>
              <w:jc w:val="center"/>
              <w:rPr>
                <w:rFonts w:ascii="Garamond" w:eastAsia="Times New Roman" w:hAnsi="Garamond" w:cs="Times New Roman"/>
                <w:color w:val="000000"/>
              </w:rPr>
            </w:pPr>
          </w:p>
        </w:tc>
        <w:tc>
          <w:tcPr>
            <w:tcW w:w="432" w:type="pct"/>
            <w:vMerge/>
            <w:shd w:val="clear" w:color="auto" w:fill="F2F2F2" w:themeFill="background1" w:themeFillShade="F2"/>
            <w:vAlign w:val="center"/>
          </w:tcPr>
          <w:p w:rsidR="008E14E3" w:rsidRDefault="008E14E3" w:rsidP="008E14E3">
            <w:pPr>
              <w:spacing w:after="0" w:line="240" w:lineRule="auto"/>
              <w:jc w:val="center"/>
              <w:rPr>
                <w:rFonts w:ascii="Garamond" w:eastAsia="Times New Roman" w:hAnsi="Garamond" w:cs="Times New Roman"/>
                <w:color w:val="000000"/>
              </w:rPr>
            </w:pPr>
          </w:p>
        </w:tc>
        <w:tc>
          <w:tcPr>
            <w:tcW w:w="603" w:type="pct"/>
            <w:vMerge/>
            <w:shd w:val="clear" w:color="auto" w:fill="F2F2F2" w:themeFill="background1" w:themeFillShade="F2"/>
            <w:vAlign w:val="center"/>
          </w:tcPr>
          <w:p w:rsidR="008E14E3" w:rsidRPr="00DC076D" w:rsidRDefault="008E14E3" w:rsidP="008E14E3">
            <w:pPr>
              <w:spacing w:after="0" w:line="240" w:lineRule="auto"/>
              <w:jc w:val="center"/>
              <w:rPr>
                <w:rFonts w:ascii="Garamond" w:eastAsia="Times New Roman" w:hAnsi="Garamond" w:cs="Times New Roman"/>
                <w:color w:val="000000"/>
              </w:rPr>
            </w:pPr>
          </w:p>
        </w:tc>
        <w:tc>
          <w:tcPr>
            <w:tcW w:w="388" w:type="pct"/>
            <w:vMerge/>
            <w:shd w:val="clear" w:color="auto" w:fill="F2F2F2" w:themeFill="background1" w:themeFillShade="F2"/>
            <w:vAlign w:val="center"/>
          </w:tcPr>
          <w:p w:rsidR="008E14E3" w:rsidRDefault="008E14E3" w:rsidP="008E14E3">
            <w:pPr>
              <w:spacing w:after="0" w:line="240" w:lineRule="auto"/>
              <w:jc w:val="center"/>
              <w:rPr>
                <w:rFonts w:ascii="Garamond" w:eastAsia="Times New Roman" w:hAnsi="Garamond" w:cs="Times New Roman"/>
                <w:color w:val="000000"/>
              </w:rPr>
            </w:pPr>
          </w:p>
        </w:tc>
        <w:tc>
          <w:tcPr>
            <w:tcW w:w="733" w:type="pct"/>
            <w:shd w:val="clear" w:color="auto" w:fill="F2F2F2" w:themeFill="background1" w:themeFillShade="F2"/>
            <w:vAlign w:val="center"/>
          </w:tcPr>
          <w:p w:rsidR="008E14E3" w:rsidRPr="008E14E3" w:rsidRDefault="008E14E3" w:rsidP="008E14E3">
            <w:pPr>
              <w:spacing w:after="0" w:line="240" w:lineRule="auto"/>
              <w:jc w:val="center"/>
              <w:rPr>
                <w:rFonts w:ascii="Garamond" w:eastAsia="Times New Roman" w:hAnsi="Garamond" w:cs="Times New Roman"/>
                <w:color w:val="000000"/>
                <w:sz w:val="20"/>
                <w:szCs w:val="20"/>
              </w:rPr>
            </w:pPr>
            <w:r w:rsidRPr="008E14E3">
              <w:rPr>
                <w:rFonts w:ascii="Garamond" w:eastAsia="Times New Roman" w:hAnsi="Garamond" w:cs="Times New Roman"/>
                <w:color w:val="000000"/>
                <w:sz w:val="20"/>
                <w:szCs w:val="20"/>
              </w:rPr>
              <w:t>Washington, DC</w:t>
            </w:r>
          </w:p>
        </w:tc>
        <w:tc>
          <w:tcPr>
            <w:tcW w:w="776" w:type="pct"/>
            <w:shd w:val="clear" w:color="auto" w:fill="F2F2F2" w:themeFill="background1" w:themeFillShade="F2"/>
            <w:vAlign w:val="center"/>
          </w:tcPr>
          <w:p w:rsidR="008E14E3" w:rsidRPr="008E14E3" w:rsidRDefault="008E14E3" w:rsidP="008E14E3">
            <w:pPr>
              <w:spacing w:after="0" w:line="240" w:lineRule="auto"/>
              <w:jc w:val="center"/>
              <w:rPr>
                <w:rFonts w:ascii="Garamond" w:eastAsia="Times New Roman" w:hAnsi="Garamond" w:cs="Times New Roman"/>
                <w:color w:val="000000"/>
                <w:sz w:val="20"/>
                <w:szCs w:val="20"/>
              </w:rPr>
            </w:pPr>
            <w:r w:rsidRPr="008E14E3">
              <w:rPr>
                <w:rFonts w:ascii="Garamond" w:eastAsia="Times New Roman" w:hAnsi="Garamond" w:cs="Times New Roman"/>
                <w:color w:val="000000"/>
                <w:sz w:val="20"/>
                <w:szCs w:val="20"/>
              </w:rPr>
              <w:t>Chicago, IL</w:t>
            </w:r>
          </w:p>
        </w:tc>
        <w:tc>
          <w:tcPr>
            <w:tcW w:w="603" w:type="pct"/>
            <w:vMerge/>
            <w:shd w:val="clear" w:color="auto" w:fill="F2F2F2" w:themeFill="background1" w:themeFillShade="F2"/>
            <w:vAlign w:val="center"/>
          </w:tcPr>
          <w:p w:rsidR="008E14E3" w:rsidRPr="00DC076D" w:rsidRDefault="008E14E3" w:rsidP="008E14E3">
            <w:pPr>
              <w:spacing w:after="0" w:line="240" w:lineRule="auto"/>
              <w:jc w:val="center"/>
              <w:rPr>
                <w:rFonts w:ascii="Garamond" w:eastAsia="Times New Roman" w:hAnsi="Garamond" w:cs="Times New Roman"/>
                <w:color w:val="000000"/>
              </w:rPr>
            </w:pPr>
          </w:p>
        </w:tc>
        <w:tc>
          <w:tcPr>
            <w:tcW w:w="681" w:type="pct"/>
            <w:vMerge/>
            <w:shd w:val="clear" w:color="auto" w:fill="F2F2F2" w:themeFill="background1" w:themeFillShade="F2"/>
            <w:vAlign w:val="center"/>
          </w:tcPr>
          <w:p w:rsidR="008E14E3" w:rsidRPr="00DC076D" w:rsidRDefault="008E14E3" w:rsidP="008E14E3">
            <w:pPr>
              <w:spacing w:after="0" w:line="240" w:lineRule="auto"/>
              <w:jc w:val="center"/>
              <w:rPr>
                <w:rFonts w:ascii="Garamond" w:eastAsia="Times New Roman" w:hAnsi="Garamond" w:cs="Times New Roman"/>
                <w:color w:val="000000"/>
              </w:rPr>
            </w:pPr>
          </w:p>
        </w:tc>
      </w:tr>
      <w:tr w:rsidR="007277EF" w:rsidRPr="00DC076D" w:rsidTr="007277EF">
        <w:trPr>
          <w:trHeight w:val="117"/>
        </w:trPr>
        <w:tc>
          <w:tcPr>
            <w:tcW w:w="784" w:type="pct"/>
            <w:shd w:val="clear" w:color="auto" w:fill="FFFFFF" w:themeFill="background1"/>
            <w:noWrap/>
            <w:vAlign w:val="center"/>
          </w:tcPr>
          <w:p w:rsidR="007277EF" w:rsidRDefault="007277EF" w:rsidP="008E14E3">
            <w:pPr>
              <w:spacing w:after="0" w:line="240" w:lineRule="auto"/>
              <w:rPr>
                <w:rFonts w:ascii="Garamond" w:eastAsia="Times New Roman" w:hAnsi="Garamond" w:cs="Times New Roman"/>
                <w:color w:val="000000"/>
              </w:rPr>
            </w:pPr>
            <w:r>
              <w:rPr>
                <w:rFonts w:ascii="Garamond" w:eastAsia="Times New Roman" w:hAnsi="Garamond" w:cs="Times New Roman"/>
                <w:color w:val="000000"/>
              </w:rPr>
              <w:t>Teacher recruitment</w:t>
            </w:r>
          </w:p>
        </w:tc>
        <w:tc>
          <w:tcPr>
            <w:tcW w:w="432" w:type="pct"/>
            <w:shd w:val="clear" w:color="auto" w:fill="auto"/>
            <w:noWrap/>
            <w:vAlign w:val="center"/>
          </w:tcPr>
          <w:p w:rsidR="007277EF" w:rsidRPr="00DC076D" w:rsidRDefault="007277EF"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all</w:t>
            </w:r>
          </w:p>
        </w:tc>
        <w:tc>
          <w:tcPr>
            <w:tcW w:w="603" w:type="pct"/>
            <w:shd w:val="clear" w:color="auto" w:fill="auto"/>
            <w:noWrap/>
            <w:vAlign w:val="center"/>
          </w:tcPr>
          <w:p w:rsidR="007277EF" w:rsidRPr="00DC076D" w:rsidRDefault="007277EF"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10</w:t>
            </w:r>
          </w:p>
        </w:tc>
        <w:tc>
          <w:tcPr>
            <w:tcW w:w="388" w:type="pct"/>
            <w:shd w:val="clear" w:color="auto" w:fill="auto"/>
            <w:noWrap/>
            <w:vAlign w:val="center"/>
          </w:tcPr>
          <w:p w:rsidR="007277EF" w:rsidRPr="00DC076D" w:rsidRDefault="007277EF"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w:t>
            </w:r>
          </w:p>
        </w:tc>
        <w:tc>
          <w:tcPr>
            <w:tcW w:w="733" w:type="pct"/>
            <w:shd w:val="clear" w:color="auto" w:fill="auto"/>
            <w:noWrap/>
            <w:vAlign w:val="center"/>
          </w:tcPr>
          <w:p w:rsidR="007277EF" w:rsidRPr="00DC076D" w:rsidRDefault="007277EF"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w:t>
            </w:r>
          </w:p>
        </w:tc>
        <w:tc>
          <w:tcPr>
            <w:tcW w:w="776" w:type="pct"/>
            <w:shd w:val="clear" w:color="auto" w:fill="auto"/>
            <w:noWrap/>
            <w:vAlign w:val="center"/>
          </w:tcPr>
          <w:p w:rsidR="007277EF" w:rsidRPr="00DC076D" w:rsidRDefault="007277EF"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w:t>
            </w:r>
          </w:p>
        </w:tc>
        <w:tc>
          <w:tcPr>
            <w:tcW w:w="603" w:type="pct"/>
            <w:shd w:val="clear" w:color="auto" w:fill="auto"/>
            <w:noWrap/>
            <w:vAlign w:val="center"/>
          </w:tcPr>
          <w:p w:rsidR="007277EF" w:rsidRPr="00DC076D" w:rsidRDefault="007277EF" w:rsidP="007277EF">
            <w:pPr>
              <w:spacing w:after="0" w:line="240" w:lineRule="auto"/>
              <w:ind w:right="-18"/>
              <w:jc w:val="center"/>
              <w:rPr>
                <w:rFonts w:ascii="Garamond" w:eastAsia="Times New Roman" w:hAnsi="Garamond" w:cs="Times New Roman"/>
                <w:color w:val="000000"/>
              </w:rPr>
            </w:pPr>
            <w:r>
              <w:rPr>
                <w:rFonts w:ascii="Garamond" w:eastAsia="Times New Roman" w:hAnsi="Garamond" w:cs="Times New Roman"/>
                <w:color w:val="000000"/>
              </w:rPr>
              <w:t>120</w:t>
            </w:r>
          </w:p>
        </w:tc>
        <w:tc>
          <w:tcPr>
            <w:tcW w:w="681" w:type="pct"/>
            <w:vAlign w:val="center"/>
          </w:tcPr>
          <w:p w:rsidR="007277EF" w:rsidRDefault="007277EF" w:rsidP="003E14D8">
            <w:pPr>
              <w:spacing w:after="0" w:line="240" w:lineRule="auto"/>
              <w:ind w:right="386"/>
              <w:jc w:val="right"/>
              <w:rPr>
                <w:rFonts w:ascii="Garamond" w:eastAsia="Times New Roman" w:hAnsi="Garamond" w:cs="Times New Roman"/>
                <w:color w:val="000000"/>
              </w:rPr>
            </w:pPr>
            <w:r>
              <w:rPr>
                <w:rFonts w:ascii="Garamond" w:eastAsia="Times New Roman" w:hAnsi="Garamond" w:cs="Times New Roman"/>
                <w:color w:val="000000"/>
              </w:rPr>
              <w:t>20</w:t>
            </w:r>
          </w:p>
        </w:tc>
      </w:tr>
      <w:tr w:rsidR="007277EF" w:rsidRPr="00DC076D" w:rsidTr="007277EF">
        <w:trPr>
          <w:trHeight w:val="117"/>
        </w:trPr>
        <w:tc>
          <w:tcPr>
            <w:tcW w:w="784" w:type="pct"/>
            <w:shd w:val="clear" w:color="auto" w:fill="FFFFFF" w:themeFill="background1"/>
            <w:noWrap/>
            <w:vAlign w:val="center"/>
          </w:tcPr>
          <w:p w:rsidR="007277EF" w:rsidRDefault="007277EF" w:rsidP="008E14E3">
            <w:pPr>
              <w:spacing w:after="0" w:line="240" w:lineRule="auto"/>
              <w:rPr>
                <w:rFonts w:ascii="Garamond" w:eastAsia="Times New Roman" w:hAnsi="Garamond" w:cs="Times New Roman"/>
                <w:color w:val="000000"/>
              </w:rPr>
            </w:pPr>
            <w:r>
              <w:rPr>
                <w:rFonts w:ascii="Garamond" w:eastAsia="Times New Roman" w:hAnsi="Garamond" w:cs="Times New Roman"/>
                <w:color w:val="000000"/>
              </w:rPr>
              <w:t>P</w:t>
            </w:r>
            <w:r w:rsidRPr="00DC076D">
              <w:rPr>
                <w:rFonts w:ascii="Garamond" w:eastAsia="Times New Roman" w:hAnsi="Garamond" w:cs="Times New Roman"/>
                <w:color w:val="000000"/>
              </w:rPr>
              <w:t>rincipal</w:t>
            </w:r>
            <w:r>
              <w:rPr>
                <w:rFonts w:ascii="Garamond" w:eastAsia="Times New Roman" w:hAnsi="Garamond" w:cs="Times New Roman"/>
                <w:color w:val="000000"/>
              </w:rPr>
              <w:t xml:space="preserve"> recruitment</w:t>
            </w:r>
          </w:p>
        </w:tc>
        <w:tc>
          <w:tcPr>
            <w:tcW w:w="432" w:type="pct"/>
            <w:shd w:val="clear" w:color="auto" w:fill="auto"/>
            <w:noWrap/>
            <w:vAlign w:val="center"/>
          </w:tcPr>
          <w:p w:rsidR="007277EF" w:rsidRPr="00DC076D" w:rsidRDefault="007277EF"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all</w:t>
            </w:r>
          </w:p>
        </w:tc>
        <w:tc>
          <w:tcPr>
            <w:tcW w:w="603" w:type="pct"/>
            <w:shd w:val="clear" w:color="auto" w:fill="auto"/>
            <w:noWrap/>
            <w:vAlign w:val="center"/>
          </w:tcPr>
          <w:p w:rsidR="007277EF" w:rsidRPr="00DC076D" w:rsidRDefault="007277EF"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10</w:t>
            </w:r>
          </w:p>
        </w:tc>
        <w:tc>
          <w:tcPr>
            <w:tcW w:w="388" w:type="pct"/>
            <w:shd w:val="clear" w:color="auto" w:fill="auto"/>
            <w:noWrap/>
            <w:vAlign w:val="center"/>
          </w:tcPr>
          <w:p w:rsidR="007277EF" w:rsidRPr="00DC076D" w:rsidRDefault="007277EF"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w:t>
            </w:r>
          </w:p>
        </w:tc>
        <w:tc>
          <w:tcPr>
            <w:tcW w:w="733" w:type="pct"/>
            <w:shd w:val="clear" w:color="auto" w:fill="auto"/>
            <w:noWrap/>
            <w:vAlign w:val="center"/>
          </w:tcPr>
          <w:p w:rsidR="007277EF" w:rsidRPr="00DC076D" w:rsidRDefault="007277EF"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w:t>
            </w:r>
          </w:p>
        </w:tc>
        <w:tc>
          <w:tcPr>
            <w:tcW w:w="776" w:type="pct"/>
            <w:shd w:val="clear" w:color="auto" w:fill="auto"/>
            <w:noWrap/>
            <w:vAlign w:val="center"/>
          </w:tcPr>
          <w:p w:rsidR="007277EF" w:rsidRPr="00DC076D" w:rsidRDefault="007277EF"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w:t>
            </w:r>
          </w:p>
        </w:tc>
        <w:tc>
          <w:tcPr>
            <w:tcW w:w="603" w:type="pct"/>
            <w:shd w:val="clear" w:color="auto" w:fill="auto"/>
            <w:noWrap/>
            <w:vAlign w:val="center"/>
          </w:tcPr>
          <w:p w:rsidR="007277EF" w:rsidRPr="00DC076D" w:rsidRDefault="007277EF" w:rsidP="007277EF">
            <w:pPr>
              <w:spacing w:after="0" w:line="240" w:lineRule="auto"/>
              <w:ind w:right="-18"/>
              <w:jc w:val="center"/>
              <w:rPr>
                <w:rFonts w:ascii="Garamond" w:eastAsia="Times New Roman" w:hAnsi="Garamond" w:cs="Times New Roman"/>
                <w:color w:val="000000"/>
              </w:rPr>
            </w:pPr>
            <w:r>
              <w:rPr>
                <w:rFonts w:ascii="Garamond" w:eastAsia="Times New Roman" w:hAnsi="Garamond" w:cs="Times New Roman"/>
                <w:color w:val="000000"/>
              </w:rPr>
              <w:t>140</w:t>
            </w:r>
          </w:p>
        </w:tc>
        <w:tc>
          <w:tcPr>
            <w:tcW w:w="681" w:type="pct"/>
            <w:vAlign w:val="center"/>
          </w:tcPr>
          <w:p w:rsidR="007277EF" w:rsidRDefault="007277EF" w:rsidP="003E14D8">
            <w:pPr>
              <w:spacing w:after="0" w:line="240" w:lineRule="auto"/>
              <w:ind w:right="386"/>
              <w:jc w:val="right"/>
              <w:rPr>
                <w:rFonts w:ascii="Garamond" w:eastAsia="Times New Roman" w:hAnsi="Garamond" w:cs="Times New Roman"/>
                <w:color w:val="000000"/>
              </w:rPr>
            </w:pPr>
            <w:r>
              <w:rPr>
                <w:rFonts w:ascii="Garamond" w:eastAsia="Times New Roman" w:hAnsi="Garamond" w:cs="Times New Roman"/>
                <w:color w:val="000000"/>
              </w:rPr>
              <w:t>24</w:t>
            </w:r>
          </w:p>
        </w:tc>
      </w:tr>
      <w:tr w:rsidR="007277EF" w:rsidRPr="00DC076D" w:rsidTr="007D0D4F">
        <w:trPr>
          <w:trHeight w:val="117"/>
        </w:trPr>
        <w:tc>
          <w:tcPr>
            <w:tcW w:w="3716" w:type="pct"/>
            <w:gridSpan w:val="6"/>
            <w:shd w:val="clear" w:color="auto" w:fill="auto"/>
            <w:noWrap/>
            <w:vAlign w:val="center"/>
            <w:hideMark/>
          </w:tcPr>
          <w:p w:rsidR="007277EF" w:rsidRPr="00152C38" w:rsidRDefault="007277EF" w:rsidP="007D0D4F">
            <w:pPr>
              <w:spacing w:after="0" w:line="240" w:lineRule="auto"/>
              <w:ind w:left="360"/>
              <w:rPr>
                <w:rFonts w:ascii="Garamond" w:eastAsia="Times New Roman" w:hAnsi="Garamond" w:cs="Times New Roman"/>
                <w:i/>
                <w:color w:val="000000"/>
              </w:rPr>
            </w:pPr>
            <w:r w:rsidRPr="00152C38">
              <w:rPr>
                <w:rFonts w:ascii="Garamond" w:eastAsia="Times New Roman" w:hAnsi="Garamond" w:cs="Times New Roman"/>
                <w:i/>
                <w:color w:val="000000"/>
              </w:rPr>
              <w:t>subtotal</w:t>
            </w:r>
          </w:p>
        </w:tc>
        <w:tc>
          <w:tcPr>
            <w:tcW w:w="603" w:type="pct"/>
            <w:shd w:val="clear" w:color="auto" w:fill="F2F2F2" w:themeFill="background1" w:themeFillShade="F2"/>
            <w:noWrap/>
            <w:vAlign w:val="center"/>
            <w:hideMark/>
          </w:tcPr>
          <w:p w:rsidR="007277EF" w:rsidRPr="00E20DC5" w:rsidRDefault="007277EF" w:rsidP="007D0D4F">
            <w:pPr>
              <w:spacing w:after="0" w:line="240" w:lineRule="auto"/>
              <w:ind w:right="411"/>
              <w:jc w:val="right"/>
              <w:rPr>
                <w:rFonts w:ascii="Garamond" w:eastAsia="Times New Roman" w:hAnsi="Garamond" w:cs="Times New Roman"/>
                <w:b/>
                <w:color w:val="000000"/>
              </w:rPr>
            </w:pPr>
            <w:r>
              <w:rPr>
                <w:rFonts w:ascii="Garamond" w:eastAsia="Times New Roman" w:hAnsi="Garamond" w:cs="Times New Roman"/>
                <w:b/>
                <w:color w:val="000000"/>
              </w:rPr>
              <w:t>260</w:t>
            </w:r>
          </w:p>
        </w:tc>
        <w:tc>
          <w:tcPr>
            <w:tcW w:w="681" w:type="pct"/>
            <w:shd w:val="clear" w:color="auto" w:fill="F2F2F2" w:themeFill="background1" w:themeFillShade="F2"/>
            <w:vAlign w:val="center"/>
          </w:tcPr>
          <w:p w:rsidR="007277EF" w:rsidRPr="00E20DC5" w:rsidRDefault="007277EF" w:rsidP="007D0D4F">
            <w:pPr>
              <w:spacing w:after="0" w:line="240" w:lineRule="auto"/>
              <w:ind w:right="386"/>
              <w:jc w:val="right"/>
              <w:rPr>
                <w:rFonts w:ascii="Garamond" w:eastAsia="Times New Roman" w:hAnsi="Garamond" w:cs="Times New Roman"/>
                <w:b/>
                <w:color w:val="000000"/>
              </w:rPr>
            </w:pPr>
            <w:r>
              <w:rPr>
                <w:rFonts w:ascii="Garamond" w:eastAsia="Times New Roman" w:hAnsi="Garamond" w:cs="Times New Roman"/>
                <w:b/>
                <w:color w:val="000000"/>
              </w:rPr>
              <w:t>44</w:t>
            </w:r>
          </w:p>
        </w:tc>
      </w:tr>
      <w:tr w:rsidR="00A52C38" w:rsidRPr="00DC076D" w:rsidTr="00A52C38">
        <w:trPr>
          <w:trHeight w:val="117"/>
        </w:trPr>
        <w:tc>
          <w:tcPr>
            <w:tcW w:w="784" w:type="pct"/>
            <w:vMerge w:val="restart"/>
            <w:shd w:val="clear" w:color="auto" w:fill="FFFFFF" w:themeFill="background1"/>
            <w:noWrap/>
            <w:vAlign w:val="center"/>
            <w:hideMark/>
          </w:tcPr>
          <w:p w:rsidR="008E14E3" w:rsidRPr="00DC076D" w:rsidRDefault="008E14E3" w:rsidP="008E14E3">
            <w:pPr>
              <w:spacing w:after="0" w:line="240" w:lineRule="auto"/>
              <w:rPr>
                <w:rFonts w:ascii="Garamond" w:eastAsia="Times New Roman" w:hAnsi="Garamond" w:cs="Times New Roman"/>
                <w:color w:val="000000"/>
              </w:rPr>
            </w:pPr>
            <w:r>
              <w:rPr>
                <w:rFonts w:ascii="Garamond" w:eastAsia="Times New Roman" w:hAnsi="Garamond" w:cs="Times New Roman"/>
                <w:color w:val="000000"/>
              </w:rPr>
              <w:t>T</w:t>
            </w:r>
            <w:r w:rsidRPr="00DC076D">
              <w:rPr>
                <w:rFonts w:ascii="Garamond" w:eastAsia="Times New Roman" w:hAnsi="Garamond" w:cs="Times New Roman"/>
                <w:color w:val="000000"/>
              </w:rPr>
              <w:t xml:space="preserve">eacher items in need of </w:t>
            </w:r>
            <w:r>
              <w:rPr>
                <w:rFonts w:ascii="Garamond" w:eastAsia="Times New Roman" w:hAnsi="Garamond" w:cs="Times New Roman"/>
                <w:color w:val="000000"/>
              </w:rPr>
              <w:t>testing</w:t>
            </w:r>
          </w:p>
        </w:tc>
        <w:tc>
          <w:tcPr>
            <w:tcW w:w="432"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public</w:t>
            </w:r>
          </w:p>
        </w:tc>
        <w:tc>
          <w:tcPr>
            <w:tcW w:w="60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45</w:t>
            </w:r>
          </w:p>
        </w:tc>
        <w:tc>
          <w:tcPr>
            <w:tcW w:w="388"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2</w:t>
            </w:r>
          </w:p>
        </w:tc>
        <w:tc>
          <w:tcPr>
            <w:tcW w:w="73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4</w:t>
            </w:r>
          </w:p>
        </w:tc>
        <w:tc>
          <w:tcPr>
            <w:tcW w:w="776"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4</w:t>
            </w:r>
          </w:p>
        </w:tc>
        <w:tc>
          <w:tcPr>
            <w:tcW w:w="603" w:type="pct"/>
            <w:shd w:val="clear" w:color="auto" w:fill="auto"/>
            <w:noWrap/>
            <w:vAlign w:val="center"/>
            <w:hideMark/>
          </w:tcPr>
          <w:p w:rsidR="008E14E3" w:rsidRPr="00DC076D" w:rsidRDefault="008E14E3" w:rsidP="004150FA">
            <w:pPr>
              <w:spacing w:after="0" w:line="240" w:lineRule="auto"/>
              <w:ind w:right="411"/>
              <w:jc w:val="right"/>
              <w:rPr>
                <w:rFonts w:ascii="Garamond" w:eastAsia="Times New Roman" w:hAnsi="Garamond" w:cs="Times New Roman"/>
                <w:color w:val="000000"/>
              </w:rPr>
            </w:pPr>
            <w:r w:rsidRPr="00DC076D">
              <w:rPr>
                <w:rFonts w:ascii="Garamond" w:eastAsia="Times New Roman" w:hAnsi="Garamond" w:cs="Times New Roman"/>
                <w:color w:val="000000"/>
              </w:rPr>
              <w:t>16</w:t>
            </w:r>
          </w:p>
        </w:tc>
        <w:tc>
          <w:tcPr>
            <w:tcW w:w="681" w:type="pct"/>
            <w:vAlign w:val="center"/>
          </w:tcPr>
          <w:p w:rsidR="008E14E3" w:rsidRPr="00DC076D" w:rsidRDefault="00C2515E" w:rsidP="003E14D8">
            <w:pPr>
              <w:spacing w:after="0" w:line="240" w:lineRule="auto"/>
              <w:ind w:right="386"/>
              <w:jc w:val="right"/>
              <w:rPr>
                <w:rFonts w:ascii="Garamond" w:eastAsia="Times New Roman" w:hAnsi="Garamond" w:cs="Times New Roman"/>
                <w:color w:val="000000"/>
              </w:rPr>
            </w:pPr>
            <w:r>
              <w:rPr>
                <w:rFonts w:ascii="Garamond" w:eastAsia="Times New Roman" w:hAnsi="Garamond" w:cs="Times New Roman"/>
                <w:color w:val="000000"/>
              </w:rPr>
              <w:t>12</w:t>
            </w:r>
          </w:p>
        </w:tc>
      </w:tr>
      <w:tr w:rsidR="00A52C38" w:rsidRPr="00DC076D" w:rsidTr="00A52C38">
        <w:trPr>
          <w:trHeight w:val="117"/>
        </w:trPr>
        <w:tc>
          <w:tcPr>
            <w:tcW w:w="784" w:type="pct"/>
            <w:vMerge/>
            <w:shd w:val="clear" w:color="auto" w:fill="FFFFFF" w:themeFill="background1"/>
            <w:vAlign w:val="center"/>
            <w:hideMark/>
          </w:tcPr>
          <w:p w:rsidR="008E14E3" w:rsidRPr="00DC076D" w:rsidRDefault="008E14E3" w:rsidP="008E14E3">
            <w:pPr>
              <w:spacing w:after="0" w:line="240" w:lineRule="auto"/>
              <w:rPr>
                <w:rFonts w:ascii="Garamond" w:eastAsia="Times New Roman" w:hAnsi="Garamond" w:cs="Times New Roman"/>
                <w:color w:val="000000"/>
              </w:rPr>
            </w:pPr>
          </w:p>
        </w:tc>
        <w:tc>
          <w:tcPr>
            <w:tcW w:w="432"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charter</w:t>
            </w:r>
          </w:p>
        </w:tc>
        <w:tc>
          <w:tcPr>
            <w:tcW w:w="60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45</w:t>
            </w:r>
          </w:p>
        </w:tc>
        <w:tc>
          <w:tcPr>
            <w:tcW w:w="388"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2</w:t>
            </w:r>
          </w:p>
        </w:tc>
        <w:tc>
          <w:tcPr>
            <w:tcW w:w="73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3</w:t>
            </w:r>
          </w:p>
        </w:tc>
        <w:tc>
          <w:tcPr>
            <w:tcW w:w="776"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3</w:t>
            </w:r>
          </w:p>
        </w:tc>
        <w:tc>
          <w:tcPr>
            <w:tcW w:w="603" w:type="pct"/>
            <w:shd w:val="clear" w:color="auto" w:fill="auto"/>
            <w:noWrap/>
            <w:vAlign w:val="center"/>
            <w:hideMark/>
          </w:tcPr>
          <w:p w:rsidR="008E14E3" w:rsidRPr="00DC076D" w:rsidRDefault="008E14E3" w:rsidP="004150FA">
            <w:pPr>
              <w:spacing w:after="0" w:line="240" w:lineRule="auto"/>
              <w:ind w:right="411"/>
              <w:jc w:val="right"/>
              <w:rPr>
                <w:rFonts w:ascii="Garamond" w:eastAsia="Times New Roman" w:hAnsi="Garamond" w:cs="Times New Roman"/>
                <w:color w:val="000000"/>
              </w:rPr>
            </w:pPr>
            <w:r>
              <w:rPr>
                <w:rFonts w:ascii="Garamond" w:eastAsia="Times New Roman" w:hAnsi="Garamond" w:cs="Times New Roman"/>
                <w:color w:val="000000"/>
              </w:rPr>
              <w:t>12</w:t>
            </w:r>
          </w:p>
        </w:tc>
        <w:tc>
          <w:tcPr>
            <w:tcW w:w="681" w:type="pct"/>
            <w:vAlign w:val="center"/>
          </w:tcPr>
          <w:p w:rsidR="008E14E3" w:rsidRDefault="004150FA" w:rsidP="003E14D8">
            <w:pPr>
              <w:spacing w:after="0" w:line="240" w:lineRule="auto"/>
              <w:ind w:right="386"/>
              <w:jc w:val="right"/>
              <w:rPr>
                <w:rFonts w:ascii="Garamond" w:eastAsia="Times New Roman" w:hAnsi="Garamond" w:cs="Times New Roman"/>
                <w:color w:val="000000"/>
              </w:rPr>
            </w:pPr>
            <w:r>
              <w:rPr>
                <w:rFonts w:ascii="Garamond" w:eastAsia="Times New Roman" w:hAnsi="Garamond" w:cs="Times New Roman"/>
                <w:color w:val="000000"/>
              </w:rPr>
              <w:t>9</w:t>
            </w:r>
          </w:p>
        </w:tc>
      </w:tr>
      <w:tr w:rsidR="00A52C38" w:rsidRPr="00DC076D" w:rsidTr="00A52C38">
        <w:trPr>
          <w:trHeight w:val="117"/>
        </w:trPr>
        <w:tc>
          <w:tcPr>
            <w:tcW w:w="784" w:type="pct"/>
            <w:vMerge/>
            <w:shd w:val="clear" w:color="auto" w:fill="FFFFFF" w:themeFill="background1"/>
            <w:vAlign w:val="center"/>
            <w:hideMark/>
          </w:tcPr>
          <w:p w:rsidR="008E14E3" w:rsidRPr="00DC076D" w:rsidRDefault="008E14E3" w:rsidP="008E14E3">
            <w:pPr>
              <w:spacing w:after="0" w:line="240" w:lineRule="auto"/>
              <w:rPr>
                <w:rFonts w:ascii="Garamond" w:eastAsia="Times New Roman" w:hAnsi="Garamond" w:cs="Times New Roman"/>
                <w:color w:val="000000"/>
              </w:rPr>
            </w:pPr>
          </w:p>
        </w:tc>
        <w:tc>
          <w:tcPr>
            <w:tcW w:w="432"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private</w:t>
            </w:r>
          </w:p>
        </w:tc>
        <w:tc>
          <w:tcPr>
            <w:tcW w:w="60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45</w:t>
            </w:r>
          </w:p>
        </w:tc>
        <w:tc>
          <w:tcPr>
            <w:tcW w:w="388"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2</w:t>
            </w:r>
          </w:p>
        </w:tc>
        <w:tc>
          <w:tcPr>
            <w:tcW w:w="73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4</w:t>
            </w:r>
          </w:p>
        </w:tc>
        <w:tc>
          <w:tcPr>
            <w:tcW w:w="776"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4</w:t>
            </w:r>
          </w:p>
        </w:tc>
        <w:tc>
          <w:tcPr>
            <w:tcW w:w="603" w:type="pct"/>
            <w:shd w:val="clear" w:color="auto" w:fill="auto"/>
            <w:noWrap/>
            <w:vAlign w:val="center"/>
            <w:hideMark/>
          </w:tcPr>
          <w:p w:rsidR="008E14E3" w:rsidRPr="00DC076D" w:rsidRDefault="008E14E3" w:rsidP="004150FA">
            <w:pPr>
              <w:spacing w:after="0" w:line="240" w:lineRule="auto"/>
              <w:ind w:right="411"/>
              <w:jc w:val="right"/>
              <w:rPr>
                <w:rFonts w:ascii="Garamond" w:eastAsia="Times New Roman" w:hAnsi="Garamond" w:cs="Times New Roman"/>
                <w:color w:val="000000"/>
              </w:rPr>
            </w:pPr>
            <w:r>
              <w:rPr>
                <w:rFonts w:ascii="Garamond" w:eastAsia="Times New Roman" w:hAnsi="Garamond" w:cs="Times New Roman"/>
                <w:color w:val="000000"/>
              </w:rPr>
              <w:t>16</w:t>
            </w:r>
          </w:p>
        </w:tc>
        <w:tc>
          <w:tcPr>
            <w:tcW w:w="681" w:type="pct"/>
            <w:vAlign w:val="center"/>
          </w:tcPr>
          <w:p w:rsidR="008E14E3" w:rsidRDefault="004150FA" w:rsidP="003E14D8">
            <w:pPr>
              <w:spacing w:after="0" w:line="240" w:lineRule="auto"/>
              <w:ind w:right="386"/>
              <w:jc w:val="right"/>
              <w:rPr>
                <w:rFonts w:ascii="Garamond" w:eastAsia="Times New Roman" w:hAnsi="Garamond" w:cs="Times New Roman"/>
                <w:color w:val="000000"/>
              </w:rPr>
            </w:pPr>
            <w:r>
              <w:rPr>
                <w:rFonts w:ascii="Garamond" w:eastAsia="Times New Roman" w:hAnsi="Garamond" w:cs="Times New Roman"/>
                <w:color w:val="000000"/>
              </w:rPr>
              <w:t>12</w:t>
            </w:r>
          </w:p>
        </w:tc>
      </w:tr>
      <w:tr w:rsidR="007D419A" w:rsidRPr="00DC076D" w:rsidTr="007D419A">
        <w:trPr>
          <w:trHeight w:val="117"/>
        </w:trPr>
        <w:tc>
          <w:tcPr>
            <w:tcW w:w="3716" w:type="pct"/>
            <w:gridSpan w:val="6"/>
            <w:shd w:val="clear" w:color="auto" w:fill="auto"/>
            <w:noWrap/>
            <w:vAlign w:val="center"/>
            <w:hideMark/>
          </w:tcPr>
          <w:p w:rsidR="007D419A" w:rsidRPr="00152C38" w:rsidRDefault="00152C38" w:rsidP="00AC0E22">
            <w:pPr>
              <w:spacing w:after="0" w:line="240" w:lineRule="auto"/>
              <w:ind w:left="360"/>
              <w:rPr>
                <w:rFonts w:ascii="Garamond" w:eastAsia="Times New Roman" w:hAnsi="Garamond" w:cs="Times New Roman"/>
                <w:i/>
                <w:color w:val="000000"/>
              </w:rPr>
            </w:pPr>
            <w:r w:rsidRPr="00152C38">
              <w:rPr>
                <w:rFonts w:ascii="Garamond" w:eastAsia="Times New Roman" w:hAnsi="Garamond" w:cs="Times New Roman"/>
                <w:i/>
                <w:color w:val="000000"/>
              </w:rPr>
              <w:t>subtotal</w:t>
            </w:r>
          </w:p>
        </w:tc>
        <w:tc>
          <w:tcPr>
            <w:tcW w:w="603" w:type="pct"/>
            <w:shd w:val="clear" w:color="auto" w:fill="F2F2F2" w:themeFill="background1" w:themeFillShade="F2"/>
            <w:noWrap/>
            <w:vAlign w:val="center"/>
            <w:hideMark/>
          </w:tcPr>
          <w:p w:rsidR="007D419A" w:rsidRPr="00E20DC5" w:rsidRDefault="007D419A" w:rsidP="004150FA">
            <w:pPr>
              <w:spacing w:after="0" w:line="240" w:lineRule="auto"/>
              <w:ind w:right="411"/>
              <w:jc w:val="right"/>
              <w:rPr>
                <w:rFonts w:ascii="Garamond" w:eastAsia="Times New Roman" w:hAnsi="Garamond" w:cs="Times New Roman"/>
                <w:b/>
                <w:color w:val="000000"/>
              </w:rPr>
            </w:pPr>
            <w:r w:rsidRPr="00E20DC5">
              <w:rPr>
                <w:rFonts w:ascii="Garamond" w:eastAsia="Times New Roman" w:hAnsi="Garamond" w:cs="Times New Roman"/>
                <w:b/>
                <w:color w:val="000000"/>
              </w:rPr>
              <w:t>44</w:t>
            </w:r>
          </w:p>
        </w:tc>
        <w:tc>
          <w:tcPr>
            <w:tcW w:w="681" w:type="pct"/>
            <w:shd w:val="clear" w:color="auto" w:fill="F2F2F2" w:themeFill="background1" w:themeFillShade="F2"/>
            <w:vAlign w:val="center"/>
          </w:tcPr>
          <w:p w:rsidR="007D419A" w:rsidRPr="00E20DC5" w:rsidRDefault="007D419A" w:rsidP="003E14D8">
            <w:pPr>
              <w:spacing w:after="0" w:line="240" w:lineRule="auto"/>
              <w:ind w:right="386"/>
              <w:jc w:val="right"/>
              <w:rPr>
                <w:rFonts w:ascii="Garamond" w:eastAsia="Times New Roman" w:hAnsi="Garamond" w:cs="Times New Roman"/>
                <w:b/>
                <w:color w:val="000000"/>
              </w:rPr>
            </w:pPr>
            <w:r>
              <w:rPr>
                <w:rFonts w:ascii="Garamond" w:eastAsia="Times New Roman" w:hAnsi="Garamond" w:cs="Times New Roman"/>
                <w:b/>
                <w:color w:val="000000"/>
              </w:rPr>
              <w:t>33</w:t>
            </w:r>
          </w:p>
        </w:tc>
      </w:tr>
      <w:tr w:rsidR="00A52C38" w:rsidRPr="00DC076D" w:rsidTr="00A52C38">
        <w:trPr>
          <w:trHeight w:val="117"/>
        </w:trPr>
        <w:tc>
          <w:tcPr>
            <w:tcW w:w="784" w:type="pct"/>
            <w:vMerge w:val="restart"/>
            <w:shd w:val="clear" w:color="auto" w:fill="FFFFFF" w:themeFill="background1"/>
            <w:noWrap/>
            <w:vAlign w:val="center"/>
            <w:hideMark/>
          </w:tcPr>
          <w:p w:rsidR="008E14E3" w:rsidRPr="00DC076D" w:rsidRDefault="008E14E3" w:rsidP="008E14E3">
            <w:pPr>
              <w:spacing w:after="0" w:line="240" w:lineRule="auto"/>
              <w:rPr>
                <w:rFonts w:ascii="Garamond" w:eastAsia="Times New Roman" w:hAnsi="Garamond" w:cs="Times New Roman"/>
                <w:color w:val="000000"/>
              </w:rPr>
            </w:pPr>
            <w:r>
              <w:rPr>
                <w:rFonts w:ascii="Garamond" w:eastAsia="Times New Roman" w:hAnsi="Garamond" w:cs="Times New Roman"/>
                <w:color w:val="000000"/>
              </w:rPr>
              <w:t>P</w:t>
            </w:r>
            <w:r w:rsidRPr="00DC076D">
              <w:rPr>
                <w:rFonts w:ascii="Garamond" w:eastAsia="Times New Roman" w:hAnsi="Garamond" w:cs="Times New Roman"/>
                <w:color w:val="000000"/>
              </w:rPr>
              <w:t xml:space="preserve">rincipal items in need of </w:t>
            </w:r>
            <w:r>
              <w:rPr>
                <w:rFonts w:ascii="Garamond" w:eastAsia="Times New Roman" w:hAnsi="Garamond" w:cs="Times New Roman"/>
                <w:color w:val="000000"/>
              </w:rPr>
              <w:t>testing</w:t>
            </w:r>
          </w:p>
        </w:tc>
        <w:tc>
          <w:tcPr>
            <w:tcW w:w="432"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public</w:t>
            </w:r>
          </w:p>
        </w:tc>
        <w:tc>
          <w:tcPr>
            <w:tcW w:w="60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45</w:t>
            </w:r>
          </w:p>
        </w:tc>
        <w:tc>
          <w:tcPr>
            <w:tcW w:w="388"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2</w:t>
            </w:r>
          </w:p>
        </w:tc>
        <w:tc>
          <w:tcPr>
            <w:tcW w:w="73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776"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603" w:type="pct"/>
            <w:shd w:val="clear" w:color="auto" w:fill="auto"/>
            <w:noWrap/>
            <w:vAlign w:val="center"/>
            <w:hideMark/>
          </w:tcPr>
          <w:p w:rsidR="008E14E3" w:rsidRPr="00DC076D" w:rsidRDefault="008E14E3" w:rsidP="004150FA">
            <w:pPr>
              <w:spacing w:after="0" w:line="240" w:lineRule="auto"/>
              <w:ind w:right="411"/>
              <w:jc w:val="right"/>
              <w:rPr>
                <w:rFonts w:ascii="Garamond" w:eastAsia="Times New Roman" w:hAnsi="Garamond" w:cs="Times New Roman"/>
                <w:color w:val="000000"/>
              </w:rPr>
            </w:pPr>
            <w:r>
              <w:rPr>
                <w:rFonts w:ascii="Garamond" w:eastAsia="Times New Roman" w:hAnsi="Garamond" w:cs="Times New Roman"/>
                <w:color w:val="000000"/>
              </w:rPr>
              <w:t>20</w:t>
            </w:r>
          </w:p>
        </w:tc>
        <w:tc>
          <w:tcPr>
            <w:tcW w:w="681" w:type="pct"/>
            <w:vAlign w:val="center"/>
          </w:tcPr>
          <w:p w:rsidR="008E14E3" w:rsidRDefault="004150FA" w:rsidP="003E14D8">
            <w:pPr>
              <w:spacing w:after="0" w:line="240" w:lineRule="auto"/>
              <w:ind w:right="386"/>
              <w:jc w:val="right"/>
              <w:rPr>
                <w:rFonts w:ascii="Garamond" w:eastAsia="Times New Roman" w:hAnsi="Garamond" w:cs="Times New Roman"/>
                <w:color w:val="000000"/>
              </w:rPr>
            </w:pPr>
            <w:r>
              <w:rPr>
                <w:rFonts w:ascii="Garamond" w:eastAsia="Times New Roman" w:hAnsi="Garamond" w:cs="Times New Roman"/>
                <w:color w:val="000000"/>
              </w:rPr>
              <w:t>15</w:t>
            </w:r>
          </w:p>
        </w:tc>
      </w:tr>
      <w:tr w:rsidR="00A52C38" w:rsidRPr="00DC076D" w:rsidTr="00A52C38">
        <w:trPr>
          <w:trHeight w:val="117"/>
        </w:trPr>
        <w:tc>
          <w:tcPr>
            <w:tcW w:w="784" w:type="pct"/>
            <w:vMerge/>
            <w:shd w:val="clear" w:color="auto" w:fill="FFFFFF" w:themeFill="background1"/>
            <w:vAlign w:val="center"/>
            <w:hideMark/>
          </w:tcPr>
          <w:p w:rsidR="008E14E3" w:rsidRPr="00DC076D" w:rsidRDefault="008E14E3" w:rsidP="008E14E3">
            <w:pPr>
              <w:spacing w:after="0" w:line="240" w:lineRule="auto"/>
              <w:rPr>
                <w:rFonts w:ascii="Garamond" w:eastAsia="Times New Roman" w:hAnsi="Garamond" w:cs="Times New Roman"/>
                <w:color w:val="000000"/>
              </w:rPr>
            </w:pPr>
          </w:p>
        </w:tc>
        <w:tc>
          <w:tcPr>
            <w:tcW w:w="432"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private</w:t>
            </w:r>
          </w:p>
        </w:tc>
        <w:tc>
          <w:tcPr>
            <w:tcW w:w="60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45</w:t>
            </w:r>
          </w:p>
        </w:tc>
        <w:tc>
          <w:tcPr>
            <w:tcW w:w="388"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2</w:t>
            </w:r>
          </w:p>
        </w:tc>
        <w:tc>
          <w:tcPr>
            <w:tcW w:w="73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5</w:t>
            </w:r>
          </w:p>
        </w:tc>
        <w:tc>
          <w:tcPr>
            <w:tcW w:w="776"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5</w:t>
            </w:r>
          </w:p>
        </w:tc>
        <w:tc>
          <w:tcPr>
            <w:tcW w:w="603" w:type="pct"/>
            <w:shd w:val="clear" w:color="auto" w:fill="auto"/>
            <w:noWrap/>
            <w:vAlign w:val="center"/>
            <w:hideMark/>
          </w:tcPr>
          <w:p w:rsidR="008E14E3" w:rsidRPr="00DC076D" w:rsidRDefault="008E14E3" w:rsidP="004150FA">
            <w:pPr>
              <w:spacing w:after="0" w:line="240" w:lineRule="auto"/>
              <w:ind w:right="411"/>
              <w:jc w:val="right"/>
              <w:rPr>
                <w:rFonts w:ascii="Garamond" w:eastAsia="Times New Roman" w:hAnsi="Garamond" w:cs="Times New Roman"/>
                <w:color w:val="000000"/>
              </w:rPr>
            </w:pPr>
            <w:r w:rsidRPr="00DC076D">
              <w:rPr>
                <w:rFonts w:ascii="Garamond" w:eastAsia="Times New Roman" w:hAnsi="Garamond" w:cs="Times New Roman"/>
                <w:color w:val="000000"/>
              </w:rPr>
              <w:t>20</w:t>
            </w:r>
          </w:p>
        </w:tc>
        <w:tc>
          <w:tcPr>
            <w:tcW w:w="681" w:type="pct"/>
            <w:vAlign w:val="center"/>
          </w:tcPr>
          <w:p w:rsidR="008E14E3" w:rsidRPr="00DC076D" w:rsidRDefault="004150FA" w:rsidP="003E14D8">
            <w:pPr>
              <w:spacing w:after="0" w:line="240" w:lineRule="auto"/>
              <w:ind w:right="386"/>
              <w:jc w:val="right"/>
              <w:rPr>
                <w:rFonts w:ascii="Garamond" w:eastAsia="Times New Roman" w:hAnsi="Garamond" w:cs="Times New Roman"/>
                <w:color w:val="000000"/>
              </w:rPr>
            </w:pPr>
            <w:r>
              <w:rPr>
                <w:rFonts w:ascii="Garamond" w:eastAsia="Times New Roman" w:hAnsi="Garamond" w:cs="Times New Roman"/>
                <w:color w:val="000000"/>
              </w:rPr>
              <w:t>15</w:t>
            </w:r>
          </w:p>
        </w:tc>
      </w:tr>
      <w:tr w:rsidR="00A52C38" w:rsidRPr="00DC076D" w:rsidTr="00A52C38">
        <w:trPr>
          <w:trHeight w:val="117"/>
        </w:trPr>
        <w:tc>
          <w:tcPr>
            <w:tcW w:w="784" w:type="pct"/>
            <w:vMerge/>
            <w:shd w:val="clear" w:color="auto" w:fill="FFFFFF" w:themeFill="background1"/>
            <w:vAlign w:val="center"/>
            <w:hideMark/>
          </w:tcPr>
          <w:p w:rsidR="008E14E3" w:rsidRPr="00DC076D" w:rsidRDefault="008E14E3" w:rsidP="008E14E3">
            <w:pPr>
              <w:spacing w:after="0" w:line="240" w:lineRule="auto"/>
              <w:rPr>
                <w:rFonts w:ascii="Garamond" w:eastAsia="Times New Roman" w:hAnsi="Garamond" w:cs="Times New Roman"/>
                <w:color w:val="000000"/>
              </w:rPr>
            </w:pPr>
          </w:p>
        </w:tc>
        <w:tc>
          <w:tcPr>
            <w:tcW w:w="432"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charter</w:t>
            </w:r>
          </w:p>
        </w:tc>
        <w:tc>
          <w:tcPr>
            <w:tcW w:w="60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45</w:t>
            </w:r>
          </w:p>
        </w:tc>
        <w:tc>
          <w:tcPr>
            <w:tcW w:w="388"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2</w:t>
            </w:r>
          </w:p>
        </w:tc>
        <w:tc>
          <w:tcPr>
            <w:tcW w:w="73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2</w:t>
            </w:r>
          </w:p>
        </w:tc>
        <w:tc>
          <w:tcPr>
            <w:tcW w:w="776"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2</w:t>
            </w:r>
          </w:p>
        </w:tc>
        <w:tc>
          <w:tcPr>
            <w:tcW w:w="603" w:type="pct"/>
            <w:shd w:val="clear" w:color="auto" w:fill="auto"/>
            <w:noWrap/>
            <w:vAlign w:val="center"/>
            <w:hideMark/>
          </w:tcPr>
          <w:p w:rsidR="008E14E3" w:rsidRPr="00DC076D" w:rsidRDefault="008E14E3" w:rsidP="004150FA">
            <w:pPr>
              <w:spacing w:after="0" w:line="240" w:lineRule="auto"/>
              <w:ind w:right="411"/>
              <w:jc w:val="right"/>
              <w:rPr>
                <w:rFonts w:ascii="Garamond" w:eastAsia="Times New Roman" w:hAnsi="Garamond" w:cs="Times New Roman"/>
                <w:color w:val="000000"/>
              </w:rPr>
            </w:pPr>
            <w:r w:rsidRPr="00DC076D">
              <w:rPr>
                <w:rFonts w:ascii="Garamond" w:eastAsia="Times New Roman" w:hAnsi="Garamond" w:cs="Times New Roman"/>
                <w:color w:val="000000"/>
              </w:rPr>
              <w:t>8</w:t>
            </w:r>
          </w:p>
        </w:tc>
        <w:tc>
          <w:tcPr>
            <w:tcW w:w="681" w:type="pct"/>
            <w:vAlign w:val="center"/>
          </w:tcPr>
          <w:p w:rsidR="008E14E3" w:rsidRPr="00DC076D" w:rsidRDefault="004150FA" w:rsidP="003E14D8">
            <w:pPr>
              <w:spacing w:after="0" w:line="240" w:lineRule="auto"/>
              <w:ind w:right="386"/>
              <w:jc w:val="right"/>
              <w:rPr>
                <w:rFonts w:ascii="Garamond" w:eastAsia="Times New Roman" w:hAnsi="Garamond" w:cs="Times New Roman"/>
                <w:color w:val="000000"/>
              </w:rPr>
            </w:pPr>
            <w:r>
              <w:rPr>
                <w:rFonts w:ascii="Garamond" w:eastAsia="Times New Roman" w:hAnsi="Garamond" w:cs="Times New Roman"/>
                <w:color w:val="000000"/>
              </w:rPr>
              <w:t>6</w:t>
            </w:r>
          </w:p>
        </w:tc>
      </w:tr>
      <w:tr w:rsidR="007D419A" w:rsidRPr="00DC076D" w:rsidTr="007D419A">
        <w:trPr>
          <w:trHeight w:val="117"/>
        </w:trPr>
        <w:tc>
          <w:tcPr>
            <w:tcW w:w="3716" w:type="pct"/>
            <w:gridSpan w:val="6"/>
            <w:shd w:val="clear" w:color="auto" w:fill="auto"/>
            <w:noWrap/>
            <w:vAlign w:val="center"/>
            <w:hideMark/>
          </w:tcPr>
          <w:p w:rsidR="007D419A" w:rsidRPr="00DC076D" w:rsidRDefault="00152C38" w:rsidP="00AC0E22">
            <w:pPr>
              <w:spacing w:after="0" w:line="240" w:lineRule="auto"/>
              <w:ind w:left="360"/>
              <w:rPr>
                <w:rFonts w:ascii="Garamond" w:eastAsia="Times New Roman" w:hAnsi="Garamond" w:cs="Times New Roman"/>
                <w:color w:val="000000"/>
              </w:rPr>
            </w:pPr>
            <w:r w:rsidRPr="00152C38">
              <w:rPr>
                <w:rFonts w:ascii="Garamond" w:eastAsia="Times New Roman" w:hAnsi="Garamond" w:cs="Times New Roman"/>
                <w:i/>
                <w:color w:val="000000"/>
              </w:rPr>
              <w:t>subtotal</w:t>
            </w:r>
          </w:p>
        </w:tc>
        <w:tc>
          <w:tcPr>
            <w:tcW w:w="603" w:type="pct"/>
            <w:shd w:val="clear" w:color="auto" w:fill="F2F2F2" w:themeFill="background1" w:themeFillShade="F2"/>
            <w:noWrap/>
            <w:vAlign w:val="center"/>
            <w:hideMark/>
          </w:tcPr>
          <w:p w:rsidR="007D419A" w:rsidRPr="00E20DC5" w:rsidRDefault="007D419A" w:rsidP="004150FA">
            <w:pPr>
              <w:spacing w:after="0" w:line="240" w:lineRule="auto"/>
              <w:ind w:right="411"/>
              <w:jc w:val="right"/>
              <w:rPr>
                <w:rFonts w:ascii="Garamond" w:eastAsia="Times New Roman" w:hAnsi="Garamond" w:cs="Times New Roman"/>
                <w:b/>
                <w:color w:val="000000"/>
              </w:rPr>
            </w:pPr>
            <w:r w:rsidRPr="00E20DC5">
              <w:rPr>
                <w:rFonts w:ascii="Garamond" w:eastAsia="Times New Roman" w:hAnsi="Garamond" w:cs="Times New Roman"/>
                <w:b/>
                <w:color w:val="000000"/>
              </w:rPr>
              <w:t>48</w:t>
            </w:r>
          </w:p>
        </w:tc>
        <w:tc>
          <w:tcPr>
            <w:tcW w:w="681" w:type="pct"/>
            <w:shd w:val="clear" w:color="auto" w:fill="F2F2F2" w:themeFill="background1" w:themeFillShade="F2"/>
            <w:vAlign w:val="center"/>
          </w:tcPr>
          <w:p w:rsidR="007D419A" w:rsidRPr="00E20DC5" w:rsidRDefault="007D419A" w:rsidP="003E14D8">
            <w:pPr>
              <w:spacing w:after="0" w:line="240" w:lineRule="auto"/>
              <w:ind w:right="386"/>
              <w:jc w:val="right"/>
              <w:rPr>
                <w:rFonts w:ascii="Garamond" w:eastAsia="Times New Roman" w:hAnsi="Garamond" w:cs="Times New Roman"/>
                <w:b/>
                <w:color w:val="000000"/>
              </w:rPr>
            </w:pPr>
            <w:r>
              <w:rPr>
                <w:rFonts w:ascii="Garamond" w:eastAsia="Times New Roman" w:hAnsi="Garamond" w:cs="Times New Roman"/>
                <w:b/>
                <w:color w:val="000000"/>
              </w:rPr>
              <w:t>36</w:t>
            </w:r>
          </w:p>
        </w:tc>
      </w:tr>
      <w:tr w:rsidR="00A52C38" w:rsidRPr="00DC076D" w:rsidTr="00A52C38">
        <w:trPr>
          <w:trHeight w:val="117"/>
        </w:trPr>
        <w:tc>
          <w:tcPr>
            <w:tcW w:w="784" w:type="pct"/>
            <w:vMerge w:val="restart"/>
            <w:shd w:val="clear" w:color="auto" w:fill="FFFFFF" w:themeFill="background1"/>
            <w:noWrap/>
            <w:vAlign w:val="center"/>
            <w:hideMark/>
          </w:tcPr>
          <w:p w:rsidR="008E14E3" w:rsidRPr="00DC076D" w:rsidRDefault="008E14E3" w:rsidP="008E14E3">
            <w:pPr>
              <w:spacing w:after="0" w:line="240" w:lineRule="auto"/>
              <w:rPr>
                <w:rFonts w:ascii="Garamond" w:eastAsia="Times New Roman" w:hAnsi="Garamond" w:cs="Times New Roman"/>
                <w:color w:val="000000"/>
              </w:rPr>
            </w:pPr>
            <w:r>
              <w:rPr>
                <w:rFonts w:ascii="Garamond" w:eastAsia="Times New Roman" w:hAnsi="Garamond" w:cs="Times New Roman"/>
                <w:color w:val="000000"/>
              </w:rPr>
              <w:t>F</w:t>
            </w:r>
            <w:r w:rsidRPr="00DC076D">
              <w:rPr>
                <w:rFonts w:ascii="Garamond" w:eastAsia="Times New Roman" w:hAnsi="Garamond" w:cs="Times New Roman"/>
                <w:color w:val="000000"/>
              </w:rPr>
              <w:t>ull teacher questionnaire</w:t>
            </w:r>
          </w:p>
        </w:tc>
        <w:tc>
          <w:tcPr>
            <w:tcW w:w="432"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public</w:t>
            </w:r>
          </w:p>
        </w:tc>
        <w:tc>
          <w:tcPr>
            <w:tcW w:w="60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60</w:t>
            </w:r>
          </w:p>
        </w:tc>
        <w:tc>
          <w:tcPr>
            <w:tcW w:w="388"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2</w:t>
            </w:r>
          </w:p>
        </w:tc>
        <w:tc>
          <w:tcPr>
            <w:tcW w:w="73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3</w:t>
            </w:r>
          </w:p>
        </w:tc>
        <w:tc>
          <w:tcPr>
            <w:tcW w:w="776"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3</w:t>
            </w:r>
          </w:p>
        </w:tc>
        <w:tc>
          <w:tcPr>
            <w:tcW w:w="603" w:type="pct"/>
            <w:shd w:val="clear" w:color="auto" w:fill="auto"/>
            <w:noWrap/>
            <w:vAlign w:val="center"/>
            <w:hideMark/>
          </w:tcPr>
          <w:p w:rsidR="008E14E3" w:rsidRPr="00DC076D" w:rsidRDefault="008E14E3" w:rsidP="004150FA">
            <w:pPr>
              <w:spacing w:after="0" w:line="240" w:lineRule="auto"/>
              <w:ind w:right="411"/>
              <w:jc w:val="right"/>
              <w:rPr>
                <w:rFonts w:ascii="Garamond" w:eastAsia="Times New Roman" w:hAnsi="Garamond" w:cs="Times New Roman"/>
                <w:color w:val="000000"/>
              </w:rPr>
            </w:pPr>
            <w:r>
              <w:rPr>
                <w:rFonts w:ascii="Garamond" w:eastAsia="Times New Roman" w:hAnsi="Garamond" w:cs="Times New Roman"/>
                <w:color w:val="000000"/>
              </w:rPr>
              <w:t>12</w:t>
            </w:r>
          </w:p>
        </w:tc>
        <w:tc>
          <w:tcPr>
            <w:tcW w:w="681" w:type="pct"/>
            <w:vAlign w:val="center"/>
          </w:tcPr>
          <w:p w:rsidR="008E14E3" w:rsidRPr="00DC076D" w:rsidRDefault="008E14E3" w:rsidP="003E14D8">
            <w:pPr>
              <w:spacing w:after="0" w:line="240" w:lineRule="auto"/>
              <w:ind w:right="386"/>
              <w:jc w:val="right"/>
              <w:rPr>
                <w:rFonts w:ascii="Garamond" w:eastAsia="Times New Roman" w:hAnsi="Garamond" w:cs="Times New Roman"/>
                <w:color w:val="000000"/>
              </w:rPr>
            </w:pPr>
            <w:r>
              <w:rPr>
                <w:rFonts w:ascii="Garamond" w:eastAsia="Times New Roman" w:hAnsi="Garamond" w:cs="Times New Roman"/>
                <w:color w:val="000000"/>
              </w:rPr>
              <w:t>12</w:t>
            </w:r>
          </w:p>
        </w:tc>
      </w:tr>
      <w:tr w:rsidR="00A52C38" w:rsidRPr="00DC076D" w:rsidTr="00A52C38">
        <w:trPr>
          <w:trHeight w:val="117"/>
        </w:trPr>
        <w:tc>
          <w:tcPr>
            <w:tcW w:w="784" w:type="pct"/>
            <w:vMerge/>
            <w:shd w:val="clear" w:color="auto" w:fill="FFFFFF" w:themeFill="background1"/>
            <w:vAlign w:val="center"/>
            <w:hideMark/>
          </w:tcPr>
          <w:p w:rsidR="008E14E3" w:rsidRPr="00DC076D" w:rsidRDefault="008E14E3" w:rsidP="008E14E3">
            <w:pPr>
              <w:spacing w:after="0" w:line="240" w:lineRule="auto"/>
              <w:rPr>
                <w:rFonts w:ascii="Garamond" w:eastAsia="Times New Roman" w:hAnsi="Garamond" w:cs="Times New Roman"/>
                <w:color w:val="000000"/>
              </w:rPr>
            </w:pPr>
          </w:p>
        </w:tc>
        <w:tc>
          <w:tcPr>
            <w:tcW w:w="432"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charter</w:t>
            </w:r>
          </w:p>
        </w:tc>
        <w:tc>
          <w:tcPr>
            <w:tcW w:w="60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60</w:t>
            </w:r>
          </w:p>
        </w:tc>
        <w:tc>
          <w:tcPr>
            <w:tcW w:w="388"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2</w:t>
            </w:r>
          </w:p>
        </w:tc>
        <w:tc>
          <w:tcPr>
            <w:tcW w:w="73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3</w:t>
            </w:r>
          </w:p>
        </w:tc>
        <w:tc>
          <w:tcPr>
            <w:tcW w:w="776"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3</w:t>
            </w:r>
          </w:p>
        </w:tc>
        <w:tc>
          <w:tcPr>
            <w:tcW w:w="603" w:type="pct"/>
            <w:shd w:val="clear" w:color="auto" w:fill="auto"/>
            <w:noWrap/>
            <w:vAlign w:val="center"/>
            <w:hideMark/>
          </w:tcPr>
          <w:p w:rsidR="008E14E3" w:rsidRPr="00DC076D" w:rsidRDefault="008E14E3" w:rsidP="004150FA">
            <w:pPr>
              <w:spacing w:after="0" w:line="240" w:lineRule="auto"/>
              <w:ind w:right="411"/>
              <w:jc w:val="right"/>
              <w:rPr>
                <w:rFonts w:ascii="Garamond" w:eastAsia="Times New Roman" w:hAnsi="Garamond" w:cs="Times New Roman"/>
                <w:color w:val="000000"/>
              </w:rPr>
            </w:pPr>
            <w:r>
              <w:rPr>
                <w:rFonts w:ascii="Garamond" w:eastAsia="Times New Roman" w:hAnsi="Garamond" w:cs="Times New Roman"/>
                <w:color w:val="000000"/>
              </w:rPr>
              <w:t>12</w:t>
            </w:r>
          </w:p>
        </w:tc>
        <w:tc>
          <w:tcPr>
            <w:tcW w:w="681" w:type="pct"/>
            <w:vAlign w:val="center"/>
          </w:tcPr>
          <w:p w:rsidR="008E14E3" w:rsidRPr="00DC076D" w:rsidRDefault="008E14E3" w:rsidP="003E14D8">
            <w:pPr>
              <w:spacing w:after="0" w:line="240" w:lineRule="auto"/>
              <w:ind w:right="386"/>
              <w:jc w:val="right"/>
              <w:rPr>
                <w:rFonts w:ascii="Garamond" w:eastAsia="Times New Roman" w:hAnsi="Garamond" w:cs="Times New Roman"/>
                <w:color w:val="000000"/>
              </w:rPr>
            </w:pPr>
            <w:r>
              <w:rPr>
                <w:rFonts w:ascii="Garamond" w:eastAsia="Times New Roman" w:hAnsi="Garamond" w:cs="Times New Roman"/>
                <w:color w:val="000000"/>
              </w:rPr>
              <w:t>12</w:t>
            </w:r>
          </w:p>
        </w:tc>
      </w:tr>
      <w:tr w:rsidR="00A52C38" w:rsidRPr="00DC076D" w:rsidTr="00A52C38">
        <w:trPr>
          <w:trHeight w:val="117"/>
        </w:trPr>
        <w:tc>
          <w:tcPr>
            <w:tcW w:w="784" w:type="pct"/>
            <w:vMerge/>
            <w:shd w:val="clear" w:color="auto" w:fill="FFFFFF" w:themeFill="background1"/>
            <w:vAlign w:val="center"/>
            <w:hideMark/>
          </w:tcPr>
          <w:p w:rsidR="008E14E3" w:rsidRPr="00DC076D" w:rsidRDefault="008E14E3" w:rsidP="008E14E3">
            <w:pPr>
              <w:spacing w:after="0" w:line="240" w:lineRule="auto"/>
              <w:rPr>
                <w:rFonts w:ascii="Garamond" w:eastAsia="Times New Roman" w:hAnsi="Garamond" w:cs="Times New Roman"/>
                <w:color w:val="000000"/>
              </w:rPr>
            </w:pPr>
          </w:p>
        </w:tc>
        <w:tc>
          <w:tcPr>
            <w:tcW w:w="432"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private</w:t>
            </w:r>
          </w:p>
        </w:tc>
        <w:tc>
          <w:tcPr>
            <w:tcW w:w="60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60</w:t>
            </w:r>
          </w:p>
        </w:tc>
        <w:tc>
          <w:tcPr>
            <w:tcW w:w="388"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2</w:t>
            </w:r>
          </w:p>
        </w:tc>
        <w:tc>
          <w:tcPr>
            <w:tcW w:w="73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3</w:t>
            </w:r>
          </w:p>
        </w:tc>
        <w:tc>
          <w:tcPr>
            <w:tcW w:w="776"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3</w:t>
            </w:r>
          </w:p>
        </w:tc>
        <w:tc>
          <w:tcPr>
            <w:tcW w:w="603" w:type="pct"/>
            <w:shd w:val="clear" w:color="auto" w:fill="auto"/>
            <w:noWrap/>
            <w:vAlign w:val="center"/>
            <w:hideMark/>
          </w:tcPr>
          <w:p w:rsidR="008E14E3" w:rsidRPr="00DC076D" w:rsidRDefault="008E14E3" w:rsidP="004150FA">
            <w:pPr>
              <w:spacing w:after="0" w:line="240" w:lineRule="auto"/>
              <w:ind w:right="411"/>
              <w:jc w:val="right"/>
              <w:rPr>
                <w:rFonts w:ascii="Garamond" w:eastAsia="Times New Roman" w:hAnsi="Garamond" w:cs="Times New Roman"/>
                <w:color w:val="000000"/>
              </w:rPr>
            </w:pPr>
            <w:r>
              <w:rPr>
                <w:rFonts w:ascii="Garamond" w:eastAsia="Times New Roman" w:hAnsi="Garamond" w:cs="Times New Roman"/>
                <w:color w:val="000000"/>
              </w:rPr>
              <w:t>12</w:t>
            </w:r>
          </w:p>
        </w:tc>
        <w:tc>
          <w:tcPr>
            <w:tcW w:w="681" w:type="pct"/>
            <w:vAlign w:val="center"/>
          </w:tcPr>
          <w:p w:rsidR="008E14E3" w:rsidRPr="00DC076D" w:rsidRDefault="008E14E3" w:rsidP="003E14D8">
            <w:pPr>
              <w:spacing w:after="0" w:line="240" w:lineRule="auto"/>
              <w:ind w:right="386"/>
              <w:jc w:val="right"/>
              <w:rPr>
                <w:rFonts w:ascii="Garamond" w:eastAsia="Times New Roman" w:hAnsi="Garamond" w:cs="Times New Roman"/>
                <w:color w:val="000000"/>
              </w:rPr>
            </w:pPr>
            <w:r>
              <w:rPr>
                <w:rFonts w:ascii="Garamond" w:eastAsia="Times New Roman" w:hAnsi="Garamond" w:cs="Times New Roman"/>
                <w:color w:val="000000"/>
              </w:rPr>
              <w:t>12</w:t>
            </w:r>
          </w:p>
        </w:tc>
      </w:tr>
      <w:tr w:rsidR="007D419A" w:rsidRPr="00DC076D" w:rsidTr="007D419A">
        <w:trPr>
          <w:trHeight w:val="117"/>
        </w:trPr>
        <w:tc>
          <w:tcPr>
            <w:tcW w:w="3716" w:type="pct"/>
            <w:gridSpan w:val="6"/>
            <w:shd w:val="clear" w:color="auto" w:fill="auto"/>
            <w:noWrap/>
            <w:vAlign w:val="center"/>
            <w:hideMark/>
          </w:tcPr>
          <w:p w:rsidR="007D419A" w:rsidRPr="00DC076D" w:rsidRDefault="00152C38" w:rsidP="00AC0E22">
            <w:pPr>
              <w:spacing w:after="0" w:line="240" w:lineRule="auto"/>
              <w:ind w:left="360"/>
              <w:rPr>
                <w:rFonts w:ascii="Garamond" w:eastAsia="Times New Roman" w:hAnsi="Garamond" w:cs="Times New Roman"/>
                <w:color w:val="000000"/>
              </w:rPr>
            </w:pPr>
            <w:r w:rsidRPr="00152C38">
              <w:rPr>
                <w:rFonts w:ascii="Garamond" w:eastAsia="Times New Roman" w:hAnsi="Garamond" w:cs="Times New Roman"/>
                <w:i/>
                <w:color w:val="000000"/>
              </w:rPr>
              <w:t>subtotal</w:t>
            </w:r>
          </w:p>
        </w:tc>
        <w:tc>
          <w:tcPr>
            <w:tcW w:w="603" w:type="pct"/>
            <w:shd w:val="clear" w:color="auto" w:fill="F2F2F2" w:themeFill="background1" w:themeFillShade="F2"/>
            <w:noWrap/>
            <w:vAlign w:val="center"/>
            <w:hideMark/>
          </w:tcPr>
          <w:p w:rsidR="007D419A" w:rsidRPr="00E20DC5" w:rsidRDefault="007D419A" w:rsidP="004150FA">
            <w:pPr>
              <w:spacing w:after="0" w:line="240" w:lineRule="auto"/>
              <w:ind w:right="411"/>
              <w:jc w:val="right"/>
              <w:rPr>
                <w:rFonts w:ascii="Garamond" w:eastAsia="Times New Roman" w:hAnsi="Garamond" w:cs="Times New Roman"/>
                <w:b/>
                <w:color w:val="000000"/>
              </w:rPr>
            </w:pPr>
            <w:r w:rsidRPr="00E20DC5">
              <w:rPr>
                <w:rFonts w:ascii="Garamond" w:eastAsia="Times New Roman" w:hAnsi="Garamond" w:cs="Times New Roman"/>
                <w:b/>
                <w:color w:val="000000"/>
              </w:rPr>
              <w:t>36</w:t>
            </w:r>
          </w:p>
        </w:tc>
        <w:tc>
          <w:tcPr>
            <w:tcW w:w="681" w:type="pct"/>
            <w:shd w:val="clear" w:color="auto" w:fill="F2F2F2" w:themeFill="background1" w:themeFillShade="F2"/>
            <w:vAlign w:val="center"/>
          </w:tcPr>
          <w:p w:rsidR="007D419A" w:rsidRPr="00E20DC5" w:rsidRDefault="007D419A" w:rsidP="003E14D8">
            <w:pPr>
              <w:spacing w:after="0" w:line="240" w:lineRule="auto"/>
              <w:ind w:right="386"/>
              <w:jc w:val="right"/>
              <w:rPr>
                <w:rFonts w:ascii="Garamond" w:eastAsia="Times New Roman" w:hAnsi="Garamond" w:cs="Times New Roman"/>
                <w:b/>
                <w:color w:val="000000"/>
              </w:rPr>
            </w:pPr>
            <w:r w:rsidRPr="00E20DC5">
              <w:rPr>
                <w:rFonts w:ascii="Garamond" w:eastAsia="Times New Roman" w:hAnsi="Garamond" w:cs="Times New Roman"/>
                <w:b/>
                <w:color w:val="000000"/>
              </w:rPr>
              <w:t>36</w:t>
            </w:r>
          </w:p>
        </w:tc>
      </w:tr>
      <w:tr w:rsidR="00A52C38" w:rsidRPr="00DC076D" w:rsidTr="00A52C38">
        <w:trPr>
          <w:trHeight w:val="117"/>
        </w:trPr>
        <w:tc>
          <w:tcPr>
            <w:tcW w:w="784" w:type="pct"/>
            <w:vMerge w:val="restart"/>
            <w:shd w:val="clear" w:color="auto" w:fill="FFFFFF" w:themeFill="background1"/>
            <w:noWrap/>
            <w:vAlign w:val="center"/>
            <w:hideMark/>
          </w:tcPr>
          <w:p w:rsidR="008E14E3" w:rsidRPr="00DC076D" w:rsidRDefault="008E14E3" w:rsidP="008E14E3">
            <w:pPr>
              <w:spacing w:after="0" w:line="240" w:lineRule="auto"/>
              <w:rPr>
                <w:rFonts w:ascii="Garamond" w:eastAsia="Times New Roman" w:hAnsi="Garamond" w:cs="Times New Roman"/>
                <w:color w:val="000000"/>
              </w:rPr>
            </w:pPr>
            <w:r>
              <w:rPr>
                <w:rFonts w:ascii="Garamond" w:eastAsia="Times New Roman" w:hAnsi="Garamond" w:cs="Times New Roman"/>
                <w:color w:val="000000"/>
              </w:rPr>
              <w:t>F</w:t>
            </w:r>
            <w:r w:rsidRPr="00DC076D">
              <w:rPr>
                <w:rFonts w:ascii="Garamond" w:eastAsia="Times New Roman" w:hAnsi="Garamond" w:cs="Times New Roman"/>
                <w:color w:val="000000"/>
              </w:rPr>
              <w:t>ull principal questionnaire</w:t>
            </w:r>
          </w:p>
        </w:tc>
        <w:tc>
          <w:tcPr>
            <w:tcW w:w="432"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public</w:t>
            </w:r>
          </w:p>
        </w:tc>
        <w:tc>
          <w:tcPr>
            <w:tcW w:w="60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60</w:t>
            </w:r>
          </w:p>
        </w:tc>
        <w:tc>
          <w:tcPr>
            <w:tcW w:w="388"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2</w:t>
            </w:r>
          </w:p>
        </w:tc>
        <w:tc>
          <w:tcPr>
            <w:tcW w:w="73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3</w:t>
            </w:r>
          </w:p>
        </w:tc>
        <w:tc>
          <w:tcPr>
            <w:tcW w:w="776"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3</w:t>
            </w:r>
          </w:p>
        </w:tc>
        <w:tc>
          <w:tcPr>
            <w:tcW w:w="603" w:type="pct"/>
            <w:shd w:val="clear" w:color="auto" w:fill="auto"/>
            <w:noWrap/>
            <w:vAlign w:val="center"/>
            <w:hideMark/>
          </w:tcPr>
          <w:p w:rsidR="008E14E3" w:rsidRPr="00DC076D" w:rsidRDefault="008E14E3" w:rsidP="004150FA">
            <w:pPr>
              <w:spacing w:after="0" w:line="240" w:lineRule="auto"/>
              <w:ind w:right="411"/>
              <w:jc w:val="right"/>
              <w:rPr>
                <w:rFonts w:ascii="Garamond" w:eastAsia="Times New Roman" w:hAnsi="Garamond" w:cs="Times New Roman"/>
                <w:color w:val="000000"/>
              </w:rPr>
            </w:pPr>
            <w:r w:rsidRPr="00DC076D">
              <w:rPr>
                <w:rFonts w:ascii="Garamond" w:eastAsia="Times New Roman" w:hAnsi="Garamond" w:cs="Times New Roman"/>
                <w:color w:val="000000"/>
              </w:rPr>
              <w:t>1</w:t>
            </w:r>
            <w:r>
              <w:rPr>
                <w:rFonts w:ascii="Garamond" w:eastAsia="Times New Roman" w:hAnsi="Garamond" w:cs="Times New Roman"/>
                <w:color w:val="000000"/>
              </w:rPr>
              <w:t>2</w:t>
            </w:r>
          </w:p>
        </w:tc>
        <w:tc>
          <w:tcPr>
            <w:tcW w:w="681" w:type="pct"/>
            <w:vAlign w:val="center"/>
          </w:tcPr>
          <w:p w:rsidR="008E14E3" w:rsidRPr="00DC076D" w:rsidRDefault="008E14E3" w:rsidP="003E14D8">
            <w:pPr>
              <w:spacing w:after="0" w:line="240" w:lineRule="auto"/>
              <w:ind w:right="386"/>
              <w:jc w:val="right"/>
              <w:rPr>
                <w:rFonts w:ascii="Garamond" w:eastAsia="Times New Roman" w:hAnsi="Garamond" w:cs="Times New Roman"/>
                <w:color w:val="000000"/>
              </w:rPr>
            </w:pPr>
            <w:r w:rsidRPr="00DC076D">
              <w:rPr>
                <w:rFonts w:ascii="Garamond" w:eastAsia="Times New Roman" w:hAnsi="Garamond" w:cs="Times New Roman"/>
                <w:color w:val="000000"/>
              </w:rPr>
              <w:t>1</w:t>
            </w:r>
            <w:r>
              <w:rPr>
                <w:rFonts w:ascii="Garamond" w:eastAsia="Times New Roman" w:hAnsi="Garamond" w:cs="Times New Roman"/>
                <w:color w:val="000000"/>
              </w:rPr>
              <w:t>2</w:t>
            </w:r>
          </w:p>
        </w:tc>
      </w:tr>
      <w:tr w:rsidR="00A52C38" w:rsidRPr="00DC076D" w:rsidTr="00A52C38">
        <w:trPr>
          <w:trHeight w:val="117"/>
        </w:trPr>
        <w:tc>
          <w:tcPr>
            <w:tcW w:w="784" w:type="pct"/>
            <w:vMerge/>
            <w:shd w:val="clear" w:color="auto" w:fill="FFFFFF" w:themeFill="background1"/>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p>
        </w:tc>
        <w:tc>
          <w:tcPr>
            <w:tcW w:w="432"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private</w:t>
            </w:r>
          </w:p>
        </w:tc>
        <w:tc>
          <w:tcPr>
            <w:tcW w:w="60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60</w:t>
            </w:r>
          </w:p>
        </w:tc>
        <w:tc>
          <w:tcPr>
            <w:tcW w:w="388"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2</w:t>
            </w:r>
          </w:p>
        </w:tc>
        <w:tc>
          <w:tcPr>
            <w:tcW w:w="73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3</w:t>
            </w:r>
          </w:p>
        </w:tc>
        <w:tc>
          <w:tcPr>
            <w:tcW w:w="776"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3</w:t>
            </w:r>
          </w:p>
        </w:tc>
        <w:tc>
          <w:tcPr>
            <w:tcW w:w="603" w:type="pct"/>
            <w:shd w:val="clear" w:color="auto" w:fill="auto"/>
            <w:noWrap/>
            <w:vAlign w:val="center"/>
            <w:hideMark/>
          </w:tcPr>
          <w:p w:rsidR="008E14E3" w:rsidRPr="00DC076D" w:rsidRDefault="008E14E3" w:rsidP="004150FA">
            <w:pPr>
              <w:spacing w:after="0" w:line="240" w:lineRule="auto"/>
              <w:ind w:right="411"/>
              <w:jc w:val="right"/>
              <w:rPr>
                <w:rFonts w:ascii="Garamond" w:eastAsia="Times New Roman" w:hAnsi="Garamond" w:cs="Times New Roman"/>
                <w:color w:val="000000"/>
              </w:rPr>
            </w:pPr>
            <w:r w:rsidRPr="00DC076D">
              <w:rPr>
                <w:rFonts w:ascii="Garamond" w:eastAsia="Times New Roman" w:hAnsi="Garamond" w:cs="Times New Roman"/>
                <w:color w:val="000000"/>
              </w:rPr>
              <w:t>1</w:t>
            </w:r>
            <w:r>
              <w:rPr>
                <w:rFonts w:ascii="Garamond" w:eastAsia="Times New Roman" w:hAnsi="Garamond" w:cs="Times New Roman"/>
                <w:color w:val="000000"/>
              </w:rPr>
              <w:t>2</w:t>
            </w:r>
          </w:p>
        </w:tc>
        <w:tc>
          <w:tcPr>
            <w:tcW w:w="681" w:type="pct"/>
            <w:vAlign w:val="center"/>
          </w:tcPr>
          <w:p w:rsidR="008E14E3" w:rsidRPr="00DC076D" w:rsidRDefault="008E14E3" w:rsidP="003E14D8">
            <w:pPr>
              <w:spacing w:after="0" w:line="240" w:lineRule="auto"/>
              <w:ind w:right="386"/>
              <w:jc w:val="right"/>
              <w:rPr>
                <w:rFonts w:ascii="Garamond" w:eastAsia="Times New Roman" w:hAnsi="Garamond" w:cs="Times New Roman"/>
                <w:color w:val="000000"/>
              </w:rPr>
            </w:pPr>
            <w:r w:rsidRPr="00DC076D">
              <w:rPr>
                <w:rFonts w:ascii="Garamond" w:eastAsia="Times New Roman" w:hAnsi="Garamond" w:cs="Times New Roman"/>
                <w:color w:val="000000"/>
              </w:rPr>
              <w:t>1</w:t>
            </w:r>
            <w:r>
              <w:rPr>
                <w:rFonts w:ascii="Garamond" w:eastAsia="Times New Roman" w:hAnsi="Garamond" w:cs="Times New Roman"/>
                <w:color w:val="000000"/>
              </w:rPr>
              <w:t>2</w:t>
            </w:r>
          </w:p>
        </w:tc>
      </w:tr>
      <w:tr w:rsidR="00A52C38" w:rsidRPr="00DC076D" w:rsidTr="00A52C38">
        <w:trPr>
          <w:trHeight w:val="117"/>
        </w:trPr>
        <w:tc>
          <w:tcPr>
            <w:tcW w:w="784" w:type="pct"/>
            <w:vMerge/>
            <w:shd w:val="clear" w:color="auto" w:fill="FFFFFF" w:themeFill="background1"/>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p>
        </w:tc>
        <w:tc>
          <w:tcPr>
            <w:tcW w:w="432"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charter</w:t>
            </w:r>
          </w:p>
        </w:tc>
        <w:tc>
          <w:tcPr>
            <w:tcW w:w="60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60</w:t>
            </w:r>
          </w:p>
        </w:tc>
        <w:tc>
          <w:tcPr>
            <w:tcW w:w="388"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2</w:t>
            </w:r>
          </w:p>
        </w:tc>
        <w:tc>
          <w:tcPr>
            <w:tcW w:w="733"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3</w:t>
            </w:r>
          </w:p>
        </w:tc>
        <w:tc>
          <w:tcPr>
            <w:tcW w:w="776" w:type="pct"/>
            <w:shd w:val="clear" w:color="auto" w:fill="auto"/>
            <w:noWrap/>
            <w:vAlign w:val="center"/>
            <w:hideMark/>
          </w:tcPr>
          <w:p w:rsidR="008E14E3" w:rsidRPr="00DC076D" w:rsidRDefault="008E14E3" w:rsidP="008E14E3">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3</w:t>
            </w:r>
          </w:p>
        </w:tc>
        <w:tc>
          <w:tcPr>
            <w:tcW w:w="603" w:type="pct"/>
            <w:shd w:val="clear" w:color="auto" w:fill="auto"/>
            <w:noWrap/>
            <w:vAlign w:val="center"/>
            <w:hideMark/>
          </w:tcPr>
          <w:p w:rsidR="008E14E3" w:rsidRPr="00DC076D" w:rsidRDefault="008E14E3" w:rsidP="004150FA">
            <w:pPr>
              <w:spacing w:after="0" w:line="240" w:lineRule="auto"/>
              <w:ind w:right="411"/>
              <w:jc w:val="right"/>
              <w:rPr>
                <w:rFonts w:ascii="Garamond" w:eastAsia="Times New Roman" w:hAnsi="Garamond" w:cs="Times New Roman"/>
                <w:color w:val="000000"/>
              </w:rPr>
            </w:pPr>
            <w:r w:rsidRPr="00DC076D">
              <w:rPr>
                <w:rFonts w:ascii="Garamond" w:eastAsia="Times New Roman" w:hAnsi="Garamond" w:cs="Times New Roman"/>
                <w:color w:val="000000"/>
              </w:rPr>
              <w:t>1</w:t>
            </w:r>
            <w:r>
              <w:rPr>
                <w:rFonts w:ascii="Garamond" w:eastAsia="Times New Roman" w:hAnsi="Garamond" w:cs="Times New Roman"/>
                <w:color w:val="000000"/>
              </w:rPr>
              <w:t>2</w:t>
            </w:r>
          </w:p>
        </w:tc>
        <w:tc>
          <w:tcPr>
            <w:tcW w:w="681" w:type="pct"/>
            <w:vAlign w:val="center"/>
          </w:tcPr>
          <w:p w:rsidR="008E14E3" w:rsidRPr="00DC076D" w:rsidRDefault="008E14E3" w:rsidP="003E14D8">
            <w:pPr>
              <w:spacing w:after="0" w:line="240" w:lineRule="auto"/>
              <w:ind w:right="386"/>
              <w:jc w:val="right"/>
              <w:rPr>
                <w:rFonts w:ascii="Garamond" w:eastAsia="Times New Roman" w:hAnsi="Garamond" w:cs="Times New Roman"/>
                <w:color w:val="000000"/>
              </w:rPr>
            </w:pPr>
            <w:r w:rsidRPr="00DC076D">
              <w:rPr>
                <w:rFonts w:ascii="Garamond" w:eastAsia="Times New Roman" w:hAnsi="Garamond" w:cs="Times New Roman"/>
                <w:color w:val="000000"/>
              </w:rPr>
              <w:t>1</w:t>
            </w:r>
            <w:r>
              <w:rPr>
                <w:rFonts w:ascii="Garamond" w:eastAsia="Times New Roman" w:hAnsi="Garamond" w:cs="Times New Roman"/>
                <w:color w:val="000000"/>
              </w:rPr>
              <w:t>2</w:t>
            </w:r>
          </w:p>
        </w:tc>
      </w:tr>
      <w:tr w:rsidR="007D419A" w:rsidRPr="00DC076D" w:rsidTr="007D419A">
        <w:trPr>
          <w:trHeight w:val="117"/>
        </w:trPr>
        <w:tc>
          <w:tcPr>
            <w:tcW w:w="3716" w:type="pct"/>
            <w:gridSpan w:val="6"/>
            <w:shd w:val="clear" w:color="auto" w:fill="auto"/>
            <w:noWrap/>
            <w:vAlign w:val="center"/>
            <w:hideMark/>
          </w:tcPr>
          <w:p w:rsidR="007D419A" w:rsidRPr="00DC076D" w:rsidRDefault="00152C38" w:rsidP="00AC0E22">
            <w:pPr>
              <w:spacing w:after="0" w:line="240" w:lineRule="auto"/>
              <w:ind w:left="360"/>
              <w:rPr>
                <w:rFonts w:ascii="Garamond" w:eastAsia="Times New Roman" w:hAnsi="Garamond" w:cs="Times New Roman"/>
                <w:color w:val="000000"/>
              </w:rPr>
            </w:pPr>
            <w:r w:rsidRPr="00152C38">
              <w:rPr>
                <w:rFonts w:ascii="Garamond" w:eastAsia="Times New Roman" w:hAnsi="Garamond" w:cs="Times New Roman"/>
                <w:i/>
                <w:color w:val="000000"/>
              </w:rPr>
              <w:t>subtotal</w:t>
            </w:r>
          </w:p>
        </w:tc>
        <w:tc>
          <w:tcPr>
            <w:tcW w:w="603" w:type="pct"/>
            <w:shd w:val="clear" w:color="auto" w:fill="F2F2F2" w:themeFill="background1" w:themeFillShade="F2"/>
            <w:noWrap/>
            <w:vAlign w:val="center"/>
            <w:hideMark/>
          </w:tcPr>
          <w:p w:rsidR="007D419A" w:rsidRPr="00E20DC5" w:rsidRDefault="007D419A" w:rsidP="004150FA">
            <w:pPr>
              <w:spacing w:after="0" w:line="240" w:lineRule="auto"/>
              <w:ind w:right="411"/>
              <w:jc w:val="right"/>
              <w:rPr>
                <w:rFonts w:ascii="Garamond" w:eastAsia="Times New Roman" w:hAnsi="Garamond" w:cs="Times New Roman"/>
                <w:b/>
                <w:color w:val="000000"/>
              </w:rPr>
            </w:pPr>
            <w:r w:rsidRPr="00E20DC5">
              <w:rPr>
                <w:rFonts w:ascii="Garamond" w:eastAsia="Times New Roman" w:hAnsi="Garamond" w:cs="Times New Roman"/>
                <w:b/>
                <w:color w:val="000000"/>
              </w:rPr>
              <w:t>36</w:t>
            </w:r>
          </w:p>
        </w:tc>
        <w:tc>
          <w:tcPr>
            <w:tcW w:w="681" w:type="pct"/>
            <w:shd w:val="clear" w:color="auto" w:fill="F2F2F2" w:themeFill="background1" w:themeFillShade="F2"/>
            <w:vAlign w:val="center"/>
          </w:tcPr>
          <w:p w:rsidR="007D419A" w:rsidRPr="00E20DC5" w:rsidRDefault="007D419A" w:rsidP="003E14D8">
            <w:pPr>
              <w:spacing w:after="0" w:line="240" w:lineRule="auto"/>
              <w:ind w:right="386"/>
              <w:jc w:val="right"/>
              <w:rPr>
                <w:rFonts w:ascii="Garamond" w:eastAsia="Times New Roman" w:hAnsi="Garamond" w:cs="Times New Roman"/>
                <w:b/>
                <w:color w:val="000000"/>
              </w:rPr>
            </w:pPr>
            <w:r w:rsidRPr="00E20DC5">
              <w:rPr>
                <w:rFonts w:ascii="Garamond" w:eastAsia="Times New Roman" w:hAnsi="Garamond" w:cs="Times New Roman"/>
                <w:b/>
                <w:color w:val="000000"/>
              </w:rPr>
              <w:t>36</w:t>
            </w:r>
          </w:p>
        </w:tc>
      </w:tr>
      <w:tr w:rsidR="00E32430" w:rsidRPr="00DC076D" w:rsidTr="00F351BD">
        <w:trPr>
          <w:trHeight w:val="117"/>
        </w:trPr>
        <w:tc>
          <w:tcPr>
            <w:tcW w:w="5000" w:type="pct"/>
            <w:gridSpan w:val="8"/>
            <w:shd w:val="clear" w:color="auto" w:fill="auto"/>
            <w:noWrap/>
            <w:vAlign w:val="center"/>
            <w:hideMark/>
          </w:tcPr>
          <w:p w:rsidR="00E32430" w:rsidRPr="00DC076D" w:rsidRDefault="00E32430" w:rsidP="00F351BD">
            <w:pPr>
              <w:spacing w:after="0" w:line="240" w:lineRule="auto"/>
              <w:jc w:val="center"/>
              <w:rPr>
                <w:rFonts w:ascii="Garamond" w:eastAsia="Times New Roman" w:hAnsi="Garamond" w:cs="Times New Roman"/>
                <w:color w:val="000000"/>
              </w:rPr>
            </w:pPr>
          </w:p>
        </w:tc>
      </w:tr>
      <w:tr w:rsidR="00A52C38" w:rsidRPr="00DC076D" w:rsidTr="00A52C38">
        <w:trPr>
          <w:trHeight w:val="117"/>
        </w:trPr>
        <w:tc>
          <w:tcPr>
            <w:tcW w:w="3716" w:type="pct"/>
            <w:gridSpan w:val="6"/>
            <w:shd w:val="clear" w:color="auto" w:fill="BFBFBF" w:themeFill="background1" w:themeFillShade="BF"/>
            <w:noWrap/>
            <w:vAlign w:val="center"/>
          </w:tcPr>
          <w:p w:rsidR="008E14E3" w:rsidRPr="004E6218" w:rsidRDefault="008E14E3" w:rsidP="008E14E3">
            <w:pPr>
              <w:spacing w:after="0" w:line="240" w:lineRule="auto"/>
              <w:rPr>
                <w:rFonts w:ascii="Garamond" w:eastAsia="Times New Roman" w:hAnsi="Garamond" w:cs="Times New Roman"/>
                <w:b/>
                <w:color w:val="000000"/>
              </w:rPr>
            </w:pPr>
            <w:r w:rsidRPr="004E6218">
              <w:rPr>
                <w:rFonts w:ascii="Garamond" w:eastAsia="Times New Roman" w:hAnsi="Garamond" w:cs="Times New Roman"/>
                <w:b/>
                <w:color w:val="000000"/>
              </w:rPr>
              <w:t xml:space="preserve">Total </w:t>
            </w:r>
            <w:r>
              <w:rPr>
                <w:rFonts w:ascii="Garamond" w:eastAsia="Times New Roman" w:hAnsi="Garamond" w:cs="Times New Roman"/>
                <w:b/>
                <w:color w:val="000000"/>
              </w:rPr>
              <w:t>Burden</w:t>
            </w:r>
            <w:r w:rsidR="007277EF">
              <w:rPr>
                <w:rFonts w:ascii="Garamond" w:eastAsia="Times New Roman" w:hAnsi="Garamond" w:cs="Times New Roman"/>
                <w:b/>
                <w:color w:val="000000"/>
              </w:rPr>
              <w:t xml:space="preserve">       (424 total responses)</w:t>
            </w:r>
          </w:p>
        </w:tc>
        <w:tc>
          <w:tcPr>
            <w:tcW w:w="603" w:type="pct"/>
            <w:shd w:val="clear" w:color="auto" w:fill="BFBFBF" w:themeFill="background1" w:themeFillShade="BF"/>
            <w:noWrap/>
            <w:vAlign w:val="center"/>
          </w:tcPr>
          <w:p w:rsidR="008E14E3" w:rsidRPr="004E6218" w:rsidRDefault="007277EF" w:rsidP="004150FA">
            <w:pPr>
              <w:spacing w:after="0" w:line="240" w:lineRule="auto"/>
              <w:ind w:right="411"/>
              <w:jc w:val="right"/>
              <w:rPr>
                <w:rFonts w:ascii="Garamond" w:eastAsia="Times New Roman" w:hAnsi="Garamond" w:cs="Times New Roman"/>
                <w:b/>
                <w:color w:val="000000"/>
              </w:rPr>
            </w:pPr>
            <w:r>
              <w:rPr>
                <w:rFonts w:ascii="Garamond" w:eastAsia="Times New Roman" w:hAnsi="Garamond" w:cs="Times New Roman"/>
                <w:b/>
                <w:color w:val="000000"/>
              </w:rPr>
              <w:t>260</w:t>
            </w:r>
          </w:p>
        </w:tc>
        <w:tc>
          <w:tcPr>
            <w:tcW w:w="681" w:type="pct"/>
            <w:shd w:val="clear" w:color="auto" w:fill="BFBFBF" w:themeFill="background1" w:themeFillShade="BF"/>
            <w:vAlign w:val="center"/>
          </w:tcPr>
          <w:p w:rsidR="008E14E3" w:rsidRPr="004E6218" w:rsidRDefault="004150FA" w:rsidP="007277EF">
            <w:pPr>
              <w:spacing w:after="0" w:line="240" w:lineRule="auto"/>
              <w:ind w:right="386"/>
              <w:jc w:val="right"/>
              <w:rPr>
                <w:rFonts w:ascii="Garamond" w:eastAsia="Times New Roman" w:hAnsi="Garamond" w:cs="Times New Roman"/>
                <w:b/>
                <w:color w:val="000000"/>
              </w:rPr>
            </w:pPr>
            <w:r>
              <w:rPr>
                <w:rFonts w:ascii="Garamond" w:eastAsia="Times New Roman" w:hAnsi="Garamond" w:cs="Times New Roman"/>
                <w:b/>
                <w:color w:val="000000"/>
              </w:rPr>
              <w:t>1</w:t>
            </w:r>
            <w:r w:rsidR="007277EF">
              <w:rPr>
                <w:rFonts w:ascii="Garamond" w:eastAsia="Times New Roman" w:hAnsi="Garamond" w:cs="Times New Roman"/>
                <w:b/>
                <w:color w:val="000000"/>
              </w:rPr>
              <w:t>85</w:t>
            </w:r>
          </w:p>
        </w:tc>
      </w:tr>
    </w:tbl>
    <w:p w:rsidR="00DC076D" w:rsidRPr="004E4C06" w:rsidRDefault="00DC076D" w:rsidP="005B7F51">
      <w:pPr>
        <w:ind w:firstLine="720"/>
        <w:rPr>
          <w:rFonts w:ascii="Garamond" w:hAnsi="Garamond"/>
        </w:rPr>
      </w:pPr>
    </w:p>
    <w:p w:rsidR="005B7F51" w:rsidRDefault="004E4C06" w:rsidP="005B7F51">
      <w:pPr>
        <w:ind w:firstLine="720"/>
        <w:rPr>
          <w:rFonts w:ascii="Garamond" w:hAnsi="Garamond"/>
        </w:rPr>
      </w:pPr>
      <w:r w:rsidRPr="004E4C06">
        <w:rPr>
          <w:rFonts w:ascii="Garamond" w:hAnsi="Garamond"/>
        </w:rPr>
        <w:t xml:space="preserve">Cognitive interview respondents will be recruited from elementary and secondary schools in the </w:t>
      </w:r>
      <w:r w:rsidR="00753189">
        <w:rPr>
          <w:rFonts w:ascii="Garamond" w:hAnsi="Garamond"/>
        </w:rPr>
        <w:t>Washington, DC</w:t>
      </w:r>
      <w:r w:rsidR="009B3612">
        <w:rPr>
          <w:rFonts w:ascii="Garamond" w:hAnsi="Garamond"/>
        </w:rPr>
        <w:t xml:space="preserve"> </w:t>
      </w:r>
      <w:r w:rsidRPr="004E4C06">
        <w:rPr>
          <w:rFonts w:ascii="Garamond" w:hAnsi="Garamond"/>
        </w:rPr>
        <w:t>and Chicago, Illinois</w:t>
      </w:r>
      <w:r w:rsidR="009B3612">
        <w:rPr>
          <w:rFonts w:ascii="Garamond" w:hAnsi="Garamond"/>
        </w:rPr>
        <w:t xml:space="preserve"> areas</w:t>
      </w:r>
      <w:r w:rsidRPr="004E4C06">
        <w:rPr>
          <w:rFonts w:ascii="Garamond" w:hAnsi="Garamond"/>
        </w:rPr>
        <w:t xml:space="preserve">.  </w:t>
      </w:r>
      <w:r w:rsidR="00EE6D80">
        <w:rPr>
          <w:rFonts w:ascii="Garamond" w:hAnsi="Garamond"/>
        </w:rPr>
        <w:t xml:space="preserve">Because education is heavily influenced by state policy, </w:t>
      </w:r>
      <w:r w:rsidR="00C21B22">
        <w:rPr>
          <w:rFonts w:ascii="Garamond" w:hAnsi="Garamond"/>
        </w:rPr>
        <w:t>we</w:t>
      </w:r>
      <w:r w:rsidR="00EE6D80">
        <w:rPr>
          <w:rFonts w:ascii="Garamond" w:hAnsi="Garamond"/>
        </w:rPr>
        <w:t xml:space="preserve"> will recruit teachers and principals from a diversity of states as a goal. In the D.C. region</w:t>
      </w:r>
      <w:r w:rsidR="009B3612">
        <w:rPr>
          <w:rFonts w:ascii="Garamond" w:hAnsi="Garamond"/>
        </w:rPr>
        <w:t xml:space="preserve"> </w:t>
      </w:r>
      <w:r w:rsidR="00C21B22">
        <w:rPr>
          <w:rFonts w:ascii="Garamond" w:hAnsi="Garamond"/>
        </w:rPr>
        <w:t>we</w:t>
      </w:r>
      <w:r w:rsidR="00EE6D80">
        <w:rPr>
          <w:rFonts w:ascii="Garamond" w:hAnsi="Garamond"/>
        </w:rPr>
        <w:t xml:space="preserve"> will recruit from schools in Maryland, Virginia, and D.C. In the Chicago area, </w:t>
      </w:r>
      <w:r w:rsidR="00C21B22">
        <w:rPr>
          <w:rFonts w:ascii="Garamond" w:hAnsi="Garamond"/>
        </w:rPr>
        <w:t>we</w:t>
      </w:r>
      <w:r w:rsidR="00EE6D80">
        <w:rPr>
          <w:rFonts w:ascii="Garamond" w:hAnsi="Garamond"/>
        </w:rPr>
        <w:t xml:space="preserve"> will </w:t>
      </w:r>
      <w:r w:rsidR="001F30D1">
        <w:rPr>
          <w:rFonts w:ascii="Garamond" w:hAnsi="Garamond"/>
        </w:rPr>
        <w:t xml:space="preserve">attempt to </w:t>
      </w:r>
      <w:r w:rsidR="00EE6D80">
        <w:rPr>
          <w:rFonts w:ascii="Garamond" w:hAnsi="Garamond"/>
        </w:rPr>
        <w:t xml:space="preserve">recruit </w:t>
      </w:r>
      <w:r w:rsidR="001F30D1">
        <w:rPr>
          <w:rFonts w:ascii="Garamond" w:hAnsi="Garamond"/>
        </w:rPr>
        <w:t xml:space="preserve">teachers and principals </w:t>
      </w:r>
      <w:r w:rsidR="00FD1207">
        <w:rPr>
          <w:rFonts w:ascii="Garamond" w:hAnsi="Garamond"/>
        </w:rPr>
        <w:t>from Wisconsin</w:t>
      </w:r>
      <w:r w:rsidR="00EE6D80">
        <w:rPr>
          <w:rFonts w:ascii="Garamond" w:hAnsi="Garamond"/>
        </w:rPr>
        <w:t xml:space="preserve"> and Indiana</w:t>
      </w:r>
      <w:r w:rsidR="00A6259A">
        <w:rPr>
          <w:rFonts w:ascii="Garamond" w:hAnsi="Garamond"/>
        </w:rPr>
        <w:t xml:space="preserve"> in addition to Illinois</w:t>
      </w:r>
      <w:r w:rsidR="00EE6D80">
        <w:rPr>
          <w:rFonts w:ascii="Garamond" w:hAnsi="Garamond"/>
        </w:rPr>
        <w:t xml:space="preserve">. </w:t>
      </w:r>
      <w:r w:rsidR="00C21B22">
        <w:rPr>
          <w:rFonts w:ascii="Garamond" w:hAnsi="Garamond"/>
        </w:rPr>
        <w:t>We</w:t>
      </w:r>
      <w:r w:rsidRPr="004E4C06">
        <w:rPr>
          <w:rFonts w:ascii="Garamond" w:hAnsi="Garamond"/>
        </w:rPr>
        <w:t xml:space="preserve"> will use the Common Core of Data and the </w:t>
      </w:r>
      <w:r w:rsidRPr="004E6218">
        <w:rPr>
          <w:rFonts w:ascii="Garamond" w:hAnsi="Garamond"/>
        </w:rPr>
        <w:t>Private School Universe Survey</w:t>
      </w:r>
      <w:r w:rsidRPr="004E4C06">
        <w:rPr>
          <w:rFonts w:ascii="Garamond" w:hAnsi="Garamond"/>
        </w:rPr>
        <w:t xml:space="preserve"> to identify schools in </w:t>
      </w:r>
      <w:r w:rsidR="001F30D1">
        <w:rPr>
          <w:rFonts w:ascii="Garamond" w:hAnsi="Garamond"/>
        </w:rPr>
        <w:t>these areas</w:t>
      </w:r>
      <w:r w:rsidRPr="004E4C06">
        <w:rPr>
          <w:rFonts w:ascii="Garamond" w:hAnsi="Garamond"/>
        </w:rPr>
        <w:t>.  We will purposively select schools that meet the sample characteristics defined above.  Although we are constructing a non-probability sample for the cognitive testing, we will select schools that as a group reflect the variety of school types of interest in the study.</w:t>
      </w:r>
      <w:r w:rsidR="00EE6D80">
        <w:rPr>
          <w:rFonts w:ascii="Garamond" w:hAnsi="Garamond"/>
        </w:rPr>
        <w:t xml:space="preserve"> </w:t>
      </w:r>
    </w:p>
    <w:p w:rsidR="00EE6D80" w:rsidRPr="005B7F51" w:rsidRDefault="00EE6D80" w:rsidP="005B7F51">
      <w:pPr>
        <w:ind w:firstLine="720"/>
        <w:rPr>
          <w:rFonts w:ascii="Garamond" w:hAnsi="Garamond"/>
        </w:rPr>
      </w:pPr>
      <w:r>
        <w:rPr>
          <w:rFonts w:ascii="Garamond" w:hAnsi="Garamond"/>
        </w:rPr>
        <w:lastRenderedPageBreak/>
        <w:t xml:space="preserve">To </w:t>
      </w:r>
      <w:r w:rsidRPr="00053C31">
        <w:rPr>
          <w:rFonts w:ascii="Garamond" w:hAnsi="Garamond"/>
        </w:rPr>
        <w:t>complement the school-based recruitment, we will also utilize personal and professional networks</w:t>
      </w:r>
      <w:r w:rsidR="001F30D1" w:rsidRPr="00053C31">
        <w:rPr>
          <w:rFonts w:ascii="Garamond" w:hAnsi="Garamond"/>
        </w:rPr>
        <w:t xml:space="preserve"> as well as advertisements on </w:t>
      </w:r>
      <w:r w:rsidR="0037430F" w:rsidRPr="00053C31">
        <w:rPr>
          <w:rFonts w:ascii="Garamond" w:hAnsi="Garamond"/>
        </w:rPr>
        <w:t>www.craigslist.org</w:t>
      </w:r>
      <w:r w:rsidR="001F30D1" w:rsidRPr="00053C31">
        <w:rPr>
          <w:rFonts w:ascii="Garamond" w:hAnsi="Garamond"/>
        </w:rPr>
        <w:t xml:space="preserve"> and education listserves</w:t>
      </w:r>
      <w:r w:rsidR="0037430F" w:rsidRPr="00053C31">
        <w:rPr>
          <w:rFonts w:ascii="Garamond" w:hAnsi="Garamond"/>
        </w:rPr>
        <w:t>.</w:t>
      </w:r>
      <w:r w:rsidR="001F30D1" w:rsidRPr="00053C31">
        <w:rPr>
          <w:rFonts w:ascii="Garamond" w:hAnsi="Garamond"/>
        </w:rPr>
        <w:t xml:space="preserve"> </w:t>
      </w:r>
      <w:r w:rsidRPr="00053C31">
        <w:rPr>
          <w:rFonts w:ascii="Garamond" w:hAnsi="Garamond"/>
        </w:rPr>
        <w:t>Characteristics</w:t>
      </w:r>
      <w:r w:rsidRPr="005B7F51">
        <w:rPr>
          <w:rFonts w:ascii="Garamond" w:hAnsi="Garamond"/>
        </w:rPr>
        <w:t xml:space="preserve"> </w:t>
      </w:r>
      <w:r w:rsidR="0003325E" w:rsidRPr="005B7F51">
        <w:rPr>
          <w:rFonts w:ascii="Garamond" w:hAnsi="Garamond"/>
        </w:rPr>
        <w:t>for which we will recruit at least one teacher or principal include:</w:t>
      </w:r>
    </w:p>
    <w:p w:rsidR="0003325E" w:rsidRPr="005B7F51" w:rsidRDefault="00791F77" w:rsidP="004060DF">
      <w:pPr>
        <w:pStyle w:val="ListParagraph"/>
        <w:numPr>
          <w:ilvl w:val="0"/>
          <w:numId w:val="5"/>
        </w:numPr>
        <w:spacing w:after="120" w:line="240" w:lineRule="auto"/>
        <w:ind w:left="720"/>
        <w:rPr>
          <w:rFonts w:ascii="Garamond" w:hAnsi="Garamond"/>
        </w:rPr>
      </w:pPr>
      <w:r w:rsidRPr="005B7F51">
        <w:rPr>
          <w:rFonts w:ascii="Garamond" w:hAnsi="Garamond"/>
        </w:rPr>
        <w:t>Teachers in blended learning classrooms; principals in schools that utilize blended learning.</w:t>
      </w:r>
    </w:p>
    <w:p w:rsidR="00791F77" w:rsidRPr="005B7F51" w:rsidRDefault="00791F77" w:rsidP="004060DF">
      <w:pPr>
        <w:pStyle w:val="ListParagraph"/>
        <w:numPr>
          <w:ilvl w:val="0"/>
          <w:numId w:val="5"/>
        </w:numPr>
        <w:spacing w:after="120" w:line="240" w:lineRule="auto"/>
        <w:ind w:left="720"/>
        <w:rPr>
          <w:rFonts w:ascii="Garamond" w:hAnsi="Garamond"/>
        </w:rPr>
      </w:pPr>
      <w:r w:rsidRPr="005B7F51">
        <w:rPr>
          <w:rFonts w:ascii="Garamond" w:hAnsi="Garamond"/>
        </w:rPr>
        <w:t>Teachers who entered the profession mid-career.</w:t>
      </w:r>
    </w:p>
    <w:p w:rsidR="00791F77" w:rsidRPr="005B7F51" w:rsidRDefault="00791F77" w:rsidP="004060DF">
      <w:pPr>
        <w:pStyle w:val="ListParagraph"/>
        <w:numPr>
          <w:ilvl w:val="0"/>
          <w:numId w:val="5"/>
        </w:numPr>
        <w:spacing w:after="120" w:line="240" w:lineRule="auto"/>
        <w:ind w:left="720"/>
        <w:rPr>
          <w:rFonts w:ascii="Garamond" w:hAnsi="Garamond"/>
        </w:rPr>
      </w:pPr>
      <w:r w:rsidRPr="005B7F51">
        <w:rPr>
          <w:rFonts w:ascii="Garamond" w:hAnsi="Garamond"/>
        </w:rPr>
        <w:t>Teachers and principals from virtual schools</w:t>
      </w:r>
      <w:r w:rsidR="0005075A">
        <w:rPr>
          <w:rFonts w:ascii="Garamond" w:hAnsi="Garamond"/>
        </w:rPr>
        <w:t xml:space="preserve"> that are on CCD</w:t>
      </w:r>
      <w:r w:rsidRPr="005B7F51">
        <w:rPr>
          <w:rFonts w:ascii="Garamond" w:hAnsi="Garamond"/>
        </w:rPr>
        <w:t>.</w:t>
      </w:r>
    </w:p>
    <w:p w:rsidR="00791F77" w:rsidRDefault="00791F77" w:rsidP="004060DF">
      <w:pPr>
        <w:pStyle w:val="ListParagraph"/>
        <w:numPr>
          <w:ilvl w:val="0"/>
          <w:numId w:val="5"/>
        </w:numPr>
        <w:spacing w:after="120" w:line="240" w:lineRule="auto"/>
        <w:ind w:left="720"/>
        <w:rPr>
          <w:rFonts w:ascii="Garamond" w:hAnsi="Garamond"/>
        </w:rPr>
      </w:pPr>
      <w:r w:rsidRPr="005B7F51">
        <w:rPr>
          <w:rFonts w:ascii="Garamond" w:hAnsi="Garamond"/>
        </w:rPr>
        <w:t>Principals from schools that share physical space with other entities.</w:t>
      </w:r>
    </w:p>
    <w:p w:rsidR="00D543F7" w:rsidRDefault="00D543F7" w:rsidP="004060DF">
      <w:pPr>
        <w:pStyle w:val="ListParagraph"/>
        <w:numPr>
          <w:ilvl w:val="0"/>
          <w:numId w:val="5"/>
        </w:numPr>
        <w:spacing w:after="120" w:line="240" w:lineRule="auto"/>
        <w:ind w:left="720"/>
        <w:rPr>
          <w:rFonts w:ascii="Garamond" w:hAnsi="Garamond"/>
        </w:rPr>
      </w:pPr>
      <w:r>
        <w:rPr>
          <w:rFonts w:ascii="Garamond" w:hAnsi="Garamond"/>
        </w:rPr>
        <w:t>Principals from schools that have multiple buildings.</w:t>
      </w:r>
    </w:p>
    <w:p w:rsidR="00EC239B" w:rsidRDefault="00EC239B" w:rsidP="004060DF">
      <w:pPr>
        <w:pStyle w:val="ListParagraph"/>
        <w:numPr>
          <w:ilvl w:val="0"/>
          <w:numId w:val="5"/>
        </w:numPr>
        <w:spacing w:after="120" w:line="240" w:lineRule="auto"/>
        <w:ind w:left="720"/>
        <w:rPr>
          <w:rFonts w:ascii="Garamond" w:hAnsi="Garamond"/>
        </w:rPr>
      </w:pPr>
      <w:r>
        <w:rPr>
          <w:rFonts w:ascii="Garamond" w:hAnsi="Garamond"/>
        </w:rPr>
        <w:t>New teachers</w:t>
      </w:r>
    </w:p>
    <w:p w:rsidR="00E65BF0" w:rsidRDefault="00E65BF0" w:rsidP="004060DF">
      <w:pPr>
        <w:pStyle w:val="ListParagraph"/>
        <w:numPr>
          <w:ilvl w:val="0"/>
          <w:numId w:val="5"/>
        </w:numPr>
        <w:spacing w:after="120" w:line="240" w:lineRule="auto"/>
        <w:ind w:left="720"/>
        <w:rPr>
          <w:rFonts w:ascii="Garamond" w:hAnsi="Garamond"/>
        </w:rPr>
      </w:pPr>
      <w:r>
        <w:rPr>
          <w:rFonts w:ascii="Garamond" w:hAnsi="Garamond"/>
        </w:rPr>
        <w:t>Teachers with alternative certification</w:t>
      </w:r>
    </w:p>
    <w:p w:rsidR="00E65BF0" w:rsidRPr="005B7F51" w:rsidRDefault="002B5FBC" w:rsidP="004060DF">
      <w:pPr>
        <w:pStyle w:val="ListParagraph"/>
        <w:numPr>
          <w:ilvl w:val="0"/>
          <w:numId w:val="5"/>
        </w:numPr>
        <w:spacing w:after="120" w:line="240" w:lineRule="auto"/>
        <w:ind w:left="720"/>
        <w:rPr>
          <w:rFonts w:ascii="Garamond" w:hAnsi="Garamond"/>
        </w:rPr>
      </w:pPr>
      <w:r>
        <w:rPr>
          <w:rFonts w:ascii="Garamond" w:hAnsi="Garamond"/>
        </w:rPr>
        <w:t>Teachers and principals from u</w:t>
      </w:r>
      <w:r w:rsidR="00C6701A">
        <w:rPr>
          <w:rFonts w:ascii="Garamond" w:hAnsi="Garamond"/>
        </w:rPr>
        <w:t>rban, suburban and rural schools</w:t>
      </w:r>
    </w:p>
    <w:p w:rsidR="004E4C06" w:rsidRPr="005B7F51" w:rsidRDefault="00C21B22" w:rsidP="00274078">
      <w:pPr>
        <w:ind w:firstLine="720"/>
        <w:rPr>
          <w:rFonts w:ascii="Garamond" w:hAnsi="Garamond"/>
        </w:rPr>
      </w:pPr>
      <w:r>
        <w:rPr>
          <w:rFonts w:ascii="Garamond" w:hAnsi="Garamond"/>
        </w:rPr>
        <w:t>We</w:t>
      </w:r>
      <w:r w:rsidR="004E4C06" w:rsidRPr="005B7F51">
        <w:rPr>
          <w:rFonts w:ascii="Garamond" w:hAnsi="Garamond"/>
        </w:rPr>
        <w:t xml:space="preserve"> will contact the principal at each selected school.  During this call, we will convey the following information about the study:</w:t>
      </w:r>
    </w:p>
    <w:p w:rsidR="004E4C06" w:rsidRPr="004E4C06" w:rsidRDefault="004E4C06" w:rsidP="004060DF">
      <w:pPr>
        <w:pStyle w:val="ListParagraph"/>
        <w:numPr>
          <w:ilvl w:val="0"/>
          <w:numId w:val="4"/>
        </w:numPr>
        <w:spacing w:after="120" w:line="240" w:lineRule="auto"/>
        <w:rPr>
          <w:rFonts w:ascii="Garamond" w:hAnsi="Garamond"/>
        </w:rPr>
      </w:pPr>
      <w:r w:rsidRPr="004E4C06">
        <w:rPr>
          <w:rFonts w:ascii="Garamond" w:hAnsi="Garamond"/>
        </w:rPr>
        <w:t>Study purpose</w:t>
      </w:r>
    </w:p>
    <w:p w:rsidR="004E4C06" w:rsidRPr="004E4C06" w:rsidRDefault="004E4C06" w:rsidP="004060DF">
      <w:pPr>
        <w:pStyle w:val="ListParagraph"/>
        <w:numPr>
          <w:ilvl w:val="0"/>
          <w:numId w:val="4"/>
        </w:numPr>
        <w:spacing w:after="120" w:line="240" w:lineRule="auto"/>
        <w:rPr>
          <w:rFonts w:ascii="Garamond" w:hAnsi="Garamond"/>
        </w:rPr>
      </w:pPr>
      <w:r w:rsidRPr="004E4C06">
        <w:rPr>
          <w:rFonts w:ascii="Garamond" w:hAnsi="Garamond"/>
        </w:rPr>
        <w:t>Sponsor</w:t>
      </w:r>
    </w:p>
    <w:p w:rsidR="004E4C06" w:rsidRPr="004E4C06" w:rsidRDefault="004E4C06" w:rsidP="004060DF">
      <w:pPr>
        <w:pStyle w:val="ListParagraph"/>
        <w:numPr>
          <w:ilvl w:val="0"/>
          <w:numId w:val="4"/>
        </w:numPr>
        <w:spacing w:after="120" w:line="240" w:lineRule="auto"/>
        <w:rPr>
          <w:rFonts w:ascii="Garamond" w:hAnsi="Garamond"/>
        </w:rPr>
      </w:pPr>
      <w:r w:rsidRPr="004E4C06">
        <w:rPr>
          <w:rFonts w:ascii="Garamond" w:hAnsi="Garamond"/>
        </w:rPr>
        <w:t>What participation involves</w:t>
      </w:r>
    </w:p>
    <w:p w:rsidR="004E4C06" w:rsidRPr="004E4C06" w:rsidRDefault="004E4C06" w:rsidP="004060DF">
      <w:pPr>
        <w:pStyle w:val="ListParagraph"/>
        <w:numPr>
          <w:ilvl w:val="0"/>
          <w:numId w:val="4"/>
        </w:numPr>
        <w:spacing w:after="120" w:line="240" w:lineRule="auto"/>
        <w:rPr>
          <w:rFonts w:ascii="Garamond" w:hAnsi="Garamond"/>
        </w:rPr>
      </w:pPr>
      <w:r w:rsidRPr="004E4C06">
        <w:rPr>
          <w:rFonts w:ascii="Garamond" w:hAnsi="Garamond"/>
        </w:rPr>
        <w:t>Time commitment</w:t>
      </w:r>
    </w:p>
    <w:p w:rsidR="004E4C06" w:rsidRPr="004E4C06" w:rsidRDefault="004E4C06" w:rsidP="004060DF">
      <w:pPr>
        <w:pStyle w:val="ListParagraph"/>
        <w:numPr>
          <w:ilvl w:val="0"/>
          <w:numId w:val="4"/>
        </w:numPr>
        <w:spacing w:after="120" w:line="240" w:lineRule="auto"/>
        <w:rPr>
          <w:rFonts w:ascii="Garamond" w:hAnsi="Garamond"/>
        </w:rPr>
      </w:pPr>
      <w:r w:rsidRPr="004E4C06">
        <w:rPr>
          <w:rFonts w:ascii="Garamond" w:hAnsi="Garamond"/>
        </w:rPr>
        <w:t>Confidentiality and voluntary nature of participation</w:t>
      </w:r>
    </w:p>
    <w:p w:rsidR="004060DF" w:rsidRPr="004060DF" w:rsidRDefault="004E4C06" w:rsidP="004060DF">
      <w:pPr>
        <w:pStyle w:val="ListParagraph"/>
        <w:numPr>
          <w:ilvl w:val="0"/>
          <w:numId w:val="4"/>
        </w:numPr>
        <w:spacing w:after="120" w:line="240" w:lineRule="auto"/>
        <w:rPr>
          <w:rFonts w:ascii="Garamond" w:hAnsi="Garamond"/>
        </w:rPr>
      </w:pPr>
      <w:r w:rsidRPr="00A6259A">
        <w:rPr>
          <w:rFonts w:ascii="Garamond" w:hAnsi="Garamond"/>
        </w:rPr>
        <w:t>$40</w:t>
      </w:r>
      <w:r w:rsidRPr="004E4C06">
        <w:rPr>
          <w:rFonts w:ascii="Garamond" w:hAnsi="Garamond"/>
        </w:rPr>
        <w:t xml:space="preserve"> compensation for participation</w:t>
      </w:r>
    </w:p>
    <w:p w:rsidR="00E74329" w:rsidRDefault="00E74329" w:rsidP="00E74329">
      <w:pPr>
        <w:ind w:left="720"/>
        <w:rPr>
          <w:rFonts w:ascii="Garamond" w:hAnsi="Garamond"/>
        </w:rPr>
      </w:pPr>
      <w:r>
        <w:rPr>
          <w:rFonts w:ascii="Garamond" w:hAnsi="Garamond"/>
        </w:rPr>
        <w:t>A sample recruitment scri</w:t>
      </w:r>
      <w:r w:rsidR="002448DC">
        <w:rPr>
          <w:rFonts w:ascii="Garamond" w:hAnsi="Garamond"/>
        </w:rPr>
        <w:t xml:space="preserve">pt is presented in Attachment </w:t>
      </w:r>
      <w:r w:rsidR="00D44151">
        <w:rPr>
          <w:rFonts w:ascii="Garamond" w:hAnsi="Garamond"/>
        </w:rPr>
        <w:t>I</w:t>
      </w:r>
      <w:r w:rsidR="002448DC">
        <w:rPr>
          <w:rFonts w:ascii="Garamond" w:hAnsi="Garamond"/>
        </w:rPr>
        <w:t>I</w:t>
      </w:r>
      <w:r>
        <w:rPr>
          <w:rFonts w:ascii="Garamond" w:hAnsi="Garamond"/>
        </w:rPr>
        <w:t>.</w:t>
      </w:r>
    </w:p>
    <w:p w:rsidR="004E4C06" w:rsidRPr="004E4C06" w:rsidRDefault="004E4C06" w:rsidP="000C2DF6">
      <w:pPr>
        <w:ind w:firstLine="720"/>
        <w:rPr>
          <w:rFonts w:ascii="Garamond" w:hAnsi="Garamond"/>
        </w:rPr>
      </w:pPr>
      <w:r>
        <w:rPr>
          <w:rFonts w:ascii="Garamond" w:hAnsi="Garamond"/>
        </w:rPr>
        <w:t>T</w:t>
      </w:r>
      <w:r w:rsidRPr="004E4C06">
        <w:rPr>
          <w:rFonts w:ascii="Garamond" w:hAnsi="Garamond"/>
        </w:rPr>
        <w:t xml:space="preserve">o gain efficiencies in the data collection process, we will try to recruit a principal and a teacher at each sampled school to participate in an interview.  </w:t>
      </w:r>
      <w:r w:rsidR="00C21B22">
        <w:rPr>
          <w:rFonts w:ascii="Garamond" w:hAnsi="Garamond"/>
        </w:rPr>
        <w:t xml:space="preserve">We </w:t>
      </w:r>
      <w:r w:rsidRPr="004E4C06">
        <w:rPr>
          <w:rFonts w:ascii="Garamond" w:hAnsi="Garamond"/>
        </w:rPr>
        <w:t xml:space="preserve">will enlist the aid of the principal in identifying a teacher to interview.  To avoid potentially biasing effects of having the principal select the teacher who will participate, </w:t>
      </w:r>
      <w:r w:rsidR="00C21B22">
        <w:rPr>
          <w:rFonts w:ascii="Garamond" w:hAnsi="Garamond"/>
        </w:rPr>
        <w:t>we</w:t>
      </w:r>
      <w:r w:rsidRPr="004E4C06">
        <w:rPr>
          <w:rFonts w:ascii="Garamond" w:hAnsi="Garamond"/>
        </w:rPr>
        <w:t xml:space="preserve"> will </w:t>
      </w:r>
      <w:r w:rsidR="00A6259A">
        <w:rPr>
          <w:rFonts w:ascii="Garamond" w:hAnsi="Garamond"/>
        </w:rPr>
        <w:t xml:space="preserve">first ask the principal for permission to contact teachers through email if the school publishes teacher email addresses on its website. If teacher email addresses are unavailable, </w:t>
      </w:r>
      <w:r w:rsidR="00C21B22">
        <w:rPr>
          <w:rFonts w:ascii="Garamond" w:hAnsi="Garamond"/>
        </w:rPr>
        <w:t>we</w:t>
      </w:r>
      <w:r w:rsidR="00A6259A">
        <w:rPr>
          <w:rFonts w:ascii="Garamond" w:hAnsi="Garamond"/>
        </w:rPr>
        <w:t xml:space="preserve"> will </w:t>
      </w:r>
      <w:r w:rsidRPr="004E4C06">
        <w:rPr>
          <w:rFonts w:ascii="Garamond" w:hAnsi="Garamond"/>
        </w:rPr>
        <w:t xml:space="preserve">work with the principal to select several teachers at random from the teacher roster.  </w:t>
      </w:r>
      <w:r w:rsidR="00C21B22">
        <w:rPr>
          <w:rFonts w:ascii="Garamond" w:hAnsi="Garamond"/>
        </w:rPr>
        <w:t>We</w:t>
      </w:r>
      <w:r w:rsidRPr="004E4C06">
        <w:rPr>
          <w:rFonts w:ascii="Garamond" w:hAnsi="Garamond"/>
        </w:rPr>
        <w:t xml:space="preserve"> will then recruit one of these teachers to participate.</w:t>
      </w:r>
    </w:p>
    <w:p w:rsidR="004E4C06" w:rsidRPr="004E4C06" w:rsidRDefault="004E4C06" w:rsidP="000C2DF6">
      <w:pPr>
        <w:ind w:firstLine="720"/>
        <w:rPr>
          <w:rFonts w:ascii="Garamond" w:hAnsi="Garamond"/>
        </w:rPr>
      </w:pPr>
      <w:r w:rsidRPr="004E4C06">
        <w:rPr>
          <w:rFonts w:ascii="Garamond" w:hAnsi="Garamond"/>
        </w:rPr>
        <w:t xml:space="preserve">To reduce travel time and costs, if interviewing both a principal and teacher at the same school, we will schedule both interviews for the same day if possible.   We will plan on interviewing principals and teachers at their schools unless school policy requires that interviews be conducted off site.  The principal and the teacher will receive materials in the mail (letter, FAQs) to reiterate the key information about the study listed above and to remind them of their interview date and time.  </w:t>
      </w:r>
    </w:p>
    <w:p w:rsidR="00C842EC" w:rsidRDefault="0005075A" w:rsidP="000C2DF6">
      <w:pPr>
        <w:ind w:firstLine="720"/>
        <w:rPr>
          <w:rFonts w:ascii="Garamond" w:hAnsi="Garamond"/>
        </w:rPr>
      </w:pPr>
      <w:r>
        <w:rPr>
          <w:rFonts w:ascii="Garamond" w:hAnsi="Garamond"/>
        </w:rPr>
        <w:t>Researchers</w:t>
      </w:r>
      <w:r w:rsidR="004E4C06" w:rsidRPr="004E4C06">
        <w:rPr>
          <w:rFonts w:ascii="Garamond" w:hAnsi="Garamond"/>
        </w:rPr>
        <w:t xml:space="preserve"> from the </w:t>
      </w:r>
      <w:r w:rsidR="00753189">
        <w:rPr>
          <w:rFonts w:ascii="Garamond" w:hAnsi="Garamond"/>
        </w:rPr>
        <w:t xml:space="preserve">Washington, DC </w:t>
      </w:r>
      <w:r w:rsidR="004E4C06" w:rsidRPr="004E4C06">
        <w:rPr>
          <w:rFonts w:ascii="Garamond" w:hAnsi="Garamond"/>
        </w:rPr>
        <w:t xml:space="preserve">and Chicago </w:t>
      </w:r>
      <w:r w:rsidR="00753189">
        <w:rPr>
          <w:rFonts w:ascii="Garamond" w:hAnsi="Garamond"/>
        </w:rPr>
        <w:t>areas</w:t>
      </w:r>
      <w:r w:rsidR="004E4C06" w:rsidRPr="004E4C06">
        <w:rPr>
          <w:rFonts w:ascii="Garamond" w:hAnsi="Garamond"/>
        </w:rPr>
        <w:t xml:space="preserve"> will conduct </w:t>
      </w:r>
      <w:r w:rsidR="00753189">
        <w:rPr>
          <w:rFonts w:ascii="Garamond" w:hAnsi="Garamond"/>
        </w:rPr>
        <w:t xml:space="preserve">the </w:t>
      </w:r>
      <w:r w:rsidR="004E4C06" w:rsidRPr="004E4C06">
        <w:rPr>
          <w:rFonts w:ascii="Garamond" w:hAnsi="Garamond"/>
        </w:rPr>
        <w:t xml:space="preserve">cognitive interviews.  Between three and five staff members from each office will be trained to conduct the interviews to allow the greatest flexibility possible in the scheduling of interviews.  Interviewers will vary somewhat in their level of experience with cognitive interviewing.  However, they will be required </w:t>
      </w:r>
      <w:r w:rsidR="00084941">
        <w:rPr>
          <w:rFonts w:ascii="Garamond" w:hAnsi="Garamond"/>
        </w:rPr>
        <w:t xml:space="preserve">to </w:t>
      </w:r>
      <w:r w:rsidR="004E4C06" w:rsidRPr="004E4C06">
        <w:rPr>
          <w:rFonts w:ascii="Garamond" w:hAnsi="Garamond"/>
        </w:rPr>
        <w:t>demonstrate strong understanding of the interview protocol before beginning interviews.  With respondent permission, the interviews will be audio-recorded so that the interviews may be reviewed as needed during analysis.  Senior Survey Methodologist Lisa Lee will conduct the trainings, supervise staff and monitor data quality throughout the field period.</w:t>
      </w:r>
    </w:p>
    <w:p w:rsidR="004721EE" w:rsidRDefault="00C842EC" w:rsidP="004721EE">
      <w:pPr>
        <w:ind w:firstLine="720"/>
        <w:rPr>
          <w:rFonts w:ascii="Garamond" w:hAnsi="Garamond"/>
        </w:rPr>
      </w:pPr>
      <w:r w:rsidRPr="00C842EC">
        <w:rPr>
          <w:rFonts w:ascii="Garamond" w:hAnsi="Garamond"/>
        </w:rPr>
        <w:t xml:space="preserve">We have planned for </w:t>
      </w:r>
      <w:r w:rsidR="00C81BFF">
        <w:rPr>
          <w:rFonts w:ascii="Garamond" w:hAnsi="Garamond"/>
        </w:rPr>
        <w:t xml:space="preserve">two sets of </w:t>
      </w:r>
      <w:r w:rsidRPr="00C842EC">
        <w:rPr>
          <w:rFonts w:ascii="Garamond" w:hAnsi="Garamond"/>
        </w:rPr>
        <w:t>cognitive testing</w:t>
      </w:r>
      <w:r w:rsidR="00053C31">
        <w:rPr>
          <w:rFonts w:ascii="Garamond" w:hAnsi="Garamond"/>
        </w:rPr>
        <w:t>, each with 2 rounds</w:t>
      </w:r>
      <w:r w:rsidRPr="00C842EC">
        <w:rPr>
          <w:rFonts w:ascii="Garamond" w:hAnsi="Garamond"/>
        </w:rPr>
        <w:t xml:space="preserve">.  </w:t>
      </w:r>
      <w:r w:rsidR="004721EE" w:rsidRPr="00C842EC">
        <w:rPr>
          <w:rFonts w:ascii="Garamond" w:hAnsi="Garamond"/>
        </w:rPr>
        <w:t xml:space="preserve">In the first </w:t>
      </w:r>
      <w:r w:rsidR="00C81BFF">
        <w:rPr>
          <w:rFonts w:ascii="Garamond" w:hAnsi="Garamond"/>
        </w:rPr>
        <w:t>set</w:t>
      </w:r>
      <w:r w:rsidR="004721EE" w:rsidRPr="00C842EC">
        <w:rPr>
          <w:rFonts w:ascii="Garamond" w:hAnsi="Garamond"/>
        </w:rPr>
        <w:t xml:space="preserve"> of testing</w:t>
      </w:r>
      <w:r w:rsidR="00DF3827">
        <w:rPr>
          <w:rFonts w:ascii="Garamond" w:hAnsi="Garamond"/>
        </w:rPr>
        <w:t>,</w:t>
      </w:r>
      <w:r w:rsidR="004721EE" w:rsidRPr="00C842EC">
        <w:rPr>
          <w:rFonts w:ascii="Garamond" w:hAnsi="Garamond"/>
        </w:rPr>
        <w:t xml:space="preserve"> the instrument will include only selected items identified as problematic, newly developed items, and other items as needed to provide context and for analytic purposes.  Once these items have been tested and refined, </w:t>
      </w:r>
      <w:r w:rsidR="00C81BFF">
        <w:rPr>
          <w:rFonts w:ascii="Garamond" w:hAnsi="Garamond"/>
        </w:rPr>
        <w:t>Set</w:t>
      </w:r>
      <w:r w:rsidR="00C81BFF" w:rsidRPr="00C842EC">
        <w:rPr>
          <w:rFonts w:ascii="Garamond" w:hAnsi="Garamond"/>
        </w:rPr>
        <w:t xml:space="preserve"> </w:t>
      </w:r>
      <w:r w:rsidR="004721EE" w:rsidRPr="00C842EC">
        <w:rPr>
          <w:rFonts w:ascii="Garamond" w:hAnsi="Garamond"/>
        </w:rPr>
        <w:t xml:space="preserve">2 will focus on </w:t>
      </w:r>
      <w:r w:rsidR="004721EE">
        <w:rPr>
          <w:rFonts w:ascii="Garamond" w:hAnsi="Garamond"/>
        </w:rPr>
        <w:t>testing the full instruments.</w:t>
      </w:r>
    </w:p>
    <w:p w:rsidR="004721EE" w:rsidRDefault="004721EE" w:rsidP="004721EE">
      <w:pPr>
        <w:ind w:firstLine="720"/>
        <w:rPr>
          <w:rFonts w:ascii="Garamond" w:hAnsi="Garamond"/>
        </w:rPr>
      </w:pPr>
      <w:r w:rsidRPr="00C842EC">
        <w:rPr>
          <w:rFonts w:ascii="Garamond" w:hAnsi="Garamond"/>
        </w:rPr>
        <w:lastRenderedPageBreak/>
        <w:t xml:space="preserve">In </w:t>
      </w:r>
      <w:r w:rsidR="00C81BFF">
        <w:rPr>
          <w:rFonts w:ascii="Garamond" w:hAnsi="Garamond"/>
        </w:rPr>
        <w:t>Set</w:t>
      </w:r>
      <w:r w:rsidR="00C81BFF" w:rsidRPr="00C842EC">
        <w:rPr>
          <w:rFonts w:ascii="Garamond" w:hAnsi="Garamond"/>
        </w:rPr>
        <w:t xml:space="preserve"> </w:t>
      </w:r>
      <w:r w:rsidRPr="00C842EC">
        <w:rPr>
          <w:rFonts w:ascii="Garamond" w:hAnsi="Garamond"/>
        </w:rPr>
        <w:t>1, respondents will be trained on the “think-aloud” technique.  They will then complete the questionnaire independently while thinking aloud.  The interviewer will observe the respondent during survey completion, noting any questions that the respondent has or problems with particular items.  After the respondent has completed the survey, the interviewer will then review the instrument with the respondent.  The interviewer will step through the scripted probes (</w:t>
      </w:r>
      <w:r w:rsidR="002448DC">
        <w:rPr>
          <w:rFonts w:ascii="Garamond" w:hAnsi="Garamond"/>
        </w:rPr>
        <w:t>see Attachment I</w:t>
      </w:r>
      <w:r w:rsidR="00D44151">
        <w:rPr>
          <w:rFonts w:ascii="Garamond" w:hAnsi="Garamond"/>
        </w:rPr>
        <w:t>V</w:t>
      </w:r>
      <w:r w:rsidR="00E74329">
        <w:rPr>
          <w:rFonts w:ascii="Garamond" w:hAnsi="Garamond"/>
        </w:rPr>
        <w:t xml:space="preserve"> for details</w:t>
      </w:r>
      <w:r w:rsidRPr="00C842EC">
        <w:rPr>
          <w:rFonts w:ascii="Garamond" w:hAnsi="Garamond"/>
        </w:rPr>
        <w:t xml:space="preserve">) and also probe spontaneously about additional issues that arose for the respondent. </w:t>
      </w:r>
      <w:r w:rsidR="00C81BFF">
        <w:rPr>
          <w:rFonts w:ascii="Garamond" w:hAnsi="Garamond"/>
        </w:rPr>
        <w:t xml:space="preserve">Instruments will be revised based on findings from the first </w:t>
      </w:r>
      <w:r w:rsidR="00053C31">
        <w:rPr>
          <w:rFonts w:ascii="Garamond" w:hAnsi="Garamond"/>
        </w:rPr>
        <w:t>round</w:t>
      </w:r>
      <w:r w:rsidR="00614664">
        <w:rPr>
          <w:rFonts w:ascii="Garamond" w:hAnsi="Garamond"/>
        </w:rPr>
        <w:t>,</w:t>
      </w:r>
      <w:r w:rsidR="00C81BFF">
        <w:rPr>
          <w:rFonts w:ascii="Garamond" w:hAnsi="Garamond"/>
        </w:rPr>
        <w:t xml:space="preserve"> and a second </w:t>
      </w:r>
      <w:r w:rsidR="00053C31">
        <w:rPr>
          <w:rFonts w:ascii="Garamond" w:hAnsi="Garamond"/>
        </w:rPr>
        <w:t>round</w:t>
      </w:r>
      <w:r w:rsidR="00C81BFF">
        <w:rPr>
          <w:rFonts w:ascii="Garamond" w:hAnsi="Garamond"/>
        </w:rPr>
        <w:t xml:space="preserve"> of interviews </w:t>
      </w:r>
      <w:r w:rsidR="00053C31">
        <w:rPr>
          <w:rFonts w:ascii="Garamond" w:hAnsi="Garamond"/>
        </w:rPr>
        <w:t xml:space="preserve">within this set </w:t>
      </w:r>
      <w:r w:rsidR="00C81BFF">
        <w:rPr>
          <w:rFonts w:ascii="Garamond" w:hAnsi="Garamond"/>
        </w:rPr>
        <w:t xml:space="preserve">will be conducted to test the revisions. </w:t>
      </w:r>
    </w:p>
    <w:p w:rsidR="004721EE" w:rsidRPr="00A42723" w:rsidRDefault="004721EE" w:rsidP="002448DC">
      <w:pPr>
        <w:ind w:firstLine="720"/>
        <w:rPr>
          <w:rFonts w:ascii="Garamond" w:hAnsi="Garamond"/>
        </w:rPr>
      </w:pPr>
      <w:r w:rsidRPr="00C842EC">
        <w:rPr>
          <w:rFonts w:ascii="Garamond" w:hAnsi="Garamond"/>
        </w:rPr>
        <w:t xml:space="preserve">In </w:t>
      </w:r>
      <w:r w:rsidR="00C81BFF">
        <w:rPr>
          <w:rFonts w:ascii="Garamond" w:hAnsi="Garamond"/>
        </w:rPr>
        <w:t>Set</w:t>
      </w:r>
      <w:r w:rsidR="00C81BFF" w:rsidRPr="00C842EC">
        <w:rPr>
          <w:rFonts w:ascii="Garamond" w:hAnsi="Garamond"/>
        </w:rPr>
        <w:t xml:space="preserve"> </w:t>
      </w:r>
      <w:r w:rsidRPr="00C842EC">
        <w:rPr>
          <w:rFonts w:ascii="Garamond" w:hAnsi="Garamond"/>
        </w:rPr>
        <w:t xml:space="preserve">2, respondents will again begin by completing the instrument independently.  In order to obtain an accurate timing of survey length, no probing will occur while the respondent completes the survey.  After the respondent has finished, the interviewer will then conduct retrospective probing.  Scripted probing will focus on items that have undergone development.  Interviewers will also probe spontaneously as needed to explore other issues that arise during the interview.  </w:t>
      </w:r>
      <w:r w:rsidR="00C81BFF">
        <w:rPr>
          <w:rFonts w:ascii="Garamond" w:hAnsi="Garamond"/>
        </w:rPr>
        <w:t xml:space="preserve">If needed, instruments will be revised after the first </w:t>
      </w:r>
      <w:r w:rsidR="00053C31">
        <w:rPr>
          <w:rFonts w:ascii="Garamond" w:hAnsi="Garamond"/>
        </w:rPr>
        <w:t>round</w:t>
      </w:r>
      <w:r w:rsidR="00C81BFF">
        <w:rPr>
          <w:rFonts w:ascii="Garamond" w:hAnsi="Garamond"/>
        </w:rPr>
        <w:t xml:space="preserve"> and retested in </w:t>
      </w:r>
      <w:r w:rsidR="00614664">
        <w:rPr>
          <w:rFonts w:ascii="Garamond" w:hAnsi="Garamond"/>
        </w:rPr>
        <w:t>the</w:t>
      </w:r>
      <w:r w:rsidR="00C81BFF">
        <w:rPr>
          <w:rFonts w:ascii="Garamond" w:hAnsi="Garamond"/>
        </w:rPr>
        <w:t xml:space="preserve"> second </w:t>
      </w:r>
      <w:r w:rsidR="00053C31">
        <w:rPr>
          <w:rFonts w:ascii="Garamond" w:hAnsi="Garamond"/>
        </w:rPr>
        <w:t>round</w:t>
      </w:r>
      <w:r w:rsidR="00C81BFF">
        <w:rPr>
          <w:rFonts w:ascii="Garamond" w:hAnsi="Garamond"/>
        </w:rPr>
        <w:t>.</w:t>
      </w:r>
    </w:p>
    <w:p w:rsidR="004721EE" w:rsidRPr="00A42723" w:rsidRDefault="004721EE" w:rsidP="004721EE">
      <w:pPr>
        <w:ind w:firstLine="720"/>
        <w:rPr>
          <w:rFonts w:ascii="Garamond" w:hAnsi="Garamond"/>
        </w:rPr>
      </w:pPr>
      <w:r w:rsidRPr="00A42723">
        <w:rPr>
          <w:rFonts w:ascii="Garamond" w:hAnsi="Garamond"/>
        </w:rPr>
        <w:t>Cognitive interviewing techniques allow researchers to evaluate potential response error and to assure that the survey provides valid data. In general, the goal of cognitive testing is to assess the respondents’ comprehension of the questionnaire items, including question intent and the meaning of specific words and phrases in the item. Data from cognitive interviews can identify potentially problematic questions that are not understood as intended. This testing can also examine the respondents’ retrieval of relevant information from memory, decision processes involved with answering a question, and questions that are difficult to answer due to cognitive burden.  For example, terms such as “state content standards” can be explored.  Further, respondent ability to recall information such as days in their teaching contract or to estimate information such as years of teaching experience can be examined.</w:t>
      </w:r>
    </w:p>
    <w:p w:rsidR="004721EE" w:rsidRPr="00A42723" w:rsidRDefault="004721EE" w:rsidP="004721EE">
      <w:pPr>
        <w:ind w:firstLine="720"/>
        <w:rPr>
          <w:rFonts w:ascii="Garamond" w:hAnsi="Garamond"/>
        </w:rPr>
      </w:pPr>
      <w:r w:rsidRPr="00A42723">
        <w:rPr>
          <w:rFonts w:ascii="Garamond" w:hAnsi="Garamond"/>
        </w:rPr>
        <w:t>The cognitive interviews will assess issues such as:</w:t>
      </w:r>
    </w:p>
    <w:p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The subject’s understanding of terms in the survey</w:t>
      </w:r>
    </w:p>
    <w:p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How confident the subject is in their response</w:t>
      </w:r>
    </w:p>
    <w:p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How they remembered the information they provided in factual questions</w:t>
      </w:r>
    </w:p>
    <w:p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Whether they found a response choice that fit their answer</w:t>
      </w:r>
    </w:p>
    <w:p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How easy or difficult it is to answer a question</w:t>
      </w:r>
    </w:p>
    <w:p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Issues with sensitive questions</w:t>
      </w:r>
    </w:p>
    <w:p w:rsidR="009F7E25" w:rsidRPr="002448DC" w:rsidRDefault="009F7E25" w:rsidP="002448DC">
      <w:pPr>
        <w:pStyle w:val="NORC-Bullet1"/>
        <w:spacing w:after="0"/>
        <w:rPr>
          <w:rFonts w:ascii="Garamond" w:hAnsi="Garamond"/>
          <w:sz w:val="22"/>
          <w:szCs w:val="22"/>
        </w:rPr>
      </w:pPr>
      <w:r w:rsidRPr="00A42723">
        <w:rPr>
          <w:rFonts w:ascii="Garamond" w:hAnsi="Garamond"/>
          <w:sz w:val="22"/>
          <w:szCs w:val="22"/>
        </w:rPr>
        <w:t>Consistency of answers within the questionnaire and in comparison to the expected range of answers</w:t>
      </w:r>
    </w:p>
    <w:p w:rsidR="005D1B76" w:rsidRDefault="005D1B76" w:rsidP="005D1B76">
      <w:pPr>
        <w:spacing w:after="0" w:line="240" w:lineRule="auto"/>
        <w:rPr>
          <w:rFonts w:ascii="Garamond" w:hAnsi="Garamond"/>
        </w:rPr>
      </w:pPr>
    </w:p>
    <w:p w:rsidR="004E4C06" w:rsidRPr="00A42723" w:rsidRDefault="004E4C06" w:rsidP="005D1B76">
      <w:pPr>
        <w:rPr>
          <w:rFonts w:ascii="Garamond" w:hAnsi="Garamond"/>
        </w:rPr>
      </w:pPr>
      <w:r w:rsidRPr="00A42723">
        <w:rPr>
          <w:rFonts w:ascii="Garamond" w:hAnsi="Garamond"/>
        </w:rPr>
        <w:t xml:space="preserve">The cognitive interview protocol is </w:t>
      </w:r>
      <w:r w:rsidR="002448DC">
        <w:rPr>
          <w:rFonts w:ascii="Garamond" w:hAnsi="Garamond"/>
        </w:rPr>
        <w:t>provided</w:t>
      </w:r>
      <w:r w:rsidRPr="00A42723">
        <w:rPr>
          <w:rFonts w:ascii="Garamond" w:hAnsi="Garamond"/>
        </w:rPr>
        <w:t xml:space="preserve"> in </w:t>
      </w:r>
      <w:r w:rsidR="002448DC">
        <w:rPr>
          <w:rFonts w:ascii="Garamond" w:hAnsi="Garamond"/>
        </w:rPr>
        <w:t>Attachment I</w:t>
      </w:r>
      <w:r w:rsidR="00D44151">
        <w:rPr>
          <w:rFonts w:ascii="Garamond" w:hAnsi="Garamond"/>
        </w:rPr>
        <w:t>V</w:t>
      </w:r>
      <w:r w:rsidRPr="00A42723">
        <w:rPr>
          <w:rFonts w:ascii="Garamond" w:hAnsi="Garamond"/>
        </w:rPr>
        <w:t>.</w:t>
      </w:r>
    </w:p>
    <w:p w:rsidR="00FE15F3" w:rsidRPr="004231EB" w:rsidRDefault="00FE15F3" w:rsidP="003568AA">
      <w:pPr>
        <w:pStyle w:val="Heading1"/>
        <w:spacing w:before="240"/>
        <w:rPr>
          <w:rFonts w:ascii="Garamond" w:hAnsi="Garamond"/>
          <w:color w:val="auto"/>
        </w:rPr>
      </w:pPr>
      <w:r w:rsidRPr="004231EB">
        <w:rPr>
          <w:rFonts w:ascii="Garamond" w:hAnsi="Garamond"/>
          <w:color w:val="auto"/>
        </w:rPr>
        <w:t>Assurance of Confidentiality</w:t>
      </w:r>
    </w:p>
    <w:p w:rsidR="00FE15F3" w:rsidRPr="004231EB" w:rsidRDefault="00FB1412" w:rsidP="00FE15F3">
      <w:pPr>
        <w:rPr>
          <w:rFonts w:ascii="Garamond" w:hAnsi="Garamond"/>
        </w:rPr>
      </w:pPr>
      <w:r w:rsidRPr="004231EB">
        <w:rPr>
          <w:rFonts w:ascii="Garamond" w:hAnsi="Garamond"/>
        </w:rPr>
        <w:tab/>
        <w:t xml:space="preserve">Cognitive interview participants will be informed that their participation is voluntary and their responses may be used only for statistical purposes and may </w:t>
      </w:r>
      <w:r w:rsidRPr="00303973">
        <w:rPr>
          <w:rFonts w:ascii="Garamond" w:hAnsi="Garamond"/>
        </w:rPr>
        <w:t>not be disclosed, or used, in identifiable form for any other purpose except as required by law (</w:t>
      </w:r>
      <w:r w:rsidR="00303973" w:rsidRPr="00303973">
        <w:rPr>
          <w:rFonts w:ascii="Garamond" w:hAnsi="Garamond"/>
        </w:rPr>
        <w:t xml:space="preserve">Education Sciences Reform Act of 2002; </w:t>
      </w:r>
      <w:r w:rsidRPr="00303973">
        <w:rPr>
          <w:rFonts w:ascii="Garamond" w:hAnsi="Garamond"/>
        </w:rPr>
        <w:t>20 U.S. Code, Section 9573).</w:t>
      </w:r>
      <w:r w:rsidR="00303973">
        <w:rPr>
          <w:rFonts w:ascii="Garamond" w:hAnsi="Garamond"/>
        </w:rPr>
        <w:t xml:space="preserve"> </w:t>
      </w:r>
      <w:r w:rsidR="00FC07AA" w:rsidRPr="00303973">
        <w:rPr>
          <w:rFonts w:ascii="Garamond" w:hAnsi="Garamond"/>
        </w:rPr>
        <w:t>Par</w:t>
      </w:r>
      <w:r w:rsidR="00FC07AA">
        <w:rPr>
          <w:rFonts w:ascii="Garamond" w:hAnsi="Garamond"/>
        </w:rPr>
        <w:t>ticipants will also be advised that the interview will be recorded and that the audio recording will only be reviewed for the purposes of report writing. Participants will also be advised that direct quotes may be used in research papers and professional presentations, but names will never be attributed to anything a respondent says.</w:t>
      </w:r>
    </w:p>
    <w:p w:rsidR="00FB1412" w:rsidRPr="004231EB" w:rsidRDefault="00FB1412" w:rsidP="00FE15F3">
      <w:pPr>
        <w:rPr>
          <w:rFonts w:ascii="Garamond" w:hAnsi="Garamond"/>
        </w:rPr>
      </w:pPr>
      <w:r w:rsidRPr="004231EB">
        <w:rPr>
          <w:rFonts w:ascii="Garamond" w:hAnsi="Garamond"/>
        </w:rPr>
        <w:tab/>
        <w:t xml:space="preserve">Participants will be assigned a unique teacher or principal identifier (ID), which will be created solely for data file management and used to keep all student and </w:t>
      </w:r>
      <w:r w:rsidR="00C81BFF">
        <w:rPr>
          <w:rFonts w:ascii="Garamond" w:hAnsi="Garamond"/>
        </w:rPr>
        <w:t>principal</w:t>
      </w:r>
      <w:r w:rsidR="00C81BFF" w:rsidRPr="004231EB">
        <w:rPr>
          <w:rFonts w:ascii="Garamond" w:hAnsi="Garamond"/>
        </w:rPr>
        <w:t xml:space="preserve"> </w:t>
      </w:r>
      <w:r w:rsidRPr="004231EB">
        <w:rPr>
          <w:rFonts w:ascii="Garamond" w:hAnsi="Garamond"/>
        </w:rPr>
        <w:t>materials together. The respondent ID will not be linked to the respondent in any way or form. The signed consent forms will be kept separately</w:t>
      </w:r>
      <w:r w:rsidR="00020078" w:rsidRPr="004231EB">
        <w:rPr>
          <w:rFonts w:ascii="Garamond" w:hAnsi="Garamond"/>
        </w:rPr>
        <w:t xml:space="preserve"> from the interview files in a locked cabinet for the duration of the study and will be destroyed after the final report is released. </w:t>
      </w:r>
      <w:r w:rsidR="000A6420">
        <w:rPr>
          <w:rFonts w:ascii="Garamond" w:hAnsi="Garamond"/>
        </w:rPr>
        <w:t xml:space="preserve">A sample consent form may be found as Attachment </w:t>
      </w:r>
      <w:r w:rsidR="00E74329">
        <w:rPr>
          <w:rFonts w:ascii="Garamond" w:hAnsi="Garamond"/>
        </w:rPr>
        <w:t>I</w:t>
      </w:r>
      <w:r w:rsidR="002448DC">
        <w:rPr>
          <w:rFonts w:ascii="Garamond" w:hAnsi="Garamond"/>
        </w:rPr>
        <w:t>II</w:t>
      </w:r>
      <w:r w:rsidR="000A6420">
        <w:rPr>
          <w:rFonts w:ascii="Garamond" w:hAnsi="Garamond"/>
        </w:rPr>
        <w:t>.</w:t>
      </w:r>
    </w:p>
    <w:p w:rsidR="00053C31" w:rsidRPr="004231EB" w:rsidRDefault="00053C31" w:rsidP="00053C31">
      <w:pPr>
        <w:pStyle w:val="Heading1"/>
        <w:rPr>
          <w:rFonts w:ascii="Garamond" w:hAnsi="Garamond"/>
          <w:color w:val="auto"/>
        </w:rPr>
      </w:pPr>
      <w:r w:rsidRPr="004231EB">
        <w:rPr>
          <w:rFonts w:ascii="Garamond" w:hAnsi="Garamond"/>
          <w:color w:val="auto"/>
        </w:rPr>
        <w:lastRenderedPageBreak/>
        <w:t>Estimate of Costs for Recruiting and Paying Respondents</w:t>
      </w:r>
    </w:p>
    <w:p w:rsidR="00053C31" w:rsidRPr="004231EB" w:rsidRDefault="00053C31" w:rsidP="00053C31">
      <w:pPr>
        <w:rPr>
          <w:rFonts w:ascii="Garamond" w:hAnsi="Garamond"/>
        </w:rPr>
      </w:pPr>
      <w:r w:rsidRPr="004231EB">
        <w:rPr>
          <w:rFonts w:ascii="Garamond" w:hAnsi="Garamond"/>
        </w:rPr>
        <w:tab/>
        <w:t xml:space="preserve">The </w:t>
      </w:r>
      <w:r>
        <w:rPr>
          <w:rFonts w:ascii="Garamond" w:hAnsi="Garamond"/>
        </w:rPr>
        <w:t xml:space="preserve">teacher and principal </w:t>
      </w:r>
      <w:r w:rsidRPr="004231EB">
        <w:rPr>
          <w:rFonts w:ascii="Garamond" w:hAnsi="Garamond"/>
        </w:rPr>
        <w:t xml:space="preserve">respondents will </w:t>
      </w:r>
      <w:r>
        <w:rPr>
          <w:rFonts w:ascii="Garamond" w:hAnsi="Garamond"/>
        </w:rPr>
        <w:t>be offered $40</w:t>
      </w:r>
      <w:r w:rsidRPr="004231EB">
        <w:rPr>
          <w:rFonts w:ascii="Garamond" w:hAnsi="Garamond"/>
        </w:rPr>
        <w:t xml:space="preserve"> </w:t>
      </w:r>
      <w:r>
        <w:rPr>
          <w:rFonts w:ascii="Garamond" w:hAnsi="Garamond"/>
        </w:rPr>
        <w:t xml:space="preserve">to participate, to both help </w:t>
      </w:r>
      <w:r w:rsidRPr="004231EB">
        <w:rPr>
          <w:rFonts w:ascii="Garamond" w:hAnsi="Garamond"/>
        </w:rPr>
        <w:t>motivate the</w:t>
      </w:r>
      <w:r>
        <w:rPr>
          <w:rFonts w:ascii="Garamond" w:hAnsi="Garamond"/>
        </w:rPr>
        <w:t>ir</w:t>
      </w:r>
      <w:r w:rsidRPr="004231EB">
        <w:rPr>
          <w:rFonts w:ascii="Garamond" w:hAnsi="Garamond"/>
        </w:rPr>
        <w:t xml:space="preserve"> </w:t>
      </w:r>
      <w:r>
        <w:rPr>
          <w:rFonts w:ascii="Garamond" w:hAnsi="Garamond"/>
        </w:rPr>
        <w:t>participation and to thank</w:t>
      </w:r>
      <w:r w:rsidRPr="004231EB">
        <w:rPr>
          <w:rFonts w:ascii="Garamond" w:hAnsi="Garamond"/>
        </w:rPr>
        <w:t xml:space="preserve"> them for their time, effort</w:t>
      </w:r>
      <w:r>
        <w:rPr>
          <w:rFonts w:ascii="Garamond" w:hAnsi="Garamond"/>
        </w:rPr>
        <w:t>,</w:t>
      </w:r>
      <w:r w:rsidRPr="004231EB">
        <w:rPr>
          <w:rFonts w:ascii="Garamond" w:hAnsi="Garamond"/>
        </w:rPr>
        <w:t xml:space="preserve"> and inconvenience</w:t>
      </w:r>
      <w:r>
        <w:rPr>
          <w:rFonts w:ascii="Garamond" w:hAnsi="Garamond"/>
        </w:rPr>
        <w:t xml:space="preserve">.  The incentive is also deemed necessary </w:t>
      </w:r>
      <w:r w:rsidRPr="004231EB">
        <w:rPr>
          <w:rFonts w:ascii="Garamond" w:hAnsi="Garamond"/>
        </w:rPr>
        <w:t xml:space="preserve">to ensure a </w:t>
      </w:r>
      <w:r>
        <w:rPr>
          <w:rFonts w:ascii="Garamond" w:hAnsi="Garamond"/>
        </w:rPr>
        <w:t>diverse</w:t>
      </w:r>
      <w:r w:rsidRPr="004231EB">
        <w:rPr>
          <w:rFonts w:ascii="Garamond" w:hAnsi="Garamond"/>
        </w:rPr>
        <w:t xml:space="preserve"> sample.</w:t>
      </w:r>
      <w:r>
        <w:rPr>
          <w:rFonts w:ascii="Garamond" w:hAnsi="Garamond"/>
        </w:rPr>
        <w:t xml:space="preserve"> Respondents will be paid </w:t>
      </w:r>
      <w:r w:rsidRPr="00DB1901">
        <w:rPr>
          <w:rFonts w:ascii="Garamond" w:hAnsi="Garamond"/>
        </w:rPr>
        <w:t>by check after completion of the interview.</w:t>
      </w:r>
    </w:p>
    <w:p w:rsidR="00053C31" w:rsidRPr="004231EB" w:rsidRDefault="00053C31" w:rsidP="00053C31">
      <w:pPr>
        <w:pStyle w:val="Heading1"/>
        <w:spacing w:before="240"/>
        <w:rPr>
          <w:rFonts w:ascii="Garamond" w:hAnsi="Garamond"/>
          <w:color w:val="auto"/>
        </w:rPr>
      </w:pPr>
      <w:r w:rsidRPr="004231EB">
        <w:rPr>
          <w:rFonts w:ascii="Garamond" w:hAnsi="Garamond"/>
          <w:color w:val="auto"/>
        </w:rPr>
        <w:t>Estimate of Cost Burden</w:t>
      </w:r>
    </w:p>
    <w:p w:rsidR="00053C31" w:rsidRPr="004231EB" w:rsidRDefault="00053C31" w:rsidP="00053C31">
      <w:pPr>
        <w:ind w:firstLine="720"/>
        <w:rPr>
          <w:rFonts w:ascii="Garamond" w:hAnsi="Garamond"/>
        </w:rPr>
      </w:pPr>
      <w:r>
        <w:rPr>
          <w:rFonts w:ascii="Garamond" w:hAnsi="Garamond"/>
        </w:rPr>
        <w:t>There are no direct costs to participants.</w:t>
      </w:r>
    </w:p>
    <w:p w:rsidR="00053C31" w:rsidRPr="004231EB" w:rsidRDefault="00053C31" w:rsidP="00053C31">
      <w:pPr>
        <w:pStyle w:val="Heading1"/>
        <w:spacing w:before="240"/>
        <w:rPr>
          <w:rFonts w:ascii="Garamond" w:hAnsi="Garamond"/>
          <w:color w:val="auto"/>
        </w:rPr>
      </w:pPr>
      <w:r w:rsidRPr="004231EB">
        <w:rPr>
          <w:rFonts w:ascii="Garamond" w:hAnsi="Garamond"/>
          <w:color w:val="auto"/>
        </w:rPr>
        <w:t>Cost to the Federal Government</w:t>
      </w:r>
    </w:p>
    <w:p w:rsidR="00053C31" w:rsidRPr="004231EB" w:rsidRDefault="00053C31" w:rsidP="00053C31">
      <w:pPr>
        <w:rPr>
          <w:rFonts w:ascii="Garamond" w:hAnsi="Garamond"/>
        </w:rPr>
      </w:pPr>
      <w:r w:rsidRPr="004231EB">
        <w:rPr>
          <w:rFonts w:ascii="Garamond" w:hAnsi="Garamond"/>
        </w:rPr>
        <w:tab/>
        <w:t>The cost of conducting the cognitive interviews will be $</w:t>
      </w:r>
      <w:r>
        <w:rPr>
          <w:rFonts w:ascii="Garamond" w:hAnsi="Garamond"/>
        </w:rPr>
        <w:t>93,305</w:t>
      </w:r>
      <w:r w:rsidRPr="004231EB">
        <w:rPr>
          <w:rFonts w:ascii="Garamond" w:hAnsi="Garamond"/>
        </w:rPr>
        <w:t xml:space="preserve">, </w:t>
      </w:r>
      <w:r>
        <w:rPr>
          <w:rFonts w:ascii="Garamond" w:hAnsi="Garamond"/>
        </w:rPr>
        <w:t xml:space="preserve">under the NCES contract to NORC at the University of Chicago, </w:t>
      </w:r>
      <w:r w:rsidRPr="004231EB">
        <w:rPr>
          <w:rFonts w:ascii="Garamond" w:hAnsi="Garamond"/>
        </w:rPr>
        <w:t>which includes recruitment</w:t>
      </w:r>
      <w:r>
        <w:rPr>
          <w:rFonts w:ascii="Garamond" w:hAnsi="Garamond"/>
        </w:rPr>
        <w:t xml:space="preserve"> and securing consent (including school district-level IRB review if needed)</w:t>
      </w:r>
      <w:r w:rsidRPr="004231EB">
        <w:rPr>
          <w:rFonts w:ascii="Garamond" w:hAnsi="Garamond"/>
        </w:rPr>
        <w:t xml:space="preserve">, interviewing, </w:t>
      </w:r>
      <w:r>
        <w:rPr>
          <w:rFonts w:ascii="Garamond" w:hAnsi="Garamond"/>
        </w:rPr>
        <w:t>recording</w:t>
      </w:r>
      <w:r w:rsidRPr="004231EB">
        <w:rPr>
          <w:rFonts w:ascii="Garamond" w:hAnsi="Garamond"/>
        </w:rPr>
        <w:t xml:space="preserve">, </w:t>
      </w:r>
      <w:r>
        <w:rPr>
          <w:rFonts w:ascii="Garamond" w:hAnsi="Garamond"/>
        </w:rPr>
        <w:t xml:space="preserve">analysis, report writing, and </w:t>
      </w:r>
      <w:r w:rsidRPr="004231EB">
        <w:rPr>
          <w:rFonts w:ascii="Garamond" w:hAnsi="Garamond"/>
        </w:rPr>
        <w:t>participant incentive</w:t>
      </w:r>
      <w:r>
        <w:rPr>
          <w:rFonts w:ascii="Garamond" w:hAnsi="Garamond"/>
        </w:rPr>
        <w:t xml:space="preserve">s </w:t>
      </w:r>
      <w:r w:rsidRPr="00A6259A">
        <w:rPr>
          <w:rFonts w:ascii="Garamond" w:hAnsi="Garamond"/>
        </w:rPr>
        <w:t>of $40</w:t>
      </w:r>
      <w:r>
        <w:rPr>
          <w:rFonts w:ascii="Garamond" w:hAnsi="Garamond"/>
        </w:rPr>
        <w:t xml:space="preserve"> each for 164 interviews</w:t>
      </w:r>
      <w:r w:rsidRPr="004231EB">
        <w:rPr>
          <w:rFonts w:ascii="Garamond" w:hAnsi="Garamond"/>
        </w:rPr>
        <w:t xml:space="preserve">. </w:t>
      </w:r>
    </w:p>
    <w:p w:rsidR="00FE15F3" w:rsidRPr="004231EB" w:rsidRDefault="00FE15F3" w:rsidP="005D1B76">
      <w:pPr>
        <w:pStyle w:val="Heading1"/>
        <w:spacing w:before="240"/>
        <w:rPr>
          <w:rFonts w:ascii="Garamond" w:hAnsi="Garamond"/>
          <w:color w:val="auto"/>
        </w:rPr>
      </w:pPr>
      <w:r w:rsidRPr="004231EB">
        <w:rPr>
          <w:rFonts w:ascii="Garamond" w:hAnsi="Garamond"/>
          <w:color w:val="auto"/>
        </w:rPr>
        <w:t>Project Schedule</w:t>
      </w:r>
    </w:p>
    <w:tbl>
      <w:tblPr>
        <w:tblStyle w:val="TableGrid"/>
        <w:tblW w:w="5000" w:type="pct"/>
        <w:tblLook w:val="04A0" w:firstRow="1" w:lastRow="0" w:firstColumn="1" w:lastColumn="0" w:noHBand="0" w:noVBand="1"/>
      </w:tblPr>
      <w:tblGrid>
        <w:gridCol w:w="6588"/>
        <w:gridCol w:w="3852"/>
      </w:tblGrid>
      <w:tr w:rsidR="00ED4732" w:rsidRPr="004231EB" w:rsidTr="002A47C5">
        <w:tc>
          <w:tcPr>
            <w:tcW w:w="3155" w:type="pct"/>
          </w:tcPr>
          <w:p w:rsidR="00ED4732" w:rsidRPr="004231EB" w:rsidRDefault="00ED4732" w:rsidP="00FE15F3">
            <w:pPr>
              <w:rPr>
                <w:rFonts w:ascii="Garamond" w:hAnsi="Garamond"/>
              </w:rPr>
            </w:pPr>
            <w:r>
              <w:rPr>
                <w:rFonts w:ascii="Garamond" w:hAnsi="Garamond"/>
              </w:rPr>
              <w:t>Contact schools for recruitment of principals and teachers</w:t>
            </w:r>
          </w:p>
        </w:tc>
        <w:tc>
          <w:tcPr>
            <w:tcW w:w="1845" w:type="pct"/>
          </w:tcPr>
          <w:p w:rsidR="00ED4732" w:rsidRDefault="00ED4732" w:rsidP="00FE15F3">
            <w:pPr>
              <w:rPr>
                <w:rFonts w:ascii="Garamond" w:hAnsi="Garamond"/>
              </w:rPr>
            </w:pPr>
            <w:r>
              <w:rPr>
                <w:rFonts w:ascii="Garamond" w:hAnsi="Garamond"/>
              </w:rPr>
              <w:t>December 2013</w:t>
            </w:r>
          </w:p>
        </w:tc>
      </w:tr>
      <w:tr w:rsidR="002448DC" w:rsidRPr="004231EB" w:rsidTr="002A47C5">
        <w:tc>
          <w:tcPr>
            <w:tcW w:w="3155" w:type="pct"/>
          </w:tcPr>
          <w:p w:rsidR="002448DC" w:rsidRDefault="002448DC" w:rsidP="005E48A6">
            <w:pPr>
              <w:rPr>
                <w:rFonts w:ascii="Garamond" w:hAnsi="Garamond"/>
              </w:rPr>
            </w:pPr>
            <w:r>
              <w:rPr>
                <w:rFonts w:ascii="Garamond" w:hAnsi="Garamond"/>
              </w:rPr>
              <w:t xml:space="preserve">Submit materials to district institutional review boards </w:t>
            </w:r>
            <w:r w:rsidR="005E48A6">
              <w:rPr>
                <w:rFonts w:ascii="Garamond" w:hAnsi="Garamond"/>
              </w:rPr>
              <w:t>where</w:t>
            </w:r>
            <w:r>
              <w:rPr>
                <w:rFonts w:ascii="Garamond" w:hAnsi="Garamond"/>
              </w:rPr>
              <w:t xml:space="preserve"> necessary</w:t>
            </w:r>
          </w:p>
        </w:tc>
        <w:tc>
          <w:tcPr>
            <w:tcW w:w="1845" w:type="pct"/>
          </w:tcPr>
          <w:p w:rsidR="002448DC" w:rsidRDefault="002448DC" w:rsidP="00FE15F3">
            <w:pPr>
              <w:rPr>
                <w:rFonts w:ascii="Garamond" w:hAnsi="Garamond"/>
              </w:rPr>
            </w:pPr>
            <w:r>
              <w:rPr>
                <w:rFonts w:ascii="Garamond" w:hAnsi="Garamond"/>
              </w:rPr>
              <w:t>December 2013</w:t>
            </w:r>
          </w:p>
        </w:tc>
      </w:tr>
      <w:tr w:rsidR="004231EB" w:rsidRPr="004231EB" w:rsidTr="002A47C5">
        <w:tc>
          <w:tcPr>
            <w:tcW w:w="3155" w:type="pct"/>
          </w:tcPr>
          <w:p w:rsidR="00ED40B6" w:rsidRPr="004231EB" w:rsidRDefault="00ED4732" w:rsidP="00FE15F3">
            <w:pPr>
              <w:rPr>
                <w:rFonts w:ascii="Garamond" w:hAnsi="Garamond"/>
              </w:rPr>
            </w:pPr>
            <w:r>
              <w:rPr>
                <w:rFonts w:ascii="Garamond" w:hAnsi="Garamond"/>
              </w:rPr>
              <w:t>Recruit p</w:t>
            </w:r>
            <w:r w:rsidR="00ED40B6" w:rsidRPr="004231EB">
              <w:rPr>
                <w:rFonts w:ascii="Garamond" w:hAnsi="Garamond"/>
              </w:rPr>
              <w:t>articipants</w:t>
            </w:r>
            <w:r>
              <w:rPr>
                <w:rFonts w:ascii="Garamond" w:hAnsi="Garamond"/>
              </w:rPr>
              <w:t xml:space="preserve"> through schools and through a snowball sample</w:t>
            </w:r>
          </w:p>
        </w:tc>
        <w:tc>
          <w:tcPr>
            <w:tcW w:w="1845" w:type="pct"/>
          </w:tcPr>
          <w:p w:rsidR="00ED40B6" w:rsidRPr="004231EB" w:rsidRDefault="00ED4732" w:rsidP="00FE15F3">
            <w:pPr>
              <w:rPr>
                <w:rFonts w:ascii="Garamond" w:hAnsi="Garamond"/>
              </w:rPr>
            </w:pPr>
            <w:r>
              <w:rPr>
                <w:rFonts w:ascii="Garamond" w:hAnsi="Garamond"/>
              </w:rPr>
              <w:t>December 2013-March 2014</w:t>
            </w:r>
          </w:p>
        </w:tc>
      </w:tr>
      <w:tr w:rsidR="004231EB" w:rsidRPr="004231EB" w:rsidTr="002A47C5">
        <w:tc>
          <w:tcPr>
            <w:tcW w:w="3155" w:type="pct"/>
          </w:tcPr>
          <w:p w:rsidR="00ED40B6" w:rsidRPr="004231EB" w:rsidRDefault="00ED40B6" w:rsidP="00FE15F3">
            <w:pPr>
              <w:rPr>
                <w:rFonts w:ascii="Garamond" w:hAnsi="Garamond"/>
              </w:rPr>
            </w:pPr>
            <w:r w:rsidRPr="004231EB">
              <w:rPr>
                <w:rFonts w:ascii="Garamond" w:hAnsi="Garamond"/>
              </w:rPr>
              <w:t>Conduct cognitive testing</w:t>
            </w:r>
          </w:p>
        </w:tc>
        <w:tc>
          <w:tcPr>
            <w:tcW w:w="1845" w:type="pct"/>
          </w:tcPr>
          <w:p w:rsidR="00ED40B6" w:rsidRPr="004231EB" w:rsidRDefault="00ED4732" w:rsidP="00FE15F3">
            <w:pPr>
              <w:rPr>
                <w:rFonts w:ascii="Garamond" w:hAnsi="Garamond"/>
              </w:rPr>
            </w:pPr>
            <w:r>
              <w:rPr>
                <w:rFonts w:ascii="Garamond" w:hAnsi="Garamond"/>
              </w:rPr>
              <w:t>December 2013-March 2014</w:t>
            </w:r>
          </w:p>
        </w:tc>
      </w:tr>
      <w:tr w:rsidR="004231EB" w:rsidRPr="004231EB" w:rsidTr="002A47C5">
        <w:tc>
          <w:tcPr>
            <w:tcW w:w="3155" w:type="pct"/>
          </w:tcPr>
          <w:p w:rsidR="00ED40B6" w:rsidRPr="004231EB" w:rsidRDefault="00ED40B6" w:rsidP="00FE15F3">
            <w:pPr>
              <w:rPr>
                <w:rFonts w:ascii="Garamond" w:hAnsi="Garamond"/>
              </w:rPr>
            </w:pPr>
            <w:r w:rsidRPr="004231EB">
              <w:rPr>
                <w:rFonts w:ascii="Garamond" w:hAnsi="Garamond"/>
              </w:rPr>
              <w:t>Finalize revisions to item wording</w:t>
            </w:r>
          </w:p>
        </w:tc>
        <w:tc>
          <w:tcPr>
            <w:tcW w:w="1845" w:type="pct"/>
          </w:tcPr>
          <w:p w:rsidR="00ED40B6" w:rsidRPr="004231EB" w:rsidRDefault="00ED4732" w:rsidP="00FE15F3">
            <w:pPr>
              <w:rPr>
                <w:rFonts w:ascii="Garamond" w:hAnsi="Garamond"/>
              </w:rPr>
            </w:pPr>
            <w:r>
              <w:rPr>
                <w:rFonts w:ascii="Garamond" w:hAnsi="Garamond"/>
              </w:rPr>
              <w:t>March 2014-April 2014</w:t>
            </w:r>
          </w:p>
        </w:tc>
      </w:tr>
    </w:tbl>
    <w:p w:rsidR="00556385" w:rsidRPr="00556385" w:rsidRDefault="00556385" w:rsidP="00556385"/>
    <w:sectPr w:rsidR="00556385" w:rsidRPr="00556385" w:rsidSect="004060DF">
      <w:footerReference w:type="default" r:id="rId9"/>
      <w:pgSz w:w="12240" w:h="15840" w:code="1"/>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70B" w:rsidRDefault="00C1770B" w:rsidP="002448DC">
      <w:pPr>
        <w:spacing w:after="0" w:line="240" w:lineRule="auto"/>
      </w:pPr>
      <w:r>
        <w:separator/>
      </w:r>
    </w:p>
  </w:endnote>
  <w:endnote w:type="continuationSeparator" w:id="0">
    <w:p w:rsidR="00C1770B" w:rsidRDefault="00C1770B" w:rsidP="0024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570533"/>
      <w:docPartObj>
        <w:docPartGallery w:val="Page Numbers (Bottom of Page)"/>
        <w:docPartUnique/>
      </w:docPartObj>
    </w:sdtPr>
    <w:sdtEndPr>
      <w:rPr>
        <w:noProof/>
      </w:rPr>
    </w:sdtEndPr>
    <w:sdtContent>
      <w:p w:rsidR="002448DC" w:rsidRDefault="002448DC" w:rsidP="004060DF">
        <w:pPr>
          <w:pStyle w:val="Footer"/>
          <w:jc w:val="center"/>
        </w:pPr>
        <w:r>
          <w:fldChar w:fldCharType="begin"/>
        </w:r>
        <w:r>
          <w:instrText xml:space="preserve"> PAGE   \* MERGEFORMAT </w:instrText>
        </w:r>
        <w:r>
          <w:fldChar w:fldCharType="separate"/>
        </w:r>
        <w:r w:rsidR="0015589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70B" w:rsidRDefault="00C1770B" w:rsidP="002448DC">
      <w:pPr>
        <w:spacing w:after="0" w:line="240" w:lineRule="auto"/>
      </w:pPr>
      <w:r>
        <w:separator/>
      </w:r>
    </w:p>
  </w:footnote>
  <w:footnote w:type="continuationSeparator" w:id="0">
    <w:p w:rsidR="00C1770B" w:rsidRDefault="00C1770B" w:rsidP="00244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44E5B85"/>
    <w:multiLevelType w:val="hybridMultilevel"/>
    <w:tmpl w:val="8946C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96C31ED"/>
    <w:multiLevelType w:val="hybridMultilevel"/>
    <w:tmpl w:val="1FA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475CE5"/>
    <w:multiLevelType w:val="hybridMultilevel"/>
    <w:tmpl w:val="EE303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49A0035"/>
    <w:multiLevelType w:val="hybridMultilevel"/>
    <w:tmpl w:val="480A1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91368CB"/>
    <w:multiLevelType w:val="hybridMultilevel"/>
    <w:tmpl w:val="6CC8A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611547E"/>
    <w:multiLevelType w:val="hybridMultilevel"/>
    <w:tmpl w:val="7CBCDFBC"/>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7">
    <w:nsid w:val="730B33A0"/>
    <w:multiLevelType w:val="hybridMultilevel"/>
    <w:tmpl w:val="9D4AC76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31A"/>
    <w:rsid w:val="000128C8"/>
    <w:rsid w:val="00020078"/>
    <w:rsid w:val="0002438F"/>
    <w:rsid w:val="00027BB1"/>
    <w:rsid w:val="0003325E"/>
    <w:rsid w:val="000504FE"/>
    <w:rsid w:val="0005075A"/>
    <w:rsid w:val="00053C31"/>
    <w:rsid w:val="00084941"/>
    <w:rsid w:val="00084C43"/>
    <w:rsid w:val="00095404"/>
    <w:rsid w:val="000A6420"/>
    <w:rsid w:val="000B2952"/>
    <w:rsid w:val="000B2D2E"/>
    <w:rsid w:val="000C2DF6"/>
    <w:rsid w:val="00133E9D"/>
    <w:rsid w:val="0015038E"/>
    <w:rsid w:val="00151EAA"/>
    <w:rsid w:val="00152C38"/>
    <w:rsid w:val="00155895"/>
    <w:rsid w:val="00164599"/>
    <w:rsid w:val="001F30D1"/>
    <w:rsid w:val="00217FC0"/>
    <w:rsid w:val="00235167"/>
    <w:rsid w:val="00242FE5"/>
    <w:rsid w:val="002448DC"/>
    <w:rsid w:val="00274078"/>
    <w:rsid w:val="002A47C5"/>
    <w:rsid w:val="002B5FBC"/>
    <w:rsid w:val="002C3B78"/>
    <w:rsid w:val="002E7166"/>
    <w:rsid w:val="002F51D1"/>
    <w:rsid w:val="00303973"/>
    <w:rsid w:val="00334D9B"/>
    <w:rsid w:val="003378CE"/>
    <w:rsid w:val="003568AA"/>
    <w:rsid w:val="00357B2A"/>
    <w:rsid w:val="003717C7"/>
    <w:rsid w:val="0037430F"/>
    <w:rsid w:val="0037594A"/>
    <w:rsid w:val="00382ED3"/>
    <w:rsid w:val="003875AF"/>
    <w:rsid w:val="00392053"/>
    <w:rsid w:val="003C5EBC"/>
    <w:rsid w:val="003E14D8"/>
    <w:rsid w:val="003F1EBC"/>
    <w:rsid w:val="004026D0"/>
    <w:rsid w:val="004060DF"/>
    <w:rsid w:val="004150FA"/>
    <w:rsid w:val="004231EB"/>
    <w:rsid w:val="004573BE"/>
    <w:rsid w:val="004721EE"/>
    <w:rsid w:val="004C564B"/>
    <w:rsid w:val="004E4C06"/>
    <w:rsid w:val="004E6218"/>
    <w:rsid w:val="00556385"/>
    <w:rsid w:val="00561D44"/>
    <w:rsid w:val="00582F41"/>
    <w:rsid w:val="00593AE4"/>
    <w:rsid w:val="00596AB3"/>
    <w:rsid w:val="005B7F51"/>
    <w:rsid w:val="005D1B76"/>
    <w:rsid w:val="005E48A6"/>
    <w:rsid w:val="006077EA"/>
    <w:rsid w:val="00614664"/>
    <w:rsid w:val="00683952"/>
    <w:rsid w:val="006A373C"/>
    <w:rsid w:val="006B2BB4"/>
    <w:rsid w:val="00714168"/>
    <w:rsid w:val="0072657D"/>
    <w:rsid w:val="007277EF"/>
    <w:rsid w:val="00753189"/>
    <w:rsid w:val="00791F77"/>
    <w:rsid w:val="007933E6"/>
    <w:rsid w:val="007C4CF4"/>
    <w:rsid w:val="007D419A"/>
    <w:rsid w:val="0081031A"/>
    <w:rsid w:val="0084535B"/>
    <w:rsid w:val="008D2E10"/>
    <w:rsid w:val="008D4AC4"/>
    <w:rsid w:val="008E14E3"/>
    <w:rsid w:val="0092231D"/>
    <w:rsid w:val="00955F13"/>
    <w:rsid w:val="009B3612"/>
    <w:rsid w:val="009F7E25"/>
    <w:rsid w:val="00A01791"/>
    <w:rsid w:val="00A04041"/>
    <w:rsid w:val="00A13076"/>
    <w:rsid w:val="00A1704C"/>
    <w:rsid w:val="00A42723"/>
    <w:rsid w:val="00A52C38"/>
    <w:rsid w:val="00A6259A"/>
    <w:rsid w:val="00A73E6D"/>
    <w:rsid w:val="00A74AD5"/>
    <w:rsid w:val="00A760CD"/>
    <w:rsid w:val="00A84EA5"/>
    <w:rsid w:val="00A92434"/>
    <w:rsid w:val="00A96DE6"/>
    <w:rsid w:val="00AC0E22"/>
    <w:rsid w:val="00BF1032"/>
    <w:rsid w:val="00C11406"/>
    <w:rsid w:val="00C1770B"/>
    <w:rsid w:val="00C21B22"/>
    <w:rsid w:val="00C2515E"/>
    <w:rsid w:val="00C440CC"/>
    <w:rsid w:val="00C6701A"/>
    <w:rsid w:val="00C81BFF"/>
    <w:rsid w:val="00C842EC"/>
    <w:rsid w:val="00C90ACA"/>
    <w:rsid w:val="00CC0618"/>
    <w:rsid w:val="00D131E4"/>
    <w:rsid w:val="00D360A9"/>
    <w:rsid w:val="00D44151"/>
    <w:rsid w:val="00D543F7"/>
    <w:rsid w:val="00DB1901"/>
    <w:rsid w:val="00DC076D"/>
    <w:rsid w:val="00DE2FC8"/>
    <w:rsid w:val="00DE39DB"/>
    <w:rsid w:val="00DF3827"/>
    <w:rsid w:val="00DF608A"/>
    <w:rsid w:val="00E00329"/>
    <w:rsid w:val="00E20DC5"/>
    <w:rsid w:val="00E3005B"/>
    <w:rsid w:val="00E32430"/>
    <w:rsid w:val="00E46656"/>
    <w:rsid w:val="00E5012C"/>
    <w:rsid w:val="00E65BF0"/>
    <w:rsid w:val="00E70A73"/>
    <w:rsid w:val="00E74329"/>
    <w:rsid w:val="00E75C3E"/>
    <w:rsid w:val="00EC239B"/>
    <w:rsid w:val="00ED40B6"/>
    <w:rsid w:val="00ED4732"/>
    <w:rsid w:val="00EE6D80"/>
    <w:rsid w:val="00F23C10"/>
    <w:rsid w:val="00F53FDF"/>
    <w:rsid w:val="00FA6EA4"/>
    <w:rsid w:val="00FB1412"/>
    <w:rsid w:val="00FC07AA"/>
    <w:rsid w:val="00FC1D79"/>
    <w:rsid w:val="00FD042C"/>
    <w:rsid w:val="00FD1207"/>
    <w:rsid w:val="00FE15F3"/>
    <w:rsid w:val="00FF16BC"/>
    <w:rsid w:val="00FF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31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D4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75AF"/>
    <w:pPr>
      <w:ind w:left="720"/>
      <w:contextualSpacing/>
    </w:pPr>
  </w:style>
  <w:style w:type="character" w:styleId="CommentReference">
    <w:name w:val="annotation reference"/>
    <w:basedOn w:val="DefaultParagraphFont"/>
    <w:uiPriority w:val="99"/>
    <w:semiHidden/>
    <w:unhideWhenUsed/>
    <w:rsid w:val="00217FC0"/>
    <w:rPr>
      <w:sz w:val="16"/>
      <w:szCs w:val="16"/>
    </w:rPr>
  </w:style>
  <w:style w:type="paragraph" w:styleId="CommentText">
    <w:name w:val="annotation text"/>
    <w:basedOn w:val="Normal"/>
    <w:link w:val="CommentTextChar"/>
    <w:uiPriority w:val="99"/>
    <w:semiHidden/>
    <w:unhideWhenUsed/>
    <w:rsid w:val="00217FC0"/>
    <w:pPr>
      <w:spacing w:line="240" w:lineRule="auto"/>
    </w:pPr>
    <w:rPr>
      <w:sz w:val="20"/>
      <w:szCs w:val="20"/>
    </w:rPr>
  </w:style>
  <w:style w:type="character" w:customStyle="1" w:styleId="CommentTextChar">
    <w:name w:val="Comment Text Char"/>
    <w:basedOn w:val="DefaultParagraphFont"/>
    <w:link w:val="CommentText"/>
    <w:uiPriority w:val="99"/>
    <w:semiHidden/>
    <w:rsid w:val="00217FC0"/>
    <w:rPr>
      <w:sz w:val="20"/>
      <w:szCs w:val="20"/>
    </w:rPr>
  </w:style>
  <w:style w:type="paragraph" w:styleId="CommentSubject">
    <w:name w:val="annotation subject"/>
    <w:basedOn w:val="CommentText"/>
    <w:next w:val="CommentText"/>
    <w:link w:val="CommentSubjectChar"/>
    <w:uiPriority w:val="99"/>
    <w:semiHidden/>
    <w:unhideWhenUsed/>
    <w:rsid w:val="00217FC0"/>
    <w:rPr>
      <w:b/>
      <w:bCs/>
    </w:rPr>
  </w:style>
  <w:style w:type="character" w:customStyle="1" w:styleId="CommentSubjectChar">
    <w:name w:val="Comment Subject Char"/>
    <w:basedOn w:val="CommentTextChar"/>
    <w:link w:val="CommentSubject"/>
    <w:uiPriority w:val="99"/>
    <w:semiHidden/>
    <w:rsid w:val="00217FC0"/>
    <w:rPr>
      <w:b/>
      <w:bCs/>
      <w:sz w:val="20"/>
      <w:szCs w:val="20"/>
    </w:rPr>
  </w:style>
  <w:style w:type="paragraph" w:styleId="BalloonText">
    <w:name w:val="Balloon Text"/>
    <w:basedOn w:val="Normal"/>
    <w:link w:val="BalloonTextChar"/>
    <w:uiPriority w:val="99"/>
    <w:semiHidden/>
    <w:unhideWhenUsed/>
    <w:rsid w:val="0021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C0"/>
    <w:rPr>
      <w:rFonts w:ascii="Tahoma" w:hAnsi="Tahoma" w:cs="Tahoma"/>
      <w:sz w:val="16"/>
      <w:szCs w:val="16"/>
    </w:rPr>
  </w:style>
  <w:style w:type="paragraph" w:customStyle="1" w:styleId="NORC-Bullet1">
    <w:name w:val="NORC-Bullet 1"/>
    <w:rsid w:val="004721EE"/>
    <w:pPr>
      <w:numPr>
        <w:numId w:val="6"/>
      </w:numPr>
      <w:spacing w:after="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4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DC"/>
  </w:style>
  <w:style w:type="paragraph" w:styleId="Footer">
    <w:name w:val="footer"/>
    <w:basedOn w:val="Normal"/>
    <w:link w:val="FooterChar"/>
    <w:uiPriority w:val="99"/>
    <w:unhideWhenUsed/>
    <w:rsid w:val="00244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DC"/>
  </w:style>
  <w:style w:type="paragraph" w:styleId="PlainText">
    <w:name w:val="Plain Text"/>
    <w:basedOn w:val="Normal"/>
    <w:link w:val="PlainTextChar"/>
    <w:uiPriority w:val="99"/>
    <w:semiHidden/>
    <w:unhideWhenUsed/>
    <w:rsid w:val="00C90AC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C90ACA"/>
    <w:rPr>
      <w:rFonts w:ascii="Courier New" w:eastAsia="Times New Roman" w:hAnsi="Courier New" w:cs="Times New Roman"/>
      <w:sz w:val="20"/>
      <w:szCs w:val="20"/>
    </w:rPr>
  </w:style>
  <w:style w:type="paragraph" w:styleId="TOC2">
    <w:name w:val="toc 2"/>
    <w:basedOn w:val="Normal"/>
    <w:next w:val="Normal"/>
    <w:autoRedefine/>
    <w:uiPriority w:val="39"/>
    <w:rsid w:val="004060DF"/>
    <w:pPr>
      <w:widowControl w:val="0"/>
      <w:tabs>
        <w:tab w:val="left" w:pos="720"/>
        <w:tab w:val="right" w:leader="dot" w:pos="9350"/>
      </w:tabs>
      <w:adjustRightInd w:val="0"/>
      <w:spacing w:after="0"/>
      <w:textAlignment w:val="baseline"/>
    </w:pPr>
    <w:rPr>
      <w:rFonts w:ascii="Times New Roman" w:eastAsia="Times New Roman" w:hAnsi="Times New Roman" w:cs="Times New Roman"/>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31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D4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75AF"/>
    <w:pPr>
      <w:ind w:left="720"/>
      <w:contextualSpacing/>
    </w:pPr>
  </w:style>
  <w:style w:type="character" w:styleId="CommentReference">
    <w:name w:val="annotation reference"/>
    <w:basedOn w:val="DefaultParagraphFont"/>
    <w:uiPriority w:val="99"/>
    <w:semiHidden/>
    <w:unhideWhenUsed/>
    <w:rsid w:val="00217FC0"/>
    <w:rPr>
      <w:sz w:val="16"/>
      <w:szCs w:val="16"/>
    </w:rPr>
  </w:style>
  <w:style w:type="paragraph" w:styleId="CommentText">
    <w:name w:val="annotation text"/>
    <w:basedOn w:val="Normal"/>
    <w:link w:val="CommentTextChar"/>
    <w:uiPriority w:val="99"/>
    <w:semiHidden/>
    <w:unhideWhenUsed/>
    <w:rsid w:val="00217FC0"/>
    <w:pPr>
      <w:spacing w:line="240" w:lineRule="auto"/>
    </w:pPr>
    <w:rPr>
      <w:sz w:val="20"/>
      <w:szCs w:val="20"/>
    </w:rPr>
  </w:style>
  <w:style w:type="character" w:customStyle="1" w:styleId="CommentTextChar">
    <w:name w:val="Comment Text Char"/>
    <w:basedOn w:val="DefaultParagraphFont"/>
    <w:link w:val="CommentText"/>
    <w:uiPriority w:val="99"/>
    <w:semiHidden/>
    <w:rsid w:val="00217FC0"/>
    <w:rPr>
      <w:sz w:val="20"/>
      <w:szCs w:val="20"/>
    </w:rPr>
  </w:style>
  <w:style w:type="paragraph" w:styleId="CommentSubject">
    <w:name w:val="annotation subject"/>
    <w:basedOn w:val="CommentText"/>
    <w:next w:val="CommentText"/>
    <w:link w:val="CommentSubjectChar"/>
    <w:uiPriority w:val="99"/>
    <w:semiHidden/>
    <w:unhideWhenUsed/>
    <w:rsid w:val="00217FC0"/>
    <w:rPr>
      <w:b/>
      <w:bCs/>
    </w:rPr>
  </w:style>
  <w:style w:type="character" w:customStyle="1" w:styleId="CommentSubjectChar">
    <w:name w:val="Comment Subject Char"/>
    <w:basedOn w:val="CommentTextChar"/>
    <w:link w:val="CommentSubject"/>
    <w:uiPriority w:val="99"/>
    <w:semiHidden/>
    <w:rsid w:val="00217FC0"/>
    <w:rPr>
      <w:b/>
      <w:bCs/>
      <w:sz w:val="20"/>
      <w:szCs w:val="20"/>
    </w:rPr>
  </w:style>
  <w:style w:type="paragraph" w:styleId="BalloonText">
    <w:name w:val="Balloon Text"/>
    <w:basedOn w:val="Normal"/>
    <w:link w:val="BalloonTextChar"/>
    <w:uiPriority w:val="99"/>
    <w:semiHidden/>
    <w:unhideWhenUsed/>
    <w:rsid w:val="0021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C0"/>
    <w:rPr>
      <w:rFonts w:ascii="Tahoma" w:hAnsi="Tahoma" w:cs="Tahoma"/>
      <w:sz w:val="16"/>
      <w:szCs w:val="16"/>
    </w:rPr>
  </w:style>
  <w:style w:type="paragraph" w:customStyle="1" w:styleId="NORC-Bullet1">
    <w:name w:val="NORC-Bullet 1"/>
    <w:rsid w:val="004721EE"/>
    <w:pPr>
      <w:numPr>
        <w:numId w:val="6"/>
      </w:numPr>
      <w:spacing w:after="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4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DC"/>
  </w:style>
  <w:style w:type="paragraph" w:styleId="Footer">
    <w:name w:val="footer"/>
    <w:basedOn w:val="Normal"/>
    <w:link w:val="FooterChar"/>
    <w:uiPriority w:val="99"/>
    <w:unhideWhenUsed/>
    <w:rsid w:val="00244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DC"/>
  </w:style>
  <w:style w:type="paragraph" w:styleId="PlainText">
    <w:name w:val="Plain Text"/>
    <w:basedOn w:val="Normal"/>
    <w:link w:val="PlainTextChar"/>
    <w:uiPriority w:val="99"/>
    <w:semiHidden/>
    <w:unhideWhenUsed/>
    <w:rsid w:val="00C90AC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C90ACA"/>
    <w:rPr>
      <w:rFonts w:ascii="Courier New" w:eastAsia="Times New Roman" w:hAnsi="Courier New" w:cs="Times New Roman"/>
      <w:sz w:val="20"/>
      <w:szCs w:val="20"/>
    </w:rPr>
  </w:style>
  <w:style w:type="paragraph" w:styleId="TOC2">
    <w:name w:val="toc 2"/>
    <w:basedOn w:val="Normal"/>
    <w:next w:val="Normal"/>
    <w:autoRedefine/>
    <w:uiPriority w:val="39"/>
    <w:rsid w:val="004060DF"/>
    <w:pPr>
      <w:widowControl w:val="0"/>
      <w:tabs>
        <w:tab w:val="left" w:pos="720"/>
        <w:tab w:val="right" w:leader="dot" w:pos="9350"/>
      </w:tabs>
      <w:adjustRightInd w:val="0"/>
      <w:spacing w:after="0"/>
      <w:textAlignment w:val="baseline"/>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08015">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830605051">
      <w:bodyDiv w:val="1"/>
      <w:marLeft w:val="0"/>
      <w:marRight w:val="0"/>
      <w:marTop w:val="0"/>
      <w:marBottom w:val="0"/>
      <w:divBdr>
        <w:top w:val="none" w:sz="0" w:space="0" w:color="auto"/>
        <w:left w:val="none" w:sz="0" w:space="0" w:color="auto"/>
        <w:bottom w:val="none" w:sz="0" w:space="0" w:color="auto"/>
        <w:right w:val="none" w:sz="0" w:space="0" w:color="auto"/>
      </w:divBdr>
    </w:div>
    <w:div w:id="857043438">
      <w:bodyDiv w:val="1"/>
      <w:marLeft w:val="0"/>
      <w:marRight w:val="0"/>
      <w:marTop w:val="0"/>
      <w:marBottom w:val="0"/>
      <w:divBdr>
        <w:top w:val="none" w:sz="0" w:space="0" w:color="auto"/>
        <w:left w:val="none" w:sz="0" w:space="0" w:color="auto"/>
        <w:bottom w:val="none" w:sz="0" w:space="0" w:color="auto"/>
        <w:right w:val="none" w:sz="0" w:space="0" w:color="auto"/>
      </w:divBdr>
    </w:div>
    <w:div w:id="180191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F3CC1-ED3B-41B2-98A7-4543D6A7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2359</Words>
  <Characters>13451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Herschel Sanders</dc:creator>
  <cp:lastModifiedBy>Kubzdela,Kashka</cp:lastModifiedBy>
  <cp:revision>38</cp:revision>
  <cp:lastPrinted>2013-10-31T12:57:00Z</cp:lastPrinted>
  <dcterms:created xsi:type="dcterms:W3CDTF">2013-11-08T19:23:00Z</dcterms:created>
  <dcterms:modified xsi:type="dcterms:W3CDTF">2013-11-25T17:07:00Z</dcterms:modified>
</cp:coreProperties>
</file>