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Default="008422BB" w:rsidP="00C368FA">
      <w:pPr>
        <w:spacing w:line="240" w:lineRule="auto"/>
        <w:ind w:left="360" w:right="252"/>
        <w:rPr>
          <w:rFonts w:ascii="Arial" w:hAnsi="Arial" w:cs="Arial"/>
          <w:b/>
          <w:sz w:val="52"/>
          <w:szCs w:val="52"/>
        </w:rPr>
      </w:pPr>
    </w:p>
    <w:p w14:paraId="08D889E9" w14:textId="77777777"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14:paraId="762F6225" w14:textId="77777777"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263A3071" w14:textId="67D74E45" w:rsidR="005D0AFA" w:rsidRPr="005D0AFA" w:rsidRDefault="008126EA" w:rsidP="002C0F69">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 xml:space="preserve">esponse Survey System (FRSS) </w:t>
      </w:r>
      <w:r w:rsidR="00184F74">
        <w:rPr>
          <w:rFonts w:ascii="Arial" w:hAnsi="Arial" w:cs="Arial"/>
          <w:sz w:val="40"/>
          <w:szCs w:val="40"/>
        </w:rPr>
        <w:t>10</w:t>
      </w:r>
      <w:r w:rsidR="002C0F69">
        <w:rPr>
          <w:rFonts w:ascii="Arial" w:hAnsi="Arial" w:cs="Arial"/>
          <w:sz w:val="40"/>
          <w:szCs w:val="40"/>
        </w:rPr>
        <w:t>8</w:t>
      </w:r>
      <w:r w:rsidRPr="00382324">
        <w:rPr>
          <w:rFonts w:ascii="Arial" w:hAnsi="Arial" w:cs="Arial"/>
          <w:sz w:val="40"/>
          <w:szCs w:val="40"/>
        </w:rPr>
        <w:t xml:space="preserve">: </w:t>
      </w:r>
      <w:r w:rsidR="002C0F69">
        <w:rPr>
          <w:rFonts w:ascii="Arial" w:hAnsi="Arial" w:cs="Arial"/>
          <w:sz w:val="40"/>
          <w:szCs w:val="40"/>
        </w:rPr>
        <w:t xml:space="preserve">Career and Technical Education </w:t>
      </w:r>
      <w:r w:rsidR="001D7C57">
        <w:rPr>
          <w:rFonts w:ascii="Arial" w:hAnsi="Arial" w:cs="Arial"/>
          <w:sz w:val="40"/>
          <w:szCs w:val="40"/>
        </w:rPr>
        <w:t xml:space="preserve">(CTE) </w:t>
      </w:r>
      <w:bookmarkStart w:id="0" w:name="_GoBack"/>
      <w:bookmarkEnd w:id="0"/>
      <w:r w:rsidR="00184F74">
        <w:rPr>
          <w:rFonts w:ascii="Arial" w:hAnsi="Arial" w:cs="Arial"/>
          <w:sz w:val="40"/>
          <w:szCs w:val="40"/>
        </w:rPr>
        <w:t>Programs</w:t>
      </w:r>
      <w:r w:rsidR="002C0F69">
        <w:rPr>
          <w:rFonts w:ascii="Arial" w:hAnsi="Arial" w:cs="Arial"/>
          <w:sz w:val="40"/>
          <w:szCs w:val="40"/>
        </w:rPr>
        <w:t xml:space="preserve"> in Public School Districts – F</w:t>
      </w:r>
      <w:r w:rsidR="005D0AFA">
        <w:rPr>
          <w:rFonts w:ascii="Arial" w:hAnsi="Arial" w:cs="Arial"/>
          <w:sz w:val="40"/>
          <w:szCs w:val="40"/>
        </w:rPr>
        <w:t>easibility Calls</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2CF8C3E1" w:rsidR="008126EA" w:rsidRPr="000C6D70" w:rsidRDefault="00955733" w:rsidP="00C368FA">
      <w:pPr>
        <w:spacing w:line="240" w:lineRule="auto"/>
        <w:ind w:left="360" w:right="252"/>
        <w:rPr>
          <w:rFonts w:ascii="Arial" w:hAnsi="Arial" w:cs="Arial"/>
          <w:sz w:val="32"/>
          <w:szCs w:val="32"/>
        </w:rPr>
      </w:pPr>
      <w:r w:rsidRPr="00955733">
        <w:rPr>
          <w:rFonts w:ascii="Arial" w:hAnsi="Arial" w:cs="Arial"/>
          <w:sz w:val="32"/>
          <w:szCs w:val="32"/>
        </w:rPr>
        <w:t xml:space="preserve">OMB# 1850-0803 v. </w:t>
      </w:r>
      <w:r w:rsidR="00191500">
        <w:rPr>
          <w:rFonts w:ascii="Arial" w:hAnsi="Arial" w:cs="Arial"/>
          <w:sz w:val="32"/>
          <w:szCs w:val="32"/>
        </w:rPr>
        <w:t>144</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647FF548" w:rsidR="008126EA" w:rsidRDefault="002C0F69" w:rsidP="00566755">
      <w:pPr>
        <w:spacing w:after="0" w:line="240" w:lineRule="auto"/>
        <w:ind w:left="360" w:right="259"/>
        <w:rPr>
          <w:rFonts w:ascii="Arial" w:hAnsi="Arial" w:cs="Arial"/>
          <w:sz w:val="32"/>
          <w:szCs w:val="32"/>
        </w:rPr>
      </w:pPr>
      <w:r>
        <w:rPr>
          <w:rFonts w:ascii="Arial" w:hAnsi="Arial" w:cs="Arial"/>
          <w:sz w:val="32"/>
          <w:szCs w:val="32"/>
        </w:rPr>
        <w:t>September</w:t>
      </w:r>
      <w:r w:rsidR="00814728">
        <w:rPr>
          <w:rFonts w:ascii="Arial" w:hAnsi="Arial" w:cs="Arial"/>
          <w:sz w:val="32"/>
          <w:szCs w:val="32"/>
        </w:rPr>
        <w:t xml:space="preserve"> 25</w:t>
      </w:r>
      <w:r w:rsidR="000B6CA8" w:rsidRPr="002C0F69">
        <w:rPr>
          <w:rFonts w:ascii="Arial" w:hAnsi="Arial" w:cs="Arial"/>
          <w:sz w:val="32"/>
          <w:szCs w:val="32"/>
        </w:rPr>
        <w:t>,</w:t>
      </w:r>
      <w:r w:rsidR="000B6CA8" w:rsidRPr="00E27AE0">
        <w:rPr>
          <w:rFonts w:ascii="Arial" w:hAnsi="Arial" w:cs="Arial"/>
          <w:sz w:val="32"/>
          <w:szCs w:val="32"/>
        </w:rPr>
        <w:t xml:space="preserve"> 201</w:t>
      </w:r>
      <w:r>
        <w:rPr>
          <w:rFonts w:ascii="Arial" w:hAnsi="Arial" w:cs="Arial"/>
          <w:sz w:val="32"/>
          <w:szCs w:val="32"/>
        </w:rPr>
        <w:t>5</w:t>
      </w:r>
    </w:p>
    <w:p w14:paraId="2A062231" w14:textId="77777777" w:rsidR="008126EA" w:rsidRDefault="008126EA" w:rsidP="00566755">
      <w:pPr>
        <w:spacing w:after="0" w:line="240" w:lineRule="auto"/>
        <w:ind w:left="360" w:right="259"/>
        <w:rPr>
          <w:rFonts w:ascii="Arial" w:hAnsi="Arial" w:cs="Arial"/>
          <w:sz w:val="32"/>
          <w:szCs w:val="32"/>
        </w:rPr>
      </w:pPr>
      <w:r>
        <w:rPr>
          <w:rFonts w:ascii="Arial" w:hAnsi="Arial" w:cs="Arial"/>
          <w:sz w:val="32"/>
          <w:szCs w:val="32"/>
        </w:rPr>
        <w:t>National Center for Education Statistics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65301C">
      <w:pPr>
        <w:spacing w:after="120" w:line="240" w:lineRule="auto"/>
        <w:ind w:right="259"/>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1C5F50AA" w14:textId="77777777" w:rsidR="00B36A35" w:rsidRPr="00B22E3E" w:rsidRDefault="005C60AB" w:rsidP="0065301C">
      <w:pPr>
        <w:pStyle w:val="SL-FlLftSgl"/>
        <w:spacing w:after="120" w:line="240" w:lineRule="auto"/>
        <w:jc w:val="left"/>
      </w:pPr>
      <w:r w:rsidRPr="00B22E3E">
        <w:t xml:space="preserve">The National Center for Education Statistics (NCES), U.S. Department of Education (ED), requests OMB approval under the NCES system clearance for Cognitive, Pilot and Field Test studies (OMB #1850-0803) to conduct feasibility calls for </w:t>
      </w:r>
      <w:r w:rsidR="00955733" w:rsidRPr="00B22E3E">
        <w:t>Fast Response Survey System (FRSS)</w:t>
      </w:r>
      <w:r w:rsidR="004654C9" w:rsidRPr="00B22E3E">
        <w:t xml:space="preserve"> </w:t>
      </w:r>
      <w:r w:rsidRPr="00B22E3E">
        <w:t>survey</w:t>
      </w:r>
      <w:r w:rsidR="005D0AFA" w:rsidRPr="00B22E3E">
        <w:t xml:space="preserve"> #</w:t>
      </w:r>
      <w:r w:rsidR="00184F74" w:rsidRPr="00B22E3E">
        <w:t>10</w:t>
      </w:r>
      <w:r w:rsidR="005248D7" w:rsidRPr="00B22E3E">
        <w:t>8</w:t>
      </w:r>
      <w:r w:rsidR="00184F74" w:rsidRPr="00B22E3E">
        <w:t xml:space="preserve"> </w:t>
      </w:r>
      <w:r w:rsidRPr="00B22E3E">
        <w:t>on</w:t>
      </w:r>
      <w:r w:rsidR="005248D7" w:rsidRPr="00B22E3E">
        <w:t xml:space="preserve"> career and technical education (CTE)</w:t>
      </w:r>
      <w:r w:rsidRPr="00B22E3E">
        <w:t xml:space="preserve"> </w:t>
      </w:r>
      <w:r w:rsidR="00184F74" w:rsidRPr="00B22E3E">
        <w:t>programs</w:t>
      </w:r>
      <w:r w:rsidR="00D36F49" w:rsidRPr="00B22E3E">
        <w:t xml:space="preserve"> in public school districts</w:t>
      </w:r>
      <w:r w:rsidR="00184F74" w:rsidRPr="00B22E3E">
        <w:t xml:space="preserve">. </w:t>
      </w:r>
      <w:r w:rsidR="00D36F49" w:rsidRPr="00B22E3E">
        <w:t xml:space="preserve">The Office of </w:t>
      </w:r>
      <w:r w:rsidR="005248D7" w:rsidRPr="00B22E3E">
        <w:t xml:space="preserve">Career, Technical, and Adult Education (OCTAE) </w:t>
      </w:r>
      <w:r w:rsidR="00D36F49" w:rsidRPr="00B22E3E">
        <w:t xml:space="preserve">requested that </w:t>
      </w:r>
      <w:r w:rsidR="00E8356E" w:rsidRPr="00B22E3E">
        <w:t xml:space="preserve">NCES conduct </w:t>
      </w:r>
      <w:r w:rsidR="00A07D1F" w:rsidRPr="00B22E3E">
        <w:t>th</w:t>
      </w:r>
      <w:r w:rsidR="00D36F49" w:rsidRPr="00B22E3E">
        <w:t>is</w:t>
      </w:r>
      <w:r w:rsidR="00E8356E" w:rsidRPr="00B22E3E">
        <w:t xml:space="preserve"> FRSS survey.</w:t>
      </w:r>
    </w:p>
    <w:p w14:paraId="452FDFA0" w14:textId="2EAC2049" w:rsidR="009A7611" w:rsidRPr="009A7611" w:rsidRDefault="009A7611" w:rsidP="009A7611">
      <w:pPr>
        <w:spacing w:after="120" w:line="240" w:lineRule="auto"/>
        <w:rPr>
          <w:rFonts w:ascii="Times New Roman" w:hAnsi="Times New Roman"/>
        </w:rPr>
      </w:pPr>
      <w:r w:rsidRPr="009A7611">
        <w:rPr>
          <w:rFonts w:ascii="Times New Roman" w:hAnsi="Times New Roman"/>
        </w:rPr>
        <w:t>Nearly all public high school students (95 percent of ninth-grade students in 2009) attended a school that offered Career and Technical Education (CTE) instruction, either on campus or at a partnering school. In 2009, 85 percent of public high school graduates had completed one or more occupational CTE courses, 76 percent had earned at least one full credit in occupational CTE, and 19 percent were CTE concentrators who had earned at least three credits in the same CTE field.</w:t>
      </w:r>
      <w:r w:rsidRPr="009A7611">
        <w:rPr>
          <w:rStyle w:val="FootnoteReference"/>
          <w:rFonts w:ascii="Times New Roman" w:hAnsi="Times New Roman"/>
        </w:rPr>
        <w:footnoteReference w:id="1"/>
      </w:r>
    </w:p>
    <w:p w14:paraId="58A2C774" w14:textId="77777777" w:rsidR="009A7611" w:rsidRDefault="009A7611" w:rsidP="009A7611">
      <w:pPr>
        <w:spacing w:after="120" w:line="240" w:lineRule="auto"/>
        <w:rPr>
          <w:rFonts w:ascii="Times New Roman" w:hAnsi="Times New Roman"/>
        </w:rPr>
      </w:pPr>
      <w:r w:rsidRPr="009A7611">
        <w:rPr>
          <w:rFonts w:ascii="Times New Roman" w:hAnsi="Times New Roman"/>
        </w:rPr>
        <w:t xml:space="preserve">Effective, high-quality CTE programs are aligned with college- and career-readiness standards as well as the needs of employers, industry, and labor. They provide students with a curriculum that combines integrated academic and technical content and strong employability skills. They also provide work-based learning opportunities that enable students to connect what they are learning to real-life career scenarios and choices. The students participating in effective CTE programs graduate with industry certifications or licenses </w:t>
      </w:r>
      <w:r w:rsidRPr="009A7611">
        <w:rPr>
          <w:rFonts w:ascii="Times New Roman" w:hAnsi="Times New Roman"/>
          <w:i/>
          <w:iCs/>
        </w:rPr>
        <w:t xml:space="preserve">and </w:t>
      </w:r>
      <w:r w:rsidRPr="009A7611">
        <w:rPr>
          <w:rFonts w:ascii="Times New Roman" w:hAnsi="Times New Roman"/>
        </w:rPr>
        <w:t>postsecondary certificates or degrees that prepare them for in-demand careers within high-growth industry sectors.</w:t>
      </w:r>
      <w:r w:rsidRPr="009A7611">
        <w:rPr>
          <w:rStyle w:val="FootnoteReference"/>
          <w:rFonts w:ascii="Times New Roman" w:hAnsi="Times New Roman"/>
        </w:rPr>
        <w:footnoteReference w:id="2"/>
      </w:r>
    </w:p>
    <w:p w14:paraId="7C3CCEF1" w14:textId="3A3A6A5F" w:rsidR="00F3739F" w:rsidRDefault="00354ED7" w:rsidP="009A7611">
      <w:pPr>
        <w:spacing w:after="120" w:line="240" w:lineRule="auto"/>
        <w:rPr>
          <w:rFonts w:ascii="Times New Roman" w:hAnsi="Times New Roman"/>
        </w:rPr>
      </w:pPr>
      <w:r>
        <w:rPr>
          <w:rFonts w:ascii="Times New Roman" w:hAnsi="Times New Roman"/>
        </w:rPr>
        <w:t xml:space="preserve">According to </w:t>
      </w:r>
      <w:r w:rsidR="006E0FF1" w:rsidRPr="00F3739F">
        <w:rPr>
          <w:rFonts w:ascii="Times New Roman" w:hAnsi="Times New Roman"/>
        </w:rPr>
        <w:t xml:space="preserve">the criteria identified by </w:t>
      </w:r>
      <w:r w:rsidR="00B22E3E" w:rsidRPr="00B22E3E">
        <w:rPr>
          <w:rFonts w:ascii="Times New Roman" w:hAnsi="Times New Roman"/>
        </w:rPr>
        <w:t>OCTAE</w:t>
      </w:r>
      <w:r w:rsidR="00B22E3E" w:rsidRPr="00F3739F">
        <w:rPr>
          <w:rFonts w:ascii="Times New Roman" w:hAnsi="Times New Roman"/>
        </w:rPr>
        <w:t xml:space="preserve"> </w:t>
      </w:r>
      <w:r w:rsidR="006E0FF1" w:rsidRPr="00F3739F">
        <w:rPr>
          <w:rFonts w:ascii="Times New Roman" w:hAnsi="Times New Roman"/>
        </w:rPr>
        <w:t>in their blueprint specifications for the most recent reauthorization of the Perkins Act as characteristics that define high-quality CTE programs</w:t>
      </w:r>
      <w:r>
        <w:rPr>
          <w:rFonts w:ascii="Times New Roman" w:hAnsi="Times New Roman"/>
        </w:rPr>
        <w:t>,</w:t>
      </w:r>
      <w:r w:rsidR="00F3739F" w:rsidRPr="00F3739F">
        <w:rPr>
          <w:rFonts w:ascii="Times New Roman" w:hAnsi="Times New Roman"/>
        </w:rPr>
        <w:t xml:space="preserve"> </w:t>
      </w:r>
      <w:r w:rsidR="00E43BDC">
        <w:rPr>
          <w:rFonts w:ascii="Times New Roman" w:hAnsi="Times New Roman"/>
        </w:rPr>
        <w:t>a high-quality CTE program:</w:t>
      </w:r>
    </w:p>
    <w:p w14:paraId="5BEE3247" w14:textId="2472ACE5" w:rsidR="00E43BDC" w:rsidRPr="00433AA8" w:rsidRDefault="00E43BDC" w:rsidP="00E43BDC">
      <w:pPr>
        <w:pStyle w:val="ListParagraph"/>
        <w:numPr>
          <w:ilvl w:val="0"/>
          <w:numId w:val="7"/>
        </w:numPr>
        <w:spacing w:after="120" w:line="240" w:lineRule="auto"/>
        <w:rPr>
          <w:rFonts w:ascii="Times New Roman" w:hAnsi="Times New Roman"/>
        </w:rPr>
      </w:pPr>
      <w:r w:rsidRPr="00433AA8">
        <w:rPr>
          <w:rFonts w:ascii="Times New Roman" w:hAnsi="Times New Roman"/>
        </w:rPr>
        <w:t>Supports career pathways in in-demand industry sectors and occupations</w:t>
      </w:r>
      <w:r w:rsidR="00433AA8">
        <w:rPr>
          <w:rFonts w:ascii="Times New Roman" w:hAnsi="Times New Roman"/>
        </w:rPr>
        <w:t>;</w:t>
      </w:r>
    </w:p>
    <w:p w14:paraId="232E912F" w14:textId="5E5FA3F5" w:rsidR="00E43BDC" w:rsidRPr="00433AA8" w:rsidRDefault="00E43BDC" w:rsidP="00E43BDC">
      <w:pPr>
        <w:pStyle w:val="ListParagraph"/>
        <w:numPr>
          <w:ilvl w:val="0"/>
          <w:numId w:val="7"/>
        </w:numPr>
        <w:spacing w:after="120" w:line="240" w:lineRule="auto"/>
        <w:rPr>
          <w:rFonts w:ascii="Times New Roman" w:hAnsi="Times New Roman"/>
        </w:rPr>
      </w:pPr>
      <w:r w:rsidRPr="00433AA8">
        <w:rPr>
          <w:rFonts w:ascii="Times New Roman" w:hAnsi="Times New Roman"/>
        </w:rPr>
        <w:t>Provides students with information about occupations in in-demand industry sectors or occupations and may offer career exploration activities as early as 7</w:t>
      </w:r>
      <w:r w:rsidRPr="00433AA8">
        <w:rPr>
          <w:rFonts w:ascii="Times New Roman" w:hAnsi="Times New Roman"/>
          <w:vertAlign w:val="superscript"/>
        </w:rPr>
        <w:t>th</w:t>
      </w:r>
      <w:r w:rsidRPr="00433AA8">
        <w:rPr>
          <w:rFonts w:ascii="Times New Roman" w:hAnsi="Times New Roman"/>
        </w:rPr>
        <w:t xml:space="preserve"> grade</w:t>
      </w:r>
      <w:r w:rsidR="00433AA8">
        <w:rPr>
          <w:rFonts w:ascii="Times New Roman" w:hAnsi="Times New Roman"/>
        </w:rPr>
        <w:t>;</w:t>
      </w:r>
    </w:p>
    <w:p w14:paraId="5F9569F6" w14:textId="1621D4E2" w:rsidR="00E43BDC" w:rsidRPr="00433AA8" w:rsidRDefault="00E43BDC" w:rsidP="00E43BDC">
      <w:pPr>
        <w:pStyle w:val="ListParagraph"/>
        <w:numPr>
          <w:ilvl w:val="0"/>
          <w:numId w:val="7"/>
        </w:numPr>
        <w:spacing w:after="120" w:line="240" w:lineRule="auto"/>
        <w:rPr>
          <w:rFonts w:ascii="Times New Roman" w:hAnsi="Times New Roman"/>
        </w:rPr>
      </w:pPr>
      <w:r w:rsidRPr="00433AA8">
        <w:rPr>
          <w:rFonts w:ascii="Times New Roman" w:hAnsi="Times New Roman"/>
        </w:rPr>
        <w:t>Offers a non-duplicative, structured sequence of courses that begin at the secondary level and lead, as applicable, to an industry-recognized credential (in sectors where those credentials exist and are appropriate) and to a postsecondary certificate or degree that is needed for placement in an in-demand occupation that leads to economic self-sufficiency</w:t>
      </w:r>
      <w:r w:rsidR="00433AA8">
        <w:rPr>
          <w:rFonts w:ascii="Times New Roman" w:hAnsi="Times New Roman"/>
        </w:rPr>
        <w:t>;</w:t>
      </w:r>
    </w:p>
    <w:p w14:paraId="5AF6350E" w14:textId="2AF0A4A4" w:rsidR="00E43BDC" w:rsidRPr="00433AA8" w:rsidRDefault="00E43BDC" w:rsidP="00E43BDC">
      <w:pPr>
        <w:pStyle w:val="ListParagraph"/>
        <w:numPr>
          <w:ilvl w:val="0"/>
          <w:numId w:val="7"/>
        </w:numPr>
        <w:spacing w:after="120" w:line="240" w:lineRule="auto"/>
        <w:rPr>
          <w:rFonts w:ascii="Times New Roman" w:hAnsi="Times New Roman"/>
        </w:rPr>
      </w:pPr>
      <w:r w:rsidRPr="00433AA8">
        <w:rPr>
          <w:rFonts w:ascii="Times New Roman" w:hAnsi="Times New Roman"/>
        </w:rPr>
        <w:t>Provides students with the academic, employability, and technical skills that employers require for entry into occupations in in-demand industry sectors or occupations</w:t>
      </w:r>
      <w:r w:rsidR="00433AA8">
        <w:rPr>
          <w:rFonts w:ascii="Times New Roman" w:hAnsi="Times New Roman"/>
        </w:rPr>
        <w:t>;</w:t>
      </w:r>
    </w:p>
    <w:p w14:paraId="53362DCF" w14:textId="6CE8E671" w:rsidR="00E43BDC" w:rsidRPr="00433AA8" w:rsidRDefault="00E43BDC" w:rsidP="00E43BDC">
      <w:pPr>
        <w:pStyle w:val="ListParagraph"/>
        <w:numPr>
          <w:ilvl w:val="0"/>
          <w:numId w:val="7"/>
        </w:numPr>
        <w:spacing w:after="120" w:line="240" w:lineRule="auto"/>
        <w:rPr>
          <w:rFonts w:ascii="Times New Roman" w:hAnsi="Times New Roman"/>
        </w:rPr>
      </w:pPr>
      <w:r w:rsidRPr="00433AA8">
        <w:rPr>
          <w:rFonts w:ascii="Times New Roman" w:hAnsi="Times New Roman"/>
        </w:rPr>
        <w:t>Offers opportunities for students to earn academic credit and postsecondary credit for completing high school career and technical education courses</w:t>
      </w:r>
      <w:r w:rsidR="00433AA8">
        <w:rPr>
          <w:rFonts w:ascii="Times New Roman" w:hAnsi="Times New Roman"/>
        </w:rPr>
        <w:t>;</w:t>
      </w:r>
    </w:p>
    <w:p w14:paraId="2C560104" w14:textId="3DDD661A" w:rsidR="00E43BDC" w:rsidRPr="00433AA8" w:rsidRDefault="00E43BDC" w:rsidP="00E43BDC">
      <w:pPr>
        <w:pStyle w:val="ListParagraph"/>
        <w:numPr>
          <w:ilvl w:val="0"/>
          <w:numId w:val="7"/>
        </w:numPr>
        <w:spacing w:after="120" w:line="240" w:lineRule="auto"/>
        <w:rPr>
          <w:rFonts w:ascii="Times New Roman" w:hAnsi="Times New Roman"/>
        </w:rPr>
      </w:pPr>
      <w:r w:rsidRPr="00433AA8">
        <w:rPr>
          <w:rFonts w:ascii="Times New Roman" w:hAnsi="Times New Roman"/>
        </w:rPr>
        <w:t>Provides all participating students with work-based learning</w:t>
      </w:r>
      <w:r w:rsidR="00433AA8">
        <w:rPr>
          <w:rFonts w:ascii="Times New Roman" w:hAnsi="Times New Roman"/>
        </w:rPr>
        <w:t>;</w:t>
      </w:r>
    </w:p>
    <w:p w14:paraId="50125E06" w14:textId="71A2C065" w:rsidR="00E43BDC" w:rsidRPr="00433AA8" w:rsidRDefault="00E43BDC" w:rsidP="00E43BDC">
      <w:pPr>
        <w:pStyle w:val="ListParagraph"/>
        <w:numPr>
          <w:ilvl w:val="0"/>
          <w:numId w:val="7"/>
        </w:numPr>
        <w:spacing w:after="120" w:line="240" w:lineRule="auto"/>
        <w:rPr>
          <w:rFonts w:ascii="Times New Roman" w:hAnsi="Times New Roman"/>
        </w:rPr>
      </w:pPr>
      <w:r w:rsidRPr="00433AA8">
        <w:rPr>
          <w:rFonts w:ascii="Times New Roman" w:hAnsi="Times New Roman"/>
        </w:rPr>
        <w:t>Provides supplemental services to participating students who are members of underserved populations and provides support services to all participating students to ensure that all students have equitable access to career and technical education programs, in addition to equitable opportunities to participate and succeed in these programs</w:t>
      </w:r>
      <w:r w:rsidR="00433AA8">
        <w:rPr>
          <w:rFonts w:ascii="Times New Roman" w:hAnsi="Times New Roman"/>
        </w:rPr>
        <w:t>; and</w:t>
      </w:r>
    </w:p>
    <w:p w14:paraId="32D29AB2" w14:textId="0BBBD170" w:rsidR="00E43BDC" w:rsidRPr="00433AA8" w:rsidRDefault="00E43BDC" w:rsidP="00E43BDC">
      <w:pPr>
        <w:pStyle w:val="ListParagraph"/>
        <w:numPr>
          <w:ilvl w:val="0"/>
          <w:numId w:val="7"/>
        </w:numPr>
        <w:spacing w:after="120" w:line="240" w:lineRule="auto"/>
        <w:rPr>
          <w:rFonts w:ascii="Times New Roman" w:hAnsi="Times New Roman"/>
        </w:rPr>
      </w:pPr>
      <w:r w:rsidRPr="00433AA8">
        <w:rPr>
          <w:rFonts w:ascii="Times New Roman" w:hAnsi="Times New Roman"/>
        </w:rPr>
        <w:t>Offers opportunities for participating students to develop leadership skills</w:t>
      </w:r>
      <w:r w:rsidR="00433AA8">
        <w:rPr>
          <w:rFonts w:ascii="Times New Roman" w:hAnsi="Times New Roman"/>
        </w:rPr>
        <w:t>.</w:t>
      </w:r>
    </w:p>
    <w:p w14:paraId="2812CC5E" w14:textId="2ECAFE65" w:rsidR="00354ED7" w:rsidRDefault="00354ED7" w:rsidP="0065301C">
      <w:pPr>
        <w:pStyle w:val="SL-FlLftSgl"/>
        <w:spacing w:after="120" w:line="240" w:lineRule="auto"/>
        <w:jc w:val="left"/>
      </w:pPr>
      <w:r w:rsidRPr="00F3739F">
        <w:t>The purpose of this Fast Response Survey System (FRSS) survey is to collect nationally representative data from public school districts about CTE programs offered by the districts. These programs may be offered at district facilities or in a partnering off-site location, such as area CTE facilities or postsecondary institutions. The sample will focus on school districts with high schools because CTE programs are generally designed for high school students. The survey topics will focus on the extent to which districts provide high-quality CTE programs and how these programs are developed, designed, and implemented</w:t>
      </w:r>
      <w:r w:rsidR="00040733">
        <w:t>.</w:t>
      </w:r>
    </w:p>
    <w:p w14:paraId="43C6FE25" w14:textId="1E4B980E" w:rsidR="008126EA" w:rsidRPr="0079689D" w:rsidRDefault="008126EA" w:rsidP="0065301C">
      <w:pPr>
        <w:pStyle w:val="SL-FlLftSgl"/>
        <w:spacing w:after="120" w:line="240" w:lineRule="auto"/>
        <w:jc w:val="left"/>
      </w:pPr>
      <w:r w:rsidRPr="0079689D">
        <w:t>The purpose of feasibility calls is to explore topics for potential survey items, identify and correct any potential issues with the c</w:t>
      </w:r>
      <w:r w:rsidR="005C60AB">
        <w:t>ontent and format of the survey</w:t>
      </w:r>
      <w:r w:rsidRPr="0079689D">
        <w:t xml:space="preserve"> before</w:t>
      </w:r>
      <w:r w:rsidR="00A64233" w:rsidRPr="0079689D">
        <w:t xml:space="preserve"> conducting pretests</w:t>
      </w:r>
      <w:r w:rsidR="00736674">
        <w:t>, and to en</w:t>
      </w:r>
      <w:r w:rsidRPr="0079689D">
        <w:t xml:space="preserve">sure that </w:t>
      </w:r>
      <w:r w:rsidR="005C60AB">
        <w:t>the survey</w:t>
      </w:r>
      <w:r w:rsidRPr="0079689D">
        <w:t xml:space="preserve"> capture</w:t>
      </w:r>
      <w:r w:rsidR="005C60AB">
        <w:t>s</w:t>
      </w:r>
      <w:r w:rsidRPr="0079689D">
        <w:t xml:space="preserve"> the intended meaning of the questions and minimize</w:t>
      </w:r>
      <w:r w:rsidR="00C440FF">
        <w:t>s</w:t>
      </w:r>
      <w:r w:rsidRPr="0079689D">
        <w:t xml:space="preserve"> the burden imposed on respondents. </w:t>
      </w:r>
      <w:r w:rsidR="00A778FE" w:rsidRPr="0079689D">
        <w:t xml:space="preserve">A request to conduct </w:t>
      </w:r>
      <w:r w:rsidR="00A778FE" w:rsidRPr="0079689D">
        <w:lastRenderedPageBreak/>
        <w:t>pretest activities will follow completion of the feasibility calls.</w:t>
      </w:r>
      <w:r w:rsidR="002624E7" w:rsidRPr="0079689D">
        <w:t xml:space="preserve"> </w:t>
      </w:r>
      <w:r w:rsidR="00DC52AF">
        <w:rPr>
          <w:bCs/>
        </w:rPr>
        <w:t xml:space="preserve">Early rounds of the feasibility calls will ask </w:t>
      </w:r>
      <w:r w:rsidR="006F5B88">
        <w:rPr>
          <w:bCs/>
        </w:rPr>
        <w:t xml:space="preserve">school district </w:t>
      </w:r>
      <w:r w:rsidR="00DC52AF">
        <w:rPr>
          <w:bCs/>
        </w:rPr>
        <w:t xml:space="preserve">respondents to </w:t>
      </w:r>
      <w:r w:rsidR="008D474E">
        <w:rPr>
          <w:bCs/>
        </w:rPr>
        <w:t>participate in a telephone discussion about</w:t>
      </w:r>
      <w:r w:rsidR="000202C4">
        <w:rPr>
          <w:bCs/>
        </w:rPr>
        <w:t xml:space="preserve"> the</w:t>
      </w:r>
      <w:r w:rsidR="008D474E">
        <w:rPr>
          <w:bCs/>
        </w:rPr>
        <w:t xml:space="preserve"> </w:t>
      </w:r>
      <w:r w:rsidR="000202C4">
        <w:rPr>
          <w:bCs/>
        </w:rPr>
        <w:t xml:space="preserve">CTE programs </w:t>
      </w:r>
      <w:r w:rsidR="008D474E">
        <w:rPr>
          <w:bCs/>
        </w:rPr>
        <w:t>in their</w:t>
      </w:r>
      <w:r w:rsidR="00DC52AF">
        <w:rPr>
          <w:bCs/>
        </w:rPr>
        <w:t xml:space="preserve"> </w:t>
      </w:r>
      <w:r w:rsidR="006F5B88">
        <w:rPr>
          <w:bCs/>
        </w:rPr>
        <w:t xml:space="preserve">school </w:t>
      </w:r>
      <w:r w:rsidR="00DC52AF">
        <w:rPr>
          <w:bCs/>
        </w:rPr>
        <w:t>district.</w:t>
      </w:r>
      <w:r w:rsidR="008D474E">
        <w:rPr>
          <w:bCs/>
        </w:rPr>
        <w:t xml:space="preserve"> This information will be used to develop the questionnaire. In later rounds of the feasibility calls, respondents will be asked to </w:t>
      </w:r>
      <w:r w:rsidR="008D474E" w:rsidRPr="006B28A0">
        <w:rPr>
          <w:bCs/>
          <w:i/>
        </w:rPr>
        <w:t>review,</w:t>
      </w:r>
      <w:r w:rsidR="008D474E">
        <w:rPr>
          <w:bCs/>
        </w:rPr>
        <w:t xml:space="preserve"> but not complete draft questionnaire items and ultimately, the draft questionnaire</w:t>
      </w:r>
      <w:r w:rsidR="006F5B88">
        <w:rPr>
          <w:bCs/>
        </w:rPr>
        <w:t>, and provide feedback by telephone</w:t>
      </w:r>
      <w:r w:rsidR="008D474E">
        <w:rPr>
          <w:bCs/>
        </w:rPr>
        <w:t>.</w:t>
      </w:r>
      <w:r w:rsidR="0034311E">
        <w:rPr>
          <w:bCs/>
        </w:rPr>
        <w:t xml:space="preserve"> </w:t>
      </w:r>
      <w:r w:rsidR="00CC72FE">
        <w:rPr>
          <w:bCs/>
        </w:rPr>
        <w:t>The p</w:t>
      </w:r>
      <w:r w:rsidR="002624E7" w:rsidRPr="0079689D">
        <w:rPr>
          <w:bCs/>
        </w:rPr>
        <w:t>retests</w:t>
      </w:r>
      <w:r w:rsidR="00B36A35">
        <w:rPr>
          <w:bCs/>
        </w:rPr>
        <w:t xml:space="preserve"> </w:t>
      </w:r>
      <w:r w:rsidR="002624E7" w:rsidRPr="0079689D">
        <w:rPr>
          <w:bCs/>
        </w:rPr>
        <w:t xml:space="preserve">will involve asking respondents to </w:t>
      </w:r>
      <w:r w:rsidR="002624E7" w:rsidRPr="006B28A0">
        <w:rPr>
          <w:bCs/>
        </w:rPr>
        <w:t>complete</w:t>
      </w:r>
      <w:r w:rsidR="002624E7" w:rsidRPr="0079689D">
        <w:rPr>
          <w:bCs/>
        </w:rPr>
        <w:t xml:space="preserve"> the </w:t>
      </w:r>
      <w:r w:rsidR="0094748D">
        <w:rPr>
          <w:bCs/>
        </w:rPr>
        <w:t xml:space="preserve">draft </w:t>
      </w:r>
      <w:r w:rsidR="002624E7" w:rsidRPr="0079689D">
        <w:rPr>
          <w:bCs/>
        </w:rPr>
        <w:t>survey and participate in a telephone debriefing.</w:t>
      </w:r>
      <w:r w:rsidR="006F6E89">
        <w:rPr>
          <w:bCs/>
        </w:rPr>
        <w:t xml:space="preserve"> </w:t>
      </w:r>
      <w:r w:rsidR="002624E7" w:rsidRPr="0079689D">
        <w:rPr>
          <w:bCs/>
        </w:rPr>
        <w:t>Feasibility calls will be done before pretests to minimize the burden on respondents.</w:t>
      </w:r>
      <w:r w:rsidR="006F6E89">
        <w:rPr>
          <w:bCs/>
        </w:rPr>
        <w:t xml:space="preserve"> </w:t>
      </w:r>
      <w:r w:rsidR="002624E7" w:rsidRPr="0079689D">
        <w:rPr>
          <w:bCs/>
        </w:rPr>
        <w:t xml:space="preserve">Pretests will be done as a final test prior to OMB </w:t>
      </w:r>
      <w:r w:rsidR="005D0AFA">
        <w:rPr>
          <w:bCs/>
        </w:rPr>
        <w:t xml:space="preserve">clearance </w:t>
      </w:r>
      <w:r w:rsidR="002624E7" w:rsidRPr="0079689D">
        <w:rPr>
          <w:bCs/>
        </w:rPr>
        <w:t>submis</w:t>
      </w:r>
      <w:r w:rsidR="005C60AB">
        <w:rPr>
          <w:bCs/>
        </w:rPr>
        <w:t xml:space="preserve">sion </w:t>
      </w:r>
      <w:r w:rsidR="00B36A35">
        <w:rPr>
          <w:bCs/>
        </w:rPr>
        <w:t xml:space="preserve">requesting </w:t>
      </w:r>
      <w:r w:rsidR="005C60AB">
        <w:rPr>
          <w:bCs/>
        </w:rPr>
        <w:t>to conduct the full</w:t>
      </w:r>
      <w:r w:rsidR="005D0AFA">
        <w:rPr>
          <w:bCs/>
        </w:rPr>
        <w:t>-scale</w:t>
      </w:r>
      <w:r w:rsidR="005C60AB">
        <w:rPr>
          <w:bCs/>
        </w:rPr>
        <w:t xml:space="preserve"> survey</w:t>
      </w:r>
      <w:r w:rsidR="002624E7" w:rsidRPr="0079689D">
        <w:rPr>
          <w:bCs/>
        </w:rPr>
        <w:t>.</w:t>
      </w:r>
      <w:r w:rsidR="006F6E89">
        <w:rPr>
          <w:bCs/>
        </w:rPr>
        <w:t xml:space="preserve"> </w:t>
      </w:r>
      <w:r w:rsidRPr="0079689D">
        <w:t>The req</w:t>
      </w:r>
      <w:r w:rsidR="005C60AB">
        <w:t>uest to conduct the full</w:t>
      </w:r>
      <w:r w:rsidR="005D0AFA">
        <w:t>-scale</w:t>
      </w:r>
      <w:r w:rsidR="005C60AB">
        <w:t xml:space="preserve"> survey</w:t>
      </w:r>
      <w:r w:rsidRPr="0079689D">
        <w:t xml:space="preserve"> will be submitted at a later date under OMB generic clearance for quick response surveys (</w:t>
      </w:r>
      <w:r w:rsidRPr="00C440FF">
        <w:t>OMB#1850-0733),</w:t>
      </w:r>
      <w:r w:rsidRPr="0079689D">
        <w:t xml:space="preserve"> which are authorized under the Education Science Reform Act of 2002</w:t>
      </w:r>
      <w:r w:rsidR="005A393C">
        <w:t xml:space="preserve"> (</w:t>
      </w:r>
      <w:r w:rsidR="00701B28">
        <w:t xml:space="preserve">ESRA, </w:t>
      </w:r>
      <w:r w:rsidR="005A393C">
        <w:t xml:space="preserve">20 U.S.C. </w:t>
      </w:r>
      <w:r w:rsidR="005A393C" w:rsidRPr="005A393C">
        <w:t>§</w:t>
      </w:r>
      <w:r w:rsidR="005A393C">
        <w:t>9543)</w:t>
      </w:r>
      <w:r w:rsidRPr="0079689D">
        <w:t>.</w:t>
      </w:r>
      <w:r w:rsidR="006F6E89">
        <w:t xml:space="preserve"> </w:t>
      </w:r>
      <w:r w:rsidR="005D0AFA" w:rsidRPr="0079689D">
        <w:rPr>
          <w:szCs w:val="22"/>
        </w:rPr>
        <w:t>NCES has contract</w:t>
      </w:r>
      <w:r w:rsidR="005D0AFA">
        <w:rPr>
          <w:szCs w:val="22"/>
        </w:rPr>
        <w:t>ed Westat for all stages of this survey.</w:t>
      </w:r>
    </w:p>
    <w:p w14:paraId="67402011" w14:textId="77777777" w:rsidR="008126EA" w:rsidRPr="0079689D" w:rsidRDefault="008126EA" w:rsidP="0065301C">
      <w:pPr>
        <w:spacing w:after="120" w:line="240" w:lineRule="auto"/>
        <w:rPr>
          <w:rFonts w:ascii="Times New Roman" w:hAnsi="Times New Roman"/>
          <w:b/>
          <w:sz w:val="28"/>
        </w:rPr>
      </w:pPr>
      <w:r w:rsidRPr="0079689D">
        <w:rPr>
          <w:rFonts w:ascii="Times New Roman" w:hAnsi="Times New Roman"/>
          <w:b/>
          <w:sz w:val="28"/>
        </w:rPr>
        <w:t>Design</w:t>
      </w:r>
    </w:p>
    <w:p w14:paraId="092CCCEC" w14:textId="77777777" w:rsidR="00B36A35" w:rsidRDefault="008126EA" w:rsidP="0065301C">
      <w:pPr>
        <w:pStyle w:val="SL-FlLftSgl"/>
        <w:spacing w:after="120" w:line="240" w:lineRule="auto"/>
        <w:rPr>
          <w:b/>
          <w:bCs/>
          <w:szCs w:val="22"/>
        </w:rPr>
      </w:pPr>
      <w:r w:rsidRPr="0079689D">
        <w:rPr>
          <w:b/>
          <w:bCs/>
          <w:szCs w:val="22"/>
        </w:rPr>
        <w:t>Overview of Survey Development</w:t>
      </w:r>
    </w:p>
    <w:p w14:paraId="2619DF02" w14:textId="49742E9B" w:rsidR="008126EA" w:rsidRDefault="00D361B1" w:rsidP="0065301C">
      <w:pPr>
        <w:pStyle w:val="SP-SglSpPara"/>
        <w:spacing w:after="120" w:line="240" w:lineRule="auto"/>
        <w:ind w:firstLine="0"/>
        <w:jc w:val="left"/>
        <w:rPr>
          <w:szCs w:val="22"/>
        </w:rPr>
      </w:pPr>
      <w:r w:rsidRPr="00D361B1">
        <w:rPr>
          <w:szCs w:val="22"/>
        </w:rPr>
        <w:t xml:space="preserve">NCES has contracted Westat to conduct the survey for </w:t>
      </w:r>
      <w:r>
        <w:rPr>
          <w:szCs w:val="22"/>
        </w:rPr>
        <w:t>FRSS 10</w:t>
      </w:r>
      <w:r w:rsidR="00DA7475">
        <w:rPr>
          <w:szCs w:val="22"/>
        </w:rPr>
        <w:t>8</w:t>
      </w:r>
      <w:r w:rsidRPr="00D361B1">
        <w:rPr>
          <w:szCs w:val="22"/>
        </w:rPr>
        <w:t>, including development of the survey instrument.</w:t>
      </w:r>
      <w:r w:rsidR="00FE0481">
        <w:rPr>
          <w:szCs w:val="22"/>
        </w:rPr>
        <w:t xml:space="preserve"> </w:t>
      </w:r>
      <w:r>
        <w:rPr>
          <w:szCs w:val="22"/>
        </w:rPr>
        <w:t>FRSS</w:t>
      </w:r>
      <w:r w:rsidRPr="00D361B1">
        <w:rPr>
          <w:szCs w:val="22"/>
        </w:rPr>
        <w:t xml:space="preserve"> has established procedures for developing short surveys on a wide variety of topics. The techniques that we plan to use to shape the survey design on </w:t>
      </w:r>
      <w:r>
        <w:rPr>
          <w:szCs w:val="22"/>
        </w:rPr>
        <w:t>FRSS 10</w:t>
      </w:r>
      <w:r w:rsidR="00E90D7A">
        <w:rPr>
          <w:szCs w:val="22"/>
        </w:rPr>
        <w:t>8</w:t>
      </w:r>
      <w:r>
        <w:rPr>
          <w:szCs w:val="22"/>
        </w:rPr>
        <w:t xml:space="preserve"> </w:t>
      </w:r>
      <w:r w:rsidRPr="00D361B1">
        <w:rPr>
          <w:szCs w:val="22"/>
        </w:rPr>
        <w:t>include literature reviews on</w:t>
      </w:r>
      <w:r w:rsidR="00024FB7">
        <w:rPr>
          <w:szCs w:val="22"/>
        </w:rPr>
        <w:t xml:space="preserve"> </w:t>
      </w:r>
      <w:r w:rsidR="00E90D7A">
        <w:rPr>
          <w:szCs w:val="22"/>
        </w:rPr>
        <w:t xml:space="preserve">CTE </w:t>
      </w:r>
      <w:r w:rsidR="00024FB7">
        <w:rPr>
          <w:szCs w:val="22"/>
        </w:rPr>
        <w:t>programs</w:t>
      </w:r>
      <w:r w:rsidRPr="00D361B1">
        <w:rPr>
          <w:szCs w:val="22"/>
        </w:rPr>
        <w:t>,</w:t>
      </w:r>
      <w:r w:rsidR="00024731">
        <w:rPr>
          <w:szCs w:val="22"/>
        </w:rPr>
        <w:t xml:space="preserve"> input from the </w:t>
      </w:r>
      <w:r w:rsidR="00024731" w:rsidRPr="0079689D">
        <w:rPr>
          <w:szCs w:val="22"/>
        </w:rPr>
        <w:t>NCES Quality Review Board (QRB)</w:t>
      </w:r>
      <w:r w:rsidR="00024731">
        <w:rPr>
          <w:szCs w:val="22"/>
        </w:rPr>
        <w:t>,</w:t>
      </w:r>
      <w:r w:rsidRPr="00D361B1">
        <w:rPr>
          <w:szCs w:val="22"/>
        </w:rPr>
        <w:t xml:space="preserve"> several rounds of feasibility calls, and up to two pretests. The specific ways we plan to use feasibility calls are discussed below.</w:t>
      </w:r>
    </w:p>
    <w:p w14:paraId="498D1615" w14:textId="0CADADE4" w:rsidR="008126EA" w:rsidRPr="0079689D" w:rsidRDefault="008126EA" w:rsidP="0065301C">
      <w:pPr>
        <w:pStyle w:val="SP-SglSpPara"/>
        <w:spacing w:after="120" w:line="240" w:lineRule="auto"/>
        <w:ind w:firstLine="0"/>
        <w:jc w:val="left"/>
        <w:rPr>
          <w:szCs w:val="22"/>
        </w:rPr>
      </w:pPr>
      <w:r w:rsidRPr="0079689D">
        <w:rPr>
          <w:szCs w:val="22"/>
        </w:rPr>
        <w:t xml:space="preserve">We anticipate conducting up to three rounds of feasibility calls, each with </w:t>
      </w:r>
      <w:r w:rsidR="00D361B1">
        <w:rPr>
          <w:szCs w:val="22"/>
        </w:rPr>
        <w:t>fifteen</w:t>
      </w:r>
      <w:r w:rsidR="00D361B1" w:rsidRPr="0079689D">
        <w:rPr>
          <w:szCs w:val="22"/>
        </w:rPr>
        <w:t xml:space="preserve"> </w:t>
      </w:r>
      <w:r w:rsidRPr="0079689D">
        <w:rPr>
          <w:szCs w:val="22"/>
        </w:rPr>
        <w:t>or fewer respondents</w:t>
      </w:r>
      <w:r w:rsidR="00D361B1">
        <w:rPr>
          <w:szCs w:val="22"/>
        </w:rPr>
        <w:t xml:space="preserve">. </w:t>
      </w:r>
      <w:r w:rsidR="00024FB7" w:rsidRPr="008563FC">
        <w:t>With new survey</w:t>
      </w:r>
      <w:r w:rsidR="006E6161">
        <w:t>s</w:t>
      </w:r>
      <w:r w:rsidR="00024FB7" w:rsidRPr="008563FC">
        <w:t xml:space="preserve"> </w:t>
      </w:r>
      <w:r w:rsidR="00024FB7">
        <w:t xml:space="preserve">such as </w:t>
      </w:r>
      <w:r w:rsidR="006E6161">
        <w:t xml:space="preserve">the CTE </w:t>
      </w:r>
      <w:r w:rsidR="00024FB7">
        <w:t>programs</w:t>
      </w:r>
      <w:r w:rsidR="006E6161">
        <w:t xml:space="preserve"> survey</w:t>
      </w:r>
      <w:r w:rsidR="00024FB7" w:rsidRPr="008563FC">
        <w:t xml:space="preserve">, the initial feasibility calls use an open-ended interview guide rather </w:t>
      </w:r>
      <w:r w:rsidR="00024FB7">
        <w:t xml:space="preserve">than </w:t>
      </w:r>
      <w:r w:rsidR="00024FB7" w:rsidRPr="008563FC">
        <w:t xml:space="preserve">a questionnaire. As rounds of feasibility calls progress, respondents </w:t>
      </w:r>
      <w:r w:rsidR="00D361B1">
        <w:rPr>
          <w:szCs w:val="22"/>
        </w:rPr>
        <w:t xml:space="preserve">will be asked to </w:t>
      </w:r>
      <w:r w:rsidRPr="0079689D">
        <w:rPr>
          <w:szCs w:val="22"/>
        </w:rPr>
        <w:t>review</w:t>
      </w:r>
      <w:r w:rsidR="00FE0481">
        <w:rPr>
          <w:szCs w:val="22"/>
        </w:rPr>
        <w:t>, but not complete</w:t>
      </w:r>
      <w:r w:rsidRPr="0079689D">
        <w:rPr>
          <w:szCs w:val="22"/>
        </w:rPr>
        <w:t xml:space="preserve"> </w:t>
      </w:r>
      <w:r w:rsidR="00024FB7">
        <w:rPr>
          <w:szCs w:val="22"/>
        </w:rPr>
        <w:t xml:space="preserve">draft questionnaire items and </w:t>
      </w:r>
      <w:r w:rsidR="00FE0481">
        <w:rPr>
          <w:szCs w:val="22"/>
        </w:rPr>
        <w:t>ultimately</w:t>
      </w:r>
      <w:r w:rsidR="00024FB7">
        <w:rPr>
          <w:szCs w:val="22"/>
        </w:rPr>
        <w:t xml:space="preserve"> </w:t>
      </w:r>
      <w:r w:rsidR="00F81F8C">
        <w:rPr>
          <w:szCs w:val="22"/>
        </w:rPr>
        <w:t>a</w:t>
      </w:r>
      <w:r w:rsidR="00F81F8C" w:rsidRPr="0079689D">
        <w:rPr>
          <w:szCs w:val="22"/>
        </w:rPr>
        <w:t xml:space="preserve"> </w:t>
      </w:r>
      <w:r w:rsidR="00F81F8C">
        <w:rPr>
          <w:szCs w:val="22"/>
        </w:rPr>
        <w:t xml:space="preserve">draft </w:t>
      </w:r>
      <w:r w:rsidRPr="0079689D">
        <w:rPr>
          <w:szCs w:val="22"/>
        </w:rPr>
        <w:t>questionnaire.</w:t>
      </w:r>
      <w:r w:rsidR="006C03C5">
        <w:rPr>
          <w:szCs w:val="22"/>
        </w:rPr>
        <w:t xml:space="preserve"> </w:t>
      </w:r>
      <w:r w:rsidRPr="0079689D">
        <w:rPr>
          <w:szCs w:val="22"/>
        </w:rPr>
        <w:t xml:space="preserve">Conducting multiple rounds of feasibility calls will systematically inform us </w:t>
      </w:r>
      <w:r w:rsidR="00D30956">
        <w:rPr>
          <w:szCs w:val="22"/>
        </w:rPr>
        <w:t>about the availability and nature of</w:t>
      </w:r>
      <w:r w:rsidR="00C9649F">
        <w:rPr>
          <w:szCs w:val="22"/>
        </w:rPr>
        <w:t xml:space="preserve"> high-quality</w:t>
      </w:r>
      <w:r w:rsidR="00D30956">
        <w:rPr>
          <w:szCs w:val="22"/>
        </w:rPr>
        <w:t xml:space="preserve"> </w:t>
      </w:r>
      <w:r w:rsidR="00C9649F">
        <w:rPr>
          <w:szCs w:val="22"/>
        </w:rPr>
        <w:t xml:space="preserve">CTE </w:t>
      </w:r>
      <w:r w:rsidR="00D30956">
        <w:rPr>
          <w:szCs w:val="22"/>
        </w:rPr>
        <w:t xml:space="preserve">programs </w:t>
      </w:r>
      <w:r w:rsidR="00F81F8C">
        <w:rPr>
          <w:szCs w:val="22"/>
        </w:rPr>
        <w:t>in order to draft a questionnaire</w:t>
      </w:r>
      <w:r w:rsidR="009D20F4">
        <w:rPr>
          <w:szCs w:val="22"/>
        </w:rPr>
        <w:t>,</w:t>
      </w:r>
      <w:r w:rsidR="00D30956">
        <w:rPr>
          <w:szCs w:val="22"/>
        </w:rPr>
        <w:t xml:space="preserve"> and in later rounds </w:t>
      </w:r>
      <w:r w:rsidR="00952B68">
        <w:rPr>
          <w:szCs w:val="22"/>
        </w:rPr>
        <w:t xml:space="preserve">will provide in-depth information on </w:t>
      </w:r>
      <w:r w:rsidRPr="0079689D">
        <w:rPr>
          <w:szCs w:val="22"/>
        </w:rPr>
        <w:t xml:space="preserve">respondents’ perceptions of the </w:t>
      </w:r>
      <w:r w:rsidR="00F81F8C">
        <w:rPr>
          <w:szCs w:val="22"/>
        </w:rPr>
        <w:t xml:space="preserve">draft </w:t>
      </w:r>
      <w:r w:rsidRPr="0079689D">
        <w:rPr>
          <w:szCs w:val="22"/>
        </w:rPr>
        <w:t>survey and response burden</w:t>
      </w:r>
      <w:r w:rsidR="00D30956">
        <w:rPr>
          <w:szCs w:val="22"/>
        </w:rPr>
        <w:t xml:space="preserve">. The process </w:t>
      </w:r>
      <w:r w:rsidRPr="0079689D">
        <w:rPr>
          <w:szCs w:val="22"/>
        </w:rPr>
        <w:t>will result in several iterations of the questionnaire</w:t>
      </w:r>
      <w:r w:rsidR="00D30956">
        <w:rPr>
          <w:szCs w:val="22"/>
        </w:rPr>
        <w:t xml:space="preserve"> items</w:t>
      </w:r>
      <w:r w:rsidRPr="0079689D">
        <w:rPr>
          <w:szCs w:val="22"/>
        </w:rPr>
        <w:t xml:space="preserve">. The first round of calls will focus on </w:t>
      </w:r>
      <w:r w:rsidR="00D30956">
        <w:rPr>
          <w:szCs w:val="22"/>
        </w:rPr>
        <w:t>learning more about the</w:t>
      </w:r>
      <w:r w:rsidR="00397A66">
        <w:rPr>
          <w:szCs w:val="22"/>
        </w:rPr>
        <w:t xml:space="preserve"> types of</w:t>
      </w:r>
      <w:r w:rsidR="00D30956">
        <w:rPr>
          <w:szCs w:val="22"/>
        </w:rPr>
        <w:t xml:space="preserve"> </w:t>
      </w:r>
      <w:r w:rsidR="00397A66">
        <w:rPr>
          <w:szCs w:val="22"/>
        </w:rPr>
        <w:t xml:space="preserve">CTE programs offered by public </w:t>
      </w:r>
      <w:r w:rsidR="00D30956">
        <w:rPr>
          <w:szCs w:val="22"/>
        </w:rPr>
        <w:t>school districts,</w:t>
      </w:r>
      <w:r w:rsidR="000A41CE">
        <w:rPr>
          <w:szCs w:val="22"/>
        </w:rPr>
        <w:t xml:space="preserve"> and</w:t>
      </w:r>
      <w:r w:rsidR="00D30956">
        <w:rPr>
          <w:szCs w:val="22"/>
        </w:rPr>
        <w:t xml:space="preserve"> the terminology </w:t>
      </w:r>
      <w:r w:rsidR="00FE0481">
        <w:rPr>
          <w:szCs w:val="22"/>
        </w:rPr>
        <w:t>districts</w:t>
      </w:r>
      <w:r w:rsidR="00D30956">
        <w:rPr>
          <w:szCs w:val="22"/>
        </w:rPr>
        <w:t xml:space="preserve"> use</w:t>
      </w:r>
      <w:r w:rsidR="00FE0481">
        <w:rPr>
          <w:szCs w:val="22"/>
        </w:rPr>
        <w:t xml:space="preserve"> regarding these</w:t>
      </w:r>
      <w:r w:rsidR="00397A66">
        <w:rPr>
          <w:szCs w:val="22"/>
        </w:rPr>
        <w:t xml:space="preserve"> programs</w:t>
      </w:r>
      <w:r w:rsidR="00FE0481">
        <w:rPr>
          <w:szCs w:val="22"/>
        </w:rPr>
        <w:t xml:space="preserve">. </w:t>
      </w:r>
      <w:r w:rsidRPr="0079689D">
        <w:rPr>
          <w:szCs w:val="22"/>
        </w:rPr>
        <w:t xml:space="preserve">For the next round of feasibility calls, </w:t>
      </w:r>
      <w:r w:rsidR="00F81F8C">
        <w:rPr>
          <w:szCs w:val="22"/>
        </w:rPr>
        <w:t xml:space="preserve">respondents will be asked to review draft </w:t>
      </w:r>
      <w:r w:rsidR="00FE0481">
        <w:rPr>
          <w:szCs w:val="22"/>
        </w:rPr>
        <w:t xml:space="preserve">survey questions, </w:t>
      </w:r>
      <w:r w:rsidRPr="0079689D">
        <w:rPr>
          <w:szCs w:val="22"/>
        </w:rPr>
        <w:t>instructions</w:t>
      </w:r>
      <w:r w:rsidR="00FE0481">
        <w:rPr>
          <w:szCs w:val="22"/>
        </w:rPr>
        <w:t xml:space="preserve">, </w:t>
      </w:r>
      <w:r w:rsidRPr="0079689D">
        <w:rPr>
          <w:szCs w:val="22"/>
        </w:rPr>
        <w:t>and definitions based on the initial round of feasibility calls.</w:t>
      </w:r>
      <w:r w:rsidR="00E77B2F">
        <w:rPr>
          <w:szCs w:val="22"/>
        </w:rPr>
        <w:t xml:space="preserve"> </w:t>
      </w:r>
      <w:r w:rsidR="00FE0481">
        <w:rPr>
          <w:szCs w:val="22"/>
        </w:rPr>
        <w:t>As a result of the feedback we receive</w:t>
      </w:r>
      <w:r w:rsidR="00F81F8C" w:rsidRPr="00F81F8C">
        <w:rPr>
          <w:szCs w:val="22"/>
        </w:rPr>
        <w:t xml:space="preserve">, we will make any necessary changes to the survey </w:t>
      </w:r>
      <w:r w:rsidR="00F81F8C">
        <w:rPr>
          <w:szCs w:val="22"/>
        </w:rPr>
        <w:t xml:space="preserve">items and draft a questionnaire. </w:t>
      </w:r>
      <w:r w:rsidRPr="0079689D">
        <w:rPr>
          <w:szCs w:val="22"/>
        </w:rPr>
        <w:t xml:space="preserve">In the </w:t>
      </w:r>
      <w:r w:rsidR="00F81F8C">
        <w:rPr>
          <w:szCs w:val="22"/>
        </w:rPr>
        <w:t>third</w:t>
      </w:r>
      <w:r w:rsidR="00FE0481">
        <w:rPr>
          <w:szCs w:val="22"/>
        </w:rPr>
        <w:t xml:space="preserve"> and final</w:t>
      </w:r>
      <w:r w:rsidR="00F81F8C" w:rsidRPr="0079689D">
        <w:rPr>
          <w:szCs w:val="22"/>
        </w:rPr>
        <w:t xml:space="preserve"> </w:t>
      </w:r>
      <w:r w:rsidRPr="0079689D">
        <w:rPr>
          <w:szCs w:val="22"/>
        </w:rPr>
        <w:t>round</w:t>
      </w:r>
      <w:r w:rsidR="00FE0481">
        <w:rPr>
          <w:szCs w:val="22"/>
        </w:rPr>
        <w:t xml:space="preserve"> of feasibility calls</w:t>
      </w:r>
      <w:r w:rsidRPr="0079689D">
        <w:rPr>
          <w:szCs w:val="22"/>
        </w:rPr>
        <w:t xml:space="preserve">, we will ask </w:t>
      </w:r>
      <w:r w:rsidR="00FE0481">
        <w:rPr>
          <w:szCs w:val="22"/>
        </w:rPr>
        <w:t xml:space="preserve">for </w:t>
      </w:r>
      <w:r w:rsidRPr="0079689D">
        <w:rPr>
          <w:szCs w:val="22"/>
        </w:rPr>
        <w:t>respondent</w:t>
      </w:r>
      <w:r w:rsidR="00FE0481">
        <w:rPr>
          <w:szCs w:val="22"/>
        </w:rPr>
        <w:t>s’ feedback on</w:t>
      </w:r>
      <w:r w:rsidRPr="0079689D">
        <w:rPr>
          <w:szCs w:val="22"/>
        </w:rPr>
        <w:t xml:space="preserve"> </w:t>
      </w:r>
      <w:r w:rsidR="00F81F8C">
        <w:rPr>
          <w:szCs w:val="22"/>
        </w:rPr>
        <w:t>the draft questionnaire</w:t>
      </w:r>
      <w:r w:rsidR="0034311E">
        <w:rPr>
          <w:szCs w:val="22"/>
        </w:rPr>
        <w:t xml:space="preserve">. </w:t>
      </w:r>
      <w:r w:rsidRPr="0079689D">
        <w:rPr>
          <w:szCs w:val="22"/>
        </w:rPr>
        <w:t>The</w:t>
      </w:r>
      <w:r w:rsidR="00736674">
        <w:rPr>
          <w:szCs w:val="22"/>
        </w:rPr>
        <w:t xml:space="preserve"> resulting draft</w:t>
      </w:r>
      <w:r w:rsidR="00E77B2F">
        <w:rPr>
          <w:szCs w:val="22"/>
        </w:rPr>
        <w:t xml:space="preserve"> of the survey</w:t>
      </w:r>
      <w:r w:rsidRPr="0079689D">
        <w:rPr>
          <w:szCs w:val="22"/>
        </w:rPr>
        <w:t xml:space="preserve"> will be reviewed by the NCES QRB and revised as necessary to prepare </w:t>
      </w:r>
      <w:r w:rsidR="00C74547">
        <w:rPr>
          <w:szCs w:val="22"/>
        </w:rPr>
        <w:t xml:space="preserve">it </w:t>
      </w:r>
      <w:r w:rsidRPr="0079689D">
        <w:rPr>
          <w:szCs w:val="22"/>
        </w:rPr>
        <w:t>for pretesting.</w:t>
      </w:r>
    </w:p>
    <w:p w14:paraId="2605B127" w14:textId="77777777" w:rsidR="002318D8" w:rsidRPr="0079689D" w:rsidRDefault="002318D8" w:rsidP="0065301C">
      <w:pPr>
        <w:pStyle w:val="SL-FlLftSgl"/>
        <w:spacing w:after="120" w:line="240" w:lineRule="auto"/>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F91D923" w14:textId="1220A613" w:rsidR="002318D8" w:rsidRDefault="00843711" w:rsidP="0065301C">
      <w:pPr>
        <w:pStyle w:val="SP-SglSpPara"/>
        <w:spacing w:line="240" w:lineRule="auto"/>
        <w:ind w:firstLine="0"/>
        <w:jc w:val="left"/>
        <w:rPr>
          <w:bCs/>
        </w:rPr>
      </w:pPr>
      <w:r w:rsidRPr="005943B7">
        <w:t xml:space="preserve">The </w:t>
      </w:r>
      <w:r w:rsidR="0069222D" w:rsidRPr="005943B7">
        <w:t xml:space="preserve">NCES </w:t>
      </w:r>
      <w:r w:rsidRPr="005943B7">
        <w:t xml:space="preserve">QRB </w:t>
      </w:r>
      <w:r w:rsidR="005D0AFA">
        <w:rPr>
          <w:bCs/>
        </w:rPr>
        <w:t xml:space="preserve">members </w:t>
      </w:r>
      <w:r w:rsidRPr="005943B7">
        <w:t xml:space="preserve">reviewed </w:t>
      </w:r>
      <w:r w:rsidR="005D0AFA">
        <w:rPr>
          <w:bCs/>
        </w:rPr>
        <w:t xml:space="preserve">a draft </w:t>
      </w:r>
      <w:r w:rsidR="00BD115E">
        <w:rPr>
          <w:bCs/>
        </w:rPr>
        <w:t xml:space="preserve">list of questionnaire topics </w:t>
      </w:r>
      <w:r w:rsidRPr="005943B7">
        <w:t>prior to th</w:t>
      </w:r>
      <w:r w:rsidR="005D0AFA">
        <w:t>is</w:t>
      </w:r>
      <w:r w:rsidRPr="005943B7">
        <w:t xml:space="preserve"> submission for the</w:t>
      </w:r>
      <w:r>
        <w:rPr>
          <w:bCs/>
        </w:rPr>
        <w:t xml:space="preserve"> feasibility calls.</w:t>
      </w:r>
      <w:r w:rsidR="006F6E89">
        <w:rPr>
          <w:bCs/>
        </w:rPr>
        <w:t xml:space="preserve"> </w:t>
      </w:r>
      <w:r w:rsidR="0069222D">
        <w:rPr>
          <w:bCs/>
        </w:rPr>
        <w:t xml:space="preserve">Revisions were made to the </w:t>
      </w:r>
      <w:r w:rsidR="00BD115E">
        <w:rPr>
          <w:bCs/>
        </w:rPr>
        <w:t xml:space="preserve">list of topics </w:t>
      </w:r>
      <w:r w:rsidR="0069222D">
        <w:rPr>
          <w:bCs/>
        </w:rPr>
        <w:t>based on input from the reviewers</w:t>
      </w:r>
      <w:r w:rsidR="00BD115E">
        <w:rPr>
          <w:bCs/>
        </w:rPr>
        <w:t>, and the list was used to develop an interview guide for</w:t>
      </w:r>
      <w:r w:rsidR="00BB5206">
        <w:rPr>
          <w:bCs/>
        </w:rPr>
        <w:t xml:space="preserve"> </w:t>
      </w:r>
      <w:r w:rsidR="00BD115E">
        <w:rPr>
          <w:bCs/>
        </w:rPr>
        <w:t>the feasibility calls</w:t>
      </w:r>
      <w:r w:rsidR="005F0FBC">
        <w:rPr>
          <w:bCs/>
        </w:rPr>
        <w:t>.</w:t>
      </w:r>
      <w:r w:rsidR="006F6E89">
        <w:rPr>
          <w:bCs/>
        </w:rPr>
        <w:t xml:space="preserve"> </w:t>
      </w:r>
      <w:r w:rsidR="007E4482">
        <w:rPr>
          <w:bCs/>
        </w:rPr>
        <w:t xml:space="preserve">In addition to staff from each of the </w:t>
      </w:r>
      <w:r w:rsidR="00BD2281">
        <w:rPr>
          <w:bCs/>
        </w:rPr>
        <w:t xml:space="preserve">three </w:t>
      </w:r>
      <w:r w:rsidR="007E4482">
        <w:rPr>
          <w:bCs/>
        </w:rPr>
        <w:t>Divisions at NCES, the QR</w:t>
      </w:r>
      <w:r w:rsidR="009D20F4">
        <w:rPr>
          <w:bCs/>
        </w:rPr>
        <w:t xml:space="preserve">B also included staff from </w:t>
      </w:r>
      <w:r w:rsidR="007E4482">
        <w:rPr>
          <w:bCs/>
        </w:rPr>
        <w:t>OCTAE</w:t>
      </w:r>
      <w:r w:rsidR="00CC2AF7">
        <w:rPr>
          <w:bCs/>
        </w:rPr>
        <w:t xml:space="preserve"> and</w:t>
      </w:r>
      <w:r w:rsidR="00383916">
        <w:rPr>
          <w:bCs/>
        </w:rPr>
        <w:t xml:space="preserve"> the Office of Planning, Evaluation, and Policy Development (OPEPD)</w:t>
      </w:r>
      <w:r w:rsidR="007E4482" w:rsidRPr="00CC2AF7">
        <w:rPr>
          <w:bCs/>
        </w:rPr>
        <w:t>.</w:t>
      </w:r>
      <w:r w:rsidR="009D20F4">
        <w:rPr>
          <w:bCs/>
        </w:rPr>
        <w:t xml:space="preserve"> The QRB members for this survey are listed below:</w:t>
      </w:r>
    </w:p>
    <w:p w14:paraId="21E02ED8" w14:textId="77777777" w:rsidR="009D20F4" w:rsidRPr="00340C5D" w:rsidRDefault="009D20F4" w:rsidP="0065301C">
      <w:pPr>
        <w:pStyle w:val="SP-SglSpPara"/>
        <w:spacing w:line="240" w:lineRule="auto"/>
        <w:ind w:firstLine="0"/>
        <w:jc w:val="left"/>
        <w:rPr>
          <w:bCs/>
          <w:sz w:val="12"/>
          <w:szCs w:val="12"/>
        </w:rPr>
      </w:pPr>
    </w:p>
    <w:p w14:paraId="0B9F1B9C" w14:textId="77777777" w:rsidR="00DD28C1" w:rsidRPr="00340C5D" w:rsidRDefault="00DD28C1" w:rsidP="0065301C">
      <w:pPr>
        <w:pStyle w:val="SP-SglSpPara"/>
        <w:spacing w:line="240" w:lineRule="auto"/>
        <w:ind w:firstLine="0"/>
        <w:jc w:val="left"/>
        <w:rPr>
          <w:sz w:val="12"/>
          <w:szCs w:val="12"/>
        </w:rPr>
        <w:sectPr w:rsidR="00DD28C1" w:rsidRPr="00340C5D" w:rsidSect="005A393C">
          <w:footerReference w:type="default" r:id="rId9"/>
          <w:pgSz w:w="12240" w:h="15840" w:code="1"/>
          <w:pgMar w:top="1008" w:right="1008" w:bottom="1008" w:left="1008" w:header="432" w:footer="432" w:gutter="0"/>
          <w:cols w:space="720"/>
          <w:titlePg/>
          <w:docGrid w:linePitch="360"/>
        </w:sectPr>
      </w:pPr>
    </w:p>
    <w:p w14:paraId="6AD9BD13" w14:textId="6244F92B" w:rsidR="008621B0" w:rsidRPr="0005438D" w:rsidRDefault="008063DD" w:rsidP="0065301C">
      <w:pPr>
        <w:pStyle w:val="SP-SglSpPara"/>
        <w:spacing w:line="240" w:lineRule="auto"/>
        <w:ind w:firstLine="0"/>
        <w:jc w:val="left"/>
        <w:rPr>
          <w:sz w:val="21"/>
          <w:szCs w:val="21"/>
        </w:rPr>
      </w:pPr>
      <w:r w:rsidRPr="0005438D">
        <w:rPr>
          <w:sz w:val="21"/>
          <w:szCs w:val="21"/>
        </w:rPr>
        <w:lastRenderedPageBreak/>
        <w:t>Braden Goetz</w:t>
      </w:r>
      <w:r w:rsidR="008621B0" w:rsidRPr="0005438D">
        <w:rPr>
          <w:sz w:val="21"/>
          <w:szCs w:val="21"/>
        </w:rPr>
        <w:t>, OCTAE</w:t>
      </w:r>
    </w:p>
    <w:p w14:paraId="0B17D239" w14:textId="11CBCF9D" w:rsidR="008063DD" w:rsidRPr="0005438D" w:rsidRDefault="008063DD" w:rsidP="0065301C">
      <w:pPr>
        <w:pStyle w:val="SP-SglSpPara"/>
        <w:spacing w:line="240" w:lineRule="auto"/>
        <w:ind w:firstLine="0"/>
        <w:jc w:val="left"/>
        <w:rPr>
          <w:sz w:val="21"/>
          <w:szCs w:val="21"/>
        </w:rPr>
      </w:pPr>
      <w:r w:rsidRPr="0005438D">
        <w:rPr>
          <w:sz w:val="21"/>
          <w:szCs w:val="21"/>
        </w:rPr>
        <w:t>Sharon Lee Miller, OCTAE</w:t>
      </w:r>
    </w:p>
    <w:p w14:paraId="2BE881E4" w14:textId="52E86DF6" w:rsidR="008063DD" w:rsidRPr="0005438D" w:rsidRDefault="008063DD" w:rsidP="0065301C">
      <w:pPr>
        <w:pStyle w:val="SP-SglSpPara"/>
        <w:spacing w:line="240" w:lineRule="auto"/>
        <w:ind w:firstLine="0"/>
        <w:jc w:val="left"/>
        <w:rPr>
          <w:sz w:val="21"/>
          <w:szCs w:val="21"/>
        </w:rPr>
      </w:pPr>
      <w:r w:rsidRPr="0005438D">
        <w:rPr>
          <w:sz w:val="21"/>
          <w:szCs w:val="21"/>
        </w:rPr>
        <w:t>Lul Tesfai, OCTAE</w:t>
      </w:r>
    </w:p>
    <w:p w14:paraId="668A922B" w14:textId="77777777" w:rsidR="0041365E" w:rsidRPr="0005438D" w:rsidRDefault="0041365E" w:rsidP="0041365E">
      <w:pPr>
        <w:pStyle w:val="SP-SglSpPara"/>
        <w:spacing w:line="240" w:lineRule="auto"/>
        <w:ind w:firstLine="0"/>
        <w:jc w:val="left"/>
        <w:rPr>
          <w:sz w:val="21"/>
          <w:szCs w:val="21"/>
        </w:rPr>
      </w:pPr>
      <w:r w:rsidRPr="0005438D">
        <w:rPr>
          <w:sz w:val="21"/>
          <w:szCs w:val="21"/>
        </w:rPr>
        <w:t>Kelly Fitzpatrick, OPEPD</w:t>
      </w:r>
    </w:p>
    <w:p w14:paraId="39CF4B7D" w14:textId="63C6902A" w:rsidR="008063DD" w:rsidRPr="0005438D" w:rsidRDefault="008063DD" w:rsidP="00E5480D">
      <w:pPr>
        <w:pStyle w:val="SP-SglSpPara"/>
        <w:spacing w:line="240" w:lineRule="auto"/>
        <w:ind w:left="288" w:hanging="288"/>
        <w:jc w:val="left"/>
        <w:rPr>
          <w:sz w:val="21"/>
          <w:szCs w:val="21"/>
        </w:rPr>
      </w:pPr>
      <w:r w:rsidRPr="0005438D">
        <w:rPr>
          <w:sz w:val="21"/>
          <w:szCs w:val="21"/>
        </w:rPr>
        <w:t>Michael Fong, OPEPD (P</w:t>
      </w:r>
      <w:r w:rsidR="0041365E" w:rsidRPr="0005438D">
        <w:rPr>
          <w:sz w:val="21"/>
          <w:szCs w:val="21"/>
        </w:rPr>
        <w:t xml:space="preserve">olicy and </w:t>
      </w:r>
      <w:r w:rsidRPr="0005438D">
        <w:rPr>
          <w:sz w:val="21"/>
          <w:szCs w:val="21"/>
        </w:rPr>
        <w:t>P</w:t>
      </w:r>
      <w:r w:rsidR="0041365E" w:rsidRPr="0005438D">
        <w:rPr>
          <w:sz w:val="21"/>
          <w:szCs w:val="21"/>
        </w:rPr>
        <w:t xml:space="preserve">rogram </w:t>
      </w:r>
      <w:r w:rsidRPr="0005438D">
        <w:rPr>
          <w:sz w:val="21"/>
          <w:szCs w:val="21"/>
        </w:rPr>
        <w:t>S</w:t>
      </w:r>
      <w:r w:rsidR="0041365E" w:rsidRPr="0005438D">
        <w:rPr>
          <w:sz w:val="21"/>
          <w:szCs w:val="21"/>
        </w:rPr>
        <w:t xml:space="preserve">tudies </w:t>
      </w:r>
      <w:r w:rsidRPr="0005438D">
        <w:rPr>
          <w:sz w:val="21"/>
          <w:szCs w:val="21"/>
        </w:rPr>
        <w:t>S</w:t>
      </w:r>
      <w:r w:rsidR="0041365E" w:rsidRPr="0005438D">
        <w:rPr>
          <w:sz w:val="21"/>
          <w:szCs w:val="21"/>
        </w:rPr>
        <w:t>ervice</w:t>
      </w:r>
      <w:r w:rsidRPr="0005438D">
        <w:rPr>
          <w:sz w:val="21"/>
          <w:szCs w:val="21"/>
        </w:rPr>
        <w:t>)</w:t>
      </w:r>
    </w:p>
    <w:p w14:paraId="608FBB12" w14:textId="35CA77DD" w:rsidR="008063DD" w:rsidRPr="0005438D" w:rsidRDefault="008063DD" w:rsidP="0065301C">
      <w:pPr>
        <w:pStyle w:val="SP-SglSpPara"/>
        <w:spacing w:line="240" w:lineRule="auto"/>
        <w:ind w:firstLine="0"/>
        <w:jc w:val="left"/>
        <w:rPr>
          <w:sz w:val="21"/>
          <w:szCs w:val="21"/>
        </w:rPr>
      </w:pPr>
      <w:r w:rsidRPr="0005438D">
        <w:rPr>
          <w:sz w:val="21"/>
          <w:szCs w:val="21"/>
        </w:rPr>
        <w:t>Milagros Lanauze, OPEPD (Budget Service)</w:t>
      </w:r>
    </w:p>
    <w:p w14:paraId="3E73FA15" w14:textId="6FC8A113" w:rsidR="0084292A" w:rsidRPr="0005438D" w:rsidRDefault="0084292A" w:rsidP="0084292A">
      <w:pPr>
        <w:pStyle w:val="SP-SglSpPara"/>
        <w:spacing w:line="240" w:lineRule="auto"/>
        <w:ind w:firstLine="0"/>
        <w:jc w:val="left"/>
        <w:rPr>
          <w:sz w:val="21"/>
          <w:szCs w:val="21"/>
        </w:rPr>
      </w:pPr>
      <w:r w:rsidRPr="0005438D">
        <w:rPr>
          <w:sz w:val="21"/>
          <w:szCs w:val="21"/>
        </w:rPr>
        <w:t>John Ralph, NCES (Annual Reports and Information)</w:t>
      </w:r>
    </w:p>
    <w:p w14:paraId="39DDE4A4" w14:textId="63869AAE" w:rsidR="0084292A" w:rsidRPr="0005438D" w:rsidRDefault="0084292A" w:rsidP="0084292A">
      <w:pPr>
        <w:pStyle w:val="SP-SglSpPara"/>
        <w:spacing w:line="240" w:lineRule="auto"/>
        <w:ind w:firstLine="0"/>
        <w:jc w:val="left"/>
        <w:rPr>
          <w:sz w:val="21"/>
          <w:szCs w:val="21"/>
        </w:rPr>
      </w:pPr>
      <w:r w:rsidRPr="0005438D">
        <w:rPr>
          <w:sz w:val="21"/>
          <w:szCs w:val="21"/>
        </w:rPr>
        <w:t>Jing Chen, NCES (Assessment Division)</w:t>
      </w:r>
    </w:p>
    <w:p w14:paraId="615475D8" w14:textId="77777777" w:rsidR="00B36A35" w:rsidRDefault="0084292A" w:rsidP="000E2C95">
      <w:pPr>
        <w:pStyle w:val="SP-SglSpPara"/>
        <w:spacing w:line="240" w:lineRule="auto"/>
        <w:ind w:firstLine="0"/>
        <w:jc w:val="left"/>
        <w:rPr>
          <w:sz w:val="21"/>
          <w:szCs w:val="21"/>
        </w:rPr>
      </w:pPr>
      <w:r w:rsidRPr="0005438D">
        <w:rPr>
          <w:sz w:val="21"/>
          <w:szCs w:val="21"/>
        </w:rPr>
        <w:lastRenderedPageBreak/>
        <w:t xml:space="preserve">Heidi Silver-Pacuilla, </w:t>
      </w:r>
      <w:r w:rsidR="0005438D" w:rsidRPr="0005438D">
        <w:rPr>
          <w:sz w:val="21"/>
          <w:szCs w:val="21"/>
        </w:rPr>
        <w:t xml:space="preserve">NCES </w:t>
      </w:r>
      <w:r w:rsidRPr="0005438D">
        <w:rPr>
          <w:sz w:val="21"/>
          <w:szCs w:val="21"/>
        </w:rPr>
        <w:t>(Assessment Division)</w:t>
      </w:r>
    </w:p>
    <w:p w14:paraId="0FA3CEA1" w14:textId="1BC4A0AB" w:rsidR="000E2C95" w:rsidRPr="0005438D" w:rsidRDefault="000E2C95" w:rsidP="000E2C95">
      <w:pPr>
        <w:pStyle w:val="SP-SglSpPara"/>
        <w:spacing w:line="240" w:lineRule="auto"/>
        <w:ind w:firstLine="0"/>
        <w:jc w:val="left"/>
        <w:rPr>
          <w:sz w:val="21"/>
          <w:szCs w:val="21"/>
        </w:rPr>
      </w:pPr>
      <w:r w:rsidRPr="0005438D">
        <w:rPr>
          <w:sz w:val="21"/>
          <w:szCs w:val="21"/>
        </w:rPr>
        <w:t>Chris Chapman, NCES (Sample Surveys Division)</w:t>
      </w:r>
    </w:p>
    <w:p w14:paraId="7290F3DD" w14:textId="7614A7C3" w:rsidR="008621B0" w:rsidRPr="0005438D" w:rsidRDefault="008621B0" w:rsidP="0065301C">
      <w:pPr>
        <w:pStyle w:val="SP-SglSpPara"/>
        <w:spacing w:line="240" w:lineRule="auto"/>
        <w:ind w:firstLine="0"/>
        <w:jc w:val="left"/>
        <w:rPr>
          <w:sz w:val="21"/>
          <w:szCs w:val="21"/>
        </w:rPr>
      </w:pPr>
      <w:r w:rsidRPr="0005438D">
        <w:rPr>
          <w:sz w:val="21"/>
          <w:szCs w:val="21"/>
        </w:rPr>
        <w:t>Sharon Boivin, NCES (</w:t>
      </w:r>
      <w:r w:rsidR="0084292A" w:rsidRPr="0005438D">
        <w:rPr>
          <w:sz w:val="21"/>
          <w:szCs w:val="21"/>
        </w:rPr>
        <w:t>Sample Surveys Division</w:t>
      </w:r>
      <w:r w:rsidRPr="0005438D">
        <w:rPr>
          <w:sz w:val="21"/>
          <w:szCs w:val="21"/>
        </w:rPr>
        <w:t>)</w:t>
      </w:r>
    </w:p>
    <w:p w14:paraId="50B54706" w14:textId="4901D256" w:rsidR="00E738A2" w:rsidRPr="0005438D" w:rsidRDefault="00E738A2" w:rsidP="0065301C">
      <w:pPr>
        <w:pStyle w:val="SP-SglSpPara"/>
        <w:spacing w:line="240" w:lineRule="auto"/>
        <w:ind w:firstLine="0"/>
        <w:jc w:val="left"/>
        <w:rPr>
          <w:sz w:val="21"/>
          <w:szCs w:val="21"/>
        </w:rPr>
      </w:pPr>
      <w:r w:rsidRPr="0005438D">
        <w:rPr>
          <w:sz w:val="21"/>
          <w:szCs w:val="21"/>
        </w:rPr>
        <w:t>Lisa Hudson, NCES (</w:t>
      </w:r>
      <w:r w:rsidR="0084292A" w:rsidRPr="0005438D">
        <w:rPr>
          <w:sz w:val="21"/>
          <w:szCs w:val="21"/>
        </w:rPr>
        <w:t>Sample Surveys Division)</w:t>
      </w:r>
    </w:p>
    <w:p w14:paraId="72B3AE1F" w14:textId="1E8D9B31" w:rsidR="00E738A2" w:rsidRPr="0005438D" w:rsidRDefault="00E738A2" w:rsidP="0065301C">
      <w:pPr>
        <w:pStyle w:val="SP-SglSpPara"/>
        <w:spacing w:line="240" w:lineRule="auto"/>
        <w:ind w:firstLine="0"/>
        <w:jc w:val="left"/>
        <w:rPr>
          <w:sz w:val="21"/>
          <w:szCs w:val="21"/>
        </w:rPr>
      </w:pPr>
      <w:r w:rsidRPr="0005438D">
        <w:rPr>
          <w:sz w:val="21"/>
          <w:szCs w:val="21"/>
        </w:rPr>
        <w:t xml:space="preserve">Elise Christopher, NCES </w:t>
      </w:r>
      <w:r w:rsidR="0084292A" w:rsidRPr="0005438D">
        <w:rPr>
          <w:sz w:val="21"/>
          <w:szCs w:val="21"/>
        </w:rPr>
        <w:t>(Sample Surveys Division)</w:t>
      </w:r>
    </w:p>
    <w:p w14:paraId="6623B1D8" w14:textId="1915022A" w:rsidR="00E738A2" w:rsidRPr="0005438D" w:rsidRDefault="00E738A2" w:rsidP="0065301C">
      <w:pPr>
        <w:pStyle w:val="SP-SglSpPara"/>
        <w:spacing w:line="240" w:lineRule="auto"/>
        <w:ind w:firstLine="0"/>
        <w:jc w:val="left"/>
        <w:rPr>
          <w:sz w:val="21"/>
          <w:szCs w:val="21"/>
        </w:rPr>
      </w:pPr>
      <w:r w:rsidRPr="0005438D">
        <w:rPr>
          <w:sz w:val="21"/>
          <w:szCs w:val="21"/>
        </w:rPr>
        <w:t>Gigi Jones, NCES (</w:t>
      </w:r>
      <w:r w:rsidR="0084292A" w:rsidRPr="0005438D">
        <w:rPr>
          <w:sz w:val="21"/>
          <w:szCs w:val="21"/>
        </w:rPr>
        <w:t>Administrative Data Division</w:t>
      </w:r>
      <w:r w:rsidRPr="0005438D">
        <w:rPr>
          <w:sz w:val="21"/>
          <w:szCs w:val="21"/>
        </w:rPr>
        <w:t>)</w:t>
      </w:r>
    </w:p>
    <w:p w14:paraId="73156252" w14:textId="194552B2" w:rsidR="0084292A" w:rsidRPr="0005438D" w:rsidRDefault="0084292A" w:rsidP="0084292A">
      <w:pPr>
        <w:pStyle w:val="SP-SglSpPara"/>
        <w:spacing w:line="240" w:lineRule="auto"/>
        <w:ind w:firstLine="0"/>
        <w:jc w:val="left"/>
        <w:rPr>
          <w:sz w:val="21"/>
          <w:szCs w:val="21"/>
        </w:rPr>
      </w:pPr>
      <w:r w:rsidRPr="0005438D">
        <w:rPr>
          <w:sz w:val="21"/>
          <w:szCs w:val="21"/>
        </w:rPr>
        <w:t xml:space="preserve">Joseph Murphy, </w:t>
      </w:r>
      <w:r w:rsidR="0005438D" w:rsidRPr="0005438D">
        <w:rPr>
          <w:sz w:val="21"/>
          <w:szCs w:val="21"/>
        </w:rPr>
        <w:t xml:space="preserve">NCES </w:t>
      </w:r>
      <w:r w:rsidRPr="0005438D">
        <w:rPr>
          <w:sz w:val="21"/>
          <w:szCs w:val="21"/>
        </w:rPr>
        <w:t>(Administrative Data Division)</w:t>
      </w:r>
    </w:p>
    <w:p w14:paraId="0E1DB930" w14:textId="56DC1543" w:rsidR="00DD28C1" w:rsidRDefault="008621B0" w:rsidP="00E5480D">
      <w:pPr>
        <w:pStyle w:val="SP-SglSpPara"/>
        <w:spacing w:line="240" w:lineRule="auto"/>
        <w:ind w:left="288" w:hanging="288"/>
        <w:jc w:val="left"/>
        <w:sectPr w:rsidR="00DD28C1" w:rsidSect="00DD28C1">
          <w:type w:val="continuous"/>
          <w:pgSz w:w="12240" w:h="15840" w:code="1"/>
          <w:pgMar w:top="1008" w:right="1008" w:bottom="1008" w:left="1008" w:header="432" w:footer="432" w:gutter="0"/>
          <w:cols w:num="2" w:space="720"/>
          <w:titlePg/>
          <w:docGrid w:linePitch="360"/>
        </w:sectPr>
      </w:pPr>
      <w:r w:rsidRPr="0005438D">
        <w:rPr>
          <w:sz w:val="21"/>
          <w:szCs w:val="21"/>
        </w:rPr>
        <w:t>Kashka Kubzdela, NCES</w:t>
      </w:r>
      <w:r w:rsidR="00E5480D" w:rsidRPr="0005438D">
        <w:rPr>
          <w:sz w:val="21"/>
          <w:szCs w:val="21"/>
        </w:rPr>
        <w:t xml:space="preserve"> (Statistical Standards and Data Confidentiality)</w:t>
      </w:r>
    </w:p>
    <w:p w14:paraId="3DE84A70" w14:textId="71F2E3E5" w:rsidR="008621B0" w:rsidRPr="008621B0" w:rsidRDefault="008621B0" w:rsidP="0065301C">
      <w:pPr>
        <w:pStyle w:val="SP-SglSpPara"/>
        <w:spacing w:line="240" w:lineRule="auto"/>
        <w:ind w:firstLine="0"/>
        <w:jc w:val="left"/>
        <w:rPr>
          <w:sz w:val="14"/>
          <w:szCs w:val="14"/>
        </w:rPr>
      </w:pPr>
    </w:p>
    <w:p w14:paraId="2FA3BF40" w14:textId="77777777" w:rsidR="008126EA" w:rsidRPr="0079689D" w:rsidRDefault="008126EA" w:rsidP="0065301C">
      <w:pPr>
        <w:spacing w:after="120" w:line="240" w:lineRule="auto"/>
        <w:rPr>
          <w:rFonts w:ascii="Times New Roman" w:hAnsi="Times New Roman"/>
          <w:b/>
        </w:rPr>
      </w:pPr>
      <w:r w:rsidRPr="0079689D">
        <w:rPr>
          <w:rFonts w:ascii="Times New Roman" w:hAnsi="Times New Roman"/>
          <w:b/>
        </w:rPr>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14:paraId="0EF3DD2F" w14:textId="4E11274C" w:rsidR="007C2C23" w:rsidRPr="0079689D" w:rsidRDefault="008126EA" w:rsidP="001837BA">
      <w:pPr>
        <w:pStyle w:val="SP-SglSpPara"/>
        <w:widowControl w:val="0"/>
        <w:spacing w:after="120" w:line="240" w:lineRule="auto"/>
        <w:ind w:firstLine="0"/>
        <w:jc w:val="left"/>
      </w:pPr>
      <w:r w:rsidRPr="0079689D">
        <w:t>In this submission, we are requesting approval for feasibility calls with m</w:t>
      </w:r>
      <w:r w:rsidR="00397E91">
        <w:t>embers of the target population</w:t>
      </w:r>
      <w:r w:rsidRPr="0079689D">
        <w:t>.</w:t>
      </w:r>
      <w:r w:rsidR="006F6E89">
        <w:t xml:space="preserve"> </w:t>
      </w:r>
      <w:r w:rsidR="005409A5" w:rsidRPr="0079689D">
        <w:t>W</w:t>
      </w:r>
      <w:r w:rsidRPr="0079689D">
        <w:t xml:space="preserve">e will conduct up to three rounds </w:t>
      </w:r>
      <w:r w:rsidR="005409A5" w:rsidRPr="0079689D">
        <w:t xml:space="preserve">of feasibility calls </w:t>
      </w:r>
      <w:r w:rsidRPr="0079689D">
        <w:t xml:space="preserve">for the </w:t>
      </w:r>
      <w:r w:rsidR="00397E91">
        <w:t>survey</w:t>
      </w:r>
      <w:r w:rsidRPr="0079689D">
        <w:t xml:space="preserve">, with </w:t>
      </w:r>
      <w:r w:rsidR="00C03CFA">
        <w:t>15</w:t>
      </w:r>
      <w:r w:rsidR="00C03CFA" w:rsidRPr="0079689D">
        <w:t xml:space="preserve"> </w:t>
      </w:r>
      <w:r w:rsidRPr="0079689D">
        <w:t>or fewer respondents per round.</w:t>
      </w:r>
      <w:r w:rsidR="006F6E89">
        <w:t xml:space="preserve"> </w:t>
      </w:r>
      <w:r w:rsidR="00397E91">
        <w:t xml:space="preserve">School districts </w:t>
      </w:r>
      <w:r w:rsidR="007534DB" w:rsidRPr="0079689D">
        <w:t xml:space="preserve">will be recruited to participate in feasibility calls based on various </w:t>
      </w:r>
      <w:r w:rsidR="002E30A5">
        <w:t xml:space="preserve">district </w:t>
      </w:r>
      <w:r w:rsidR="007534DB" w:rsidRPr="0079689D">
        <w:t>characteristics including</w:t>
      </w:r>
      <w:r w:rsidR="006E0111">
        <w:t xml:space="preserve"> level </w:t>
      </w:r>
      <w:r w:rsidR="006E0111">
        <w:lastRenderedPageBreak/>
        <w:t xml:space="preserve">(secondary or unified), </w:t>
      </w:r>
      <w:r w:rsidR="007534DB" w:rsidRPr="0079689D">
        <w:t xml:space="preserve">size, </w:t>
      </w:r>
      <w:r w:rsidR="005F56D0">
        <w:t>urbanicity (</w:t>
      </w:r>
      <w:r w:rsidR="007534DB" w:rsidRPr="0079689D">
        <w:t>locale</w:t>
      </w:r>
      <w:r w:rsidR="005F56D0">
        <w:t>)</w:t>
      </w:r>
      <w:r w:rsidR="00A72368" w:rsidRPr="0079689D">
        <w:t>,</w:t>
      </w:r>
      <w:r w:rsidR="007534DB" w:rsidRPr="0079689D">
        <w:t xml:space="preserve"> and geographic region. </w:t>
      </w:r>
      <w:r w:rsidRPr="0079689D">
        <w:t xml:space="preserve">Respondents will be recruited by telephone and will be identified as the person </w:t>
      </w:r>
      <w:r w:rsidR="00397E91">
        <w:t xml:space="preserve">in the district who is most familiar with </w:t>
      </w:r>
      <w:r w:rsidR="000357D3">
        <w:t xml:space="preserve">CTE </w:t>
      </w:r>
      <w:r w:rsidR="00C03CFA">
        <w:t>programs</w:t>
      </w:r>
      <w:r w:rsidR="004076DC">
        <w:t xml:space="preserve"> </w:t>
      </w:r>
      <w:r w:rsidR="00397E91">
        <w:t>in their district.</w:t>
      </w:r>
    </w:p>
    <w:p w14:paraId="0AEF94B7" w14:textId="7436124F" w:rsidR="008126EA" w:rsidRPr="002E30A5" w:rsidRDefault="002E30A5" w:rsidP="0065301C">
      <w:pPr>
        <w:pStyle w:val="SP-SglSpPara"/>
        <w:spacing w:after="120" w:line="240" w:lineRule="auto"/>
        <w:ind w:firstLine="0"/>
        <w:jc w:val="left"/>
      </w:pPr>
      <w:r>
        <w:t>Telephone i</w:t>
      </w:r>
      <w:r w:rsidR="001476AC" w:rsidRPr="00E60C30">
        <w:t xml:space="preserve">nterviewers will recruit participants </w:t>
      </w:r>
      <w:r w:rsidR="00787432" w:rsidRPr="00E60C30">
        <w:t xml:space="preserve">for the </w:t>
      </w:r>
      <w:r w:rsidR="001476AC" w:rsidRPr="00E60C30">
        <w:t>feasibility cal</w:t>
      </w:r>
      <w:r w:rsidR="00397E91" w:rsidRPr="00E60C30">
        <w:t>ls using the recruitment script</w:t>
      </w:r>
      <w:r w:rsidR="001476AC" w:rsidRPr="00E60C30">
        <w:t xml:space="preserve"> in </w:t>
      </w:r>
      <w:r w:rsidR="00086187">
        <w:t>A</w:t>
      </w:r>
      <w:r>
        <w:t>ttachment</w:t>
      </w:r>
      <w:r w:rsidR="00787432" w:rsidRPr="00E60C30">
        <w:t xml:space="preserve"> </w:t>
      </w:r>
      <w:r w:rsidR="005150E7" w:rsidRPr="00E60C30">
        <w:t>1</w:t>
      </w:r>
      <w:r w:rsidR="00787432" w:rsidRPr="00E60C30">
        <w:t xml:space="preserve">. </w:t>
      </w:r>
      <w:r w:rsidR="001476AC" w:rsidRPr="00E60C30">
        <w:t>I</w:t>
      </w:r>
      <w:r w:rsidR="00FC7311" w:rsidRPr="00E60C30">
        <w:t xml:space="preserve">nterviewers will schedule an appointment to complete the feasibility calls with cooperating </w:t>
      </w:r>
      <w:r w:rsidR="006F6E89">
        <w:t xml:space="preserve">district-level personnel. </w:t>
      </w:r>
      <w:r w:rsidR="00FC7311" w:rsidRPr="00E60C30">
        <w:t>Following telephone recruitment</w:t>
      </w:r>
      <w:r w:rsidR="00EB0705" w:rsidRPr="00E60C30">
        <w:t>,</w:t>
      </w:r>
      <w:r w:rsidR="00FC7311" w:rsidRPr="00E60C30">
        <w:t xml:space="preserve"> interviewers will either </w:t>
      </w:r>
      <w:r w:rsidR="00241336">
        <w:t xml:space="preserve">email </w:t>
      </w:r>
      <w:r w:rsidR="00FC7311" w:rsidRPr="00E60C30">
        <w:t xml:space="preserve">or fax a cover letter and draft questionnaire </w:t>
      </w:r>
      <w:r w:rsidR="00EB0705" w:rsidRPr="00E60C30">
        <w:t xml:space="preserve">to the participating </w:t>
      </w:r>
      <w:r w:rsidR="003D267D">
        <w:t xml:space="preserve">districts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8126EA" w:rsidRPr="0079689D">
        <w:t xml:space="preserve">In order to recruit </w:t>
      </w:r>
      <w:r w:rsidR="008A147E" w:rsidRPr="0079689D">
        <w:t>1</w:t>
      </w:r>
      <w:r w:rsidR="008A147E">
        <w:t>5</w:t>
      </w:r>
      <w:r w:rsidR="008A147E" w:rsidRPr="0079689D">
        <w:t xml:space="preserve"> </w:t>
      </w:r>
      <w:r w:rsidR="008126EA" w:rsidRPr="0079689D">
        <w:t xml:space="preserve">respondents per round, we anticipate contacting </w:t>
      </w:r>
      <w:r w:rsidR="008A147E">
        <w:t>45</w:t>
      </w:r>
      <w:r w:rsidR="008A147E" w:rsidRPr="0079689D">
        <w:t xml:space="preserve"> </w:t>
      </w:r>
      <w:r w:rsidR="008126EA" w:rsidRPr="0079689D">
        <w:t xml:space="preserve">public </w:t>
      </w:r>
      <w:r w:rsidR="00AA18F5">
        <w:t>school districts</w:t>
      </w:r>
      <w:r w:rsidR="000D6CCC">
        <w:t xml:space="preserve"> per round</w:t>
      </w:r>
      <w:r w:rsidR="006F6E89">
        <w:t xml:space="preserve"> (Table 1).</w:t>
      </w:r>
      <w:r w:rsidR="00AA18F5">
        <w:t xml:space="preserve"> </w:t>
      </w:r>
      <w:r w:rsidR="008126EA" w:rsidRPr="0079689D">
        <w:t>On average, recruitment calls with respondents who agree to participate in the feasibility calls are expected to take about 10 minutes to explain the purpose of the call and set up an appointment to discuss the survey; all other recruitment calls are ex</w:t>
      </w:r>
      <w:r w:rsidR="006F6E89">
        <w:t>pected to take about 3 minutes.</w:t>
      </w:r>
      <w:r>
        <w:t xml:space="preserve"> </w:t>
      </w:r>
      <w:r w:rsidR="008126EA" w:rsidRPr="0079689D">
        <w:t xml:space="preserve">Prior to the feasibility calls, respondents will be asked to review (but not complete) </w:t>
      </w:r>
      <w:r w:rsidR="00E27D64">
        <w:t xml:space="preserve">either interview topics, draft questionnaire items, or a draft questionnaire, depending on the round of calls, </w:t>
      </w:r>
      <w:r w:rsidR="008126EA" w:rsidRPr="0079689D">
        <w:t>which should</w:t>
      </w:r>
      <w:r w:rsidR="006F6E89">
        <w:t xml:space="preserve"> take approximately 1</w:t>
      </w:r>
      <w:r w:rsidR="00DB663C">
        <w:t>5</w:t>
      </w:r>
      <w:r w:rsidR="006F6E89">
        <w:t xml:space="preserve"> minutes.</w:t>
      </w:r>
      <w:r w:rsidR="00AA18F5">
        <w:t xml:space="preserve"> </w:t>
      </w:r>
      <w:r w:rsidR="008126EA" w:rsidRPr="0079689D">
        <w:t xml:space="preserve">The feasibility call should take approximately </w:t>
      </w:r>
      <w:r w:rsidR="00DB663C">
        <w:t>45</w:t>
      </w:r>
      <w:r w:rsidR="008126EA" w:rsidRPr="0079689D">
        <w:t xml:space="preserve"> minutes to complete.</w:t>
      </w:r>
      <w:r w:rsidR="006F6E89">
        <w:t xml:space="preserve"> </w:t>
      </w:r>
      <w:r w:rsidR="008126EA" w:rsidRPr="0079689D">
        <w:t xml:space="preserve">The </w:t>
      </w:r>
      <w:r>
        <w:t xml:space="preserve">estimated burden for one round of feasibility calls is </w:t>
      </w:r>
      <w:r w:rsidR="008422BB">
        <w:t xml:space="preserve">approximately </w:t>
      </w:r>
      <w:r w:rsidR="00DB663C">
        <w:t>20</w:t>
      </w:r>
      <w:r w:rsidR="008A147E">
        <w:t xml:space="preserve"> </w:t>
      </w:r>
      <w:r>
        <w:t xml:space="preserve">hours, and </w:t>
      </w:r>
      <w:r w:rsidR="008126EA" w:rsidRPr="0079689D">
        <w:t>tota</w:t>
      </w:r>
      <w:r w:rsidR="00935999">
        <w:t xml:space="preserve">l estimated burden time </w:t>
      </w:r>
      <w:r w:rsidRPr="0079689D">
        <w:t>for all three rounds of feasibility calls</w:t>
      </w:r>
      <w:r>
        <w:t xml:space="preserve"> </w:t>
      </w:r>
      <w:r w:rsidR="00935999">
        <w:t xml:space="preserve">is </w:t>
      </w:r>
      <w:r w:rsidR="008422BB">
        <w:t xml:space="preserve">approximately </w:t>
      </w:r>
      <w:r w:rsidR="00DB663C">
        <w:t>60</w:t>
      </w:r>
      <w:r w:rsidR="008A147E">
        <w:t xml:space="preserve"> </w:t>
      </w:r>
      <w:r w:rsidR="00935999">
        <w:t>hours</w:t>
      </w:r>
      <w:r w:rsidR="006F6E89">
        <w:t>.</w:t>
      </w:r>
      <w:r>
        <w:t xml:space="preserve"> </w:t>
      </w:r>
      <w:r w:rsidR="000D4F2F" w:rsidRPr="0079689D">
        <w:rPr>
          <w:bCs/>
        </w:rPr>
        <w:t>We anticipate that the estimated cost to the federal gov</w:t>
      </w:r>
      <w:r w:rsidR="00D44A8B">
        <w:rPr>
          <w:bCs/>
        </w:rPr>
        <w:t>ernment will be approximately</w:t>
      </w:r>
      <w:r>
        <w:rPr>
          <w:bCs/>
        </w:rPr>
        <w:t xml:space="preserve"> $</w:t>
      </w:r>
      <w:r w:rsidR="008A147E">
        <w:rPr>
          <w:bCs/>
        </w:rPr>
        <w:t>6</w:t>
      </w:r>
      <w:r>
        <w:rPr>
          <w:bCs/>
        </w:rPr>
        <w:t xml:space="preserve">,000 </w:t>
      </w:r>
      <w:r w:rsidR="000D4F2F" w:rsidRPr="0079689D">
        <w:rPr>
          <w:bCs/>
        </w:rPr>
        <w:t>for ea</w:t>
      </w:r>
      <w:r>
        <w:rPr>
          <w:bCs/>
        </w:rPr>
        <w:t>ch round of feasibility calls.</w:t>
      </w:r>
    </w:p>
    <w:p w14:paraId="51D1C7C0" w14:textId="02E61ACA" w:rsidR="008126EA" w:rsidRPr="0079689D" w:rsidRDefault="008126EA">
      <w:pPr>
        <w:spacing w:after="0"/>
        <w:rPr>
          <w:rFonts w:ascii="Times New Roman" w:hAnsi="Times New Roman"/>
        </w:rPr>
      </w:pPr>
      <w:r w:rsidRPr="0079689D">
        <w:rPr>
          <w:rFonts w:ascii="Times New Roman" w:hAnsi="Times New Roman"/>
        </w:rPr>
        <w:t xml:space="preserve">Table 1. </w:t>
      </w:r>
      <w:r w:rsidR="00C60724">
        <w:rPr>
          <w:rFonts w:ascii="Times New Roman" w:hAnsi="Times New Roman"/>
        </w:rPr>
        <w:t>Estimated m</w:t>
      </w:r>
      <w:r w:rsidRPr="0079689D">
        <w:rPr>
          <w:rFonts w:ascii="Times New Roman" w:hAnsi="Times New Roman"/>
        </w:rPr>
        <w:t>aximum burden time for up to three rounds o</w:t>
      </w:r>
      <w:r w:rsidR="00AA18F5">
        <w:rPr>
          <w:rFonts w:ascii="Times New Roman" w:hAnsi="Times New Roman"/>
        </w:rPr>
        <w:t xml:space="preserve">f feasibility calls for FRSS </w:t>
      </w:r>
      <w:r w:rsidR="00DB663C">
        <w:rPr>
          <w:rFonts w:ascii="Times New Roman" w:hAnsi="Times New Roman"/>
        </w:rPr>
        <w:t>108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8"/>
        <w:gridCol w:w="1260"/>
        <w:gridCol w:w="1170"/>
        <w:gridCol w:w="1530"/>
        <w:gridCol w:w="1332"/>
      </w:tblGrid>
      <w:tr w:rsidR="008126EA" w:rsidRPr="0079689D" w14:paraId="68C3C27A" w14:textId="77777777" w:rsidTr="00086187">
        <w:trPr>
          <w:trHeight w:val="548"/>
        </w:trPr>
        <w:tc>
          <w:tcPr>
            <w:tcW w:w="5148" w:type="dxa"/>
            <w:vAlign w:val="center"/>
          </w:tcPr>
          <w:p w14:paraId="77E8EF02"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Respondents</w:t>
            </w:r>
          </w:p>
        </w:tc>
        <w:tc>
          <w:tcPr>
            <w:tcW w:w="1260" w:type="dxa"/>
            <w:vAlign w:val="center"/>
          </w:tcPr>
          <w:p w14:paraId="3E260CE6"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Number of Respondents</w:t>
            </w:r>
          </w:p>
        </w:tc>
        <w:tc>
          <w:tcPr>
            <w:tcW w:w="1170" w:type="dxa"/>
            <w:vAlign w:val="center"/>
          </w:tcPr>
          <w:p w14:paraId="54C9A00E"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Number of Responses</w:t>
            </w:r>
            <w:r w:rsidRPr="00086187">
              <w:rPr>
                <w:rFonts w:ascii="Times New Roman" w:hAnsi="Times New Roman"/>
                <w:sz w:val="20"/>
                <w:szCs w:val="20"/>
                <w:vertAlign w:val="superscript"/>
              </w:rPr>
              <w:t>1</w:t>
            </w:r>
          </w:p>
        </w:tc>
        <w:tc>
          <w:tcPr>
            <w:tcW w:w="1530" w:type="dxa"/>
            <w:vAlign w:val="center"/>
          </w:tcPr>
          <w:p w14:paraId="560E2462"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Burden Hours per Respondent</w:t>
            </w:r>
          </w:p>
        </w:tc>
        <w:tc>
          <w:tcPr>
            <w:tcW w:w="1332" w:type="dxa"/>
            <w:vAlign w:val="center"/>
          </w:tcPr>
          <w:p w14:paraId="7796A1A2"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Total Burden Hours</w:t>
            </w:r>
          </w:p>
        </w:tc>
      </w:tr>
      <w:tr w:rsidR="008126EA" w:rsidRPr="0079689D" w14:paraId="6762DDD4" w14:textId="77777777" w:rsidTr="00086187">
        <w:trPr>
          <w:trHeight w:val="288"/>
        </w:trPr>
        <w:tc>
          <w:tcPr>
            <w:tcW w:w="5148" w:type="dxa"/>
            <w:vAlign w:val="center"/>
          </w:tcPr>
          <w:p w14:paraId="6FF36165" w14:textId="7C8B72C8" w:rsidR="008126EA" w:rsidRPr="00086187" w:rsidRDefault="008126EA" w:rsidP="00086187">
            <w:pPr>
              <w:pStyle w:val="NoSpacing"/>
              <w:rPr>
                <w:rFonts w:ascii="Times New Roman" w:hAnsi="Times New Roman"/>
                <w:sz w:val="20"/>
                <w:szCs w:val="20"/>
              </w:rPr>
            </w:pPr>
            <w:r w:rsidRPr="00086187">
              <w:rPr>
                <w:rFonts w:ascii="Times New Roman" w:hAnsi="Times New Roman"/>
                <w:sz w:val="20"/>
                <w:szCs w:val="20"/>
              </w:rPr>
              <w:t>Recruitment</w:t>
            </w:r>
            <w:r w:rsidR="00086187">
              <w:rPr>
                <w:rFonts w:ascii="Times New Roman" w:hAnsi="Times New Roman"/>
                <w:sz w:val="20"/>
                <w:szCs w:val="20"/>
              </w:rPr>
              <w:t>:</w:t>
            </w:r>
            <w:r w:rsidR="006F6E89" w:rsidRPr="00086187">
              <w:rPr>
                <w:rFonts w:ascii="Times New Roman" w:hAnsi="Times New Roman"/>
                <w:sz w:val="20"/>
                <w:szCs w:val="20"/>
              </w:rPr>
              <w:t xml:space="preserve"> </w:t>
            </w:r>
            <w:r w:rsidR="003F6067" w:rsidRPr="00086187">
              <w:rPr>
                <w:rFonts w:ascii="Times New Roman" w:hAnsi="Times New Roman"/>
                <w:sz w:val="20"/>
                <w:szCs w:val="20"/>
              </w:rPr>
              <w:t xml:space="preserve">Districts </w:t>
            </w:r>
            <w:r w:rsidRPr="00086187">
              <w:rPr>
                <w:rFonts w:ascii="Times New Roman" w:hAnsi="Times New Roman"/>
                <w:sz w:val="20"/>
                <w:szCs w:val="20"/>
              </w:rPr>
              <w:t xml:space="preserve">not participating in </w:t>
            </w:r>
            <w:r w:rsidR="00086187">
              <w:rPr>
                <w:rFonts w:ascii="Times New Roman" w:hAnsi="Times New Roman"/>
                <w:sz w:val="20"/>
                <w:szCs w:val="20"/>
              </w:rPr>
              <w:t xml:space="preserve">the </w:t>
            </w:r>
            <w:r w:rsidRPr="00086187">
              <w:rPr>
                <w:rFonts w:ascii="Times New Roman" w:hAnsi="Times New Roman"/>
                <w:sz w:val="20"/>
                <w:szCs w:val="20"/>
              </w:rPr>
              <w:t>feasibility call</w:t>
            </w:r>
          </w:p>
        </w:tc>
        <w:tc>
          <w:tcPr>
            <w:tcW w:w="1260" w:type="dxa"/>
            <w:vAlign w:val="center"/>
          </w:tcPr>
          <w:p w14:paraId="66EC4511" w14:textId="41524611"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30</w:t>
            </w:r>
          </w:p>
        </w:tc>
        <w:tc>
          <w:tcPr>
            <w:tcW w:w="1170" w:type="dxa"/>
            <w:vAlign w:val="center"/>
          </w:tcPr>
          <w:p w14:paraId="1122943D" w14:textId="0C56E1BB"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30</w:t>
            </w:r>
          </w:p>
        </w:tc>
        <w:tc>
          <w:tcPr>
            <w:tcW w:w="1530" w:type="dxa"/>
            <w:vAlign w:val="center"/>
          </w:tcPr>
          <w:p w14:paraId="769DB3AF" w14:textId="6F80AC76"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0.05</w:t>
            </w:r>
          </w:p>
        </w:tc>
        <w:tc>
          <w:tcPr>
            <w:tcW w:w="1332" w:type="dxa"/>
            <w:vAlign w:val="center"/>
          </w:tcPr>
          <w:p w14:paraId="1B034460" w14:textId="2454AE46" w:rsidR="008126EA" w:rsidRPr="00086187" w:rsidRDefault="00086187" w:rsidP="00C60724">
            <w:pPr>
              <w:pStyle w:val="NoSpacing"/>
              <w:jc w:val="center"/>
              <w:rPr>
                <w:rFonts w:ascii="Times New Roman" w:hAnsi="Times New Roman"/>
                <w:sz w:val="20"/>
                <w:szCs w:val="20"/>
              </w:rPr>
            </w:pPr>
            <w:r>
              <w:rPr>
                <w:rFonts w:ascii="Times New Roman" w:hAnsi="Times New Roman"/>
                <w:sz w:val="20"/>
                <w:szCs w:val="20"/>
              </w:rPr>
              <w:t>2</w:t>
            </w:r>
          </w:p>
        </w:tc>
      </w:tr>
      <w:tr w:rsidR="008126EA" w:rsidRPr="0079689D" w14:paraId="246DEC8A" w14:textId="77777777" w:rsidTr="00086187">
        <w:trPr>
          <w:trHeight w:val="288"/>
        </w:trPr>
        <w:tc>
          <w:tcPr>
            <w:tcW w:w="5148" w:type="dxa"/>
            <w:vAlign w:val="center"/>
          </w:tcPr>
          <w:p w14:paraId="2C736B1D" w14:textId="304FB2CF" w:rsidR="008126EA" w:rsidRPr="00086187" w:rsidRDefault="008126EA" w:rsidP="00086187">
            <w:pPr>
              <w:pStyle w:val="NoSpacing"/>
              <w:rPr>
                <w:rFonts w:ascii="Times New Roman" w:hAnsi="Times New Roman"/>
                <w:sz w:val="20"/>
                <w:szCs w:val="20"/>
              </w:rPr>
            </w:pPr>
            <w:r w:rsidRPr="00086187">
              <w:rPr>
                <w:rFonts w:ascii="Times New Roman" w:hAnsi="Times New Roman"/>
                <w:sz w:val="20"/>
                <w:szCs w:val="20"/>
              </w:rPr>
              <w:t>Recruitment</w:t>
            </w:r>
            <w:r w:rsidR="00086187">
              <w:rPr>
                <w:rFonts w:ascii="Times New Roman" w:hAnsi="Times New Roman"/>
                <w:sz w:val="20"/>
                <w:szCs w:val="20"/>
              </w:rPr>
              <w:t>:</w:t>
            </w:r>
            <w:r w:rsidR="006F6E89" w:rsidRPr="00086187">
              <w:rPr>
                <w:rFonts w:ascii="Times New Roman" w:hAnsi="Times New Roman"/>
                <w:sz w:val="20"/>
                <w:szCs w:val="20"/>
              </w:rPr>
              <w:t xml:space="preserve"> </w:t>
            </w:r>
            <w:r w:rsidR="003F6067" w:rsidRPr="00086187">
              <w:rPr>
                <w:rFonts w:ascii="Times New Roman" w:hAnsi="Times New Roman"/>
                <w:sz w:val="20"/>
                <w:szCs w:val="20"/>
              </w:rPr>
              <w:t xml:space="preserve">Districts </w:t>
            </w:r>
            <w:r w:rsidRPr="00086187">
              <w:rPr>
                <w:rFonts w:ascii="Times New Roman" w:hAnsi="Times New Roman"/>
                <w:sz w:val="20"/>
                <w:szCs w:val="20"/>
              </w:rPr>
              <w:t>participating in the feasibility call</w:t>
            </w:r>
          </w:p>
        </w:tc>
        <w:tc>
          <w:tcPr>
            <w:tcW w:w="1260" w:type="dxa"/>
            <w:vAlign w:val="center"/>
          </w:tcPr>
          <w:p w14:paraId="62E0F413" w14:textId="6D430095"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6B00741C" w14:textId="3E7A58E7"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530" w:type="dxa"/>
            <w:vAlign w:val="center"/>
          </w:tcPr>
          <w:p w14:paraId="0B735601" w14:textId="36650C80"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0.17</w:t>
            </w:r>
          </w:p>
        </w:tc>
        <w:tc>
          <w:tcPr>
            <w:tcW w:w="1332" w:type="dxa"/>
            <w:vAlign w:val="center"/>
          </w:tcPr>
          <w:p w14:paraId="62B71357" w14:textId="464EC329" w:rsidR="008126EA" w:rsidRPr="00086187" w:rsidRDefault="00086187" w:rsidP="00C60724">
            <w:pPr>
              <w:pStyle w:val="NoSpacing"/>
              <w:jc w:val="center"/>
              <w:rPr>
                <w:rFonts w:ascii="Times New Roman" w:hAnsi="Times New Roman"/>
                <w:sz w:val="20"/>
                <w:szCs w:val="20"/>
              </w:rPr>
            </w:pPr>
            <w:r>
              <w:rPr>
                <w:rFonts w:ascii="Times New Roman" w:hAnsi="Times New Roman"/>
                <w:sz w:val="20"/>
                <w:szCs w:val="20"/>
              </w:rPr>
              <w:t>3</w:t>
            </w:r>
          </w:p>
        </w:tc>
      </w:tr>
      <w:tr w:rsidR="008126EA" w:rsidRPr="0079689D" w14:paraId="3623F3A8" w14:textId="77777777" w:rsidTr="00086187">
        <w:trPr>
          <w:trHeight w:val="288"/>
        </w:trPr>
        <w:tc>
          <w:tcPr>
            <w:tcW w:w="5148" w:type="dxa"/>
            <w:vAlign w:val="center"/>
          </w:tcPr>
          <w:p w14:paraId="28182E3F"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Survey review and feasibility call</w:t>
            </w:r>
          </w:p>
        </w:tc>
        <w:tc>
          <w:tcPr>
            <w:tcW w:w="1260" w:type="dxa"/>
            <w:vAlign w:val="center"/>
          </w:tcPr>
          <w:p w14:paraId="42B2DEA2" w14:textId="67B165C7"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6313CC15" w14:textId="1B9A6C58"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530" w:type="dxa"/>
            <w:vAlign w:val="center"/>
          </w:tcPr>
          <w:p w14:paraId="09893CAA" w14:textId="05B3E49E" w:rsidR="008126EA" w:rsidRPr="00086187" w:rsidRDefault="00DB663C" w:rsidP="00DB663C">
            <w:pPr>
              <w:pStyle w:val="NoSpacing"/>
              <w:jc w:val="center"/>
              <w:rPr>
                <w:rFonts w:ascii="Times New Roman" w:hAnsi="Times New Roman"/>
                <w:sz w:val="20"/>
                <w:szCs w:val="20"/>
              </w:rPr>
            </w:pPr>
            <w:r>
              <w:rPr>
                <w:rFonts w:ascii="Times New Roman" w:hAnsi="Times New Roman"/>
                <w:sz w:val="20"/>
                <w:szCs w:val="20"/>
              </w:rPr>
              <w:t>1.</w:t>
            </w:r>
            <w:r w:rsidR="006C3C4F" w:rsidRPr="00086187">
              <w:rPr>
                <w:rFonts w:ascii="Times New Roman" w:hAnsi="Times New Roman"/>
                <w:sz w:val="20"/>
                <w:szCs w:val="20"/>
              </w:rPr>
              <w:t>0</w:t>
            </w:r>
          </w:p>
        </w:tc>
        <w:tc>
          <w:tcPr>
            <w:tcW w:w="1332" w:type="dxa"/>
            <w:vAlign w:val="center"/>
          </w:tcPr>
          <w:p w14:paraId="70E902F9" w14:textId="122F425F" w:rsidR="008126EA" w:rsidRPr="00086187" w:rsidRDefault="00DB663C" w:rsidP="00C60724">
            <w:pPr>
              <w:pStyle w:val="NoSpacing"/>
              <w:jc w:val="center"/>
              <w:rPr>
                <w:rFonts w:ascii="Times New Roman" w:hAnsi="Times New Roman"/>
                <w:sz w:val="20"/>
                <w:szCs w:val="20"/>
              </w:rPr>
            </w:pPr>
            <w:r>
              <w:rPr>
                <w:rFonts w:ascii="Times New Roman" w:hAnsi="Times New Roman"/>
                <w:sz w:val="20"/>
                <w:szCs w:val="20"/>
              </w:rPr>
              <w:t>1</w:t>
            </w:r>
            <w:r w:rsidR="00265791">
              <w:rPr>
                <w:rFonts w:ascii="Times New Roman" w:hAnsi="Times New Roman"/>
                <w:sz w:val="20"/>
                <w:szCs w:val="20"/>
              </w:rPr>
              <w:t>5</w:t>
            </w:r>
          </w:p>
        </w:tc>
      </w:tr>
      <w:tr w:rsidR="008126EA" w:rsidRPr="0079689D" w14:paraId="5D80672F" w14:textId="77777777" w:rsidTr="00086187">
        <w:trPr>
          <w:trHeight w:val="288"/>
        </w:trPr>
        <w:tc>
          <w:tcPr>
            <w:tcW w:w="5148" w:type="dxa"/>
            <w:vAlign w:val="center"/>
          </w:tcPr>
          <w:p w14:paraId="4F2F2514"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Total per round</w:t>
            </w:r>
          </w:p>
        </w:tc>
        <w:tc>
          <w:tcPr>
            <w:tcW w:w="1260" w:type="dxa"/>
            <w:vAlign w:val="center"/>
          </w:tcPr>
          <w:p w14:paraId="5EAE5425" w14:textId="717D366C"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45</w:t>
            </w:r>
          </w:p>
        </w:tc>
        <w:tc>
          <w:tcPr>
            <w:tcW w:w="1170" w:type="dxa"/>
            <w:vAlign w:val="center"/>
          </w:tcPr>
          <w:p w14:paraId="60DEEE26" w14:textId="6B9DCD5C"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60</w:t>
            </w:r>
          </w:p>
        </w:tc>
        <w:tc>
          <w:tcPr>
            <w:tcW w:w="1530" w:type="dxa"/>
            <w:vAlign w:val="center"/>
          </w:tcPr>
          <w:p w14:paraId="6363186C" w14:textId="7847C47C"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w:t>
            </w:r>
          </w:p>
        </w:tc>
        <w:tc>
          <w:tcPr>
            <w:tcW w:w="1332" w:type="dxa"/>
            <w:vAlign w:val="center"/>
          </w:tcPr>
          <w:p w14:paraId="6BACC14C" w14:textId="6A1C90DA" w:rsidR="008126EA" w:rsidRPr="00086187" w:rsidRDefault="00DB663C" w:rsidP="00086187">
            <w:pPr>
              <w:pStyle w:val="NoSpacing"/>
              <w:jc w:val="center"/>
              <w:rPr>
                <w:rFonts w:ascii="Times New Roman" w:hAnsi="Times New Roman"/>
                <w:sz w:val="20"/>
                <w:szCs w:val="20"/>
              </w:rPr>
            </w:pPr>
            <w:r>
              <w:rPr>
                <w:rFonts w:ascii="Times New Roman" w:hAnsi="Times New Roman"/>
                <w:sz w:val="20"/>
                <w:szCs w:val="20"/>
              </w:rPr>
              <w:t>20</w:t>
            </w:r>
          </w:p>
        </w:tc>
      </w:tr>
      <w:tr w:rsidR="008126EA" w:rsidRPr="00086187" w14:paraId="321D057E" w14:textId="77777777" w:rsidTr="00086187">
        <w:trPr>
          <w:trHeight w:val="288"/>
        </w:trPr>
        <w:tc>
          <w:tcPr>
            <w:tcW w:w="5148" w:type="dxa"/>
            <w:vAlign w:val="center"/>
          </w:tcPr>
          <w:p w14:paraId="1EB623AA" w14:textId="77777777" w:rsidR="008126EA" w:rsidRPr="00086187" w:rsidRDefault="008126EA">
            <w:pPr>
              <w:pStyle w:val="NoSpacing"/>
              <w:rPr>
                <w:rFonts w:ascii="Times New Roman" w:hAnsi="Times New Roman"/>
                <w:b/>
                <w:sz w:val="20"/>
                <w:szCs w:val="20"/>
              </w:rPr>
            </w:pPr>
            <w:r w:rsidRPr="00086187">
              <w:rPr>
                <w:rFonts w:ascii="Times New Roman" w:hAnsi="Times New Roman"/>
                <w:b/>
                <w:sz w:val="20"/>
                <w:szCs w:val="20"/>
              </w:rPr>
              <w:t>Total for three rounds</w:t>
            </w:r>
          </w:p>
        </w:tc>
        <w:tc>
          <w:tcPr>
            <w:tcW w:w="1260" w:type="dxa"/>
            <w:vAlign w:val="center"/>
          </w:tcPr>
          <w:p w14:paraId="4C82F4A4" w14:textId="2555223D" w:rsidR="008126EA" w:rsidRPr="00086187" w:rsidRDefault="008A147E" w:rsidP="00C60724">
            <w:pPr>
              <w:pStyle w:val="NoSpacing"/>
              <w:jc w:val="center"/>
              <w:rPr>
                <w:rFonts w:ascii="Times New Roman" w:hAnsi="Times New Roman"/>
                <w:b/>
                <w:sz w:val="20"/>
                <w:szCs w:val="20"/>
              </w:rPr>
            </w:pPr>
            <w:r w:rsidRPr="00086187">
              <w:rPr>
                <w:rFonts w:ascii="Times New Roman" w:hAnsi="Times New Roman"/>
                <w:b/>
                <w:sz w:val="20"/>
                <w:szCs w:val="20"/>
              </w:rPr>
              <w:t>135</w:t>
            </w:r>
          </w:p>
        </w:tc>
        <w:tc>
          <w:tcPr>
            <w:tcW w:w="1170" w:type="dxa"/>
            <w:vAlign w:val="center"/>
          </w:tcPr>
          <w:p w14:paraId="56F02725" w14:textId="4E0F4A10" w:rsidR="008126EA" w:rsidRPr="00086187" w:rsidRDefault="008A147E" w:rsidP="00C60724">
            <w:pPr>
              <w:pStyle w:val="NoSpacing"/>
              <w:jc w:val="center"/>
              <w:rPr>
                <w:rFonts w:ascii="Times New Roman" w:hAnsi="Times New Roman"/>
                <w:b/>
                <w:sz w:val="20"/>
                <w:szCs w:val="20"/>
              </w:rPr>
            </w:pPr>
            <w:r w:rsidRPr="00086187">
              <w:rPr>
                <w:rFonts w:ascii="Times New Roman" w:hAnsi="Times New Roman"/>
                <w:b/>
                <w:sz w:val="20"/>
                <w:szCs w:val="20"/>
              </w:rPr>
              <w:t>180</w:t>
            </w:r>
          </w:p>
        </w:tc>
        <w:tc>
          <w:tcPr>
            <w:tcW w:w="1530" w:type="dxa"/>
            <w:vAlign w:val="center"/>
          </w:tcPr>
          <w:p w14:paraId="561AA20A" w14:textId="7449BA1C" w:rsidR="008126EA" w:rsidRPr="00086187" w:rsidRDefault="006C3C4F" w:rsidP="00C60724">
            <w:pPr>
              <w:pStyle w:val="NoSpacing"/>
              <w:jc w:val="center"/>
              <w:rPr>
                <w:rFonts w:ascii="Times New Roman" w:hAnsi="Times New Roman"/>
                <w:b/>
                <w:sz w:val="20"/>
                <w:szCs w:val="20"/>
              </w:rPr>
            </w:pPr>
            <w:r w:rsidRPr="00086187">
              <w:rPr>
                <w:rFonts w:ascii="Times New Roman" w:hAnsi="Times New Roman"/>
                <w:b/>
                <w:sz w:val="20"/>
                <w:szCs w:val="20"/>
              </w:rPr>
              <w:t>--</w:t>
            </w:r>
          </w:p>
        </w:tc>
        <w:tc>
          <w:tcPr>
            <w:tcW w:w="1332" w:type="dxa"/>
            <w:vAlign w:val="center"/>
          </w:tcPr>
          <w:p w14:paraId="56C72D2D" w14:textId="7A14A464" w:rsidR="008126EA" w:rsidRPr="00086187" w:rsidRDefault="00DB663C" w:rsidP="00DB663C">
            <w:pPr>
              <w:pStyle w:val="NoSpacing"/>
              <w:jc w:val="center"/>
              <w:rPr>
                <w:rFonts w:ascii="Times New Roman" w:hAnsi="Times New Roman"/>
                <w:b/>
                <w:sz w:val="20"/>
                <w:szCs w:val="20"/>
              </w:rPr>
            </w:pPr>
            <w:r>
              <w:rPr>
                <w:rFonts w:ascii="Times New Roman" w:hAnsi="Times New Roman"/>
                <w:b/>
                <w:sz w:val="20"/>
                <w:szCs w:val="20"/>
              </w:rPr>
              <w:t>60</w:t>
            </w:r>
          </w:p>
        </w:tc>
      </w:tr>
    </w:tbl>
    <w:p w14:paraId="1E688D10" w14:textId="77777777" w:rsidR="008126EA" w:rsidRPr="001B6F9A" w:rsidRDefault="008126EA" w:rsidP="00C61F11">
      <w:pPr>
        <w:spacing w:after="0" w:line="240" w:lineRule="atLeast"/>
        <w:rPr>
          <w:rFonts w:ascii="Times New Roman" w:hAnsi="Times New Roman"/>
          <w:sz w:val="18"/>
          <w:szCs w:val="18"/>
        </w:rPr>
      </w:pPr>
      <w:r w:rsidRPr="001B6F9A">
        <w:rPr>
          <w:rFonts w:ascii="Times New Roman" w:hAnsi="Times New Roman"/>
          <w:sz w:val="18"/>
          <w:szCs w:val="18"/>
          <w:vertAlign w:val="superscript"/>
        </w:rPr>
        <w:t>1</w:t>
      </w:r>
      <w:r w:rsidRPr="001B6F9A">
        <w:rPr>
          <w:rFonts w:ascii="Times New Roman" w:hAnsi="Times New Roman"/>
          <w:sz w:val="18"/>
          <w:szCs w:val="18"/>
        </w:rPr>
        <w:t xml:space="preserve"> Counts each contact (e.g., recruitment and feasibility call are counted separately even when they are with the same respondents).</w:t>
      </w:r>
    </w:p>
    <w:p w14:paraId="2BF873EF" w14:textId="77777777" w:rsidR="008126EA" w:rsidRPr="0079689D" w:rsidRDefault="008126EA" w:rsidP="00C61F11">
      <w:pPr>
        <w:spacing w:after="0" w:line="240" w:lineRule="atLeast"/>
        <w:rPr>
          <w:rFonts w:ascii="Times New Roman" w:hAnsi="Times New Roman"/>
        </w:rPr>
      </w:pPr>
    </w:p>
    <w:p w14:paraId="714383E1" w14:textId="23CEF519" w:rsidR="008126EA" w:rsidRPr="0079689D" w:rsidRDefault="00CC5714" w:rsidP="0065301C">
      <w:pPr>
        <w:pStyle w:val="SL-FlLftSgl"/>
        <w:keepNext/>
        <w:spacing w:after="120" w:line="240" w:lineRule="auto"/>
        <w:rPr>
          <w:b/>
          <w:bCs/>
          <w:szCs w:val="22"/>
        </w:rPr>
      </w:pPr>
      <w:r>
        <w:rPr>
          <w:b/>
          <w:bCs/>
          <w:szCs w:val="22"/>
        </w:rPr>
        <w:t>Data Collection Instrument</w:t>
      </w:r>
    </w:p>
    <w:p w14:paraId="42E2ADB9" w14:textId="77777777" w:rsidR="00B36A35" w:rsidRDefault="008126EA" w:rsidP="0065301C">
      <w:pPr>
        <w:pStyle w:val="SP-SglSpPara"/>
        <w:spacing w:after="120" w:line="240" w:lineRule="auto"/>
        <w:ind w:firstLine="0"/>
        <w:jc w:val="left"/>
        <w:rPr>
          <w:szCs w:val="22"/>
        </w:rPr>
      </w:pPr>
      <w:r w:rsidRPr="0079689D">
        <w:rPr>
          <w:bCs/>
          <w:szCs w:val="22"/>
        </w:rPr>
        <w:t xml:space="preserve">For each round of </w:t>
      </w:r>
      <w:r w:rsidR="00A41ECC" w:rsidRPr="0079689D">
        <w:rPr>
          <w:bCs/>
          <w:szCs w:val="22"/>
        </w:rPr>
        <w:t>feasibility calls</w:t>
      </w:r>
      <w:r w:rsidR="00241336">
        <w:rPr>
          <w:bCs/>
          <w:szCs w:val="22"/>
        </w:rPr>
        <w:t xml:space="preserve">, a cover letter </w:t>
      </w:r>
      <w:r w:rsidR="006F6E89">
        <w:rPr>
          <w:bCs/>
          <w:szCs w:val="22"/>
        </w:rPr>
        <w:t>and topic list</w:t>
      </w:r>
      <w:r w:rsidR="00241336">
        <w:rPr>
          <w:bCs/>
          <w:szCs w:val="22"/>
        </w:rPr>
        <w:t>,</w:t>
      </w:r>
      <w:r w:rsidR="006F6E89">
        <w:rPr>
          <w:bCs/>
          <w:szCs w:val="22"/>
        </w:rPr>
        <w:t xml:space="preserve"> or </w:t>
      </w:r>
      <w:r w:rsidR="00241336">
        <w:rPr>
          <w:bCs/>
          <w:szCs w:val="22"/>
        </w:rPr>
        <w:t xml:space="preserve">in later rounds, </w:t>
      </w:r>
      <w:r w:rsidR="006F6E89">
        <w:rPr>
          <w:bCs/>
          <w:szCs w:val="22"/>
        </w:rPr>
        <w:t xml:space="preserve">draft questionnaire items or </w:t>
      </w:r>
      <w:r w:rsidR="00241336">
        <w:rPr>
          <w:bCs/>
          <w:szCs w:val="22"/>
        </w:rPr>
        <w:t xml:space="preserve">questionnaire, </w:t>
      </w:r>
      <w:r w:rsidRPr="0079689D">
        <w:rPr>
          <w:bCs/>
          <w:szCs w:val="22"/>
        </w:rPr>
        <w:t xml:space="preserve">will be emailed or faxed to each participating </w:t>
      </w:r>
      <w:r w:rsidRPr="003D267D">
        <w:rPr>
          <w:bCs/>
          <w:szCs w:val="22"/>
        </w:rPr>
        <w:t xml:space="preserve">school </w:t>
      </w:r>
      <w:r w:rsidR="009F6EE2" w:rsidRPr="003D267D">
        <w:rPr>
          <w:bCs/>
          <w:szCs w:val="22"/>
        </w:rPr>
        <w:t>district</w:t>
      </w:r>
      <w:r w:rsidRPr="0079689D">
        <w:rPr>
          <w:szCs w:val="22"/>
        </w:rPr>
        <w:t>.</w:t>
      </w:r>
      <w:r w:rsidR="006F6E89">
        <w:rPr>
          <w:szCs w:val="22"/>
        </w:rPr>
        <w:t xml:space="preserve"> </w:t>
      </w:r>
      <w:r w:rsidRPr="000530BC">
        <w:rPr>
          <w:szCs w:val="22"/>
        </w:rPr>
        <w:t xml:space="preserve">The cover letter and </w:t>
      </w:r>
      <w:r w:rsidR="00241336">
        <w:rPr>
          <w:szCs w:val="22"/>
        </w:rPr>
        <w:t>topic list</w:t>
      </w:r>
      <w:r w:rsidRPr="000530BC">
        <w:rPr>
          <w:szCs w:val="22"/>
        </w:rPr>
        <w:t xml:space="preserve"> for the first round of feasibility calls </w:t>
      </w:r>
      <w:r w:rsidR="00F21751" w:rsidRPr="000530BC">
        <w:rPr>
          <w:szCs w:val="22"/>
        </w:rPr>
        <w:t xml:space="preserve">are included in this document as </w:t>
      </w:r>
      <w:r w:rsidR="00D06342">
        <w:rPr>
          <w:szCs w:val="22"/>
        </w:rPr>
        <w:t>A</w:t>
      </w:r>
      <w:r w:rsidR="00F21751" w:rsidRPr="000530BC">
        <w:rPr>
          <w:szCs w:val="22"/>
        </w:rPr>
        <w:t>ttachment</w:t>
      </w:r>
      <w:r w:rsidRPr="000530BC">
        <w:rPr>
          <w:szCs w:val="22"/>
        </w:rPr>
        <w:t xml:space="preserve"> </w:t>
      </w:r>
      <w:r w:rsidR="00820B4D" w:rsidRPr="000530BC">
        <w:rPr>
          <w:szCs w:val="22"/>
        </w:rPr>
        <w:t>2</w:t>
      </w:r>
      <w:r w:rsidRPr="000530BC">
        <w:rPr>
          <w:szCs w:val="22"/>
        </w:rPr>
        <w:t>.</w:t>
      </w:r>
      <w:r w:rsidR="006F6E89">
        <w:rPr>
          <w:szCs w:val="22"/>
        </w:rPr>
        <w:t xml:space="preserve"> </w:t>
      </w:r>
      <w:r w:rsidRPr="0079689D">
        <w:rPr>
          <w:szCs w:val="22"/>
        </w:rPr>
        <w:t xml:space="preserve">The cover letter thanks the respondent for agreeing to participate in the feasibility call, introduces the purpose and content of the survey, indicates that participation is voluntary, indicates that respondents should review the </w:t>
      </w:r>
      <w:r w:rsidR="006F6E89">
        <w:rPr>
          <w:szCs w:val="22"/>
        </w:rPr>
        <w:t xml:space="preserve">topic list on which we will base the telephone discussion, </w:t>
      </w:r>
      <w:r w:rsidRPr="0079689D">
        <w:rPr>
          <w:szCs w:val="22"/>
        </w:rPr>
        <w:t>and provides contact information should any questions arise before the scheduled discussion with the survey manager.</w:t>
      </w:r>
      <w:r w:rsidR="006F6E89">
        <w:rPr>
          <w:szCs w:val="22"/>
        </w:rPr>
        <w:t xml:space="preserve"> </w:t>
      </w:r>
      <w:r w:rsidRPr="0079689D">
        <w:rPr>
          <w:szCs w:val="22"/>
        </w:rPr>
        <w:t xml:space="preserve">On the </w:t>
      </w:r>
      <w:r w:rsidR="00773466" w:rsidRPr="0079689D">
        <w:rPr>
          <w:szCs w:val="22"/>
        </w:rPr>
        <w:t>cover letter</w:t>
      </w:r>
      <w:r w:rsidRPr="0079689D">
        <w:rPr>
          <w:szCs w:val="22"/>
        </w:rPr>
        <w:t xml:space="preserve">, respondents are assured that their participation is voluntary and their answers may </w:t>
      </w:r>
      <w:r w:rsidR="008552C0">
        <w:rPr>
          <w:szCs w:val="22"/>
        </w:rPr>
        <w:t xml:space="preserve">only be used for statistical purposes and may </w:t>
      </w:r>
      <w:r w:rsidRPr="0079689D">
        <w:rPr>
          <w:szCs w:val="22"/>
        </w:rPr>
        <w:t xml:space="preserve">not be disclosed or used in identifiable form for any other purpose </w:t>
      </w:r>
      <w:r w:rsidR="006F0C56">
        <w:rPr>
          <w:szCs w:val="22"/>
        </w:rPr>
        <w:t xml:space="preserve">except as required </w:t>
      </w:r>
      <w:r w:rsidRPr="0079689D">
        <w:rPr>
          <w:szCs w:val="22"/>
        </w:rPr>
        <w:t>by law.</w:t>
      </w:r>
      <w:r w:rsidR="006F6E89">
        <w:rPr>
          <w:szCs w:val="22"/>
        </w:rPr>
        <w:t xml:space="preserve"> </w:t>
      </w:r>
      <w:r w:rsidRPr="0079689D">
        <w:rPr>
          <w:szCs w:val="22"/>
        </w:rPr>
        <w:t>The law is cited on the</w:t>
      </w:r>
      <w:r w:rsidR="006C164B">
        <w:rPr>
          <w:szCs w:val="22"/>
        </w:rPr>
        <w:t xml:space="preserve"> cover letter</w:t>
      </w:r>
      <w:r w:rsidRPr="0079689D">
        <w:rPr>
          <w:szCs w:val="22"/>
        </w:rPr>
        <w:t>.</w:t>
      </w:r>
      <w:r w:rsidR="006F6E89">
        <w:rPr>
          <w:szCs w:val="22"/>
        </w:rPr>
        <w:t xml:space="preserve"> </w:t>
      </w:r>
      <w:r w:rsidRPr="0079689D">
        <w:rPr>
          <w:szCs w:val="22"/>
        </w:rPr>
        <w:t>The materials for subsequent rounds of</w:t>
      </w:r>
      <w:r w:rsidR="00642AEB">
        <w:rPr>
          <w:szCs w:val="22"/>
        </w:rPr>
        <w:t xml:space="preserve"> calls will be similar, except </w:t>
      </w:r>
      <w:r w:rsidR="00481A67" w:rsidRPr="0079689D">
        <w:rPr>
          <w:szCs w:val="22"/>
        </w:rPr>
        <w:t>t</w:t>
      </w:r>
      <w:r w:rsidRPr="0079689D">
        <w:rPr>
          <w:szCs w:val="22"/>
        </w:rPr>
        <w:t xml:space="preserve">he </w:t>
      </w:r>
      <w:r w:rsidR="004F7874">
        <w:rPr>
          <w:szCs w:val="22"/>
        </w:rPr>
        <w:t>questions</w:t>
      </w:r>
      <w:r w:rsidRPr="0079689D">
        <w:rPr>
          <w:szCs w:val="22"/>
        </w:rPr>
        <w:t xml:space="preserve"> for each round will include modifications </w:t>
      </w:r>
      <w:r w:rsidR="004F7874">
        <w:rPr>
          <w:szCs w:val="22"/>
        </w:rPr>
        <w:t xml:space="preserve">or new items </w:t>
      </w:r>
      <w:r w:rsidRPr="0079689D">
        <w:rPr>
          <w:szCs w:val="22"/>
        </w:rPr>
        <w:t>that resulted from the previous</w:t>
      </w:r>
      <w:r w:rsidR="009F6EE2">
        <w:rPr>
          <w:szCs w:val="22"/>
        </w:rPr>
        <w:t xml:space="preserve"> rounds.</w:t>
      </w:r>
    </w:p>
    <w:p w14:paraId="12661E99" w14:textId="0039C261" w:rsidR="005A4415" w:rsidRPr="005A4415" w:rsidRDefault="005A4415" w:rsidP="005A4415">
      <w:pPr>
        <w:tabs>
          <w:tab w:val="left" w:pos="576"/>
        </w:tabs>
        <w:overflowPunct w:val="0"/>
        <w:autoSpaceDE w:val="0"/>
        <w:autoSpaceDN w:val="0"/>
        <w:adjustRightInd w:val="0"/>
        <w:spacing w:after="120" w:line="240" w:lineRule="auto"/>
        <w:jc w:val="both"/>
        <w:textAlignment w:val="baseline"/>
        <w:rPr>
          <w:rFonts w:ascii="Times New Roman" w:eastAsia="Times New Roman" w:hAnsi="Times New Roman"/>
          <w:b/>
        </w:rPr>
      </w:pPr>
      <w:r w:rsidRPr="005A4415">
        <w:rPr>
          <w:rFonts w:ascii="Times New Roman" w:eastAsia="Times New Roman" w:hAnsi="Times New Roman"/>
          <w:b/>
        </w:rPr>
        <w:t>Interview Guide: overview of topics and interview guide</w:t>
      </w:r>
    </w:p>
    <w:p w14:paraId="72B09358" w14:textId="70EB67CC" w:rsidR="005A4415" w:rsidRPr="005A4415" w:rsidRDefault="005A4415" w:rsidP="005A4415">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5A4415">
        <w:rPr>
          <w:rFonts w:ascii="Times New Roman" w:eastAsia="Times New Roman" w:hAnsi="Times New Roman"/>
          <w:szCs w:val="20"/>
        </w:rPr>
        <w:t xml:space="preserve">The interview guide (see attachment 3) will be used to learn more about CTE programs at the secondary level in order to inform development of a questionnaire that is clear and relevant to respondents. Questions in the interview guide are based on criteria identified by </w:t>
      </w:r>
      <w:r w:rsidR="00B22E3E" w:rsidRPr="00B22E3E">
        <w:rPr>
          <w:rFonts w:ascii="Times New Roman" w:hAnsi="Times New Roman"/>
        </w:rPr>
        <w:t>OCTAE</w:t>
      </w:r>
      <w:r w:rsidRPr="005A4415">
        <w:rPr>
          <w:rFonts w:ascii="Times New Roman" w:eastAsia="Times New Roman" w:hAnsi="Times New Roman"/>
          <w:szCs w:val="20"/>
        </w:rPr>
        <w:t xml:space="preserve"> in their blueprint specifications for the most recent reauthorization of the Perkins Act as characteristics that define high-quality CTE programs. The interview guide will cover topics that include </w:t>
      </w:r>
      <w:r>
        <w:rPr>
          <w:rFonts w:ascii="Times New Roman" w:eastAsia="Times New Roman" w:hAnsi="Times New Roman"/>
          <w:szCs w:val="20"/>
        </w:rPr>
        <w:t xml:space="preserve">provision </w:t>
      </w:r>
      <w:r w:rsidRPr="005A4415">
        <w:rPr>
          <w:rFonts w:ascii="Times New Roman" w:eastAsia="Times New Roman" w:hAnsi="Times New Roman"/>
          <w:szCs w:val="20"/>
        </w:rPr>
        <w:t>for career pathways; availability of CTE programs leading to industry-recognized credentials, or</w:t>
      </w:r>
      <w:r w:rsidR="0071349B">
        <w:rPr>
          <w:rFonts w:ascii="Times New Roman" w:eastAsia="Times New Roman" w:hAnsi="Times New Roman"/>
          <w:szCs w:val="20"/>
        </w:rPr>
        <w:t xml:space="preserve"> to</w:t>
      </w:r>
      <w:r w:rsidRPr="005A4415">
        <w:rPr>
          <w:rFonts w:ascii="Times New Roman" w:eastAsia="Times New Roman" w:hAnsi="Times New Roman"/>
          <w:szCs w:val="20"/>
        </w:rPr>
        <w:t xml:space="preserve"> postsecondary certificates or degrees; identification of in-demand industry sectors or occupations</w:t>
      </w:r>
      <w:r w:rsidR="00ED5E86">
        <w:rPr>
          <w:rFonts w:ascii="Times New Roman" w:eastAsia="Times New Roman" w:hAnsi="Times New Roman"/>
          <w:szCs w:val="20"/>
        </w:rPr>
        <w:t>,</w:t>
      </w:r>
      <w:r>
        <w:rPr>
          <w:rFonts w:ascii="Times New Roman" w:eastAsia="Times New Roman" w:hAnsi="Times New Roman"/>
          <w:szCs w:val="20"/>
        </w:rPr>
        <w:t xml:space="preserve"> and</w:t>
      </w:r>
      <w:r w:rsidRPr="005A4415">
        <w:rPr>
          <w:rFonts w:ascii="Times New Roman" w:eastAsia="Times New Roman" w:hAnsi="Times New Roman"/>
          <w:szCs w:val="20"/>
        </w:rPr>
        <w:t xml:space="preserve"> provision of skills required for entry into in-demand occupations; availability of work-based learning; and opportunities</w:t>
      </w:r>
      <w:r w:rsidR="00495818">
        <w:rPr>
          <w:rFonts w:ascii="Times New Roman" w:eastAsia="Times New Roman" w:hAnsi="Times New Roman"/>
          <w:szCs w:val="20"/>
        </w:rPr>
        <w:t xml:space="preserve"> for CTE students</w:t>
      </w:r>
      <w:r w:rsidRPr="005A4415">
        <w:rPr>
          <w:rFonts w:ascii="Times New Roman" w:eastAsia="Times New Roman" w:hAnsi="Times New Roman"/>
          <w:szCs w:val="20"/>
        </w:rPr>
        <w:t xml:space="preserve"> to develop leadership skills.</w:t>
      </w:r>
    </w:p>
    <w:p w14:paraId="03AA39A0" w14:textId="3779A931" w:rsidR="008126EA" w:rsidRPr="0079689D" w:rsidRDefault="008126EA" w:rsidP="0065301C">
      <w:pPr>
        <w:spacing w:after="120" w:line="240" w:lineRule="auto"/>
        <w:rPr>
          <w:rFonts w:ascii="Times New Roman" w:hAnsi="Times New Roman"/>
          <w:b/>
        </w:rPr>
      </w:pPr>
      <w:r w:rsidRPr="0079689D">
        <w:rPr>
          <w:rFonts w:ascii="Times New Roman" w:hAnsi="Times New Roman"/>
          <w:b/>
        </w:rPr>
        <w:t>Timeline</w:t>
      </w:r>
    </w:p>
    <w:p w14:paraId="0C0234AC" w14:textId="17A30F29" w:rsidR="00C35F6C" w:rsidRPr="0079689D" w:rsidRDefault="008126EA" w:rsidP="0065301C">
      <w:pPr>
        <w:spacing w:after="120" w:line="240" w:lineRule="auto"/>
        <w:rPr>
          <w:rFonts w:ascii="Times New Roman" w:hAnsi="Times New Roman"/>
        </w:rPr>
      </w:pPr>
      <w:r w:rsidRPr="0079689D">
        <w:rPr>
          <w:rFonts w:ascii="Times New Roman" w:hAnsi="Times New Roman"/>
        </w:rPr>
        <w:t xml:space="preserve">Feasibility call activities are expected to begin </w:t>
      </w:r>
      <w:r w:rsidR="00742569">
        <w:rPr>
          <w:rFonts w:ascii="Times New Roman" w:hAnsi="Times New Roman"/>
        </w:rPr>
        <w:t>as soon as</w:t>
      </w:r>
      <w:r w:rsidRPr="0079689D">
        <w:rPr>
          <w:rFonts w:ascii="Times New Roman" w:hAnsi="Times New Roman"/>
        </w:rPr>
        <w:t xml:space="preserve"> approval </w:t>
      </w:r>
      <w:r w:rsidR="00820B4D">
        <w:rPr>
          <w:rFonts w:ascii="Times New Roman" w:hAnsi="Times New Roman"/>
        </w:rPr>
        <w:t xml:space="preserve">is </w:t>
      </w:r>
      <w:r w:rsidRPr="0079689D">
        <w:rPr>
          <w:rFonts w:ascii="Times New Roman" w:hAnsi="Times New Roman"/>
        </w:rPr>
        <w:t>received from OMB</w:t>
      </w:r>
      <w:r w:rsidR="00340C5D">
        <w:rPr>
          <w:rFonts w:ascii="Times New Roman" w:hAnsi="Times New Roman"/>
        </w:rPr>
        <w:t xml:space="preserve">, and </w:t>
      </w:r>
      <w:r w:rsidR="00277162" w:rsidRPr="0079689D">
        <w:rPr>
          <w:rFonts w:ascii="Times New Roman" w:hAnsi="Times New Roman"/>
        </w:rPr>
        <w:t>are anticipated to take</w:t>
      </w:r>
      <w:r w:rsidR="0002211C">
        <w:rPr>
          <w:rFonts w:ascii="Times New Roman" w:hAnsi="Times New Roman"/>
        </w:rPr>
        <w:t xml:space="preserve"> about </w:t>
      </w:r>
      <w:r w:rsidR="00612475">
        <w:rPr>
          <w:rFonts w:ascii="Times New Roman" w:hAnsi="Times New Roman"/>
        </w:rPr>
        <w:t>f</w:t>
      </w:r>
      <w:r w:rsidR="002443C9">
        <w:rPr>
          <w:rFonts w:ascii="Times New Roman" w:hAnsi="Times New Roman"/>
        </w:rPr>
        <w:t>ive</w:t>
      </w:r>
      <w:r w:rsidR="00612475">
        <w:rPr>
          <w:rFonts w:ascii="Times New Roman" w:hAnsi="Times New Roman"/>
        </w:rPr>
        <w:t xml:space="preserve"> </w:t>
      </w:r>
      <w:r w:rsidR="0002211C">
        <w:rPr>
          <w:rFonts w:ascii="Times New Roman" w:hAnsi="Times New Roman"/>
        </w:rPr>
        <w:t>months to complete</w:t>
      </w:r>
      <w:r w:rsidR="00742569">
        <w:rPr>
          <w:rFonts w:ascii="Times New Roman" w:hAnsi="Times New Roman"/>
        </w:rPr>
        <w:t xml:space="preserve">, </w:t>
      </w:r>
      <w:r w:rsidR="00277162" w:rsidRPr="0079689D">
        <w:rPr>
          <w:rFonts w:ascii="Times New Roman" w:hAnsi="Times New Roman"/>
        </w:rPr>
        <w:t>includ</w:t>
      </w:r>
      <w:r w:rsidR="00742569">
        <w:rPr>
          <w:rFonts w:ascii="Times New Roman" w:hAnsi="Times New Roman"/>
        </w:rPr>
        <w:t>ing</w:t>
      </w:r>
      <w:r w:rsidR="00277162" w:rsidRPr="0079689D">
        <w:rPr>
          <w:rFonts w:ascii="Times New Roman" w:hAnsi="Times New Roman"/>
        </w:rPr>
        <w:t xml:space="preserve"> </w:t>
      </w:r>
      <w:r w:rsidR="00340C5D">
        <w:rPr>
          <w:rFonts w:ascii="Times New Roman" w:hAnsi="Times New Roman"/>
        </w:rPr>
        <w:t>up to</w:t>
      </w:r>
      <w:r w:rsidR="00277162" w:rsidRPr="0079689D">
        <w:rPr>
          <w:rFonts w:ascii="Times New Roman" w:hAnsi="Times New Roman"/>
        </w:rPr>
        <w:t xml:space="preserve"> thr</w:t>
      </w:r>
      <w:r w:rsidR="00742569">
        <w:rPr>
          <w:rFonts w:ascii="Times New Roman" w:hAnsi="Times New Roman"/>
        </w:rPr>
        <w:t xml:space="preserve">ee rounds of feasibility calls and </w:t>
      </w:r>
      <w:r w:rsidR="00C03CFA">
        <w:rPr>
          <w:rFonts w:ascii="Times New Roman" w:hAnsi="Times New Roman"/>
        </w:rPr>
        <w:t xml:space="preserve">the development </w:t>
      </w:r>
      <w:r w:rsidR="00057B5C">
        <w:rPr>
          <w:rFonts w:ascii="Times New Roman" w:hAnsi="Times New Roman"/>
        </w:rPr>
        <w:t xml:space="preserve">of </w:t>
      </w:r>
      <w:r w:rsidR="00C03CFA">
        <w:rPr>
          <w:rFonts w:ascii="Times New Roman" w:hAnsi="Times New Roman"/>
        </w:rPr>
        <w:t xml:space="preserve">and </w:t>
      </w:r>
      <w:r w:rsidR="00277162" w:rsidRPr="0079689D">
        <w:rPr>
          <w:rFonts w:ascii="Times New Roman" w:hAnsi="Times New Roman"/>
        </w:rPr>
        <w:t>re</w:t>
      </w:r>
      <w:r w:rsidR="00CB3555">
        <w:rPr>
          <w:rFonts w:ascii="Times New Roman" w:hAnsi="Times New Roman"/>
        </w:rPr>
        <w:t>vis</w:t>
      </w:r>
      <w:r w:rsidR="00742569">
        <w:rPr>
          <w:rFonts w:ascii="Times New Roman" w:hAnsi="Times New Roman"/>
        </w:rPr>
        <w:t>ion</w:t>
      </w:r>
      <w:r w:rsidR="00D06342">
        <w:rPr>
          <w:rFonts w:ascii="Times New Roman" w:hAnsi="Times New Roman"/>
        </w:rPr>
        <w:t>s</w:t>
      </w:r>
      <w:r w:rsidR="00742569">
        <w:rPr>
          <w:rFonts w:ascii="Times New Roman" w:hAnsi="Times New Roman"/>
        </w:rPr>
        <w:t xml:space="preserve"> to </w:t>
      </w:r>
      <w:r w:rsidR="00340C5D">
        <w:rPr>
          <w:rFonts w:ascii="Times New Roman" w:hAnsi="Times New Roman"/>
        </w:rPr>
        <w:t>a draft</w:t>
      </w:r>
      <w:r w:rsidR="00CB3555">
        <w:rPr>
          <w:rFonts w:ascii="Times New Roman" w:hAnsi="Times New Roman"/>
        </w:rPr>
        <w:t xml:space="preserve"> survey between each round.</w:t>
      </w:r>
    </w:p>
    <w:p w14:paraId="33C1102B" w14:textId="77777777" w:rsidR="00723835" w:rsidRDefault="00723835" w:rsidP="002E6FFD">
      <w:pPr>
        <w:spacing w:after="0" w:line="240" w:lineRule="atLeast"/>
        <w:rPr>
          <w:rFonts w:ascii="Times New Roman" w:hAnsi="Times New Roman"/>
        </w:rPr>
        <w:sectPr w:rsidR="00723835" w:rsidSect="00340C5D">
          <w:type w:val="continuous"/>
          <w:pgSz w:w="12240" w:h="15840" w:code="1"/>
          <w:pgMar w:top="864" w:right="1008" w:bottom="864" w:left="1008" w:header="432" w:footer="432" w:gutter="0"/>
          <w:cols w:space="720"/>
          <w:titlePg/>
          <w:docGrid w:linePitch="360"/>
        </w:sectPr>
      </w:pPr>
    </w:p>
    <w:p w14:paraId="10960A88" w14:textId="77777777" w:rsidR="007A0B14" w:rsidRDefault="007A0B14" w:rsidP="00723835">
      <w:pPr>
        <w:spacing w:after="0" w:line="240" w:lineRule="auto"/>
        <w:jc w:val="center"/>
        <w:rPr>
          <w:b/>
        </w:rPr>
      </w:pPr>
    </w:p>
    <w:p w14:paraId="4F7C265E" w14:textId="5BEBB297" w:rsidR="0065301C" w:rsidRPr="000945E0" w:rsidRDefault="0065301C" w:rsidP="0065301C">
      <w:pPr>
        <w:pStyle w:val="Header"/>
        <w:jc w:val="center"/>
        <w:rPr>
          <w:rFonts w:ascii="Garamond" w:hAnsi="Garamond"/>
          <w:b/>
          <w:sz w:val="28"/>
          <w:szCs w:val="28"/>
        </w:rPr>
      </w:pPr>
      <w:r w:rsidRPr="000945E0">
        <w:rPr>
          <w:rFonts w:ascii="Garamond" w:hAnsi="Garamond"/>
          <w:b/>
          <w:sz w:val="28"/>
          <w:szCs w:val="28"/>
        </w:rPr>
        <w:t>Attachment 1: FRSS 10</w:t>
      </w:r>
      <w:r w:rsidR="00F3639E">
        <w:rPr>
          <w:rFonts w:ascii="Garamond" w:hAnsi="Garamond"/>
          <w:b/>
          <w:sz w:val="28"/>
          <w:szCs w:val="28"/>
        </w:rPr>
        <w:t>8</w:t>
      </w:r>
      <w:r w:rsidRPr="000945E0">
        <w:rPr>
          <w:rFonts w:ascii="Garamond" w:hAnsi="Garamond"/>
          <w:b/>
          <w:sz w:val="28"/>
          <w:szCs w:val="28"/>
        </w:rPr>
        <w:t xml:space="preserve"> Feasibility Call Recruitment Script</w:t>
      </w:r>
    </w:p>
    <w:p w14:paraId="68D8D37D" w14:textId="77777777" w:rsidR="0065301C" w:rsidRDefault="0065301C" w:rsidP="00723835">
      <w:pPr>
        <w:spacing w:after="0" w:line="240" w:lineRule="auto"/>
        <w:jc w:val="center"/>
        <w:rPr>
          <w:b/>
        </w:rPr>
      </w:pPr>
    </w:p>
    <w:p w14:paraId="671EACC4" w14:textId="3B9EE44C" w:rsidR="00723835" w:rsidRDefault="00723835" w:rsidP="00723835">
      <w:pPr>
        <w:spacing w:after="0" w:line="240" w:lineRule="auto"/>
        <w:jc w:val="center"/>
        <w:rPr>
          <w:b/>
        </w:rPr>
      </w:pPr>
      <w:r>
        <w:rPr>
          <w:b/>
        </w:rPr>
        <w:t xml:space="preserve">FRSS </w:t>
      </w:r>
      <w:r w:rsidR="00633A2C">
        <w:rPr>
          <w:b/>
        </w:rPr>
        <w:t>10</w:t>
      </w:r>
      <w:r w:rsidR="00F3639E">
        <w:rPr>
          <w:b/>
        </w:rPr>
        <w:t>8</w:t>
      </w:r>
    </w:p>
    <w:p w14:paraId="2F732715" w14:textId="2E0D352A" w:rsidR="00723835" w:rsidRPr="00F67956" w:rsidRDefault="00F3639E" w:rsidP="00723835">
      <w:pPr>
        <w:spacing w:after="0" w:line="240" w:lineRule="auto"/>
        <w:jc w:val="center"/>
        <w:rPr>
          <w:b/>
        </w:rPr>
      </w:pPr>
      <w:r>
        <w:rPr>
          <w:b/>
        </w:rPr>
        <w:t xml:space="preserve">Career and Technical Education Programs in Public School Districts </w:t>
      </w:r>
      <w:r w:rsidR="00723835">
        <w:rPr>
          <w:b/>
        </w:rPr>
        <w:t>Feasibility</w:t>
      </w:r>
      <w:r w:rsidR="00723835" w:rsidRPr="00F67956">
        <w:rPr>
          <w:b/>
        </w:rPr>
        <w:t xml:space="preserve"> </w:t>
      </w:r>
      <w:r w:rsidR="00723835">
        <w:rPr>
          <w:b/>
        </w:rPr>
        <w:t>Call Recruitment Script</w:t>
      </w:r>
    </w:p>
    <w:p w14:paraId="6FAF12A3" w14:textId="77777777" w:rsidR="00723835" w:rsidRPr="00F67956" w:rsidRDefault="00723835" w:rsidP="00723835">
      <w:pPr>
        <w:spacing w:after="0" w:line="240" w:lineRule="auto"/>
      </w:pPr>
    </w:p>
    <w:p w14:paraId="2A6AF865" w14:textId="77777777" w:rsidR="00723835" w:rsidRPr="00F67956" w:rsidRDefault="00723835" w:rsidP="00723835">
      <w:pPr>
        <w:spacing w:after="0" w:line="240" w:lineRule="auto"/>
      </w:pPr>
    </w:p>
    <w:p w14:paraId="6F428910" w14:textId="77777777" w:rsidR="00B36A35" w:rsidRDefault="00723835" w:rsidP="00723835">
      <w:pPr>
        <w:spacing w:after="0" w:line="240" w:lineRule="auto"/>
      </w:pPr>
      <w:r w:rsidRPr="00F67956">
        <w:t xml:space="preserve">Hello, </w:t>
      </w:r>
      <w:r>
        <w:t>my name is</w:t>
      </w:r>
      <w:r w:rsidRPr="00F67956">
        <w:t xml:space="preserve"> __________________.</w:t>
      </w:r>
    </w:p>
    <w:p w14:paraId="65E32F76" w14:textId="0D2F6BAD" w:rsidR="00723835" w:rsidRPr="00F67956" w:rsidRDefault="00723835" w:rsidP="00723835">
      <w:pPr>
        <w:spacing w:after="0" w:line="240" w:lineRule="auto"/>
      </w:pPr>
    </w:p>
    <w:p w14:paraId="57A0BB53" w14:textId="10BBD6BC" w:rsidR="00723835" w:rsidRDefault="00723835" w:rsidP="00723835">
      <w:pPr>
        <w:spacing w:after="0" w:line="240" w:lineRule="auto"/>
        <w:rPr>
          <w:rFonts w:cs="Arial"/>
        </w:rPr>
      </w:pPr>
      <w:r w:rsidRPr="00F67956">
        <w:t xml:space="preserve">I am calling </w:t>
      </w:r>
      <w:r>
        <w:t xml:space="preserve">from Westat </w:t>
      </w:r>
      <w:r w:rsidRPr="00F67956">
        <w:t xml:space="preserve">on behalf of </w:t>
      </w:r>
      <w:r w:rsidRPr="00F67956">
        <w:rPr>
          <w:rFonts w:cs="Arial"/>
        </w:rPr>
        <w:t xml:space="preserve">the </w:t>
      </w:r>
      <w:r w:rsidR="005B324F">
        <w:rPr>
          <w:rFonts w:cs="Arial"/>
        </w:rPr>
        <w:t xml:space="preserve">National Center for Education Statistics, within the </w:t>
      </w:r>
      <w:r>
        <w:rPr>
          <w:rFonts w:cs="Arial"/>
        </w:rPr>
        <w:t>U.S. Department of Education</w:t>
      </w:r>
      <w:r w:rsidR="005B324F">
        <w:rPr>
          <w:rFonts w:cs="Arial"/>
        </w:rPr>
        <w:t>,</w:t>
      </w:r>
      <w:r>
        <w:rPr>
          <w:rFonts w:cs="Arial"/>
        </w:rPr>
        <w:t xml:space="preserve"> regarding a </w:t>
      </w:r>
      <w:r w:rsidRPr="00034692">
        <w:t>survey</w:t>
      </w:r>
      <w:r>
        <w:t xml:space="preserve"> </w:t>
      </w:r>
      <w:r w:rsidR="0021163A">
        <w:t xml:space="preserve">on </w:t>
      </w:r>
      <w:r w:rsidR="00B975E1">
        <w:t xml:space="preserve">career and technical education (CTE) </w:t>
      </w:r>
      <w:r w:rsidR="0021163A">
        <w:t>programs</w:t>
      </w:r>
      <w:r w:rsidR="00B975E1">
        <w:t xml:space="preserve"> in public school districts</w:t>
      </w:r>
      <w:r w:rsidR="0021163A">
        <w:t xml:space="preserve">. </w:t>
      </w:r>
      <w:r>
        <w:rPr>
          <w:rFonts w:cs="Arial"/>
        </w:rPr>
        <w:t xml:space="preserve">I would like </w:t>
      </w:r>
      <w:r w:rsidRPr="00F67956">
        <w:rPr>
          <w:rFonts w:cs="Arial"/>
        </w:rPr>
        <w:t xml:space="preserve">to </w:t>
      </w:r>
      <w:r>
        <w:rPr>
          <w:rFonts w:cs="Arial"/>
        </w:rPr>
        <w:t>ask the district-level person</w:t>
      </w:r>
      <w:r w:rsidRPr="0044299D">
        <w:rPr>
          <w:rFonts w:cs="Arial"/>
        </w:rPr>
        <w:t xml:space="preserve"> </w:t>
      </w:r>
      <w:r>
        <w:rPr>
          <w:rFonts w:cs="Arial"/>
        </w:rPr>
        <w:t xml:space="preserve">who is </w:t>
      </w:r>
      <w:r w:rsidRPr="00584358">
        <w:rPr>
          <w:rFonts w:cs="Arial"/>
        </w:rPr>
        <w:t xml:space="preserve">most </w:t>
      </w:r>
      <w:r>
        <w:rPr>
          <w:rFonts w:cs="Arial"/>
        </w:rPr>
        <w:t xml:space="preserve">familiar with </w:t>
      </w:r>
      <w:r w:rsidR="00144B9B">
        <w:rPr>
          <w:rFonts w:cs="Arial"/>
        </w:rPr>
        <w:t xml:space="preserve">CTE </w:t>
      </w:r>
      <w:r w:rsidR="007C7EAF">
        <w:rPr>
          <w:rFonts w:cs="Arial"/>
        </w:rPr>
        <w:t>programs</w:t>
      </w:r>
      <w:r>
        <w:rPr>
          <w:rFonts w:cs="Arial"/>
        </w:rPr>
        <w:t xml:space="preserve"> to </w:t>
      </w:r>
      <w:r w:rsidR="00AB38C0">
        <w:rPr>
          <w:rFonts w:cs="Arial"/>
        </w:rPr>
        <w:t>provide us with information about</w:t>
      </w:r>
      <w:r w:rsidR="00144B9B">
        <w:rPr>
          <w:rFonts w:cs="Arial"/>
        </w:rPr>
        <w:t xml:space="preserve"> the CTE</w:t>
      </w:r>
      <w:r w:rsidR="00AB38C0">
        <w:rPr>
          <w:rFonts w:cs="Arial"/>
        </w:rPr>
        <w:t xml:space="preserve"> programs </w:t>
      </w:r>
      <w:r w:rsidR="00144B9B">
        <w:rPr>
          <w:rFonts w:cs="Arial"/>
        </w:rPr>
        <w:t xml:space="preserve">offered by </w:t>
      </w:r>
      <w:r w:rsidR="005B63B8">
        <w:rPr>
          <w:rFonts w:cs="Arial"/>
        </w:rPr>
        <w:t>your district</w:t>
      </w:r>
      <w:r>
        <w:rPr>
          <w:rFonts w:cs="Arial"/>
        </w:rPr>
        <w:t>.</w:t>
      </w:r>
    </w:p>
    <w:p w14:paraId="4C3F49DA" w14:textId="77777777" w:rsidR="00723835" w:rsidRPr="00F67956" w:rsidRDefault="00723835" w:rsidP="00723835">
      <w:pPr>
        <w:spacing w:after="0" w:line="240" w:lineRule="auto"/>
        <w:rPr>
          <w:rFonts w:cs="Arial"/>
        </w:rPr>
      </w:pPr>
    </w:p>
    <w:p w14:paraId="3300FCD9" w14:textId="068D8FF9" w:rsidR="00723835" w:rsidRPr="00F67956" w:rsidRDefault="00723835" w:rsidP="00723835">
      <w:pPr>
        <w:spacing w:after="0" w:line="240" w:lineRule="auto"/>
        <w:rPr>
          <w:rFonts w:cs="Arial"/>
        </w:rPr>
      </w:pPr>
      <w:r w:rsidRPr="00F67956">
        <w:rPr>
          <w:rFonts w:cs="Arial"/>
        </w:rPr>
        <w:t>Who is the person</w:t>
      </w:r>
      <w:r>
        <w:rPr>
          <w:rFonts w:cs="Arial"/>
        </w:rPr>
        <w:t xml:space="preserve"> in your district who is </w:t>
      </w:r>
      <w:r w:rsidRPr="00584358">
        <w:rPr>
          <w:rFonts w:cs="Arial"/>
          <w:u w:val="single"/>
        </w:rPr>
        <w:t>most knowledgeable</w:t>
      </w:r>
      <w:r w:rsidRPr="00F67956">
        <w:rPr>
          <w:rFonts w:cs="Arial"/>
        </w:rPr>
        <w:t xml:space="preserve"> about</w:t>
      </w:r>
      <w:r w:rsidR="00A563B3">
        <w:rPr>
          <w:rFonts w:cs="Arial"/>
        </w:rPr>
        <w:t xml:space="preserve"> career and technical education programs offered by your district</w:t>
      </w:r>
      <w:r w:rsidRPr="00F67956">
        <w:rPr>
          <w:rFonts w:cs="Arial"/>
        </w:rPr>
        <w:t>?</w:t>
      </w:r>
    </w:p>
    <w:p w14:paraId="47F0E3B4" w14:textId="060DBE66" w:rsidR="00723835" w:rsidRPr="00294188" w:rsidRDefault="00723835" w:rsidP="00723835">
      <w:pPr>
        <w:spacing w:after="0" w:line="240" w:lineRule="auto"/>
        <w:rPr>
          <w:rFonts w:cs="Arial"/>
          <w:i/>
        </w:rPr>
      </w:pPr>
      <w:r w:rsidRPr="00294188">
        <w:rPr>
          <w:rFonts w:cs="Arial"/>
          <w:i/>
        </w:rPr>
        <w:t xml:space="preserve">(This is often </w:t>
      </w:r>
      <w:r>
        <w:rPr>
          <w:rFonts w:cs="Arial"/>
          <w:i/>
        </w:rPr>
        <w:t>a</w:t>
      </w:r>
      <w:r w:rsidR="00D60B4C">
        <w:rPr>
          <w:rFonts w:cs="Arial"/>
          <w:i/>
        </w:rPr>
        <w:t xml:space="preserve"> director or coordinator</w:t>
      </w:r>
      <w:r w:rsidR="007B513E">
        <w:rPr>
          <w:rFonts w:cs="Arial"/>
          <w:i/>
        </w:rPr>
        <w:t xml:space="preserve"> of career and technical education programs at the district level</w:t>
      </w:r>
      <w:r w:rsidR="00D60B4C">
        <w:rPr>
          <w:rFonts w:cs="Arial"/>
          <w:i/>
        </w:rPr>
        <w:t>.)</w:t>
      </w:r>
    </w:p>
    <w:p w14:paraId="7F5C462E" w14:textId="77777777" w:rsidR="00723835" w:rsidRDefault="00723835" w:rsidP="00723835">
      <w:pPr>
        <w:spacing w:after="0" w:line="240" w:lineRule="auto"/>
        <w:rPr>
          <w:rFonts w:cs="Arial"/>
        </w:rPr>
      </w:pPr>
    </w:p>
    <w:p w14:paraId="11FD5218" w14:textId="77777777" w:rsidR="00723835" w:rsidRPr="00F67956" w:rsidRDefault="00723835" w:rsidP="00723835">
      <w:pPr>
        <w:spacing w:after="0" w:line="240" w:lineRule="auto"/>
        <w:rPr>
          <w:rFonts w:cs="Arial"/>
        </w:rPr>
      </w:pPr>
      <w:r w:rsidRPr="00F67956">
        <w:rPr>
          <w:rFonts w:cs="Arial"/>
        </w:rPr>
        <w:t>May I please speak to that person?</w:t>
      </w:r>
    </w:p>
    <w:p w14:paraId="3E430E1A" w14:textId="77777777" w:rsidR="00723835" w:rsidRPr="00F67956" w:rsidRDefault="00723835" w:rsidP="00723835">
      <w:pPr>
        <w:spacing w:after="0" w:line="240" w:lineRule="auto"/>
        <w:rPr>
          <w:rFonts w:cs="Arial"/>
        </w:rPr>
      </w:pPr>
    </w:p>
    <w:p w14:paraId="2D80DBCE" w14:textId="77777777" w:rsidR="00723835" w:rsidRPr="00F67956" w:rsidRDefault="00723835" w:rsidP="00723835">
      <w:pPr>
        <w:spacing w:after="0" w:line="240" w:lineRule="auto"/>
        <w:rPr>
          <w:rFonts w:cs="Arial"/>
        </w:rPr>
      </w:pPr>
    </w:p>
    <w:p w14:paraId="437D37F1" w14:textId="44B92D25" w:rsidR="00723835" w:rsidRPr="001F2D4A" w:rsidRDefault="00723835" w:rsidP="00723835">
      <w:pPr>
        <w:spacing w:after="0" w:line="240" w:lineRule="auto"/>
        <w:rPr>
          <w:rFonts w:cs="Arial"/>
          <w:b/>
          <w:u w:val="single"/>
        </w:rPr>
      </w:pPr>
      <w:r w:rsidRPr="001F2D4A">
        <w:rPr>
          <w:rFonts w:cs="Arial"/>
          <w:b/>
          <w:u w:val="single"/>
        </w:rPr>
        <w:t xml:space="preserve">CONNECTED TO </w:t>
      </w:r>
      <w:r>
        <w:rPr>
          <w:rFonts w:cs="Arial"/>
          <w:b/>
          <w:u w:val="single"/>
        </w:rPr>
        <w:t xml:space="preserve">DISTRICT–LEVEL </w:t>
      </w:r>
      <w:r w:rsidRPr="001F2D4A">
        <w:rPr>
          <w:rFonts w:cs="Arial"/>
          <w:b/>
          <w:u w:val="single"/>
        </w:rPr>
        <w:t xml:space="preserve">PERSON MOST </w:t>
      </w:r>
      <w:r>
        <w:rPr>
          <w:rFonts w:cs="Arial"/>
          <w:b/>
          <w:u w:val="single"/>
        </w:rPr>
        <w:t xml:space="preserve">FAMILIAR WITH </w:t>
      </w:r>
      <w:r w:rsidR="00355589">
        <w:rPr>
          <w:rFonts w:cs="Arial"/>
          <w:b/>
          <w:u w:val="single"/>
        </w:rPr>
        <w:t xml:space="preserve">CAREER AND TECHNICAL EDUCATION </w:t>
      </w:r>
      <w:r w:rsidR="00D60B4C">
        <w:rPr>
          <w:rFonts w:cs="Arial"/>
          <w:b/>
          <w:u w:val="single"/>
        </w:rPr>
        <w:t>PROGRAMS</w:t>
      </w:r>
      <w:r>
        <w:rPr>
          <w:rFonts w:cs="Arial"/>
          <w:b/>
          <w:u w:val="single"/>
        </w:rPr>
        <w:t xml:space="preserve"> IN THE DISTRICT</w:t>
      </w:r>
    </w:p>
    <w:p w14:paraId="35D7E4AE" w14:textId="77777777" w:rsidR="00723835" w:rsidRPr="00F67956" w:rsidRDefault="00723835" w:rsidP="00723835">
      <w:pPr>
        <w:spacing w:after="0" w:line="240" w:lineRule="auto"/>
        <w:rPr>
          <w:rFonts w:cs="Arial"/>
        </w:rPr>
      </w:pPr>
    </w:p>
    <w:p w14:paraId="366CAFAB" w14:textId="77777777" w:rsidR="00723835" w:rsidRPr="00F67956" w:rsidRDefault="00723835" w:rsidP="00723835">
      <w:pPr>
        <w:spacing w:after="0" w:line="240" w:lineRule="auto"/>
      </w:pPr>
      <w:r w:rsidRPr="00F67956">
        <w:t xml:space="preserve">Hello, </w:t>
      </w:r>
      <w:r>
        <w:t>my name is __________________.</w:t>
      </w:r>
    </w:p>
    <w:p w14:paraId="029BFF67" w14:textId="77777777" w:rsidR="00723835" w:rsidRPr="00F67956" w:rsidRDefault="00723835" w:rsidP="00723835">
      <w:pPr>
        <w:spacing w:after="0" w:line="240" w:lineRule="auto"/>
      </w:pPr>
    </w:p>
    <w:p w14:paraId="35A1C273" w14:textId="6CDE456C" w:rsidR="00723835" w:rsidRDefault="00723835" w:rsidP="00723835">
      <w:pPr>
        <w:spacing w:after="0" w:line="240" w:lineRule="auto"/>
      </w:pPr>
      <w:r w:rsidRPr="00034692">
        <w:t xml:space="preserve">I’m calling </w:t>
      </w:r>
      <w:r>
        <w:t xml:space="preserve">from Westat </w:t>
      </w:r>
      <w:r w:rsidRPr="00034692">
        <w:t xml:space="preserve">on behalf </w:t>
      </w:r>
      <w:r w:rsidR="00B64888" w:rsidRPr="00F67956">
        <w:t xml:space="preserve">of </w:t>
      </w:r>
      <w:r w:rsidR="00B64888" w:rsidRPr="00F67956">
        <w:rPr>
          <w:rFonts w:cs="Arial"/>
        </w:rPr>
        <w:t xml:space="preserve">the </w:t>
      </w:r>
      <w:r w:rsidR="00B64888">
        <w:rPr>
          <w:rFonts w:cs="Arial"/>
        </w:rPr>
        <w:t>National Center for Education Statistics, within the U.S. Department of Education, regarding</w:t>
      </w:r>
      <w:r w:rsidR="00B64888" w:rsidRPr="00034692">
        <w:t xml:space="preserve"> </w:t>
      </w:r>
      <w:r w:rsidRPr="00034692">
        <w:t xml:space="preserve">a survey on </w:t>
      </w:r>
      <w:r w:rsidR="009513FF">
        <w:t xml:space="preserve">career and technical education (CTE) </w:t>
      </w:r>
      <w:r w:rsidR="0021163A" w:rsidRPr="0021163A">
        <w:t>programs.</w:t>
      </w:r>
      <w:r w:rsidR="006F6E89">
        <w:t xml:space="preserve"> </w:t>
      </w:r>
      <w:r>
        <w:t>W</w:t>
      </w:r>
      <w:r w:rsidRPr="00034692">
        <w:t xml:space="preserve">e would like your help in </w:t>
      </w:r>
      <w:r w:rsidR="009557D8">
        <w:t xml:space="preserve">developing a </w:t>
      </w:r>
      <w:r>
        <w:t xml:space="preserve">questionnaire </w:t>
      </w:r>
      <w:r w:rsidR="009557D8">
        <w:t xml:space="preserve">about </w:t>
      </w:r>
      <w:r w:rsidR="009513FF">
        <w:t xml:space="preserve">CTE </w:t>
      </w:r>
      <w:r w:rsidR="009557D8">
        <w:t>programs</w:t>
      </w:r>
      <w:r w:rsidR="009513FF">
        <w:t xml:space="preserve"> in public school districts</w:t>
      </w:r>
      <w:r w:rsidR="009557D8">
        <w:t>.</w:t>
      </w:r>
      <w:r w:rsidR="00B36A35">
        <w:t xml:space="preserve"> </w:t>
      </w:r>
      <w:r w:rsidRPr="00034692">
        <w:t xml:space="preserve">Specifically, we would like </w:t>
      </w:r>
      <w:r w:rsidR="009557D8">
        <w:t xml:space="preserve">you to participate in a telephone discussion in which we ask you about </w:t>
      </w:r>
      <w:r w:rsidR="009557D8" w:rsidRPr="009557D8">
        <w:t xml:space="preserve">the </w:t>
      </w:r>
      <w:r w:rsidR="009513FF">
        <w:t xml:space="preserve">CTE programs offered by </w:t>
      </w:r>
      <w:r w:rsidR="009557D8" w:rsidRPr="009557D8">
        <w:t>your district</w:t>
      </w:r>
      <w:r w:rsidR="00D72646">
        <w:t xml:space="preserve">. </w:t>
      </w:r>
      <w:r>
        <w:t xml:space="preserve">The call will take about </w:t>
      </w:r>
      <w:r w:rsidR="009513FF">
        <w:t>45</w:t>
      </w:r>
      <w:r>
        <w:t xml:space="preserve"> minutes.</w:t>
      </w:r>
    </w:p>
    <w:p w14:paraId="19AD79D1" w14:textId="77777777" w:rsidR="00723835" w:rsidRDefault="00723835" w:rsidP="00723835">
      <w:pPr>
        <w:spacing w:after="0" w:line="240" w:lineRule="auto"/>
      </w:pPr>
    </w:p>
    <w:p w14:paraId="2F270EB5" w14:textId="0A498FF3" w:rsidR="00723835" w:rsidRPr="00D72646" w:rsidRDefault="00723835" w:rsidP="00723835">
      <w:pPr>
        <w:spacing w:after="0" w:line="240" w:lineRule="auto"/>
        <w:rPr>
          <w:rFonts w:asciiTheme="minorHAnsi" w:hAnsiTheme="minorHAnsi"/>
        </w:rPr>
      </w:pPr>
      <w:r w:rsidRPr="00D72646">
        <w:rPr>
          <w:rFonts w:asciiTheme="minorHAnsi" w:hAnsiTheme="minorHAnsi"/>
        </w:rPr>
        <w:t>1.</w:t>
      </w:r>
      <w:r w:rsidR="006F6E89" w:rsidRPr="00D72646">
        <w:rPr>
          <w:rFonts w:asciiTheme="minorHAnsi" w:hAnsiTheme="minorHAnsi"/>
        </w:rPr>
        <w:t xml:space="preserve"> </w:t>
      </w:r>
      <w:r w:rsidRPr="00D72646">
        <w:rPr>
          <w:rFonts w:asciiTheme="minorHAnsi" w:hAnsiTheme="minorHAnsi"/>
        </w:rPr>
        <w:t xml:space="preserve">How would you like me to send you the </w:t>
      </w:r>
      <w:r w:rsidR="009557D8" w:rsidRPr="00D72646">
        <w:rPr>
          <w:rFonts w:asciiTheme="minorHAnsi" w:hAnsiTheme="minorHAnsi"/>
        </w:rPr>
        <w:t xml:space="preserve">interview </w:t>
      </w:r>
      <w:r w:rsidR="005C7628">
        <w:rPr>
          <w:rFonts w:asciiTheme="minorHAnsi" w:hAnsiTheme="minorHAnsi"/>
        </w:rPr>
        <w:t>materials (email, fax</w:t>
      </w:r>
      <w:r w:rsidRPr="00D72646">
        <w:rPr>
          <w:rFonts w:asciiTheme="minorHAnsi" w:hAnsiTheme="minorHAnsi"/>
        </w:rPr>
        <w:t>)?</w:t>
      </w:r>
    </w:p>
    <w:p w14:paraId="086C100C" w14:textId="77777777" w:rsidR="00723835" w:rsidRPr="00D72646" w:rsidRDefault="00723835" w:rsidP="00723835">
      <w:pPr>
        <w:autoSpaceDE w:val="0"/>
        <w:autoSpaceDN w:val="0"/>
        <w:adjustRightInd w:val="0"/>
        <w:spacing w:after="0" w:line="240" w:lineRule="auto"/>
        <w:rPr>
          <w:rFonts w:asciiTheme="minorHAnsi" w:hAnsiTheme="minorHAnsi"/>
        </w:rPr>
      </w:pPr>
    </w:p>
    <w:p w14:paraId="34B04B1E" w14:textId="3ECE97F5" w:rsidR="00723835" w:rsidRPr="00D72646" w:rsidRDefault="00723835" w:rsidP="00723835">
      <w:pPr>
        <w:pStyle w:val="N4-FlLftBullet"/>
        <w:tabs>
          <w:tab w:val="clear" w:pos="600"/>
          <w:tab w:val="left" w:pos="360"/>
        </w:tabs>
        <w:spacing w:line="240" w:lineRule="auto"/>
        <w:ind w:left="288" w:hanging="288"/>
        <w:rPr>
          <w:rFonts w:asciiTheme="minorHAnsi" w:hAnsiTheme="minorHAnsi"/>
          <w:szCs w:val="22"/>
        </w:rPr>
      </w:pPr>
      <w:r w:rsidRPr="00D72646">
        <w:rPr>
          <w:rFonts w:asciiTheme="minorHAnsi" w:hAnsiTheme="minorHAnsi"/>
          <w:szCs w:val="22"/>
        </w:rPr>
        <w:t>2.</w:t>
      </w:r>
      <w:r w:rsidR="006F6E89" w:rsidRPr="00D72646">
        <w:rPr>
          <w:rFonts w:asciiTheme="minorHAnsi" w:hAnsiTheme="minorHAnsi"/>
          <w:szCs w:val="22"/>
        </w:rPr>
        <w:t xml:space="preserve"> </w:t>
      </w:r>
      <w:r w:rsidRPr="00D72646">
        <w:rPr>
          <w:rFonts w:asciiTheme="minorHAnsi" w:hAnsiTheme="minorHAnsi"/>
        </w:rPr>
        <w:t xml:space="preserve">We ask that you review the </w:t>
      </w:r>
      <w:r w:rsidR="009557D8" w:rsidRPr="00D72646">
        <w:rPr>
          <w:rFonts w:asciiTheme="minorHAnsi" w:hAnsiTheme="minorHAnsi"/>
        </w:rPr>
        <w:t xml:space="preserve">interview materials </w:t>
      </w:r>
      <w:r w:rsidRPr="00D72646">
        <w:rPr>
          <w:rFonts w:asciiTheme="minorHAnsi" w:hAnsiTheme="minorHAnsi"/>
        </w:rPr>
        <w:t>before you talk to the survey manager.</w:t>
      </w:r>
      <w:r w:rsidR="006F6E89" w:rsidRPr="00D72646">
        <w:rPr>
          <w:rFonts w:asciiTheme="minorHAnsi" w:hAnsiTheme="minorHAnsi"/>
        </w:rPr>
        <w:t xml:space="preserve"> </w:t>
      </w:r>
      <w:r w:rsidRPr="00D72646">
        <w:rPr>
          <w:rFonts w:asciiTheme="minorHAnsi" w:hAnsiTheme="minorHAnsi"/>
          <w:szCs w:val="22"/>
        </w:rPr>
        <w:t xml:space="preserve">When would be a good time for the survey manager, </w:t>
      </w:r>
      <w:r w:rsidR="003F6E4C">
        <w:rPr>
          <w:rFonts w:asciiTheme="minorHAnsi" w:hAnsiTheme="minorHAnsi"/>
          <w:szCs w:val="22"/>
        </w:rPr>
        <w:t>Cindy Gray</w:t>
      </w:r>
      <w:r w:rsidRPr="00D72646">
        <w:rPr>
          <w:rFonts w:asciiTheme="minorHAnsi" w:hAnsiTheme="minorHAnsi"/>
          <w:szCs w:val="22"/>
        </w:rPr>
        <w:t xml:space="preserve">, to call you to discuss the </w:t>
      </w:r>
      <w:r w:rsidR="009557D8" w:rsidRPr="00D72646">
        <w:rPr>
          <w:rFonts w:asciiTheme="minorHAnsi" w:hAnsiTheme="minorHAnsi"/>
          <w:szCs w:val="22"/>
        </w:rPr>
        <w:t xml:space="preserve">interview topics </w:t>
      </w:r>
      <w:r w:rsidRPr="00D72646">
        <w:rPr>
          <w:rFonts w:asciiTheme="minorHAnsi" w:hAnsiTheme="minorHAnsi"/>
          <w:szCs w:val="22"/>
        </w:rPr>
        <w:t>and obtain your comments?</w:t>
      </w:r>
      <w:r w:rsidR="006F6E89" w:rsidRPr="00D72646">
        <w:rPr>
          <w:rFonts w:asciiTheme="minorHAnsi" w:hAnsiTheme="minorHAnsi"/>
          <w:szCs w:val="22"/>
        </w:rPr>
        <w:t xml:space="preserve"> </w:t>
      </w:r>
      <w:r w:rsidRPr="00D72646">
        <w:rPr>
          <w:rFonts w:asciiTheme="minorHAnsi" w:hAnsiTheme="minorHAnsi"/>
          <w:szCs w:val="22"/>
        </w:rPr>
        <w:t>How about [SUGGEST A TIME].</w:t>
      </w:r>
      <w:r w:rsidR="006F6E89" w:rsidRPr="00D72646">
        <w:rPr>
          <w:rFonts w:asciiTheme="minorHAnsi" w:hAnsiTheme="minorHAnsi"/>
          <w:szCs w:val="22"/>
        </w:rPr>
        <w:t xml:space="preserve"> </w:t>
      </w:r>
      <w:r w:rsidRPr="00D72646">
        <w:rPr>
          <w:rFonts w:asciiTheme="minorHAnsi" w:hAnsiTheme="minorHAnsi"/>
          <w:szCs w:val="22"/>
        </w:rPr>
        <w:t>[</w:t>
      </w:r>
      <w:r w:rsidRPr="00D72646">
        <w:rPr>
          <w:rFonts w:asciiTheme="minorHAnsi" w:hAnsiTheme="minorHAnsi"/>
          <w:i/>
          <w:szCs w:val="22"/>
        </w:rPr>
        <w:t>Just to be sure, you are in the [Eastern, Central, Mountain, Pacific] time zone?</w:t>
      </w:r>
      <w:r w:rsidRPr="00D72646">
        <w:rPr>
          <w:rFonts w:asciiTheme="minorHAnsi" w:hAnsiTheme="minorHAnsi"/>
          <w:szCs w:val="22"/>
        </w:rPr>
        <w:t>]</w:t>
      </w:r>
    </w:p>
    <w:p w14:paraId="6A3E7E8F" w14:textId="77777777" w:rsidR="00723835" w:rsidRPr="00D72646" w:rsidRDefault="00723835" w:rsidP="00723835">
      <w:pPr>
        <w:spacing w:after="0" w:line="240" w:lineRule="auto"/>
        <w:rPr>
          <w:rFonts w:asciiTheme="minorHAnsi" w:hAnsiTheme="minorHAnsi"/>
        </w:rPr>
      </w:pPr>
    </w:p>
    <w:p w14:paraId="7A8A2AC8" w14:textId="7BAFB77B" w:rsidR="00723835" w:rsidRPr="00D72646" w:rsidRDefault="00723835" w:rsidP="00723835">
      <w:pPr>
        <w:spacing w:after="0" w:line="240" w:lineRule="auto"/>
        <w:rPr>
          <w:rFonts w:asciiTheme="minorHAnsi" w:hAnsiTheme="minorHAnsi"/>
        </w:rPr>
      </w:pPr>
      <w:r w:rsidRPr="00D72646">
        <w:rPr>
          <w:rFonts w:asciiTheme="minorHAnsi" w:hAnsiTheme="minorHAnsi"/>
        </w:rPr>
        <w:t>3.</w:t>
      </w:r>
      <w:r w:rsidR="006F6E89" w:rsidRPr="00D72646">
        <w:rPr>
          <w:rFonts w:asciiTheme="minorHAnsi" w:hAnsiTheme="minorHAnsi"/>
        </w:rPr>
        <w:t xml:space="preserve"> </w:t>
      </w:r>
      <w:r w:rsidRPr="00D72646">
        <w:rPr>
          <w:rFonts w:asciiTheme="minorHAnsi" w:hAnsiTheme="minorHAnsi"/>
        </w:rPr>
        <w:t xml:space="preserve">What is the best telephone number </w:t>
      </w:r>
      <w:r w:rsidR="0018334F">
        <w:rPr>
          <w:rFonts w:asciiTheme="minorHAnsi" w:hAnsiTheme="minorHAnsi"/>
        </w:rPr>
        <w:t xml:space="preserve">at which </w:t>
      </w:r>
      <w:r w:rsidRPr="00D72646">
        <w:rPr>
          <w:rFonts w:asciiTheme="minorHAnsi" w:hAnsiTheme="minorHAnsi"/>
        </w:rPr>
        <w:t xml:space="preserve">the survey manager </w:t>
      </w:r>
      <w:r w:rsidR="0018334F">
        <w:rPr>
          <w:rFonts w:asciiTheme="minorHAnsi" w:hAnsiTheme="minorHAnsi"/>
        </w:rPr>
        <w:t>can</w:t>
      </w:r>
      <w:r w:rsidRPr="00D72646">
        <w:rPr>
          <w:rFonts w:asciiTheme="minorHAnsi" w:hAnsiTheme="minorHAnsi"/>
        </w:rPr>
        <w:t xml:space="preserve"> reach you?</w:t>
      </w:r>
    </w:p>
    <w:p w14:paraId="21983E02" w14:textId="77777777" w:rsidR="00723835" w:rsidRPr="00D72646" w:rsidRDefault="00723835" w:rsidP="00723835">
      <w:pPr>
        <w:autoSpaceDE w:val="0"/>
        <w:autoSpaceDN w:val="0"/>
        <w:adjustRightInd w:val="0"/>
        <w:spacing w:after="0" w:line="240" w:lineRule="auto"/>
        <w:rPr>
          <w:rFonts w:asciiTheme="minorHAnsi" w:hAnsiTheme="minorHAnsi"/>
        </w:rPr>
      </w:pPr>
    </w:p>
    <w:p w14:paraId="688F963C" w14:textId="77777777" w:rsidR="00723835" w:rsidRPr="00D72646" w:rsidRDefault="00723835" w:rsidP="00723835">
      <w:pPr>
        <w:spacing w:after="0" w:line="240" w:lineRule="auto"/>
        <w:rPr>
          <w:rFonts w:asciiTheme="minorHAnsi" w:hAnsiTheme="minorHAnsi"/>
        </w:rPr>
      </w:pPr>
    </w:p>
    <w:p w14:paraId="67836EE2" w14:textId="69D94485" w:rsidR="00723835" w:rsidRPr="00D72646" w:rsidRDefault="00723835" w:rsidP="00723835">
      <w:pPr>
        <w:spacing w:after="0" w:line="240" w:lineRule="auto"/>
        <w:rPr>
          <w:rFonts w:asciiTheme="minorHAnsi" w:hAnsiTheme="minorHAnsi"/>
        </w:rPr>
      </w:pPr>
      <w:r w:rsidRPr="00D72646">
        <w:rPr>
          <w:rFonts w:asciiTheme="minorHAnsi" w:hAnsiTheme="minorHAnsi"/>
        </w:rPr>
        <w:t>Thank you.</w:t>
      </w:r>
      <w:r w:rsidR="006F6E89" w:rsidRPr="00D72646">
        <w:rPr>
          <w:rFonts w:asciiTheme="minorHAnsi" w:hAnsiTheme="minorHAnsi"/>
        </w:rPr>
        <w:t xml:space="preserve"> </w:t>
      </w:r>
      <w:r w:rsidRPr="00D72646">
        <w:rPr>
          <w:rFonts w:asciiTheme="minorHAnsi" w:hAnsiTheme="minorHAnsi"/>
        </w:rPr>
        <w:t>Your insights will be very helpful.</w:t>
      </w:r>
    </w:p>
    <w:p w14:paraId="3841D44E" w14:textId="77777777" w:rsidR="00723835" w:rsidRDefault="00723835" w:rsidP="00723835">
      <w:pPr>
        <w:spacing w:after="0" w:line="240" w:lineRule="auto"/>
      </w:pPr>
    </w:p>
    <w:p w14:paraId="507A8602" w14:textId="77777777" w:rsidR="00723835" w:rsidRDefault="00723835" w:rsidP="00723835">
      <w:pPr>
        <w:spacing w:after="0" w:line="240" w:lineRule="auto"/>
        <w:sectPr w:rsidR="00723835" w:rsidSect="00723835">
          <w:headerReference w:type="even" r:id="rId10"/>
          <w:headerReference w:type="default" r:id="rId11"/>
          <w:pgSz w:w="12240" w:h="15840"/>
          <w:pgMar w:top="1008" w:right="1008" w:bottom="1008" w:left="1008" w:header="720" w:footer="720" w:gutter="0"/>
          <w:cols w:space="720"/>
        </w:sectPr>
      </w:pPr>
    </w:p>
    <w:p w14:paraId="0773D41F" w14:textId="260DEA55" w:rsidR="007A0B14" w:rsidRPr="007A0B14" w:rsidRDefault="007A0B14" w:rsidP="007A0B14">
      <w:pPr>
        <w:pStyle w:val="Header"/>
        <w:pBdr>
          <w:bottom w:val="single" w:sz="12" w:space="1" w:color="auto"/>
        </w:pBdr>
        <w:ind w:right="-360"/>
        <w:jc w:val="center"/>
        <w:rPr>
          <w:color w:val="808080" w:themeColor="background1" w:themeShade="80"/>
        </w:rPr>
      </w:pPr>
      <w:r w:rsidRPr="007A0B14">
        <w:rPr>
          <w:color w:val="808080" w:themeColor="background1" w:themeShade="80"/>
        </w:rPr>
        <w:lastRenderedPageBreak/>
        <w:t>Attachment 2: FRSS 10</w:t>
      </w:r>
      <w:r w:rsidR="00FA065A">
        <w:rPr>
          <w:color w:val="808080" w:themeColor="background1" w:themeShade="80"/>
        </w:rPr>
        <w:t>8</w:t>
      </w:r>
      <w:r w:rsidRPr="007A0B14">
        <w:rPr>
          <w:color w:val="808080" w:themeColor="background1" w:themeShade="80"/>
        </w:rPr>
        <w:t xml:space="preserve"> Cover Letter</w:t>
      </w:r>
    </w:p>
    <w:p w14:paraId="019D5121" w14:textId="77777777" w:rsidR="007A0B14" w:rsidRDefault="007A0B14" w:rsidP="007A0B14">
      <w:pPr>
        <w:pStyle w:val="Header"/>
        <w:pBdr>
          <w:bottom w:val="single" w:sz="12" w:space="1" w:color="auto"/>
        </w:pBdr>
        <w:ind w:right="-360"/>
      </w:pPr>
    </w:p>
    <w:p w14:paraId="0B3E0462" w14:textId="54361FF9" w:rsidR="007A0B14" w:rsidRDefault="007A0B14" w:rsidP="007A0B14">
      <w:pPr>
        <w:pStyle w:val="Header"/>
        <w:pBdr>
          <w:bottom w:val="single" w:sz="12" w:space="1" w:color="auto"/>
        </w:pBdr>
        <w:ind w:right="-360"/>
      </w:pPr>
      <w:r>
        <w:rPr>
          <w:noProof/>
          <w:sz w:val="20"/>
        </w:rPr>
        <w:drawing>
          <wp:anchor distT="0" distB="0" distL="114300" distR="114300" simplePos="0" relativeHeight="251658240" behindDoc="0" locked="0" layoutInCell="1" allowOverlap="1" wp14:anchorId="489E04AE" wp14:editId="2854B1CF">
            <wp:simplePos x="0" y="0"/>
            <wp:positionH relativeFrom="column">
              <wp:align>left</wp:align>
            </wp:positionH>
            <wp:positionV relativeFrom="paragraph">
              <wp:align>top</wp:align>
            </wp:positionV>
            <wp:extent cx="2289175" cy="527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175" cy="527050"/>
                    </a:xfrm>
                    <a:prstGeom prst="rect">
                      <a:avLst/>
                    </a:prstGeom>
                    <a:noFill/>
                    <a:ln>
                      <a:noFill/>
                    </a:ln>
                  </pic:spPr>
                </pic:pic>
              </a:graphicData>
            </a:graphic>
          </wp:anchor>
        </w:drawing>
      </w:r>
      <w:r w:rsidR="00FA065A">
        <w:br w:type="textWrapping" w:clear="all"/>
      </w:r>
    </w:p>
    <w:p w14:paraId="653AC937" w14:textId="74CEAAE3" w:rsidR="007A0B14" w:rsidRDefault="007A0B14" w:rsidP="007A0B14">
      <w:pPr>
        <w:pStyle w:val="Header"/>
        <w:spacing w:before="80"/>
        <w:ind w:right="-360"/>
      </w:pPr>
      <w:r>
        <w:rPr>
          <w:rFonts w:ascii="Arial" w:hAnsi="Arial"/>
          <w:sz w:val="16"/>
        </w:rPr>
        <w:t>U.S. Department of Education</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Institute of Education Sciences</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National Center for Education Statistics</w:t>
      </w:r>
    </w:p>
    <w:p w14:paraId="1B462F5E" w14:textId="77777777" w:rsidR="007A0B14" w:rsidRDefault="007A0B14" w:rsidP="006A7931">
      <w:pPr>
        <w:pStyle w:val="Header"/>
      </w:pPr>
    </w:p>
    <w:p w14:paraId="6E93E5FD" w14:textId="1A0CA5C5" w:rsidR="00723835" w:rsidRPr="00526804" w:rsidRDefault="00723835" w:rsidP="006A7931">
      <w:pPr>
        <w:spacing w:after="0" w:line="240" w:lineRule="auto"/>
        <w:rPr>
          <w:rFonts w:ascii="Times New Roman" w:hAnsi="Times New Roman"/>
        </w:rPr>
      </w:pPr>
      <w:r>
        <w:tab/>
      </w:r>
      <w:r>
        <w:tab/>
      </w:r>
      <w:r>
        <w:tab/>
      </w:r>
      <w:r>
        <w:tab/>
      </w:r>
      <w:r>
        <w:tab/>
      </w:r>
      <w:r>
        <w:tab/>
      </w:r>
      <w:r>
        <w:tab/>
      </w:r>
      <w:r>
        <w:tab/>
      </w:r>
      <w:r w:rsidR="0018334F">
        <w:rPr>
          <w:rFonts w:ascii="Times New Roman" w:hAnsi="Times New Roman"/>
        </w:rPr>
        <w:t>[Date]</w:t>
      </w:r>
      <w:r w:rsidR="00EA4AD6" w:rsidRPr="00526804">
        <w:rPr>
          <w:rFonts w:ascii="Times New Roman" w:hAnsi="Times New Roman"/>
        </w:rPr>
        <w:t xml:space="preserve"> 201</w:t>
      </w:r>
      <w:r w:rsidR="00841EAA">
        <w:rPr>
          <w:rFonts w:ascii="Times New Roman" w:hAnsi="Times New Roman"/>
        </w:rPr>
        <w:t>5</w:t>
      </w:r>
    </w:p>
    <w:p w14:paraId="3AEB07A2" w14:textId="77777777" w:rsidR="00723835" w:rsidRDefault="00723835" w:rsidP="006A7931">
      <w:pPr>
        <w:spacing w:after="0" w:line="240" w:lineRule="auto"/>
      </w:pPr>
    </w:p>
    <w:p w14:paraId="65909AE8" w14:textId="77777777" w:rsidR="00723835" w:rsidRPr="00526804" w:rsidRDefault="00723835" w:rsidP="006A7931">
      <w:pPr>
        <w:pStyle w:val="SL-FlLftSgl"/>
        <w:spacing w:line="240" w:lineRule="auto"/>
        <w:jc w:val="left"/>
        <w:rPr>
          <w:szCs w:val="22"/>
        </w:rPr>
      </w:pPr>
      <w:r w:rsidRPr="00526804">
        <w:rPr>
          <w:szCs w:val="22"/>
        </w:rPr>
        <w:t>Dear Participant,</w:t>
      </w:r>
    </w:p>
    <w:p w14:paraId="779393F0" w14:textId="77777777" w:rsidR="007A0B14" w:rsidRPr="00526804" w:rsidRDefault="007A0B14" w:rsidP="006A7931">
      <w:pPr>
        <w:pStyle w:val="SL-FlLftSgl"/>
        <w:spacing w:line="240" w:lineRule="auto"/>
        <w:jc w:val="left"/>
        <w:rPr>
          <w:szCs w:val="22"/>
        </w:rPr>
      </w:pPr>
    </w:p>
    <w:p w14:paraId="739F6056" w14:textId="4E414DAB" w:rsidR="00723835" w:rsidRPr="00526804" w:rsidRDefault="00723835" w:rsidP="006A7931">
      <w:pPr>
        <w:pStyle w:val="SL-FlLftSgl"/>
        <w:spacing w:line="240" w:lineRule="auto"/>
        <w:jc w:val="left"/>
        <w:rPr>
          <w:szCs w:val="22"/>
        </w:rPr>
      </w:pPr>
      <w:r w:rsidRPr="00526804">
        <w:rPr>
          <w:szCs w:val="22"/>
        </w:rPr>
        <w:t xml:space="preserve">Thank you for agreeing to give us feedback on the </w:t>
      </w:r>
      <w:r w:rsidR="003D6E82" w:rsidRPr="00526804">
        <w:rPr>
          <w:szCs w:val="22"/>
        </w:rPr>
        <w:t xml:space="preserve">development of a survey on </w:t>
      </w:r>
      <w:r w:rsidR="00382FA8">
        <w:rPr>
          <w:szCs w:val="22"/>
        </w:rPr>
        <w:t xml:space="preserve">career and technical education </w:t>
      </w:r>
      <w:r w:rsidR="003D6E82" w:rsidRPr="00526804">
        <w:rPr>
          <w:szCs w:val="22"/>
        </w:rPr>
        <w:t>programs</w:t>
      </w:r>
      <w:r w:rsidR="00382FA8">
        <w:rPr>
          <w:szCs w:val="22"/>
        </w:rPr>
        <w:t xml:space="preserve"> in public school districts</w:t>
      </w:r>
      <w:r w:rsidRPr="00526804">
        <w:rPr>
          <w:szCs w:val="22"/>
        </w:rPr>
        <w:t>.</w:t>
      </w:r>
      <w:r w:rsidR="006F6E89">
        <w:rPr>
          <w:szCs w:val="22"/>
        </w:rPr>
        <w:t xml:space="preserve"> </w:t>
      </w:r>
      <w:r w:rsidR="00701B28">
        <w:rPr>
          <w:szCs w:val="22"/>
        </w:rPr>
        <w:t xml:space="preserve">The </w:t>
      </w:r>
      <w:r w:rsidR="00701B28" w:rsidRPr="00526804">
        <w:rPr>
          <w:szCs w:val="22"/>
        </w:rPr>
        <w:t>National Center for Education Statistics</w:t>
      </w:r>
      <w:r w:rsidR="00701B28">
        <w:rPr>
          <w:szCs w:val="22"/>
        </w:rPr>
        <w:t xml:space="preserve"> (NCES)</w:t>
      </w:r>
      <w:r w:rsidR="00701B28" w:rsidRPr="00526804">
        <w:rPr>
          <w:szCs w:val="22"/>
        </w:rPr>
        <w:t xml:space="preserve">, </w:t>
      </w:r>
      <w:r w:rsidR="00701B28">
        <w:rPr>
          <w:szCs w:val="22"/>
        </w:rPr>
        <w:t xml:space="preserve">within the </w:t>
      </w:r>
      <w:r w:rsidR="00701B28" w:rsidRPr="00526804">
        <w:rPr>
          <w:szCs w:val="22"/>
        </w:rPr>
        <w:t>U. S. Department of Education</w:t>
      </w:r>
      <w:r w:rsidR="00701B28">
        <w:rPr>
          <w:szCs w:val="22"/>
        </w:rPr>
        <w:t xml:space="preserve"> is authorized to conduct this survey by the </w:t>
      </w:r>
      <w:r w:rsidR="00701B28" w:rsidRPr="00701B28">
        <w:rPr>
          <w:szCs w:val="22"/>
        </w:rPr>
        <w:t>Education Science Reform Act of 2002 (</w:t>
      </w:r>
      <w:r w:rsidR="00701B28">
        <w:rPr>
          <w:szCs w:val="22"/>
        </w:rPr>
        <w:t xml:space="preserve">ESRA, </w:t>
      </w:r>
      <w:r w:rsidR="00701B28" w:rsidRPr="00701B28">
        <w:rPr>
          <w:szCs w:val="22"/>
        </w:rPr>
        <w:t>20 U.S.C. §9543)</w:t>
      </w:r>
      <w:r w:rsidR="00701B28">
        <w:rPr>
          <w:szCs w:val="22"/>
        </w:rPr>
        <w:t xml:space="preserve">. </w:t>
      </w:r>
      <w:r w:rsidRPr="00526804">
        <w:rPr>
          <w:szCs w:val="22"/>
        </w:rPr>
        <w:t xml:space="preserve">Westat, a research company located in Rockville, Maryland, is </w:t>
      </w:r>
      <w:r w:rsidR="00701B28">
        <w:rPr>
          <w:szCs w:val="22"/>
        </w:rPr>
        <w:t>administering</w:t>
      </w:r>
      <w:r w:rsidRPr="00526804">
        <w:rPr>
          <w:szCs w:val="22"/>
        </w:rPr>
        <w:t xml:space="preserve"> this survey </w:t>
      </w:r>
      <w:r w:rsidR="007307C0">
        <w:rPr>
          <w:szCs w:val="22"/>
        </w:rPr>
        <w:t>on behalf o</w:t>
      </w:r>
      <w:r w:rsidRPr="00526804">
        <w:rPr>
          <w:szCs w:val="22"/>
        </w:rPr>
        <w:t xml:space="preserve">f </w:t>
      </w:r>
      <w:r w:rsidR="00701B28">
        <w:rPr>
          <w:szCs w:val="22"/>
        </w:rPr>
        <w:t>NCES</w:t>
      </w:r>
      <w:r w:rsidRPr="00526804">
        <w:rPr>
          <w:szCs w:val="22"/>
        </w:rPr>
        <w:t>.</w:t>
      </w:r>
      <w:r w:rsidR="006F6E89">
        <w:rPr>
          <w:szCs w:val="22"/>
        </w:rPr>
        <w:t xml:space="preserve"> </w:t>
      </w:r>
      <w:r w:rsidRPr="00526804">
        <w:rPr>
          <w:szCs w:val="22"/>
        </w:rPr>
        <w:t xml:space="preserve">As part of </w:t>
      </w:r>
      <w:r w:rsidR="00701B28">
        <w:rPr>
          <w:szCs w:val="22"/>
        </w:rPr>
        <w:t>the</w:t>
      </w:r>
      <w:r w:rsidRPr="00526804">
        <w:rPr>
          <w:szCs w:val="22"/>
        </w:rPr>
        <w:t xml:space="preserve"> survey development, we are looking for feedback from district-level personnel about topics </w:t>
      </w:r>
      <w:r w:rsidR="0059754C" w:rsidRPr="00526804">
        <w:rPr>
          <w:szCs w:val="22"/>
        </w:rPr>
        <w:t xml:space="preserve">and questions </w:t>
      </w:r>
      <w:r w:rsidRPr="00526804">
        <w:rPr>
          <w:szCs w:val="22"/>
        </w:rPr>
        <w:t>that might be included in the survey.</w:t>
      </w:r>
      <w:r w:rsidR="006F6E89">
        <w:rPr>
          <w:szCs w:val="22"/>
        </w:rPr>
        <w:t xml:space="preserve"> </w:t>
      </w:r>
      <w:r w:rsidRPr="00526804">
        <w:rPr>
          <w:szCs w:val="22"/>
        </w:rPr>
        <w:t>Your input will be essential in ultimately developing a questionnaire that is clear and relevant</w:t>
      </w:r>
      <w:r w:rsidR="00F03D45">
        <w:rPr>
          <w:szCs w:val="22"/>
        </w:rPr>
        <w:t>,</w:t>
      </w:r>
      <w:r w:rsidRPr="00526804">
        <w:rPr>
          <w:szCs w:val="22"/>
        </w:rPr>
        <w:t xml:space="preserve"> and not overly burdensome to respondents. All information you provide may be used only for statistical purposes and may not be disclosed, or used, in identifiable form for any other purpose </w:t>
      </w:r>
      <w:r w:rsidR="006A7931">
        <w:rPr>
          <w:szCs w:val="22"/>
        </w:rPr>
        <w:t xml:space="preserve">except as required </w:t>
      </w:r>
      <w:r w:rsidRPr="00526804">
        <w:rPr>
          <w:szCs w:val="22"/>
        </w:rPr>
        <w:t>by law (</w:t>
      </w:r>
      <w:r w:rsidR="00DC36F6" w:rsidRPr="00526804">
        <w:rPr>
          <w:szCs w:val="22"/>
        </w:rPr>
        <w:t xml:space="preserve">20 U.S.C. </w:t>
      </w:r>
      <w:r w:rsidR="008F0AB2" w:rsidRPr="00526804">
        <w:rPr>
          <w:szCs w:val="22"/>
        </w:rPr>
        <w:t xml:space="preserve">§ </w:t>
      </w:r>
      <w:r w:rsidR="00DC36F6" w:rsidRPr="00526804">
        <w:rPr>
          <w:szCs w:val="22"/>
        </w:rPr>
        <w:t>9573).</w:t>
      </w:r>
    </w:p>
    <w:p w14:paraId="443FB0B6" w14:textId="77777777" w:rsidR="00DC36F6" w:rsidRPr="00526804" w:rsidRDefault="00DC36F6" w:rsidP="006A7931">
      <w:pPr>
        <w:pStyle w:val="SL-FlLftSgl"/>
        <w:spacing w:line="240" w:lineRule="auto"/>
        <w:jc w:val="left"/>
        <w:rPr>
          <w:szCs w:val="22"/>
        </w:rPr>
      </w:pPr>
    </w:p>
    <w:p w14:paraId="672DC6F0" w14:textId="77777777" w:rsidR="00132FBD" w:rsidRPr="00526804" w:rsidRDefault="00723835" w:rsidP="006A7931">
      <w:pPr>
        <w:pStyle w:val="SL-FlLftSgl"/>
        <w:spacing w:line="240" w:lineRule="auto"/>
        <w:jc w:val="left"/>
        <w:rPr>
          <w:szCs w:val="22"/>
        </w:rPr>
      </w:pPr>
      <w:r w:rsidRPr="00526804">
        <w:rPr>
          <w:szCs w:val="22"/>
        </w:rPr>
        <w:t xml:space="preserve">We ask that you review the </w:t>
      </w:r>
      <w:r w:rsidR="003D6E82" w:rsidRPr="00526804">
        <w:rPr>
          <w:szCs w:val="22"/>
        </w:rPr>
        <w:t>following</w:t>
      </w:r>
      <w:r w:rsidRPr="00526804">
        <w:rPr>
          <w:szCs w:val="22"/>
        </w:rPr>
        <w:t xml:space="preserve"> </w:t>
      </w:r>
      <w:r w:rsidR="003D6E82" w:rsidRPr="00526804">
        <w:rPr>
          <w:szCs w:val="22"/>
        </w:rPr>
        <w:t>list of interview topics</w:t>
      </w:r>
      <w:r w:rsidRPr="00526804">
        <w:rPr>
          <w:szCs w:val="22"/>
        </w:rPr>
        <w:t xml:space="preserve"> prior to our telephone conversation.</w:t>
      </w:r>
    </w:p>
    <w:p w14:paraId="056AAC13" w14:textId="77AF62CE" w:rsidR="0059754C" w:rsidRPr="00526804" w:rsidRDefault="0059754C" w:rsidP="006A7931">
      <w:pPr>
        <w:pStyle w:val="SL-FlLftSgl"/>
        <w:spacing w:line="240" w:lineRule="auto"/>
        <w:jc w:val="left"/>
        <w:rPr>
          <w:szCs w:val="22"/>
        </w:rPr>
      </w:pPr>
    </w:p>
    <w:p w14:paraId="66B991D3" w14:textId="77777777" w:rsidR="00B36A35" w:rsidRDefault="003C14EC" w:rsidP="006A7931">
      <w:pPr>
        <w:numPr>
          <w:ilvl w:val="0"/>
          <w:numId w:val="2"/>
        </w:numPr>
        <w:rPr>
          <w:rFonts w:ascii="Times New Roman" w:hAnsi="Times New Roman"/>
        </w:rPr>
      </w:pPr>
      <w:r w:rsidRPr="003C14EC">
        <w:rPr>
          <w:rFonts w:ascii="Times New Roman" w:hAnsi="Times New Roman"/>
        </w:rPr>
        <w:t xml:space="preserve">The extent to which your district’s CTE programs are structured as </w:t>
      </w:r>
      <w:r w:rsidR="005A4415" w:rsidRPr="003C14EC">
        <w:rPr>
          <w:rFonts w:ascii="Times New Roman" w:hAnsi="Times New Roman"/>
        </w:rPr>
        <w:t>career pathways;</w:t>
      </w:r>
    </w:p>
    <w:p w14:paraId="7066046D" w14:textId="77777777" w:rsidR="00B36A35" w:rsidRDefault="005A4415" w:rsidP="006A7931">
      <w:pPr>
        <w:numPr>
          <w:ilvl w:val="0"/>
          <w:numId w:val="2"/>
        </w:numPr>
        <w:rPr>
          <w:rFonts w:ascii="Times New Roman" w:hAnsi="Times New Roman"/>
        </w:rPr>
      </w:pPr>
      <w:r w:rsidRPr="003C14EC">
        <w:rPr>
          <w:rFonts w:ascii="Times New Roman" w:hAnsi="Times New Roman"/>
        </w:rPr>
        <w:t xml:space="preserve">Availability </w:t>
      </w:r>
      <w:r w:rsidR="003C14EC" w:rsidRPr="003C14EC">
        <w:rPr>
          <w:rFonts w:ascii="Times New Roman" w:hAnsi="Times New Roman"/>
        </w:rPr>
        <w:t xml:space="preserve">in your district </w:t>
      </w:r>
      <w:r w:rsidRPr="003C14EC">
        <w:rPr>
          <w:rFonts w:ascii="Times New Roman" w:hAnsi="Times New Roman"/>
        </w:rPr>
        <w:t xml:space="preserve">of CTE programs </w:t>
      </w:r>
      <w:r w:rsidR="003C14EC" w:rsidRPr="003C14EC">
        <w:rPr>
          <w:rFonts w:ascii="Times New Roman" w:hAnsi="Times New Roman"/>
        </w:rPr>
        <w:t>that lead</w:t>
      </w:r>
      <w:r w:rsidRPr="003C14EC">
        <w:rPr>
          <w:rFonts w:ascii="Times New Roman" w:hAnsi="Times New Roman"/>
        </w:rPr>
        <w:t xml:space="preserve"> to industry-recognized credentials, or </w:t>
      </w:r>
      <w:r w:rsidR="00555A0F">
        <w:rPr>
          <w:rFonts w:ascii="Times New Roman" w:hAnsi="Times New Roman"/>
        </w:rPr>
        <w:t xml:space="preserve">to </w:t>
      </w:r>
      <w:r w:rsidRPr="003C14EC">
        <w:rPr>
          <w:rFonts w:ascii="Times New Roman" w:hAnsi="Times New Roman"/>
        </w:rPr>
        <w:t>postsecondary certificates or degrees;</w:t>
      </w:r>
    </w:p>
    <w:p w14:paraId="5B705B60" w14:textId="77777777" w:rsidR="00B36A35" w:rsidRDefault="005A4415" w:rsidP="006A7931">
      <w:pPr>
        <w:numPr>
          <w:ilvl w:val="0"/>
          <w:numId w:val="2"/>
        </w:numPr>
        <w:rPr>
          <w:rFonts w:ascii="Times New Roman" w:hAnsi="Times New Roman"/>
        </w:rPr>
      </w:pPr>
      <w:r w:rsidRPr="003C14EC">
        <w:rPr>
          <w:rFonts w:ascii="Times New Roman" w:hAnsi="Times New Roman"/>
        </w:rPr>
        <w:t xml:space="preserve">Your district’s identification of in-demand industry sectors or occupations and </w:t>
      </w:r>
      <w:r w:rsidR="003C14EC" w:rsidRPr="003C14EC">
        <w:rPr>
          <w:rFonts w:ascii="Times New Roman" w:hAnsi="Times New Roman"/>
        </w:rPr>
        <w:t>how this impacts the CTE programs in your district</w:t>
      </w:r>
      <w:r w:rsidRPr="003C14EC">
        <w:rPr>
          <w:rFonts w:ascii="Times New Roman" w:hAnsi="Times New Roman"/>
        </w:rPr>
        <w:t>;</w:t>
      </w:r>
    </w:p>
    <w:p w14:paraId="0F7CB15D" w14:textId="14C4C2C2" w:rsidR="005A4415" w:rsidRPr="003C14EC" w:rsidRDefault="005A4415" w:rsidP="006A7931">
      <w:pPr>
        <w:numPr>
          <w:ilvl w:val="0"/>
          <w:numId w:val="2"/>
        </w:numPr>
        <w:rPr>
          <w:rFonts w:ascii="Times New Roman" w:hAnsi="Times New Roman"/>
        </w:rPr>
      </w:pPr>
      <w:r w:rsidRPr="003C14EC">
        <w:rPr>
          <w:rFonts w:ascii="Times New Roman" w:hAnsi="Times New Roman"/>
        </w:rPr>
        <w:t xml:space="preserve">The availability of work-based learning in your </w:t>
      </w:r>
      <w:r w:rsidR="003C14EC" w:rsidRPr="003C14EC">
        <w:rPr>
          <w:rFonts w:ascii="Times New Roman" w:hAnsi="Times New Roman"/>
        </w:rPr>
        <w:t xml:space="preserve">district’s </w:t>
      </w:r>
      <w:r w:rsidRPr="003C14EC">
        <w:rPr>
          <w:rFonts w:ascii="Times New Roman" w:hAnsi="Times New Roman"/>
        </w:rPr>
        <w:t>CTE programs; and</w:t>
      </w:r>
    </w:p>
    <w:p w14:paraId="1230DFF9" w14:textId="09214C14" w:rsidR="005A4415" w:rsidRPr="003C14EC" w:rsidRDefault="005A4415" w:rsidP="006A7931">
      <w:pPr>
        <w:numPr>
          <w:ilvl w:val="0"/>
          <w:numId w:val="2"/>
        </w:numPr>
        <w:rPr>
          <w:rFonts w:ascii="Times New Roman" w:hAnsi="Times New Roman"/>
        </w:rPr>
      </w:pPr>
      <w:r w:rsidRPr="003C14EC">
        <w:rPr>
          <w:rFonts w:ascii="Times New Roman" w:hAnsi="Times New Roman"/>
        </w:rPr>
        <w:t>Opportunities</w:t>
      </w:r>
      <w:r w:rsidR="00BB3FFE">
        <w:rPr>
          <w:rFonts w:ascii="Times New Roman" w:hAnsi="Times New Roman"/>
        </w:rPr>
        <w:t xml:space="preserve"> for students </w:t>
      </w:r>
      <w:r w:rsidRPr="003C14EC">
        <w:rPr>
          <w:rFonts w:ascii="Times New Roman" w:hAnsi="Times New Roman"/>
        </w:rPr>
        <w:t>to develop leadership skills through your CTE programs.</w:t>
      </w:r>
    </w:p>
    <w:p w14:paraId="6866204F" w14:textId="35959F11"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My colleague and I will call you at the scheduled time to get your feedback on the materials and to discuss any comments or suggestions you may have.</w:t>
      </w:r>
      <w:r w:rsidR="006F6E89">
        <w:rPr>
          <w:rFonts w:ascii="Times New Roman" w:eastAsia="Times New Roman" w:hAnsi="Times New Roman"/>
        </w:rPr>
        <w:t xml:space="preserve"> </w:t>
      </w:r>
      <w:r w:rsidRPr="00526804">
        <w:rPr>
          <w:rFonts w:ascii="Times New Roman" w:eastAsia="Times New Roman" w:hAnsi="Times New Roman"/>
        </w:rPr>
        <w:t xml:space="preserve">In the meantime, feel free to call me at Westat’s toll-free number, 800-937-8281, ext. </w:t>
      </w:r>
      <w:r w:rsidR="00E0395F">
        <w:rPr>
          <w:rFonts w:ascii="Times New Roman" w:eastAsia="Times New Roman" w:hAnsi="Times New Roman"/>
        </w:rPr>
        <w:t>4336</w:t>
      </w:r>
      <w:r w:rsidRPr="00526804">
        <w:rPr>
          <w:rFonts w:ascii="Times New Roman" w:eastAsia="Times New Roman" w:hAnsi="Times New Roman"/>
        </w:rPr>
        <w:t xml:space="preserve">, if you have any questions. You may also reach me by email at </w:t>
      </w:r>
      <w:r w:rsidR="00E0395F">
        <w:rPr>
          <w:rFonts w:ascii="Times New Roman" w:eastAsia="Times New Roman" w:hAnsi="Times New Roman"/>
        </w:rPr>
        <w:t>cindygray</w:t>
      </w:r>
      <w:r w:rsidRPr="00526804">
        <w:rPr>
          <w:rFonts w:ascii="Times New Roman" w:eastAsia="Times New Roman" w:hAnsi="Times New Roman"/>
        </w:rPr>
        <w:t>@westat.com.</w:t>
      </w:r>
    </w:p>
    <w:p w14:paraId="30F2672B" w14:textId="77777777" w:rsidR="00723835" w:rsidRPr="00526804" w:rsidRDefault="00723835" w:rsidP="006A7931">
      <w:pPr>
        <w:spacing w:after="0" w:line="240" w:lineRule="auto"/>
        <w:rPr>
          <w:rFonts w:ascii="Times New Roman" w:eastAsia="Times New Roman" w:hAnsi="Times New Roman"/>
        </w:rPr>
      </w:pPr>
    </w:p>
    <w:p w14:paraId="5E6CA8BF"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Thank you for your much needed assistance!</w:t>
      </w:r>
    </w:p>
    <w:p w14:paraId="09929636" w14:textId="77777777" w:rsidR="00723835" w:rsidRPr="00526804" w:rsidRDefault="00723835" w:rsidP="006A7931">
      <w:pPr>
        <w:spacing w:after="0" w:line="240" w:lineRule="auto"/>
        <w:rPr>
          <w:rFonts w:ascii="Times New Roman" w:eastAsia="Times New Roman" w:hAnsi="Times New Roman"/>
        </w:rPr>
      </w:pPr>
    </w:p>
    <w:p w14:paraId="57993B88" w14:textId="77777777" w:rsidR="00723835" w:rsidRPr="00526804" w:rsidRDefault="00723835" w:rsidP="006A7931">
      <w:pPr>
        <w:spacing w:after="0" w:line="240" w:lineRule="auto"/>
        <w:rPr>
          <w:rFonts w:ascii="Times New Roman" w:eastAsia="Times New Roman" w:hAnsi="Times New Roman"/>
        </w:rPr>
      </w:pPr>
    </w:p>
    <w:p w14:paraId="2C8DA6CD" w14:textId="77777777" w:rsidR="00723835" w:rsidRPr="00526804" w:rsidRDefault="00723835" w:rsidP="006A7931">
      <w:pPr>
        <w:spacing w:after="0" w:line="240" w:lineRule="auto"/>
        <w:rPr>
          <w:rFonts w:ascii="Times New Roman" w:eastAsia="Times New Roman" w:hAnsi="Times New Roman"/>
        </w:rPr>
      </w:pPr>
    </w:p>
    <w:p w14:paraId="5144CA8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Sincerely,</w:t>
      </w:r>
    </w:p>
    <w:p w14:paraId="5719B45E" w14:textId="77777777" w:rsidR="00723835" w:rsidRPr="00526804" w:rsidRDefault="00723835" w:rsidP="006A7931">
      <w:pPr>
        <w:spacing w:after="0" w:line="240" w:lineRule="auto"/>
        <w:rPr>
          <w:rFonts w:ascii="Times New Roman" w:eastAsia="Times New Roman" w:hAnsi="Times New Roman"/>
        </w:rPr>
      </w:pPr>
    </w:p>
    <w:p w14:paraId="10295D82" w14:textId="77777777" w:rsidR="00723835" w:rsidRPr="00526804" w:rsidRDefault="00723835" w:rsidP="006A7931">
      <w:pPr>
        <w:spacing w:after="0" w:line="240" w:lineRule="auto"/>
        <w:rPr>
          <w:rFonts w:ascii="Times New Roman" w:eastAsia="Times New Roman" w:hAnsi="Times New Roman"/>
        </w:rPr>
      </w:pPr>
    </w:p>
    <w:p w14:paraId="1DF4F229" w14:textId="4CE24EAC"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00E0395F">
        <w:rPr>
          <w:rFonts w:ascii="Times New Roman" w:eastAsia="Times New Roman" w:hAnsi="Times New Roman"/>
        </w:rPr>
        <w:t>Cindy Gray</w:t>
      </w:r>
    </w:p>
    <w:p w14:paraId="58FACFA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Westat Survey Manager</w:t>
      </w:r>
    </w:p>
    <w:p w14:paraId="28FC514B" w14:textId="77777777" w:rsidR="008126EA" w:rsidRPr="008F0AB2" w:rsidRDefault="008126EA" w:rsidP="006A7931">
      <w:pPr>
        <w:spacing w:after="0" w:line="240" w:lineRule="atLeast"/>
        <w:rPr>
          <w:rFonts w:ascii="Times New Roman" w:eastAsia="Times New Roman" w:hAnsi="Times New Roman"/>
        </w:rPr>
      </w:pPr>
    </w:p>
    <w:sectPr w:rsidR="008126EA" w:rsidRPr="008F0AB2"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C0AEE" w14:textId="77777777" w:rsidR="0053098B" w:rsidRDefault="0053098B">
      <w:pPr>
        <w:spacing w:after="0" w:line="240" w:lineRule="auto"/>
      </w:pPr>
      <w:r>
        <w:separator/>
      </w:r>
    </w:p>
  </w:endnote>
  <w:endnote w:type="continuationSeparator" w:id="0">
    <w:p w14:paraId="3AD14BF5" w14:textId="77777777" w:rsidR="0053098B" w:rsidRDefault="005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CDE3" w14:textId="668DD3BC" w:rsidR="00723835" w:rsidRPr="006D4806" w:rsidRDefault="00723835" w:rsidP="005A393C">
    <w:pPr>
      <w:pStyle w:val="Footer"/>
      <w:jc w:val="center"/>
    </w:pPr>
    <w:r>
      <w:fldChar w:fldCharType="begin"/>
    </w:r>
    <w:r>
      <w:instrText xml:space="preserve"> PAGE   \* MERGEFORMAT </w:instrText>
    </w:r>
    <w:r>
      <w:fldChar w:fldCharType="separate"/>
    </w:r>
    <w:r w:rsidR="00E36370">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84DEC" w14:textId="77777777" w:rsidR="0053098B" w:rsidRDefault="0053098B">
      <w:pPr>
        <w:spacing w:after="0" w:line="240" w:lineRule="auto"/>
      </w:pPr>
      <w:r>
        <w:separator/>
      </w:r>
    </w:p>
  </w:footnote>
  <w:footnote w:type="continuationSeparator" w:id="0">
    <w:p w14:paraId="70C6C793" w14:textId="77777777" w:rsidR="0053098B" w:rsidRDefault="0053098B">
      <w:pPr>
        <w:spacing w:after="0" w:line="240" w:lineRule="auto"/>
      </w:pPr>
      <w:r>
        <w:continuationSeparator/>
      </w:r>
    </w:p>
  </w:footnote>
  <w:footnote w:id="1">
    <w:p w14:paraId="77CA8E2B" w14:textId="77777777" w:rsidR="009A7611" w:rsidRPr="009A7611" w:rsidRDefault="009A7611" w:rsidP="00AF37EE">
      <w:pPr>
        <w:pStyle w:val="FootnoteText"/>
        <w:spacing w:after="60" w:line="240" w:lineRule="auto"/>
        <w:rPr>
          <w:rFonts w:ascii="Times New Roman" w:hAnsi="Times New Roman"/>
        </w:rPr>
      </w:pPr>
      <w:r w:rsidRPr="009A7611">
        <w:rPr>
          <w:rStyle w:val="FootnoteReference"/>
          <w:rFonts w:ascii="Times New Roman" w:hAnsi="Times New Roman"/>
        </w:rPr>
        <w:footnoteRef/>
      </w:r>
      <w:r w:rsidRPr="009A7611">
        <w:rPr>
          <w:rFonts w:ascii="Times New Roman" w:hAnsi="Times New Roman"/>
        </w:rPr>
        <w:t xml:space="preserve"> U.S. Department of Education, Office of Planning, Evaluation and Policy Development, Policy and Program Studies Service (2014), </w:t>
      </w:r>
      <w:r w:rsidRPr="009A7611">
        <w:rPr>
          <w:rFonts w:ascii="Times New Roman" w:hAnsi="Times New Roman"/>
          <w:i/>
          <w:iCs/>
        </w:rPr>
        <w:t>National Assessment of Career and Technical Education: Final Report to Congress</w:t>
      </w:r>
      <w:r w:rsidRPr="009A7611">
        <w:rPr>
          <w:rFonts w:ascii="Times New Roman" w:hAnsi="Times New Roman"/>
        </w:rPr>
        <w:t>. Washington, DC.</w:t>
      </w:r>
    </w:p>
  </w:footnote>
  <w:footnote w:id="2">
    <w:p w14:paraId="30BD1071" w14:textId="77777777" w:rsidR="009A7611" w:rsidRPr="009A7611" w:rsidRDefault="009A7611" w:rsidP="00AF37EE">
      <w:pPr>
        <w:pStyle w:val="FootnoteText"/>
        <w:spacing w:after="0" w:line="240" w:lineRule="auto"/>
        <w:rPr>
          <w:rFonts w:ascii="Times New Roman" w:hAnsi="Times New Roman"/>
        </w:rPr>
      </w:pPr>
      <w:r w:rsidRPr="009A7611">
        <w:rPr>
          <w:rStyle w:val="FootnoteReference"/>
          <w:rFonts w:ascii="Times New Roman" w:hAnsi="Times New Roman"/>
        </w:rPr>
        <w:footnoteRef/>
      </w:r>
      <w:r w:rsidRPr="009A7611">
        <w:rPr>
          <w:rFonts w:ascii="Times New Roman" w:hAnsi="Times New Roman"/>
        </w:rPr>
        <w:t xml:space="preserve"> U.S. Department of Education, Office of Career, Technical, and Adult Education, </w:t>
      </w:r>
      <w:r w:rsidRPr="009A7611">
        <w:rPr>
          <w:rFonts w:ascii="Times New Roman" w:hAnsi="Times New Roman"/>
          <w:i/>
          <w:iCs/>
        </w:rPr>
        <w:t>Investing in America’s Future: A Blueprint for Transforming Career and Technical Education</w:t>
      </w:r>
      <w:r w:rsidRPr="009A7611">
        <w:rPr>
          <w:rFonts w:ascii="Times New Roman" w:hAnsi="Times New Roman"/>
        </w:rPr>
        <w:t xml:space="preserve"> (Summary) (2012). Washington, DC.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723835" w:rsidRDefault="00723835" w:rsidP="00723835">
    <w:pPr>
      <w:pStyle w:val="Header"/>
      <w:spacing w:before="80"/>
      <w:ind w:right="-360"/>
    </w:pPr>
    <w:r>
      <w:rPr>
        <w:rFonts w:ascii="Arial" w:hAnsi="Arial"/>
        <w:sz w:val="16"/>
      </w:rPr>
      <w:t>U.S. Department of Education</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Institute of Education Sciences</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E15D20"/>
    <w:multiLevelType w:val="hybridMultilevel"/>
    <w:tmpl w:val="D22C9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1FA7560"/>
    <w:multiLevelType w:val="singleLevel"/>
    <w:tmpl w:val="04090011"/>
    <w:lvl w:ilvl="0">
      <w:start w:val="1"/>
      <w:numFmt w:val="decimal"/>
      <w:lvlText w:val="%1)"/>
      <w:lvlJc w:val="left"/>
      <w:pPr>
        <w:ind w:left="360" w:hanging="360"/>
      </w:p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120D3"/>
    <w:rsid w:val="00014787"/>
    <w:rsid w:val="00015956"/>
    <w:rsid w:val="000202C4"/>
    <w:rsid w:val="0002211C"/>
    <w:rsid w:val="0002412A"/>
    <w:rsid w:val="00024731"/>
    <w:rsid w:val="00024FB7"/>
    <w:rsid w:val="0003190B"/>
    <w:rsid w:val="00031DE6"/>
    <w:rsid w:val="000357D3"/>
    <w:rsid w:val="000363E7"/>
    <w:rsid w:val="00036EC8"/>
    <w:rsid w:val="00037CC0"/>
    <w:rsid w:val="00040733"/>
    <w:rsid w:val="000530BC"/>
    <w:rsid w:val="0005438D"/>
    <w:rsid w:val="00057B5C"/>
    <w:rsid w:val="00062F42"/>
    <w:rsid w:val="00073C82"/>
    <w:rsid w:val="00081336"/>
    <w:rsid w:val="00086187"/>
    <w:rsid w:val="0008629F"/>
    <w:rsid w:val="00087CD8"/>
    <w:rsid w:val="000945E0"/>
    <w:rsid w:val="000A0883"/>
    <w:rsid w:val="000A1043"/>
    <w:rsid w:val="000A41CE"/>
    <w:rsid w:val="000A7381"/>
    <w:rsid w:val="000B25FA"/>
    <w:rsid w:val="000B30AB"/>
    <w:rsid w:val="000B47EF"/>
    <w:rsid w:val="000B6CA8"/>
    <w:rsid w:val="000C2C5B"/>
    <w:rsid w:val="000C6D70"/>
    <w:rsid w:val="000D1EBF"/>
    <w:rsid w:val="000D4F2F"/>
    <w:rsid w:val="000D6CCC"/>
    <w:rsid w:val="000E2C95"/>
    <w:rsid w:val="000E790C"/>
    <w:rsid w:val="00104A54"/>
    <w:rsid w:val="00105B72"/>
    <w:rsid w:val="0010768B"/>
    <w:rsid w:val="00112CE1"/>
    <w:rsid w:val="00114DCB"/>
    <w:rsid w:val="001328E6"/>
    <w:rsid w:val="00132FBD"/>
    <w:rsid w:val="00134FD0"/>
    <w:rsid w:val="0014307E"/>
    <w:rsid w:val="00144B9B"/>
    <w:rsid w:val="001476AC"/>
    <w:rsid w:val="00151BD6"/>
    <w:rsid w:val="00152DC1"/>
    <w:rsid w:val="00161DD1"/>
    <w:rsid w:val="00165585"/>
    <w:rsid w:val="0018334F"/>
    <w:rsid w:val="001837BA"/>
    <w:rsid w:val="00184F74"/>
    <w:rsid w:val="00191500"/>
    <w:rsid w:val="001B0C5F"/>
    <w:rsid w:val="001B3C6A"/>
    <w:rsid w:val="001B6F9A"/>
    <w:rsid w:val="001D7C57"/>
    <w:rsid w:val="001E7C26"/>
    <w:rsid w:val="001F1BE5"/>
    <w:rsid w:val="001F2312"/>
    <w:rsid w:val="00203668"/>
    <w:rsid w:val="00210390"/>
    <w:rsid w:val="0021163A"/>
    <w:rsid w:val="002313C4"/>
    <w:rsid w:val="002318D8"/>
    <w:rsid w:val="00241336"/>
    <w:rsid w:val="002443C9"/>
    <w:rsid w:val="00245BC5"/>
    <w:rsid w:val="00250461"/>
    <w:rsid w:val="00257377"/>
    <w:rsid w:val="002624E7"/>
    <w:rsid w:val="00265791"/>
    <w:rsid w:val="00277162"/>
    <w:rsid w:val="0028052F"/>
    <w:rsid w:val="00281847"/>
    <w:rsid w:val="00291C0E"/>
    <w:rsid w:val="002A24AC"/>
    <w:rsid w:val="002B1FE9"/>
    <w:rsid w:val="002B5CA4"/>
    <w:rsid w:val="002C0F69"/>
    <w:rsid w:val="002C2D5D"/>
    <w:rsid w:val="002C455F"/>
    <w:rsid w:val="002C7FCD"/>
    <w:rsid w:val="002D6498"/>
    <w:rsid w:val="002E30A5"/>
    <w:rsid w:val="002E6FFD"/>
    <w:rsid w:val="002F0B28"/>
    <w:rsid w:val="00310298"/>
    <w:rsid w:val="00321052"/>
    <w:rsid w:val="00337A00"/>
    <w:rsid w:val="00340C5D"/>
    <w:rsid w:val="00341D07"/>
    <w:rsid w:val="0034203D"/>
    <w:rsid w:val="0034311E"/>
    <w:rsid w:val="00354ED7"/>
    <w:rsid w:val="00355589"/>
    <w:rsid w:val="00362ECD"/>
    <w:rsid w:val="00363605"/>
    <w:rsid w:val="0037132E"/>
    <w:rsid w:val="00376EDD"/>
    <w:rsid w:val="00382324"/>
    <w:rsid w:val="00382FA8"/>
    <w:rsid w:val="00383916"/>
    <w:rsid w:val="00390BAA"/>
    <w:rsid w:val="0039129F"/>
    <w:rsid w:val="0039224D"/>
    <w:rsid w:val="00397A66"/>
    <w:rsid w:val="00397E91"/>
    <w:rsid w:val="003A1120"/>
    <w:rsid w:val="003B332E"/>
    <w:rsid w:val="003B5887"/>
    <w:rsid w:val="003C14EC"/>
    <w:rsid w:val="003C4F47"/>
    <w:rsid w:val="003C5595"/>
    <w:rsid w:val="003D1604"/>
    <w:rsid w:val="003D267D"/>
    <w:rsid w:val="003D6E82"/>
    <w:rsid w:val="003E1B02"/>
    <w:rsid w:val="003E51F9"/>
    <w:rsid w:val="003F6067"/>
    <w:rsid w:val="003F6E4C"/>
    <w:rsid w:val="003F73ED"/>
    <w:rsid w:val="003F7A59"/>
    <w:rsid w:val="00401F7F"/>
    <w:rsid w:val="004076DC"/>
    <w:rsid w:val="004104EA"/>
    <w:rsid w:val="0041340B"/>
    <w:rsid w:val="0041365E"/>
    <w:rsid w:val="004147D0"/>
    <w:rsid w:val="00433AA8"/>
    <w:rsid w:val="00440C75"/>
    <w:rsid w:val="00442DE4"/>
    <w:rsid w:val="00447491"/>
    <w:rsid w:val="004522DE"/>
    <w:rsid w:val="004654C9"/>
    <w:rsid w:val="00481A67"/>
    <w:rsid w:val="004837EE"/>
    <w:rsid w:val="00486071"/>
    <w:rsid w:val="00487BBC"/>
    <w:rsid w:val="00495818"/>
    <w:rsid w:val="004B0633"/>
    <w:rsid w:val="004B1C3F"/>
    <w:rsid w:val="004D40AE"/>
    <w:rsid w:val="004D48AF"/>
    <w:rsid w:val="004F2B3D"/>
    <w:rsid w:val="004F7180"/>
    <w:rsid w:val="004F7874"/>
    <w:rsid w:val="00504F0E"/>
    <w:rsid w:val="005150E7"/>
    <w:rsid w:val="00523261"/>
    <w:rsid w:val="005248D7"/>
    <w:rsid w:val="00525724"/>
    <w:rsid w:val="00526804"/>
    <w:rsid w:val="0053098B"/>
    <w:rsid w:val="00531063"/>
    <w:rsid w:val="005409A5"/>
    <w:rsid w:val="00540F5F"/>
    <w:rsid w:val="00547CA3"/>
    <w:rsid w:val="00555A0F"/>
    <w:rsid w:val="00560635"/>
    <w:rsid w:val="00566755"/>
    <w:rsid w:val="005700AE"/>
    <w:rsid w:val="005914FD"/>
    <w:rsid w:val="005943B7"/>
    <w:rsid w:val="00596E18"/>
    <w:rsid w:val="0059754C"/>
    <w:rsid w:val="005A22AE"/>
    <w:rsid w:val="005A393C"/>
    <w:rsid w:val="005A4415"/>
    <w:rsid w:val="005A61F4"/>
    <w:rsid w:val="005B324F"/>
    <w:rsid w:val="005B52C8"/>
    <w:rsid w:val="005B63B8"/>
    <w:rsid w:val="005C14C0"/>
    <w:rsid w:val="005C60AB"/>
    <w:rsid w:val="005C7628"/>
    <w:rsid w:val="005D0AFA"/>
    <w:rsid w:val="005D34E7"/>
    <w:rsid w:val="005D74DC"/>
    <w:rsid w:val="005E05B4"/>
    <w:rsid w:val="005F0FBC"/>
    <w:rsid w:val="005F4F39"/>
    <w:rsid w:val="005F56D0"/>
    <w:rsid w:val="005F69AC"/>
    <w:rsid w:val="00603083"/>
    <w:rsid w:val="006057EB"/>
    <w:rsid w:val="00612475"/>
    <w:rsid w:val="006239E2"/>
    <w:rsid w:val="00625994"/>
    <w:rsid w:val="00633A2C"/>
    <w:rsid w:val="00642AEB"/>
    <w:rsid w:val="00644BC0"/>
    <w:rsid w:val="0065301C"/>
    <w:rsid w:val="00656613"/>
    <w:rsid w:val="006652FB"/>
    <w:rsid w:val="00676302"/>
    <w:rsid w:val="006806FE"/>
    <w:rsid w:val="006853BC"/>
    <w:rsid w:val="00687210"/>
    <w:rsid w:val="00691ED9"/>
    <w:rsid w:val="0069222D"/>
    <w:rsid w:val="006A78AF"/>
    <w:rsid w:val="006A7931"/>
    <w:rsid w:val="006B09C1"/>
    <w:rsid w:val="006B28A0"/>
    <w:rsid w:val="006C03C5"/>
    <w:rsid w:val="006C164B"/>
    <w:rsid w:val="006C3C4F"/>
    <w:rsid w:val="006C4BFC"/>
    <w:rsid w:val="006D0D42"/>
    <w:rsid w:val="006D3143"/>
    <w:rsid w:val="006D4806"/>
    <w:rsid w:val="006D574E"/>
    <w:rsid w:val="006E0111"/>
    <w:rsid w:val="006E0FF1"/>
    <w:rsid w:val="006E6161"/>
    <w:rsid w:val="006E7F16"/>
    <w:rsid w:val="006F0C56"/>
    <w:rsid w:val="006F5B88"/>
    <w:rsid w:val="006F6E89"/>
    <w:rsid w:val="00700535"/>
    <w:rsid w:val="00701B28"/>
    <w:rsid w:val="00704101"/>
    <w:rsid w:val="00704AC9"/>
    <w:rsid w:val="00711597"/>
    <w:rsid w:val="0071349B"/>
    <w:rsid w:val="00723835"/>
    <w:rsid w:val="007307C0"/>
    <w:rsid w:val="00731613"/>
    <w:rsid w:val="00735884"/>
    <w:rsid w:val="00736674"/>
    <w:rsid w:val="00742569"/>
    <w:rsid w:val="00744EBC"/>
    <w:rsid w:val="00746220"/>
    <w:rsid w:val="00753065"/>
    <w:rsid w:val="007534DB"/>
    <w:rsid w:val="00762C2D"/>
    <w:rsid w:val="007717F8"/>
    <w:rsid w:val="007730C2"/>
    <w:rsid w:val="00773466"/>
    <w:rsid w:val="0077576F"/>
    <w:rsid w:val="00784179"/>
    <w:rsid w:val="00787432"/>
    <w:rsid w:val="00794FDD"/>
    <w:rsid w:val="0079689D"/>
    <w:rsid w:val="007A042A"/>
    <w:rsid w:val="007A0B14"/>
    <w:rsid w:val="007A3371"/>
    <w:rsid w:val="007B389C"/>
    <w:rsid w:val="007B513E"/>
    <w:rsid w:val="007C034D"/>
    <w:rsid w:val="007C08CA"/>
    <w:rsid w:val="007C2C23"/>
    <w:rsid w:val="007C7EAF"/>
    <w:rsid w:val="007E0A92"/>
    <w:rsid w:val="007E0F72"/>
    <w:rsid w:val="007E2C4A"/>
    <w:rsid w:val="007E4482"/>
    <w:rsid w:val="007E4C8D"/>
    <w:rsid w:val="007F1F04"/>
    <w:rsid w:val="007F535E"/>
    <w:rsid w:val="008063DD"/>
    <w:rsid w:val="00810245"/>
    <w:rsid w:val="008126EA"/>
    <w:rsid w:val="00814728"/>
    <w:rsid w:val="00820953"/>
    <w:rsid w:val="00820B4D"/>
    <w:rsid w:val="008227A4"/>
    <w:rsid w:val="00841EAA"/>
    <w:rsid w:val="008422BB"/>
    <w:rsid w:val="0084292A"/>
    <w:rsid w:val="00843711"/>
    <w:rsid w:val="008552C0"/>
    <w:rsid w:val="008563FC"/>
    <w:rsid w:val="008621B0"/>
    <w:rsid w:val="00862DE4"/>
    <w:rsid w:val="00870917"/>
    <w:rsid w:val="0087381A"/>
    <w:rsid w:val="008939AD"/>
    <w:rsid w:val="00896847"/>
    <w:rsid w:val="008A147E"/>
    <w:rsid w:val="008A3557"/>
    <w:rsid w:val="008D474E"/>
    <w:rsid w:val="008F0AB2"/>
    <w:rsid w:val="008F2BE3"/>
    <w:rsid w:val="00903C04"/>
    <w:rsid w:val="0091412D"/>
    <w:rsid w:val="00935999"/>
    <w:rsid w:val="009419F4"/>
    <w:rsid w:val="00945437"/>
    <w:rsid w:val="0094748D"/>
    <w:rsid w:val="00947FC4"/>
    <w:rsid w:val="009513FF"/>
    <w:rsid w:val="00952B68"/>
    <w:rsid w:val="00955733"/>
    <w:rsid w:val="009557D8"/>
    <w:rsid w:val="009578EB"/>
    <w:rsid w:val="00971072"/>
    <w:rsid w:val="0097434E"/>
    <w:rsid w:val="009743AA"/>
    <w:rsid w:val="009A0FC7"/>
    <w:rsid w:val="009A7611"/>
    <w:rsid w:val="009B2705"/>
    <w:rsid w:val="009B55CC"/>
    <w:rsid w:val="009C5FDB"/>
    <w:rsid w:val="009D20F4"/>
    <w:rsid w:val="009D4024"/>
    <w:rsid w:val="009E3175"/>
    <w:rsid w:val="009F6EE2"/>
    <w:rsid w:val="00A057DA"/>
    <w:rsid w:val="00A06AA2"/>
    <w:rsid w:val="00A07D1F"/>
    <w:rsid w:val="00A21D8E"/>
    <w:rsid w:val="00A23997"/>
    <w:rsid w:val="00A27FDA"/>
    <w:rsid w:val="00A355D3"/>
    <w:rsid w:val="00A36AA0"/>
    <w:rsid w:val="00A41ECC"/>
    <w:rsid w:val="00A43B4E"/>
    <w:rsid w:val="00A563B3"/>
    <w:rsid w:val="00A64233"/>
    <w:rsid w:val="00A67009"/>
    <w:rsid w:val="00A708CE"/>
    <w:rsid w:val="00A72368"/>
    <w:rsid w:val="00A742E9"/>
    <w:rsid w:val="00A778FE"/>
    <w:rsid w:val="00A831A0"/>
    <w:rsid w:val="00A83B17"/>
    <w:rsid w:val="00A85FAB"/>
    <w:rsid w:val="00A92A3A"/>
    <w:rsid w:val="00A93F32"/>
    <w:rsid w:val="00A97E12"/>
    <w:rsid w:val="00AA18F5"/>
    <w:rsid w:val="00AA448C"/>
    <w:rsid w:val="00AB38C0"/>
    <w:rsid w:val="00AB3F59"/>
    <w:rsid w:val="00AC0657"/>
    <w:rsid w:val="00AC4790"/>
    <w:rsid w:val="00AF08AD"/>
    <w:rsid w:val="00AF288D"/>
    <w:rsid w:val="00AF37EE"/>
    <w:rsid w:val="00B1434A"/>
    <w:rsid w:val="00B20297"/>
    <w:rsid w:val="00B212B8"/>
    <w:rsid w:val="00B22E3E"/>
    <w:rsid w:val="00B36A35"/>
    <w:rsid w:val="00B376B3"/>
    <w:rsid w:val="00B44B6A"/>
    <w:rsid w:val="00B64888"/>
    <w:rsid w:val="00B70526"/>
    <w:rsid w:val="00B975E1"/>
    <w:rsid w:val="00BA71FC"/>
    <w:rsid w:val="00BB23CE"/>
    <w:rsid w:val="00BB3FFE"/>
    <w:rsid w:val="00BB4D0F"/>
    <w:rsid w:val="00BB5206"/>
    <w:rsid w:val="00BD115E"/>
    <w:rsid w:val="00BD2281"/>
    <w:rsid w:val="00BD2A6C"/>
    <w:rsid w:val="00BD5F19"/>
    <w:rsid w:val="00BF7A9E"/>
    <w:rsid w:val="00C03CFA"/>
    <w:rsid w:val="00C06468"/>
    <w:rsid w:val="00C30C84"/>
    <w:rsid w:val="00C311D4"/>
    <w:rsid w:val="00C35F6C"/>
    <w:rsid w:val="00C368FA"/>
    <w:rsid w:val="00C4077E"/>
    <w:rsid w:val="00C40FA0"/>
    <w:rsid w:val="00C423D7"/>
    <w:rsid w:val="00C440FF"/>
    <w:rsid w:val="00C45A0E"/>
    <w:rsid w:val="00C52954"/>
    <w:rsid w:val="00C53E89"/>
    <w:rsid w:val="00C60724"/>
    <w:rsid w:val="00C61F11"/>
    <w:rsid w:val="00C7323B"/>
    <w:rsid w:val="00C74547"/>
    <w:rsid w:val="00C74AFA"/>
    <w:rsid w:val="00C827E2"/>
    <w:rsid w:val="00C9649F"/>
    <w:rsid w:val="00CA494E"/>
    <w:rsid w:val="00CB0EC8"/>
    <w:rsid w:val="00CB3555"/>
    <w:rsid w:val="00CB7CF6"/>
    <w:rsid w:val="00CC2AF7"/>
    <w:rsid w:val="00CC5714"/>
    <w:rsid w:val="00CC72FE"/>
    <w:rsid w:val="00CC7EF4"/>
    <w:rsid w:val="00CE19DE"/>
    <w:rsid w:val="00CF763D"/>
    <w:rsid w:val="00D06342"/>
    <w:rsid w:val="00D107CE"/>
    <w:rsid w:val="00D26587"/>
    <w:rsid w:val="00D30956"/>
    <w:rsid w:val="00D344FE"/>
    <w:rsid w:val="00D361B1"/>
    <w:rsid w:val="00D36F49"/>
    <w:rsid w:val="00D4101F"/>
    <w:rsid w:val="00D44A8B"/>
    <w:rsid w:val="00D46DD6"/>
    <w:rsid w:val="00D5153D"/>
    <w:rsid w:val="00D550EA"/>
    <w:rsid w:val="00D566F7"/>
    <w:rsid w:val="00D57834"/>
    <w:rsid w:val="00D60B4C"/>
    <w:rsid w:val="00D72646"/>
    <w:rsid w:val="00D734FD"/>
    <w:rsid w:val="00D75B02"/>
    <w:rsid w:val="00D81496"/>
    <w:rsid w:val="00D84057"/>
    <w:rsid w:val="00D870EF"/>
    <w:rsid w:val="00D94040"/>
    <w:rsid w:val="00DA7475"/>
    <w:rsid w:val="00DB195A"/>
    <w:rsid w:val="00DB663C"/>
    <w:rsid w:val="00DC02C6"/>
    <w:rsid w:val="00DC2BD8"/>
    <w:rsid w:val="00DC36F6"/>
    <w:rsid w:val="00DC52AF"/>
    <w:rsid w:val="00DC785E"/>
    <w:rsid w:val="00DD23D9"/>
    <w:rsid w:val="00DD28C1"/>
    <w:rsid w:val="00DF0C52"/>
    <w:rsid w:val="00DF6A46"/>
    <w:rsid w:val="00E01E8C"/>
    <w:rsid w:val="00E0395F"/>
    <w:rsid w:val="00E1798A"/>
    <w:rsid w:val="00E212DA"/>
    <w:rsid w:val="00E23E1C"/>
    <w:rsid w:val="00E25F0A"/>
    <w:rsid w:val="00E27AE0"/>
    <w:rsid w:val="00E27D64"/>
    <w:rsid w:val="00E36370"/>
    <w:rsid w:val="00E43BDC"/>
    <w:rsid w:val="00E43EF0"/>
    <w:rsid w:val="00E45A7E"/>
    <w:rsid w:val="00E52B1A"/>
    <w:rsid w:val="00E5480D"/>
    <w:rsid w:val="00E54B22"/>
    <w:rsid w:val="00E60C30"/>
    <w:rsid w:val="00E643FE"/>
    <w:rsid w:val="00E738A2"/>
    <w:rsid w:val="00E762BC"/>
    <w:rsid w:val="00E77708"/>
    <w:rsid w:val="00E77B2F"/>
    <w:rsid w:val="00E8356E"/>
    <w:rsid w:val="00E84BD1"/>
    <w:rsid w:val="00E90D7A"/>
    <w:rsid w:val="00E95802"/>
    <w:rsid w:val="00EA3124"/>
    <w:rsid w:val="00EA4AD6"/>
    <w:rsid w:val="00EB0705"/>
    <w:rsid w:val="00EB479A"/>
    <w:rsid w:val="00ED07D7"/>
    <w:rsid w:val="00ED1B9F"/>
    <w:rsid w:val="00ED5E86"/>
    <w:rsid w:val="00EE200B"/>
    <w:rsid w:val="00EE2743"/>
    <w:rsid w:val="00EE47AB"/>
    <w:rsid w:val="00EF1997"/>
    <w:rsid w:val="00EF7DAB"/>
    <w:rsid w:val="00F03D45"/>
    <w:rsid w:val="00F11257"/>
    <w:rsid w:val="00F21751"/>
    <w:rsid w:val="00F3520E"/>
    <w:rsid w:val="00F3639E"/>
    <w:rsid w:val="00F36E4E"/>
    <w:rsid w:val="00F3739F"/>
    <w:rsid w:val="00F42AED"/>
    <w:rsid w:val="00F475D7"/>
    <w:rsid w:val="00F476A0"/>
    <w:rsid w:val="00F64F66"/>
    <w:rsid w:val="00F66264"/>
    <w:rsid w:val="00F80359"/>
    <w:rsid w:val="00F81F8C"/>
    <w:rsid w:val="00F831EC"/>
    <w:rsid w:val="00F85EB0"/>
    <w:rsid w:val="00F86921"/>
    <w:rsid w:val="00F91D82"/>
    <w:rsid w:val="00FA065A"/>
    <w:rsid w:val="00FA4A9A"/>
    <w:rsid w:val="00FB156C"/>
    <w:rsid w:val="00FB18E1"/>
    <w:rsid w:val="00FB73CC"/>
    <w:rsid w:val="00FC231C"/>
    <w:rsid w:val="00FC7311"/>
    <w:rsid w:val="00FE0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04F8B-B294-41E9-854A-8F7EDEF8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2015-09-21T15:55:00Z</dcterms:created>
  <dcterms:modified xsi:type="dcterms:W3CDTF">2015-09-26T19:40:00Z</dcterms:modified>
</cp:coreProperties>
</file>