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C9803"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7D124180" w14:textId="68E1CB6E" w:rsidR="00E6361F" w:rsidRDefault="00E6361F" w:rsidP="00FD66F1">
      <w:pPr>
        <w:spacing w:after="0"/>
        <w:jc w:val="center"/>
        <w:rPr>
          <w:rFonts w:ascii="Times New Roman" w:hAnsi="Times New Roman" w:cs="Times New Roman"/>
          <w:b/>
          <w:sz w:val="24"/>
          <w:szCs w:val="24"/>
        </w:rPr>
      </w:pPr>
      <w:r>
        <w:rPr>
          <w:rFonts w:ascii="Times New Roman" w:hAnsi="Times New Roman" w:cs="Times New Roman"/>
          <w:b/>
          <w:sz w:val="24"/>
          <w:szCs w:val="24"/>
        </w:rPr>
        <w:t>RM14-7-000 Modeling, Data, and Analysis Reliability Standards</w:t>
      </w:r>
    </w:p>
    <w:p w14:paraId="7938E042" w14:textId="6ADCE90D" w:rsidR="009814D7" w:rsidRDefault="00B43276"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FERC-725A (Mandatory Reliability Standards for the Bulk-Power System)</w:t>
      </w:r>
    </w:p>
    <w:p w14:paraId="2FFC9804" w14:textId="65544BAB" w:rsidR="00FD66F1" w:rsidRDefault="00E6361F"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FERC-725L (MOD Reliability Standards</w:t>
      </w:r>
      <w:r w:rsidR="00FD66F1" w:rsidRPr="00035845">
        <w:rPr>
          <w:rFonts w:ascii="Times New Roman" w:hAnsi="Times New Roman" w:cs="Times New Roman"/>
          <w:b/>
          <w:sz w:val="24"/>
          <w:szCs w:val="24"/>
        </w:rPr>
        <w:t>)</w:t>
      </w:r>
    </w:p>
    <w:p w14:paraId="2FFC9805" w14:textId="29059B1F" w:rsidR="00A96B65" w:rsidRPr="00035845" w:rsidRDefault="00A96B65" w:rsidP="00E6703B">
      <w:pPr>
        <w:spacing w:after="0"/>
        <w:rPr>
          <w:rFonts w:ascii="Times New Roman" w:hAnsi="Times New Roman" w:cs="Times New Roman"/>
          <w:b/>
          <w:sz w:val="24"/>
          <w:szCs w:val="24"/>
        </w:rPr>
      </w:pPr>
    </w:p>
    <w:p w14:paraId="25E11EA7" w14:textId="6B15E0B0" w:rsidR="00C312C1" w:rsidRDefault="00C312C1" w:rsidP="00FD66F1">
      <w:pPr>
        <w:spacing w:after="0"/>
        <w:rPr>
          <w:rFonts w:ascii="Times New Roman" w:hAnsi="Times New Roman" w:cs="Times New Roman"/>
          <w:sz w:val="24"/>
          <w:szCs w:val="24"/>
        </w:rPr>
      </w:pPr>
      <w:r w:rsidRPr="00C312C1">
        <w:rPr>
          <w:rFonts w:ascii="Times New Roman" w:hAnsi="Times New Roman" w:cs="Times New Roman"/>
          <w:sz w:val="24"/>
          <w:szCs w:val="24"/>
          <w:highlight w:val="lightGray"/>
        </w:rPr>
        <w:t>We are submitting this supporting statement in two Information Collection Requests.  One under the FERC-725A control number and the other under the FERC-725L control number.</w:t>
      </w:r>
      <w:r>
        <w:rPr>
          <w:rFonts w:ascii="Times New Roman" w:hAnsi="Times New Roman" w:cs="Times New Roman"/>
          <w:sz w:val="24"/>
          <w:szCs w:val="24"/>
        </w:rPr>
        <w:t xml:space="preserve"> </w:t>
      </w:r>
    </w:p>
    <w:p w14:paraId="4861B400" w14:textId="77777777" w:rsidR="00C312C1" w:rsidRDefault="00C312C1" w:rsidP="00FD66F1">
      <w:pPr>
        <w:spacing w:after="0"/>
        <w:rPr>
          <w:rFonts w:ascii="Times New Roman" w:hAnsi="Times New Roman" w:cs="Times New Roman"/>
          <w:sz w:val="24"/>
          <w:szCs w:val="24"/>
        </w:rPr>
      </w:pPr>
    </w:p>
    <w:p w14:paraId="2FFC9808" w14:textId="257B15E4" w:rsidR="00A72E7B" w:rsidRDefault="00AE1C8E" w:rsidP="00FD66F1">
      <w:pPr>
        <w:spacing w:after="0"/>
        <w:rPr>
          <w:rFonts w:ascii="Times New Roman" w:hAnsi="Times New Roman" w:cs="Times New Roman"/>
          <w:sz w:val="24"/>
          <w:szCs w:val="24"/>
        </w:rPr>
      </w:pPr>
      <w:r w:rsidRPr="00AE1C8E">
        <w:rPr>
          <w:rFonts w:ascii="Times New Roman" w:hAnsi="Times New Roman" w:cs="Times New Roman"/>
          <w:sz w:val="24"/>
          <w:szCs w:val="24"/>
        </w:rPr>
        <w:t xml:space="preserve">The Federal Energy Regulatory Commission (Commission or FERC) requests Office of Management and </w:t>
      </w:r>
      <w:r>
        <w:rPr>
          <w:rFonts w:ascii="Times New Roman" w:hAnsi="Times New Roman" w:cs="Times New Roman"/>
          <w:sz w:val="24"/>
          <w:szCs w:val="24"/>
        </w:rPr>
        <w:t xml:space="preserve">Budget (OMB) review of </w:t>
      </w:r>
      <w:r w:rsidR="00B43276">
        <w:rPr>
          <w:rFonts w:ascii="Times New Roman" w:hAnsi="Times New Roman" w:cs="Times New Roman"/>
          <w:sz w:val="24"/>
          <w:szCs w:val="24"/>
        </w:rPr>
        <w:t xml:space="preserve">FERC-725A (Mandatory Reliability Standards for the Bulk-Power System) and </w:t>
      </w:r>
      <w:r>
        <w:rPr>
          <w:rFonts w:ascii="Times New Roman" w:hAnsi="Times New Roman" w:cs="Times New Roman"/>
          <w:sz w:val="24"/>
          <w:szCs w:val="24"/>
        </w:rPr>
        <w:t>FE</w:t>
      </w:r>
      <w:r w:rsidR="00B43276">
        <w:rPr>
          <w:rFonts w:ascii="Times New Roman" w:hAnsi="Times New Roman" w:cs="Times New Roman"/>
          <w:sz w:val="24"/>
          <w:szCs w:val="24"/>
        </w:rPr>
        <w:t>RC-725L (</w:t>
      </w:r>
      <w:r>
        <w:rPr>
          <w:rFonts w:ascii="Times New Roman" w:hAnsi="Times New Roman" w:cs="Times New Roman"/>
          <w:sz w:val="24"/>
          <w:szCs w:val="24"/>
        </w:rPr>
        <w:t>MOD</w:t>
      </w:r>
      <w:r w:rsidRPr="00AE1C8E">
        <w:rPr>
          <w:rFonts w:ascii="Times New Roman" w:hAnsi="Times New Roman" w:cs="Times New Roman"/>
          <w:sz w:val="24"/>
          <w:szCs w:val="24"/>
        </w:rPr>
        <w:t xml:space="preserve"> </w:t>
      </w:r>
      <w:r>
        <w:rPr>
          <w:rFonts w:ascii="Times New Roman" w:hAnsi="Times New Roman" w:cs="Times New Roman"/>
          <w:sz w:val="24"/>
          <w:szCs w:val="24"/>
        </w:rPr>
        <w:t>Reliability Standards</w:t>
      </w:r>
      <w:r w:rsidR="00B43276">
        <w:rPr>
          <w:rFonts w:ascii="Times New Roman" w:hAnsi="Times New Roman" w:cs="Times New Roman"/>
          <w:sz w:val="24"/>
          <w:szCs w:val="24"/>
        </w:rPr>
        <w:t>)</w:t>
      </w:r>
      <w:r>
        <w:rPr>
          <w:rFonts w:ascii="Times New Roman" w:hAnsi="Times New Roman" w:cs="Times New Roman"/>
          <w:sz w:val="24"/>
          <w:szCs w:val="24"/>
        </w:rPr>
        <w:t xml:space="preserve"> as contained in the NOPR in Docket No. RM14-7-000.  </w:t>
      </w:r>
      <w:r w:rsidR="00B43276">
        <w:rPr>
          <w:rFonts w:ascii="Times New Roman" w:hAnsi="Times New Roman" w:cs="Times New Roman"/>
          <w:sz w:val="24"/>
          <w:szCs w:val="24"/>
        </w:rPr>
        <w:t xml:space="preserve">FERC-725A and </w:t>
      </w:r>
      <w:r>
        <w:rPr>
          <w:rFonts w:ascii="Times New Roman" w:hAnsi="Times New Roman" w:cs="Times New Roman"/>
          <w:sz w:val="24"/>
          <w:szCs w:val="24"/>
        </w:rPr>
        <w:t>FERC-725L</w:t>
      </w:r>
      <w:r w:rsidR="00B43276">
        <w:rPr>
          <w:rFonts w:ascii="Times New Roman" w:hAnsi="Times New Roman" w:cs="Times New Roman"/>
          <w:sz w:val="24"/>
          <w:szCs w:val="24"/>
        </w:rPr>
        <w:t xml:space="preserve"> requirements are</w:t>
      </w:r>
      <w:r w:rsidRPr="00AE1C8E">
        <w:rPr>
          <w:rFonts w:ascii="Times New Roman" w:hAnsi="Times New Roman" w:cs="Times New Roman"/>
          <w:sz w:val="24"/>
          <w:szCs w:val="24"/>
        </w:rPr>
        <w:t xml:space="preserve"> contained in 18 Code of Federal Regulations (CFR), Part 40.</w:t>
      </w:r>
    </w:p>
    <w:p w14:paraId="505ED888" w14:textId="77777777" w:rsidR="0063043A" w:rsidRDefault="0063043A" w:rsidP="00FD66F1">
      <w:pPr>
        <w:spacing w:after="0"/>
        <w:rPr>
          <w:rFonts w:ascii="Times New Roman" w:hAnsi="Times New Roman" w:cs="Times New Roman"/>
          <w:sz w:val="24"/>
          <w:szCs w:val="24"/>
        </w:rPr>
      </w:pPr>
    </w:p>
    <w:p w14:paraId="61A5BD0F" w14:textId="177AA55B" w:rsidR="0063043A" w:rsidRDefault="0063043A" w:rsidP="00FD66F1">
      <w:pPr>
        <w:spacing w:after="0"/>
        <w:rPr>
          <w:rFonts w:ascii="Times New Roman" w:hAnsi="Times New Roman" w:cs="Times New Roman"/>
          <w:sz w:val="24"/>
          <w:szCs w:val="24"/>
        </w:rPr>
      </w:pPr>
      <w:r>
        <w:rPr>
          <w:rFonts w:ascii="Times New Roman" w:hAnsi="Times New Roman" w:cs="Times New Roman"/>
          <w:sz w:val="24"/>
          <w:szCs w:val="24"/>
        </w:rPr>
        <w:t xml:space="preserve">The RM4-7-000 NOPR proposes </w:t>
      </w:r>
      <w:r w:rsidR="004C136C">
        <w:rPr>
          <w:rFonts w:ascii="Times New Roman" w:hAnsi="Times New Roman" w:cs="Times New Roman"/>
          <w:sz w:val="24"/>
          <w:szCs w:val="24"/>
        </w:rPr>
        <w:t>to approve Modeling, Data, and Analysis Reliability Standard MOD-001-2 developed by the North American Electric Reliability Corporation.</w:t>
      </w:r>
      <w:r w:rsidR="00B43276">
        <w:rPr>
          <w:rFonts w:ascii="Times New Roman" w:hAnsi="Times New Roman" w:cs="Times New Roman"/>
          <w:sz w:val="24"/>
          <w:szCs w:val="24"/>
        </w:rPr>
        <w:t xml:space="preserve">  The NOPR also proposes to retire other MOD reliability standards.</w:t>
      </w:r>
      <w:r w:rsidR="004C136C">
        <w:rPr>
          <w:rFonts w:ascii="Times New Roman" w:hAnsi="Times New Roman" w:cs="Times New Roman"/>
          <w:sz w:val="24"/>
          <w:szCs w:val="24"/>
        </w:rPr>
        <w:t xml:space="preserve">  The Commission has certified NERC as the Electric Reliability Organization (ERO) responsible for developing and enforcing mandatory Reliability Standards.</w:t>
      </w:r>
    </w:p>
    <w:p w14:paraId="2FFC980A" w14:textId="77777777" w:rsidR="0002242D" w:rsidRDefault="0002242D" w:rsidP="00FD66F1">
      <w:pPr>
        <w:spacing w:after="0"/>
        <w:rPr>
          <w:rFonts w:ascii="Times New Roman" w:hAnsi="Times New Roman" w:cs="Times New Roman"/>
          <w:sz w:val="24"/>
          <w:szCs w:val="24"/>
        </w:rPr>
      </w:pPr>
    </w:p>
    <w:p w14:paraId="2FFC980B" w14:textId="77777777" w:rsidR="00A72E7B"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571CB90B" w14:textId="77777777" w:rsidR="00E6703B" w:rsidRDefault="00E6703B" w:rsidP="00E6703B">
      <w:pPr>
        <w:spacing w:after="0"/>
        <w:rPr>
          <w:rFonts w:ascii="Times New Roman" w:hAnsi="Times New Roman" w:cs="Times New Roman"/>
          <w:b/>
          <w:sz w:val="24"/>
          <w:szCs w:val="24"/>
        </w:rPr>
      </w:pPr>
    </w:p>
    <w:p w14:paraId="47725E26" w14:textId="5B2DEF65" w:rsidR="006C4EB6" w:rsidRPr="006C4EB6" w:rsidRDefault="006C4EB6" w:rsidP="006C4EB6">
      <w:pPr>
        <w:spacing w:after="0"/>
        <w:rPr>
          <w:rFonts w:ascii="Times New Roman" w:eastAsia="Times New Roman" w:hAnsi="Times New Roman" w:cs="Times New Roman"/>
          <w:sz w:val="24"/>
          <w:szCs w:val="24"/>
        </w:rPr>
      </w:pPr>
      <w:r w:rsidRPr="006C4EB6">
        <w:rPr>
          <w:rFonts w:ascii="Times New Roman" w:eastAsia="Times New Roman" w:hAnsi="Times New Roman" w:cs="Times New Roman"/>
          <w:sz w:val="24"/>
          <w:szCs w:val="24"/>
        </w:rPr>
        <w:t>On August 8, 2005, the Electricity Modernization Act of 2005, which is Title XII,</w:t>
      </w:r>
      <w:r w:rsidR="000D7E27">
        <w:rPr>
          <w:rFonts w:ascii="Times New Roman" w:eastAsia="Times New Roman" w:hAnsi="Times New Roman" w:cs="Times New Roman"/>
          <w:sz w:val="24"/>
          <w:szCs w:val="24"/>
        </w:rPr>
        <w:t xml:space="preserve"> </w:t>
      </w:r>
      <w:r w:rsidRPr="006C4EB6">
        <w:rPr>
          <w:rFonts w:ascii="Times New Roman" w:eastAsia="Times New Roman" w:hAnsi="Times New Roman" w:cs="Times New Roman"/>
          <w:sz w:val="24"/>
          <w:szCs w:val="24"/>
        </w:rPr>
        <w:t>Subtitle A, of the Energy Policy Act of 2005 (</w:t>
      </w:r>
      <w:proofErr w:type="spellStart"/>
      <w:r w:rsidRPr="006C4EB6">
        <w:rPr>
          <w:rFonts w:ascii="Times New Roman" w:eastAsia="Times New Roman" w:hAnsi="Times New Roman" w:cs="Times New Roman"/>
          <w:sz w:val="24"/>
          <w:szCs w:val="24"/>
        </w:rPr>
        <w:t>EPAct</w:t>
      </w:r>
      <w:proofErr w:type="spellEnd"/>
      <w:r w:rsidRPr="006C4EB6">
        <w:rPr>
          <w:rFonts w:ascii="Times New Roman" w:eastAsia="Times New Roman" w:hAnsi="Times New Roman" w:cs="Times New Roman"/>
          <w:sz w:val="24"/>
          <w:szCs w:val="24"/>
        </w:rPr>
        <w:t xml:space="preserve"> 2005), was enacted into law.</w:t>
      </w:r>
      <w:r w:rsidRPr="006C4EB6">
        <w:rPr>
          <w:rFonts w:ascii="Times New Roman" w:eastAsia="Times New Roman" w:hAnsi="Times New Roman" w:cs="Times New Roman"/>
          <w:sz w:val="24"/>
          <w:szCs w:val="24"/>
          <w:vertAlign w:val="superscript"/>
        </w:rPr>
        <w:footnoteReference w:id="1"/>
      </w:r>
      <w:r w:rsidRPr="006C4EB6">
        <w:rPr>
          <w:rFonts w:ascii="Times New Roman" w:eastAsia="Times New Roman" w:hAnsi="Times New Roman" w:cs="Times New Roman"/>
          <w:sz w:val="24"/>
          <w:szCs w:val="24"/>
        </w:rPr>
        <w:t xml:space="preserve">  </w:t>
      </w:r>
      <w:proofErr w:type="spellStart"/>
      <w:r w:rsidRPr="006C4EB6">
        <w:rPr>
          <w:rFonts w:ascii="Times New Roman" w:eastAsia="Times New Roman" w:hAnsi="Times New Roman" w:cs="Times New Roman"/>
          <w:sz w:val="24"/>
          <w:szCs w:val="24"/>
        </w:rPr>
        <w:t>EPAct</w:t>
      </w:r>
      <w:proofErr w:type="spellEnd"/>
      <w:r w:rsidRPr="006C4EB6">
        <w:rPr>
          <w:rFonts w:ascii="Times New Roman" w:eastAsia="Times New Roman" w:hAnsi="Times New Roman" w:cs="Times New Roman"/>
          <w:sz w:val="24"/>
          <w:szCs w:val="24"/>
        </w:rPr>
        <w:t xml:space="preserve"> 2005 adds a new Section 215 to the FPA, which requires a Commission-certified Electric Reliability Organization (ERO) to develop mandatory and enforceable Reliability Standards which are subject to</w:t>
      </w:r>
      <w:r w:rsidR="000D7E27">
        <w:rPr>
          <w:rFonts w:ascii="Times New Roman" w:eastAsia="Times New Roman" w:hAnsi="Times New Roman" w:cs="Times New Roman"/>
          <w:sz w:val="24"/>
          <w:szCs w:val="24"/>
        </w:rPr>
        <w:t xml:space="preserve"> </w:t>
      </w:r>
      <w:r w:rsidRPr="006C4EB6">
        <w:rPr>
          <w:rFonts w:ascii="Times New Roman" w:eastAsia="Times New Roman" w:hAnsi="Times New Roman" w:cs="Times New Roman"/>
          <w:sz w:val="24"/>
          <w:szCs w:val="24"/>
        </w:rPr>
        <w:t>Commission review and approval.  Once approved, an ERO would enforce the Reliability Standards either subject to Commission oversight or by the Commission independently.</w:t>
      </w:r>
      <w:r w:rsidRPr="006C4EB6">
        <w:rPr>
          <w:rFonts w:ascii="Times New Roman" w:eastAsia="Times New Roman" w:hAnsi="Times New Roman" w:cs="Times New Roman"/>
          <w:sz w:val="24"/>
          <w:szCs w:val="24"/>
          <w:vertAlign w:val="superscript"/>
        </w:rPr>
        <w:footnoteReference w:id="2"/>
      </w:r>
    </w:p>
    <w:p w14:paraId="0992A8A8" w14:textId="77777777" w:rsidR="006C4EB6" w:rsidRPr="006C4EB6" w:rsidRDefault="006C4EB6" w:rsidP="006C4EB6">
      <w:pPr>
        <w:spacing w:after="0"/>
        <w:rPr>
          <w:rFonts w:ascii="Times New Roman" w:eastAsia="Times New Roman" w:hAnsi="Times New Roman" w:cs="Times New Roman"/>
          <w:sz w:val="24"/>
          <w:szCs w:val="24"/>
        </w:rPr>
      </w:pPr>
    </w:p>
    <w:p w14:paraId="5A5CE822" w14:textId="77777777" w:rsidR="006C4EB6" w:rsidRPr="006C4EB6" w:rsidRDefault="006C4EB6" w:rsidP="006C4EB6">
      <w:pPr>
        <w:spacing w:after="0"/>
        <w:rPr>
          <w:rFonts w:ascii="Times New Roman" w:eastAsia="Times New Roman" w:hAnsi="Times New Roman" w:cs="Times New Roman"/>
          <w:sz w:val="24"/>
          <w:szCs w:val="24"/>
        </w:rPr>
      </w:pPr>
      <w:r w:rsidRPr="006C4EB6">
        <w:rPr>
          <w:rFonts w:ascii="Times New Roman" w:eastAsia="Times New Roman" w:hAnsi="Times New Roman" w:cs="Times New Roman"/>
          <w:sz w:val="24"/>
          <w:szCs w:val="24"/>
        </w:rPr>
        <w:t>On February 3, 2006, the Commission issued Order No. 672, implementing section 215 of the FPA.</w:t>
      </w:r>
      <w:r w:rsidRPr="006C4EB6">
        <w:rPr>
          <w:rFonts w:ascii="Times New Roman" w:eastAsia="Times New Roman" w:hAnsi="Times New Roman" w:cs="Times New Roman"/>
          <w:sz w:val="24"/>
          <w:szCs w:val="24"/>
          <w:vertAlign w:val="superscript"/>
        </w:rPr>
        <w:footnoteReference w:id="3"/>
      </w:r>
      <w:r w:rsidRPr="006C4EB6">
        <w:rPr>
          <w:rFonts w:ascii="Times New Roman" w:eastAsia="Times New Roman" w:hAnsi="Times New Roman" w:cs="Times New Roman"/>
          <w:sz w:val="24"/>
          <w:szCs w:val="24"/>
        </w:rPr>
        <w:t xml:space="preserve">  Pursuant to Order No. 672, the Commission certified one organization, NERC, as the </w:t>
      </w:r>
      <w:r w:rsidRPr="006C4EB6">
        <w:rPr>
          <w:rFonts w:ascii="Times New Roman" w:eastAsia="Times New Roman" w:hAnsi="Times New Roman" w:cs="Times New Roman"/>
          <w:sz w:val="24"/>
          <w:szCs w:val="24"/>
        </w:rPr>
        <w:lastRenderedPageBreak/>
        <w:t>ERO.</w:t>
      </w:r>
      <w:r w:rsidRPr="006C4EB6">
        <w:rPr>
          <w:rFonts w:ascii="Times New Roman" w:eastAsia="Times New Roman" w:hAnsi="Times New Roman" w:cs="Times New Roman"/>
          <w:sz w:val="24"/>
          <w:szCs w:val="24"/>
          <w:vertAlign w:val="superscript"/>
        </w:rPr>
        <w:footnoteReference w:id="4"/>
      </w:r>
      <w:r w:rsidRPr="006C4EB6">
        <w:rPr>
          <w:rFonts w:ascii="Times New Roman" w:eastAsia="Times New Roman" w:hAnsi="Times New Roman" w:cs="Times New Roman"/>
          <w:sz w:val="24"/>
          <w:szCs w:val="24"/>
        </w:rPr>
        <w:t xml:space="preserve">  The ERO is required to develop Reliability Standards, which are subject to Commission review and approval.</w:t>
      </w:r>
      <w:r w:rsidRPr="006C4EB6">
        <w:rPr>
          <w:rFonts w:ascii="Times New Roman" w:eastAsia="Times New Roman" w:hAnsi="Times New Roman" w:cs="Times New Roman"/>
          <w:sz w:val="24"/>
          <w:szCs w:val="24"/>
          <w:vertAlign w:val="superscript"/>
        </w:rPr>
        <w:footnoteReference w:id="5"/>
      </w:r>
      <w:r w:rsidRPr="006C4EB6">
        <w:rPr>
          <w:rFonts w:ascii="Times New Roman" w:eastAsia="Times New Roman" w:hAnsi="Times New Roman" w:cs="Times New Roman"/>
          <w:sz w:val="24"/>
          <w:szCs w:val="24"/>
        </w:rPr>
        <w:t xml:space="preserve">  The Reliability Standards applies to users, owners and operators of the Bulk-Power System, as set forth in each Reliability Standard.  </w:t>
      </w:r>
    </w:p>
    <w:p w14:paraId="3942358C" w14:textId="77777777" w:rsidR="006C4EB6" w:rsidRPr="006C4EB6" w:rsidRDefault="006C4EB6" w:rsidP="006C4EB6">
      <w:pPr>
        <w:spacing w:after="0"/>
        <w:rPr>
          <w:rFonts w:ascii="Times New Roman" w:eastAsia="Times New Roman" w:hAnsi="Times New Roman" w:cs="Times New Roman"/>
          <w:sz w:val="24"/>
          <w:szCs w:val="24"/>
        </w:rPr>
      </w:pPr>
    </w:p>
    <w:p w14:paraId="3C0D037E" w14:textId="77777777" w:rsidR="006C4EB6" w:rsidRDefault="006C4EB6" w:rsidP="006C4EB6">
      <w:pPr>
        <w:spacing w:after="0"/>
        <w:rPr>
          <w:rFonts w:ascii="Times New Roman" w:eastAsia="Times New Roman" w:hAnsi="Times New Roman" w:cs="Times New Roman"/>
          <w:sz w:val="24"/>
          <w:szCs w:val="24"/>
        </w:rPr>
      </w:pPr>
      <w:r w:rsidRPr="006C4EB6">
        <w:rPr>
          <w:rFonts w:ascii="Times New Roman" w:eastAsia="Times New Roman" w:hAnsi="Times New Roman" w:cs="Times New Roman"/>
          <w:sz w:val="24"/>
          <w:szCs w:val="24"/>
        </w:rPr>
        <w:t>Section 215(d)(2) of the FPA and the Commission’s regulations provide that the Commission may approve a proposed Reliability Standard if it determines that the proposal is just, reasonable, not unduly discriminatory or preferential, and in the public interest. The Commission specified in Order No. 672 certain general factors it would consider when assessing whether a particular Reliability Standard is just and reasonable.</w:t>
      </w:r>
      <w:r w:rsidRPr="006C4EB6">
        <w:rPr>
          <w:rFonts w:ascii="Times New Roman" w:eastAsia="Times New Roman" w:hAnsi="Times New Roman" w:cs="Times New Roman"/>
          <w:sz w:val="24"/>
          <w:szCs w:val="24"/>
          <w:vertAlign w:val="superscript"/>
        </w:rPr>
        <w:footnoteReference w:id="6"/>
      </w:r>
      <w:r w:rsidRPr="006C4EB6">
        <w:rPr>
          <w:rFonts w:ascii="Times New Roman" w:eastAsia="Times New Roman" w:hAnsi="Times New Roman" w:cs="Times New Roman"/>
          <w:sz w:val="24"/>
          <w:szCs w:val="24"/>
        </w:rPr>
        <w:t xml:space="preserve">  According to this guidance, a Reliability Standard must provide for the Reliable Operation of Bulk-Power System facilities and may impose a requirement on any user, owner or operator of such facilities. It must be designed to achieve a specified reliability goal and must contain a technically sound means to achieve this goal. The Reliability Standard should be clear and unambiguous regarding what is required and who is required to comply.</w:t>
      </w:r>
    </w:p>
    <w:p w14:paraId="6A1C3BC0" w14:textId="77777777" w:rsidR="001D2739" w:rsidRDefault="001D2739" w:rsidP="006C4EB6">
      <w:pPr>
        <w:spacing w:after="0"/>
        <w:rPr>
          <w:rFonts w:ascii="Times New Roman" w:eastAsia="Times New Roman" w:hAnsi="Times New Roman" w:cs="Times New Roman"/>
          <w:sz w:val="24"/>
          <w:szCs w:val="24"/>
        </w:rPr>
      </w:pPr>
    </w:p>
    <w:p w14:paraId="582D201F" w14:textId="10A6C8A4" w:rsidR="001D2739" w:rsidRPr="006C4EB6" w:rsidRDefault="001D2739" w:rsidP="006C4EB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NERC developed </w:t>
      </w:r>
      <w:r w:rsidR="00AA1360">
        <w:rPr>
          <w:rFonts w:ascii="Times New Roman" w:eastAsia="Times New Roman" w:hAnsi="Times New Roman" w:cs="Times New Roman"/>
          <w:sz w:val="24"/>
          <w:szCs w:val="24"/>
        </w:rPr>
        <w:t>the currently effective Reliability Standards MOD-001-1a</w:t>
      </w:r>
      <w:r w:rsidR="00AA1360" w:rsidRPr="00AA1360">
        <w:rPr>
          <w:rFonts w:ascii="Times New Roman" w:eastAsia="Times New Roman" w:hAnsi="Times New Roman" w:cs="Times New Roman"/>
          <w:sz w:val="24"/>
          <w:szCs w:val="24"/>
        </w:rPr>
        <w:t xml:space="preserve">, MOD-004-1, MOD-008-1, MOD-028-2, MOD-029-1a and MOD-030-2 (Existing MOD A Standards) based on the obligation for transmission service providers to determine available transfer capability (ATC) and available </w:t>
      </w:r>
      <w:proofErr w:type="spellStart"/>
      <w:r w:rsidR="00AA1360" w:rsidRPr="00AA1360">
        <w:rPr>
          <w:rFonts w:ascii="Times New Roman" w:eastAsia="Times New Roman" w:hAnsi="Times New Roman" w:cs="Times New Roman"/>
          <w:sz w:val="24"/>
          <w:szCs w:val="24"/>
        </w:rPr>
        <w:t>flowgate</w:t>
      </w:r>
      <w:proofErr w:type="spellEnd"/>
      <w:r w:rsidR="00AA1360" w:rsidRPr="00AA1360">
        <w:rPr>
          <w:rFonts w:ascii="Times New Roman" w:eastAsia="Times New Roman" w:hAnsi="Times New Roman" w:cs="Times New Roman"/>
          <w:sz w:val="24"/>
          <w:szCs w:val="24"/>
        </w:rPr>
        <w:t xml:space="preserve"> capability (AFC), as those terms were introduce</w:t>
      </w:r>
      <w:r w:rsidR="00AA1360">
        <w:rPr>
          <w:rFonts w:ascii="Times New Roman" w:eastAsia="Times New Roman" w:hAnsi="Times New Roman" w:cs="Times New Roman"/>
          <w:sz w:val="24"/>
          <w:szCs w:val="24"/>
        </w:rPr>
        <w:t xml:space="preserve">d in Order Nos. 888 and 889.  </w:t>
      </w:r>
      <w:r w:rsidR="00AA1360" w:rsidRPr="00AA1360">
        <w:rPr>
          <w:rFonts w:ascii="Times New Roman" w:eastAsia="Times New Roman" w:hAnsi="Times New Roman" w:cs="Times New Roman"/>
          <w:sz w:val="24"/>
          <w:szCs w:val="24"/>
        </w:rPr>
        <w:t>In seeking to prohibit transmission providers from potentially using their monopoly power over transmission to unduly discriminate against others, the Commission directed transmission providers to calculate ATC, describe their methodology for such calculations in their open access transmission tariffs (OATT), and post those calculations on their Open Access Same-Time Information Systems</w:t>
      </w:r>
      <w:r w:rsidR="00AA1360">
        <w:rPr>
          <w:rFonts w:ascii="Times New Roman" w:eastAsia="Times New Roman" w:hAnsi="Times New Roman" w:cs="Times New Roman"/>
          <w:sz w:val="24"/>
          <w:szCs w:val="24"/>
        </w:rPr>
        <w:t xml:space="preserve"> (OASIS)</w:t>
      </w:r>
      <w:r w:rsidR="00AA1360" w:rsidRPr="00AA1360">
        <w:rPr>
          <w:rFonts w:ascii="Times New Roman" w:eastAsia="Times New Roman" w:hAnsi="Times New Roman" w:cs="Times New Roman"/>
          <w:sz w:val="24"/>
          <w:szCs w:val="24"/>
        </w:rPr>
        <w:t>.</w:t>
      </w:r>
    </w:p>
    <w:p w14:paraId="2FFC980D" w14:textId="77777777" w:rsidR="00EB3E6F" w:rsidRPr="00EB3E6F" w:rsidRDefault="00EB3E6F" w:rsidP="00EB3E6F">
      <w:pPr>
        <w:spacing w:after="0"/>
        <w:rPr>
          <w:rFonts w:ascii="Times New Roman" w:hAnsi="Times New Roman" w:cs="Times New Roman"/>
          <w:sz w:val="24"/>
          <w:szCs w:val="24"/>
        </w:rPr>
      </w:pPr>
    </w:p>
    <w:p w14:paraId="2FFC980E"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58DAB5C4" w14:textId="083914D7" w:rsidR="00E705AE" w:rsidRDefault="00E705AE" w:rsidP="00EB3E6F">
      <w:pPr>
        <w:spacing w:after="0"/>
        <w:rPr>
          <w:rFonts w:ascii="Times New Roman" w:hAnsi="Times New Roman" w:cs="Times New Roman"/>
          <w:sz w:val="24"/>
          <w:szCs w:val="24"/>
        </w:rPr>
      </w:pPr>
    </w:p>
    <w:p w14:paraId="2A0E18F3" w14:textId="0B4B3822" w:rsidR="001D24F1" w:rsidRDefault="000D59DF" w:rsidP="00EB3E6F">
      <w:pPr>
        <w:spacing w:after="0"/>
        <w:rPr>
          <w:rFonts w:ascii="Times New Roman" w:hAnsi="Times New Roman" w:cs="Times New Roman"/>
          <w:sz w:val="24"/>
          <w:szCs w:val="24"/>
        </w:rPr>
      </w:pPr>
      <w:r>
        <w:rPr>
          <w:rFonts w:ascii="Times New Roman" w:hAnsi="Times New Roman" w:cs="Times New Roman"/>
          <w:sz w:val="24"/>
          <w:szCs w:val="24"/>
        </w:rPr>
        <w:t>The Commission proposes to approve Reliability Standard MOD-001-2 along with its associated violation severity levels. The Commission also proposes</w:t>
      </w:r>
      <w:r w:rsidR="003B561A" w:rsidRPr="003B561A">
        <w:rPr>
          <w:rFonts w:ascii="Times New Roman" w:hAnsi="Times New Roman" w:cs="Times New Roman"/>
          <w:sz w:val="24"/>
          <w:szCs w:val="24"/>
        </w:rPr>
        <w:t xml:space="preserve"> the retirement of the Existing MOD A </w:t>
      </w:r>
      <w:r w:rsidR="003B561A" w:rsidRPr="003B561A">
        <w:rPr>
          <w:rFonts w:ascii="Times New Roman" w:hAnsi="Times New Roman" w:cs="Times New Roman"/>
          <w:sz w:val="24"/>
          <w:szCs w:val="24"/>
        </w:rPr>
        <w:lastRenderedPageBreak/>
        <w:t xml:space="preserve">Standards effective on the first day of the first calendar quarter that is 18 months after the date that the proposed standard is approved by the Commission.  </w:t>
      </w:r>
    </w:p>
    <w:p w14:paraId="5FB51690" w14:textId="77777777" w:rsidR="00F97ABB" w:rsidRDefault="00F97ABB" w:rsidP="00EB3E6F">
      <w:pPr>
        <w:spacing w:after="0"/>
        <w:rPr>
          <w:rFonts w:ascii="Times New Roman" w:hAnsi="Times New Roman" w:cs="Times New Roman"/>
          <w:sz w:val="24"/>
          <w:szCs w:val="24"/>
        </w:rPr>
      </w:pPr>
    </w:p>
    <w:p w14:paraId="78DEF76A" w14:textId="77777777" w:rsidR="00F97ABB" w:rsidRDefault="00F97ABB" w:rsidP="00F97ABB">
      <w:pPr>
        <w:spacing w:after="0"/>
        <w:rPr>
          <w:rFonts w:ascii="Times New Roman" w:hAnsi="Times New Roman" w:cs="Times New Roman"/>
          <w:sz w:val="24"/>
          <w:szCs w:val="24"/>
        </w:rPr>
      </w:pPr>
      <w:r w:rsidRPr="00F97ABB">
        <w:rPr>
          <w:rFonts w:ascii="Times New Roman" w:hAnsi="Times New Roman" w:cs="Times New Roman"/>
          <w:sz w:val="24"/>
          <w:szCs w:val="24"/>
        </w:rPr>
        <w:t xml:space="preserve">Proposed Reliability Standard MOD-001-2 will ensure that ATC calculations are determined in a manner that supports the reliable operation of the Bulk-Power System and that the methodology and data underlying those determinations are disclosed to those registered entities that need such information for reliability purposes.  </w:t>
      </w:r>
    </w:p>
    <w:p w14:paraId="068A1E7B" w14:textId="77777777" w:rsidR="00F97ABB" w:rsidRDefault="00F97ABB" w:rsidP="00F97ABB">
      <w:pPr>
        <w:spacing w:after="0"/>
        <w:rPr>
          <w:rFonts w:ascii="Times New Roman" w:hAnsi="Times New Roman" w:cs="Times New Roman"/>
          <w:sz w:val="24"/>
          <w:szCs w:val="24"/>
          <w:u w:val="single"/>
        </w:rPr>
      </w:pPr>
    </w:p>
    <w:p w14:paraId="03BF0CC1" w14:textId="77777777" w:rsidR="00F97ABB" w:rsidRDefault="00F97ABB" w:rsidP="00F97ABB">
      <w:pPr>
        <w:spacing w:after="0"/>
        <w:rPr>
          <w:rFonts w:ascii="Times New Roman" w:hAnsi="Times New Roman" w:cs="Times New Roman"/>
          <w:sz w:val="24"/>
          <w:szCs w:val="24"/>
        </w:rPr>
      </w:pPr>
      <w:r>
        <w:rPr>
          <w:rFonts w:ascii="Times New Roman" w:hAnsi="Times New Roman" w:cs="Times New Roman"/>
          <w:sz w:val="24"/>
          <w:szCs w:val="24"/>
        </w:rPr>
        <w:t>The standard</w:t>
      </w:r>
      <w:r w:rsidRPr="00F97ABB">
        <w:rPr>
          <w:rFonts w:ascii="Times New Roman" w:hAnsi="Times New Roman" w:cs="Times New Roman"/>
          <w:sz w:val="24"/>
          <w:szCs w:val="24"/>
        </w:rPr>
        <w:t xml:space="preserve"> does not require responsible entities to file information with the Commission.  However, the Reliability Standard requires applicable entities to develop and maintain certain information, subject to audit by a regional entity.  In particular, transmission owners and transmission service providers, with the exception of transmission owners and transmission service providers within the Electric Reliability Council of Texas (ERCOT), must “have evidence” to show that methodologies of total </w:t>
      </w:r>
      <w:proofErr w:type="spellStart"/>
      <w:r w:rsidRPr="00F97ABB">
        <w:rPr>
          <w:rFonts w:ascii="Times New Roman" w:hAnsi="Times New Roman" w:cs="Times New Roman"/>
          <w:sz w:val="24"/>
          <w:szCs w:val="24"/>
        </w:rPr>
        <w:t>flowgate</w:t>
      </w:r>
      <w:proofErr w:type="spellEnd"/>
      <w:r w:rsidRPr="00F97ABB">
        <w:rPr>
          <w:rFonts w:ascii="Times New Roman" w:hAnsi="Times New Roman" w:cs="Times New Roman"/>
          <w:sz w:val="24"/>
          <w:szCs w:val="24"/>
        </w:rPr>
        <w:t xml:space="preserve"> capability or total transfer capability and AFC and ATC, as well as capacity benefit margin and transmission reliability margin methodologies.</w:t>
      </w:r>
    </w:p>
    <w:p w14:paraId="18C3F581" w14:textId="77777777" w:rsidR="00F97ABB" w:rsidRDefault="00F97ABB" w:rsidP="00F97ABB">
      <w:pPr>
        <w:spacing w:after="0"/>
        <w:rPr>
          <w:rFonts w:ascii="Times New Roman" w:hAnsi="Times New Roman" w:cs="Times New Roman"/>
          <w:sz w:val="24"/>
          <w:szCs w:val="24"/>
        </w:rPr>
      </w:pPr>
    </w:p>
    <w:p w14:paraId="412F8494" w14:textId="6A2A4309" w:rsidR="00F97ABB" w:rsidRDefault="00F97ABB" w:rsidP="00F97ABB">
      <w:pPr>
        <w:spacing w:after="0"/>
        <w:rPr>
          <w:rFonts w:ascii="Times New Roman" w:hAnsi="Times New Roman" w:cs="Times New Roman"/>
          <w:sz w:val="24"/>
          <w:szCs w:val="24"/>
        </w:rPr>
      </w:pPr>
      <w:r>
        <w:rPr>
          <w:rFonts w:ascii="Times New Roman" w:hAnsi="Times New Roman" w:cs="Times New Roman"/>
          <w:sz w:val="24"/>
          <w:szCs w:val="24"/>
        </w:rPr>
        <w:t>The additional burden resulting from this proposed rule is due to applicable entities reviewing and updating their methodologies related to transfer capabilities (one-time) and for applicable entities to maintain documentation and provide documentation to entities that need such information.</w:t>
      </w:r>
      <w:r w:rsidRPr="00F97ABB">
        <w:rPr>
          <w:rFonts w:ascii="Times New Roman" w:hAnsi="Times New Roman" w:cs="Times New Roman"/>
          <w:sz w:val="24"/>
          <w:szCs w:val="24"/>
        </w:rPr>
        <w:t xml:space="preserve">  </w:t>
      </w:r>
    </w:p>
    <w:p w14:paraId="6DDC0E05" w14:textId="77777777" w:rsidR="000D59DF" w:rsidRDefault="000D59DF" w:rsidP="00EB3E6F">
      <w:pPr>
        <w:spacing w:after="0"/>
        <w:rPr>
          <w:rFonts w:ascii="Times New Roman" w:hAnsi="Times New Roman" w:cs="Times New Roman"/>
          <w:sz w:val="24"/>
          <w:szCs w:val="24"/>
        </w:rPr>
      </w:pPr>
    </w:p>
    <w:p w14:paraId="2C664002" w14:textId="0171E629" w:rsidR="004B4C95" w:rsidRDefault="003B561A" w:rsidP="00EB3E6F">
      <w:pPr>
        <w:spacing w:after="0"/>
        <w:rPr>
          <w:rFonts w:ascii="Times New Roman" w:hAnsi="Times New Roman" w:cs="Times New Roman"/>
          <w:sz w:val="24"/>
          <w:szCs w:val="24"/>
        </w:rPr>
      </w:pPr>
      <w:r w:rsidRPr="003B561A">
        <w:rPr>
          <w:rFonts w:ascii="Times New Roman" w:hAnsi="Times New Roman" w:cs="Times New Roman"/>
          <w:sz w:val="24"/>
          <w:szCs w:val="24"/>
        </w:rPr>
        <w:t>NERC states that the proposed implementation period is intended to provide NAESB sufficient time to include in its WEQ Standards, prior to the effective date of proposed MOD-001-2 and the retirement of the Existing MOD A Standards, those elements from the Existing MOD A Standards, if any, that relate to commercial or business practices and are not included in proposed Reliability Standard MOD-001-2.  NERC adds that if NAESB and its members determine that elements from the Existing MOD A Standards need to be incorporated into the WEQ Standards, 18 months will provide NAESB time, working through its business practice development process, to adopt revised WEQ Standards and for the Commission to incorporate by reference those revised WEQ Standards into its regulations.  NERC states that if the proposed implementation period does not provide NAESB sufficient time to consider the issues, NERC is committed to working with NAESB and Commission staff to address any timing issues. NERC requested that NAESB adopt any revised WEQ Standards to become effective on the same date that the proposed MOD-001-2 and the retirement of the Existing MOD A Standards will become effective</w:t>
      </w:r>
      <w:r w:rsidR="00B43276">
        <w:rPr>
          <w:rFonts w:ascii="Times New Roman" w:hAnsi="Times New Roman" w:cs="Times New Roman"/>
          <w:sz w:val="24"/>
          <w:szCs w:val="24"/>
        </w:rPr>
        <w:t>.</w:t>
      </w:r>
    </w:p>
    <w:p w14:paraId="2FFC9810" w14:textId="77777777" w:rsidR="00EB3E6F" w:rsidRPr="00EB3E6F" w:rsidRDefault="00EB3E6F" w:rsidP="00EB3E6F">
      <w:pPr>
        <w:spacing w:after="0"/>
        <w:rPr>
          <w:rFonts w:ascii="Times New Roman" w:hAnsi="Times New Roman" w:cs="Times New Roman"/>
          <w:sz w:val="24"/>
          <w:szCs w:val="24"/>
        </w:rPr>
      </w:pPr>
    </w:p>
    <w:p w14:paraId="2FFC9811"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DESCRIBE ANY CONSIDERATION OF THE USE OF IMPROVED INFORMATION TECHNOLOGY TO REDUCE THE BURDEN AND TECHNICAL OR LEGAL OBSTACLES TO REDUCING BURDEN</w:t>
      </w:r>
    </w:p>
    <w:p w14:paraId="2FFC9812" w14:textId="77777777" w:rsidR="00EB3E6F" w:rsidRDefault="00EB3E6F" w:rsidP="00EB3E6F">
      <w:pPr>
        <w:spacing w:after="0"/>
        <w:rPr>
          <w:rFonts w:ascii="Times New Roman" w:hAnsi="Times New Roman" w:cs="Times New Roman"/>
          <w:sz w:val="24"/>
          <w:szCs w:val="24"/>
        </w:rPr>
      </w:pPr>
    </w:p>
    <w:p w14:paraId="60FDAA43" w14:textId="77777777" w:rsidR="000F0129" w:rsidRDefault="000F0129" w:rsidP="000F0129">
      <w:pPr>
        <w:spacing w:after="0"/>
        <w:rPr>
          <w:rFonts w:ascii="Times New Roman" w:hAnsi="Times New Roman" w:cs="Times New Roman"/>
          <w:sz w:val="24"/>
          <w:szCs w:val="24"/>
        </w:rPr>
      </w:pPr>
      <w:r w:rsidRPr="00AD5F12">
        <w:rPr>
          <w:rFonts w:ascii="Times New Roman" w:hAnsi="Times New Roman" w:cs="Times New Roman"/>
          <w:sz w:val="24"/>
          <w:szCs w:val="24"/>
        </w:rPr>
        <w:t>The use of current or improved technology and the medium are not c</w:t>
      </w:r>
      <w:r>
        <w:rPr>
          <w:rFonts w:ascii="Times New Roman" w:hAnsi="Times New Roman" w:cs="Times New Roman"/>
          <w:sz w:val="24"/>
          <w:szCs w:val="24"/>
        </w:rPr>
        <w:t>overed in Reliability Standards</w:t>
      </w:r>
      <w:r w:rsidRPr="00AD5F12">
        <w:rPr>
          <w:rFonts w:ascii="Times New Roman" w:hAnsi="Times New Roman" w:cs="Times New Roman"/>
          <w:sz w:val="24"/>
          <w:szCs w:val="24"/>
        </w:rPr>
        <w:t xml:space="preserve"> and are</w:t>
      </w:r>
      <w:r>
        <w:rPr>
          <w:rFonts w:ascii="Times New Roman" w:hAnsi="Times New Roman" w:cs="Times New Roman"/>
          <w:sz w:val="24"/>
          <w:szCs w:val="24"/>
        </w:rPr>
        <w:t>,</w:t>
      </w:r>
      <w:r w:rsidRPr="00AD5F12">
        <w:rPr>
          <w:rFonts w:ascii="Times New Roman" w:hAnsi="Times New Roman" w:cs="Times New Roman"/>
          <w:sz w:val="24"/>
          <w:szCs w:val="24"/>
        </w:rPr>
        <w:t xml:space="preserve"> therefore</w:t>
      </w:r>
      <w:r>
        <w:rPr>
          <w:rFonts w:ascii="Times New Roman" w:hAnsi="Times New Roman" w:cs="Times New Roman"/>
          <w:sz w:val="24"/>
          <w:szCs w:val="24"/>
        </w:rPr>
        <w:t>,</w:t>
      </w:r>
      <w:r w:rsidRPr="00AD5F12">
        <w:rPr>
          <w:rFonts w:ascii="Times New Roman" w:hAnsi="Times New Roman" w:cs="Times New Roman"/>
          <w:sz w:val="24"/>
          <w:szCs w:val="24"/>
        </w:rPr>
        <w:t xml:space="preserve"> left to the discretion of each </w:t>
      </w:r>
      <w:r>
        <w:rPr>
          <w:rFonts w:ascii="Times New Roman" w:hAnsi="Times New Roman" w:cs="Times New Roman"/>
          <w:sz w:val="24"/>
          <w:szCs w:val="24"/>
        </w:rPr>
        <w:t>respondent</w:t>
      </w:r>
      <w:r w:rsidRPr="00AD5F12">
        <w:rPr>
          <w:rFonts w:ascii="Times New Roman" w:hAnsi="Times New Roman" w:cs="Times New Roman"/>
          <w:sz w:val="24"/>
          <w:szCs w:val="24"/>
        </w:rPr>
        <w:t xml:space="preserve">.  </w:t>
      </w:r>
    </w:p>
    <w:p w14:paraId="2FFC9813" w14:textId="77777777" w:rsidR="00EB3E6F" w:rsidRPr="00EB3E6F" w:rsidRDefault="00EB3E6F" w:rsidP="00EB3E6F">
      <w:pPr>
        <w:spacing w:after="0"/>
        <w:rPr>
          <w:rFonts w:ascii="Times New Roman" w:hAnsi="Times New Roman" w:cs="Times New Roman"/>
          <w:sz w:val="24"/>
          <w:szCs w:val="24"/>
        </w:rPr>
      </w:pPr>
    </w:p>
    <w:p w14:paraId="2FFC9814"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2FFC9815" w14:textId="77777777" w:rsidR="00EB3E6F" w:rsidRDefault="00EB3E6F" w:rsidP="00EB3E6F">
      <w:pPr>
        <w:spacing w:after="0"/>
        <w:rPr>
          <w:rFonts w:ascii="Times New Roman" w:hAnsi="Times New Roman" w:cs="Times New Roman"/>
          <w:sz w:val="24"/>
          <w:szCs w:val="24"/>
        </w:rPr>
      </w:pPr>
    </w:p>
    <w:p w14:paraId="7E87454C" w14:textId="62C3BC00" w:rsidR="000F0129" w:rsidRDefault="000F0129" w:rsidP="000F0129">
      <w:pPr>
        <w:spacing w:after="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Under this proceeding, the </w:t>
      </w:r>
      <w:r w:rsidRPr="00325A82">
        <w:rPr>
          <w:rFonts w:ascii="Times New Roman" w:hAnsi="Times New Roman" w:cs="Times New Roman"/>
          <w:sz w:val="24"/>
          <w:szCs w:val="24"/>
        </w:rPr>
        <w:t>Reliability Standard</w:t>
      </w:r>
      <w:r>
        <w:rPr>
          <w:rFonts w:ascii="Times New Roman" w:hAnsi="Times New Roman" w:cs="Times New Roman"/>
          <w:sz w:val="24"/>
          <w:szCs w:val="24"/>
        </w:rPr>
        <w:t xml:space="preserve"> MOD-001-2 is new and does not duplicate any other collections.</w:t>
      </w:r>
      <w:r w:rsidR="003151D4">
        <w:rPr>
          <w:rFonts w:ascii="Times New Roman" w:hAnsi="Times New Roman" w:cs="Times New Roman"/>
          <w:sz w:val="24"/>
          <w:szCs w:val="24"/>
        </w:rPr>
        <w:t xml:space="preserve">  However, MOD-001-2 will replace and improve upon the existing MOD standards (</w:t>
      </w:r>
      <w:r w:rsidR="003151D4" w:rsidRPr="00E705AE">
        <w:rPr>
          <w:rFonts w:ascii="Times New Roman" w:hAnsi="Times New Roman" w:cs="Times New Roman"/>
          <w:sz w:val="24"/>
          <w:szCs w:val="24"/>
        </w:rPr>
        <w:t>MOD-001-1a, MOD-004-1, MOD-008-1, MOD-028-2, MOD-029-1a, and MOD-030-2</w:t>
      </w:r>
      <w:r w:rsidR="003151D4">
        <w:rPr>
          <w:rFonts w:ascii="Times New Roman" w:hAnsi="Times New Roman" w:cs="Times New Roman"/>
          <w:sz w:val="24"/>
          <w:szCs w:val="24"/>
        </w:rPr>
        <w:t xml:space="preserve">) proposed for retirement. </w:t>
      </w:r>
    </w:p>
    <w:p w14:paraId="267A6F32" w14:textId="77777777" w:rsidR="000F0129" w:rsidRDefault="000F0129" w:rsidP="000F0129">
      <w:pPr>
        <w:spacing w:after="0"/>
        <w:rPr>
          <w:rFonts w:ascii="Times New Roman" w:hAnsi="Times New Roman" w:cs="Times New Roman"/>
          <w:sz w:val="24"/>
          <w:szCs w:val="24"/>
        </w:rPr>
      </w:pPr>
    </w:p>
    <w:p w14:paraId="42088AEF" w14:textId="77777777" w:rsidR="000F0129" w:rsidRDefault="000F0129" w:rsidP="000F0129">
      <w:pPr>
        <w:spacing w:after="0"/>
        <w:rPr>
          <w:rFonts w:ascii="Times New Roman" w:hAnsi="Times New Roman" w:cs="Times New Roman"/>
          <w:sz w:val="24"/>
          <w:szCs w:val="24"/>
        </w:rPr>
      </w:pPr>
      <w:r>
        <w:rPr>
          <w:rFonts w:ascii="Times New Roman" w:hAnsi="Times New Roman" w:cs="Times New Roman"/>
          <w:sz w:val="24"/>
          <w:szCs w:val="24"/>
        </w:rPr>
        <w:t>The Commission is unaware of any other source of information similar to the additional requirements.</w:t>
      </w:r>
    </w:p>
    <w:p w14:paraId="2FFC9816" w14:textId="77777777" w:rsidR="00EB3E6F" w:rsidRPr="00EB3E6F" w:rsidRDefault="00EB3E6F" w:rsidP="00EB3E6F">
      <w:pPr>
        <w:spacing w:after="0"/>
        <w:rPr>
          <w:rFonts w:ascii="Times New Roman" w:hAnsi="Times New Roman" w:cs="Times New Roman"/>
          <w:sz w:val="24"/>
          <w:szCs w:val="24"/>
        </w:rPr>
      </w:pPr>
    </w:p>
    <w:p w14:paraId="2FFC9817"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2FFC9818" w14:textId="77777777" w:rsidR="00EB3E6F" w:rsidRDefault="00EB3E6F" w:rsidP="00EB3E6F">
      <w:pPr>
        <w:spacing w:after="0"/>
        <w:rPr>
          <w:rFonts w:ascii="Times New Roman" w:hAnsi="Times New Roman" w:cs="Times New Roman"/>
          <w:sz w:val="24"/>
          <w:szCs w:val="24"/>
        </w:rPr>
      </w:pPr>
    </w:p>
    <w:p w14:paraId="31FFFCB9" w14:textId="77777777" w:rsidR="001045A3" w:rsidRDefault="001045A3" w:rsidP="001045A3">
      <w:pPr>
        <w:spacing w:after="0"/>
        <w:rPr>
          <w:rFonts w:ascii="Times New Roman" w:hAnsi="Times New Roman" w:cs="Times New Roman"/>
          <w:sz w:val="24"/>
          <w:szCs w:val="24"/>
        </w:rPr>
      </w:pPr>
      <w:r>
        <w:rPr>
          <w:rFonts w:ascii="Times New Roman" w:hAnsi="Times New Roman" w:cs="Times New Roman"/>
          <w:sz w:val="24"/>
          <w:szCs w:val="24"/>
        </w:rPr>
        <w:t xml:space="preserve">Small entities generally can reduce their burden by taking part in a joint registration organization or a coordinated function registration.  These options allow an entity the ability to share its compliance burden with other similar entities.  </w:t>
      </w:r>
      <w:r w:rsidRPr="00256053">
        <w:rPr>
          <w:rFonts w:ascii="Times New Roman" w:hAnsi="Times New Roman" w:cs="Times New Roman"/>
          <w:sz w:val="24"/>
          <w:szCs w:val="24"/>
        </w:rPr>
        <w:t xml:space="preserve">Detailed information regarding these options </w:t>
      </w:r>
      <w:r>
        <w:rPr>
          <w:rFonts w:ascii="Times New Roman" w:hAnsi="Times New Roman" w:cs="Times New Roman"/>
          <w:sz w:val="24"/>
          <w:szCs w:val="24"/>
        </w:rPr>
        <w:t xml:space="preserve">is </w:t>
      </w:r>
      <w:r w:rsidRPr="00256053">
        <w:rPr>
          <w:rFonts w:ascii="Times New Roman" w:hAnsi="Times New Roman" w:cs="Times New Roman"/>
          <w:sz w:val="24"/>
          <w:szCs w:val="24"/>
        </w:rPr>
        <w:t>available in NERC’s Rules of Procedure at sections 507 and 508.</w:t>
      </w:r>
      <w:r w:rsidRPr="00B86FA9">
        <w:rPr>
          <w:rStyle w:val="FootnoteReference"/>
          <w:rFonts w:ascii="Times New Roman" w:hAnsi="Times New Roman" w:cs="Times New Roman"/>
          <w:sz w:val="24"/>
          <w:szCs w:val="24"/>
          <w:vertAlign w:val="superscript"/>
        </w:rPr>
        <w:footnoteReference w:id="7"/>
      </w:r>
    </w:p>
    <w:p w14:paraId="2FFC9819" w14:textId="77777777" w:rsidR="00EB3E6F" w:rsidRPr="00EB3E6F" w:rsidRDefault="00EB3E6F" w:rsidP="00EB3E6F">
      <w:pPr>
        <w:spacing w:after="0"/>
        <w:rPr>
          <w:rFonts w:ascii="Times New Roman" w:hAnsi="Times New Roman" w:cs="Times New Roman"/>
          <w:sz w:val="24"/>
          <w:szCs w:val="24"/>
        </w:rPr>
      </w:pPr>
    </w:p>
    <w:p w14:paraId="2FFC981A"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2FFC981B" w14:textId="77777777" w:rsidR="00EB3E6F" w:rsidRDefault="00EB3E6F" w:rsidP="00EB3E6F">
      <w:pPr>
        <w:spacing w:after="0"/>
        <w:rPr>
          <w:rFonts w:ascii="Times New Roman" w:hAnsi="Times New Roman" w:cs="Times New Roman"/>
          <w:sz w:val="24"/>
          <w:szCs w:val="24"/>
        </w:rPr>
      </w:pPr>
    </w:p>
    <w:p w14:paraId="48BB38AE" w14:textId="28790FD7" w:rsidR="00BB1395" w:rsidRDefault="00BB1395" w:rsidP="00EB3E6F">
      <w:pPr>
        <w:spacing w:after="0"/>
        <w:rPr>
          <w:rFonts w:ascii="Times New Roman" w:hAnsi="Times New Roman" w:cs="Times New Roman"/>
          <w:sz w:val="24"/>
          <w:szCs w:val="24"/>
        </w:rPr>
      </w:pPr>
      <w:r>
        <w:rPr>
          <w:rFonts w:ascii="Times New Roman" w:hAnsi="Times New Roman" w:cs="Times New Roman"/>
          <w:sz w:val="24"/>
          <w:szCs w:val="24"/>
        </w:rPr>
        <w:t>The purpose of the</w:t>
      </w:r>
      <w:r w:rsidRPr="00BB1395">
        <w:rPr>
          <w:rFonts w:ascii="Times New Roman" w:hAnsi="Times New Roman" w:cs="Times New Roman"/>
          <w:sz w:val="24"/>
          <w:szCs w:val="24"/>
        </w:rPr>
        <w:t xml:space="preserve"> Reliability Stand</w:t>
      </w:r>
      <w:r>
        <w:rPr>
          <w:rFonts w:ascii="Times New Roman" w:hAnsi="Times New Roman" w:cs="Times New Roman"/>
          <w:sz w:val="24"/>
          <w:szCs w:val="24"/>
        </w:rPr>
        <w:t>ard MOD-001-2 is to</w:t>
      </w:r>
      <w:r w:rsidRPr="00BB1395">
        <w:rPr>
          <w:rFonts w:ascii="Times New Roman" w:hAnsi="Times New Roman" w:cs="Times New Roman"/>
          <w:sz w:val="24"/>
          <w:szCs w:val="24"/>
        </w:rPr>
        <w:t xml:space="preserve"> ensure that determinations of available transmission system capability are determined in a manner that supports the reliable operation of </w:t>
      </w:r>
      <w:r w:rsidRPr="00BB1395">
        <w:rPr>
          <w:rFonts w:ascii="Times New Roman" w:hAnsi="Times New Roman" w:cs="Times New Roman"/>
          <w:sz w:val="24"/>
          <w:szCs w:val="24"/>
        </w:rPr>
        <w:lastRenderedPageBreak/>
        <w:t>the Bulk-Power System and that the methodology and data underlying those determinations are disclosed to those registered entities that need such informa</w:t>
      </w:r>
      <w:r>
        <w:rPr>
          <w:rFonts w:ascii="Times New Roman" w:hAnsi="Times New Roman" w:cs="Times New Roman"/>
          <w:sz w:val="24"/>
          <w:szCs w:val="24"/>
        </w:rPr>
        <w:t xml:space="preserve">tion for reliability purposes. </w:t>
      </w:r>
    </w:p>
    <w:p w14:paraId="476174E9" w14:textId="77777777" w:rsidR="00BB1395" w:rsidRDefault="00BB1395" w:rsidP="00EB3E6F">
      <w:pPr>
        <w:spacing w:after="0"/>
        <w:rPr>
          <w:rFonts w:ascii="Times New Roman" w:hAnsi="Times New Roman" w:cs="Times New Roman"/>
          <w:sz w:val="24"/>
          <w:szCs w:val="24"/>
        </w:rPr>
      </w:pPr>
    </w:p>
    <w:p w14:paraId="2FFC981C" w14:textId="50368E16" w:rsidR="00EB3E6F" w:rsidRDefault="00BD5C4A" w:rsidP="00EB3E6F">
      <w:pPr>
        <w:spacing w:after="0"/>
        <w:rPr>
          <w:rFonts w:ascii="Times New Roman" w:hAnsi="Times New Roman" w:cs="Times New Roman"/>
          <w:sz w:val="24"/>
          <w:szCs w:val="24"/>
        </w:rPr>
      </w:pPr>
      <w:r>
        <w:rPr>
          <w:rFonts w:ascii="Times New Roman" w:hAnsi="Times New Roman" w:cs="Times New Roman"/>
          <w:sz w:val="24"/>
          <w:szCs w:val="24"/>
        </w:rPr>
        <w:t>MOD-001-2 imposes a one-time review and documentation burden for required methodologies.  This requirement cannot be pe</w:t>
      </w:r>
      <w:r w:rsidR="00F97ABB">
        <w:rPr>
          <w:rFonts w:ascii="Times New Roman" w:hAnsi="Times New Roman" w:cs="Times New Roman"/>
          <w:sz w:val="24"/>
          <w:szCs w:val="24"/>
        </w:rPr>
        <w:t>r</w:t>
      </w:r>
      <w:r>
        <w:rPr>
          <w:rFonts w:ascii="Times New Roman" w:hAnsi="Times New Roman" w:cs="Times New Roman"/>
          <w:sz w:val="24"/>
          <w:szCs w:val="24"/>
        </w:rPr>
        <w:t>formed less frequently.  Also, MOD-001-2 imposes an ongoing record retention requirement and ongoing burden due to requests for data from other registered entities.</w:t>
      </w:r>
    </w:p>
    <w:p w14:paraId="57F5C0A0" w14:textId="77777777" w:rsidR="00812816" w:rsidRPr="00EB3E6F" w:rsidRDefault="00812816" w:rsidP="00EB3E6F">
      <w:pPr>
        <w:spacing w:after="0"/>
        <w:rPr>
          <w:rFonts w:ascii="Times New Roman" w:hAnsi="Times New Roman" w:cs="Times New Roman"/>
          <w:sz w:val="24"/>
          <w:szCs w:val="24"/>
        </w:rPr>
      </w:pPr>
    </w:p>
    <w:p w14:paraId="2FFC981D"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2FFC981E" w14:textId="77777777" w:rsidR="00EB3E6F" w:rsidRDefault="00EB3E6F" w:rsidP="00EB3E6F">
      <w:pPr>
        <w:spacing w:after="0"/>
        <w:rPr>
          <w:rFonts w:ascii="Times New Roman" w:hAnsi="Times New Roman" w:cs="Times New Roman"/>
          <w:sz w:val="24"/>
          <w:szCs w:val="24"/>
        </w:rPr>
      </w:pPr>
    </w:p>
    <w:p w14:paraId="149CD8F0" w14:textId="603B38CE" w:rsidR="00BB1395" w:rsidRDefault="00BB1395"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related to the information collection.</w:t>
      </w:r>
    </w:p>
    <w:p w14:paraId="2FFC981F" w14:textId="77777777" w:rsidR="00EB3E6F" w:rsidRPr="00EB3E6F" w:rsidRDefault="00EB3E6F" w:rsidP="00EB3E6F">
      <w:pPr>
        <w:spacing w:after="0"/>
        <w:rPr>
          <w:rFonts w:ascii="Times New Roman" w:hAnsi="Times New Roman" w:cs="Times New Roman"/>
          <w:sz w:val="24"/>
          <w:szCs w:val="24"/>
        </w:rPr>
      </w:pPr>
    </w:p>
    <w:p w14:paraId="2FFC9820"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2FFC9821" w14:textId="77777777" w:rsidR="00EB3E6F" w:rsidRDefault="00EB3E6F" w:rsidP="00EB3E6F">
      <w:pPr>
        <w:spacing w:after="0"/>
        <w:rPr>
          <w:rFonts w:ascii="Times New Roman" w:hAnsi="Times New Roman" w:cs="Times New Roman"/>
          <w:sz w:val="24"/>
          <w:szCs w:val="24"/>
        </w:rPr>
      </w:pPr>
    </w:p>
    <w:p w14:paraId="1ECAA023" w14:textId="7FA762B4" w:rsidR="001045A3" w:rsidRPr="001045A3" w:rsidRDefault="001045A3" w:rsidP="001045A3">
      <w:pPr>
        <w:spacing w:after="0"/>
        <w:rPr>
          <w:rFonts w:ascii="Times New Roman" w:hAnsi="Times New Roman" w:cs="Times New Roman"/>
          <w:sz w:val="24"/>
          <w:szCs w:val="24"/>
        </w:rPr>
      </w:pPr>
      <w:r w:rsidRPr="001045A3">
        <w:rPr>
          <w:rFonts w:ascii="Times New Roman" w:hAnsi="Times New Roman" w:cs="Times New Roman"/>
          <w:bCs/>
          <w:sz w:val="24"/>
          <w:szCs w:val="24"/>
        </w:rPr>
        <w:t>The ERO process to establish Reliability Standards is a collaborative process with the ERO, Regional Entities and other stakeholders developing and reviewing drafts, and providing comments, with the final proposed standard submitted to the FERC for review and approval.</w:t>
      </w:r>
      <w:r w:rsidRPr="001045A3">
        <w:rPr>
          <w:rFonts w:ascii="Times New Roman" w:hAnsi="Times New Roman" w:cs="Times New Roman"/>
          <w:b/>
          <w:bCs/>
          <w:sz w:val="24"/>
          <w:szCs w:val="24"/>
          <w:vertAlign w:val="superscript"/>
        </w:rPr>
        <w:footnoteReference w:id="8"/>
      </w:r>
      <w:r w:rsidRPr="001045A3">
        <w:rPr>
          <w:rFonts w:ascii="Times New Roman" w:hAnsi="Times New Roman" w:cs="Times New Roman"/>
          <w:bCs/>
          <w:sz w:val="24"/>
          <w:szCs w:val="24"/>
        </w:rPr>
        <w:t xml:space="preserve">  In addition, each FERC rulemaking (both proposed and final rules) is published in the </w:t>
      </w:r>
      <w:r w:rsidRPr="001045A3">
        <w:rPr>
          <w:rFonts w:ascii="Times New Roman" w:hAnsi="Times New Roman" w:cs="Times New Roman"/>
          <w:bCs/>
          <w:sz w:val="24"/>
          <w:szCs w:val="24"/>
          <w:u w:val="single"/>
        </w:rPr>
        <w:t>Federal Register</w:t>
      </w:r>
      <w:r w:rsidRPr="001045A3">
        <w:rPr>
          <w:rFonts w:ascii="Times New Roman" w:hAnsi="Times New Roman" w:cs="Times New Roman"/>
          <w:bCs/>
          <w:sz w:val="24"/>
          <w:szCs w:val="24"/>
        </w:rPr>
        <w:t xml:space="preserve">, thereby providing public utilities and licensees, state commissions, Federal agencies, and other interested parties an opportunity to submit data, views, comments or suggestions concerning the proposed collection of data. </w:t>
      </w:r>
      <w:r w:rsidRPr="001045A3">
        <w:rPr>
          <w:rFonts w:ascii="Times New Roman" w:hAnsi="Times New Roman" w:cs="Times New Roman"/>
          <w:sz w:val="24"/>
          <w:szCs w:val="24"/>
        </w:rPr>
        <w:t xml:space="preserve"> The proposed rule was published in the Federal Register on June </w:t>
      </w:r>
      <w:r>
        <w:rPr>
          <w:rFonts w:ascii="Times New Roman" w:hAnsi="Times New Roman" w:cs="Times New Roman"/>
          <w:sz w:val="24"/>
          <w:szCs w:val="24"/>
        </w:rPr>
        <w:t>26</w:t>
      </w:r>
      <w:r w:rsidRPr="001045A3">
        <w:rPr>
          <w:rFonts w:ascii="Times New Roman" w:hAnsi="Times New Roman" w:cs="Times New Roman"/>
          <w:sz w:val="24"/>
          <w:szCs w:val="24"/>
        </w:rPr>
        <w:t>, 201</w:t>
      </w:r>
      <w:r>
        <w:rPr>
          <w:rFonts w:ascii="Times New Roman" w:hAnsi="Times New Roman" w:cs="Times New Roman"/>
          <w:sz w:val="24"/>
          <w:szCs w:val="24"/>
        </w:rPr>
        <w:t>4</w:t>
      </w:r>
      <w:r w:rsidRPr="001045A3">
        <w:rPr>
          <w:rFonts w:ascii="Times New Roman" w:hAnsi="Times New Roman" w:cs="Times New Roman"/>
          <w:sz w:val="24"/>
          <w:szCs w:val="24"/>
        </w:rPr>
        <w:t xml:space="preserve"> (</w:t>
      </w:r>
      <w:r>
        <w:rPr>
          <w:rFonts w:ascii="Times New Roman" w:hAnsi="Times New Roman" w:cs="Times New Roman"/>
          <w:sz w:val="24"/>
          <w:szCs w:val="24"/>
        </w:rPr>
        <w:t>79</w:t>
      </w:r>
      <w:r w:rsidRPr="001045A3">
        <w:rPr>
          <w:rFonts w:ascii="Times New Roman" w:hAnsi="Times New Roman" w:cs="Times New Roman"/>
          <w:sz w:val="24"/>
          <w:szCs w:val="24"/>
        </w:rPr>
        <w:t xml:space="preserve"> FR </w:t>
      </w:r>
      <w:r>
        <w:rPr>
          <w:rFonts w:ascii="Times New Roman" w:hAnsi="Times New Roman" w:cs="Times New Roman"/>
          <w:sz w:val="24"/>
          <w:szCs w:val="24"/>
        </w:rPr>
        <w:t>36269</w:t>
      </w:r>
      <w:r w:rsidRPr="001045A3">
        <w:rPr>
          <w:rFonts w:ascii="Times New Roman" w:hAnsi="Times New Roman" w:cs="Times New Roman"/>
          <w:sz w:val="24"/>
          <w:szCs w:val="24"/>
        </w:rPr>
        <w:t>).</w:t>
      </w:r>
    </w:p>
    <w:p w14:paraId="541F9673" w14:textId="77777777" w:rsidR="00C040C0" w:rsidRPr="00EB3E6F" w:rsidRDefault="00C040C0" w:rsidP="00EB3E6F">
      <w:pPr>
        <w:spacing w:after="0"/>
        <w:rPr>
          <w:rFonts w:ascii="Times New Roman" w:hAnsi="Times New Roman" w:cs="Times New Roman"/>
          <w:sz w:val="24"/>
          <w:szCs w:val="24"/>
        </w:rPr>
      </w:pPr>
    </w:p>
    <w:p w14:paraId="2FFC9823"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2FFC9824" w14:textId="77777777" w:rsidR="00D80FBD" w:rsidRDefault="00D80FBD" w:rsidP="00D80FBD">
      <w:pPr>
        <w:spacing w:after="0"/>
        <w:rPr>
          <w:rFonts w:ascii="Times New Roman" w:hAnsi="Times New Roman" w:cs="Times New Roman"/>
          <w:sz w:val="24"/>
          <w:szCs w:val="24"/>
        </w:rPr>
      </w:pPr>
    </w:p>
    <w:p w14:paraId="0F2DD1D2" w14:textId="6BD710AC" w:rsidR="00C040C0" w:rsidRDefault="00C040C0" w:rsidP="00D80FBD">
      <w:pPr>
        <w:spacing w:after="0"/>
        <w:rPr>
          <w:rFonts w:ascii="Times New Roman" w:hAnsi="Times New Roman" w:cs="Times New Roman"/>
          <w:sz w:val="24"/>
          <w:szCs w:val="24"/>
        </w:rPr>
      </w:pPr>
      <w:r>
        <w:rPr>
          <w:rFonts w:ascii="Times New Roman" w:hAnsi="Times New Roman" w:cs="Times New Roman"/>
          <w:sz w:val="24"/>
          <w:szCs w:val="24"/>
        </w:rPr>
        <w:t>There are no payments or gifts to the respondents.</w:t>
      </w:r>
    </w:p>
    <w:p w14:paraId="2FFC9825" w14:textId="77777777" w:rsidR="00D80FBD" w:rsidRPr="00D80FBD" w:rsidRDefault="00D80FBD" w:rsidP="00D80FBD">
      <w:pPr>
        <w:spacing w:after="0"/>
        <w:rPr>
          <w:rFonts w:ascii="Times New Roman" w:hAnsi="Times New Roman" w:cs="Times New Roman"/>
          <w:sz w:val="24"/>
          <w:szCs w:val="24"/>
        </w:rPr>
      </w:pPr>
    </w:p>
    <w:p w14:paraId="2FFC9826"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2FFC9827" w14:textId="77777777" w:rsidR="00D80FBD" w:rsidRDefault="00D80FBD" w:rsidP="00D80FBD">
      <w:pPr>
        <w:spacing w:after="0"/>
        <w:rPr>
          <w:rFonts w:ascii="Times New Roman" w:hAnsi="Times New Roman" w:cs="Times New Roman"/>
          <w:sz w:val="24"/>
          <w:szCs w:val="24"/>
        </w:rPr>
      </w:pPr>
    </w:p>
    <w:p w14:paraId="5721E95D" w14:textId="77777777" w:rsidR="00C040C0" w:rsidRDefault="00C040C0" w:rsidP="00C040C0">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 of Procedure</w:t>
      </w:r>
      <w:r w:rsidRPr="001507E4">
        <w:rPr>
          <w:rStyle w:val="FootnoteReference"/>
          <w:rFonts w:ascii="Times New Roman" w:hAnsi="Times New Roman" w:cs="Times New Roman"/>
          <w:sz w:val="24"/>
          <w:szCs w:val="24"/>
          <w:vertAlign w:val="superscript"/>
        </w:rPr>
        <w:footnoteReference w:id="9"/>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w:t>
      </w:r>
      <w:r>
        <w:rPr>
          <w:rFonts w:ascii="Times New Roman" w:hAnsi="Times New Roman" w:cs="Times New Roman"/>
          <w:sz w:val="24"/>
          <w:szCs w:val="24"/>
        </w:rPr>
        <w:lastRenderedPageBreak/>
        <w:t>permission of the Submitting Entity, except as otherwise legally required.”  This serves to protect confidential information submitted to NERC or Regional Entities.</w:t>
      </w:r>
    </w:p>
    <w:p w14:paraId="4B0277B1" w14:textId="77777777" w:rsidR="00C040C0" w:rsidRDefault="00C040C0" w:rsidP="00C040C0">
      <w:pPr>
        <w:spacing w:after="0"/>
        <w:rPr>
          <w:rFonts w:ascii="Times New Roman" w:hAnsi="Times New Roman" w:cs="Times New Roman"/>
          <w:sz w:val="24"/>
          <w:szCs w:val="24"/>
        </w:rPr>
      </w:pPr>
    </w:p>
    <w:p w14:paraId="38B69226" w14:textId="77777777" w:rsidR="00C040C0" w:rsidRDefault="00C040C0" w:rsidP="00C040C0">
      <w:pPr>
        <w:spacing w:after="0"/>
        <w:rPr>
          <w:rFonts w:ascii="Times New Roman" w:hAnsi="Times New Roman" w:cs="Times New Roman"/>
          <w:sz w:val="24"/>
          <w:szCs w:val="24"/>
        </w:rPr>
      </w:pPr>
      <w:r>
        <w:rPr>
          <w:rFonts w:ascii="Times New Roman" w:hAnsi="Times New Roman" w:cs="Times New Roman"/>
          <w:sz w:val="24"/>
          <w:szCs w:val="24"/>
        </w:rPr>
        <w:t xml:space="preserve">Responding entities do not submit the information collected due to the Reliability Standards to FERC.  Rather, they submit the information to NERC, the regions, or maintain it internally.  Since there are no submissions made to FERC, FERC provides no specific provisions in order to protect confidentiality. </w:t>
      </w:r>
    </w:p>
    <w:p w14:paraId="34A776D8" w14:textId="77777777" w:rsidR="00C040C0" w:rsidRPr="00D80FBD" w:rsidRDefault="00C040C0" w:rsidP="00D80FBD">
      <w:pPr>
        <w:spacing w:after="0"/>
        <w:rPr>
          <w:rFonts w:ascii="Times New Roman" w:hAnsi="Times New Roman" w:cs="Times New Roman"/>
          <w:sz w:val="24"/>
          <w:szCs w:val="24"/>
        </w:rPr>
      </w:pPr>
    </w:p>
    <w:p w14:paraId="2FFC9829" w14:textId="1A43EF88"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r w:rsidR="00C72C7A">
        <w:rPr>
          <w:rFonts w:ascii="Times New Roman" w:hAnsi="Times New Roman" w:cs="Times New Roman"/>
          <w:b/>
          <w:sz w:val="24"/>
          <w:szCs w:val="24"/>
        </w:rPr>
        <w:t>, SUCH AS SEXUAL BEHAVIOR AND ATTITUDES, RELIGIOUS BELIEFS, AND OTHER MATTERS THAT ARE COMMONLY CONSIDERED PRIVATE.</w:t>
      </w:r>
    </w:p>
    <w:p w14:paraId="2FFC982A" w14:textId="77777777" w:rsidR="00D80FBD" w:rsidRDefault="00D80FBD" w:rsidP="00D80FBD">
      <w:pPr>
        <w:spacing w:after="0"/>
        <w:rPr>
          <w:rFonts w:ascii="Times New Roman" w:hAnsi="Times New Roman" w:cs="Times New Roman"/>
          <w:sz w:val="24"/>
          <w:szCs w:val="24"/>
        </w:rPr>
      </w:pPr>
    </w:p>
    <w:p w14:paraId="2FFC982B" w14:textId="48E73F82" w:rsidR="00D80FBD" w:rsidRDefault="00C040C0" w:rsidP="00D80FBD">
      <w:pPr>
        <w:spacing w:after="0"/>
        <w:rPr>
          <w:rFonts w:ascii="Times New Roman" w:hAnsi="Times New Roman" w:cs="Times New Roman"/>
          <w:sz w:val="24"/>
          <w:szCs w:val="24"/>
        </w:rPr>
      </w:pPr>
      <w:r>
        <w:rPr>
          <w:rFonts w:ascii="Times New Roman" w:hAnsi="Times New Roman" w:cs="Times New Roman"/>
          <w:sz w:val="24"/>
          <w:szCs w:val="24"/>
        </w:rPr>
        <w:t>This collection does not include any questions of a sensitive nature.</w:t>
      </w:r>
    </w:p>
    <w:p w14:paraId="2B6B27EB" w14:textId="77777777" w:rsidR="00C040C0" w:rsidRPr="00D80FBD" w:rsidRDefault="00C040C0" w:rsidP="00D80FBD">
      <w:pPr>
        <w:spacing w:after="0"/>
        <w:rPr>
          <w:rFonts w:ascii="Times New Roman" w:hAnsi="Times New Roman" w:cs="Times New Roman"/>
          <w:sz w:val="24"/>
          <w:szCs w:val="24"/>
        </w:rPr>
      </w:pPr>
    </w:p>
    <w:p w14:paraId="2FFC982C"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2FFC982D" w14:textId="77777777" w:rsidR="00D80FBD" w:rsidRDefault="00D80FBD" w:rsidP="00D80FBD">
      <w:pPr>
        <w:spacing w:after="0"/>
        <w:rPr>
          <w:rFonts w:ascii="Times New Roman" w:hAnsi="Times New Roman" w:cs="Times New Roman"/>
          <w:sz w:val="24"/>
          <w:szCs w:val="24"/>
        </w:rPr>
      </w:pPr>
    </w:p>
    <w:p w14:paraId="30F09A45" w14:textId="627CDD0A" w:rsidR="00565DED" w:rsidRDefault="00D55CF0" w:rsidP="00D80FBD">
      <w:pPr>
        <w:spacing w:after="0"/>
        <w:rPr>
          <w:rFonts w:ascii="Times New Roman" w:hAnsi="Times New Roman" w:cs="Times New Roman"/>
          <w:sz w:val="24"/>
          <w:szCs w:val="24"/>
        </w:rPr>
      </w:pPr>
      <w:r>
        <w:rPr>
          <w:rFonts w:ascii="Times New Roman" w:hAnsi="Times New Roman" w:cs="Times New Roman"/>
          <w:sz w:val="24"/>
          <w:szCs w:val="24"/>
        </w:rPr>
        <w:t>The existing burden for both the FERC-725A and FERC-725L information collection is as follows:</w:t>
      </w:r>
    </w:p>
    <w:p w14:paraId="120199FB" w14:textId="77777777" w:rsidR="00D55CF0" w:rsidRDefault="00D55CF0" w:rsidP="00D80FBD">
      <w:pPr>
        <w:spacing w:after="0"/>
        <w:rPr>
          <w:rFonts w:ascii="Times New Roman" w:hAnsi="Times New Roman" w:cs="Times New Roman"/>
          <w:sz w:val="24"/>
          <w:szCs w:val="24"/>
        </w:rPr>
      </w:pPr>
    </w:p>
    <w:p w14:paraId="6B38C4F0" w14:textId="110CB8BC" w:rsidR="00D55CF0" w:rsidRPr="00DC0E01" w:rsidRDefault="00D55CF0" w:rsidP="00DC0E01">
      <w:pPr>
        <w:pStyle w:val="ListParagraph"/>
        <w:numPr>
          <w:ilvl w:val="0"/>
          <w:numId w:val="7"/>
        </w:numPr>
        <w:spacing w:after="0"/>
        <w:rPr>
          <w:rFonts w:ascii="Times New Roman" w:hAnsi="Times New Roman" w:cs="Times New Roman"/>
          <w:sz w:val="24"/>
          <w:szCs w:val="24"/>
        </w:rPr>
      </w:pPr>
      <w:r w:rsidRPr="00DC0E01">
        <w:rPr>
          <w:rFonts w:ascii="Times New Roman" w:hAnsi="Times New Roman" w:cs="Times New Roman"/>
          <w:sz w:val="24"/>
          <w:szCs w:val="24"/>
        </w:rPr>
        <w:t>FERC-725A:</w:t>
      </w:r>
    </w:p>
    <w:p w14:paraId="3017CD0E" w14:textId="5A8D32A4" w:rsidR="00D55CF0" w:rsidRPr="00DC0E01" w:rsidRDefault="00D55CF0" w:rsidP="00DC0E01">
      <w:pPr>
        <w:pStyle w:val="ListParagraph"/>
        <w:numPr>
          <w:ilvl w:val="1"/>
          <w:numId w:val="7"/>
        </w:numPr>
        <w:spacing w:after="0"/>
        <w:rPr>
          <w:rFonts w:ascii="Times New Roman" w:hAnsi="Times New Roman" w:cs="Times New Roman"/>
          <w:sz w:val="24"/>
          <w:szCs w:val="24"/>
        </w:rPr>
      </w:pPr>
      <w:r w:rsidRPr="00DC0E01">
        <w:rPr>
          <w:rFonts w:ascii="Times New Roman" w:hAnsi="Times New Roman" w:cs="Times New Roman"/>
          <w:sz w:val="24"/>
          <w:szCs w:val="24"/>
        </w:rPr>
        <w:t>Responses: 3,770</w:t>
      </w:r>
    </w:p>
    <w:p w14:paraId="19CC6637" w14:textId="2919850A" w:rsidR="00D55CF0" w:rsidRPr="00DC0E01" w:rsidRDefault="00D55CF0" w:rsidP="00DC0E01">
      <w:pPr>
        <w:pStyle w:val="ListParagraph"/>
        <w:numPr>
          <w:ilvl w:val="1"/>
          <w:numId w:val="7"/>
        </w:numPr>
        <w:spacing w:after="0"/>
        <w:rPr>
          <w:rFonts w:ascii="Times New Roman" w:hAnsi="Times New Roman" w:cs="Times New Roman"/>
          <w:sz w:val="24"/>
          <w:szCs w:val="24"/>
        </w:rPr>
      </w:pPr>
      <w:r w:rsidRPr="00DC0E01">
        <w:rPr>
          <w:rFonts w:ascii="Times New Roman" w:hAnsi="Times New Roman" w:cs="Times New Roman"/>
          <w:sz w:val="24"/>
          <w:szCs w:val="24"/>
        </w:rPr>
        <w:t>Burden Hours: 1,828,986</w:t>
      </w:r>
    </w:p>
    <w:p w14:paraId="7912CC47" w14:textId="77777777" w:rsidR="00D55CF0" w:rsidRDefault="00D55CF0" w:rsidP="00D80FBD">
      <w:pPr>
        <w:spacing w:after="0"/>
        <w:rPr>
          <w:rFonts w:ascii="Times New Roman" w:hAnsi="Times New Roman" w:cs="Times New Roman"/>
          <w:sz w:val="24"/>
          <w:szCs w:val="24"/>
        </w:rPr>
      </w:pPr>
    </w:p>
    <w:p w14:paraId="70580672" w14:textId="14E95689" w:rsidR="00D55CF0" w:rsidRPr="00DC0E01" w:rsidRDefault="00D55CF0" w:rsidP="00DC0E01">
      <w:pPr>
        <w:pStyle w:val="ListParagraph"/>
        <w:numPr>
          <w:ilvl w:val="0"/>
          <w:numId w:val="7"/>
        </w:numPr>
        <w:spacing w:after="0"/>
        <w:rPr>
          <w:rFonts w:ascii="Times New Roman" w:hAnsi="Times New Roman" w:cs="Times New Roman"/>
          <w:sz w:val="24"/>
          <w:szCs w:val="24"/>
        </w:rPr>
      </w:pPr>
      <w:r w:rsidRPr="00DC0E01">
        <w:rPr>
          <w:rFonts w:ascii="Times New Roman" w:hAnsi="Times New Roman" w:cs="Times New Roman"/>
          <w:sz w:val="24"/>
          <w:szCs w:val="24"/>
        </w:rPr>
        <w:t>FERC-725L:</w:t>
      </w:r>
    </w:p>
    <w:p w14:paraId="56A97772" w14:textId="29E9A5CD" w:rsidR="00D55CF0" w:rsidRPr="00DC0E01" w:rsidRDefault="00D55CF0" w:rsidP="00DC0E01">
      <w:pPr>
        <w:pStyle w:val="ListParagraph"/>
        <w:numPr>
          <w:ilvl w:val="1"/>
          <w:numId w:val="7"/>
        </w:numPr>
        <w:spacing w:after="0"/>
        <w:rPr>
          <w:rFonts w:ascii="Times New Roman" w:hAnsi="Times New Roman" w:cs="Times New Roman"/>
          <w:sz w:val="24"/>
          <w:szCs w:val="24"/>
        </w:rPr>
      </w:pPr>
      <w:r w:rsidRPr="00DC0E01">
        <w:rPr>
          <w:rFonts w:ascii="Times New Roman" w:hAnsi="Times New Roman" w:cs="Times New Roman"/>
          <w:sz w:val="24"/>
          <w:szCs w:val="24"/>
        </w:rPr>
        <w:t>Responses: 3,274</w:t>
      </w:r>
    </w:p>
    <w:p w14:paraId="20C47347" w14:textId="78B20E20" w:rsidR="00D55CF0" w:rsidRPr="00DC0E01" w:rsidRDefault="00D55CF0" w:rsidP="00DC0E01">
      <w:pPr>
        <w:pStyle w:val="ListParagraph"/>
        <w:numPr>
          <w:ilvl w:val="1"/>
          <w:numId w:val="7"/>
        </w:numPr>
        <w:spacing w:after="0"/>
        <w:rPr>
          <w:rFonts w:ascii="Times New Roman" w:hAnsi="Times New Roman" w:cs="Times New Roman"/>
          <w:sz w:val="24"/>
          <w:szCs w:val="24"/>
        </w:rPr>
      </w:pPr>
      <w:r w:rsidRPr="00DC0E01">
        <w:rPr>
          <w:rFonts w:ascii="Times New Roman" w:hAnsi="Times New Roman" w:cs="Times New Roman"/>
          <w:sz w:val="24"/>
          <w:szCs w:val="24"/>
        </w:rPr>
        <w:t>Burden Hours: 26,540</w:t>
      </w:r>
    </w:p>
    <w:p w14:paraId="72BBD2B7" w14:textId="77777777" w:rsidR="00D55CF0" w:rsidRPr="00D80FBD" w:rsidRDefault="00D55CF0" w:rsidP="00D80FBD">
      <w:pPr>
        <w:spacing w:after="0"/>
        <w:rPr>
          <w:rFonts w:ascii="Times New Roman" w:hAnsi="Times New Roman" w:cs="Times New Roman"/>
          <w:sz w:val="24"/>
          <w:szCs w:val="24"/>
        </w:rPr>
      </w:pPr>
    </w:p>
    <w:p w14:paraId="2FFC982F"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2FFC9830" w14:textId="77777777" w:rsidR="00E636D7" w:rsidRDefault="00E636D7" w:rsidP="00E636D7">
      <w:pPr>
        <w:spacing w:after="0"/>
        <w:rPr>
          <w:rFonts w:ascii="Times New Roman" w:hAnsi="Times New Roman" w:cs="Times New Roman"/>
          <w:sz w:val="24"/>
          <w:szCs w:val="24"/>
        </w:rPr>
      </w:pPr>
    </w:p>
    <w:p w14:paraId="1CEFD131" w14:textId="77777777" w:rsidR="00BB0444" w:rsidRDefault="00BB0444" w:rsidP="00BB0444">
      <w:pPr>
        <w:spacing w:after="0"/>
        <w:rPr>
          <w:rFonts w:ascii="Times New Roman" w:hAnsi="Times New Roman" w:cs="Times New Roman"/>
          <w:sz w:val="24"/>
          <w:szCs w:val="24"/>
        </w:rPr>
      </w:pPr>
      <w:r w:rsidRPr="008918DD">
        <w:rPr>
          <w:rFonts w:ascii="Times New Roman" w:hAnsi="Times New Roman" w:cs="Times New Roman"/>
          <w:sz w:val="24"/>
          <w:szCs w:val="24"/>
        </w:rPr>
        <w:t xml:space="preserve">There </w:t>
      </w:r>
      <w:r>
        <w:rPr>
          <w:rFonts w:ascii="Times New Roman" w:hAnsi="Times New Roman" w:cs="Times New Roman"/>
          <w:sz w:val="24"/>
          <w:szCs w:val="24"/>
        </w:rPr>
        <w:t>are</w:t>
      </w:r>
      <w:r w:rsidRPr="008918DD">
        <w:rPr>
          <w:rFonts w:ascii="Times New Roman" w:hAnsi="Times New Roman" w:cs="Times New Roman"/>
          <w:sz w:val="24"/>
          <w:szCs w:val="24"/>
        </w:rPr>
        <w:t xml:space="preserve"> no start-up or other non-labor hour cost</w:t>
      </w:r>
      <w:r>
        <w:rPr>
          <w:rFonts w:ascii="Times New Roman" w:hAnsi="Times New Roman" w:cs="Times New Roman"/>
          <w:sz w:val="24"/>
          <w:szCs w:val="24"/>
        </w:rPr>
        <w:t>s associated with the information collection in the rulemaking</w:t>
      </w:r>
      <w:r w:rsidRPr="008918DD">
        <w:rPr>
          <w:rFonts w:ascii="Times New Roman" w:hAnsi="Times New Roman" w:cs="Times New Roman"/>
          <w:sz w:val="24"/>
          <w:szCs w:val="24"/>
        </w:rPr>
        <w:t xml:space="preserve">. </w:t>
      </w:r>
    </w:p>
    <w:p w14:paraId="373902FE" w14:textId="77777777" w:rsidR="00BB0444" w:rsidRDefault="00BB0444" w:rsidP="00BB0444">
      <w:pPr>
        <w:spacing w:after="0"/>
        <w:rPr>
          <w:rFonts w:ascii="Times New Roman" w:hAnsi="Times New Roman" w:cs="Times New Roman"/>
          <w:sz w:val="24"/>
          <w:szCs w:val="24"/>
        </w:rPr>
      </w:pPr>
    </w:p>
    <w:p w14:paraId="21349AF9" w14:textId="77777777" w:rsidR="00BB0444" w:rsidRDefault="00BB0444" w:rsidP="00BB0444">
      <w:pPr>
        <w:spacing w:after="0"/>
        <w:rPr>
          <w:rFonts w:ascii="Times New Roman" w:hAnsi="Times New Roman" w:cs="Times New Roman"/>
          <w:sz w:val="24"/>
          <w:szCs w:val="24"/>
        </w:rPr>
      </w:pPr>
      <w:r>
        <w:rPr>
          <w:rFonts w:ascii="Times New Roman" w:hAnsi="Times New Roman" w:cs="Times New Roman"/>
          <w:sz w:val="24"/>
          <w:szCs w:val="24"/>
        </w:rPr>
        <w:t>Total Capital and Start-up cost: $0</w:t>
      </w:r>
    </w:p>
    <w:p w14:paraId="7A2A0DFB" w14:textId="77777777" w:rsidR="00BB0444" w:rsidRDefault="00BB0444" w:rsidP="00BB0444">
      <w:pPr>
        <w:spacing w:after="0"/>
        <w:rPr>
          <w:rFonts w:ascii="Times New Roman" w:hAnsi="Times New Roman" w:cs="Times New Roman"/>
          <w:sz w:val="24"/>
          <w:szCs w:val="24"/>
        </w:rPr>
      </w:pPr>
      <w:r>
        <w:rPr>
          <w:rFonts w:ascii="Times New Roman" w:hAnsi="Times New Roman" w:cs="Times New Roman"/>
          <w:sz w:val="24"/>
          <w:szCs w:val="24"/>
        </w:rPr>
        <w:t>Total Operation, Maintenance, and Purchase of Services: $0</w:t>
      </w:r>
    </w:p>
    <w:p w14:paraId="2FFC9831" w14:textId="3A6759FC" w:rsidR="00E636D7" w:rsidRPr="00E636D7" w:rsidRDefault="00E636D7" w:rsidP="00E636D7">
      <w:pPr>
        <w:spacing w:after="0"/>
        <w:rPr>
          <w:rFonts w:ascii="Times New Roman" w:hAnsi="Times New Roman" w:cs="Times New Roman"/>
          <w:sz w:val="24"/>
          <w:szCs w:val="24"/>
        </w:rPr>
      </w:pPr>
    </w:p>
    <w:p w14:paraId="2FFC9832"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2FFC9833" w14:textId="77777777" w:rsidR="00A276F5" w:rsidRDefault="00A276F5"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9B0642" w:rsidRPr="00A276F5" w14:paraId="162251AB" w14:textId="77777777" w:rsidTr="009B0642">
        <w:tc>
          <w:tcPr>
            <w:tcW w:w="3182" w:type="dxa"/>
            <w:shd w:val="clear" w:color="auto" w:fill="CCCCCC"/>
          </w:tcPr>
          <w:p w14:paraId="4FA9C792" w14:textId="1B580627" w:rsidR="009B0642" w:rsidRPr="00355D34" w:rsidRDefault="009B0642" w:rsidP="009B064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FERC-725A</w:t>
            </w:r>
          </w:p>
        </w:tc>
        <w:tc>
          <w:tcPr>
            <w:tcW w:w="3201" w:type="dxa"/>
            <w:shd w:val="clear" w:color="auto" w:fill="CCCCCC"/>
          </w:tcPr>
          <w:p w14:paraId="3F5A1D68" w14:textId="77777777" w:rsidR="009B0642" w:rsidRPr="00A276F5" w:rsidRDefault="009B0642" w:rsidP="009B0642">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r>
              <w:rPr>
                <w:rFonts w:ascii="Times New Roman" w:hAnsi="Times New Roman" w:cs="Times New Roman"/>
                <w:b/>
                <w:sz w:val="24"/>
                <w:szCs w:val="24"/>
              </w:rPr>
              <w:t xml:space="preserve"> or Number of Hours</w:t>
            </w:r>
          </w:p>
        </w:tc>
        <w:tc>
          <w:tcPr>
            <w:tcW w:w="2995" w:type="dxa"/>
            <w:shd w:val="clear" w:color="auto" w:fill="CCCCCC"/>
          </w:tcPr>
          <w:p w14:paraId="7F26FF6F" w14:textId="77777777" w:rsidR="009B0642" w:rsidRPr="00A276F5" w:rsidRDefault="009B0642" w:rsidP="009B0642">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9B0642" w:rsidRPr="00A276F5" w14:paraId="4DBCFCE4" w14:textId="77777777" w:rsidTr="009B0642">
        <w:tc>
          <w:tcPr>
            <w:tcW w:w="3182" w:type="dxa"/>
            <w:shd w:val="clear" w:color="auto" w:fill="auto"/>
          </w:tcPr>
          <w:p w14:paraId="3DA3C8D7" w14:textId="77777777" w:rsidR="009B0642" w:rsidRPr="00A276F5" w:rsidRDefault="009B0642" w:rsidP="009B0642">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p>
        </w:tc>
        <w:tc>
          <w:tcPr>
            <w:tcW w:w="3201" w:type="dxa"/>
            <w:tcBorders>
              <w:bottom w:val="single" w:sz="4" w:space="0" w:color="auto"/>
            </w:tcBorders>
            <w:shd w:val="clear" w:color="auto" w:fill="auto"/>
            <w:vAlign w:val="center"/>
          </w:tcPr>
          <w:p w14:paraId="4F5CB107" w14:textId="77777777" w:rsidR="009B0642" w:rsidRPr="00A276F5" w:rsidRDefault="009B0642" w:rsidP="009B06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14:paraId="320039FA" w14:textId="77777777" w:rsidR="009B0642" w:rsidRPr="00A276F5" w:rsidRDefault="009B0642" w:rsidP="009B06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9B0642" w:rsidRPr="00A276F5" w14:paraId="7F0A7E7F" w14:textId="77777777" w:rsidTr="009B0642">
        <w:tc>
          <w:tcPr>
            <w:tcW w:w="3182" w:type="dxa"/>
            <w:shd w:val="clear" w:color="auto" w:fill="auto"/>
          </w:tcPr>
          <w:p w14:paraId="663EA532" w14:textId="77777777" w:rsidR="009B0642" w:rsidRPr="00A276F5" w:rsidRDefault="009B0642" w:rsidP="009B0642">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r w:rsidRPr="00AE5B29">
              <w:rPr>
                <w:rFonts w:ascii="Times New Roman" w:eastAsia="Times New Roman" w:hAnsi="Times New Roman" w:cs="Times New Roman"/>
                <w:sz w:val="24"/>
                <w:szCs w:val="24"/>
                <w:vertAlign w:val="superscript"/>
              </w:rPr>
              <w:footnoteReference w:id="10"/>
            </w:r>
          </w:p>
        </w:tc>
        <w:tc>
          <w:tcPr>
            <w:tcW w:w="3201" w:type="dxa"/>
            <w:vMerge w:val="restart"/>
            <w:shd w:val="clear" w:color="auto" w:fill="D9D9D9" w:themeFill="background1" w:themeFillShade="D9"/>
            <w:vAlign w:val="center"/>
          </w:tcPr>
          <w:p w14:paraId="0C545E5C" w14:textId="77777777" w:rsidR="009B0642" w:rsidRPr="00A276F5" w:rsidRDefault="009B0642" w:rsidP="009B0642">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1BB4B82E" w14:textId="277AD176" w:rsidR="009B0642" w:rsidRPr="00A276F5" w:rsidRDefault="00D74F69" w:rsidP="009B06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$5,092</w:t>
            </w:r>
          </w:p>
        </w:tc>
      </w:tr>
      <w:tr w:rsidR="009B0642" w:rsidRPr="00A276F5" w14:paraId="09444F42" w14:textId="77777777" w:rsidTr="009B0642">
        <w:tc>
          <w:tcPr>
            <w:tcW w:w="3182" w:type="dxa"/>
            <w:shd w:val="clear" w:color="auto" w:fill="auto"/>
          </w:tcPr>
          <w:p w14:paraId="50A3BA68" w14:textId="77777777" w:rsidR="009B0642" w:rsidRPr="00A276F5" w:rsidRDefault="009B0642" w:rsidP="009B0642">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14:paraId="343313C1" w14:textId="77777777" w:rsidR="009B0642" w:rsidRPr="00A276F5" w:rsidRDefault="009B0642" w:rsidP="009B0642">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2689A323" w14:textId="4E09F8C2" w:rsidR="009B0642" w:rsidRPr="00A276F5" w:rsidRDefault="009B0642" w:rsidP="009B06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7F3C7504" w14:textId="77777777" w:rsidR="009B0642" w:rsidRDefault="009B0642" w:rsidP="00A276F5">
      <w:pPr>
        <w:spacing w:after="0"/>
        <w:rPr>
          <w:rFonts w:ascii="Times New Roman" w:hAnsi="Times New Roman" w:cs="Times New Roman"/>
          <w:sz w:val="24"/>
          <w:szCs w:val="24"/>
        </w:rPr>
      </w:pPr>
    </w:p>
    <w:p w14:paraId="00120DD8" w14:textId="77777777" w:rsidR="009B0642" w:rsidRDefault="009B0642"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BB0444" w:rsidRPr="00A276F5" w14:paraId="1608D69A" w14:textId="77777777" w:rsidTr="009814D7">
        <w:tc>
          <w:tcPr>
            <w:tcW w:w="3182" w:type="dxa"/>
            <w:shd w:val="clear" w:color="auto" w:fill="CCCCCC"/>
          </w:tcPr>
          <w:p w14:paraId="1EC9490E" w14:textId="52EF7E04" w:rsidR="00BB0444" w:rsidRPr="00355D34" w:rsidRDefault="00BB0444" w:rsidP="009814D7">
            <w:pPr>
              <w:spacing w:after="0" w:line="240" w:lineRule="auto"/>
              <w:rPr>
                <w:rFonts w:ascii="Times New Roman" w:hAnsi="Times New Roman" w:cs="Times New Roman"/>
                <w:b/>
                <w:sz w:val="24"/>
                <w:szCs w:val="24"/>
              </w:rPr>
            </w:pPr>
            <w:r>
              <w:rPr>
                <w:rFonts w:ascii="Times New Roman" w:hAnsi="Times New Roman" w:cs="Times New Roman"/>
                <w:b/>
                <w:sz w:val="24"/>
                <w:szCs w:val="24"/>
              </w:rPr>
              <w:t>FERC-725L</w:t>
            </w:r>
          </w:p>
        </w:tc>
        <w:tc>
          <w:tcPr>
            <w:tcW w:w="3201" w:type="dxa"/>
            <w:shd w:val="clear" w:color="auto" w:fill="CCCCCC"/>
          </w:tcPr>
          <w:p w14:paraId="2B045F80" w14:textId="77777777" w:rsidR="00BB0444" w:rsidRPr="00A276F5" w:rsidRDefault="00BB0444" w:rsidP="009814D7">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r>
              <w:rPr>
                <w:rFonts w:ascii="Times New Roman" w:hAnsi="Times New Roman" w:cs="Times New Roman"/>
                <w:b/>
                <w:sz w:val="24"/>
                <w:szCs w:val="24"/>
              </w:rPr>
              <w:t xml:space="preserve"> or Number of Hours</w:t>
            </w:r>
          </w:p>
        </w:tc>
        <w:tc>
          <w:tcPr>
            <w:tcW w:w="2995" w:type="dxa"/>
            <w:shd w:val="clear" w:color="auto" w:fill="CCCCCC"/>
          </w:tcPr>
          <w:p w14:paraId="61D07AEE" w14:textId="77777777" w:rsidR="00BB0444" w:rsidRPr="00A276F5" w:rsidRDefault="00BB0444" w:rsidP="009814D7">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BB0444" w:rsidRPr="00A276F5" w14:paraId="6E6A7BE8" w14:textId="77777777" w:rsidTr="009814D7">
        <w:tc>
          <w:tcPr>
            <w:tcW w:w="3182" w:type="dxa"/>
            <w:shd w:val="clear" w:color="auto" w:fill="auto"/>
          </w:tcPr>
          <w:p w14:paraId="6C1D9920" w14:textId="77777777" w:rsidR="00BB0444" w:rsidRPr="00A276F5" w:rsidRDefault="00BB0444" w:rsidP="009814D7">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p>
        </w:tc>
        <w:tc>
          <w:tcPr>
            <w:tcW w:w="3201" w:type="dxa"/>
            <w:tcBorders>
              <w:bottom w:val="single" w:sz="4" w:space="0" w:color="auto"/>
            </w:tcBorders>
            <w:shd w:val="clear" w:color="auto" w:fill="auto"/>
            <w:vAlign w:val="center"/>
          </w:tcPr>
          <w:p w14:paraId="46884FE5" w14:textId="77777777" w:rsidR="00BB0444" w:rsidRPr="00A276F5" w:rsidRDefault="00BB0444"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14:paraId="766DD3FD" w14:textId="77777777" w:rsidR="00BB0444" w:rsidRPr="00A276F5" w:rsidRDefault="00BB0444"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BB0444" w:rsidRPr="00A276F5" w14:paraId="2A4FC6D7" w14:textId="77777777" w:rsidTr="009814D7">
        <w:tc>
          <w:tcPr>
            <w:tcW w:w="3182" w:type="dxa"/>
            <w:shd w:val="clear" w:color="auto" w:fill="auto"/>
          </w:tcPr>
          <w:p w14:paraId="06205BCF" w14:textId="1C89C453" w:rsidR="00BB0444" w:rsidRPr="00A276F5" w:rsidRDefault="00BB0444" w:rsidP="009B0642">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p>
        </w:tc>
        <w:tc>
          <w:tcPr>
            <w:tcW w:w="3201" w:type="dxa"/>
            <w:vMerge w:val="restart"/>
            <w:shd w:val="clear" w:color="auto" w:fill="D9D9D9" w:themeFill="background1" w:themeFillShade="D9"/>
            <w:vAlign w:val="center"/>
          </w:tcPr>
          <w:p w14:paraId="226ED6AA" w14:textId="77777777" w:rsidR="00BB0444" w:rsidRPr="00A276F5" w:rsidRDefault="00BB0444" w:rsidP="009814D7">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112DEFA8" w14:textId="7C4DD7D4" w:rsidR="00BB0444" w:rsidRPr="00A276F5" w:rsidRDefault="00D74F69"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$5,092</w:t>
            </w:r>
          </w:p>
        </w:tc>
      </w:tr>
      <w:tr w:rsidR="00BB0444" w:rsidRPr="00A276F5" w14:paraId="4BF83708" w14:textId="77777777" w:rsidTr="009814D7">
        <w:tc>
          <w:tcPr>
            <w:tcW w:w="3182" w:type="dxa"/>
            <w:shd w:val="clear" w:color="auto" w:fill="auto"/>
          </w:tcPr>
          <w:p w14:paraId="518BF288" w14:textId="77777777" w:rsidR="00BB0444" w:rsidRPr="00A276F5" w:rsidRDefault="00BB0444" w:rsidP="009814D7">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14:paraId="00E42FBD" w14:textId="77777777" w:rsidR="00BB0444" w:rsidRPr="00A276F5" w:rsidRDefault="00BB0444" w:rsidP="009814D7">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4D082174" w14:textId="27A26858" w:rsidR="00BB0444" w:rsidRPr="00A276F5" w:rsidRDefault="009B0642"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2FFC9834" w14:textId="77777777" w:rsidR="00A276F5" w:rsidRDefault="00A276F5" w:rsidP="00A276F5">
      <w:pPr>
        <w:spacing w:after="0"/>
        <w:rPr>
          <w:rFonts w:ascii="Times New Roman" w:hAnsi="Times New Roman" w:cs="Times New Roman"/>
          <w:sz w:val="24"/>
          <w:szCs w:val="24"/>
        </w:rPr>
      </w:pPr>
    </w:p>
    <w:p w14:paraId="2FFC9835" w14:textId="77777777" w:rsidR="00A276F5" w:rsidRPr="00A276F5" w:rsidRDefault="00A276F5" w:rsidP="00A276F5">
      <w:pPr>
        <w:spacing w:after="0"/>
        <w:rPr>
          <w:rFonts w:ascii="Times New Roman" w:hAnsi="Times New Roman" w:cs="Times New Roman"/>
          <w:sz w:val="24"/>
          <w:szCs w:val="24"/>
        </w:rPr>
      </w:pPr>
    </w:p>
    <w:p w14:paraId="2FFC9836"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2FFC9837" w14:textId="77777777" w:rsidR="00A276F5" w:rsidRDefault="00A276F5" w:rsidP="00A276F5">
      <w:pPr>
        <w:spacing w:after="0"/>
        <w:rPr>
          <w:rFonts w:ascii="Times New Roman" w:hAnsi="Times New Roman" w:cs="Times New Roman"/>
          <w:sz w:val="24"/>
          <w:szCs w:val="24"/>
        </w:rPr>
      </w:pPr>
    </w:p>
    <w:p w14:paraId="2A9725D8" w14:textId="3A5BE117" w:rsidR="00D55CF0" w:rsidRPr="008B3249" w:rsidRDefault="00D55CF0" w:rsidP="00D55CF0">
      <w:pPr>
        <w:spacing w:after="0"/>
        <w:rPr>
          <w:rFonts w:ascii="Times New Roman" w:hAnsi="Times New Roman" w:cs="Times New Roman"/>
          <w:sz w:val="24"/>
          <w:szCs w:val="24"/>
        </w:rPr>
      </w:pPr>
      <w:r w:rsidRPr="00B255DB">
        <w:rPr>
          <w:rFonts w:ascii="Times New Roman" w:hAnsi="Times New Roman" w:cs="Times New Roman"/>
          <w:sz w:val="24"/>
          <w:szCs w:val="24"/>
        </w:rPr>
        <w:t>Our estimate below regarding the number of respondents</w:t>
      </w:r>
      <w:r w:rsidR="00EF55E7">
        <w:rPr>
          <w:rFonts w:ascii="Times New Roman" w:hAnsi="Times New Roman" w:cs="Times New Roman"/>
          <w:sz w:val="24"/>
          <w:szCs w:val="24"/>
        </w:rPr>
        <w:t xml:space="preserve"> for the changes proposed in the NOPR</w:t>
      </w:r>
      <w:r w:rsidRPr="00B255DB">
        <w:rPr>
          <w:rFonts w:ascii="Times New Roman" w:hAnsi="Times New Roman" w:cs="Times New Roman"/>
          <w:sz w:val="24"/>
          <w:szCs w:val="24"/>
        </w:rPr>
        <w:t xml:space="preserve"> is based on the NERC compliance registry as of March 23, 2013.</w:t>
      </w:r>
      <w:r w:rsidRPr="00B255DB">
        <w:rPr>
          <w:rFonts w:ascii="Times New Roman" w:hAnsi="Times New Roman" w:cs="Times New Roman"/>
          <w:b/>
          <w:sz w:val="24"/>
          <w:szCs w:val="24"/>
        </w:rPr>
        <w:t xml:space="preserve"> </w:t>
      </w:r>
      <w:r w:rsidRPr="00B255DB">
        <w:rPr>
          <w:rFonts w:ascii="Times New Roman" w:hAnsi="Times New Roman" w:cs="Times New Roman"/>
          <w:sz w:val="24"/>
          <w:szCs w:val="24"/>
        </w:rPr>
        <w:t xml:space="preserve"> </w:t>
      </w:r>
      <w:r w:rsidRPr="00B255DB">
        <w:rPr>
          <w:rFonts w:ascii="Times New Roman" w:hAnsi="Times New Roman" w:cs="Times New Roman"/>
          <w:bCs/>
          <w:sz w:val="24"/>
          <w:szCs w:val="24"/>
        </w:rPr>
        <w:t>According to the NERC compliance registry, NERC has registered 170 transmission operators (excluding transmission operators within ERCOT) and 93 transmission service providers (excluding transmission service providers in ERCOT).  However, under NERC’s compliance registration program, entities may be registered for multiple functions, so these numbers incorporate some double counting.  The number of unique entities responding will be approximately 186 entities registered as a transmission operator or a transmission service provider (excluding transmission operators and transmission service providers in ERCOT)</w:t>
      </w:r>
      <w:r w:rsidRPr="00B255DB">
        <w:rPr>
          <w:rFonts w:ascii="Times New Roman" w:hAnsi="Times New Roman" w:cs="Times New Roman"/>
          <w:sz w:val="24"/>
          <w:szCs w:val="24"/>
        </w:rPr>
        <w:t xml:space="preserve">.  The Commission estimates the annual reporting burden and cost </w:t>
      </w:r>
      <w:r w:rsidR="00EF55E7">
        <w:rPr>
          <w:rFonts w:ascii="Times New Roman" w:hAnsi="Times New Roman" w:cs="Times New Roman"/>
          <w:sz w:val="24"/>
          <w:szCs w:val="24"/>
        </w:rPr>
        <w:t xml:space="preserve">for the changes proposed in the NOPR </w:t>
      </w:r>
      <w:r w:rsidRPr="00B255DB">
        <w:rPr>
          <w:rFonts w:ascii="Times New Roman" w:hAnsi="Times New Roman" w:cs="Times New Roman"/>
          <w:sz w:val="24"/>
          <w:szCs w:val="24"/>
        </w:rPr>
        <w:t>as follows</w:t>
      </w:r>
      <w:r>
        <w:rPr>
          <w:rFonts w:ascii="Times New Roman" w:hAnsi="Times New Roman" w:cs="Times New Roman"/>
          <w:sz w:val="24"/>
          <w:szCs w:val="24"/>
        </w:rPr>
        <w:t>:</w:t>
      </w:r>
    </w:p>
    <w:p w14:paraId="039386C5" w14:textId="77777777" w:rsidR="00D55CF0" w:rsidRDefault="00D55CF0" w:rsidP="00D55CF0">
      <w:pPr>
        <w:spacing w:after="0"/>
        <w:rPr>
          <w:rFonts w:ascii="Times New Roman" w:hAnsi="Times New Roman" w:cs="Times New Roman"/>
          <w:sz w:val="24"/>
          <w:szCs w:val="24"/>
        </w:rPr>
      </w:pPr>
    </w:p>
    <w:tbl>
      <w:tblPr>
        <w:tblW w:w="103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54"/>
        <w:gridCol w:w="1534"/>
        <w:gridCol w:w="1441"/>
        <w:gridCol w:w="1325"/>
        <w:gridCol w:w="1417"/>
        <w:gridCol w:w="1614"/>
        <w:gridCol w:w="1372"/>
      </w:tblGrid>
      <w:tr w:rsidR="00D55CF0" w:rsidRPr="00D2565D" w14:paraId="70E81F4E" w14:textId="77777777" w:rsidTr="003151D4">
        <w:trPr>
          <w:cantSplit/>
        </w:trPr>
        <w:tc>
          <w:tcPr>
            <w:tcW w:w="10357" w:type="dxa"/>
            <w:gridSpan w:val="7"/>
            <w:tcBorders>
              <w:bottom w:val="single" w:sz="4" w:space="0" w:color="auto"/>
            </w:tcBorders>
            <w:shd w:val="clear" w:color="auto" w:fill="D9D9D9" w:themeFill="background1" w:themeFillShade="D9"/>
          </w:tcPr>
          <w:p w14:paraId="4DA5E8FD" w14:textId="77777777" w:rsidR="00D55CF0" w:rsidRPr="00D2565D" w:rsidRDefault="00D55CF0" w:rsidP="003151D4">
            <w:pPr>
              <w:spacing w:after="0"/>
              <w:jc w:val="center"/>
              <w:rPr>
                <w:rFonts w:ascii="Times New Roman" w:hAnsi="Times New Roman" w:cs="Times New Roman"/>
                <w:b/>
                <w:sz w:val="20"/>
                <w:szCs w:val="20"/>
              </w:rPr>
            </w:pPr>
            <w:r w:rsidRPr="00D2565D">
              <w:rPr>
                <w:rFonts w:ascii="Times New Roman" w:hAnsi="Times New Roman" w:cs="Times New Roman"/>
                <w:b/>
                <w:sz w:val="20"/>
                <w:szCs w:val="20"/>
              </w:rPr>
              <w:t>MOD-001-2 (FERC-725L): MOD Reliability Standards</w:t>
            </w:r>
          </w:p>
        </w:tc>
      </w:tr>
      <w:tr w:rsidR="00D55CF0" w:rsidRPr="00D2565D" w14:paraId="7AC33596" w14:textId="77777777" w:rsidTr="003151D4">
        <w:trPr>
          <w:cantSplit/>
        </w:trPr>
        <w:tc>
          <w:tcPr>
            <w:tcW w:w="1657" w:type="dxa"/>
            <w:shd w:val="clear" w:color="auto" w:fill="D9D9D9" w:themeFill="background1" w:themeFillShade="D9"/>
            <w:vAlign w:val="bottom"/>
          </w:tcPr>
          <w:p w14:paraId="1405D4AC" w14:textId="77777777" w:rsidR="00D55CF0" w:rsidRPr="00D2565D" w:rsidRDefault="00D55CF0" w:rsidP="003151D4">
            <w:pPr>
              <w:spacing w:after="0"/>
              <w:rPr>
                <w:rFonts w:ascii="Times New Roman" w:hAnsi="Times New Roman" w:cs="Times New Roman"/>
                <w:b/>
                <w:sz w:val="20"/>
                <w:szCs w:val="20"/>
              </w:rPr>
            </w:pPr>
          </w:p>
        </w:tc>
        <w:tc>
          <w:tcPr>
            <w:tcW w:w="1537" w:type="dxa"/>
            <w:shd w:val="clear" w:color="auto" w:fill="D9D9D9" w:themeFill="background1" w:themeFillShade="D9"/>
            <w:vAlign w:val="bottom"/>
          </w:tcPr>
          <w:p w14:paraId="3EBC7C2A"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Number and Type of Respondents</w:t>
            </w:r>
            <w:r w:rsidRPr="00D2565D">
              <w:rPr>
                <w:rFonts w:ascii="Times New Roman" w:hAnsi="Times New Roman" w:cs="Times New Roman"/>
                <w:b/>
                <w:sz w:val="20"/>
                <w:szCs w:val="20"/>
              </w:rPr>
              <w:br/>
              <w:t>(1)</w:t>
            </w:r>
          </w:p>
        </w:tc>
        <w:tc>
          <w:tcPr>
            <w:tcW w:w="1444" w:type="dxa"/>
            <w:shd w:val="clear" w:color="auto" w:fill="D9D9D9" w:themeFill="background1" w:themeFillShade="D9"/>
            <w:vAlign w:val="bottom"/>
          </w:tcPr>
          <w:p w14:paraId="5FF41B24"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Annual Number of Responses per Respondent</w:t>
            </w:r>
            <w:r w:rsidRPr="00D2565D" w:rsidDel="00D2508E">
              <w:rPr>
                <w:rFonts w:ascii="Times New Roman" w:hAnsi="Times New Roman" w:cs="Times New Roman"/>
                <w:b/>
                <w:sz w:val="20"/>
                <w:szCs w:val="20"/>
              </w:rPr>
              <w:t xml:space="preserve"> </w:t>
            </w:r>
            <w:r w:rsidRPr="00D2565D">
              <w:rPr>
                <w:rFonts w:ascii="Times New Roman" w:hAnsi="Times New Roman" w:cs="Times New Roman"/>
                <w:b/>
                <w:sz w:val="20"/>
                <w:szCs w:val="20"/>
              </w:rPr>
              <w:t>(2)</w:t>
            </w:r>
          </w:p>
        </w:tc>
        <w:tc>
          <w:tcPr>
            <w:tcW w:w="1327" w:type="dxa"/>
            <w:shd w:val="clear" w:color="auto" w:fill="D9D9D9" w:themeFill="background1" w:themeFillShade="D9"/>
            <w:vAlign w:val="bottom"/>
          </w:tcPr>
          <w:p w14:paraId="32C223A6"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Total Number of Responses</w:t>
            </w:r>
          </w:p>
          <w:p w14:paraId="5CDE5C89"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(1)*(2)=(3)</w:t>
            </w:r>
          </w:p>
        </w:tc>
        <w:tc>
          <w:tcPr>
            <w:tcW w:w="1422" w:type="dxa"/>
            <w:tcBorders>
              <w:bottom w:val="single" w:sz="4" w:space="0" w:color="auto"/>
            </w:tcBorders>
            <w:shd w:val="clear" w:color="auto" w:fill="D9D9D9" w:themeFill="background1" w:themeFillShade="D9"/>
            <w:vAlign w:val="bottom"/>
          </w:tcPr>
          <w:p w14:paraId="5990EDAD"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 xml:space="preserve">Avg. Burden &amp; Cost Per Response </w:t>
            </w:r>
          </w:p>
          <w:p w14:paraId="27FAF3FE"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(4)</w:t>
            </w:r>
          </w:p>
        </w:tc>
        <w:tc>
          <w:tcPr>
            <w:tcW w:w="1620" w:type="dxa"/>
            <w:tcBorders>
              <w:bottom w:val="single" w:sz="4" w:space="0" w:color="auto"/>
            </w:tcBorders>
            <w:shd w:val="clear" w:color="auto" w:fill="D9D9D9" w:themeFill="background1" w:themeFillShade="D9"/>
            <w:vAlign w:val="bottom"/>
          </w:tcPr>
          <w:p w14:paraId="616F318F"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Total Annual Burden Hours &amp; Total Annual Cost</w:t>
            </w:r>
          </w:p>
          <w:p w14:paraId="01CD366F"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(3)*(4)=(5)</w:t>
            </w:r>
          </w:p>
        </w:tc>
        <w:tc>
          <w:tcPr>
            <w:tcW w:w="1350" w:type="dxa"/>
            <w:shd w:val="clear" w:color="auto" w:fill="D9D9D9" w:themeFill="background1" w:themeFillShade="D9"/>
            <w:vAlign w:val="bottom"/>
          </w:tcPr>
          <w:p w14:paraId="38AE00FD"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Cost per Respondent</w:t>
            </w:r>
            <w:r w:rsidRPr="00D2565D">
              <w:rPr>
                <w:rFonts w:ascii="Times New Roman" w:hAnsi="Times New Roman" w:cs="Times New Roman"/>
                <w:b/>
                <w:sz w:val="20"/>
                <w:szCs w:val="20"/>
                <w:vertAlign w:val="superscript"/>
              </w:rPr>
              <w:footnoteReference w:id="11"/>
            </w:r>
          </w:p>
          <w:p w14:paraId="0668BA64" w14:textId="77777777" w:rsidR="00D55CF0" w:rsidRPr="00D2565D" w:rsidRDefault="00D55CF0" w:rsidP="003151D4">
            <w:pPr>
              <w:spacing w:after="0"/>
              <w:rPr>
                <w:rFonts w:ascii="Times New Roman" w:hAnsi="Times New Roman" w:cs="Times New Roman"/>
                <w:b/>
                <w:sz w:val="20"/>
                <w:szCs w:val="20"/>
              </w:rPr>
            </w:pPr>
            <w:r w:rsidRPr="00D2565D">
              <w:rPr>
                <w:rFonts w:ascii="Times New Roman" w:hAnsi="Times New Roman" w:cs="Times New Roman"/>
                <w:b/>
                <w:sz w:val="20"/>
                <w:szCs w:val="20"/>
              </w:rPr>
              <w:t>(5)÷(1)</w:t>
            </w:r>
          </w:p>
        </w:tc>
      </w:tr>
      <w:tr w:rsidR="00D55CF0" w:rsidRPr="00D2565D" w14:paraId="052B0C21" w14:textId="77777777" w:rsidTr="003151D4">
        <w:trPr>
          <w:cantSplit/>
        </w:trPr>
        <w:tc>
          <w:tcPr>
            <w:tcW w:w="1657" w:type="dxa"/>
          </w:tcPr>
          <w:p w14:paraId="2DEBC297" w14:textId="77777777" w:rsidR="00D55CF0"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(One-time) Review &amp; documentation of methodology for TFC or TTC and TRM</w:t>
            </w:r>
            <w:r>
              <w:rPr>
                <w:rFonts w:ascii="Times New Roman" w:hAnsi="Times New Roman" w:cs="Times New Roman"/>
                <w:sz w:val="20"/>
                <w:szCs w:val="20"/>
              </w:rPr>
              <w:t xml:space="preserve"> </w:t>
            </w:r>
          </w:p>
          <w:p w14:paraId="4894E183"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(FERC-725L)</w:t>
            </w:r>
          </w:p>
        </w:tc>
        <w:tc>
          <w:tcPr>
            <w:tcW w:w="1537" w:type="dxa"/>
            <w:vAlign w:val="bottom"/>
          </w:tcPr>
          <w:p w14:paraId="129C4372"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 xml:space="preserve">170 (TOP) </w:t>
            </w:r>
          </w:p>
        </w:tc>
        <w:tc>
          <w:tcPr>
            <w:tcW w:w="1444" w:type="dxa"/>
            <w:vAlign w:val="bottom"/>
          </w:tcPr>
          <w:p w14:paraId="0FD432A0"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w:t>
            </w:r>
          </w:p>
        </w:tc>
        <w:tc>
          <w:tcPr>
            <w:tcW w:w="1327" w:type="dxa"/>
            <w:vAlign w:val="bottom"/>
          </w:tcPr>
          <w:p w14:paraId="5AA6DF2B" w14:textId="77777777" w:rsidR="00D55CF0" w:rsidRPr="00D2565D" w:rsidDel="001A7B44"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170</w:t>
            </w:r>
          </w:p>
        </w:tc>
        <w:tc>
          <w:tcPr>
            <w:tcW w:w="1422" w:type="dxa"/>
            <w:vAlign w:val="bottom"/>
          </w:tcPr>
          <w:p w14:paraId="4ECC538E" w14:textId="71D6F808" w:rsidR="00D55CF0"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20</w:t>
            </w:r>
            <w:r w:rsidR="00EF55E7">
              <w:rPr>
                <w:rFonts w:ascii="Times New Roman" w:hAnsi="Times New Roman" w:cs="Times New Roman"/>
                <w:sz w:val="20"/>
                <w:szCs w:val="20"/>
              </w:rPr>
              <w:t xml:space="preserve"> </w:t>
            </w:r>
            <w:r>
              <w:rPr>
                <w:rFonts w:ascii="Times New Roman" w:hAnsi="Times New Roman" w:cs="Times New Roman"/>
                <w:sz w:val="20"/>
                <w:szCs w:val="20"/>
              </w:rPr>
              <w:t>hours</w:t>
            </w:r>
          </w:p>
          <w:p w14:paraId="0FAE4DC0" w14:textId="07849B05"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w:t>
            </w:r>
            <w:r w:rsidR="00EF55E7">
              <w:rPr>
                <w:rFonts w:ascii="Times New Roman" w:hAnsi="Times New Roman" w:cs="Times New Roman"/>
                <w:sz w:val="20"/>
                <w:szCs w:val="20"/>
              </w:rPr>
              <w:t>,</w:t>
            </w:r>
            <w:r w:rsidRPr="00D2565D">
              <w:rPr>
                <w:rFonts w:ascii="Times New Roman" w:hAnsi="Times New Roman" w:cs="Times New Roman"/>
                <w:sz w:val="20"/>
                <w:szCs w:val="20"/>
              </w:rPr>
              <w:t xml:space="preserve">192  </w:t>
            </w:r>
          </w:p>
        </w:tc>
        <w:tc>
          <w:tcPr>
            <w:tcW w:w="1620" w:type="dxa"/>
            <w:vAlign w:val="bottom"/>
          </w:tcPr>
          <w:p w14:paraId="2CE96617"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3,400 hours &amp;   $202,708</w:t>
            </w:r>
          </w:p>
        </w:tc>
        <w:tc>
          <w:tcPr>
            <w:tcW w:w="1350" w:type="dxa"/>
            <w:vAlign w:val="bottom"/>
          </w:tcPr>
          <w:p w14:paraId="10FE41B2" w14:textId="5EF65273"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w:t>
            </w:r>
            <w:r w:rsidR="00EF55E7">
              <w:rPr>
                <w:rFonts w:ascii="Times New Roman" w:hAnsi="Times New Roman" w:cs="Times New Roman"/>
                <w:sz w:val="20"/>
                <w:szCs w:val="20"/>
              </w:rPr>
              <w:t>,</w:t>
            </w:r>
            <w:r w:rsidRPr="00D2565D">
              <w:rPr>
                <w:rFonts w:ascii="Times New Roman" w:hAnsi="Times New Roman" w:cs="Times New Roman"/>
                <w:sz w:val="20"/>
                <w:szCs w:val="20"/>
              </w:rPr>
              <w:t>192</w:t>
            </w:r>
          </w:p>
        </w:tc>
      </w:tr>
      <w:tr w:rsidR="00D55CF0" w:rsidRPr="00D2565D" w14:paraId="305400E8" w14:textId="77777777" w:rsidTr="003151D4">
        <w:trPr>
          <w:cantSplit/>
        </w:trPr>
        <w:tc>
          <w:tcPr>
            <w:tcW w:w="1657" w:type="dxa"/>
          </w:tcPr>
          <w:p w14:paraId="5F7D05E2" w14:textId="77777777" w:rsidR="00D55CF0"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(One-time) Review &amp; documentation of methodology for AFC or ATC and CBM</w:t>
            </w:r>
            <w:r>
              <w:rPr>
                <w:rFonts w:ascii="Times New Roman" w:hAnsi="Times New Roman" w:cs="Times New Roman"/>
                <w:sz w:val="20"/>
                <w:szCs w:val="20"/>
              </w:rPr>
              <w:t xml:space="preserve"> </w:t>
            </w:r>
          </w:p>
          <w:p w14:paraId="5A579C45"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(FERC-725L)</w:t>
            </w:r>
          </w:p>
        </w:tc>
        <w:tc>
          <w:tcPr>
            <w:tcW w:w="1537" w:type="dxa"/>
            <w:tcBorders>
              <w:bottom w:val="single" w:sz="4" w:space="0" w:color="auto"/>
            </w:tcBorders>
            <w:vAlign w:val="bottom"/>
          </w:tcPr>
          <w:p w14:paraId="6E12F5DB"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 xml:space="preserve">93 (TSP) </w:t>
            </w:r>
          </w:p>
        </w:tc>
        <w:tc>
          <w:tcPr>
            <w:tcW w:w="1444" w:type="dxa"/>
            <w:tcBorders>
              <w:bottom w:val="single" w:sz="4" w:space="0" w:color="auto"/>
            </w:tcBorders>
            <w:vAlign w:val="bottom"/>
          </w:tcPr>
          <w:p w14:paraId="686EB6E3"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w:t>
            </w:r>
          </w:p>
        </w:tc>
        <w:tc>
          <w:tcPr>
            <w:tcW w:w="1327" w:type="dxa"/>
            <w:tcBorders>
              <w:bottom w:val="single" w:sz="4" w:space="0" w:color="auto"/>
            </w:tcBorders>
            <w:vAlign w:val="bottom"/>
          </w:tcPr>
          <w:p w14:paraId="7A6B04B1"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93</w:t>
            </w:r>
          </w:p>
        </w:tc>
        <w:tc>
          <w:tcPr>
            <w:tcW w:w="1422" w:type="dxa"/>
            <w:tcBorders>
              <w:bottom w:val="single" w:sz="4" w:space="0" w:color="auto"/>
            </w:tcBorders>
            <w:vAlign w:val="bottom"/>
          </w:tcPr>
          <w:p w14:paraId="769FFF85" w14:textId="77777777" w:rsidR="00D55CF0"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20 hours</w:t>
            </w:r>
          </w:p>
          <w:p w14:paraId="731A9004" w14:textId="053BB0EA"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w:t>
            </w:r>
            <w:r w:rsidR="00EF55E7">
              <w:rPr>
                <w:rFonts w:ascii="Times New Roman" w:hAnsi="Times New Roman" w:cs="Times New Roman"/>
                <w:sz w:val="20"/>
                <w:szCs w:val="20"/>
              </w:rPr>
              <w:t>,</w:t>
            </w:r>
            <w:r w:rsidRPr="00D2565D">
              <w:rPr>
                <w:rFonts w:ascii="Times New Roman" w:hAnsi="Times New Roman" w:cs="Times New Roman"/>
                <w:sz w:val="20"/>
                <w:szCs w:val="20"/>
              </w:rPr>
              <w:t xml:space="preserve">192  </w:t>
            </w:r>
          </w:p>
        </w:tc>
        <w:tc>
          <w:tcPr>
            <w:tcW w:w="1620" w:type="dxa"/>
            <w:vAlign w:val="bottom"/>
          </w:tcPr>
          <w:p w14:paraId="5D13EFA6"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1,860 hours &amp;   $110,893</w:t>
            </w:r>
          </w:p>
        </w:tc>
        <w:tc>
          <w:tcPr>
            <w:tcW w:w="1350" w:type="dxa"/>
            <w:vAlign w:val="bottom"/>
          </w:tcPr>
          <w:p w14:paraId="60DD996E" w14:textId="2AC5F63F"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w:t>
            </w:r>
            <w:r w:rsidR="00EF55E7">
              <w:rPr>
                <w:rFonts w:ascii="Times New Roman" w:hAnsi="Times New Roman" w:cs="Times New Roman"/>
                <w:sz w:val="20"/>
                <w:szCs w:val="20"/>
              </w:rPr>
              <w:t>,</w:t>
            </w:r>
            <w:r w:rsidRPr="00D2565D">
              <w:rPr>
                <w:rFonts w:ascii="Times New Roman" w:hAnsi="Times New Roman" w:cs="Times New Roman"/>
                <w:sz w:val="20"/>
                <w:szCs w:val="20"/>
              </w:rPr>
              <w:t>192</w:t>
            </w:r>
          </w:p>
        </w:tc>
      </w:tr>
      <w:tr w:rsidR="00D55CF0" w:rsidRPr="00D2565D" w14:paraId="11583669" w14:textId="77777777" w:rsidTr="003151D4">
        <w:trPr>
          <w:cantSplit/>
        </w:trPr>
        <w:tc>
          <w:tcPr>
            <w:tcW w:w="1657" w:type="dxa"/>
          </w:tcPr>
          <w:p w14:paraId="21B385FF" w14:textId="77777777" w:rsidR="00D55CF0"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(On-going) Record retention (of methodology) and requests for data</w:t>
            </w:r>
          </w:p>
          <w:p w14:paraId="7F284693"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(FERC-725L)</w:t>
            </w:r>
          </w:p>
        </w:tc>
        <w:tc>
          <w:tcPr>
            <w:tcW w:w="1537" w:type="dxa"/>
            <w:tcBorders>
              <w:bottom w:val="single" w:sz="4" w:space="0" w:color="auto"/>
            </w:tcBorders>
            <w:vAlign w:val="bottom"/>
          </w:tcPr>
          <w:p w14:paraId="4728656C"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170 (TOP) + 93 (TSP)</w:t>
            </w:r>
            <w:r w:rsidRPr="00D2565D">
              <w:rPr>
                <w:rFonts w:ascii="Times New Roman" w:hAnsi="Times New Roman" w:cs="Times New Roman"/>
                <w:b/>
                <w:sz w:val="20"/>
                <w:szCs w:val="20"/>
                <w:vertAlign w:val="superscript"/>
              </w:rPr>
              <w:t xml:space="preserve"> </w:t>
            </w:r>
            <w:r w:rsidRPr="00D2565D">
              <w:rPr>
                <w:rFonts w:ascii="Times New Roman" w:hAnsi="Times New Roman" w:cs="Times New Roman"/>
                <w:b/>
                <w:sz w:val="20"/>
                <w:szCs w:val="20"/>
                <w:vertAlign w:val="superscript"/>
              </w:rPr>
              <w:footnoteReference w:id="12"/>
            </w:r>
          </w:p>
        </w:tc>
        <w:tc>
          <w:tcPr>
            <w:tcW w:w="1444" w:type="dxa"/>
            <w:tcBorders>
              <w:bottom w:val="single" w:sz="4" w:space="0" w:color="auto"/>
            </w:tcBorders>
            <w:vAlign w:val="bottom"/>
          </w:tcPr>
          <w:p w14:paraId="73C7A8FD"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w:t>
            </w:r>
          </w:p>
        </w:tc>
        <w:tc>
          <w:tcPr>
            <w:tcW w:w="1327" w:type="dxa"/>
            <w:vAlign w:val="bottom"/>
          </w:tcPr>
          <w:p w14:paraId="4DAADA0F"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186</w:t>
            </w:r>
          </w:p>
        </w:tc>
        <w:tc>
          <w:tcPr>
            <w:tcW w:w="1422" w:type="dxa"/>
            <w:vAlign w:val="bottom"/>
          </w:tcPr>
          <w:p w14:paraId="2E7C5DDF"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2 hours</w:t>
            </w:r>
            <w:r w:rsidRPr="00D2565D">
              <w:rPr>
                <w:rFonts w:ascii="Times New Roman" w:hAnsi="Times New Roman" w:cs="Times New Roman"/>
                <w:sz w:val="20"/>
                <w:szCs w:val="20"/>
              </w:rPr>
              <w:t xml:space="preserve"> $57.90  </w:t>
            </w:r>
          </w:p>
        </w:tc>
        <w:tc>
          <w:tcPr>
            <w:tcW w:w="1620" w:type="dxa"/>
            <w:vAlign w:val="bottom"/>
          </w:tcPr>
          <w:p w14:paraId="742A077B"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372 hours &amp;</w:t>
            </w:r>
            <w:r w:rsidRPr="00D2565D">
              <w:rPr>
                <w:rFonts w:ascii="Times New Roman" w:hAnsi="Times New Roman" w:cs="Times New Roman"/>
                <w:sz w:val="20"/>
                <w:szCs w:val="20"/>
              </w:rPr>
              <w:br/>
              <w:t xml:space="preserve"> $10,769</w:t>
            </w:r>
          </w:p>
        </w:tc>
        <w:tc>
          <w:tcPr>
            <w:tcW w:w="1350" w:type="dxa"/>
            <w:vAlign w:val="bottom"/>
          </w:tcPr>
          <w:p w14:paraId="0B6DE0DD"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t>$57.90</w:t>
            </w:r>
          </w:p>
        </w:tc>
      </w:tr>
      <w:tr w:rsidR="00D55CF0" w:rsidRPr="00D2565D" w14:paraId="1ED03071" w14:textId="77777777" w:rsidTr="003151D4">
        <w:trPr>
          <w:cantSplit/>
        </w:trPr>
        <w:tc>
          <w:tcPr>
            <w:tcW w:w="1657" w:type="dxa"/>
          </w:tcPr>
          <w:p w14:paraId="002C0F7F" w14:textId="77777777" w:rsidR="00D55CF0"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(On-going) Retirement of Transmission Planner, Load-Serving Entity, and Balancing Authority application</w:t>
            </w:r>
          </w:p>
          <w:p w14:paraId="355B3B34"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(FERC-725A)</w:t>
            </w:r>
          </w:p>
        </w:tc>
        <w:tc>
          <w:tcPr>
            <w:tcW w:w="1537" w:type="dxa"/>
            <w:tcBorders>
              <w:bottom w:val="single" w:sz="4" w:space="0" w:color="auto"/>
            </w:tcBorders>
            <w:vAlign w:val="bottom"/>
          </w:tcPr>
          <w:p w14:paraId="07FAF8FC"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180 (TP) + 492 (LSE) +107 (BA)</w:t>
            </w:r>
          </w:p>
        </w:tc>
        <w:tc>
          <w:tcPr>
            <w:tcW w:w="1444" w:type="dxa"/>
            <w:tcBorders>
              <w:bottom w:val="single" w:sz="4" w:space="0" w:color="auto"/>
            </w:tcBorders>
            <w:vAlign w:val="bottom"/>
          </w:tcPr>
          <w:p w14:paraId="422E9B29"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w:t>
            </w:r>
          </w:p>
        </w:tc>
        <w:tc>
          <w:tcPr>
            <w:tcW w:w="1327" w:type="dxa"/>
            <w:vAlign w:val="bottom"/>
          </w:tcPr>
          <w:p w14:paraId="110355E7"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-551</w:t>
            </w:r>
          </w:p>
        </w:tc>
        <w:tc>
          <w:tcPr>
            <w:tcW w:w="1422" w:type="dxa"/>
            <w:vAlign w:val="bottom"/>
          </w:tcPr>
          <w:p w14:paraId="480348DF" w14:textId="77777777" w:rsidR="00D55CF0"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-3 hours</w:t>
            </w:r>
          </w:p>
          <w:p w14:paraId="410F7791"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$178.86</w:t>
            </w:r>
          </w:p>
        </w:tc>
        <w:tc>
          <w:tcPr>
            <w:tcW w:w="1620" w:type="dxa"/>
            <w:vAlign w:val="bottom"/>
          </w:tcPr>
          <w:p w14:paraId="096AC661" w14:textId="07B8909D" w:rsidR="00D55CF0"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-1,653 hours</w:t>
            </w:r>
            <w:r w:rsidR="000020EE">
              <w:rPr>
                <w:rFonts w:ascii="Times New Roman" w:hAnsi="Times New Roman" w:cs="Times New Roman"/>
                <w:sz w:val="20"/>
                <w:szCs w:val="20"/>
              </w:rPr>
              <w:t xml:space="preserve"> &amp;</w:t>
            </w:r>
          </w:p>
          <w:p w14:paraId="60491C67"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-$98,551</w:t>
            </w:r>
          </w:p>
        </w:tc>
        <w:tc>
          <w:tcPr>
            <w:tcW w:w="1350" w:type="dxa"/>
            <w:vAlign w:val="bottom"/>
          </w:tcPr>
          <w:p w14:paraId="6FD378DA"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-$178.86</w:t>
            </w:r>
          </w:p>
        </w:tc>
      </w:tr>
      <w:tr w:rsidR="00D55CF0" w:rsidRPr="00D2565D" w14:paraId="28916412" w14:textId="77777777" w:rsidTr="003151D4">
        <w:trPr>
          <w:cantSplit/>
        </w:trPr>
        <w:tc>
          <w:tcPr>
            <w:tcW w:w="1657" w:type="dxa"/>
          </w:tcPr>
          <w:p w14:paraId="33DF3299"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(On-going) Retirement of non-reliability function requirements (FERC-725A)</w:t>
            </w:r>
          </w:p>
        </w:tc>
        <w:tc>
          <w:tcPr>
            <w:tcW w:w="1537" w:type="dxa"/>
            <w:tcBorders>
              <w:bottom w:val="single" w:sz="4" w:space="0" w:color="auto"/>
            </w:tcBorders>
            <w:vAlign w:val="bottom"/>
          </w:tcPr>
          <w:p w14:paraId="14A4DF5E"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170 (TP) + 93 (TSP)</w:t>
            </w:r>
          </w:p>
        </w:tc>
        <w:tc>
          <w:tcPr>
            <w:tcW w:w="1444" w:type="dxa"/>
            <w:tcBorders>
              <w:bottom w:val="single" w:sz="4" w:space="0" w:color="auto"/>
            </w:tcBorders>
            <w:vAlign w:val="bottom"/>
          </w:tcPr>
          <w:p w14:paraId="1419CD14"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w:t>
            </w:r>
          </w:p>
        </w:tc>
        <w:tc>
          <w:tcPr>
            <w:tcW w:w="1327" w:type="dxa"/>
            <w:vAlign w:val="bottom"/>
          </w:tcPr>
          <w:p w14:paraId="3CDD2705"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-186</w:t>
            </w:r>
          </w:p>
        </w:tc>
        <w:tc>
          <w:tcPr>
            <w:tcW w:w="1422" w:type="dxa"/>
            <w:vAlign w:val="bottom"/>
          </w:tcPr>
          <w:p w14:paraId="0B2ED1D9" w14:textId="77777777" w:rsidR="00D55CF0"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-16 hours</w:t>
            </w:r>
          </w:p>
          <w:p w14:paraId="1E351BF2"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$953.92</w:t>
            </w:r>
          </w:p>
        </w:tc>
        <w:tc>
          <w:tcPr>
            <w:tcW w:w="1620" w:type="dxa"/>
            <w:vAlign w:val="bottom"/>
          </w:tcPr>
          <w:p w14:paraId="767DC989" w14:textId="4E908CE8" w:rsidR="00D55CF0"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-2,976 hours</w:t>
            </w:r>
            <w:r w:rsidR="000020EE">
              <w:rPr>
                <w:rFonts w:ascii="Times New Roman" w:hAnsi="Times New Roman" w:cs="Times New Roman"/>
                <w:sz w:val="20"/>
                <w:szCs w:val="20"/>
              </w:rPr>
              <w:t xml:space="preserve"> &amp;</w:t>
            </w:r>
          </w:p>
          <w:p w14:paraId="52A97691"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$177,429</w:t>
            </w:r>
          </w:p>
        </w:tc>
        <w:tc>
          <w:tcPr>
            <w:tcW w:w="1350" w:type="dxa"/>
            <w:vAlign w:val="bottom"/>
          </w:tcPr>
          <w:p w14:paraId="4A3684CC"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-$953.52</w:t>
            </w:r>
          </w:p>
        </w:tc>
      </w:tr>
      <w:tr w:rsidR="00D55CF0" w:rsidRPr="00D2565D" w14:paraId="1EDD8322" w14:textId="77777777" w:rsidTr="003151D4">
        <w:trPr>
          <w:cantSplit/>
        </w:trPr>
        <w:tc>
          <w:tcPr>
            <w:tcW w:w="1657" w:type="dxa"/>
          </w:tcPr>
          <w:p w14:paraId="6CB8D7D5" w14:textId="77777777" w:rsidR="00D55CF0" w:rsidRPr="00D2565D" w:rsidRDefault="00D55CF0" w:rsidP="003151D4">
            <w:pPr>
              <w:spacing w:after="0"/>
              <w:rPr>
                <w:rFonts w:ascii="Times New Roman" w:hAnsi="Times New Roman" w:cs="Times New Roman"/>
                <w:sz w:val="20"/>
                <w:szCs w:val="20"/>
              </w:rPr>
            </w:pPr>
            <w:r w:rsidRPr="00D2565D">
              <w:rPr>
                <w:rFonts w:ascii="Times New Roman" w:hAnsi="Times New Roman" w:cs="Times New Roman"/>
                <w:sz w:val="20"/>
                <w:szCs w:val="20"/>
              </w:rPr>
              <w:lastRenderedPageBreak/>
              <w:t>TOTAL</w:t>
            </w:r>
          </w:p>
        </w:tc>
        <w:tc>
          <w:tcPr>
            <w:tcW w:w="2981" w:type="dxa"/>
            <w:gridSpan w:val="2"/>
            <w:tcBorders>
              <w:bottom w:val="single" w:sz="4" w:space="0" w:color="auto"/>
            </w:tcBorders>
            <w:shd w:val="clear" w:color="auto" w:fill="BFBFBF" w:themeFill="background1" w:themeFillShade="BF"/>
            <w:vAlign w:val="bottom"/>
          </w:tcPr>
          <w:p w14:paraId="0A3D09A8" w14:textId="77777777" w:rsidR="00D55CF0" w:rsidRPr="00D2565D" w:rsidRDefault="00D55CF0" w:rsidP="003151D4">
            <w:pPr>
              <w:spacing w:after="0"/>
              <w:rPr>
                <w:rFonts w:ascii="Times New Roman" w:hAnsi="Times New Roman" w:cs="Times New Roman"/>
                <w:sz w:val="20"/>
                <w:szCs w:val="20"/>
              </w:rPr>
            </w:pPr>
          </w:p>
        </w:tc>
        <w:tc>
          <w:tcPr>
            <w:tcW w:w="1327" w:type="dxa"/>
            <w:tcBorders>
              <w:bottom w:val="single" w:sz="4" w:space="0" w:color="auto"/>
            </w:tcBorders>
            <w:vAlign w:val="bottom"/>
          </w:tcPr>
          <w:p w14:paraId="62A82E7F"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-288</w:t>
            </w:r>
          </w:p>
        </w:tc>
        <w:tc>
          <w:tcPr>
            <w:tcW w:w="1422" w:type="dxa"/>
            <w:tcBorders>
              <w:bottom w:val="single" w:sz="4" w:space="0" w:color="auto"/>
            </w:tcBorders>
            <w:shd w:val="clear" w:color="auto" w:fill="BFBFBF" w:themeFill="background1" w:themeFillShade="BF"/>
            <w:vAlign w:val="bottom"/>
          </w:tcPr>
          <w:p w14:paraId="690CAE61" w14:textId="77777777" w:rsidR="00D55CF0" w:rsidRPr="00D2565D" w:rsidRDefault="00D55CF0" w:rsidP="003151D4">
            <w:pPr>
              <w:spacing w:after="0"/>
              <w:rPr>
                <w:rFonts w:ascii="Times New Roman" w:hAnsi="Times New Roman" w:cs="Times New Roman"/>
                <w:sz w:val="20"/>
                <w:szCs w:val="20"/>
              </w:rPr>
            </w:pPr>
          </w:p>
        </w:tc>
        <w:tc>
          <w:tcPr>
            <w:tcW w:w="1620" w:type="dxa"/>
            <w:vAlign w:val="bottom"/>
          </w:tcPr>
          <w:p w14:paraId="268A9CD3"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1,003</w:t>
            </w:r>
          </w:p>
          <w:p w14:paraId="2EAF1F79" w14:textId="77777777" w:rsidR="00D55CF0" w:rsidRPr="00D2565D" w:rsidRDefault="00D55CF0" w:rsidP="003151D4">
            <w:pPr>
              <w:spacing w:after="0"/>
              <w:rPr>
                <w:rFonts w:ascii="Times New Roman" w:hAnsi="Times New Roman" w:cs="Times New Roman"/>
                <w:sz w:val="20"/>
                <w:szCs w:val="20"/>
              </w:rPr>
            </w:pPr>
            <w:r>
              <w:rPr>
                <w:rFonts w:ascii="Times New Roman" w:hAnsi="Times New Roman" w:cs="Times New Roman"/>
                <w:sz w:val="20"/>
                <w:szCs w:val="20"/>
              </w:rPr>
              <w:t>$48,389</w:t>
            </w:r>
          </w:p>
        </w:tc>
        <w:tc>
          <w:tcPr>
            <w:tcW w:w="1350" w:type="dxa"/>
            <w:shd w:val="clear" w:color="auto" w:fill="BFBFBF" w:themeFill="background1" w:themeFillShade="BF"/>
            <w:vAlign w:val="bottom"/>
          </w:tcPr>
          <w:p w14:paraId="0F57301D" w14:textId="77777777" w:rsidR="00D55CF0" w:rsidRPr="00D2565D" w:rsidRDefault="00D55CF0" w:rsidP="003151D4">
            <w:pPr>
              <w:spacing w:after="0"/>
              <w:rPr>
                <w:rFonts w:ascii="Times New Roman" w:hAnsi="Times New Roman" w:cs="Times New Roman"/>
                <w:sz w:val="20"/>
                <w:szCs w:val="20"/>
              </w:rPr>
            </w:pPr>
          </w:p>
        </w:tc>
      </w:tr>
    </w:tbl>
    <w:p w14:paraId="32FC647A" w14:textId="77777777" w:rsidR="00D55CF0" w:rsidRDefault="00D55CF0" w:rsidP="00D55CF0">
      <w:pPr>
        <w:spacing w:after="0"/>
        <w:rPr>
          <w:rFonts w:ascii="Times New Roman" w:hAnsi="Times New Roman" w:cs="Times New Roman"/>
          <w:sz w:val="24"/>
          <w:szCs w:val="24"/>
        </w:rPr>
      </w:pPr>
    </w:p>
    <w:p w14:paraId="092D515E" w14:textId="0C9C4DB0" w:rsidR="00D55CF0" w:rsidRDefault="00812816" w:rsidP="00A276F5">
      <w:pPr>
        <w:spacing w:after="0"/>
        <w:rPr>
          <w:rFonts w:ascii="Times New Roman" w:hAnsi="Times New Roman" w:cs="Times New Roman"/>
          <w:sz w:val="24"/>
          <w:szCs w:val="24"/>
        </w:rPr>
      </w:pPr>
      <w:r>
        <w:rPr>
          <w:rFonts w:ascii="Times New Roman" w:hAnsi="Times New Roman" w:cs="Times New Roman"/>
          <w:sz w:val="24"/>
          <w:szCs w:val="24"/>
        </w:rPr>
        <w:t>Acronyms in the above table:</w:t>
      </w:r>
    </w:p>
    <w:p w14:paraId="5BF62AC2" w14:textId="77777777" w:rsidR="00DC0E01" w:rsidRDefault="00DC0E01" w:rsidP="00A276F5">
      <w:pPr>
        <w:spacing w:after="0"/>
        <w:rPr>
          <w:rFonts w:ascii="Times New Roman" w:hAnsi="Times New Roman" w:cs="Times New Roman"/>
          <w:sz w:val="24"/>
          <w:szCs w:val="24"/>
        </w:rPr>
      </w:pPr>
    </w:p>
    <w:p w14:paraId="382C0A84" w14:textId="41DB8155" w:rsidR="00812816" w:rsidRPr="00DC0E01" w:rsidRDefault="00812816" w:rsidP="00DC0E01">
      <w:pPr>
        <w:pStyle w:val="ListParagraph"/>
        <w:numPr>
          <w:ilvl w:val="0"/>
          <w:numId w:val="5"/>
        </w:numPr>
        <w:spacing w:after="0"/>
        <w:rPr>
          <w:rFonts w:ascii="Times New Roman" w:hAnsi="Times New Roman" w:cs="Times New Roman"/>
          <w:sz w:val="24"/>
          <w:szCs w:val="24"/>
        </w:rPr>
      </w:pPr>
      <w:r w:rsidRPr="00DC0E01">
        <w:rPr>
          <w:rFonts w:ascii="Times New Roman" w:hAnsi="Times New Roman" w:cs="Times New Roman"/>
          <w:sz w:val="24"/>
          <w:szCs w:val="24"/>
        </w:rPr>
        <w:t xml:space="preserve">TFC = Total </w:t>
      </w:r>
      <w:proofErr w:type="spellStart"/>
      <w:r w:rsidRPr="00DC0E01">
        <w:rPr>
          <w:rFonts w:ascii="Times New Roman" w:hAnsi="Times New Roman" w:cs="Times New Roman"/>
          <w:sz w:val="24"/>
          <w:szCs w:val="24"/>
        </w:rPr>
        <w:t>Flowgate</w:t>
      </w:r>
      <w:proofErr w:type="spellEnd"/>
      <w:r w:rsidRPr="00DC0E01">
        <w:rPr>
          <w:rFonts w:ascii="Times New Roman" w:hAnsi="Times New Roman" w:cs="Times New Roman"/>
          <w:sz w:val="24"/>
          <w:szCs w:val="24"/>
        </w:rPr>
        <w:t xml:space="preserve"> Capability</w:t>
      </w:r>
    </w:p>
    <w:p w14:paraId="02563FD5" w14:textId="4B940795" w:rsidR="00812816" w:rsidRPr="00DC0E01" w:rsidRDefault="00812816" w:rsidP="00DC0E01">
      <w:pPr>
        <w:pStyle w:val="ListParagraph"/>
        <w:numPr>
          <w:ilvl w:val="0"/>
          <w:numId w:val="5"/>
        </w:numPr>
        <w:spacing w:after="0"/>
        <w:rPr>
          <w:rFonts w:ascii="Times New Roman" w:hAnsi="Times New Roman" w:cs="Times New Roman"/>
          <w:sz w:val="24"/>
          <w:szCs w:val="24"/>
        </w:rPr>
      </w:pPr>
      <w:r w:rsidRPr="00DC0E01">
        <w:rPr>
          <w:rFonts w:ascii="Times New Roman" w:hAnsi="Times New Roman" w:cs="Times New Roman"/>
          <w:sz w:val="24"/>
          <w:szCs w:val="24"/>
        </w:rPr>
        <w:t>TTC</w:t>
      </w:r>
      <w:r w:rsidR="00DC0E01" w:rsidRPr="00DC0E01">
        <w:rPr>
          <w:rFonts w:ascii="Times New Roman" w:hAnsi="Times New Roman" w:cs="Times New Roman"/>
          <w:sz w:val="24"/>
          <w:szCs w:val="24"/>
        </w:rPr>
        <w:t xml:space="preserve"> </w:t>
      </w:r>
      <w:r w:rsidRPr="00DC0E01">
        <w:rPr>
          <w:rFonts w:ascii="Times New Roman" w:hAnsi="Times New Roman" w:cs="Times New Roman"/>
          <w:sz w:val="24"/>
          <w:szCs w:val="24"/>
        </w:rPr>
        <w:t>= Total Transfer Capability</w:t>
      </w:r>
    </w:p>
    <w:p w14:paraId="1CFD6124" w14:textId="6E5663D0" w:rsidR="00812816" w:rsidRPr="00DC0E01" w:rsidRDefault="00812816" w:rsidP="00DC0E01">
      <w:pPr>
        <w:pStyle w:val="ListParagraph"/>
        <w:numPr>
          <w:ilvl w:val="0"/>
          <w:numId w:val="5"/>
        </w:numPr>
        <w:spacing w:after="0"/>
        <w:rPr>
          <w:rFonts w:ascii="Times New Roman" w:hAnsi="Times New Roman" w:cs="Times New Roman"/>
          <w:sz w:val="24"/>
          <w:szCs w:val="24"/>
        </w:rPr>
      </w:pPr>
      <w:r w:rsidRPr="00DC0E01">
        <w:rPr>
          <w:rFonts w:ascii="Times New Roman" w:hAnsi="Times New Roman" w:cs="Times New Roman"/>
          <w:sz w:val="24"/>
          <w:szCs w:val="24"/>
        </w:rPr>
        <w:t>TRM = Transmission Reliability Margin</w:t>
      </w:r>
    </w:p>
    <w:p w14:paraId="54C723C1" w14:textId="033E8AEB" w:rsidR="00812816" w:rsidRPr="00DC0E01" w:rsidRDefault="00812816" w:rsidP="00DC0E01">
      <w:pPr>
        <w:pStyle w:val="ListParagraph"/>
        <w:numPr>
          <w:ilvl w:val="0"/>
          <w:numId w:val="5"/>
        </w:numPr>
        <w:spacing w:after="0"/>
        <w:rPr>
          <w:rFonts w:ascii="Times New Roman" w:hAnsi="Times New Roman" w:cs="Times New Roman"/>
          <w:sz w:val="24"/>
          <w:szCs w:val="24"/>
        </w:rPr>
      </w:pPr>
      <w:r w:rsidRPr="00DC0E01">
        <w:rPr>
          <w:rFonts w:ascii="Times New Roman" w:hAnsi="Times New Roman" w:cs="Times New Roman"/>
          <w:sz w:val="24"/>
          <w:szCs w:val="24"/>
        </w:rPr>
        <w:t xml:space="preserve">AFC = Available </w:t>
      </w:r>
      <w:proofErr w:type="spellStart"/>
      <w:r w:rsidRPr="00DC0E01">
        <w:rPr>
          <w:rFonts w:ascii="Times New Roman" w:hAnsi="Times New Roman" w:cs="Times New Roman"/>
          <w:sz w:val="24"/>
          <w:szCs w:val="24"/>
        </w:rPr>
        <w:t>Flowgate</w:t>
      </w:r>
      <w:proofErr w:type="spellEnd"/>
      <w:r w:rsidRPr="00DC0E01">
        <w:rPr>
          <w:rFonts w:ascii="Times New Roman" w:hAnsi="Times New Roman" w:cs="Times New Roman"/>
          <w:sz w:val="24"/>
          <w:szCs w:val="24"/>
        </w:rPr>
        <w:t xml:space="preserve"> Capability</w:t>
      </w:r>
    </w:p>
    <w:p w14:paraId="60825AA7" w14:textId="67E80851" w:rsidR="00812816" w:rsidRPr="00DC0E01" w:rsidRDefault="00812816" w:rsidP="00DC0E01">
      <w:pPr>
        <w:pStyle w:val="ListParagraph"/>
        <w:numPr>
          <w:ilvl w:val="0"/>
          <w:numId w:val="5"/>
        </w:numPr>
        <w:spacing w:after="0"/>
        <w:rPr>
          <w:rFonts w:ascii="Times New Roman" w:hAnsi="Times New Roman" w:cs="Times New Roman"/>
          <w:sz w:val="24"/>
          <w:szCs w:val="24"/>
        </w:rPr>
      </w:pPr>
      <w:r w:rsidRPr="00DC0E01">
        <w:rPr>
          <w:rFonts w:ascii="Times New Roman" w:hAnsi="Times New Roman" w:cs="Times New Roman"/>
          <w:sz w:val="24"/>
          <w:szCs w:val="24"/>
        </w:rPr>
        <w:t xml:space="preserve">ATC = </w:t>
      </w:r>
      <w:r w:rsidR="00DC0E01" w:rsidRPr="00DC0E01">
        <w:rPr>
          <w:rFonts w:ascii="Times New Roman" w:hAnsi="Times New Roman" w:cs="Times New Roman"/>
          <w:sz w:val="24"/>
          <w:szCs w:val="24"/>
        </w:rPr>
        <w:t>Available Transfer Capability</w:t>
      </w:r>
    </w:p>
    <w:p w14:paraId="04B031C6" w14:textId="4D74571B" w:rsidR="00812816" w:rsidRDefault="00812816" w:rsidP="00DC0E01">
      <w:pPr>
        <w:pStyle w:val="ListParagraph"/>
        <w:numPr>
          <w:ilvl w:val="0"/>
          <w:numId w:val="5"/>
        </w:numPr>
        <w:spacing w:after="0"/>
        <w:rPr>
          <w:rFonts w:ascii="Times New Roman" w:hAnsi="Times New Roman" w:cs="Times New Roman"/>
          <w:sz w:val="24"/>
          <w:szCs w:val="24"/>
        </w:rPr>
      </w:pPr>
      <w:r w:rsidRPr="00DC0E01">
        <w:rPr>
          <w:rFonts w:ascii="Times New Roman" w:hAnsi="Times New Roman" w:cs="Times New Roman"/>
          <w:sz w:val="24"/>
          <w:szCs w:val="24"/>
        </w:rPr>
        <w:t>CBM = Capacity Benefit Margin</w:t>
      </w:r>
    </w:p>
    <w:p w14:paraId="259C1E80" w14:textId="77777777" w:rsidR="00DC0E01" w:rsidRPr="00DC0E01" w:rsidRDefault="00DC0E01" w:rsidP="00DC0E01">
      <w:pPr>
        <w:spacing w:after="0"/>
        <w:rPr>
          <w:rFonts w:ascii="Times New Roman" w:hAnsi="Times New Roman" w:cs="Times New Roman"/>
          <w:sz w:val="24"/>
          <w:szCs w:val="24"/>
        </w:rPr>
      </w:pPr>
    </w:p>
    <w:p w14:paraId="6EF25D95" w14:textId="317A8BF5" w:rsidR="0089676C" w:rsidRDefault="002046DB" w:rsidP="00A276F5">
      <w:pPr>
        <w:spacing w:after="0"/>
        <w:rPr>
          <w:rFonts w:ascii="Times New Roman" w:hAnsi="Times New Roman" w:cs="Times New Roman"/>
          <w:sz w:val="24"/>
          <w:szCs w:val="24"/>
        </w:rPr>
      </w:pPr>
      <w:r>
        <w:rPr>
          <w:rFonts w:ascii="Times New Roman" w:hAnsi="Times New Roman" w:cs="Times New Roman"/>
          <w:sz w:val="24"/>
          <w:szCs w:val="24"/>
        </w:rPr>
        <w:t xml:space="preserve">The burden change </w:t>
      </w:r>
      <w:r w:rsidR="000020EE">
        <w:rPr>
          <w:rFonts w:ascii="Times New Roman" w:hAnsi="Times New Roman" w:cs="Times New Roman"/>
          <w:sz w:val="24"/>
          <w:szCs w:val="24"/>
        </w:rPr>
        <w:t>proposed in the NOPR</w:t>
      </w:r>
      <w:r>
        <w:rPr>
          <w:rFonts w:ascii="Times New Roman" w:hAnsi="Times New Roman" w:cs="Times New Roman"/>
          <w:sz w:val="24"/>
          <w:szCs w:val="24"/>
        </w:rPr>
        <w:t xml:space="preserve"> is the result of 1) additional burden due to the proposed Reliability Standard (MOD-001-2) and 2) the retirement of several MOD Reliability Standards</w:t>
      </w:r>
      <w:r w:rsidR="00E705AE">
        <w:rPr>
          <w:rFonts w:ascii="Times New Roman" w:hAnsi="Times New Roman" w:cs="Times New Roman"/>
          <w:sz w:val="24"/>
          <w:szCs w:val="24"/>
        </w:rPr>
        <w:t xml:space="preserve"> (</w:t>
      </w:r>
      <w:r w:rsidR="00E705AE" w:rsidRPr="00E705AE">
        <w:rPr>
          <w:rFonts w:ascii="Times New Roman" w:hAnsi="Times New Roman" w:cs="Times New Roman"/>
          <w:sz w:val="24"/>
          <w:szCs w:val="24"/>
        </w:rPr>
        <w:t>MOD-001-1a, MOD-004-1, MOD-008-1, MOD-028-2, MOD-029-1a, and MOD-030-2</w:t>
      </w:r>
      <w:r w:rsidR="00E705AE">
        <w:rPr>
          <w:rFonts w:ascii="Times New Roman" w:hAnsi="Times New Roman" w:cs="Times New Roman"/>
          <w:sz w:val="24"/>
          <w:szCs w:val="24"/>
        </w:rPr>
        <w:t>)</w:t>
      </w:r>
      <w:r>
        <w:rPr>
          <w:rFonts w:ascii="Times New Roman" w:hAnsi="Times New Roman" w:cs="Times New Roman"/>
          <w:sz w:val="24"/>
          <w:szCs w:val="24"/>
        </w:rPr>
        <w:t xml:space="preserve">. There is a net increase of 1,003 </w:t>
      </w:r>
      <w:r w:rsidR="00E705AE">
        <w:rPr>
          <w:rFonts w:ascii="Times New Roman" w:hAnsi="Times New Roman" w:cs="Times New Roman"/>
          <w:sz w:val="24"/>
          <w:szCs w:val="24"/>
        </w:rPr>
        <w:t xml:space="preserve">burden </w:t>
      </w:r>
      <w:r>
        <w:rPr>
          <w:rFonts w:ascii="Times New Roman" w:hAnsi="Times New Roman" w:cs="Times New Roman"/>
          <w:sz w:val="24"/>
          <w:szCs w:val="24"/>
        </w:rPr>
        <w:t xml:space="preserve">hours. </w:t>
      </w:r>
    </w:p>
    <w:p w14:paraId="21754D8F" w14:textId="77777777" w:rsidR="0089676C" w:rsidRDefault="0089676C" w:rsidP="00A276F5">
      <w:pPr>
        <w:spacing w:after="0"/>
        <w:rPr>
          <w:rFonts w:ascii="Times New Roman" w:hAnsi="Times New Roman" w:cs="Times New Roman"/>
          <w:sz w:val="24"/>
          <w:szCs w:val="24"/>
        </w:rPr>
      </w:pPr>
    </w:p>
    <w:p w14:paraId="1BA79053" w14:textId="59C69C9C" w:rsidR="00AD281F" w:rsidRDefault="0089676C" w:rsidP="00A276F5">
      <w:pPr>
        <w:spacing w:after="0"/>
        <w:rPr>
          <w:rFonts w:ascii="Times New Roman" w:hAnsi="Times New Roman" w:cs="Times New Roman"/>
          <w:sz w:val="24"/>
          <w:szCs w:val="24"/>
        </w:rPr>
      </w:pPr>
      <w:r>
        <w:rPr>
          <w:rFonts w:ascii="Times New Roman" w:hAnsi="Times New Roman" w:cs="Times New Roman"/>
          <w:sz w:val="24"/>
          <w:szCs w:val="24"/>
        </w:rPr>
        <w:t>The additional burden due to the MOD-0</w:t>
      </w:r>
      <w:r w:rsidR="00E705AE">
        <w:rPr>
          <w:rFonts w:ascii="Times New Roman" w:hAnsi="Times New Roman" w:cs="Times New Roman"/>
          <w:sz w:val="24"/>
          <w:szCs w:val="24"/>
        </w:rPr>
        <w:t>0</w:t>
      </w:r>
      <w:r>
        <w:rPr>
          <w:rFonts w:ascii="Times New Roman" w:hAnsi="Times New Roman" w:cs="Times New Roman"/>
          <w:sz w:val="24"/>
          <w:szCs w:val="24"/>
        </w:rPr>
        <w:t>1-2 Reliability Standard will be applied to FERC-725L information collection</w:t>
      </w:r>
      <w:r w:rsidR="0049325A">
        <w:rPr>
          <w:rFonts w:ascii="Times New Roman" w:hAnsi="Times New Roman" w:cs="Times New Roman"/>
          <w:sz w:val="24"/>
          <w:szCs w:val="24"/>
        </w:rPr>
        <w:t>.  The one-time burden hours will be removed upon completion</w:t>
      </w:r>
      <w:r>
        <w:rPr>
          <w:rFonts w:ascii="Times New Roman" w:hAnsi="Times New Roman" w:cs="Times New Roman"/>
          <w:sz w:val="24"/>
          <w:szCs w:val="24"/>
        </w:rPr>
        <w:t>.  However, the retirement of existing MOD standards will be removed from the FE</w:t>
      </w:r>
      <w:r w:rsidR="00E705AE">
        <w:rPr>
          <w:rFonts w:ascii="Times New Roman" w:hAnsi="Times New Roman" w:cs="Times New Roman"/>
          <w:sz w:val="24"/>
          <w:szCs w:val="24"/>
        </w:rPr>
        <w:t xml:space="preserve">RC-725A information collection. </w:t>
      </w:r>
      <w:r w:rsidR="00AD281F">
        <w:rPr>
          <w:rFonts w:ascii="Times New Roman" w:hAnsi="Times New Roman" w:cs="Times New Roman"/>
          <w:sz w:val="24"/>
          <w:szCs w:val="24"/>
        </w:rPr>
        <w:t>The burden to be removed from FERC-725A will be in the following amounts:</w:t>
      </w:r>
    </w:p>
    <w:p w14:paraId="3372F38D" w14:textId="77777777" w:rsidR="00DC0E01" w:rsidRDefault="00DC0E01" w:rsidP="00A276F5">
      <w:pPr>
        <w:spacing w:after="0"/>
        <w:rPr>
          <w:rFonts w:ascii="Times New Roman" w:hAnsi="Times New Roman" w:cs="Times New Roman"/>
          <w:sz w:val="24"/>
          <w:szCs w:val="24"/>
        </w:rPr>
      </w:pPr>
    </w:p>
    <w:p w14:paraId="06587714" w14:textId="1A1EC5E0" w:rsidR="00AD281F" w:rsidRPr="00DC0E01" w:rsidRDefault="00AD281F" w:rsidP="00DC0E01">
      <w:pPr>
        <w:pStyle w:val="ListParagraph"/>
        <w:numPr>
          <w:ilvl w:val="0"/>
          <w:numId w:val="6"/>
        </w:numPr>
        <w:spacing w:after="0"/>
        <w:rPr>
          <w:rFonts w:ascii="Times New Roman" w:hAnsi="Times New Roman" w:cs="Times New Roman"/>
          <w:sz w:val="24"/>
          <w:szCs w:val="24"/>
        </w:rPr>
      </w:pPr>
      <w:r w:rsidRPr="00DC0E01">
        <w:rPr>
          <w:rFonts w:ascii="Times New Roman" w:hAnsi="Times New Roman" w:cs="Times New Roman"/>
          <w:sz w:val="24"/>
          <w:szCs w:val="24"/>
        </w:rPr>
        <w:t>Reduction in responses: 787</w:t>
      </w:r>
      <w:r w:rsidR="002E655B" w:rsidRPr="002E655B">
        <w:rPr>
          <w:rStyle w:val="FootnoteReference"/>
          <w:rFonts w:ascii="Times New Roman" w:hAnsi="Times New Roman" w:cs="Times New Roman"/>
          <w:sz w:val="24"/>
          <w:szCs w:val="24"/>
          <w:vertAlign w:val="superscript"/>
        </w:rPr>
        <w:footnoteReference w:id="13"/>
      </w:r>
    </w:p>
    <w:p w14:paraId="0A34C64A" w14:textId="596B3A41" w:rsidR="00AD281F" w:rsidRPr="00DC0E01" w:rsidRDefault="00AD281F" w:rsidP="00DC0E01">
      <w:pPr>
        <w:pStyle w:val="ListParagraph"/>
        <w:numPr>
          <w:ilvl w:val="0"/>
          <w:numId w:val="6"/>
        </w:numPr>
        <w:spacing w:after="0"/>
        <w:rPr>
          <w:rFonts w:ascii="Times New Roman" w:hAnsi="Times New Roman" w:cs="Times New Roman"/>
          <w:sz w:val="24"/>
          <w:szCs w:val="24"/>
        </w:rPr>
      </w:pPr>
      <w:r w:rsidRPr="00DC0E01">
        <w:rPr>
          <w:rFonts w:ascii="Times New Roman" w:hAnsi="Times New Roman" w:cs="Times New Roman"/>
          <w:sz w:val="24"/>
          <w:szCs w:val="24"/>
        </w:rPr>
        <w:t>Reduction in hours: 4,629</w:t>
      </w:r>
    </w:p>
    <w:p w14:paraId="01A6AF13" w14:textId="77777777" w:rsidR="00AD281F" w:rsidRDefault="00AD281F" w:rsidP="00A276F5">
      <w:pPr>
        <w:spacing w:after="0"/>
        <w:rPr>
          <w:rFonts w:ascii="Times New Roman" w:hAnsi="Times New Roman" w:cs="Times New Roman"/>
          <w:sz w:val="24"/>
          <w:szCs w:val="24"/>
        </w:rPr>
      </w:pPr>
    </w:p>
    <w:p w14:paraId="146ED725" w14:textId="77777777" w:rsidR="002E655B" w:rsidRDefault="002E655B"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E655B" w:rsidRPr="00D80FBD" w14:paraId="1B2A7773" w14:textId="77777777" w:rsidTr="002E655B">
        <w:trPr>
          <w:trHeight w:val="870"/>
        </w:trPr>
        <w:tc>
          <w:tcPr>
            <w:tcW w:w="2679" w:type="dxa"/>
            <w:shd w:val="clear" w:color="auto" w:fill="D9D9D9"/>
            <w:vAlign w:val="bottom"/>
          </w:tcPr>
          <w:p w14:paraId="71A07D31" w14:textId="6E0D6B14" w:rsidR="002E655B" w:rsidRPr="00D80FBD" w:rsidRDefault="002E655B" w:rsidP="002E655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Pr>
                <w:rFonts w:ascii="Times New Roman" w:hAnsi="Times New Roman" w:cs="Times New Roman"/>
                <w:b/>
                <w:sz w:val="24"/>
                <w:szCs w:val="24"/>
              </w:rPr>
              <w:t>725A</w:t>
            </w:r>
          </w:p>
        </w:tc>
        <w:tc>
          <w:tcPr>
            <w:tcW w:w="1461" w:type="dxa"/>
            <w:shd w:val="clear" w:color="auto" w:fill="D9D9D9"/>
            <w:vAlign w:val="bottom"/>
          </w:tcPr>
          <w:p w14:paraId="34EFB59D" w14:textId="77777777" w:rsidR="002E655B" w:rsidRPr="00D80FBD" w:rsidRDefault="002E655B" w:rsidP="002E655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6B1728C4" w14:textId="77777777" w:rsidR="002E655B" w:rsidRPr="00D80FBD" w:rsidRDefault="002E655B" w:rsidP="002E655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7283D425" w14:textId="77777777" w:rsidR="002E655B" w:rsidRPr="00D80FBD" w:rsidRDefault="002E655B" w:rsidP="002E655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466E93D7" w14:textId="77777777" w:rsidR="002E655B" w:rsidRPr="00D80FBD" w:rsidRDefault="002E655B" w:rsidP="002E655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2E655B" w:rsidRPr="00D80FBD" w14:paraId="655874CA" w14:textId="77777777" w:rsidTr="002E655B">
        <w:trPr>
          <w:trHeight w:val="591"/>
        </w:trPr>
        <w:tc>
          <w:tcPr>
            <w:tcW w:w="2679" w:type="dxa"/>
            <w:shd w:val="clear" w:color="auto" w:fill="auto"/>
          </w:tcPr>
          <w:p w14:paraId="4735302C" w14:textId="77777777" w:rsidR="002E655B" w:rsidRPr="00D80FBD" w:rsidRDefault="002E655B" w:rsidP="002E655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5E85E711" w14:textId="1E3B5A11" w:rsidR="002E655B" w:rsidRPr="00FC440E"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3,770</w:t>
            </w:r>
          </w:p>
        </w:tc>
        <w:tc>
          <w:tcPr>
            <w:tcW w:w="1620" w:type="dxa"/>
            <w:shd w:val="clear" w:color="auto" w:fill="auto"/>
            <w:vAlign w:val="center"/>
          </w:tcPr>
          <w:p w14:paraId="51FE6445" w14:textId="348D5645" w:rsidR="002E655B" w:rsidRPr="00D80FBD"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3,770</w:t>
            </w:r>
          </w:p>
        </w:tc>
        <w:tc>
          <w:tcPr>
            <w:tcW w:w="1800" w:type="dxa"/>
            <w:shd w:val="clear" w:color="auto" w:fill="auto"/>
            <w:vAlign w:val="center"/>
          </w:tcPr>
          <w:p w14:paraId="275996E4" w14:textId="77777777" w:rsidR="002E655B" w:rsidRPr="00D80FBD"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32FE6AEA" w14:textId="2824581D" w:rsidR="002E655B" w:rsidRPr="00D80FBD"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2E655B" w:rsidRPr="00D80FBD" w14:paraId="593A89CF" w14:textId="77777777" w:rsidTr="002E655B">
        <w:trPr>
          <w:trHeight w:val="575"/>
        </w:trPr>
        <w:tc>
          <w:tcPr>
            <w:tcW w:w="2679" w:type="dxa"/>
            <w:shd w:val="clear" w:color="auto" w:fill="auto"/>
          </w:tcPr>
          <w:p w14:paraId="0D8544CC" w14:textId="77777777" w:rsidR="002E655B" w:rsidRPr="00D80FBD" w:rsidRDefault="002E655B" w:rsidP="002E655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4CAD10AA" w14:textId="5AE21D6B" w:rsidR="002E655B" w:rsidRPr="00FC440E"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1,824,357</w:t>
            </w:r>
          </w:p>
        </w:tc>
        <w:tc>
          <w:tcPr>
            <w:tcW w:w="1620" w:type="dxa"/>
            <w:shd w:val="clear" w:color="auto" w:fill="auto"/>
            <w:vAlign w:val="center"/>
          </w:tcPr>
          <w:p w14:paraId="26651955" w14:textId="68E6C98E" w:rsidR="002E655B" w:rsidRPr="00D80FBD"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1,828,986</w:t>
            </w:r>
          </w:p>
        </w:tc>
        <w:tc>
          <w:tcPr>
            <w:tcW w:w="1800" w:type="dxa"/>
            <w:shd w:val="clear" w:color="auto" w:fill="auto"/>
            <w:vAlign w:val="center"/>
          </w:tcPr>
          <w:p w14:paraId="0F89A7FA" w14:textId="77777777" w:rsidR="002E655B" w:rsidRPr="00D80FBD"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2EFDC9FC" w14:textId="4E4D9465" w:rsidR="002E655B" w:rsidRPr="00D80FBD"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-4,629</w:t>
            </w:r>
          </w:p>
        </w:tc>
      </w:tr>
      <w:tr w:rsidR="002E655B" w:rsidRPr="00D80FBD" w14:paraId="15562141" w14:textId="77777777" w:rsidTr="002E655B">
        <w:trPr>
          <w:trHeight w:val="295"/>
        </w:trPr>
        <w:tc>
          <w:tcPr>
            <w:tcW w:w="2679" w:type="dxa"/>
            <w:tcBorders>
              <w:bottom w:val="single" w:sz="4" w:space="0" w:color="auto"/>
            </w:tcBorders>
            <w:shd w:val="clear" w:color="auto" w:fill="auto"/>
          </w:tcPr>
          <w:p w14:paraId="35C5AC0E" w14:textId="77777777" w:rsidR="002E655B" w:rsidRPr="00D80FBD" w:rsidRDefault="002E655B" w:rsidP="002E655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7B667777" w14:textId="21A4A0BF" w:rsidR="002E655B" w:rsidRPr="000C7221" w:rsidRDefault="002E655B" w:rsidP="002E655B">
            <w:pPr>
              <w:spacing w:after="0" w:line="240" w:lineRule="auto"/>
              <w:jc w:val="right"/>
              <w:rPr>
                <w:rFonts w:ascii="Times New Roman" w:hAnsi="Times New Roman" w:cs="Times New Roman"/>
                <w:sz w:val="24"/>
                <w:szCs w:val="24"/>
                <w:highlight w:val="yellow"/>
              </w:rPr>
            </w:pPr>
            <w:r>
              <w:rPr>
                <w:rFonts w:ascii="Times New Roman" w:hAnsi="Times New Roman" w:cs="Times New Roman"/>
                <w:sz w:val="24"/>
                <w:szCs w:val="24"/>
              </w:rPr>
              <w:t>$126,725</w:t>
            </w:r>
          </w:p>
        </w:tc>
        <w:tc>
          <w:tcPr>
            <w:tcW w:w="1620" w:type="dxa"/>
            <w:tcBorders>
              <w:bottom w:val="single" w:sz="4" w:space="0" w:color="auto"/>
            </w:tcBorders>
            <w:shd w:val="clear" w:color="auto" w:fill="auto"/>
            <w:vAlign w:val="center"/>
          </w:tcPr>
          <w:p w14:paraId="2501FD07" w14:textId="6238BDBF" w:rsidR="002E655B" w:rsidRPr="00D80FBD"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$126,725</w:t>
            </w:r>
          </w:p>
        </w:tc>
        <w:tc>
          <w:tcPr>
            <w:tcW w:w="1800" w:type="dxa"/>
            <w:tcBorders>
              <w:bottom w:val="single" w:sz="4" w:space="0" w:color="auto"/>
            </w:tcBorders>
            <w:shd w:val="clear" w:color="auto" w:fill="auto"/>
            <w:vAlign w:val="center"/>
          </w:tcPr>
          <w:p w14:paraId="5854C57E" w14:textId="164134FF" w:rsidR="002E655B" w:rsidRPr="00D80FBD"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47294558" w14:textId="4DDC5E69" w:rsidR="002E655B" w:rsidRPr="00D80FBD" w:rsidRDefault="002E655B" w:rsidP="002E65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7B406CF2" w14:textId="77777777" w:rsidR="002E655B" w:rsidRDefault="002E655B" w:rsidP="00A276F5">
      <w:pPr>
        <w:spacing w:after="0"/>
        <w:rPr>
          <w:rFonts w:ascii="Times New Roman" w:hAnsi="Times New Roman" w:cs="Times New Roman"/>
          <w:sz w:val="24"/>
          <w:szCs w:val="24"/>
        </w:rPr>
      </w:pPr>
    </w:p>
    <w:p w14:paraId="5041CEA1" w14:textId="77777777" w:rsidR="002046DB" w:rsidRDefault="002046DB"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046DB" w:rsidRPr="00D80FBD" w14:paraId="185CC9AA" w14:textId="77777777" w:rsidTr="009814D7">
        <w:trPr>
          <w:trHeight w:val="870"/>
        </w:trPr>
        <w:tc>
          <w:tcPr>
            <w:tcW w:w="2679" w:type="dxa"/>
            <w:shd w:val="clear" w:color="auto" w:fill="D9D9D9"/>
            <w:vAlign w:val="bottom"/>
          </w:tcPr>
          <w:p w14:paraId="1FB1C6C6" w14:textId="77777777" w:rsidR="002046DB" w:rsidRPr="00D80FBD" w:rsidRDefault="002046DB" w:rsidP="009814D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Pr>
                <w:rFonts w:ascii="Times New Roman" w:hAnsi="Times New Roman" w:cs="Times New Roman"/>
                <w:b/>
                <w:sz w:val="24"/>
                <w:szCs w:val="24"/>
              </w:rPr>
              <w:t>725L</w:t>
            </w:r>
          </w:p>
        </w:tc>
        <w:tc>
          <w:tcPr>
            <w:tcW w:w="1461" w:type="dxa"/>
            <w:shd w:val="clear" w:color="auto" w:fill="D9D9D9"/>
            <w:vAlign w:val="bottom"/>
          </w:tcPr>
          <w:p w14:paraId="02235E6B" w14:textId="77777777" w:rsidR="002046DB" w:rsidRPr="00D80FBD" w:rsidRDefault="002046DB" w:rsidP="009814D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21E9E319" w14:textId="77777777" w:rsidR="002046DB" w:rsidRPr="00D80FBD" w:rsidRDefault="002046DB" w:rsidP="009814D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24BA00B7" w14:textId="77777777" w:rsidR="002046DB" w:rsidRPr="00D80FBD" w:rsidRDefault="002046DB" w:rsidP="009814D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0EBA33AA" w14:textId="77777777" w:rsidR="002046DB" w:rsidRPr="00D80FBD" w:rsidRDefault="002046DB" w:rsidP="009814D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2046DB" w:rsidRPr="00D80FBD" w14:paraId="53AC0E47" w14:textId="77777777" w:rsidTr="009814D7">
        <w:trPr>
          <w:trHeight w:val="591"/>
        </w:trPr>
        <w:tc>
          <w:tcPr>
            <w:tcW w:w="2679" w:type="dxa"/>
            <w:shd w:val="clear" w:color="auto" w:fill="auto"/>
          </w:tcPr>
          <w:p w14:paraId="3AB14E7B" w14:textId="77777777" w:rsidR="002046DB" w:rsidRPr="00D80FBD" w:rsidRDefault="002046DB" w:rsidP="009814D7">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3F1CA8B7" w14:textId="5E60E352" w:rsidR="002046DB" w:rsidRPr="00FC440E" w:rsidRDefault="002046DB"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3,723</w:t>
            </w:r>
          </w:p>
        </w:tc>
        <w:tc>
          <w:tcPr>
            <w:tcW w:w="1620" w:type="dxa"/>
            <w:shd w:val="clear" w:color="auto" w:fill="auto"/>
            <w:vAlign w:val="center"/>
          </w:tcPr>
          <w:p w14:paraId="49813AC3" w14:textId="3F103E76" w:rsidR="002046DB" w:rsidRPr="00D80FBD" w:rsidRDefault="002046DB"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3,274</w:t>
            </w:r>
          </w:p>
        </w:tc>
        <w:tc>
          <w:tcPr>
            <w:tcW w:w="1800" w:type="dxa"/>
            <w:shd w:val="clear" w:color="auto" w:fill="auto"/>
            <w:vAlign w:val="center"/>
          </w:tcPr>
          <w:p w14:paraId="7DB83336" w14:textId="429F7449" w:rsidR="002046DB" w:rsidRPr="00D80FBD" w:rsidRDefault="002046DB"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1E919FCC" w14:textId="1B7D7A03" w:rsidR="002046DB" w:rsidRPr="00D80FBD" w:rsidRDefault="002046DB"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449</w:t>
            </w:r>
          </w:p>
        </w:tc>
      </w:tr>
      <w:tr w:rsidR="002046DB" w:rsidRPr="00D80FBD" w14:paraId="26B3AA81" w14:textId="77777777" w:rsidTr="009814D7">
        <w:trPr>
          <w:trHeight w:val="575"/>
        </w:trPr>
        <w:tc>
          <w:tcPr>
            <w:tcW w:w="2679" w:type="dxa"/>
            <w:shd w:val="clear" w:color="auto" w:fill="auto"/>
          </w:tcPr>
          <w:p w14:paraId="0AACAA57" w14:textId="77777777" w:rsidR="002046DB" w:rsidRPr="00D80FBD" w:rsidRDefault="002046DB" w:rsidP="009814D7">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1D0F7857" w14:textId="24F8EE37" w:rsidR="002046DB" w:rsidRPr="00FC440E" w:rsidRDefault="004021F5"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32,172</w:t>
            </w:r>
            <w:bookmarkStart w:id="0" w:name="_GoBack"/>
            <w:bookmarkEnd w:id="0"/>
          </w:p>
        </w:tc>
        <w:tc>
          <w:tcPr>
            <w:tcW w:w="1620" w:type="dxa"/>
            <w:shd w:val="clear" w:color="auto" w:fill="auto"/>
            <w:vAlign w:val="center"/>
          </w:tcPr>
          <w:p w14:paraId="758865F0" w14:textId="410AE2E3" w:rsidR="002046DB" w:rsidRPr="00D80FBD" w:rsidRDefault="002046DB"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26,540</w:t>
            </w:r>
          </w:p>
        </w:tc>
        <w:tc>
          <w:tcPr>
            <w:tcW w:w="1800" w:type="dxa"/>
            <w:shd w:val="clear" w:color="auto" w:fill="auto"/>
            <w:vAlign w:val="center"/>
          </w:tcPr>
          <w:p w14:paraId="0CBB9B35" w14:textId="2ADCDE77" w:rsidR="002046DB" w:rsidRPr="00D80FBD" w:rsidRDefault="002046DB"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143DECD7" w14:textId="5C54B93E" w:rsidR="002046DB" w:rsidRPr="00D80FBD" w:rsidRDefault="004021F5"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5,632</w:t>
            </w:r>
          </w:p>
        </w:tc>
      </w:tr>
      <w:tr w:rsidR="002046DB" w:rsidRPr="00D80FBD" w14:paraId="7819BBD1" w14:textId="77777777" w:rsidTr="009814D7">
        <w:trPr>
          <w:trHeight w:val="295"/>
        </w:trPr>
        <w:tc>
          <w:tcPr>
            <w:tcW w:w="2679" w:type="dxa"/>
            <w:tcBorders>
              <w:bottom w:val="single" w:sz="4" w:space="0" w:color="auto"/>
            </w:tcBorders>
            <w:shd w:val="clear" w:color="auto" w:fill="auto"/>
          </w:tcPr>
          <w:p w14:paraId="55A0EBC2" w14:textId="77777777" w:rsidR="002046DB" w:rsidRPr="00D80FBD" w:rsidRDefault="002046DB" w:rsidP="009814D7">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1981439A" w14:textId="4D95D89D" w:rsidR="002046DB" w:rsidRPr="000C7221" w:rsidRDefault="00103E52" w:rsidP="009814D7">
            <w:pPr>
              <w:spacing w:after="0" w:line="240" w:lineRule="auto"/>
              <w:jc w:val="right"/>
              <w:rPr>
                <w:rFonts w:ascii="Times New Roman" w:hAnsi="Times New Roman" w:cs="Times New Roman"/>
                <w:sz w:val="24"/>
                <w:szCs w:val="24"/>
                <w:highlight w:val="yellow"/>
              </w:rPr>
            </w:pPr>
            <w:r>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0F0B216C" w14:textId="2CFABD7E" w:rsidR="002046DB" w:rsidRPr="00D80FBD" w:rsidRDefault="00103E52"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390DE1BC" w14:textId="5F889122" w:rsidR="002046DB" w:rsidRPr="00D80FBD" w:rsidRDefault="00103E52"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6499B74C" w14:textId="12037E4E" w:rsidR="002046DB" w:rsidRPr="00D80FBD" w:rsidRDefault="00103E52" w:rsidP="00981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2FFC9839" w14:textId="77777777" w:rsidR="00970FE4" w:rsidRPr="00A276F5" w:rsidRDefault="00970FE4" w:rsidP="00A276F5">
      <w:pPr>
        <w:spacing w:after="0"/>
        <w:rPr>
          <w:rFonts w:ascii="Times New Roman" w:hAnsi="Times New Roman" w:cs="Times New Roman"/>
          <w:sz w:val="24"/>
          <w:szCs w:val="24"/>
        </w:rPr>
      </w:pPr>
    </w:p>
    <w:p w14:paraId="2FFC983A"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2FFC983B" w14:textId="77777777" w:rsidR="00414F32" w:rsidRDefault="00414F32" w:rsidP="00414F32">
      <w:pPr>
        <w:spacing w:after="0"/>
        <w:rPr>
          <w:rFonts w:ascii="Times New Roman" w:hAnsi="Times New Roman" w:cs="Times New Roman"/>
          <w:sz w:val="24"/>
          <w:szCs w:val="24"/>
        </w:rPr>
      </w:pPr>
    </w:p>
    <w:p w14:paraId="2FFC983C" w14:textId="79B6923A" w:rsidR="00414F32" w:rsidRDefault="00733582" w:rsidP="00414F32">
      <w:pPr>
        <w:spacing w:after="0"/>
        <w:rPr>
          <w:rFonts w:ascii="Times New Roman" w:hAnsi="Times New Roman" w:cs="Times New Roman"/>
          <w:sz w:val="24"/>
          <w:szCs w:val="24"/>
        </w:rPr>
      </w:pPr>
      <w:r>
        <w:rPr>
          <w:rFonts w:ascii="Times New Roman" w:hAnsi="Times New Roman" w:cs="Times New Roman"/>
          <w:sz w:val="24"/>
          <w:szCs w:val="24"/>
        </w:rPr>
        <w:t>There is no tabulating, statistical, or tabulating analysis or publication plans for this collection of information.</w:t>
      </w:r>
    </w:p>
    <w:p w14:paraId="2B14C081" w14:textId="77777777" w:rsidR="00BB0444" w:rsidRPr="00414F32" w:rsidRDefault="00BB0444" w:rsidP="00414F32">
      <w:pPr>
        <w:spacing w:after="0"/>
        <w:rPr>
          <w:rFonts w:ascii="Times New Roman" w:hAnsi="Times New Roman" w:cs="Times New Roman"/>
          <w:sz w:val="24"/>
          <w:szCs w:val="24"/>
        </w:rPr>
      </w:pPr>
    </w:p>
    <w:p w14:paraId="2FFC983D"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2FFC983E" w14:textId="77777777" w:rsidR="00414F32" w:rsidRDefault="00414F32" w:rsidP="00414F32">
      <w:pPr>
        <w:spacing w:after="0"/>
        <w:rPr>
          <w:rFonts w:ascii="Times New Roman" w:hAnsi="Times New Roman" w:cs="Times New Roman"/>
          <w:sz w:val="24"/>
          <w:szCs w:val="24"/>
        </w:rPr>
      </w:pPr>
    </w:p>
    <w:p w14:paraId="3275BEA2" w14:textId="77777777" w:rsidR="00487721" w:rsidRPr="00076203" w:rsidRDefault="00487721" w:rsidP="00487721">
      <w:pPr>
        <w:spacing w:after="0"/>
        <w:rPr>
          <w:rFonts w:ascii="Times New Roman" w:hAnsi="Times New Roman"/>
          <w:sz w:val="24"/>
          <w:szCs w:val="24"/>
        </w:rPr>
      </w:pPr>
      <w:r>
        <w:rPr>
          <w:rFonts w:ascii="Times New Roman" w:hAnsi="Times New Roman"/>
          <w:sz w:val="24"/>
          <w:szCs w:val="24"/>
        </w:rPr>
        <w:t>The expiration date</w:t>
      </w:r>
      <w:r w:rsidRPr="00E84A39">
        <w:rPr>
          <w:rFonts w:ascii="Times New Roman" w:hAnsi="Times New Roman"/>
          <w:sz w:val="24"/>
          <w:szCs w:val="24"/>
        </w:rPr>
        <w:t xml:space="preserve"> </w:t>
      </w:r>
      <w:r>
        <w:rPr>
          <w:rFonts w:ascii="Times New Roman" w:hAnsi="Times New Roman"/>
          <w:sz w:val="24"/>
          <w:szCs w:val="24"/>
        </w:rPr>
        <w:t>is</w:t>
      </w:r>
      <w:r w:rsidRPr="00E84A39">
        <w:rPr>
          <w:rFonts w:ascii="Times New Roman" w:hAnsi="Times New Roman"/>
          <w:sz w:val="24"/>
          <w:szCs w:val="24"/>
        </w:rPr>
        <w:t xml:space="preserve"> displayed </w:t>
      </w:r>
      <w:r>
        <w:rPr>
          <w:rFonts w:ascii="Times New Roman" w:hAnsi="Times New Roman"/>
          <w:sz w:val="24"/>
          <w:szCs w:val="24"/>
        </w:rPr>
        <w:t xml:space="preserve">in a table posted </w:t>
      </w:r>
      <w:r w:rsidRPr="00E84A39">
        <w:rPr>
          <w:rFonts w:ascii="Times New Roman" w:hAnsi="Times New Roman"/>
          <w:sz w:val="24"/>
          <w:szCs w:val="24"/>
        </w:rPr>
        <w:t xml:space="preserve">on ferc.gov </w:t>
      </w:r>
      <w:r>
        <w:rPr>
          <w:rFonts w:ascii="Times New Roman" w:hAnsi="Times New Roman"/>
          <w:sz w:val="24"/>
          <w:szCs w:val="24"/>
        </w:rPr>
        <w:t>at</w:t>
      </w:r>
      <w:r w:rsidRPr="00E84A39">
        <w:rPr>
          <w:rFonts w:ascii="Times New Roman" w:hAnsi="Times New Roman"/>
          <w:sz w:val="24"/>
          <w:szCs w:val="24"/>
        </w:rPr>
        <w:t xml:space="preserve"> </w:t>
      </w:r>
      <w:hyperlink r:id="rId13" w:history="1">
        <w:r w:rsidRPr="00E84A39">
          <w:rPr>
            <w:rStyle w:val="Hyperlink"/>
            <w:rFonts w:ascii="Times New Roman" w:hAnsi="Times New Roman"/>
            <w:sz w:val="24"/>
            <w:szCs w:val="24"/>
          </w:rPr>
          <w:t>http://www.ferc.gov/docs-filing/info-collections.asp</w:t>
        </w:r>
      </w:hyperlink>
      <w:r w:rsidRPr="00E84A39">
        <w:rPr>
          <w:rFonts w:ascii="Times New Roman" w:hAnsi="Times New Roman"/>
          <w:sz w:val="24"/>
          <w:szCs w:val="24"/>
        </w:rPr>
        <w:t>.</w:t>
      </w:r>
    </w:p>
    <w:p w14:paraId="34F351A9" w14:textId="77777777" w:rsidR="00BB0444" w:rsidRPr="00414F32" w:rsidRDefault="00BB0444" w:rsidP="00414F32">
      <w:pPr>
        <w:spacing w:after="0"/>
        <w:rPr>
          <w:rFonts w:ascii="Times New Roman" w:hAnsi="Times New Roman" w:cs="Times New Roman"/>
          <w:sz w:val="24"/>
          <w:szCs w:val="24"/>
        </w:rPr>
      </w:pPr>
    </w:p>
    <w:p w14:paraId="2FFC9840"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2FFC9841" w14:textId="77777777" w:rsidR="0057700F" w:rsidRDefault="0057700F" w:rsidP="0057700F">
      <w:pPr>
        <w:spacing w:after="0"/>
        <w:rPr>
          <w:rFonts w:ascii="Times New Roman" w:hAnsi="Times New Roman" w:cs="Times New Roman"/>
          <w:b/>
          <w:sz w:val="24"/>
          <w:szCs w:val="24"/>
        </w:rPr>
      </w:pPr>
    </w:p>
    <w:p w14:paraId="27251043" w14:textId="77777777" w:rsidR="00BB0444" w:rsidRPr="005F6467" w:rsidRDefault="00BB0444" w:rsidP="00BB0444">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5F6467">
        <w:rPr>
          <w:rFonts w:ascii="Times New Roman" w:hAnsi="Times New Roman" w:cs="Times New Roman"/>
          <w:sz w:val="24"/>
          <w:szCs w:val="24"/>
        </w:rPr>
        <w:t>i</w:t>
      </w:r>
      <w:proofErr w:type="spellEnd"/>
      <w:r w:rsidRPr="005F6467">
        <w:rPr>
          <w:rFonts w:ascii="Times New Roman" w:hAnsi="Times New Roman" w:cs="Times New Roman"/>
          <w:sz w:val="24"/>
          <w:szCs w:val="24"/>
        </w:rPr>
        <w:t>) of the certification to OMB "effective and efficient statistical survey methodology."  The information collected is case specific to each information collection.</w:t>
      </w:r>
    </w:p>
    <w:p w14:paraId="2FFC9842" w14:textId="77777777" w:rsidR="00970FE4" w:rsidRDefault="00970FE4" w:rsidP="0057700F">
      <w:pPr>
        <w:spacing w:after="0"/>
        <w:rPr>
          <w:rFonts w:ascii="Times New Roman" w:hAnsi="Times New Roman" w:cs="Times New Roman"/>
          <w:sz w:val="24"/>
          <w:szCs w:val="24"/>
        </w:rPr>
      </w:pPr>
    </w:p>
    <w:p w14:paraId="2FFC9843" w14:textId="77777777" w:rsidR="00414F32" w:rsidRPr="007A2F92" w:rsidRDefault="00414F32" w:rsidP="007A2F92">
      <w:pPr>
        <w:spacing w:after="0"/>
        <w:rPr>
          <w:rFonts w:ascii="Times New Roman" w:hAnsi="Times New Roman" w:cs="Times New Roman"/>
          <w:sz w:val="24"/>
          <w:szCs w:val="24"/>
        </w:rPr>
      </w:pPr>
    </w:p>
    <w:sectPr w:rsidR="00414F32" w:rsidRPr="007A2F9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5A4085" w15:done="0"/>
  <w15:commentEx w15:paraId="5FD72CF6" w15:done="0"/>
  <w15:commentEx w15:paraId="4D2DE4AB" w15:done="0"/>
  <w15:commentEx w15:paraId="497786B2" w15:done="0"/>
  <w15:commentEx w15:paraId="23ABA062" w15:done="0"/>
  <w15:commentEx w15:paraId="7D1C3F55" w15:done="0"/>
  <w15:commentEx w15:paraId="13A81E01" w15:done="0"/>
  <w15:commentEx w15:paraId="48F4C27D" w15:done="0"/>
  <w15:commentEx w15:paraId="5DFEA6EC" w15:done="0"/>
  <w15:commentEx w15:paraId="5B178C66" w15:done="0"/>
  <w15:commentEx w15:paraId="1A7A91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C9846" w14:textId="77777777" w:rsidR="00812816" w:rsidRDefault="00812816" w:rsidP="00FD66F1">
      <w:pPr>
        <w:spacing w:after="0" w:line="240" w:lineRule="auto"/>
      </w:pPr>
      <w:r>
        <w:separator/>
      </w:r>
    </w:p>
  </w:endnote>
  <w:endnote w:type="continuationSeparator" w:id="0">
    <w:p w14:paraId="2FFC9847" w14:textId="77777777" w:rsidR="00812816" w:rsidRDefault="00812816"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12CD" w14:textId="77777777" w:rsidR="00C312C1" w:rsidRDefault="00C31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2FFC984C" w14:textId="77777777" w:rsidR="00812816" w:rsidRPr="00812816" w:rsidRDefault="00812816">
        <w:pPr>
          <w:pStyle w:val="Footer"/>
          <w:jc w:val="right"/>
          <w:rPr>
            <w:rFonts w:ascii="Times New Roman" w:hAnsi="Times New Roman" w:cs="Times New Roman"/>
          </w:rPr>
        </w:pPr>
        <w:r w:rsidRPr="00812816">
          <w:rPr>
            <w:rFonts w:ascii="Times New Roman" w:hAnsi="Times New Roman" w:cs="Times New Roman"/>
          </w:rPr>
          <w:fldChar w:fldCharType="begin"/>
        </w:r>
        <w:r w:rsidRPr="00812816">
          <w:rPr>
            <w:rFonts w:ascii="Times New Roman" w:hAnsi="Times New Roman" w:cs="Times New Roman"/>
          </w:rPr>
          <w:instrText xml:space="preserve"> PAGE   \* MERGEFORMAT </w:instrText>
        </w:r>
        <w:r w:rsidRPr="00812816">
          <w:rPr>
            <w:rFonts w:ascii="Times New Roman" w:hAnsi="Times New Roman" w:cs="Times New Roman"/>
          </w:rPr>
          <w:fldChar w:fldCharType="separate"/>
        </w:r>
        <w:r w:rsidR="004021F5">
          <w:rPr>
            <w:rFonts w:ascii="Times New Roman" w:hAnsi="Times New Roman" w:cs="Times New Roman"/>
            <w:noProof/>
          </w:rPr>
          <w:t>10</w:t>
        </w:r>
        <w:r w:rsidRPr="00812816">
          <w:rPr>
            <w:rFonts w:ascii="Times New Roman" w:hAnsi="Times New Roman" w:cs="Times New Roman"/>
            <w:noProof/>
          </w:rPr>
          <w:fldChar w:fldCharType="end"/>
        </w:r>
      </w:p>
    </w:sdtContent>
  </w:sdt>
  <w:p w14:paraId="2FFC984D" w14:textId="77777777" w:rsidR="00812816" w:rsidRDefault="008128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10DDA" w14:textId="77777777" w:rsidR="00C312C1" w:rsidRDefault="00C31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C9844" w14:textId="77777777" w:rsidR="00812816" w:rsidRDefault="00812816" w:rsidP="00FD66F1">
      <w:pPr>
        <w:spacing w:after="0" w:line="240" w:lineRule="auto"/>
      </w:pPr>
      <w:r>
        <w:separator/>
      </w:r>
    </w:p>
  </w:footnote>
  <w:footnote w:type="continuationSeparator" w:id="0">
    <w:p w14:paraId="2FFC9845" w14:textId="77777777" w:rsidR="00812816" w:rsidRDefault="00812816" w:rsidP="00FD66F1">
      <w:pPr>
        <w:spacing w:after="0" w:line="240" w:lineRule="auto"/>
      </w:pPr>
      <w:r>
        <w:continuationSeparator/>
      </w:r>
    </w:p>
  </w:footnote>
  <w:footnote w:id="1">
    <w:p w14:paraId="5A4BC520" w14:textId="77777777" w:rsidR="00812816" w:rsidRPr="001045A3" w:rsidRDefault="00812816" w:rsidP="001045A3">
      <w:pPr>
        <w:pStyle w:val="FootnoteText"/>
      </w:pPr>
      <w:r w:rsidRPr="001045A3">
        <w:rPr>
          <w:rStyle w:val="FootnoteReference"/>
        </w:rPr>
        <w:footnoteRef/>
      </w:r>
      <w:r w:rsidRPr="001045A3">
        <w:t xml:space="preserve"> Energy Policy Act of 2005, Pub. L. No 109-58, Title XII, Subtitle A, 119 Stat. 594, 941 (2005), to be codified at 16 U.S.C. 824o.</w:t>
      </w:r>
    </w:p>
  </w:footnote>
  <w:footnote w:id="2">
    <w:p w14:paraId="27D639FD" w14:textId="77777777" w:rsidR="00812816" w:rsidRPr="001045A3" w:rsidRDefault="00812816" w:rsidP="001045A3">
      <w:pPr>
        <w:pStyle w:val="FootnoteText"/>
      </w:pPr>
      <w:r w:rsidRPr="001045A3">
        <w:rPr>
          <w:rStyle w:val="FootnoteReference"/>
        </w:rPr>
        <w:footnoteRef/>
      </w:r>
      <w:r w:rsidRPr="001045A3">
        <w:rPr>
          <w:lang w:val="es-ES"/>
        </w:rPr>
        <w:t xml:space="preserve"> 16 USC 824o(e)(3) (2012)</w:t>
      </w:r>
      <w:r w:rsidRPr="001045A3">
        <w:rPr>
          <w:lang w:val="pt-BR"/>
        </w:rPr>
        <w:t>.</w:t>
      </w:r>
    </w:p>
  </w:footnote>
  <w:footnote w:id="3">
    <w:p w14:paraId="607B5ED3" w14:textId="77777777" w:rsidR="00812816" w:rsidRPr="001045A3" w:rsidRDefault="00812816" w:rsidP="001045A3">
      <w:pPr>
        <w:pStyle w:val="FootnoteText"/>
      </w:pPr>
      <w:r w:rsidRPr="001045A3">
        <w:rPr>
          <w:rStyle w:val="FootnoteReference"/>
        </w:rPr>
        <w:footnoteRef/>
      </w:r>
      <w:r w:rsidRPr="001045A3">
        <w:t xml:space="preserve"> Rules Concerning Certification of the Electric Reliability Organization; Procedures for the Establishment, Approval and Enforcement of Electric Reliability Standards, Order No. 672, 71 FR 8662 (February 17, 2006), FERC Stats. &amp; </w:t>
      </w:r>
      <w:proofErr w:type="spellStart"/>
      <w:r w:rsidRPr="001045A3">
        <w:t>Regs</w:t>
      </w:r>
      <w:proofErr w:type="spellEnd"/>
      <w:r w:rsidRPr="001045A3">
        <w:t xml:space="preserve">. ¶ 31,204 (2006), order on </w:t>
      </w:r>
      <w:proofErr w:type="spellStart"/>
      <w:r w:rsidRPr="001045A3">
        <w:t>reh’g</w:t>
      </w:r>
      <w:proofErr w:type="spellEnd"/>
      <w:r w:rsidRPr="001045A3">
        <w:t xml:space="preserve">, Order No. 672-A, 71 FR 19814 (April 18, 2006), FERC Stats. &amp; </w:t>
      </w:r>
      <w:proofErr w:type="spellStart"/>
      <w:r w:rsidRPr="001045A3">
        <w:t>Regs</w:t>
      </w:r>
      <w:proofErr w:type="spellEnd"/>
      <w:r w:rsidRPr="001045A3">
        <w:t>. ¶ 31,212 (2006).</w:t>
      </w:r>
    </w:p>
  </w:footnote>
  <w:footnote w:id="4">
    <w:p w14:paraId="77F19C2A" w14:textId="77777777" w:rsidR="00812816" w:rsidRPr="001045A3" w:rsidRDefault="00812816" w:rsidP="001045A3">
      <w:pPr>
        <w:pStyle w:val="FootnoteText"/>
      </w:pPr>
      <w:r w:rsidRPr="001045A3">
        <w:rPr>
          <w:rStyle w:val="FootnoteReference"/>
        </w:rPr>
        <w:footnoteRef/>
      </w:r>
      <w:r w:rsidRPr="001045A3">
        <w:t xml:space="preserve"> North American Electric Reliability Corp., 116 FERC ¶ 61,062 (ERO Certification Order), order on </w:t>
      </w:r>
      <w:proofErr w:type="spellStart"/>
      <w:r w:rsidRPr="001045A3">
        <w:t>reh’g</w:t>
      </w:r>
      <w:proofErr w:type="spellEnd"/>
      <w:r w:rsidRPr="001045A3">
        <w:t xml:space="preserve"> &amp; compliance, 117 FERC ¶ 61,126 (ERO Rehearing Order) (2006), order on compliance, 118 FERC ¶ 61,030 (2007) (January 2007 Compliance Order).</w:t>
      </w:r>
    </w:p>
  </w:footnote>
  <w:footnote w:id="5">
    <w:p w14:paraId="0B00FD75" w14:textId="77777777" w:rsidR="00812816" w:rsidRPr="001045A3" w:rsidRDefault="00812816" w:rsidP="001045A3">
      <w:pPr>
        <w:pStyle w:val="FootnoteText"/>
      </w:pPr>
      <w:r w:rsidRPr="001045A3">
        <w:rPr>
          <w:rStyle w:val="FootnoteReference"/>
        </w:rPr>
        <w:footnoteRef/>
      </w:r>
      <w:r w:rsidRPr="001045A3">
        <w:t xml:space="preserve"> Section 215(a)(3) of the FPA defines the term Reliability Standard to mean "a requirement, approved by the Commission under this section, to provide for reliable operation of the Bulk-Power System. This term includes requirements for the operation of existing Bulk-Power System facilities, including </w:t>
      </w:r>
      <w:proofErr w:type="spellStart"/>
      <w:r w:rsidRPr="001045A3">
        <w:t>cybersecurity</w:t>
      </w:r>
      <w:proofErr w:type="spellEnd"/>
      <w:r w:rsidRPr="001045A3">
        <w:t xml:space="preserve"> protection, and the design of planned additions or modifications to such facilities to the extent necessary to provide for the reliable operation of the Bulk-Power System, but the term does not include any requirement to enlarge such facilities or to construct new transmission capacity or generation capacity.” 16 U.S.C. 824o(a)(3).</w:t>
      </w:r>
    </w:p>
  </w:footnote>
  <w:footnote w:id="6">
    <w:p w14:paraId="40083145" w14:textId="77777777" w:rsidR="00812816" w:rsidRPr="001045A3" w:rsidRDefault="00812816" w:rsidP="001045A3">
      <w:pPr>
        <w:pStyle w:val="FootnoteText"/>
      </w:pPr>
      <w:r w:rsidRPr="001045A3">
        <w:rPr>
          <w:rStyle w:val="FootnoteReference"/>
        </w:rPr>
        <w:footnoteRef/>
      </w:r>
      <w:r w:rsidRPr="001045A3">
        <w:t xml:space="preserve"> Order No. 672 at P 262, 321-37.</w:t>
      </w:r>
    </w:p>
  </w:footnote>
  <w:footnote w:id="7">
    <w:p w14:paraId="448F2664" w14:textId="77777777" w:rsidR="00812816" w:rsidRPr="00C72C7A" w:rsidRDefault="00812816" w:rsidP="001045A3">
      <w:pPr>
        <w:pStyle w:val="FootnoteText"/>
      </w:pPr>
      <w:r w:rsidRPr="001045A3">
        <w:rPr>
          <w:rStyle w:val="FootnoteReference"/>
        </w:rPr>
        <w:footnoteRef/>
      </w:r>
      <w:r w:rsidRPr="001045A3">
        <w:t xml:space="preserve"> </w:t>
      </w:r>
      <w:r w:rsidRPr="00C72C7A">
        <w:t>Available at http://www.nerc.com/FilingsOrders/us/RuleOfProcedureDL/NERC_ROP_Effective_20140701_updated_20140602.pdf.</w:t>
      </w:r>
    </w:p>
  </w:footnote>
  <w:footnote w:id="8">
    <w:p w14:paraId="5E6E1171" w14:textId="77777777" w:rsidR="00812816" w:rsidRPr="00812816" w:rsidRDefault="00812816" w:rsidP="00812816">
      <w:pPr>
        <w:pStyle w:val="FootnoteText"/>
        <w:spacing w:after="240"/>
      </w:pPr>
      <w:r w:rsidRPr="00812816">
        <w:rPr>
          <w:rStyle w:val="FootnoteReference"/>
          <w:b/>
          <w:vertAlign w:val="superscript"/>
        </w:rPr>
        <w:footnoteRef/>
      </w:r>
      <w:r w:rsidRPr="00812816">
        <w:t xml:space="preserve"> Details of the current ERO standard processes are available on the NERC website at </w:t>
      </w:r>
      <w:hyperlink r:id="rId1" w:history="1">
        <w:r w:rsidRPr="00812816">
          <w:rPr>
            <w:rStyle w:val="Hyperlink"/>
          </w:rPr>
          <w:t>http://www.nerc.com/docs/standards/sar/Appendix_3A_Standard_Processes_Manual_20100903_2_.pdf</w:t>
        </w:r>
      </w:hyperlink>
      <w:r w:rsidRPr="00812816">
        <w:t>.</w:t>
      </w:r>
    </w:p>
  </w:footnote>
  <w:footnote w:id="9">
    <w:p w14:paraId="4F119545" w14:textId="77777777" w:rsidR="00812816" w:rsidRPr="001045A3" w:rsidRDefault="00812816" w:rsidP="001045A3">
      <w:pPr>
        <w:pStyle w:val="FootnoteText"/>
      </w:pPr>
      <w:r w:rsidRPr="001045A3">
        <w:rPr>
          <w:rStyle w:val="FootnoteReference"/>
        </w:rPr>
        <w:footnoteRef/>
      </w:r>
      <w:r w:rsidRPr="001045A3">
        <w:t xml:space="preserve"> Section 1502, paragraph 2, available at NERCs website</w:t>
      </w:r>
    </w:p>
  </w:footnote>
  <w:footnote w:id="10">
    <w:p w14:paraId="1CA14CC7" w14:textId="3CFBBB2E" w:rsidR="00812816" w:rsidRPr="001045A3" w:rsidRDefault="00812816" w:rsidP="001045A3">
      <w:pPr>
        <w:pStyle w:val="FootnoteText"/>
      </w:pPr>
      <w:r w:rsidRPr="001045A3">
        <w:rPr>
          <w:rStyle w:val="FootnoteReference"/>
        </w:rPr>
        <w:footnoteRef/>
      </w:r>
      <w:r w:rsidRPr="001045A3">
        <w:t xml:space="preserve"> </w:t>
      </w:r>
      <w:r w:rsidRPr="00D81467">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w:t>
      </w:r>
      <w:r>
        <w:t xml:space="preserve"> just NOPR in Docket No. RM14-7</w:t>
      </w:r>
      <w:r w:rsidRPr="00D81467">
        <w:t>) and other changes to the collection. </w:t>
      </w:r>
    </w:p>
  </w:footnote>
  <w:footnote w:id="11">
    <w:p w14:paraId="17A76DD8" w14:textId="2C6CB49B" w:rsidR="00812816" w:rsidRPr="00C72C7A" w:rsidRDefault="00812816" w:rsidP="001045A3">
      <w:pPr>
        <w:pStyle w:val="FootnoteText"/>
      </w:pPr>
      <w:r w:rsidRPr="001045A3">
        <w:rPr>
          <w:rStyle w:val="FootnoteReference"/>
        </w:rPr>
        <w:footnoteRef/>
      </w:r>
      <w:r w:rsidRPr="001045A3">
        <w:t xml:space="preserve"> The estimated hourly costs (salary p</w:t>
      </w:r>
      <w:r w:rsidRPr="00C72C7A">
        <w:t>lus benefits) are based on Bureau of Labor and Statistics (BLS) information (</w:t>
      </w:r>
      <w:r w:rsidRPr="00C72C7A">
        <w:rPr>
          <w:i/>
        </w:rPr>
        <w:t>available at</w:t>
      </w:r>
      <w:r w:rsidRPr="00C72C7A">
        <w:t xml:space="preserve"> </w:t>
      </w:r>
      <w:hyperlink r:id="rId2" w:anchor="17-000" w:history="1">
        <w:r w:rsidRPr="003A1817">
          <w:rPr>
            <w:rStyle w:val="Hyperlink"/>
          </w:rPr>
          <w:t>http://bls.gov/oes/current/naics3_221000.htm#17-000</w:t>
        </w:r>
      </w:hyperlink>
      <w:r w:rsidRPr="001045A3">
        <w:t>)</w:t>
      </w:r>
      <w:r>
        <w:t xml:space="preserve"> </w:t>
      </w:r>
      <w:r w:rsidRPr="001045A3">
        <w:t>for an electrical engineer ($59.62/hou</w:t>
      </w:r>
      <w:r w:rsidRPr="00C72C7A">
        <w:t>r for review and documentation), and for a file clerk (</w:t>
      </w:r>
      <w:r w:rsidRPr="00C72C7A">
        <w:rPr>
          <w:rStyle w:val="Hyperlink"/>
          <w:color w:val="auto"/>
          <w:u w:val="none"/>
        </w:rPr>
        <w:t xml:space="preserve">$28.95/hour </w:t>
      </w:r>
      <w:r w:rsidRPr="00C72C7A">
        <w:t>for record retention).</w:t>
      </w:r>
    </w:p>
  </w:footnote>
  <w:footnote w:id="12">
    <w:p w14:paraId="0D2DC2ED" w14:textId="77777777" w:rsidR="00812816" w:rsidRPr="001045A3" w:rsidRDefault="00812816" w:rsidP="001045A3">
      <w:pPr>
        <w:pStyle w:val="FootnoteText"/>
      </w:pPr>
      <w:r w:rsidRPr="001045A3">
        <w:rPr>
          <w:rStyle w:val="FootnoteReference"/>
        </w:rPr>
        <w:footnoteRef/>
      </w:r>
      <w:r w:rsidRPr="001045A3">
        <w:t xml:space="preserve"> 170 TOPs and 93 TSPs result in 186 unique and separate respondents for the record retention requirement.</w:t>
      </w:r>
    </w:p>
  </w:footnote>
  <w:footnote w:id="13">
    <w:p w14:paraId="2999F326" w14:textId="4A39BBE4" w:rsidR="00812816" w:rsidRPr="00C72C7A" w:rsidRDefault="00812816" w:rsidP="001045A3">
      <w:pPr>
        <w:pStyle w:val="FootnoteText"/>
      </w:pPr>
      <w:r w:rsidRPr="001045A3">
        <w:rPr>
          <w:rStyle w:val="FootnoteReference"/>
        </w:rPr>
        <w:footnoteRef/>
      </w:r>
      <w:r w:rsidRPr="001045A3">
        <w:t xml:space="preserve"> The reduction noted here is not reflected in the ROCIS pa</w:t>
      </w:r>
      <w:r w:rsidRPr="00C72C7A">
        <w:t>ckage.  Each of the respondents in FERC-725A is assumed to be the respondent to a multitude of reliability standards contained in FERC-725A.  Therefore, the respondent number in the ROCIS clearance package remains static despite the reduction due to the retirement of MOD standards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53E3" w14:textId="77777777" w:rsidR="00C312C1" w:rsidRDefault="00C31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C984A" w14:textId="018C632E" w:rsidR="00812816" w:rsidRDefault="00812816">
    <w:pPr>
      <w:pStyle w:val="Header"/>
      <w:rPr>
        <w:rFonts w:ascii="Times New Roman" w:hAnsi="Times New Roman" w:cs="Times New Roman"/>
        <w:sz w:val="24"/>
        <w:szCs w:val="24"/>
      </w:rPr>
    </w:pPr>
    <w:r>
      <w:rPr>
        <w:rFonts w:ascii="Times New Roman" w:hAnsi="Times New Roman" w:cs="Times New Roman"/>
        <w:sz w:val="24"/>
        <w:szCs w:val="24"/>
      </w:rPr>
      <w:t>RM14-7-000 Notice of Proposed Rulemaking (NOPR)</w:t>
    </w:r>
    <w:r w:rsidR="00C312C1">
      <w:rPr>
        <w:rFonts w:ascii="Times New Roman" w:hAnsi="Times New Roman" w:cs="Times New Roman"/>
        <w:sz w:val="24"/>
        <w:szCs w:val="24"/>
      </w:rPr>
      <w:t xml:space="preserve"> Issued June 19, 2014</w:t>
    </w:r>
  </w:p>
  <w:p w14:paraId="3B5D3378" w14:textId="13D94D31" w:rsidR="00C312C1" w:rsidRDefault="00C312C1">
    <w:pPr>
      <w:pStyle w:val="Header"/>
      <w:rPr>
        <w:rFonts w:ascii="Times New Roman" w:hAnsi="Times New Roman" w:cs="Times New Roman"/>
        <w:sz w:val="24"/>
        <w:szCs w:val="24"/>
      </w:rPr>
    </w:pPr>
    <w:r>
      <w:rPr>
        <w:rFonts w:ascii="Times New Roman" w:hAnsi="Times New Roman" w:cs="Times New Roman"/>
        <w:sz w:val="24"/>
        <w:szCs w:val="24"/>
      </w:rPr>
      <w:t>RIN: 1902-AE84</w:t>
    </w:r>
  </w:p>
  <w:p w14:paraId="0B4B2A89" w14:textId="2CAAA955" w:rsidR="00812816" w:rsidRDefault="00812816">
    <w:pPr>
      <w:pStyle w:val="Header"/>
      <w:rPr>
        <w:rFonts w:ascii="Times New Roman" w:hAnsi="Times New Roman" w:cs="Times New Roman"/>
        <w:sz w:val="24"/>
        <w:szCs w:val="24"/>
      </w:rPr>
    </w:pPr>
    <w:r>
      <w:rPr>
        <w:rFonts w:ascii="Times New Roman" w:hAnsi="Times New Roman" w:cs="Times New Roman"/>
        <w:sz w:val="24"/>
        <w:szCs w:val="24"/>
      </w:rPr>
      <w:t>FERC-725A (OMB Control No. 1902-0244)</w:t>
    </w:r>
  </w:p>
  <w:p w14:paraId="70E3CB48" w14:textId="3E6BEC11" w:rsidR="00812816" w:rsidRDefault="00812816">
    <w:pPr>
      <w:pStyle w:val="Header"/>
      <w:rPr>
        <w:rFonts w:ascii="Times New Roman" w:hAnsi="Times New Roman" w:cs="Times New Roman"/>
        <w:sz w:val="24"/>
        <w:szCs w:val="24"/>
      </w:rPr>
    </w:pPr>
    <w:r>
      <w:rPr>
        <w:rFonts w:ascii="Times New Roman" w:hAnsi="Times New Roman" w:cs="Times New Roman"/>
        <w:sz w:val="24"/>
        <w:szCs w:val="24"/>
      </w:rPr>
      <w:t>FERC-725L (OMB Control No. 1902-0261)</w:t>
    </w:r>
  </w:p>
  <w:p w14:paraId="15FE05B6" w14:textId="77777777" w:rsidR="00812816" w:rsidRDefault="008128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148C2" w14:textId="77777777" w:rsidR="00C312C1" w:rsidRDefault="00C31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8EC"/>
    <w:multiLevelType w:val="hybridMultilevel"/>
    <w:tmpl w:val="D180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37B58"/>
    <w:multiLevelType w:val="hybridMultilevel"/>
    <w:tmpl w:val="44666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F39DC"/>
    <w:multiLevelType w:val="hybridMultilevel"/>
    <w:tmpl w:val="F44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Palmer">
    <w15:presenceInfo w15:providerId="AD" w15:userId="S-1-5-21-842925246-1078145449-725345543-96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20EE"/>
    <w:rsid w:val="0000478A"/>
    <w:rsid w:val="0002242D"/>
    <w:rsid w:val="00035845"/>
    <w:rsid w:val="00074DC8"/>
    <w:rsid w:val="000B0C37"/>
    <w:rsid w:val="000D59DF"/>
    <w:rsid w:val="000D7E27"/>
    <w:rsid w:val="000F0129"/>
    <w:rsid w:val="00103E52"/>
    <w:rsid w:val="001045A3"/>
    <w:rsid w:val="00143103"/>
    <w:rsid w:val="00181727"/>
    <w:rsid w:val="00185730"/>
    <w:rsid w:val="001B44FA"/>
    <w:rsid w:val="001D24F1"/>
    <w:rsid w:val="001D2739"/>
    <w:rsid w:val="002046DB"/>
    <w:rsid w:val="0026674D"/>
    <w:rsid w:val="002B13E2"/>
    <w:rsid w:val="002E655B"/>
    <w:rsid w:val="002F20D3"/>
    <w:rsid w:val="003151D4"/>
    <w:rsid w:val="003B561A"/>
    <w:rsid w:val="004021F5"/>
    <w:rsid w:val="00414F32"/>
    <w:rsid w:val="00434D19"/>
    <w:rsid w:val="00487721"/>
    <w:rsid w:val="0049325A"/>
    <w:rsid w:val="004B4C95"/>
    <w:rsid w:val="004C136C"/>
    <w:rsid w:val="004C4C89"/>
    <w:rsid w:val="004F6977"/>
    <w:rsid w:val="00522F69"/>
    <w:rsid w:val="0053287C"/>
    <w:rsid w:val="00565DED"/>
    <w:rsid w:val="00571C5E"/>
    <w:rsid w:val="0057700F"/>
    <w:rsid w:val="005A2792"/>
    <w:rsid w:val="005B77CE"/>
    <w:rsid w:val="005F1C3C"/>
    <w:rsid w:val="006166FA"/>
    <w:rsid w:val="0063043A"/>
    <w:rsid w:val="00664BC0"/>
    <w:rsid w:val="00674DFA"/>
    <w:rsid w:val="00690136"/>
    <w:rsid w:val="006B0709"/>
    <w:rsid w:val="006C4EB6"/>
    <w:rsid w:val="00733582"/>
    <w:rsid w:val="007426EE"/>
    <w:rsid w:val="00773AEB"/>
    <w:rsid w:val="00787670"/>
    <w:rsid w:val="007A2F92"/>
    <w:rsid w:val="007E7C0F"/>
    <w:rsid w:val="00812816"/>
    <w:rsid w:val="00820482"/>
    <w:rsid w:val="008619E1"/>
    <w:rsid w:val="008723B0"/>
    <w:rsid w:val="00876F75"/>
    <w:rsid w:val="0089676C"/>
    <w:rsid w:val="008A17A1"/>
    <w:rsid w:val="008A21A4"/>
    <w:rsid w:val="008B703B"/>
    <w:rsid w:val="008C288D"/>
    <w:rsid w:val="008C53E9"/>
    <w:rsid w:val="008E70CD"/>
    <w:rsid w:val="00913A8B"/>
    <w:rsid w:val="00946B72"/>
    <w:rsid w:val="00970FE4"/>
    <w:rsid w:val="009814D7"/>
    <w:rsid w:val="009B0642"/>
    <w:rsid w:val="009E1190"/>
    <w:rsid w:val="00A14EF2"/>
    <w:rsid w:val="00A276F5"/>
    <w:rsid w:val="00A72E7B"/>
    <w:rsid w:val="00A96B65"/>
    <w:rsid w:val="00AA1360"/>
    <w:rsid w:val="00AD281F"/>
    <w:rsid w:val="00AD3DE5"/>
    <w:rsid w:val="00AE1C8E"/>
    <w:rsid w:val="00B255DB"/>
    <w:rsid w:val="00B43276"/>
    <w:rsid w:val="00B931AC"/>
    <w:rsid w:val="00BA1C7D"/>
    <w:rsid w:val="00BA7C56"/>
    <w:rsid w:val="00BB0444"/>
    <w:rsid w:val="00BB1395"/>
    <w:rsid w:val="00BC2EE7"/>
    <w:rsid w:val="00BD5C4A"/>
    <w:rsid w:val="00C01698"/>
    <w:rsid w:val="00C040C0"/>
    <w:rsid w:val="00C24B6E"/>
    <w:rsid w:val="00C26DCE"/>
    <w:rsid w:val="00C312C1"/>
    <w:rsid w:val="00C510DD"/>
    <w:rsid w:val="00C72C7A"/>
    <w:rsid w:val="00CA495F"/>
    <w:rsid w:val="00CA59C3"/>
    <w:rsid w:val="00D2565D"/>
    <w:rsid w:val="00D55CF0"/>
    <w:rsid w:val="00D74F69"/>
    <w:rsid w:val="00D80FBD"/>
    <w:rsid w:val="00DC0E01"/>
    <w:rsid w:val="00DC4E36"/>
    <w:rsid w:val="00E11CA6"/>
    <w:rsid w:val="00E14565"/>
    <w:rsid w:val="00E20612"/>
    <w:rsid w:val="00E6361F"/>
    <w:rsid w:val="00E636D7"/>
    <w:rsid w:val="00E6703B"/>
    <w:rsid w:val="00E705AE"/>
    <w:rsid w:val="00E87A4F"/>
    <w:rsid w:val="00EB3E6F"/>
    <w:rsid w:val="00ED5560"/>
    <w:rsid w:val="00EF55E7"/>
    <w:rsid w:val="00F12DC2"/>
    <w:rsid w:val="00F152DF"/>
    <w:rsid w:val="00F7206B"/>
    <w:rsid w:val="00F97ABB"/>
    <w:rsid w:val="00FA6A11"/>
    <w:rsid w:val="00FC3B5F"/>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FC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0047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004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bls.gov/oes/current/naics3_221000.htm" TargetMode="External"/><Relationship Id="rId1" Type="http://schemas.openxmlformats.org/officeDocument/2006/relationships/hyperlink" Target="http://www.nerc.com/docs/standards/sar/Appendix_3A_Standard_Processes_Manual_20100903_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 xmlns="d6eefc7d-9817-4fa6-84d5-3bc009be21b8" xsi:nil="tru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725L</_x0031__x002e__x0020_Collection_x0020_Number>
    <Status xmlns="d6eefc7d-9817-4fa6-84d5-3bc009be21b8">Final</Status>
    <_x0032__x002e__x0020_Docket_x0020_Number xmlns="d6eefc7d-9817-4fa6-84d5-3bc009be21b8" xsi:nil="true"/>
    <_x0032__x002e__x0020_Collection_x0020_Number xmlns="d6eefc7d-9817-4fa6-84d5-3bc009be21b8">725A</_x0032__x002e__x0020_Collection_x0020_Number>
    <_x0031__x002e__x0020_Docket_x0020_Number xmlns="d6eefc7d-9817-4fa6-84d5-3bc009be21b8">RM14-7</_x0031__x002e__x0020_Docket_x0020_Number>
    <_x0033__x002e__x0020_Collection_x0020_Number xmlns="d6eefc7d-9817-4fa6-84d5-3bc009be21b8" xsi:nil="true"/>
  </documentManagement>
</p:properties>
</file>

<file path=customXml/item4.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B7C0-2671-46B7-AB06-082E3E70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DC3A4479-0543-455B-A152-110FB41B2830}">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d6eefc7d-9817-4fa6-84d5-3bc009be21b8"/>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3196919-E7D0-4CD5-B544-2BC44B2A096B}">
  <ds:schemaRefs>
    <ds:schemaRef ds:uri="http://schemas.microsoft.com/office/2006/metadata/customXsn"/>
  </ds:schemaRefs>
</ds:datastoreItem>
</file>

<file path=customXml/itemProps5.xml><?xml version="1.0" encoding="utf-8"?>
<ds:datastoreItem xmlns:ds="http://schemas.openxmlformats.org/officeDocument/2006/customXml" ds:itemID="{F02AEAC0-AB9E-4A5C-952C-F8390CD8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34939C97</Template>
  <TotalTime>284</TotalTime>
  <Pages>10</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ferc</cp:lastModifiedBy>
  <cp:revision>12</cp:revision>
  <dcterms:created xsi:type="dcterms:W3CDTF">2014-07-17T18:26:00Z</dcterms:created>
  <dcterms:modified xsi:type="dcterms:W3CDTF">2014-07-21T16:20:00Z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