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EB193" w14:textId="77777777" w:rsidR="0076534C" w:rsidRPr="005579A0" w:rsidRDefault="0076534C" w:rsidP="005579A0">
      <w:pPr>
        <w:widowControl/>
        <w:tabs>
          <w:tab w:val="center" w:pos="5040"/>
        </w:tabs>
        <w:jc w:val="center"/>
        <w:rPr>
          <w:sz w:val="26"/>
          <w:szCs w:val="26"/>
        </w:rPr>
      </w:pPr>
      <w:r>
        <w:rPr>
          <w:sz w:val="26"/>
          <w:szCs w:val="26"/>
        </w:rPr>
        <w:t>Supporting Statement for</w:t>
      </w:r>
    </w:p>
    <w:p w14:paraId="191F1EBC" w14:textId="77777777" w:rsidR="00491659" w:rsidRDefault="0076534C" w:rsidP="00491659">
      <w:pPr>
        <w:widowControl/>
        <w:tabs>
          <w:tab w:val="center" w:pos="5040"/>
        </w:tabs>
        <w:jc w:val="center"/>
        <w:rPr>
          <w:b/>
          <w:bCs/>
          <w:sz w:val="26"/>
          <w:szCs w:val="26"/>
        </w:rPr>
      </w:pPr>
      <w:r>
        <w:rPr>
          <w:b/>
          <w:bCs/>
          <w:sz w:val="26"/>
          <w:szCs w:val="26"/>
        </w:rPr>
        <w:t xml:space="preserve">FERC Form </w:t>
      </w:r>
      <w:r w:rsidR="00566F48">
        <w:rPr>
          <w:b/>
          <w:bCs/>
          <w:sz w:val="26"/>
          <w:szCs w:val="26"/>
        </w:rPr>
        <w:t xml:space="preserve">No. </w:t>
      </w:r>
      <w:r>
        <w:rPr>
          <w:b/>
          <w:bCs/>
          <w:sz w:val="26"/>
          <w:szCs w:val="26"/>
        </w:rPr>
        <w:t>2 "Annual Report of Major Natural Gas Companies";</w:t>
      </w:r>
    </w:p>
    <w:p w14:paraId="26A332C6" w14:textId="77777777" w:rsidR="0076534C" w:rsidRDefault="0076534C">
      <w:pPr>
        <w:widowControl/>
        <w:rPr>
          <w:sz w:val="26"/>
          <w:szCs w:val="26"/>
        </w:rPr>
      </w:pPr>
    </w:p>
    <w:p w14:paraId="5DDF8C53" w14:textId="6B4CB8AB" w:rsidR="0076534C" w:rsidRDefault="0076534C" w:rsidP="006C2994">
      <w:pPr>
        <w:rPr>
          <w:sz w:val="26"/>
          <w:szCs w:val="26"/>
        </w:rPr>
      </w:pPr>
      <w:r>
        <w:rPr>
          <w:sz w:val="26"/>
          <w:szCs w:val="26"/>
        </w:rPr>
        <w:t>The Federal Energy Regulatory Commission (</w:t>
      </w:r>
      <w:r w:rsidR="00193CD5">
        <w:rPr>
          <w:sz w:val="26"/>
          <w:szCs w:val="26"/>
        </w:rPr>
        <w:t xml:space="preserve">FERC or </w:t>
      </w:r>
      <w:r>
        <w:rPr>
          <w:sz w:val="26"/>
          <w:szCs w:val="26"/>
        </w:rPr>
        <w:t xml:space="preserve">Commission) requests Office of Management and Budget (OMB) review and approval of </w:t>
      </w:r>
      <w:r>
        <w:rPr>
          <w:b/>
          <w:bCs/>
          <w:sz w:val="26"/>
          <w:szCs w:val="26"/>
        </w:rPr>
        <w:t xml:space="preserve">FERC Form </w:t>
      </w:r>
      <w:r w:rsidR="006B0D68">
        <w:rPr>
          <w:b/>
          <w:bCs/>
          <w:sz w:val="26"/>
          <w:szCs w:val="26"/>
        </w:rPr>
        <w:t xml:space="preserve">No. </w:t>
      </w:r>
      <w:r>
        <w:rPr>
          <w:b/>
          <w:bCs/>
          <w:sz w:val="26"/>
          <w:szCs w:val="26"/>
        </w:rPr>
        <w:t>2</w:t>
      </w:r>
      <w:r w:rsidR="00564D59">
        <w:rPr>
          <w:b/>
          <w:bCs/>
          <w:sz w:val="26"/>
          <w:szCs w:val="26"/>
        </w:rPr>
        <w:t>,</w:t>
      </w:r>
      <w:r>
        <w:rPr>
          <w:b/>
          <w:bCs/>
          <w:sz w:val="26"/>
          <w:szCs w:val="26"/>
        </w:rPr>
        <w:t xml:space="preserve"> "Annual Rep</w:t>
      </w:r>
      <w:r w:rsidR="006A5DBB">
        <w:rPr>
          <w:b/>
          <w:bCs/>
          <w:sz w:val="26"/>
          <w:szCs w:val="26"/>
        </w:rPr>
        <w:t>ort of Major Natural Gas</w:t>
      </w:r>
      <w:r w:rsidR="006B0D68">
        <w:rPr>
          <w:b/>
          <w:bCs/>
          <w:sz w:val="26"/>
          <w:szCs w:val="26"/>
        </w:rPr>
        <w:t xml:space="preserve"> </w:t>
      </w:r>
      <w:r w:rsidR="006F6CE9">
        <w:rPr>
          <w:b/>
          <w:bCs/>
          <w:sz w:val="26"/>
          <w:szCs w:val="26"/>
        </w:rPr>
        <w:t>C</w:t>
      </w:r>
      <w:r w:rsidR="005579A0">
        <w:rPr>
          <w:b/>
          <w:bCs/>
          <w:sz w:val="26"/>
          <w:szCs w:val="26"/>
        </w:rPr>
        <w:t>ompanies"</w:t>
      </w:r>
      <w:r w:rsidR="00193CD5" w:rsidRPr="00F77BCC">
        <w:rPr>
          <w:bCs/>
          <w:sz w:val="26"/>
          <w:szCs w:val="26"/>
        </w:rPr>
        <w:t>,</w:t>
      </w:r>
      <w:r w:rsidR="005579A0">
        <w:rPr>
          <w:b/>
          <w:bCs/>
          <w:sz w:val="26"/>
          <w:szCs w:val="26"/>
        </w:rPr>
        <w:t xml:space="preserve"> </w:t>
      </w:r>
      <w:r w:rsidR="004F1637">
        <w:rPr>
          <w:bCs/>
          <w:sz w:val="26"/>
          <w:szCs w:val="26"/>
        </w:rPr>
        <w:t>for an additional three years</w:t>
      </w:r>
      <w:r w:rsidR="003F7F42" w:rsidRPr="00552157">
        <w:rPr>
          <w:bCs/>
          <w:sz w:val="26"/>
          <w:szCs w:val="26"/>
        </w:rPr>
        <w:t>.</w:t>
      </w:r>
      <w:r w:rsidR="00F77BCC" w:rsidRPr="00F77BCC">
        <w:rPr>
          <w:rStyle w:val="FootnoteReference"/>
          <w:sz w:val="26"/>
          <w:szCs w:val="26"/>
          <w:vertAlign w:val="superscript"/>
        </w:rPr>
        <w:footnoteReference w:id="1"/>
      </w:r>
      <w:r>
        <w:rPr>
          <w:sz w:val="26"/>
          <w:szCs w:val="26"/>
        </w:rPr>
        <w:t xml:space="preserve">  </w:t>
      </w:r>
    </w:p>
    <w:p w14:paraId="160F35B3" w14:textId="77777777" w:rsidR="0032248D" w:rsidRDefault="0032248D" w:rsidP="00183F7D">
      <w:pPr>
        <w:rPr>
          <w:sz w:val="26"/>
          <w:szCs w:val="26"/>
        </w:rPr>
      </w:pPr>
    </w:p>
    <w:p w14:paraId="608BC52E" w14:textId="77777777" w:rsidR="0076534C" w:rsidRDefault="0076534C">
      <w:pPr>
        <w:widowControl/>
        <w:rPr>
          <w:b/>
          <w:bCs/>
          <w:sz w:val="26"/>
          <w:szCs w:val="26"/>
          <w:u w:val="single"/>
        </w:rPr>
      </w:pPr>
      <w:r>
        <w:rPr>
          <w:b/>
          <w:bCs/>
          <w:sz w:val="26"/>
          <w:szCs w:val="26"/>
          <w:u w:val="single"/>
        </w:rPr>
        <w:t>A.</w:t>
      </w:r>
      <w:r>
        <w:rPr>
          <w:b/>
          <w:bCs/>
          <w:sz w:val="26"/>
          <w:szCs w:val="26"/>
        </w:rPr>
        <w:tab/>
      </w:r>
      <w:r>
        <w:rPr>
          <w:b/>
          <w:bCs/>
          <w:sz w:val="26"/>
          <w:szCs w:val="26"/>
          <w:u w:val="single"/>
        </w:rPr>
        <w:t>Justification</w:t>
      </w:r>
    </w:p>
    <w:p w14:paraId="6D18558B" w14:textId="77777777" w:rsidR="0076534C" w:rsidRDefault="0076534C">
      <w:pPr>
        <w:widowControl/>
        <w:rPr>
          <w:b/>
          <w:bCs/>
          <w:sz w:val="26"/>
          <w:szCs w:val="26"/>
          <w:u w:val="single"/>
        </w:rPr>
      </w:pPr>
    </w:p>
    <w:p w14:paraId="59969B8C" w14:textId="77777777" w:rsidR="0076534C" w:rsidRDefault="0076534C" w:rsidP="006C2994">
      <w:pPr>
        <w:widowControl/>
        <w:rPr>
          <w:b/>
          <w:bCs/>
          <w:sz w:val="26"/>
          <w:szCs w:val="26"/>
        </w:rPr>
      </w:pPr>
      <w:r w:rsidRPr="00781C5B">
        <w:rPr>
          <w:b/>
          <w:sz w:val="26"/>
          <w:szCs w:val="26"/>
        </w:rPr>
        <w:t>1.</w:t>
      </w:r>
      <w:r>
        <w:rPr>
          <w:sz w:val="26"/>
          <w:szCs w:val="26"/>
        </w:rPr>
        <w:t xml:space="preserve">  </w:t>
      </w:r>
      <w:r>
        <w:rPr>
          <w:b/>
          <w:bCs/>
          <w:sz w:val="26"/>
          <w:szCs w:val="26"/>
        </w:rPr>
        <w:t>CIRCUMSTANCES THAT MAKE THE COLLECTION OF INFORMATION</w:t>
      </w:r>
      <w:r>
        <w:rPr>
          <w:sz w:val="26"/>
          <w:szCs w:val="26"/>
        </w:rPr>
        <w:t xml:space="preserve"> </w:t>
      </w:r>
      <w:r>
        <w:rPr>
          <w:b/>
          <w:bCs/>
          <w:sz w:val="26"/>
          <w:szCs w:val="26"/>
        </w:rPr>
        <w:t>NECESSARY</w:t>
      </w:r>
    </w:p>
    <w:p w14:paraId="01DA32FD" w14:textId="77777777" w:rsidR="0076534C" w:rsidRDefault="0076534C">
      <w:pPr>
        <w:widowControl/>
        <w:rPr>
          <w:b/>
          <w:bCs/>
          <w:sz w:val="26"/>
          <w:szCs w:val="26"/>
        </w:rPr>
      </w:pPr>
    </w:p>
    <w:p w14:paraId="2AE2C151" w14:textId="31EB456B" w:rsidR="0076534C" w:rsidRDefault="0076534C" w:rsidP="006C2994">
      <w:pPr>
        <w:widowControl/>
        <w:rPr>
          <w:sz w:val="26"/>
          <w:szCs w:val="26"/>
        </w:rPr>
      </w:pPr>
      <w:r>
        <w:rPr>
          <w:sz w:val="26"/>
          <w:szCs w:val="26"/>
        </w:rPr>
        <w:t>Pursuant to sections 8, 10 and 14 of the National Gas Act (NGA), (15 U.S.C. 717g-717m, PL. 75-688), the Commission is authorized to make investigations and collect and record data, to prescribe rules and regulations concerning accounts, records and memoranda as necessary or appropriate for purposes of administering the NGA.  The Commission may prescribe a system of accoun</w:t>
      </w:r>
      <w:r w:rsidR="00297289">
        <w:rPr>
          <w:sz w:val="26"/>
          <w:szCs w:val="26"/>
        </w:rPr>
        <w:t>ts for jurisdictional companies</w:t>
      </w:r>
      <w:r>
        <w:rPr>
          <w:sz w:val="26"/>
          <w:szCs w:val="26"/>
        </w:rPr>
        <w:t xml:space="preserve"> and after notice and opportunity for hearing, may determine the accounts in which particular outlays and receipts will be entered, charged or credited. </w:t>
      </w:r>
      <w:r w:rsidR="00FD3113">
        <w:rPr>
          <w:sz w:val="26"/>
          <w:szCs w:val="26"/>
        </w:rPr>
        <w:t xml:space="preserve"> </w:t>
      </w:r>
      <w:r>
        <w:rPr>
          <w:sz w:val="26"/>
          <w:szCs w:val="26"/>
        </w:rPr>
        <w:t>The Commission collects Form No. 2</w:t>
      </w:r>
      <w:r w:rsidR="00401673">
        <w:rPr>
          <w:sz w:val="26"/>
          <w:szCs w:val="26"/>
        </w:rPr>
        <w:t xml:space="preserve"> </w:t>
      </w:r>
      <w:r w:rsidR="00FE13DF">
        <w:rPr>
          <w:sz w:val="26"/>
          <w:szCs w:val="26"/>
        </w:rPr>
        <w:t>information</w:t>
      </w:r>
      <w:r>
        <w:rPr>
          <w:sz w:val="26"/>
          <w:szCs w:val="26"/>
        </w:rPr>
        <w:t xml:space="preserve"> as prescribed in 18 CFR 260.1.  </w:t>
      </w:r>
    </w:p>
    <w:p w14:paraId="581F1D1D" w14:textId="77777777" w:rsidR="0076534C" w:rsidRDefault="0076534C" w:rsidP="00411200">
      <w:pPr>
        <w:widowControl/>
        <w:rPr>
          <w:sz w:val="26"/>
          <w:szCs w:val="26"/>
        </w:rPr>
      </w:pPr>
    </w:p>
    <w:p w14:paraId="3CACC677" w14:textId="77777777" w:rsidR="0076534C" w:rsidRDefault="0076534C" w:rsidP="006C2994">
      <w:pPr>
        <w:widowControl/>
        <w:rPr>
          <w:b/>
          <w:bCs/>
          <w:sz w:val="26"/>
          <w:szCs w:val="26"/>
        </w:rPr>
      </w:pPr>
      <w:r w:rsidRPr="00781C5B">
        <w:rPr>
          <w:b/>
          <w:sz w:val="26"/>
          <w:szCs w:val="26"/>
        </w:rPr>
        <w:t>2.</w:t>
      </w:r>
      <w:r>
        <w:rPr>
          <w:sz w:val="26"/>
          <w:szCs w:val="26"/>
        </w:rPr>
        <w:t xml:space="preserve">  </w:t>
      </w:r>
      <w:r>
        <w:rPr>
          <w:b/>
          <w:bCs/>
          <w:sz w:val="26"/>
          <w:szCs w:val="26"/>
        </w:rPr>
        <w:t>HOW, BY WHOM, AND FOR WHAT PURP</w:t>
      </w:r>
      <w:r w:rsidR="00691986">
        <w:rPr>
          <w:b/>
          <w:bCs/>
          <w:sz w:val="26"/>
          <w:szCs w:val="26"/>
        </w:rPr>
        <w:t xml:space="preserve">OSE THE INFORMATION IS TO </w:t>
      </w:r>
      <w:r>
        <w:rPr>
          <w:b/>
          <w:bCs/>
          <w:sz w:val="26"/>
          <w:szCs w:val="26"/>
        </w:rPr>
        <w:t>BE USED AND THE CONSEQUENCES OF NOT COLLECTING THE</w:t>
      </w:r>
      <w:r w:rsidR="00691986">
        <w:rPr>
          <w:b/>
          <w:bCs/>
          <w:sz w:val="26"/>
          <w:szCs w:val="26"/>
        </w:rPr>
        <w:t xml:space="preserve"> I</w:t>
      </w:r>
      <w:r>
        <w:rPr>
          <w:b/>
          <w:bCs/>
          <w:sz w:val="26"/>
          <w:szCs w:val="26"/>
        </w:rPr>
        <w:t xml:space="preserve">NFORMATION  </w:t>
      </w:r>
    </w:p>
    <w:p w14:paraId="4B469068" w14:textId="77777777" w:rsidR="0076534C" w:rsidRDefault="0076534C">
      <w:pPr>
        <w:widowControl/>
        <w:rPr>
          <w:b/>
          <w:bCs/>
          <w:sz w:val="26"/>
          <w:szCs w:val="26"/>
        </w:rPr>
      </w:pPr>
    </w:p>
    <w:p w14:paraId="2C2F032D" w14:textId="1875917D" w:rsidR="00FD3113" w:rsidRDefault="00FD3113" w:rsidP="00DC296D">
      <w:pPr>
        <w:tabs>
          <w:tab w:val="left" w:pos="650"/>
        </w:tabs>
        <w:rPr>
          <w:sz w:val="26"/>
          <w:szCs w:val="26"/>
        </w:rPr>
      </w:pPr>
      <w:r>
        <w:rPr>
          <w:sz w:val="26"/>
          <w:szCs w:val="26"/>
        </w:rPr>
        <w:t xml:space="preserve">Form </w:t>
      </w:r>
      <w:r w:rsidR="00564D59">
        <w:rPr>
          <w:sz w:val="26"/>
          <w:szCs w:val="26"/>
        </w:rPr>
        <w:t xml:space="preserve">No. </w:t>
      </w:r>
      <w:r>
        <w:rPr>
          <w:sz w:val="26"/>
          <w:szCs w:val="26"/>
        </w:rPr>
        <w:t>2 is filed by "major" natural g</w:t>
      </w:r>
      <w:r w:rsidR="00297289">
        <w:rPr>
          <w:sz w:val="26"/>
          <w:szCs w:val="26"/>
        </w:rPr>
        <w:t>as companies that have combined</w:t>
      </w:r>
      <w:r>
        <w:rPr>
          <w:sz w:val="26"/>
          <w:szCs w:val="26"/>
        </w:rPr>
        <w:t xml:space="preserve"> gas transported or stored for a fee that exceeds 50 million Dekatherms in each of the three previous calendar years.  </w:t>
      </w:r>
    </w:p>
    <w:p w14:paraId="7A5053B9" w14:textId="77777777" w:rsidR="00FD3113" w:rsidRDefault="00FD3113" w:rsidP="00DC296D">
      <w:pPr>
        <w:tabs>
          <w:tab w:val="left" w:pos="650"/>
        </w:tabs>
        <w:rPr>
          <w:sz w:val="26"/>
          <w:szCs w:val="26"/>
        </w:rPr>
      </w:pPr>
    </w:p>
    <w:p w14:paraId="6D1EC311" w14:textId="15121EA4" w:rsidR="00DC296D" w:rsidRDefault="00401673" w:rsidP="00DC296D">
      <w:pPr>
        <w:tabs>
          <w:tab w:val="left" w:pos="650"/>
        </w:tabs>
        <w:rPr>
          <w:sz w:val="26"/>
        </w:rPr>
      </w:pPr>
      <w:r>
        <w:rPr>
          <w:sz w:val="26"/>
        </w:rPr>
        <w:t>This</w:t>
      </w:r>
      <w:r w:rsidR="005B73EB" w:rsidRPr="005B73EB">
        <w:rPr>
          <w:sz w:val="26"/>
        </w:rPr>
        <w:t xml:space="preserve"> form provide</w:t>
      </w:r>
      <w:r>
        <w:rPr>
          <w:sz w:val="26"/>
        </w:rPr>
        <w:t>s</w:t>
      </w:r>
      <w:r w:rsidR="005B73EB" w:rsidRPr="005B73EB">
        <w:rPr>
          <w:sz w:val="26"/>
        </w:rPr>
        <w:t xml:space="preserve"> information concerning a company’s past perfo</w:t>
      </w:r>
      <w:r w:rsidR="00947ADC">
        <w:rPr>
          <w:sz w:val="26"/>
        </w:rPr>
        <w:t>rmance and its future prospects.</w:t>
      </w:r>
      <w:r w:rsidR="005B73EB" w:rsidRPr="005B73EB">
        <w:rPr>
          <w:sz w:val="26"/>
        </w:rPr>
        <w:t xml:space="preserve"> </w:t>
      </w:r>
      <w:r w:rsidR="00947ADC">
        <w:rPr>
          <w:sz w:val="26"/>
        </w:rPr>
        <w:t xml:space="preserve"> The </w:t>
      </w:r>
      <w:r w:rsidR="005B73EB" w:rsidRPr="005B73EB">
        <w:rPr>
          <w:sz w:val="26"/>
        </w:rPr>
        <w:t xml:space="preserve">information </w:t>
      </w:r>
      <w:r w:rsidR="00947ADC">
        <w:rPr>
          <w:sz w:val="26"/>
        </w:rPr>
        <w:t xml:space="preserve">is </w:t>
      </w:r>
      <w:r w:rsidR="005B73EB" w:rsidRPr="005B73EB">
        <w:rPr>
          <w:sz w:val="26"/>
        </w:rPr>
        <w:t>compiled using a standard chart of accounts contained in the Commission’s Uniform System of Accounts (</w:t>
      </w:r>
      <w:proofErr w:type="spellStart"/>
      <w:r w:rsidR="005B73EB" w:rsidRPr="005B73EB">
        <w:rPr>
          <w:sz w:val="26"/>
        </w:rPr>
        <w:t>USofA</w:t>
      </w:r>
      <w:proofErr w:type="spellEnd"/>
      <w:r w:rsidR="005B73EB" w:rsidRPr="005B73EB">
        <w:rPr>
          <w:sz w:val="26"/>
        </w:rPr>
        <w:t>).</w:t>
      </w:r>
      <w:r w:rsidR="005B73EB" w:rsidRPr="00947ADC">
        <w:rPr>
          <w:rStyle w:val="FootnoteReference"/>
          <w:sz w:val="26"/>
          <w:szCs w:val="26"/>
          <w:vertAlign w:val="superscript"/>
        </w:rPr>
        <w:footnoteReference w:id="2"/>
      </w:r>
      <w:r>
        <w:rPr>
          <w:sz w:val="26"/>
        </w:rPr>
        <w:t xml:space="preserve">  The form</w:t>
      </w:r>
      <w:r w:rsidR="005B73EB" w:rsidRPr="005B73EB">
        <w:rPr>
          <w:sz w:val="26"/>
        </w:rPr>
        <w:t xml:space="preserve"> contain</w:t>
      </w:r>
      <w:r>
        <w:rPr>
          <w:sz w:val="26"/>
        </w:rPr>
        <w:t>s</w:t>
      </w:r>
      <w:r w:rsidR="005B73EB" w:rsidRPr="005B73EB">
        <w:rPr>
          <w:sz w:val="26"/>
        </w:rPr>
        <w:t xml:space="preserve"> schedules which include a basic set of financial statements:  Comparative Balance Sheet, Statement of Income and Retained Earnings, Statement of Cash Flows, and the Statement of Comprehensive Income and Hedging Activities.  Supporting schedules containing supplementary information are filed, including revenues and the related quantities of products sold or transported; account balances for various operating and maintenance expenses; selected plant cost data; and other information.  </w:t>
      </w:r>
    </w:p>
    <w:p w14:paraId="547C454A" w14:textId="77777777" w:rsidR="00564D59" w:rsidRDefault="00564D59" w:rsidP="00DC296D">
      <w:pPr>
        <w:tabs>
          <w:tab w:val="left" w:pos="650"/>
        </w:tabs>
        <w:rPr>
          <w:sz w:val="26"/>
        </w:rPr>
      </w:pPr>
    </w:p>
    <w:p w14:paraId="502E427C" w14:textId="11961585" w:rsidR="0076534C" w:rsidRDefault="00DC296D" w:rsidP="00DC296D">
      <w:pPr>
        <w:tabs>
          <w:tab w:val="left" w:pos="650"/>
        </w:tabs>
        <w:rPr>
          <w:sz w:val="26"/>
          <w:szCs w:val="26"/>
        </w:rPr>
      </w:pPr>
      <w:r>
        <w:rPr>
          <w:sz w:val="26"/>
        </w:rPr>
        <w:t>The</w:t>
      </w:r>
      <w:r w:rsidR="0076534C">
        <w:rPr>
          <w:sz w:val="26"/>
          <w:szCs w:val="26"/>
        </w:rPr>
        <w:t xml:space="preserve"> in</w:t>
      </w:r>
      <w:r w:rsidR="00401673">
        <w:rPr>
          <w:sz w:val="26"/>
          <w:szCs w:val="26"/>
        </w:rPr>
        <w:t>formation collected in the form</w:t>
      </w:r>
      <w:r w:rsidR="0076534C">
        <w:rPr>
          <w:sz w:val="26"/>
          <w:szCs w:val="26"/>
        </w:rPr>
        <w:t xml:space="preserve"> is used by Commission staff, state regulatory agencies and others in the review of the financial condition of regulated companies.  The information is also used in various rate proceedings, industry analyses and in the Commission's audit programs and </w:t>
      </w:r>
      <w:r w:rsidR="0076534C">
        <w:rPr>
          <w:sz w:val="26"/>
          <w:szCs w:val="26"/>
        </w:rPr>
        <w:lastRenderedPageBreak/>
        <w:t xml:space="preserve">as appropriate, for the computation of annual charges based on </w:t>
      </w:r>
      <w:r w:rsidR="00A24B08">
        <w:rPr>
          <w:sz w:val="26"/>
          <w:szCs w:val="26"/>
        </w:rPr>
        <w:t>Page No. 520</w:t>
      </w:r>
      <w:r w:rsidR="0076534C">
        <w:rPr>
          <w:sz w:val="26"/>
          <w:szCs w:val="26"/>
        </w:rPr>
        <w:t xml:space="preserve"> </w:t>
      </w:r>
      <w:r w:rsidR="009222E9">
        <w:rPr>
          <w:sz w:val="26"/>
          <w:szCs w:val="26"/>
        </w:rPr>
        <w:t xml:space="preserve">of </w:t>
      </w:r>
      <w:r w:rsidR="0076534C">
        <w:rPr>
          <w:sz w:val="26"/>
          <w:szCs w:val="26"/>
        </w:rPr>
        <w:t xml:space="preserve">the form.  The Commission provides the information to the public, </w:t>
      </w:r>
      <w:r w:rsidR="00564D59">
        <w:rPr>
          <w:sz w:val="26"/>
          <w:szCs w:val="26"/>
        </w:rPr>
        <w:t>interveners</w:t>
      </w:r>
      <w:r w:rsidR="0076534C">
        <w:rPr>
          <w:sz w:val="26"/>
          <w:szCs w:val="26"/>
        </w:rPr>
        <w:t xml:space="preserve"> and all interested parties to assist in the proceedings before the Commission.</w:t>
      </w:r>
    </w:p>
    <w:p w14:paraId="19B96AB0" w14:textId="77777777" w:rsidR="0076534C" w:rsidRDefault="0076534C">
      <w:pPr>
        <w:widowControl/>
        <w:rPr>
          <w:sz w:val="26"/>
          <w:szCs w:val="26"/>
        </w:rPr>
      </w:pPr>
    </w:p>
    <w:p w14:paraId="793E9B08" w14:textId="13BC4902" w:rsidR="0076534C" w:rsidRDefault="00FD3733" w:rsidP="006C2994">
      <w:pPr>
        <w:widowControl/>
        <w:rPr>
          <w:sz w:val="26"/>
          <w:szCs w:val="26"/>
        </w:rPr>
      </w:pPr>
      <w:r>
        <w:rPr>
          <w:sz w:val="26"/>
          <w:szCs w:val="26"/>
        </w:rPr>
        <w:t>In addition, t</w:t>
      </w:r>
      <w:r w:rsidR="00FD01C5">
        <w:rPr>
          <w:sz w:val="26"/>
          <w:szCs w:val="26"/>
        </w:rPr>
        <w:t>his FERC a</w:t>
      </w:r>
      <w:r w:rsidR="0076534C">
        <w:rPr>
          <w:sz w:val="26"/>
          <w:szCs w:val="26"/>
        </w:rPr>
        <w:t>nnual</w:t>
      </w:r>
      <w:r w:rsidR="00401673">
        <w:rPr>
          <w:sz w:val="26"/>
          <w:szCs w:val="26"/>
        </w:rPr>
        <w:t xml:space="preserve"> </w:t>
      </w:r>
      <w:r w:rsidR="00FD01C5">
        <w:rPr>
          <w:sz w:val="26"/>
          <w:szCs w:val="26"/>
        </w:rPr>
        <w:t>f</w:t>
      </w:r>
      <w:r w:rsidR="0076534C">
        <w:rPr>
          <w:sz w:val="26"/>
          <w:szCs w:val="26"/>
        </w:rPr>
        <w:t>orm provide</w:t>
      </w:r>
      <w:r w:rsidR="00564D59">
        <w:rPr>
          <w:sz w:val="26"/>
          <w:szCs w:val="26"/>
        </w:rPr>
        <w:t>s</w:t>
      </w:r>
      <w:r w:rsidR="0076534C">
        <w:rPr>
          <w:sz w:val="26"/>
          <w:szCs w:val="26"/>
        </w:rPr>
        <w:t xml:space="preserve"> the Commission, as well as others, with an informative picture of the jurisdictional entities' financial condition along with other relevant data that is used by the Commission in making economic </w:t>
      </w:r>
      <w:r w:rsidR="009C387B">
        <w:rPr>
          <w:sz w:val="26"/>
          <w:szCs w:val="26"/>
        </w:rPr>
        <w:t>judgments</w:t>
      </w:r>
      <w:r w:rsidR="0076534C">
        <w:rPr>
          <w:sz w:val="26"/>
          <w:szCs w:val="26"/>
        </w:rPr>
        <w:t xml:space="preserve"> about the entity or its industry.  For financial information to be useful to the Commission, it must be understandable, relevant, reliable and timely.  </w:t>
      </w:r>
    </w:p>
    <w:p w14:paraId="71CE6B7A" w14:textId="77777777" w:rsidR="0076534C" w:rsidRDefault="0076534C">
      <w:pPr>
        <w:widowControl/>
        <w:rPr>
          <w:sz w:val="26"/>
          <w:szCs w:val="26"/>
        </w:rPr>
      </w:pPr>
    </w:p>
    <w:p w14:paraId="16FE24FA" w14:textId="77777777" w:rsidR="0076534C" w:rsidRDefault="0076534C">
      <w:pPr>
        <w:widowControl/>
        <w:rPr>
          <w:sz w:val="26"/>
          <w:szCs w:val="26"/>
        </w:rPr>
        <w:sectPr w:rsidR="0076534C">
          <w:headerReference w:type="default" r:id="rId12"/>
          <w:footerReference w:type="even" r:id="rId13"/>
          <w:footerReference w:type="default" r:id="rId14"/>
          <w:type w:val="continuous"/>
          <w:pgSz w:w="12240" w:h="15840"/>
          <w:pgMar w:top="1080" w:right="1080" w:bottom="1080" w:left="1080" w:header="1080" w:footer="1080" w:gutter="0"/>
          <w:cols w:space="720"/>
          <w:noEndnote/>
        </w:sectPr>
      </w:pPr>
    </w:p>
    <w:p w14:paraId="2EDD55D3" w14:textId="77777777" w:rsidR="0076534C" w:rsidRDefault="0076534C" w:rsidP="006C2994">
      <w:pPr>
        <w:widowControl/>
        <w:rPr>
          <w:sz w:val="26"/>
          <w:szCs w:val="26"/>
        </w:rPr>
      </w:pPr>
      <w:r>
        <w:rPr>
          <w:sz w:val="26"/>
          <w:szCs w:val="26"/>
        </w:rPr>
        <w:lastRenderedPageBreak/>
        <w:t xml:space="preserve">The use of a uniform </w:t>
      </w:r>
      <w:r w:rsidR="00A02B9E">
        <w:rPr>
          <w:sz w:val="26"/>
          <w:szCs w:val="26"/>
        </w:rPr>
        <w:t>system</w:t>
      </w:r>
      <w:r>
        <w:rPr>
          <w:sz w:val="26"/>
          <w:szCs w:val="26"/>
        </w:rPr>
        <w:t xml:space="preserve"> of accounts permits natural gas companies to account for similar transactions and events in a consistent manner, and communicate those results to the Commission on a periodic basis.</w:t>
      </w:r>
    </w:p>
    <w:p w14:paraId="7C3252AB" w14:textId="77777777" w:rsidR="0076534C" w:rsidRDefault="0076534C">
      <w:pPr>
        <w:widowControl/>
        <w:rPr>
          <w:sz w:val="26"/>
          <w:szCs w:val="26"/>
        </w:rPr>
      </w:pPr>
    </w:p>
    <w:p w14:paraId="319A7437" w14:textId="77777777" w:rsidR="0076534C" w:rsidRDefault="0076534C" w:rsidP="006C2994">
      <w:pPr>
        <w:widowControl/>
        <w:rPr>
          <w:sz w:val="26"/>
          <w:szCs w:val="26"/>
        </w:rPr>
      </w:pPr>
      <w:r>
        <w:rPr>
          <w:sz w:val="26"/>
          <w:szCs w:val="26"/>
        </w:rPr>
        <w:t xml:space="preserve">Additionally, the uniformity helps to present accurately the entity's financial condition and produces comprehensive data related to the entity's financial history helping to act as a guide for future action.  The uniformity provided by the Commission's </w:t>
      </w:r>
      <w:r w:rsidR="00A40042">
        <w:rPr>
          <w:sz w:val="26"/>
          <w:szCs w:val="26"/>
        </w:rPr>
        <w:t>uniform system of accounts</w:t>
      </w:r>
      <w:r>
        <w:rPr>
          <w:sz w:val="26"/>
          <w:szCs w:val="26"/>
        </w:rPr>
        <w:t xml:space="preserve"> and related accounting instructions permits comparability and financial statement analysis of data provided by jurisdictional entities.  Comparability of data and financial statement analysis for a particular entity from one period to the next, or between entities, within the same industry, would be difficult to achieve if each company maintained its own accounting records using dissimilar accounting methods and classifications to record similar transactions and events.</w:t>
      </w:r>
    </w:p>
    <w:p w14:paraId="0D6932D5" w14:textId="77777777" w:rsidR="00892AB9" w:rsidRDefault="00892AB9">
      <w:pPr>
        <w:widowControl/>
        <w:ind w:firstLine="720"/>
        <w:rPr>
          <w:sz w:val="26"/>
          <w:szCs w:val="26"/>
        </w:rPr>
      </w:pPr>
    </w:p>
    <w:p w14:paraId="17CFC87C" w14:textId="109ECBDC" w:rsidR="0076534C" w:rsidRDefault="0076534C" w:rsidP="006C2994">
      <w:pPr>
        <w:widowControl/>
        <w:rPr>
          <w:sz w:val="26"/>
          <w:szCs w:val="26"/>
        </w:rPr>
      </w:pPr>
      <w:r>
        <w:rPr>
          <w:sz w:val="26"/>
          <w:szCs w:val="26"/>
        </w:rPr>
        <w:t xml:space="preserve">In summary, without </w:t>
      </w:r>
      <w:r w:rsidR="00411200">
        <w:rPr>
          <w:sz w:val="26"/>
          <w:szCs w:val="26"/>
        </w:rPr>
        <w:t>th</w:t>
      </w:r>
      <w:r w:rsidR="00401673">
        <w:rPr>
          <w:sz w:val="26"/>
          <w:szCs w:val="26"/>
        </w:rPr>
        <w:t>e information collected in this</w:t>
      </w:r>
      <w:r w:rsidR="00411200">
        <w:rPr>
          <w:sz w:val="26"/>
          <w:szCs w:val="26"/>
        </w:rPr>
        <w:t xml:space="preserve"> form the Commission</w:t>
      </w:r>
      <w:r w:rsidR="008A51FF">
        <w:rPr>
          <w:sz w:val="26"/>
          <w:szCs w:val="26"/>
        </w:rPr>
        <w:t xml:space="preserve"> would</w:t>
      </w:r>
      <w:r>
        <w:rPr>
          <w:sz w:val="26"/>
          <w:szCs w:val="26"/>
        </w:rPr>
        <w:t xml:space="preserve"> not be able to respond and make decisions in a timely manner</w:t>
      </w:r>
      <w:r w:rsidR="008A51FF">
        <w:rPr>
          <w:sz w:val="26"/>
          <w:szCs w:val="26"/>
        </w:rPr>
        <w:t>,</w:t>
      </w:r>
      <w:r>
        <w:rPr>
          <w:sz w:val="26"/>
          <w:szCs w:val="26"/>
        </w:rPr>
        <w:t xml:space="preserve"> particularly to rapidly changing financial conditions of entities subject to its jurisdiction.  </w:t>
      </w:r>
    </w:p>
    <w:p w14:paraId="194AEBE1" w14:textId="77777777" w:rsidR="0076534C" w:rsidRDefault="0076534C">
      <w:pPr>
        <w:widowControl/>
        <w:rPr>
          <w:sz w:val="26"/>
          <w:szCs w:val="26"/>
        </w:rPr>
      </w:pPr>
    </w:p>
    <w:p w14:paraId="6A47DE5E" w14:textId="77777777" w:rsidR="0076534C" w:rsidRDefault="0076534C" w:rsidP="006C2994">
      <w:pPr>
        <w:widowControl/>
        <w:rPr>
          <w:b/>
          <w:bCs/>
          <w:sz w:val="26"/>
          <w:szCs w:val="26"/>
        </w:rPr>
      </w:pPr>
      <w:r w:rsidRPr="00781C5B">
        <w:rPr>
          <w:b/>
          <w:sz w:val="26"/>
          <w:szCs w:val="26"/>
        </w:rPr>
        <w:t>3.</w:t>
      </w:r>
      <w:r>
        <w:rPr>
          <w:sz w:val="26"/>
          <w:szCs w:val="26"/>
        </w:rPr>
        <w:t xml:space="preserve">  </w:t>
      </w:r>
      <w:r>
        <w:rPr>
          <w:b/>
          <w:bCs/>
          <w:sz w:val="26"/>
          <w:szCs w:val="26"/>
        </w:rPr>
        <w:t>DESCRIBE ANY CONSIDER</w:t>
      </w:r>
      <w:r w:rsidR="006C2994">
        <w:rPr>
          <w:b/>
          <w:bCs/>
          <w:sz w:val="26"/>
          <w:szCs w:val="26"/>
        </w:rPr>
        <w:t xml:space="preserve">ATION OF THE USE OF IMPROVED </w:t>
      </w:r>
      <w:r>
        <w:rPr>
          <w:b/>
          <w:bCs/>
          <w:sz w:val="26"/>
          <w:szCs w:val="26"/>
        </w:rPr>
        <w:t>INFORMATION TE</w:t>
      </w:r>
      <w:r w:rsidR="006C2994">
        <w:rPr>
          <w:b/>
          <w:bCs/>
          <w:sz w:val="26"/>
          <w:szCs w:val="26"/>
        </w:rPr>
        <w:t xml:space="preserve">CHNOLOGY TO REDUCE BURDEN AND </w:t>
      </w:r>
      <w:r>
        <w:rPr>
          <w:b/>
          <w:bCs/>
          <w:sz w:val="26"/>
          <w:szCs w:val="26"/>
        </w:rPr>
        <w:t>TECHNICAL OR LEGAL OBSTACLES TO REDUCING BURDEN</w:t>
      </w:r>
    </w:p>
    <w:p w14:paraId="622AAEDD" w14:textId="77777777" w:rsidR="0076534C" w:rsidRDefault="0076534C">
      <w:pPr>
        <w:widowControl/>
        <w:rPr>
          <w:b/>
          <w:bCs/>
          <w:sz w:val="26"/>
          <w:szCs w:val="26"/>
        </w:rPr>
      </w:pPr>
    </w:p>
    <w:p w14:paraId="1A8331A6" w14:textId="45333CA8" w:rsidR="0076534C" w:rsidRPr="00B655F8" w:rsidRDefault="0076534C" w:rsidP="006C2994">
      <w:pPr>
        <w:widowControl/>
        <w:rPr>
          <w:sz w:val="26"/>
          <w:szCs w:val="26"/>
        </w:rPr>
      </w:pPr>
      <w:r>
        <w:rPr>
          <w:sz w:val="26"/>
          <w:szCs w:val="26"/>
        </w:rPr>
        <w:t>The Commission h</w:t>
      </w:r>
      <w:r w:rsidR="00FD01C5">
        <w:rPr>
          <w:sz w:val="26"/>
          <w:szCs w:val="26"/>
        </w:rPr>
        <w:t xml:space="preserve">as made available to all Form </w:t>
      </w:r>
      <w:r w:rsidR="008A51FF">
        <w:rPr>
          <w:sz w:val="26"/>
          <w:szCs w:val="26"/>
        </w:rPr>
        <w:t xml:space="preserve">No. </w:t>
      </w:r>
      <w:r w:rsidR="00FD01C5">
        <w:rPr>
          <w:sz w:val="26"/>
          <w:szCs w:val="26"/>
        </w:rPr>
        <w:t xml:space="preserve">2 </w:t>
      </w:r>
      <w:r>
        <w:rPr>
          <w:sz w:val="26"/>
          <w:szCs w:val="26"/>
        </w:rPr>
        <w:t xml:space="preserve">respondents, a web-based, Windows submission software necessary to file electronically through a </w:t>
      </w:r>
      <w:r w:rsidR="00C7373A">
        <w:rPr>
          <w:sz w:val="26"/>
          <w:szCs w:val="26"/>
        </w:rPr>
        <w:t xml:space="preserve">portal </w:t>
      </w:r>
      <w:r>
        <w:rPr>
          <w:sz w:val="26"/>
          <w:szCs w:val="26"/>
        </w:rPr>
        <w:t xml:space="preserve">found on the FERC web site at </w:t>
      </w:r>
      <w:hyperlink r:id="rId15" w:history="1">
        <w:r w:rsidR="00F245EB" w:rsidRPr="00911A69">
          <w:rPr>
            <w:rStyle w:val="Hyperlink"/>
            <w:sz w:val="26"/>
            <w:szCs w:val="26"/>
          </w:rPr>
          <w:t>http://www.ferc.gov/docs-filing/forms/form-2/elec-subm-soft.asp</w:t>
        </w:r>
      </w:hyperlink>
      <w:r w:rsidR="00B678F4">
        <w:rPr>
          <w:sz w:val="26"/>
          <w:szCs w:val="26"/>
        </w:rPr>
        <w:t xml:space="preserve">. </w:t>
      </w:r>
      <w:r>
        <w:rPr>
          <w:sz w:val="26"/>
          <w:szCs w:val="26"/>
        </w:rPr>
        <w:t xml:space="preserve"> Presently, all respondents us</w:t>
      </w:r>
      <w:r w:rsidR="00B678F4">
        <w:rPr>
          <w:sz w:val="26"/>
          <w:szCs w:val="26"/>
        </w:rPr>
        <w:t>e</w:t>
      </w:r>
      <w:r>
        <w:rPr>
          <w:sz w:val="26"/>
          <w:szCs w:val="26"/>
        </w:rPr>
        <w:t xml:space="preserve"> this software and doorway access.  The Commission has adopted user friendly electronic filing formats and software to facilitate these required formats and software in order to generate the required electronic filings.  (See Section 385.2011 of the Commission's regulations.)  </w:t>
      </w:r>
      <w:r w:rsidR="006B6922">
        <w:rPr>
          <w:sz w:val="26"/>
          <w:szCs w:val="26"/>
        </w:rPr>
        <w:t>(</w:t>
      </w:r>
      <w:r w:rsidR="00FD01C5">
        <w:rPr>
          <w:sz w:val="26"/>
        </w:rPr>
        <w:t xml:space="preserve">The Form </w:t>
      </w:r>
      <w:r w:rsidR="008A51FF">
        <w:rPr>
          <w:sz w:val="26"/>
        </w:rPr>
        <w:t xml:space="preserve">No. </w:t>
      </w:r>
      <w:r w:rsidR="00FD01C5">
        <w:rPr>
          <w:sz w:val="26"/>
        </w:rPr>
        <w:t>2</w:t>
      </w:r>
      <w:r w:rsidR="006B6922" w:rsidRPr="006B6922">
        <w:rPr>
          <w:sz w:val="26"/>
        </w:rPr>
        <w:t xml:space="preserve"> Software has been tested and will function correctly with </w:t>
      </w:r>
      <w:r w:rsidR="00A40042">
        <w:rPr>
          <w:sz w:val="26"/>
        </w:rPr>
        <w:t xml:space="preserve">Windows Vista, </w:t>
      </w:r>
      <w:r w:rsidR="006B6922" w:rsidRPr="006B6922">
        <w:rPr>
          <w:sz w:val="26"/>
        </w:rPr>
        <w:t xml:space="preserve">Windows XP, Windows 2000, </w:t>
      </w:r>
      <w:proofErr w:type="gramStart"/>
      <w:r w:rsidR="006B6922" w:rsidRPr="006B6922">
        <w:rPr>
          <w:sz w:val="26"/>
        </w:rPr>
        <w:t>Windows</w:t>
      </w:r>
      <w:proofErr w:type="gramEnd"/>
      <w:r w:rsidR="006B6922" w:rsidRPr="006B6922">
        <w:rPr>
          <w:sz w:val="26"/>
        </w:rPr>
        <w:t xml:space="preserve"> 95 &amp; Windows 98. The application has been updated to be compatible with </w:t>
      </w:r>
      <w:r w:rsidR="00A24B08">
        <w:rPr>
          <w:sz w:val="26"/>
        </w:rPr>
        <w:t xml:space="preserve">all available </w:t>
      </w:r>
      <w:r w:rsidR="006B6922" w:rsidRPr="006B6922">
        <w:rPr>
          <w:sz w:val="26"/>
        </w:rPr>
        <w:t>text cut from</w:t>
      </w:r>
      <w:r w:rsidR="009222E9">
        <w:rPr>
          <w:sz w:val="26"/>
        </w:rPr>
        <w:t xml:space="preserve"> Microsoft</w:t>
      </w:r>
      <w:r w:rsidR="006B6922" w:rsidRPr="006B6922">
        <w:rPr>
          <w:sz w:val="26"/>
        </w:rPr>
        <w:t xml:space="preserve"> Office documents and pasted into Footnotes and Notes to the Financial</w:t>
      </w:r>
      <w:r w:rsidR="00A02B9E">
        <w:rPr>
          <w:sz w:val="26"/>
        </w:rPr>
        <w:t xml:space="preserve"> Statement</w:t>
      </w:r>
      <w:r w:rsidR="006B6922" w:rsidRPr="006B6922">
        <w:rPr>
          <w:sz w:val="26"/>
        </w:rPr>
        <w:t>s.</w:t>
      </w:r>
      <w:r w:rsidR="006B6922">
        <w:rPr>
          <w:sz w:val="26"/>
        </w:rPr>
        <w:t>)</w:t>
      </w:r>
      <w:r w:rsidR="00B655F8">
        <w:rPr>
          <w:sz w:val="26"/>
        </w:rPr>
        <w:t xml:space="preserve">   </w:t>
      </w:r>
      <w:r w:rsidR="00FD01C5">
        <w:rPr>
          <w:sz w:val="26"/>
          <w:szCs w:val="26"/>
        </w:rPr>
        <w:t xml:space="preserve">The Form </w:t>
      </w:r>
      <w:r w:rsidR="008A51FF">
        <w:rPr>
          <w:sz w:val="26"/>
          <w:szCs w:val="26"/>
        </w:rPr>
        <w:t xml:space="preserve">No. </w:t>
      </w:r>
      <w:r w:rsidR="00FD01C5">
        <w:rPr>
          <w:sz w:val="26"/>
          <w:szCs w:val="26"/>
        </w:rPr>
        <w:t>2</w:t>
      </w:r>
      <w:r w:rsidR="00B655F8" w:rsidRPr="00B655F8">
        <w:rPr>
          <w:sz w:val="26"/>
          <w:szCs w:val="26"/>
        </w:rPr>
        <w:t xml:space="preserve"> Submission System (F2SS) uses HTTP (to get the list of respondents for initial creation of </w:t>
      </w:r>
      <w:r w:rsidR="00EC21A7">
        <w:rPr>
          <w:sz w:val="26"/>
          <w:szCs w:val="26"/>
        </w:rPr>
        <w:t>a user’s</w:t>
      </w:r>
      <w:r w:rsidR="00B655F8" w:rsidRPr="00B655F8">
        <w:rPr>
          <w:sz w:val="26"/>
          <w:szCs w:val="26"/>
        </w:rPr>
        <w:t xml:space="preserve"> </w:t>
      </w:r>
      <w:r w:rsidR="00B655F8" w:rsidRPr="00B655F8">
        <w:rPr>
          <w:sz w:val="26"/>
          <w:szCs w:val="26"/>
        </w:rPr>
        <w:lastRenderedPageBreak/>
        <w:t>database</w:t>
      </w:r>
      <w:r w:rsidR="00EC21A7">
        <w:rPr>
          <w:sz w:val="26"/>
          <w:szCs w:val="26"/>
        </w:rPr>
        <w:t>)</w:t>
      </w:r>
      <w:r w:rsidR="00B655F8" w:rsidRPr="00B655F8">
        <w:rPr>
          <w:sz w:val="26"/>
          <w:szCs w:val="26"/>
        </w:rPr>
        <w:t xml:space="preserve">, FTP Receive (to check for and deliver F2SS software updates) and FTP Send </w:t>
      </w:r>
      <w:r w:rsidR="00EC21A7">
        <w:rPr>
          <w:sz w:val="26"/>
          <w:szCs w:val="26"/>
        </w:rPr>
        <w:t xml:space="preserve">for a user </w:t>
      </w:r>
      <w:r w:rsidR="00B655F8" w:rsidRPr="00B655F8">
        <w:rPr>
          <w:sz w:val="26"/>
          <w:szCs w:val="26"/>
        </w:rPr>
        <w:t xml:space="preserve">to submit </w:t>
      </w:r>
      <w:r w:rsidR="00EC21A7">
        <w:rPr>
          <w:sz w:val="26"/>
          <w:szCs w:val="26"/>
        </w:rPr>
        <w:t>a</w:t>
      </w:r>
      <w:r w:rsidR="00B655F8" w:rsidRPr="00B655F8">
        <w:rPr>
          <w:sz w:val="26"/>
          <w:szCs w:val="26"/>
        </w:rPr>
        <w:t xml:space="preserve"> filing. </w:t>
      </w:r>
      <w:r w:rsidR="008A51FF">
        <w:rPr>
          <w:sz w:val="26"/>
          <w:szCs w:val="26"/>
        </w:rPr>
        <w:t xml:space="preserve"> </w:t>
      </w:r>
      <w:r w:rsidR="00B655F8" w:rsidRPr="00B655F8">
        <w:rPr>
          <w:sz w:val="26"/>
          <w:szCs w:val="26"/>
        </w:rPr>
        <w:t xml:space="preserve">These </w:t>
      </w:r>
      <w:r w:rsidR="00EC21A7">
        <w:rPr>
          <w:sz w:val="26"/>
          <w:szCs w:val="26"/>
        </w:rPr>
        <w:t xml:space="preserve">are </w:t>
      </w:r>
      <w:r w:rsidR="00B655F8" w:rsidRPr="00B655F8">
        <w:rPr>
          <w:sz w:val="26"/>
          <w:szCs w:val="26"/>
        </w:rPr>
        <w:t>common Internet Communication Protocols</w:t>
      </w:r>
      <w:r w:rsidR="00EC21A7">
        <w:rPr>
          <w:sz w:val="26"/>
          <w:szCs w:val="26"/>
        </w:rPr>
        <w:t>.</w:t>
      </w:r>
    </w:p>
    <w:p w14:paraId="36146D38" w14:textId="77777777" w:rsidR="0076534C" w:rsidRDefault="0076534C">
      <w:pPr>
        <w:widowControl/>
        <w:ind w:hanging="720"/>
        <w:rPr>
          <w:b/>
          <w:bCs/>
          <w:sz w:val="26"/>
          <w:szCs w:val="26"/>
        </w:rPr>
      </w:pPr>
    </w:p>
    <w:p w14:paraId="48AED4DC" w14:textId="77777777" w:rsidR="0076534C" w:rsidRDefault="0076534C">
      <w:pPr>
        <w:widowControl/>
        <w:rPr>
          <w:sz w:val="26"/>
          <w:szCs w:val="26"/>
        </w:rPr>
        <w:sectPr w:rsidR="0076534C">
          <w:type w:val="continuous"/>
          <w:pgSz w:w="12240" w:h="15840"/>
          <w:pgMar w:top="1080" w:right="1080" w:bottom="1080" w:left="1080" w:header="1080" w:footer="1080" w:gutter="0"/>
          <w:cols w:space="720"/>
          <w:noEndnote/>
        </w:sectPr>
      </w:pPr>
    </w:p>
    <w:p w14:paraId="7628DBC1" w14:textId="77777777" w:rsidR="0076534C" w:rsidRDefault="0076534C" w:rsidP="00C17BE8">
      <w:pPr>
        <w:widowControl/>
        <w:rPr>
          <w:b/>
          <w:bCs/>
          <w:sz w:val="26"/>
          <w:szCs w:val="26"/>
        </w:rPr>
      </w:pPr>
      <w:r w:rsidRPr="00781C5B">
        <w:rPr>
          <w:b/>
          <w:sz w:val="26"/>
          <w:szCs w:val="26"/>
        </w:rPr>
        <w:lastRenderedPageBreak/>
        <w:t>4.</w:t>
      </w:r>
      <w:r>
        <w:rPr>
          <w:sz w:val="26"/>
          <w:szCs w:val="26"/>
        </w:rPr>
        <w:t xml:space="preserve">  </w:t>
      </w:r>
      <w:r>
        <w:rPr>
          <w:b/>
          <w:bCs/>
          <w:sz w:val="26"/>
          <w:szCs w:val="26"/>
        </w:rPr>
        <w:t xml:space="preserve">DESCRIBE EFFORTS TO </w:t>
      </w:r>
      <w:r w:rsidR="00C17BE8">
        <w:rPr>
          <w:b/>
          <w:bCs/>
          <w:sz w:val="26"/>
          <w:szCs w:val="26"/>
        </w:rPr>
        <w:t xml:space="preserve">IDENTIFY DUPLICATION AND SHOW </w:t>
      </w:r>
      <w:r>
        <w:rPr>
          <w:b/>
          <w:bCs/>
          <w:sz w:val="26"/>
          <w:szCs w:val="26"/>
        </w:rPr>
        <w:t>SPECIFICALLY WHY AN</w:t>
      </w:r>
      <w:r w:rsidR="00C17BE8">
        <w:rPr>
          <w:b/>
          <w:bCs/>
          <w:sz w:val="26"/>
          <w:szCs w:val="26"/>
        </w:rPr>
        <w:t xml:space="preserve">Y SIMILAR INFORMATION ALREADY </w:t>
      </w:r>
      <w:r>
        <w:rPr>
          <w:b/>
          <w:bCs/>
          <w:sz w:val="26"/>
          <w:szCs w:val="26"/>
        </w:rPr>
        <w:t>AVAILABLE CANNOT BE USE</w:t>
      </w:r>
      <w:r w:rsidR="00C17BE8">
        <w:rPr>
          <w:b/>
          <w:bCs/>
          <w:sz w:val="26"/>
          <w:szCs w:val="26"/>
        </w:rPr>
        <w:t xml:space="preserve">D OR MODIFIED FOR USE FOR THE </w:t>
      </w:r>
      <w:r>
        <w:rPr>
          <w:b/>
          <w:bCs/>
          <w:sz w:val="26"/>
          <w:szCs w:val="26"/>
        </w:rPr>
        <w:t>PURPOSE(S) DESCRIBED IN INSTRUCTION NO. 2</w:t>
      </w:r>
    </w:p>
    <w:p w14:paraId="1883612B" w14:textId="77777777" w:rsidR="0076534C" w:rsidRDefault="0076534C">
      <w:pPr>
        <w:widowControl/>
        <w:rPr>
          <w:b/>
          <w:bCs/>
          <w:sz w:val="26"/>
          <w:szCs w:val="26"/>
        </w:rPr>
      </w:pPr>
    </w:p>
    <w:p w14:paraId="03337163" w14:textId="77777777" w:rsidR="0076534C" w:rsidRDefault="0076534C" w:rsidP="006C2994">
      <w:pPr>
        <w:widowControl/>
        <w:rPr>
          <w:sz w:val="26"/>
          <w:szCs w:val="26"/>
        </w:rPr>
      </w:pPr>
      <w:r>
        <w:rPr>
          <w:sz w:val="26"/>
          <w:szCs w:val="26"/>
        </w:rPr>
        <w:t>The Commission's filings and data requirements are periodically reviewed in conjunction with OMB clearance expiration dates.  This includes a review of the Commission's regulations and data requirements to identify any duplication.  The Commission's staff is continuously reviewing its various filings in an effort to alleviate duplication.</w:t>
      </w:r>
    </w:p>
    <w:p w14:paraId="6791905F" w14:textId="77777777" w:rsidR="0076534C" w:rsidRDefault="0076534C">
      <w:pPr>
        <w:widowControl/>
        <w:rPr>
          <w:sz w:val="26"/>
          <w:szCs w:val="26"/>
        </w:rPr>
      </w:pPr>
    </w:p>
    <w:p w14:paraId="565C6933" w14:textId="7B9579F7" w:rsidR="0076534C" w:rsidRDefault="0076534C" w:rsidP="006C2994">
      <w:pPr>
        <w:widowControl/>
        <w:rPr>
          <w:sz w:val="26"/>
          <w:szCs w:val="26"/>
        </w:rPr>
      </w:pPr>
      <w:r>
        <w:rPr>
          <w:sz w:val="26"/>
          <w:szCs w:val="26"/>
        </w:rPr>
        <w:t xml:space="preserve">While some jurisdictional entities may file similar information with the Securities and Exchange </w:t>
      </w:r>
      <w:r w:rsidR="009C387B">
        <w:rPr>
          <w:sz w:val="26"/>
          <w:szCs w:val="26"/>
        </w:rPr>
        <w:t>Commission (</w:t>
      </w:r>
      <w:r>
        <w:rPr>
          <w:sz w:val="26"/>
          <w:szCs w:val="26"/>
        </w:rPr>
        <w:t xml:space="preserve">SEC), the level of detail concerning assets, liabilities, </w:t>
      </w:r>
      <w:r w:rsidR="00FE13DF">
        <w:rPr>
          <w:sz w:val="26"/>
          <w:szCs w:val="26"/>
        </w:rPr>
        <w:t>and stockholders’</w:t>
      </w:r>
      <w:r>
        <w:rPr>
          <w:sz w:val="26"/>
          <w:szCs w:val="26"/>
        </w:rPr>
        <w:t xml:space="preserve"> equity along with the revenues, expenses, gains and losses is different for the Commission and the SEC.  The financial statements filed with the SEC are on a consolidated, or parent company basis.  The Commission notes that a majority of the jurisdictional entities that it regulates </w:t>
      </w:r>
      <w:r w:rsidR="00D91170">
        <w:rPr>
          <w:sz w:val="26"/>
          <w:szCs w:val="26"/>
        </w:rPr>
        <w:t xml:space="preserve">that </w:t>
      </w:r>
      <w:r>
        <w:rPr>
          <w:sz w:val="26"/>
          <w:szCs w:val="26"/>
        </w:rPr>
        <w:t xml:space="preserve">file financial information with the SEC </w:t>
      </w:r>
      <w:r w:rsidR="00D91170">
        <w:rPr>
          <w:sz w:val="26"/>
          <w:szCs w:val="26"/>
        </w:rPr>
        <w:t>consolidate</w:t>
      </w:r>
      <w:r>
        <w:rPr>
          <w:sz w:val="26"/>
          <w:szCs w:val="26"/>
        </w:rPr>
        <w:t xml:space="preserve"> their assets, liabilities and profits with their parent company, or combine the regulated and unregulated operations in the reports to the SEC.  While consolidation is appropriate for SEC reporting, the Commission requires more detailed information concerning the results of operations, and the financial position of each jurisdictional entity in order to meet its regulatory needs.  Therefore, the Commission has required jurisdictional entities to file financial information on a jurisdictional entity level basis using a uniform system of accounts.</w:t>
      </w:r>
    </w:p>
    <w:p w14:paraId="323CAE75" w14:textId="77777777" w:rsidR="003D4A2E" w:rsidRDefault="003D4A2E">
      <w:pPr>
        <w:widowControl/>
        <w:ind w:firstLine="720"/>
        <w:rPr>
          <w:sz w:val="26"/>
          <w:szCs w:val="26"/>
        </w:rPr>
      </w:pPr>
    </w:p>
    <w:p w14:paraId="5CFD8BAE" w14:textId="77777777" w:rsidR="0076534C" w:rsidRDefault="0076534C" w:rsidP="006C2994">
      <w:pPr>
        <w:widowControl/>
        <w:rPr>
          <w:b/>
          <w:bCs/>
          <w:sz w:val="26"/>
          <w:szCs w:val="26"/>
        </w:rPr>
      </w:pPr>
      <w:r w:rsidRPr="00781C5B">
        <w:rPr>
          <w:b/>
          <w:sz w:val="26"/>
          <w:szCs w:val="26"/>
        </w:rPr>
        <w:t>5.</w:t>
      </w:r>
      <w:r>
        <w:rPr>
          <w:sz w:val="26"/>
          <w:szCs w:val="26"/>
        </w:rPr>
        <w:t xml:space="preserve">  </w:t>
      </w:r>
      <w:r>
        <w:rPr>
          <w:b/>
          <w:bCs/>
          <w:sz w:val="26"/>
          <w:szCs w:val="26"/>
        </w:rPr>
        <w:t>METHODS USED TO MIN</w:t>
      </w:r>
      <w:r w:rsidR="006C2994">
        <w:rPr>
          <w:b/>
          <w:bCs/>
          <w:sz w:val="26"/>
          <w:szCs w:val="26"/>
        </w:rPr>
        <w:t xml:space="preserve">IMIZE BURDEN IN COLLECTION OF </w:t>
      </w:r>
      <w:r>
        <w:rPr>
          <w:b/>
          <w:bCs/>
          <w:sz w:val="26"/>
          <w:szCs w:val="26"/>
        </w:rPr>
        <w:t>INFORMATION INVOLVING SMALL ENTITIES</w:t>
      </w:r>
    </w:p>
    <w:p w14:paraId="05E46F80" w14:textId="77777777" w:rsidR="0076534C" w:rsidRDefault="0076534C">
      <w:pPr>
        <w:widowControl/>
        <w:rPr>
          <w:b/>
          <w:bCs/>
          <w:sz w:val="26"/>
          <w:szCs w:val="26"/>
        </w:rPr>
      </w:pPr>
    </w:p>
    <w:p w14:paraId="27963A73" w14:textId="32FB9104" w:rsidR="0076534C" w:rsidRDefault="0076534C" w:rsidP="006C2994">
      <w:pPr>
        <w:widowControl/>
        <w:rPr>
          <w:sz w:val="26"/>
          <w:szCs w:val="26"/>
        </w:rPr>
      </w:pPr>
      <w:r>
        <w:rPr>
          <w:sz w:val="26"/>
          <w:szCs w:val="26"/>
        </w:rPr>
        <w:t xml:space="preserve">The Commission believes that the reporting requirements </w:t>
      </w:r>
      <w:r w:rsidR="00FD01C5">
        <w:rPr>
          <w:sz w:val="26"/>
          <w:szCs w:val="26"/>
        </w:rPr>
        <w:t>of Form</w:t>
      </w:r>
      <w:r w:rsidR="00D17DC5">
        <w:rPr>
          <w:sz w:val="26"/>
          <w:szCs w:val="26"/>
        </w:rPr>
        <w:t xml:space="preserve"> </w:t>
      </w:r>
      <w:r w:rsidR="00D91170">
        <w:rPr>
          <w:sz w:val="26"/>
          <w:szCs w:val="26"/>
        </w:rPr>
        <w:t xml:space="preserve">No. </w:t>
      </w:r>
      <w:r w:rsidR="00D17DC5">
        <w:rPr>
          <w:sz w:val="26"/>
          <w:szCs w:val="26"/>
        </w:rPr>
        <w:t>2 do</w:t>
      </w:r>
      <w:r w:rsidR="00FD01C5">
        <w:rPr>
          <w:sz w:val="26"/>
          <w:szCs w:val="26"/>
        </w:rPr>
        <w:t xml:space="preserve"> not create significant burden</w:t>
      </w:r>
      <w:r>
        <w:rPr>
          <w:sz w:val="26"/>
          <w:szCs w:val="26"/>
        </w:rPr>
        <w:t xml:space="preserve"> </w:t>
      </w:r>
      <w:r w:rsidR="00D2138D">
        <w:rPr>
          <w:sz w:val="26"/>
          <w:szCs w:val="26"/>
        </w:rPr>
        <w:t>on</w:t>
      </w:r>
      <w:r>
        <w:rPr>
          <w:sz w:val="26"/>
          <w:szCs w:val="26"/>
        </w:rPr>
        <w:t xml:space="preserve"> industry.  The Commission believes that the benefits of transparency and understandability of financial statements to both the Commission and the </w:t>
      </w:r>
      <w:r w:rsidR="009C387B">
        <w:rPr>
          <w:sz w:val="26"/>
          <w:szCs w:val="26"/>
        </w:rPr>
        <w:t>public</w:t>
      </w:r>
      <w:r>
        <w:rPr>
          <w:sz w:val="26"/>
          <w:szCs w:val="26"/>
        </w:rPr>
        <w:t xml:space="preserve"> far outweigh the costs to an individual </w:t>
      </w:r>
      <w:r w:rsidRPr="003445B5">
        <w:rPr>
          <w:sz w:val="26"/>
          <w:szCs w:val="26"/>
        </w:rPr>
        <w:t>company.</w:t>
      </w:r>
      <w:r w:rsidR="00D91170">
        <w:rPr>
          <w:sz w:val="26"/>
          <w:szCs w:val="26"/>
        </w:rPr>
        <w:t xml:space="preserve">  The Form No. 2 is meant to capture larger natural gas pipeline companies.</w:t>
      </w:r>
      <w:r w:rsidRPr="003445B5">
        <w:rPr>
          <w:sz w:val="26"/>
          <w:szCs w:val="26"/>
        </w:rPr>
        <w:t xml:space="preserve"> </w:t>
      </w:r>
      <w:r w:rsidR="003445B5" w:rsidRPr="003445B5">
        <w:rPr>
          <w:sz w:val="26"/>
          <w:szCs w:val="26"/>
        </w:rPr>
        <w:t xml:space="preserve"> </w:t>
      </w:r>
      <w:r w:rsidRPr="003445B5">
        <w:rPr>
          <w:sz w:val="26"/>
          <w:szCs w:val="26"/>
        </w:rPr>
        <w:t>However, if the reporting requirements represent an undue burden on small businesses, the affected entity may seek</w:t>
      </w:r>
      <w:r>
        <w:rPr>
          <w:sz w:val="26"/>
          <w:szCs w:val="26"/>
        </w:rPr>
        <w:t xml:space="preserve"> a waiver of the disclosure requirements from the Commission.  </w:t>
      </w:r>
    </w:p>
    <w:p w14:paraId="494D030D" w14:textId="77777777" w:rsidR="0076534C" w:rsidRDefault="0076534C">
      <w:pPr>
        <w:widowControl/>
        <w:rPr>
          <w:sz w:val="26"/>
          <w:szCs w:val="26"/>
        </w:rPr>
      </w:pPr>
    </w:p>
    <w:p w14:paraId="2A7AE92F" w14:textId="77777777" w:rsidR="0076534C" w:rsidRDefault="0076534C">
      <w:pPr>
        <w:widowControl/>
        <w:rPr>
          <w:sz w:val="26"/>
          <w:szCs w:val="26"/>
        </w:rPr>
        <w:sectPr w:rsidR="0076534C" w:rsidSect="00BB0BE0">
          <w:type w:val="continuous"/>
          <w:pgSz w:w="12240" w:h="15840" w:code="1"/>
          <w:pgMar w:top="1080" w:right="1080" w:bottom="1080" w:left="1080" w:header="1080" w:footer="1080" w:gutter="0"/>
          <w:cols w:space="720"/>
          <w:noEndnote/>
        </w:sectPr>
      </w:pPr>
    </w:p>
    <w:p w14:paraId="48507349" w14:textId="77777777" w:rsidR="0076534C" w:rsidRDefault="0076534C" w:rsidP="006C2994">
      <w:pPr>
        <w:widowControl/>
        <w:rPr>
          <w:b/>
          <w:bCs/>
          <w:sz w:val="26"/>
          <w:szCs w:val="26"/>
        </w:rPr>
      </w:pPr>
      <w:r w:rsidRPr="00781C5B">
        <w:rPr>
          <w:b/>
          <w:sz w:val="26"/>
          <w:szCs w:val="26"/>
        </w:rPr>
        <w:lastRenderedPageBreak/>
        <w:t>6.</w:t>
      </w:r>
      <w:r>
        <w:rPr>
          <w:sz w:val="26"/>
          <w:szCs w:val="26"/>
        </w:rPr>
        <w:t xml:space="preserve">  </w:t>
      </w:r>
      <w:r>
        <w:rPr>
          <w:b/>
          <w:bCs/>
          <w:sz w:val="26"/>
          <w:szCs w:val="26"/>
        </w:rPr>
        <w:t>CONSEQUENCE TO FEDER</w:t>
      </w:r>
      <w:r w:rsidR="006C2994">
        <w:rPr>
          <w:b/>
          <w:bCs/>
          <w:sz w:val="26"/>
          <w:szCs w:val="26"/>
        </w:rPr>
        <w:t>AL PROGRAM IF COLLECTION WE</w:t>
      </w:r>
      <w:bookmarkStart w:id="0" w:name="_GoBack"/>
      <w:bookmarkEnd w:id="0"/>
      <w:r w:rsidR="006C2994">
        <w:rPr>
          <w:b/>
          <w:bCs/>
          <w:sz w:val="26"/>
          <w:szCs w:val="26"/>
        </w:rPr>
        <w:t xml:space="preserve">RE </w:t>
      </w:r>
      <w:r>
        <w:rPr>
          <w:b/>
          <w:bCs/>
          <w:sz w:val="26"/>
          <w:szCs w:val="26"/>
        </w:rPr>
        <w:t>CONDUCTED LESS FREQUENTLY</w:t>
      </w:r>
    </w:p>
    <w:p w14:paraId="51638EBC" w14:textId="77777777" w:rsidR="0076534C" w:rsidRDefault="0076534C">
      <w:pPr>
        <w:widowControl/>
        <w:rPr>
          <w:b/>
          <w:bCs/>
          <w:sz w:val="26"/>
          <w:szCs w:val="26"/>
        </w:rPr>
      </w:pPr>
    </w:p>
    <w:p w14:paraId="7367AC9E" w14:textId="49A01188" w:rsidR="0076534C" w:rsidRDefault="0076534C" w:rsidP="006C2994">
      <w:pPr>
        <w:widowControl/>
        <w:rPr>
          <w:sz w:val="26"/>
          <w:szCs w:val="26"/>
        </w:rPr>
      </w:pPr>
      <w:r>
        <w:rPr>
          <w:sz w:val="26"/>
          <w:szCs w:val="26"/>
        </w:rPr>
        <w:t xml:space="preserve">Annual reporting is consistent with the reporting </w:t>
      </w:r>
      <w:r w:rsidR="00D91170">
        <w:rPr>
          <w:sz w:val="26"/>
          <w:szCs w:val="26"/>
        </w:rPr>
        <w:t>c</w:t>
      </w:r>
      <w:r>
        <w:rPr>
          <w:sz w:val="26"/>
          <w:szCs w:val="26"/>
        </w:rPr>
        <w:t xml:space="preserve">ompanies' </w:t>
      </w:r>
      <w:r w:rsidR="00717283">
        <w:rPr>
          <w:sz w:val="26"/>
          <w:szCs w:val="26"/>
        </w:rPr>
        <w:t>do</w:t>
      </w:r>
      <w:r w:rsidR="00D91170">
        <w:rPr>
          <w:sz w:val="26"/>
          <w:szCs w:val="26"/>
        </w:rPr>
        <w:t xml:space="preserve"> to their </w:t>
      </w:r>
      <w:r>
        <w:rPr>
          <w:sz w:val="26"/>
          <w:szCs w:val="26"/>
        </w:rPr>
        <w:t>own management, the Internal Revenue Service, s</w:t>
      </w:r>
      <w:r w:rsidR="00B67C9F">
        <w:rPr>
          <w:sz w:val="26"/>
          <w:szCs w:val="26"/>
        </w:rPr>
        <w:t>tate and other Federal agencies</w:t>
      </w:r>
      <w:r>
        <w:rPr>
          <w:sz w:val="26"/>
          <w:szCs w:val="26"/>
        </w:rPr>
        <w:t xml:space="preserve">.  </w:t>
      </w:r>
      <w:r w:rsidR="00873B99">
        <w:rPr>
          <w:sz w:val="26"/>
          <w:szCs w:val="26"/>
        </w:rPr>
        <w:t xml:space="preserve">If the </w:t>
      </w:r>
      <w:r w:rsidR="00D91170">
        <w:rPr>
          <w:sz w:val="26"/>
          <w:szCs w:val="26"/>
        </w:rPr>
        <w:t>f</w:t>
      </w:r>
      <w:r w:rsidR="00873B99">
        <w:rPr>
          <w:sz w:val="26"/>
          <w:szCs w:val="26"/>
        </w:rPr>
        <w:t xml:space="preserve">orm were filed less </w:t>
      </w:r>
      <w:proofErr w:type="gramStart"/>
      <w:r w:rsidR="00873B99">
        <w:rPr>
          <w:sz w:val="26"/>
          <w:szCs w:val="26"/>
        </w:rPr>
        <w:lastRenderedPageBreak/>
        <w:t>frequently</w:t>
      </w:r>
      <w:proofErr w:type="gramEnd"/>
      <w:r w:rsidR="00873B99">
        <w:rPr>
          <w:sz w:val="26"/>
          <w:szCs w:val="26"/>
        </w:rPr>
        <w:t xml:space="preserve"> the Commission would not be able to respond and make decisions in a timely manner particularly to rapidly changing financial conditions of entities subject to its jurisdiction.</w:t>
      </w:r>
    </w:p>
    <w:p w14:paraId="6B561FEF" w14:textId="77777777" w:rsidR="0076534C" w:rsidRDefault="0076534C">
      <w:pPr>
        <w:widowControl/>
        <w:rPr>
          <w:sz w:val="26"/>
          <w:szCs w:val="26"/>
        </w:rPr>
      </w:pPr>
    </w:p>
    <w:p w14:paraId="6213FB73" w14:textId="77777777" w:rsidR="0076534C" w:rsidRDefault="0076534C" w:rsidP="006C2994">
      <w:pPr>
        <w:widowControl/>
        <w:rPr>
          <w:b/>
          <w:bCs/>
          <w:sz w:val="26"/>
          <w:szCs w:val="26"/>
        </w:rPr>
      </w:pPr>
      <w:r w:rsidRPr="00781C5B">
        <w:rPr>
          <w:b/>
          <w:sz w:val="26"/>
          <w:szCs w:val="26"/>
        </w:rPr>
        <w:t>7.</w:t>
      </w:r>
      <w:r>
        <w:rPr>
          <w:sz w:val="26"/>
          <w:szCs w:val="26"/>
        </w:rPr>
        <w:t xml:space="preserve">  </w:t>
      </w:r>
      <w:r>
        <w:rPr>
          <w:b/>
          <w:bCs/>
          <w:sz w:val="26"/>
          <w:szCs w:val="26"/>
        </w:rPr>
        <w:t xml:space="preserve">EXPLAIN ANY SPECIAL </w:t>
      </w:r>
      <w:r w:rsidR="006C2994">
        <w:rPr>
          <w:b/>
          <w:bCs/>
          <w:sz w:val="26"/>
          <w:szCs w:val="26"/>
        </w:rPr>
        <w:t xml:space="preserve">CIRCUMSTANCES RELATING TO THE </w:t>
      </w:r>
      <w:r>
        <w:rPr>
          <w:b/>
          <w:bCs/>
          <w:sz w:val="26"/>
          <w:szCs w:val="26"/>
        </w:rPr>
        <w:t>INFORMATION COLLECTION</w:t>
      </w:r>
    </w:p>
    <w:p w14:paraId="33A24CB6" w14:textId="77777777" w:rsidR="0076534C" w:rsidRDefault="0076534C">
      <w:pPr>
        <w:widowControl/>
        <w:rPr>
          <w:b/>
          <w:bCs/>
          <w:sz w:val="26"/>
          <w:szCs w:val="26"/>
        </w:rPr>
      </w:pPr>
    </w:p>
    <w:p w14:paraId="7465A51A" w14:textId="02D0ECC9" w:rsidR="0076534C" w:rsidRDefault="00D91170" w:rsidP="006C2994">
      <w:pPr>
        <w:widowControl/>
        <w:rPr>
          <w:sz w:val="26"/>
          <w:szCs w:val="26"/>
        </w:rPr>
      </w:pPr>
      <w:r>
        <w:rPr>
          <w:sz w:val="26"/>
          <w:szCs w:val="26"/>
        </w:rPr>
        <w:t xml:space="preserve">The collection </w:t>
      </w:r>
      <w:r w:rsidR="0076534C">
        <w:rPr>
          <w:sz w:val="26"/>
          <w:szCs w:val="26"/>
        </w:rPr>
        <w:t>meets all of OMB's section 1320.5 requirements.</w:t>
      </w:r>
    </w:p>
    <w:p w14:paraId="7A7BBF1E" w14:textId="77777777" w:rsidR="00442DC5" w:rsidRDefault="00442DC5">
      <w:pPr>
        <w:widowControl/>
        <w:rPr>
          <w:sz w:val="26"/>
          <w:szCs w:val="26"/>
        </w:rPr>
      </w:pPr>
    </w:p>
    <w:p w14:paraId="785FD8A8" w14:textId="77777777" w:rsidR="0076534C" w:rsidRDefault="0076534C" w:rsidP="006C2994">
      <w:pPr>
        <w:widowControl/>
        <w:rPr>
          <w:b/>
          <w:bCs/>
          <w:sz w:val="26"/>
          <w:szCs w:val="26"/>
        </w:rPr>
      </w:pPr>
      <w:r w:rsidRPr="00781C5B">
        <w:rPr>
          <w:b/>
          <w:sz w:val="26"/>
          <w:szCs w:val="26"/>
        </w:rPr>
        <w:t>8.</w:t>
      </w:r>
      <w:r>
        <w:rPr>
          <w:sz w:val="26"/>
          <w:szCs w:val="26"/>
        </w:rPr>
        <w:t xml:space="preserve">  </w:t>
      </w:r>
      <w:r>
        <w:rPr>
          <w:b/>
          <w:bCs/>
          <w:sz w:val="26"/>
          <w:szCs w:val="26"/>
        </w:rPr>
        <w:t>DESCRIBE EFFORTS T</w:t>
      </w:r>
      <w:r w:rsidR="006C2994">
        <w:rPr>
          <w:b/>
          <w:bCs/>
          <w:sz w:val="26"/>
          <w:szCs w:val="26"/>
        </w:rPr>
        <w:t xml:space="preserve">O CONSULT OUTSIDE THE AGENCY: </w:t>
      </w:r>
      <w:r w:rsidR="006C2994">
        <w:rPr>
          <w:b/>
          <w:bCs/>
          <w:sz w:val="26"/>
          <w:szCs w:val="26"/>
        </w:rPr>
        <w:tab/>
      </w:r>
      <w:r>
        <w:rPr>
          <w:b/>
          <w:bCs/>
          <w:sz w:val="26"/>
          <w:szCs w:val="26"/>
        </w:rPr>
        <w:t>SUMMARIZE PUBLIC COMME</w:t>
      </w:r>
      <w:r w:rsidR="006C2994">
        <w:rPr>
          <w:b/>
          <w:bCs/>
          <w:sz w:val="26"/>
          <w:szCs w:val="26"/>
        </w:rPr>
        <w:t xml:space="preserve">NTS AND THE AGENCY'S RESPONSE </w:t>
      </w:r>
      <w:r>
        <w:rPr>
          <w:b/>
          <w:bCs/>
          <w:sz w:val="26"/>
          <w:szCs w:val="26"/>
        </w:rPr>
        <w:t>TO THESE COMMENTS</w:t>
      </w:r>
    </w:p>
    <w:p w14:paraId="1007A17E" w14:textId="77777777" w:rsidR="0076534C" w:rsidRDefault="0076534C">
      <w:pPr>
        <w:widowControl/>
        <w:rPr>
          <w:b/>
          <w:bCs/>
          <w:sz w:val="26"/>
          <w:szCs w:val="26"/>
        </w:rPr>
      </w:pPr>
    </w:p>
    <w:p w14:paraId="1162AAC0" w14:textId="71F86EFF" w:rsidR="00B32382" w:rsidRPr="00FD01C5" w:rsidRDefault="000F2F13" w:rsidP="00403C95">
      <w:pPr>
        <w:widowControl/>
        <w:rPr>
          <w:sz w:val="26"/>
          <w:szCs w:val="26"/>
        </w:rPr>
      </w:pPr>
      <w:r w:rsidRPr="00FD01C5">
        <w:rPr>
          <w:sz w:val="26"/>
          <w:szCs w:val="26"/>
        </w:rPr>
        <w:t>In accordance with OMB requirements, the Commission published a 60-day notice</w:t>
      </w:r>
      <w:r w:rsidRPr="00FD01C5">
        <w:rPr>
          <w:rStyle w:val="FootnoteReference"/>
          <w:sz w:val="26"/>
          <w:szCs w:val="26"/>
          <w:vertAlign w:val="superscript"/>
        </w:rPr>
        <w:footnoteReference w:id="3"/>
      </w:r>
      <w:r w:rsidRPr="00FD01C5">
        <w:rPr>
          <w:sz w:val="26"/>
          <w:szCs w:val="26"/>
        </w:rPr>
        <w:t xml:space="preserve"> and a 30-day notice</w:t>
      </w:r>
      <w:r w:rsidRPr="00FD01C5">
        <w:rPr>
          <w:rStyle w:val="FootnoteReference"/>
          <w:sz w:val="26"/>
          <w:szCs w:val="26"/>
          <w:vertAlign w:val="superscript"/>
        </w:rPr>
        <w:footnoteReference w:id="4"/>
      </w:r>
      <w:r w:rsidRPr="00FD01C5">
        <w:rPr>
          <w:sz w:val="26"/>
          <w:szCs w:val="26"/>
        </w:rPr>
        <w:t xml:space="preserve"> to the public regarding this information collection on May </w:t>
      </w:r>
      <w:r w:rsidR="00727DC8">
        <w:rPr>
          <w:sz w:val="26"/>
          <w:szCs w:val="26"/>
        </w:rPr>
        <w:t>14</w:t>
      </w:r>
      <w:r w:rsidRPr="00FD01C5">
        <w:rPr>
          <w:sz w:val="26"/>
          <w:szCs w:val="26"/>
        </w:rPr>
        <w:t xml:space="preserve">, 2014 and </w:t>
      </w:r>
      <w:r w:rsidR="007E7579" w:rsidRPr="00FD01C5">
        <w:rPr>
          <w:sz w:val="26"/>
          <w:szCs w:val="26"/>
        </w:rPr>
        <w:t>August 5, 2014</w:t>
      </w:r>
      <w:r w:rsidRPr="00FD01C5">
        <w:rPr>
          <w:sz w:val="26"/>
          <w:szCs w:val="26"/>
        </w:rPr>
        <w:t xml:space="preserve"> respectively.  Within the public notices, the Commission noted that it would be requesting a three-year extension of the public reporting burden.  The Commission received no comments from the public regarding this information collection.</w:t>
      </w:r>
    </w:p>
    <w:p w14:paraId="15EC274D" w14:textId="77777777" w:rsidR="000F2F13" w:rsidRPr="001663B8" w:rsidRDefault="000F2F13" w:rsidP="00403C95">
      <w:pPr>
        <w:widowControl/>
        <w:rPr>
          <w:sz w:val="26"/>
          <w:szCs w:val="26"/>
        </w:rPr>
      </w:pPr>
    </w:p>
    <w:p w14:paraId="113D36BC" w14:textId="77777777" w:rsidR="0076534C" w:rsidRDefault="0076534C" w:rsidP="00AA74FA">
      <w:pPr>
        <w:widowControl/>
        <w:rPr>
          <w:b/>
          <w:bCs/>
          <w:sz w:val="26"/>
          <w:szCs w:val="26"/>
        </w:rPr>
      </w:pPr>
      <w:r w:rsidRPr="000F2F13">
        <w:rPr>
          <w:b/>
          <w:sz w:val="26"/>
          <w:szCs w:val="26"/>
        </w:rPr>
        <w:t>9.</w:t>
      </w:r>
      <w:r>
        <w:rPr>
          <w:sz w:val="26"/>
          <w:szCs w:val="26"/>
        </w:rPr>
        <w:t xml:space="preserve">  </w:t>
      </w:r>
      <w:r>
        <w:rPr>
          <w:b/>
          <w:bCs/>
          <w:sz w:val="26"/>
          <w:szCs w:val="26"/>
        </w:rPr>
        <w:t>EXPLAIN ANY PAYMENTS OR GIFTS TO RESPONDENTS</w:t>
      </w:r>
    </w:p>
    <w:p w14:paraId="74697980" w14:textId="77777777" w:rsidR="0076534C" w:rsidRDefault="0076534C">
      <w:pPr>
        <w:widowControl/>
        <w:rPr>
          <w:b/>
          <w:bCs/>
          <w:sz w:val="26"/>
          <w:szCs w:val="26"/>
        </w:rPr>
      </w:pPr>
    </w:p>
    <w:p w14:paraId="0D670DFA" w14:textId="0BC15328" w:rsidR="0076534C" w:rsidRDefault="0076534C" w:rsidP="00AA74FA">
      <w:pPr>
        <w:widowControl/>
        <w:rPr>
          <w:sz w:val="26"/>
          <w:szCs w:val="26"/>
        </w:rPr>
      </w:pPr>
      <w:r>
        <w:rPr>
          <w:sz w:val="26"/>
          <w:szCs w:val="26"/>
        </w:rPr>
        <w:t xml:space="preserve">There are no payments or gifts to respondents </w:t>
      </w:r>
      <w:r w:rsidR="00FD01C5">
        <w:rPr>
          <w:sz w:val="26"/>
          <w:szCs w:val="26"/>
        </w:rPr>
        <w:t>as part of responding to this collection</w:t>
      </w:r>
      <w:r>
        <w:rPr>
          <w:sz w:val="26"/>
          <w:szCs w:val="26"/>
        </w:rPr>
        <w:t>.</w:t>
      </w:r>
    </w:p>
    <w:p w14:paraId="458FE7A4" w14:textId="77777777" w:rsidR="0076534C" w:rsidRDefault="0076534C">
      <w:pPr>
        <w:widowControl/>
        <w:rPr>
          <w:sz w:val="26"/>
          <w:szCs w:val="26"/>
        </w:rPr>
      </w:pPr>
    </w:p>
    <w:p w14:paraId="3CB664C8" w14:textId="77777777" w:rsidR="0076534C" w:rsidRDefault="0076534C" w:rsidP="00AA74FA">
      <w:pPr>
        <w:widowControl/>
        <w:rPr>
          <w:b/>
          <w:bCs/>
          <w:sz w:val="26"/>
          <w:szCs w:val="26"/>
        </w:rPr>
      </w:pPr>
      <w:r w:rsidRPr="000F2F13">
        <w:rPr>
          <w:b/>
          <w:sz w:val="26"/>
          <w:szCs w:val="26"/>
        </w:rPr>
        <w:t>10.</w:t>
      </w:r>
      <w:r>
        <w:rPr>
          <w:sz w:val="26"/>
          <w:szCs w:val="26"/>
        </w:rPr>
        <w:t xml:space="preserve">  </w:t>
      </w:r>
      <w:r>
        <w:rPr>
          <w:b/>
          <w:bCs/>
          <w:sz w:val="26"/>
          <w:szCs w:val="26"/>
        </w:rPr>
        <w:t>DESCRIBE ANY ASSURANCE O</w:t>
      </w:r>
      <w:r w:rsidR="00AA74FA">
        <w:rPr>
          <w:b/>
          <w:bCs/>
          <w:sz w:val="26"/>
          <w:szCs w:val="26"/>
        </w:rPr>
        <w:t xml:space="preserve">F CONFIDENTIALITY PROVIDED TO </w:t>
      </w:r>
      <w:r>
        <w:rPr>
          <w:b/>
          <w:bCs/>
          <w:sz w:val="26"/>
          <w:szCs w:val="26"/>
        </w:rPr>
        <w:t>RESPONDENTS</w:t>
      </w:r>
    </w:p>
    <w:p w14:paraId="3C451D34" w14:textId="77777777" w:rsidR="0076534C" w:rsidRDefault="0076534C">
      <w:pPr>
        <w:widowControl/>
        <w:rPr>
          <w:b/>
          <w:bCs/>
          <w:sz w:val="26"/>
          <w:szCs w:val="26"/>
        </w:rPr>
      </w:pPr>
    </w:p>
    <w:p w14:paraId="427E37D8" w14:textId="77777777" w:rsidR="0076534C" w:rsidRDefault="0076534C">
      <w:pPr>
        <w:widowControl/>
        <w:rPr>
          <w:b/>
          <w:bCs/>
          <w:sz w:val="26"/>
          <w:szCs w:val="26"/>
        </w:rPr>
        <w:sectPr w:rsidR="0076534C">
          <w:type w:val="continuous"/>
          <w:pgSz w:w="12240" w:h="15840"/>
          <w:pgMar w:top="1080" w:right="1080" w:bottom="1080" w:left="1080" w:header="1080" w:footer="1080" w:gutter="0"/>
          <w:cols w:space="720"/>
          <w:noEndnote/>
        </w:sectPr>
      </w:pPr>
    </w:p>
    <w:p w14:paraId="7F313F25" w14:textId="5A9E6CD5" w:rsidR="0076534C" w:rsidRDefault="0076534C" w:rsidP="00AA74FA">
      <w:pPr>
        <w:widowControl/>
        <w:rPr>
          <w:sz w:val="26"/>
          <w:szCs w:val="26"/>
        </w:rPr>
      </w:pPr>
      <w:r>
        <w:rPr>
          <w:sz w:val="26"/>
          <w:szCs w:val="26"/>
        </w:rPr>
        <w:lastRenderedPageBreak/>
        <w:t>The Commission considers its annual reporting systems to be public information and, therefore, generally not confidential.  The benefits of a standardized and uniform accounting system would not be realiz</w:t>
      </w:r>
      <w:r w:rsidR="000F2F13">
        <w:rPr>
          <w:sz w:val="26"/>
          <w:szCs w:val="26"/>
        </w:rPr>
        <w:t xml:space="preserve">ed if the reported financial information </w:t>
      </w:r>
      <w:r>
        <w:rPr>
          <w:sz w:val="26"/>
          <w:szCs w:val="26"/>
        </w:rPr>
        <w:t xml:space="preserve">were withheld from public view.  To ensure that these benefits are realized, and to provide transparency of economic consequences to all affected interests, the Commission </w:t>
      </w:r>
      <w:r w:rsidR="000F2F13">
        <w:rPr>
          <w:sz w:val="26"/>
          <w:szCs w:val="26"/>
        </w:rPr>
        <w:t>utilizes financial reporting</w:t>
      </w:r>
      <w:r w:rsidR="00F12C3F">
        <w:rPr>
          <w:sz w:val="26"/>
          <w:szCs w:val="26"/>
        </w:rPr>
        <w:t xml:space="preserve"> requirements to make</w:t>
      </w:r>
      <w:r>
        <w:rPr>
          <w:sz w:val="26"/>
          <w:szCs w:val="26"/>
        </w:rPr>
        <w:t xml:space="preserve"> financial and non-financial information publicly available to all interested parties. </w:t>
      </w:r>
    </w:p>
    <w:p w14:paraId="1F505AF1" w14:textId="77777777" w:rsidR="0076534C" w:rsidRDefault="0076534C">
      <w:pPr>
        <w:widowControl/>
        <w:rPr>
          <w:sz w:val="26"/>
          <w:szCs w:val="26"/>
        </w:rPr>
      </w:pPr>
    </w:p>
    <w:p w14:paraId="68BD83A0" w14:textId="77777777" w:rsidR="0076534C" w:rsidRDefault="0076534C" w:rsidP="00AA74FA">
      <w:pPr>
        <w:widowControl/>
        <w:rPr>
          <w:b/>
          <w:bCs/>
          <w:sz w:val="26"/>
          <w:szCs w:val="26"/>
        </w:rPr>
      </w:pPr>
      <w:r>
        <w:rPr>
          <w:sz w:val="26"/>
          <w:szCs w:val="26"/>
        </w:rPr>
        <w:t>However, the Commission will entertain specific requests for confidential treatment to the extent pe</w:t>
      </w:r>
      <w:r w:rsidR="0029367E">
        <w:rPr>
          <w:sz w:val="26"/>
          <w:szCs w:val="26"/>
        </w:rPr>
        <w:t>rmitted by law pursuant to 18 C</w:t>
      </w:r>
      <w:r>
        <w:rPr>
          <w:sz w:val="26"/>
          <w:szCs w:val="26"/>
        </w:rPr>
        <w:t xml:space="preserve">FR </w:t>
      </w:r>
      <w:r w:rsidR="00505EF9">
        <w:rPr>
          <w:sz w:val="26"/>
          <w:szCs w:val="26"/>
        </w:rPr>
        <w:t>§</w:t>
      </w:r>
      <w:r>
        <w:rPr>
          <w:sz w:val="26"/>
          <w:szCs w:val="26"/>
        </w:rPr>
        <w:t xml:space="preserve">388.112. </w:t>
      </w:r>
    </w:p>
    <w:p w14:paraId="496F742E" w14:textId="77777777" w:rsidR="0076534C" w:rsidRDefault="0076534C">
      <w:pPr>
        <w:widowControl/>
        <w:rPr>
          <w:b/>
          <w:bCs/>
          <w:sz w:val="26"/>
          <w:szCs w:val="26"/>
        </w:rPr>
      </w:pPr>
    </w:p>
    <w:p w14:paraId="53C8E77F" w14:textId="12CD5390" w:rsidR="0076534C" w:rsidRDefault="0076534C" w:rsidP="00AA74FA">
      <w:pPr>
        <w:widowControl/>
        <w:rPr>
          <w:b/>
          <w:bCs/>
          <w:sz w:val="26"/>
          <w:szCs w:val="26"/>
        </w:rPr>
      </w:pPr>
      <w:r w:rsidRPr="000F2F13">
        <w:rPr>
          <w:b/>
          <w:sz w:val="26"/>
          <w:szCs w:val="26"/>
        </w:rPr>
        <w:t>11.</w:t>
      </w:r>
      <w:r>
        <w:rPr>
          <w:sz w:val="26"/>
          <w:szCs w:val="26"/>
        </w:rPr>
        <w:t xml:space="preserve">  </w:t>
      </w:r>
      <w:r>
        <w:rPr>
          <w:b/>
          <w:bCs/>
          <w:sz w:val="26"/>
          <w:szCs w:val="26"/>
        </w:rPr>
        <w:t xml:space="preserve">PROVIDE </w:t>
      </w:r>
      <w:r w:rsidR="00727DC8" w:rsidRPr="00727DC8">
        <w:rPr>
          <w:b/>
          <w:bCs/>
          <w:sz w:val="26"/>
          <w:szCs w:val="26"/>
        </w:rPr>
        <w:t>ADDITIONAL JUSTIFICATION FOR ANY QUESTIONS OF A SENSITIVE NATURE, SUCH AS SEXUAL BEHAVIOR AND ATTITUDES, RELIGIOUS BELIEFS, AND OTHER MATTERS THAT ARE COMMONLY CONSIDERED PRIVATE.</w:t>
      </w:r>
    </w:p>
    <w:p w14:paraId="5D65C45C" w14:textId="77777777" w:rsidR="0076534C" w:rsidRDefault="0076534C">
      <w:pPr>
        <w:widowControl/>
        <w:rPr>
          <w:b/>
          <w:bCs/>
          <w:sz w:val="26"/>
          <w:szCs w:val="26"/>
        </w:rPr>
      </w:pPr>
    </w:p>
    <w:p w14:paraId="242AD35E" w14:textId="1C1889B0" w:rsidR="0076534C" w:rsidRDefault="0076534C" w:rsidP="00AA74FA">
      <w:pPr>
        <w:widowControl/>
        <w:rPr>
          <w:sz w:val="26"/>
          <w:szCs w:val="26"/>
        </w:rPr>
      </w:pPr>
      <w:r>
        <w:rPr>
          <w:sz w:val="26"/>
          <w:szCs w:val="26"/>
        </w:rPr>
        <w:lastRenderedPageBreak/>
        <w:t>There are no questions of a sensitive nature a</w:t>
      </w:r>
      <w:r w:rsidR="00703D5B">
        <w:rPr>
          <w:sz w:val="26"/>
          <w:szCs w:val="26"/>
        </w:rPr>
        <w:t>ss</w:t>
      </w:r>
      <w:r w:rsidR="00727DC8">
        <w:rPr>
          <w:sz w:val="26"/>
          <w:szCs w:val="26"/>
        </w:rPr>
        <w:t>ociated with this financial form</w:t>
      </w:r>
      <w:r w:rsidR="0029367E">
        <w:rPr>
          <w:sz w:val="26"/>
          <w:szCs w:val="26"/>
        </w:rPr>
        <w:t>.</w:t>
      </w:r>
    </w:p>
    <w:p w14:paraId="19FB7DBD" w14:textId="77777777" w:rsidR="0076534C" w:rsidRDefault="0076534C">
      <w:pPr>
        <w:widowControl/>
        <w:rPr>
          <w:sz w:val="26"/>
          <w:szCs w:val="26"/>
        </w:rPr>
      </w:pPr>
    </w:p>
    <w:p w14:paraId="6013852A" w14:textId="77777777" w:rsidR="0076534C" w:rsidRDefault="0076534C" w:rsidP="00AA74FA">
      <w:pPr>
        <w:widowControl/>
        <w:rPr>
          <w:b/>
          <w:bCs/>
          <w:sz w:val="26"/>
          <w:szCs w:val="26"/>
        </w:rPr>
      </w:pPr>
      <w:r w:rsidRPr="00F12C3F">
        <w:rPr>
          <w:b/>
          <w:sz w:val="26"/>
          <w:szCs w:val="26"/>
        </w:rPr>
        <w:t>12.</w:t>
      </w:r>
      <w:r>
        <w:rPr>
          <w:sz w:val="26"/>
          <w:szCs w:val="26"/>
        </w:rPr>
        <w:t xml:space="preserve">  </w:t>
      </w:r>
      <w:r>
        <w:rPr>
          <w:b/>
          <w:bCs/>
          <w:sz w:val="26"/>
          <w:szCs w:val="26"/>
        </w:rPr>
        <w:t>ESTIMATED BURDEN COLLECTION OF INFORMATION</w:t>
      </w:r>
    </w:p>
    <w:p w14:paraId="67E87D5D" w14:textId="77777777" w:rsidR="0076534C" w:rsidRDefault="0076534C">
      <w:pPr>
        <w:widowControl/>
        <w:rPr>
          <w:b/>
          <w:bCs/>
          <w:sz w:val="26"/>
          <w:szCs w:val="26"/>
        </w:rPr>
      </w:pPr>
    </w:p>
    <w:p w14:paraId="5D1E4235" w14:textId="2967004D" w:rsidR="00DE44E4" w:rsidRDefault="00F12C3F" w:rsidP="00AA74FA">
      <w:pPr>
        <w:widowControl/>
        <w:rPr>
          <w:sz w:val="26"/>
        </w:rPr>
      </w:pPr>
      <w:r>
        <w:rPr>
          <w:sz w:val="26"/>
        </w:rPr>
        <w:t xml:space="preserve">The </w:t>
      </w:r>
      <w:r w:rsidR="0075021B">
        <w:rPr>
          <w:sz w:val="26"/>
        </w:rPr>
        <w:t>most recently OMB-approved</w:t>
      </w:r>
      <w:r>
        <w:rPr>
          <w:sz w:val="26"/>
        </w:rPr>
        <w:t xml:space="preserve"> burden estimates for the Form</w:t>
      </w:r>
      <w:r w:rsidR="00727DC8">
        <w:rPr>
          <w:sz w:val="26"/>
        </w:rPr>
        <w:t xml:space="preserve"> No.</w:t>
      </w:r>
      <w:r>
        <w:rPr>
          <w:sz w:val="26"/>
        </w:rPr>
        <w:t xml:space="preserve"> 2 follow.  These estimates include the necessary time to gather, input, review and submit the information required on each form.  </w:t>
      </w:r>
    </w:p>
    <w:p w14:paraId="6CDEDAE5" w14:textId="77777777" w:rsidR="00DE44E4" w:rsidRPr="00DE44E4" w:rsidRDefault="00DE44E4" w:rsidP="00DE44E4">
      <w:pPr>
        <w:widowControl/>
        <w:ind w:firstLine="720"/>
        <w:rPr>
          <w:sz w:val="26"/>
        </w:rPr>
      </w:pPr>
    </w:p>
    <w:tbl>
      <w:tblPr>
        <w:tblW w:w="54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6"/>
        <w:gridCol w:w="1610"/>
        <w:gridCol w:w="1610"/>
        <w:gridCol w:w="1518"/>
        <w:gridCol w:w="1410"/>
        <w:gridCol w:w="1417"/>
        <w:gridCol w:w="1489"/>
      </w:tblGrid>
      <w:tr w:rsidR="007E617F" w:rsidRPr="00533384" w14:paraId="3239A4B2" w14:textId="77777777" w:rsidTr="00703D5B">
        <w:trPr>
          <w:cantSplit/>
        </w:trPr>
        <w:tc>
          <w:tcPr>
            <w:tcW w:w="5000" w:type="pct"/>
            <w:gridSpan w:val="7"/>
            <w:tcBorders>
              <w:bottom w:val="single" w:sz="4" w:space="0" w:color="auto"/>
            </w:tcBorders>
            <w:shd w:val="clear" w:color="auto" w:fill="D9D9D9"/>
          </w:tcPr>
          <w:p w14:paraId="7BF99E45" w14:textId="4907E26A" w:rsidR="007E617F" w:rsidRPr="00533384" w:rsidRDefault="00027F92" w:rsidP="00703D5B">
            <w:pPr>
              <w:jc w:val="center"/>
              <w:rPr>
                <w:rFonts w:eastAsia="Calibri"/>
                <w:b/>
                <w:sz w:val="20"/>
                <w:szCs w:val="20"/>
              </w:rPr>
            </w:pPr>
            <w:r>
              <w:rPr>
                <w:rFonts w:eastAsia="Calibri"/>
                <w:b/>
                <w:sz w:val="20"/>
                <w:szCs w:val="20"/>
              </w:rPr>
              <w:t>FERC Form No. 2</w:t>
            </w:r>
          </w:p>
        </w:tc>
      </w:tr>
      <w:tr w:rsidR="007E617F" w:rsidRPr="00533384" w14:paraId="5AB85158" w14:textId="77777777" w:rsidTr="00703D5B">
        <w:trPr>
          <w:cantSplit/>
        </w:trPr>
        <w:tc>
          <w:tcPr>
            <w:tcW w:w="866" w:type="pct"/>
            <w:shd w:val="clear" w:color="auto" w:fill="D9D9D9"/>
          </w:tcPr>
          <w:p w14:paraId="686FFC3B" w14:textId="77777777" w:rsidR="007E617F" w:rsidRPr="00533384" w:rsidRDefault="007E617F" w:rsidP="00703D5B">
            <w:pPr>
              <w:jc w:val="center"/>
              <w:rPr>
                <w:rFonts w:eastAsia="Calibri"/>
                <w:b/>
                <w:sz w:val="20"/>
                <w:szCs w:val="20"/>
              </w:rPr>
            </w:pPr>
          </w:p>
        </w:tc>
        <w:tc>
          <w:tcPr>
            <w:tcW w:w="735" w:type="pct"/>
            <w:shd w:val="clear" w:color="auto" w:fill="D9D9D9"/>
            <w:vAlign w:val="bottom"/>
          </w:tcPr>
          <w:p w14:paraId="2B2C4CC9" w14:textId="77777777" w:rsidR="007E617F" w:rsidRPr="00533384" w:rsidRDefault="007E617F" w:rsidP="00703D5B">
            <w:pPr>
              <w:jc w:val="center"/>
              <w:rPr>
                <w:rFonts w:eastAsia="Calibri"/>
                <w:b/>
                <w:sz w:val="20"/>
                <w:szCs w:val="20"/>
              </w:rPr>
            </w:pPr>
            <w:r w:rsidRPr="00533384">
              <w:rPr>
                <w:rFonts w:eastAsia="Calibri"/>
                <w:b/>
                <w:sz w:val="20"/>
                <w:szCs w:val="20"/>
              </w:rPr>
              <w:t>Number of Respondents</w:t>
            </w:r>
            <w:r w:rsidRPr="00533384">
              <w:rPr>
                <w:rFonts w:eastAsia="Calibri"/>
                <w:b/>
                <w:sz w:val="20"/>
                <w:szCs w:val="20"/>
              </w:rPr>
              <w:br/>
              <w:t>(1)</w:t>
            </w:r>
          </w:p>
        </w:tc>
        <w:tc>
          <w:tcPr>
            <w:tcW w:w="735" w:type="pct"/>
            <w:shd w:val="clear" w:color="auto" w:fill="D9D9D9"/>
            <w:vAlign w:val="bottom"/>
          </w:tcPr>
          <w:p w14:paraId="5D8A7D54" w14:textId="77777777" w:rsidR="007E617F" w:rsidRPr="00533384" w:rsidRDefault="007E617F" w:rsidP="00703D5B">
            <w:pPr>
              <w:jc w:val="center"/>
              <w:rPr>
                <w:rFonts w:eastAsia="Calibri"/>
                <w:b/>
                <w:sz w:val="20"/>
                <w:szCs w:val="20"/>
              </w:rPr>
            </w:pPr>
            <w:r w:rsidRPr="00533384">
              <w:rPr>
                <w:rFonts w:eastAsia="Calibri"/>
                <w:b/>
                <w:sz w:val="20"/>
                <w:szCs w:val="20"/>
              </w:rPr>
              <w:t>Annual Number of Responses per Respondent</w:t>
            </w:r>
          </w:p>
          <w:p w14:paraId="24F6F634" w14:textId="77777777" w:rsidR="007E617F" w:rsidRPr="00533384" w:rsidRDefault="007E617F" w:rsidP="00703D5B">
            <w:pPr>
              <w:jc w:val="center"/>
              <w:rPr>
                <w:rFonts w:eastAsia="Calibri"/>
                <w:b/>
                <w:sz w:val="20"/>
                <w:szCs w:val="20"/>
              </w:rPr>
            </w:pPr>
            <w:r w:rsidRPr="00533384">
              <w:rPr>
                <w:rFonts w:eastAsia="Calibri"/>
                <w:b/>
                <w:sz w:val="20"/>
                <w:szCs w:val="20"/>
              </w:rPr>
              <w:t>(2)</w:t>
            </w:r>
          </w:p>
        </w:tc>
        <w:tc>
          <w:tcPr>
            <w:tcW w:w="693" w:type="pct"/>
            <w:shd w:val="clear" w:color="auto" w:fill="D9D9D9"/>
            <w:vAlign w:val="bottom"/>
          </w:tcPr>
          <w:p w14:paraId="314FF7F1" w14:textId="77777777" w:rsidR="007E617F" w:rsidRPr="00533384" w:rsidRDefault="007E617F" w:rsidP="00703D5B">
            <w:pPr>
              <w:jc w:val="center"/>
              <w:rPr>
                <w:rFonts w:eastAsia="Calibri"/>
                <w:b/>
                <w:sz w:val="20"/>
                <w:szCs w:val="20"/>
              </w:rPr>
            </w:pPr>
            <w:r w:rsidRPr="00533384">
              <w:rPr>
                <w:rFonts w:eastAsia="Calibri"/>
                <w:b/>
                <w:sz w:val="20"/>
                <w:szCs w:val="20"/>
              </w:rPr>
              <w:t>Total Number of Responses (1)*(2)=(3)</w:t>
            </w:r>
          </w:p>
        </w:tc>
        <w:tc>
          <w:tcPr>
            <w:tcW w:w="644" w:type="pct"/>
            <w:shd w:val="clear" w:color="auto" w:fill="D9D9D9"/>
            <w:vAlign w:val="bottom"/>
          </w:tcPr>
          <w:p w14:paraId="63E7A43A" w14:textId="7C921045" w:rsidR="007E617F" w:rsidRPr="00533384" w:rsidRDefault="007E617F" w:rsidP="00703D5B">
            <w:pPr>
              <w:jc w:val="center"/>
              <w:rPr>
                <w:rFonts w:eastAsia="Calibri"/>
                <w:b/>
                <w:sz w:val="20"/>
                <w:szCs w:val="20"/>
              </w:rPr>
            </w:pPr>
            <w:r w:rsidRPr="00533384">
              <w:rPr>
                <w:rFonts w:eastAsia="Calibri"/>
                <w:b/>
                <w:sz w:val="20"/>
                <w:szCs w:val="20"/>
              </w:rPr>
              <w:t xml:space="preserve">Average Burden </w:t>
            </w:r>
            <w:r w:rsidR="00727DC8">
              <w:rPr>
                <w:rFonts w:eastAsia="Calibri"/>
                <w:b/>
                <w:sz w:val="20"/>
                <w:szCs w:val="20"/>
              </w:rPr>
              <w:t xml:space="preserve">Hours </w:t>
            </w:r>
            <w:r w:rsidRPr="00533384">
              <w:rPr>
                <w:rFonts w:eastAsia="Calibri"/>
                <w:b/>
                <w:sz w:val="20"/>
                <w:szCs w:val="20"/>
              </w:rPr>
              <w:t>&amp; Cost Per Response</w:t>
            </w:r>
            <w:r w:rsidRPr="00533384">
              <w:rPr>
                <w:rFonts w:eastAsia="Calibri"/>
                <w:b/>
                <w:sz w:val="20"/>
                <w:szCs w:val="20"/>
                <w:vertAlign w:val="superscript"/>
              </w:rPr>
              <w:footnoteReference w:id="5"/>
            </w:r>
          </w:p>
          <w:p w14:paraId="48943071" w14:textId="77777777" w:rsidR="007E617F" w:rsidRPr="00533384" w:rsidRDefault="007E617F" w:rsidP="00703D5B">
            <w:pPr>
              <w:jc w:val="center"/>
              <w:rPr>
                <w:rFonts w:eastAsia="Calibri"/>
                <w:b/>
                <w:sz w:val="20"/>
                <w:szCs w:val="20"/>
              </w:rPr>
            </w:pPr>
            <w:r w:rsidRPr="00533384">
              <w:rPr>
                <w:rFonts w:eastAsia="Calibri"/>
                <w:b/>
                <w:sz w:val="20"/>
                <w:szCs w:val="20"/>
              </w:rPr>
              <w:t>(4)</w:t>
            </w:r>
          </w:p>
        </w:tc>
        <w:tc>
          <w:tcPr>
            <w:tcW w:w="647" w:type="pct"/>
            <w:shd w:val="clear" w:color="auto" w:fill="D9D9D9"/>
            <w:vAlign w:val="bottom"/>
          </w:tcPr>
          <w:p w14:paraId="7813440D" w14:textId="77777777" w:rsidR="007E617F" w:rsidRPr="00533384" w:rsidRDefault="007E617F" w:rsidP="00703D5B">
            <w:pPr>
              <w:jc w:val="center"/>
              <w:rPr>
                <w:rFonts w:eastAsia="Calibri"/>
                <w:b/>
                <w:sz w:val="20"/>
                <w:szCs w:val="20"/>
              </w:rPr>
            </w:pPr>
            <w:r w:rsidRPr="00533384">
              <w:rPr>
                <w:rFonts w:eastAsia="Calibri"/>
                <w:b/>
                <w:sz w:val="20"/>
                <w:szCs w:val="20"/>
              </w:rPr>
              <w:t>Total Annual Burden Hours &amp; Total Annual Cost</w:t>
            </w:r>
          </w:p>
          <w:p w14:paraId="1626A13C" w14:textId="77777777" w:rsidR="007E617F" w:rsidRPr="00533384" w:rsidRDefault="007E617F" w:rsidP="00703D5B">
            <w:pPr>
              <w:jc w:val="center"/>
              <w:rPr>
                <w:rFonts w:eastAsia="Calibri"/>
                <w:b/>
                <w:sz w:val="20"/>
                <w:szCs w:val="20"/>
              </w:rPr>
            </w:pPr>
            <w:r w:rsidRPr="00533384">
              <w:rPr>
                <w:rFonts w:eastAsia="Calibri"/>
                <w:b/>
                <w:sz w:val="20"/>
                <w:szCs w:val="20"/>
              </w:rPr>
              <w:t>(3)*(4)=(5)</w:t>
            </w:r>
          </w:p>
        </w:tc>
        <w:tc>
          <w:tcPr>
            <w:tcW w:w="680" w:type="pct"/>
            <w:shd w:val="clear" w:color="auto" w:fill="D9D9D9"/>
            <w:vAlign w:val="bottom"/>
          </w:tcPr>
          <w:p w14:paraId="63042DAC" w14:textId="77777777" w:rsidR="007E617F" w:rsidRPr="00533384" w:rsidRDefault="007E617F" w:rsidP="00703D5B">
            <w:pPr>
              <w:jc w:val="center"/>
              <w:rPr>
                <w:rFonts w:eastAsia="Calibri"/>
                <w:b/>
                <w:sz w:val="20"/>
                <w:szCs w:val="20"/>
              </w:rPr>
            </w:pPr>
            <w:r w:rsidRPr="00533384">
              <w:rPr>
                <w:rFonts w:eastAsia="Calibri"/>
                <w:b/>
                <w:sz w:val="20"/>
                <w:szCs w:val="20"/>
              </w:rPr>
              <w:t>Cost per Respondent</w:t>
            </w:r>
          </w:p>
          <w:p w14:paraId="32590623" w14:textId="77777777" w:rsidR="007E617F" w:rsidRPr="00533384" w:rsidRDefault="007E617F" w:rsidP="00703D5B">
            <w:pPr>
              <w:jc w:val="center"/>
              <w:rPr>
                <w:rFonts w:eastAsia="Calibri"/>
                <w:b/>
                <w:sz w:val="20"/>
                <w:szCs w:val="20"/>
              </w:rPr>
            </w:pPr>
            <w:r w:rsidRPr="00533384">
              <w:rPr>
                <w:rFonts w:eastAsia="Calibri"/>
                <w:b/>
                <w:sz w:val="20"/>
                <w:szCs w:val="20"/>
              </w:rPr>
              <w:t xml:space="preserve"> ($)</w:t>
            </w:r>
          </w:p>
          <w:p w14:paraId="1C4D40B6" w14:textId="77777777" w:rsidR="007E617F" w:rsidRPr="00533384" w:rsidRDefault="007E617F" w:rsidP="00703D5B">
            <w:pPr>
              <w:jc w:val="center"/>
              <w:rPr>
                <w:rFonts w:eastAsia="Calibri"/>
                <w:b/>
                <w:sz w:val="20"/>
                <w:szCs w:val="20"/>
              </w:rPr>
            </w:pPr>
            <w:r w:rsidRPr="00533384">
              <w:rPr>
                <w:rFonts w:eastAsia="Calibri"/>
                <w:b/>
                <w:sz w:val="20"/>
                <w:szCs w:val="20"/>
              </w:rPr>
              <w:t>(5)÷(1)</w:t>
            </w:r>
          </w:p>
        </w:tc>
      </w:tr>
      <w:tr w:rsidR="007E617F" w:rsidRPr="00533384" w14:paraId="6F55BCF0" w14:textId="77777777" w:rsidTr="00703D5B">
        <w:trPr>
          <w:cantSplit/>
        </w:trPr>
        <w:tc>
          <w:tcPr>
            <w:tcW w:w="866" w:type="pct"/>
          </w:tcPr>
          <w:p w14:paraId="6C1584E4" w14:textId="43B2F8F8" w:rsidR="007E617F" w:rsidRPr="00533384" w:rsidRDefault="007823CE" w:rsidP="00703D5B">
            <w:pPr>
              <w:rPr>
                <w:rFonts w:eastAsia="Calibri"/>
                <w:sz w:val="20"/>
                <w:szCs w:val="20"/>
              </w:rPr>
            </w:pPr>
            <w:r>
              <w:rPr>
                <w:rFonts w:eastAsia="Calibri"/>
                <w:sz w:val="20"/>
                <w:szCs w:val="20"/>
              </w:rPr>
              <w:t>Form No. 2</w:t>
            </w:r>
          </w:p>
        </w:tc>
        <w:tc>
          <w:tcPr>
            <w:tcW w:w="735" w:type="pct"/>
          </w:tcPr>
          <w:p w14:paraId="10981C90" w14:textId="206CBD06" w:rsidR="007E617F" w:rsidRPr="00533384" w:rsidRDefault="007823CE" w:rsidP="00703D5B">
            <w:pPr>
              <w:jc w:val="right"/>
              <w:rPr>
                <w:rFonts w:eastAsia="Calibri"/>
                <w:sz w:val="20"/>
                <w:szCs w:val="20"/>
              </w:rPr>
            </w:pPr>
            <w:r>
              <w:rPr>
                <w:rFonts w:eastAsia="Calibri"/>
                <w:sz w:val="20"/>
                <w:szCs w:val="20"/>
              </w:rPr>
              <w:t>84</w:t>
            </w:r>
          </w:p>
          <w:p w14:paraId="368C6BFF" w14:textId="77777777" w:rsidR="007E617F" w:rsidRPr="00533384" w:rsidRDefault="007E617F" w:rsidP="00703D5B">
            <w:pPr>
              <w:jc w:val="right"/>
              <w:rPr>
                <w:rFonts w:eastAsia="Calibri"/>
                <w:sz w:val="20"/>
                <w:szCs w:val="20"/>
              </w:rPr>
            </w:pPr>
          </w:p>
        </w:tc>
        <w:tc>
          <w:tcPr>
            <w:tcW w:w="735" w:type="pct"/>
          </w:tcPr>
          <w:p w14:paraId="4417EB81" w14:textId="069C4056" w:rsidR="007E617F" w:rsidRPr="00533384" w:rsidRDefault="007823CE" w:rsidP="002D26F2">
            <w:pPr>
              <w:jc w:val="right"/>
              <w:rPr>
                <w:rFonts w:eastAsia="Calibri"/>
                <w:sz w:val="20"/>
                <w:szCs w:val="20"/>
              </w:rPr>
            </w:pPr>
            <w:r>
              <w:rPr>
                <w:rFonts w:eastAsia="Calibri"/>
                <w:sz w:val="20"/>
                <w:szCs w:val="20"/>
              </w:rPr>
              <w:t>84</w:t>
            </w:r>
          </w:p>
        </w:tc>
        <w:tc>
          <w:tcPr>
            <w:tcW w:w="693" w:type="pct"/>
          </w:tcPr>
          <w:p w14:paraId="64B293D8" w14:textId="335CDCB7" w:rsidR="007E617F" w:rsidRPr="00533384" w:rsidRDefault="007823CE" w:rsidP="002D26F2">
            <w:pPr>
              <w:jc w:val="right"/>
              <w:rPr>
                <w:rFonts w:eastAsia="Calibri"/>
                <w:sz w:val="20"/>
                <w:szCs w:val="20"/>
              </w:rPr>
            </w:pPr>
            <w:r>
              <w:rPr>
                <w:rFonts w:eastAsia="Calibri"/>
                <w:sz w:val="20"/>
                <w:szCs w:val="20"/>
              </w:rPr>
              <w:t>84</w:t>
            </w:r>
          </w:p>
        </w:tc>
        <w:tc>
          <w:tcPr>
            <w:tcW w:w="644" w:type="pct"/>
          </w:tcPr>
          <w:p w14:paraId="31DEB975" w14:textId="140EB2A0" w:rsidR="007E617F" w:rsidRPr="00533384" w:rsidRDefault="0011659A" w:rsidP="00703D5B">
            <w:pPr>
              <w:jc w:val="right"/>
              <w:rPr>
                <w:rFonts w:eastAsia="Calibri"/>
                <w:sz w:val="20"/>
                <w:szCs w:val="20"/>
              </w:rPr>
            </w:pPr>
            <w:r>
              <w:rPr>
                <w:rFonts w:eastAsia="Calibri"/>
                <w:sz w:val="20"/>
                <w:szCs w:val="20"/>
              </w:rPr>
              <w:t>1,629</w:t>
            </w:r>
          </w:p>
          <w:p w14:paraId="487D9E3C" w14:textId="58838197" w:rsidR="007E617F" w:rsidRPr="00533384" w:rsidRDefault="007E617F" w:rsidP="0011659A">
            <w:pPr>
              <w:jc w:val="right"/>
              <w:rPr>
                <w:rFonts w:eastAsia="Calibri"/>
                <w:sz w:val="20"/>
                <w:szCs w:val="20"/>
              </w:rPr>
            </w:pPr>
            <w:r w:rsidRPr="00533384">
              <w:rPr>
                <w:rFonts w:eastAsia="Calibri"/>
                <w:sz w:val="20"/>
                <w:szCs w:val="20"/>
              </w:rPr>
              <w:t>$</w:t>
            </w:r>
            <w:r w:rsidR="0011659A">
              <w:rPr>
                <w:rFonts w:eastAsia="Calibri"/>
                <w:sz w:val="20"/>
                <w:szCs w:val="20"/>
              </w:rPr>
              <w:t>195,480</w:t>
            </w:r>
          </w:p>
        </w:tc>
        <w:tc>
          <w:tcPr>
            <w:tcW w:w="647" w:type="pct"/>
          </w:tcPr>
          <w:p w14:paraId="162C50BF" w14:textId="75881298" w:rsidR="007E617F" w:rsidRPr="00533384" w:rsidRDefault="007E617F" w:rsidP="00703D5B">
            <w:pPr>
              <w:jc w:val="right"/>
              <w:rPr>
                <w:rFonts w:eastAsia="Calibri"/>
                <w:sz w:val="20"/>
                <w:szCs w:val="20"/>
              </w:rPr>
            </w:pPr>
            <w:r w:rsidRPr="00533384">
              <w:rPr>
                <w:rFonts w:eastAsia="Calibri"/>
                <w:sz w:val="20"/>
                <w:szCs w:val="20"/>
              </w:rPr>
              <w:t xml:space="preserve"> </w:t>
            </w:r>
            <w:r w:rsidR="0011659A">
              <w:rPr>
                <w:rFonts w:eastAsia="Calibri"/>
                <w:sz w:val="20"/>
                <w:szCs w:val="20"/>
              </w:rPr>
              <w:t>136,836</w:t>
            </w:r>
          </w:p>
          <w:p w14:paraId="3D2266E9" w14:textId="6102C5DD" w:rsidR="007E617F" w:rsidRPr="00533384" w:rsidRDefault="007E617F" w:rsidP="00F23BE9">
            <w:pPr>
              <w:jc w:val="right"/>
              <w:rPr>
                <w:rFonts w:eastAsia="Calibri"/>
                <w:sz w:val="20"/>
                <w:szCs w:val="20"/>
              </w:rPr>
            </w:pPr>
            <w:r w:rsidRPr="00533384">
              <w:rPr>
                <w:rFonts w:eastAsia="Calibri"/>
                <w:sz w:val="20"/>
                <w:szCs w:val="20"/>
              </w:rPr>
              <w:t>$</w:t>
            </w:r>
            <w:r w:rsidR="0011659A">
              <w:rPr>
                <w:rFonts w:eastAsia="Calibri"/>
                <w:sz w:val="20"/>
                <w:szCs w:val="20"/>
              </w:rPr>
              <w:t>16,420,320</w:t>
            </w:r>
            <w:r w:rsidRPr="00533384">
              <w:rPr>
                <w:rFonts w:eastAsia="Calibri"/>
                <w:sz w:val="20"/>
                <w:szCs w:val="20"/>
              </w:rPr>
              <w:t xml:space="preserve"> </w:t>
            </w:r>
          </w:p>
        </w:tc>
        <w:tc>
          <w:tcPr>
            <w:tcW w:w="680" w:type="pct"/>
          </w:tcPr>
          <w:p w14:paraId="6BD2C2F9" w14:textId="1F2DE50B" w:rsidR="007E617F" w:rsidRPr="00533384" w:rsidRDefault="007E617F" w:rsidP="00703D5B">
            <w:pPr>
              <w:jc w:val="right"/>
              <w:rPr>
                <w:rFonts w:eastAsia="Calibri"/>
                <w:sz w:val="20"/>
                <w:szCs w:val="20"/>
              </w:rPr>
            </w:pPr>
            <w:r w:rsidRPr="00533384">
              <w:rPr>
                <w:rFonts w:eastAsia="Calibri"/>
                <w:sz w:val="20"/>
                <w:szCs w:val="20"/>
              </w:rPr>
              <w:t>$</w:t>
            </w:r>
            <w:r w:rsidR="0011659A">
              <w:rPr>
                <w:rFonts w:eastAsia="Calibri"/>
                <w:sz w:val="20"/>
                <w:szCs w:val="20"/>
              </w:rPr>
              <w:t>195,480</w:t>
            </w:r>
            <w:r w:rsidRPr="00533384">
              <w:rPr>
                <w:rFonts w:eastAsia="Calibri"/>
                <w:sz w:val="20"/>
                <w:szCs w:val="20"/>
              </w:rPr>
              <w:t xml:space="preserve"> </w:t>
            </w:r>
          </w:p>
          <w:p w14:paraId="0F8EAB7E" w14:textId="77777777" w:rsidR="007E617F" w:rsidRPr="00533384" w:rsidRDefault="007E617F" w:rsidP="00703D5B">
            <w:pPr>
              <w:jc w:val="right"/>
              <w:rPr>
                <w:rFonts w:eastAsia="Calibri"/>
                <w:sz w:val="20"/>
                <w:szCs w:val="20"/>
              </w:rPr>
            </w:pPr>
          </w:p>
        </w:tc>
      </w:tr>
      <w:tr w:rsidR="007823CE" w:rsidRPr="00533384" w14:paraId="66D94432" w14:textId="77777777" w:rsidTr="00703D5B">
        <w:trPr>
          <w:cantSplit/>
        </w:trPr>
        <w:tc>
          <w:tcPr>
            <w:tcW w:w="866" w:type="pct"/>
          </w:tcPr>
          <w:p w14:paraId="1EE23E3B" w14:textId="40E90997" w:rsidR="007823CE" w:rsidRDefault="007823CE" w:rsidP="00703D5B">
            <w:pPr>
              <w:rPr>
                <w:rFonts w:eastAsia="Calibri"/>
                <w:sz w:val="20"/>
                <w:szCs w:val="20"/>
              </w:rPr>
            </w:pPr>
            <w:r>
              <w:rPr>
                <w:rFonts w:eastAsia="Calibri"/>
                <w:sz w:val="20"/>
                <w:szCs w:val="20"/>
              </w:rPr>
              <w:t>One-time burden for implementing Order No. 710-B (completed in 2012)</w:t>
            </w:r>
          </w:p>
        </w:tc>
        <w:tc>
          <w:tcPr>
            <w:tcW w:w="735" w:type="pct"/>
          </w:tcPr>
          <w:p w14:paraId="687A327A" w14:textId="21BBE912" w:rsidR="007823CE" w:rsidRPr="00533384" w:rsidRDefault="007823CE" w:rsidP="00703D5B">
            <w:pPr>
              <w:jc w:val="right"/>
              <w:rPr>
                <w:rFonts w:eastAsia="Calibri"/>
                <w:sz w:val="20"/>
                <w:szCs w:val="20"/>
              </w:rPr>
            </w:pPr>
            <w:r>
              <w:rPr>
                <w:rFonts w:eastAsia="Calibri"/>
                <w:sz w:val="20"/>
                <w:szCs w:val="20"/>
              </w:rPr>
              <w:t>84</w:t>
            </w:r>
          </w:p>
        </w:tc>
        <w:tc>
          <w:tcPr>
            <w:tcW w:w="735" w:type="pct"/>
          </w:tcPr>
          <w:p w14:paraId="32EF5261" w14:textId="12675887" w:rsidR="007823CE" w:rsidRPr="00533384" w:rsidRDefault="007823CE" w:rsidP="00703D5B">
            <w:pPr>
              <w:jc w:val="right"/>
              <w:rPr>
                <w:rFonts w:eastAsia="Calibri"/>
                <w:sz w:val="20"/>
                <w:szCs w:val="20"/>
              </w:rPr>
            </w:pPr>
            <w:r>
              <w:rPr>
                <w:rFonts w:eastAsia="Calibri"/>
                <w:sz w:val="20"/>
                <w:szCs w:val="20"/>
              </w:rPr>
              <w:t>84</w:t>
            </w:r>
          </w:p>
        </w:tc>
        <w:tc>
          <w:tcPr>
            <w:tcW w:w="693" w:type="pct"/>
          </w:tcPr>
          <w:p w14:paraId="223827D6" w14:textId="1234E5FA" w:rsidR="007823CE" w:rsidRPr="00533384" w:rsidRDefault="007823CE" w:rsidP="00703D5B">
            <w:pPr>
              <w:jc w:val="right"/>
              <w:rPr>
                <w:rFonts w:eastAsia="Calibri"/>
                <w:sz w:val="20"/>
                <w:szCs w:val="20"/>
              </w:rPr>
            </w:pPr>
            <w:r>
              <w:rPr>
                <w:rFonts w:eastAsia="Calibri"/>
                <w:sz w:val="20"/>
                <w:szCs w:val="20"/>
              </w:rPr>
              <w:t>84</w:t>
            </w:r>
          </w:p>
        </w:tc>
        <w:tc>
          <w:tcPr>
            <w:tcW w:w="644" w:type="pct"/>
          </w:tcPr>
          <w:p w14:paraId="4CE29946" w14:textId="1E288F9E" w:rsidR="007823CE" w:rsidRDefault="007823CE" w:rsidP="00703D5B">
            <w:pPr>
              <w:jc w:val="right"/>
              <w:rPr>
                <w:rFonts w:eastAsia="Calibri"/>
                <w:sz w:val="20"/>
                <w:szCs w:val="20"/>
              </w:rPr>
            </w:pPr>
            <w:r>
              <w:rPr>
                <w:rFonts w:eastAsia="Calibri"/>
                <w:sz w:val="20"/>
                <w:szCs w:val="20"/>
              </w:rPr>
              <w:t>80</w:t>
            </w:r>
          </w:p>
          <w:p w14:paraId="5F5CF2FD" w14:textId="2F7AB9C1" w:rsidR="007823CE" w:rsidRPr="00533384" w:rsidRDefault="007823CE" w:rsidP="00703D5B">
            <w:pPr>
              <w:jc w:val="right"/>
              <w:rPr>
                <w:rFonts w:eastAsia="Calibri"/>
                <w:sz w:val="20"/>
                <w:szCs w:val="20"/>
              </w:rPr>
            </w:pPr>
            <w:r>
              <w:rPr>
                <w:rFonts w:eastAsia="Calibri"/>
                <w:sz w:val="20"/>
                <w:szCs w:val="20"/>
              </w:rPr>
              <w:t>$</w:t>
            </w:r>
            <w:r w:rsidR="00516681">
              <w:rPr>
                <w:rFonts w:eastAsia="Calibri"/>
                <w:sz w:val="20"/>
                <w:szCs w:val="20"/>
              </w:rPr>
              <w:t>9,600</w:t>
            </w:r>
          </w:p>
        </w:tc>
        <w:tc>
          <w:tcPr>
            <w:tcW w:w="647" w:type="pct"/>
          </w:tcPr>
          <w:p w14:paraId="3621B61F" w14:textId="6F6BE818" w:rsidR="007823CE" w:rsidRDefault="007823CE" w:rsidP="00703D5B">
            <w:pPr>
              <w:jc w:val="right"/>
              <w:rPr>
                <w:rFonts w:eastAsia="Calibri"/>
                <w:sz w:val="20"/>
                <w:szCs w:val="20"/>
              </w:rPr>
            </w:pPr>
            <w:r>
              <w:rPr>
                <w:rFonts w:eastAsia="Calibri"/>
                <w:sz w:val="20"/>
                <w:szCs w:val="20"/>
              </w:rPr>
              <w:t>6,720</w:t>
            </w:r>
          </w:p>
          <w:p w14:paraId="0BE2C13C" w14:textId="19B3CE1E" w:rsidR="00516681" w:rsidRPr="00533384" w:rsidRDefault="00516681" w:rsidP="00703D5B">
            <w:pPr>
              <w:jc w:val="right"/>
              <w:rPr>
                <w:rFonts w:eastAsia="Calibri"/>
                <w:sz w:val="20"/>
                <w:szCs w:val="20"/>
              </w:rPr>
            </w:pPr>
            <w:r>
              <w:rPr>
                <w:rFonts w:eastAsia="Calibri"/>
                <w:sz w:val="20"/>
                <w:szCs w:val="20"/>
              </w:rPr>
              <w:t>$806,400</w:t>
            </w:r>
          </w:p>
        </w:tc>
        <w:tc>
          <w:tcPr>
            <w:tcW w:w="680" w:type="pct"/>
          </w:tcPr>
          <w:p w14:paraId="151BCECD" w14:textId="0E179D9B" w:rsidR="007823CE" w:rsidRPr="00533384" w:rsidRDefault="00516681" w:rsidP="00703D5B">
            <w:pPr>
              <w:jc w:val="right"/>
              <w:rPr>
                <w:rFonts w:eastAsia="Calibri"/>
                <w:sz w:val="20"/>
                <w:szCs w:val="20"/>
              </w:rPr>
            </w:pPr>
            <w:r>
              <w:rPr>
                <w:rFonts w:eastAsia="Calibri"/>
                <w:sz w:val="20"/>
                <w:szCs w:val="20"/>
              </w:rPr>
              <w:t>$9,600</w:t>
            </w:r>
          </w:p>
        </w:tc>
      </w:tr>
      <w:tr w:rsidR="007E617F" w:rsidRPr="00533384" w14:paraId="2D8BA167" w14:textId="77777777" w:rsidTr="00703D5B">
        <w:trPr>
          <w:cantSplit/>
          <w:trHeight w:val="485"/>
        </w:trPr>
        <w:tc>
          <w:tcPr>
            <w:tcW w:w="866" w:type="pct"/>
            <w:tcBorders>
              <w:bottom w:val="single" w:sz="4" w:space="0" w:color="auto"/>
            </w:tcBorders>
          </w:tcPr>
          <w:p w14:paraId="473E3DEC" w14:textId="63E9E9E9" w:rsidR="007E617F" w:rsidRPr="00533384" w:rsidRDefault="007E617F" w:rsidP="00703D5B">
            <w:pPr>
              <w:rPr>
                <w:rFonts w:eastAsia="Calibri"/>
                <w:b/>
                <w:sz w:val="20"/>
                <w:szCs w:val="20"/>
              </w:rPr>
            </w:pPr>
            <w:r w:rsidRPr="00533384">
              <w:rPr>
                <w:rFonts w:eastAsia="Calibri"/>
                <w:b/>
                <w:sz w:val="20"/>
                <w:szCs w:val="20"/>
              </w:rPr>
              <w:t>TOTAL</w:t>
            </w:r>
          </w:p>
        </w:tc>
        <w:tc>
          <w:tcPr>
            <w:tcW w:w="1470" w:type="pct"/>
            <w:gridSpan w:val="2"/>
            <w:tcBorders>
              <w:bottom w:val="single" w:sz="4" w:space="0" w:color="auto"/>
            </w:tcBorders>
            <w:shd w:val="clear" w:color="auto" w:fill="D9D9D9"/>
          </w:tcPr>
          <w:p w14:paraId="39DA4E97" w14:textId="77777777" w:rsidR="007E617F" w:rsidRPr="00533384" w:rsidRDefault="007E617F" w:rsidP="00703D5B">
            <w:pPr>
              <w:jc w:val="right"/>
              <w:rPr>
                <w:rFonts w:eastAsia="Calibri"/>
                <w:sz w:val="20"/>
                <w:szCs w:val="20"/>
              </w:rPr>
            </w:pPr>
          </w:p>
        </w:tc>
        <w:tc>
          <w:tcPr>
            <w:tcW w:w="693" w:type="pct"/>
            <w:tcBorders>
              <w:bottom w:val="single" w:sz="4" w:space="0" w:color="auto"/>
            </w:tcBorders>
            <w:shd w:val="clear" w:color="auto" w:fill="auto"/>
          </w:tcPr>
          <w:p w14:paraId="0705D81E" w14:textId="7FAB2651" w:rsidR="007E617F" w:rsidRPr="00533384" w:rsidRDefault="007823CE" w:rsidP="00703D5B">
            <w:pPr>
              <w:jc w:val="right"/>
              <w:rPr>
                <w:rFonts w:eastAsia="Calibri"/>
                <w:b/>
                <w:sz w:val="20"/>
                <w:szCs w:val="20"/>
              </w:rPr>
            </w:pPr>
            <w:r>
              <w:rPr>
                <w:rFonts w:eastAsia="Calibri"/>
                <w:b/>
                <w:sz w:val="20"/>
                <w:szCs w:val="20"/>
              </w:rPr>
              <w:t>168</w:t>
            </w:r>
          </w:p>
        </w:tc>
        <w:tc>
          <w:tcPr>
            <w:tcW w:w="644" w:type="pct"/>
            <w:tcBorders>
              <w:bottom w:val="single" w:sz="4" w:space="0" w:color="auto"/>
            </w:tcBorders>
            <w:shd w:val="clear" w:color="auto" w:fill="D9D9D9"/>
          </w:tcPr>
          <w:p w14:paraId="0640A189" w14:textId="77777777" w:rsidR="007E617F" w:rsidRPr="00533384" w:rsidRDefault="007E617F" w:rsidP="00703D5B">
            <w:pPr>
              <w:jc w:val="right"/>
              <w:rPr>
                <w:rFonts w:eastAsia="Calibri"/>
                <w:sz w:val="20"/>
                <w:szCs w:val="20"/>
              </w:rPr>
            </w:pPr>
          </w:p>
        </w:tc>
        <w:tc>
          <w:tcPr>
            <w:tcW w:w="647" w:type="pct"/>
            <w:tcBorders>
              <w:bottom w:val="single" w:sz="4" w:space="0" w:color="auto"/>
            </w:tcBorders>
          </w:tcPr>
          <w:p w14:paraId="7881C5CE" w14:textId="2694ED08" w:rsidR="007E617F" w:rsidRPr="00533384" w:rsidRDefault="00967C4C" w:rsidP="00703D5B">
            <w:pPr>
              <w:jc w:val="right"/>
              <w:rPr>
                <w:rFonts w:eastAsia="Calibri"/>
                <w:b/>
                <w:sz w:val="20"/>
                <w:szCs w:val="20"/>
              </w:rPr>
            </w:pPr>
            <w:r>
              <w:rPr>
                <w:rFonts w:eastAsia="Calibri"/>
                <w:b/>
                <w:sz w:val="20"/>
                <w:szCs w:val="20"/>
              </w:rPr>
              <w:t>143,556</w:t>
            </w:r>
          </w:p>
          <w:p w14:paraId="258E6327" w14:textId="5F9C0650" w:rsidR="007E617F" w:rsidRPr="00533384" w:rsidRDefault="007E617F" w:rsidP="00F23BE9">
            <w:pPr>
              <w:jc w:val="right"/>
              <w:rPr>
                <w:rFonts w:eastAsia="Calibri"/>
                <w:b/>
                <w:sz w:val="20"/>
                <w:szCs w:val="20"/>
              </w:rPr>
            </w:pPr>
            <w:r w:rsidRPr="00533384">
              <w:rPr>
                <w:rFonts w:eastAsia="Calibri"/>
                <w:b/>
                <w:sz w:val="20"/>
                <w:szCs w:val="20"/>
              </w:rPr>
              <w:t>$</w:t>
            </w:r>
            <w:r w:rsidR="00967C4C">
              <w:rPr>
                <w:rFonts w:eastAsia="Calibri"/>
                <w:b/>
                <w:sz w:val="20"/>
                <w:szCs w:val="20"/>
              </w:rPr>
              <w:t>17,226,720</w:t>
            </w:r>
          </w:p>
        </w:tc>
        <w:tc>
          <w:tcPr>
            <w:tcW w:w="680" w:type="pct"/>
            <w:tcBorders>
              <w:bottom w:val="single" w:sz="4" w:space="0" w:color="auto"/>
            </w:tcBorders>
          </w:tcPr>
          <w:p w14:paraId="627E979F" w14:textId="76B24B17" w:rsidR="007E617F" w:rsidRPr="00533384" w:rsidRDefault="007E617F" w:rsidP="00967C4C">
            <w:pPr>
              <w:jc w:val="right"/>
              <w:rPr>
                <w:rFonts w:eastAsia="Calibri"/>
                <w:b/>
                <w:sz w:val="20"/>
                <w:szCs w:val="20"/>
              </w:rPr>
            </w:pPr>
            <w:r w:rsidRPr="00533384">
              <w:rPr>
                <w:rFonts w:eastAsia="Calibri"/>
                <w:b/>
                <w:sz w:val="20"/>
                <w:szCs w:val="20"/>
              </w:rPr>
              <w:t>$</w:t>
            </w:r>
            <w:r w:rsidR="00967C4C">
              <w:rPr>
                <w:rFonts w:eastAsia="Calibri"/>
                <w:b/>
                <w:sz w:val="20"/>
                <w:szCs w:val="20"/>
              </w:rPr>
              <w:t>205,080</w:t>
            </w:r>
          </w:p>
        </w:tc>
      </w:tr>
    </w:tbl>
    <w:p w14:paraId="7A46007C" w14:textId="19B21234" w:rsidR="009C7BBD" w:rsidRDefault="0076534C">
      <w:pPr>
        <w:widowControl/>
        <w:rPr>
          <w:sz w:val="26"/>
          <w:szCs w:val="26"/>
        </w:rPr>
      </w:pPr>
      <w:r>
        <w:rPr>
          <w:b/>
          <w:bCs/>
          <w:sz w:val="26"/>
          <w:szCs w:val="26"/>
        </w:rPr>
        <w:t xml:space="preserve">                      </w:t>
      </w:r>
      <w:r>
        <w:rPr>
          <w:b/>
          <w:bCs/>
          <w:sz w:val="26"/>
          <w:szCs w:val="26"/>
        </w:rPr>
        <w:tab/>
      </w:r>
      <w:r>
        <w:rPr>
          <w:b/>
          <w:bCs/>
          <w:sz w:val="26"/>
          <w:szCs w:val="26"/>
        </w:rPr>
        <w:tab/>
      </w:r>
      <w:r w:rsidR="002D2677">
        <w:rPr>
          <w:b/>
          <w:bCs/>
          <w:sz w:val="26"/>
          <w:szCs w:val="26"/>
        </w:rPr>
        <w:t xml:space="preserve">      </w:t>
      </w:r>
    </w:p>
    <w:p w14:paraId="3B87D3CC" w14:textId="77777777" w:rsidR="0076534C" w:rsidRDefault="0076534C">
      <w:pPr>
        <w:widowControl/>
        <w:rPr>
          <w:sz w:val="26"/>
          <w:szCs w:val="26"/>
        </w:rPr>
      </w:pPr>
      <w:r>
        <w:rPr>
          <w:b/>
          <w:bCs/>
          <w:sz w:val="26"/>
          <w:szCs w:val="26"/>
        </w:rPr>
        <w:t xml:space="preserve">                  </w:t>
      </w:r>
      <w:r>
        <w:rPr>
          <w:b/>
          <w:bCs/>
          <w:sz w:val="26"/>
          <w:szCs w:val="26"/>
        </w:rPr>
        <w:tab/>
      </w:r>
      <w:r>
        <w:rPr>
          <w:b/>
          <w:bCs/>
          <w:sz w:val="26"/>
          <w:szCs w:val="26"/>
        </w:rPr>
        <w:tab/>
      </w:r>
      <w:r>
        <w:rPr>
          <w:b/>
          <w:bCs/>
          <w:sz w:val="26"/>
          <w:szCs w:val="26"/>
        </w:rPr>
        <w:tab/>
      </w:r>
    </w:p>
    <w:p w14:paraId="64D50B87" w14:textId="77777777" w:rsidR="0076534C" w:rsidRDefault="0076534C" w:rsidP="00231A37">
      <w:pPr>
        <w:widowControl/>
        <w:rPr>
          <w:b/>
          <w:bCs/>
          <w:sz w:val="26"/>
          <w:szCs w:val="26"/>
        </w:rPr>
      </w:pPr>
      <w:r w:rsidRPr="00000D84">
        <w:rPr>
          <w:b/>
          <w:sz w:val="26"/>
          <w:szCs w:val="26"/>
        </w:rPr>
        <w:t>13.</w:t>
      </w:r>
      <w:r>
        <w:rPr>
          <w:sz w:val="26"/>
          <w:szCs w:val="26"/>
        </w:rPr>
        <w:t xml:space="preserve">  </w:t>
      </w:r>
      <w:r>
        <w:rPr>
          <w:b/>
          <w:bCs/>
          <w:sz w:val="26"/>
          <w:szCs w:val="26"/>
        </w:rPr>
        <w:t>ESTIMATE OF THE TOTAL ANNUAL COST BURDEN TO RESPONDENTS</w:t>
      </w:r>
    </w:p>
    <w:p w14:paraId="5C2832C0" w14:textId="77777777" w:rsidR="0076534C" w:rsidRDefault="0076534C">
      <w:pPr>
        <w:widowControl/>
        <w:rPr>
          <w:b/>
          <w:bCs/>
          <w:sz w:val="26"/>
          <w:szCs w:val="26"/>
        </w:rPr>
      </w:pPr>
    </w:p>
    <w:p w14:paraId="3F6BA52A" w14:textId="4876C3B4" w:rsidR="0097750D" w:rsidRDefault="00EC2EC3" w:rsidP="00231A37">
      <w:pPr>
        <w:widowControl/>
        <w:rPr>
          <w:sz w:val="26"/>
          <w:szCs w:val="26"/>
        </w:rPr>
      </w:pPr>
      <w:r>
        <w:rPr>
          <w:sz w:val="26"/>
          <w:szCs w:val="26"/>
        </w:rPr>
        <w:t>There are no capital, start-up, or any other non-l</w:t>
      </w:r>
      <w:r w:rsidR="008B7748">
        <w:rPr>
          <w:sz w:val="26"/>
          <w:szCs w:val="26"/>
        </w:rPr>
        <w:t>abor costs associated with this information collection</w:t>
      </w:r>
      <w:r>
        <w:rPr>
          <w:sz w:val="26"/>
          <w:szCs w:val="26"/>
        </w:rPr>
        <w:t>.</w:t>
      </w:r>
      <w:r w:rsidR="00C92230">
        <w:rPr>
          <w:sz w:val="26"/>
          <w:szCs w:val="26"/>
        </w:rPr>
        <w:tab/>
      </w:r>
    </w:p>
    <w:p w14:paraId="1FAC228A" w14:textId="77777777" w:rsidR="00E05C79" w:rsidRDefault="00E05C79">
      <w:pPr>
        <w:widowControl/>
        <w:rPr>
          <w:sz w:val="26"/>
          <w:szCs w:val="26"/>
        </w:rPr>
      </w:pPr>
    </w:p>
    <w:p w14:paraId="29B5B94A" w14:textId="77777777" w:rsidR="0076534C" w:rsidRDefault="0076534C" w:rsidP="00231A37">
      <w:pPr>
        <w:widowControl/>
        <w:numPr>
          <w:ilvl w:val="0"/>
          <w:numId w:val="7"/>
        </w:numPr>
        <w:tabs>
          <w:tab w:val="clear" w:pos="1170"/>
          <w:tab w:val="num" w:pos="450"/>
        </w:tabs>
        <w:ind w:left="450"/>
        <w:rPr>
          <w:b/>
          <w:bCs/>
          <w:sz w:val="26"/>
          <w:szCs w:val="26"/>
        </w:rPr>
      </w:pPr>
      <w:r>
        <w:rPr>
          <w:b/>
          <w:bCs/>
          <w:sz w:val="26"/>
          <w:szCs w:val="26"/>
        </w:rPr>
        <w:t>ESTIMATED ANNUALIZED COST TO FEDERAL GOVERNMENT</w:t>
      </w:r>
    </w:p>
    <w:p w14:paraId="3B92055A" w14:textId="77777777" w:rsidR="00030EDA" w:rsidRDefault="00030EDA" w:rsidP="00030EDA">
      <w:pPr>
        <w:widowControl/>
        <w:rPr>
          <w:b/>
          <w:bCs/>
          <w:sz w:val="26"/>
          <w:szCs w:val="26"/>
        </w:rPr>
      </w:pPr>
    </w:p>
    <w:p w14:paraId="4FCBB52E" w14:textId="6F8365E8" w:rsidR="00000D84" w:rsidRPr="00000D84" w:rsidRDefault="00917F7D" w:rsidP="00030EDA">
      <w:pPr>
        <w:widowControl/>
        <w:rPr>
          <w:bCs/>
          <w:sz w:val="26"/>
          <w:szCs w:val="26"/>
        </w:rPr>
      </w:pPr>
      <w:r>
        <w:rPr>
          <w:bCs/>
          <w:sz w:val="26"/>
          <w:szCs w:val="26"/>
        </w:rPr>
        <w:t xml:space="preserve">The following </w:t>
      </w:r>
      <w:r w:rsidR="00000D84">
        <w:rPr>
          <w:bCs/>
          <w:sz w:val="26"/>
          <w:szCs w:val="26"/>
        </w:rPr>
        <w:t>table show</w:t>
      </w:r>
      <w:r>
        <w:rPr>
          <w:bCs/>
          <w:sz w:val="26"/>
          <w:szCs w:val="26"/>
        </w:rPr>
        <w:t>s</w:t>
      </w:r>
      <w:r w:rsidR="00000D84">
        <w:rPr>
          <w:bCs/>
          <w:sz w:val="26"/>
          <w:szCs w:val="26"/>
        </w:rPr>
        <w:t xml:space="preserve"> the annualized cost to the Federal </w:t>
      </w:r>
      <w:r>
        <w:rPr>
          <w:bCs/>
          <w:sz w:val="26"/>
          <w:szCs w:val="26"/>
        </w:rPr>
        <w:t xml:space="preserve">Government to run the Form </w:t>
      </w:r>
      <w:r w:rsidR="00727DC8">
        <w:rPr>
          <w:bCs/>
          <w:sz w:val="26"/>
          <w:szCs w:val="26"/>
        </w:rPr>
        <w:t xml:space="preserve">No. </w:t>
      </w:r>
      <w:r>
        <w:rPr>
          <w:bCs/>
          <w:sz w:val="26"/>
          <w:szCs w:val="26"/>
        </w:rPr>
        <w:t>2</w:t>
      </w:r>
      <w:r w:rsidR="00000D84">
        <w:rPr>
          <w:bCs/>
          <w:sz w:val="26"/>
          <w:szCs w:val="26"/>
        </w:rPr>
        <w:t xml:space="preserve"> data collection program. </w:t>
      </w:r>
    </w:p>
    <w:p w14:paraId="54F27D60" w14:textId="77777777" w:rsidR="00000D84" w:rsidRDefault="00000D84" w:rsidP="00030EDA">
      <w:pPr>
        <w:widowControl/>
        <w:rPr>
          <w:b/>
          <w:bCs/>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EC2EC3" w:rsidRPr="00A276F5" w14:paraId="1F8AC534" w14:textId="77777777" w:rsidTr="00EC2EC3">
        <w:tc>
          <w:tcPr>
            <w:tcW w:w="3182" w:type="dxa"/>
            <w:shd w:val="clear" w:color="auto" w:fill="CCCCCC"/>
          </w:tcPr>
          <w:p w14:paraId="7EB57B7D" w14:textId="1EE9709E" w:rsidR="00EC2EC3" w:rsidRPr="00EC2EC3" w:rsidRDefault="00EC2EC3" w:rsidP="00EC2EC3">
            <w:pPr>
              <w:rPr>
                <w:b/>
              </w:rPr>
            </w:pPr>
            <w:r w:rsidRPr="00EC2EC3">
              <w:rPr>
                <w:b/>
              </w:rPr>
              <w:t xml:space="preserve">FERC Form </w:t>
            </w:r>
            <w:r w:rsidR="00727DC8">
              <w:rPr>
                <w:b/>
              </w:rPr>
              <w:t xml:space="preserve">No. </w:t>
            </w:r>
            <w:r w:rsidRPr="00EC2EC3">
              <w:rPr>
                <w:b/>
              </w:rPr>
              <w:t>2</w:t>
            </w:r>
          </w:p>
        </w:tc>
        <w:tc>
          <w:tcPr>
            <w:tcW w:w="3201" w:type="dxa"/>
            <w:shd w:val="clear" w:color="auto" w:fill="CCCCCC"/>
          </w:tcPr>
          <w:p w14:paraId="17DAABD3" w14:textId="6B834CE6" w:rsidR="00122302" w:rsidRDefault="00EC2EC3" w:rsidP="00122302">
            <w:pPr>
              <w:widowControl/>
              <w:autoSpaceDE/>
              <w:autoSpaceDN/>
              <w:adjustRightInd/>
            </w:pPr>
            <w:r w:rsidRPr="00A276F5">
              <w:rPr>
                <w:b/>
              </w:rPr>
              <w:t>Number of Employees (FTEs)</w:t>
            </w:r>
            <w:r w:rsidR="00122302">
              <w:rPr>
                <w:rStyle w:val="FootnoteReference"/>
                <w:bCs/>
                <w:sz w:val="26"/>
                <w:szCs w:val="26"/>
                <w:vertAlign w:val="superscript"/>
              </w:rPr>
              <w:footnoteReference w:id="6"/>
            </w:r>
            <w:r w:rsidR="00122302">
              <w:t xml:space="preserve"> </w:t>
            </w:r>
          </w:p>
          <w:p w14:paraId="134F691E" w14:textId="2CF4C555" w:rsidR="00EC2EC3" w:rsidRPr="00A276F5" w:rsidRDefault="00EC2EC3" w:rsidP="00EC2EC3">
            <w:pPr>
              <w:rPr>
                <w:b/>
              </w:rPr>
            </w:pPr>
          </w:p>
        </w:tc>
        <w:tc>
          <w:tcPr>
            <w:tcW w:w="2995" w:type="dxa"/>
            <w:shd w:val="clear" w:color="auto" w:fill="CCCCCC"/>
          </w:tcPr>
          <w:p w14:paraId="68805D5E" w14:textId="77777777" w:rsidR="00EC2EC3" w:rsidRPr="00A276F5" w:rsidRDefault="00EC2EC3" w:rsidP="00EC2EC3">
            <w:pPr>
              <w:rPr>
                <w:b/>
              </w:rPr>
            </w:pPr>
            <w:r w:rsidRPr="00A276F5">
              <w:rPr>
                <w:b/>
              </w:rPr>
              <w:t>Estimated Annual Federal Cost</w:t>
            </w:r>
          </w:p>
        </w:tc>
      </w:tr>
      <w:tr w:rsidR="00EC2EC3" w:rsidRPr="00A276F5" w14:paraId="3F8C4165" w14:textId="77777777" w:rsidTr="00EC2EC3">
        <w:tc>
          <w:tcPr>
            <w:tcW w:w="3182" w:type="dxa"/>
            <w:shd w:val="clear" w:color="auto" w:fill="auto"/>
          </w:tcPr>
          <w:p w14:paraId="29BC1E81" w14:textId="77777777" w:rsidR="00EC2EC3" w:rsidRPr="00A276F5" w:rsidRDefault="00EC2EC3" w:rsidP="00EC2EC3">
            <w:r w:rsidRPr="00A276F5">
              <w:lastRenderedPageBreak/>
              <w:t>Analysis and Processing of filings</w:t>
            </w:r>
            <w:r w:rsidRPr="00A276F5">
              <w:rPr>
                <w:rStyle w:val="FootnoteReference"/>
                <w:vertAlign w:val="superscript"/>
              </w:rPr>
              <w:footnoteReference w:id="7"/>
            </w:r>
          </w:p>
        </w:tc>
        <w:tc>
          <w:tcPr>
            <w:tcW w:w="3201" w:type="dxa"/>
            <w:tcBorders>
              <w:bottom w:val="single" w:sz="4" w:space="0" w:color="auto"/>
            </w:tcBorders>
            <w:shd w:val="clear" w:color="auto" w:fill="auto"/>
            <w:vAlign w:val="center"/>
          </w:tcPr>
          <w:p w14:paraId="30EB00B3" w14:textId="6FA8DC57" w:rsidR="00EC2EC3" w:rsidRPr="00A276F5" w:rsidRDefault="00122302" w:rsidP="00EC2EC3">
            <w:pPr>
              <w:jc w:val="right"/>
            </w:pPr>
            <w:r>
              <w:t>0.84</w:t>
            </w:r>
          </w:p>
        </w:tc>
        <w:tc>
          <w:tcPr>
            <w:tcW w:w="2995" w:type="dxa"/>
            <w:shd w:val="clear" w:color="auto" w:fill="auto"/>
            <w:vAlign w:val="center"/>
          </w:tcPr>
          <w:p w14:paraId="42869198" w14:textId="4707A32D" w:rsidR="00EC2EC3" w:rsidRPr="00A276F5" w:rsidRDefault="00EC2EC3" w:rsidP="00122302">
            <w:pPr>
              <w:jc w:val="right"/>
            </w:pPr>
            <w:r>
              <w:t>$</w:t>
            </w:r>
            <w:r w:rsidR="00122302">
              <w:t>123,136</w:t>
            </w:r>
          </w:p>
        </w:tc>
      </w:tr>
      <w:tr w:rsidR="00EC2EC3" w:rsidRPr="00A276F5" w14:paraId="4679FB94" w14:textId="77777777" w:rsidTr="00EC2EC3">
        <w:tc>
          <w:tcPr>
            <w:tcW w:w="3182" w:type="dxa"/>
            <w:shd w:val="clear" w:color="auto" w:fill="auto"/>
          </w:tcPr>
          <w:p w14:paraId="02B59CFB" w14:textId="77777777" w:rsidR="00EC2EC3" w:rsidRPr="00A276F5" w:rsidRDefault="00EC2EC3" w:rsidP="00EC2EC3">
            <w:r>
              <w:t>PRA</w:t>
            </w:r>
            <w:r w:rsidRPr="00EF21B5">
              <w:rPr>
                <w:rStyle w:val="FootnoteReference"/>
                <w:vertAlign w:val="superscript"/>
              </w:rPr>
              <w:footnoteReference w:id="8"/>
            </w:r>
            <w:r>
              <w:t xml:space="preserve"> Administrative Cost</w:t>
            </w:r>
            <w:r w:rsidRPr="000B783F">
              <w:rPr>
                <w:rStyle w:val="FootnoteReference"/>
                <w:vertAlign w:val="superscript"/>
              </w:rPr>
              <w:footnoteReference w:id="9"/>
            </w:r>
          </w:p>
        </w:tc>
        <w:tc>
          <w:tcPr>
            <w:tcW w:w="3201" w:type="dxa"/>
            <w:vMerge w:val="restart"/>
            <w:shd w:val="clear" w:color="auto" w:fill="D9D9D9" w:themeFill="background1" w:themeFillShade="D9"/>
            <w:vAlign w:val="center"/>
          </w:tcPr>
          <w:p w14:paraId="0C540222" w14:textId="77777777" w:rsidR="00EC2EC3" w:rsidRPr="00A276F5" w:rsidRDefault="00EC2EC3" w:rsidP="00EC2EC3">
            <w:pPr>
              <w:jc w:val="right"/>
            </w:pPr>
          </w:p>
        </w:tc>
        <w:tc>
          <w:tcPr>
            <w:tcW w:w="2995" w:type="dxa"/>
            <w:shd w:val="clear" w:color="auto" w:fill="auto"/>
            <w:vAlign w:val="center"/>
          </w:tcPr>
          <w:p w14:paraId="0DE287A2" w14:textId="7EAF8CB1" w:rsidR="00EC2EC3" w:rsidRPr="00A276F5" w:rsidRDefault="00EC2EC3" w:rsidP="00000D84">
            <w:pPr>
              <w:jc w:val="right"/>
            </w:pPr>
            <w:r>
              <w:t>$</w:t>
            </w:r>
            <w:r w:rsidR="00000D84">
              <w:t>5,092</w:t>
            </w:r>
          </w:p>
        </w:tc>
      </w:tr>
      <w:tr w:rsidR="00EC2EC3" w:rsidRPr="00A276F5" w14:paraId="3FA2BA5B" w14:textId="77777777" w:rsidTr="00EC2EC3">
        <w:tc>
          <w:tcPr>
            <w:tcW w:w="3182" w:type="dxa"/>
            <w:shd w:val="clear" w:color="auto" w:fill="auto"/>
          </w:tcPr>
          <w:p w14:paraId="50B52E06" w14:textId="77777777" w:rsidR="00EC2EC3" w:rsidRPr="00A276F5" w:rsidRDefault="00EC2EC3" w:rsidP="00EC2EC3">
            <w:pPr>
              <w:rPr>
                <w:b/>
              </w:rPr>
            </w:pPr>
            <w:r w:rsidRPr="00A276F5">
              <w:rPr>
                <w:b/>
              </w:rPr>
              <w:t>FERC Total</w:t>
            </w:r>
          </w:p>
        </w:tc>
        <w:tc>
          <w:tcPr>
            <w:tcW w:w="3201" w:type="dxa"/>
            <w:vMerge/>
            <w:shd w:val="clear" w:color="auto" w:fill="D9D9D9" w:themeFill="background1" w:themeFillShade="D9"/>
            <w:vAlign w:val="center"/>
          </w:tcPr>
          <w:p w14:paraId="51B388D3" w14:textId="77777777" w:rsidR="00EC2EC3" w:rsidRPr="00A276F5" w:rsidRDefault="00EC2EC3" w:rsidP="00EC2EC3">
            <w:pPr>
              <w:jc w:val="right"/>
            </w:pPr>
          </w:p>
        </w:tc>
        <w:tc>
          <w:tcPr>
            <w:tcW w:w="2995" w:type="dxa"/>
            <w:shd w:val="clear" w:color="auto" w:fill="auto"/>
            <w:vAlign w:val="center"/>
          </w:tcPr>
          <w:p w14:paraId="6F94EF06" w14:textId="5893273F" w:rsidR="00EC2EC3" w:rsidRPr="00A276F5" w:rsidRDefault="00EC2EC3" w:rsidP="00122302">
            <w:pPr>
              <w:jc w:val="right"/>
            </w:pPr>
            <w:r>
              <w:t>$</w:t>
            </w:r>
            <w:r w:rsidR="00122302">
              <w:t>128,228</w:t>
            </w:r>
          </w:p>
        </w:tc>
      </w:tr>
    </w:tbl>
    <w:p w14:paraId="18D60A08" w14:textId="77777777" w:rsidR="00EC2EC3" w:rsidRDefault="00EC2EC3" w:rsidP="00EC2EC3"/>
    <w:p w14:paraId="664BA2E8" w14:textId="77777777" w:rsidR="00EC2EC3" w:rsidRDefault="00EC2EC3" w:rsidP="00EC2EC3"/>
    <w:p w14:paraId="31D7FE51" w14:textId="77777777" w:rsidR="00EC2EC3" w:rsidRPr="00917F7D" w:rsidRDefault="00EC2EC3" w:rsidP="00EC2EC3">
      <w:pPr>
        <w:rPr>
          <w:sz w:val="26"/>
          <w:szCs w:val="26"/>
        </w:rPr>
      </w:pPr>
      <w:r w:rsidRPr="00917F7D">
        <w:rPr>
          <w:sz w:val="26"/>
          <w:szCs w:val="26"/>
        </w:rPr>
        <w:t>The Commission bases its estimate of the “Analysis and Processing of filings” cost to the Federal Government on salaries and benefits for professional and clerical support.  This estimated cost represents staff analysis, decision-making, and review of any actual filings submitted in response to the information collection.</w:t>
      </w:r>
    </w:p>
    <w:p w14:paraId="2CA20F5D" w14:textId="77777777" w:rsidR="0076534C" w:rsidRDefault="0076534C">
      <w:pPr>
        <w:widowControl/>
        <w:rPr>
          <w:b/>
          <w:bCs/>
          <w:sz w:val="26"/>
          <w:szCs w:val="26"/>
        </w:rPr>
      </w:pPr>
    </w:p>
    <w:p w14:paraId="603428B1" w14:textId="77777777" w:rsidR="0076534C" w:rsidRDefault="0076534C" w:rsidP="00231A37">
      <w:pPr>
        <w:widowControl/>
        <w:rPr>
          <w:b/>
          <w:bCs/>
          <w:sz w:val="26"/>
          <w:szCs w:val="26"/>
        </w:rPr>
      </w:pPr>
      <w:r w:rsidRPr="00000D84">
        <w:rPr>
          <w:b/>
          <w:sz w:val="26"/>
          <w:szCs w:val="26"/>
        </w:rPr>
        <w:t>15.</w:t>
      </w:r>
      <w:r>
        <w:rPr>
          <w:sz w:val="26"/>
          <w:szCs w:val="26"/>
        </w:rPr>
        <w:t xml:space="preserve">  </w:t>
      </w:r>
      <w:r>
        <w:rPr>
          <w:b/>
          <w:bCs/>
          <w:sz w:val="26"/>
          <w:szCs w:val="26"/>
        </w:rPr>
        <w:t>REASONS FOR CHANGES IN BURDEN I</w:t>
      </w:r>
      <w:r w:rsidR="004C5650">
        <w:rPr>
          <w:b/>
          <w:bCs/>
          <w:sz w:val="26"/>
          <w:szCs w:val="26"/>
        </w:rPr>
        <w:t>NCLUDING THE NEED F</w:t>
      </w:r>
      <w:r w:rsidR="00231A37">
        <w:rPr>
          <w:b/>
          <w:bCs/>
          <w:sz w:val="26"/>
          <w:szCs w:val="26"/>
        </w:rPr>
        <w:t xml:space="preserve">OR ANY </w:t>
      </w:r>
      <w:r>
        <w:rPr>
          <w:b/>
          <w:bCs/>
          <w:sz w:val="26"/>
          <w:szCs w:val="26"/>
        </w:rPr>
        <w:t>INCREASE</w:t>
      </w:r>
    </w:p>
    <w:p w14:paraId="4C09FA32" w14:textId="77777777" w:rsidR="0076534C" w:rsidRDefault="0076534C">
      <w:pPr>
        <w:widowControl/>
        <w:rPr>
          <w:b/>
          <w:bCs/>
          <w:sz w:val="26"/>
          <w:szCs w:val="26"/>
        </w:rPr>
      </w:pPr>
    </w:p>
    <w:p w14:paraId="6FA70B8D" w14:textId="49CF0686" w:rsidR="006426E6" w:rsidRDefault="00917F7D" w:rsidP="008801FE">
      <w:pPr>
        <w:widowControl/>
        <w:rPr>
          <w:bCs/>
          <w:color w:val="000000"/>
          <w:sz w:val="26"/>
          <w:szCs w:val="26"/>
        </w:rPr>
      </w:pPr>
      <w:bookmarkStart w:id="1" w:name="OLE_LINK1"/>
      <w:bookmarkStart w:id="2" w:name="OLE_LINK2"/>
      <w:r>
        <w:rPr>
          <w:bCs/>
          <w:color w:val="000000"/>
          <w:sz w:val="26"/>
          <w:szCs w:val="26"/>
        </w:rPr>
        <w:t>The FERC Form No.</w:t>
      </w:r>
      <w:r w:rsidR="006426E6">
        <w:rPr>
          <w:bCs/>
          <w:color w:val="000000"/>
          <w:sz w:val="26"/>
          <w:szCs w:val="26"/>
        </w:rPr>
        <w:t xml:space="preserve"> 2</w:t>
      </w:r>
      <w:r>
        <w:rPr>
          <w:bCs/>
          <w:color w:val="000000"/>
          <w:sz w:val="26"/>
          <w:szCs w:val="26"/>
        </w:rPr>
        <w:t xml:space="preserve"> </w:t>
      </w:r>
      <w:r w:rsidR="00824345">
        <w:rPr>
          <w:bCs/>
          <w:color w:val="000000"/>
          <w:sz w:val="26"/>
          <w:szCs w:val="26"/>
        </w:rPr>
        <w:t>ha</w:t>
      </w:r>
      <w:r>
        <w:rPr>
          <w:bCs/>
          <w:color w:val="000000"/>
          <w:sz w:val="26"/>
          <w:szCs w:val="26"/>
        </w:rPr>
        <w:t>s</w:t>
      </w:r>
      <w:r w:rsidR="00824345">
        <w:rPr>
          <w:bCs/>
          <w:color w:val="000000"/>
          <w:sz w:val="26"/>
          <w:szCs w:val="26"/>
        </w:rPr>
        <w:t xml:space="preserve"> not changed since the last time OMB reviewed th</w:t>
      </w:r>
      <w:r>
        <w:rPr>
          <w:bCs/>
          <w:color w:val="000000"/>
          <w:sz w:val="26"/>
          <w:szCs w:val="26"/>
        </w:rPr>
        <w:t>is</w:t>
      </w:r>
      <w:r w:rsidR="00824345">
        <w:rPr>
          <w:bCs/>
          <w:color w:val="000000"/>
          <w:sz w:val="26"/>
          <w:szCs w:val="26"/>
        </w:rPr>
        <w:t xml:space="preserve"> collection.  </w:t>
      </w:r>
    </w:p>
    <w:p w14:paraId="1DC4567E" w14:textId="77777777" w:rsidR="00824345" w:rsidRDefault="00824345" w:rsidP="008801FE">
      <w:pPr>
        <w:widowControl/>
        <w:rPr>
          <w:bCs/>
          <w:color w:val="000000"/>
          <w:sz w:val="26"/>
          <w:szCs w:val="26"/>
        </w:rPr>
      </w:pPr>
    </w:p>
    <w:p w14:paraId="03C3EC13" w14:textId="77777777" w:rsidR="00C7373A" w:rsidRDefault="00C7373A" w:rsidP="00C7373A">
      <w:pPr>
        <w:widowControl/>
        <w:rPr>
          <w:bCs/>
          <w:color w:val="000000"/>
          <w:sz w:val="26"/>
          <w:szCs w:val="26"/>
        </w:rPr>
      </w:pPr>
      <w:r>
        <w:rPr>
          <w:bCs/>
          <w:color w:val="000000"/>
          <w:sz w:val="26"/>
          <w:szCs w:val="26"/>
        </w:rPr>
        <w:t>The total estimated burden for this ICR follows:</w:t>
      </w:r>
    </w:p>
    <w:p w14:paraId="0E443C9E" w14:textId="77777777" w:rsidR="00C7373A" w:rsidRDefault="00C7373A" w:rsidP="00C7373A">
      <w:pPr>
        <w:widowControl/>
        <w:rPr>
          <w:bCs/>
          <w:color w:val="000000"/>
          <w:sz w:val="26"/>
          <w:szCs w:val="26"/>
        </w:rPr>
      </w:pP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8"/>
        <w:gridCol w:w="1610"/>
        <w:gridCol w:w="1610"/>
        <w:gridCol w:w="1517"/>
        <w:gridCol w:w="1411"/>
        <w:gridCol w:w="1418"/>
        <w:gridCol w:w="1327"/>
      </w:tblGrid>
      <w:tr w:rsidR="00C7373A" w:rsidRPr="00D77538" w14:paraId="24343DAA" w14:textId="77777777" w:rsidTr="008228DE">
        <w:trPr>
          <w:cantSplit/>
        </w:trPr>
        <w:tc>
          <w:tcPr>
            <w:tcW w:w="5000" w:type="pct"/>
            <w:gridSpan w:val="7"/>
            <w:tcBorders>
              <w:bottom w:val="single" w:sz="4" w:space="0" w:color="auto"/>
            </w:tcBorders>
            <w:shd w:val="clear" w:color="auto" w:fill="D9D9D9"/>
          </w:tcPr>
          <w:p w14:paraId="6AD63736" w14:textId="68E2FF43" w:rsidR="00C7373A" w:rsidRDefault="00C7373A" w:rsidP="008228DE">
            <w:pPr>
              <w:jc w:val="center"/>
              <w:rPr>
                <w:rFonts w:eastAsia="Calibri"/>
                <w:b/>
                <w:sz w:val="20"/>
                <w:szCs w:val="20"/>
              </w:rPr>
            </w:pPr>
            <w:r>
              <w:rPr>
                <w:rFonts w:eastAsia="Calibri"/>
                <w:b/>
                <w:sz w:val="20"/>
                <w:szCs w:val="20"/>
              </w:rPr>
              <w:t>FERC Form No. 2:</w:t>
            </w:r>
            <w:r w:rsidRPr="00F95268">
              <w:rPr>
                <w:rFonts w:eastAsia="Calibri"/>
                <w:b/>
                <w:sz w:val="20"/>
                <w:szCs w:val="20"/>
              </w:rPr>
              <w:t xml:space="preserve"> Annual Report of Major Natural Gas Companies</w:t>
            </w:r>
          </w:p>
          <w:p w14:paraId="37110D33" w14:textId="77777777" w:rsidR="00C7373A" w:rsidRPr="006A60CF" w:rsidRDefault="00C7373A" w:rsidP="00C7373A">
            <w:pPr>
              <w:rPr>
                <w:rFonts w:eastAsia="Calibri"/>
                <w:b/>
                <w:sz w:val="20"/>
                <w:szCs w:val="20"/>
              </w:rPr>
            </w:pPr>
          </w:p>
        </w:tc>
      </w:tr>
      <w:tr w:rsidR="00C7373A" w:rsidRPr="00D77538" w14:paraId="79553E9E" w14:textId="77777777" w:rsidTr="00C7373A">
        <w:trPr>
          <w:cantSplit/>
        </w:trPr>
        <w:tc>
          <w:tcPr>
            <w:tcW w:w="879" w:type="pct"/>
            <w:shd w:val="clear" w:color="auto" w:fill="D9D9D9"/>
          </w:tcPr>
          <w:p w14:paraId="032E57F6" w14:textId="77777777" w:rsidR="00C7373A" w:rsidRPr="006A60CF" w:rsidRDefault="00C7373A" w:rsidP="008228DE">
            <w:pPr>
              <w:jc w:val="center"/>
              <w:rPr>
                <w:rFonts w:eastAsia="Calibri"/>
                <w:b/>
                <w:sz w:val="20"/>
                <w:szCs w:val="20"/>
              </w:rPr>
            </w:pPr>
          </w:p>
        </w:tc>
        <w:tc>
          <w:tcPr>
            <w:tcW w:w="746" w:type="pct"/>
            <w:shd w:val="clear" w:color="auto" w:fill="D9D9D9"/>
            <w:vAlign w:val="bottom"/>
          </w:tcPr>
          <w:p w14:paraId="23F12A7F" w14:textId="77777777" w:rsidR="00C7373A" w:rsidRPr="006A60CF" w:rsidRDefault="00C7373A" w:rsidP="008228DE">
            <w:pPr>
              <w:jc w:val="center"/>
              <w:rPr>
                <w:rFonts w:eastAsia="Calibri"/>
                <w:b/>
                <w:sz w:val="20"/>
                <w:szCs w:val="20"/>
              </w:rPr>
            </w:pPr>
            <w:r w:rsidRPr="006A60CF">
              <w:rPr>
                <w:rFonts w:eastAsia="Calibri"/>
                <w:b/>
                <w:sz w:val="20"/>
                <w:szCs w:val="20"/>
              </w:rPr>
              <w:t>Number of Respondents</w:t>
            </w:r>
            <w:r w:rsidRPr="006A60CF">
              <w:rPr>
                <w:rFonts w:eastAsia="Calibri"/>
                <w:b/>
                <w:sz w:val="20"/>
                <w:szCs w:val="20"/>
              </w:rPr>
              <w:br/>
              <w:t>(1)</w:t>
            </w:r>
          </w:p>
        </w:tc>
        <w:tc>
          <w:tcPr>
            <w:tcW w:w="746" w:type="pct"/>
            <w:shd w:val="clear" w:color="auto" w:fill="D9D9D9"/>
            <w:vAlign w:val="bottom"/>
          </w:tcPr>
          <w:p w14:paraId="75F81178" w14:textId="77777777" w:rsidR="00C7373A" w:rsidRPr="006A60CF" w:rsidRDefault="00C7373A" w:rsidP="008228DE">
            <w:pPr>
              <w:jc w:val="center"/>
              <w:rPr>
                <w:rFonts w:eastAsia="Calibri"/>
                <w:b/>
                <w:sz w:val="20"/>
                <w:szCs w:val="20"/>
              </w:rPr>
            </w:pPr>
            <w:r w:rsidRPr="006A60CF">
              <w:rPr>
                <w:rFonts w:eastAsia="Calibri"/>
                <w:b/>
                <w:sz w:val="20"/>
                <w:szCs w:val="20"/>
              </w:rPr>
              <w:t>Annual Number of Responses per Respondent</w:t>
            </w:r>
          </w:p>
          <w:p w14:paraId="48C31670" w14:textId="77777777" w:rsidR="00C7373A" w:rsidRPr="006A60CF" w:rsidRDefault="00C7373A" w:rsidP="008228DE">
            <w:pPr>
              <w:jc w:val="center"/>
              <w:rPr>
                <w:rFonts w:eastAsia="Calibri"/>
                <w:b/>
                <w:sz w:val="20"/>
                <w:szCs w:val="20"/>
              </w:rPr>
            </w:pPr>
            <w:r w:rsidRPr="006A60CF">
              <w:rPr>
                <w:rFonts w:eastAsia="Calibri"/>
                <w:b/>
                <w:sz w:val="20"/>
                <w:szCs w:val="20"/>
              </w:rPr>
              <w:t>(2)</w:t>
            </w:r>
          </w:p>
        </w:tc>
        <w:tc>
          <w:tcPr>
            <w:tcW w:w="703" w:type="pct"/>
            <w:shd w:val="clear" w:color="auto" w:fill="D9D9D9"/>
            <w:vAlign w:val="bottom"/>
          </w:tcPr>
          <w:p w14:paraId="7F40AB9D" w14:textId="77777777" w:rsidR="00C7373A" w:rsidRPr="006A60CF" w:rsidRDefault="00C7373A" w:rsidP="008228DE">
            <w:pPr>
              <w:jc w:val="center"/>
              <w:rPr>
                <w:rFonts w:eastAsia="Calibri"/>
                <w:b/>
                <w:sz w:val="20"/>
                <w:szCs w:val="20"/>
              </w:rPr>
            </w:pPr>
            <w:r w:rsidRPr="006A60CF">
              <w:rPr>
                <w:rFonts w:eastAsia="Calibri"/>
                <w:b/>
                <w:sz w:val="20"/>
                <w:szCs w:val="20"/>
              </w:rPr>
              <w:t>Total Number of Responses (1)*(2)=(3)</w:t>
            </w:r>
          </w:p>
        </w:tc>
        <w:tc>
          <w:tcPr>
            <w:tcW w:w="654" w:type="pct"/>
            <w:shd w:val="clear" w:color="auto" w:fill="D9D9D9"/>
            <w:vAlign w:val="bottom"/>
          </w:tcPr>
          <w:p w14:paraId="6F049992" w14:textId="77777777" w:rsidR="00C7373A" w:rsidRPr="006A60CF" w:rsidRDefault="00C7373A" w:rsidP="008228DE">
            <w:pPr>
              <w:jc w:val="center"/>
              <w:rPr>
                <w:rFonts w:eastAsia="Calibri"/>
                <w:b/>
                <w:sz w:val="20"/>
                <w:szCs w:val="20"/>
              </w:rPr>
            </w:pPr>
            <w:r w:rsidRPr="006A60CF">
              <w:rPr>
                <w:rFonts w:eastAsia="Calibri"/>
                <w:b/>
                <w:sz w:val="20"/>
                <w:szCs w:val="20"/>
              </w:rPr>
              <w:t>Average Burden</w:t>
            </w:r>
            <w:r>
              <w:rPr>
                <w:rFonts w:eastAsia="Calibri"/>
                <w:b/>
                <w:sz w:val="20"/>
                <w:szCs w:val="20"/>
              </w:rPr>
              <w:t xml:space="preserve"> Hours &amp; </w:t>
            </w:r>
            <w:r w:rsidRPr="006A60CF">
              <w:rPr>
                <w:rFonts w:eastAsia="Calibri"/>
                <w:b/>
                <w:sz w:val="20"/>
                <w:szCs w:val="20"/>
              </w:rPr>
              <w:t>Cost Per Response</w:t>
            </w:r>
            <w:r w:rsidRPr="006A60CF">
              <w:rPr>
                <w:rFonts w:eastAsia="Calibri"/>
                <w:b/>
                <w:sz w:val="20"/>
                <w:szCs w:val="20"/>
                <w:vertAlign w:val="superscript"/>
              </w:rPr>
              <w:footnoteReference w:id="10"/>
            </w:r>
          </w:p>
          <w:p w14:paraId="1E8479D7" w14:textId="77777777" w:rsidR="00C7373A" w:rsidRPr="006A60CF" w:rsidRDefault="00C7373A" w:rsidP="008228DE">
            <w:pPr>
              <w:jc w:val="center"/>
              <w:rPr>
                <w:rFonts w:eastAsia="Calibri"/>
                <w:b/>
                <w:sz w:val="20"/>
                <w:szCs w:val="20"/>
              </w:rPr>
            </w:pPr>
            <w:r w:rsidRPr="006A60CF">
              <w:rPr>
                <w:rFonts w:eastAsia="Calibri"/>
                <w:b/>
                <w:sz w:val="20"/>
                <w:szCs w:val="20"/>
              </w:rPr>
              <w:t>(4)</w:t>
            </w:r>
          </w:p>
        </w:tc>
        <w:tc>
          <w:tcPr>
            <w:tcW w:w="657" w:type="pct"/>
            <w:shd w:val="clear" w:color="auto" w:fill="D9D9D9"/>
            <w:vAlign w:val="bottom"/>
          </w:tcPr>
          <w:p w14:paraId="5B42F410" w14:textId="77777777" w:rsidR="00C7373A" w:rsidRPr="006A60CF" w:rsidRDefault="00C7373A" w:rsidP="008228DE">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p>
          <w:p w14:paraId="3299E42D" w14:textId="77777777" w:rsidR="00C7373A" w:rsidRPr="006A60CF" w:rsidRDefault="00C7373A" w:rsidP="008228DE">
            <w:pPr>
              <w:jc w:val="center"/>
              <w:rPr>
                <w:rFonts w:eastAsia="Calibri"/>
                <w:b/>
                <w:sz w:val="20"/>
                <w:szCs w:val="20"/>
              </w:rPr>
            </w:pPr>
            <w:r w:rsidRPr="006A60CF">
              <w:rPr>
                <w:rFonts w:eastAsia="Calibri"/>
                <w:b/>
                <w:sz w:val="20"/>
                <w:szCs w:val="20"/>
              </w:rPr>
              <w:t>(3)*(4)=(5)</w:t>
            </w:r>
          </w:p>
        </w:tc>
        <w:tc>
          <w:tcPr>
            <w:tcW w:w="616" w:type="pct"/>
            <w:shd w:val="clear" w:color="auto" w:fill="D9D9D9"/>
            <w:vAlign w:val="bottom"/>
          </w:tcPr>
          <w:p w14:paraId="54D36E6F" w14:textId="77777777" w:rsidR="00C7373A" w:rsidRPr="006A60CF" w:rsidRDefault="00C7373A" w:rsidP="008228DE">
            <w:pPr>
              <w:jc w:val="center"/>
              <w:rPr>
                <w:rFonts w:eastAsia="Calibri"/>
                <w:b/>
                <w:sz w:val="20"/>
                <w:szCs w:val="20"/>
              </w:rPr>
            </w:pPr>
            <w:r w:rsidRPr="006A60CF">
              <w:rPr>
                <w:rFonts w:eastAsia="Calibri"/>
                <w:b/>
                <w:sz w:val="20"/>
                <w:szCs w:val="20"/>
              </w:rPr>
              <w:t>Cost per Respondent</w:t>
            </w:r>
          </w:p>
          <w:p w14:paraId="4E407B3B" w14:textId="77777777" w:rsidR="00C7373A" w:rsidRPr="006A60CF" w:rsidRDefault="00C7373A" w:rsidP="008228DE">
            <w:pPr>
              <w:jc w:val="center"/>
              <w:rPr>
                <w:rFonts w:eastAsia="Calibri"/>
                <w:b/>
                <w:sz w:val="20"/>
                <w:szCs w:val="20"/>
              </w:rPr>
            </w:pPr>
            <w:r w:rsidRPr="006A60CF">
              <w:rPr>
                <w:rFonts w:eastAsia="Calibri"/>
                <w:b/>
                <w:sz w:val="20"/>
                <w:szCs w:val="20"/>
              </w:rPr>
              <w:t xml:space="preserve"> ($)</w:t>
            </w:r>
          </w:p>
          <w:p w14:paraId="1AC45749" w14:textId="77777777" w:rsidR="00C7373A" w:rsidRPr="006A60CF" w:rsidRDefault="00C7373A" w:rsidP="008228DE">
            <w:pPr>
              <w:jc w:val="center"/>
              <w:rPr>
                <w:rFonts w:eastAsia="Calibri"/>
                <w:b/>
                <w:sz w:val="20"/>
                <w:szCs w:val="20"/>
              </w:rPr>
            </w:pPr>
            <w:r w:rsidRPr="006A60CF">
              <w:rPr>
                <w:rFonts w:eastAsia="Calibri"/>
                <w:b/>
                <w:sz w:val="20"/>
                <w:szCs w:val="20"/>
              </w:rPr>
              <w:t>(5)÷(1)</w:t>
            </w:r>
          </w:p>
        </w:tc>
      </w:tr>
      <w:tr w:rsidR="00C7373A" w:rsidRPr="00D77538" w14:paraId="06F7EABF" w14:textId="77777777" w:rsidTr="00C7373A">
        <w:trPr>
          <w:cantSplit/>
        </w:trPr>
        <w:tc>
          <w:tcPr>
            <w:tcW w:w="879" w:type="pct"/>
          </w:tcPr>
          <w:p w14:paraId="56502EF4" w14:textId="77777777" w:rsidR="00C7373A" w:rsidRPr="006A60CF" w:rsidRDefault="00C7373A" w:rsidP="008228DE">
            <w:pPr>
              <w:rPr>
                <w:rFonts w:eastAsia="Calibri"/>
                <w:sz w:val="20"/>
                <w:szCs w:val="20"/>
              </w:rPr>
            </w:pPr>
            <w:r>
              <w:rPr>
                <w:rFonts w:eastAsia="Calibri"/>
                <w:sz w:val="20"/>
                <w:szCs w:val="20"/>
              </w:rPr>
              <w:t>FERC Form No. 2</w:t>
            </w:r>
          </w:p>
        </w:tc>
        <w:tc>
          <w:tcPr>
            <w:tcW w:w="746" w:type="pct"/>
            <w:shd w:val="clear" w:color="auto" w:fill="auto"/>
          </w:tcPr>
          <w:p w14:paraId="5D2634B5" w14:textId="77777777" w:rsidR="00C7373A" w:rsidRPr="00811327" w:rsidRDefault="00C7373A" w:rsidP="008228DE">
            <w:pPr>
              <w:jc w:val="right"/>
              <w:rPr>
                <w:rFonts w:eastAsia="Calibri"/>
                <w:sz w:val="20"/>
                <w:szCs w:val="20"/>
              </w:rPr>
            </w:pPr>
            <w:r w:rsidRPr="00811327">
              <w:rPr>
                <w:rFonts w:eastAsia="Calibri"/>
                <w:sz w:val="20"/>
                <w:szCs w:val="20"/>
              </w:rPr>
              <w:t>92</w:t>
            </w:r>
          </w:p>
          <w:p w14:paraId="1DC0FD71" w14:textId="77777777" w:rsidR="00C7373A" w:rsidRPr="00811327" w:rsidRDefault="00C7373A" w:rsidP="008228DE">
            <w:pPr>
              <w:jc w:val="right"/>
              <w:rPr>
                <w:rFonts w:eastAsia="Calibri"/>
                <w:sz w:val="20"/>
                <w:szCs w:val="20"/>
              </w:rPr>
            </w:pPr>
          </w:p>
        </w:tc>
        <w:tc>
          <w:tcPr>
            <w:tcW w:w="746" w:type="pct"/>
            <w:shd w:val="clear" w:color="auto" w:fill="auto"/>
          </w:tcPr>
          <w:p w14:paraId="0FC78AEE" w14:textId="77777777" w:rsidR="00C7373A" w:rsidRPr="00811327" w:rsidRDefault="00C7373A" w:rsidP="008228DE">
            <w:pPr>
              <w:jc w:val="right"/>
              <w:rPr>
                <w:rFonts w:eastAsia="Calibri"/>
                <w:sz w:val="20"/>
                <w:szCs w:val="20"/>
              </w:rPr>
            </w:pPr>
            <w:r w:rsidRPr="00811327">
              <w:rPr>
                <w:rFonts w:eastAsia="Calibri"/>
                <w:sz w:val="20"/>
                <w:szCs w:val="20"/>
              </w:rPr>
              <w:t>1</w:t>
            </w:r>
          </w:p>
        </w:tc>
        <w:tc>
          <w:tcPr>
            <w:tcW w:w="703" w:type="pct"/>
            <w:shd w:val="clear" w:color="auto" w:fill="auto"/>
          </w:tcPr>
          <w:p w14:paraId="75298CBF" w14:textId="77777777" w:rsidR="00C7373A" w:rsidRPr="00811327" w:rsidRDefault="00C7373A" w:rsidP="008228DE">
            <w:pPr>
              <w:jc w:val="right"/>
              <w:rPr>
                <w:rFonts w:eastAsia="Calibri"/>
                <w:sz w:val="20"/>
                <w:szCs w:val="20"/>
              </w:rPr>
            </w:pPr>
            <w:r w:rsidRPr="00811327">
              <w:rPr>
                <w:rFonts w:eastAsia="Calibri"/>
                <w:sz w:val="20"/>
                <w:szCs w:val="20"/>
              </w:rPr>
              <w:t>92</w:t>
            </w:r>
          </w:p>
        </w:tc>
        <w:tc>
          <w:tcPr>
            <w:tcW w:w="654" w:type="pct"/>
            <w:shd w:val="clear" w:color="auto" w:fill="auto"/>
          </w:tcPr>
          <w:p w14:paraId="560975BE" w14:textId="77777777" w:rsidR="00C7373A" w:rsidRPr="00811327" w:rsidRDefault="00C7373A" w:rsidP="008228DE">
            <w:pPr>
              <w:jc w:val="right"/>
              <w:rPr>
                <w:rFonts w:eastAsia="Calibri"/>
                <w:sz w:val="20"/>
                <w:szCs w:val="20"/>
              </w:rPr>
            </w:pPr>
            <w:r w:rsidRPr="00811327">
              <w:rPr>
                <w:rFonts w:eastAsia="Calibri"/>
                <w:sz w:val="20"/>
                <w:szCs w:val="20"/>
              </w:rPr>
              <w:t>1,629</w:t>
            </w:r>
          </w:p>
          <w:p w14:paraId="43F6EBB1" w14:textId="77777777" w:rsidR="00C7373A" w:rsidRPr="00811327" w:rsidRDefault="00C7373A" w:rsidP="008228DE">
            <w:pPr>
              <w:jc w:val="right"/>
              <w:rPr>
                <w:rFonts w:eastAsia="Calibri"/>
                <w:sz w:val="20"/>
                <w:szCs w:val="20"/>
              </w:rPr>
            </w:pPr>
            <w:r w:rsidRPr="00811327">
              <w:rPr>
                <w:rFonts w:eastAsia="Calibri"/>
                <w:sz w:val="20"/>
                <w:szCs w:val="20"/>
              </w:rPr>
              <w:t>$114</w:t>
            </w:r>
            <w:r>
              <w:rPr>
                <w:rFonts w:eastAsia="Calibri"/>
                <w:sz w:val="20"/>
                <w:szCs w:val="20"/>
              </w:rPr>
              <w:t>,</w:t>
            </w:r>
            <w:r w:rsidRPr="00811327">
              <w:rPr>
                <w:rFonts w:eastAsia="Calibri"/>
                <w:sz w:val="20"/>
                <w:szCs w:val="20"/>
              </w:rPr>
              <w:t>844.5</w:t>
            </w:r>
            <w:r>
              <w:rPr>
                <w:rFonts w:eastAsia="Calibri"/>
                <w:sz w:val="20"/>
                <w:szCs w:val="20"/>
              </w:rPr>
              <w:t>0</w:t>
            </w:r>
          </w:p>
        </w:tc>
        <w:tc>
          <w:tcPr>
            <w:tcW w:w="657" w:type="pct"/>
            <w:shd w:val="clear" w:color="auto" w:fill="auto"/>
          </w:tcPr>
          <w:p w14:paraId="72BCADD4" w14:textId="77777777" w:rsidR="00C7373A" w:rsidRPr="00811327" w:rsidRDefault="00C7373A" w:rsidP="008228DE">
            <w:pPr>
              <w:jc w:val="right"/>
              <w:rPr>
                <w:rFonts w:eastAsia="Calibri"/>
                <w:sz w:val="20"/>
                <w:szCs w:val="20"/>
              </w:rPr>
            </w:pPr>
            <w:r w:rsidRPr="00811327">
              <w:rPr>
                <w:rFonts w:eastAsia="Calibri"/>
                <w:sz w:val="20"/>
                <w:szCs w:val="20"/>
              </w:rPr>
              <w:t xml:space="preserve"> 149,868</w:t>
            </w:r>
          </w:p>
          <w:p w14:paraId="4B6597A0" w14:textId="77777777" w:rsidR="00C7373A" w:rsidRPr="00811327" w:rsidRDefault="00C7373A" w:rsidP="008228DE">
            <w:pPr>
              <w:jc w:val="right"/>
              <w:rPr>
                <w:rFonts w:eastAsia="Calibri"/>
                <w:sz w:val="20"/>
                <w:szCs w:val="20"/>
              </w:rPr>
            </w:pPr>
            <w:r w:rsidRPr="00811327">
              <w:rPr>
                <w:rFonts w:eastAsia="Calibri"/>
                <w:sz w:val="20"/>
                <w:szCs w:val="20"/>
              </w:rPr>
              <w:t xml:space="preserve">$10,565,694 </w:t>
            </w:r>
          </w:p>
        </w:tc>
        <w:tc>
          <w:tcPr>
            <w:tcW w:w="616" w:type="pct"/>
            <w:shd w:val="clear" w:color="auto" w:fill="auto"/>
          </w:tcPr>
          <w:p w14:paraId="1376A779" w14:textId="77777777" w:rsidR="00C7373A" w:rsidRPr="00811327" w:rsidRDefault="00C7373A" w:rsidP="008228DE">
            <w:pPr>
              <w:jc w:val="right"/>
              <w:rPr>
                <w:rFonts w:eastAsia="Calibri"/>
                <w:sz w:val="20"/>
                <w:szCs w:val="20"/>
              </w:rPr>
            </w:pPr>
            <w:r w:rsidRPr="00811327">
              <w:rPr>
                <w:rFonts w:eastAsia="Calibri"/>
                <w:sz w:val="20"/>
                <w:szCs w:val="20"/>
              </w:rPr>
              <w:t>$</w:t>
            </w:r>
            <w:r>
              <w:rPr>
                <w:rFonts w:eastAsia="Calibri"/>
                <w:sz w:val="20"/>
                <w:szCs w:val="20"/>
              </w:rPr>
              <w:t>11</w:t>
            </w:r>
            <w:r w:rsidRPr="00811327">
              <w:rPr>
                <w:rFonts w:eastAsia="Calibri"/>
                <w:sz w:val="20"/>
                <w:szCs w:val="20"/>
              </w:rPr>
              <w:t>4,844.5</w:t>
            </w:r>
            <w:r>
              <w:rPr>
                <w:rFonts w:eastAsia="Calibri"/>
                <w:sz w:val="20"/>
                <w:szCs w:val="20"/>
              </w:rPr>
              <w:t>0</w:t>
            </w:r>
            <w:r w:rsidRPr="00811327">
              <w:rPr>
                <w:rFonts w:eastAsia="Calibri"/>
                <w:sz w:val="20"/>
                <w:szCs w:val="20"/>
              </w:rPr>
              <w:t xml:space="preserve">  </w:t>
            </w:r>
          </w:p>
          <w:p w14:paraId="4A039856" w14:textId="77777777" w:rsidR="00C7373A" w:rsidRPr="00811327" w:rsidRDefault="00C7373A" w:rsidP="008228DE">
            <w:pPr>
              <w:jc w:val="right"/>
              <w:rPr>
                <w:rFonts w:eastAsia="Calibri"/>
                <w:sz w:val="20"/>
                <w:szCs w:val="20"/>
              </w:rPr>
            </w:pPr>
          </w:p>
        </w:tc>
      </w:tr>
    </w:tbl>
    <w:p w14:paraId="50EF34A8" w14:textId="77777777" w:rsidR="00C7373A" w:rsidRDefault="00C7373A" w:rsidP="008801FE">
      <w:pPr>
        <w:widowControl/>
        <w:rPr>
          <w:bCs/>
          <w:color w:val="000000"/>
          <w:sz w:val="26"/>
          <w:szCs w:val="26"/>
        </w:rPr>
      </w:pPr>
    </w:p>
    <w:p w14:paraId="4FC16418" w14:textId="5E4E1095" w:rsidR="0052671D" w:rsidRDefault="00824345" w:rsidP="00C7373A">
      <w:pPr>
        <w:widowControl/>
        <w:rPr>
          <w:bCs/>
          <w:color w:val="000000"/>
          <w:sz w:val="26"/>
          <w:szCs w:val="26"/>
        </w:rPr>
      </w:pPr>
      <w:r>
        <w:rPr>
          <w:bCs/>
          <w:color w:val="000000"/>
          <w:sz w:val="26"/>
          <w:szCs w:val="26"/>
        </w:rPr>
        <w:t>In the last information collection request</w:t>
      </w:r>
      <w:r w:rsidR="00BF384A">
        <w:rPr>
          <w:bCs/>
          <w:color w:val="000000"/>
          <w:sz w:val="26"/>
          <w:szCs w:val="26"/>
        </w:rPr>
        <w:t xml:space="preserve"> (ICR)</w:t>
      </w:r>
      <w:r w:rsidR="00917F7D">
        <w:rPr>
          <w:bCs/>
          <w:color w:val="000000"/>
          <w:sz w:val="26"/>
          <w:szCs w:val="26"/>
        </w:rPr>
        <w:t xml:space="preserve"> for this</w:t>
      </w:r>
      <w:r>
        <w:rPr>
          <w:bCs/>
          <w:color w:val="000000"/>
          <w:sz w:val="26"/>
          <w:szCs w:val="26"/>
        </w:rPr>
        <w:t xml:space="preserve"> collection</w:t>
      </w:r>
      <w:r w:rsidR="00AA73D0">
        <w:rPr>
          <w:bCs/>
          <w:color w:val="000000"/>
          <w:sz w:val="26"/>
          <w:szCs w:val="26"/>
        </w:rPr>
        <w:t>,</w:t>
      </w:r>
      <w:r>
        <w:rPr>
          <w:bCs/>
          <w:color w:val="000000"/>
          <w:sz w:val="26"/>
          <w:szCs w:val="26"/>
        </w:rPr>
        <w:t xml:space="preserve"> FERC inclu</w:t>
      </w:r>
      <w:r w:rsidR="00372390">
        <w:rPr>
          <w:bCs/>
          <w:color w:val="000000"/>
          <w:sz w:val="26"/>
          <w:szCs w:val="26"/>
        </w:rPr>
        <w:t>ded a one-time program change of</w:t>
      </w:r>
      <w:r>
        <w:rPr>
          <w:bCs/>
          <w:color w:val="000000"/>
          <w:sz w:val="26"/>
          <w:szCs w:val="26"/>
        </w:rPr>
        <w:t xml:space="preserve"> 80 hours </w:t>
      </w:r>
      <w:r w:rsidR="007C030D">
        <w:rPr>
          <w:bCs/>
          <w:color w:val="000000"/>
          <w:sz w:val="26"/>
          <w:szCs w:val="26"/>
        </w:rPr>
        <w:t xml:space="preserve">and one response </w:t>
      </w:r>
      <w:r>
        <w:rPr>
          <w:bCs/>
          <w:color w:val="000000"/>
          <w:sz w:val="26"/>
          <w:szCs w:val="26"/>
        </w:rPr>
        <w:t>per filer.  These additional hours were necessary for respondents to set up the necessary processes in order to provide information on functionalized fuel data on pages 521a through 521d.</w:t>
      </w:r>
      <w:r w:rsidR="00BF384A">
        <w:rPr>
          <w:bCs/>
          <w:color w:val="000000"/>
          <w:sz w:val="26"/>
          <w:szCs w:val="26"/>
        </w:rPr>
        <w:t xml:space="preserve">  The one-time hours were completed in </w:t>
      </w:r>
      <w:r w:rsidR="00BF384A">
        <w:rPr>
          <w:bCs/>
          <w:color w:val="000000"/>
          <w:sz w:val="26"/>
          <w:szCs w:val="26"/>
        </w:rPr>
        <w:lastRenderedPageBreak/>
        <w:t>2012 and</w:t>
      </w:r>
      <w:r w:rsidR="00AA73D0">
        <w:rPr>
          <w:bCs/>
          <w:color w:val="000000"/>
          <w:sz w:val="26"/>
          <w:szCs w:val="26"/>
        </w:rPr>
        <w:t>,</w:t>
      </w:r>
      <w:r w:rsidR="00BF384A">
        <w:rPr>
          <w:bCs/>
          <w:color w:val="000000"/>
          <w:sz w:val="26"/>
          <w:szCs w:val="26"/>
        </w:rPr>
        <w:t xml:space="preserve"> in this ICR</w:t>
      </w:r>
      <w:r w:rsidR="00AA73D0">
        <w:rPr>
          <w:bCs/>
          <w:color w:val="000000"/>
          <w:sz w:val="26"/>
          <w:szCs w:val="26"/>
        </w:rPr>
        <w:t>,</w:t>
      </w:r>
      <w:r w:rsidR="00BF384A">
        <w:rPr>
          <w:bCs/>
          <w:color w:val="000000"/>
          <w:sz w:val="26"/>
          <w:szCs w:val="26"/>
        </w:rPr>
        <w:t xml:space="preserve"> FERC </w:t>
      </w:r>
      <w:r w:rsidR="00AA44FE">
        <w:rPr>
          <w:bCs/>
          <w:color w:val="000000"/>
          <w:sz w:val="26"/>
          <w:szCs w:val="26"/>
        </w:rPr>
        <w:t>is removing the one-time hours</w:t>
      </w:r>
      <w:r w:rsidR="00372390">
        <w:rPr>
          <w:bCs/>
          <w:color w:val="000000"/>
          <w:sz w:val="26"/>
          <w:szCs w:val="26"/>
        </w:rPr>
        <w:t xml:space="preserve"> in this request</w:t>
      </w:r>
      <w:r w:rsidR="00AA44FE">
        <w:rPr>
          <w:bCs/>
          <w:color w:val="000000"/>
          <w:sz w:val="26"/>
          <w:szCs w:val="26"/>
        </w:rPr>
        <w:t xml:space="preserve">.  </w:t>
      </w:r>
      <w:r w:rsidR="00917F7D">
        <w:rPr>
          <w:bCs/>
          <w:color w:val="000000"/>
          <w:sz w:val="26"/>
          <w:szCs w:val="26"/>
        </w:rPr>
        <w:t xml:space="preserve">This </w:t>
      </w:r>
      <w:r w:rsidR="0048417F">
        <w:rPr>
          <w:bCs/>
          <w:color w:val="000000"/>
          <w:sz w:val="26"/>
          <w:szCs w:val="26"/>
        </w:rPr>
        <w:t xml:space="preserve">collection also saw an increased number of filers which is the sole reason for the agency adjustment.  </w:t>
      </w:r>
    </w:p>
    <w:p w14:paraId="759734CC" w14:textId="77777777" w:rsidR="00372390" w:rsidRDefault="00372390" w:rsidP="008801FE">
      <w:pPr>
        <w:widowControl/>
        <w:rPr>
          <w:bCs/>
          <w:color w:val="000000"/>
          <w:sz w:val="26"/>
          <w:szCs w:val="26"/>
        </w:rPr>
      </w:pPr>
    </w:p>
    <w:p w14:paraId="1B6938E4" w14:textId="70603564" w:rsidR="007C030D" w:rsidRDefault="00917F7D" w:rsidP="008801FE">
      <w:pPr>
        <w:widowControl/>
        <w:rPr>
          <w:bCs/>
          <w:color w:val="000000"/>
          <w:sz w:val="26"/>
          <w:szCs w:val="26"/>
        </w:rPr>
      </w:pPr>
      <w:r>
        <w:rPr>
          <w:bCs/>
          <w:color w:val="000000"/>
          <w:sz w:val="26"/>
          <w:szCs w:val="26"/>
        </w:rPr>
        <w:t>The following table</w:t>
      </w:r>
      <w:r w:rsidR="00AA44FE">
        <w:rPr>
          <w:bCs/>
          <w:color w:val="000000"/>
          <w:sz w:val="26"/>
          <w:szCs w:val="26"/>
        </w:rPr>
        <w:t xml:space="preserve"> show</w:t>
      </w:r>
      <w:r>
        <w:rPr>
          <w:bCs/>
          <w:color w:val="000000"/>
          <w:sz w:val="26"/>
          <w:szCs w:val="26"/>
        </w:rPr>
        <w:t>s</w:t>
      </w:r>
      <w:r w:rsidR="00AA44FE">
        <w:rPr>
          <w:bCs/>
          <w:color w:val="000000"/>
          <w:sz w:val="26"/>
          <w:szCs w:val="26"/>
        </w:rPr>
        <w:t xml:space="preserve"> the</w:t>
      </w:r>
      <w:r w:rsidR="007C030D">
        <w:rPr>
          <w:bCs/>
          <w:color w:val="000000"/>
          <w:sz w:val="26"/>
          <w:szCs w:val="26"/>
        </w:rPr>
        <w:t xml:space="preserve"> </w:t>
      </w:r>
      <w:r w:rsidR="00372390">
        <w:rPr>
          <w:bCs/>
          <w:color w:val="000000"/>
          <w:sz w:val="26"/>
          <w:szCs w:val="26"/>
        </w:rPr>
        <w:t xml:space="preserve">new </w:t>
      </w:r>
      <w:r w:rsidR="007C030D">
        <w:rPr>
          <w:bCs/>
          <w:color w:val="000000"/>
          <w:sz w:val="26"/>
          <w:szCs w:val="26"/>
        </w:rPr>
        <w:t xml:space="preserve">burden inventory </w:t>
      </w:r>
      <w:r w:rsidR="00372390">
        <w:rPr>
          <w:bCs/>
          <w:color w:val="000000"/>
          <w:sz w:val="26"/>
          <w:szCs w:val="26"/>
        </w:rPr>
        <w:t>for this collection based on the changes described above.</w:t>
      </w:r>
    </w:p>
    <w:p w14:paraId="12D3DD47" w14:textId="77777777" w:rsidR="007C030D" w:rsidRDefault="007C030D" w:rsidP="007C030D"/>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7C030D" w:rsidRPr="00D80FBD" w14:paraId="30705B39" w14:textId="77777777" w:rsidTr="007C030D">
        <w:trPr>
          <w:trHeight w:val="870"/>
        </w:trPr>
        <w:tc>
          <w:tcPr>
            <w:tcW w:w="2679" w:type="dxa"/>
            <w:shd w:val="clear" w:color="auto" w:fill="D9D9D9"/>
            <w:vAlign w:val="bottom"/>
          </w:tcPr>
          <w:p w14:paraId="64DCAC2E" w14:textId="6644FFD8" w:rsidR="007C030D" w:rsidRPr="00D80FBD" w:rsidRDefault="007C030D" w:rsidP="00372390">
            <w:pPr>
              <w:jc w:val="center"/>
              <w:rPr>
                <w:b/>
              </w:rPr>
            </w:pPr>
            <w:r w:rsidRPr="00D80FBD">
              <w:rPr>
                <w:b/>
              </w:rPr>
              <w:t>FERC</w:t>
            </w:r>
            <w:r w:rsidR="00372390">
              <w:rPr>
                <w:b/>
              </w:rPr>
              <w:t xml:space="preserve"> Form No. </w:t>
            </w:r>
            <w:r>
              <w:rPr>
                <w:b/>
              </w:rPr>
              <w:t>2</w:t>
            </w:r>
          </w:p>
        </w:tc>
        <w:tc>
          <w:tcPr>
            <w:tcW w:w="1461" w:type="dxa"/>
            <w:shd w:val="clear" w:color="auto" w:fill="D9D9D9"/>
            <w:vAlign w:val="bottom"/>
          </w:tcPr>
          <w:p w14:paraId="00C6542E" w14:textId="77777777" w:rsidR="007C030D" w:rsidRPr="00D80FBD" w:rsidRDefault="007C030D" w:rsidP="007C030D">
            <w:pPr>
              <w:jc w:val="center"/>
              <w:rPr>
                <w:b/>
              </w:rPr>
            </w:pPr>
            <w:r w:rsidRPr="00D80FBD">
              <w:rPr>
                <w:b/>
              </w:rPr>
              <w:t>Total Request</w:t>
            </w:r>
          </w:p>
        </w:tc>
        <w:tc>
          <w:tcPr>
            <w:tcW w:w="1620" w:type="dxa"/>
            <w:shd w:val="clear" w:color="auto" w:fill="D9D9D9"/>
            <w:vAlign w:val="bottom"/>
          </w:tcPr>
          <w:p w14:paraId="539818AA" w14:textId="77777777" w:rsidR="007C030D" w:rsidRPr="00D80FBD" w:rsidRDefault="007C030D" w:rsidP="007C030D">
            <w:pPr>
              <w:jc w:val="center"/>
              <w:rPr>
                <w:b/>
              </w:rPr>
            </w:pPr>
            <w:r w:rsidRPr="00D80FBD">
              <w:rPr>
                <w:b/>
              </w:rPr>
              <w:t>Previously Approved</w:t>
            </w:r>
          </w:p>
        </w:tc>
        <w:tc>
          <w:tcPr>
            <w:tcW w:w="1800" w:type="dxa"/>
            <w:shd w:val="clear" w:color="auto" w:fill="D9D9D9"/>
            <w:vAlign w:val="bottom"/>
          </w:tcPr>
          <w:p w14:paraId="0CF71531" w14:textId="77777777" w:rsidR="007C030D" w:rsidRPr="00D80FBD" w:rsidRDefault="007C030D" w:rsidP="007C030D">
            <w:pPr>
              <w:jc w:val="center"/>
              <w:rPr>
                <w:b/>
              </w:rPr>
            </w:pPr>
            <w:r w:rsidRPr="00D80FBD">
              <w:rPr>
                <w:b/>
              </w:rPr>
              <w:t>Change due to Adjustment in Estimate</w:t>
            </w:r>
          </w:p>
        </w:tc>
        <w:tc>
          <w:tcPr>
            <w:tcW w:w="1800" w:type="dxa"/>
            <w:shd w:val="clear" w:color="auto" w:fill="D9D9D9"/>
            <w:vAlign w:val="bottom"/>
          </w:tcPr>
          <w:p w14:paraId="7DF4B929" w14:textId="77777777" w:rsidR="007C030D" w:rsidRPr="00D80FBD" w:rsidRDefault="007C030D" w:rsidP="007C030D">
            <w:pPr>
              <w:jc w:val="center"/>
              <w:rPr>
                <w:b/>
              </w:rPr>
            </w:pPr>
            <w:r w:rsidRPr="00D80FBD">
              <w:rPr>
                <w:b/>
              </w:rPr>
              <w:t>Change Due to Agency Discretion</w:t>
            </w:r>
          </w:p>
        </w:tc>
      </w:tr>
      <w:tr w:rsidR="007C030D" w:rsidRPr="00D80FBD" w14:paraId="204756B6" w14:textId="77777777" w:rsidTr="007C030D">
        <w:trPr>
          <w:trHeight w:val="591"/>
        </w:trPr>
        <w:tc>
          <w:tcPr>
            <w:tcW w:w="2679" w:type="dxa"/>
            <w:shd w:val="clear" w:color="auto" w:fill="auto"/>
          </w:tcPr>
          <w:p w14:paraId="616860F6" w14:textId="77777777" w:rsidR="007C030D" w:rsidRPr="00D80FBD" w:rsidRDefault="007C030D" w:rsidP="007C030D">
            <w:pPr>
              <w:jc w:val="center"/>
            </w:pPr>
            <w:r w:rsidRPr="00D80FBD">
              <w:t>Annual Number of Responses</w:t>
            </w:r>
          </w:p>
        </w:tc>
        <w:tc>
          <w:tcPr>
            <w:tcW w:w="1461" w:type="dxa"/>
            <w:shd w:val="clear" w:color="auto" w:fill="auto"/>
            <w:vAlign w:val="center"/>
          </w:tcPr>
          <w:p w14:paraId="7C5CB39A" w14:textId="7F941C1E" w:rsidR="007C030D" w:rsidRPr="00D80FBD" w:rsidRDefault="00F23BE9" w:rsidP="00F23BE9">
            <w:pPr>
              <w:jc w:val="right"/>
            </w:pPr>
            <w:r>
              <w:t>92</w:t>
            </w:r>
          </w:p>
        </w:tc>
        <w:tc>
          <w:tcPr>
            <w:tcW w:w="1620" w:type="dxa"/>
            <w:shd w:val="clear" w:color="auto" w:fill="auto"/>
            <w:vAlign w:val="center"/>
          </w:tcPr>
          <w:p w14:paraId="0B630CEA" w14:textId="7B88A835" w:rsidR="007C030D" w:rsidRPr="00D80FBD" w:rsidRDefault="00BE357D" w:rsidP="007C030D">
            <w:pPr>
              <w:jc w:val="right"/>
            </w:pPr>
            <w:r>
              <w:t>168</w:t>
            </w:r>
          </w:p>
        </w:tc>
        <w:tc>
          <w:tcPr>
            <w:tcW w:w="1800" w:type="dxa"/>
            <w:shd w:val="clear" w:color="auto" w:fill="auto"/>
            <w:vAlign w:val="center"/>
          </w:tcPr>
          <w:p w14:paraId="71F32B1F" w14:textId="204616AA" w:rsidR="007C030D" w:rsidRPr="00D80FBD" w:rsidRDefault="007E7579" w:rsidP="007C030D">
            <w:pPr>
              <w:jc w:val="right"/>
            </w:pPr>
            <w:r>
              <w:t>8</w:t>
            </w:r>
          </w:p>
        </w:tc>
        <w:tc>
          <w:tcPr>
            <w:tcW w:w="1800" w:type="dxa"/>
            <w:shd w:val="clear" w:color="auto" w:fill="auto"/>
            <w:vAlign w:val="center"/>
          </w:tcPr>
          <w:p w14:paraId="18CA345B" w14:textId="65A768DA" w:rsidR="007C030D" w:rsidRPr="00D80FBD" w:rsidRDefault="00BE357D" w:rsidP="00EB6BAD">
            <w:pPr>
              <w:jc w:val="right"/>
            </w:pPr>
            <w:r>
              <w:t>-84</w:t>
            </w:r>
          </w:p>
        </w:tc>
      </w:tr>
      <w:tr w:rsidR="007C030D" w:rsidRPr="00D80FBD" w14:paraId="114A99E8" w14:textId="77777777" w:rsidTr="007C030D">
        <w:trPr>
          <w:trHeight w:val="575"/>
        </w:trPr>
        <w:tc>
          <w:tcPr>
            <w:tcW w:w="2679" w:type="dxa"/>
            <w:shd w:val="clear" w:color="auto" w:fill="auto"/>
          </w:tcPr>
          <w:p w14:paraId="6BD63AD0" w14:textId="77777777" w:rsidR="007C030D" w:rsidRPr="00D80FBD" w:rsidRDefault="007C030D" w:rsidP="007C030D">
            <w:pPr>
              <w:jc w:val="center"/>
            </w:pPr>
            <w:r w:rsidRPr="00D80FBD">
              <w:t>Annual Time Burden (</w:t>
            </w:r>
            <w:proofErr w:type="spellStart"/>
            <w:r w:rsidRPr="00D80FBD">
              <w:t>Hr</w:t>
            </w:r>
            <w:proofErr w:type="spellEnd"/>
            <w:r w:rsidRPr="00D80FBD">
              <w:t>)</w:t>
            </w:r>
          </w:p>
        </w:tc>
        <w:tc>
          <w:tcPr>
            <w:tcW w:w="1461" w:type="dxa"/>
            <w:shd w:val="clear" w:color="auto" w:fill="auto"/>
            <w:vAlign w:val="center"/>
          </w:tcPr>
          <w:p w14:paraId="149B2E55" w14:textId="6F3C2D36" w:rsidR="007C030D" w:rsidRPr="00D80FBD" w:rsidRDefault="00BE357D" w:rsidP="00EB6BAD">
            <w:pPr>
              <w:jc w:val="right"/>
            </w:pPr>
            <w:r>
              <w:t>1</w:t>
            </w:r>
            <w:r w:rsidR="00EB6BAD">
              <w:t>49</w:t>
            </w:r>
            <w:r>
              <w:t>,86</w:t>
            </w:r>
            <w:r w:rsidR="00EB6BAD">
              <w:t>8</w:t>
            </w:r>
          </w:p>
        </w:tc>
        <w:tc>
          <w:tcPr>
            <w:tcW w:w="1620" w:type="dxa"/>
            <w:shd w:val="clear" w:color="auto" w:fill="auto"/>
            <w:vAlign w:val="center"/>
          </w:tcPr>
          <w:p w14:paraId="204D3498" w14:textId="10524C09" w:rsidR="007C030D" w:rsidRPr="00D80FBD" w:rsidRDefault="00BE357D" w:rsidP="007C030D">
            <w:pPr>
              <w:jc w:val="right"/>
            </w:pPr>
            <w:r>
              <w:t>143,556</w:t>
            </w:r>
          </w:p>
        </w:tc>
        <w:tc>
          <w:tcPr>
            <w:tcW w:w="1800" w:type="dxa"/>
            <w:shd w:val="clear" w:color="auto" w:fill="auto"/>
            <w:vAlign w:val="center"/>
          </w:tcPr>
          <w:p w14:paraId="4CE76A28" w14:textId="21D90F1E" w:rsidR="007C030D" w:rsidRPr="00D80FBD" w:rsidRDefault="007E7579" w:rsidP="007C030D">
            <w:pPr>
              <w:jc w:val="right"/>
            </w:pPr>
            <w:r>
              <w:t>13,032</w:t>
            </w:r>
          </w:p>
        </w:tc>
        <w:tc>
          <w:tcPr>
            <w:tcW w:w="1800" w:type="dxa"/>
            <w:shd w:val="clear" w:color="auto" w:fill="auto"/>
            <w:vAlign w:val="center"/>
          </w:tcPr>
          <w:p w14:paraId="64E0708C" w14:textId="626E4F48" w:rsidR="007C030D" w:rsidRPr="00D80FBD" w:rsidRDefault="00BE357D" w:rsidP="001161BF">
            <w:pPr>
              <w:jc w:val="right"/>
            </w:pPr>
            <w:r>
              <w:t>-6,720</w:t>
            </w:r>
          </w:p>
        </w:tc>
      </w:tr>
      <w:tr w:rsidR="007C030D" w:rsidRPr="00D80FBD" w14:paraId="0CDAD971" w14:textId="77777777" w:rsidTr="007C030D">
        <w:trPr>
          <w:trHeight w:val="295"/>
        </w:trPr>
        <w:tc>
          <w:tcPr>
            <w:tcW w:w="2679" w:type="dxa"/>
            <w:tcBorders>
              <w:bottom w:val="single" w:sz="4" w:space="0" w:color="auto"/>
            </w:tcBorders>
            <w:shd w:val="clear" w:color="auto" w:fill="auto"/>
          </w:tcPr>
          <w:p w14:paraId="75FF1419" w14:textId="77777777" w:rsidR="007C030D" w:rsidRPr="00D80FBD" w:rsidRDefault="007C030D" w:rsidP="007C030D">
            <w:pPr>
              <w:jc w:val="center"/>
            </w:pPr>
            <w:r w:rsidRPr="00D80FBD">
              <w:t>Annual Cost Burden ($)</w:t>
            </w:r>
          </w:p>
        </w:tc>
        <w:tc>
          <w:tcPr>
            <w:tcW w:w="1461" w:type="dxa"/>
            <w:tcBorders>
              <w:bottom w:val="single" w:sz="4" w:space="0" w:color="auto"/>
            </w:tcBorders>
            <w:shd w:val="clear" w:color="auto" w:fill="auto"/>
            <w:vAlign w:val="center"/>
          </w:tcPr>
          <w:p w14:paraId="55B2F379" w14:textId="729F55B1" w:rsidR="007C030D" w:rsidRPr="00D80FBD" w:rsidRDefault="00BE357D" w:rsidP="007C030D">
            <w:pPr>
              <w:jc w:val="right"/>
            </w:pPr>
            <w:r>
              <w:t>-</w:t>
            </w:r>
          </w:p>
        </w:tc>
        <w:tc>
          <w:tcPr>
            <w:tcW w:w="1620" w:type="dxa"/>
            <w:tcBorders>
              <w:bottom w:val="single" w:sz="4" w:space="0" w:color="auto"/>
            </w:tcBorders>
            <w:shd w:val="clear" w:color="auto" w:fill="auto"/>
            <w:vAlign w:val="center"/>
          </w:tcPr>
          <w:p w14:paraId="4D33547B" w14:textId="29D5DD47" w:rsidR="007C030D" w:rsidRPr="00D80FBD" w:rsidRDefault="00BE357D" w:rsidP="007C030D">
            <w:pPr>
              <w:jc w:val="right"/>
            </w:pPr>
            <w:r>
              <w:t>-</w:t>
            </w:r>
          </w:p>
        </w:tc>
        <w:tc>
          <w:tcPr>
            <w:tcW w:w="1800" w:type="dxa"/>
            <w:tcBorders>
              <w:bottom w:val="single" w:sz="4" w:space="0" w:color="auto"/>
            </w:tcBorders>
            <w:shd w:val="clear" w:color="auto" w:fill="auto"/>
            <w:vAlign w:val="center"/>
          </w:tcPr>
          <w:p w14:paraId="453CBF43" w14:textId="009AF22F" w:rsidR="007C030D" w:rsidRPr="00D80FBD" w:rsidRDefault="00BE357D" w:rsidP="007C030D">
            <w:pPr>
              <w:jc w:val="right"/>
            </w:pPr>
            <w:r>
              <w:t>-</w:t>
            </w:r>
          </w:p>
        </w:tc>
        <w:tc>
          <w:tcPr>
            <w:tcW w:w="1800" w:type="dxa"/>
            <w:tcBorders>
              <w:bottom w:val="single" w:sz="4" w:space="0" w:color="auto"/>
            </w:tcBorders>
            <w:shd w:val="clear" w:color="auto" w:fill="auto"/>
            <w:vAlign w:val="center"/>
          </w:tcPr>
          <w:p w14:paraId="4682393E" w14:textId="5F96F0BE" w:rsidR="007C030D" w:rsidRPr="00D80FBD" w:rsidRDefault="00BE357D" w:rsidP="00157390">
            <w:pPr>
              <w:jc w:val="right"/>
            </w:pPr>
            <w:r>
              <w:t>-</w:t>
            </w:r>
          </w:p>
        </w:tc>
      </w:tr>
    </w:tbl>
    <w:p w14:paraId="4D49FD7F" w14:textId="77777777" w:rsidR="007C030D" w:rsidRDefault="007C030D" w:rsidP="007C030D"/>
    <w:p w14:paraId="76730047" w14:textId="61DD4E36" w:rsidR="006426E6" w:rsidRPr="00917F7D" w:rsidRDefault="007C030D" w:rsidP="00BE357D">
      <w:pPr>
        <w:rPr>
          <w:sz w:val="26"/>
          <w:szCs w:val="26"/>
        </w:rPr>
      </w:pPr>
      <w:r w:rsidRPr="00917F7D">
        <w:rPr>
          <w:sz w:val="26"/>
          <w:szCs w:val="26"/>
        </w:rPr>
        <w:t>The format, labe</w:t>
      </w:r>
      <w:r w:rsidR="00E51D3B">
        <w:rPr>
          <w:sz w:val="26"/>
          <w:szCs w:val="26"/>
        </w:rPr>
        <w:t>l, and definitions of the table</w:t>
      </w:r>
      <w:r w:rsidRPr="00917F7D">
        <w:rPr>
          <w:sz w:val="26"/>
          <w:szCs w:val="26"/>
        </w:rPr>
        <w:t xml:space="preserve"> above follow the Office of Management and Budget’s online submittal system for information collection requests. </w:t>
      </w:r>
    </w:p>
    <w:p w14:paraId="112414CB" w14:textId="77777777" w:rsidR="00920E1B" w:rsidRPr="008801FE" w:rsidRDefault="00920E1B" w:rsidP="008801FE">
      <w:pPr>
        <w:widowControl/>
        <w:rPr>
          <w:bCs/>
          <w:color w:val="000000"/>
          <w:sz w:val="26"/>
          <w:szCs w:val="26"/>
        </w:rPr>
      </w:pPr>
    </w:p>
    <w:bookmarkEnd w:id="1"/>
    <w:bookmarkEnd w:id="2"/>
    <w:p w14:paraId="303E652C" w14:textId="77777777" w:rsidR="0076534C" w:rsidRDefault="0076534C" w:rsidP="00231A37">
      <w:pPr>
        <w:widowControl/>
        <w:rPr>
          <w:b/>
          <w:bCs/>
          <w:sz w:val="26"/>
          <w:szCs w:val="26"/>
        </w:rPr>
      </w:pPr>
      <w:r w:rsidRPr="00934965">
        <w:rPr>
          <w:b/>
          <w:sz w:val="26"/>
          <w:szCs w:val="26"/>
        </w:rPr>
        <w:t>16.</w:t>
      </w:r>
      <w:r>
        <w:rPr>
          <w:sz w:val="26"/>
          <w:szCs w:val="26"/>
        </w:rPr>
        <w:t xml:space="preserve">  </w:t>
      </w:r>
      <w:r>
        <w:rPr>
          <w:b/>
          <w:bCs/>
          <w:sz w:val="26"/>
          <w:szCs w:val="26"/>
        </w:rPr>
        <w:t>TIME SCHEDULE FOR PUBLICATION OF DATA</w:t>
      </w:r>
    </w:p>
    <w:p w14:paraId="64BC1004" w14:textId="77777777" w:rsidR="0076534C" w:rsidRDefault="0076534C">
      <w:pPr>
        <w:widowControl/>
        <w:rPr>
          <w:b/>
          <w:bCs/>
          <w:sz w:val="26"/>
          <w:szCs w:val="26"/>
        </w:rPr>
      </w:pPr>
    </w:p>
    <w:p w14:paraId="1DBF4ACA" w14:textId="32F9A12F" w:rsidR="0076534C" w:rsidRDefault="00FE13DF" w:rsidP="00231A37">
      <w:pPr>
        <w:widowControl/>
        <w:rPr>
          <w:sz w:val="26"/>
          <w:szCs w:val="26"/>
        </w:rPr>
      </w:pPr>
      <w:r>
        <w:rPr>
          <w:sz w:val="26"/>
          <w:szCs w:val="26"/>
        </w:rPr>
        <w:t>The Commission has not published the informa</w:t>
      </w:r>
      <w:r w:rsidR="001D0555">
        <w:rPr>
          <w:sz w:val="26"/>
          <w:szCs w:val="26"/>
        </w:rPr>
        <w:t xml:space="preserve">tion </w:t>
      </w:r>
      <w:r w:rsidR="00372390">
        <w:rPr>
          <w:sz w:val="26"/>
          <w:szCs w:val="26"/>
        </w:rPr>
        <w:t>contained on FERC Form No.</w:t>
      </w:r>
      <w:r w:rsidR="00E3270A">
        <w:rPr>
          <w:sz w:val="26"/>
          <w:szCs w:val="26"/>
        </w:rPr>
        <w:t xml:space="preserve"> 2</w:t>
      </w:r>
      <w:r w:rsidR="001D0555">
        <w:rPr>
          <w:sz w:val="26"/>
          <w:szCs w:val="26"/>
        </w:rPr>
        <w:t xml:space="preserve">. </w:t>
      </w:r>
      <w:r w:rsidR="0076534C">
        <w:rPr>
          <w:sz w:val="26"/>
          <w:szCs w:val="26"/>
        </w:rPr>
        <w:t xml:space="preserve">The publication of energy data became the responsibility of the Energy Information Administration when the Commission succeeded the Federal Power Commission per the Department of Energy Organization Act in October 1977.  The primary purpose of the information collected on these forms is to support the Commission's regulatory activities.  </w:t>
      </w:r>
      <w:r w:rsidR="00E51D3B" w:rsidRPr="00E51D3B">
        <w:rPr>
          <w:sz w:val="26"/>
          <w:szCs w:val="26"/>
        </w:rPr>
        <w:t>However, data submitted on the forms are available for download on the Commission’s web site.</w:t>
      </w:r>
    </w:p>
    <w:p w14:paraId="4EA4D8FC" w14:textId="77777777" w:rsidR="0076534C" w:rsidRDefault="0076534C">
      <w:pPr>
        <w:widowControl/>
        <w:rPr>
          <w:sz w:val="26"/>
          <w:szCs w:val="26"/>
        </w:rPr>
      </w:pPr>
    </w:p>
    <w:p w14:paraId="25251ED4" w14:textId="77777777" w:rsidR="0076534C" w:rsidRDefault="0076534C" w:rsidP="00231A37">
      <w:pPr>
        <w:widowControl/>
        <w:rPr>
          <w:b/>
          <w:bCs/>
          <w:sz w:val="26"/>
          <w:szCs w:val="26"/>
        </w:rPr>
      </w:pPr>
      <w:r w:rsidRPr="00934965">
        <w:rPr>
          <w:b/>
          <w:sz w:val="26"/>
          <w:szCs w:val="26"/>
        </w:rPr>
        <w:t>17.</w:t>
      </w:r>
      <w:r>
        <w:rPr>
          <w:sz w:val="26"/>
          <w:szCs w:val="26"/>
        </w:rPr>
        <w:t xml:space="preserve">  </w:t>
      </w:r>
      <w:r>
        <w:rPr>
          <w:b/>
          <w:bCs/>
          <w:sz w:val="26"/>
          <w:szCs w:val="26"/>
        </w:rPr>
        <w:t>DISPLAY OF EXPIRATION DATE</w:t>
      </w:r>
    </w:p>
    <w:p w14:paraId="1C1C7858" w14:textId="77777777" w:rsidR="0076534C" w:rsidRDefault="0076534C">
      <w:pPr>
        <w:widowControl/>
        <w:rPr>
          <w:b/>
          <w:bCs/>
          <w:sz w:val="26"/>
          <w:szCs w:val="26"/>
        </w:rPr>
      </w:pPr>
    </w:p>
    <w:p w14:paraId="22D4D5B2" w14:textId="73BF4CC5" w:rsidR="00934965" w:rsidRPr="00934965" w:rsidRDefault="0076534C" w:rsidP="00934965">
      <w:pPr>
        <w:widowControl/>
        <w:rPr>
          <w:sz w:val="26"/>
          <w:szCs w:val="26"/>
        </w:rPr>
      </w:pPr>
      <w:r>
        <w:rPr>
          <w:b/>
          <w:bCs/>
          <w:sz w:val="26"/>
          <w:szCs w:val="26"/>
        </w:rPr>
        <w:t xml:space="preserve"> </w:t>
      </w:r>
      <w:r w:rsidR="00E3270A">
        <w:rPr>
          <w:sz w:val="26"/>
          <w:szCs w:val="26"/>
        </w:rPr>
        <w:t>The form displays</w:t>
      </w:r>
      <w:r>
        <w:rPr>
          <w:sz w:val="26"/>
          <w:szCs w:val="26"/>
        </w:rPr>
        <w:t xml:space="preserve"> the OMB control number and the expiration date.  </w:t>
      </w:r>
      <w:r w:rsidR="00934965">
        <w:rPr>
          <w:sz w:val="26"/>
          <w:szCs w:val="26"/>
        </w:rPr>
        <w:t>T</w:t>
      </w:r>
      <w:r>
        <w:rPr>
          <w:sz w:val="26"/>
          <w:szCs w:val="26"/>
        </w:rPr>
        <w:t>his information is also displayed in the upper right-hand corner of the cover page in the appropriate electronic versions for these forms.</w:t>
      </w:r>
      <w:r w:rsidR="00934965">
        <w:rPr>
          <w:sz w:val="26"/>
          <w:szCs w:val="26"/>
        </w:rPr>
        <w:t xml:space="preserve">  In addition, t</w:t>
      </w:r>
      <w:r w:rsidR="00934965" w:rsidRPr="00934965">
        <w:rPr>
          <w:sz w:val="26"/>
          <w:szCs w:val="26"/>
        </w:rPr>
        <w:t xml:space="preserve">he expiration date </w:t>
      </w:r>
      <w:r w:rsidR="00E3270A">
        <w:rPr>
          <w:sz w:val="26"/>
          <w:szCs w:val="26"/>
        </w:rPr>
        <w:t>is</w:t>
      </w:r>
      <w:r w:rsidR="00934965" w:rsidRPr="00934965">
        <w:rPr>
          <w:sz w:val="26"/>
          <w:szCs w:val="26"/>
        </w:rPr>
        <w:t xml:space="preserve"> displayed in a table posted on ferc.gov at </w:t>
      </w:r>
      <w:hyperlink r:id="rId16" w:history="1">
        <w:r w:rsidR="00934965" w:rsidRPr="00934965">
          <w:rPr>
            <w:rStyle w:val="Hyperlink"/>
            <w:sz w:val="26"/>
            <w:szCs w:val="26"/>
          </w:rPr>
          <w:t>http://www.ferc.gov/docs-filing/info-collections.asp</w:t>
        </w:r>
      </w:hyperlink>
      <w:r w:rsidR="00934965" w:rsidRPr="00934965">
        <w:rPr>
          <w:sz w:val="26"/>
          <w:szCs w:val="26"/>
        </w:rPr>
        <w:t>.</w:t>
      </w:r>
    </w:p>
    <w:p w14:paraId="6CC47814" w14:textId="77777777" w:rsidR="00B9374D" w:rsidRDefault="00B9374D">
      <w:pPr>
        <w:widowControl/>
        <w:rPr>
          <w:sz w:val="26"/>
          <w:szCs w:val="26"/>
        </w:rPr>
      </w:pPr>
    </w:p>
    <w:p w14:paraId="483F9A04" w14:textId="77777777" w:rsidR="0076534C" w:rsidRDefault="0076534C" w:rsidP="00231A37">
      <w:pPr>
        <w:widowControl/>
        <w:rPr>
          <w:sz w:val="26"/>
          <w:szCs w:val="26"/>
        </w:rPr>
      </w:pPr>
      <w:r w:rsidRPr="00934965">
        <w:rPr>
          <w:b/>
          <w:sz w:val="26"/>
          <w:szCs w:val="26"/>
        </w:rPr>
        <w:t>18.</w:t>
      </w:r>
      <w:r>
        <w:rPr>
          <w:sz w:val="26"/>
          <w:szCs w:val="26"/>
        </w:rPr>
        <w:t xml:space="preserve">  </w:t>
      </w:r>
      <w:r>
        <w:rPr>
          <w:b/>
          <w:bCs/>
          <w:sz w:val="26"/>
          <w:szCs w:val="26"/>
        </w:rPr>
        <w:t xml:space="preserve">EXCEPTIONS TO THE CERTIFICATION STATEMENT </w:t>
      </w:r>
    </w:p>
    <w:p w14:paraId="4B0463F1" w14:textId="77777777" w:rsidR="0076534C" w:rsidRDefault="0076534C">
      <w:pPr>
        <w:widowControl/>
        <w:rPr>
          <w:sz w:val="26"/>
          <w:szCs w:val="26"/>
        </w:rPr>
      </w:pPr>
    </w:p>
    <w:p w14:paraId="5B0C936C" w14:textId="1F3D88F5" w:rsidR="00D11D81" w:rsidRDefault="0076534C" w:rsidP="00824A50">
      <w:pPr>
        <w:widowControl/>
        <w:rPr>
          <w:sz w:val="26"/>
          <w:szCs w:val="26"/>
        </w:rPr>
      </w:pPr>
      <w:r>
        <w:rPr>
          <w:sz w:val="26"/>
          <w:szCs w:val="26"/>
        </w:rPr>
        <w:t>There is an exception to the Paperwork Reduction Act submission certification.  Because t</w:t>
      </w:r>
      <w:r w:rsidR="00E3270A">
        <w:rPr>
          <w:sz w:val="26"/>
          <w:szCs w:val="26"/>
        </w:rPr>
        <w:t>he data collected on this form</w:t>
      </w:r>
      <w:r>
        <w:rPr>
          <w:sz w:val="26"/>
          <w:szCs w:val="26"/>
        </w:rPr>
        <w:t xml:space="preserve"> is not used for statistical purposes, the Commission does not use effective and efficient statistical survey methodology.  The information collected is case specific to each respondent.</w:t>
      </w:r>
    </w:p>
    <w:sectPr w:rsidR="00D11D81" w:rsidSect="0076534C">
      <w:type w:val="continuous"/>
      <w:pgSz w:w="12240" w:h="15840"/>
      <w:pgMar w:top="1080" w:right="1080" w:bottom="1080" w:left="1080" w:header="108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D0BDF" w14:textId="77777777" w:rsidR="00F737B1" w:rsidRDefault="00F737B1">
      <w:r>
        <w:separator/>
      </w:r>
    </w:p>
  </w:endnote>
  <w:endnote w:type="continuationSeparator" w:id="0">
    <w:p w14:paraId="22F54E3C" w14:textId="77777777" w:rsidR="00F737B1" w:rsidRDefault="00F7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154C0" w14:textId="77777777" w:rsidR="00460BBF" w:rsidRDefault="00460BBF" w:rsidP="002309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D2DB4" w14:textId="77777777" w:rsidR="00460BBF" w:rsidRDefault="00460BBF" w:rsidP="00230977">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6D0AC" w14:textId="77777777" w:rsidR="00460BBF" w:rsidRDefault="00460BBF" w:rsidP="002309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7283">
      <w:rPr>
        <w:rStyle w:val="PageNumber"/>
        <w:noProof/>
      </w:rPr>
      <w:t>7</w:t>
    </w:r>
    <w:r>
      <w:rPr>
        <w:rStyle w:val="PageNumber"/>
      </w:rPr>
      <w:fldChar w:fldCharType="end"/>
    </w:r>
  </w:p>
  <w:p w14:paraId="7EE030EB" w14:textId="77777777" w:rsidR="00460BBF" w:rsidRDefault="00460BBF" w:rsidP="00230977">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C36E7" w14:textId="77777777" w:rsidR="00F737B1" w:rsidRDefault="00F737B1">
      <w:r>
        <w:separator/>
      </w:r>
    </w:p>
  </w:footnote>
  <w:footnote w:type="continuationSeparator" w:id="0">
    <w:p w14:paraId="785D8E83" w14:textId="77777777" w:rsidR="00F737B1" w:rsidRDefault="00F737B1">
      <w:r>
        <w:continuationSeparator/>
      </w:r>
    </w:p>
  </w:footnote>
  <w:footnote w:id="1">
    <w:p w14:paraId="6ED1E271" w14:textId="5DF1E12B" w:rsidR="00F77BCC" w:rsidRPr="00564D59" w:rsidRDefault="00F77BCC" w:rsidP="00564D59">
      <w:pPr>
        <w:pStyle w:val="FootnoteText"/>
        <w:spacing w:after="0"/>
        <w:rPr>
          <w:szCs w:val="26"/>
        </w:rPr>
      </w:pPr>
      <w:r w:rsidRPr="00564D59">
        <w:rPr>
          <w:rStyle w:val="FootnoteReference"/>
          <w:szCs w:val="26"/>
        </w:rPr>
        <w:footnoteRef/>
      </w:r>
      <w:r w:rsidRPr="00564D59">
        <w:rPr>
          <w:szCs w:val="26"/>
        </w:rPr>
        <w:t xml:space="preserve"> This collection is related to the FERC Form No. 2-A, "Annual Report of </w:t>
      </w:r>
      <w:proofErr w:type="spellStart"/>
      <w:r w:rsidRPr="00564D59">
        <w:rPr>
          <w:szCs w:val="26"/>
        </w:rPr>
        <w:t>Nonmajor</w:t>
      </w:r>
      <w:proofErr w:type="spellEnd"/>
      <w:r w:rsidRPr="00564D59">
        <w:rPr>
          <w:szCs w:val="26"/>
        </w:rPr>
        <w:t xml:space="preserve"> Natural Gas Companies", OMB Control No. 1902-0030.</w:t>
      </w:r>
    </w:p>
  </w:footnote>
  <w:footnote w:id="2">
    <w:p w14:paraId="3190148B" w14:textId="77777777" w:rsidR="00460BBF" w:rsidRPr="00564D59" w:rsidRDefault="00460BBF" w:rsidP="00564D59">
      <w:pPr>
        <w:ind w:firstLine="720"/>
        <w:rPr>
          <w:sz w:val="26"/>
          <w:szCs w:val="26"/>
        </w:rPr>
      </w:pPr>
      <w:r w:rsidRPr="00564D59">
        <w:rPr>
          <w:rStyle w:val="FootnoteReference"/>
          <w:sz w:val="26"/>
          <w:szCs w:val="26"/>
        </w:rPr>
        <w:footnoteRef/>
      </w:r>
      <w:r w:rsidRPr="00564D59">
        <w:rPr>
          <w:sz w:val="26"/>
          <w:szCs w:val="26"/>
        </w:rPr>
        <w:t xml:space="preserve"> </w:t>
      </w:r>
      <w:r w:rsidRPr="00564D59">
        <w:rPr>
          <w:sz w:val="26"/>
          <w:szCs w:val="26"/>
          <w:u w:val="single"/>
        </w:rPr>
        <w:t>See</w:t>
      </w:r>
      <w:r w:rsidRPr="00564D59">
        <w:rPr>
          <w:sz w:val="26"/>
          <w:szCs w:val="26"/>
        </w:rPr>
        <w:t xml:space="preserve"> 18 CFR Part 201.</w:t>
      </w:r>
    </w:p>
  </w:footnote>
  <w:footnote w:id="3">
    <w:p w14:paraId="7C2545EA" w14:textId="4E2E0294" w:rsidR="00460BBF" w:rsidRPr="00564D59" w:rsidRDefault="00460BBF" w:rsidP="00564D59">
      <w:pPr>
        <w:pStyle w:val="FootnoteText"/>
        <w:spacing w:after="0"/>
        <w:rPr>
          <w:szCs w:val="26"/>
        </w:rPr>
      </w:pPr>
      <w:r w:rsidRPr="00564D59">
        <w:rPr>
          <w:rStyle w:val="FootnoteReference"/>
          <w:szCs w:val="26"/>
        </w:rPr>
        <w:footnoteRef/>
      </w:r>
      <w:r w:rsidRPr="00564D59">
        <w:rPr>
          <w:szCs w:val="26"/>
        </w:rPr>
        <w:t xml:space="preserve"> 79 FR 27589</w:t>
      </w:r>
    </w:p>
  </w:footnote>
  <w:footnote w:id="4">
    <w:p w14:paraId="3CF81FE3" w14:textId="2A4EDE01" w:rsidR="00460BBF" w:rsidRPr="00564D59" w:rsidRDefault="00460BBF" w:rsidP="00564D59">
      <w:pPr>
        <w:pStyle w:val="FootnoteText"/>
        <w:spacing w:after="0"/>
        <w:rPr>
          <w:szCs w:val="26"/>
        </w:rPr>
      </w:pPr>
      <w:r w:rsidRPr="00564D59">
        <w:rPr>
          <w:rStyle w:val="FootnoteReference"/>
          <w:szCs w:val="26"/>
        </w:rPr>
        <w:footnoteRef/>
      </w:r>
      <w:r w:rsidRPr="00564D59">
        <w:rPr>
          <w:szCs w:val="26"/>
        </w:rPr>
        <w:t xml:space="preserve"> </w:t>
      </w:r>
      <w:r w:rsidR="007E7579" w:rsidRPr="00564D59">
        <w:rPr>
          <w:szCs w:val="26"/>
        </w:rPr>
        <w:t>79 FR 45437</w:t>
      </w:r>
    </w:p>
  </w:footnote>
  <w:footnote w:id="5">
    <w:p w14:paraId="60BBC2CF" w14:textId="3BABDD14" w:rsidR="00460BBF" w:rsidRPr="00564D59" w:rsidRDefault="00460BBF" w:rsidP="00564D59">
      <w:pPr>
        <w:pStyle w:val="FootnoteText"/>
        <w:spacing w:after="0"/>
        <w:rPr>
          <w:szCs w:val="26"/>
        </w:rPr>
      </w:pPr>
      <w:r w:rsidRPr="00564D59">
        <w:rPr>
          <w:rStyle w:val="FootnoteReference"/>
          <w:szCs w:val="26"/>
        </w:rPr>
        <w:footnoteRef/>
      </w:r>
      <w:r w:rsidRPr="00564D59">
        <w:rPr>
          <w:szCs w:val="26"/>
        </w:rPr>
        <w:t xml:space="preserve"> The estimates for cost per response are derived using the following formula: Average Burden Hours per Response * $120 per Hour = Average Cost per Response.  The hourly cost figure comes from a combined cost of legal, technical and support staff.</w:t>
      </w:r>
    </w:p>
  </w:footnote>
  <w:footnote w:id="6">
    <w:p w14:paraId="3AFE6EBB" w14:textId="777283A3" w:rsidR="00122302" w:rsidRPr="00564D59" w:rsidRDefault="00122302" w:rsidP="00564D59">
      <w:pPr>
        <w:ind w:right="360" w:firstLine="720"/>
        <w:rPr>
          <w:sz w:val="26"/>
          <w:szCs w:val="26"/>
        </w:rPr>
      </w:pPr>
      <w:r w:rsidRPr="00564D59">
        <w:rPr>
          <w:rStyle w:val="FootnoteReference"/>
          <w:sz w:val="26"/>
          <w:szCs w:val="26"/>
        </w:rPr>
        <w:footnoteRef/>
      </w:r>
      <w:r w:rsidRPr="00564D59">
        <w:rPr>
          <w:sz w:val="26"/>
          <w:szCs w:val="26"/>
        </w:rPr>
        <w:t xml:space="preserve"> An "FTE" is a "Full time Equivalent" employee that works the equivalent of 2,080 hours per year.  For the Form </w:t>
      </w:r>
      <w:r w:rsidR="00372390">
        <w:rPr>
          <w:sz w:val="26"/>
          <w:szCs w:val="26"/>
        </w:rPr>
        <w:t xml:space="preserve">No. </w:t>
      </w:r>
      <w:r w:rsidRPr="00564D59">
        <w:rPr>
          <w:sz w:val="26"/>
          <w:szCs w:val="26"/>
        </w:rPr>
        <w:t>2 the Commission estimates that the program office spends .34 FTE and</w:t>
      </w:r>
      <w:r w:rsidR="00B93C5D">
        <w:rPr>
          <w:sz w:val="26"/>
          <w:szCs w:val="26"/>
        </w:rPr>
        <w:t xml:space="preserve"> the</w:t>
      </w:r>
      <w:r w:rsidRPr="00564D59">
        <w:rPr>
          <w:sz w:val="26"/>
          <w:szCs w:val="26"/>
        </w:rPr>
        <w:t xml:space="preserve"> </w:t>
      </w:r>
      <w:r w:rsidR="00372390">
        <w:rPr>
          <w:sz w:val="26"/>
          <w:szCs w:val="26"/>
        </w:rPr>
        <w:t xml:space="preserve">office of </w:t>
      </w:r>
      <w:r w:rsidRPr="00564D59">
        <w:rPr>
          <w:sz w:val="26"/>
          <w:szCs w:val="26"/>
        </w:rPr>
        <w:t>enforcemen</w:t>
      </w:r>
      <w:r w:rsidR="00917F7D" w:rsidRPr="00564D59">
        <w:rPr>
          <w:sz w:val="26"/>
          <w:szCs w:val="26"/>
        </w:rPr>
        <w:t xml:space="preserve">t spends .5 FTE.  </w:t>
      </w:r>
    </w:p>
  </w:footnote>
  <w:footnote w:id="7">
    <w:p w14:paraId="60D41497" w14:textId="3BB757B7" w:rsidR="00460BBF" w:rsidRPr="00564D59" w:rsidRDefault="00460BBF" w:rsidP="00564D59">
      <w:pPr>
        <w:pStyle w:val="FootnoteText"/>
        <w:spacing w:after="0"/>
        <w:rPr>
          <w:szCs w:val="26"/>
        </w:rPr>
      </w:pPr>
      <w:r w:rsidRPr="00564D59">
        <w:rPr>
          <w:rStyle w:val="FootnoteReference"/>
          <w:szCs w:val="26"/>
        </w:rPr>
        <w:footnoteRef/>
      </w:r>
      <w:r w:rsidRPr="00564D59">
        <w:rPr>
          <w:szCs w:val="26"/>
        </w:rPr>
        <w:t xml:space="preserve"> Based upon 2014 FTE average salary ($146,591 or $70.50 per hour)</w:t>
      </w:r>
    </w:p>
  </w:footnote>
  <w:footnote w:id="8">
    <w:p w14:paraId="4326D566" w14:textId="77777777" w:rsidR="00460BBF" w:rsidRPr="00564D59" w:rsidRDefault="00460BBF" w:rsidP="00564D59">
      <w:pPr>
        <w:pStyle w:val="FootnoteText"/>
        <w:spacing w:after="0"/>
        <w:rPr>
          <w:szCs w:val="26"/>
        </w:rPr>
      </w:pPr>
      <w:r w:rsidRPr="00564D59">
        <w:rPr>
          <w:rStyle w:val="FootnoteReference"/>
          <w:szCs w:val="26"/>
        </w:rPr>
        <w:footnoteRef/>
      </w:r>
      <w:r w:rsidRPr="00564D59">
        <w:rPr>
          <w:szCs w:val="26"/>
        </w:rPr>
        <w:t xml:space="preserve"> Paperwork Reduction Act of 1995 (PRA)</w:t>
      </w:r>
    </w:p>
  </w:footnote>
  <w:footnote w:id="9">
    <w:p w14:paraId="56F2F284" w14:textId="4BC4B2FC" w:rsidR="00460BBF" w:rsidRPr="00564D59" w:rsidRDefault="00460BBF" w:rsidP="00564D59">
      <w:pPr>
        <w:pStyle w:val="FootnoteText"/>
        <w:spacing w:after="0"/>
        <w:rPr>
          <w:szCs w:val="26"/>
        </w:rPr>
      </w:pPr>
      <w:r w:rsidRPr="00564D59">
        <w:rPr>
          <w:rStyle w:val="FootnoteReference"/>
          <w:szCs w:val="26"/>
        </w:rPr>
        <w:footnoteRef/>
      </w:r>
      <w:r w:rsidRPr="00564D59">
        <w:rPr>
          <w:szCs w:val="26"/>
        </w:rPr>
        <w:t xml:space="preserve"> The Commission bases the cost of Paperwork Reduction Act administration on staff time, and other costs related to compliance with the Paperwork Reduction Act of 1995.</w:t>
      </w:r>
    </w:p>
  </w:footnote>
  <w:footnote w:id="10">
    <w:p w14:paraId="6FF54A25" w14:textId="77777777" w:rsidR="00C7373A" w:rsidRPr="00C7373A" w:rsidRDefault="00C7373A" w:rsidP="00C7373A">
      <w:pPr>
        <w:pStyle w:val="FootnoteText"/>
        <w:rPr>
          <w:szCs w:val="26"/>
        </w:rPr>
      </w:pPr>
      <w:r w:rsidRPr="00C7373A">
        <w:rPr>
          <w:rStyle w:val="FootnoteReference"/>
          <w:szCs w:val="26"/>
        </w:rPr>
        <w:footnoteRef/>
      </w:r>
      <w:r w:rsidRPr="00C7373A">
        <w:rPr>
          <w:szCs w:val="26"/>
        </w:rPr>
        <w:t xml:space="preserve"> The estimates for cost per response are derived using the following formula: Average Burden Hours per Response * $70.50 per Hour = Average Cost per Response.  The hourly cost figure of $70.50 is the average FERC employee wage plus benefits.  We assume that respondents earn at a similar rate.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AAC20" w14:textId="56F8186A" w:rsidR="00460BBF" w:rsidRDefault="00460BBF" w:rsidP="003E1622">
    <w:pPr>
      <w:pStyle w:val="Header"/>
      <w:tabs>
        <w:tab w:val="clear" w:pos="8640"/>
        <w:tab w:val="right" w:pos="10080"/>
      </w:tabs>
    </w:pPr>
    <w:r>
      <w:t>F</w:t>
    </w:r>
    <w:r w:rsidR="00F77BCC">
      <w:t>ERC Form No. 2</w:t>
    </w:r>
  </w:p>
  <w:p w14:paraId="1152B916" w14:textId="0E2D711C" w:rsidR="00460BBF" w:rsidRDefault="00460BBF" w:rsidP="003E1622">
    <w:pPr>
      <w:pStyle w:val="Header"/>
      <w:tabs>
        <w:tab w:val="clear" w:pos="8640"/>
        <w:tab w:val="right" w:pos="10080"/>
      </w:tabs>
    </w:pPr>
    <w:r>
      <w:t>O</w:t>
    </w:r>
    <w:r w:rsidR="00F77BCC">
      <w:t>MB Control Nos. 1902-0028</w:t>
    </w:r>
  </w:p>
  <w:p w14:paraId="2D9338D1" w14:textId="77777777" w:rsidR="00460BBF" w:rsidRDefault="00460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06DA6"/>
    <w:multiLevelType w:val="hybridMultilevel"/>
    <w:tmpl w:val="636EF960"/>
    <w:lvl w:ilvl="0" w:tplc="AA389232">
      <w:start w:val="1"/>
      <w:numFmt w:val="decimal"/>
      <w:lvlText w:val="%1."/>
      <w:lvlJc w:val="left"/>
      <w:pPr>
        <w:tabs>
          <w:tab w:val="num" w:pos="720"/>
        </w:tabs>
        <w:ind w:left="0" w:firstLine="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BCE059C"/>
    <w:multiLevelType w:val="hybridMultilevel"/>
    <w:tmpl w:val="1D2A3664"/>
    <w:lvl w:ilvl="0" w:tplc="7DE41C04">
      <w:start w:val="1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707CC2"/>
    <w:multiLevelType w:val="hybridMultilevel"/>
    <w:tmpl w:val="CF1A8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9B621B"/>
    <w:multiLevelType w:val="hybridMultilevel"/>
    <w:tmpl w:val="30C2E946"/>
    <w:lvl w:ilvl="0" w:tplc="C8340208">
      <w:start w:val="31"/>
      <w:numFmt w:val="decimal"/>
      <w:lvlText w:val="%1."/>
      <w:lvlJc w:val="left"/>
      <w:pPr>
        <w:tabs>
          <w:tab w:val="num" w:pos="1140"/>
        </w:tabs>
        <w:ind w:left="1140" w:hanging="78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FA038E"/>
    <w:multiLevelType w:val="hybridMultilevel"/>
    <w:tmpl w:val="5C549B5E"/>
    <w:lvl w:ilvl="0" w:tplc="E7206F26">
      <w:start w:val="14"/>
      <w:numFmt w:val="decimal"/>
      <w:lvlText w:val="%1."/>
      <w:lvlJc w:val="left"/>
      <w:pPr>
        <w:tabs>
          <w:tab w:val="num" w:pos="1170"/>
        </w:tabs>
        <w:ind w:left="1170" w:hanging="45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5905637"/>
    <w:multiLevelType w:val="hybridMultilevel"/>
    <w:tmpl w:val="354E83A6"/>
    <w:lvl w:ilvl="0" w:tplc="AD8E9798">
      <w:start w:val="33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EB5F17"/>
    <w:multiLevelType w:val="hybridMultilevel"/>
    <w:tmpl w:val="6A36F658"/>
    <w:lvl w:ilvl="0" w:tplc="A3CC3F74">
      <w:start w:val="1"/>
      <w:numFmt w:val="bullet"/>
      <w:lvlText w:val="▲"/>
      <w:lvlJc w:val="left"/>
      <w:pPr>
        <w:tabs>
          <w:tab w:val="num" w:pos="2160"/>
        </w:tabs>
        <w:ind w:left="2160" w:hanging="360"/>
      </w:pPr>
      <w:rPr>
        <w:rFonts w:ascii="Arial" w:hAnsi="Aria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7E4E4DD3"/>
    <w:multiLevelType w:val="hybridMultilevel"/>
    <w:tmpl w:val="AC84C7A2"/>
    <w:lvl w:ilvl="0" w:tplc="1ABAD3CA">
      <w:start w:val="1"/>
      <w:numFmt w:val="decimal"/>
      <w:pStyle w:val="FERCparanumber"/>
      <w:lvlText w:val="%1."/>
      <w:lvlJc w:val="left"/>
      <w:pPr>
        <w:tabs>
          <w:tab w:val="num" w:pos="720"/>
        </w:tabs>
        <w:ind w:left="0" w:firstLine="0"/>
      </w:pPr>
      <w:rPr>
        <w:rFonts w:hint="default"/>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7"/>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4C"/>
    <w:rsid w:val="00000D84"/>
    <w:rsid w:val="00003FC0"/>
    <w:rsid w:val="00005C52"/>
    <w:rsid w:val="00005E04"/>
    <w:rsid w:val="00007401"/>
    <w:rsid w:val="00017A6A"/>
    <w:rsid w:val="000257FA"/>
    <w:rsid w:val="00027AF0"/>
    <w:rsid w:val="00027B6D"/>
    <w:rsid w:val="00027F92"/>
    <w:rsid w:val="00030EDA"/>
    <w:rsid w:val="00034795"/>
    <w:rsid w:val="00034823"/>
    <w:rsid w:val="000351B2"/>
    <w:rsid w:val="000419D0"/>
    <w:rsid w:val="00055761"/>
    <w:rsid w:val="000600B2"/>
    <w:rsid w:val="00074189"/>
    <w:rsid w:val="000967EB"/>
    <w:rsid w:val="000A0ED2"/>
    <w:rsid w:val="000B394B"/>
    <w:rsid w:val="000B7C56"/>
    <w:rsid w:val="000B7CF1"/>
    <w:rsid w:val="000B7E33"/>
    <w:rsid w:val="000C7E5C"/>
    <w:rsid w:val="000F2F13"/>
    <w:rsid w:val="000F538F"/>
    <w:rsid w:val="000F59B7"/>
    <w:rsid w:val="000F625C"/>
    <w:rsid w:val="00102AFD"/>
    <w:rsid w:val="0010690B"/>
    <w:rsid w:val="00110C2A"/>
    <w:rsid w:val="00112268"/>
    <w:rsid w:val="001161BF"/>
    <w:rsid w:val="0011659A"/>
    <w:rsid w:val="00116C36"/>
    <w:rsid w:val="00122302"/>
    <w:rsid w:val="00123C0D"/>
    <w:rsid w:val="0012493D"/>
    <w:rsid w:val="00134B53"/>
    <w:rsid w:val="001424C2"/>
    <w:rsid w:val="001450DA"/>
    <w:rsid w:val="00150369"/>
    <w:rsid w:val="00150548"/>
    <w:rsid w:val="001558E0"/>
    <w:rsid w:val="00157390"/>
    <w:rsid w:val="00162AA2"/>
    <w:rsid w:val="00164CC5"/>
    <w:rsid w:val="00165448"/>
    <w:rsid w:val="001663B8"/>
    <w:rsid w:val="00167F23"/>
    <w:rsid w:val="00183F7D"/>
    <w:rsid w:val="00187559"/>
    <w:rsid w:val="00193CD5"/>
    <w:rsid w:val="00195F60"/>
    <w:rsid w:val="001A28AF"/>
    <w:rsid w:val="001A3E74"/>
    <w:rsid w:val="001A6BBB"/>
    <w:rsid w:val="001B3325"/>
    <w:rsid w:val="001B35BE"/>
    <w:rsid w:val="001B6758"/>
    <w:rsid w:val="001C5526"/>
    <w:rsid w:val="001D0555"/>
    <w:rsid w:val="001D3DB5"/>
    <w:rsid w:val="001D46CF"/>
    <w:rsid w:val="001D75AF"/>
    <w:rsid w:val="001E2CE8"/>
    <w:rsid w:val="001E5861"/>
    <w:rsid w:val="001E7AA1"/>
    <w:rsid w:val="001F35BF"/>
    <w:rsid w:val="00221C38"/>
    <w:rsid w:val="00222972"/>
    <w:rsid w:val="0023034B"/>
    <w:rsid w:val="00230977"/>
    <w:rsid w:val="00231A37"/>
    <w:rsid w:val="00234459"/>
    <w:rsid w:val="00241931"/>
    <w:rsid w:val="00241AF9"/>
    <w:rsid w:val="00241CA4"/>
    <w:rsid w:val="00246024"/>
    <w:rsid w:val="002561A8"/>
    <w:rsid w:val="002610AB"/>
    <w:rsid w:val="00264465"/>
    <w:rsid w:val="00285820"/>
    <w:rsid w:val="00287D31"/>
    <w:rsid w:val="002925FE"/>
    <w:rsid w:val="0029367E"/>
    <w:rsid w:val="00296ECE"/>
    <w:rsid w:val="00297289"/>
    <w:rsid w:val="002A7043"/>
    <w:rsid w:val="002A765D"/>
    <w:rsid w:val="002B3B26"/>
    <w:rsid w:val="002C574C"/>
    <w:rsid w:val="002C75B7"/>
    <w:rsid w:val="002D2677"/>
    <w:rsid w:val="002D26F2"/>
    <w:rsid w:val="002D30AB"/>
    <w:rsid w:val="002D5FAA"/>
    <w:rsid w:val="002E0736"/>
    <w:rsid w:val="002F31B1"/>
    <w:rsid w:val="002F4D6E"/>
    <w:rsid w:val="002F4F26"/>
    <w:rsid w:val="00302B00"/>
    <w:rsid w:val="0032248D"/>
    <w:rsid w:val="00324077"/>
    <w:rsid w:val="00327F62"/>
    <w:rsid w:val="003306A4"/>
    <w:rsid w:val="003322EF"/>
    <w:rsid w:val="003353EF"/>
    <w:rsid w:val="00337E41"/>
    <w:rsid w:val="003445B5"/>
    <w:rsid w:val="00344A48"/>
    <w:rsid w:val="003453D2"/>
    <w:rsid w:val="00372390"/>
    <w:rsid w:val="00377898"/>
    <w:rsid w:val="00382311"/>
    <w:rsid w:val="0039227D"/>
    <w:rsid w:val="00395B2A"/>
    <w:rsid w:val="003A2F3C"/>
    <w:rsid w:val="003A67AC"/>
    <w:rsid w:val="003B3577"/>
    <w:rsid w:val="003B6AB2"/>
    <w:rsid w:val="003C094B"/>
    <w:rsid w:val="003C0FDA"/>
    <w:rsid w:val="003C11A8"/>
    <w:rsid w:val="003C2978"/>
    <w:rsid w:val="003C3F8D"/>
    <w:rsid w:val="003C6609"/>
    <w:rsid w:val="003C71C1"/>
    <w:rsid w:val="003D4A2E"/>
    <w:rsid w:val="003E09D3"/>
    <w:rsid w:val="003E1622"/>
    <w:rsid w:val="003E7DDB"/>
    <w:rsid w:val="003F7F42"/>
    <w:rsid w:val="00400B6A"/>
    <w:rsid w:val="00401673"/>
    <w:rsid w:val="00403C95"/>
    <w:rsid w:val="004051E2"/>
    <w:rsid w:val="00411200"/>
    <w:rsid w:val="00414ED1"/>
    <w:rsid w:val="004226A3"/>
    <w:rsid w:val="004272FD"/>
    <w:rsid w:val="0043103C"/>
    <w:rsid w:val="004344AF"/>
    <w:rsid w:val="0043799E"/>
    <w:rsid w:val="00442DC5"/>
    <w:rsid w:val="00443933"/>
    <w:rsid w:val="00443D43"/>
    <w:rsid w:val="00445155"/>
    <w:rsid w:val="00451990"/>
    <w:rsid w:val="00454D33"/>
    <w:rsid w:val="00460BBF"/>
    <w:rsid w:val="00461D67"/>
    <w:rsid w:val="00462853"/>
    <w:rsid w:val="00465C74"/>
    <w:rsid w:val="00465F3C"/>
    <w:rsid w:val="00473779"/>
    <w:rsid w:val="0047763E"/>
    <w:rsid w:val="00477C00"/>
    <w:rsid w:val="00483D74"/>
    <w:rsid w:val="0048417F"/>
    <w:rsid w:val="00490058"/>
    <w:rsid w:val="00491659"/>
    <w:rsid w:val="00496871"/>
    <w:rsid w:val="004A1F13"/>
    <w:rsid w:val="004A4AB4"/>
    <w:rsid w:val="004A602B"/>
    <w:rsid w:val="004B2D1E"/>
    <w:rsid w:val="004B35B3"/>
    <w:rsid w:val="004B4DEC"/>
    <w:rsid w:val="004B5B3B"/>
    <w:rsid w:val="004C5650"/>
    <w:rsid w:val="004C6282"/>
    <w:rsid w:val="004D239A"/>
    <w:rsid w:val="004E25F4"/>
    <w:rsid w:val="004E547D"/>
    <w:rsid w:val="004E56F1"/>
    <w:rsid w:val="004F1637"/>
    <w:rsid w:val="004F4008"/>
    <w:rsid w:val="0050042D"/>
    <w:rsid w:val="00501967"/>
    <w:rsid w:val="00504761"/>
    <w:rsid w:val="00505EF9"/>
    <w:rsid w:val="00516681"/>
    <w:rsid w:val="0052121C"/>
    <w:rsid w:val="00521E66"/>
    <w:rsid w:val="005240DD"/>
    <w:rsid w:val="0052671D"/>
    <w:rsid w:val="00530571"/>
    <w:rsid w:val="00536718"/>
    <w:rsid w:val="00540342"/>
    <w:rsid w:val="00540B3D"/>
    <w:rsid w:val="00552157"/>
    <w:rsid w:val="005579A0"/>
    <w:rsid w:val="00561818"/>
    <w:rsid w:val="00564D59"/>
    <w:rsid w:val="00566F48"/>
    <w:rsid w:val="005672B0"/>
    <w:rsid w:val="00591503"/>
    <w:rsid w:val="00593714"/>
    <w:rsid w:val="005A5138"/>
    <w:rsid w:val="005A68D6"/>
    <w:rsid w:val="005B142B"/>
    <w:rsid w:val="005B6A90"/>
    <w:rsid w:val="005B73EB"/>
    <w:rsid w:val="005B7545"/>
    <w:rsid w:val="005C0C19"/>
    <w:rsid w:val="005C1C4D"/>
    <w:rsid w:val="005C5999"/>
    <w:rsid w:val="005D17E3"/>
    <w:rsid w:val="005E19C8"/>
    <w:rsid w:val="005E3B77"/>
    <w:rsid w:val="005F7092"/>
    <w:rsid w:val="00600597"/>
    <w:rsid w:val="00606EEA"/>
    <w:rsid w:val="006078D3"/>
    <w:rsid w:val="00610165"/>
    <w:rsid w:val="006120D6"/>
    <w:rsid w:val="00615089"/>
    <w:rsid w:val="0062489C"/>
    <w:rsid w:val="0064163E"/>
    <w:rsid w:val="006426E6"/>
    <w:rsid w:val="006536CD"/>
    <w:rsid w:val="00657DDF"/>
    <w:rsid w:val="0066311F"/>
    <w:rsid w:val="00664B07"/>
    <w:rsid w:val="006673E0"/>
    <w:rsid w:val="006675E2"/>
    <w:rsid w:val="00671A60"/>
    <w:rsid w:val="00686FE2"/>
    <w:rsid w:val="006913F7"/>
    <w:rsid w:val="00691986"/>
    <w:rsid w:val="0069284A"/>
    <w:rsid w:val="00693081"/>
    <w:rsid w:val="006A429C"/>
    <w:rsid w:val="006A5DBB"/>
    <w:rsid w:val="006A6FF6"/>
    <w:rsid w:val="006B0D68"/>
    <w:rsid w:val="006B2572"/>
    <w:rsid w:val="006B5C98"/>
    <w:rsid w:val="006B6922"/>
    <w:rsid w:val="006B71D4"/>
    <w:rsid w:val="006C0856"/>
    <w:rsid w:val="006C1F15"/>
    <w:rsid w:val="006C2994"/>
    <w:rsid w:val="006D03CD"/>
    <w:rsid w:val="006E1EBE"/>
    <w:rsid w:val="006E2CE0"/>
    <w:rsid w:val="006E411E"/>
    <w:rsid w:val="006F357C"/>
    <w:rsid w:val="006F6CE9"/>
    <w:rsid w:val="006F7608"/>
    <w:rsid w:val="00703D5B"/>
    <w:rsid w:val="00705247"/>
    <w:rsid w:val="00714AD3"/>
    <w:rsid w:val="00717283"/>
    <w:rsid w:val="00725FAA"/>
    <w:rsid w:val="00727DC8"/>
    <w:rsid w:val="007305B6"/>
    <w:rsid w:val="007333F6"/>
    <w:rsid w:val="00734474"/>
    <w:rsid w:val="0074436E"/>
    <w:rsid w:val="00744C74"/>
    <w:rsid w:val="0075021B"/>
    <w:rsid w:val="0076517E"/>
    <w:rsid w:val="0076534C"/>
    <w:rsid w:val="00772589"/>
    <w:rsid w:val="0077501B"/>
    <w:rsid w:val="00781C5B"/>
    <w:rsid w:val="007823CE"/>
    <w:rsid w:val="0078519F"/>
    <w:rsid w:val="00785D74"/>
    <w:rsid w:val="007865C4"/>
    <w:rsid w:val="007873A4"/>
    <w:rsid w:val="0079299F"/>
    <w:rsid w:val="007A436C"/>
    <w:rsid w:val="007A453D"/>
    <w:rsid w:val="007B0E89"/>
    <w:rsid w:val="007B6DC9"/>
    <w:rsid w:val="007C0003"/>
    <w:rsid w:val="007C030D"/>
    <w:rsid w:val="007C5E78"/>
    <w:rsid w:val="007D482A"/>
    <w:rsid w:val="007E606B"/>
    <w:rsid w:val="007E617F"/>
    <w:rsid w:val="007E6734"/>
    <w:rsid w:val="007E7579"/>
    <w:rsid w:val="007F084D"/>
    <w:rsid w:val="007F1DFB"/>
    <w:rsid w:val="00800E89"/>
    <w:rsid w:val="00806566"/>
    <w:rsid w:val="00821BD0"/>
    <w:rsid w:val="00824345"/>
    <w:rsid w:val="00824A50"/>
    <w:rsid w:val="00831EF2"/>
    <w:rsid w:val="00834D81"/>
    <w:rsid w:val="00843AC6"/>
    <w:rsid w:val="0086560F"/>
    <w:rsid w:val="00867D45"/>
    <w:rsid w:val="00873B99"/>
    <w:rsid w:val="0087624B"/>
    <w:rsid w:val="008801FE"/>
    <w:rsid w:val="00887971"/>
    <w:rsid w:val="00892AB9"/>
    <w:rsid w:val="008A4F61"/>
    <w:rsid w:val="008A51FF"/>
    <w:rsid w:val="008A53FC"/>
    <w:rsid w:val="008A5B2B"/>
    <w:rsid w:val="008A6641"/>
    <w:rsid w:val="008B1001"/>
    <w:rsid w:val="008B5155"/>
    <w:rsid w:val="008B7748"/>
    <w:rsid w:val="008C1347"/>
    <w:rsid w:val="008C4E24"/>
    <w:rsid w:val="008C4F7E"/>
    <w:rsid w:val="008D1F87"/>
    <w:rsid w:val="008D34ED"/>
    <w:rsid w:val="008E16AD"/>
    <w:rsid w:val="008E2013"/>
    <w:rsid w:val="008E55D8"/>
    <w:rsid w:val="008F0876"/>
    <w:rsid w:val="008F186E"/>
    <w:rsid w:val="009000DF"/>
    <w:rsid w:val="00901892"/>
    <w:rsid w:val="00903AFB"/>
    <w:rsid w:val="00903E2B"/>
    <w:rsid w:val="009051BD"/>
    <w:rsid w:val="009139CD"/>
    <w:rsid w:val="00916AC5"/>
    <w:rsid w:val="009176D1"/>
    <w:rsid w:val="00917F7D"/>
    <w:rsid w:val="00920E1B"/>
    <w:rsid w:val="009222E9"/>
    <w:rsid w:val="00923AA8"/>
    <w:rsid w:val="00932984"/>
    <w:rsid w:val="00932BA5"/>
    <w:rsid w:val="00934965"/>
    <w:rsid w:val="009367F6"/>
    <w:rsid w:val="00940609"/>
    <w:rsid w:val="00941E22"/>
    <w:rsid w:val="0094330D"/>
    <w:rsid w:val="00947ADC"/>
    <w:rsid w:val="00956DE3"/>
    <w:rsid w:val="00963319"/>
    <w:rsid w:val="00963D56"/>
    <w:rsid w:val="00966B62"/>
    <w:rsid w:val="0096736C"/>
    <w:rsid w:val="0096759F"/>
    <w:rsid w:val="00967C4C"/>
    <w:rsid w:val="00972C72"/>
    <w:rsid w:val="009737CB"/>
    <w:rsid w:val="009774F8"/>
    <w:rsid w:val="0097750D"/>
    <w:rsid w:val="0098336F"/>
    <w:rsid w:val="009852BB"/>
    <w:rsid w:val="00986DE4"/>
    <w:rsid w:val="00987DB7"/>
    <w:rsid w:val="00993878"/>
    <w:rsid w:val="009A56F5"/>
    <w:rsid w:val="009A5B7F"/>
    <w:rsid w:val="009B6240"/>
    <w:rsid w:val="009C387B"/>
    <w:rsid w:val="009C5EED"/>
    <w:rsid w:val="009C77DE"/>
    <w:rsid w:val="009C7BBD"/>
    <w:rsid w:val="009D06DA"/>
    <w:rsid w:val="009D1FB4"/>
    <w:rsid w:val="009D41DC"/>
    <w:rsid w:val="009E00A1"/>
    <w:rsid w:val="009E2E6D"/>
    <w:rsid w:val="009E308D"/>
    <w:rsid w:val="009E31A0"/>
    <w:rsid w:val="009E77A3"/>
    <w:rsid w:val="009F133C"/>
    <w:rsid w:val="009F521A"/>
    <w:rsid w:val="00A02B9E"/>
    <w:rsid w:val="00A069A9"/>
    <w:rsid w:val="00A116BD"/>
    <w:rsid w:val="00A1585E"/>
    <w:rsid w:val="00A22D84"/>
    <w:rsid w:val="00A23505"/>
    <w:rsid w:val="00A2374B"/>
    <w:rsid w:val="00A24B08"/>
    <w:rsid w:val="00A266F1"/>
    <w:rsid w:val="00A322AD"/>
    <w:rsid w:val="00A40042"/>
    <w:rsid w:val="00A421CE"/>
    <w:rsid w:val="00A43B8A"/>
    <w:rsid w:val="00A43B94"/>
    <w:rsid w:val="00A54660"/>
    <w:rsid w:val="00A5586D"/>
    <w:rsid w:val="00A60B48"/>
    <w:rsid w:val="00A663BB"/>
    <w:rsid w:val="00A73679"/>
    <w:rsid w:val="00A73FB4"/>
    <w:rsid w:val="00A7642A"/>
    <w:rsid w:val="00A84C20"/>
    <w:rsid w:val="00A91C96"/>
    <w:rsid w:val="00A94E78"/>
    <w:rsid w:val="00A9631C"/>
    <w:rsid w:val="00AA2776"/>
    <w:rsid w:val="00AA44FE"/>
    <w:rsid w:val="00AA4F5D"/>
    <w:rsid w:val="00AA5267"/>
    <w:rsid w:val="00AA71F5"/>
    <w:rsid w:val="00AA73D0"/>
    <w:rsid w:val="00AA74FA"/>
    <w:rsid w:val="00AB2E2F"/>
    <w:rsid w:val="00AB53E4"/>
    <w:rsid w:val="00AD6EFD"/>
    <w:rsid w:val="00AD7676"/>
    <w:rsid w:val="00AD7D87"/>
    <w:rsid w:val="00AE4D0B"/>
    <w:rsid w:val="00AE62BD"/>
    <w:rsid w:val="00AF7244"/>
    <w:rsid w:val="00B05CCC"/>
    <w:rsid w:val="00B11135"/>
    <w:rsid w:val="00B16A7E"/>
    <w:rsid w:val="00B224D7"/>
    <w:rsid w:val="00B24A18"/>
    <w:rsid w:val="00B30FA7"/>
    <w:rsid w:val="00B32382"/>
    <w:rsid w:val="00B32464"/>
    <w:rsid w:val="00B42BEE"/>
    <w:rsid w:val="00B6220A"/>
    <w:rsid w:val="00B63C2C"/>
    <w:rsid w:val="00B655F8"/>
    <w:rsid w:val="00B678F4"/>
    <w:rsid w:val="00B67C9F"/>
    <w:rsid w:val="00B7211F"/>
    <w:rsid w:val="00B84707"/>
    <w:rsid w:val="00B84E3D"/>
    <w:rsid w:val="00B861C0"/>
    <w:rsid w:val="00B9374D"/>
    <w:rsid w:val="00B93C5D"/>
    <w:rsid w:val="00B95FF8"/>
    <w:rsid w:val="00BA1E9B"/>
    <w:rsid w:val="00BB0BE0"/>
    <w:rsid w:val="00BB2A69"/>
    <w:rsid w:val="00BC2BEC"/>
    <w:rsid w:val="00BC6ACD"/>
    <w:rsid w:val="00BC72C9"/>
    <w:rsid w:val="00BD0CCE"/>
    <w:rsid w:val="00BE2738"/>
    <w:rsid w:val="00BE357D"/>
    <w:rsid w:val="00BE3E3F"/>
    <w:rsid w:val="00BE73AF"/>
    <w:rsid w:val="00BF0EEA"/>
    <w:rsid w:val="00BF384A"/>
    <w:rsid w:val="00BF7E06"/>
    <w:rsid w:val="00C0051A"/>
    <w:rsid w:val="00C01BBB"/>
    <w:rsid w:val="00C17BE8"/>
    <w:rsid w:val="00C32561"/>
    <w:rsid w:val="00C34E3D"/>
    <w:rsid w:val="00C3641C"/>
    <w:rsid w:val="00C368F2"/>
    <w:rsid w:val="00C47A27"/>
    <w:rsid w:val="00C52DE5"/>
    <w:rsid w:val="00C53297"/>
    <w:rsid w:val="00C63352"/>
    <w:rsid w:val="00C64DE9"/>
    <w:rsid w:val="00C7373A"/>
    <w:rsid w:val="00C7594A"/>
    <w:rsid w:val="00C76EE4"/>
    <w:rsid w:val="00C87F2D"/>
    <w:rsid w:val="00C92230"/>
    <w:rsid w:val="00CC2B82"/>
    <w:rsid w:val="00CC478F"/>
    <w:rsid w:val="00CD00A6"/>
    <w:rsid w:val="00CF3A50"/>
    <w:rsid w:val="00D0669C"/>
    <w:rsid w:val="00D11D81"/>
    <w:rsid w:val="00D12791"/>
    <w:rsid w:val="00D128EE"/>
    <w:rsid w:val="00D176F8"/>
    <w:rsid w:val="00D17DC5"/>
    <w:rsid w:val="00D2138D"/>
    <w:rsid w:val="00D30971"/>
    <w:rsid w:val="00D35B2B"/>
    <w:rsid w:val="00D37F56"/>
    <w:rsid w:val="00D4090C"/>
    <w:rsid w:val="00D42BAF"/>
    <w:rsid w:val="00D43662"/>
    <w:rsid w:val="00D52E89"/>
    <w:rsid w:val="00D5790B"/>
    <w:rsid w:val="00D57C40"/>
    <w:rsid w:val="00D72B2D"/>
    <w:rsid w:val="00D73BE8"/>
    <w:rsid w:val="00D75E2F"/>
    <w:rsid w:val="00D87CE8"/>
    <w:rsid w:val="00D91170"/>
    <w:rsid w:val="00D959C6"/>
    <w:rsid w:val="00D9623D"/>
    <w:rsid w:val="00D967B9"/>
    <w:rsid w:val="00DA12C2"/>
    <w:rsid w:val="00DA2931"/>
    <w:rsid w:val="00DB1AB7"/>
    <w:rsid w:val="00DB44FA"/>
    <w:rsid w:val="00DC296D"/>
    <w:rsid w:val="00DD326E"/>
    <w:rsid w:val="00DE4137"/>
    <w:rsid w:val="00DE4497"/>
    <w:rsid w:val="00DE44E4"/>
    <w:rsid w:val="00E05C79"/>
    <w:rsid w:val="00E14107"/>
    <w:rsid w:val="00E17BD4"/>
    <w:rsid w:val="00E27518"/>
    <w:rsid w:val="00E27C96"/>
    <w:rsid w:val="00E3270A"/>
    <w:rsid w:val="00E36630"/>
    <w:rsid w:val="00E367FA"/>
    <w:rsid w:val="00E434A9"/>
    <w:rsid w:val="00E45972"/>
    <w:rsid w:val="00E50487"/>
    <w:rsid w:val="00E51511"/>
    <w:rsid w:val="00E51D3B"/>
    <w:rsid w:val="00E5799C"/>
    <w:rsid w:val="00E6037B"/>
    <w:rsid w:val="00E609F6"/>
    <w:rsid w:val="00E61919"/>
    <w:rsid w:val="00E666F8"/>
    <w:rsid w:val="00E83683"/>
    <w:rsid w:val="00E846F8"/>
    <w:rsid w:val="00E8693B"/>
    <w:rsid w:val="00E8704B"/>
    <w:rsid w:val="00E901D5"/>
    <w:rsid w:val="00E90C14"/>
    <w:rsid w:val="00E958CF"/>
    <w:rsid w:val="00E974D2"/>
    <w:rsid w:val="00EA0DA7"/>
    <w:rsid w:val="00EA40B4"/>
    <w:rsid w:val="00EB6BAD"/>
    <w:rsid w:val="00EC21A7"/>
    <w:rsid w:val="00EC2604"/>
    <w:rsid w:val="00EC2B42"/>
    <w:rsid w:val="00EC2EC3"/>
    <w:rsid w:val="00ED0347"/>
    <w:rsid w:val="00ED6A0B"/>
    <w:rsid w:val="00EE26EB"/>
    <w:rsid w:val="00EF0223"/>
    <w:rsid w:val="00EF3D91"/>
    <w:rsid w:val="00EF596F"/>
    <w:rsid w:val="00F007A5"/>
    <w:rsid w:val="00F01711"/>
    <w:rsid w:val="00F0190F"/>
    <w:rsid w:val="00F02F39"/>
    <w:rsid w:val="00F1182B"/>
    <w:rsid w:val="00F12C3F"/>
    <w:rsid w:val="00F12D60"/>
    <w:rsid w:val="00F137E7"/>
    <w:rsid w:val="00F14342"/>
    <w:rsid w:val="00F16BB3"/>
    <w:rsid w:val="00F1770C"/>
    <w:rsid w:val="00F23BE9"/>
    <w:rsid w:val="00F24020"/>
    <w:rsid w:val="00F245EB"/>
    <w:rsid w:val="00F25D85"/>
    <w:rsid w:val="00F35C8F"/>
    <w:rsid w:val="00F40D3F"/>
    <w:rsid w:val="00F4336A"/>
    <w:rsid w:val="00F50BC4"/>
    <w:rsid w:val="00F50ED8"/>
    <w:rsid w:val="00F55368"/>
    <w:rsid w:val="00F67C6B"/>
    <w:rsid w:val="00F737B1"/>
    <w:rsid w:val="00F740B6"/>
    <w:rsid w:val="00F77BCC"/>
    <w:rsid w:val="00F82EF1"/>
    <w:rsid w:val="00F85D89"/>
    <w:rsid w:val="00FA07B2"/>
    <w:rsid w:val="00FB00D6"/>
    <w:rsid w:val="00FB1F3E"/>
    <w:rsid w:val="00FB2E2A"/>
    <w:rsid w:val="00FB6A22"/>
    <w:rsid w:val="00FC03D1"/>
    <w:rsid w:val="00FD01C5"/>
    <w:rsid w:val="00FD3113"/>
    <w:rsid w:val="00FD3733"/>
    <w:rsid w:val="00FD43BD"/>
    <w:rsid w:val="00FE13DF"/>
    <w:rsid w:val="00FE344B"/>
    <w:rsid w:val="00FF0CAA"/>
    <w:rsid w:val="00FF1760"/>
    <w:rsid w:val="00FF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40F1EB79"/>
  <w15:docId w15:val="{2991F8C4-10B3-4E29-8654-B701D1C2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7,o1,fr1,o2,fr2,o3,fr3,Style 13,Style 12,Style 15,Style 9,Style 18,(NECG) Footnote Reference,Style 20,Style 7,Style 8,Style 19,Style 28,Styl,Style 11,Style 16"/>
  </w:style>
  <w:style w:type="character" w:customStyle="1" w:styleId="Hypertext">
    <w:name w:val="Hypertext"/>
    <w:rPr>
      <w:color w:val="0000FF"/>
      <w:u w:val="single"/>
    </w:rPr>
  </w:style>
  <w:style w:type="paragraph" w:styleId="Header">
    <w:name w:val="header"/>
    <w:basedOn w:val="Normal"/>
    <w:rsid w:val="00414ED1"/>
    <w:pPr>
      <w:tabs>
        <w:tab w:val="center" w:pos="4320"/>
        <w:tab w:val="right" w:pos="8640"/>
      </w:tabs>
    </w:pPr>
  </w:style>
  <w:style w:type="paragraph" w:styleId="Footer">
    <w:name w:val="footer"/>
    <w:basedOn w:val="Normal"/>
    <w:rsid w:val="00414ED1"/>
    <w:pPr>
      <w:tabs>
        <w:tab w:val="center" w:pos="4320"/>
        <w:tab w:val="right" w:pos="8640"/>
      </w:tabs>
    </w:pPr>
  </w:style>
  <w:style w:type="paragraph" w:styleId="FootnoteText">
    <w:name w:val="footnote text"/>
    <w:aliases w:val="Footnote Text Char,fn,Footnote Text Char1,Footnote Text Char Char,Footnote Text Char1 Char,Footnote Text Char Char Char,Footnote Text MRP,Footnote Text Char1 Char Char,Footnote Text Char1 Char1,Footnote Text Char3,Footnote Text Char2 Char"/>
    <w:basedOn w:val="Normal"/>
    <w:link w:val="FootnoteTextChar2"/>
    <w:rsid w:val="006B0D68"/>
    <w:pPr>
      <w:spacing w:after="240"/>
      <w:ind w:firstLine="720"/>
    </w:pPr>
    <w:rPr>
      <w:sz w:val="26"/>
      <w:szCs w:val="20"/>
    </w:rPr>
  </w:style>
  <w:style w:type="character" w:styleId="Hyperlink">
    <w:name w:val="Hyperlink"/>
    <w:basedOn w:val="DefaultParagraphFont"/>
    <w:rsid w:val="00B678F4"/>
    <w:rPr>
      <w:color w:val="0000FF"/>
      <w:u w:val="single"/>
    </w:rPr>
  </w:style>
  <w:style w:type="table" w:styleId="TableGrid">
    <w:name w:val="Table Grid"/>
    <w:basedOn w:val="TableNormal"/>
    <w:rsid w:val="00005E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30977"/>
  </w:style>
  <w:style w:type="paragraph" w:customStyle="1" w:styleId="FERCparanumber">
    <w:name w:val="FERC paranumber"/>
    <w:basedOn w:val="Normal"/>
    <w:rsid w:val="006B0D68"/>
    <w:pPr>
      <w:widowControl/>
      <w:numPr>
        <w:numId w:val="4"/>
      </w:numPr>
      <w:spacing w:line="480" w:lineRule="auto"/>
    </w:pPr>
    <w:rPr>
      <w:sz w:val="26"/>
    </w:rPr>
  </w:style>
  <w:style w:type="character" w:customStyle="1" w:styleId="FootnoteTextChar2">
    <w:name w:val="Footnote Text Char2"/>
    <w:aliases w:val="Footnote Text Char Char1,fn Char,Footnote Text Char1 Char2,Footnote Text Char Char Char1,Footnote Text Char1 Char Char1,Footnote Text Char Char Char Char,Footnote Text MRP Char,Footnote Text Char1 Char Char Char"/>
    <w:basedOn w:val="DefaultParagraphFont"/>
    <w:link w:val="FootnoteText"/>
    <w:rsid w:val="008F186E"/>
    <w:rPr>
      <w:sz w:val="26"/>
      <w:lang w:val="en-US" w:eastAsia="en-US" w:bidi="ar-SA"/>
    </w:rPr>
  </w:style>
  <w:style w:type="character" w:styleId="CommentReference">
    <w:name w:val="annotation reference"/>
    <w:basedOn w:val="DefaultParagraphFont"/>
    <w:semiHidden/>
    <w:rsid w:val="0076517E"/>
    <w:rPr>
      <w:sz w:val="16"/>
      <w:szCs w:val="16"/>
    </w:rPr>
  </w:style>
  <w:style w:type="paragraph" w:styleId="CommentText">
    <w:name w:val="annotation text"/>
    <w:basedOn w:val="Normal"/>
    <w:semiHidden/>
    <w:rsid w:val="0076517E"/>
    <w:rPr>
      <w:sz w:val="20"/>
      <w:szCs w:val="20"/>
    </w:rPr>
  </w:style>
  <w:style w:type="paragraph" w:styleId="CommentSubject">
    <w:name w:val="annotation subject"/>
    <w:basedOn w:val="CommentText"/>
    <w:next w:val="CommentText"/>
    <w:semiHidden/>
    <w:rsid w:val="0076517E"/>
    <w:rPr>
      <w:b/>
      <w:bCs/>
    </w:rPr>
  </w:style>
  <w:style w:type="paragraph" w:styleId="BalloonText">
    <w:name w:val="Balloon Text"/>
    <w:basedOn w:val="Normal"/>
    <w:semiHidden/>
    <w:rsid w:val="0076517E"/>
    <w:rPr>
      <w:rFonts w:ascii="Tahoma" w:hAnsi="Tahoma" w:cs="Tahoma"/>
      <w:sz w:val="16"/>
      <w:szCs w:val="16"/>
    </w:rPr>
  </w:style>
  <w:style w:type="character" w:styleId="FollowedHyperlink">
    <w:name w:val="FollowedHyperlink"/>
    <w:basedOn w:val="DefaultParagraphFont"/>
    <w:rsid w:val="00F245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22349">
      <w:bodyDiv w:val="1"/>
      <w:marLeft w:val="0"/>
      <w:marRight w:val="0"/>
      <w:marTop w:val="0"/>
      <w:marBottom w:val="0"/>
      <w:divBdr>
        <w:top w:val="none" w:sz="0" w:space="0" w:color="auto"/>
        <w:left w:val="none" w:sz="0" w:space="0" w:color="auto"/>
        <w:bottom w:val="none" w:sz="0" w:space="0" w:color="auto"/>
        <w:right w:val="none" w:sz="0" w:space="0" w:color="auto"/>
      </w:divBdr>
    </w:div>
    <w:div w:id="176857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erc.gov/docs-filing/info-collections.as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erc.gov/docs-filing/forms/form-2/elec-subm-soft.as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37989b7f3facc8775e95634d9665dc17">
  <xsd:schema xmlns:xsd="http://www.w3.org/2001/XMLSchema" xmlns:xs="http://www.w3.org/2001/XMLSchema" xmlns:p="http://schemas.microsoft.com/office/2006/metadata/properties" xmlns:ns2="d6eefc7d-9817-4fa6-84d5-3bc009be21b8" targetNamespace="http://schemas.microsoft.com/office/2006/metadata/properties" ma:root="true" ma:fieldsID="a0a8f6ab7fef6b771d681907feb4b9f5"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2</_x0031__x002e__x0020_Collection_x0020_Number>
    <Date xmlns="d6eefc7d-9817-4fa6-84d5-3bc009be21b8" xsi:nil="tru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IC14-12</_x0031__x002e__x0020_Docket_x0020_Number>
    <_x0033__x002e__x0020_Collection_x0020_Number xmlns="d6eefc7d-9817-4fa6-84d5-3bc009be21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61454-48E5-499C-8566-A712BE54E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AE8B2-056D-4B38-B1A3-CC492543A290}">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d6eefc7d-9817-4fa6-84d5-3bc009be21b8"/>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E34C1E1-0DBF-4512-AB44-DDBB6E8F57FC}">
  <ds:schemaRefs>
    <ds:schemaRef ds:uri="http://schemas.microsoft.com/sharepoint/v3/contenttype/forms"/>
  </ds:schemaRefs>
</ds:datastoreItem>
</file>

<file path=customXml/itemProps4.xml><?xml version="1.0" encoding="utf-8"?>
<ds:datastoreItem xmlns:ds="http://schemas.openxmlformats.org/officeDocument/2006/customXml" ds:itemID="{2C820FC5-5A6A-483C-9777-5158465F9B2E}">
  <ds:schemaRefs>
    <ds:schemaRef ds:uri="http://schemas.microsoft.com/office/2006/metadata/customXsn"/>
  </ds:schemaRefs>
</ds:datastoreItem>
</file>

<file path=customXml/itemProps5.xml><?xml version="1.0" encoding="utf-8"?>
<ds:datastoreItem xmlns:ds="http://schemas.openxmlformats.org/officeDocument/2006/customXml" ds:itemID="{05383AC3-ED92-4FC5-A5FB-2202B4CA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2177</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Data Collection</vt:lpstr>
    </vt:vector>
  </TitlesOfParts>
  <Company>FERC</Company>
  <LinksUpToDate>false</LinksUpToDate>
  <CharactersWithSpaces>14890</CharactersWithSpaces>
  <SharedDoc>false</SharedDoc>
  <HLinks>
    <vt:vector size="12" baseType="variant">
      <vt:variant>
        <vt:i4>6684722</vt:i4>
      </vt:variant>
      <vt:variant>
        <vt:i4>0</vt:i4>
      </vt:variant>
      <vt:variant>
        <vt:i4>0</vt:i4>
      </vt:variant>
      <vt:variant>
        <vt:i4>5</vt:i4>
      </vt:variant>
      <vt:variant>
        <vt:lpwstr>http://www.ferc.gov/docs-filing/forms/form-2/elec-subm-soft.asp</vt:lpwstr>
      </vt:variant>
      <vt:variant>
        <vt:lpwstr/>
      </vt:variant>
      <vt:variant>
        <vt:i4>5242970</vt:i4>
      </vt:variant>
      <vt:variant>
        <vt:i4>0</vt:i4>
      </vt:variant>
      <vt:variant>
        <vt:i4>0</vt:i4>
      </vt:variant>
      <vt:variant>
        <vt:i4>5</vt:i4>
      </vt:variant>
      <vt:variant>
        <vt:lpwstr>http://elibrary.ferc.gov/idmws/common/OpenNat.asp?fileID=12735112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dc:title>
  <dc:creator>Mpmed12</dc:creator>
  <cp:lastModifiedBy>Anthony May</cp:lastModifiedBy>
  <cp:revision>11</cp:revision>
  <cp:lastPrinted>2011-01-14T15:04:00Z</cp:lastPrinted>
  <dcterms:created xsi:type="dcterms:W3CDTF">2014-08-06T20:19:00Z</dcterms:created>
  <dcterms:modified xsi:type="dcterms:W3CDTF">2014-08-07T19:51:00Z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0x0101003837EBEE62F2E248B8AD112B0E89FEBA</vt:lpwstr>
  </property>
  <property fmtid="{D5CDD505-2E9C-101B-9397-08002B2CF9AE}" pid="4" name="_AdHocReviewCycleID">
    <vt:i4>-1414580582</vt:i4>
  </property>
  <property fmtid="{D5CDD505-2E9C-101B-9397-08002B2CF9AE}" pid="5" name="_EmailSubject">
    <vt:lpwstr>Form 2/2A supporting statement</vt:lpwstr>
  </property>
  <property fmtid="{D5CDD505-2E9C-101B-9397-08002B2CF9AE}" pid="6" name="_AuthorEmail">
    <vt:lpwstr>Brian.Holmes@ferc.gov</vt:lpwstr>
  </property>
  <property fmtid="{D5CDD505-2E9C-101B-9397-08002B2CF9AE}" pid="7" name="_AuthorEmailDisplayName">
    <vt:lpwstr>Brian Holmes</vt:lpwstr>
  </property>
  <property fmtid="{D5CDD505-2E9C-101B-9397-08002B2CF9AE}" pid="8" name="_ReviewingToolsShownOnce">
    <vt:lpwstr/>
  </property>
</Properties>
</file>