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44BC"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5951B2F1" w14:textId="77777777" w:rsidR="00FD66F1" w:rsidRDefault="003F4DED"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FERC-520</w:t>
      </w:r>
      <w:r w:rsidR="00702D51">
        <w:rPr>
          <w:rFonts w:ascii="Times New Roman" w:hAnsi="Times New Roman" w:cs="Times New Roman"/>
          <w:b/>
          <w:sz w:val="24"/>
          <w:szCs w:val="24"/>
        </w:rPr>
        <w:t xml:space="preserve"> (</w:t>
      </w:r>
      <w:r w:rsidR="00342296">
        <w:rPr>
          <w:rFonts w:ascii="Times New Roman" w:hAnsi="Times New Roman" w:cs="Times New Roman"/>
          <w:b/>
          <w:sz w:val="24"/>
          <w:szCs w:val="24"/>
        </w:rPr>
        <w:t>Application for Authority to Hold Interlocking Directorate Positions</w:t>
      </w:r>
      <w:r w:rsidR="003A2CE6">
        <w:rPr>
          <w:rFonts w:ascii="Times New Roman" w:hAnsi="Times New Roman" w:cs="Times New Roman"/>
          <w:b/>
          <w:sz w:val="24"/>
          <w:szCs w:val="24"/>
        </w:rPr>
        <w:t>)</w:t>
      </w:r>
      <w:bookmarkStart w:id="0" w:name="_GoBack"/>
      <w:bookmarkEnd w:id="0"/>
    </w:p>
    <w:p w14:paraId="2E4AAECE" w14:textId="77777777" w:rsidR="00342296" w:rsidRDefault="00342296"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 Form 561 (Annual Report of Interlocking Directorates)</w:t>
      </w:r>
    </w:p>
    <w:p w14:paraId="0220D3DB" w14:textId="77777777" w:rsidR="00342296" w:rsidRDefault="00342296"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FERC-566 (Annual Report of Twenty Largest Purchasers)</w:t>
      </w:r>
    </w:p>
    <w:p w14:paraId="406C22D2" w14:textId="77777777" w:rsidR="00FD66F1" w:rsidRDefault="00FD66F1" w:rsidP="00FD66F1">
      <w:pPr>
        <w:spacing w:after="0"/>
        <w:jc w:val="center"/>
        <w:rPr>
          <w:rFonts w:ascii="Times New Roman" w:hAnsi="Times New Roman" w:cs="Times New Roman"/>
          <w:sz w:val="24"/>
          <w:szCs w:val="24"/>
        </w:rPr>
      </w:pPr>
    </w:p>
    <w:p w14:paraId="0F8096DB" w14:textId="165869E0" w:rsidR="0002242D" w:rsidRDefault="00FE2317" w:rsidP="00FD66F1">
      <w:pPr>
        <w:spacing w:after="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w:t>
      </w:r>
      <w:r w:rsidR="00EC19DF">
        <w:rPr>
          <w:rFonts w:ascii="Times New Roman" w:hAnsi="Times New Roman" w:cs="Times New Roman"/>
          <w:sz w:val="24"/>
          <w:szCs w:val="24"/>
        </w:rPr>
        <w:t>s</w:t>
      </w:r>
      <w:r>
        <w:rPr>
          <w:rFonts w:ascii="Times New Roman" w:hAnsi="Times New Roman" w:cs="Times New Roman"/>
          <w:sz w:val="24"/>
          <w:szCs w:val="24"/>
        </w:rPr>
        <w:t xml:space="preserve"> that the Office of Management and Budget (OMB) review </w:t>
      </w:r>
      <w:r w:rsidR="006A0DFC">
        <w:rPr>
          <w:rFonts w:ascii="Times New Roman" w:hAnsi="Times New Roman" w:cs="Times New Roman"/>
          <w:sz w:val="24"/>
          <w:szCs w:val="24"/>
        </w:rPr>
        <w:t xml:space="preserve">the information collection requirements in </w:t>
      </w:r>
      <w:r w:rsidR="003F4DED">
        <w:rPr>
          <w:rFonts w:ascii="Times New Roman" w:hAnsi="Times New Roman" w:cs="Times New Roman"/>
          <w:sz w:val="24"/>
          <w:szCs w:val="24"/>
        </w:rPr>
        <w:t>the FERC-520</w:t>
      </w:r>
      <w:r w:rsidR="003A2CE6">
        <w:rPr>
          <w:rFonts w:ascii="Times New Roman" w:hAnsi="Times New Roman" w:cs="Times New Roman"/>
          <w:sz w:val="24"/>
          <w:szCs w:val="24"/>
        </w:rPr>
        <w:t xml:space="preserve"> information collection (OMB Control No. 1902-0073)</w:t>
      </w:r>
      <w:r w:rsidR="00342296">
        <w:rPr>
          <w:rFonts w:ascii="Times New Roman" w:hAnsi="Times New Roman" w:cs="Times New Roman"/>
          <w:sz w:val="24"/>
          <w:szCs w:val="24"/>
        </w:rPr>
        <w:t>, FERC-561 (OMB Control No. 1902-0089), and FERC-566 (OMB Control No. 1902-0114)</w:t>
      </w:r>
      <w:r w:rsidR="003A2CE6">
        <w:rPr>
          <w:rFonts w:ascii="Times New Roman" w:hAnsi="Times New Roman" w:cs="Times New Roman"/>
          <w:sz w:val="24"/>
          <w:szCs w:val="24"/>
        </w:rPr>
        <w:t xml:space="preserve"> and extend its approval of the</w:t>
      </w:r>
      <w:r w:rsidR="00342296">
        <w:rPr>
          <w:rFonts w:ascii="Times New Roman" w:hAnsi="Times New Roman" w:cs="Times New Roman"/>
          <w:sz w:val="24"/>
          <w:szCs w:val="24"/>
        </w:rPr>
        <w:t>se</w:t>
      </w:r>
      <w:r w:rsidR="003A2CE6">
        <w:rPr>
          <w:rFonts w:ascii="Times New Roman" w:hAnsi="Times New Roman" w:cs="Times New Roman"/>
          <w:sz w:val="24"/>
          <w:szCs w:val="24"/>
        </w:rPr>
        <w:t xml:space="preserve"> information collection</w:t>
      </w:r>
      <w:r w:rsidR="00342296">
        <w:rPr>
          <w:rFonts w:ascii="Times New Roman" w:hAnsi="Times New Roman" w:cs="Times New Roman"/>
          <w:sz w:val="24"/>
          <w:szCs w:val="24"/>
        </w:rPr>
        <w:t>s</w:t>
      </w:r>
      <w:r w:rsidR="003A2CE6">
        <w:rPr>
          <w:rFonts w:ascii="Times New Roman" w:hAnsi="Times New Roman" w:cs="Times New Roman"/>
          <w:sz w:val="24"/>
          <w:szCs w:val="24"/>
        </w:rPr>
        <w:t xml:space="preserve"> for three years.  FERC-5</w:t>
      </w:r>
      <w:r w:rsidR="00AE0D4C">
        <w:rPr>
          <w:rFonts w:ascii="Times New Roman" w:hAnsi="Times New Roman" w:cs="Times New Roman"/>
          <w:sz w:val="24"/>
          <w:szCs w:val="24"/>
        </w:rPr>
        <w:t xml:space="preserve">20, FERC Form </w:t>
      </w:r>
      <w:r w:rsidR="00342296">
        <w:rPr>
          <w:rFonts w:ascii="Times New Roman" w:hAnsi="Times New Roman" w:cs="Times New Roman"/>
          <w:sz w:val="24"/>
          <w:szCs w:val="24"/>
        </w:rPr>
        <w:t>561, and FERC-566</w:t>
      </w:r>
      <w:r w:rsidR="003A2CE6">
        <w:rPr>
          <w:rFonts w:ascii="Times New Roman" w:hAnsi="Times New Roman" w:cs="Times New Roman"/>
          <w:sz w:val="24"/>
          <w:szCs w:val="24"/>
        </w:rPr>
        <w:t xml:space="preserve"> </w:t>
      </w:r>
      <w:r w:rsidR="00342296">
        <w:rPr>
          <w:rFonts w:ascii="Times New Roman" w:hAnsi="Times New Roman" w:cs="Times New Roman"/>
          <w:sz w:val="24"/>
          <w:szCs w:val="24"/>
        </w:rPr>
        <w:t>are all</w:t>
      </w:r>
      <w:r w:rsidR="003A2CE6">
        <w:rPr>
          <w:rFonts w:ascii="Times New Roman" w:hAnsi="Times New Roman" w:cs="Times New Roman"/>
          <w:sz w:val="24"/>
          <w:szCs w:val="24"/>
        </w:rPr>
        <w:t xml:space="preserve"> existing data collection</w:t>
      </w:r>
      <w:r w:rsidR="00342296">
        <w:rPr>
          <w:rFonts w:ascii="Times New Roman" w:hAnsi="Times New Roman" w:cs="Times New Roman"/>
          <w:sz w:val="24"/>
          <w:szCs w:val="24"/>
        </w:rPr>
        <w:t>s</w:t>
      </w:r>
      <w:r w:rsidR="003A2CE6">
        <w:rPr>
          <w:rFonts w:ascii="Times New Roman" w:hAnsi="Times New Roman" w:cs="Times New Roman"/>
          <w:sz w:val="24"/>
          <w:szCs w:val="24"/>
        </w:rPr>
        <w:t xml:space="preserve"> whose filing requirements are contained in 18 Code of F</w:t>
      </w:r>
      <w:r w:rsidR="0007063B">
        <w:rPr>
          <w:rFonts w:ascii="Times New Roman" w:hAnsi="Times New Roman" w:cs="Times New Roman"/>
          <w:sz w:val="24"/>
          <w:szCs w:val="24"/>
        </w:rPr>
        <w:t>ederal Regulations (CFR) Parts 45, 46, and 131.31</w:t>
      </w:r>
      <w:r w:rsidR="003A2CE6" w:rsidRPr="00AE0D4C">
        <w:rPr>
          <w:rFonts w:ascii="Times New Roman" w:hAnsi="Times New Roman" w:cs="Times New Roman"/>
          <w:sz w:val="24"/>
          <w:szCs w:val="24"/>
        </w:rPr>
        <w:t>.</w:t>
      </w:r>
    </w:p>
    <w:p w14:paraId="5327FB64" w14:textId="77777777" w:rsidR="00342296" w:rsidRDefault="00342296" w:rsidP="00FD66F1">
      <w:pPr>
        <w:spacing w:after="0"/>
        <w:rPr>
          <w:rFonts w:ascii="Times New Roman" w:hAnsi="Times New Roman" w:cs="Times New Roman"/>
          <w:sz w:val="24"/>
          <w:szCs w:val="24"/>
        </w:rPr>
      </w:pPr>
    </w:p>
    <w:p w14:paraId="3FE40F22" w14:textId="77777777" w:rsidR="00342296" w:rsidRDefault="00342296" w:rsidP="00FD66F1">
      <w:pPr>
        <w:spacing w:after="0"/>
        <w:rPr>
          <w:rFonts w:ascii="Times New Roman" w:hAnsi="Times New Roman" w:cs="Times New Roman"/>
          <w:sz w:val="24"/>
          <w:szCs w:val="24"/>
        </w:rPr>
      </w:pPr>
      <w:r>
        <w:rPr>
          <w:rFonts w:ascii="Times New Roman" w:hAnsi="Times New Roman" w:cs="Times New Roman"/>
          <w:sz w:val="24"/>
          <w:szCs w:val="24"/>
        </w:rPr>
        <w:t>This supporting statement consolidates these renewal efforts because these collections’ purposes are closely related and, thus, their reviews should be closely related as well.</w:t>
      </w:r>
    </w:p>
    <w:p w14:paraId="2B256318" w14:textId="77777777" w:rsidR="003A2CE6" w:rsidRDefault="003A2CE6" w:rsidP="00FD66F1">
      <w:pPr>
        <w:spacing w:after="0"/>
        <w:rPr>
          <w:rFonts w:ascii="Times New Roman" w:hAnsi="Times New Roman" w:cs="Times New Roman"/>
          <w:sz w:val="24"/>
          <w:szCs w:val="24"/>
        </w:rPr>
      </w:pPr>
    </w:p>
    <w:p w14:paraId="54575E18"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6C19869" w14:textId="77777777" w:rsidR="00A72E7B" w:rsidRDefault="00A72E7B" w:rsidP="00EB3E6F">
      <w:pPr>
        <w:spacing w:after="0"/>
        <w:rPr>
          <w:rFonts w:ascii="Times New Roman" w:hAnsi="Times New Roman" w:cs="Times New Roman"/>
          <w:sz w:val="24"/>
          <w:szCs w:val="24"/>
        </w:rPr>
      </w:pPr>
    </w:p>
    <w:p w14:paraId="3C00B7E1" w14:textId="77777777" w:rsidR="001E3D20" w:rsidRDefault="00EC1D23" w:rsidP="00EC1D23">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342296">
        <w:rPr>
          <w:rFonts w:ascii="Times New Roman" w:hAnsi="Times New Roman" w:cs="Times New Roman"/>
          <w:sz w:val="24"/>
          <w:szCs w:val="24"/>
        </w:rPr>
        <w:t>Federal Power Act (FPA) mandates federal oversight and approval of certain electric corporate activities and implements related information filing requirements.  The FERC-</w:t>
      </w:r>
      <w:r w:rsidR="00666AF6">
        <w:rPr>
          <w:rFonts w:ascii="Times New Roman" w:hAnsi="Times New Roman" w:cs="Times New Roman"/>
          <w:sz w:val="24"/>
          <w:szCs w:val="24"/>
        </w:rPr>
        <w:t xml:space="preserve">520, FERC Form 561, and FERC-566 ensure that FPA-mandated oversight can occur.  Additionally, these collections help ensure that neither public nor private interests are adversely affected by the electric activities the FPA provisions cover.  The regulatory requirements for the collections are contained in 18 Code of Federal Regulations (CFR) Parts 45, 46, and 131.31. </w:t>
      </w:r>
    </w:p>
    <w:p w14:paraId="029B1460" w14:textId="77777777" w:rsidR="00EB3E6F" w:rsidRPr="00EB3E6F" w:rsidRDefault="00EB3E6F" w:rsidP="00EB3E6F">
      <w:pPr>
        <w:spacing w:after="0"/>
        <w:rPr>
          <w:rFonts w:ascii="Times New Roman" w:hAnsi="Times New Roman" w:cs="Times New Roman"/>
          <w:sz w:val="24"/>
          <w:szCs w:val="24"/>
        </w:rPr>
      </w:pPr>
    </w:p>
    <w:p w14:paraId="12694DFE"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6CE1B5B5" w14:textId="77777777" w:rsidR="00EB3E6F" w:rsidRDefault="00EB3E6F" w:rsidP="00EB3E6F">
      <w:pPr>
        <w:spacing w:after="0"/>
        <w:rPr>
          <w:rFonts w:ascii="Times New Roman" w:hAnsi="Times New Roman" w:cs="Times New Roman"/>
          <w:sz w:val="24"/>
          <w:szCs w:val="24"/>
        </w:rPr>
      </w:pPr>
    </w:p>
    <w:p w14:paraId="2A04C695" w14:textId="77777777" w:rsidR="00666AF6" w:rsidRPr="0068509E" w:rsidRDefault="00666AF6" w:rsidP="00F63DF4">
      <w:pPr>
        <w:spacing w:after="0"/>
        <w:rPr>
          <w:rFonts w:ascii="Times New Roman" w:hAnsi="Times New Roman" w:cs="Times New Roman"/>
          <w:sz w:val="24"/>
          <w:szCs w:val="24"/>
          <w:u w:val="single"/>
        </w:rPr>
      </w:pPr>
      <w:r w:rsidRPr="0068509E">
        <w:rPr>
          <w:rFonts w:ascii="Times New Roman" w:hAnsi="Times New Roman" w:cs="Times New Roman"/>
          <w:sz w:val="24"/>
          <w:szCs w:val="24"/>
          <w:u w:val="single"/>
        </w:rPr>
        <w:t>FERC-520</w:t>
      </w:r>
    </w:p>
    <w:p w14:paraId="14431647" w14:textId="77777777" w:rsidR="00666AF6" w:rsidRDefault="00666AF6" w:rsidP="00F63DF4">
      <w:pPr>
        <w:spacing w:after="0"/>
        <w:rPr>
          <w:rFonts w:ascii="Times New Roman" w:hAnsi="Times New Roman" w:cs="Times New Roman"/>
          <w:sz w:val="24"/>
          <w:szCs w:val="24"/>
        </w:rPr>
      </w:pPr>
      <w:r>
        <w:rPr>
          <w:rFonts w:ascii="Times New Roman" w:hAnsi="Times New Roman" w:cs="Times New Roman"/>
          <w:sz w:val="24"/>
          <w:szCs w:val="24"/>
        </w:rPr>
        <w:t>The FERC-520 (Application for Authority to Hold Interlocking Directorate Positions) is an application requesting FERC authorization for board members of regulated electric utilities who plan to simultaneously hold positions on corporate boards of related or similar entities.  This occurrence is known as an “interlocking directorate”.  Under the FPA, the holding of specific interlocking directorates is unlawful unless the Commission has authorized the interlocks to be held.</w:t>
      </w:r>
    </w:p>
    <w:p w14:paraId="6CBA5498" w14:textId="77777777" w:rsidR="00666AF6" w:rsidRDefault="00666AF6" w:rsidP="00F63DF4">
      <w:pPr>
        <w:spacing w:after="0"/>
        <w:rPr>
          <w:rFonts w:ascii="Times New Roman" w:hAnsi="Times New Roman" w:cs="Times New Roman"/>
          <w:sz w:val="24"/>
          <w:szCs w:val="24"/>
        </w:rPr>
      </w:pPr>
    </w:p>
    <w:p w14:paraId="434C2AE7" w14:textId="77777777" w:rsidR="00666AF6" w:rsidRDefault="00666AF6" w:rsidP="00F63DF4">
      <w:pPr>
        <w:spacing w:after="0"/>
        <w:rPr>
          <w:rFonts w:ascii="Times New Roman" w:hAnsi="Times New Roman" w:cs="Times New Roman"/>
          <w:sz w:val="24"/>
          <w:szCs w:val="24"/>
        </w:rPr>
      </w:pPr>
      <w:r>
        <w:rPr>
          <w:rFonts w:ascii="Times New Roman" w:hAnsi="Times New Roman" w:cs="Times New Roman"/>
          <w:sz w:val="24"/>
          <w:szCs w:val="24"/>
        </w:rPr>
        <w:t>Before assuming an interlocking position, an applicant must demonstrate that neither public nor private interests wil</w:t>
      </w:r>
      <w:r w:rsidR="003F4DED">
        <w:rPr>
          <w:rFonts w:ascii="Times New Roman" w:hAnsi="Times New Roman" w:cs="Times New Roman"/>
          <w:sz w:val="24"/>
          <w:szCs w:val="24"/>
        </w:rPr>
        <w:t>l</w:t>
      </w:r>
      <w:r>
        <w:rPr>
          <w:rFonts w:ascii="Times New Roman" w:hAnsi="Times New Roman" w:cs="Times New Roman"/>
          <w:sz w:val="24"/>
          <w:szCs w:val="24"/>
        </w:rPr>
        <w:t xml:space="preserve"> be adversely affected by the </w:t>
      </w:r>
      <w:r w:rsidR="002F582B">
        <w:rPr>
          <w:rFonts w:ascii="Times New Roman" w:hAnsi="Times New Roman" w:cs="Times New Roman"/>
          <w:sz w:val="24"/>
          <w:szCs w:val="24"/>
        </w:rPr>
        <w:t xml:space="preserve">interlocking position. The FERC-520 identifies </w:t>
      </w:r>
      <w:r w:rsidR="002F582B">
        <w:rPr>
          <w:rFonts w:ascii="Times New Roman" w:hAnsi="Times New Roman" w:cs="Times New Roman"/>
          <w:sz w:val="24"/>
          <w:szCs w:val="24"/>
        </w:rPr>
        <w:lastRenderedPageBreak/>
        <w:t>the applicant and provides FERC with a list and information about any interlocking position the application requests authorization to hold.  Additionally, the filing  collects information related to the applicant’s financial interests, other officer/directors of the firm that are involved, and the nature of business relationships among firms.</w:t>
      </w:r>
    </w:p>
    <w:p w14:paraId="5C16B81B" w14:textId="77777777" w:rsidR="002F582B" w:rsidRDefault="002F582B" w:rsidP="00F63DF4">
      <w:pPr>
        <w:spacing w:after="0"/>
        <w:rPr>
          <w:rFonts w:ascii="Times New Roman" w:hAnsi="Times New Roman" w:cs="Times New Roman"/>
          <w:sz w:val="24"/>
          <w:szCs w:val="24"/>
        </w:rPr>
      </w:pPr>
    </w:p>
    <w:p w14:paraId="6EA1DBFE" w14:textId="77777777" w:rsidR="002F582B" w:rsidRDefault="002F582B" w:rsidP="00F63DF4">
      <w:pPr>
        <w:spacing w:after="0"/>
        <w:rPr>
          <w:rFonts w:ascii="Times New Roman" w:hAnsi="Times New Roman" w:cs="Times New Roman"/>
          <w:sz w:val="24"/>
          <w:szCs w:val="24"/>
        </w:rPr>
      </w:pPr>
      <w:r>
        <w:rPr>
          <w:rFonts w:ascii="Times New Roman" w:hAnsi="Times New Roman" w:cs="Times New Roman"/>
          <w:sz w:val="24"/>
          <w:szCs w:val="24"/>
        </w:rPr>
        <w:t xml:space="preserve">FERC allows two types of FERC-520 applications to implement FPA requirements: </w:t>
      </w:r>
    </w:p>
    <w:p w14:paraId="52818699" w14:textId="28804B41" w:rsidR="002F582B" w:rsidRDefault="002F582B" w:rsidP="002F582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Full: As required in 18 CFR 45.8, full applications are made (1) an office</w:t>
      </w:r>
      <w:r w:rsidR="00924D41">
        <w:rPr>
          <w:rFonts w:ascii="Times New Roman" w:hAnsi="Times New Roman" w:cs="Times New Roman"/>
          <w:sz w:val="24"/>
          <w:szCs w:val="24"/>
        </w:rPr>
        <w:t>r</w:t>
      </w:r>
      <w:r>
        <w:rPr>
          <w:rFonts w:ascii="Times New Roman" w:hAnsi="Times New Roman" w:cs="Times New Roman"/>
          <w:sz w:val="24"/>
          <w:szCs w:val="24"/>
        </w:rPr>
        <w:t xml:space="preserve"> or director of more than one public utility, (2) an officer or director of a public utility and of a public utility securities underwriter, (3) an officer or director of a public utility and of an electrical equipment supplier to that utility.  They provide detailed information abou</w:t>
      </w:r>
      <w:r w:rsidR="00924D41">
        <w:rPr>
          <w:rFonts w:ascii="Times New Roman" w:hAnsi="Times New Roman" w:cs="Times New Roman"/>
          <w:sz w:val="24"/>
          <w:szCs w:val="24"/>
        </w:rPr>
        <w:t>t</w:t>
      </w:r>
      <w:r>
        <w:rPr>
          <w:rFonts w:ascii="Times New Roman" w:hAnsi="Times New Roman" w:cs="Times New Roman"/>
          <w:sz w:val="24"/>
          <w:szCs w:val="24"/>
        </w:rPr>
        <w:t xml:space="preserve"> the positions for which authorization is sought including a description of duties, estimated time required by the position, and the applicant’s indebtedness to the public utility.</w:t>
      </w:r>
    </w:p>
    <w:p w14:paraId="4E158801" w14:textId="77777777" w:rsidR="0068509E" w:rsidRDefault="0068509E" w:rsidP="002F582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Informational: As required in 18 CFR 45.9, informational applications are intended for automatic authorization.  These applications are made by </w:t>
      </w:r>
      <w:r w:rsidRPr="0068509E">
        <w:rPr>
          <w:rFonts w:ascii="Times New Roman" w:hAnsi="Times New Roman" w:cs="Times New Roman"/>
          <w:sz w:val="24"/>
          <w:szCs w:val="24"/>
        </w:rPr>
        <w:t xml:space="preserve">(1) an officer or director of two or more public utilities where the same holding company owns, directly or indirectly, wholly or in part, the other public utility; (2) an officer or director of two public utilities, if one utility is owned, wholly or in part, by the other; or  (3) an officer or director of more than one public utility, if such person is already authorized under Part 45 to hold different positions where the interlock involves affiliated public utilities.   </w:t>
      </w:r>
    </w:p>
    <w:p w14:paraId="2B0F61D6" w14:textId="77777777" w:rsidR="0068509E" w:rsidRDefault="0068509E" w:rsidP="0068509E">
      <w:pPr>
        <w:spacing w:after="0"/>
        <w:rPr>
          <w:rFonts w:ascii="Times New Roman" w:hAnsi="Times New Roman" w:cs="Times New Roman"/>
          <w:sz w:val="24"/>
          <w:szCs w:val="24"/>
        </w:rPr>
      </w:pPr>
    </w:p>
    <w:p w14:paraId="08290F8F" w14:textId="16AB7AD8" w:rsidR="0068509E" w:rsidRDefault="0068509E" w:rsidP="0068509E">
      <w:pPr>
        <w:spacing w:after="0"/>
        <w:rPr>
          <w:rFonts w:ascii="Times New Roman" w:hAnsi="Times New Roman" w:cs="Times New Roman"/>
          <w:sz w:val="24"/>
          <w:szCs w:val="24"/>
        </w:rPr>
      </w:pPr>
      <w:r>
        <w:rPr>
          <w:rFonts w:ascii="Times New Roman" w:hAnsi="Times New Roman" w:cs="Times New Roman"/>
          <w:sz w:val="24"/>
          <w:szCs w:val="24"/>
        </w:rPr>
        <w:t>FERC requires notices of change if the applicant resigns or withdraws from Commission-authorized interlocked positions or if the applicant is not re-elected or reappointed to the interlocked positio</w:t>
      </w:r>
      <w:r w:rsidRPr="00EA4A75">
        <w:rPr>
          <w:rFonts w:ascii="Times New Roman" w:hAnsi="Times New Roman" w:cs="Times New Roman"/>
          <w:sz w:val="24"/>
          <w:szCs w:val="24"/>
        </w:rPr>
        <w:t>n.</w:t>
      </w:r>
      <w:r w:rsidR="00EA4A75" w:rsidRPr="00EA4A75">
        <w:rPr>
          <w:rFonts w:ascii="Times New Roman" w:hAnsi="Times New Roman" w:cs="Times New Roman"/>
          <w:sz w:val="24"/>
          <w:szCs w:val="24"/>
        </w:rPr>
        <w:t xml:space="preserve">  Pursuant to</w:t>
      </w:r>
      <w:r w:rsidR="00EA4A75">
        <w:rPr>
          <w:rFonts w:ascii="Times New Roman" w:hAnsi="Times New Roman" w:cs="Times New Roman"/>
          <w:sz w:val="24"/>
          <w:szCs w:val="24"/>
        </w:rPr>
        <w:t xml:space="preserve"> 18 CFR</w:t>
      </w:r>
      <w:r w:rsidR="00EA4A75" w:rsidRPr="00EA4A75">
        <w:rPr>
          <w:rFonts w:ascii="Times New Roman" w:hAnsi="Times New Roman" w:cs="Times New Roman"/>
          <w:sz w:val="24"/>
          <w:szCs w:val="24"/>
        </w:rPr>
        <w:t xml:space="preserve"> 45.5, an applica</w:t>
      </w:r>
      <w:r w:rsidR="00EA4A75">
        <w:rPr>
          <w:rFonts w:ascii="Times New Roman" w:hAnsi="Times New Roman" w:cs="Times New Roman"/>
          <w:sz w:val="24"/>
          <w:szCs w:val="24"/>
        </w:rPr>
        <w:t>nt must file a notice of change</w:t>
      </w:r>
      <w:r w:rsidR="00EA4A75" w:rsidRPr="00EA4A75">
        <w:rPr>
          <w:rFonts w:ascii="Times New Roman" w:hAnsi="Times New Roman" w:cs="Times New Roman"/>
          <w:sz w:val="24"/>
          <w:szCs w:val="24"/>
        </w:rPr>
        <w:t xml:space="preserve"> </w:t>
      </w:r>
      <w:r w:rsidR="00EA4A75">
        <w:rPr>
          <w:rFonts w:ascii="Times New Roman" w:hAnsi="Times New Roman" w:cs="Times New Roman"/>
          <w:sz w:val="24"/>
          <w:szCs w:val="24"/>
        </w:rPr>
        <w:t>(</w:t>
      </w:r>
      <w:r w:rsidR="00EA4A75" w:rsidRPr="00EA4A75">
        <w:rPr>
          <w:rFonts w:ascii="Times New Roman" w:hAnsi="Times New Roman" w:cs="Times New Roman"/>
          <w:sz w:val="24"/>
          <w:szCs w:val="24"/>
        </w:rPr>
        <w:t xml:space="preserve">i.e. the relinquishing of all of his/her interlock positions within the same holding company, within 30 days after any such change.  This notice of change includes the position(s) that the applicant held, the corporation of which the position was part of, and the date of termination of the position.   </w:t>
      </w:r>
      <w:r w:rsidR="00EA4A75">
        <w:rPr>
          <w:rFonts w:ascii="Times New Roman" w:hAnsi="Times New Roman" w:cs="Times New Roman"/>
          <w:sz w:val="24"/>
          <w:szCs w:val="24"/>
        </w:rPr>
        <w:t>Additionally, pursuant to 18 CFR</w:t>
      </w:r>
      <w:r w:rsidR="00EA4A75" w:rsidRPr="00EA4A75">
        <w:rPr>
          <w:rFonts w:ascii="Times New Roman" w:hAnsi="Times New Roman" w:cs="Times New Roman"/>
          <w:sz w:val="24"/>
          <w:szCs w:val="24"/>
        </w:rPr>
        <w:t xml:space="preserve"> 45.7, the notice of change should be filed with the Secretary of the Commission in accordance with the filing procedures posted on www.ferc.gov.  Each filing must be dated, signed by the applicant, and verified under oath.   </w:t>
      </w:r>
    </w:p>
    <w:p w14:paraId="2A4698FF" w14:textId="77777777" w:rsidR="0068509E" w:rsidRDefault="0068509E" w:rsidP="0068509E">
      <w:pPr>
        <w:spacing w:after="0"/>
        <w:rPr>
          <w:rFonts w:ascii="Times New Roman" w:hAnsi="Times New Roman" w:cs="Times New Roman"/>
          <w:sz w:val="24"/>
          <w:szCs w:val="24"/>
        </w:rPr>
      </w:pPr>
    </w:p>
    <w:p w14:paraId="71684361" w14:textId="77777777" w:rsidR="0068509E" w:rsidRPr="0015010C" w:rsidRDefault="0068509E" w:rsidP="0068509E">
      <w:pPr>
        <w:spacing w:after="0"/>
        <w:rPr>
          <w:rFonts w:ascii="Times New Roman" w:hAnsi="Times New Roman" w:cs="Times New Roman"/>
          <w:sz w:val="24"/>
          <w:szCs w:val="24"/>
          <w:u w:val="single"/>
        </w:rPr>
      </w:pPr>
      <w:r w:rsidRPr="0015010C">
        <w:rPr>
          <w:rFonts w:ascii="Times New Roman" w:hAnsi="Times New Roman" w:cs="Times New Roman"/>
          <w:sz w:val="24"/>
          <w:szCs w:val="24"/>
          <w:u w:val="single"/>
        </w:rPr>
        <w:t>FERC Form 561</w:t>
      </w:r>
    </w:p>
    <w:p w14:paraId="47EDCAC9" w14:textId="7FC1BEB7" w:rsidR="0068509E" w:rsidRDefault="004033F4" w:rsidP="0068509E">
      <w:pPr>
        <w:spacing w:after="0"/>
        <w:rPr>
          <w:rFonts w:ascii="Times New Roman" w:hAnsi="Times New Roman" w:cs="Times New Roman"/>
          <w:sz w:val="24"/>
          <w:szCs w:val="24"/>
        </w:rPr>
      </w:pPr>
      <w:r>
        <w:rPr>
          <w:rFonts w:ascii="Times New Roman" w:hAnsi="Times New Roman" w:cs="Times New Roman"/>
          <w:sz w:val="24"/>
          <w:szCs w:val="24"/>
        </w:rPr>
        <w:t>The information the Commission collect</w:t>
      </w:r>
      <w:r w:rsidR="00924D41">
        <w:rPr>
          <w:rFonts w:ascii="Times New Roman" w:hAnsi="Times New Roman" w:cs="Times New Roman"/>
          <w:sz w:val="24"/>
          <w:szCs w:val="24"/>
        </w:rPr>
        <w:t>s</w:t>
      </w:r>
      <w:r>
        <w:rPr>
          <w:rFonts w:ascii="Times New Roman" w:hAnsi="Times New Roman" w:cs="Times New Roman"/>
          <w:sz w:val="24"/>
          <w:szCs w:val="24"/>
        </w:rPr>
        <w:t xml:space="preserve"> with the FERC Form 56</w:t>
      </w:r>
      <w:r w:rsidR="008D0F5E">
        <w:rPr>
          <w:rFonts w:ascii="Times New Roman" w:hAnsi="Times New Roman" w:cs="Times New Roman"/>
          <w:sz w:val="24"/>
          <w:szCs w:val="24"/>
        </w:rPr>
        <w:t xml:space="preserve">1 (Annual Report of Interlocking Positions) responds to the FPA requirements for annual reporting of similar types of positions public utility officers and directors hold with financial institution, insurance companies, utility equipment and fuel providers, and with any of an electric utility’s 20 largest purchasers of electric energy (i.e. the 20 entities with high expenditures of electricity).  The FPA specifically defines most of the information elements in the Form 561 including the information that must be filed, the required filers, the directive to make the information available to the public, and the filing deadline.  </w:t>
      </w:r>
    </w:p>
    <w:p w14:paraId="08896640" w14:textId="77777777" w:rsidR="008D0F5E" w:rsidRDefault="008D0F5E" w:rsidP="0068509E">
      <w:pPr>
        <w:spacing w:after="0"/>
        <w:rPr>
          <w:rFonts w:ascii="Times New Roman" w:hAnsi="Times New Roman" w:cs="Times New Roman"/>
          <w:sz w:val="24"/>
          <w:szCs w:val="24"/>
        </w:rPr>
      </w:pPr>
    </w:p>
    <w:p w14:paraId="1A2467F0" w14:textId="77777777" w:rsidR="008D0F5E" w:rsidRDefault="008D0F5E" w:rsidP="0068509E">
      <w:pPr>
        <w:spacing w:after="0"/>
        <w:rPr>
          <w:rFonts w:ascii="Times New Roman" w:hAnsi="Times New Roman" w:cs="Times New Roman"/>
          <w:sz w:val="24"/>
          <w:szCs w:val="24"/>
        </w:rPr>
      </w:pPr>
      <w:r>
        <w:rPr>
          <w:rFonts w:ascii="Times New Roman" w:hAnsi="Times New Roman" w:cs="Times New Roman"/>
          <w:sz w:val="24"/>
          <w:szCs w:val="24"/>
        </w:rPr>
        <w:t xml:space="preserve">The Commission uses the information collected by the Form 561 to implement the FPA requirement that those who are authorized to hold interlocked directorates annually disclose all the interlocked positions held within the prior year.  The Form 561 </w:t>
      </w:r>
      <w:r w:rsidR="0015010C">
        <w:rPr>
          <w:rFonts w:ascii="Times New Roman" w:hAnsi="Times New Roman" w:cs="Times New Roman"/>
          <w:sz w:val="24"/>
          <w:szCs w:val="24"/>
        </w:rPr>
        <w:t>data identifies persons holding interlocking positions between public utilities and other entities, allows the Commission to review these interlocking positions, and allows identification of possible conflicts of interest.</w:t>
      </w:r>
    </w:p>
    <w:p w14:paraId="01B42EFE" w14:textId="77777777" w:rsidR="0015010C" w:rsidRDefault="0015010C" w:rsidP="0068509E">
      <w:pPr>
        <w:spacing w:after="0"/>
        <w:rPr>
          <w:rFonts w:ascii="Times New Roman" w:hAnsi="Times New Roman" w:cs="Times New Roman"/>
          <w:sz w:val="24"/>
          <w:szCs w:val="24"/>
        </w:rPr>
      </w:pPr>
    </w:p>
    <w:p w14:paraId="787B80B7" w14:textId="77777777" w:rsidR="0015010C" w:rsidRPr="0015010C" w:rsidRDefault="0015010C" w:rsidP="0068509E">
      <w:pPr>
        <w:spacing w:after="0"/>
        <w:rPr>
          <w:rFonts w:ascii="Times New Roman" w:hAnsi="Times New Roman" w:cs="Times New Roman"/>
          <w:sz w:val="24"/>
          <w:szCs w:val="24"/>
          <w:u w:val="single"/>
        </w:rPr>
      </w:pPr>
      <w:r w:rsidRPr="0015010C">
        <w:rPr>
          <w:rFonts w:ascii="Times New Roman" w:hAnsi="Times New Roman" w:cs="Times New Roman"/>
          <w:sz w:val="24"/>
          <w:szCs w:val="24"/>
          <w:u w:val="single"/>
        </w:rPr>
        <w:t>FERC-566</w:t>
      </w:r>
    </w:p>
    <w:p w14:paraId="3505E066" w14:textId="46BE7681" w:rsidR="00187E14" w:rsidRPr="00187E14" w:rsidRDefault="0015010C" w:rsidP="00187E14">
      <w:pPr>
        <w:spacing w:after="0"/>
        <w:rPr>
          <w:rFonts w:ascii="Times New Roman" w:hAnsi="Times New Roman" w:cs="Times New Roman"/>
          <w:sz w:val="24"/>
          <w:szCs w:val="24"/>
        </w:rPr>
      </w:pPr>
      <w:r>
        <w:rPr>
          <w:rFonts w:ascii="Times New Roman" w:hAnsi="Times New Roman" w:cs="Times New Roman"/>
          <w:sz w:val="24"/>
          <w:szCs w:val="24"/>
        </w:rPr>
        <w:t>The FERC-566 (Annual Report of a Utilities 20 Largest Purchasers) implements FPA requirements that each public utility annually publish a list of the purchasers of the 20 largest amounts of electric energy sold by such public utility during any of the three previous calendar years.  S</w:t>
      </w:r>
      <w:r w:rsidR="000934BE">
        <w:rPr>
          <w:rFonts w:ascii="Times New Roman" w:hAnsi="Times New Roman" w:cs="Times New Roman"/>
          <w:sz w:val="24"/>
          <w:szCs w:val="24"/>
        </w:rPr>
        <w:t xml:space="preserve">imilar in included details to the Form 561, the statutory requirements of the FPA identifies who must file the FERC-566 report and establishes a filing deadline.  The FPA also specifies </w:t>
      </w:r>
      <w:r w:rsidR="00C64E97">
        <w:rPr>
          <w:rFonts w:ascii="Times New Roman" w:hAnsi="Times New Roman" w:cs="Times New Roman"/>
          <w:sz w:val="24"/>
          <w:szCs w:val="24"/>
        </w:rPr>
        <w:t xml:space="preserve">that those entities required to report who have a holding company system can calculate </w:t>
      </w:r>
      <w:r w:rsidR="00187E14">
        <w:rPr>
          <w:rFonts w:ascii="Times New Roman" w:hAnsi="Times New Roman" w:cs="Times New Roman"/>
          <w:sz w:val="24"/>
          <w:szCs w:val="24"/>
        </w:rPr>
        <w:t xml:space="preserve">their total volumes of energy sold by including the amounts sold by utilities within their holding company system.  FERC provides details in its regulations about the information provided by the FERC-566 report.  </w:t>
      </w:r>
      <w:r w:rsidR="00187E14" w:rsidRPr="00187E14">
        <w:rPr>
          <w:rFonts w:ascii="Times New Roman" w:hAnsi="Times New Roman" w:cs="Times New Roman"/>
          <w:sz w:val="24"/>
          <w:szCs w:val="24"/>
        </w:rPr>
        <w:t>For example, FERC allows required filers to file estimates of volumes based on actual information available to them if actual volumes are not available by the statutory due date.  However, the FERC also requires revisions of those filed estimates with final numbers by March 1</w:t>
      </w:r>
      <w:r w:rsidR="00187E14" w:rsidRPr="00187E14">
        <w:rPr>
          <w:rFonts w:ascii="Times New Roman" w:hAnsi="Times New Roman" w:cs="Times New Roman"/>
          <w:sz w:val="24"/>
          <w:szCs w:val="24"/>
          <w:vertAlign w:val="superscript"/>
        </w:rPr>
        <w:t>st</w:t>
      </w:r>
      <w:r w:rsidR="00187E14" w:rsidRPr="00187E14">
        <w:rPr>
          <w:rFonts w:ascii="Times New Roman" w:hAnsi="Times New Roman" w:cs="Times New Roman"/>
          <w:sz w:val="24"/>
          <w:szCs w:val="24"/>
        </w:rPr>
        <w:t xml:space="preserve"> each year. </w:t>
      </w:r>
      <w:r w:rsidR="00FD609E">
        <w:rPr>
          <w:rFonts w:ascii="Times New Roman" w:hAnsi="Times New Roman" w:cs="Times New Roman"/>
          <w:sz w:val="24"/>
          <w:szCs w:val="24"/>
        </w:rPr>
        <w:t xml:space="preserve"> </w:t>
      </w:r>
      <w:r w:rsidR="00187E14" w:rsidRPr="00187E14">
        <w:rPr>
          <w:rFonts w:ascii="Times New Roman" w:hAnsi="Times New Roman" w:cs="Times New Roman"/>
          <w:sz w:val="24"/>
          <w:szCs w:val="24"/>
        </w:rPr>
        <w:t>The public disclosure of this information provides officers and directors with the information necessary to determine whether any of the entities with whom they are related are any of the largest twenty purchasers of the public utility with which they are affiliated.</w:t>
      </w:r>
    </w:p>
    <w:p w14:paraId="3D7E7375" w14:textId="77777777" w:rsidR="00187E14" w:rsidRPr="00187E14" w:rsidRDefault="00187E14" w:rsidP="00187E14">
      <w:pPr>
        <w:spacing w:after="0"/>
        <w:rPr>
          <w:rFonts w:ascii="Times New Roman" w:hAnsi="Times New Roman" w:cs="Times New Roman"/>
          <w:sz w:val="24"/>
          <w:szCs w:val="24"/>
        </w:rPr>
      </w:pPr>
    </w:p>
    <w:p w14:paraId="37203781" w14:textId="77777777" w:rsidR="00187E14" w:rsidRPr="00187E14" w:rsidRDefault="00187E14" w:rsidP="00187E14">
      <w:pPr>
        <w:spacing w:after="0"/>
        <w:rPr>
          <w:rFonts w:ascii="Times New Roman" w:hAnsi="Times New Roman" w:cs="Times New Roman"/>
          <w:sz w:val="24"/>
          <w:szCs w:val="24"/>
        </w:rPr>
      </w:pPr>
      <w:r w:rsidRPr="00187E14">
        <w:rPr>
          <w:rFonts w:ascii="Times New Roman" w:hAnsi="Times New Roman" w:cs="Times New Roman"/>
          <w:sz w:val="24"/>
          <w:szCs w:val="24"/>
        </w:rPr>
        <w:t>Together, these data collections provide views into complex electric corporate activities.  They serve to safeguard public and private interests, as the FPA requires, by disclosing business relationships to both the public and the Commission for analyses.  The public can file a complaint</w:t>
      </w:r>
      <w:r w:rsidR="003C5844">
        <w:rPr>
          <w:rFonts w:ascii="Times New Roman" w:hAnsi="Times New Roman" w:cs="Times New Roman"/>
          <w:sz w:val="24"/>
          <w:szCs w:val="24"/>
        </w:rPr>
        <w:t xml:space="preserve"> or comment</w:t>
      </w:r>
      <w:r w:rsidRPr="00187E14">
        <w:rPr>
          <w:rFonts w:ascii="Times New Roman" w:hAnsi="Times New Roman" w:cs="Times New Roman"/>
          <w:sz w:val="24"/>
          <w:szCs w:val="24"/>
        </w:rPr>
        <w:t xml:space="preserve"> with the Commission if disclosures made under these data collection provide evidence of corporate behavior that violates Commission policy.</w:t>
      </w:r>
    </w:p>
    <w:p w14:paraId="69FE2E32" w14:textId="77777777" w:rsidR="00187E14" w:rsidRPr="00187E14" w:rsidRDefault="00187E14" w:rsidP="00187E14">
      <w:pPr>
        <w:spacing w:after="0"/>
        <w:rPr>
          <w:rFonts w:ascii="Times New Roman" w:hAnsi="Times New Roman" w:cs="Times New Roman"/>
          <w:sz w:val="24"/>
          <w:szCs w:val="24"/>
        </w:rPr>
      </w:pPr>
    </w:p>
    <w:p w14:paraId="2CFA00A5" w14:textId="13D50ECE" w:rsidR="008D0F5E" w:rsidRDefault="00187E14" w:rsidP="0068509E">
      <w:pPr>
        <w:spacing w:after="0"/>
        <w:rPr>
          <w:rFonts w:ascii="Times New Roman" w:hAnsi="Times New Roman" w:cs="Times New Roman"/>
          <w:sz w:val="24"/>
          <w:szCs w:val="24"/>
        </w:rPr>
      </w:pPr>
      <w:r w:rsidRPr="00187E14">
        <w:rPr>
          <w:rFonts w:ascii="Times New Roman" w:hAnsi="Times New Roman" w:cs="Times New Roman"/>
          <w:sz w:val="24"/>
          <w:szCs w:val="24"/>
        </w:rPr>
        <w:t xml:space="preserve">The Commission can use its enforcement authority when violations and omissions of FPA requirements occur.  </w:t>
      </w:r>
    </w:p>
    <w:p w14:paraId="0DF77849" w14:textId="77777777" w:rsidR="008D0F5E" w:rsidRPr="0068509E" w:rsidRDefault="008D0F5E" w:rsidP="0068509E">
      <w:pPr>
        <w:spacing w:after="0"/>
        <w:rPr>
          <w:rFonts w:ascii="Times New Roman" w:hAnsi="Times New Roman" w:cs="Times New Roman"/>
          <w:sz w:val="24"/>
          <w:szCs w:val="24"/>
        </w:rPr>
      </w:pPr>
    </w:p>
    <w:p w14:paraId="69CE40CA"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28986F09" w14:textId="77777777" w:rsidR="00EB3E6F" w:rsidRDefault="00EB3E6F" w:rsidP="00EB3E6F">
      <w:pPr>
        <w:spacing w:after="0"/>
        <w:rPr>
          <w:rFonts w:ascii="Times New Roman" w:hAnsi="Times New Roman" w:cs="Times New Roman"/>
          <w:sz w:val="24"/>
          <w:szCs w:val="24"/>
        </w:rPr>
      </w:pPr>
    </w:p>
    <w:p w14:paraId="7AE86416" w14:textId="77777777" w:rsidR="00A0495C" w:rsidRDefault="00F52CDD" w:rsidP="00EB3E6F">
      <w:pPr>
        <w:spacing w:after="0"/>
        <w:rPr>
          <w:rFonts w:ascii="Times New Roman" w:hAnsi="Times New Roman" w:cs="Times New Roman"/>
          <w:sz w:val="24"/>
          <w:szCs w:val="24"/>
        </w:rPr>
      </w:pPr>
      <w:r>
        <w:rPr>
          <w:rFonts w:ascii="Times New Roman" w:hAnsi="Times New Roman" w:cs="Times New Roman"/>
          <w:sz w:val="24"/>
          <w:szCs w:val="24"/>
        </w:rPr>
        <w:t xml:space="preserve">Under FERC regulations, respondents can file their FERC-520, Form 561, and FERC-566 in various formats including electronically via the Commission’s eFiling webpage.  About 90% of </w:t>
      </w:r>
      <w:r>
        <w:rPr>
          <w:rFonts w:ascii="Times New Roman" w:hAnsi="Times New Roman" w:cs="Times New Roman"/>
          <w:sz w:val="24"/>
          <w:szCs w:val="24"/>
        </w:rPr>
        <w:lastRenderedPageBreak/>
        <w:t xml:space="preserve">the FERC-520 arrive electronically.  Approximately 99% of the Form 561 and 70% of FERC-566 filings arrive electronically. </w:t>
      </w:r>
    </w:p>
    <w:p w14:paraId="4054AC8F" w14:textId="77777777" w:rsidR="00F52CDD" w:rsidRDefault="00F52CDD" w:rsidP="00EB3E6F">
      <w:pPr>
        <w:spacing w:after="0"/>
        <w:rPr>
          <w:rFonts w:ascii="Times New Roman" w:hAnsi="Times New Roman" w:cs="Times New Roman"/>
          <w:sz w:val="24"/>
          <w:szCs w:val="24"/>
        </w:rPr>
      </w:pPr>
    </w:p>
    <w:p w14:paraId="0B6CBA80" w14:textId="77777777" w:rsidR="00F52CDD" w:rsidRDefault="00F52CDD" w:rsidP="00EB3E6F">
      <w:pPr>
        <w:spacing w:after="0"/>
        <w:rPr>
          <w:rFonts w:ascii="Times New Roman" w:hAnsi="Times New Roman" w:cs="Times New Roman"/>
          <w:sz w:val="24"/>
          <w:szCs w:val="24"/>
        </w:rPr>
      </w:pPr>
      <w:r>
        <w:rPr>
          <w:rFonts w:ascii="Times New Roman" w:hAnsi="Times New Roman" w:cs="Times New Roman"/>
          <w:sz w:val="24"/>
          <w:szCs w:val="24"/>
        </w:rPr>
        <w:t>FERC encourages Form 561 respondents to file their forms via the FERC eFiling system and to use the Microsoft Excel version of the Form 561.  FERC has also made a preferred format in Excel for use by filers of the FERC-566.  Some still, however, file this form in hard copy.</w:t>
      </w:r>
    </w:p>
    <w:p w14:paraId="653B7E17" w14:textId="77777777" w:rsidR="003C5844" w:rsidRPr="00EB3E6F" w:rsidRDefault="003C5844" w:rsidP="00EB3E6F">
      <w:pPr>
        <w:spacing w:after="0"/>
        <w:rPr>
          <w:rFonts w:ascii="Times New Roman" w:hAnsi="Times New Roman" w:cs="Times New Roman"/>
          <w:sz w:val="24"/>
          <w:szCs w:val="24"/>
        </w:rPr>
      </w:pPr>
    </w:p>
    <w:p w14:paraId="36611E0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46CA0567" w14:textId="77777777" w:rsidR="00EB3E6F" w:rsidRDefault="00EB3E6F" w:rsidP="00EB3E6F">
      <w:pPr>
        <w:spacing w:after="0"/>
        <w:rPr>
          <w:rFonts w:ascii="Times New Roman" w:hAnsi="Times New Roman" w:cs="Times New Roman"/>
          <w:sz w:val="24"/>
          <w:szCs w:val="24"/>
        </w:rPr>
      </w:pPr>
    </w:p>
    <w:p w14:paraId="4F3E1ADB" w14:textId="6FA5A370" w:rsidR="00EB3E6F" w:rsidRDefault="00A0495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E7B47">
        <w:rPr>
          <w:rFonts w:ascii="Times New Roman" w:hAnsi="Times New Roman" w:cs="Times New Roman"/>
          <w:sz w:val="24"/>
          <w:szCs w:val="24"/>
        </w:rPr>
        <w:t xml:space="preserve">information in each of these three information collection is unique </w:t>
      </w:r>
      <w:r w:rsidR="00FD609E">
        <w:rPr>
          <w:rFonts w:ascii="Times New Roman" w:hAnsi="Times New Roman" w:cs="Times New Roman"/>
          <w:sz w:val="24"/>
          <w:szCs w:val="24"/>
        </w:rPr>
        <w:t>in</w:t>
      </w:r>
      <w:r w:rsidR="00DE7B47">
        <w:rPr>
          <w:rFonts w:ascii="Times New Roman" w:hAnsi="Times New Roman" w:cs="Times New Roman"/>
          <w:sz w:val="24"/>
          <w:szCs w:val="24"/>
        </w:rPr>
        <w:t xml:space="preserve"> that it describes specific corporate activities of individuals and businesses as stipulated in the FPA.  There are no other sources for this data.</w:t>
      </w:r>
    </w:p>
    <w:p w14:paraId="1C99269E" w14:textId="77777777" w:rsidR="00A0495C" w:rsidRPr="00EB3E6F" w:rsidRDefault="00A0495C" w:rsidP="00EB3E6F">
      <w:pPr>
        <w:spacing w:after="0"/>
        <w:rPr>
          <w:rFonts w:ascii="Times New Roman" w:hAnsi="Times New Roman" w:cs="Times New Roman"/>
          <w:sz w:val="24"/>
          <w:szCs w:val="24"/>
        </w:rPr>
      </w:pPr>
    </w:p>
    <w:p w14:paraId="3A6B33D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3DAFD083" w14:textId="77777777" w:rsidR="00A0495C" w:rsidRDefault="00A0495C" w:rsidP="00EB3E6F">
      <w:pPr>
        <w:spacing w:after="0"/>
        <w:rPr>
          <w:rFonts w:ascii="Times New Roman" w:hAnsi="Times New Roman" w:cs="Times New Roman"/>
          <w:sz w:val="24"/>
          <w:szCs w:val="24"/>
        </w:rPr>
      </w:pPr>
    </w:p>
    <w:p w14:paraId="1CDF0789" w14:textId="77777777" w:rsidR="003C0C1E" w:rsidRDefault="0041251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E7B47">
        <w:rPr>
          <w:rFonts w:ascii="Times New Roman" w:hAnsi="Times New Roman" w:cs="Times New Roman"/>
          <w:sz w:val="24"/>
          <w:szCs w:val="24"/>
        </w:rPr>
        <w:t>data collection imposes the least possible burden on small entities while collecting information necessary to the Commission to fulfill statutory requirements.</w:t>
      </w:r>
    </w:p>
    <w:p w14:paraId="3330D35C" w14:textId="77777777" w:rsidR="00DE7B47" w:rsidRPr="00EB3E6F" w:rsidRDefault="00DE7B47" w:rsidP="00EB3E6F">
      <w:pPr>
        <w:spacing w:after="0"/>
        <w:rPr>
          <w:rFonts w:ascii="Times New Roman" w:hAnsi="Times New Roman" w:cs="Times New Roman"/>
          <w:sz w:val="24"/>
          <w:szCs w:val="24"/>
        </w:rPr>
      </w:pPr>
    </w:p>
    <w:p w14:paraId="732939EC"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0FA01A35" w14:textId="77777777" w:rsidR="00EB3E6F" w:rsidRDefault="00EB3E6F" w:rsidP="00EB3E6F">
      <w:pPr>
        <w:spacing w:after="0"/>
        <w:rPr>
          <w:rFonts w:ascii="Times New Roman" w:hAnsi="Times New Roman" w:cs="Times New Roman"/>
          <w:sz w:val="24"/>
          <w:szCs w:val="24"/>
        </w:rPr>
      </w:pPr>
    </w:p>
    <w:p w14:paraId="0D3B3D89" w14:textId="6CF65950" w:rsidR="00EE1351" w:rsidRDefault="00557B7A" w:rsidP="00DE7B47">
      <w:pPr>
        <w:spacing w:after="0"/>
        <w:rPr>
          <w:rFonts w:ascii="Times New Roman" w:hAnsi="Times New Roman" w:cs="Times New Roman"/>
          <w:sz w:val="24"/>
          <w:szCs w:val="24"/>
        </w:rPr>
      </w:pPr>
      <w:r>
        <w:rPr>
          <w:rFonts w:ascii="Times New Roman" w:hAnsi="Times New Roman" w:cs="Times New Roman"/>
          <w:sz w:val="24"/>
          <w:szCs w:val="24"/>
        </w:rPr>
        <w:t>The</w:t>
      </w:r>
      <w:r w:rsidR="00DE7B47">
        <w:rPr>
          <w:rFonts w:ascii="Times New Roman" w:hAnsi="Times New Roman" w:cs="Times New Roman"/>
          <w:sz w:val="24"/>
          <w:szCs w:val="24"/>
        </w:rPr>
        <w:t xml:space="preserve"> Commission collects t</w:t>
      </w:r>
      <w:r w:rsidR="00DE7B47" w:rsidRPr="00DE7B47">
        <w:rPr>
          <w:rFonts w:ascii="Times New Roman" w:hAnsi="Times New Roman" w:cs="Times New Roman"/>
          <w:sz w:val="24"/>
          <w:szCs w:val="24"/>
        </w:rPr>
        <w:t xml:space="preserve">he </w:t>
      </w:r>
      <w:r w:rsidR="00DE7B47">
        <w:rPr>
          <w:rFonts w:ascii="Times New Roman" w:hAnsi="Times New Roman" w:cs="Times New Roman"/>
          <w:sz w:val="24"/>
          <w:szCs w:val="24"/>
        </w:rPr>
        <w:t>FERC-520 information</w:t>
      </w:r>
      <w:r w:rsidR="00DE7B47" w:rsidRPr="00DE7B47">
        <w:rPr>
          <w:rFonts w:ascii="Times New Roman" w:hAnsi="Times New Roman" w:cs="Times New Roman"/>
          <w:sz w:val="24"/>
          <w:szCs w:val="24"/>
        </w:rPr>
        <w:t xml:space="preserve"> when individuals seek Commission authority to hold interlocked directorates as well as when circumstances change wi</w:t>
      </w:r>
      <w:r w:rsidR="00DE7B47">
        <w:rPr>
          <w:rFonts w:ascii="Times New Roman" w:hAnsi="Times New Roman" w:cs="Times New Roman"/>
          <w:sz w:val="24"/>
          <w:szCs w:val="24"/>
        </w:rPr>
        <w:t>th respect to an</w:t>
      </w:r>
      <w:r w:rsidR="00DE7B47" w:rsidRPr="00DE7B47">
        <w:rPr>
          <w:rFonts w:ascii="Times New Roman" w:hAnsi="Times New Roman" w:cs="Times New Roman"/>
          <w:sz w:val="24"/>
          <w:szCs w:val="24"/>
        </w:rPr>
        <w:t xml:space="preserve"> officer’s or d</w:t>
      </w:r>
      <w:r w:rsidR="00DE7B47">
        <w:rPr>
          <w:rFonts w:ascii="Times New Roman" w:hAnsi="Times New Roman" w:cs="Times New Roman"/>
          <w:sz w:val="24"/>
          <w:szCs w:val="24"/>
        </w:rPr>
        <w:t>irector’s interlocking position with a public utility</w:t>
      </w:r>
      <w:r w:rsidR="00DE7B47" w:rsidRPr="00DE7B47">
        <w:rPr>
          <w:rFonts w:ascii="Times New Roman" w:hAnsi="Times New Roman" w:cs="Times New Roman"/>
          <w:sz w:val="24"/>
          <w:szCs w:val="24"/>
        </w:rPr>
        <w:t xml:space="preserve">.  There is no cyclical, re-filing of FERC-520 information.  It is </w:t>
      </w:r>
      <w:r w:rsidR="00DE7B47">
        <w:rPr>
          <w:rFonts w:ascii="Times New Roman" w:hAnsi="Times New Roman" w:cs="Times New Roman"/>
          <w:sz w:val="24"/>
          <w:szCs w:val="24"/>
        </w:rPr>
        <w:t>filed once</w:t>
      </w:r>
      <w:r w:rsidR="00DE7B47" w:rsidRPr="00DE7B47">
        <w:rPr>
          <w:rFonts w:ascii="Times New Roman" w:hAnsi="Times New Roman" w:cs="Times New Roman"/>
          <w:sz w:val="24"/>
          <w:szCs w:val="24"/>
        </w:rPr>
        <w:t xml:space="preserve"> and</w:t>
      </w:r>
      <w:r w:rsidR="00DE7B47">
        <w:rPr>
          <w:rFonts w:ascii="Times New Roman" w:hAnsi="Times New Roman" w:cs="Times New Roman"/>
          <w:sz w:val="24"/>
          <w:szCs w:val="24"/>
        </w:rPr>
        <w:t>,</w:t>
      </w:r>
      <w:r w:rsidR="00DE7B47" w:rsidRPr="00DE7B47">
        <w:rPr>
          <w:rFonts w:ascii="Times New Roman" w:hAnsi="Times New Roman" w:cs="Times New Roman"/>
          <w:sz w:val="24"/>
          <w:szCs w:val="24"/>
        </w:rPr>
        <w:t xml:space="preserve"> as long as circumstances do not change, it is not filed again.</w:t>
      </w:r>
      <w:r w:rsidR="00EE1351">
        <w:rPr>
          <w:rFonts w:ascii="Times New Roman" w:hAnsi="Times New Roman" w:cs="Times New Roman"/>
          <w:sz w:val="24"/>
          <w:szCs w:val="24"/>
        </w:rPr>
        <w:t xml:space="preserve"> Examples of changing circumstances would include employment transfers, promotions, resignations, or retirements.  </w:t>
      </w:r>
      <w:r w:rsidR="001B1B27">
        <w:rPr>
          <w:rFonts w:ascii="Times New Roman" w:hAnsi="Times New Roman" w:cs="Times New Roman"/>
          <w:sz w:val="24"/>
          <w:szCs w:val="24"/>
        </w:rPr>
        <w:t>The only time an applicant is required to file another FERC Form 520 (subsequent to the initial filing) would be when the applicant relinquishes all of the interlocking positions regardless of how many interlocking positions were previously held.  FERC adopted this policy in order to make these filings occur in the least frequent and, thus, least burdensome manner possible for applicants.</w:t>
      </w:r>
    </w:p>
    <w:p w14:paraId="092E62C6" w14:textId="77777777" w:rsidR="00EE1351" w:rsidRDefault="00EE1351" w:rsidP="00DE7B47">
      <w:pPr>
        <w:spacing w:after="0"/>
        <w:rPr>
          <w:rFonts w:ascii="Times New Roman" w:hAnsi="Times New Roman" w:cs="Times New Roman"/>
          <w:sz w:val="24"/>
          <w:szCs w:val="24"/>
        </w:rPr>
      </w:pPr>
    </w:p>
    <w:p w14:paraId="0C1A2651" w14:textId="34B46FB6" w:rsidR="00DE7B47" w:rsidRPr="00DE7B47" w:rsidRDefault="00DE7B47" w:rsidP="00DE7B47">
      <w:pPr>
        <w:spacing w:after="0"/>
        <w:rPr>
          <w:rFonts w:ascii="Times New Roman" w:hAnsi="Times New Roman" w:cs="Times New Roman"/>
          <w:sz w:val="24"/>
          <w:szCs w:val="24"/>
        </w:rPr>
      </w:pPr>
      <w:r w:rsidRPr="00DE7B47">
        <w:rPr>
          <w:rFonts w:ascii="Times New Roman" w:hAnsi="Times New Roman" w:cs="Times New Roman"/>
          <w:sz w:val="24"/>
          <w:szCs w:val="24"/>
        </w:rPr>
        <w:t xml:space="preserve">Collecting the FERC-520 less frequently would mean not collecting the information </w:t>
      </w:r>
      <w:r>
        <w:rPr>
          <w:rFonts w:ascii="Times New Roman" w:hAnsi="Times New Roman" w:cs="Times New Roman"/>
          <w:sz w:val="24"/>
          <w:szCs w:val="24"/>
        </w:rPr>
        <w:t xml:space="preserve">at all </w:t>
      </w:r>
      <w:r w:rsidRPr="00DE7B47">
        <w:rPr>
          <w:rFonts w:ascii="Times New Roman" w:hAnsi="Times New Roman" w:cs="Times New Roman"/>
          <w:sz w:val="24"/>
          <w:szCs w:val="24"/>
        </w:rPr>
        <w:t xml:space="preserve">and this is not possible because Commission oversight of the information </w:t>
      </w:r>
      <w:r>
        <w:rPr>
          <w:rFonts w:ascii="Times New Roman" w:hAnsi="Times New Roman" w:cs="Times New Roman"/>
          <w:sz w:val="24"/>
          <w:szCs w:val="24"/>
        </w:rPr>
        <w:t>is a statutory requirement</w:t>
      </w:r>
      <w:r w:rsidRPr="00DE7B47">
        <w:rPr>
          <w:rFonts w:ascii="Times New Roman" w:hAnsi="Times New Roman" w:cs="Times New Roman"/>
          <w:sz w:val="24"/>
          <w:szCs w:val="24"/>
        </w:rPr>
        <w:t xml:space="preserve">.  Moreover, these data collections serve to safeguard public and private interests by disclosing business relationships to both the public </w:t>
      </w:r>
      <w:r>
        <w:rPr>
          <w:rFonts w:ascii="Times New Roman" w:hAnsi="Times New Roman" w:cs="Times New Roman"/>
          <w:sz w:val="24"/>
          <w:szCs w:val="24"/>
        </w:rPr>
        <w:t xml:space="preserve">and the Commission for analyses as required by the FPA. </w:t>
      </w:r>
      <w:r w:rsidRPr="00DE7B47">
        <w:rPr>
          <w:rFonts w:ascii="Times New Roman" w:hAnsi="Times New Roman" w:cs="Times New Roman"/>
          <w:sz w:val="24"/>
          <w:szCs w:val="24"/>
        </w:rPr>
        <w:t xml:space="preserve">Without the data, neither the public nor the Commission would be able to monitor interlocked corporate behavior.  As a result, there would be no transparency of the dynamics between corporations’ board members and power sales to their largest customers. </w:t>
      </w:r>
    </w:p>
    <w:p w14:paraId="623CBAB4" w14:textId="77777777" w:rsidR="00DE7B47" w:rsidRPr="00DE7B47" w:rsidRDefault="00DE7B47" w:rsidP="00DE7B47">
      <w:pPr>
        <w:spacing w:after="0"/>
        <w:rPr>
          <w:rFonts w:ascii="Times New Roman" w:hAnsi="Times New Roman" w:cs="Times New Roman"/>
          <w:sz w:val="24"/>
          <w:szCs w:val="24"/>
        </w:rPr>
      </w:pPr>
    </w:p>
    <w:p w14:paraId="4ED37DF5" w14:textId="30BC78B9" w:rsidR="00DE7B47" w:rsidRPr="00DE7B47" w:rsidRDefault="00021DDC" w:rsidP="00DE7B47">
      <w:pPr>
        <w:spacing w:after="0"/>
        <w:rPr>
          <w:rFonts w:ascii="Times New Roman" w:hAnsi="Times New Roman" w:cs="Times New Roman"/>
          <w:sz w:val="24"/>
          <w:szCs w:val="24"/>
        </w:rPr>
      </w:pPr>
      <w:r>
        <w:rPr>
          <w:rFonts w:ascii="Times New Roman" w:hAnsi="Times New Roman" w:cs="Times New Roman"/>
          <w:sz w:val="24"/>
          <w:szCs w:val="24"/>
        </w:rPr>
        <w:t>Public Utilities Regulatory Policy Act (</w:t>
      </w:r>
      <w:r w:rsidR="00DE7B47" w:rsidRPr="00DE7B47">
        <w:rPr>
          <w:rFonts w:ascii="Times New Roman" w:hAnsi="Times New Roman" w:cs="Times New Roman"/>
          <w:sz w:val="24"/>
          <w:szCs w:val="24"/>
        </w:rPr>
        <w:t>PURPA</w:t>
      </w:r>
      <w:r>
        <w:rPr>
          <w:rFonts w:ascii="Times New Roman" w:hAnsi="Times New Roman" w:cs="Times New Roman"/>
          <w:sz w:val="24"/>
          <w:szCs w:val="24"/>
        </w:rPr>
        <w:t>)</w:t>
      </w:r>
      <w:r w:rsidR="00DE7B47" w:rsidRPr="00DE7B47">
        <w:rPr>
          <w:rFonts w:ascii="Times New Roman" w:hAnsi="Times New Roman" w:cs="Times New Roman"/>
          <w:sz w:val="24"/>
          <w:szCs w:val="24"/>
        </w:rPr>
        <w:t xml:space="preserve"> Section 211 mandates annual submission of the data in the Form 561 and FERC-566 as well as the data in the FERC-520.  The FERC c</w:t>
      </w:r>
      <w:r w:rsidR="00DE7B47">
        <w:rPr>
          <w:rFonts w:ascii="Times New Roman" w:hAnsi="Times New Roman" w:cs="Times New Roman"/>
          <w:sz w:val="24"/>
          <w:szCs w:val="24"/>
        </w:rPr>
        <w:t>annot change Congressionally-mandated</w:t>
      </w:r>
      <w:r w:rsidR="00DE7B47" w:rsidRPr="00DE7B47">
        <w:rPr>
          <w:rFonts w:ascii="Times New Roman" w:hAnsi="Times New Roman" w:cs="Times New Roman"/>
          <w:sz w:val="24"/>
          <w:szCs w:val="24"/>
        </w:rPr>
        <w:t xml:space="preserve"> filing dates.  If the Form 561 and FERC-566 were collected less frequently, the Commission would be unable to perform its mandated oversight and review responsibilities as effectively.  </w:t>
      </w:r>
    </w:p>
    <w:p w14:paraId="2293EF6E" w14:textId="77777777" w:rsidR="003C0C1E" w:rsidRPr="00EB3E6F" w:rsidRDefault="003C0C1E" w:rsidP="00EB3E6F">
      <w:pPr>
        <w:spacing w:after="0"/>
        <w:rPr>
          <w:rFonts w:ascii="Times New Roman" w:hAnsi="Times New Roman" w:cs="Times New Roman"/>
          <w:sz w:val="24"/>
          <w:szCs w:val="24"/>
        </w:rPr>
      </w:pPr>
    </w:p>
    <w:p w14:paraId="2055171F"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7B64B0A9" w14:textId="77777777" w:rsidR="00EB3E6F" w:rsidRDefault="00EB3E6F" w:rsidP="00EB3E6F">
      <w:pPr>
        <w:spacing w:after="0"/>
        <w:rPr>
          <w:rFonts w:ascii="Times New Roman" w:hAnsi="Times New Roman" w:cs="Times New Roman"/>
          <w:sz w:val="24"/>
          <w:szCs w:val="24"/>
        </w:rPr>
      </w:pPr>
    </w:p>
    <w:p w14:paraId="60DA50A2" w14:textId="77777777" w:rsidR="00EB3E6F" w:rsidRDefault="00867AF1"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32543FD4" w14:textId="77777777" w:rsidR="00867AF1" w:rsidRPr="00EB3E6F" w:rsidRDefault="00867AF1" w:rsidP="00EB3E6F">
      <w:pPr>
        <w:spacing w:after="0"/>
        <w:rPr>
          <w:rFonts w:ascii="Times New Roman" w:hAnsi="Times New Roman" w:cs="Times New Roman"/>
          <w:sz w:val="24"/>
          <w:szCs w:val="24"/>
        </w:rPr>
      </w:pPr>
    </w:p>
    <w:p w14:paraId="65216DD9"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E8002C3" w14:textId="77777777" w:rsidR="00EB3E6F" w:rsidRDefault="00EB3E6F" w:rsidP="00EB3E6F">
      <w:pPr>
        <w:spacing w:after="0"/>
        <w:rPr>
          <w:rFonts w:ascii="Times New Roman" w:hAnsi="Times New Roman" w:cs="Times New Roman"/>
          <w:sz w:val="24"/>
          <w:szCs w:val="24"/>
        </w:rPr>
      </w:pPr>
    </w:p>
    <w:p w14:paraId="1FF6C005" w14:textId="77777777" w:rsidR="00A573D7" w:rsidRDefault="00A573D7" w:rsidP="00A573D7">
      <w:pPr>
        <w:spacing w:after="0"/>
        <w:rPr>
          <w:rFonts w:ascii="Times New Roman" w:hAnsi="Times New Roman" w:cs="Times New Roman"/>
          <w:sz w:val="24"/>
          <w:szCs w:val="24"/>
        </w:rPr>
      </w:pPr>
      <w:r w:rsidRPr="006601E3">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sidRPr="006C385D">
        <w:rPr>
          <w:rStyle w:val="FootnoteReference"/>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and a 30-day notice</w:t>
      </w:r>
      <w:r w:rsidRPr="006C385D">
        <w:rPr>
          <w:rStyle w:val="FootnoteReference"/>
          <w:rFonts w:ascii="Times New Roman" w:hAnsi="Times New Roman" w:cs="Times New Roman"/>
          <w:sz w:val="24"/>
          <w:szCs w:val="24"/>
          <w:vertAlign w:val="superscript"/>
        </w:rPr>
        <w:footnoteReference w:id="2"/>
      </w:r>
      <w:r w:rsidRPr="006601E3">
        <w:rPr>
          <w:rFonts w:ascii="Times New Roman" w:hAnsi="Times New Roman" w:cs="Times New Roman"/>
          <w:sz w:val="24"/>
          <w:szCs w:val="24"/>
        </w:rPr>
        <w:t xml:space="preserve"> to the public regarding t</w:t>
      </w:r>
      <w:r>
        <w:rPr>
          <w:rFonts w:ascii="Times New Roman" w:hAnsi="Times New Roman" w:cs="Times New Roman"/>
          <w:sz w:val="24"/>
          <w:szCs w:val="24"/>
        </w:rPr>
        <w:t xml:space="preserve">his information collection on </w:t>
      </w:r>
      <w:r w:rsidRPr="00A573D7">
        <w:rPr>
          <w:rFonts w:ascii="Times New Roman" w:hAnsi="Times New Roman" w:cs="Times New Roman"/>
          <w:sz w:val="24"/>
          <w:szCs w:val="24"/>
        </w:rPr>
        <w:t>3/4/2014 and</w:t>
      </w:r>
      <w:r w:rsidRPr="008C2D58">
        <w:rPr>
          <w:rFonts w:ascii="Times New Roman" w:hAnsi="Times New Roman" w:cs="Times New Roman"/>
          <w:sz w:val="24"/>
          <w:szCs w:val="24"/>
        </w:rPr>
        <w:t xml:space="preserve"> </w:t>
      </w:r>
      <w:r>
        <w:rPr>
          <w:rFonts w:ascii="Times New Roman" w:hAnsi="Times New Roman" w:cs="Times New Roman"/>
          <w:sz w:val="24"/>
          <w:szCs w:val="24"/>
        </w:rPr>
        <w:t>7/9</w:t>
      </w:r>
      <w:r w:rsidRPr="008C2D58">
        <w:rPr>
          <w:rFonts w:ascii="Times New Roman" w:hAnsi="Times New Roman" w:cs="Times New Roman"/>
          <w:sz w:val="24"/>
          <w:szCs w:val="24"/>
        </w:rPr>
        <w:t>/2014</w:t>
      </w:r>
      <w:r w:rsidRPr="00565AE9">
        <w:rPr>
          <w:rFonts w:ascii="Times New Roman" w:hAnsi="Times New Roman" w:cs="Times New Roman"/>
          <w:sz w:val="24"/>
          <w:szCs w:val="24"/>
        </w:rPr>
        <w:t xml:space="preserve"> </w:t>
      </w:r>
      <w:r w:rsidRPr="006601E3">
        <w:rPr>
          <w:rFonts w:ascii="Times New Roman" w:hAnsi="Times New Roman" w:cs="Times New Roman"/>
          <w:sz w:val="24"/>
          <w:szCs w:val="24"/>
        </w:rPr>
        <w:t>respectively.  Within the public notices, the Commission noted that it would be requesting a three-year extension of the public reporting bur</w:t>
      </w:r>
      <w:r>
        <w:rPr>
          <w:rFonts w:ascii="Times New Roman" w:hAnsi="Times New Roman" w:cs="Times New Roman"/>
          <w:sz w:val="24"/>
          <w:szCs w:val="24"/>
        </w:rPr>
        <w:t>den.  The Commission received 4</w:t>
      </w:r>
      <w:r w:rsidRPr="006601E3">
        <w:rPr>
          <w:rFonts w:ascii="Times New Roman" w:hAnsi="Times New Roman" w:cs="Times New Roman"/>
          <w:sz w:val="24"/>
          <w:szCs w:val="24"/>
        </w:rPr>
        <w:t xml:space="preserve"> comments from the public regarding this information collection.</w:t>
      </w:r>
    </w:p>
    <w:p w14:paraId="583136BD" w14:textId="77777777" w:rsidR="00A573D7" w:rsidRDefault="00A573D7" w:rsidP="00A573D7">
      <w:pPr>
        <w:spacing w:after="0"/>
        <w:rPr>
          <w:rFonts w:ascii="Times New Roman" w:hAnsi="Times New Roman" w:cs="Times New Roman"/>
          <w:sz w:val="24"/>
          <w:szCs w:val="24"/>
        </w:rPr>
      </w:pPr>
    </w:p>
    <w:p w14:paraId="730DCFF7" w14:textId="77777777" w:rsidR="008B5BBF" w:rsidRPr="008B5BBF"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u w:val="single"/>
        </w:rPr>
        <w:t>Public Comments and FERC Responses</w:t>
      </w:r>
      <w:r w:rsidRPr="008B5BBF">
        <w:rPr>
          <w:rFonts w:ascii="Times New Roman" w:hAnsi="Times New Roman" w:cs="Times New Roman"/>
          <w:sz w:val="24"/>
          <w:szCs w:val="24"/>
        </w:rPr>
        <w:t>:</w:t>
      </w:r>
      <w:r w:rsidRPr="008B5BBF">
        <w:rPr>
          <w:rFonts w:ascii="Times New Roman" w:hAnsi="Times New Roman" w:cs="Times New Roman"/>
          <w:i/>
          <w:sz w:val="24"/>
          <w:szCs w:val="24"/>
        </w:rPr>
        <w:t xml:space="preserve"> </w:t>
      </w:r>
      <w:r w:rsidRPr="008B5BBF">
        <w:rPr>
          <w:rFonts w:ascii="Times New Roman" w:hAnsi="Times New Roman" w:cs="Times New Roman"/>
          <w:sz w:val="24"/>
          <w:szCs w:val="24"/>
        </w:rPr>
        <w:t>A summary of the comments filed by the public in response to the 60-day notice for the FERC-520, FERC-561, and FERC-566 information collections and FERC’s responses are provided below.</w:t>
      </w:r>
    </w:p>
    <w:p w14:paraId="73F038BA" w14:textId="77777777" w:rsidR="008B5BBF" w:rsidRDefault="008B5BBF" w:rsidP="008B5BBF">
      <w:pPr>
        <w:spacing w:after="0"/>
        <w:rPr>
          <w:rFonts w:ascii="Times New Roman" w:hAnsi="Times New Roman" w:cs="Times New Roman"/>
          <w:b/>
          <w:sz w:val="24"/>
          <w:szCs w:val="24"/>
          <w:u w:val="single"/>
        </w:rPr>
      </w:pPr>
    </w:p>
    <w:p w14:paraId="61BD3D77" w14:textId="77777777" w:rsidR="008B5BBF"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u w:val="single"/>
        </w:rPr>
        <w:t>Public Comments</w:t>
      </w:r>
      <w:r w:rsidRPr="008B5BBF">
        <w:rPr>
          <w:rFonts w:ascii="Times New Roman" w:hAnsi="Times New Roman" w:cs="Times New Roman"/>
          <w:sz w:val="24"/>
          <w:szCs w:val="24"/>
        </w:rPr>
        <w:t>:  A number of commenters request changes to Form 561.  For example, the Electric Power Supply Association (EPSA) argues that the Commission should modify Form 561 to allow individuals holding interlocking positions pursuant to automatic authorization to check a box indicating that they hold interlocking positions solely with affiliated entities.  Similarly, NRG Energy (NRG) argues that, instead of requiring the Form 561, the Commission should consider an annual report where those holding covered positions are permitted to check a box indicating that they are the officer or director of affiliated entities, whether the entities are public utilities, electrical equipment suppliers, fuel suppliers or none of the categories.  White &amp; Case LLP (White &amp; Case) submits that the Commission should only require the re-filing of an updated Form 561 after a year in which the individual changed reportable positions from those previously reported in a prior Form 561.</w:t>
      </w:r>
    </w:p>
    <w:p w14:paraId="33EBEED9" w14:textId="77777777" w:rsidR="008B5BBF" w:rsidRPr="008B5BBF" w:rsidRDefault="008B5BBF" w:rsidP="008B5BBF">
      <w:pPr>
        <w:spacing w:after="0"/>
        <w:rPr>
          <w:rFonts w:ascii="Times New Roman" w:hAnsi="Times New Roman" w:cs="Times New Roman"/>
          <w:sz w:val="24"/>
          <w:szCs w:val="24"/>
        </w:rPr>
      </w:pPr>
    </w:p>
    <w:p w14:paraId="7D36D4E4" w14:textId="77777777" w:rsidR="008B5BBF" w:rsidRPr="008B5BBF"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rPr>
        <w:t xml:space="preserve">Commenters also request certain exemptions from the FERC-520 and FERC-566 reporting requirements.  White &amp; Case suggests that the Commission should not require an informational report under Part 45 for automatic authorization to hold officer/director positions with more than one public utility in a corporate family when the corporate family does not include any franchised public utility with captive customers.   White &amp; Case also recommends that the Commission eliminate the requirement to file notices of change under section 45.5 of the Commission’s regulations and the requirement to file FERC-566 for public utilities that do not make any reportable sales.  NYISO argues that it should be exempted from the requirement to submit FERC-566.  EPSA and NRG suggest that the Commission should exempt electric wholesale generators (EWG) from the FERC-566 filing requirement. </w:t>
      </w:r>
    </w:p>
    <w:p w14:paraId="3B923BC5" w14:textId="77777777" w:rsidR="008B5BBF" w:rsidRDefault="008B5BBF" w:rsidP="008B5BBF">
      <w:pPr>
        <w:spacing w:after="0"/>
        <w:rPr>
          <w:rFonts w:ascii="Times New Roman" w:hAnsi="Times New Roman" w:cs="Times New Roman"/>
          <w:b/>
          <w:sz w:val="24"/>
          <w:szCs w:val="24"/>
          <w:u w:val="single"/>
        </w:rPr>
      </w:pPr>
    </w:p>
    <w:p w14:paraId="740BC1AA" w14:textId="371B9727" w:rsidR="008B5BBF" w:rsidRPr="008B5BBF" w:rsidRDefault="008B5BBF" w:rsidP="008B5BBF">
      <w:pPr>
        <w:spacing w:after="0"/>
        <w:rPr>
          <w:rFonts w:ascii="Times New Roman" w:hAnsi="Times New Roman" w:cs="Times New Roman"/>
          <w:sz w:val="24"/>
          <w:szCs w:val="24"/>
        </w:rPr>
      </w:pPr>
      <w:r w:rsidRPr="008B5BBF">
        <w:rPr>
          <w:rFonts w:ascii="Times New Roman" w:hAnsi="Times New Roman" w:cs="Times New Roman"/>
          <w:sz w:val="24"/>
          <w:szCs w:val="24"/>
          <w:u w:val="single"/>
        </w:rPr>
        <w:t>FERC’s Response</w:t>
      </w:r>
      <w:r w:rsidRPr="008B5BBF">
        <w:rPr>
          <w:rFonts w:ascii="Times New Roman" w:hAnsi="Times New Roman" w:cs="Times New Roman"/>
          <w:sz w:val="24"/>
          <w:szCs w:val="24"/>
        </w:rPr>
        <w:t xml:space="preserve">:  The Commission shares commenters’ interest in identifying and implementing burden reductions to the benefit of filers as well as the Commission.  Nevertheless, commenters’ suggestions raise issues that require additional study.  Moreover, should the Commission determine after further study to pursue changes to these information collections, those changes would be more appropriately addressed in a forum and through a process that is better suited to full public identification of and deliberation on possible proposed changes.  Any changes to the Commission’s regulations would need to be made through the Commission’s formal rulemaking process.  Given competing demands on the resources of both the Commission and industry, we estimate that it would take more than two years to complete the rulemaking process for the three information collections.  That period includes the development, preparation and issuance of a Notice of Proposed Rulemaking, review of the submitted comments, the preparation and </w:t>
      </w:r>
      <w:r w:rsidRPr="00833486">
        <w:rPr>
          <w:rFonts w:ascii="Times New Roman" w:hAnsi="Times New Roman" w:cs="Times New Roman"/>
          <w:sz w:val="24"/>
          <w:szCs w:val="24"/>
        </w:rPr>
        <w:t>promulgation of a Final Rule and the development and implementation of any necessary software changes.  As a result, the Commission is requesting that OMB extend the three collections for three years</w:t>
      </w:r>
      <w:r w:rsidR="00275101" w:rsidRPr="00833486">
        <w:rPr>
          <w:rFonts w:ascii="Times New Roman" w:hAnsi="Times New Roman" w:cs="Times New Roman"/>
          <w:sz w:val="24"/>
          <w:szCs w:val="24"/>
        </w:rPr>
        <w:t>,</w:t>
      </w:r>
      <w:r w:rsidRPr="00833486">
        <w:rPr>
          <w:rFonts w:ascii="Times New Roman" w:hAnsi="Times New Roman" w:cs="Times New Roman"/>
          <w:sz w:val="24"/>
          <w:szCs w:val="24"/>
        </w:rPr>
        <w:t xml:space="preserve"> provid</w:t>
      </w:r>
      <w:r w:rsidR="00275101" w:rsidRPr="00833486">
        <w:rPr>
          <w:rFonts w:ascii="Times New Roman" w:hAnsi="Times New Roman" w:cs="Times New Roman"/>
          <w:sz w:val="24"/>
          <w:szCs w:val="24"/>
        </w:rPr>
        <w:t>ing</w:t>
      </w:r>
      <w:r w:rsidRPr="00833486">
        <w:rPr>
          <w:rFonts w:ascii="Times New Roman" w:hAnsi="Times New Roman" w:cs="Times New Roman"/>
          <w:sz w:val="24"/>
          <w:szCs w:val="24"/>
        </w:rPr>
        <w:t xml:space="preserve"> the Commission with the necessary time </w:t>
      </w:r>
      <w:r w:rsidR="00BB10F0" w:rsidRPr="00833486">
        <w:rPr>
          <w:rFonts w:ascii="Times New Roman" w:hAnsi="Times New Roman" w:cs="Times New Roman"/>
          <w:sz w:val="24"/>
          <w:szCs w:val="24"/>
        </w:rPr>
        <w:t>to proceed</w:t>
      </w:r>
      <w:r w:rsidR="00BF5172" w:rsidRPr="00833486">
        <w:rPr>
          <w:rFonts w:ascii="Times New Roman" w:hAnsi="Times New Roman" w:cs="Times New Roman"/>
          <w:sz w:val="24"/>
          <w:szCs w:val="24"/>
        </w:rPr>
        <w:t xml:space="preserve"> with its intentions to issue a</w:t>
      </w:r>
      <w:r w:rsidR="00BB10F0" w:rsidRPr="00833486">
        <w:rPr>
          <w:rFonts w:ascii="Times New Roman" w:hAnsi="Times New Roman" w:cs="Times New Roman"/>
          <w:sz w:val="24"/>
          <w:szCs w:val="24"/>
        </w:rPr>
        <w:t xml:space="preserve"> Notice of Proposed Rulemaking (NOPR) in the ensuing months.  If </w:t>
      </w:r>
      <w:r w:rsidR="00275101" w:rsidRPr="00833486">
        <w:rPr>
          <w:rFonts w:ascii="Times New Roman" w:hAnsi="Times New Roman" w:cs="Times New Roman"/>
          <w:sz w:val="24"/>
          <w:szCs w:val="24"/>
        </w:rPr>
        <w:t xml:space="preserve">the Commission decides that changes are not warranted, </w:t>
      </w:r>
      <w:r w:rsidR="00BB10F0" w:rsidRPr="00833486">
        <w:rPr>
          <w:rFonts w:ascii="Times New Roman" w:hAnsi="Times New Roman" w:cs="Times New Roman"/>
          <w:sz w:val="24"/>
          <w:szCs w:val="24"/>
        </w:rPr>
        <w:t>OMB and the public</w:t>
      </w:r>
      <w:r w:rsidR="00275101" w:rsidRPr="00833486">
        <w:rPr>
          <w:rFonts w:ascii="Times New Roman" w:hAnsi="Times New Roman" w:cs="Times New Roman"/>
          <w:sz w:val="24"/>
          <w:szCs w:val="24"/>
        </w:rPr>
        <w:t xml:space="preserve"> will be notified</w:t>
      </w:r>
      <w:r w:rsidR="006A6B05" w:rsidRPr="00833486">
        <w:rPr>
          <w:rFonts w:ascii="Times New Roman" w:hAnsi="Times New Roman" w:cs="Times New Roman"/>
          <w:sz w:val="24"/>
          <w:szCs w:val="24"/>
        </w:rPr>
        <w:t xml:space="preserve"> </w:t>
      </w:r>
      <w:r w:rsidR="00275101" w:rsidRPr="00833486">
        <w:rPr>
          <w:rFonts w:ascii="Times New Roman" w:hAnsi="Times New Roman" w:cs="Times New Roman"/>
          <w:sz w:val="24"/>
          <w:szCs w:val="24"/>
        </w:rPr>
        <w:t>before or during the next extension request for these collections</w:t>
      </w:r>
      <w:r w:rsidR="00BB10F0" w:rsidRPr="00833486">
        <w:rPr>
          <w:rFonts w:ascii="Times New Roman" w:hAnsi="Times New Roman" w:cs="Times New Roman"/>
          <w:sz w:val="24"/>
          <w:szCs w:val="24"/>
        </w:rPr>
        <w:t>.</w:t>
      </w:r>
      <w:r w:rsidR="006A6B05" w:rsidRPr="00833486">
        <w:rPr>
          <w:rFonts w:ascii="Times New Roman" w:hAnsi="Times New Roman" w:cs="Times New Roman"/>
          <w:sz w:val="24"/>
          <w:szCs w:val="24"/>
        </w:rPr>
        <w:t xml:space="preserve"> Such notification </w:t>
      </w:r>
      <w:r w:rsidR="00833486" w:rsidRPr="00833486">
        <w:rPr>
          <w:rFonts w:ascii="Times New Roman" w:hAnsi="Times New Roman" w:cs="Times New Roman"/>
          <w:sz w:val="24"/>
          <w:szCs w:val="24"/>
        </w:rPr>
        <w:t>will</w:t>
      </w:r>
      <w:r w:rsidR="006A6B05" w:rsidRPr="00833486">
        <w:rPr>
          <w:rFonts w:ascii="Times New Roman" w:hAnsi="Times New Roman" w:cs="Times New Roman"/>
          <w:sz w:val="24"/>
          <w:szCs w:val="24"/>
        </w:rPr>
        <w:t xml:space="preserve"> include a summary of the Commission’s findings</w:t>
      </w:r>
      <w:r w:rsidR="00BF5172" w:rsidRPr="00833486">
        <w:rPr>
          <w:rFonts w:ascii="Times New Roman" w:hAnsi="Times New Roman" w:cs="Times New Roman"/>
          <w:sz w:val="24"/>
          <w:szCs w:val="24"/>
        </w:rPr>
        <w:t xml:space="preserve">, </w:t>
      </w:r>
      <w:r w:rsidR="006A6B05" w:rsidRPr="00833486">
        <w:rPr>
          <w:rFonts w:ascii="Times New Roman" w:hAnsi="Times New Roman" w:cs="Times New Roman"/>
          <w:sz w:val="24"/>
          <w:szCs w:val="24"/>
        </w:rPr>
        <w:t>address</w:t>
      </w:r>
      <w:r w:rsidR="00BF5172" w:rsidRPr="00833486">
        <w:rPr>
          <w:rFonts w:ascii="Times New Roman" w:hAnsi="Times New Roman" w:cs="Times New Roman"/>
          <w:sz w:val="24"/>
          <w:szCs w:val="24"/>
        </w:rPr>
        <w:t>ing</w:t>
      </w:r>
      <w:r w:rsidR="006A6B05" w:rsidRPr="00833486">
        <w:rPr>
          <w:rFonts w:ascii="Times New Roman" w:hAnsi="Times New Roman" w:cs="Times New Roman"/>
          <w:sz w:val="24"/>
          <w:szCs w:val="24"/>
        </w:rPr>
        <w:t xml:space="preserve"> each of the four public comments received</w:t>
      </w:r>
      <w:r w:rsidR="00BF5172" w:rsidRPr="00833486">
        <w:rPr>
          <w:rFonts w:ascii="Times New Roman" w:hAnsi="Times New Roman" w:cs="Times New Roman"/>
          <w:sz w:val="24"/>
          <w:szCs w:val="24"/>
        </w:rPr>
        <w:t xml:space="preserve"> with this request</w:t>
      </w:r>
      <w:r w:rsidR="006A6B05" w:rsidRPr="00833486">
        <w:rPr>
          <w:rFonts w:ascii="Times New Roman" w:hAnsi="Times New Roman" w:cs="Times New Roman"/>
          <w:sz w:val="24"/>
          <w:szCs w:val="24"/>
        </w:rPr>
        <w:t>.</w:t>
      </w:r>
    </w:p>
    <w:p w14:paraId="02119371" w14:textId="77777777" w:rsidR="00EB3E6F" w:rsidRPr="00EB3E6F" w:rsidRDefault="00EB3E6F" w:rsidP="00EB3E6F">
      <w:pPr>
        <w:spacing w:after="0"/>
        <w:rPr>
          <w:rFonts w:ascii="Times New Roman" w:hAnsi="Times New Roman" w:cs="Times New Roman"/>
          <w:sz w:val="24"/>
          <w:szCs w:val="24"/>
        </w:rPr>
      </w:pPr>
    </w:p>
    <w:p w14:paraId="7752131D"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22B4412A" w14:textId="77777777" w:rsidR="00D80FBD" w:rsidRDefault="00D80FBD" w:rsidP="00D80FBD">
      <w:pPr>
        <w:spacing w:after="0"/>
        <w:rPr>
          <w:rFonts w:ascii="Times New Roman" w:hAnsi="Times New Roman" w:cs="Times New Roman"/>
          <w:sz w:val="24"/>
          <w:szCs w:val="24"/>
        </w:rPr>
      </w:pPr>
    </w:p>
    <w:p w14:paraId="7834BBF3"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1A1B555C" w14:textId="77777777" w:rsidR="00867AF1" w:rsidRPr="00D80FBD" w:rsidRDefault="00867AF1" w:rsidP="00D80FBD">
      <w:pPr>
        <w:spacing w:after="0"/>
        <w:rPr>
          <w:rFonts w:ascii="Times New Roman" w:hAnsi="Times New Roman" w:cs="Times New Roman"/>
          <w:sz w:val="24"/>
          <w:szCs w:val="24"/>
        </w:rPr>
      </w:pPr>
    </w:p>
    <w:p w14:paraId="25A67C78"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F01DD75" w14:textId="77777777" w:rsidR="00D80FBD" w:rsidRDefault="00D80FBD" w:rsidP="00D80FBD">
      <w:pPr>
        <w:spacing w:after="0"/>
        <w:rPr>
          <w:rFonts w:ascii="Times New Roman" w:hAnsi="Times New Roman" w:cs="Times New Roman"/>
          <w:sz w:val="24"/>
          <w:szCs w:val="24"/>
        </w:rPr>
      </w:pPr>
    </w:p>
    <w:p w14:paraId="0599D7DB" w14:textId="77777777" w:rsidR="00D86DD0" w:rsidRPr="00D86DD0" w:rsidRDefault="00D86DD0" w:rsidP="00D86DD0">
      <w:pPr>
        <w:spacing w:after="0"/>
        <w:rPr>
          <w:rFonts w:ascii="Times New Roman" w:hAnsi="Times New Roman" w:cs="Times New Roman"/>
          <w:sz w:val="24"/>
          <w:szCs w:val="24"/>
        </w:rPr>
      </w:pPr>
      <w:r w:rsidRPr="00D86DD0">
        <w:rPr>
          <w:rFonts w:ascii="Times New Roman" w:hAnsi="Times New Roman" w:cs="Times New Roman"/>
          <w:sz w:val="24"/>
          <w:szCs w:val="24"/>
        </w:rPr>
        <w:t>The FERC-520, Form 561</w:t>
      </w:r>
      <w:r>
        <w:rPr>
          <w:rFonts w:ascii="Times New Roman" w:hAnsi="Times New Roman" w:cs="Times New Roman"/>
          <w:sz w:val="24"/>
          <w:szCs w:val="24"/>
        </w:rPr>
        <w:t>,</w:t>
      </w:r>
      <w:r w:rsidRPr="00D86DD0">
        <w:rPr>
          <w:rFonts w:ascii="Times New Roman" w:hAnsi="Times New Roman" w:cs="Times New Roman"/>
          <w:sz w:val="24"/>
          <w:szCs w:val="24"/>
        </w:rPr>
        <w:t xml:space="preserve"> and FERC-566 information submitted to the Commission is made publically available.  Specific requests for confidential treatment to the extent permitted by law are considered pursuant to 18 CFR 388.112.  </w:t>
      </w:r>
    </w:p>
    <w:p w14:paraId="79FA93E5" w14:textId="77777777" w:rsidR="00D80FBD" w:rsidRPr="00D80FBD" w:rsidRDefault="00D80FBD" w:rsidP="00D80FBD">
      <w:pPr>
        <w:spacing w:after="0"/>
        <w:rPr>
          <w:rFonts w:ascii="Times New Roman" w:hAnsi="Times New Roman" w:cs="Times New Roman"/>
          <w:sz w:val="24"/>
          <w:szCs w:val="24"/>
        </w:rPr>
      </w:pPr>
    </w:p>
    <w:p w14:paraId="1D089FE5" w14:textId="46B87E41"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ADDITIONAL </w:t>
      </w:r>
      <w:r w:rsidR="00917EBA" w:rsidRPr="00917EBA">
        <w:rPr>
          <w:rFonts w:ascii="Times New Roman" w:hAnsi="Times New Roman" w:cs="Times New Roman"/>
          <w:b/>
          <w:sz w:val="24"/>
          <w:szCs w:val="24"/>
        </w:rPr>
        <w:t>JUSTIFICATION FOR ANY QUESTIONS OF A SENSITIVE NATURE, SUCH AS SEXUAL BEHAVIOR AND ATTITUDES, RELIGIOUS BELIEFS, AND OTHER MATTERS THAT ARE COMMONLY CONSIDERED PRIVATE</w:t>
      </w:r>
    </w:p>
    <w:p w14:paraId="6EEAD6A6" w14:textId="77777777" w:rsidR="00D80FBD" w:rsidRDefault="00D80FBD" w:rsidP="00D80FBD">
      <w:pPr>
        <w:spacing w:after="0"/>
        <w:rPr>
          <w:rFonts w:ascii="Times New Roman" w:hAnsi="Times New Roman" w:cs="Times New Roman"/>
          <w:sz w:val="24"/>
          <w:szCs w:val="24"/>
        </w:rPr>
      </w:pPr>
    </w:p>
    <w:p w14:paraId="4239A2EE" w14:textId="77777777" w:rsidR="00D80FBD" w:rsidRDefault="00D86DD0" w:rsidP="00D80FBD">
      <w:pPr>
        <w:spacing w:after="0"/>
        <w:rPr>
          <w:rFonts w:ascii="Times New Roman" w:hAnsi="Times New Roman" w:cs="Times New Roman"/>
          <w:sz w:val="24"/>
          <w:szCs w:val="24"/>
        </w:rPr>
      </w:pPr>
      <w:r>
        <w:rPr>
          <w:rFonts w:ascii="Times New Roman" w:hAnsi="Times New Roman" w:cs="Times New Roman"/>
          <w:sz w:val="24"/>
          <w:szCs w:val="24"/>
        </w:rPr>
        <w:t>These</w:t>
      </w:r>
      <w:r w:rsidR="00867AF1">
        <w:rPr>
          <w:rFonts w:ascii="Times New Roman" w:hAnsi="Times New Roman" w:cs="Times New Roman"/>
          <w:sz w:val="24"/>
          <w:szCs w:val="24"/>
        </w:rPr>
        <w:t xml:space="preserve"> collection</w:t>
      </w:r>
      <w:r>
        <w:rPr>
          <w:rFonts w:ascii="Times New Roman" w:hAnsi="Times New Roman" w:cs="Times New Roman"/>
          <w:sz w:val="24"/>
          <w:szCs w:val="24"/>
        </w:rPr>
        <w:t>s do</w:t>
      </w:r>
      <w:r w:rsidR="00867AF1">
        <w:rPr>
          <w:rFonts w:ascii="Times New Roman" w:hAnsi="Times New Roman" w:cs="Times New Roman"/>
          <w:sz w:val="24"/>
          <w:szCs w:val="24"/>
        </w:rPr>
        <w:t xml:space="preserve"> not include any questions of a sensitive nature.</w:t>
      </w:r>
    </w:p>
    <w:p w14:paraId="382C4B6B" w14:textId="77777777" w:rsidR="00867AF1" w:rsidRPr="00D80FBD" w:rsidRDefault="00867AF1" w:rsidP="00D80FBD">
      <w:pPr>
        <w:spacing w:after="0"/>
        <w:rPr>
          <w:rFonts w:ascii="Times New Roman" w:hAnsi="Times New Roman" w:cs="Times New Roman"/>
          <w:sz w:val="24"/>
          <w:szCs w:val="24"/>
        </w:rPr>
      </w:pPr>
    </w:p>
    <w:p w14:paraId="1656223D"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016C33E3" w14:textId="77777777" w:rsidR="00D80FBD" w:rsidRDefault="00D80FBD" w:rsidP="00D80FBD">
      <w:pPr>
        <w:spacing w:after="0"/>
        <w:rPr>
          <w:rFonts w:ascii="Times New Roman" w:hAnsi="Times New Roman" w:cs="Times New Roman"/>
          <w:sz w:val="24"/>
          <w:szCs w:val="24"/>
        </w:rPr>
      </w:pPr>
    </w:p>
    <w:p w14:paraId="2F0F4802" w14:textId="19F0EAB1"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The</w:t>
      </w:r>
      <w:r w:rsidR="00001508">
        <w:rPr>
          <w:rFonts w:ascii="Times New Roman" w:hAnsi="Times New Roman" w:cs="Times New Roman"/>
          <w:sz w:val="24"/>
          <w:szCs w:val="24"/>
        </w:rPr>
        <w:t xml:space="preserve"> estimated</w:t>
      </w:r>
      <w:r>
        <w:rPr>
          <w:rFonts w:ascii="Times New Roman" w:hAnsi="Times New Roman" w:cs="Times New Roman"/>
          <w:sz w:val="24"/>
          <w:szCs w:val="24"/>
        </w:rPr>
        <w:t xml:space="preserve"> burden for </w:t>
      </w:r>
      <w:r w:rsidR="00AE5DA5">
        <w:rPr>
          <w:rFonts w:ascii="Times New Roman" w:hAnsi="Times New Roman" w:cs="Times New Roman"/>
          <w:sz w:val="24"/>
          <w:szCs w:val="24"/>
        </w:rPr>
        <w:t xml:space="preserve">each collection </w:t>
      </w:r>
      <w:r w:rsidR="00F37B77">
        <w:rPr>
          <w:rFonts w:ascii="Times New Roman" w:hAnsi="Times New Roman" w:cs="Times New Roman"/>
          <w:sz w:val="24"/>
          <w:szCs w:val="24"/>
        </w:rPr>
        <w:t>follows</w:t>
      </w:r>
      <w:r>
        <w:rPr>
          <w:rFonts w:ascii="Times New Roman" w:hAnsi="Times New Roman" w:cs="Times New Roman"/>
          <w:sz w:val="24"/>
          <w:szCs w:val="24"/>
        </w:rPr>
        <w:t>:</w:t>
      </w:r>
    </w:p>
    <w:p w14:paraId="784A4592" w14:textId="2D04D67B" w:rsidR="00106E70" w:rsidRPr="0007063B" w:rsidRDefault="00106E70" w:rsidP="00D80FBD">
      <w:pPr>
        <w:spacing w:after="0"/>
        <w:rPr>
          <w:rFonts w:ascii="Times New Roman" w:hAnsi="Times New Roman" w:cs="Times New Roman"/>
          <w:sz w:val="20"/>
          <w:szCs w:val="20"/>
        </w:rPr>
      </w:pPr>
    </w:p>
    <w:tbl>
      <w:tblPr>
        <w:tblW w:w="547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410"/>
        <w:gridCol w:w="1496"/>
        <w:gridCol w:w="1494"/>
        <w:gridCol w:w="1410"/>
        <w:gridCol w:w="1494"/>
        <w:gridCol w:w="1600"/>
      </w:tblGrid>
      <w:tr w:rsidR="0007063B" w:rsidRPr="0007063B" w14:paraId="0A2A3C1A" w14:textId="77777777" w:rsidTr="00ED3BA2">
        <w:trPr>
          <w:cantSplit/>
          <w:trHeight w:val="227"/>
        </w:trPr>
        <w:tc>
          <w:tcPr>
            <w:tcW w:w="5000" w:type="pct"/>
            <w:gridSpan w:val="7"/>
            <w:shd w:val="clear" w:color="auto" w:fill="D9D9D9"/>
          </w:tcPr>
          <w:p w14:paraId="0A7A1FF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FERC-520  (Application for Authority to Hold Interlocking Directorate Positions)</w:t>
            </w:r>
          </w:p>
        </w:tc>
      </w:tr>
      <w:tr w:rsidR="0007063B" w:rsidRPr="0007063B" w14:paraId="5DC9996B" w14:textId="77777777" w:rsidTr="0007063B">
        <w:trPr>
          <w:cantSplit/>
          <w:trHeight w:val="1225"/>
        </w:trPr>
        <w:tc>
          <w:tcPr>
            <w:tcW w:w="649" w:type="pct"/>
            <w:shd w:val="clear" w:color="auto" w:fill="D9D9D9"/>
          </w:tcPr>
          <w:p w14:paraId="11506958" w14:textId="77777777" w:rsidR="0007063B" w:rsidRPr="0007063B" w:rsidRDefault="0007063B" w:rsidP="0007063B">
            <w:pPr>
              <w:spacing w:after="0"/>
              <w:rPr>
                <w:rFonts w:ascii="Times New Roman" w:hAnsi="Times New Roman" w:cs="Times New Roman"/>
                <w:b/>
                <w:sz w:val="20"/>
                <w:szCs w:val="20"/>
              </w:rPr>
            </w:pPr>
          </w:p>
        </w:tc>
        <w:tc>
          <w:tcPr>
            <w:tcW w:w="689" w:type="pct"/>
            <w:shd w:val="clear" w:color="auto" w:fill="D9D9D9"/>
            <w:vAlign w:val="bottom"/>
          </w:tcPr>
          <w:p w14:paraId="54E61BC6"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Number of Respondents</w:t>
            </w:r>
            <w:r w:rsidRPr="0007063B">
              <w:rPr>
                <w:rFonts w:ascii="Times New Roman" w:hAnsi="Times New Roman" w:cs="Times New Roman"/>
                <w:b/>
                <w:sz w:val="20"/>
                <w:szCs w:val="20"/>
              </w:rPr>
              <w:br/>
              <w:t>(1)</w:t>
            </w:r>
          </w:p>
        </w:tc>
        <w:tc>
          <w:tcPr>
            <w:tcW w:w="731" w:type="pct"/>
            <w:shd w:val="clear" w:color="auto" w:fill="D9D9D9"/>
            <w:vAlign w:val="bottom"/>
          </w:tcPr>
          <w:p w14:paraId="1AC46DB9"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Annual Number of Responses per Respondent</w:t>
            </w:r>
          </w:p>
          <w:p w14:paraId="7CB2102B"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(2)</w:t>
            </w:r>
          </w:p>
        </w:tc>
        <w:tc>
          <w:tcPr>
            <w:tcW w:w="730" w:type="pct"/>
            <w:shd w:val="clear" w:color="auto" w:fill="D9D9D9"/>
            <w:vAlign w:val="bottom"/>
          </w:tcPr>
          <w:p w14:paraId="56234A24"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Number of Responses (1)*(2)=(3)</w:t>
            </w:r>
          </w:p>
        </w:tc>
        <w:tc>
          <w:tcPr>
            <w:tcW w:w="689" w:type="pct"/>
            <w:shd w:val="clear" w:color="auto" w:fill="D9D9D9"/>
            <w:vAlign w:val="bottom"/>
          </w:tcPr>
          <w:p w14:paraId="22E01F1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Average Burden/Cost Per Response</w:t>
            </w:r>
            <w:bookmarkStart w:id="1" w:name="_Ref366073887"/>
            <w:r w:rsidRPr="0007063B">
              <w:rPr>
                <w:rFonts w:ascii="Times New Roman" w:hAnsi="Times New Roman" w:cs="Times New Roman"/>
                <w:b/>
                <w:sz w:val="20"/>
                <w:szCs w:val="20"/>
                <w:vertAlign w:val="superscript"/>
              </w:rPr>
              <w:footnoteReference w:id="3"/>
            </w:r>
            <w:bookmarkEnd w:id="1"/>
          </w:p>
          <w:p w14:paraId="0B16AC26"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(4)</w:t>
            </w:r>
          </w:p>
        </w:tc>
        <w:tc>
          <w:tcPr>
            <w:tcW w:w="730" w:type="pct"/>
            <w:shd w:val="clear" w:color="auto" w:fill="D9D9D9"/>
            <w:vAlign w:val="bottom"/>
          </w:tcPr>
          <w:p w14:paraId="7FD6F702"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Annual Burden Hours (Total Annual Cost)</w:t>
            </w:r>
            <w:bookmarkStart w:id="2" w:name="_Ref390243007"/>
            <w:r w:rsidRPr="0007063B">
              <w:rPr>
                <w:rFonts w:ascii="Times New Roman" w:hAnsi="Times New Roman" w:cs="Times New Roman"/>
                <w:b/>
                <w:sz w:val="20"/>
                <w:szCs w:val="20"/>
                <w:vertAlign w:val="superscript"/>
              </w:rPr>
              <w:footnoteReference w:id="4"/>
            </w:r>
            <w:bookmarkEnd w:id="2"/>
          </w:p>
          <w:p w14:paraId="74CEF352"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(3)*(4)=(5)</w:t>
            </w:r>
          </w:p>
        </w:tc>
        <w:tc>
          <w:tcPr>
            <w:tcW w:w="782" w:type="pct"/>
            <w:shd w:val="clear" w:color="auto" w:fill="D9D9D9"/>
            <w:vAlign w:val="bottom"/>
          </w:tcPr>
          <w:p w14:paraId="42598AB3"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Cost per Respondent</w:t>
            </w:r>
          </w:p>
          <w:p w14:paraId="002ABCE3" w14:textId="7BBD9F8D"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w:t>
            </w:r>
          </w:p>
          <w:p w14:paraId="029D0B5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(5)÷(1)</w:t>
            </w:r>
          </w:p>
        </w:tc>
      </w:tr>
      <w:tr w:rsidR="0007063B" w:rsidRPr="0007063B" w14:paraId="749C4D91" w14:textId="77777777" w:rsidTr="0007063B">
        <w:trPr>
          <w:cantSplit/>
          <w:trHeight w:val="454"/>
        </w:trPr>
        <w:tc>
          <w:tcPr>
            <w:tcW w:w="649" w:type="pct"/>
          </w:tcPr>
          <w:p w14:paraId="1A0F93A6" w14:textId="77777777" w:rsidR="0007063B" w:rsidRPr="0007063B" w:rsidRDefault="0007063B" w:rsidP="0007063B">
            <w:pPr>
              <w:spacing w:after="0"/>
              <w:rPr>
                <w:rFonts w:ascii="Times New Roman" w:hAnsi="Times New Roman" w:cs="Times New Roman"/>
                <w:sz w:val="20"/>
                <w:szCs w:val="20"/>
              </w:rPr>
            </w:pPr>
            <w:r w:rsidRPr="0007063B">
              <w:rPr>
                <w:rFonts w:ascii="Times New Roman" w:hAnsi="Times New Roman" w:cs="Times New Roman"/>
                <w:sz w:val="20"/>
                <w:szCs w:val="20"/>
              </w:rPr>
              <w:t>Full</w:t>
            </w:r>
          </w:p>
        </w:tc>
        <w:tc>
          <w:tcPr>
            <w:tcW w:w="689" w:type="pct"/>
            <w:vAlign w:val="bottom"/>
          </w:tcPr>
          <w:p w14:paraId="3180D882" w14:textId="1E62A6D0"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10</w:t>
            </w:r>
          </w:p>
        </w:tc>
        <w:tc>
          <w:tcPr>
            <w:tcW w:w="731" w:type="pct"/>
            <w:vAlign w:val="bottom"/>
          </w:tcPr>
          <w:p w14:paraId="36FEAF9F"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730" w:type="pct"/>
            <w:vAlign w:val="bottom"/>
          </w:tcPr>
          <w:p w14:paraId="63A429AC"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10</w:t>
            </w:r>
          </w:p>
        </w:tc>
        <w:tc>
          <w:tcPr>
            <w:tcW w:w="689" w:type="pct"/>
            <w:vAlign w:val="bottom"/>
          </w:tcPr>
          <w:p w14:paraId="2BDF8D31"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51.8</w:t>
            </w:r>
          </w:p>
          <w:p w14:paraId="3A38653F"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$3,651.9</w:t>
            </w:r>
          </w:p>
        </w:tc>
        <w:tc>
          <w:tcPr>
            <w:tcW w:w="730" w:type="pct"/>
            <w:vAlign w:val="bottom"/>
          </w:tcPr>
          <w:p w14:paraId="2090F090"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 518</w:t>
            </w:r>
          </w:p>
          <w:p w14:paraId="73699382"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$36,519 </w:t>
            </w:r>
          </w:p>
        </w:tc>
        <w:tc>
          <w:tcPr>
            <w:tcW w:w="782" w:type="pct"/>
            <w:vAlign w:val="bottom"/>
          </w:tcPr>
          <w:p w14:paraId="048EC806" w14:textId="49A6307C"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$3,652 </w:t>
            </w:r>
          </w:p>
        </w:tc>
      </w:tr>
      <w:tr w:rsidR="0007063B" w:rsidRPr="0007063B" w14:paraId="48F684AF" w14:textId="77777777" w:rsidTr="0007063B">
        <w:trPr>
          <w:cantSplit/>
          <w:trHeight w:val="471"/>
        </w:trPr>
        <w:tc>
          <w:tcPr>
            <w:tcW w:w="649" w:type="pct"/>
          </w:tcPr>
          <w:p w14:paraId="2B58A724" w14:textId="77777777" w:rsidR="0007063B" w:rsidRPr="0007063B" w:rsidRDefault="0007063B" w:rsidP="0007063B">
            <w:pPr>
              <w:spacing w:after="0"/>
              <w:rPr>
                <w:rFonts w:ascii="Times New Roman" w:hAnsi="Times New Roman" w:cs="Times New Roman"/>
                <w:sz w:val="20"/>
                <w:szCs w:val="20"/>
              </w:rPr>
            </w:pPr>
            <w:r w:rsidRPr="0007063B">
              <w:rPr>
                <w:rFonts w:ascii="Times New Roman" w:hAnsi="Times New Roman" w:cs="Times New Roman"/>
                <w:sz w:val="20"/>
                <w:szCs w:val="20"/>
              </w:rPr>
              <w:t>Informational</w:t>
            </w:r>
          </w:p>
        </w:tc>
        <w:tc>
          <w:tcPr>
            <w:tcW w:w="689" w:type="pct"/>
            <w:vAlign w:val="bottom"/>
          </w:tcPr>
          <w:p w14:paraId="0310E679"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454</w:t>
            </w:r>
          </w:p>
        </w:tc>
        <w:tc>
          <w:tcPr>
            <w:tcW w:w="731" w:type="pct"/>
            <w:vAlign w:val="bottom"/>
          </w:tcPr>
          <w:p w14:paraId="3A6673FE"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730" w:type="pct"/>
            <w:vAlign w:val="bottom"/>
          </w:tcPr>
          <w:p w14:paraId="077CAE6C"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454</w:t>
            </w:r>
          </w:p>
        </w:tc>
        <w:tc>
          <w:tcPr>
            <w:tcW w:w="689" w:type="pct"/>
            <w:vAlign w:val="bottom"/>
          </w:tcPr>
          <w:p w14:paraId="553C12DD"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16</w:t>
            </w:r>
          </w:p>
          <w:p w14:paraId="7CAC99E0"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$1,128</w:t>
            </w:r>
          </w:p>
        </w:tc>
        <w:tc>
          <w:tcPr>
            <w:tcW w:w="730" w:type="pct"/>
            <w:vAlign w:val="bottom"/>
          </w:tcPr>
          <w:p w14:paraId="04980E4E"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7,264</w:t>
            </w:r>
          </w:p>
          <w:p w14:paraId="5869776A"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$512,112</w:t>
            </w:r>
          </w:p>
        </w:tc>
        <w:tc>
          <w:tcPr>
            <w:tcW w:w="782" w:type="pct"/>
            <w:vAlign w:val="bottom"/>
          </w:tcPr>
          <w:p w14:paraId="6116F65F"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$1,128</w:t>
            </w:r>
          </w:p>
        </w:tc>
      </w:tr>
      <w:tr w:rsidR="0007063B" w:rsidRPr="0007063B" w14:paraId="0AA08D4C" w14:textId="77777777" w:rsidTr="0007063B">
        <w:trPr>
          <w:cantSplit/>
          <w:trHeight w:val="489"/>
        </w:trPr>
        <w:tc>
          <w:tcPr>
            <w:tcW w:w="649" w:type="pct"/>
          </w:tcPr>
          <w:p w14:paraId="344D162D" w14:textId="77777777" w:rsidR="0007063B" w:rsidRPr="0007063B" w:rsidRDefault="0007063B" w:rsidP="0007063B">
            <w:pPr>
              <w:spacing w:after="0"/>
              <w:rPr>
                <w:rFonts w:ascii="Times New Roman" w:hAnsi="Times New Roman" w:cs="Times New Roman"/>
                <w:sz w:val="20"/>
                <w:szCs w:val="20"/>
              </w:rPr>
            </w:pPr>
            <w:r w:rsidRPr="0007063B">
              <w:rPr>
                <w:rFonts w:ascii="Times New Roman" w:hAnsi="Times New Roman" w:cs="Times New Roman"/>
                <w:sz w:val="20"/>
                <w:szCs w:val="20"/>
              </w:rPr>
              <w:t>Notice of Change</w:t>
            </w:r>
          </w:p>
        </w:tc>
        <w:tc>
          <w:tcPr>
            <w:tcW w:w="689" w:type="pct"/>
            <w:vAlign w:val="bottom"/>
          </w:tcPr>
          <w:p w14:paraId="0C5885B5"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254</w:t>
            </w:r>
          </w:p>
        </w:tc>
        <w:tc>
          <w:tcPr>
            <w:tcW w:w="731" w:type="pct"/>
            <w:vAlign w:val="bottom"/>
          </w:tcPr>
          <w:p w14:paraId="3B0E1D90"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730" w:type="pct"/>
            <w:vAlign w:val="bottom"/>
          </w:tcPr>
          <w:p w14:paraId="2790E89E"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254</w:t>
            </w:r>
          </w:p>
        </w:tc>
        <w:tc>
          <w:tcPr>
            <w:tcW w:w="689" w:type="pct"/>
            <w:vAlign w:val="bottom"/>
          </w:tcPr>
          <w:p w14:paraId="7D38BDED"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0.25</w:t>
            </w:r>
          </w:p>
          <w:p w14:paraId="04DB26B6"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$17.63</w:t>
            </w:r>
          </w:p>
        </w:tc>
        <w:tc>
          <w:tcPr>
            <w:tcW w:w="730" w:type="pct"/>
            <w:vAlign w:val="bottom"/>
          </w:tcPr>
          <w:p w14:paraId="6668C019"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63.5</w:t>
            </w:r>
          </w:p>
          <w:p w14:paraId="5B9E70D2"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$4,477</w:t>
            </w:r>
          </w:p>
        </w:tc>
        <w:tc>
          <w:tcPr>
            <w:tcW w:w="782" w:type="pct"/>
            <w:vAlign w:val="bottom"/>
          </w:tcPr>
          <w:p w14:paraId="685B1E26"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$17.63</w:t>
            </w:r>
          </w:p>
        </w:tc>
      </w:tr>
      <w:tr w:rsidR="0007063B" w:rsidRPr="0007063B" w14:paraId="1819B099" w14:textId="77777777" w:rsidTr="0007063B">
        <w:trPr>
          <w:cantSplit/>
          <w:trHeight w:val="489"/>
        </w:trPr>
        <w:tc>
          <w:tcPr>
            <w:tcW w:w="649" w:type="pct"/>
          </w:tcPr>
          <w:p w14:paraId="4C5948E4" w14:textId="77777777" w:rsidR="0007063B" w:rsidRPr="0007063B" w:rsidRDefault="0007063B" w:rsidP="0007063B">
            <w:pPr>
              <w:spacing w:after="0"/>
              <w:rPr>
                <w:rFonts w:ascii="Times New Roman" w:hAnsi="Times New Roman" w:cs="Times New Roman"/>
                <w:b/>
                <w:sz w:val="20"/>
                <w:szCs w:val="20"/>
              </w:rPr>
            </w:pPr>
            <w:r w:rsidRPr="0007063B">
              <w:rPr>
                <w:rFonts w:ascii="Times New Roman" w:hAnsi="Times New Roman" w:cs="Times New Roman"/>
                <w:b/>
                <w:sz w:val="20"/>
                <w:szCs w:val="20"/>
              </w:rPr>
              <w:t>TOTAL</w:t>
            </w:r>
          </w:p>
        </w:tc>
        <w:tc>
          <w:tcPr>
            <w:tcW w:w="1420" w:type="pct"/>
            <w:gridSpan w:val="2"/>
            <w:shd w:val="clear" w:color="auto" w:fill="D9D9D9"/>
            <w:vAlign w:val="bottom"/>
          </w:tcPr>
          <w:p w14:paraId="184E3A15" w14:textId="77777777" w:rsidR="0007063B" w:rsidRPr="0007063B" w:rsidRDefault="0007063B" w:rsidP="0007063B">
            <w:pPr>
              <w:spacing w:after="0"/>
              <w:jc w:val="right"/>
              <w:rPr>
                <w:rFonts w:ascii="Times New Roman" w:hAnsi="Times New Roman" w:cs="Times New Roman"/>
                <w:sz w:val="20"/>
                <w:szCs w:val="20"/>
              </w:rPr>
            </w:pPr>
          </w:p>
        </w:tc>
        <w:tc>
          <w:tcPr>
            <w:tcW w:w="730" w:type="pct"/>
            <w:vAlign w:val="bottom"/>
          </w:tcPr>
          <w:p w14:paraId="0C16F6A6" w14:textId="77777777" w:rsidR="0007063B" w:rsidRPr="0007063B" w:rsidRDefault="0007063B" w:rsidP="0007063B">
            <w:pPr>
              <w:spacing w:after="0"/>
              <w:jc w:val="right"/>
              <w:rPr>
                <w:rFonts w:ascii="Times New Roman" w:hAnsi="Times New Roman" w:cs="Times New Roman"/>
                <w:b/>
                <w:sz w:val="20"/>
                <w:szCs w:val="20"/>
              </w:rPr>
            </w:pPr>
            <w:r w:rsidRPr="0007063B">
              <w:rPr>
                <w:rFonts w:ascii="Times New Roman" w:hAnsi="Times New Roman" w:cs="Times New Roman"/>
                <w:b/>
                <w:sz w:val="20"/>
                <w:szCs w:val="20"/>
              </w:rPr>
              <w:t>718</w:t>
            </w:r>
          </w:p>
        </w:tc>
        <w:tc>
          <w:tcPr>
            <w:tcW w:w="689" w:type="pct"/>
            <w:shd w:val="clear" w:color="auto" w:fill="D9D9D9"/>
            <w:vAlign w:val="bottom"/>
          </w:tcPr>
          <w:p w14:paraId="6800E890" w14:textId="77777777" w:rsidR="0007063B" w:rsidRPr="0007063B" w:rsidRDefault="0007063B" w:rsidP="0007063B">
            <w:pPr>
              <w:spacing w:after="0"/>
              <w:jc w:val="right"/>
              <w:rPr>
                <w:rFonts w:ascii="Times New Roman" w:hAnsi="Times New Roman" w:cs="Times New Roman"/>
                <w:sz w:val="20"/>
                <w:szCs w:val="20"/>
              </w:rPr>
            </w:pPr>
          </w:p>
        </w:tc>
        <w:tc>
          <w:tcPr>
            <w:tcW w:w="730" w:type="pct"/>
            <w:vAlign w:val="bottom"/>
          </w:tcPr>
          <w:p w14:paraId="05E6C73D" w14:textId="19AB8F4F" w:rsidR="0007063B" w:rsidRPr="0007063B" w:rsidRDefault="0007063B" w:rsidP="0007063B">
            <w:pPr>
              <w:spacing w:after="0"/>
              <w:jc w:val="right"/>
              <w:rPr>
                <w:rFonts w:ascii="Times New Roman" w:hAnsi="Times New Roman" w:cs="Times New Roman"/>
                <w:b/>
                <w:sz w:val="20"/>
                <w:szCs w:val="20"/>
              </w:rPr>
            </w:pPr>
            <w:r w:rsidRPr="0007063B">
              <w:rPr>
                <w:rFonts w:ascii="Times New Roman" w:hAnsi="Times New Roman" w:cs="Times New Roman"/>
                <w:b/>
                <w:sz w:val="20"/>
                <w:szCs w:val="20"/>
              </w:rPr>
              <w:t>7,845.5</w:t>
            </w:r>
            <w:r w:rsidR="0089247D" w:rsidRPr="00192C00">
              <w:rPr>
                <w:rStyle w:val="FootnoteReference"/>
                <w:rFonts w:ascii="Times New Roman" w:hAnsi="Times New Roman" w:cs="Times New Roman"/>
                <w:b/>
                <w:sz w:val="20"/>
                <w:szCs w:val="20"/>
                <w:vertAlign w:val="superscript"/>
              </w:rPr>
              <w:footnoteReference w:id="5"/>
            </w:r>
          </w:p>
          <w:p w14:paraId="01762A5C" w14:textId="77777777" w:rsidR="0007063B" w:rsidRPr="0007063B" w:rsidRDefault="0007063B" w:rsidP="0007063B">
            <w:pPr>
              <w:spacing w:after="0"/>
              <w:jc w:val="right"/>
              <w:rPr>
                <w:rFonts w:ascii="Times New Roman" w:hAnsi="Times New Roman" w:cs="Times New Roman"/>
                <w:b/>
                <w:sz w:val="20"/>
                <w:szCs w:val="20"/>
              </w:rPr>
            </w:pPr>
            <w:r w:rsidRPr="0007063B">
              <w:rPr>
                <w:rFonts w:ascii="Times New Roman" w:hAnsi="Times New Roman" w:cs="Times New Roman"/>
                <w:b/>
                <w:sz w:val="20"/>
                <w:szCs w:val="20"/>
              </w:rPr>
              <w:t>$553,108</w:t>
            </w:r>
          </w:p>
        </w:tc>
        <w:tc>
          <w:tcPr>
            <w:tcW w:w="782" w:type="pct"/>
            <w:vAlign w:val="bottom"/>
          </w:tcPr>
          <w:p w14:paraId="2D43AB91" w14:textId="77777777" w:rsidR="0007063B" w:rsidRPr="0007063B" w:rsidRDefault="0007063B" w:rsidP="0007063B">
            <w:pPr>
              <w:spacing w:after="0"/>
              <w:jc w:val="right"/>
              <w:rPr>
                <w:rFonts w:ascii="Times New Roman" w:hAnsi="Times New Roman" w:cs="Times New Roman"/>
                <w:b/>
                <w:sz w:val="20"/>
                <w:szCs w:val="20"/>
              </w:rPr>
            </w:pPr>
            <w:r w:rsidRPr="0007063B">
              <w:rPr>
                <w:rFonts w:ascii="Times New Roman" w:hAnsi="Times New Roman" w:cs="Times New Roman"/>
                <w:b/>
                <w:sz w:val="20"/>
                <w:szCs w:val="20"/>
              </w:rPr>
              <w:t>$4,797.63</w:t>
            </w:r>
          </w:p>
        </w:tc>
      </w:tr>
    </w:tbl>
    <w:p w14:paraId="6F07FC04" w14:textId="77777777" w:rsidR="0007063B" w:rsidRPr="0007063B" w:rsidRDefault="0007063B" w:rsidP="00D80FBD">
      <w:pPr>
        <w:spacing w:after="0"/>
        <w:rPr>
          <w:rFonts w:ascii="Times New Roman" w:hAnsi="Times New Roman" w:cs="Times New Roman"/>
          <w:sz w:val="20"/>
          <w:szCs w:val="20"/>
        </w:rPr>
      </w:pPr>
    </w:p>
    <w:tbl>
      <w:tblPr>
        <w:tblW w:w="54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319"/>
        <w:gridCol w:w="1319"/>
        <w:gridCol w:w="1582"/>
        <w:gridCol w:w="1492"/>
        <w:gridCol w:w="2020"/>
        <w:gridCol w:w="1407"/>
      </w:tblGrid>
      <w:tr w:rsidR="0007063B" w:rsidRPr="0007063B" w14:paraId="3E6DE08D" w14:textId="77777777" w:rsidTr="00ED3BA2">
        <w:trPr>
          <w:cantSplit/>
          <w:trHeight w:val="225"/>
        </w:trPr>
        <w:tc>
          <w:tcPr>
            <w:tcW w:w="5000" w:type="pct"/>
            <w:gridSpan w:val="7"/>
            <w:shd w:val="clear" w:color="auto" w:fill="D9D9D9"/>
          </w:tcPr>
          <w:p w14:paraId="7DEE6A38"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FERC Form 561  (Annual Report of Interlocking Positions)</w:t>
            </w:r>
          </w:p>
        </w:tc>
      </w:tr>
      <w:tr w:rsidR="0007063B" w:rsidRPr="0007063B" w14:paraId="4CBAC9A9" w14:textId="77777777" w:rsidTr="0007063B">
        <w:trPr>
          <w:cantSplit/>
          <w:trHeight w:val="1217"/>
        </w:trPr>
        <w:tc>
          <w:tcPr>
            <w:tcW w:w="517" w:type="pct"/>
            <w:shd w:val="clear" w:color="auto" w:fill="D9D9D9"/>
          </w:tcPr>
          <w:p w14:paraId="184C64F4" w14:textId="77777777" w:rsidR="0007063B" w:rsidRPr="0007063B" w:rsidRDefault="0007063B" w:rsidP="0007063B">
            <w:pPr>
              <w:spacing w:after="0"/>
              <w:rPr>
                <w:rFonts w:ascii="Times New Roman" w:hAnsi="Times New Roman" w:cs="Times New Roman"/>
                <w:b/>
                <w:sz w:val="20"/>
                <w:szCs w:val="20"/>
              </w:rPr>
            </w:pPr>
          </w:p>
        </w:tc>
        <w:tc>
          <w:tcPr>
            <w:tcW w:w="647" w:type="pct"/>
            <w:shd w:val="clear" w:color="auto" w:fill="D9D9D9"/>
            <w:vAlign w:val="bottom"/>
          </w:tcPr>
          <w:p w14:paraId="45C9B56A"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Number of Respondents</w:t>
            </w:r>
            <w:r w:rsidRPr="0007063B">
              <w:rPr>
                <w:rFonts w:ascii="Times New Roman" w:hAnsi="Times New Roman" w:cs="Times New Roman"/>
                <w:b/>
                <w:sz w:val="20"/>
                <w:szCs w:val="20"/>
              </w:rPr>
              <w:br/>
              <w:t>(1)</w:t>
            </w:r>
          </w:p>
        </w:tc>
        <w:tc>
          <w:tcPr>
            <w:tcW w:w="647" w:type="pct"/>
            <w:shd w:val="clear" w:color="auto" w:fill="D9D9D9"/>
            <w:vAlign w:val="bottom"/>
          </w:tcPr>
          <w:p w14:paraId="66417600"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Annual Number of Responses per Respondent</w:t>
            </w:r>
          </w:p>
          <w:p w14:paraId="7858DDA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(2)</w:t>
            </w:r>
          </w:p>
        </w:tc>
        <w:tc>
          <w:tcPr>
            <w:tcW w:w="776" w:type="pct"/>
            <w:shd w:val="clear" w:color="auto" w:fill="D9D9D9"/>
            <w:vAlign w:val="bottom"/>
          </w:tcPr>
          <w:p w14:paraId="043D2379"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Number of Responses (1)*(2)=(3)</w:t>
            </w:r>
          </w:p>
        </w:tc>
        <w:tc>
          <w:tcPr>
            <w:tcW w:w="732" w:type="pct"/>
            <w:shd w:val="clear" w:color="auto" w:fill="D9D9D9"/>
            <w:vAlign w:val="bottom"/>
          </w:tcPr>
          <w:p w14:paraId="3886828B"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Average Burden/Cost Per Response</w:t>
            </w:r>
            <w:r w:rsidRPr="00001508">
              <w:rPr>
                <w:rFonts w:ascii="Times New Roman" w:hAnsi="Times New Roman" w:cs="Times New Roman"/>
                <w:sz w:val="20"/>
                <w:szCs w:val="20"/>
                <w:vertAlign w:val="superscript"/>
              </w:rPr>
              <w:fldChar w:fldCharType="begin"/>
            </w:r>
            <w:r w:rsidRPr="00001508">
              <w:rPr>
                <w:rFonts w:ascii="Times New Roman" w:hAnsi="Times New Roman" w:cs="Times New Roman"/>
                <w:sz w:val="20"/>
                <w:szCs w:val="20"/>
                <w:vertAlign w:val="superscript"/>
              </w:rPr>
              <w:instrText xml:space="preserve"> NOTEREF _Ref366073887 \h  \* MERGEFORMAT </w:instrText>
            </w:r>
            <w:r w:rsidRPr="00001508">
              <w:rPr>
                <w:rFonts w:ascii="Times New Roman" w:hAnsi="Times New Roman" w:cs="Times New Roman"/>
                <w:sz w:val="20"/>
                <w:szCs w:val="20"/>
                <w:vertAlign w:val="superscript"/>
              </w:rPr>
            </w:r>
            <w:r w:rsidRPr="00001508">
              <w:rPr>
                <w:rFonts w:ascii="Times New Roman" w:hAnsi="Times New Roman" w:cs="Times New Roman"/>
                <w:sz w:val="20"/>
                <w:szCs w:val="20"/>
                <w:vertAlign w:val="superscript"/>
              </w:rPr>
              <w:fldChar w:fldCharType="separate"/>
            </w:r>
            <w:r w:rsidR="00001508" w:rsidRPr="00001508">
              <w:rPr>
                <w:rFonts w:ascii="Times New Roman" w:hAnsi="Times New Roman" w:cs="Times New Roman"/>
                <w:sz w:val="20"/>
                <w:szCs w:val="20"/>
                <w:vertAlign w:val="superscript"/>
              </w:rPr>
              <w:t>3</w:t>
            </w:r>
            <w:r w:rsidRPr="00001508">
              <w:rPr>
                <w:rFonts w:ascii="Times New Roman" w:hAnsi="Times New Roman" w:cs="Times New Roman"/>
                <w:sz w:val="20"/>
                <w:szCs w:val="20"/>
                <w:vertAlign w:val="superscript"/>
              </w:rPr>
              <w:fldChar w:fldCharType="end"/>
            </w:r>
          </w:p>
          <w:p w14:paraId="1B4AE112"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(4)</w:t>
            </w:r>
          </w:p>
        </w:tc>
        <w:tc>
          <w:tcPr>
            <w:tcW w:w="991" w:type="pct"/>
            <w:shd w:val="clear" w:color="auto" w:fill="D9D9D9"/>
            <w:vAlign w:val="bottom"/>
          </w:tcPr>
          <w:p w14:paraId="22A92976"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Annual Burden Hours (Total Annual Cost)</w:t>
            </w:r>
            <w:r w:rsidRPr="00001508">
              <w:rPr>
                <w:rFonts w:ascii="Times New Roman" w:hAnsi="Times New Roman" w:cs="Times New Roman"/>
                <w:sz w:val="20"/>
                <w:szCs w:val="20"/>
                <w:vertAlign w:val="superscript"/>
              </w:rPr>
              <w:fldChar w:fldCharType="begin"/>
            </w:r>
            <w:r w:rsidRPr="00001508">
              <w:rPr>
                <w:rFonts w:ascii="Times New Roman" w:hAnsi="Times New Roman" w:cs="Times New Roman"/>
                <w:sz w:val="20"/>
                <w:szCs w:val="20"/>
                <w:vertAlign w:val="superscript"/>
              </w:rPr>
              <w:instrText xml:space="preserve"> NOTEREF _Ref390243007 \h  \* MERGEFORMAT </w:instrText>
            </w:r>
            <w:r w:rsidRPr="00001508">
              <w:rPr>
                <w:rFonts w:ascii="Times New Roman" w:hAnsi="Times New Roman" w:cs="Times New Roman"/>
                <w:sz w:val="20"/>
                <w:szCs w:val="20"/>
                <w:vertAlign w:val="superscript"/>
              </w:rPr>
            </w:r>
            <w:r w:rsidRPr="00001508">
              <w:rPr>
                <w:rFonts w:ascii="Times New Roman" w:hAnsi="Times New Roman" w:cs="Times New Roman"/>
                <w:sz w:val="20"/>
                <w:szCs w:val="20"/>
                <w:vertAlign w:val="superscript"/>
              </w:rPr>
              <w:fldChar w:fldCharType="separate"/>
            </w:r>
            <w:r w:rsidR="00001508" w:rsidRPr="00001508">
              <w:rPr>
                <w:rFonts w:ascii="Times New Roman" w:hAnsi="Times New Roman" w:cs="Times New Roman"/>
                <w:sz w:val="20"/>
                <w:szCs w:val="20"/>
                <w:vertAlign w:val="superscript"/>
              </w:rPr>
              <w:t>4</w:t>
            </w:r>
            <w:r w:rsidRPr="00001508">
              <w:rPr>
                <w:rFonts w:ascii="Times New Roman" w:hAnsi="Times New Roman" w:cs="Times New Roman"/>
                <w:sz w:val="20"/>
                <w:szCs w:val="20"/>
                <w:vertAlign w:val="superscript"/>
              </w:rPr>
              <w:fldChar w:fldCharType="end"/>
            </w:r>
          </w:p>
          <w:p w14:paraId="4EA85701"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(3)*(4)=(5)</w:t>
            </w:r>
          </w:p>
        </w:tc>
        <w:tc>
          <w:tcPr>
            <w:tcW w:w="690" w:type="pct"/>
            <w:shd w:val="clear" w:color="auto" w:fill="D9D9D9"/>
            <w:vAlign w:val="bottom"/>
          </w:tcPr>
          <w:p w14:paraId="2B1E919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Cost per Respondent</w:t>
            </w:r>
          </w:p>
          <w:p w14:paraId="4EC4FC1E" w14:textId="349EE088"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w:t>
            </w:r>
          </w:p>
          <w:p w14:paraId="7608DAB2"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(5)÷(1)</w:t>
            </w:r>
          </w:p>
        </w:tc>
      </w:tr>
      <w:tr w:rsidR="0007063B" w:rsidRPr="0007063B" w14:paraId="28539219" w14:textId="77777777" w:rsidTr="0007063B">
        <w:trPr>
          <w:cantSplit/>
          <w:trHeight w:val="466"/>
        </w:trPr>
        <w:tc>
          <w:tcPr>
            <w:tcW w:w="517" w:type="pct"/>
          </w:tcPr>
          <w:p w14:paraId="34D740EC" w14:textId="77777777" w:rsidR="0007063B" w:rsidRPr="0007063B" w:rsidRDefault="0007063B" w:rsidP="0007063B">
            <w:pPr>
              <w:spacing w:after="0"/>
              <w:rPr>
                <w:rFonts w:ascii="Times New Roman" w:hAnsi="Times New Roman" w:cs="Times New Roman"/>
                <w:sz w:val="20"/>
                <w:szCs w:val="20"/>
              </w:rPr>
            </w:pPr>
            <w:r w:rsidRPr="0007063B">
              <w:rPr>
                <w:rFonts w:ascii="Times New Roman" w:hAnsi="Times New Roman" w:cs="Times New Roman"/>
                <w:sz w:val="20"/>
                <w:szCs w:val="20"/>
              </w:rPr>
              <w:t>FERC Form 561</w:t>
            </w:r>
          </w:p>
        </w:tc>
        <w:tc>
          <w:tcPr>
            <w:tcW w:w="647" w:type="pct"/>
            <w:vAlign w:val="bottom"/>
          </w:tcPr>
          <w:p w14:paraId="478E5C8E" w14:textId="1B0C5B81"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2,675</w:t>
            </w:r>
          </w:p>
        </w:tc>
        <w:tc>
          <w:tcPr>
            <w:tcW w:w="647" w:type="pct"/>
            <w:vAlign w:val="bottom"/>
          </w:tcPr>
          <w:p w14:paraId="3B817E84"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776" w:type="pct"/>
            <w:vAlign w:val="bottom"/>
          </w:tcPr>
          <w:p w14:paraId="71DF5A01"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2,675</w:t>
            </w:r>
          </w:p>
        </w:tc>
        <w:tc>
          <w:tcPr>
            <w:tcW w:w="732" w:type="pct"/>
            <w:vAlign w:val="bottom"/>
          </w:tcPr>
          <w:p w14:paraId="208CC037"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0.25</w:t>
            </w:r>
          </w:p>
          <w:p w14:paraId="52B6CE87"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$17.63</w:t>
            </w:r>
          </w:p>
        </w:tc>
        <w:tc>
          <w:tcPr>
            <w:tcW w:w="991" w:type="pct"/>
            <w:vAlign w:val="bottom"/>
          </w:tcPr>
          <w:p w14:paraId="4A1DF4FF"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 668.75</w:t>
            </w:r>
          </w:p>
          <w:p w14:paraId="7A4CC050" w14:textId="77777777" w:rsidR="0007063B" w:rsidRPr="0007063B" w:rsidRDefault="0007063B" w:rsidP="0007063B">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$47,147 </w:t>
            </w:r>
          </w:p>
        </w:tc>
        <w:tc>
          <w:tcPr>
            <w:tcW w:w="690" w:type="pct"/>
            <w:vAlign w:val="bottom"/>
          </w:tcPr>
          <w:p w14:paraId="15C7AD64" w14:textId="7842311A"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$17.63 </w:t>
            </w:r>
          </w:p>
        </w:tc>
      </w:tr>
    </w:tbl>
    <w:p w14:paraId="1766B8D5" w14:textId="77777777" w:rsidR="0007063B" w:rsidRPr="0007063B" w:rsidRDefault="0007063B" w:rsidP="00D80FBD">
      <w:pPr>
        <w:spacing w:after="0"/>
        <w:rPr>
          <w:rFonts w:ascii="Times New Roman" w:hAnsi="Times New Roman" w:cs="Times New Roman"/>
          <w:sz w:val="20"/>
          <w:szCs w:val="20"/>
        </w:rPr>
      </w:pPr>
    </w:p>
    <w:tbl>
      <w:tblPr>
        <w:tblW w:w="547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311"/>
        <w:gridCol w:w="1412"/>
        <w:gridCol w:w="1408"/>
        <w:gridCol w:w="1494"/>
        <w:gridCol w:w="2022"/>
        <w:gridCol w:w="1443"/>
      </w:tblGrid>
      <w:tr w:rsidR="0007063B" w:rsidRPr="0007063B" w14:paraId="5883CF1C" w14:textId="77777777" w:rsidTr="00ED3BA2">
        <w:trPr>
          <w:cantSplit/>
          <w:trHeight w:val="227"/>
        </w:trPr>
        <w:tc>
          <w:tcPr>
            <w:tcW w:w="5000" w:type="pct"/>
            <w:gridSpan w:val="7"/>
            <w:shd w:val="clear" w:color="auto" w:fill="D9D9D9"/>
          </w:tcPr>
          <w:p w14:paraId="64241D45"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FERC-566  (Annual Report of a Utility’s 20 Largest Purchasers)</w:t>
            </w:r>
          </w:p>
        </w:tc>
      </w:tr>
      <w:tr w:rsidR="0007063B" w:rsidRPr="0007063B" w14:paraId="0CDAB2A7" w14:textId="77777777" w:rsidTr="0007063B">
        <w:trPr>
          <w:cantSplit/>
          <w:trHeight w:val="1224"/>
        </w:trPr>
        <w:tc>
          <w:tcPr>
            <w:tcW w:w="558" w:type="pct"/>
            <w:shd w:val="clear" w:color="auto" w:fill="D9D9D9"/>
          </w:tcPr>
          <w:p w14:paraId="53AD465A" w14:textId="77777777" w:rsidR="0007063B" w:rsidRPr="0007063B" w:rsidRDefault="0007063B" w:rsidP="0007063B">
            <w:pPr>
              <w:spacing w:after="0"/>
              <w:rPr>
                <w:rFonts w:ascii="Times New Roman" w:hAnsi="Times New Roman" w:cs="Times New Roman"/>
                <w:b/>
                <w:sz w:val="20"/>
                <w:szCs w:val="20"/>
              </w:rPr>
            </w:pPr>
          </w:p>
        </w:tc>
        <w:tc>
          <w:tcPr>
            <w:tcW w:w="641" w:type="pct"/>
            <w:shd w:val="clear" w:color="auto" w:fill="D9D9D9"/>
            <w:vAlign w:val="bottom"/>
          </w:tcPr>
          <w:p w14:paraId="3970DB17"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Number of Respondents</w:t>
            </w:r>
            <w:r w:rsidRPr="0007063B">
              <w:rPr>
                <w:rFonts w:ascii="Times New Roman" w:hAnsi="Times New Roman" w:cs="Times New Roman"/>
                <w:b/>
                <w:sz w:val="20"/>
                <w:szCs w:val="20"/>
              </w:rPr>
              <w:br/>
              <w:t>(1)</w:t>
            </w:r>
          </w:p>
        </w:tc>
        <w:tc>
          <w:tcPr>
            <w:tcW w:w="690" w:type="pct"/>
            <w:shd w:val="clear" w:color="auto" w:fill="D9D9D9"/>
            <w:vAlign w:val="bottom"/>
          </w:tcPr>
          <w:p w14:paraId="3991C684"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Annual Number of Responses per Respondent</w:t>
            </w:r>
          </w:p>
          <w:p w14:paraId="28798288"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(2)</w:t>
            </w:r>
          </w:p>
        </w:tc>
        <w:tc>
          <w:tcPr>
            <w:tcW w:w="688" w:type="pct"/>
            <w:shd w:val="clear" w:color="auto" w:fill="D9D9D9"/>
            <w:vAlign w:val="bottom"/>
          </w:tcPr>
          <w:p w14:paraId="5891674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Number of Responses (1)*(2)=(3)</w:t>
            </w:r>
          </w:p>
        </w:tc>
        <w:tc>
          <w:tcPr>
            <w:tcW w:w="730" w:type="pct"/>
            <w:shd w:val="clear" w:color="auto" w:fill="D9D9D9"/>
            <w:vAlign w:val="bottom"/>
          </w:tcPr>
          <w:p w14:paraId="5D351B9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Average Burden/Cost Per Response</w:t>
            </w:r>
            <w:r w:rsidRPr="00001508">
              <w:rPr>
                <w:rFonts w:ascii="Times New Roman" w:hAnsi="Times New Roman" w:cs="Times New Roman"/>
                <w:sz w:val="20"/>
                <w:szCs w:val="20"/>
                <w:vertAlign w:val="superscript"/>
              </w:rPr>
              <w:fldChar w:fldCharType="begin"/>
            </w:r>
            <w:r w:rsidRPr="00001508">
              <w:rPr>
                <w:rFonts w:ascii="Times New Roman" w:hAnsi="Times New Roman" w:cs="Times New Roman"/>
                <w:sz w:val="20"/>
                <w:szCs w:val="20"/>
                <w:vertAlign w:val="superscript"/>
              </w:rPr>
              <w:instrText xml:space="preserve"> NOTEREF _Ref366073887 \h  \* MERGEFORMAT </w:instrText>
            </w:r>
            <w:r w:rsidRPr="00001508">
              <w:rPr>
                <w:rFonts w:ascii="Times New Roman" w:hAnsi="Times New Roman" w:cs="Times New Roman"/>
                <w:sz w:val="20"/>
                <w:szCs w:val="20"/>
                <w:vertAlign w:val="superscript"/>
              </w:rPr>
            </w:r>
            <w:r w:rsidRPr="00001508">
              <w:rPr>
                <w:rFonts w:ascii="Times New Roman" w:hAnsi="Times New Roman" w:cs="Times New Roman"/>
                <w:sz w:val="20"/>
                <w:szCs w:val="20"/>
                <w:vertAlign w:val="superscript"/>
              </w:rPr>
              <w:fldChar w:fldCharType="separate"/>
            </w:r>
            <w:r w:rsidR="00001508" w:rsidRPr="00001508">
              <w:rPr>
                <w:rFonts w:ascii="Times New Roman" w:hAnsi="Times New Roman" w:cs="Times New Roman"/>
                <w:sz w:val="20"/>
                <w:szCs w:val="20"/>
                <w:vertAlign w:val="superscript"/>
              </w:rPr>
              <w:t>3</w:t>
            </w:r>
            <w:r w:rsidRPr="00001508">
              <w:rPr>
                <w:rFonts w:ascii="Times New Roman" w:hAnsi="Times New Roman" w:cs="Times New Roman"/>
                <w:sz w:val="20"/>
                <w:szCs w:val="20"/>
                <w:vertAlign w:val="superscript"/>
              </w:rPr>
              <w:fldChar w:fldCharType="end"/>
            </w:r>
          </w:p>
          <w:p w14:paraId="59712EA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(4)</w:t>
            </w:r>
          </w:p>
        </w:tc>
        <w:tc>
          <w:tcPr>
            <w:tcW w:w="988" w:type="pct"/>
            <w:shd w:val="clear" w:color="auto" w:fill="D9D9D9"/>
            <w:vAlign w:val="bottom"/>
          </w:tcPr>
          <w:p w14:paraId="6618781D"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Total Annual Burden Hours (Total Annual Cost)</w:t>
            </w:r>
            <w:r w:rsidRPr="00001508">
              <w:rPr>
                <w:rFonts w:ascii="Times New Roman" w:hAnsi="Times New Roman" w:cs="Times New Roman"/>
                <w:sz w:val="20"/>
                <w:szCs w:val="20"/>
                <w:vertAlign w:val="superscript"/>
              </w:rPr>
              <w:fldChar w:fldCharType="begin"/>
            </w:r>
            <w:r w:rsidRPr="00001508">
              <w:rPr>
                <w:rFonts w:ascii="Times New Roman" w:hAnsi="Times New Roman" w:cs="Times New Roman"/>
                <w:sz w:val="20"/>
                <w:szCs w:val="20"/>
                <w:vertAlign w:val="superscript"/>
              </w:rPr>
              <w:instrText xml:space="preserve"> NOTEREF _Ref390243007 \h  \* MERGEFORMAT </w:instrText>
            </w:r>
            <w:r w:rsidRPr="00001508">
              <w:rPr>
                <w:rFonts w:ascii="Times New Roman" w:hAnsi="Times New Roman" w:cs="Times New Roman"/>
                <w:sz w:val="20"/>
                <w:szCs w:val="20"/>
                <w:vertAlign w:val="superscript"/>
              </w:rPr>
            </w:r>
            <w:r w:rsidRPr="00001508">
              <w:rPr>
                <w:rFonts w:ascii="Times New Roman" w:hAnsi="Times New Roman" w:cs="Times New Roman"/>
                <w:sz w:val="20"/>
                <w:szCs w:val="20"/>
                <w:vertAlign w:val="superscript"/>
              </w:rPr>
              <w:fldChar w:fldCharType="separate"/>
            </w:r>
            <w:r w:rsidR="00001508" w:rsidRPr="00001508">
              <w:rPr>
                <w:rFonts w:ascii="Times New Roman" w:hAnsi="Times New Roman" w:cs="Times New Roman"/>
                <w:sz w:val="20"/>
                <w:szCs w:val="20"/>
                <w:vertAlign w:val="superscript"/>
              </w:rPr>
              <w:t>4</w:t>
            </w:r>
            <w:r w:rsidRPr="00001508">
              <w:rPr>
                <w:rFonts w:ascii="Times New Roman" w:hAnsi="Times New Roman" w:cs="Times New Roman"/>
                <w:sz w:val="20"/>
                <w:szCs w:val="20"/>
                <w:vertAlign w:val="superscript"/>
              </w:rPr>
              <w:fldChar w:fldCharType="end"/>
            </w:r>
          </w:p>
          <w:p w14:paraId="53C4E57F"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(3)*(4)=(5)</w:t>
            </w:r>
          </w:p>
        </w:tc>
        <w:tc>
          <w:tcPr>
            <w:tcW w:w="705" w:type="pct"/>
            <w:shd w:val="clear" w:color="auto" w:fill="D9D9D9"/>
            <w:vAlign w:val="bottom"/>
          </w:tcPr>
          <w:p w14:paraId="43A527BB"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Cost per Respondent</w:t>
            </w:r>
          </w:p>
          <w:p w14:paraId="31F20EAC" w14:textId="4E188212"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w:t>
            </w:r>
          </w:p>
          <w:p w14:paraId="2E2998E1" w14:textId="77777777" w:rsidR="0007063B" w:rsidRPr="0007063B" w:rsidRDefault="0007063B" w:rsidP="0007063B">
            <w:pPr>
              <w:spacing w:after="0"/>
              <w:jc w:val="center"/>
              <w:rPr>
                <w:rFonts w:ascii="Times New Roman" w:hAnsi="Times New Roman" w:cs="Times New Roman"/>
                <w:b/>
                <w:sz w:val="20"/>
                <w:szCs w:val="20"/>
              </w:rPr>
            </w:pPr>
            <w:r w:rsidRPr="0007063B">
              <w:rPr>
                <w:rFonts w:ascii="Times New Roman" w:hAnsi="Times New Roman" w:cs="Times New Roman"/>
                <w:b/>
                <w:sz w:val="20"/>
                <w:szCs w:val="20"/>
              </w:rPr>
              <w:t>(5)÷(1)</w:t>
            </w:r>
          </w:p>
        </w:tc>
      </w:tr>
      <w:tr w:rsidR="0007063B" w:rsidRPr="0007063B" w14:paraId="4E046483" w14:textId="77777777" w:rsidTr="00001508">
        <w:trPr>
          <w:cantSplit/>
          <w:trHeight w:val="469"/>
        </w:trPr>
        <w:tc>
          <w:tcPr>
            <w:tcW w:w="558" w:type="pct"/>
          </w:tcPr>
          <w:p w14:paraId="3D046C03" w14:textId="77777777" w:rsidR="0007063B" w:rsidRPr="0007063B" w:rsidRDefault="0007063B" w:rsidP="0007063B">
            <w:pPr>
              <w:spacing w:after="0"/>
              <w:rPr>
                <w:rFonts w:ascii="Times New Roman" w:hAnsi="Times New Roman" w:cs="Times New Roman"/>
                <w:sz w:val="20"/>
                <w:szCs w:val="20"/>
              </w:rPr>
            </w:pPr>
            <w:r w:rsidRPr="0007063B">
              <w:rPr>
                <w:rFonts w:ascii="Times New Roman" w:hAnsi="Times New Roman" w:cs="Times New Roman"/>
                <w:sz w:val="20"/>
                <w:szCs w:val="20"/>
              </w:rPr>
              <w:t>FERC-566</w:t>
            </w:r>
          </w:p>
        </w:tc>
        <w:tc>
          <w:tcPr>
            <w:tcW w:w="641" w:type="pct"/>
            <w:vAlign w:val="bottom"/>
          </w:tcPr>
          <w:p w14:paraId="27B2ED72" w14:textId="4A6836D5"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1,082</w:t>
            </w:r>
          </w:p>
        </w:tc>
        <w:tc>
          <w:tcPr>
            <w:tcW w:w="690" w:type="pct"/>
            <w:vAlign w:val="bottom"/>
          </w:tcPr>
          <w:p w14:paraId="164BFDC4"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w:t>
            </w:r>
          </w:p>
        </w:tc>
        <w:tc>
          <w:tcPr>
            <w:tcW w:w="688" w:type="pct"/>
            <w:vAlign w:val="bottom"/>
          </w:tcPr>
          <w:p w14:paraId="7C530963"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1,082</w:t>
            </w:r>
          </w:p>
        </w:tc>
        <w:tc>
          <w:tcPr>
            <w:tcW w:w="730" w:type="pct"/>
            <w:vAlign w:val="bottom"/>
          </w:tcPr>
          <w:p w14:paraId="189C1C38"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6</w:t>
            </w:r>
          </w:p>
          <w:p w14:paraId="37F3508F"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$423</w:t>
            </w:r>
          </w:p>
        </w:tc>
        <w:tc>
          <w:tcPr>
            <w:tcW w:w="988" w:type="pct"/>
            <w:vAlign w:val="bottom"/>
          </w:tcPr>
          <w:p w14:paraId="0C664AFB"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 6,492</w:t>
            </w:r>
          </w:p>
          <w:p w14:paraId="4B57282B" w14:textId="77777777"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$457,686 </w:t>
            </w:r>
          </w:p>
        </w:tc>
        <w:tc>
          <w:tcPr>
            <w:tcW w:w="705" w:type="pct"/>
            <w:vAlign w:val="bottom"/>
          </w:tcPr>
          <w:p w14:paraId="28472FE0" w14:textId="441F1A56" w:rsidR="0007063B" w:rsidRPr="0007063B" w:rsidRDefault="0007063B" w:rsidP="00001508">
            <w:pPr>
              <w:spacing w:after="0"/>
              <w:jc w:val="right"/>
              <w:rPr>
                <w:rFonts w:ascii="Times New Roman" w:hAnsi="Times New Roman" w:cs="Times New Roman"/>
                <w:sz w:val="20"/>
                <w:szCs w:val="20"/>
              </w:rPr>
            </w:pPr>
            <w:r w:rsidRPr="0007063B">
              <w:rPr>
                <w:rFonts w:ascii="Times New Roman" w:hAnsi="Times New Roman" w:cs="Times New Roman"/>
                <w:sz w:val="20"/>
                <w:szCs w:val="20"/>
              </w:rPr>
              <w:t xml:space="preserve">$423 </w:t>
            </w:r>
          </w:p>
        </w:tc>
      </w:tr>
    </w:tbl>
    <w:p w14:paraId="6326FBB1" w14:textId="77777777" w:rsidR="00C62B86" w:rsidRPr="00D80FBD" w:rsidRDefault="00C62B86" w:rsidP="00D80FBD">
      <w:pPr>
        <w:spacing w:after="0"/>
        <w:rPr>
          <w:rFonts w:ascii="Times New Roman" w:hAnsi="Times New Roman" w:cs="Times New Roman"/>
          <w:sz w:val="24"/>
          <w:szCs w:val="24"/>
        </w:rPr>
      </w:pPr>
    </w:p>
    <w:p w14:paraId="6992A8B0"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A5E5DA7" w14:textId="77777777" w:rsidR="00E636D7" w:rsidRDefault="00E636D7" w:rsidP="00E636D7">
      <w:pPr>
        <w:spacing w:after="0"/>
        <w:rPr>
          <w:rFonts w:ascii="Times New Roman" w:hAnsi="Times New Roman" w:cs="Times New Roman"/>
          <w:sz w:val="24"/>
          <w:szCs w:val="24"/>
        </w:rPr>
      </w:pPr>
    </w:p>
    <w:p w14:paraId="513B90DB" w14:textId="77777777" w:rsidR="00E636D7" w:rsidRDefault="00C62B86" w:rsidP="00E636D7">
      <w:pPr>
        <w:spacing w:after="0"/>
        <w:rPr>
          <w:rFonts w:ascii="Times New Roman" w:hAnsi="Times New Roman" w:cs="Times New Roman"/>
          <w:sz w:val="24"/>
          <w:szCs w:val="24"/>
        </w:rPr>
      </w:pPr>
      <w:r>
        <w:rPr>
          <w:rFonts w:ascii="Times New Roman" w:hAnsi="Times New Roman" w:cs="Times New Roman"/>
          <w:sz w:val="24"/>
          <w:szCs w:val="24"/>
        </w:rPr>
        <w:t>There are no start-up or</w:t>
      </w:r>
      <w:r w:rsidR="006039B3">
        <w:rPr>
          <w:rFonts w:ascii="Times New Roman" w:hAnsi="Times New Roman" w:cs="Times New Roman"/>
          <w:sz w:val="24"/>
          <w:szCs w:val="24"/>
        </w:rPr>
        <w:t xml:space="preserve"> other non-labor costs associated with the</w:t>
      </w:r>
      <w:r w:rsidR="00083529">
        <w:rPr>
          <w:rFonts w:ascii="Times New Roman" w:hAnsi="Times New Roman" w:cs="Times New Roman"/>
          <w:sz w:val="24"/>
          <w:szCs w:val="24"/>
        </w:rPr>
        <w:t>se</w:t>
      </w:r>
      <w:r w:rsidR="006039B3">
        <w:rPr>
          <w:rFonts w:ascii="Times New Roman" w:hAnsi="Times New Roman" w:cs="Times New Roman"/>
          <w:sz w:val="24"/>
          <w:szCs w:val="24"/>
        </w:rPr>
        <w:t xml:space="preserve"> information collection</w:t>
      </w:r>
      <w:r w:rsidR="00083529">
        <w:rPr>
          <w:rFonts w:ascii="Times New Roman" w:hAnsi="Times New Roman" w:cs="Times New Roman"/>
          <w:sz w:val="24"/>
          <w:szCs w:val="24"/>
        </w:rPr>
        <w:t>s</w:t>
      </w:r>
      <w:r w:rsidR="006039B3">
        <w:rPr>
          <w:rFonts w:ascii="Times New Roman" w:hAnsi="Times New Roman" w:cs="Times New Roman"/>
          <w:sz w:val="24"/>
          <w:szCs w:val="24"/>
        </w:rPr>
        <w:t>.</w:t>
      </w:r>
    </w:p>
    <w:p w14:paraId="7530FC72" w14:textId="77777777" w:rsidR="006039B3" w:rsidRDefault="006039B3" w:rsidP="00E636D7">
      <w:pPr>
        <w:spacing w:after="0"/>
        <w:rPr>
          <w:rFonts w:ascii="Times New Roman" w:hAnsi="Times New Roman" w:cs="Times New Roman"/>
          <w:sz w:val="24"/>
          <w:szCs w:val="24"/>
        </w:rPr>
      </w:pPr>
    </w:p>
    <w:p w14:paraId="735187EA" w14:textId="77777777" w:rsidR="006039B3" w:rsidRDefault="006039B3" w:rsidP="006039B3">
      <w:pPr>
        <w:spacing w:after="0"/>
        <w:rPr>
          <w:rFonts w:ascii="Times New Roman" w:hAnsi="Times New Roman" w:cs="Times New Roman"/>
          <w:sz w:val="24"/>
          <w:szCs w:val="24"/>
        </w:rPr>
      </w:pPr>
      <w:r>
        <w:rPr>
          <w:rFonts w:ascii="Times New Roman" w:hAnsi="Times New Roman" w:cs="Times New Roman"/>
          <w:sz w:val="24"/>
          <w:szCs w:val="24"/>
        </w:rPr>
        <w:t>Total Capital and Start-up cost: $0</w:t>
      </w:r>
    </w:p>
    <w:p w14:paraId="19D8086F" w14:textId="77777777" w:rsidR="00183F28" w:rsidRDefault="006039B3" w:rsidP="006039B3">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 $0</w:t>
      </w:r>
    </w:p>
    <w:p w14:paraId="0FC83782" w14:textId="77777777" w:rsidR="006039B3" w:rsidRPr="00E636D7" w:rsidRDefault="006039B3" w:rsidP="00E636D7">
      <w:pPr>
        <w:spacing w:after="0"/>
        <w:rPr>
          <w:rFonts w:ascii="Times New Roman" w:hAnsi="Times New Roman" w:cs="Times New Roman"/>
          <w:sz w:val="24"/>
          <w:szCs w:val="24"/>
        </w:rPr>
      </w:pPr>
    </w:p>
    <w:p w14:paraId="0F063E03"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7D85AD03" w14:textId="77777777" w:rsidR="00A276F5" w:rsidRDefault="00A276F5" w:rsidP="00A276F5">
      <w:pPr>
        <w:spacing w:after="0"/>
        <w:rPr>
          <w:rFonts w:ascii="Times New Roman" w:hAnsi="Times New Roman" w:cs="Times New Roman"/>
          <w:sz w:val="24"/>
          <w:szCs w:val="24"/>
        </w:rPr>
      </w:pPr>
    </w:p>
    <w:p w14:paraId="0C4B4793" w14:textId="77777777" w:rsidR="00106E70" w:rsidRDefault="00AE0D4C" w:rsidP="00A276F5">
      <w:pPr>
        <w:spacing w:after="0"/>
        <w:rPr>
          <w:rFonts w:ascii="Times New Roman" w:hAnsi="Times New Roman" w:cs="Times New Roman"/>
          <w:sz w:val="24"/>
          <w:szCs w:val="24"/>
        </w:rPr>
      </w:pPr>
      <w:r>
        <w:rPr>
          <w:rFonts w:ascii="Times New Roman" w:hAnsi="Times New Roman" w:cs="Times New Roman"/>
          <w:sz w:val="24"/>
          <w:szCs w:val="24"/>
        </w:rPr>
        <w:t>The following table contains the annualized effort and cost for all three collections (i.e. FERC-520, FERC Form 561, FERC-566).</w:t>
      </w:r>
      <w:r w:rsidR="00BF3479">
        <w:rPr>
          <w:rFonts w:ascii="Times New Roman" w:hAnsi="Times New Roman" w:cs="Times New Roman"/>
          <w:sz w:val="24"/>
          <w:szCs w:val="24"/>
        </w:rPr>
        <w:t xml:space="preserve">  Please assume one-third of the effort and cost are applied to each of these three information collections in this renewal.</w:t>
      </w:r>
    </w:p>
    <w:p w14:paraId="3F059311" w14:textId="77777777" w:rsidR="00AE0D4C" w:rsidRDefault="00AE0D4C"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1FE83356" w14:textId="77777777" w:rsidTr="007C150D">
        <w:tc>
          <w:tcPr>
            <w:tcW w:w="3182" w:type="dxa"/>
            <w:shd w:val="clear" w:color="auto" w:fill="CCCCCC"/>
          </w:tcPr>
          <w:p w14:paraId="53E7C3A6" w14:textId="77777777" w:rsidR="006039B3" w:rsidRPr="00355D34" w:rsidRDefault="00A628FB" w:rsidP="007C150D">
            <w:pPr>
              <w:spacing w:after="0" w:line="240" w:lineRule="auto"/>
              <w:rPr>
                <w:rFonts w:ascii="Times New Roman" w:hAnsi="Times New Roman" w:cs="Times New Roman"/>
                <w:b/>
                <w:sz w:val="24"/>
                <w:szCs w:val="24"/>
              </w:rPr>
            </w:pPr>
            <w:r>
              <w:rPr>
                <w:rFonts w:ascii="Times New Roman" w:hAnsi="Times New Roman" w:cs="Times New Roman"/>
                <w:b/>
                <w:sz w:val="24"/>
                <w:szCs w:val="24"/>
              </w:rPr>
              <w:t>FERC-</w:t>
            </w:r>
            <w:r w:rsidR="00A72C17">
              <w:rPr>
                <w:rFonts w:ascii="Times New Roman" w:hAnsi="Times New Roman" w:cs="Times New Roman"/>
                <w:b/>
                <w:sz w:val="24"/>
                <w:szCs w:val="24"/>
              </w:rPr>
              <w:t>520/561/566</w:t>
            </w:r>
          </w:p>
        </w:tc>
        <w:tc>
          <w:tcPr>
            <w:tcW w:w="3201" w:type="dxa"/>
            <w:shd w:val="clear" w:color="auto" w:fill="CCCCCC"/>
          </w:tcPr>
          <w:p w14:paraId="7D49944A"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0ACAC4AF"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6039B3" w:rsidRPr="00A276F5" w14:paraId="4390CB59" w14:textId="77777777" w:rsidTr="007C150D">
        <w:tc>
          <w:tcPr>
            <w:tcW w:w="3182" w:type="dxa"/>
            <w:shd w:val="clear" w:color="auto" w:fill="auto"/>
          </w:tcPr>
          <w:p w14:paraId="2A0621D7" w14:textId="44FDAB61" w:rsidR="006039B3" w:rsidRPr="00A276F5" w:rsidRDefault="006039B3" w:rsidP="007C150D">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00021DDC" w:rsidRPr="00BC5C13">
              <w:rPr>
                <w:rStyle w:val="FootnoteReference"/>
                <w:rFonts w:ascii="Times New Roman" w:hAnsi="Times New Roman" w:cs="Times New Roman"/>
                <w:sz w:val="24"/>
                <w:szCs w:val="24"/>
                <w:vertAlign w:val="superscript"/>
              </w:rPr>
              <w:footnoteReference w:id="6"/>
            </w:r>
          </w:p>
        </w:tc>
        <w:tc>
          <w:tcPr>
            <w:tcW w:w="3201" w:type="dxa"/>
            <w:tcBorders>
              <w:bottom w:val="single" w:sz="4" w:space="0" w:color="auto"/>
            </w:tcBorders>
            <w:shd w:val="clear" w:color="auto" w:fill="auto"/>
            <w:vAlign w:val="center"/>
          </w:tcPr>
          <w:p w14:paraId="484D0667" w14:textId="77777777" w:rsidR="006039B3" w:rsidRPr="00A276F5" w:rsidRDefault="00A72C17"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Pr="00A72C17">
              <w:rPr>
                <w:rStyle w:val="FootnoteReference"/>
                <w:rFonts w:ascii="Times New Roman" w:hAnsi="Times New Roman" w:cs="Times New Roman"/>
                <w:sz w:val="24"/>
                <w:szCs w:val="24"/>
                <w:vertAlign w:val="superscript"/>
              </w:rPr>
              <w:footnoteReference w:id="7"/>
            </w:r>
          </w:p>
        </w:tc>
        <w:tc>
          <w:tcPr>
            <w:tcW w:w="2995" w:type="dxa"/>
            <w:shd w:val="clear" w:color="auto" w:fill="auto"/>
            <w:vAlign w:val="center"/>
          </w:tcPr>
          <w:p w14:paraId="4DFB7A54" w14:textId="59DE6CB8" w:rsidR="006039B3" w:rsidRPr="00A276F5" w:rsidRDefault="006039B3" w:rsidP="00021D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01508">
              <w:rPr>
                <w:rFonts w:ascii="Times New Roman" w:hAnsi="Times New Roman" w:cs="Times New Roman"/>
                <w:sz w:val="24"/>
                <w:szCs w:val="24"/>
              </w:rPr>
              <w:t>439,773</w:t>
            </w:r>
          </w:p>
        </w:tc>
      </w:tr>
      <w:tr w:rsidR="006039B3" w:rsidRPr="00A276F5" w14:paraId="23FA8C46" w14:textId="77777777" w:rsidTr="007C150D">
        <w:tc>
          <w:tcPr>
            <w:tcW w:w="3182" w:type="dxa"/>
            <w:shd w:val="clear" w:color="auto" w:fill="auto"/>
          </w:tcPr>
          <w:p w14:paraId="24D5DF37" w14:textId="77777777" w:rsidR="006039B3" w:rsidRPr="00A276F5" w:rsidRDefault="006039B3"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bookmarkStart w:id="3" w:name="_Ref389748397"/>
            <w:r w:rsidRPr="00AE5B29">
              <w:rPr>
                <w:rFonts w:ascii="Times New Roman" w:eastAsia="Times New Roman" w:hAnsi="Times New Roman" w:cs="Times New Roman"/>
                <w:sz w:val="24"/>
                <w:szCs w:val="24"/>
                <w:vertAlign w:val="superscript"/>
              </w:rPr>
              <w:footnoteReference w:id="8"/>
            </w:r>
            <w:bookmarkEnd w:id="3"/>
          </w:p>
        </w:tc>
        <w:tc>
          <w:tcPr>
            <w:tcW w:w="3201" w:type="dxa"/>
            <w:shd w:val="clear" w:color="auto" w:fill="D9D9D9" w:themeFill="background1" w:themeFillShade="D9"/>
            <w:vAlign w:val="center"/>
          </w:tcPr>
          <w:p w14:paraId="3BE0F834" w14:textId="77777777" w:rsidR="006039B3" w:rsidRPr="00A276F5"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09EB7B6" w14:textId="33DFC088" w:rsidR="006039B3" w:rsidRPr="00A276F5" w:rsidRDefault="006039B3" w:rsidP="00001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01508">
              <w:rPr>
                <w:rFonts w:ascii="Times New Roman" w:hAnsi="Times New Roman" w:cs="Times New Roman"/>
                <w:sz w:val="24"/>
                <w:szCs w:val="24"/>
              </w:rPr>
              <w:t>15,276</w:t>
            </w:r>
          </w:p>
        </w:tc>
      </w:tr>
      <w:tr w:rsidR="00A72C17" w:rsidRPr="00A276F5" w14:paraId="12407F66" w14:textId="77777777" w:rsidTr="007C150D">
        <w:tc>
          <w:tcPr>
            <w:tcW w:w="3182" w:type="dxa"/>
            <w:shd w:val="clear" w:color="auto" w:fill="auto"/>
          </w:tcPr>
          <w:p w14:paraId="5DE41406" w14:textId="77777777" w:rsidR="00A72C17" w:rsidRPr="00CE2491" w:rsidRDefault="00A72C17" w:rsidP="007C150D">
            <w:pPr>
              <w:spacing w:after="0" w:line="240" w:lineRule="auto"/>
              <w:rPr>
                <w:rFonts w:ascii="Times New Roman" w:hAnsi="Times New Roman" w:cs="Times New Roman"/>
                <w:b/>
                <w:sz w:val="24"/>
                <w:szCs w:val="24"/>
              </w:rPr>
            </w:pPr>
            <w:r w:rsidRPr="00CE2491">
              <w:rPr>
                <w:rFonts w:ascii="Times New Roman" w:hAnsi="Times New Roman" w:cs="Times New Roman"/>
                <w:b/>
                <w:sz w:val="24"/>
                <w:szCs w:val="24"/>
              </w:rPr>
              <w:t>TOTAL</w:t>
            </w:r>
          </w:p>
        </w:tc>
        <w:tc>
          <w:tcPr>
            <w:tcW w:w="3201" w:type="dxa"/>
            <w:shd w:val="clear" w:color="auto" w:fill="D9D9D9" w:themeFill="background1" w:themeFillShade="D9"/>
            <w:vAlign w:val="center"/>
          </w:tcPr>
          <w:p w14:paraId="11E105AC" w14:textId="77777777" w:rsidR="00A72C17" w:rsidRPr="00CE2491" w:rsidRDefault="00A72C17" w:rsidP="007C150D">
            <w:pPr>
              <w:spacing w:after="0" w:line="240" w:lineRule="auto"/>
              <w:jc w:val="right"/>
              <w:rPr>
                <w:rFonts w:ascii="Times New Roman" w:hAnsi="Times New Roman" w:cs="Times New Roman"/>
                <w:b/>
                <w:sz w:val="24"/>
                <w:szCs w:val="24"/>
              </w:rPr>
            </w:pPr>
          </w:p>
        </w:tc>
        <w:tc>
          <w:tcPr>
            <w:tcW w:w="2995" w:type="dxa"/>
            <w:shd w:val="clear" w:color="auto" w:fill="auto"/>
            <w:vAlign w:val="center"/>
          </w:tcPr>
          <w:p w14:paraId="00A342A6" w14:textId="63996F28" w:rsidR="00A72C17" w:rsidRPr="00CE2491" w:rsidRDefault="00A72C17" w:rsidP="00001508">
            <w:pPr>
              <w:spacing w:after="0" w:line="240" w:lineRule="auto"/>
              <w:jc w:val="right"/>
              <w:rPr>
                <w:rFonts w:ascii="Times New Roman" w:hAnsi="Times New Roman" w:cs="Times New Roman"/>
                <w:b/>
                <w:sz w:val="24"/>
                <w:szCs w:val="24"/>
              </w:rPr>
            </w:pPr>
            <w:r w:rsidRPr="00CE2491">
              <w:rPr>
                <w:rFonts w:ascii="Times New Roman" w:hAnsi="Times New Roman" w:cs="Times New Roman"/>
                <w:b/>
                <w:sz w:val="24"/>
                <w:szCs w:val="24"/>
              </w:rPr>
              <w:t>$</w:t>
            </w:r>
            <w:r w:rsidR="00001508" w:rsidRPr="00CE2491">
              <w:rPr>
                <w:rFonts w:ascii="Times New Roman" w:hAnsi="Times New Roman" w:cs="Times New Roman"/>
                <w:b/>
                <w:sz w:val="24"/>
                <w:szCs w:val="24"/>
              </w:rPr>
              <w:t>455,049</w:t>
            </w:r>
          </w:p>
        </w:tc>
      </w:tr>
      <w:tr w:rsidR="00CE2491" w:rsidRPr="00A276F5" w14:paraId="3907F5E3" w14:textId="77777777" w:rsidTr="00CE2491">
        <w:tc>
          <w:tcPr>
            <w:tcW w:w="3182" w:type="dxa"/>
            <w:shd w:val="clear" w:color="auto" w:fill="auto"/>
            <w:vAlign w:val="center"/>
          </w:tcPr>
          <w:p w14:paraId="52EA2122" w14:textId="0170E155" w:rsidR="00CE2491" w:rsidRPr="00CE2491" w:rsidRDefault="00CE2491" w:rsidP="00CE2491">
            <w:pPr>
              <w:spacing w:after="0" w:line="240" w:lineRule="auto"/>
              <w:jc w:val="right"/>
              <w:rPr>
                <w:rFonts w:ascii="Times New Roman" w:hAnsi="Times New Roman" w:cs="Times New Roman"/>
                <w:i/>
                <w:sz w:val="24"/>
                <w:szCs w:val="24"/>
              </w:rPr>
            </w:pPr>
            <w:r w:rsidRPr="00CE2491">
              <w:rPr>
                <w:rFonts w:ascii="Times New Roman" w:hAnsi="Times New Roman" w:cs="Times New Roman"/>
                <w:i/>
                <w:sz w:val="24"/>
                <w:szCs w:val="24"/>
              </w:rPr>
              <w:t>Total Cost per Collection</w:t>
            </w:r>
          </w:p>
        </w:tc>
        <w:tc>
          <w:tcPr>
            <w:tcW w:w="3201" w:type="dxa"/>
            <w:shd w:val="clear" w:color="auto" w:fill="D9D9D9" w:themeFill="background1" w:themeFillShade="D9"/>
            <w:vAlign w:val="center"/>
          </w:tcPr>
          <w:p w14:paraId="7B06078A" w14:textId="77777777" w:rsidR="00CE2491" w:rsidRPr="00A276F5" w:rsidRDefault="00CE2491"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315C3271" w14:textId="62812184" w:rsidR="00CE2491" w:rsidRPr="00CE2491" w:rsidRDefault="00CE2491" w:rsidP="00001508">
            <w:pPr>
              <w:spacing w:after="0" w:line="240" w:lineRule="auto"/>
              <w:jc w:val="right"/>
              <w:rPr>
                <w:rFonts w:ascii="Times New Roman" w:hAnsi="Times New Roman" w:cs="Times New Roman"/>
                <w:i/>
                <w:sz w:val="24"/>
                <w:szCs w:val="24"/>
              </w:rPr>
            </w:pPr>
            <w:r w:rsidRPr="00CE2491">
              <w:rPr>
                <w:rFonts w:ascii="Times New Roman" w:hAnsi="Times New Roman" w:cs="Times New Roman"/>
                <w:i/>
                <w:sz w:val="24"/>
                <w:szCs w:val="24"/>
              </w:rPr>
              <w:t>$151,683</w:t>
            </w:r>
          </w:p>
        </w:tc>
      </w:tr>
    </w:tbl>
    <w:p w14:paraId="4F641C29" w14:textId="77777777" w:rsidR="00A276F5" w:rsidRDefault="00A276F5" w:rsidP="00A276F5">
      <w:pPr>
        <w:spacing w:after="0"/>
        <w:rPr>
          <w:rFonts w:ascii="Times New Roman" w:hAnsi="Times New Roman" w:cs="Times New Roman"/>
          <w:sz w:val="24"/>
          <w:szCs w:val="24"/>
        </w:rPr>
      </w:pPr>
    </w:p>
    <w:p w14:paraId="4E992766" w14:textId="77777777" w:rsidR="00A276F5" w:rsidRPr="00A276F5" w:rsidRDefault="00A276F5" w:rsidP="00A276F5">
      <w:pPr>
        <w:spacing w:after="0"/>
        <w:rPr>
          <w:rFonts w:ascii="Times New Roman" w:hAnsi="Times New Roman" w:cs="Times New Roman"/>
          <w:sz w:val="24"/>
          <w:szCs w:val="24"/>
        </w:rPr>
      </w:pPr>
    </w:p>
    <w:p w14:paraId="648955C2"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03ABEE4A" w14:textId="77777777" w:rsidR="00DF5061" w:rsidRDefault="00DF5061" w:rsidP="00A72C17">
      <w:pPr>
        <w:spacing w:after="0"/>
        <w:rPr>
          <w:rFonts w:ascii="Times New Roman" w:hAnsi="Times New Roman" w:cs="Times New Roman"/>
          <w:sz w:val="24"/>
          <w:szCs w:val="24"/>
        </w:rPr>
      </w:pPr>
    </w:p>
    <w:p w14:paraId="52E3852F" w14:textId="3E36FA5B" w:rsidR="00CE2491" w:rsidRDefault="00CE2491" w:rsidP="00183F28">
      <w:pPr>
        <w:spacing w:after="0"/>
        <w:rPr>
          <w:rFonts w:ascii="Times New Roman" w:hAnsi="Times New Roman" w:cs="Times New Roman"/>
          <w:sz w:val="24"/>
          <w:szCs w:val="24"/>
        </w:rPr>
      </w:pPr>
      <w:r w:rsidRPr="00CE2491">
        <w:rPr>
          <w:rFonts w:ascii="Times New Roman" w:hAnsi="Times New Roman" w:cs="Times New Roman"/>
          <w:sz w:val="24"/>
          <w:szCs w:val="24"/>
        </w:rPr>
        <w:t>The</w:t>
      </w:r>
      <w:r>
        <w:rPr>
          <w:rFonts w:ascii="Times New Roman" w:hAnsi="Times New Roman" w:cs="Times New Roman"/>
          <w:sz w:val="24"/>
          <w:szCs w:val="24"/>
        </w:rPr>
        <w:t xml:space="preserve"> tables below show how the estimated burden differs from the burden currently approved by OMB.</w:t>
      </w:r>
    </w:p>
    <w:p w14:paraId="7D158908" w14:textId="77777777" w:rsidR="00CE2491" w:rsidRDefault="00CE2491" w:rsidP="00183F28">
      <w:pPr>
        <w:spacing w:after="0"/>
        <w:rPr>
          <w:rFonts w:ascii="Times New Roman" w:hAnsi="Times New Roman" w:cs="Times New Roman"/>
          <w:sz w:val="24"/>
          <w:szCs w:val="24"/>
        </w:rPr>
      </w:pPr>
    </w:p>
    <w:p w14:paraId="5E2F580A" w14:textId="1EE65C64" w:rsidR="00CE2491" w:rsidRDefault="00917EBA" w:rsidP="00183F28">
      <w:pPr>
        <w:spacing w:after="0"/>
        <w:rPr>
          <w:rFonts w:ascii="Times New Roman" w:hAnsi="Times New Roman" w:cs="Times New Roman"/>
          <w:sz w:val="24"/>
          <w:szCs w:val="24"/>
        </w:rPr>
      </w:pPr>
      <w:r>
        <w:rPr>
          <w:rFonts w:ascii="Times New Roman" w:hAnsi="Times New Roman" w:cs="Times New Roman"/>
          <w:sz w:val="24"/>
          <w:szCs w:val="24"/>
        </w:rPr>
        <w:t xml:space="preserve">The changes for each collection are changes </w:t>
      </w:r>
      <w:r w:rsidR="00140843">
        <w:rPr>
          <w:rFonts w:ascii="Times New Roman" w:hAnsi="Times New Roman" w:cs="Times New Roman"/>
          <w:sz w:val="24"/>
          <w:szCs w:val="24"/>
        </w:rPr>
        <w:t>due to adjustments in estimates for each collection.  More specifically, the changes in estimates for the FERC-520 are due primarily to economic forces and corporate restructuring.  These factors caused the number of respondents (and, thus, responses) to</w:t>
      </w:r>
      <w:r w:rsidR="004A35B0">
        <w:rPr>
          <w:rFonts w:ascii="Times New Roman" w:hAnsi="Times New Roman" w:cs="Times New Roman"/>
          <w:sz w:val="24"/>
          <w:szCs w:val="24"/>
        </w:rPr>
        <w:t xml:space="preserve"> increase</w:t>
      </w:r>
      <w:r w:rsidR="00140843">
        <w:rPr>
          <w:rFonts w:ascii="Times New Roman" w:hAnsi="Times New Roman" w:cs="Times New Roman"/>
          <w:sz w:val="24"/>
          <w:szCs w:val="24"/>
        </w:rPr>
        <w:t xml:space="preserve">.  Regarding the </w:t>
      </w:r>
      <w:r w:rsidR="004A35B0">
        <w:rPr>
          <w:rFonts w:ascii="Times New Roman" w:hAnsi="Times New Roman" w:cs="Times New Roman"/>
          <w:sz w:val="24"/>
          <w:szCs w:val="24"/>
        </w:rPr>
        <w:t xml:space="preserve">reduction in </w:t>
      </w:r>
      <w:r w:rsidR="00140843">
        <w:rPr>
          <w:rFonts w:ascii="Times New Roman" w:hAnsi="Times New Roman" w:cs="Times New Roman"/>
          <w:sz w:val="24"/>
          <w:szCs w:val="24"/>
        </w:rPr>
        <w:t>average burden hours per response, Commission staff developed a more accurate estimation based on experience with the collection’</w:t>
      </w:r>
      <w:r w:rsidR="0082011B">
        <w:rPr>
          <w:rFonts w:ascii="Times New Roman" w:hAnsi="Times New Roman" w:cs="Times New Roman"/>
          <w:sz w:val="24"/>
          <w:szCs w:val="24"/>
        </w:rPr>
        <w:t>s respondents and their feedback regarding the information collection requirements.</w:t>
      </w:r>
      <w:r w:rsidR="00412297">
        <w:rPr>
          <w:rFonts w:ascii="Times New Roman" w:hAnsi="Times New Roman" w:cs="Times New Roman"/>
          <w:sz w:val="24"/>
          <w:szCs w:val="24"/>
        </w:rPr>
        <w:t xml:space="preserve">  Simply stated, Commission staff overestimated the average burden hours per response in previous ICRs for the FERC-520.</w:t>
      </w:r>
    </w:p>
    <w:p w14:paraId="4A1A9B46" w14:textId="77777777" w:rsidR="00140843" w:rsidRDefault="00140843" w:rsidP="00183F28">
      <w:pPr>
        <w:spacing w:after="0"/>
        <w:rPr>
          <w:rFonts w:ascii="Times New Roman" w:hAnsi="Times New Roman" w:cs="Times New Roman"/>
          <w:sz w:val="24"/>
          <w:szCs w:val="24"/>
        </w:rPr>
      </w:pPr>
    </w:p>
    <w:p w14:paraId="26B765C0" w14:textId="1DF69EB3" w:rsidR="000A2DAE" w:rsidRDefault="00140843" w:rsidP="00183F28">
      <w:pPr>
        <w:spacing w:after="0"/>
        <w:rPr>
          <w:rFonts w:ascii="Times New Roman" w:hAnsi="Times New Roman" w:cs="Times New Roman"/>
          <w:sz w:val="24"/>
          <w:szCs w:val="24"/>
        </w:rPr>
      </w:pPr>
      <w:r>
        <w:rPr>
          <w:rFonts w:ascii="Times New Roman" w:hAnsi="Times New Roman" w:cs="Times New Roman"/>
          <w:sz w:val="24"/>
          <w:szCs w:val="24"/>
        </w:rPr>
        <w:t xml:space="preserve">For the FERC-561 and FERC-566, the increase in burden is due to </w:t>
      </w:r>
      <w:r w:rsidR="0082011B">
        <w:rPr>
          <w:rFonts w:ascii="Times New Roman" w:hAnsi="Times New Roman" w:cs="Times New Roman"/>
          <w:sz w:val="24"/>
          <w:szCs w:val="24"/>
        </w:rPr>
        <w:t>an increase in the number of utilities that are required to respond.</w:t>
      </w:r>
      <w:r w:rsidR="008F3C72">
        <w:rPr>
          <w:rFonts w:ascii="Times New Roman" w:hAnsi="Times New Roman" w:cs="Times New Roman"/>
          <w:sz w:val="24"/>
          <w:szCs w:val="24"/>
        </w:rPr>
        <w:t xml:space="preserve">  </w:t>
      </w:r>
      <w:r w:rsidR="000A2DAE">
        <w:rPr>
          <w:rFonts w:ascii="Times New Roman" w:hAnsi="Times New Roman" w:cs="Times New Roman"/>
          <w:sz w:val="24"/>
          <w:szCs w:val="24"/>
        </w:rPr>
        <w:t xml:space="preserve">The number of utilities increased due to Order 732 which amended FERC Form 556 (Certification of </w:t>
      </w:r>
      <w:r w:rsidR="00833486">
        <w:rPr>
          <w:rFonts w:ascii="Times New Roman" w:hAnsi="Times New Roman" w:cs="Times New Roman"/>
          <w:sz w:val="24"/>
          <w:szCs w:val="24"/>
        </w:rPr>
        <w:t>Qualifying Facilities (</w:t>
      </w:r>
      <w:r w:rsidR="000A2DAE">
        <w:rPr>
          <w:rFonts w:ascii="Times New Roman" w:hAnsi="Times New Roman" w:cs="Times New Roman"/>
          <w:sz w:val="24"/>
          <w:szCs w:val="24"/>
        </w:rPr>
        <w:t>QF</w:t>
      </w:r>
      <w:r w:rsidR="00833486">
        <w:rPr>
          <w:rFonts w:ascii="Times New Roman" w:hAnsi="Times New Roman" w:cs="Times New Roman"/>
          <w:sz w:val="24"/>
          <w:szCs w:val="24"/>
        </w:rPr>
        <w:t>)</w:t>
      </w:r>
      <w:r w:rsidR="000A2DAE">
        <w:rPr>
          <w:rFonts w:ascii="Times New Roman" w:hAnsi="Times New Roman" w:cs="Times New Roman"/>
          <w:sz w:val="24"/>
          <w:szCs w:val="24"/>
        </w:rPr>
        <w:t xml:space="preserve"> Status for Small Power Production and Cogeneration Facilities) in a way that reduced the respondent burden and encouraged more electric facilities to certify as QFs.  The increased QF certification has the indirect effect of a continual increase in the number of QFs that file the FERC-566.</w:t>
      </w:r>
      <w:r w:rsidR="008F3C72">
        <w:rPr>
          <w:rFonts w:ascii="Times New Roman" w:hAnsi="Times New Roman" w:cs="Times New Roman"/>
          <w:sz w:val="24"/>
          <w:szCs w:val="24"/>
        </w:rPr>
        <w:t>This increase is not due to a change in requirements, but rather a change in</w:t>
      </w:r>
      <w:r w:rsidR="000A2DAE">
        <w:rPr>
          <w:rFonts w:ascii="Times New Roman" w:hAnsi="Times New Roman" w:cs="Times New Roman"/>
          <w:sz w:val="24"/>
          <w:szCs w:val="24"/>
        </w:rPr>
        <w:t xml:space="preserve"> the aforementioned</w:t>
      </w:r>
      <w:r w:rsidR="008F3C72">
        <w:rPr>
          <w:rFonts w:ascii="Times New Roman" w:hAnsi="Times New Roman" w:cs="Times New Roman"/>
          <w:sz w:val="24"/>
          <w:szCs w:val="24"/>
        </w:rPr>
        <w:t xml:space="preserve"> market forces</w:t>
      </w:r>
      <w:r w:rsidR="003D7751">
        <w:rPr>
          <w:rFonts w:ascii="Times New Roman" w:hAnsi="Times New Roman" w:cs="Times New Roman"/>
          <w:sz w:val="24"/>
          <w:szCs w:val="24"/>
        </w:rPr>
        <w:t xml:space="preserve"> that resulted in more entities taking part in activities related to interlocking directives and purchasing electric energy.</w:t>
      </w:r>
      <w:r w:rsidR="008F3C72">
        <w:rPr>
          <w:rFonts w:ascii="Times New Roman" w:hAnsi="Times New Roman" w:cs="Times New Roman"/>
          <w:sz w:val="24"/>
          <w:szCs w:val="24"/>
        </w:rPr>
        <w:t xml:space="preserve"> </w:t>
      </w:r>
      <w:r w:rsidR="0082011B">
        <w:rPr>
          <w:rFonts w:ascii="Times New Roman" w:hAnsi="Times New Roman" w:cs="Times New Roman"/>
          <w:sz w:val="24"/>
          <w:szCs w:val="24"/>
        </w:rPr>
        <w:t xml:space="preserve"> </w:t>
      </w:r>
      <w:r w:rsidR="000A2DAE">
        <w:rPr>
          <w:rFonts w:ascii="Times New Roman" w:hAnsi="Times New Roman" w:cs="Times New Roman"/>
          <w:sz w:val="24"/>
          <w:szCs w:val="24"/>
        </w:rPr>
        <w:t xml:space="preserve"> There is no way to be certain whether or not the trend of increases will continue.</w:t>
      </w:r>
      <w:r w:rsidR="0082011B">
        <w:rPr>
          <w:rFonts w:ascii="Times New Roman" w:hAnsi="Times New Roman" w:cs="Times New Roman"/>
          <w:sz w:val="24"/>
          <w:szCs w:val="24"/>
        </w:rPr>
        <w:t xml:space="preserve"> </w:t>
      </w:r>
      <w:r w:rsidR="000A2DAE">
        <w:rPr>
          <w:rFonts w:ascii="Times New Roman" w:hAnsi="Times New Roman" w:cs="Times New Roman"/>
          <w:sz w:val="24"/>
          <w:szCs w:val="24"/>
        </w:rPr>
        <w:t xml:space="preserve">The Commission currently possesses no definitive data on the proportion of renewable resources (i.e. the reason behind the increase in QF certification) in comparison to non-renewable resources or how that proportion might change within electric markets in the coming years. </w:t>
      </w:r>
    </w:p>
    <w:p w14:paraId="4C96CC19" w14:textId="77777777" w:rsidR="000A2DAE" w:rsidRDefault="000A2DAE" w:rsidP="00183F28">
      <w:pPr>
        <w:spacing w:after="0"/>
        <w:rPr>
          <w:rFonts w:ascii="Times New Roman" w:hAnsi="Times New Roman" w:cs="Times New Roman"/>
          <w:sz w:val="24"/>
          <w:szCs w:val="24"/>
        </w:rPr>
      </w:pPr>
    </w:p>
    <w:p w14:paraId="6304E8C5" w14:textId="64C74B0B" w:rsidR="00140843" w:rsidRDefault="0082011B" w:rsidP="00183F28">
      <w:pPr>
        <w:spacing w:after="0"/>
        <w:rPr>
          <w:rFonts w:ascii="Times New Roman" w:hAnsi="Times New Roman" w:cs="Times New Roman"/>
          <w:sz w:val="24"/>
          <w:szCs w:val="24"/>
        </w:rPr>
      </w:pPr>
      <w:r>
        <w:rPr>
          <w:rFonts w:ascii="Times New Roman" w:hAnsi="Times New Roman" w:cs="Times New Roman"/>
          <w:sz w:val="24"/>
          <w:szCs w:val="24"/>
        </w:rPr>
        <w:t>The ave</w:t>
      </w:r>
      <w:r w:rsidR="008F3C72">
        <w:rPr>
          <w:rFonts w:ascii="Times New Roman" w:hAnsi="Times New Roman" w:cs="Times New Roman"/>
          <w:sz w:val="24"/>
          <w:szCs w:val="24"/>
        </w:rPr>
        <w:t>rage burden per response</w:t>
      </w:r>
      <w:r>
        <w:rPr>
          <w:rFonts w:ascii="Times New Roman" w:hAnsi="Times New Roman" w:cs="Times New Roman"/>
          <w:sz w:val="24"/>
          <w:szCs w:val="24"/>
        </w:rPr>
        <w:t xml:space="preserve"> </w:t>
      </w:r>
      <w:r w:rsidR="003D7751">
        <w:rPr>
          <w:rFonts w:ascii="Times New Roman" w:hAnsi="Times New Roman" w:cs="Times New Roman"/>
          <w:sz w:val="24"/>
          <w:szCs w:val="24"/>
        </w:rPr>
        <w:t>for both collections remain</w:t>
      </w:r>
      <w:r>
        <w:rPr>
          <w:rFonts w:ascii="Times New Roman" w:hAnsi="Times New Roman" w:cs="Times New Roman"/>
          <w:sz w:val="24"/>
          <w:szCs w:val="24"/>
        </w:rPr>
        <w:t xml:space="preserve"> the same as in the previous clearance.</w:t>
      </w:r>
    </w:p>
    <w:p w14:paraId="1713CBB5" w14:textId="77777777" w:rsidR="009B4D01" w:rsidRDefault="009B4D01"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039B3" w:rsidRPr="00D80FBD" w14:paraId="30576527" w14:textId="77777777" w:rsidTr="007C150D">
        <w:trPr>
          <w:trHeight w:val="870"/>
        </w:trPr>
        <w:tc>
          <w:tcPr>
            <w:tcW w:w="2679" w:type="dxa"/>
            <w:shd w:val="clear" w:color="auto" w:fill="D9D9D9"/>
            <w:vAlign w:val="bottom"/>
          </w:tcPr>
          <w:p w14:paraId="6D7A9D3E"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814E0F">
              <w:rPr>
                <w:rFonts w:ascii="Times New Roman" w:hAnsi="Times New Roman" w:cs="Times New Roman"/>
                <w:b/>
                <w:sz w:val="24"/>
                <w:szCs w:val="24"/>
              </w:rPr>
              <w:t>520</w:t>
            </w:r>
          </w:p>
        </w:tc>
        <w:tc>
          <w:tcPr>
            <w:tcW w:w="1461" w:type="dxa"/>
            <w:shd w:val="clear" w:color="auto" w:fill="D9D9D9"/>
            <w:vAlign w:val="bottom"/>
          </w:tcPr>
          <w:p w14:paraId="13EF4019"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5C7ABA33"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6B461C6D"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7BBD82FF"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6039B3" w:rsidRPr="00D80FBD" w14:paraId="2B7FE821" w14:textId="77777777" w:rsidTr="007C150D">
        <w:trPr>
          <w:trHeight w:val="591"/>
        </w:trPr>
        <w:tc>
          <w:tcPr>
            <w:tcW w:w="2679" w:type="dxa"/>
            <w:shd w:val="clear" w:color="auto" w:fill="auto"/>
          </w:tcPr>
          <w:p w14:paraId="23D04E07"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094E399D" w14:textId="77777777" w:rsidR="006039B3" w:rsidRPr="00FC440E"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718</w:t>
            </w:r>
          </w:p>
        </w:tc>
        <w:tc>
          <w:tcPr>
            <w:tcW w:w="1620" w:type="dxa"/>
            <w:shd w:val="clear" w:color="auto" w:fill="auto"/>
            <w:vAlign w:val="center"/>
          </w:tcPr>
          <w:p w14:paraId="1904F210"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628</w:t>
            </w:r>
          </w:p>
        </w:tc>
        <w:tc>
          <w:tcPr>
            <w:tcW w:w="1800" w:type="dxa"/>
            <w:shd w:val="clear" w:color="auto" w:fill="auto"/>
            <w:vAlign w:val="center"/>
          </w:tcPr>
          <w:p w14:paraId="6DC701DD"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1800" w:type="dxa"/>
            <w:shd w:val="clear" w:color="auto" w:fill="auto"/>
            <w:vAlign w:val="center"/>
          </w:tcPr>
          <w:p w14:paraId="069F6204"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D80FBD" w14:paraId="29E3F7F6" w14:textId="77777777" w:rsidTr="007C150D">
        <w:trPr>
          <w:trHeight w:val="575"/>
        </w:trPr>
        <w:tc>
          <w:tcPr>
            <w:tcW w:w="2679" w:type="dxa"/>
            <w:shd w:val="clear" w:color="auto" w:fill="auto"/>
          </w:tcPr>
          <w:p w14:paraId="64F90810"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14:paraId="40B731FE" w14:textId="77777777" w:rsidR="006039B3" w:rsidRPr="00FC440E"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7,845</w:t>
            </w:r>
          </w:p>
        </w:tc>
        <w:tc>
          <w:tcPr>
            <w:tcW w:w="1620" w:type="dxa"/>
            <w:shd w:val="clear" w:color="auto" w:fill="auto"/>
            <w:vAlign w:val="center"/>
          </w:tcPr>
          <w:p w14:paraId="4F05B17E"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12,680</w:t>
            </w:r>
          </w:p>
        </w:tc>
        <w:tc>
          <w:tcPr>
            <w:tcW w:w="1800" w:type="dxa"/>
            <w:shd w:val="clear" w:color="auto" w:fill="auto"/>
            <w:vAlign w:val="center"/>
          </w:tcPr>
          <w:p w14:paraId="28770EE8"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-4,835</w:t>
            </w:r>
          </w:p>
        </w:tc>
        <w:tc>
          <w:tcPr>
            <w:tcW w:w="1800" w:type="dxa"/>
            <w:shd w:val="clear" w:color="auto" w:fill="auto"/>
            <w:vAlign w:val="center"/>
          </w:tcPr>
          <w:p w14:paraId="7A83B5D7" w14:textId="77777777" w:rsidR="006039B3" w:rsidRPr="00D80FBD"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D80FBD" w14:paraId="18A25117" w14:textId="77777777" w:rsidTr="007C150D">
        <w:trPr>
          <w:trHeight w:val="295"/>
        </w:trPr>
        <w:tc>
          <w:tcPr>
            <w:tcW w:w="2679" w:type="dxa"/>
            <w:tcBorders>
              <w:bottom w:val="single" w:sz="4" w:space="0" w:color="auto"/>
            </w:tcBorders>
            <w:shd w:val="clear" w:color="auto" w:fill="auto"/>
          </w:tcPr>
          <w:p w14:paraId="29AC5FC7"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54E30CBD" w14:textId="77777777" w:rsidR="006039B3" w:rsidRPr="00427D79"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256C9863" w14:textId="77777777" w:rsidR="006039B3" w:rsidRPr="00427D79" w:rsidRDefault="00245828"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521ECCC1" w14:textId="77777777" w:rsidR="006039B3" w:rsidRPr="00427D79" w:rsidRDefault="00466BC1" w:rsidP="007C150D">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02A1EA33" w14:textId="77777777" w:rsidR="006039B3" w:rsidRPr="00D80FBD" w:rsidRDefault="00466BC1"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260D996E" w14:textId="77777777" w:rsidR="00C01698" w:rsidRDefault="00C01698" w:rsidP="00A276F5">
      <w:pPr>
        <w:spacing w:after="0"/>
        <w:rPr>
          <w:rFonts w:ascii="Times New Roman" w:hAnsi="Times New Roman" w:cs="Times New Roman"/>
          <w:sz w:val="24"/>
          <w:szCs w:val="24"/>
        </w:rPr>
      </w:pPr>
    </w:p>
    <w:p w14:paraId="72C3D2AC" w14:textId="77777777" w:rsidR="00970FE4" w:rsidRDefault="00970FE4"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628FB" w:rsidRPr="00D80FBD" w14:paraId="1822D488" w14:textId="77777777" w:rsidTr="00A628FB">
        <w:trPr>
          <w:trHeight w:val="870"/>
        </w:trPr>
        <w:tc>
          <w:tcPr>
            <w:tcW w:w="2679" w:type="dxa"/>
            <w:shd w:val="clear" w:color="auto" w:fill="D9D9D9"/>
            <w:vAlign w:val="bottom"/>
          </w:tcPr>
          <w:p w14:paraId="5D75F5C9"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814E0F">
              <w:rPr>
                <w:rFonts w:ascii="Times New Roman" w:hAnsi="Times New Roman" w:cs="Times New Roman"/>
                <w:b/>
                <w:sz w:val="24"/>
                <w:szCs w:val="24"/>
              </w:rPr>
              <w:t xml:space="preserve"> Form 561</w:t>
            </w:r>
          </w:p>
        </w:tc>
        <w:tc>
          <w:tcPr>
            <w:tcW w:w="1461" w:type="dxa"/>
            <w:shd w:val="clear" w:color="auto" w:fill="D9D9D9"/>
            <w:vAlign w:val="bottom"/>
          </w:tcPr>
          <w:p w14:paraId="1163100A"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206B1851"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4790963F"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10E0B8EB"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A628FB" w:rsidRPr="00D80FBD" w14:paraId="636683E3" w14:textId="77777777" w:rsidTr="00A628FB">
        <w:trPr>
          <w:trHeight w:val="591"/>
        </w:trPr>
        <w:tc>
          <w:tcPr>
            <w:tcW w:w="2679" w:type="dxa"/>
            <w:shd w:val="clear" w:color="auto" w:fill="auto"/>
          </w:tcPr>
          <w:p w14:paraId="0B4031FD"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38CA5C73" w14:textId="77777777" w:rsidR="00A628FB" w:rsidRPr="00FC440E"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620" w:type="dxa"/>
            <w:shd w:val="clear" w:color="auto" w:fill="auto"/>
            <w:vAlign w:val="center"/>
          </w:tcPr>
          <w:p w14:paraId="464981B1" w14:textId="77777777" w:rsidR="00A628FB" w:rsidRPr="00D80FBD"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2,431</w:t>
            </w:r>
          </w:p>
        </w:tc>
        <w:tc>
          <w:tcPr>
            <w:tcW w:w="1800" w:type="dxa"/>
            <w:shd w:val="clear" w:color="auto" w:fill="auto"/>
            <w:vAlign w:val="center"/>
          </w:tcPr>
          <w:p w14:paraId="0D013BF2" w14:textId="77777777" w:rsidR="00A628FB" w:rsidRPr="00D80FBD"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244</w:t>
            </w:r>
          </w:p>
        </w:tc>
        <w:tc>
          <w:tcPr>
            <w:tcW w:w="1800" w:type="dxa"/>
            <w:shd w:val="clear" w:color="auto" w:fill="auto"/>
            <w:vAlign w:val="center"/>
          </w:tcPr>
          <w:p w14:paraId="036561D3" w14:textId="77777777" w:rsidR="00A628FB" w:rsidRPr="00D80FBD"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A628FB" w:rsidRPr="00D80FBD" w14:paraId="42704B3E" w14:textId="77777777" w:rsidTr="00A628FB">
        <w:trPr>
          <w:trHeight w:val="575"/>
        </w:trPr>
        <w:tc>
          <w:tcPr>
            <w:tcW w:w="2679" w:type="dxa"/>
            <w:shd w:val="clear" w:color="auto" w:fill="auto"/>
          </w:tcPr>
          <w:p w14:paraId="6EDE8A0E"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14:paraId="6A633F2F" w14:textId="77777777" w:rsidR="00A628FB" w:rsidRPr="00427D79"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669</w:t>
            </w:r>
          </w:p>
        </w:tc>
        <w:tc>
          <w:tcPr>
            <w:tcW w:w="1620" w:type="dxa"/>
            <w:shd w:val="clear" w:color="auto" w:fill="auto"/>
            <w:vAlign w:val="center"/>
          </w:tcPr>
          <w:p w14:paraId="7C7BD0E7" w14:textId="77777777" w:rsidR="00A628FB" w:rsidRPr="00427D79"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608</w:t>
            </w:r>
          </w:p>
        </w:tc>
        <w:tc>
          <w:tcPr>
            <w:tcW w:w="1800" w:type="dxa"/>
            <w:shd w:val="clear" w:color="auto" w:fill="auto"/>
            <w:vAlign w:val="center"/>
          </w:tcPr>
          <w:p w14:paraId="350A1E29" w14:textId="77777777" w:rsidR="00A628FB" w:rsidRPr="00427D79"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w:t>
            </w:r>
          </w:p>
        </w:tc>
        <w:tc>
          <w:tcPr>
            <w:tcW w:w="1800" w:type="dxa"/>
            <w:shd w:val="clear" w:color="auto" w:fill="auto"/>
            <w:vAlign w:val="center"/>
          </w:tcPr>
          <w:p w14:paraId="6033E8A1" w14:textId="77777777" w:rsidR="00A628FB" w:rsidRPr="00427D79" w:rsidRDefault="00245828"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A628FB" w:rsidRPr="00D80FBD" w14:paraId="7AFCD4A4" w14:textId="77777777" w:rsidTr="00A628FB">
        <w:trPr>
          <w:trHeight w:val="295"/>
        </w:trPr>
        <w:tc>
          <w:tcPr>
            <w:tcW w:w="2679" w:type="dxa"/>
            <w:tcBorders>
              <w:bottom w:val="single" w:sz="4" w:space="0" w:color="auto"/>
            </w:tcBorders>
            <w:shd w:val="clear" w:color="auto" w:fill="auto"/>
          </w:tcPr>
          <w:p w14:paraId="690372CC"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4457DDD1" w14:textId="77777777"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79E56F5E" w14:textId="77777777"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1EE5E2F"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0A026C9"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50769FCC" w14:textId="77777777" w:rsidR="00A628FB" w:rsidRDefault="00A628FB"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814E0F" w:rsidRPr="00D80FBD" w14:paraId="26B3D199" w14:textId="77777777" w:rsidTr="00814E0F">
        <w:trPr>
          <w:trHeight w:val="870"/>
        </w:trPr>
        <w:tc>
          <w:tcPr>
            <w:tcW w:w="2679" w:type="dxa"/>
            <w:shd w:val="clear" w:color="auto" w:fill="D9D9D9"/>
            <w:vAlign w:val="bottom"/>
          </w:tcPr>
          <w:p w14:paraId="71DD37A3" w14:textId="77777777" w:rsidR="00814E0F" w:rsidRPr="00D80FBD" w:rsidRDefault="00814E0F" w:rsidP="00814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FERC-566</w:t>
            </w:r>
          </w:p>
        </w:tc>
        <w:tc>
          <w:tcPr>
            <w:tcW w:w="1461" w:type="dxa"/>
            <w:shd w:val="clear" w:color="auto" w:fill="D9D9D9"/>
            <w:vAlign w:val="bottom"/>
          </w:tcPr>
          <w:p w14:paraId="4EAC62F2"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465CCC22"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7110159B"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1119D2AC" w14:textId="77777777" w:rsidR="00814E0F" w:rsidRPr="00D80FBD" w:rsidRDefault="00814E0F" w:rsidP="00814E0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814E0F" w:rsidRPr="00D80FBD" w14:paraId="5A2A8740" w14:textId="77777777" w:rsidTr="00814E0F">
        <w:trPr>
          <w:trHeight w:val="591"/>
        </w:trPr>
        <w:tc>
          <w:tcPr>
            <w:tcW w:w="2679" w:type="dxa"/>
            <w:shd w:val="clear" w:color="auto" w:fill="auto"/>
          </w:tcPr>
          <w:p w14:paraId="5B7CAE80"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93F4F1F" w14:textId="77777777" w:rsidR="00814E0F" w:rsidRPr="00FC440E"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1,082</w:t>
            </w:r>
          </w:p>
        </w:tc>
        <w:tc>
          <w:tcPr>
            <w:tcW w:w="1620" w:type="dxa"/>
            <w:shd w:val="clear" w:color="auto" w:fill="auto"/>
            <w:vAlign w:val="center"/>
          </w:tcPr>
          <w:p w14:paraId="6CCB444E" w14:textId="77777777" w:rsidR="00814E0F" w:rsidRPr="00D80FBD"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434</w:t>
            </w:r>
          </w:p>
        </w:tc>
        <w:tc>
          <w:tcPr>
            <w:tcW w:w="1800" w:type="dxa"/>
            <w:shd w:val="clear" w:color="auto" w:fill="auto"/>
            <w:vAlign w:val="center"/>
          </w:tcPr>
          <w:p w14:paraId="4D0861B1" w14:textId="77777777" w:rsidR="00814E0F" w:rsidRPr="00D80FBD"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648</w:t>
            </w:r>
          </w:p>
        </w:tc>
        <w:tc>
          <w:tcPr>
            <w:tcW w:w="1800" w:type="dxa"/>
            <w:shd w:val="clear" w:color="auto" w:fill="auto"/>
            <w:vAlign w:val="center"/>
          </w:tcPr>
          <w:p w14:paraId="559898CB" w14:textId="77777777" w:rsidR="00814E0F" w:rsidRPr="00D80FBD"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814E0F" w:rsidRPr="00D80FBD" w14:paraId="4C65FFD2" w14:textId="77777777" w:rsidTr="00814E0F">
        <w:trPr>
          <w:trHeight w:val="575"/>
        </w:trPr>
        <w:tc>
          <w:tcPr>
            <w:tcW w:w="2679" w:type="dxa"/>
            <w:shd w:val="clear" w:color="auto" w:fill="auto"/>
          </w:tcPr>
          <w:p w14:paraId="2C93847C"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14:paraId="324E418B" w14:textId="77777777" w:rsidR="00814E0F" w:rsidRPr="00427D79"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6,492</w:t>
            </w:r>
          </w:p>
        </w:tc>
        <w:tc>
          <w:tcPr>
            <w:tcW w:w="1620" w:type="dxa"/>
            <w:shd w:val="clear" w:color="auto" w:fill="auto"/>
            <w:vAlign w:val="center"/>
          </w:tcPr>
          <w:p w14:paraId="7F3549AF" w14:textId="77777777" w:rsidR="00814E0F" w:rsidRPr="00427D79"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2,604</w:t>
            </w:r>
          </w:p>
        </w:tc>
        <w:tc>
          <w:tcPr>
            <w:tcW w:w="1800" w:type="dxa"/>
            <w:shd w:val="clear" w:color="auto" w:fill="auto"/>
            <w:vAlign w:val="center"/>
          </w:tcPr>
          <w:p w14:paraId="3A58B6C3" w14:textId="77777777" w:rsidR="00814E0F" w:rsidRPr="00427D79"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3,888</w:t>
            </w:r>
          </w:p>
        </w:tc>
        <w:tc>
          <w:tcPr>
            <w:tcW w:w="1800" w:type="dxa"/>
            <w:shd w:val="clear" w:color="auto" w:fill="auto"/>
            <w:vAlign w:val="center"/>
          </w:tcPr>
          <w:p w14:paraId="786817CD" w14:textId="77777777" w:rsidR="00814E0F" w:rsidRPr="00427D79" w:rsidRDefault="00245828" w:rsidP="00814E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814E0F" w:rsidRPr="00D80FBD" w14:paraId="509A4BA0" w14:textId="77777777" w:rsidTr="00814E0F">
        <w:trPr>
          <w:trHeight w:val="295"/>
        </w:trPr>
        <w:tc>
          <w:tcPr>
            <w:tcW w:w="2679" w:type="dxa"/>
            <w:tcBorders>
              <w:bottom w:val="single" w:sz="4" w:space="0" w:color="auto"/>
            </w:tcBorders>
            <w:shd w:val="clear" w:color="auto" w:fill="auto"/>
          </w:tcPr>
          <w:p w14:paraId="0013E7F2" w14:textId="77777777" w:rsidR="00814E0F" w:rsidRPr="00D80FBD" w:rsidRDefault="00814E0F" w:rsidP="00814E0F">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16B5DB6D"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59AF9407"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3FCEB737"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857851B" w14:textId="77777777" w:rsidR="00814E0F" w:rsidRPr="00427D79" w:rsidRDefault="00814E0F" w:rsidP="00814E0F">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4A542BD7" w14:textId="77777777" w:rsidR="00814E0F" w:rsidRPr="00A276F5" w:rsidRDefault="00814E0F" w:rsidP="00A276F5">
      <w:pPr>
        <w:spacing w:after="0"/>
        <w:rPr>
          <w:rFonts w:ascii="Times New Roman" w:hAnsi="Times New Roman" w:cs="Times New Roman"/>
          <w:sz w:val="24"/>
          <w:szCs w:val="24"/>
        </w:rPr>
      </w:pPr>
    </w:p>
    <w:p w14:paraId="1A22B478"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40721F82" w14:textId="77777777" w:rsidR="00414F32" w:rsidRDefault="00414F32" w:rsidP="00414F32">
      <w:pPr>
        <w:spacing w:after="0"/>
        <w:rPr>
          <w:rFonts w:ascii="Times New Roman" w:hAnsi="Times New Roman" w:cs="Times New Roman"/>
          <w:sz w:val="24"/>
          <w:szCs w:val="24"/>
        </w:rPr>
      </w:pPr>
    </w:p>
    <w:p w14:paraId="752F95BD" w14:textId="736DE8C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There are no tabulating, statistical or tabulating analysis or publication plans for the</w:t>
      </w:r>
      <w:r w:rsidR="00CD7F63">
        <w:rPr>
          <w:rFonts w:ascii="Times New Roman" w:hAnsi="Times New Roman" w:cs="Times New Roman"/>
          <w:sz w:val="24"/>
          <w:szCs w:val="24"/>
        </w:rPr>
        <w:t>se</w:t>
      </w:r>
      <w:r w:rsidRPr="005F6467">
        <w:rPr>
          <w:rFonts w:ascii="Times New Roman" w:hAnsi="Times New Roman" w:cs="Times New Roman"/>
          <w:sz w:val="24"/>
          <w:szCs w:val="24"/>
        </w:rPr>
        <w:t xml:space="preserve"> collection</w:t>
      </w:r>
      <w:r w:rsidR="00CD7F63">
        <w:rPr>
          <w:rFonts w:ascii="Times New Roman" w:hAnsi="Times New Roman" w:cs="Times New Roman"/>
          <w:sz w:val="24"/>
          <w:szCs w:val="24"/>
        </w:rPr>
        <w:t>s</w:t>
      </w:r>
      <w:r w:rsidRPr="005F6467">
        <w:rPr>
          <w:rFonts w:ascii="Times New Roman" w:hAnsi="Times New Roman" w:cs="Times New Roman"/>
          <w:sz w:val="24"/>
          <w:szCs w:val="24"/>
        </w:rPr>
        <w:t xml:space="preserve"> of information.  </w:t>
      </w:r>
    </w:p>
    <w:p w14:paraId="3D9079DB" w14:textId="77777777" w:rsidR="00414F32" w:rsidRPr="00414F32" w:rsidRDefault="00414F32" w:rsidP="00414F32">
      <w:pPr>
        <w:spacing w:after="0"/>
        <w:rPr>
          <w:rFonts w:ascii="Times New Roman" w:hAnsi="Times New Roman" w:cs="Times New Roman"/>
          <w:sz w:val="24"/>
          <w:szCs w:val="24"/>
        </w:rPr>
      </w:pPr>
    </w:p>
    <w:p w14:paraId="6A9FACAF"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0AB0A585" w14:textId="77777777" w:rsidR="00980039" w:rsidRDefault="009C0BA0" w:rsidP="009C0BA0">
      <w:pPr>
        <w:spacing w:after="0"/>
        <w:rPr>
          <w:rFonts w:ascii="Times New Roman" w:hAnsi="Times New Roman" w:cs="Times New Roman"/>
          <w:sz w:val="24"/>
          <w:szCs w:val="24"/>
        </w:rPr>
      </w:pPr>
      <w:r>
        <w:rPr>
          <w:rFonts w:ascii="Times New Roman" w:hAnsi="Times New Roman" w:cs="Times New Roman"/>
          <w:sz w:val="24"/>
          <w:szCs w:val="24"/>
        </w:rPr>
        <w:br/>
        <w:t>The expiration date</w:t>
      </w:r>
      <w:r w:rsidR="00A57031">
        <w:rPr>
          <w:rFonts w:ascii="Times New Roman" w:hAnsi="Times New Roman" w:cs="Times New Roman"/>
          <w:sz w:val="24"/>
          <w:szCs w:val="24"/>
        </w:rPr>
        <w:t>s</w:t>
      </w:r>
      <w:r w:rsidRPr="00E84A39">
        <w:rPr>
          <w:rFonts w:ascii="Times New Roman" w:hAnsi="Times New Roman" w:cs="Times New Roman"/>
          <w:sz w:val="24"/>
          <w:szCs w:val="24"/>
        </w:rPr>
        <w:t xml:space="preserve"> </w:t>
      </w:r>
      <w:r w:rsidR="00A57031">
        <w:rPr>
          <w:rFonts w:ascii="Times New Roman" w:hAnsi="Times New Roman" w:cs="Times New Roman"/>
          <w:sz w:val="24"/>
          <w:szCs w:val="24"/>
        </w:rPr>
        <w:t>are</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2"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r w:rsidR="00814E0F">
        <w:rPr>
          <w:rFonts w:ascii="Times New Roman" w:hAnsi="Times New Roman" w:cs="Times New Roman"/>
          <w:sz w:val="24"/>
          <w:szCs w:val="24"/>
        </w:rPr>
        <w:t xml:space="preserve">  </w:t>
      </w:r>
    </w:p>
    <w:p w14:paraId="35CAA108" w14:textId="77777777" w:rsidR="00980039" w:rsidRDefault="00980039" w:rsidP="009C0BA0">
      <w:pPr>
        <w:spacing w:after="0"/>
        <w:rPr>
          <w:rFonts w:ascii="Times New Roman" w:hAnsi="Times New Roman" w:cs="Times New Roman"/>
          <w:sz w:val="24"/>
          <w:szCs w:val="24"/>
        </w:rPr>
      </w:pPr>
    </w:p>
    <w:p w14:paraId="39906ED9" w14:textId="77777777" w:rsidR="009C0BA0" w:rsidRDefault="00814E0F" w:rsidP="009C0BA0">
      <w:pPr>
        <w:spacing w:after="0"/>
        <w:rPr>
          <w:rFonts w:ascii="Times New Roman" w:hAnsi="Times New Roman" w:cs="Times New Roman"/>
          <w:sz w:val="24"/>
          <w:szCs w:val="24"/>
        </w:rPr>
      </w:pPr>
      <w:r>
        <w:rPr>
          <w:rFonts w:ascii="Times New Roman" w:hAnsi="Times New Roman" w:cs="Times New Roman"/>
          <w:sz w:val="24"/>
          <w:szCs w:val="24"/>
        </w:rPr>
        <w:t>Also, the FERC</w:t>
      </w:r>
      <w:r w:rsidR="00980039">
        <w:rPr>
          <w:rFonts w:ascii="Times New Roman" w:hAnsi="Times New Roman" w:cs="Times New Roman"/>
          <w:sz w:val="24"/>
          <w:szCs w:val="24"/>
        </w:rPr>
        <w:t xml:space="preserve"> Form 561 displays the current expiration date in the upper right hand corner of the form’s first page.</w:t>
      </w:r>
    </w:p>
    <w:p w14:paraId="74F9447C" w14:textId="77777777" w:rsidR="009C0BA0" w:rsidRPr="00414F32" w:rsidRDefault="009C0BA0" w:rsidP="00414F32">
      <w:pPr>
        <w:spacing w:after="0"/>
        <w:rPr>
          <w:rFonts w:ascii="Times New Roman" w:hAnsi="Times New Roman" w:cs="Times New Roman"/>
          <w:sz w:val="24"/>
          <w:szCs w:val="24"/>
        </w:rPr>
      </w:pPr>
    </w:p>
    <w:p w14:paraId="19C53818"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05ABB0" w14:textId="77777777" w:rsidR="0057700F" w:rsidRDefault="0057700F" w:rsidP="0057700F">
      <w:pPr>
        <w:spacing w:after="0"/>
        <w:rPr>
          <w:rFonts w:ascii="Times New Roman" w:hAnsi="Times New Roman" w:cs="Times New Roman"/>
          <w:b/>
          <w:sz w:val="24"/>
          <w:szCs w:val="24"/>
        </w:rPr>
      </w:pPr>
    </w:p>
    <w:p w14:paraId="7A9856E6" w14:textId="77777777" w:rsidR="00414F32" w:rsidRPr="007A2F92" w:rsidRDefault="006039B3" w:rsidP="00980039">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(i) of the certification to OMB "effective and efficient statistical survey methodology."  The information collected is case specific to each information collection.</w:t>
      </w:r>
    </w:p>
    <w:sectPr w:rsidR="00414F32" w:rsidRPr="007A2F92" w:rsidSect="0078771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A5D8D" w14:textId="77777777" w:rsidR="00F20C2E" w:rsidRDefault="00F20C2E" w:rsidP="00FD66F1">
      <w:pPr>
        <w:spacing w:after="0" w:line="240" w:lineRule="auto"/>
      </w:pPr>
      <w:r>
        <w:separator/>
      </w:r>
    </w:p>
  </w:endnote>
  <w:endnote w:type="continuationSeparator" w:id="0">
    <w:p w14:paraId="31D457C6" w14:textId="77777777" w:rsidR="00F20C2E" w:rsidRDefault="00F20C2E"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41CD1D89" w14:textId="77777777" w:rsidR="00814E0F" w:rsidRPr="001C6553" w:rsidRDefault="008B0D49">
        <w:pPr>
          <w:pStyle w:val="Footer"/>
          <w:jc w:val="right"/>
          <w:rPr>
            <w:rFonts w:ascii="Times New Roman" w:hAnsi="Times New Roman" w:cs="Times New Roman"/>
          </w:rPr>
        </w:pPr>
        <w:r w:rsidRPr="001C6553">
          <w:rPr>
            <w:rFonts w:ascii="Times New Roman" w:hAnsi="Times New Roman" w:cs="Times New Roman"/>
          </w:rPr>
          <w:fldChar w:fldCharType="begin"/>
        </w:r>
        <w:r w:rsidR="00814E0F"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6E056C">
          <w:rPr>
            <w:rFonts w:ascii="Times New Roman" w:hAnsi="Times New Roman" w:cs="Times New Roman"/>
            <w:noProof/>
          </w:rPr>
          <w:t>1</w:t>
        </w:r>
        <w:r w:rsidRPr="001C6553">
          <w:rPr>
            <w:rFonts w:ascii="Times New Roman" w:hAnsi="Times New Roman" w:cs="Times New Roman"/>
            <w:noProof/>
          </w:rPr>
          <w:fldChar w:fldCharType="end"/>
        </w:r>
      </w:p>
    </w:sdtContent>
  </w:sdt>
  <w:p w14:paraId="74F2E8CF" w14:textId="77777777" w:rsidR="00814E0F" w:rsidRDefault="00814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766FF" w14:textId="77777777" w:rsidR="00F20C2E" w:rsidRDefault="00F20C2E" w:rsidP="00FD66F1">
      <w:pPr>
        <w:spacing w:after="0" w:line="240" w:lineRule="auto"/>
      </w:pPr>
      <w:r>
        <w:separator/>
      </w:r>
    </w:p>
  </w:footnote>
  <w:footnote w:type="continuationSeparator" w:id="0">
    <w:p w14:paraId="6826457A" w14:textId="77777777" w:rsidR="00F20C2E" w:rsidRDefault="00F20C2E" w:rsidP="00FD66F1">
      <w:pPr>
        <w:spacing w:after="0" w:line="240" w:lineRule="auto"/>
      </w:pPr>
      <w:r>
        <w:continuationSeparator/>
      </w:r>
    </w:p>
  </w:footnote>
  <w:footnote w:id="1">
    <w:p w14:paraId="45A7EB86" w14:textId="77777777" w:rsidR="00814E0F" w:rsidRPr="00A573D7" w:rsidRDefault="00814E0F" w:rsidP="00A573D7">
      <w:pPr>
        <w:pStyle w:val="FootnoteText"/>
        <w:rPr>
          <w:highlight w:val="yellow"/>
        </w:rPr>
      </w:pPr>
      <w:r w:rsidRPr="00A573D7">
        <w:rPr>
          <w:rStyle w:val="FootnoteReference"/>
        </w:rPr>
        <w:footnoteRef/>
      </w:r>
      <w:r w:rsidRPr="00A573D7">
        <w:t xml:space="preserve"> 79 FR 12191</w:t>
      </w:r>
    </w:p>
  </w:footnote>
  <w:footnote w:id="2">
    <w:p w14:paraId="56033EFB" w14:textId="77777777" w:rsidR="00814E0F" w:rsidRPr="00BD4A05" w:rsidRDefault="00814E0F" w:rsidP="00A573D7">
      <w:pPr>
        <w:pStyle w:val="FootnoteText"/>
      </w:pPr>
      <w:r w:rsidRPr="00A573D7">
        <w:rPr>
          <w:rStyle w:val="FootnoteReference"/>
        </w:rPr>
        <w:footnoteRef/>
      </w:r>
      <w:r w:rsidRPr="00A573D7">
        <w:t xml:space="preserve"> 79 FR 38870</w:t>
      </w:r>
    </w:p>
  </w:footnote>
  <w:footnote w:id="3">
    <w:p w14:paraId="2C98912C" w14:textId="77777777" w:rsidR="0007063B" w:rsidRDefault="0007063B" w:rsidP="0007063B">
      <w:pPr>
        <w:pStyle w:val="FootnoteText"/>
      </w:pPr>
      <w:r w:rsidRPr="00297D65">
        <w:rPr>
          <w:rStyle w:val="FootnoteReference"/>
          <w:szCs w:val="26"/>
        </w:rPr>
        <w:footnoteRef/>
      </w:r>
      <w:r w:rsidRPr="00297D65">
        <w:t xml:space="preserve"> The estimates for cost per response are derived using the following formula: Total Annual Cost (Column 5) ÷ Total Number of Responses (Column 3) = Average Cost per Response</w:t>
      </w:r>
    </w:p>
  </w:footnote>
  <w:footnote w:id="4">
    <w:p w14:paraId="74060DED" w14:textId="77777777" w:rsidR="0007063B" w:rsidRDefault="0007063B" w:rsidP="0007063B">
      <w:pPr>
        <w:pStyle w:val="FootnoteText"/>
      </w:pPr>
      <w:r w:rsidRPr="00297D65">
        <w:rPr>
          <w:rStyle w:val="FootnoteReference"/>
          <w:szCs w:val="26"/>
        </w:rPr>
        <w:footnoteRef/>
      </w:r>
      <w:r w:rsidRPr="00297D65">
        <w:t xml:space="preserve"> Total Annual Burden Hours * $70.50</w:t>
      </w:r>
    </w:p>
  </w:footnote>
  <w:footnote w:id="5">
    <w:p w14:paraId="65A58B8F" w14:textId="482A5B1A" w:rsidR="0089247D" w:rsidRDefault="0089247D">
      <w:pPr>
        <w:pStyle w:val="FootnoteText"/>
      </w:pPr>
      <w:r>
        <w:rPr>
          <w:rStyle w:val="FootnoteReference"/>
        </w:rPr>
        <w:footnoteRef/>
      </w:r>
      <w:r>
        <w:t xml:space="preserve"> In the ROCIS submission system, this figure is rounded down to “7,845”.</w:t>
      </w:r>
    </w:p>
  </w:footnote>
  <w:footnote w:id="6">
    <w:p w14:paraId="52A48E97" w14:textId="0DFF1558" w:rsidR="00021DDC" w:rsidRDefault="00021DDC" w:rsidP="00021DDC">
      <w:pPr>
        <w:pStyle w:val="FootnoteText"/>
      </w:pPr>
      <w:r>
        <w:rPr>
          <w:rStyle w:val="FootnoteReference"/>
        </w:rPr>
        <w:footnoteRef/>
      </w:r>
      <w:r>
        <w:t xml:space="preserve"> Based upon 2014 FTE average salary plus benefits ($146,591)</w:t>
      </w:r>
    </w:p>
  </w:footnote>
  <w:footnote w:id="7">
    <w:p w14:paraId="2C865C83" w14:textId="77777777" w:rsidR="00814E0F" w:rsidRDefault="00814E0F">
      <w:pPr>
        <w:pStyle w:val="FootnoteText"/>
      </w:pPr>
      <w:r>
        <w:rPr>
          <w:rStyle w:val="FootnoteReference"/>
        </w:rPr>
        <w:footnoteRef/>
      </w:r>
      <w:r>
        <w:t xml:space="preserve"> 1 FTE fo</w:t>
      </w:r>
      <w:r w:rsidR="00AE0D4C">
        <w:t>r each of the three collections annually.</w:t>
      </w:r>
    </w:p>
  </w:footnote>
  <w:footnote w:id="8">
    <w:p w14:paraId="3997DFDD" w14:textId="249A6A0F" w:rsidR="00814E0F" w:rsidRPr="00BD4A05" w:rsidRDefault="00814E0F" w:rsidP="00CE0ACF">
      <w:pPr>
        <w:pStyle w:val="FootnoteText"/>
      </w:pPr>
      <w:r w:rsidRPr="00BD4A05">
        <w:rPr>
          <w:rStyle w:val="FootnoteReference"/>
        </w:rPr>
        <w:footnoteRef/>
      </w:r>
      <w:r>
        <w:t xml:space="preserve"> The PRA Administrative Cost is a Federal Cost associated with preparing, issuing, and submitting materials necessary to comply with the Paperwork Reduction Act (PRA).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1AA74" w14:textId="77777777" w:rsidR="00814E0F" w:rsidRDefault="00814E0F" w:rsidP="00DB596C">
    <w:pPr>
      <w:pStyle w:val="Header"/>
      <w:rPr>
        <w:rFonts w:ascii="Times New Roman" w:hAnsi="Times New Roman" w:cs="Times New Roman"/>
        <w:sz w:val="24"/>
        <w:szCs w:val="24"/>
      </w:rPr>
    </w:pPr>
    <w:r>
      <w:rPr>
        <w:rFonts w:ascii="Times New Roman" w:hAnsi="Times New Roman" w:cs="Times New Roman"/>
        <w:sz w:val="24"/>
        <w:szCs w:val="24"/>
      </w:rPr>
      <w:t>FERC-520 (OMB Control No.: 1902-0083)</w:t>
    </w:r>
  </w:p>
  <w:p w14:paraId="20E4D7FE" w14:textId="77777777" w:rsidR="00814E0F" w:rsidRDefault="00AE0D4C" w:rsidP="00DB596C">
    <w:pPr>
      <w:pStyle w:val="Header"/>
      <w:rPr>
        <w:rFonts w:ascii="Times New Roman" w:hAnsi="Times New Roman" w:cs="Times New Roman"/>
        <w:sz w:val="24"/>
        <w:szCs w:val="24"/>
      </w:rPr>
    </w:pPr>
    <w:r>
      <w:rPr>
        <w:rFonts w:ascii="Times New Roman" w:hAnsi="Times New Roman" w:cs="Times New Roman"/>
        <w:sz w:val="24"/>
        <w:szCs w:val="24"/>
      </w:rPr>
      <w:t xml:space="preserve">FERC Form </w:t>
    </w:r>
    <w:r w:rsidR="00814E0F">
      <w:rPr>
        <w:rFonts w:ascii="Times New Roman" w:hAnsi="Times New Roman" w:cs="Times New Roman"/>
        <w:sz w:val="24"/>
        <w:szCs w:val="24"/>
      </w:rPr>
      <w:t>561 (OMB Control No.: 1902-0099)</w:t>
    </w:r>
  </w:p>
  <w:p w14:paraId="063EF96D" w14:textId="77777777" w:rsidR="00814E0F" w:rsidRDefault="00814E0F" w:rsidP="00DB596C">
    <w:pPr>
      <w:pStyle w:val="Header"/>
      <w:rPr>
        <w:rFonts w:ascii="Times New Roman" w:hAnsi="Times New Roman" w:cs="Times New Roman"/>
        <w:sz w:val="24"/>
        <w:szCs w:val="24"/>
      </w:rPr>
    </w:pPr>
    <w:r>
      <w:rPr>
        <w:rFonts w:ascii="Times New Roman" w:hAnsi="Times New Roman" w:cs="Times New Roman"/>
        <w:sz w:val="24"/>
        <w:szCs w:val="24"/>
      </w:rPr>
      <w:t>FERC-566 (OMB Control No.: 1902-0114)</w:t>
    </w:r>
  </w:p>
  <w:p w14:paraId="38F38F62" w14:textId="77777777" w:rsidR="00814E0F" w:rsidRDefault="00814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00429"/>
    <w:multiLevelType w:val="hybridMultilevel"/>
    <w:tmpl w:val="9E4C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0"/>
  </w:num>
  <w:num w:numId="6">
    <w:abstractNumId w:val="7"/>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1508"/>
    <w:rsid w:val="00011B32"/>
    <w:rsid w:val="00021DDC"/>
    <w:rsid w:val="00021DFC"/>
    <w:rsid w:val="0002242D"/>
    <w:rsid w:val="00026CD3"/>
    <w:rsid w:val="00035845"/>
    <w:rsid w:val="0007063B"/>
    <w:rsid w:val="00074DC8"/>
    <w:rsid w:val="0008093E"/>
    <w:rsid w:val="00083529"/>
    <w:rsid w:val="00084650"/>
    <w:rsid w:val="00085FB6"/>
    <w:rsid w:val="0008703B"/>
    <w:rsid w:val="000877AE"/>
    <w:rsid w:val="000934BE"/>
    <w:rsid w:val="000A2DAE"/>
    <w:rsid w:val="000B0C37"/>
    <w:rsid w:val="00106E70"/>
    <w:rsid w:val="00111FB8"/>
    <w:rsid w:val="00121107"/>
    <w:rsid w:val="00140843"/>
    <w:rsid w:val="00143103"/>
    <w:rsid w:val="0015010C"/>
    <w:rsid w:val="00174598"/>
    <w:rsid w:val="00181727"/>
    <w:rsid w:val="00183F28"/>
    <w:rsid w:val="00185730"/>
    <w:rsid w:val="00185DE6"/>
    <w:rsid w:val="00187E14"/>
    <w:rsid w:val="00192C00"/>
    <w:rsid w:val="001A2BDD"/>
    <w:rsid w:val="001B1B27"/>
    <w:rsid w:val="001C6553"/>
    <w:rsid w:val="001E3D20"/>
    <w:rsid w:val="00245828"/>
    <w:rsid w:val="00247D5A"/>
    <w:rsid w:val="002565D6"/>
    <w:rsid w:val="0026674D"/>
    <w:rsid w:val="00275101"/>
    <w:rsid w:val="002813D2"/>
    <w:rsid w:val="002A09EB"/>
    <w:rsid w:val="002B13E2"/>
    <w:rsid w:val="002C59C1"/>
    <w:rsid w:val="002C7E0E"/>
    <w:rsid w:val="002D47D9"/>
    <w:rsid w:val="002F582B"/>
    <w:rsid w:val="00327DFF"/>
    <w:rsid w:val="00342296"/>
    <w:rsid w:val="003559FE"/>
    <w:rsid w:val="00363551"/>
    <w:rsid w:val="00366CB8"/>
    <w:rsid w:val="003A2CE6"/>
    <w:rsid w:val="003C0C1E"/>
    <w:rsid w:val="003C2B85"/>
    <w:rsid w:val="003C5844"/>
    <w:rsid w:val="003D7751"/>
    <w:rsid w:val="003F4DED"/>
    <w:rsid w:val="004033F4"/>
    <w:rsid w:val="00412297"/>
    <w:rsid w:val="0041251C"/>
    <w:rsid w:val="00414F32"/>
    <w:rsid w:val="004237AB"/>
    <w:rsid w:val="00427D79"/>
    <w:rsid w:val="004611BD"/>
    <w:rsid w:val="00466BC1"/>
    <w:rsid w:val="0047331E"/>
    <w:rsid w:val="00476526"/>
    <w:rsid w:val="004817EC"/>
    <w:rsid w:val="004866C0"/>
    <w:rsid w:val="00487D59"/>
    <w:rsid w:val="00491966"/>
    <w:rsid w:val="00497E9F"/>
    <w:rsid w:val="004A35B0"/>
    <w:rsid w:val="004C4C89"/>
    <w:rsid w:val="004D7B6B"/>
    <w:rsid w:val="004F6977"/>
    <w:rsid w:val="00500D47"/>
    <w:rsid w:val="005013FC"/>
    <w:rsid w:val="00522F69"/>
    <w:rsid w:val="00524FE0"/>
    <w:rsid w:val="0053150C"/>
    <w:rsid w:val="0053287C"/>
    <w:rsid w:val="00557B7A"/>
    <w:rsid w:val="00571C5E"/>
    <w:rsid w:val="00576390"/>
    <w:rsid w:val="00576C6E"/>
    <w:rsid w:val="0057700F"/>
    <w:rsid w:val="00584DD5"/>
    <w:rsid w:val="005A2229"/>
    <w:rsid w:val="005A2792"/>
    <w:rsid w:val="005A2C6F"/>
    <w:rsid w:val="005B6C12"/>
    <w:rsid w:val="005B77CE"/>
    <w:rsid w:val="005F1C3C"/>
    <w:rsid w:val="00602AD1"/>
    <w:rsid w:val="006039B3"/>
    <w:rsid w:val="00615BC7"/>
    <w:rsid w:val="006166FA"/>
    <w:rsid w:val="00652B0E"/>
    <w:rsid w:val="00664BC0"/>
    <w:rsid w:val="00666AF6"/>
    <w:rsid w:val="0068509E"/>
    <w:rsid w:val="00685D44"/>
    <w:rsid w:val="00690136"/>
    <w:rsid w:val="006A0DFC"/>
    <w:rsid w:val="006A6B05"/>
    <w:rsid w:val="006B3C52"/>
    <w:rsid w:val="006E056C"/>
    <w:rsid w:val="00702D51"/>
    <w:rsid w:val="00713351"/>
    <w:rsid w:val="0076593E"/>
    <w:rsid w:val="00773AEB"/>
    <w:rsid w:val="00774DD5"/>
    <w:rsid w:val="007801DB"/>
    <w:rsid w:val="00785CD2"/>
    <w:rsid w:val="007866A1"/>
    <w:rsid w:val="00787670"/>
    <w:rsid w:val="00787716"/>
    <w:rsid w:val="007929E3"/>
    <w:rsid w:val="007A2F92"/>
    <w:rsid w:val="007C150D"/>
    <w:rsid w:val="007C73AA"/>
    <w:rsid w:val="007D692C"/>
    <w:rsid w:val="007E1621"/>
    <w:rsid w:val="007E310A"/>
    <w:rsid w:val="007E7C0F"/>
    <w:rsid w:val="007F1015"/>
    <w:rsid w:val="007F1F0F"/>
    <w:rsid w:val="007F261A"/>
    <w:rsid w:val="007F57C9"/>
    <w:rsid w:val="008038EF"/>
    <w:rsid w:val="00814E0F"/>
    <w:rsid w:val="00816F15"/>
    <w:rsid w:val="0082011B"/>
    <w:rsid w:val="0082369C"/>
    <w:rsid w:val="00833486"/>
    <w:rsid w:val="008443F3"/>
    <w:rsid w:val="0085568F"/>
    <w:rsid w:val="008619E1"/>
    <w:rsid w:val="00867AF1"/>
    <w:rsid w:val="00876F75"/>
    <w:rsid w:val="0089247D"/>
    <w:rsid w:val="008A21A4"/>
    <w:rsid w:val="008B0D49"/>
    <w:rsid w:val="008B59AF"/>
    <w:rsid w:val="008B5BBF"/>
    <w:rsid w:val="008B703B"/>
    <w:rsid w:val="008C0B89"/>
    <w:rsid w:val="008C17EA"/>
    <w:rsid w:val="008C288D"/>
    <w:rsid w:val="008C2D58"/>
    <w:rsid w:val="008C5283"/>
    <w:rsid w:val="008D0F5E"/>
    <w:rsid w:val="008E70CD"/>
    <w:rsid w:val="008F3C72"/>
    <w:rsid w:val="0090438A"/>
    <w:rsid w:val="00905C9A"/>
    <w:rsid w:val="00913A8B"/>
    <w:rsid w:val="00917EBA"/>
    <w:rsid w:val="00924D41"/>
    <w:rsid w:val="00934B37"/>
    <w:rsid w:val="009513E9"/>
    <w:rsid w:val="00970FE4"/>
    <w:rsid w:val="00980039"/>
    <w:rsid w:val="00996108"/>
    <w:rsid w:val="009B4D01"/>
    <w:rsid w:val="009C0BA0"/>
    <w:rsid w:val="009E1190"/>
    <w:rsid w:val="009F2946"/>
    <w:rsid w:val="009F504B"/>
    <w:rsid w:val="00A0495C"/>
    <w:rsid w:val="00A26F9A"/>
    <w:rsid w:val="00A276F5"/>
    <w:rsid w:val="00A47294"/>
    <w:rsid w:val="00A57031"/>
    <w:rsid w:val="00A573D7"/>
    <w:rsid w:val="00A61669"/>
    <w:rsid w:val="00A628FB"/>
    <w:rsid w:val="00A65F32"/>
    <w:rsid w:val="00A72C17"/>
    <w:rsid w:val="00A72E7B"/>
    <w:rsid w:val="00A96B65"/>
    <w:rsid w:val="00A9704D"/>
    <w:rsid w:val="00AC17C5"/>
    <w:rsid w:val="00AD3DE5"/>
    <w:rsid w:val="00AE0D4C"/>
    <w:rsid w:val="00AE5DA5"/>
    <w:rsid w:val="00AF496D"/>
    <w:rsid w:val="00B03585"/>
    <w:rsid w:val="00B05A7D"/>
    <w:rsid w:val="00B13770"/>
    <w:rsid w:val="00B33F2B"/>
    <w:rsid w:val="00B50450"/>
    <w:rsid w:val="00B81C6C"/>
    <w:rsid w:val="00BA1C7D"/>
    <w:rsid w:val="00BA7C56"/>
    <w:rsid w:val="00BB10F0"/>
    <w:rsid w:val="00BC2D53"/>
    <w:rsid w:val="00BD3FCB"/>
    <w:rsid w:val="00BD4A05"/>
    <w:rsid w:val="00BE5048"/>
    <w:rsid w:val="00BF3479"/>
    <w:rsid w:val="00BF5172"/>
    <w:rsid w:val="00C01698"/>
    <w:rsid w:val="00C265E7"/>
    <w:rsid w:val="00C303E3"/>
    <w:rsid w:val="00C32B18"/>
    <w:rsid w:val="00C3607B"/>
    <w:rsid w:val="00C510DD"/>
    <w:rsid w:val="00C62B86"/>
    <w:rsid w:val="00C64E97"/>
    <w:rsid w:val="00C70921"/>
    <w:rsid w:val="00C8575E"/>
    <w:rsid w:val="00C85AF9"/>
    <w:rsid w:val="00CA1F17"/>
    <w:rsid w:val="00CA495F"/>
    <w:rsid w:val="00CA59C3"/>
    <w:rsid w:val="00CA641E"/>
    <w:rsid w:val="00CB7F1C"/>
    <w:rsid w:val="00CD3816"/>
    <w:rsid w:val="00CD7608"/>
    <w:rsid w:val="00CD7F63"/>
    <w:rsid w:val="00CE0ACF"/>
    <w:rsid w:val="00CE2491"/>
    <w:rsid w:val="00CF1EFD"/>
    <w:rsid w:val="00CF7005"/>
    <w:rsid w:val="00D200A9"/>
    <w:rsid w:val="00D567C1"/>
    <w:rsid w:val="00D80FBD"/>
    <w:rsid w:val="00D86DD0"/>
    <w:rsid w:val="00DA14A7"/>
    <w:rsid w:val="00DB596C"/>
    <w:rsid w:val="00DC4E36"/>
    <w:rsid w:val="00DD0231"/>
    <w:rsid w:val="00DE7B47"/>
    <w:rsid w:val="00DF5061"/>
    <w:rsid w:val="00E11CA6"/>
    <w:rsid w:val="00E14565"/>
    <w:rsid w:val="00E14C03"/>
    <w:rsid w:val="00E15721"/>
    <w:rsid w:val="00E15E64"/>
    <w:rsid w:val="00E20612"/>
    <w:rsid w:val="00E35735"/>
    <w:rsid w:val="00E441A0"/>
    <w:rsid w:val="00E531F6"/>
    <w:rsid w:val="00E636D7"/>
    <w:rsid w:val="00E73E1A"/>
    <w:rsid w:val="00E86C7F"/>
    <w:rsid w:val="00E87A4F"/>
    <w:rsid w:val="00E97EA9"/>
    <w:rsid w:val="00EA2F2D"/>
    <w:rsid w:val="00EA4A75"/>
    <w:rsid w:val="00EA53E8"/>
    <w:rsid w:val="00EB3E6F"/>
    <w:rsid w:val="00EB55CF"/>
    <w:rsid w:val="00EC19DF"/>
    <w:rsid w:val="00EC1D23"/>
    <w:rsid w:val="00ED3BA2"/>
    <w:rsid w:val="00ED5560"/>
    <w:rsid w:val="00EE1351"/>
    <w:rsid w:val="00F02788"/>
    <w:rsid w:val="00F12DC2"/>
    <w:rsid w:val="00F152DF"/>
    <w:rsid w:val="00F20C2E"/>
    <w:rsid w:val="00F37B77"/>
    <w:rsid w:val="00F52CDD"/>
    <w:rsid w:val="00F63DF4"/>
    <w:rsid w:val="00F95633"/>
    <w:rsid w:val="00FD609E"/>
    <w:rsid w:val="00FD66F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5D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53150C"/>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520</_x0031__x002e__x0020_Collection_x0020_Number>
    <Date xmlns="d6eefc7d-9817-4fa6-84d5-3bc009be21b8" xsi:nil="true"/>
    <Status xmlns="d6eefc7d-9817-4fa6-84d5-3bc009be21b8">Final</Status>
    <_x0032__x002e__x0020_Docket_x0020_Number xmlns="d6eefc7d-9817-4fa6-84d5-3bc009be21b8" xsi:nil="true"/>
    <_x0032__x002e__x0020_Collection_x0020_Number xmlns="d6eefc7d-9817-4fa6-84d5-3bc009be21b8">561</_x0032__x002e__x0020_Collection_x0020_Number>
    <_x0031__x002e__x0020_Docket_x0020_Number xmlns="d6eefc7d-9817-4fa6-84d5-3bc009be21b8" xsi:nil="true"/>
    <_x0033__x002e__x0020_Collection_x0020_Number xmlns="d6eefc7d-9817-4fa6-84d5-3bc009be21b8">566</_x0033__x002e__x0020_Collection_x0020_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DCA6-CB39-40D1-A198-F9EC75B13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E5C5C-6E97-48F3-ABEC-BB392CE268CD}">
  <ds:schemaRefs>
    <ds:schemaRef ds:uri="http://schemas.microsoft.com/office/2006/metadata/customXsn"/>
  </ds:schemaRefs>
</ds:datastoreItem>
</file>

<file path=customXml/itemProps3.xml><?xml version="1.0" encoding="utf-8"?>
<ds:datastoreItem xmlns:ds="http://schemas.openxmlformats.org/officeDocument/2006/customXml" ds:itemID="{6BD58C82-F849-4F78-B3A9-C6E015EEA019}">
  <ds:schemaRefs>
    <ds:schemaRef ds:uri="http://schemas.microsoft.com/sharepoint/v3/contenttype/forms"/>
  </ds:schemaRefs>
</ds:datastoreItem>
</file>

<file path=customXml/itemProps4.xml><?xml version="1.0" encoding="utf-8"?>
<ds:datastoreItem xmlns:ds="http://schemas.openxmlformats.org/officeDocument/2006/customXml" ds:itemID="{2FD80428-5C03-43B7-9221-B699E5C1AEBA}">
  <ds:schemaRefs>
    <ds:schemaRef ds:uri="http://schemas.microsoft.com/office/2006/documentManagement/types"/>
    <ds:schemaRef ds:uri="http://schemas.openxmlformats.org/package/2006/metadata/core-properties"/>
    <ds:schemaRef ds:uri="d6eefc7d-9817-4fa6-84d5-3bc009be21b8"/>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282C32C-840C-407F-902E-6AC77B12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2014-09-19T17:33:00Z</dcterms:created>
  <dcterms:modified xsi:type="dcterms:W3CDTF">2014-09-19T17:33:00Z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