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A9" w:rsidRPr="005A3906" w:rsidRDefault="006103A9" w:rsidP="006103A9">
      <w:pPr>
        <w:pStyle w:val="PlainText"/>
        <w:jc w:val="center"/>
        <w:rPr>
          <w:rFonts w:ascii="Times New Roman" w:hAnsi="Times New Roman" w:cs="Times New Roman"/>
          <w:b/>
          <w:sz w:val="24"/>
          <w:szCs w:val="24"/>
        </w:rPr>
      </w:pPr>
      <w:r w:rsidRPr="005A3906">
        <w:rPr>
          <w:rFonts w:ascii="Times New Roman" w:hAnsi="Times New Roman" w:cs="Times New Roman"/>
          <w:b/>
          <w:sz w:val="24"/>
          <w:szCs w:val="24"/>
        </w:rPr>
        <w:t>SUPPORTING STATEMENT</w:t>
      </w:r>
    </w:p>
    <w:p w:rsidR="006103A9" w:rsidRPr="005A3906" w:rsidRDefault="006103A9" w:rsidP="006103A9">
      <w:pPr>
        <w:pStyle w:val="PlainText"/>
        <w:jc w:val="center"/>
        <w:rPr>
          <w:rFonts w:ascii="Times New Roman" w:hAnsi="Times New Roman" w:cs="Times New Roman"/>
          <w:b/>
          <w:sz w:val="24"/>
          <w:szCs w:val="24"/>
        </w:rPr>
      </w:pPr>
      <w:r w:rsidRPr="005A3906">
        <w:rPr>
          <w:rFonts w:ascii="Times New Roman" w:hAnsi="Times New Roman" w:cs="Times New Roman"/>
          <w:b/>
          <w:sz w:val="24"/>
          <w:szCs w:val="24"/>
        </w:rPr>
        <w:t>FOR AN INFORMATION COLLECTION REQUEST (ICR)</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1. IDENTIFICATION OF THE INFORMATION COLLECTION </w:t>
      </w:r>
    </w:p>
    <w:p w:rsidR="00587764" w:rsidRPr="005A3906" w:rsidRDefault="00587764" w:rsidP="00343EF0">
      <w:pPr>
        <w:pStyle w:val="PlainText"/>
        <w:rPr>
          <w:rFonts w:ascii="Times New Roman" w:hAnsi="Times New Roman" w:cs="Times New Roman"/>
          <w:b/>
          <w:sz w:val="24"/>
          <w:szCs w:val="24"/>
        </w:rPr>
      </w:pPr>
    </w:p>
    <w:p w:rsidR="00D45328" w:rsidRDefault="006103A9" w:rsidP="006E17AA">
      <w:pPr>
        <w:pStyle w:val="PlainText"/>
        <w:ind w:left="1260" w:hanging="540"/>
        <w:rPr>
          <w:rFonts w:ascii="Times New Roman" w:hAnsi="Times New Roman" w:cs="Times New Roman"/>
          <w:b/>
          <w:sz w:val="24"/>
          <w:szCs w:val="24"/>
        </w:rPr>
      </w:pPr>
      <w:r w:rsidRPr="005A3906">
        <w:rPr>
          <w:rFonts w:ascii="Times New Roman" w:hAnsi="Times New Roman" w:cs="Times New Roman"/>
          <w:b/>
          <w:sz w:val="24"/>
          <w:szCs w:val="24"/>
        </w:rPr>
        <w:t>1(a</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Title</w:t>
      </w:r>
      <w:proofErr w:type="gramEnd"/>
      <w:r w:rsidRPr="005A3906">
        <w:rPr>
          <w:rFonts w:ascii="Times New Roman" w:hAnsi="Times New Roman" w:cs="Times New Roman"/>
          <w:b/>
          <w:sz w:val="24"/>
          <w:szCs w:val="24"/>
        </w:rPr>
        <w:t xml:space="preserve">: </w:t>
      </w:r>
    </w:p>
    <w:p w:rsidR="00D45328" w:rsidRDefault="00D45328" w:rsidP="006E17AA">
      <w:pPr>
        <w:pStyle w:val="PlainText"/>
        <w:ind w:left="1260" w:hanging="540"/>
        <w:rPr>
          <w:rFonts w:ascii="Times New Roman" w:hAnsi="Times New Roman" w:cs="Times New Roman"/>
          <w:b/>
          <w:sz w:val="24"/>
          <w:szCs w:val="24"/>
        </w:rPr>
      </w:pPr>
    </w:p>
    <w:p w:rsidR="006103A9" w:rsidRPr="005A3906" w:rsidRDefault="006103A9" w:rsidP="006E17AA">
      <w:pPr>
        <w:pStyle w:val="PlainText"/>
        <w:ind w:left="1260" w:hanging="540"/>
        <w:rPr>
          <w:rFonts w:ascii="Times New Roman" w:hAnsi="Times New Roman" w:cs="Times New Roman"/>
          <w:b/>
          <w:sz w:val="24"/>
          <w:szCs w:val="24"/>
        </w:rPr>
      </w:pPr>
      <w:r w:rsidRPr="005A3906">
        <w:rPr>
          <w:rFonts w:ascii="Times New Roman" w:hAnsi="Times New Roman" w:cs="Times New Roman"/>
          <w:b/>
          <w:sz w:val="24"/>
          <w:szCs w:val="24"/>
        </w:rPr>
        <w:t>Plant-Incorporated Protectants; CBI Substantiation and Adverse</w:t>
      </w:r>
      <w:r w:rsidR="00587764" w:rsidRPr="005A3906">
        <w:rPr>
          <w:rFonts w:ascii="Times New Roman" w:hAnsi="Times New Roman" w:cs="Times New Roman"/>
          <w:b/>
          <w:sz w:val="24"/>
          <w:szCs w:val="24"/>
        </w:rPr>
        <w:t xml:space="preserve"> </w:t>
      </w:r>
      <w:r w:rsidRPr="005A3906">
        <w:rPr>
          <w:rFonts w:ascii="Times New Roman" w:hAnsi="Times New Roman" w:cs="Times New Roman"/>
          <w:b/>
          <w:sz w:val="24"/>
          <w:szCs w:val="24"/>
        </w:rPr>
        <w:t>Effects Reporting</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5A390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OMB No.: 2070-0142 </w:t>
      </w:r>
      <w:r w:rsidR="00587764" w:rsidRPr="005A3906">
        <w:rPr>
          <w:rFonts w:ascii="Times New Roman" w:hAnsi="Times New Roman" w:cs="Times New Roman"/>
          <w:sz w:val="24"/>
          <w:szCs w:val="24"/>
        </w:rPr>
        <w:t xml:space="preserve">             </w:t>
      </w:r>
      <w:r w:rsidR="00A34712">
        <w:rPr>
          <w:rFonts w:ascii="Times New Roman" w:hAnsi="Times New Roman" w:cs="Times New Roman"/>
          <w:sz w:val="24"/>
          <w:szCs w:val="24"/>
        </w:rPr>
        <w:t>EPA ICR No.: 1693.0</w:t>
      </w:r>
      <w:r w:rsidR="00FF14D8">
        <w:rPr>
          <w:rFonts w:ascii="Times New Roman" w:hAnsi="Times New Roman" w:cs="Times New Roman"/>
          <w:sz w:val="24"/>
          <w:szCs w:val="24"/>
        </w:rPr>
        <w:t>8</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5A390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1(b</w:t>
      </w:r>
      <w:proofErr w:type="gramStart"/>
      <w:r w:rsidRPr="005A3906">
        <w:rPr>
          <w:rFonts w:ascii="Times New Roman" w:hAnsi="Times New Roman" w:cs="Times New Roman"/>
          <w:b/>
          <w:sz w:val="24"/>
          <w:szCs w:val="24"/>
        </w:rPr>
        <w:t>)</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 Short</w:t>
      </w:r>
      <w:proofErr w:type="gramEnd"/>
      <w:r w:rsidRPr="005A3906">
        <w:rPr>
          <w:rFonts w:ascii="Times New Roman" w:hAnsi="Times New Roman" w:cs="Times New Roman"/>
          <w:b/>
          <w:sz w:val="24"/>
          <w:szCs w:val="24"/>
        </w:rPr>
        <w:t xml:space="preserve"> Characterization/Abstract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090FBE">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Environmental Protection Agency (EPA) is responsible for the regulation of pesticides as authorized by the Federal Insecticide, Fungicide, and Rodenticide Act (FIFRA). Prior to EPA granting a registration, the manufacturer of the pesticide must demonstrate to the Agency that the use of the pesticide product will not result in any </w:t>
      </w:r>
      <w:r w:rsidR="00587764" w:rsidRPr="005A3906">
        <w:rPr>
          <w:rFonts w:ascii="Times New Roman" w:hAnsi="Times New Roman" w:cs="Times New Roman"/>
          <w:sz w:val="24"/>
          <w:szCs w:val="24"/>
        </w:rPr>
        <w:t xml:space="preserve">unreasonable adverse effects to </w:t>
      </w:r>
      <w:r w:rsidRPr="005A3906">
        <w:rPr>
          <w:rFonts w:ascii="Times New Roman" w:hAnsi="Times New Roman" w:cs="Times New Roman"/>
          <w:sz w:val="24"/>
          <w:szCs w:val="24"/>
        </w:rPr>
        <w:t xml:space="preserve">humans or the environment. EPA is also responsible under the Federal Food, Drug, and Cosmetic Act (FFDCA) for establishing a tolerance or exemption from the requirement of a tolerance for pesticide residues on food or feed. </w:t>
      </w:r>
    </w:p>
    <w:p w:rsidR="006103A9" w:rsidRPr="005A3906" w:rsidRDefault="006103A9" w:rsidP="00343EF0">
      <w:pPr>
        <w:pStyle w:val="PlainText"/>
        <w:rPr>
          <w:rFonts w:ascii="Times New Roman" w:hAnsi="Times New Roman" w:cs="Times New Roman"/>
          <w:sz w:val="24"/>
          <w:szCs w:val="24"/>
        </w:rPr>
      </w:pPr>
    </w:p>
    <w:p w:rsidR="004B0656" w:rsidRDefault="00403B82" w:rsidP="004B0656">
      <w:pPr>
        <w:pStyle w:val="PlainText"/>
        <w:ind w:firstLine="720"/>
        <w:rPr>
          <w:rFonts w:ascii="Times New Roman" w:hAnsi="Times New Roman" w:cs="Times New Roman"/>
          <w:sz w:val="24"/>
          <w:szCs w:val="24"/>
        </w:rPr>
      </w:pPr>
      <w:r>
        <w:rPr>
          <w:rFonts w:ascii="Times New Roman" w:hAnsi="Times New Roman" w:cs="Times New Roman"/>
          <w:sz w:val="24"/>
          <w:szCs w:val="24"/>
        </w:rPr>
        <w:t>T</w:t>
      </w:r>
      <w:r w:rsidR="006103A9" w:rsidRPr="005A3906">
        <w:rPr>
          <w:rFonts w:ascii="Times New Roman" w:hAnsi="Times New Roman" w:cs="Times New Roman"/>
          <w:sz w:val="24"/>
          <w:szCs w:val="24"/>
        </w:rPr>
        <w:t>he Agency promulgated a final rule</w:t>
      </w:r>
      <w:r w:rsidR="00D45328">
        <w:rPr>
          <w:rFonts w:ascii="Times New Roman" w:hAnsi="Times New Roman" w:cs="Times New Roman"/>
          <w:sz w:val="24"/>
          <w:szCs w:val="24"/>
        </w:rPr>
        <w:t xml:space="preserve"> (</w:t>
      </w:r>
      <w:r>
        <w:rPr>
          <w:rFonts w:ascii="Times New Roman" w:hAnsi="Times New Roman" w:cs="Times New Roman"/>
          <w:sz w:val="24"/>
          <w:szCs w:val="24"/>
        </w:rPr>
        <w:t>codified at 40 CFR part 174</w:t>
      </w:r>
      <w:r w:rsidR="00D45328">
        <w:rPr>
          <w:rFonts w:ascii="Times New Roman" w:hAnsi="Times New Roman" w:cs="Times New Roman"/>
          <w:sz w:val="24"/>
          <w:szCs w:val="24"/>
        </w:rPr>
        <w:t>)</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that addresses the regulatory status of pesticidal substances that are produced by plants (plant-incorporated protectants). </w:t>
      </w:r>
      <w:r w:rsidRPr="005A3906">
        <w:rPr>
          <w:rFonts w:ascii="Times New Roman" w:hAnsi="Times New Roman" w:cs="Times New Roman"/>
          <w:sz w:val="24"/>
          <w:szCs w:val="24"/>
        </w:rPr>
        <w:t>A plant-incorporated protectant</w:t>
      </w:r>
      <w:r>
        <w:rPr>
          <w:rFonts w:ascii="Times New Roman" w:hAnsi="Times New Roman" w:cs="Times New Roman"/>
          <w:sz w:val="24"/>
          <w:szCs w:val="24"/>
        </w:rPr>
        <w:t xml:space="preserve"> (PIP)</w:t>
      </w:r>
      <w:r w:rsidRPr="005A3906">
        <w:rPr>
          <w:rFonts w:ascii="Times New Roman" w:hAnsi="Times New Roman" w:cs="Times New Roman"/>
          <w:sz w:val="24"/>
          <w:szCs w:val="24"/>
        </w:rPr>
        <w:t xml:space="preserve"> is defined in the final rule as </w:t>
      </w:r>
      <w:r w:rsidR="009950AB">
        <w:rPr>
          <w:rFonts w:ascii="Times New Roman" w:hAnsi="Times New Roman" w:cs="Times New Roman"/>
          <w:sz w:val="24"/>
          <w:szCs w:val="24"/>
        </w:rPr>
        <w:t>“</w:t>
      </w:r>
      <w:r w:rsidRPr="005A3906">
        <w:rPr>
          <w:rFonts w:ascii="Times New Roman" w:hAnsi="Times New Roman" w:cs="Times New Roman"/>
          <w:sz w:val="24"/>
          <w:szCs w:val="24"/>
        </w:rPr>
        <w:t>the pesticidal substance that is intended to be produced and used in a living plant and the genetic material necessary for the production of such a substance.</w:t>
      </w:r>
      <w:r w:rsidR="009950AB">
        <w:rPr>
          <w:rFonts w:ascii="Times New Roman" w:hAnsi="Times New Roman" w:cs="Times New Roman"/>
          <w:sz w:val="24"/>
          <w:szCs w:val="24"/>
        </w:rPr>
        <w:t>”</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The rule (Attachment A)</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exempts a wide range of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from registration requirements under FIFRA, and it imposes two requirements on manufacturers of some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s.</w:t>
      </w:r>
    </w:p>
    <w:p w:rsidR="006103A9" w:rsidRPr="005A3906" w:rsidRDefault="006103A9" w:rsidP="004B0656">
      <w:pPr>
        <w:pStyle w:val="PlainText"/>
        <w:rPr>
          <w:rFonts w:ascii="Times New Roman" w:hAnsi="Times New Roman" w:cs="Times New Roman"/>
          <w:sz w:val="24"/>
          <w:szCs w:val="24"/>
        </w:rPr>
      </w:pPr>
    </w:p>
    <w:p w:rsidR="00403B82" w:rsidRDefault="006103A9" w:rsidP="004B065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This Information Collection Request (ICR) covers the two information collection related provisions contained in the rule, i.e., the provision that requires registrants that make Confidential Business Information (CBI) claims to substantiate such claims when they are made, and the provision that requires manufacturers of </w:t>
      </w:r>
      <w:r w:rsidR="004B0656">
        <w:rPr>
          <w:rFonts w:ascii="Times New Roman" w:hAnsi="Times New Roman" w:cs="Times New Roman"/>
          <w:sz w:val="24"/>
          <w:szCs w:val="24"/>
        </w:rPr>
        <w:t>PIP</w:t>
      </w:r>
      <w:r w:rsidRPr="005A3906">
        <w:rPr>
          <w:rFonts w:ascii="Times New Roman" w:hAnsi="Times New Roman" w:cs="Times New Roman"/>
          <w:sz w:val="24"/>
          <w:szCs w:val="24"/>
        </w:rPr>
        <w:t>s exempted from requirements of registration under the final rule to report adverse effects to the Agency</w:t>
      </w:r>
      <w:r w:rsidR="00403B82" w:rsidRPr="005A3906">
        <w:rPr>
          <w:rFonts w:ascii="Times New Roman" w:hAnsi="Times New Roman" w:cs="Times New Roman"/>
          <w:sz w:val="24"/>
          <w:szCs w:val="24"/>
        </w:rPr>
        <w:t>.</w:t>
      </w:r>
      <w:r w:rsidR="00403B82">
        <w:rPr>
          <w:rFonts w:ascii="Times New Roman" w:hAnsi="Times New Roman" w:cs="Times New Roman"/>
          <w:sz w:val="24"/>
          <w:szCs w:val="24"/>
        </w:rPr>
        <w:t xml:space="preserve">  The</w:t>
      </w:r>
      <w:r w:rsidRPr="005A3906">
        <w:rPr>
          <w:rFonts w:ascii="Times New Roman" w:hAnsi="Times New Roman" w:cs="Times New Roman"/>
          <w:sz w:val="24"/>
          <w:szCs w:val="24"/>
        </w:rPr>
        <w:t xml:space="preserve"> current CBI regulations at 40 CFR part 2 require that claimants substantiate their CBI claims for their own records when the claim is made, and subsequently provide the substantiation to EPA only if requested. </w:t>
      </w:r>
      <w:r w:rsidR="00403B82">
        <w:rPr>
          <w:rFonts w:ascii="Times New Roman" w:hAnsi="Times New Roman" w:cs="Times New Roman"/>
          <w:sz w:val="24"/>
          <w:szCs w:val="24"/>
        </w:rPr>
        <w:t xml:space="preserve"> </w:t>
      </w:r>
      <w:r w:rsidRPr="005A3906">
        <w:rPr>
          <w:rFonts w:ascii="Times New Roman" w:hAnsi="Times New Roman" w:cs="Times New Roman"/>
          <w:sz w:val="24"/>
          <w:szCs w:val="24"/>
        </w:rPr>
        <w:t>The substantiation, however, is not required to be included with the submission to EPA in which the CBI claims are made. The burden associated with the existing requirement</w:t>
      </w:r>
      <w:r w:rsidR="00FF14D8">
        <w:rPr>
          <w:rFonts w:ascii="Times New Roman" w:hAnsi="Times New Roman" w:cs="Times New Roman"/>
          <w:sz w:val="24"/>
          <w:szCs w:val="24"/>
        </w:rPr>
        <w:t xml:space="preserve"> for CBI claims pursuant to 40 CFR part 2</w:t>
      </w:r>
      <w:r w:rsidRPr="005A3906">
        <w:rPr>
          <w:rFonts w:ascii="Times New Roman" w:hAnsi="Times New Roman" w:cs="Times New Roman"/>
          <w:sz w:val="24"/>
          <w:szCs w:val="24"/>
        </w:rPr>
        <w:t xml:space="preserve"> is already approved by OMB</w:t>
      </w:r>
      <w:r w:rsidR="00FF14D8">
        <w:rPr>
          <w:rFonts w:ascii="Times New Roman" w:hAnsi="Times New Roman" w:cs="Times New Roman"/>
          <w:sz w:val="24"/>
          <w:szCs w:val="24"/>
        </w:rPr>
        <w:t xml:space="preserve"> under OMB Control No. 2020-0003.</w:t>
      </w:r>
    </w:p>
    <w:p w:rsidR="00403B82" w:rsidRDefault="00403B82" w:rsidP="00343EF0">
      <w:pPr>
        <w:pStyle w:val="PlainText"/>
        <w:rPr>
          <w:rFonts w:ascii="Times New Roman" w:hAnsi="Times New Roman" w:cs="Times New Roman"/>
          <w:sz w:val="24"/>
          <w:szCs w:val="24"/>
        </w:rPr>
      </w:pPr>
    </w:p>
    <w:p w:rsidR="006103A9" w:rsidRPr="005A3906" w:rsidRDefault="006103A9" w:rsidP="00403B82">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w:t>
      </w:r>
      <w:r w:rsidR="00403B82">
        <w:rPr>
          <w:rFonts w:ascii="Times New Roman" w:hAnsi="Times New Roman" w:cs="Times New Roman"/>
          <w:sz w:val="24"/>
          <w:szCs w:val="24"/>
        </w:rPr>
        <w:t xml:space="preserve">40 CFR </w:t>
      </w:r>
      <w:r w:rsidR="00FF14D8">
        <w:rPr>
          <w:rFonts w:ascii="Times New Roman" w:hAnsi="Times New Roman" w:cs="Times New Roman"/>
          <w:sz w:val="24"/>
          <w:szCs w:val="24"/>
        </w:rPr>
        <w:t xml:space="preserve">part </w:t>
      </w:r>
      <w:r w:rsidR="00403B82">
        <w:rPr>
          <w:rFonts w:ascii="Times New Roman" w:hAnsi="Times New Roman" w:cs="Times New Roman"/>
          <w:sz w:val="24"/>
          <w:szCs w:val="24"/>
        </w:rPr>
        <w:t xml:space="preserve">174 </w:t>
      </w:r>
      <w:r w:rsidRPr="005A3906">
        <w:rPr>
          <w:rFonts w:ascii="Times New Roman" w:hAnsi="Times New Roman" w:cs="Times New Roman"/>
          <w:sz w:val="24"/>
          <w:szCs w:val="24"/>
        </w:rPr>
        <w:t xml:space="preserve">requires the claimant to include the CBI substantiation in the </w:t>
      </w:r>
      <w:r w:rsidR="00403B82">
        <w:rPr>
          <w:rFonts w:ascii="Times New Roman" w:hAnsi="Times New Roman" w:cs="Times New Roman"/>
          <w:sz w:val="24"/>
          <w:szCs w:val="24"/>
        </w:rPr>
        <w:t>PIP-</w:t>
      </w:r>
      <w:r w:rsidRPr="005A3906">
        <w:rPr>
          <w:rFonts w:ascii="Times New Roman" w:hAnsi="Times New Roman" w:cs="Times New Roman"/>
          <w:sz w:val="24"/>
          <w:szCs w:val="24"/>
        </w:rPr>
        <w:t xml:space="preserve"> related submissions to EPA, it is difficult to identify any additional burden that such a requirement might actually impose. </w:t>
      </w:r>
      <w:r w:rsidR="00403B82">
        <w:rPr>
          <w:rFonts w:ascii="Times New Roman" w:hAnsi="Times New Roman" w:cs="Times New Roman"/>
          <w:sz w:val="24"/>
          <w:szCs w:val="24"/>
        </w:rPr>
        <w:t xml:space="preserve"> </w:t>
      </w:r>
      <w:r w:rsidRPr="005A3906">
        <w:rPr>
          <w:rFonts w:ascii="Times New Roman" w:hAnsi="Times New Roman" w:cs="Times New Roman"/>
          <w:sz w:val="24"/>
          <w:szCs w:val="24"/>
        </w:rPr>
        <w:t xml:space="preserve">Nevertheless, the Agency has chosen the conservative </w:t>
      </w:r>
      <w:r w:rsidR="00587764" w:rsidRPr="005A3906">
        <w:rPr>
          <w:rFonts w:ascii="Times New Roman" w:hAnsi="Times New Roman" w:cs="Times New Roman"/>
          <w:sz w:val="24"/>
          <w:szCs w:val="24"/>
        </w:rPr>
        <w:t xml:space="preserve">approach of including </w:t>
      </w:r>
      <w:r w:rsidRPr="005A3906">
        <w:rPr>
          <w:rFonts w:ascii="Times New Roman" w:hAnsi="Times New Roman" w:cs="Times New Roman"/>
          <w:sz w:val="24"/>
          <w:szCs w:val="24"/>
        </w:rPr>
        <w:t xml:space="preserve">potential burden and costs for preparing and submitting the CBI substantiation at the time of submission of the information containing the CBI claim as required by the rule. </w:t>
      </w:r>
    </w:p>
    <w:p w:rsidR="006103A9" w:rsidRPr="005A3906" w:rsidRDefault="006103A9" w:rsidP="0058776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The </w:t>
      </w:r>
      <w:r w:rsidR="004B0656">
        <w:rPr>
          <w:rFonts w:ascii="Times New Roman" w:hAnsi="Times New Roman" w:cs="Times New Roman"/>
          <w:sz w:val="24"/>
          <w:szCs w:val="24"/>
        </w:rPr>
        <w:t xml:space="preserve">provisions of 40 CFR 174 </w:t>
      </w:r>
      <w:r w:rsidRPr="005A3906">
        <w:rPr>
          <w:rFonts w:ascii="Times New Roman" w:hAnsi="Times New Roman" w:cs="Times New Roman"/>
          <w:sz w:val="24"/>
          <w:szCs w:val="24"/>
        </w:rPr>
        <w:t xml:space="preserve">that are related to information collection activities </w:t>
      </w:r>
      <w:r w:rsidR="004B0656">
        <w:rPr>
          <w:rFonts w:ascii="Times New Roman" w:hAnsi="Times New Roman" w:cs="Times New Roman"/>
          <w:sz w:val="24"/>
          <w:szCs w:val="24"/>
        </w:rPr>
        <w:t>which</w:t>
      </w:r>
      <w:r w:rsidR="004B0656" w:rsidRPr="005A3906">
        <w:rPr>
          <w:rFonts w:ascii="Times New Roman" w:hAnsi="Times New Roman" w:cs="Times New Roman"/>
          <w:sz w:val="24"/>
          <w:szCs w:val="24"/>
        </w:rPr>
        <w:t xml:space="preserve"> </w:t>
      </w:r>
      <w:r w:rsidRPr="005A3906">
        <w:rPr>
          <w:rFonts w:ascii="Times New Roman" w:hAnsi="Times New Roman" w:cs="Times New Roman"/>
          <w:sz w:val="24"/>
          <w:szCs w:val="24"/>
        </w:rPr>
        <w:t>are part of registration activities, e.g., data requirements for pesticide registrations, are already approved by OMB under the PRA, and that approval is not impacted by the clarification provided in the final rule.</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 Information collection activities related to pesticide registration are approved under OMB Control Nos. 2070-0060 (Application for New or Amended Pesticide Registration), 207</w:t>
      </w:r>
      <w:r w:rsidR="00587764" w:rsidRPr="005A3906">
        <w:rPr>
          <w:rFonts w:ascii="Times New Roman" w:hAnsi="Times New Roman" w:cs="Times New Roman"/>
          <w:sz w:val="24"/>
          <w:szCs w:val="24"/>
        </w:rPr>
        <w:t xml:space="preserve">0-0024 (Tolerance Petitions for </w:t>
      </w:r>
      <w:r w:rsidRPr="005A3906">
        <w:rPr>
          <w:rFonts w:ascii="Times New Roman" w:hAnsi="Times New Roman" w:cs="Times New Roman"/>
          <w:sz w:val="24"/>
          <w:szCs w:val="24"/>
        </w:rPr>
        <w:t xml:space="preserve">Pesticides on Food/Feed Crops and New Inert Ingredients), and 2070-0040 (Experimental </w:t>
      </w:r>
      <w:r w:rsidR="00587764" w:rsidRPr="005A3906">
        <w:rPr>
          <w:rFonts w:ascii="Times New Roman" w:hAnsi="Times New Roman" w:cs="Times New Roman"/>
          <w:sz w:val="24"/>
          <w:szCs w:val="24"/>
        </w:rPr>
        <w:t>Use Permit</w:t>
      </w:r>
      <w:r w:rsidR="00901943">
        <w:rPr>
          <w:rFonts w:ascii="Times New Roman" w:hAnsi="Times New Roman" w:cs="Times New Roman"/>
          <w:sz w:val="24"/>
          <w:szCs w:val="24"/>
        </w:rPr>
        <w:t xml:space="preserve">s (EUPs) for </w:t>
      </w:r>
      <w:r w:rsidRPr="005A3906">
        <w:rPr>
          <w:rFonts w:ascii="Times New Roman" w:hAnsi="Times New Roman" w:cs="Times New Roman"/>
          <w:sz w:val="24"/>
          <w:szCs w:val="24"/>
        </w:rPr>
        <w:t>Pesticide</w:t>
      </w:r>
      <w:r w:rsidR="00901943">
        <w:rPr>
          <w:rFonts w:ascii="Times New Roman" w:hAnsi="Times New Roman" w:cs="Times New Roman"/>
          <w:sz w:val="24"/>
          <w:szCs w:val="24"/>
        </w:rPr>
        <w:t>s</w:t>
      </w:r>
      <w:r w:rsidRPr="005A3906">
        <w:rPr>
          <w:rFonts w:ascii="Times New Roman" w:hAnsi="Times New Roman" w:cs="Times New Roman"/>
          <w:sz w:val="24"/>
          <w:szCs w:val="24"/>
        </w:rPr>
        <w:t xml:space="preserve">). </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This ICR, therefore, discusses the paperwork burdens associated with the requirement for registrants to substantiate CBI claims when they are made, and the requirement for manufacturers of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under the final rule to report adverse effects to the Agency within 30 days. </w:t>
      </w:r>
    </w:p>
    <w:p w:rsidR="006103A9" w:rsidRDefault="006103A9" w:rsidP="00343EF0">
      <w:pPr>
        <w:pStyle w:val="PlainText"/>
        <w:rPr>
          <w:rFonts w:ascii="Times New Roman" w:hAnsi="Times New Roman" w:cs="Times New Roman"/>
          <w:sz w:val="24"/>
          <w:szCs w:val="24"/>
        </w:rPr>
      </w:pPr>
    </w:p>
    <w:p w:rsidR="006E17AA" w:rsidRPr="005A3906" w:rsidRDefault="006E17AA" w:rsidP="00343EF0">
      <w:pPr>
        <w:pStyle w:val="PlainText"/>
        <w:rPr>
          <w:rFonts w:ascii="Times New Roman" w:hAnsi="Times New Roman" w:cs="Times New Roman"/>
          <w:sz w:val="24"/>
          <w:szCs w:val="24"/>
        </w:rPr>
      </w:pPr>
    </w:p>
    <w:p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2. </w:t>
      </w:r>
      <w:r w:rsidR="00587764" w:rsidRPr="005A3906">
        <w:rPr>
          <w:rFonts w:ascii="Times New Roman" w:hAnsi="Times New Roman" w:cs="Times New Roman"/>
          <w:b/>
          <w:sz w:val="24"/>
          <w:szCs w:val="24"/>
        </w:rPr>
        <w:tab/>
      </w:r>
      <w:r w:rsidRPr="005A3906">
        <w:rPr>
          <w:rFonts w:ascii="Times New Roman" w:hAnsi="Times New Roman" w:cs="Times New Roman"/>
          <w:b/>
          <w:sz w:val="24"/>
          <w:szCs w:val="24"/>
        </w:rPr>
        <w:t xml:space="preserve">NEED FOR AND USE OF THE COLLECTION </w:t>
      </w:r>
    </w:p>
    <w:p w:rsidR="00587764" w:rsidRPr="005A3906" w:rsidRDefault="00587764" w:rsidP="00343EF0">
      <w:pPr>
        <w:pStyle w:val="PlainText"/>
        <w:rPr>
          <w:rFonts w:ascii="Times New Roman" w:hAnsi="Times New Roman" w:cs="Times New Roman"/>
          <w:b/>
          <w:sz w:val="24"/>
          <w:szCs w:val="24"/>
        </w:rPr>
      </w:pPr>
    </w:p>
    <w:p w:rsidR="006103A9" w:rsidRPr="005A3906" w:rsidRDefault="006103A9" w:rsidP="0058776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2(a</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Need</w:t>
      </w:r>
      <w:proofErr w:type="gramEnd"/>
      <w:r w:rsidRPr="005A3906">
        <w:rPr>
          <w:rFonts w:ascii="Times New Roman" w:hAnsi="Times New Roman" w:cs="Times New Roman"/>
          <w:b/>
          <w:sz w:val="24"/>
          <w:szCs w:val="24"/>
        </w:rPr>
        <w:t xml:space="preserve">/Authority for the Collection </w:t>
      </w:r>
    </w:p>
    <w:p w:rsidR="006103A9" w:rsidRPr="005A3906" w:rsidRDefault="006103A9" w:rsidP="00343EF0">
      <w:pPr>
        <w:pStyle w:val="PlainText"/>
        <w:rPr>
          <w:rFonts w:ascii="Times New Roman" w:hAnsi="Times New Roman" w:cs="Times New Roman"/>
          <w:sz w:val="24"/>
          <w:szCs w:val="24"/>
        </w:rPr>
      </w:pPr>
    </w:p>
    <w:p w:rsidR="006103A9" w:rsidRPr="005A3906" w:rsidRDefault="00FC59DB" w:rsidP="00343EF0">
      <w:pPr>
        <w:pStyle w:val="PlainText"/>
        <w:rPr>
          <w:rFonts w:ascii="Times New Roman" w:hAnsi="Times New Roman" w:cs="Times New Roman"/>
          <w:sz w:val="24"/>
          <w:szCs w:val="24"/>
        </w:rPr>
      </w:pPr>
      <w:r>
        <w:rPr>
          <w:rFonts w:ascii="Times New Roman" w:hAnsi="Times New Roman" w:cs="Times New Roman"/>
          <w:sz w:val="24"/>
          <w:szCs w:val="24"/>
        </w:rPr>
        <w:tab/>
      </w:r>
      <w:r w:rsidR="006103A9" w:rsidRPr="005A3906">
        <w:rPr>
          <w:rFonts w:ascii="Times New Roman" w:hAnsi="Times New Roman" w:cs="Times New Roman"/>
          <w:sz w:val="24"/>
          <w:szCs w:val="24"/>
        </w:rPr>
        <w:t>Although FIFRA requires the registration of</w:t>
      </w:r>
      <w:r w:rsidR="00901943">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pesticides, it also authorizes the Agency’s regulation of unregistered pesticides. FIFRA section 3(a) provides that, to the extent necessary to prevent unreasonable adverse effects on the environment, the Administrator may limit the distribution, sale, or use of any pesticide that is not registered under section 3 of FIFRA, or subject to an experimental use permit under section 5 of FIFRA, or subject to an emergency exemption under section 18 of FIFRA. Pesticides that are "not registered" include pesticides that are exempt from FIFRA requirements under section 25(b) (Attachment B).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FIFRA section 2(bb) defines the term "unreasonable adverse effects on the environment" to mean: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(7 U.S.C. 136(bb)).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Section 25(b)(2) of FIFRA allows EPA to exempt, by regulation, any pesticide from some or all of the requirements of FIFRA, if the pesticide is of a character which is unnecessary to be subject to FIFRA in order to carry out the purposes of that Act (7 U.S.C. 136w(b)(2)). EPA interprets FIFRA section 25(b)(2) to authorize EPA to exempt a pesticide or category of pesticides that EPA determines poses a low probability of risk to the environment, and that is not likely to cause unreasonable adverse effects to the environment even in the absence of regulatory oversight under FIFRA.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To determine whether a pesticide qualifies for an exemption under section 25(b</w:t>
      </w:r>
      <w:proofErr w:type="gramStart"/>
      <w:r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 xml:space="preserve">2), EPA evaluates both the potential risks and benefits of the use of the pesticide. In evaluating a pesticide under the first exemption criterion, whether use of the pesticide poses a low probability of risk to the environment, EPA considers the extent of the potential risks caused by use of the pesticide to the environment, including humans and other animals, plants, water, air and land. Potential risks to humans include dietary risks as well as non-dietary risks such as those resulting from </w:t>
      </w:r>
      <w:r w:rsidRPr="005A3906">
        <w:rPr>
          <w:rFonts w:ascii="Times New Roman" w:hAnsi="Times New Roman" w:cs="Times New Roman"/>
          <w:sz w:val="24"/>
          <w:szCs w:val="24"/>
        </w:rPr>
        <w:lastRenderedPageBreak/>
        <w:t>occupational or residential exposure to the pesticide. EPA uses the FFDCA section 408 standard in evaluating dietary risks. EPA will not exempt pesticides under section 25(b</w:t>
      </w:r>
      <w:proofErr w:type="gramStart"/>
      <w:r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 xml:space="preserve">2) that fail the low probability of risk criterion.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FC59DB">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evaluating a pesticide under the second exemption criterion, whether the use of the pesticide is likely to cause unreasonable adverse effects on the environment even in the absence of regulatory oversight under FIFRA, EPA balances all the potential risks to human health, including any dietary risks, and risks to the remainder of the environment from use of the pesticide against the potential benefits associated with its use. In balancing risks and benefits, EPA considers the economic, social, and environmental costs and benefits of the use of the pesticide. If the pesticide meets both exemption criteria, EPA may exempt the pesticide from regulation under FIFRA section 25(b</w:t>
      </w:r>
      <w:proofErr w:type="gramStart"/>
      <w:r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 xml:space="preserve">2).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A5228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Under FFDCA section 408(a) (Attachment C), a pesticide chemical residue in or on food is not safe unless EPA has issued either: a tolerance for the residue and </w:t>
      </w:r>
      <w:r w:rsidR="00A5228D" w:rsidRPr="005A3906">
        <w:rPr>
          <w:rFonts w:ascii="Times New Roman" w:hAnsi="Times New Roman" w:cs="Times New Roman"/>
          <w:sz w:val="24"/>
          <w:szCs w:val="24"/>
        </w:rPr>
        <w:t xml:space="preserve">the residue is within the </w:t>
      </w:r>
      <w:r w:rsidRPr="005A3906">
        <w:rPr>
          <w:rFonts w:ascii="Times New Roman" w:hAnsi="Times New Roman" w:cs="Times New Roman"/>
          <w:sz w:val="24"/>
          <w:szCs w:val="24"/>
        </w:rPr>
        <w:t xml:space="preserve">tolerance limits, or an exemption from the requirement of a tolerance for the residue (21 U.S.C. </w:t>
      </w:r>
      <w:proofErr w:type="gramStart"/>
      <w:r w:rsidRPr="005A3906">
        <w:rPr>
          <w:rFonts w:ascii="Times New Roman" w:hAnsi="Times New Roman" w:cs="Times New Roman"/>
          <w:sz w:val="24"/>
          <w:szCs w:val="24"/>
        </w:rPr>
        <w:t>346a(</w:t>
      </w:r>
      <w:proofErr w:type="gramEnd"/>
      <w:r w:rsidRPr="005A3906">
        <w:rPr>
          <w:rFonts w:ascii="Times New Roman" w:hAnsi="Times New Roman" w:cs="Times New Roman"/>
          <w:sz w:val="24"/>
          <w:szCs w:val="24"/>
        </w:rPr>
        <w:t>a)(1)). FFDCA section 408 authorizes EPA to determine a residue is safe and exempt from the requirement of a tolerance if the Administrator “. . . has determined that there is a reasonable certainty that no harm will result from aggregate exposure to the pesticide chemical residue, including all anticipated dietary exposures and all other exposures for which there is reliable</w:t>
      </w:r>
      <w:r w:rsidR="009405FD" w:rsidRPr="005A3906">
        <w:rPr>
          <w:rFonts w:ascii="Times New Roman" w:hAnsi="Times New Roman" w:cs="Times New Roman"/>
          <w:sz w:val="24"/>
          <w:szCs w:val="24"/>
        </w:rPr>
        <w:t xml:space="preserve"> information” (21 U.S.C. 346a(c</w:t>
      </w:r>
      <w:proofErr w:type="gramStart"/>
      <w:r w:rsidR="009405FD"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 xml:space="preserve">2)(A)). Section 408 of the FFDCA also directs EPA to specifically consider harm that may result to infants and children as a result of pesticide chemical residues.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3636C3">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r w:rsidR="003636C3">
        <w:rPr>
          <w:rFonts w:ascii="Times New Roman" w:hAnsi="Times New Roman" w:cs="Times New Roman"/>
          <w:sz w:val="24"/>
          <w:szCs w:val="24"/>
        </w:rPr>
        <w:tab/>
      </w:r>
      <w:r w:rsidRPr="005A3906">
        <w:rPr>
          <w:rFonts w:ascii="Times New Roman" w:hAnsi="Times New Roman" w:cs="Times New Roman"/>
          <w:sz w:val="24"/>
          <w:szCs w:val="24"/>
        </w:rPr>
        <w:t>A determination that a pesticide chemical meets the safety standard of section 408(</w:t>
      </w:r>
      <w:r w:rsidR="0095205C" w:rsidRPr="005A3906">
        <w:rPr>
          <w:rFonts w:ascii="Times New Roman" w:hAnsi="Times New Roman" w:cs="Times New Roman"/>
          <w:sz w:val="24"/>
          <w:szCs w:val="24"/>
        </w:rPr>
        <w:t>a</w:t>
      </w:r>
      <w:r w:rsidRPr="005A3906">
        <w:rPr>
          <w:rFonts w:ascii="Times New Roman" w:hAnsi="Times New Roman" w:cs="Times New Roman"/>
          <w:sz w:val="24"/>
          <w:szCs w:val="24"/>
        </w:rPr>
        <w:t>) of the FFDCA may also be relevant to whether a pesticide qualifies for a FIFRA section 25(b</w:t>
      </w:r>
      <w:proofErr w:type="gramStart"/>
      <w:r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2) exemption with respect to human health risks arising from oth</w:t>
      </w:r>
      <w:r w:rsidR="00A5228D" w:rsidRPr="005A3906">
        <w:rPr>
          <w:rFonts w:ascii="Times New Roman" w:hAnsi="Times New Roman" w:cs="Times New Roman"/>
          <w:sz w:val="24"/>
          <w:szCs w:val="24"/>
        </w:rPr>
        <w:t xml:space="preserve">er routes of exposure. However, </w:t>
      </w:r>
      <w:r w:rsidRPr="005A3906">
        <w:rPr>
          <w:rFonts w:ascii="Times New Roman" w:hAnsi="Times New Roman" w:cs="Times New Roman"/>
          <w:sz w:val="24"/>
          <w:szCs w:val="24"/>
        </w:rPr>
        <w:t xml:space="preserve">FIFRA does not provide for exemption of a pesticide in food based solely upon consistency with </w:t>
      </w:r>
      <w:r w:rsidR="009405FD" w:rsidRPr="005A3906">
        <w:rPr>
          <w:rFonts w:ascii="Times New Roman" w:hAnsi="Times New Roman" w:cs="Times New Roman"/>
          <w:sz w:val="24"/>
          <w:szCs w:val="24"/>
        </w:rPr>
        <w:t xml:space="preserve">the FFDCA section 408 exemption </w:t>
      </w:r>
      <w:r w:rsidRPr="005A3906">
        <w:rPr>
          <w:rFonts w:ascii="Times New Roman" w:hAnsi="Times New Roman" w:cs="Times New Roman"/>
          <w:sz w:val="24"/>
          <w:szCs w:val="24"/>
        </w:rPr>
        <w:t xml:space="preserve">standard. At a minimum, EPA also must evaluate risks arising from occupational exposure to humans and determine that such risks meet both exemption criteria. In addition, EPA must evaluate the risks to the environment from the pesticide and determine both that the pesticide poses only a low probability of environmental risks, and that use of the pesticide is not likely to cause any unreasonable adverse effects on the remainder of the environment in the absence of regulation under FIFRA.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2(b</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Practical</w:t>
      </w:r>
      <w:proofErr w:type="gramEnd"/>
      <w:r w:rsidRPr="005A3906">
        <w:rPr>
          <w:rFonts w:ascii="Times New Roman" w:hAnsi="Times New Roman" w:cs="Times New Roman"/>
          <w:b/>
          <w:sz w:val="24"/>
          <w:szCs w:val="24"/>
        </w:rPr>
        <w:t xml:space="preserve"> Utility/Users of the Data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EPA believes that requiring the substantiation of CBI claims for </w:t>
      </w:r>
      <w:r w:rsidR="004B0656">
        <w:rPr>
          <w:rFonts w:ascii="Times New Roman" w:hAnsi="Times New Roman" w:cs="Times New Roman"/>
          <w:sz w:val="24"/>
          <w:szCs w:val="24"/>
        </w:rPr>
        <w:t>PIPs</w:t>
      </w:r>
      <w:r w:rsidRPr="005A3906">
        <w:rPr>
          <w:rFonts w:ascii="Times New Roman" w:hAnsi="Times New Roman" w:cs="Times New Roman"/>
          <w:sz w:val="24"/>
          <w:szCs w:val="24"/>
        </w:rPr>
        <w:t xml:space="preserve"> at the time of submission to the Agency will help ensure a timely EPA response to submissions for </w:t>
      </w:r>
      <w:r w:rsidR="004B0656">
        <w:rPr>
          <w:rFonts w:ascii="Times New Roman" w:hAnsi="Times New Roman" w:cs="Times New Roman"/>
          <w:sz w:val="24"/>
          <w:szCs w:val="24"/>
        </w:rPr>
        <w:t>PIPs</w:t>
      </w:r>
      <w:r w:rsidRPr="005A3906">
        <w:rPr>
          <w:rFonts w:ascii="Times New Roman" w:hAnsi="Times New Roman" w:cs="Times New Roman"/>
          <w:sz w:val="24"/>
          <w:szCs w:val="24"/>
        </w:rPr>
        <w:t xml:space="preserve">, protect the public’s right to access information consistent with FIFRA, and ensure that information qualifying as CBI is properly protected from unauthorized disclosures. Since registrants are already required to ensure that CBI claims are proper prior to asserting the CBI protection for information submitted to EPA, this requirement simply affects the time at which the substantiation is submitted to the Agency, i.e., it requires the inclusion of this substantiation with the submission. </w:t>
      </w:r>
    </w:p>
    <w:p w:rsidR="006103A9" w:rsidRPr="005A3906" w:rsidRDefault="006103A9" w:rsidP="00343EF0">
      <w:pPr>
        <w:pStyle w:val="PlainText"/>
        <w:rPr>
          <w:rFonts w:ascii="Times New Roman" w:hAnsi="Times New Roman" w:cs="Times New Roman"/>
          <w:sz w:val="24"/>
          <w:szCs w:val="24"/>
        </w:rPr>
      </w:pPr>
    </w:p>
    <w:p w:rsidR="006103A9" w:rsidRPr="005A3906" w:rsidRDefault="00B3704C" w:rsidP="004B0656">
      <w:pPr>
        <w:pStyle w:val="PlainText"/>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6103A9" w:rsidRPr="005A3906">
        <w:rPr>
          <w:rFonts w:ascii="Times New Roman" w:hAnsi="Times New Roman" w:cs="Times New Roman"/>
          <w:sz w:val="24"/>
          <w:szCs w:val="24"/>
        </w:rPr>
        <w:t xml:space="preserve">he Agency’s analysis of the potential risks and benefits of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xml:space="preserve"> has led it to conclude that the categories of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xml:space="preserve"> described in 40 CFR part 174, subpart B warrant exemption</w:t>
      </w:r>
      <w:r>
        <w:rPr>
          <w:rFonts w:ascii="Times New Roman" w:hAnsi="Times New Roman" w:cs="Times New Roman"/>
          <w:sz w:val="24"/>
          <w:szCs w:val="24"/>
        </w:rPr>
        <w:t xml:space="preserve">.  However, </w:t>
      </w:r>
      <w:r w:rsidR="006103A9" w:rsidRPr="005A3906">
        <w:rPr>
          <w:rFonts w:ascii="Times New Roman" w:hAnsi="Times New Roman" w:cs="Times New Roman"/>
          <w:sz w:val="24"/>
          <w:szCs w:val="24"/>
        </w:rPr>
        <w:t xml:space="preserve">it is possible that there may be unforeseeable adverse effects to human health or the environment from the testing and use of otherwise exempted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as the exemptions at subpart B are broad and cover literally thousands of potential substances, some of which under certain use conditions have the potential to be toxic. The Agency th</w:t>
      </w:r>
      <w:r>
        <w:rPr>
          <w:rFonts w:ascii="Times New Roman" w:hAnsi="Times New Roman" w:cs="Times New Roman"/>
          <w:sz w:val="24"/>
          <w:szCs w:val="24"/>
        </w:rPr>
        <w:t>erefore included,</w:t>
      </w:r>
      <w:r w:rsidR="006103A9" w:rsidRPr="005A3906">
        <w:rPr>
          <w:rFonts w:ascii="Times New Roman" w:hAnsi="Times New Roman" w:cs="Times New Roman"/>
          <w:sz w:val="24"/>
          <w:szCs w:val="24"/>
        </w:rPr>
        <w:t xml:space="preserve"> as a condition of exemption, a requirement to report to EPA within 30 days any factual adverse effects associated with these otherwise exempt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These reporting requirements are similar to reporting</w:t>
      </w:r>
      <w:r w:rsidR="00E23577">
        <w:rPr>
          <w:rFonts w:ascii="Times New Roman" w:hAnsi="Times New Roman" w:cs="Times New Roman"/>
          <w:sz w:val="24"/>
          <w:szCs w:val="24"/>
        </w:rPr>
        <w:t xml:space="preserve"> </w:t>
      </w:r>
      <w:r w:rsidR="006103A9" w:rsidRPr="005A3906">
        <w:rPr>
          <w:rFonts w:ascii="Times New Roman" w:hAnsi="Times New Roman" w:cs="Times New Roman"/>
          <w:sz w:val="24"/>
          <w:szCs w:val="24"/>
        </w:rPr>
        <w:t>requirements imposed on registrants under FIFRA section 6(a</w:t>
      </w:r>
      <w:proofErr w:type="gramStart"/>
      <w:r w:rsidR="006103A9" w:rsidRPr="005A3906">
        <w:rPr>
          <w:rFonts w:ascii="Times New Roman" w:hAnsi="Times New Roman" w:cs="Times New Roman"/>
          <w:sz w:val="24"/>
          <w:szCs w:val="24"/>
        </w:rPr>
        <w:t>)(</w:t>
      </w:r>
      <w:proofErr w:type="gramEnd"/>
      <w:r w:rsidR="006103A9" w:rsidRPr="005A3906">
        <w:rPr>
          <w:rFonts w:ascii="Times New Roman" w:hAnsi="Times New Roman" w:cs="Times New Roman"/>
          <w:sz w:val="24"/>
          <w:szCs w:val="24"/>
        </w:rPr>
        <w:t>2) for registered pesticides. However, since the 6(a</w:t>
      </w:r>
      <w:proofErr w:type="gramStart"/>
      <w:r w:rsidR="006103A9" w:rsidRPr="005A3906">
        <w:rPr>
          <w:rFonts w:ascii="Times New Roman" w:hAnsi="Times New Roman" w:cs="Times New Roman"/>
          <w:sz w:val="24"/>
          <w:szCs w:val="24"/>
        </w:rPr>
        <w:t>)(</w:t>
      </w:r>
      <w:proofErr w:type="gramEnd"/>
      <w:r w:rsidR="006103A9" w:rsidRPr="005A3906">
        <w:rPr>
          <w:rFonts w:ascii="Times New Roman" w:hAnsi="Times New Roman" w:cs="Times New Roman"/>
          <w:sz w:val="24"/>
          <w:szCs w:val="24"/>
        </w:rPr>
        <w:t xml:space="preserve">2) reporting requirement applies to registered pesticides and </w:t>
      </w:r>
      <w:r w:rsidR="0095205C" w:rsidRPr="005A3906">
        <w:rPr>
          <w:rFonts w:ascii="Times New Roman" w:hAnsi="Times New Roman" w:cs="Times New Roman"/>
          <w:sz w:val="24"/>
          <w:szCs w:val="24"/>
        </w:rPr>
        <w:t xml:space="preserve">many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are exempted from registration </w:t>
      </w:r>
      <w:r w:rsidR="00FB7B1F">
        <w:rPr>
          <w:rFonts w:ascii="Times New Roman" w:hAnsi="Times New Roman" w:cs="Times New Roman"/>
          <w:sz w:val="24"/>
          <w:szCs w:val="24"/>
        </w:rPr>
        <w:t>requirements</w:t>
      </w:r>
      <w:r w:rsidR="006103A9" w:rsidRPr="005A3906">
        <w:rPr>
          <w:rFonts w:ascii="Times New Roman" w:hAnsi="Times New Roman" w:cs="Times New Roman"/>
          <w:sz w:val="24"/>
          <w:szCs w:val="24"/>
        </w:rPr>
        <w:t xml:space="preserve">, </w:t>
      </w:r>
      <w:r w:rsidR="00FB7B1F">
        <w:rPr>
          <w:rFonts w:ascii="Times New Roman" w:hAnsi="Times New Roman" w:cs="Times New Roman"/>
          <w:sz w:val="24"/>
          <w:szCs w:val="24"/>
        </w:rPr>
        <w:t xml:space="preserve">the </w:t>
      </w:r>
      <w:r w:rsidR="006103A9" w:rsidRPr="005A3906">
        <w:rPr>
          <w:rFonts w:ascii="Times New Roman" w:hAnsi="Times New Roman" w:cs="Times New Roman"/>
          <w:sz w:val="24"/>
          <w:szCs w:val="24"/>
        </w:rPr>
        <w:t xml:space="preserve">separate reporting requirement </w:t>
      </w:r>
      <w:r w:rsidR="00FB7B1F">
        <w:rPr>
          <w:rFonts w:ascii="Times New Roman" w:hAnsi="Times New Roman" w:cs="Times New Roman"/>
          <w:sz w:val="24"/>
          <w:szCs w:val="24"/>
        </w:rPr>
        <w:t xml:space="preserve">is necessary in order </w:t>
      </w:r>
      <w:r w:rsidR="006103A9" w:rsidRPr="005A3906">
        <w:rPr>
          <w:rFonts w:ascii="Times New Roman" w:hAnsi="Times New Roman" w:cs="Times New Roman"/>
          <w:sz w:val="24"/>
          <w:szCs w:val="24"/>
        </w:rPr>
        <w:t xml:space="preserve">to obtain any information on unforeseen adverse effects from the exempted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5205C">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information supplied to substantiate claims of confidentiality will be used by the Agency to determine whe</w:t>
      </w:r>
      <w:r w:rsidR="008236F6" w:rsidRPr="005A3906">
        <w:rPr>
          <w:rFonts w:ascii="Times New Roman" w:hAnsi="Times New Roman" w:cs="Times New Roman"/>
          <w:sz w:val="24"/>
          <w:szCs w:val="24"/>
        </w:rPr>
        <w:t xml:space="preserve">ther CBI claims comply with the </w:t>
      </w:r>
      <w:r w:rsidRPr="005A3906">
        <w:rPr>
          <w:rFonts w:ascii="Times New Roman" w:hAnsi="Times New Roman" w:cs="Times New Roman"/>
          <w:sz w:val="24"/>
          <w:szCs w:val="24"/>
        </w:rPr>
        <w:t xml:space="preserve">confidentiality provisions of FIFRA. Early substantiation of CBI claims will enable the Agency to </w:t>
      </w:r>
      <w:r w:rsidR="0095205C" w:rsidRPr="005A3906">
        <w:rPr>
          <w:rFonts w:ascii="Times New Roman" w:hAnsi="Times New Roman" w:cs="Times New Roman"/>
          <w:sz w:val="24"/>
          <w:szCs w:val="24"/>
        </w:rPr>
        <w:t xml:space="preserve">promptly </w:t>
      </w:r>
      <w:r w:rsidRPr="005A3906">
        <w:rPr>
          <w:rFonts w:ascii="Times New Roman" w:hAnsi="Times New Roman" w:cs="Times New Roman"/>
          <w:sz w:val="24"/>
          <w:szCs w:val="24"/>
        </w:rPr>
        <w:t xml:space="preserve">release information supporting </w:t>
      </w:r>
      <w:r w:rsidR="004B0656">
        <w:rPr>
          <w:rFonts w:ascii="Times New Roman" w:hAnsi="Times New Roman" w:cs="Times New Roman"/>
          <w:sz w:val="24"/>
          <w:szCs w:val="24"/>
        </w:rPr>
        <w:t>PIP</w:t>
      </w:r>
      <w:r w:rsidRPr="005A3906">
        <w:rPr>
          <w:rFonts w:ascii="Times New Roman" w:hAnsi="Times New Roman" w:cs="Times New Roman"/>
          <w:sz w:val="24"/>
          <w:szCs w:val="24"/>
        </w:rPr>
        <w:t>s registration decisions</w:t>
      </w:r>
      <w:r w:rsidR="0095205C" w:rsidRPr="005A3906">
        <w:rPr>
          <w:rFonts w:ascii="Times New Roman" w:hAnsi="Times New Roman" w:cs="Times New Roman"/>
          <w:sz w:val="24"/>
          <w:szCs w:val="24"/>
        </w:rPr>
        <w:t>,</w:t>
      </w:r>
      <w:r w:rsidRPr="005A3906">
        <w:rPr>
          <w:rFonts w:ascii="Times New Roman" w:hAnsi="Times New Roman" w:cs="Times New Roman"/>
          <w:sz w:val="24"/>
          <w:szCs w:val="24"/>
        </w:rPr>
        <w:t xml:space="preserve"> without delaying registrations </w:t>
      </w:r>
      <w:r w:rsidR="0095205C" w:rsidRPr="005A3906">
        <w:rPr>
          <w:rFonts w:ascii="Times New Roman" w:hAnsi="Times New Roman" w:cs="Times New Roman"/>
          <w:sz w:val="24"/>
          <w:szCs w:val="24"/>
        </w:rPr>
        <w:t xml:space="preserve">in order </w:t>
      </w:r>
      <w:r w:rsidRPr="005A3906">
        <w:rPr>
          <w:rFonts w:ascii="Times New Roman" w:hAnsi="Times New Roman" w:cs="Times New Roman"/>
          <w:sz w:val="24"/>
          <w:szCs w:val="24"/>
        </w:rPr>
        <w:t xml:space="preserve">to obtain CBI substantiation once a decision has been made to register a </w:t>
      </w:r>
      <w:r w:rsidR="004B0656">
        <w:rPr>
          <w:rFonts w:ascii="Times New Roman" w:hAnsi="Times New Roman" w:cs="Times New Roman"/>
          <w:sz w:val="24"/>
          <w:szCs w:val="24"/>
        </w:rPr>
        <w:t>PIP</w:t>
      </w:r>
      <w:r w:rsidR="0095205C" w:rsidRPr="005A3906">
        <w:rPr>
          <w:rFonts w:ascii="Times New Roman" w:hAnsi="Times New Roman" w:cs="Times New Roman"/>
          <w:sz w:val="24"/>
          <w:szCs w:val="24"/>
        </w:rPr>
        <w:t>,</w:t>
      </w:r>
      <w:r w:rsidRPr="005A3906">
        <w:rPr>
          <w:rFonts w:ascii="Times New Roman" w:hAnsi="Times New Roman" w:cs="Times New Roman"/>
          <w:sz w:val="24"/>
          <w:szCs w:val="24"/>
        </w:rPr>
        <w:t xml:space="preserve"> while still protecting legitimate CBI. </w:t>
      </w:r>
    </w:p>
    <w:p w:rsidR="006103A9" w:rsidRPr="005A3906" w:rsidRDefault="006103A9" w:rsidP="00343EF0">
      <w:pPr>
        <w:pStyle w:val="PlainText"/>
        <w:rPr>
          <w:rFonts w:ascii="Times New Roman" w:hAnsi="Times New Roman" w:cs="Times New Roman"/>
          <w:sz w:val="24"/>
          <w:szCs w:val="24"/>
        </w:rPr>
      </w:pPr>
    </w:p>
    <w:p w:rsidR="006103A9" w:rsidRDefault="006103A9" w:rsidP="008236F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adverse effects reports on exempted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will be utilized by the Agency to evaluate adverse effects to determine if any additional regulatory actions are warranted. These reports will also enable the Agency to report to appropriate oversight bodies and the public its evaluation of such adverse effects and will help support any additional decision on regulatory oversight. </w:t>
      </w:r>
    </w:p>
    <w:p w:rsidR="003636C3" w:rsidRPr="005A3906" w:rsidRDefault="003636C3" w:rsidP="004B0656">
      <w:pPr>
        <w:pStyle w:val="PlainText"/>
        <w:rPr>
          <w:rFonts w:ascii="Times New Roman" w:hAnsi="Times New Roman" w:cs="Times New Roman"/>
          <w:sz w:val="24"/>
          <w:szCs w:val="24"/>
        </w:rPr>
      </w:pP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6E17AA">
      <w:pPr>
        <w:pStyle w:val="PlainText"/>
        <w:ind w:left="720" w:hanging="720"/>
        <w:rPr>
          <w:rFonts w:ascii="Times New Roman" w:hAnsi="Times New Roman" w:cs="Times New Roman"/>
          <w:b/>
          <w:sz w:val="24"/>
          <w:szCs w:val="24"/>
        </w:rPr>
      </w:pPr>
      <w:r w:rsidRPr="005A3906">
        <w:rPr>
          <w:rFonts w:ascii="Times New Roman" w:hAnsi="Times New Roman" w:cs="Times New Roman"/>
          <w:b/>
          <w:sz w:val="24"/>
          <w:szCs w:val="24"/>
        </w:rPr>
        <w:t xml:space="preserve">3. </w:t>
      </w:r>
      <w:r w:rsidR="006E17AA">
        <w:rPr>
          <w:rFonts w:ascii="Times New Roman" w:hAnsi="Times New Roman" w:cs="Times New Roman"/>
          <w:b/>
          <w:sz w:val="24"/>
          <w:szCs w:val="24"/>
        </w:rPr>
        <w:tab/>
      </w:r>
      <w:r w:rsidRPr="005A3906">
        <w:rPr>
          <w:rFonts w:ascii="Times New Roman" w:hAnsi="Times New Roman" w:cs="Times New Roman"/>
          <w:b/>
          <w:sz w:val="24"/>
          <w:szCs w:val="24"/>
        </w:rPr>
        <w:t>NON DUPLICATION, CONSULTATIONS, AND OTHER COLLECTION</w:t>
      </w:r>
      <w:r w:rsidR="00616106" w:rsidRPr="005A3906">
        <w:rPr>
          <w:rFonts w:ascii="Times New Roman" w:hAnsi="Times New Roman" w:cs="Times New Roman"/>
          <w:b/>
          <w:sz w:val="24"/>
          <w:szCs w:val="24"/>
        </w:rPr>
        <w:t xml:space="preserve"> </w:t>
      </w:r>
      <w:r w:rsidR="008236F6" w:rsidRPr="005A3906">
        <w:rPr>
          <w:rFonts w:ascii="Times New Roman" w:hAnsi="Times New Roman" w:cs="Times New Roman"/>
          <w:b/>
          <w:sz w:val="24"/>
          <w:szCs w:val="24"/>
        </w:rPr>
        <w:t>CRITERIA</w:t>
      </w:r>
    </w:p>
    <w:p w:rsidR="008236F6" w:rsidRPr="005A3906" w:rsidRDefault="008236F6" w:rsidP="008236F6">
      <w:pPr>
        <w:pStyle w:val="PlainText"/>
        <w:ind w:firstLine="720"/>
        <w:rPr>
          <w:rFonts w:ascii="Times New Roman" w:hAnsi="Times New Roman" w:cs="Times New Roman"/>
          <w:b/>
          <w:sz w:val="24"/>
          <w:szCs w:val="24"/>
        </w:rPr>
      </w:pPr>
    </w:p>
    <w:p w:rsidR="006103A9" w:rsidRPr="005A3906" w:rsidRDefault="00616106" w:rsidP="008236F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3(a</w:t>
      </w:r>
      <w:proofErr w:type="gramStart"/>
      <w:r w:rsidR="006103A9"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Non</w:t>
      </w:r>
      <w:proofErr w:type="gramEnd"/>
      <w:r w:rsidR="006103A9" w:rsidRPr="005A3906">
        <w:rPr>
          <w:rFonts w:ascii="Times New Roman" w:hAnsi="Times New Roman" w:cs="Times New Roman"/>
          <w:b/>
          <w:sz w:val="24"/>
          <w:szCs w:val="24"/>
        </w:rPr>
        <w:t xml:space="preserve"> duplication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fulfilling its mission as the Federal agency primarily responsible for the regulation of pesticides, EPA works closely with the U.S. Department of Agriculture (USDA) which has responsibilities under the Federal Plant Protection Act (FPPA), and the U.S. Food and Drug Administration (FDA) which has responsibilities under the FFDCA. EPA, USDA and FDA consult and exchange information when such consultation is helpful in resolving safety questions. The three agencies also strive for consistency between program</w:t>
      </w:r>
      <w:r w:rsidR="00EE437D">
        <w:rPr>
          <w:rFonts w:ascii="Times New Roman" w:hAnsi="Times New Roman" w:cs="Times New Roman"/>
          <w:sz w:val="24"/>
          <w:szCs w:val="24"/>
        </w:rPr>
        <w:t>s</w:t>
      </w:r>
      <w:r w:rsidRPr="005A3906">
        <w:rPr>
          <w:rFonts w:ascii="Times New Roman" w:hAnsi="Times New Roman" w:cs="Times New Roman"/>
          <w:sz w:val="24"/>
          <w:szCs w:val="24"/>
        </w:rPr>
        <w:t xml:space="preserve">, adopting consistent approaches, to the extent permitted by the respective statutory authorities. A consistent approach between agencies is easier for the regulated community to understand. It is also more likely to conserve resources, as submitters would more likely be able to use data developed for one agency to meet requirements posed by another agency for the same or similar products.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8236F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Generally, respondents are not required to submit applications or any other related data or information regarding testing to any other federal agency or to any other EPA program office. However, there may be requirements under the FPPA for plants that produce </w:t>
      </w:r>
      <w:r w:rsidR="00B3704C">
        <w:rPr>
          <w:rFonts w:ascii="Times New Roman" w:hAnsi="Times New Roman" w:cs="Times New Roman"/>
          <w:sz w:val="24"/>
          <w:szCs w:val="24"/>
        </w:rPr>
        <w:t>PIP</w:t>
      </w:r>
      <w:r w:rsidRPr="005A3906">
        <w:rPr>
          <w:rFonts w:ascii="Times New Roman" w:hAnsi="Times New Roman" w:cs="Times New Roman"/>
          <w:sz w:val="24"/>
          <w:szCs w:val="24"/>
        </w:rPr>
        <w:t xml:space="preserve">s. Under the FPPA, the USDA's </w:t>
      </w:r>
      <w:r w:rsidR="0095205C" w:rsidRPr="005A3906">
        <w:rPr>
          <w:rFonts w:ascii="Times New Roman" w:hAnsi="Times New Roman" w:cs="Times New Roman"/>
          <w:sz w:val="24"/>
          <w:szCs w:val="24"/>
        </w:rPr>
        <w:t xml:space="preserve">Animal </w:t>
      </w:r>
      <w:r w:rsidRPr="005A3906">
        <w:rPr>
          <w:rFonts w:ascii="Times New Roman" w:hAnsi="Times New Roman" w:cs="Times New Roman"/>
          <w:sz w:val="24"/>
          <w:szCs w:val="24"/>
        </w:rPr>
        <w:t xml:space="preserve">and Plant Health Inspection Service (APHIS) regulates field testing </w:t>
      </w:r>
      <w:r w:rsidRPr="005A3906">
        <w:rPr>
          <w:rFonts w:ascii="Times New Roman" w:hAnsi="Times New Roman" w:cs="Times New Roman"/>
          <w:sz w:val="24"/>
          <w:szCs w:val="24"/>
        </w:rPr>
        <w:lastRenderedPageBreak/>
        <w:t xml:space="preserve">of genetically altered plants, while EPA will have regulatory oversight of the pesticide substances produced by those plants. In instances where review under the FPPA may be triggered, the respondent will need to contact APHIS for a determination of whether the plant containing a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 is a plant pest that will need a permit. </w:t>
      </w:r>
      <w:r w:rsidR="004B0656">
        <w:rPr>
          <w:rFonts w:ascii="Times New Roman" w:hAnsi="Times New Roman" w:cs="Times New Roman"/>
          <w:sz w:val="24"/>
          <w:szCs w:val="24"/>
        </w:rPr>
        <w:t xml:space="preserve"> </w:t>
      </w:r>
      <w:r w:rsidR="0051321B">
        <w:rPr>
          <w:rFonts w:ascii="Times New Roman" w:hAnsi="Times New Roman" w:cs="Times New Roman"/>
          <w:sz w:val="24"/>
          <w:szCs w:val="24"/>
        </w:rPr>
        <w:t xml:space="preserve">In addition, registrants may be required to obtain </w:t>
      </w:r>
      <w:proofErr w:type="gramStart"/>
      <w:r w:rsidR="0051321B">
        <w:rPr>
          <w:rFonts w:ascii="Times New Roman" w:hAnsi="Times New Roman" w:cs="Times New Roman"/>
          <w:sz w:val="24"/>
          <w:szCs w:val="24"/>
        </w:rPr>
        <w:t>an</w:t>
      </w:r>
      <w:proofErr w:type="gramEnd"/>
      <w:r w:rsidR="0051321B">
        <w:rPr>
          <w:rFonts w:ascii="Times New Roman" w:hAnsi="Times New Roman" w:cs="Times New Roman"/>
          <w:sz w:val="24"/>
          <w:szCs w:val="24"/>
        </w:rPr>
        <w:t xml:space="preserve"> EUP for PIPs-related field trials.  In such cases, registrants would be expected to comply with the applicable EUP requirements.  As described in section 1(b) of this supporting statement, the paperwork activities associated with EUPs are addressed in a separate ICR.  </w:t>
      </w:r>
      <w:r w:rsidRPr="005A3906">
        <w:rPr>
          <w:rFonts w:ascii="Times New Roman" w:hAnsi="Times New Roman" w:cs="Times New Roman"/>
          <w:sz w:val="24"/>
          <w:szCs w:val="24"/>
        </w:rPr>
        <w:t xml:space="preserve">In any case, there is no known duplication related to the requirements covered in this ICR, i.e., the up-front CBI substantiation or the submission of adverse effects reports for exempted </w:t>
      </w:r>
      <w:r w:rsidR="004B0656">
        <w:rPr>
          <w:rFonts w:ascii="Times New Roman" w:hAnsi="Times New Roman" w:cs="Times New Roman"/>
          <w:sz w:val="24"/>
          <w:szCs w:val="24"/>
        </w:rPr>
        <w:t>PIP</w:t>
      </w:r>
      <w:r w:rsidRPr="005A3906">
        <w:rPr>
          <w:rFonts w:ascii="Times New Roman" w:hAnsi="Times New Roman" w:cs="Times New Roman"/>
          <w:sz w:val="24"/>
          <w:szCs w:val="24"/>
        </w:rPr>
        <w:t>s. Each respondent must submit information unique to his/her product application, or allegation received, and will do so only once on occasion.</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8236F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3(b</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Public</w:t>
      </w:r>
      <w:proofErr w:type="gramEnd"/>
      <w:r w:rsidRPr="005A3906">
        <w:rPr>
          <w:rFonts w:ascii="Times New Roman" w:hAnsi="Times New Roman" w:cs="Times New Roman"/>
          <w:b/>
          <w:sz w:val="24"/>
          <w:szCs w:val="24"/>
        </w:rPr>
        <w:t xml:space="preserve"> Notice Required Prior to ICR Submission to OMB </w:t>
      </w:r>
    </w:p>
    <w:p w:rsidR="006103A9" w:rsidRDefault="006103A9" w:rsidP="00343EF0">
      <w:pPr>
        <w:pStyle w:val="PlainText"/>
        <w:rPr>
          <w:rFonts w:ascii="Times New Roman" w:hAnsi="Times New Roman" w:cs="Times New Roman"/>
          <w:sz w:val="24"/>
          <w:szCs w:val="24"/>
        </w:rPr>
      </w:pPr>
    </w:p>
    <w:p w:rsidR="00394298" w:rsidRDefault="00394298" w:rsidP="00394298">
      <w:pPr>
        <w:numPr>
          <w:ilvl w:val="12"/>
          <w:numId w:val="0"/>
        </w:numPr>
      </w:pPr>
      <w:r>
        <w:tab/>
      </w:r>
      <w:r w:rsidR="00325710" w:rsidRPr="006A5CB9">
        <w:t xml:space="preserve">EPA published a notice in the Federal Register announcing a 60-day public notice and comment period on the draft ICR </w:t>
      </w:r>
      <w:r w:rsidR="00D45328">
        <w:t xml:space="preserve">on September 25, 2013 </w:t>
      </w:r>
      <w:r w:rsidR="00325710" w:rsidRPr="006A5CB9">
        <w:t>(</w:t>
      </w:r>
      <w:r w:rsidR="00325710">
        <w:t>78 FR 59014</w:t>
      </w:r>
      <w:r w:rsidR="00325710" w:rsidRPr="006A5CB9">
        <w:t xml:space="preserve">). EPA received no public comment in response to this notice, which is available in the docket for this ICR and can be accessed at </w:t>
      </w:r>
      <w:hyperlink r:id="rId7" w:history="1">
        <w:r w:rsidR="00325710" w:rsidRPr="006A5CB9">
          <w:rPr>
            <w:rStyle w:val="Hyperlink"/>
          </w:rPr>
          <w:t>http://www.regulations.gov</w:t>
        </w:r>
      </w:hyperlink>
      <w:r w:rsidR="00325710" w:rsidRPr="006A5CB9">
        <w:t xml:space="preserve"> using the docket</w:t>
      </w:r>
      <w:r w:rsidR="00325710">
        <w:t xml:space="preserve"> identifier EPA-HQ-OPP-2013-0494.</w:t>
      </w:r>
    </w:p>
    <w:p w:rsidR="0095205C" w:rsidRPr="005A3906" w:rsidRDefault="0095205C" w:rsidP="00343EF0">
      <w:pPr>
        <w:pStyle w:val="PlainText"/>
        <w:rPr>
          <w:rFonts w:ascii="Times New Roman" w:hAnsi="Times New Roman" w:cs="Times New Roman"/>
          <w:sz w:val="24"/>
          <w:szCs w:val="24"/>
        </w:rPr>
      </w:pPr>
    </w:p>
    <w:p w:rsidR="006103A9" w:rsidRPr="005A3906" w:rsidRDefault="006103A9" w:rsidP="00963E8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3(c</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Consultations</w:t>
      </w:r>
      <w:proofErr w:type="gramEnd"/>
      <w:r w:rsidRPr="005A3906">
        <w:rPr>
          <w:rFonts w:ascii="Times New Roman" w:hAnsi="Times New Roman" w:cs="Times New Roman"/>
          <w:b/>
          <w:sz w:val="24"/>
          <w:szCs w:val="24"/>
        </w:rPr>
        <w:t xml:space="preserve"> </w:t>
      </w:r>
    </w:p>
    <w:p w:rsidR="006103A9" w:rsidRPr="005A3906" w:rsidRDefault="006103A9" w:rsidP="00343EF0">
      <w:pPr>
        <w:pStyle w:val="PlainText"/>
        <w:rPr>
          <w:rFonts w:ascii="Times New Roman" w:hAnsi="Times New Roman" w:cs="Times New Roman"/>
          <w:sz w:val="24"/>
          <w:szCs w:val="24"/>
        </w:rPr>
      </w:pPr>
    </w:p>
    <w:p w:rsidR="00625F9A" w:rsidRDefault="00A32471" w:rsidP="00325710">
      <w:pPr>
        <w:numPr>
          <w:ilvl w:val="12"/>
          <w:numId w:val="0"/>
        </w:numPr>
      </w:pPr>
      <w:r>
        <w:tab/>
      </w:r>
      <w:r w:rsidRPr="008C0C40">
        <w:t>In addition to the public notice that EPA publish</w:t>
      </w:r>
      <w:r w:rsidR="00325710">
        <w:t>ed</w:t>
      </w:r>
      <w:r w:rsidRPr="008C0C40">
        <w:t xml:space="preserve"> in the Federal Register concerning the renewal of this ICR, </w:t>
      </w:r>
      <w:r w:rsidR="00325710" w:rsidRPr="008C0C40">
        <w:t>as required under 5 CFR 1320.8(d)(1</w:t>
      </w:r>
      <w:r w:rsidR="00325710">
        <w:t xml:space="preserve">) </w:t>
      </w:r>
      <w:r w:rsidRPr="008C0C40">
        <w:t>the Agency consul</w:t>
      </w:r>
      <w:r w:rsidR="00325710">
        <w:t xml:space="preserve">ted </w:t>
      </w:r>
      <w:r w:rsidRPr="008C0C40">
        <w:t>with stakeholders who actively interact with the Agency through the use of this collection instrument</w:t>
      </w:r>
      <w:r w:rsidR="00C53EDB">
        <w:t>.</w:t>
      </w:r>
      <w:r w:rsidR="00B54D56">
        <w:t xml:space="preserve"> The consultation respondents who replied to EPA’s consultation request generally agreed that the burden estimate in the ICR were reasonable, and did not have specific suggestions for improving or clarifying the current collection. Therefore the Agency made no changes to the draft ICR based on the consultations. </w:t>
      </w:r>
      <w:r w:rsidR="00012742">
        <w:t>A record of the consultations</w:t>
      </w:r>
      <w:r w:rsidR="00012742" w:rsidRPr="00012742">
        <w:t xml:space="preserve"> </w:t>
      </w:r>
      <w:r w:rsidR="00051E6C">
        <w:t xml:space="preserve">(Attachment D) </w:t>
      </w:r>
      <w:r w:rsidR="00C53EDB">
        <w:t>is</w:t>
      </w:r>
      <w:r>
        <w:t xml:space="preserve"> </w:t>
      </w:r>
      <w:r w:rsidR="00012742" w:rsidRPr="00012742">
        <w:t xml:space="preserve">available in the public docket online at </w:t>
      </w:r>
      <w:hyperlink r:id="rId8" w:history="1">
        <w:r w:rsidR="00DD171F" w:rsidRPr="00472336">
          <w:rPr>
            <w:rStyle w:val="Hyperlink"/>
          </w:rPr>
          <w:t>http://www.regulations.gov</w:t>
        </w:r>
      </w:hyperlink>
      <w:r w:rsidR="00012742" w:rsidRPr="00012742">
        <w:t>, referencing Docket ID No. EPA–HQ–OPP–201</w:t>
      </w:r>
      <w:r w:rsidR="00541B3B">
        <w:t>3</w:t>
      </w:r>
      <w:r w:rsidR="00012742" w:rsidRPr="00012742">
        <w:t>-0</w:t>
      </w:r>
      <w:r w:rsidR="00541B3B">
        <w:t>494</w:t>
      </w:r>
      <w:r w:rsidR="00012742" w:rsidRPr="00012742">
        <w:t>.</w:t>
      </w:r>
    </w:p>
    <w:p w:rsidR="0097623C" w:rsidRPr="005A3906" w:rsidRDefault="0097623C" w:rsidP="004D1882">
      <w:pPr>
        <w:pStyle w:val="PlainText"/>
        <w:rPr>
          <w:rFonts w:ascii="Times New Roman" w:hAnsi="Times New Roman" w:cs="Times New Roman"/>
          <w:sz w:val="24"/>
          <w:szCs w:val="24"/>
        </w:rPr>
      </w:pPr>
    </w:p>
    <w:p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3(d</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Effects</w:t>
      </w:r>
      <w:proofErr w:type="gramEnd"/>
      <w:r w:rsidRPr="005A3906">
        <w:rPr>
          <w:rFonts w:ascii="Times New Roman" w:hAnsi="Times New Roman" w:cs="Times New Roman"/>
          <w:b/>
          <w:sz w:val="24"/>
          <w:szCs w:val="24"/>
        </w:rPr>
        <w:t xml:space="preserve"> of Less Frequent Collection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28792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The information is submitted either in conjunction with the application or when an adverse effect occurs for an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This activity is conducted only once per "event," and therefore, there are no </w:t>
      </w:r>
      <w:r w:rsidR="00233456">
        <w:rPr>
          <w:rFonts w:ascii="Times New Roman" w:hAnsi="Times New Roman" w:cs="Times New Roman"/>
          <w:sz w:val="24"/>
          <w:szCs w:val="24"/>
        </w:rPr>
        <w:t xml:space="preserve">available </w:t>
      </w:r>
      <w:r w:rsidRPr="005A3906">
        <w:rPr>
          <w:rFonts w:ascii="Times New Roman" w:hAnsi="Times New Roman" w:cs="Times New Roman"/>
          <w:sz w:val="24"/>
          <w:szCs w:val="24"/>
        </w:rPr>
        <w:t xml:space="preserve">means by which the Agency can reduce the frequency.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3(e</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General</w:t>
      </w:r>
      <w:proofErr w:type="gramEnd"/>
      <w:r w:rsidRPr="005A3906">
        <w:rPr>
          <w:rFonts w:ascii="Times New Roman" w:hAnsi="Times New Roman" w:cs="Times New Roman"/>
          <w:b/>
          <w:sz w:val="24"/>
          <w:szCs w:val="24"/>
        </w:rPr>
        <w:t xml:space="preserve"> Guidelines </w:t>
      </w:r>
    </w:p>
    <w:p w:rsidR="006103A9" w:rsidRPr="005A3906" w:rsidRDefault="006103A9" w:rsidP="00343EF0">
      <w:pPr>
        <w:pStyle w:val="PlainText"/>
        <w:rPr>
          <w:rFonts w:ascii="Times New Roman" w:hAnsi="Times New Roman" w:cs="Times New Roman"/>
          <w:sz w:val="24"/>
          <w:szCs w:val="24"/>
        </w:rPr>
      </w:pPr>
    </w:p>
    <w:p w:rsidR="006103A9" w:rsidRDefault="006103A9" w:rsidP="0028792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collection activities covered by this ICR comply with the </w:t>
      </w:r>
      <w:r w:rsidR="006746E5">
        <w:rPr>
          <w:rFonts w:ascii="Times New Roman" w:hAnsi="Times New Roman" w:cs="Times New Roman"/>
          <w:sz w:val="24"/>
          <w:szCs w:val="24"/>
        </w:rPr>
        <w:t>guidelines p</w:t>
      </w:r>
      <w:r w:rsidR="006746E5" w:rsidRPr="006746E5">
        <w:rPr>
          <w:rFonts w:ascii="Times New Roman" w:hAnsi="Times New Roman" w:cs="Times New Roman"/>
          <w:sz w:val="24"/>
          <w:szCs w:val="24"/>
        </w:rPr>
        <w:t>rovided under the PRA and the implementing regulations issued by OMB.</w:t>
      </w:r>
    </w:p>
    <w:p w:rsidR="002171A5" w:rsidRDefault="002171A5" w:rsidP="00287926">
      <w:pPr>
        <w:pStyle w:val="PlainText"/>
        <w:ind w:firstLine="720"/>
        <w:rPr>
          <w:rFonts w:ascii="Times New Roman" w:hAnsi="Times New Roman" w:cs="Times New Roman"/>
          <w:sz w:val="24"/>
          <w:szCs w:val="24"/>
        </w:rPr>
      </w:pPr>
    </w:p>
    <w:p w:rsidR="002171A5" w:rsidRPr="005A3906" w:rsidRDefault="002171A5" w:rsidP="00014DD4">
      <w:pPr>
        <w:ind w:firstLine="720"/>
      </w:pPr>
      <w:r>
        <w:t xml:space="preserve">In accordance with 5 CFR 1320.5(a)(iii)(E), federal agencies are required to indicate whether the proposed collection of information involves the use of automated, electronic, mechanical, or other technological collection techniques or other forms of information </w:t>
      </w:r>
      <w:r>
        <w:lastRenderedPageBreak/>
        <w:t>technology, e.g., permitting electronic submission of responses, and an explanation of the decision.</w:t>
      </w:r>
      <w:r w:rsidRPr="002171A5">
        <w:rPr>
          <w:color w:val="000000"/>
        </w:rPr>
        <w:t xml:space="preserve"> </w:t>
      </w:r>
      <w:r w:rsidRPr="0037659F">
        <w:rPr>
          <w:color w:val="000000"/>
        </w:rPr>
        <w:t xml:space="preserve">At this time of this renewal, </w:t>
      </w:r>
      <w:r w:rsidR="00B54D56">
        <w:rPr>
          <w:color w:val="000000"/>
        </w:rPr>
        <w:t>EPA’s Office of Pesticide Programs (</w:t>
      </w:r>
      <w:r w:rsidRPr="0037659F">
        <w:rPr>
          <w:color w:val="000000"/>
        </w:rPr>
        <w:t>OPP</w:t>
      </w:r>
      <w:r w:rsidR="00B54D56">
        <w:rPr>
          <w:color w:val="000000"/>
        </w:rPr>
        <w:t>)</w:t>
      </w:r>
      <w:r w:rsidRPr="0037659F">
        <w:rPr>
          <w:color w:val="000000"/>
        </w:rPr>
        <w:t xml:space="preserve"> is not offering a </w:t>
      </w:r>
      <w:r w:rsidRPr="0037659F">
        <w:rPr>
          <w:color w:val="000000"/>
          <w:u w:val="single"/>
        </w:rPr>
        <w:t>fully</w:t>
      </w:r>
      <w:r w:rsidRPr="0037659F">
        <w:rPr>
          <w:color w:val="000000"/>
        </w:rPr>
        <w:t xml:space="preserve"> electronic submission option. </w:t>
      </w:r>
      <w:r w:rsidRPr="006F07CF">
        <w:rPr>
          <w:color w:val="000000"/>
        </w:rPr>
        <w:t>The Agency is actively working to extend full electronic submission options in keeping with the recent Executive Order on "Reducing Reporting and Paperwork Burdens" and other related policy and guidance.  In the future, the Agency hopes to be able to offer a fully electronic</w:t>
      </w:r>
      <w:r>
        <w:rPr>
          <w:color w:val="000000"/>
        </w:rPr>
        <w:t xml:space="preserve"> submission</w:t>
      </w:r>
      <w:r w:rsidRPr="0037659F">
        <w:rPr>
          <w:color w:val="000000"/>
        </w:rPr>
        <w:t xml:space="preserve"> </w:t>
      </w:r>
      <w:r>
        <w:rPr>
          <w:color w:val="000000"/>
        </w:rPr>
        <w:t>option. The Agency</w:t>
      </w:r>
      <w:r w:rsidRPr="0037659F">
        <w:rPr>
          <w:color w:val="000000"/>
        </w:rPr>
        <w:t xml:space="preserve"> is, however, beginning the process of defining requirements for electronic submission of studies as well as other elements of applications and petitions.  This includes efforts to develop information technology approaches to adequately protect FIFRA Confidential Business Information submitted over the Internet.</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3(f</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Confidentiality</w:t>
      </w:r>
      <w:proofErr w:type="gramEnd"/>
      <w:r w:rsidRPr="005A3906">
        <w:rPr>
          <w:rFonts w:ascii="Times New Roman" w:hAnsi="Times New Roman" w:cs="Times New Roman"/>
          <w:b/>
          <w:sz w:val="24"/>
          <w:szCs w:val="24"/>
        </w:rPr>
        <w:t xml:space="preserve">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E235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EPA urges submitters to minimize the amount of information that is claimed as CBI, any data and/or information submitted to the Agency may be claimed as trade secret, or commercial or financial information and will be protected from disclosure by the EPA under FIFRA section 10 and the associated regulations as contained in 40 CFR Part 2, Subpart B. When information that is claimed as trade secret or CBI is provided to the Agency, such information is subject to the protections and procedures set forth in FIFRA Section 10. Nothing in this rule affects those protections. </w:t>
      </w:r>
    </w:p>
    <w:p w:rsidR="006103A9" w:rsidRPr="005A3906" w:rsidRDefault="006103A9" w:rsidP="00343EF0">
      <w:pPr>
        <w:pStyle w:val="PlainText"/>
        <w:rPr>
          <w:rFonts w:ascii="Times New Roman" w:hAnsi="Times New Roman" w:cs="Times New Roman"/>
          <w:sz w:val="24"/>
          <w:szCs w:val="24"/>
        </w:rPr>
      </w:pPr>
    </w:p>
    <w:p w:rsidR="006103A9"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Even if a registrant fails to include the required substantiation for any CBI claims made in the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application when that application is submitted to EPA, the Agency intends to still handle such claims in accordance with the FIFRA Confidential Business Information Security Manual. This manual contains instructions relative to all contact with confidential documents, including responsibility of EPA employees, physical security measures, CBI materials within EPA, CBI typing procedures (documents typed internally or by contract), and interdivisional routing procedures. The manual dictates all CBI must be marked or flagged as such, that it must be kept in secure, i.e., double-locked areas, and that all CBI to be destroyed must be cleared by a document control officer and placed in EPA's paper shredder. </w:t>
      </w:r>
    </w:p>
    <w:p w:rsidR="003508F5" w:rsidRPr="005A3906" w:rsidRDefault="003508F5" w:rsidP="007D4F50">
      <w:pPr>
        <w:pStyle w:val="PlainText"/>
        <w:ind w:firstLine="720"/>
        <w:rPr>
          <w:rFonts w:ascii="Times New Roman" w:hAnsi="Times New Roman" w:cs="Times New Roman"/>
          <w:sz w:val="24"/>
          <w:szCs w:val="24"/>
        </w:rPr>
      </w:pPr>
    </w:p>
    <w:p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3(g</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Sensitive</w:t>
      </w:r>
      <w:proofErr w:type="gramEnd"/>
      <w:r w:rsidRPr="005A3906">
        <w:rPr>
          <w:rFonts w:ascii="Times New Roman" w:hAnsi="Times New Roman" w:cs="Times New Roman"/>
          <w:b/>
          <w:sz w:val="24"/>
          <w:szCs w:val="24"/>
        </w:rPr>
        <w:t xml:space="preserve"> Questions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7A607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No information of a sensitive or private nature is requested in conjunction with this collection activity. Further, this information collection activity complies with the provisions of the Privacy Act of 1974 and OMB circular A-108. </w:t>
      </w:r>
    </w:p>
    <w:p w:rsidR="006103A9" w:rsidRPr="005A3906" w:rsidRDefault="006103A9" w:rsidP="00343EF0">
      <w:pPr>
        <w:pStyle w:val="PlainText"/>
        <w:rPr>
          <w:rFonts w:ascii="Times New Roman" w:hAnsi="Times New Roman" w:cs="Times New Roman"/>
          <w:sz w:val="24"/>
          <w:szCs w:val="24"/>
        </w:rPr>
      </w:pPr>
    </w:p>
    <w:p w:rsidR="006E17AA" w:rsidRDefault="006E17AA" w:rsidP="00343EF0">
      <w:pPr>
        <w:pStyle w:val="PlainText"/>
        <w:rPr>
          <w:rFonts w:ascii="Times New Roman" w:hAnsi="Times New Roman" w:cs="Times New Roman"/>
          <w:b/>
          <w:sz w:val="24"/>
          <w:szCs w:val="24"/>
        </w:rPr>
      </w:pPr>
    </w:p>
    <w:p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4</w:t>
      </w:r>
      <w:r w:rsidR="006E17AA" w:rsidRPr="005A3906">
        <w:rPr>
          <w:rFonts w:ascii="Times New Roman" w:hAnsi="Times New Roman" w:cs="Times New Roman"/>
          <w:b/>
          <w:sz w:val="24"/>
          <w:szCs w:val="24"/>
        </w:rPr>
        <w:t>.</w:t>
      </w:r>
      <w:r w:rsidR="006E17AA">
        <w:rPr>
          <w:rFonts w:ascii="Times New Roman" w:hAnsi="Times New Roman" w:cs="Times New Roman"/>
          <w:b/>
          <w:sz w:val="24"/>
          <w:szCs w:val="24"/>
        </w:rPr>
        <w:tab/>
      </w:r>
      <w:r w:rsidRPr="005A3906">
        <w:rPr>
          <w:rFonts w:ascii="Times New Roman" w:hAnsi="Times New Roman" w:cs="Times New Roman"/>
          <w:b/>
          <w:sz w:val="24"/>
          <w:szCs w:val="24"/>
        </w:rPr>
        <w:t xml:space="preserve">THE RESPONDENTS AND THE INFORMATION REQUESTED </w:t>
      </w:r>
    </w:p>
    <w:p w:rsidR="007D4F50" w:rsidRPr="005A3906" w:rsidRDefault="007D4F50" w:rsidP="00343EF0">
      <w:pPr>
        <w:pStyle w:val="PlainText"/>
        <w:rPr>
          <w:rFonts w:ascii="Times New Roman" w:hAnsi="Times New Roman" w:cs="Times New Roman"/>
          <w:b/>
          <w:sz w:val="24"/>
          <w:szCs w:val="24"/>
        </w:rPr>
      </w:pPr>
    </w:p>
    <w:p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4(a</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Respondents</w:t>
      </w:r>
      <w:proofErr w:type="gramEnd"/>
      <w:r w:rsidRPr="005A3906">
        <w:rPr>
          <w:rFonts w:ascii="Times New Roman" w:hAnsi="Times New Roman" w:cs="Times New Roman"/>
          <w:b/>
          <w:sz w:val="24"/>
          <w:szCs w:val="24"/>
        </w:rPr>
        <w:t xml:space="preserve">/NAICS Codes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respondents for the information collection activities contained in this ICR include producers and importers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These entities may be classified under the following North American Industrial Classification System (NAICS) codes: </w:t>
      </w:r>
    </w:p>
    <w:p w:rsidR="006E65D2" w:rsidRPr="005A3906" w:rsidRDefault="006E65D2" w:rsidP="007D4F50">
      <w:pPr>
        <w:pStyle w:val="PlainText"/>
        <w:ind w:firstLine="720"/>
        <w:rPr>
          <w:rFonts w:ascii="Times New Roman" w:hAnsi="Times New Roman" w:cs="Times New Roman"/>
          <w:sz w:val="24"/>
          <w:szCs w:val="24"/>
        </w:rPr>
      </w:pPr>
    </w:p>
    <w:tbl>
      <w:tblPr>
        <w:tblW w:w="0" w:type="auto"/>
        <w:jc w:val="center"/>
        <w:tblLook w:val="01E0" w:firstRow="1" w:lastRow="1" w:firstColumn="1" w:lastColumn="1" w:noHBand="0" w:noVBand="0"/>
      </w:tblPr>
      <w:tblGrid>
        <w:gridCol w:w="1008"/>
        <w:gridCol w:w="8568"/>
      </w:tblGrid>
      <w:tr w:rsidR="00616106" w:rsidRPr="005A3906" w:rsidTr="001A2A05">
        <w:trPr>
          <w:jc w:val="center"/>
        </w:trPr>
        <w:tc>
          <w:tcPr>
            <w:tcW w:w="1008" w:type="dxa"/>
          </w:tcPr>
          <w:p w:rsidR="00616106" w:rsidRPr="001A2A05" w:rsidRDefault="00616106"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32532</w:t>
            </w:r>
          </w:p>
        </w:tc>
        <w:tc>
          <w:tcPr>
            <w:tcW w:w="856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Pesticides and Other Agricultural Chemical Manufacturing</w:t>
            </w:r>
          </w:p>
          <w:p w:rsidR="006E65D2" w:rsidRPr="001A2A05" w:rsidRDefault="006E65D2" w:rsidP="00343EF0">
            <w:pPr>
              <w:pStyle w:val="PlainText"/>
              <w:rPr>
                <w:rFonts w:ascii="Times New Roman" w:hAnsi="Times New Roman" w:cs="Times New Roman"/>
                <w:sz w:val="8"/>
                <w:szCs w:val="8"/>
              </w:rPr>
            </w:pPr>
          </w:p>
        </w:tc>
      </w:tr>
      <w:tr w:rsidR="00616106" w:rsidRPr="005A3906" w:rsidTr="001A2A05">
        <w:trPr>
          <w:jc w:val="center"/>
        </w:trPr>
        <w:tc>
          <w:tcPr>
            <w:tcW w:w="100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lastRenderedPageBreak/>
              <w:t>54171</w:t>
            </w:r>
          </w:p>
        </w:tc>
        <w:tc>
          <w:tcPr>
            <w:tcW w:w="8568" w:type="dxa"/>
          </w:tcPr>
          <w:p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Research and Development in the Physical, Engineering, and Life </w:t>
            </w:r>
          </w:p>
          <w:p w:rsidR="00616106"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Sciences</w:t>
            </w:r>
          </w:p>
          <w:p w:rsidR="008879DE" w:rsidRPr="001A2A05" w:rsidRDefault="008879DE" w:rsidP="006E65D2">
            <w:pPr>
              <w:pStyle w:val="PlainText"/>
              <w:rPr>
                <w:rFonts w:ascii="Times New Roman" w:hAnsi="Times New Roman" w:cs="Times New Roman"/>
                <w:sz w:val="8"/>
                <w:szCs w:val="8"/>
              </w:rPr>
            </w:pPr>
          </w:p>
        </w:tc>
      </w:tr>
      <w:tr w:rsidR="00616106" w:rsidRPr="005A3906" w:rsidTr="001A2A05">
        <w:trPr>
          <w:jc w:val="center"/>
        </w:trPr>
        <w:tc>
          <w:tcPr>
            <w:tcW w:w="100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325414</w:t>
            </w:r>
          </w:p>
        </w:tc>
        <w:tc>
          <w:tcPr>
            <w:tcW w:w="856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Biological Products (except Diagnostic) Manufacturing</w:t>
            </w:r>
          </w:p>
          <w:p w:rsidR="006E65D2" w:rsidRPr="001A2A05" w:rsidRDefault="006E65D2" w:rsidP="00343EF0">
            <w:pPr>
              <w:pStyle w:val="PlainText"/>
              <w:rPr>
                <w:rFonts w:ascii="Times New Roman" w:hAnsi="Times New Roman" w:cs="Times New Roman"/>
                <w:sz w:val="8"/>
                <w:szCs w:val="8"/>
              </w:rPr>
            </w:pPr>
          </w:p>
        </w:tc>
      </w:tr>
      <w:tr w:rsidR="00616106" w:rsidRPr="005A3906" w:rsidTr="001A2A05">
        <w:trPr>
          <w:jc w:val="center"/>
        </w:trPr>
        <w:tc>
          <w:tcPr>
            <w:tcW w:w="100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611310</w:t>
            </w:r>
          </w:p>
        </w:tc>
        <w:tc>
          <w:tcPr>
            <w:tcW w:w="8568" w:type="dxa"/>
          </w:tcPr>
          <w:p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Colleges, Universities, and Professional Schools</w:t>
            </w:r>
          </w:p>
          <w:p w:rsidR="00616106" w:rsidRPr="001A2A05" w:rsidRDefault="00616106" w:rsidP="00343EF0">
            <w:pPr>
              <w:pStyle w:val="PlainText"/>
              <w:rPr>
                <w:rFonts w:ascii="Times New Roman" w:hAnsi="Times New Roman" w:cs="Times New Roman"/>
                <w:sz w:val="8"/>
                <w:szCs w:val="8"/>
              </w:rPr>
            </w:pPr>
          </w:p>
        </w:tc>
      </w:tr>
      <w:tr w:rsidR="00616106" w:rsidRPr="005A3906" w:rsidTr="001A2A05">
        <w:trPr>
          <w:jc w:val="center"/>
        </w:trPr>
        <w:tc>
          <w:tcPr>
            <w:tcW w:w="100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422910</w:t>
            </w:r>
          </w:p>
        </w:tc>
        <w:tc>
          <w:tcPr>
            <w:tcW w:w="8568" w:type="dxa"/>
          </w:tcPr>
          <w:p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Farm Supplies Wholesalers </w:t>
            </w:r>
          </w:p>
          <w:p w:rsidR="00616106" w:rsidRPr="001A2A05" w:rsidRDefault="00616106" w:rsidP="00343EF0">
            <w:pPr>
              <w:pStyle w:val="PlainText"/>
              <w:rPr>
                <w:rFonts w:ascii="Times New Roman" w:hAnsi="Times New Roman" w:cs="Times New Roman"/>
                <w:sz w:val="8"/>
                <w:szCs w:val="8"/>
              </w:rPr>
            </w:pPr>
          </w:p>
        </w:tc>
      </w:tr>
      <w:tr w:rsidR="00616106" w:rsidRPr="005A3906" w:rsidTr="001A2A05">
        <w:trPr>
          <w:jc w:val="center"/>
        </w:trPr>
        <w:tc>
          <w:tcPr>
            <w:tcW w:w="100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422930</w:t>
            </w:r>
          </w:p>
        </w:tc>
        <w:tc>
          <w:tcPr>
            <w:tcW w:w="8568" w:type="dxa"/>
          </w:tcPr>
          <w:p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Flower, Nursery Stock, and Florists’ Supplies (Wholesalers) </w:t>
            </w:r>
          </w:p>
        </w:tc>
      </w:tr>
    </w:tbl>
    <w:p w:rsidR="006103A9" w:rsidRPr="005A3906" w:rsidRDefault="006103A9" w:rsidP="00343EF0">
      <w:pPr>
        <w:pStyle w:val="PlainText"/>
        <w:rPr>
          <w:rFonts w:ascii="Times New Roman" w:hAnsi="Times New Roman" w:cs="Times New Roman"/>
          <w:sz w:val="24"/>
          <w:szCs w:val="24"/>
        </w:rPr>
      </w:pPr>
    </w:p>
    <w:p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4(b</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Information</w:t>
      </w:r>
      <w:proofErr w:type="gramEnd"/>
      <w:r w:rsidRPr="005A3906">
        <w:rPr>
          <w:rFonts w:ascii="Times New Roman" w:hAnsi="Times New Roman" w:cs="Times New Roman"/>
          <w:b/>
          <w:sz w:val="24"/>
          <w:szCs w:val="24"/>
        </w:rPr>
        <w:t xml:space="preserve"> Requested </w:t>
      </w:r>
    </w:p>
    <w:p w:rsidR="006103A9" w:rsidRPr="005A3906" w:rsidRDefault="006103A9" w:rsidP="00343EF0">
      <w:pPr>
        <w:pStyle w:val="PlainText"/>
        <w:rPr>
          <w:rFonts w:ascii="Times New Roman" w:hAnsi="Times New Roman" w:cs="Times New Roman"/>
          <w:sz w:val="24"/>
          <w:szCs w:val="24"/>
        </w:rPr>
      </w:pPr>
    </w:p>
    <w:p w:rsidR="006103A9" w:rsidRPr="005A3906" w:rsidRDefault="00901943" w:rsidP="006E17AA">
      <w:pPr>
        <w:pStyle w:val="PlainText"/>
        <w:ind w:left="720" w:firstLine="360"/>
        <w:rPr>
          <w:rFonts w:ascii="Times New Roman" w:hAnsi="Times New Roman" w:cs="Times New Roman"/>
          <w:b/>
          <w:sz w:val="24"/>
          <w:szCs w:val="24"/>
        </w:rPr>
      </w:pPr>
      <w:r>
        <w:rPr>
          <w:rFonts w:ascii="Times New Roman" w:hAnsi="Times New Roman" w:cs="Times New Roman"/>
          <w:b/>
          <w:sz w:val="24"/>
          <w:szCs w:val="24"/>
        </w:rPr>
        <w:t>4(b</w:t>
      </w:r>
      <w:proofErr w:type="gramStart"/>
      <w:r>
        <w:rPr>
          <w:rFonts w:ascii="Times New Roman" w:hAnsi="Times New Roman" w:cs="Times New Roman"/>
          <w:b/>
          <w:sz w:val="24"/>
          <w:szCs w:val="24"/>
        </w:rPr>
        <w:t>)</w:t>
      </w:r>
      <w:r w:rsidR="00083713">
        <w:rPr>
          <w:rFonts w:ascii="Times New Roman" w:hAnsi="Times New Roman" w:cs="Times New Roman"/>
          <w:b/>
          <w:sz w:val="24"/>
          <w:szCs w:val="24"/>
        </w:rPr>
        <w:t>(</w:t>
      </w:r>
      <w:proofErr w:type="spellStart"/>
      <w:proofErr w:type="gramEnd"/>
      <w:r w:rsidR="00083713">
        <w:rPr>
          <w:rFonts w:ascii="Times New Roman" w:hAnsi="Times New Roman" w:cs="Times New Roman"/>
          <w:b/>
          <w:sz w:val="24"/>
          <w:szCs w:val="24"/>
        </w:rPr>
        <w:t>i</w:t>
      </w:r>
      <w:proofErr w:type="spellEnd"/>
      <w:r w:rsidR="00083713">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 xml:space="preserve">Data items, including record keeping requirements </w:t>
      </w:r>
    </w:p>
    <w:p w:rsidR="007D4F50" w:rsidRPr="005A3906" w:rsidRDefault="007D4F50" w:rsidP="00287926">
      <w:pPr>
        <w:pStyle w:val="PlainText"/>
        <w:rPr>
          <w:rFonts w:ascii="Times New Roman" w:hAnsi="Times New Roman" w:cs="Times New Roman"/>
          <w:b/>
          <w:sz w:val="24"/>
          <w:szCs w:val="24"/>
        </w:rPr>
      </w:pPr>
    </w:p>
    <w:p w:rsidR="006103A9" w:rsidRPr="005A3906" w:rsidRDefault="006103A9" w:rsidP="0008371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Registrants must continue to review the regulations regarding CBI, review the materials in their submission for which claims are being made; and ensure that CBI claims are properly made. Pursuant to </w:t>
      </w:r>
      <w:r w:rsidR="008879DE">
        <w:rPr>
          <w:rFonts w:ascii="Times New Roman" w:hAnsi="Times New Roman" w:cs="Times New Roman"/>
          <w:sz w:val="24"/>
          <w:szCs w:val="24"/>
        </w:rPr>
        <w:t>40 CFR 174</w:t>
      </w:r>
      <w:r w:rsidRPr="005A3906">
        <w:rPr>
          <w:rFonts w:ascii="Times New Roman" w:hAnsi="Times New Roman" w:cs="Times New Roman"/>
          <w:sz w:val="24"/>
          <w:szCs w:val="24"/>
        </w:rPr>
        <w:t xml:space="preserve">, registrants must submit </w:t>
      </w:r>
      <w:r w:rsidR="00932B6B" w:rsidRPr="005A3906">
        <w:rPr>
          <w:rFonts w:ascii="Times New Roman" w:hAnsi="Times New Roman" w:cs="Times New Roman"/>
          <w:sz w:val="24"/>
          <w:szCs w:val="24"/>
        </w:rPr>
        <w:t>substantiation</w:t>
      </w:r>
      <w:r w:rsidRPr="005A3906">
        <w:rPr>
          <w:rFonts w:ascii="Times New Roman" w:hAnsi="Times New Roman" w:cs="Times New Roman"/>
          <w:sz w:val="24"/>
          <w:szCs w:val="24"/>
        </w:rPr>
        <w:t xml:space="preserve"> for any CBI claim made for information for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submitted to EPA. The Agency is not imposing any new requirements regarding the basis for making a CBI claim, or the points that must be addressed to substantiate any CBI claim that is made. These requirements already exist in 40 CFR part 2. In addition, EPA is not imposing any specific form or format for these substantiations. (See 40 CFR 174.9)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08371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Manufacturers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must submit to EPA any information they subsequently obtain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The Agency anticipates that the entities will obtain adverse effects information during the normal course of business, and then will make a report to the Agency with adequate background information for the Agency to be able to make a decision to either ask for additional information or to act on the information presented. The Agency does not foresee any extra data collection effort to find adverse effects beyond the normal course of business but rather envisions these effects being discovered from ongoing studies of various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or customer complaints. Although EPA specifies the content of any adverse effects report submitted to EPA, EPA is not imposing any specific form or format for these reports. (See 40 CFR 174.71)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addition, entities may also be asked to respond to Agency questions that arise based on the submission, whether it be the CBI substantiation, or the adverse effects report. Such follow-up activities are assumed as part of the initial burden estimates. Should further information be necessary, e.g., should the adverse effect information reported to EPA indicate the need for a study or other additional information, any additional Agency requirement would come in the form of a data call</w:t>
      </w:r>
      <w:r w:rsidR="003A630B">
        <w:rPr>
          <w:rFonts w:ascii="Times New Roman" w:hAnsi="Times New Roman" w:cs="Times New Roman"/>
          <w:sz w:val="24"/>
          <w:szCs w:val="24"/>
        </w:rPr>
        <w:t>-</w:t>
      </w:r>
      <w:r w:rsidRPr="005A3906">
        <w:rPr>
          <w:rFonts w:ascii="Times New Roman" w:hAnsi="Times New Roman" w:cs="Times New Roman"/>
          <w:sz w:val="24"/>
          <w:szCs w:val="24"/>
        </w:rPr>
        <w:t xml:space="preserve">in covered under </w:t>
      </w:r>
      <w:r w:rsidR="006826C2">
        <w:rPr>
          <w:rFonts w:ascii="Times New Roman" w:hAnsi="Times New Roman" w:cs="Times New Roman"/>
          <w:sz w:val="24"/>
          <w:szCs w:val="24"/>
        </w:rPr>
        <w:t xml:space="preserve">the </w:t>
      </w:r>
      <w:r w:rsidRPr="005A3906">
        <w:rPr>
          <w:rFonts w:ascii="Times New Roman" w:hAnsi="Times New Roman" w:cs="Times New Roman"/>
          <w:sz w:val="24"/>
          <w:szCs w:val="24"/>
        </w:rPr>
        <w:t>existing regulations</w:t>
      </w:r>
      <w:r w:rsidR="006826C2">
        <w:rPr>
          <w:rFonts w:ascii="Times New Roman" w:hAnsi="Times New Roman" w:cs="Times New Roman"/>
          <w:sz w:val="24"/>
          <w:szCs w:val="24"/>
        </w:rPr>
        <w:t xml:space="preserve"> and </w:t>
      </w:r>
      <w:r w:rsidR="00901943">
        <w:rPr>
          <w:rFonts w:ascii="Times New Roman" w:hAnsi="Times New Roman" w:cs="Times New Roman"/>
          <w:sz w:val="24"/>
          <w:szCs w:val="24"/>
        </w:rPr>
        <w:t xml:space="preserve">a separate </w:t>
      </w:r>
      <w:r w:rsidR="006826C2">
        <w:rPr>
          <w:rFonts w:ascii="Times New Roman" w:hAnsi="Times New Roman" w:cs="Times New Roman"/>
          <w:sz w:val="24"/>
          <w:szCs w:val="24"/>
        </w:rPr>
        <w:t>ICR</w:t>
      </w:r>
      <w:r w:rsidR="00901943">
        <w:rPr>
          <w:rFonts w:ascii="Times New Roman" w:hAnsi="Times New Roman" w:cs="Times New Roman"/>
          <w:sz w:val="24"/>
          <w:szCs w:val="24"/>
        </w:rPr>
        <w:t xml:space="preserve"> approved by OMB under </w:t>
      </w:r>
      <w:r w:rsidR="008879DE">
        <w:rPr>
          <w:rFonts w:ascii="Times New Roman" w:hAnsi="Times New Roman" w:cs="Times New Roman"/>
          <w:sz w:val="24"/>
          <w:szCs w:val="24"/>
        </w:rPr>
        <w:t xml:space="preserve">Control No. </w:t>
      </w:r>
      <w:r w:rsidR="006826C2">
        <w:rPr>
          <w:rFonts w:ascii="Times New Roman" w:hAnsi="Times New Roman" w:cs="Times New Roman"/>
          <w:sz w:val="24"/>
          <w:szCs w:val="24"/>
        </w:rPr>
        <w:t>2070-0057</w:t>
      </w:r>
      <w:r w:rsidR="00932B6B">
        <w:rPr>
          <w:rFonts w:ascii="Times New Roman" w:hAnsi="Times New Roman" w:cs="Times New Roman"/>
          <w:sz w:val="24"/>
          <w:szCs w:val="24"/>
        </w:rPr>
        <w:t>,</w:t>
      </w:r>
      <w:r w:rsidR="006826C2">
        <w:rPr>
          <w:rFonts w:ascii="Times New Roman" w:hAnsi="Times New Roman" w:cs="Times New Roman"/>
          <w:sz w:val="24"/>
          <w:szCs w:val="24"/>
        </w:rPr>
        <w:t xml:space="preserve"> EPA</w:t>
      </w:r>
      <w:r w:rsidR="008879DE">
        <w:rPr>
          <w:rFonts w:ascii="Times New Roman" w:hAnsi="Times New Roman" w:cs="Times New Roman"/>
          <w:sz w:val="24"/>
          <w:szCs w:val="24"/>
        </w:rPr>
        <w:t xml:space="preserve"> ICR No. </w:t>
      </w:r>
      <w:proofErr w:type="gramStart"/>
      <w:r w:rsidR="006826C2">
        <w:rPr>
          <w:rFonts w:ascii="Times New Roman" w:hAnsi="Times New Roman" w:cs="Times New Roman"/>
          <w:sz w:val="24"/>
          <w:szCs w:val="24"/>
        </w:rPr>
        <w:t>922</w:t>
      </w:r>
      <w:r w:rsidRPr="005A3906">
        <w:rPr>
          <w:rFonts w:ascii="Times New Roman" w:hAnsi="Times New Roman" w:cs="Times New Roman"/>
          <w:sz w:val="24"/>
          <w:szCs w:val="24"/>
        </w:rPr>
        <w:t>.</w:t>
      </w:r>
      <w:proofErr w:type="gramEnd"/>
      <w:r w:rsidRPr="005A3906">
        <w:rPr>
          <w:rFonts w:ascii="Times New Roman" w:hAnsi="Times New Roman" w:cs="Times New Roman"/>
          <w:sz w:val="24"/>
          <w:szCs w:val="24"/>
        </w:rPr>
        <w:t xml:space="preserve"> This ICR is not intended to address such activities. </w:t>
      </w:r>
    </w:p>
    <w:p w:rsidR="006103A9" w:rsidRPr="005A3906" w:rsidRDefault="006103A9" w:rsidP="00343EF0">
      <w:pPr>
        <w:pStyle w:val="PlainText"/>
        <w:rPr>
          <w:rFonts w:ascii="Times New Roman" w:hAnsi="Times New Roman" w:cs="Times New Roman"/>
          <w:sz w:val="24"/>
          <w:szCs w:val="24"/>
        </w:rPr>
      </w:pPr>
    </w:p>
    <w:p w:rsidR="006103A9" w:rsidRPr="005A3906" w:rsidRDefault="00901943" w:rsidP="006E17AA">
      <w:pPr>
        <w:pStyle w:val="PlainText"/>
        <w:ind w:firstLine="1080"/>
        <w:rPr>
          <w:rFonts w:ascii="Times New Roman" w:hAnsi="Times New Roman" w:cs="Times New Roman"/>
          <w:b/>
          <w:sz w:val="24"/>
          <w:szCs w:val="24"/>
        </w:rPr>
      </w:pPr>
      <w:r>
        <w:rPr>
          <w:rFonts w:ascii="Times New Roman" w:hAnsi="Times New Roman" w:cs="Times New Roman"/>
          <w:b/>
          <w:sz w:val="24"/>
          <w:szCs w:val="24"/>
        </w:rPr>
        <w:t>4(b</w:t>
      </w:r>
      <w:proofErr w:type="gramStart"/>
      <w:r>
        <w:rPr>
          <w:rFonts w:ascii="Times New Roman" w:hAnsi="Times New Roman" w:cs="Times New Roman"/>
          <w:b/>
          <w:sz w:val="24"/>
          <w:szCs w:val="24"/>
        </w:rPr>
        <w:t>)</w:t>
      </w:r>
      <w:r w:rsidR="006103A9" w:rsidRPr="001A041B">
        <w:rPr>
          <w:rFonts w:ascii="Times New Roman" w:hAnsi="Times New Roman" w:cs="Times New Roman"/>
          <w:b/>
          <w:sz w:val="24"/>
          <w:szCs w:val="24"/>
        </w:rPr>
        <w:t>(</w:t>
      </w:r>
      <w:proofErr w:type="gramEnd"/>
      <w:r w:rsidR="006103A9" w:rsidRPr="001A041B">
        <w:rPr>
          <w:rFonts w:ascii="Times New Roman" w:hAnsi="Times New Roman" w:cs="Times New Roman"/>
          <w:b/>
          <w:sz w:val="24"/>
          <w:szCs w:val="24"/>
        </w:rPr>
        <w:t>ii) Respondent Activities</w:t>
      </w:r>
      <w:r w:rsidR="006103A9" w:rsidRPr="005A3906">
        <w:rPr>
          <w:rFonts w:ascii="Times New Roman" w:hAnsi="Times New Roman" w:cs="Times New Roman"/>
          <w:b/>
          <w:sz w:val="24"/>
          <w:szCs w:val="24"/>
        </w:rPr>
        <w:t xml:space="preserve"> </w:t>
      </w:r>
    </w:p>
    <w:p w:rsidR="006103A9" w:rsidRPr="005A3906" w:rsidRDefault="006103A9" w:rsidP="00343EF0">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requirements for up-front CBI substantiation an</w:t>
      </w:r>
      <w:r w:rsidR="007D4F50" w:rsidRPr="005A3906">
        <w:rPr>
          <w:rFonts w:ascii="Times New Roman" w:hAnsi="Times New Roman" w:cs="Times New Roman"/>
          <w:sz w:val="24"/>
          <w:szCs w:val="24"/>
        </w:rPr>
        <w:t xml:space="preserve">d adverse effects reporting are </w:t>
      </w:r>
      <w:r w:rsidRPr="005A3906">
        <w:rPr>
          <w:rFonts w:ascii="Times New Roman" w:hAnsi="Times New Roman" w:cs="Times New Roman"/>
          <w:sz w:val="24"/>
          <w:szCs w:val="24"/>
        </w:rPr>
        <w:t xml:space="preserve">separate requirements that only occur on occasion. The CBI substantiation occurs when an entity is submitting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related information to EPA that contains CBI claims pursuant to 40 CFR part </w:t>
      </w:r>
      <w:r w:rsidRPr="005A3906">
        <w:rPr>
          <w:rFonts w:ascii="Times New Roman" w:hAnsi="Times New Roman" w:cs="Times New Roman"/>
          <w:sz w:val="24"/>
          <w:szCs w:val="24"/>
        </w:rPr>
        <w:lastRenderedPageBreak/>
        <w:t xml:space="preserve">2. The adverse effects reporting occurs when an entity obtains information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each activity is distinct, a typical respondent for each activity is expected to engage in the following activities: </w:t>
      </w:r>
    </w:p>
    <w:p w:rsidR="006E65D2" w:rsidRPr="005A3906" w:rsidRDefault="006E65D2" w:rsidP="007D4F50">
      <w:pPr>
        <w:pStyle w:val="PlainText"/>
        <w:ind w:firstLine="72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514"/>
      </w:tblGrid>
      <w:tr w:rsidR="00901943" w:rsidRPr="005A3906" w:rsidTr="004F2B99">
        <w:trPr>
          <w:jc w:val="center"/>
        </w:trPr>
        <w:tc>
          <w:tcPr>
            <w:tcW w:w="2088" w:type="dxa"/>
          </w:tcPr>
          <w:p w:rsidR="00901943" w:rsidRPr="00901943" w:rsidRDefault="00901943" w:rsidP="00343EF0">
            <w:pPr>
              <w:pStyle w:val="PlainText"/>
              <w:rPr>
                <w:rFonts w:ascii="Times New Roman" w:hAnsi="Times New Roman" w:cs="Times New Roman"/>
                <w:b/>
                <w:sz w:val="24"/>
                <w:szCs w:val="24"/>
              </w:rPr>
            </w:pPr>
            <w:r w:rsidRPr="00901943">
              <w:rPr>
                <w:rFonts w:ascii="Times New Roman" w:hAnsi="Times New Roman" w:cs="Times New Roman"/>
                <w:b/>
                <w:sz w:val="24"/>
                <w:szCs w:val="24"/>
              </w:rPr>
              <w:t xml:space="preserve">Activity </w:t>
            </w:r>
          </w:p>
        </w:tc>
        <w:tc>
          <w:tcPr>
            <w:tcW w:w="7730" w:type="dxa"/>
          </w:tcPr>
          <w:p w:rsidR="00901943" w:rsidRPr="00901943" w:rsidRDefault="00901943" w:rsidP="00934CCB">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Read R</w:t>
            </w:r>
            <w:r w:rsidR="006E65D2" w:rsidRPr="001A2A05">
              <w:rPr>
                <w:rFonts w:ascii="Times New Roman" w:hAnsi="Times New Roman" w:cs="Times New Roman"/>
                <w:sz w:val="24"/>
                <w:szCs w:val="24"/>
              </w:rPr>
              <w:t>egulations</w:t>
            </w:r>
          </w:p>
        </w:tc>
        <w:tc>
          <w:tcPr>
            <w:tcW w:w="773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needs to become familiar with the regulations governing CBI substantiation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adverse effects reporting as they pertain to</w:t>
            </w:r>
            <w:r w:rsidR="008879DE" w:rsidRPr="001A2A05">
              <w:rPr>
                <w:rFonts w:ascii="Times New Roman" w:hAnsi="Times New Roman" w:cs="Times New Roman"/>
                <w:sz w:val="24"/>
                <w:szCs w:val="24"/>
              </w:rPr>
              <w:t xml:space="preserve"> PIPs</w:t>
            </w:r>
            <w:r w:rsidRPr="001A2A05">
              <w:rPr>
                <w:rFonts w:ascii="Times New Roman" w:hAnsi="Times New Roman" w:cs="Times New Roman"/>
                <w:sz w:val="24"/>
                <w:szCs w:val="24"/>
              </w:rPr>
              <w:t xml:space="preserve">. </w:t>
            </w:r>
          </w:p>
          <w:p w:rsidR="006E65D2" w:rsidRPr="001A2A05" w:rsidRDefault="006E65D2"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Plan Activities</w:t>
            </w:r>
          </w:p>
        </w:tc>
        <w:tc>
          <w:tcPr>
            <w:tcW w:w="773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develop/amend and implement a plan to ensure compliance with these requirements. The registrant is also encouraged to consult with the Agency. </w:t>
            </w:r>
          </w:p>
          <w:p w:rsidR="006E65D2" w:rsidRPr="001A2A05" w:rsidRDefault="006E65D2"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Gather Information</w:t>
            </w:r>
          </w:p>
        </w:tc>
        <w:tc>
          <w:tcPr>
            <w:tcW w:w="7730"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necessary to provide the required substantiation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any information obtained on adverse effects must be assembled.</w:t>
            </w:r>
          </w:p>
          <w:p w:rsidR="008879DE" w:rsidRPr="001A2A05" w:rsidRDefault="008879DE"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Review Information</w:t>
            </w:r>
          </w:p>
        </w:tc>
        <w:tc>
          <w:tcPr>
            <w:tcW w:w="773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check the CBI substantiation for accuracy and completeness,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 xml:space="preserve">verify that the adverse effects report accurately reflects the information they have obtained. </w:t>
            </w:r>
          </w:p>
          <w:p w:rsidR="006E65D2" w:rsidRPr="001A2A05" w:rsidRDefault="006E65D2"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Complete Paperwork</w:t>
            </w:r>
          </w:p>
        </w:tc>
        <w:tc>
          <w:tcPr>
            <w:tcW w:w="773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must be compiled into a document(s) or report(s) and prepared for submission to EPA. </w:t>
            </w:r>
          </w:p>
          <w:p w:rsidR="006E65D2" w:rsidRPr="001A2A05" w:rsidRDefault="006E65D2"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Submit Information</w:t>
            </w:r>
          </w:p>
        </w:tc>
        <w:tc>
          <w:tcPr>
            <w:tcW w:w="7730" w:type="dxa"/>
          </w:tcPr>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The respondent must submit the information to</w:t>
            </w:r>
            <w:r w:rsidR="00901943">
              <w:rPr>
                <w:rFonts w:ascii="Times New Roman" w:hAnsi="Times New Roman" w:cs="Times New Roman"/>
                <w:sz w:val="24"/>
                <w:szCs w:val="24"/>
              </w:rPr>
              <w:t xml:space="preserve"> OPP</w:t>
            </w:r>
            <w:r w:rsidRPr="001A2A05">
              <w:rPr>
                <w:rFonts w:ascii="Times New Roman" w:hAnsi="Times New Roman" w:cs="Times New Roman"/>
                <w:sz w:val="24"/>
                <w:szCs w:val="24"/>
              </w:rPr>
              <w:t xml:space="preserve"> as required.</w:t>
            </w:r>
          </w:p>
          <w:p w:rsidR="008879DE" w:rsidRPr="001A2A05" w:rsidRDefault="008879DE" w:rsidP="00343EF0">
            <w:pPr>
              <w:pStyle w:val="PlainText"/>
              <w:rPr>
                <w:rFonts w:ascii="Times New Roman" w:hAnsi="Times New Roman" w:cs="Times New Roman"/>
                <w:sz w:val="8"/>
                <w:szCs w:val="8"/>
              </w:rPr>
            </w:pPr>
          </w:p>
        </w:tc>
      </w:tr>
      <w:tr w:rsidR="006E65D2" w:rsidRPr="005A3906" w:rsidTr="004F2B99">
        <w:trPr>
          <w:jc w:val="center"/>
        </w:trPr>
        <w:tc>
          <w:tcPr>
            <w:tcW w:w="2088" w:type="dxa"/>
          </w:tcPr>
          <w:p w:rsidR="00901943"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Store, Maintain, and File </w:t>
            </w:r>
          </w:p>
          <w:p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I</w:t>
            </w:r>
            <w:r w:rsidR="005C776D">
              <w:rPr>
                <w:rFonts w:ascii="Times New Roman" w:hAnsi="Times New Roman" w:cs="Times New Roman"/>
                <w:sz w:val="24"/>
                <w:szCs w:val="24"/>
              </w:rPr>
              <w:softHyphen/>
            </w:r>
            <w:r w:rsidR="005C776D">
              <w:rPr>
                <w:rFonts w:ascii="Times New Roman" w:hAnsi="Times New Roman" w:cs="Times New Roman"/>
                <w:sz w:val="24"/>
                <w:szCs w:val="24"/>
              </w:rPr>
              <w:softHyphen/>
            </w:r>
            <w:r w:rsidRPr="001A2A05">
              <w:rPr>
                <w:rFonts w:ascii="Times New Roman" w:hAnsi="Times New Roman" w:cs="Times New Roman"/>
                <w:sz w:val="24"/>
                <w:szCs w:val="24"/>
              </w:rPr>
              <w:t>nformation</w:t>
            </w:r>
          </w:p>
        </w:tc>
        <w:tc>
          <w:tcPr>
            <w:tcW w:w="7730" w:type="dxa"/>
          </w:tcPr>
          <w:p w:rsidR="006E65D2" w:rsidRPr="001A2A05" w:rsidRDefault="00932B6B" w:rsidP="00932B6B">
            <w:pPr>
              <w:pStyle w:val="PlainText"/>
              <w:rPr>
                <w:rFonts w:ascii="Times New Roman" w:hAnsi="Times New Roman" w:cs="Times New Roman"/>
                <w:sz w:val="8"/>
                <w:szCs w:val="8"/>
              </w:rPr>
            </w:pPr>
            <w:r>
              <w:rPr>
                <w:rFonts w:ascii="Times New Roman" w:hAnsi="Times New Roman" w:cs="Times New Roman"/>
                <w:sz w:val="24"/>
                <w:szCs w:val="24"/>
              </w:rPr>
              <w:t>This information collection</w:t>
            </w:r>
            <w:r w:rsidR="00934CCB" w:rsidRPr="001A2A05">
              <w:rPr>
                <w:rFonts w:ascii="Times New Roman" w:hAnsi="Times New Roman" w:cs="Times New Roman"/>
                <w:sz w:val="24"/>
                <w:szCs w:val="24"/>
              </w:rPr>
              <w:t xml:space="preserve"> does not contain any recordkeeping requirements. Please note however that FIFRA section 8, and the related regulations in 40 CFR part 169, require registrants to store and maintain certain information related to their pesticide products. </w:t>
            </w:r>
          </w:p>
        </w:tc>
      </w:tr>
    </w:tbl>
    <w:p w:rsidR="006103A9" w:rsidRPr="005A3906" w:rsidRDefault="006103A9" w:rsidP="00343EF0">
      <w:pPr>
        <w:pStyle w:val="PlainText"/>
        <w:rPr>
          <w:rFonts w:ascii="Times New Roman" w:hAnsi="Times New Roman" w:cs="Times New Roman"/>
          <w:sz w:val="24"/>
          <w:szCs w:val="24"/>
        </w:rPr>
      </w:pPr>
    </w:p>
    <w:p w:rsidR="00544C0D" w:rsidRDefault="00544C0D" w:rsidP="00343EF0">
      <w:pPr>
        <w:pStyle w:val="PlainText"/>
        <w:rPr>
          <w:rFonts w:ascii="Times New Roman" w:hAnsi="Times New Roman" w:cs="Times New Roman"/>
          <w:b/>
          <w:sz w:val="24"/>
          <w:szCs w:val="24"/>
        </w:rPr>
      </w:pPr>
    </w:p>
    <w:p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5. </w:t>
      </w:r>
      <w:r w:rsidR="009F78A4" w:rsidRPr="005A3906">
        <w:rPr>
          <w:rFonts w:ascii="Times New Roman" w:hAnsi="Times New Roman" w:cs="Times New Roman"/>
          <w:b/>
          <w:sz w:val="24"/>
          <w:szCs w:val="24"/>
        </w:rPr>
        <w:tab/>
      </w:r>
      <w:r w:rsidRPr="005A3906">
        <w:rPr>
          <w:rFonts w:ascii="Times New Roman" w:hAnsi="Times New Roman" w:cs="Times New Roman"/>
          <w:b/>
          <w:sz w:val="24"/>
          <w:szCs w:val="24"/>
        </w:rPr>
        <w:t xml:space="preserve">THE INFORMATION COLLECTED – AGENCY ACTIVITIES, COLLECTION </w:t>
      </w:r>
    </w:p>
    <w:p w:rsidR="006103A9" w:rsidRPr="005A3906" w:rsidRDefault="006103A9" w:rsidP="009F78A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METHODOLOGIES, AND INFORMATION MANAGEMENT </w:t>
      </w:r>
    </w:p>
    <w:p w:rsidR="009F78A4" w:rsidRPr="005A3906" w:rsidRDefault="009F78A4" w:rsidP="00343EF0">
      <w:pPr>
        <w:pStyle w:val="PlainText"/>
        <w:rPr>
          <w:rFonts w:ascii="Times New Roman" w:hAnsi="Times New Roman" w:cs="Times New Roman"/>
          <w:b/>
          <w:sz w:val="24"/>
          <w:szCs w:val="24"/>
        </w:rPr>
      </w:pPr>
    </w:p>
    <w:p w:rsidR="006103A9" w:rsidRPr="005A3906" w:rsidRDefault="006103A9" w:rsidP="009F78A4">
      <w:pPr>
        <w:pStyle w:val="PlainText"/>
        <w:ind w:firstLine="720"/>
        <w:rPr>
          <w:rFonts w:ascii="Times New Roman" w:hAnsi="Times New Roman" w:cs="Times New Roman"/>
          <w:b/>
          <w:sz w:val="24"/>
          <w:szCs w:val="24"/>
        </w:rPr>
      </w:pPr>
      <w:r w:rsidRPr="001A041B">
        <w:rPr>
          <w:rFonts w:ascii="Times New Roman" w:hAnsi="Times New Roman" w:cs="Times New Roman"/>
          <w:b/>
          <w:sz w:val="24"/>
          <w:szCs w:val="24"/>
        </w:rPr>
        <w:t>5(a</w:t>
      </w:r>
      <w:proofErr w:type="gramStart"/>
      <w:r w:rsidRPr="001A041B">
        <w:rPr>
          <w:rFonts w:ascii="Times New Roman" w:hAnsi="Times New Roman" w:cs="Times New Roman"/>
          <w:b/>
          <w:sz w:val="24"/>
          <w:szCs w:val="24"/>
        </w:rPr>
        <w:t xml:space="preserve">) </w:t>
      </w:r>
      <w:r w:rsidR="006E17AA" w:rsidRPr="001A041B">
        <w:rPr>
          <w:rFonts w:ascii="Times New Roman" w:hAnsi="Times New Roman" w:cs="Times New Roman"/>
          <w:b/>
          <w:sz w:val="24"/>
          <w:szCs w:val="24"/>
        </w:rPr>
        <w:t xml:space="preserve"> </w:t>
      </w:r>
      <w:r w:rsidRPr="001A041B">
        <w:rPr>
          <w:rFonts w:ascii="Times New Roman" w:hAnsi="Times New Roman" w:cs="Times New Roman"/>
          <w:b/>
          <w:sz w:val="24"/>
          <w:szCs w:val="24"/>
        </w:rPr>
        <w:t>Agency</w:t>
      </w:r>
      <w:proofErr w:type="gramEnd"/>
      <w:r w:rsidRPr="001A041B">
        <w:rPr>
          <w:rFonts w:ascii="Times New Roman" w:hAnsi="Times New Roman" w:cs="Times New Roman"/>
          <w:b/>
          <w:sz w:val="24"/>
          <w:szCs w:val="24"/>
        </w:rPr>
        <w:t xml:space="preserve"> Activities</w:t>
      </w:r>
      <w:r w:rsidRPr="005A3906">
        <w:rPr>
          <w:rFonts w:ascii="Times New Roman" w:hAnsi="Times New Roman" w:cs="Times New Roman"/>
          <w:b/>
          <w:sz w:val="24"/>
          <w:szCs w:val="24"/>
        </w:rPr>
        <w:t xml:space="preserve"> </w:t>
      </w:r>
      <w:r w:rsidR="005C776D">
        <w:rPr>
          <w:rFonts w:ascii="Times New Roman" w:hAnsi="Times New Roman" w:cs="Times New Roman"/>
          <w:b/>
          <w:sz w:val="24"/>
          <w:szCs w:val="24"/>
        </w:rPr>
        <w:softHyphen/>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F78A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Agency must evaluate the CBI substantiations when submitted, and process any adverse effect reports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when received. Although these activities are distinct and separate, the Agency is expected to engage in the following activities: </w:t>
      </w:r>
    </w:p>
    <w:p w:rsidR="00074A68" w:rsidRPr="005A3906" w:rsidRDefault="00074A68" w:rsidP="009F78A4">
      <w:pPr>
        <w:pStyle w:val="PlainText"/>
        <w:ind w:firstLine="72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6993"/>
      </w:tblGrid>
      <w:tr w:rsidR="00901943" w:rsidRPr="005A3906" w:rsidTr="00B00A01">
        <w:trPr>
          <w:jc w:val="center"/>
        </w:trPr>
        <w:tc>
          <w:tcPr>
            <w:tcW w:w="2628" w:type="dxa"/>
          </w:tcPr>
          <w:p w:rsidR="00901943" w:rsidRPr="00901943" w:rsidRDefault="00901943" w:rsidP="00343EF0">
            <w:pPr>
              <w:pStyle w:val="PlainText"/>
              <w:rPr>
                <w:rFonts w:ascii="Times New Roman" w:hAnsi="Times New Roman" w:cs="Times New Roman"/>
                <w:b/>
                <w:sz w:val="24"/>
                <w:szCs w:val="24"/>
              </w:rPr>
            </w:pPr>
            <w:r w:rsidRPr="00901943">
              <w:rPr>
                <w:rFonts w:ascii="Times New Roman" w:hAnsi="Times New Roman" w:cs="Times New Roman"/>
                <w:b/>
                <w:sz w:val="24"/>
                <w:szCs w:val="24"/>
              </w:rPr>
              <w:t>Activity</w:t>
            </w:r>
          </w:p>
        </w:tc>
        <w:tc>
          <w:tcPr>
            <w:tcW w:w="7190" w:type="dxa"/>
          </w:tcPr>
          <w:p w:rsidR="00901943" w:rsidRPr="00901943" w:rsidRDefault="00901943" w:rsidP="00934CCB">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00934CCB" w:rsidRPr="005A3906" w:rsidTr="00B00A01">
        <w:trPr>
          <w:jc w:val="center"/>
        </w:trPr>
        <w:tc>
          <w:tcPr>
            <w:tcW w:w="2628" w:type="dxa"/>
          </w:tcPr>
          <w:p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Consult with the registrant</w:t>
            </w:r>
          </w:p>
        </w:tc>
        <w:tc>
          <w:tcPr>
            <w:tcW w:w="719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respond to any questions either in writing, or verbally via meetings or by telephone, and provide any other assistance or guidance requested. </w:t>
            </w:r>
          </w:p>
          <w:p w:rsidR="00934CCB" w:rsidRPr="001A2A05" w:rsidRDefault="00934CCB" w:rsidP="00343EF0">
            <w:pPr>
              <w:pStyle w:val="PlainText"/>
              <w:rPr>
                <w:rFonts w:ascii="Times New Roman" w:hAnsi="Times New Roman" w:cs="Times New Roman"/>
                <w:sz w:val="8"/>
                <w:szCs w:val="8"/>
              </w:rPr>
            </w:pPr>
          </w:p>
        </w:tc>
      </w:tr>
      <w:tr w:rsidR="00934CCB" w:rsidRPr="005A3906" w:rsidTr="00B00A01">
        <w:trPr>
          <w:jc w:val="center"/>
        </w:trPr>
        <w:tc>
          <w:tcPr>
            <w:tcW w:w="2628" w:type="dxa"/>
          </w:tcPr>
          <w:p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Record submissions</w:t>
            </w:r>
          </w:p>
        </w:tc>
        <w:tc>
          <w:tcPr>
            <w:tcW w:w="7190" w:type="dxa"/>
          </w:tcPr>
          <w:p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Whether the submission involves an application package for the registration of a </w:t>
            </w:r>
            <w:r w:rsidR="008879DE" w:rsidRPr="001A2A05">
              <w:rPr>
                <w:rFonts w:ascii="Times New Roman" w:hAnsi="Times New Roman" w:cs="Times New Roman"/>
                <w:sz w:val="24"/>
                <w:szCs w:val="24"/>
              </w:rPr>
              <w:t>PIP</w:t>
            </w:r>
            <w:r w:rsidRPr="001A2A05">
              <w:rPr>
                <w:rFonts w:ascii="Times New Roman" w:hAnsi="Times New Roman" w:cs="Times New Roman"/>
                <w:sz w:val="24"/>
                <w:szCs w:val="24"/>
              </w:rPr>
              <w:t xml:space="preserve">, or an adverse effects report for allegations related to an exempted </w:t>
            </w:r>
            <w:r w:rsidR="008879DE" w:rsidRPr="001A2A05">
              <w:rPr>
                <w:rFonts w:ascii="Times New Roman" w:hAnsi="Times New Roman" w:cs="Times New Roman"/>
                <w:sz w:val="24"/>
                <w:szCs w:val="24"/>
              </w:rPr>
              <w:t>PIP</w:t>
            </w:r>
            <w:r w:rsidRPr="001A2A05">
              <w:rPr>
                <w:rFonts w:ascii="Times New Roman" w:hAnsi="Times New Roman" w:cs="Times New Roman"/>
                <w:sz w:val="24"/>
                <w:szCs w:val="24"/>
              </w:rPr>
              <w:t xml:space="preserve">, the submission is recorded or logged in by the Agency to document its receipt. The Agency will </w:t>
            </w:r>
            <w:r w:rsidR="004B0439" w:rsidRPr="001A2A05">
              <w:rPr>
                <w:rFonts w:ascii="Times New Roman" w:hAnsi="Times New Roman" w:cs="Times New Roman"/>
                <w:sz w:val="24"/>
                <w:szCs w:val="24"/>
              </w:rPr>
              <w:t xml:space="preserve">create an </w:t>
            </w:r>
            <w:r w:rsidR="004B0439" w:rsidRPr="001A2A05">
              <w:rPr>
                <w:rFonts w:ascii="Times New Roman" w:hAnsi="Times New Roman" w:cs="Times New Roman"/>
                <w:sz w:val="24"/>
                <w:szCs w:val="24"/>
              </w:rPr>
              <w:lastRenderedPageBreak/>
              <w:t xml:space="preserve">electronic record of </w:t>
            </w:r>
            <w:r w:rsidRPr="001A2A05">
              <w:rPr>
                <w:rFonts w:ascii="Times New Roman" w:hAnsi="Times New Roman" w:cs="Times New Roman"/>
                <w:sz w:val="24"/>
                <w:szCs w:val="24"/>
              </w:rPr>
              <w:t xml:space="preserve">the necessary information for routing and tracking purposes. </w:t>
            </w:r>
          </w:p>
          <w:p w:rsidR="00934CCB" w:rsidRPr="001A2A05" w:rsidRDefault="00934CCB" w:rsidP="00343EF0">
            <w:pPr>
              <w:pStyle w:val="PlainText"/>
              <w:rPr>
                <w:rFonts w:ascii="Times New Roman" w:hAnsi="Times New Roman" w:cs="Times New Roman"/>
                <w:sz w:val="8"/>
                <w:szCs w:val="8"/>
              </w:rPr>
            </w:pPr>
          </w:p>
        </w:tc>
      </w:tr>
      <w:tr w:rsidR="00934CCB" w:rsidRPr="005A3906" w:rsidTr="00B00A01">
        <w:trPr>
          <w:jc w:val="center"/>
        </w:trPr>
        <w:tc>
          <w:tcPr>
            <w:tcW w:w="2628" w:type="dxa"/>
          </w:tcPr>
          <w:p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lastRenderedPageBreak/>
              <w:t>Review submissions</w:t>
            </w:r>
          </w:p>
        </w:tc>
        <w:tc>
          <w:tcPr>
            <w:tcW w:w="7190" w:type="dxa"/>
          </w:tcPr>
          <w:p w:rsidR="00F143A9" w:rsidRPr="001A2A05" w:rsidRDefault="00F143A9" w:rsidP="00F143A9">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review the incoming materials with CBI claims to evaluate the CBI substantiations for completeness and appropriateness, and will review the incoming adverse effects reports to determine what, if any, substantive review or action might be necessary as follow-up to the alleged adverse effects. </w:t>
            </w:r>
          </w:p>
          <w:p w:rsidR="00934CCB" w:rsidRPr="001A2A05" w:rsidRDefault="00934CCB" w:rsidP="00343EF0">
            <w:pPr>
              <w:pStyle w:val="PlainText"/>
              <w:rPr>
                <w:rFonts w:ascii="Times New Roman" w:hAnsi="Times New Roman" w:cs="Times New Roman"/>
                <w:sz w:val="8"/>
                <w:szCs w:val="8"/>
              </w:rPr>
            </w:pPr>
          </w:p>
        </w:tc>
      </w:tr>
      <w:tr w:rsidR="00934CCB" w:rsidRPr="005A3906" w:rsidTr="00B00A01">
        <w:trPr>
          <w:jc w:val="center"/>
        </w:trPr>
        <w:tc>
          <w:tcPr>
            <w:tcW w:w="2628" w:type="dxa"/>
          </w:tcPr>
          <w:p w:rsidR="00934CCB" w:rsidRPr="001A2A05" w:rsidRDefault="00F143A9"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Store the information</w:t>
            </w:r>
          </w:p>
        </w:tc>
        <w:tc>
          <w:tcPr>
            <w:tcW w:w="7190" w:type="dxa"/>
          </w:tcPr>
          <w:p w:rsidR="00934CCB" w:rsidRPr="001A2A05" w:rsidRDefault="00F143A9"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maintain the information contained in the submitted application package, including the CBI substantiation that was submitted, and will maintain any adverse effects report(s) submitted. </w:t>
            </w:r>
          </w:p>
        </w:tc>
      </w:tr>
    </w:tbl>
    <w:p w:rsidR="009F78A4" w:rsidRPr="005A3906" w:rsidRDefault="009F78A4" w:rsidP="00343EF0">
      <w:pPr>
        <w:pStyle w:val="PlainText"/>
        <w:rPr>
          <w:rFonts w:ascii="Times New Roman" w:hAnsi="Times New Roman" w:cs="Times New Roman"/>
          <w:sz w:val="24"/>
          <w:szCs w:val="24"/>
        </w:rPr>
      </w:pPr>
    </w:p>
    <w:p w:rsidR="006103A9" w:rsidRPr="005A3906" w:rsidRDefault="006103A9" w:rsidP="00F143A9">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5(b</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Collection</w:t>
      </w:r>
      <w:proofErr w:type="gramEnd"/>
      <w:r w:rsidRPr="005A3906">
        <w:rPr>
          <w:rFonts w:ascii="Times New Roman" w:hAnsi="Times New Roman" w:cs="Times New Roman"/>
          <w:b/>
          <w:sz w:val="24"/>
          <w:szCs w:val="24"/>
        </w:rPr>
        <w:t xml:space="preserve"> Methodology and Management </w:t>
      </w:r>
    </w:p>
    <w:p w:rsidR="006103A9" w:rsidRDefault="006103A9" w:rsidP="00343EF0">
      <w:pPr>
        <w:pStyle w:val="PlainText"/>
        <w:rPr>
          <w:rFonts w:ascii="Times New Roman" w:hAnsi="Times New Roman" w:cs="Times New Roman"/>
          <w:sz w:val="24"/>
          <w:szCs w:val="24"/>
        </w:rPr>
      </w:pPr>
    </w:p>
    <w:p w:rsidR="007D1E60" w:rsidRPr="007D1E60" w:rsidRDefault="007D1E60" w:rsidP="00343EF0">
      <w:pPr>
        <w:pStyle w:val="PlainText"/>
        <w:rPr>
          <w:rFonts w:ascii="Times New Roman" w:hAnsi="Times New Roman" w:cs="Times New Roman"/>
          <w:sz w:val="24"/>
          <w:szCs w:val="24"/>
        </w:rPr>
      </w:pPr>
      <w:r w:rsidRPr="007D1E60">
        <w:rPr>
          <w:rFonts w:ascii="Times New Roman" w:hAnsi="Times New Roman"/>
          <w:sz w:val="24"/>
          <w:szCs w:val="24"/>
        </w:rPr>
        <w:tab/>
        <w:t xml:space="preserve">Respondents to this ICR </w:t>
      </w:r>
      <w:r>
        <w:rPr>
          <w:rFonts w:ascii="Times New Roman" w:hAnsi="Times New Roman"/>
          <w:sz w:val="24"/>
          <w:szCs w:val="24"/>
        </w:rPr>
        <w:t>providing substantiation of CBI claims at the time the claims are made must necessarily s</w:t>
      </w:r>
      <w:r w:rsidRPr="007D1E60">
        <w:rPr>
          <w:rFonts w:ascii="Times New Roman" w:hAnsi="Times New Roman"/>
          <w:sz w:val="24"/>
          <w:szCs w:val="24"/>
        </w:rPr>
        <w:t>ubmit the information as part of their larger package for registration of a pesticide product</w:t>
      </w:r>
      <w:r>
        <w:rPr>
          <w:rFonts w:ascii="Times New Roman" w:hAnsi="Times New Roman"/>
          <w:sz w:val="24"/>
          <w:szCs w:val="24"/>
        </w:rPr>
        <w:t xml:space="preserve">, since </w:t>
      </w:r>
      <w:r w:rsidR="00901943">
        <w:rPr>
          <w:rFonts w:ascii="Times New Roman" w:hAnsi="Times New Roman"/>
          <w:sz w:val="24"/>
          <w:szCs w:val="24"/>
        </w:rPr>
        <w:t xml:space="preserve">components </w:t>
      </w:r>
      <w:r>
        <w:rPr>
          <w:rFonts w:ascii="Times New Roman" w:hAnsi="Times New Roman"/>
          <w:sz w:val="24"/>
          <w:szCs w:val="24"/>
        </w:rPr>
        <w:t>of that package are claimed as CBI</w:t>
      </w:r>
      <w:r w:rsidRPr="007D1E60">
        <w:rPr>
          <w:rFonts w:ascii="Times New Roman" w:hAnsi="Times New Roman"/>
          <w:sz w:val="24"/>
          <w:szCs w:val="24"/>
        </w:rPr>
        <w:t xml:space="preserve">. </w:t>
      </w:r>
      <w:r w:rsidR="002171A5">
        <w:rPr>
          <w:rFonts w:ascii="Times New Roman" w:hAnsi="Times New Roman"/>
          <w:sz w:val="24"/>
          <w:szCs w:val="24"/>
        </w:rPr>
        <w:t xml:space="preserve">Components of registration packages with CBI claims </w:t>
      </w:r>
      <w:r w:rsidR="002171A5" w:rsidRPr="007D1E60">
        <w:rPr>
          <w:rFonts w:ascii="Times New Roman" w:hAnsi="Times New Roman"/>
          <w:sz w:val="24"/>
          <w:szCs w:val="24"/>
        </w:rPr>
        <w:t>are currently submitted by mail.</w:t>
      </w:r>
      <w:r w:rsidR="002171A5">
        <w:rPr>
          <w:rFonts w:ascii="Times New Roman" w:hAnsi="Times New Roman"/>
          <w:sz w:val="24"/>
          <w:szCs w:val="24"/>
        </w:rPr>
        <w:t xml:space="preserve"> </w:t>
      </w:r>
      <w:r w:rsidRPr="007D1E60">
        <w:rPr>
          <w:rFonts w:ascii="Times New Roman" w:hAnsi="Times New Roman"/>
          <w:sz w:val="24"/>
          <w:szCs w:val="24"/>
        </w:rPr>
        <w:t>EPA is working to allow electronic submission of registration packages,</w:t>
      </w:r>
      <w:r w:rsidR="002171A5">
        <w:rPr>
          <w:rFonts w:ascii="Times New Roman" w:hAnsi="Times New Roman" w:cs="Times New Roman"/>
          <w:color w:val="000000"/>
          <w:sz w:val="24"/>
          <w:szCs w:val="24"/>
        </w:rPr>
        <w:t xml:space="preserve"> include </w:t>
      </w:r>
      <w:r w:rsidR="002171A5" w:rsidRPr="002171A5">
        <w:rPr>
          <w:rFonts w:ascii="Times New Roman" w:hAnsi="Times New Roman"/>
          <w:sz w:val="24"/>
          <w:szCs w:val="24"/>
        </w:rPr>
        <w:t>efforts to develop information technology approaches to adequately protect FIFRA Confidential Business Information submitted over the Internet.</w:t>
      </w:r>
      <w:r w:rsidRPr="007D1E60">
        <w:rPr>
          <w:rFonts w:ascii="Times New Roman" w:hAnsi="Times New Roman"/>
          <w:sz w:val="24"/>
          <w:szCs w:val="24"/>
        </w:rPr>
        <w:t xml:space="preserve"> </w:t>
      </w:r>
    </w:p>
    <w:p w:rsidR="007D1E60" w:rsidRPr="007D1E60" w:rsidRDefault="007D1E60" w:rsidP="00343EF0">
      <w:pPr>
        <w:pStyle w:val="PlainText"/>
        <w:rPr>
          <w:rFonts w:ascii="Times New Roman" w:hAnsi="Times New Roman" w:cs="Times New Roman"/>
          <w:sz w:val="24"/>
          <w:szCs w:val="24"/>
        </w:rPr>
      </w:pPr>
    </w:p>
    <w:p w:rsidR="006103A9" w:rsidRPr="005A3906" w:rsidRDefault="006103A9" w:rsidP="00B450E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All information received by the Agency pertaining to CBI substantiation or adverse effects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will be routed to </w:t>
      </w:r>
      <w:r w:rsidR="00AC27F4">
        <w:rPr>
          <w:rFonts w:ascii="Times New Roman" w:hAnsi="Times New Roman" w:cs="Times New Roman"/>
          <w:sz w:val="24"/>
          <w:szCs w:val="24"/>
        </w:rPr>
        <w:t>t</w:t>
      </w:r>
      <w:r w:rsidR="00506CE9">
        <w:rPr>
          <w:rFonts w:ascii="Times New Roman" w:hAnsi="Times New Roman" w:cs="Times New Roman"/>
          <w:sz w:val="24"/>
          <w:szCs w:val="24"/>
        </w:rPr>
        <w:t>he Biopesticide and Pollution Prevention Division</w:t>
      </w:r>
      <w:r w:rsidR="00AC27F4">
        <w:rPr>
          <w:rFonts w:ascii="Times New Roman" w:hAnsi="Times New Roman" w:cs="Times New Roman"/>
          <w:sz w:val="24"/>
          <w:szCs w:val="24"/>
        </w:rPr>
        <w:t xml:space="preserve"> (</w:t>
      </w:r>
      <w:r w:rsidR="00901943">
        <w:rPr>
          <w:rFonts w:ascii="Times New Roman" w:hAnsi="Times New Roman" w:cs="Times New Roman"/>
          <w:sz w:val="24"/>
          <w:szCs w:val="24"/>
        </w:rPr>
        <w:t>BPPD</w:t>
      </w:r>
      <w:r w:rsidR="00AC27F4">
        <w:rPr>
          <w:rFonts w:ascii="Times New Roman" w:hAnsi="Times New Roman" w:cs="Times New Roman"/>
          <w:sz w:val="24"/>
          <w:szCs w:val="24"/>
        </w:rPr>
        <w:t>)</w:t>
      </w:r>
      <w:r w:rsidR="00901943">
        <w:rPr>
          <w:rFonts w:ascii="Times New Roman" w:hAnsi="Times New Roman" w:cs="Times New Roman"/>
          <w:sz w:val="24"/>
          <w:szCs w:val="24"/>
        </w:rPr>
        <w:t xml:space="preserve"> in OPP.</w:t>
      </w:r>
      <w:r w:rsidRPr="005A3906">
        <w:rPr>
          <w:rFonts w:ascii="Times New Roman" w:hAnsi="Times New Roman" w:cs="Times New Roman"/>
          <w:sz w:val="24"/>
          <w:szCs w:val="24"/>
        </w:rPr>
        <w:t xml:space="preserve"> </w:t>
      </w:r>
      <w:r w:rsidR="00901943">
        <w:rPr>
          <w:rFonts w:ascii="Times New Roman" w:hAnsi="Times New Roman" w:cs="Times New Roman"/>
          <w:sz w:val="24"/>
          <w:szCs w:val="24"/>
        </w:rPr>
        <w:t xml:space="preserve"> </w:t>
      </w:r>
      <w:r w:rsidRPr="005A3906">
        <w:rPr>
          <w:rFonts w:ascii="Times New Roman" w:hAnsi="Times New Roman" w:cs="Times New Roman"/>
          <w:sz w:val="24"/>
          <w:szCs w:val="24"/>
        </w:rPr>
        <w:t>It will be pin-punched by date, screened, and entered into the Office of Pesticide Programs Information</w:t>
      </w:r>
      <w:r w:rsidR="007A6071" w:rsidRPr="005A3906">
        <w:rPr>
          <w:rFonts w:ascii="Times New Roman" w:hAnsi="Times New Roman" w:cs="Times New Roman"/>
          <w:sz w:val="24"/>
          <w:szCs w:val="24"/>
        </w:rPr>
        <w:t xml:space="preserve"> Network</w:t>
      </w:r>
      <w:r w:rsidRPr="005A3906">
        <w:rPr>
          <w:rFonts w:ascii="Times New Roman" w:hAnsi="Times New Roman" w:cs="Times New Roman"/>
          <w:sz w:val="24"/>
          <w:szCs w:val="24"/>
        </w:rPr>
        <w:t xml:space="preserve"> (OPPIN).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4B0439">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registration packages involving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created and the application package will be forwarded to the appropriate Manager within BPPD. The Manager assures that the initial OPPIN entry is correct, reviews the information, and if necessary, routes the submitted data through scientific and/or administrative review. If the scientific information indicates that the submission is deficient in any manner, the submitter has the option of attempting to correct the deficiency. If the submission indicates that information claimed as CBI warrants said claim, the applicant is notified and the information is marked as such. The Agency will continue current practice of treating information claimed as CBI as such, until a CBI determination is made. If a determination is made that a CBI claim is not warranted or the claim is not substantiated, the registrant will be notified that the information claimed as CBI, does not qualify as CBI because it does not meet the regulatory requirements. They will be given an opportunity to respond as provided in the existing regulations. The package will then be processed accordingly.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B450E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adverse effects reports related to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created and the report will be forwarded to the appropriate product Manager within BPPD. The Manager assures that the initial OPPIN entry is correct, reviews the information, and determines the appropriate review and next steps based on the contents of the report, routing the report through scientific and/or administrative review, as appropriate. If an adverse effect report indicates that additional action is warranted or necessary, the Agency will take appropriate action.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B450E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5(c</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Small</w:t>
      </w:r>
      <w:proofErr w:type="gramEnd"/>
      <w:r w:rsidRPr="005A3906">
        <w:rPr>
          <w:rFonts w:ascii="Times New Roman" w:hAnsi="Times New Roman" w:cs="Times New Roman"/>
          <w:b/>
          <w:sz w:val="24"/>
          <w:szCs w:val="24"/>
        </w:rPr>
        <w:t xml:space="preserve"> Entity Flexibility </w:t>
      </w:r>
    </w:p>
    <w:p w:rsidR="006103A9" w:rsidRPr="005A3906" w:rsidRDefault="006103A9" w:rsidP="00343EF0">
      <w:pPr>
        <w:pStyle w:val="PlainText"/>
        <w:rPr>
          <w:rFonts w:ascii="Times New Roman" w:hAnsi="Times New Roman" w:cs="Times New Roman"/>
          <w:b/>
          <w:sz w:val="24"/>
          <w:szCs w:val="24"/>
        </w:rPr>
      </w:pPr>
    </w:p>
    <w:p w:rsidR="006103A9" w:rsidRPr="005A3906" w:rsidRDefault="006103A9" w:rsidP="007A607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promulgating the</w:t>
      </w:r>
      <w:r w:rsidR="006746E5">
        <w:rPr>
          <w:rFonts w:ascii="Times New Roman" w:hAnsi="Times New Roman" w:cs="Times New Roman"/>
          <w:sz w:val="24"/>
          <w:szCs w:val="24"/>
        </w:rPr>
        <w:t xml:space="preserve"> requirements codified at 40 CFR 174</w:t>
      </w:r>
      <w:r w:rsidRPr="005A3906">
        <w:rPr>
          <w:rFonts w:ascii="Times New Roman" w:hAnsi="Times New Roman" w:cs="Times New Roman"/>
          <w:sz w:val="24"/>
          <w:szCs w:val="24"/>
        </w:rPr>
        <w:t xml:space="preserve">, the Agency considered potential small entity impacts, and has taken steps to minimize potential impacts to the extent permitted. EPA believes that the CBI substantiation is fairly easy to provide for information which warrants CBI claims. The entity, regardless of size, is already required to make the CBI determination prior to submitting its registration application to EPA. The rule simply requires that </w:t>
      </w:r>
      <w:r w:rsidR="00A3614A">
        <w:rPr>
          <w:rFonts w:ascii="Times New Roman" w:hAnsi="Times New Roman" w:cs="Times New Roman"/>
          <w:sz w:val="24"/>
          <w:szCs w:val="24"/>
        </w:rPr>
        <w:t xml:space="preserve">the information </w:t>
      </w:r>
      <w:r w:rsidRPr="005A3906">
        <w:rPr>
          <w:rFonts w:ascii="Times New Roman" w:hAnsi="Times New Roman" w:cs="Times New Roman"/>
          <w:sz w:val="24"/>
          <w:szCs w:val="24"/>
        </w:rPr>
        <w:t xml:space="preserve">be provided with the submission to substantiate the CBI claim. This is reflected in the relatively low cost estimate for CBI substantiation for a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submission. This relatively small cost r</w:t>
      </w:r>
      <w:r w:rsidR="007A6071" w:rsidRPr="005A3906">
        <w:rPr>
          <w:rFonts w:ascii="Times New Roman" w:hAnsi="Times New Roman" w:cs="Times New Roman"/>
          <w:sz w:val="24"/>
          <w:szCs w:val="24"/>
        </w:rPr>
        <w:t>epresents a reasonable step to e</w:t>
      </w:r>
      <w:r w:rsidRPr="005A3906">
        <w:rPr>
          <w:rFonts w:ascii="Times New Roman" w:hAnsi="Times New Roman" w:cs="Times New Roman"/>
          <w:sz w:val="24"/>
          <w:szCs w:val="24"/>
        </w:rPr>
        <w:t>nsure the public has access to all non</w:t>
      </w:r>
      <w:r w:rsidR="007A6071" w:rsidRPr="005A3906">
        <w:rPr>
          <w:rFonts w:ascii="Times New Roman" w:hAnsi="Times New Roman" w:cs="Times New Roman"/>
          <w:sz w:val="24"/>
          <w:szCs w:val="24"/>
        </w:rPr>
        <w:t>-</w:t>
      </w:r>
      <w:r w:rsidRPr="005A3906">
        <w:rPr>
          <w:rFonts w:ascii="Times New Roman" w:hAnsi="Times New Roman" w:cs="Times New Roman"/>
          <w:sz w:val="24"/>
          <w:szCs w:val="24"/>
        </w:rPr>
        <w:t xml:space="preserve">confidential information on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once they are registered.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80198">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In addition, the Agency has taken steps to ensure that only the person who produces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for sale and distribution is responsible for adverse effects reporting, and only if they obtain the adverse effects information. The Agency has designed such reporting to be minimal and has placed the burden on the Agency to take additional action beyond the entity making the report. </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80198">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5(d</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Collection</w:t>
      </w:r>
      <w:proofErr w:type="gramEnd"/>
      <w:r w:rsidRPr="005A3906">
        <w:rPr>
          <w:rFonts w:ascii="Times New Roman" w:hAnsi="Times New Roman" w:cs="Times New Roman"/>
          <w:b/>
          <w:sz w:val="24"/>
          <w:szCs w:val="24"/>
        </w:rPr>
        <w:t xml:space="preserve"> Schedule </w:t>
      </w:r>
    </w:p>
    <w:p w:rsidR="006103A9" w:rsidRPr="005A3906" w:rsidRDefault="006103A9" w:rsidP="00343EF0">
      <w:pPr>
        <w:pStyle w:val="PlainText"/>
        <w:rPr>
          <w:rFonts w:ascii="Times New Roman" w:hAnsi="Times New Roman" w:cs="Times New Roman"/>
          <w:sz w:val="24"/>
          <w:szCs w:val="24"/>
        </w:rPr>
      </w:pPr>
    </w:p>
    <w:p w:rsidR="006103A9" w:rsidRPr="00DF53E7" w:rsidRDefault="006103A9"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CBI substantiation occurs only upon submission of claims of confidentiality and the adverse effects </w:t>
      </w:r>
      <w:r w:rsidRPr="00DF53E7">
        <w:rPr>
          <w:rFonts w:ascii="Times New Roman" w:hAnsi="Times New Roman" w:cs="Times New Roman"/>
          <w:sz w:val="24"/>
          <w:szCs w:val="24"/>
        </w:rPr>
        <w:t>reporting only occur</w:t>
      </w:r>
      <w:r w:rsidR="00A3614A" w:rsidRPr="00DF53E7">
        <w:rPr>
          <w:rFonts w:ascii="Times New Roman" w:hAnsi="Times New Roman" w:cs="Times New Roman"/>
          <w:sz w:val="24"/>
          <w:szCs w:val="24"/>
        </w:rPr>
        <w:t>s</w:t>
      </w:r>
      <w:r w:rsidRPr="00DF53E7">
        <w:rPr>
          <w:rFonts w:ascii="Times New Roman" w:hAnsi="Times New Roman" w:cs="Times New Roman"/>
          <w:sz w:val="24"/>
          <w:szCs w:val="24"/>
        </w:rPr>
        <w:t xml:space="preserve"> on occasion. There is no collection schedule per se associated with these collection activities. These activities are conducted once per submission. </w:t>
      </w:r>
    </w:p>
    <w:p w:rsidR="006103A9" w:rsidRPr="00DF53E7" w:rsidRDefault="006103A9" w:rsidP="00343EF0">
      <w:pPr>
        <w:pStyle w:val="PlainText"/>
        <w:rPr>
          <w:rFonts w:ascii="Times New Roman" w:hAnsi="Times New Roman" w:cs="Times New Roman"/>
          <w:sz w:val="24"/>
          <w:szCs w:val="24"/>
        </w:rPr>
      </w:pPr>
    </w:p>
    <w:p w:rsidR="006103A9" w:rsidRPr="00DF53E7" w:rsidRDefault="006103A9" w:rsidP="00343EF0">
      <w:pPr>
        <w:pStyle w:val="PlainText"/>
        <w:rPr>
          <w:rFonts w:ascii="Times New Roman" w:hAnsi="Times New Roman" w:cs="Times New Roman"/>
          <w:b/>
          <w:sz w:val="24"/>
          <w:szCs w:val="24"/>
        </w:rPr>
      </w:pPr>
      <w:r w:rsidRPr="00DF53E7">
        <w:rPr>
          <w:rFonts w:ascii="Times New Roman" w:hAnsi="Times New Roman" w:cs="Times New Roman"/>
          <w:b/>
          <w:sz w:val="24"/>
          <w:szCs w:val="24"/>
        </w:rPr>
        <w:t>6.</w:t>
      </w:r>
      <w:r w:rsidR="006E17AA" w:rsidRPr="00DF53E7">
        <w:rPr>
          <w:rFonts w:ascii="Times New Roman" w:hAnsi="Times New Roman" w:cs="Times New Roman"/>
          <w:b/>
          <w:sz w:val="24"/>
          <w:szCs w:val="24"/>
        </w:rPr>
        <w:tab/>
      </w:r>
      <w:r w:rsidRPr="00DF53E7">
        <w:rPr>
          <w:rFonts w:ascii="Times New Roman" w:hAnsi="Times New Roman" w:cs="Times New Roman"/>
          <w:b/>
          <w:sz w:val="24"/>
          <w:szCs w:val="24"/>
        </w:rPr>
        <w:t xml:space="preserve">ESTIMATING THE BURDEN AND COST OF THE COLLECTION </w:t>
      </w:r>
    </w:p>
    <w:p w:rsidR="00F007E3" w:rsidRPr="00DF53E7" w:rsidRDefault="00F007E3" w:rsidP="00343EF0">
      <w:pPr>
        <w:pStyle w:val="PlainText"/>
        <w:rPr>
          <w:rFonts w:ascii="Times New Roman" w:hAnsi="Times New Roman" w:cs="Times New Roman"/>
          <w:b/>
          <w:sz w:val="24"/>
          <w:szCs w:val="24"/>
        </w:rPr>
      </w:pPr>
    </w:p>
    <w:p w:rsidR="006103A9" w:rsidRDefault="006103A9" w:rsidP="00F007E3">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6(a</w:t>
      </w:r>
      <w:proofErr w:type="gramStart"/>
      <w:r w:rsidRPr="00DF53E7">
        <w:rPr>
          <w:rFonts w:ascii="Times New Roman" w:hAnsi="Times New Roman" w:cs="Times New Roman"/>
          <w:b/>
          <w:sz w:val="24"/>
          <w:szCs w:val="24"/>
        </w:rPr>
        <w:t xml:space="preserve">) </w:t>
      </w:r>
      <w:r w:rsidR="006E17AA" w:rsidRPr="00DF53E7">
        <w:rPr>
          <w:rFonts w:ascii="Times New Roman" w:hAnsi="Times New Roman" w:cs="Times New Roman"/>
          <w:b/>
          <w:sz w:val="24"/>
          <w:szCs w:val="24"/>
        </w:rPr>
        <w:t xml:space="preserve"> </w:t>
      </w:r>
      <w:r w:rsidRPr="00DF53E7">
        <w:rPr>
          <w:rFonts w:ascii="Times New Roman" w:hAnsi="Times New Roman" w:cs="Times New Roman"/>
          <w:b/>
          <w:sz w:val="24"/>
          <w:szCs w:val="24"/>
        </w:rPr>
        <w:t>Estimating</w:t>
      </w:r>
      <w:proofErr w:type="gramEnd"/>
      <w:r w:rsidR="00901943">
        <w:rPr>
          <w:rFonts w:ascii="Times New Roman" w:hAnsi="Times New Roman" w:cs="Times New Roman"/>
          <w:b/>
          <w:sz w:val="24"/>
          <w:szCs w:val="24"/>
        </w:rPr>
        <w:t xml:space="preserve"> per</w:t>
      </w:r>
      <w:r w:rsidRPr="00DF53E7">
        <w:rPr>
          <w:rFonts w:ascii="Times New Roman" w:hAnsi="Times New Roman" w:cs="Times New Roman"/>
          <w:b/>
          <w:sz w:val="24"/>
          <w:szCs w:val="24"/>
        </w:rPr>
        <w:t xml:space="preserve"> Respondent Burden</w:t>
      </w:r>
      <w:r w:rsidRPr="005A3906">
        <w:rPr>
          <w:rFonts w:ascii="Times New Roman" w:hAnsi="Times New Roman" w:cs="Times New Roman"/>
          <w:b/>
          <w:sz w:val="24"/>
          <w:szCs w:val="24"/>
        </w:rPr>
        <w:t xml:space="preserve"> </w:t>
      </w:r>
      <w:r w:rsidR="00901943">
        <w:rPr>
          <w:rFonts w:ascii="Times New Roman" w:hAnsi="Times New Roman" w:cs="Times New Roman"/>
          <w:b/>
          <w:sz w:val="24"/>
          <w:szCs w:val="24"/>
        </w:rPr>
        <w:t>and Cost</w:t>
      </w:r>
    </w:p>
    <w:p w:rsidR="00901943" w:rsidRDefault="00901943" w:rsidP="00F007E3">
      <w:pPr>
        <w:pStyle w:val="PlainText"/>
        <w:ind w:firstLine="720"/>
        <w:rPr>
          <w:rFonts w:ascii="Times New Roman" w:hAnsi="Times New Roman" w:cs="Times New Roman"/>
          <w:b/>
          <w:sz w:val="24"/>
          <w:szCs w:val="24"/>
        </w:rPr>
      </w:pPr>
    </w:p>
    <w:p w:rsidR="00901943" w:rsidRPr="00901943" w:rsidRDefault="00901943"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Burdens for this analysis consist primarily of the administrative burden associated with the drafting and submission of the CBI substantiation and the adverse effects reports. The burden estimates are based on the Agency’s experience regarding existing burden estimates related to CBI substantiation and adverse effects reporting for conventional pesticides, and provide reasonable estimates for the average time necessary to perform each activity for each submission. </w:t>
      </w:r>
    </w:p>
    <w:p w:rsidR="00901943" w:rsidRDefault="00901943" w:rsidP="00F007E3">
      <w:pPr>
        <w:pStyle w:val="PlainText"/>
        <w:ind w:firstLine="720"/>
        <w:rPr>
          <w:rFonts w:ascii="Times New Roman" w:hAnsi="Times New Roman" w:cs="Times New Roman"/>
          <w:b/>
          <w:sz w:val="24"/>
          <w:szCs w:val="24"/>
        </w:rPr>
      </w:pPr>
    </w:p>
    <w:p w:rsidR="00901943" w:rsidRPr="008E58FB" w:rsidRDefault="00901943" w:rsidP="00901943">
      <w:pPr>
        <w:numPr>
          <w:ilvl w:val="12"/>
          <w:numId w:val="0"/>
        </w:numPr>
        <w:rPr>
          <w:bCs/>
        </w:rPr>
      </w:pPr>
      <w:r>
        <w:rPr>
          <w:bCs/>
        </w:rPr>
        <w:tab/>
      </w:r>
      <w:r w:rsidRPr="008E58FB">
        <w:rPr>
          <w:bCs/>
        </w:rPr>
        <w:t>Consistent with recent ICR renewals, OPP is using labor cost estimates from Agency economists with respect to wages, benefits and overhead for all labor categories for affected industries and EPA employees.  This approach uses a transparent and consistent methodology employing publicly-available data to provide more accurate estimates and allow easy replication of the calculations.</w:t>
      </w:r>
    </w:p>
    <w:p w:rsidR="00901943" w:rsidRPr="008E58FB" w:rsidRDefault="00901943" w:rsidP="00901943">
      <w:pPr>
        <w:numPr>
          <w:ilvl w:val="12"/>
          <w:numId w:val="0"/>
        </w:numPr>
        <w:rPr>
          <w:bCs/>
        </w:rPr>
      </w:pPr>
    </w:p>
    <w:p w:rsidR="00901943" w:rsidRPr="008E58FB" w:rsidRDefault="00901943" w:rsidP="00901943">
      <w:pPr>
        <w:numPr>
          <w:ilvl w:val="12"/>
          <w:numId w:val="0"/>
        </w:numPr>
        <w:rPr>
          <w:bCs/>
        </w:rPr>
      </w:pPr>
      <w:r>
        <w:rPr>
          <w:bCs/>
        </w:rPr>
        <w:tab/>
      </w:r>
      <w:r w:rsidRPr="008E58FB">
        <w:rPr>
          <w:bCs/>
        </w:rPr>
        <w:t>Methodology:</w:t>
      </w:r>
      <w:r w:rsidRPr="008E58FB">
        <w:rPr>
          <w:bCs/>
        </w:rPr>
        <w:tab/>
        <w:t xml:space="preserve">The methodology uses data on each sector and labor type for an </w:t>
      </w:r>
      <w:r w:rsidRPr="008E58FB">
        <w:rPr>
          <w:bCs/>
          <w:i/>
        </w:rPr>
        <w:t>Unloaded wage rate</w:t>
      </w:r>
      <w:r w:rsidRPr="008E58FB">
        <w:rPr>
          <w:bCs/>
        </w:rPr>
        <w:t xml:space="preserve"> (hourly wage rate), and calculates the </w:t>
      </w:r>
      <w:r w:rsidRPr="008E58FB">
        <w:rPr>
          <w:bCs/>
          <w:i/>
        </w:rPr>
        <w:t>Loaded wage rate</w:t>
      </w:r>
      <w:r w:rsidRPr="008E58FB">
        <w:rPr>
          <w:bCs/>
        </w:rPr>
        <w:t xml:space="preserve"> (unloaded wage rate + benefits), and the </w:t>
      </w:r>
      <w:proofErr w:type="gramStart"/>
      <w:r w:rsidRPr="008E58FB">
        <w:rPr>
          <w:bCs/>
          <w:i/>
        </w:rPr>
        <w:t>Fully</w:t>
      </w:r>
      <w:proofErr w:type="gramEnd"/>
      <w:r w:rsidRPr="008E58FB">
        <w:rPr>
          <w:bCs/>
          <w:i/>
        </w:rPr>
        <w:t xml:space="preserve"> loaded wage rate</w:t>
      </w:r>
      <w:r w:rsidRPr="008E58FB">
        <w:rPr>
          <w:bCs/>
        </w:rPr>
        <w:t xml:space="preserve"> (loaded wage rate + overhead).  Fully loaded wage rates are used to calculate the Agency’s staffing costs.  </w:t>
      </w:r>
    </w:p>
    <w:p w:rsidR="00901943" w:rsidRPr="008E58FB" w:rsidRDefault="00901943" w:rsidP="00901943">
      <w:pPr>
        <w:numPr>
          <w:ilvl w:val="12"/>
          <w:numId w:val="0"/>
        </w:numPr>
        <w:rPr>
          <w:bCs/>
        </w:rPr>
      </w:pPr>
    </w:p>
    <w:p w:rsidR="00901943" w:rsidRPr="008E58FB" w:rsidRDefault="00901943" w:rsidP="00901943">
      <w:pPr>
        <w:numPr>
          <w:ilvl w:val="12"/>
          <w:numId w:val="0"/>
        </w:numPr>
        <w:rPr>
          <w:bCs/>
        </w:rPr>
      </w:pPr>
      <w:r>
        <w:rPr>
          <w:bCs/>
        </w:rPr>
        <w:lastRenderedPageBreak/>
        <w:tab/>
      </w:r>
      <w:r w:rsidRPr="008E58FB">
        <w:rPr>
          <w:bCs/>
        </w:rPr>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9" w:history="1">
        <w:r w:rsidRPr="008E58FB">
          <w:rPr>
            <w:rStyle w:val="Hyperlink"/>
            <w:bCs/>
          </w:rPr>
          <w:t>http://www.bls.gov/oes/current/oes_nat.htm</w:t>
        </w:r>
      </w:hyperlink>
      <w:r w:rsidRPr="008E58FB">
        <w:rPr>
          <w:bCs/>
        </w:rPr>
        <w:t xml:space="preserve">.  </w:t>
      </w:r>
    </w:p>
    <w:p w:rsidR="00901943" w:rsidRPr="008E58FB" w:rsidRDefault="00901943" w:rsidP="00901943">
      <w:pPr>
        <w:numPr>
          <w:ilvl w:val="12"/>
          <w:numId w:val="0"/>
        </w:numPr>
        <w:rPr>
          <w:bCs/>
        </w:rPr>
      </w:pPr>
    </w:p>
    <w:p w:rsidR="00901943" w:rsidRPr="008E58FB" w:rsidRDefault="00901943" w:rsidP="00901943">
      <w:pPr>
        <w:numPr>
          <w:ilvl w:val="12"/>
          <w:numId w:val="0"/>
        </w:numPr>
        <w:rPr>
          <w:bCs/>
        </w:rPr>
      </w:pPr>
      <w:r>
        <w:rPr>
          <w:bCs/>
        </w:rPr>
        <w:tab/>
      </w:r>
      <w:r w:rsidRPr="008E58FB">
        <w:rPr>
          <w:bCs/>
        </w:rPr>
        <w:t>Sectors: The specific North American Industry Classification System (NAICS) code and website for each sector is included in that sector’s wage rate table.  Within each sector, the wage data are provided</w:t>
      </w:r>
      <w:r w:rsidRPr="008E58FB">
        <w:rPr>
          <w:b/>
          <w:bCs/>
        </w:rPr>
        <w:t xml:space="preserve"> </w:t>
      </w:r>
      <w:r w:rsidRPr="008E58FB">
        <w:rPr>
          <w:bCs/>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8E58FB">
          <w:rPr>
            <w:rStyle w:val="Hyperlink"/>
            <w:bCs/>
          </w:rPr>
          <w:t>http://www.bls.gov/oes/current/oes_stru.htm</w:t>
        </w:r>
      </w:hyperlink>
      <w:r w:rsidRPr="008E58FB">
        <w:rPr>
          <w:bCs/>
        </w:rPr>
        <w:t xml:space="preserve"> ).  </w:t>
      </w:r>
    </w:p>
    <w:p w:rsidR="00901943" w:rsidRPr="008E58FB" w:rsidRDefault="00901943" w:rsidP="00901943">
      <w:pPr>
        <w:numPr>
          <w:ilvl w:val="12"/>
          <w:numId w:val="0"/>
        </w:numPr>
        <w:rPr>
          <w:bCs/>
        </w:rPr>
      </w:pPr>
    </w:p>
    <w:p w:rsidR="00901943" w:rsidRPr="00DF53E7" w:rsidRDefault="00901943" w:rsidP="00901943">
      <w:pPr>
        <w:numPr>
          <w:ilvl w:val="12"/>
          <w:numId w:val="0"/>
        </w:numPr>
        <w:rPr>
          <w:bCs/>
        </w:rPr>
      </w:pPr>
      <w:r>
        <w:rPr>
          <w:bCs/>
        </w:rPr>
        <w:tab/>
      </w:r>
      <w:r w:rsidRPr="00DF53E7">
        <w:rPr>
          <w:bCs/>
        </w:rPr>
        <w:t xml:space="preserve">Loaded Wage Rate: Unless stated otherwise, all benefits represent 44% of unloaded wage rates, based on benefits for all civilian non-farm workers, from </w:t>
      </w:r>
      <w:hyperlink r:id="rId11" w:history="1">
        <w:r w:rsidRPr="00DF53E7">
          <w:rPr>
            <w:rStyle w:val="Hyperlink"/>
            <w:bCs/>
          </w:rPr>
          <w:t>http://www.bls.gov/news.release/ecec.t01.htm</w:t>
        </w:r>
      </w:hyperlink>
      <w:r w:rsidRPr="00DF53E7">
        <w:rPr>
          <w:bCs/>
        </w:rPr>
        <w:t>. However, if other sectors are listed for which 44% is not applicable; the applicable percentage will be stated.</w:t>
      </w:r>
    </w:p>
    <w:p w:rsidR="00901943" w:rsidRPr="00DF53E7" w:rsidRDefault="00901943" w:rsidP="00901943">
      <w:pPr>
        <w:numPr>
          <w:ilvl w:val="12"/>
          <w:numId w:val="0"/>
        </w:numPr>
        <w:rPr>
          <w:bCs/>
        </w:rPr>
      </w:pPr>
    </w:p>
    <w:p w:rsidR="00901943" w:rsidRPr="00A772BC" w:rsidRDefault="00901943" w:rsidP="00901943">
      <w:pPr>
        <w:numPr>
          <w:ilvl w:val="12"/>
          <w:numId w:val="0"/>
        </w:numPr>
      </w:pPr>
      <w:r w:rsidRPr="00DF53E7">
        <w:rPr>
          <w:bCs/>
        </w:rPr>
        <w:tab/>
        <w:t xml:space="preserve">Fully Loaded Wage Rate: We multiply the loaded wage rate by 50% (EPA guidelines 20-70%) to get overhead costs.  </w:t>
      </w:r>
      <w:r w:rsidRPr="009E5048">
        <w:rPr>
          <w:bCs/>
        </w:rPr>
        <w:t xml:space="preserve">Attachment </w:t>
      </w:r>
      <w:r w:rsidR="009E5048" w:rsidRPr="009E5048">
        <w:rPr>
          <w:bCs/>
        </w:rPr>
        <w:t>E</w:t>
      </w:r>
      <w:r w:rsidRPr="00DF53E7">
        <w:rPr>
          <w:bCs/>
        </w:rPr>
        <w:t xml:space="preserve"> contain</w:t>
      </w:r>
      <w:r w:rsidR="002171A5">
        <w:rPr>
          <w:bCs/>
        </w:rPr>
        <w:t>s</w:t>
      </w:r>
      <w:r w:rsidRPr="00DF53E7">
        <w:rPr>
          <w:bCs/>
        </w:rPr>
        <w:t xml:space="preserve"> worksheets providing the breakout of these costs.  Costs are indexed to 20</w:t>
      </w:r>
      <w:r w:rsidR="00A060B3">
        <w:rPr>
          <w:bCs/>
        </w:rPr>
        <w:t>12</w:t>
      </w:r>
      <w:r w:rsidRPr="00DF53E7">
        <w:rPr>
          <w:bCs/>
        </w:rPr>
        <w:t xml:space="preserve"> data.</w:t>
      </w:r>
      <w:r w:rsidRPr="00A772BC">
        <w:rPr>
          <w:bCs/>
        </w:rPr>
        <w:t xml:space="preserve">  </w:t>
      </w:r>
    </w:p>
    <w:p w:rsidR="00901943" w:rsidRPr="00A772BC" w:rsidRDefault="00901943" w:rsidP="00901943">
      <w:pPr>
        <w:pStyle w:val="PlainText"/>
        <w:ind w:firstLine="720"/>
        <w:rPr>
          <w:rFonts w:ascii="Times New Roman" w:hAnsi="Times New Roman" w:cs="Times New Roman"/>
          <w:bCs/>
          <w:sz w:val="24"/>
          <w:szCs w:val="24"/>
        </w:rPr>
      </w:pPr>
    </w:p>
    <w:p w:rsidR="00901943" w:rsidRPr="005A3906" w:rsidRDefault="00901943" w:rsidP="00901943">
      <w:pPr>
        <w:pStyle w:val="PlainText"/>
        <w:ind w:firstLine="720"/>
        <w:rPr>
          <w:rFonts w:ascii="Times New Roman" w:hAnsi="Times New Roman" w:cs="Times New Roman"/>
          <w:bCs/>
          <w:sz w:val="24"/>
          <w:szCs w:val="24"/>
        </w:rPr>
      </w:pPr>
      <w:r w:rsidRPr="00A772BC">
        <w:rPr>
          <w:rFonts w:ascii="Times New Roman" w:hAnsi="Times New Roman" w:cs="Times New Roman"/>
          <w:bCs/>
          <w:sz w:val="24"/>
          <w:szCs w:val="24"/>
        </w:rPr>
        <w:t>To derive the labor rates for this ICR, Agency economists estimated the wages for the management, technical, and clerical labor categories using the methodology described in Attachment E.  The respondent costs for this</w:t>
      </w:r>
      <w:r w:rsidRPr="005A3906">
        <w:rPr>
          <w:rFonts w:ascii="Times New Roman" w:hAnsi="Times New Roman" w:cs="Times New Roman"/>
          <w:bCs/>
          <w:sz w:val="24"/>
          <w:szCs w:val="24"/>
        </w:rPr>
        <w:t xml:space="preserve"> renewal for managerial, technical and clerical rates are estimated at $1</w:t>
      </w:r>
      <w:r w:rsidR="00B00A01">
        <w:rPr>
          <w:rFonts w:ascii="Times New Roman" w:hAnsi="Times New Roman" w:cs="Times New Roman"/>
          <w:bCs/>
          <w:sz w:val="24"/>
          <w:szCs w:val="24"/>
        </w:rPr>
        <w:t>17.74</w:t>
      </w:r>
      <w:r w:rsidRPr="005A3906">
        <w:rPr>
          <w:rFonts w:ascii="Times New Roman" w:hAnsi="Times New Roman" w:cs="Times New Roman"/>
          <w:bCs/>
          <w:sz w:val="24"/>
          <w:szCs w:val="24"/>
        </w:rPr>
        <w:t>, $6</w:t>
      </w:r>
      <w:r w:rsidR="00B00A01">
        <w:rPr>
          <w:rFonts w:ascii="Times New Roman" w:hAnsi="Times New Roman" w:cs="Times New Roman"/>
          <w:bCs/>
          <w:sz w:val="24"/>
          <w:szCs w:val="24"/>
        </w:rPr>
        <w:t>2.58</w:t>
      </w:r>
      <w:r w:rsidRPr="005A3906">
        <w:rPr>
          <w:rFonts w:ascii="Times New Roman" w:hAnsi="Times New Roman" w:cs="Times New Roman"/>
          <w:bCs/>
          <w:sz w:val="24"/>
          <w:szCs w:val="24"/>
        </w:rPr>
        <w:t>, and $3</w:t>
      </w:r>
      <w:r w:rsidR="00B00A01">
        <w:rPr>
          <w:rFonts w:ascii="Times New Roman" w:hAnsi="Times New Roman" w:cs="Times New Roman"/>
          <w:bCs/>
          <w:sz w:val="24"/>
          <w:szCs w:val="24"/>
        </w:rPr>
        <w:t>7.33</w:t>
      </w:r>
      <w:r w:rsidRPr="005A3906">
        <w:rPr>
          <w:rFonts w:ascii="Times New Roman" w:hAnsi="Times New Roman" w:cs="Times New Roman"/>
          <w:bCs/>
          <w:sz w:val="24"/>
          <w:szCs w:val="24"/>
        </w:rPr>
        <w:t xml:space="preserve"> per hour, respectively.  These labor rates are fully loaded </w:t>
      </w:r>
      <w:r w:rsidR="000D3D90">
        <w:rPr>
          <w:rFonts w:ascii="Times New Roman" w:hAnsi="Times New Roman" w:cs="Times New Roman"/>
          <w:bCs/>
          <w:sz w:val="24"/>
          <w:szCs w:val="24"/>
        </w:rPr>
        <w:t>(</w:t>
      </w:r>
      <w:r w:rsidRPr="005A3906">
        <w:rPr>
          <w:rFonts w:ascii="Times New Roman" w:hAnsi="Times New Roman" w:cs="Times New Roman"/>
          <w:bCs/>
          <w:sz w:val="24"/>
          <w:szCs w:val="24"/>
        </w:rPr>
        <w:t>include benefits and overhead costs</w:t>
      </w:r>
      <w:r w:rsidR="000D3D90">
        <w:rPr>
          <w:rFonts w:ascii="Times New Roman" w:hAnsi="Times New Roman" w:cs="Times New Roman"/>
          <w:bCs/>
          <w:sz w:val="24"/>
          <w:szCs w:val="24"/>
        </w:rPr>
        <w:t>)</w:t>
      </w:r>
      <w:r w:rsidRPr="005A3906">
        <w:rPr>
          <w:rFonts w:ascii="Times New Roman" w:hAnsi="Times New Roman" w:cs="Times New Roman"/>
          <w:bCs/>
          <w:sz w:val="24"/>
          <w:szCs w:val="24"/>
        </w:rPr>
        <w:t xml:space="preserve">. </w:t>
      </w:r>
    </w:p>
    <w:p w:rsidR="00901943" w:rsidRPr="005A3906" w:rsidRDefault="00901943" w:rsidP="00901943">
      <w:pPr>
        <w:pStyle w:val="PlainText"/>
        <w:rPr>
          <w:rFonts w:ascii="Times New Roman" w:hAnsi="Times New Roman" w:cs="Times New Roman"/>
          <w:sz w:val="24"/>
          <w:szCs w:val="24"/>
        </w:rPr>
      </w:pPr>
    </w:p>
    <w:p w:rsidR="00901943" w:rsidRPr="005A3906" w:rsidRDefault="00901943" w:rsidP="0090194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Since CBI substantiations are simply added to the registration application package and are not submitted separately, there are no additional costs related to the transmittal of this information to the Agency. The costs for submitting the registration application package are already included under </w:t>
      </w:r>
      <w:r w:rsidR="000D3D90">
        <w:rPr>
          <w:rFonts w:ascii="Times New Roman" w:hAnsi="Times New Roman" w:cs="Times New Roman"/>
          <w:sz w:val="24"/>
          <w:szCs w:val="24"/>
        </w:rPr>
        <w:t>o</w:t>
      </w:r>
      <w:r w:rsidRPr="005A3906">
        <w:rPr>
          <w:rFonts w:ascii="Times New Roman" w:hAnsi="Times New Roman" w:cs="Times New Roman"/>
          <w:sz w:val="24"/>
          <w:szCs w:val="24"/>
        </w:rPr>
        <w:t>the</w:t>
      </w:r>
      <w:r w:rsidR="000D3D90">
        <w:rPr>
          <w:rFonts w:ascii="Times New Roman" w:hAnsi="Times New Roman" w:cs="Times New Roman"/>
          <w:sz w:val="24"/>
          <w:szCs w:val="24"/>
        </w:rPr>
        <w:t>r</w:t>
      </w:r>
      <w:r w:rsidRPr="005A3906">
        <w:rPr>
          <w:rFonts w:ascii="Times New Roman" w:hAnsi="Times New Roman" w:cs="Times New Roman"/>
          <w:sz w:val="24"/>
          <w:szCs w:val="24"/>
        </w:rPr>
        <w:t xml:space="preserve"> existing ICRs. </w:t>
      </w:r>
      <w:r>
        <w:rPr>
          <w:rFonts w:ascii="Times New Roman" w:hAnsi="Times New Roman" w:cs="Times New Roman"/>
          <w:sz w:val="24"/>
          <w:szCs w:val="24"/>
        </w:rPr>
        <w:t xml:space="preserve"> </w:t>
      </w:r>
      <w:r w:rsidRPr="005A3906">
        <w:rPr>
          <w:rFonts w:ascii="Times New Roman" w:hAnsi="Times New Roman" w:cs="Times New Roman"/>
          <w:sz w:val="24"/>
          <w:szCs w:val="24"/>
        </w:rPr>
        <w:t xml:space="preserve">These respondent burden and cost estimates may also represent an upper bound because the analysis assumes that all </w:t>
      </w:r>
      <w:r>
        <w:rPr>
          <w:rFonts w:ascii="Times New Roman" w:hAnsi="Times New Roman" w:cs="Times New Roman"/>
          <w:sz w:val="24"/>
          <w:szCs w:val="24"/>
        </w:rPr>
        <w:t>PIP-</w:t>
      </w:r>
      <w:r w:rsidRPr="005A3906">
        <w:rPr>
          <w:rFonts w:ascii="Times New Roman" w:hAnsi="Times New Roman" w:cs="Times New Roman"/>
          <w:sz w:val="24"/>
          <w:szCs w:val="24"/>
        </w:rPr>
        <w:t xml:space="preserve">related registration applications </w:t>
      </w:r>
      <w:r>
        <w:rPr>
          <w:rFonts w:ascii="Times New Roman" w:hAnsi="Times New Roman" w:cs="Times New Roman"/>
          <w:sz w:val="24"/>
          <w:szCs w:val="24"/>
        </w:rPr>
        <w:t>may</w:t>
      </w:r>
      <w:r w:rsidRPr="005A3906">
        <w:rPr>
          <w:rFonts w:ascii="Times New Roman" w:hAnsi="Times New Roman" w:cs="Times New Roman"/>
          <w:sz w:val="24"/>
          <w:szCs w:val="24"/>
        </w:rPr>
        <w:t xml:space="preserve"> include information that the registrants will claim as CBI which will need to </w:t>
      </w:r>
      <w:r>
        <w:rPr>
          <w:rFonts w:ascii="Times New Roman" w:hAnsi="Times New Roman" w:cs="Times New Roman"/>
          <w:sz w:val="24"/>
          <w:szCs w:val="24"/>
        </w:rPr>
        <w:t xml:space="preserve">be </w:t>
      </w:r>
      <w:r w:rsidRPr="005A3906">
        <w:rPr>
          <w:rFonts w:ascii="Times New Roman" w:hAnsi="Times New Roman" w:cs="Times New Roman"/>
          <w:sz w:val="24"/>
          <w:szCs w:val="24"/>
        </w:rPr>
        <w:t>substantiated. It is likely that registrants will recognize, over time, that it is in their interest to make all information on</w:t>
      </w:r>
      <w:r>
        <w:rPr>
          <w:rFonts w:ascii="Times New Roman" w:hAnsi="Times New Roman" w:cs="Times New Roman"/>
          <w:sz w:val="24"/>
          <w:szCs w:val="24"/>
        </w:rPr>
        <w:t xml:space="preserve"> PIP</w:t>
      </w:r>
      <w:r w:rsidRPr="005A3906">
        <w:rPr>
          <w:rFonts w:ascii="Times New Roman" w:hAnsi="Times New Roman" w:cs="Times New Roman"/>
          <w:sz w:val="24"/>
          <w:szCs w:val="24"/>
        </w:rPr>
        <w:t xml:space="preserve">s publicly available to </w:t>
      </w:r>
      <w:r w:rsidRPr="002A023E">
        <w:rPr>
          <w:rFonts w:ascii="Times New Roman" w:hAnsi="Times New Roman" w:cs="Times New Roman"/>
          <w:sz w:val="24"/>
          <w:szCs w:val="24"/>
        </w:rPr>
        <w:t>improve the transparency of the regulatory process.</w:t>
      </w:r>
    </w:p>
    <w:p w:rsidR="006103A9" w:rsidRPr="005A3906" w:rsidRDefault="006103A9" w:rsidP="00343EF0">
      <w:pPr>
        <w:pStyle w:val="PlainText"/>
        <w:rPr>
          <w:rFonts w:ascii="Times New Roman" w:hAnsi="Times New Roman" w:cs="Times New Roman"/>
          <w:sz w:val="24"/>
          <w:szCs w:val="24"/>
        </w:rPr>
      </w:pPr>
    </w:p>
    <w:p w:rsidR="006103A9" w:rsidRPr="005A3906" w:rsidRDefault="006103A9" w:rsidP="009416EB">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purposes of this ICR, EPA is </w:t>
      </w:r>
      <w:r w:rsidRPr="00A772BC">
        <w:rPr>
          <w:rFonts w:ascii="Times New Roman" w:hAnsi="Times New Roman" w:cs="Times New Roman"/>
          <w:sz w:val="24"/>
          <w:szCs w:val="24"/>
        </w:rPr>
        <w:t xml:space="preserve">assuming that no more than </w:t>
      </w:r>
      <w:r w:rsidR="005C776D" w:rsidRPr="00A772BC">
        <w:rPr>
          <w:rFonts w:ascii="Times New Roman" w:hAnsi="Times New Roman" w:cs="Times New Roman"/>
          <w:sz w:val="24"/>
          <w:szCs w:val="24"/>
        </w:rPr>
        <w:t xml:space="preserve">60 </w:t>
      </w:r>
      <w:r w:rsidRPr="00A772BC">
        <w:rPr>
          <w:rFonts w:ascii="Times New Roman" w:hAnsi="Times New Roman" w:cs="Times New Roman"/>
          <w:sz w:val="24"/>
          <w:szCs w:val="24"/>
        </w:rPr>
        <w:t xml:space="preserve">PIP-related registration applications with associated CBI substantiations will be submitted over the </w:t>
      </w:r>
      <w:r w:rsidR="00146A98" w:rsidRPr="00A772BC">
        <w:rPr>
          <w:rFonts w:ascii="Times New Roman" w:hAnsi="Times New Roman" w:cs="Times New Roman"/>
          <w:sz w:val="24"/>
          <w:szCs w:val="24"/>
        </w:rPr>
        <w:t>three</w:t>
      </w:r>
      <w:r w:rsidR="00B50EA2" w:rsidRPr="00A772BC">
        <w:rPr>
          <w:rFonts w:ascii="Times New Roman" w:hAnsi="Times New Roman" w:cs="Times New Roman"/>
          <w:sz w:val="24"/>
          <w:szCs w:val="24"/>
        </w:rPr>
        <w:t>-</w:t>
      </w:r>
      <w:r w:rsidRPr="00A772BC">
        <w:rPr>
          <w:rFonts w:ascii="Times New Roman" w:hAnsi="Times New Roman" w:cs="Times New Roman"/>
          <w:sz w:val="24"/>
          <w:szCs w:val="24"/>
        </w:rPr>
        <w:t>year approval period for this ICR</w:t>
      </w:r>
      <w:r w:rsidR="009416EB" w:rsidRPr="00A772BC">
        <w:rPr>
          <w:rFonts w:ascii="Times New Roman" w:hAnsi="Times New Roman" w:cs="Times New Roman"/>
          <w:sz w:val="24"/>
          <w:szCs w:val="24"/>
        </w:rPr>
        <w:t xml:space="preserve">, or </w:t>
      </w:r>
      <w:r w:rsidR="005C776D" w:rsidRPr="00A772BC">
        <w:rPr>
          <w:rFonts w:ascii="Times New Roman" w:hAnsi="Times New Roman" w:cs="Times New Roman"/>
          <w:sz w:val="24"/>
          <w:szCs w:val="24"/>
        </w:rPr>
        <w:t xml:space="preserve">20 </w:t>
      </w:r>
      <w:r w:rsidR="009416EB" w:rsidRPr="00A772BC">
        <w:rPr>
          <w:rFonts w:ascii="Times New Roman" w:hAnsi="Times New Roman" w:cs="Times New Roman"/>
          <w:sz w:val="24"/>
          <w:szCs w:val="24"/>
        </w:rPr>
        <w:t>per year</w:t>
      </w:r>
      <w:r w:rsidRPr="00A772BC">
        <w:rPr>
          <w:rFonts w:ascii="Times New Roman" w:hAnsi="Times New Roman" w:cs="Times New Roman"/>
          <w:sz w:val="24"/>
          <w:szCs w:val="24"/>
        </w:rPr>
        <w:t>.</w:t>
      </w:r>
      <w:r w:rsidR="00472EF4">
        <w:rPr>
          <w:rFonts w:ascii="Times New Roman" w:hAnsi="Times New Roman" w:cs="Times New Roman"/>
          <w:sz w:val="24"/>
          <w:szCs w:val="24"/>
        </w:rPr>
        <w:t xml:space="preserve">  This estimate is based on EPA’s recent experience with PIP registration actions.  Over the last two years there </w:t>
      </w:r>
      <w:r w:rsidR="00B00A01">
        <w:rPr>
          <w:rFonts w:ascii="Times New Roman" w:hAnsi="Times New Roman" w:cs="Times New Roman"/>
          <w:sz w:val="24"/>
          <w:szCs w:val="24"/>
        </w:rPr>
        <w:t>has been an average</w:t>
      </w:r>
      <w:r w:rsidR="00472EF4">
        <w:rPr>
          <w:rFonts w:ascii="Times New Roman" w:hAnsi="Times New Roman" w:cs="Times New Roman"/>
          <w:sz w:val="24"/>
          <w:szCs w:val="24"/>
        </w:rPr>
        <w:t xml:space="preserve"> of 2 tolerance exemptions finalized, and two EUP applications.  There ha</w:t>
      </w:r>
      <w:r w:rsidR="00B00A01">
        <w:rPr>
          <w:rFonts w:ascii="Times New Roman" w:hAnsi="Times New Roman" w:cs="Times New Roman"/>
          <w:sz w:val="24"/>
          <w:szCs w:val="24"/>
        </w:rPr>
        <w:t>s</w:t>
      </w:r>
      <w:r w:rsidR="00472EF4">
        <w:rPr>
          <w:rFonts w:ascii="Times New Roman" w:hAnsi="Times New Roman" w:cs="Times New Roman"/>
          <w:sz w:val="24"/>
          <w:szCs w:val="24"/>
        </w:rPr>
        <w:t xml:space="preserve"> been an average of 13 applications for new PIP products, but this number has been trending up</w:t>
      </w:r>
      <w:r w:rsidR="0096174A">
        <w:rPr>
          <w:rFonts w:ascii="Times New Roman" w:hAnsi="Times New Roman" w:cs="Times New Roman"/>
          <w:sz w:val="24"/>
          <w:szCs w:val="24"/>
        </w:rPr>
        <w:t>.</w:t>
      </w:r>
      <w:r w:rsidR="00472EF4">
        <w:rPr>
          <w:rFonts w:ascii="Times New Roman" w:hAnsi="Times New Roman" w:cs="Times New Roman"/>
          <w:sz w:val="24"/>
          <w:szCs w:val="24"/>
        </w:rPr>
        <w:t xml:space="preserve"> </w:t>
      </w:r>
      <w:r w:rsidR="0096174A">
        <w:rPr>
          <w:rFonts w:ascii="Times New Roman" w:hAnsi="Times New Roman" w:cs="Times New Roman"/>
          <w:sz w:val="24"/>
          <w:szCs w:val="24"/>
        </w:rPr>
        <w:t>Thus, i</w:t>
      </w:r>
      <w:r w:rsidR="00472EF4">
        <w:rPr>
          <w:rFonts w:ascii="Times New Roman" w:hAnsi="Times New Roman" w:cs="Times New Roman"/>
          <w:sz w:val="24"/>
          <w:szCs w:val="24"/>
        </w:rPr>
        <w:t xml:space="preserve">nstead of using the average for this ICR, </w:t>
      </w:r>
      <w:r w:rsidR="00B00A01">
        <w:rPr>
          <w:rFonts w:ascii="Times New Roman" w:hAnsi="Times New Roman" w:cs="Times New Roman"/>
          <w:sz w:val="24"/>
          <w:szCs w:val="24"/>
        </w:rPr>
        <w:t>the calculat</w:t>
      </w:r>
      <w:r w:rsidR="00042C0D">
        <w:rPr>
          <w:rFonts w:ascii="Times New Roman" w:hAnsi="Times New Roman" w:cs="Times New Roman"/>
          <w:sz w:val="24"/>
          <w:szCs w:val="24"/>
        </w:rPr>
        <w:t>ion</w:t>
      </w:r>
      <w:r w:rsidR="00472EF4">
        <w:rPr>
          <w:rFonts w:ascii="Times New Roman" w:hAnsi="Times New Roman" w:cs="Times New Roman"/>
          <w:sz w:val="24"/>
          <w:szCs w:val="24"/>
        </w:rPr>
        <w:t xml:space="preserve"> use</w:t>
      </w:r>
      <w:r w:rsidR="00B00A01">
        <w:rPr>
          <w:rFonts w:ascii="Times New Roman" w:hAnsi="Times New Roman" w:cs="Times New Roman"/>
          <w:sz w:val="24"/>
          <w:szCs w:val="24"/>
        </w:rPr>
        <w:t>s</w:t>
      </w:r>
      <w:r w:rsidR="00472EF4">
        <w:rPr>
          <w:rFonts w:ascii="Times New Roman" w:hAnsi="Times New Roman" w:cs="Times New Roman"/>
          <w:sz w:val="24"/>
          <w:szCs w:val="24"/>
        </w:rPr>
        <w:t xml:space="preserve"> the maximum, which was 16 applications in 2012.  </w:t>
      </w:r>
      <w:r w:rsidR="00CF00EB">
        <w:rPr>
          <w:rFonts w:ascii="Times New Roman" w:hAnsi="Times New Roman" w:cs="Times New Roman"/>
          <w:sz w:val="24"/>
          <w:szCs w:val="24"/>
        </w:rPr>
        <w:t xml:space="preserve">  </w:t>
      </w:r>
      <w:r w:rsidR="00A772BC">
        <w:rPr>
          <w:rFonts w:ascii="Times New Roman" w:hAnsi="Times New Roman" w:cs="Times New Roman"/>
          <w:sz w:val="24"/>
          <w:szCs w:val="24"/>
        </w:rPr>
        <w:t xml:space="preserve"> </w:t>
      </w:r>
    </w:p>
    <w:p w:rsidR="006103A9" w:rsidRPr="005A3906" w:rsidRDefault="006103A9" w:rsidP="00343EF0">
      <w:pPr>
        <w:pStyle w:val="PlainText"/>
        <w:rPr>
          <w:rFonts w:ascii="Times New Roman" w:hAnsi="Times New Roman" w:cs="Times New Roman"/>
          <w:sz w:val="24"/>
          <w:szCs w:val="24"/>
        </w:rPr>
      </w:pPr>
      <w:bookmarkStart w:id="0" w:name="OLE_LINK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1639"/>
        <w:gridCol w:w="1456"/>
        <w:gridCol w:w="1456"/>
        <w:gridCol w:w="1092"/>
        <w:gridCol w:w="1092"/>
      </w:tblGrid>
      <w:tr w:rsidR="00A27D43" w:rsidRPr="00A772BC" w:rsidTr="00B00A01">
        <w:trPr>
          <w:jc w:val="center"/>
        </w:trPr>
        <w:tc>
          <w:tcPr>
            <w:tcW w:w="9468" w:type="dxa"/>
            <w:gridSpan w:val="6"/>
          </w:tcPr>
          <w:p w:rsidR="00A27D43" w:rsidRPr="00A772BC" w:rsidRDefault="00A27D43" w:rsidP="00343EF0">
            <w:pPr>
              <w:pStyle w:val="PlainText"/>
              <w:rPr>
                <w:rFonts w:ascii="Times New Roman" w:hAnsi="Times New Roman" w:cs="Times New Roman"/>
                <w:b/>
                <w:sz w:val="24"/>
                <w:szCs w:val="24"/>
              </w:rPr>
            </w:pPr>
            <w:r w:rsidRPr="00A772BC">
              <w:rPr>
                <w:rFonts w:ascii="Times New Roman" w:hAnsi="Times New Roman" w:cs="Times New Roman"/>
                <w:b/>
                <w:sz w:val="24"/>
                <w:szCs w:val="24"/>
              </w:rPr>
              <w:t xml:space="preserve">Table 1 – Average </w:t>
            </w:r>
            <w:r w:rsidR="00B50EA2" w:rsidRPr="00A772BC">
              <w:rPr>
                <w:rFonts w:ascii="Times New Roman" w:hAnsi="Times New Roman" w:cs="Times New Roman"/>
                <w:b/>
                <w:sz w:val="24"/>
                <w:szCs w:val="24"/>
              </w:rPr>
              <w:t xml:space="preserve">Respondent </w:t>
            </w:r>
            <w:r w:rsidRPr="00A772BC">
              <w:rPr>
                <w:rFonts w:ascii="Times New Roman" w:hAnsi="Times New Roman" w:cs="Times New Roman"/>
                <w:b/>
                <w:sz w:val="24"/>
                <w:szCs w:val="24"/>
              </w:rPr>
              <w:t xml:space="preserve">Burden and Cost Estimates </w:t>
            </w:r>
            <w:r w:rsidR="00EA2A54" w:rsidRPr="00A772BC">
              <w:rPr>
                <w:rFonts w:ascii="Times New Roman" w:hAnsi="Times New Roman" w:cs="Times New Roman"/>
                <w:b/>
                <w:color w:val="000000"/>
                <w:sz w:val="24"/>
                <w:szCs w:val="24"/>
              </w:rPr>
              <w:t>per Submission</w:t>
            </w:r>
            <w:r w:rsidR="00EA2A54" w:rsidRPr="00A772BC">
              <w:rPr>
                <w:rFonts w:ascii="Times New Roman" w:hAnsi="Times New Roman" w:cs="Times New Roman"/>
                <w:b/>
                <w:color w:val="FF0000"/>
                <w:sz w:val="24"/>
                <w:szCs w:val="24"/>
              </w:rPr>
              <w:t xml:space="preserve"> </w:t>
            </w:r>
            <w:r w:rsidRPr="00A772BC">
              <w:rPr>
                <w:rFonts w:ascii="Times New Roman" w:hAnsi="Times New Roman" w:cs="Times New Roman"/>
                <w:b/>
                <w:sz w:val="24"/>
                <w:szCs w:val="24"/>
              </w:rPr>
              <w:t xml:space="preserve">for Substantiation of CBI Claims Made in a Plant-Incorporated Protectant </w:t>
            </w:r>
            <w:r w:rsidR="0041279D" w:rsidRPr="00A772BC">
              <w:rPr>
                <w:rFonts w:ascii="Times New Roman" w:hAnsi="Times New Roman" w:cs="Times New Roman"/>
                <w:b/>
                <w:sz w:val="24"/>
                <w:szCs w:val="24"/>
              </w:rPr>
              <w:t>R</w:t>
            </w:r>
            <w:r w:rsidR="00EA2A54" w:rsidRPr="00A772BC">
              <w:rPr>
                <w:rFonts w:ascii="Times New Roman" w:hAnsi="Times New Roman" w:cs="Times New Roman"/>
                <w:b/>
                <w:sz w:val="24"/>
                <w:szCs w:val="24"/>
              </w:rPr>
              <w:t xml:space="preserve">egistration </w:t>
            </w:r>
            <w:r w:rsidR="00EA2A54" w:rsidRPr="00A772BC">
              <w:rPr>
                <w:rFonts w:ascii="Times New Roman" w:hAnsi="Times New Roman" w:cs="Times New Roman"/>
                <w:b/>
                <w:sz w:val="24"/>
                <w:szCs w:val="24"/>
              </w:rPr>
              <w:lastRenderedPageBreak/>
              <w:t>Application</w:t>
            </w:r>
          </w:p>
        </w:tc>
      </w:tr>
      <w:tr w:rsidR="00A27D43" w:rsidRPr="00A772BC" w:rsidTr="00B00A01">
        <w:trPr>
          <w:jc w:val="center"/>
        </w:trPr>
        <w:tc>
          <w:tcPr>
            <w:tcW w:w="2808" w:type="dxa"/>
          </w:tcPr>
          <w:p w:rsidR="00A27D43" w:rsidRPr="00A772BC" w:rsidRDefault="00A27D43" w:rsidP="00343EF0">
            <w:pPr>
              <w:pStyle w:val="PlainText"/>
              <w:rPr>
                <w:rFonts w:ascii="Times New Roman" w:hAnsi="Times New Roman" w:cs="Times New Roman"/>
                <w:sz w:val="24"/>
                <w:szCs w:val="24"/>
              </w:rPr>
            </w:pPr>
          </w:p>
        </w:tc>
        <w:tc>
          <w:tcPr>
            <w:tcW w:w="4500" w:type="dxa"/>
            <w:gridSpan w:val="3"/>
          </w:tcPr>
          <w:p w:rsidR="00A27D43" w:rsidRPr="00A772BC" w:rsidRDefault="00A27D4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Burden and Cost Estimates</w:t>
            </w:r>
          </w:p>
        </w:tc>
        <w:tc>
          <w:tcPr>
            <w:tcW w:w="2160" w:type="dxa"/>
            <w:gridSpan w:val="2"/>
          </w:tcPr>
          <w:p w:rsidR="00A27D43" w:rsidRPr="00A772BC" w:rsidRDefault="00A27D4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Totals</w:t>
            </w:r>
          </w:p>
        </w:tc>
      </w:tr>
      <w:tr w:rsidR="00A27D43" w:rsidRPr="00A772BC" w:rsidTr="00B00A01">
        <w:trPr>
          <w:jc w:val="center"/>
        </w:trPr>
        <w:tc>
          <w:tcPr>
            <w:tcW w:w="2808" w:type="dxa"/>
          </w:tcPr>
          <w:p w:rsidR="00A27D43" w:rsidRPr="00A772BC" w:rsidRDefault="00A27D4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Activities</w:t>
            </w:r>
          </w:p>
        </w:tc>
        <w:tc>
          <w:tcPr>
            <w:tcW w:w="1620" w:type="dxa"/>
          </w:tcPr>
          <w:p w:rsidR="00A27D43" w:rsidRPr="00A772BC" w:rsidRDefault="00A27D4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Mgmt.</w:t>
            </w:r>
          </w:p>
          <w:p w:rsidR="00A27D43" w:rsidRPr="00A772BC" w:rsidRDefault="00074A68"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($1</w:t>
            </w:r>
            <w:r w:rsidR="00A772BC" w:rsidRPr="00A772BC">
              <w:rPr>
                <w:rFonts w:ascii="Times New Roman" w:hAnsi="Times New Roman" w:cs="Times New Roman"/>
                <w:b/>
                <w:sz w:val="24"/>
                <w:szCs w:val="24"/>
              </w:rPr>
              <w:t>17.74</w:t>
            </w:r>
            <w:r w:rsidR="00A27D43" w:rsidRPr="00A772BC">
              <w:rPr>
                <w:rFonts w:ascii="Times New Roman" w:hAnsi="Times New Roman" w:cs="Times New Roman"/>
                <w:b/>
                <w:sz w:val="24"/>
                <w:szCs w:val="24"/>
              </w:rPr>
              <w:t>/</w:t>
            </w:r>
            <w:proofErr w:type="spellStart"/>
            <w:r w:rsidR="00A27D43" w:rsidRPr="00A772BC">
              <w:rPr>
                <w:rFonts w:ascii="Times New Roman" w:hAnsi="Times New Roman" w:cs="Times New Roman"/>
                <w:b/>
                <w:sz w:val="24"/>
                <w:szCs w:val="24"/>
              </w:rPr>
              <w:t>hr</w:t>
            </w:r>
            <w:proofErr w:type="spellEnd"/>
            <w:r w:rsidR="00A27D43" w:rsidRPr="00A772BC">
              <w:rPr>
                <w:rFonts w:ascii="Times New Roman" w:hAnsi="Times New Roman" w:cs="Times New Roman"/>
                <w:b/>
                <w:sz w:val="24"/>
                <w:szCs w:val="24"/>
              </w:rPr>
              <w:t>)</w:t>
            </w:r>
          </w:p>
        </w:tc>
        <w:tc>
          <w:tcPr>
            <w:tcW w:w="1440" w:type="dxa"/>
          </w:tcPr>
          <w:p w:rsidR="006F3D5C"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Tech.</w:t>
            </w:r>
          </w:p>
          <w:p w:rsidR="00A27D43" w:rsidRPr="00A772BC" w:rsidRDefault="00074A68"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r w:rsidR="00A772BC" w:rsidRPr="00A772BC">
              <w:rPr>
                <w:rFonts w:ascii="Times New Roman" w:hAnsi="Times New Roman" w:cs="Times New Roman"/>
                <w:b/>
                <w:sz w:val="24"/>
                <w:szCs w:val="24"/>
              </w:rPr>
              <w:t>62.58</w:t>
            </w:r>
            <w:r w:rsidR="006F3D5C" w:rsidRPr="00A772BC">
              <w:rPr>
                <w:rFonts w:ascii="Times New Roman" w:hAnsi="Times New Roman" w:cs="Times New Roman"/>
                <w:b/>
                <w:sz w:val="24"/>
                <w:szCs w:val="24"/>
              </w:rPr>
              <w:t>/</w:t>
            </w:r>
            <w:proofErr w:type="spellStart"/>
            <w:r w:rsidR="006F3D5C" w:rsidRPr="00A772BC">
              <w:rPr>
                <w:rFonts w:ascii="Times New Roman" w:hAnsi="Times New Roman" w:cs="Times New Roman"/>
                <w:b/>
                <w:sz w:val="24"/>
                <w:szCs w:val="24"/>
              </w:rPr>
              <w:t>hr</w:t>
            </w:r>
            <w:proofErr w:type="spellEnd"/>
            <w:r w:rsidR="006F3D5C" w:rsidRPr="00A772BC">
              <w:rPr>
                <w:rFonts w:ascii="Times New Roman" w:hAnsi="Times New Roman" w:cs="Times New Roman"/>
                <w:b/>
                <w:sz w:val="24"/>
                <w:szCs w:val="24"/>
              </w:rPr>
              <w:t>)</w:t>
            </w:r>
          </w:p>
        </w:tc>
        <w:tc>
          <w:tcPr>
            <w:tcW w:w="1440" w:type="dxa"/>
          </w:tcPr>
          <w:p w:rsidR="006F3D5C"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Clerical</w:t>
            </w:r>
          </w:p>
          <w:p w:rsidR="00A27D43" w:rsidRPr="00A772BC" w:rsidRDefault="00074A68"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r w:rsidR="00A772BC" w:rsidRPr="00A772BC">
              <w:rPr>
                <w:rFonts w:ascii="Times New Roman" w:hAnsi="Times New Roman" w:cs="Times New Roman"/>
                <w:b/>
                <w:sz w:val="24"/>
                <w:szCs w:val="24"/>
              </w:rPr>
              <w:t>37.33</w:t>
            </w:r>
            <w:r w:rsidR="006F3D5C" w:rsidRPr="00A772BC">
              <w:rPr>
                <w:rFonts w:ascii="Times New Roman" w:hAnsi="Times New Roman" w:cs="Times New Roman"/>
                <w:b/>
                <w:sz w:val="24"/>
                <w:szCs w:val="24"/>
              </w:rPr>
              <w:t>/</w:t>
            </w:r>
            <w:proofErr w:type="spellStart"/>
            <w:r w:rsidR="006F3D5C" w:rsidRPr="00A772BC">
              <w:rPr>
                <w:rFonts w:ascii="Times New Roman" w:hAnsi="Times New Roman" w:cs="Times New Roman"/>
                <w:b/>
                <w:sz w:val="24"/>
                <w:szCs w:val="24"/>
              </w:rPr>
              <w:t>hr</w:t>
            </w:r>
            <w:proofErr w:type="spellEnd"/>
            <w:r w:rsidR="006F3D5C" w:rsidRPr="00A772BC">
              <w:rPr>
                <w:rFonts w:ascii="Times New Roman" w:hAnsi="Times New Roman" w:cs="Times New Roman"/>
                <w:b/>
                <w:sz w:val="24"/>
                <w:szCs w:val="24"/>
              </w:rPr>
              <w:t>)</w:t>
            </w:r>
          </w:p>
        </w:tc>
        <w:tc>
          <w:tcPr>
            <w:tcW w:w="1080" w:type="dxa"/>
          </w:tcPr>
          <w:p w:rsidR="006F3D5C"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Burden</w:t>
            </w:r>
          </w:p>
          <w:p w:rsidR="00A27D43"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proofErr w:type="spellStart"/>
            <w:r w:rsidRPr="00A772BC">
              <w:rPr>
                <w:rFonts w:ascii="Times New Roman" w:hAnsi="Times New Roman" w:cs="Times New Roman"/>
                <w:b/>
                <w:sz w:val="24"/>
                <w:szCs w:val="24"/>
              </w:rPr>
              <w:t>hrs</w:t>
            </w:r>
            <w:proofErr w:type="spellEnd"/>
            <w:r w:rsidRPr="00A772BC">
              <w:rPr>
                <w:rFonts w:ascii="Times New Roman" w:hAnsi="Times New Roman" w:cs="Times New Roman"/>
                <w:b/>
                <w:sz w:val="24"/>
                <w:szCs w:val="24"/>
              </w:rPr>
              <w:t>)</w:t>
            </w:r>
          </w:p>
        </w:tc>
        <w:tc>
          <w:tcPr>
            <w:tcW w:w="1080" w:type="dxa"/>
          </w:tcPr>
          <w:p w:rsidR="006F3D5C"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Costs</w:t>
            </w:r>
          </w:p>
          <w:p w:rsidR="00A27D43" w:rsidRPr="00A772BC" w:rsidRDefault="006F3D5C"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Read Regulations</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1</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2</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3</w:t>
            </w:r>
          </w:p>
        </w:tc>
        <w:tc>
          <w:tcPr>
            <w:tcW w:w="1080" w:type="dxa"/>
          </w:tcPr>
          <w:p w:rsidR="00A772BC" w:rsidRPr="00A772BC" w:rsidRDefault="00A772BC" w:rsidP="001A2A05">
            <w:pPr>
              <w:jc w:val="right"/>
            </w:pPr>
            <w:r w:rsidRPr="00A772BC">
              <w:t xml:space="preserve"> 242.90 </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Plan Activities</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 xml:space="preserve">2 </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4</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6</w:t>
            </w:r>
          </w:p>
        </w:tc>
        <w:tc>
          <w:tcPr>
            <w:tcW w:w="1080" w:type="dxa"/>
          </w:tcPr>
          <w:p w:rsidR="00A772BC" w:rsidRPr="00A772BC" w:rsidRDefault="00A772BC" w:rsidP="001A2A05">
            <w:pPr>
              <w:jc w:val="right"/>
            </w:pPr>
            <w:r w:rsidRPr="00A772BC">
              <w:t xml:space="preserve"> 485.80 </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Gather Information</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4</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4</w:t>
            </w:r>
          </w:p>
        </w:tc>
        <w:tc>
          <w:tcPr>
            <w:tcW w:w="1080" w:type="dxa"/>
          </w:tcPr>
          <w:p w:rsidR="00A772BC" w:rsidRPr="00A772BC" w:rsidRDefault="00A772BC" w:rsidP="001A2A05">
            <w:pPr>
              <w:jc w:val="right"/>
            </w:pPr>
            <w:r w:rsidRPr="00A772BC">
              <w:t xml:space="preserve"> 250.32 </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Review Information</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 xml:space="preserve">2 </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1</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1</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4</w:t>
            </w:r>
          </w:p>
        </w:tc>
        <w:tc>
          <w:tcPr>
            <w:tcW w:w="1080" w:type="dxa"/>
          </w:tcPr>
          <w:p w:rsidR="00A772BC" w:rsidRPr="00A772BC" w:rsidRDefault="00A772BC" w:rsidP="001A2A05">
            <w:pPr>
              <w:jc w:val="right"/>
            </w:pPr>
            <w:r w:rsidRPr="00A772BC">
              <w:t xml:space="preserve"> 335.39 </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Complete Paperwork</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1</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2</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3</w:t>
            </w:r>
          </w:p>
        </w:tc>
        <w:tc>
          <w:tcPr>
            <w:tcW w:w="1080" w:type="dxa"/>
          </w:tcPr>
          <w:p w:rsidR="00A772BC" w:rsidRPr="00A772BC" w:rsidRDefault="00A772BC" w:rsidP="001A2A05">
            <w:pPr>
              <w:jc w:val="right"/>
            </w:pPr>
            <w:r w:rsidRPr="00A772BC">
              <w:t xml:space="preserve"> 137.24 </w:t>
            </w:r>
          </w:p>
        </w:tc>
      </w:tr>
      <w:tr w:rsidR="00A772BC" w:rsidRPr="00A772BC" w:rsidTr="00B00A01">
        <w:trPr>
          <w:jc w:val="center"/>
        </w:trPr>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Submit Information</w:t>
            </w:r>
          </w:p>
        </w:tc>
        <w:tc>
          <w:tcPr>
            <w:tcW w:w="162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0.5</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0.5</w:t>
            </w:r>
          </w:p>
        </w:tc>
        <w:tc>
          <w:tcPr>
            <w:tcW w:w="144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0.5</w:t>
            </w:r>
          </w:p>
        </w:tc>
        <w:tc>
          <w:tcPr>
            <w:tcW w:w="1080" w:type="dxa"/>
          </w:tcPr>
          <w:p w:rsidR="00A772BC" w:rsidRPr="00A772BC" w:rsidRDefault="00A772BC" w:rsidP="001A2A05">
            <w:pPr>
              <w:pStyle w:val="PlainText"/>
              <w:jc w:val="right"/>
              <w:rPr>
                <w:rFonts w:ascii="Times New Roman" w:hAnsi="Times New Roman" w:cs="Times New Roman"/>
                <w:sz w:val="24"/>
                <w:szCs w:val="24"/>
              </w:rPr>
            </w:pPr>
            <w:r w:rsidRPr="00A772BC">
              <w:rPr>
                <w:rFonts w:ascii="Times New Roman" w:hAnsi="Times New Roman" w:cs="Times New Roman"/>
                <w:sz w:val="24"/>
                <w:szCs w:val="24"/>
              </w:rPr>
              <w:t>1.5</w:t>
            </w:r>
          </w:p>
        </w:tc>
        <w:tc>
          <w:tcPr>
            <w:tcW w:w="1080" w:type="dxa"/>
          </w:tcPr>
          <w:p w:rsidR="00A772BC" w:rsidRPr="00A772BC" w:rsidRDefault="00A772BC" w:rsidP="001A2A05">
            <w:pPr>
              <w:jc w:val="right"/>
            </w:pPr>
            <w:r w:rsidRPr="00A772BC">
              <w:t xml:space="preserve"> 108.83 </w:t>
            </w:r>
          </w:p>
        </w:tc>
      </w:tr>
      <w:tr w:rsidR="00A772BC" w:rsidRPr="00A772BC" w:rsidTr="00B00A01">
        <w:trPr>
          <w:jc w:val="center"/>
        </w:trPr>
        <w:tc>
          <w:tcPr>
            <w:tcW w:w="2808" w:type="dxa"/>
          </w:tcPr>
          <w:p w:rsidR="00A772BC" w:rsidRPr="008027B8" w:rsidRDefault="00A772BC" w:rsidP="00343EF0">
            <w:pPr>
              <w:pStyle w:val="PlainText"/>
              <w:rPr>
                <w:rFonts w:ascii="Times New Roman" w:hAnsi="Times New Roman" w:cs="Times New Roman"/>
                <w:b/>
                <w:sz w:val="24"/>
                <w:szCs w:val="24"/>
              </w:rPr>
            </w:pPr>
            <w:r w:rsidRPr="008027B8">
              <w:rPr>
                <w:rFonts w:ascii="Times New Roman" w:hAnsi="Times New Roman" w:cs="Times New Roman"/>
                <w:b/>
                <w:sz w:val="24"/>
                <w:szCs w:val="24"/>
              </w:rPr>
              <w:t>Totals</w:t>
            </w:r>
          </w:p>
        </w:tc>
        <w:tc>
          <w:tcPr>
            <w:tcW w:w="162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5.5</w:t>
            </w:r>
          </w:p>
        </w:tc>
        <w:tc>
          <w:tcPr>
            <w:tcW w:w="144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12.5</w:t>
            </w:r>
          </w:p>
        </w:tc>
        <w:tc>
          <w:tcPr>
            <w:tcW w:w="144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3.5</w:t>
            </w:r>
          </w:p>
        </w:tc>
        <w:tc>
          <w:tcPr>
            <w:tcW w:w="108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21.5</w:t>
            </w:r>
          </w:p>
        </w:tc>
        <w:tc>
          <w:tcPr>
            <w:tcW w:w="1080" w:type="dxa"/>
          </w:tcPr>
          <w:p w:rsidR="00A772BC" w:rsidRPr="008027B8" w:rsidRDefault="00A772BC" w:rsidP="001A2A05">
            <w:pPr>
              <w:jc w:val="right"/>
              <w:rPr>
                <w:b/>
              </w:rPr>
            </w:pPr>
            <w:r w:rsidRPr="008027B8">
              <w:rPr>
                <w:b/>
              </w:rPr>
              <w:t xml:space="preserve">1,560.48 </w:t>
            </w:r>
          </w:p>
        </w:tc>
      </w:tr>
    </w:tbl>
    <w:p w:rsidR="006103A9" w:rsidRPr="00A772BC" w:rsidRDefault="006103A9" w:rsidP="00EA2A54">
      <w:pPr>
        <w:pStyle w:val="PlainText"/>
        <w:rPr>
          <w:rFonts w:ascii="Times New Roman" w:hAnsi="Times New Roman" w:cs="Times New Roman"/>
          <w:sz w:val="24"/>
          <w:szCs w:val="24"/>
        </w:rPr>
      </w:pPr>
      <w:r w:rsidRPr="00A772BC">
        <w:rPr>
          <w:rFonts w:ascii="Times New Roman" w:hAnsi="Times New Roman" w:cs="Times New Roman"/>
          <w:b/>
          <w:sz w:val="24"/>
          <w:szCs w:val="24"/>
        </w:rPr>
        <w:t xml:space="preserve">Estimated Total Annual </w:t>
      </w:r>
      <w:r w:rsidR="00B50EA2" w:rsidRPr="00A772BC">
        <w:rPr>
          <w:rFonts w:ascii="Times New Roman" w:hAnsi="Times New Roman" w:cs="Times New Roman"/>
          <w:b/>
          <w:sz w:val="24"/>
          <w:szCs w:val="24"/>
        </w:rPr>
        <w:t xml:space="preserve">Respondent </w:t>
      </w:r>
      <w:r w:rsidRPr="00A772BC">
        <w:rPr>
          <w:rFonts w:ascii="Times New Roman" w:hAnsi="Times New Roman" w:cs="Times New Roman"/>
          <w:b/>
          <w:sz w:val="24"/>
          <w:szCs w:val="24"/>
        </w:rPr>
        <w:t>Burden:</w:t>
      </w:r>
      <w:r w:rsidRPr="00A772BC">
        <w:rPr>
          <w:rFonts w:ascii="Times New Roman" w:hAnsi="Times New Roman" w:cs="Times New Roman"/>
          <w:sz w:val="24"/>
          <w:szCs w:val="24"/>
        </w:rPr>
        <w:t xml:space="preserve"> </w:t>
      </w:r>
      <w:r w:rsidR="00A772BC" w:rsidRPr="00A772BC">
        <w:rPr>
          <w:rFonts w:ascii="Times New Roman" w:hAnsi="Times New Roman" w:cs="Times New Roman"/>
          <w:sz w:val="24"/>
          <w:szCs w:val="24"/>
        </w:rPr>
        <w:t>20</w:t>
      </w:r>
      <w:r w:rsidRPr="00A772BC">
        <w:rPr>
          <w:rFonts w:ascii="Times New Roman" w:hAnsi="Times New Roman" w:cs="Times New Roman"/>
          <w:sz w:val="24"/>
          <w:szCs w:val="24"/>
        </w:rPr>
        <w:t xml:space="preserve"> events x 21.5 hours = </w:t>
      </w:r>
      <w:r w:rsidR="00A772BC" w:rsidRPr="00A772BC">
        <w:rPr>
          <w:rFonts w:ascii="Times New Roman" w:hAnsi="Times New Roman" w:cs="Times New Roman"/>
          <w:sz w:val="24"/>
          <w:szCs w:val="24"/>
        </w:rPr>
        <w:t xml:space="preserve">430 </w:t>
      </w:r>
      <w:r w:rsidRPr="00A772BC">
        <w:rPr>
          <w:rFonts w:ascii="Times New Roman" w:hAnsi="Times New Roman" w:cs="Times New Roman"/>
          <w:sz w:val="24"/>
          <w:szCs w:val="24"/>
        </w:rPr>
        <w:t>h</w:t>
      </w:r>
      <w:r w:rsidR="00B50EA2" w:rsidRPr="00A772BC">
        <w:rPr>
          <w:rFonts w:ascii="Times New Roman" w:hAnsi="Times New Roman" w:cs="Times New Roman"/>
          <w:sz w:val="24"/>
          <w:szCs w:val="24"/>
        </w:rPr>
        <w:t>ou</w:t>
      </w:r>
      <w:r w:rsidRPr="00A772BC">
        <w:rPr>
          <w:rFonts w:ascii="Times New Roman" w:hAnsi="Times New Roman" w:cs="Times New Roman"/>
          <w:sz w:val="24"/>
          <w:szCs w:val="24"/>
        </w:rPr>
        <w:t>rs</w:t>
      </w:r>
    </w:p>
    <w:p w:rsidR="006103A9" w:rsidRPr="005A3906" w:rsidRDefault="006103A9" w:rsidP="00EA2A54">
      <w:pPr>
        <w:pStyle w:val="PlainText"/>
        <w:rPr>
          <w:rFonts w:ascii="Times New Roman" w:hAnsi="Times New Roman" w:cs="Times New Roman"/>
          <w:sz w:val="24"/>
          <w:szCs w:val="24"/>
        </w:rPr>
      </w:pPr>
      <w:r w:rsidRPr="00A772BC">
        <w:rPr>
          <w:rFonts w:ascii="Times New Roman" w:hAnsi="Times New Roman" w:cs="Times New Roman"/>
          <w:b/>
          <w:sz w:val="24"/>
          <w:szCs w:val="24"/>
        </w:rPr>
        <w:t xml:space="preserve">Estimated Total Annual </w:t>
      </w:r>
      <w:r w:rsidR="00B50EA2" w:rsidRPr="00A772BC">
        <w:rPr>
          <w:rFonts w:ascii="Times New Roman" w:hAnsi="Times New Roman" w:cs="Times New Roman"/>
          <w:b/>
          <w:sz w:val="24"/>
          <w:szCs w:val="24"/>
        </w:rPr>
        <w:t xml:space="preserve">Respondent </w:t>
      </w:r>
      <w:r w:rsidR="00227704" w:rsidRPr="00A772BC">
        <w:rPr>
          <w:rFonts w:ascii="Times New Roman" w:hAnsi="Times New Roman" w:cs="Times New Roman"/>
          <w:b/>
          <w:sz w:val="24"/>
          <w:szCs w:val="24"/>
        </w:rPr>
        <w:t>Cost:</w:t>
      </w:r>
      <w:r w:rsidR="00227704" w:rsidRPr="00A772BC">
        <w:rPr>
          <w:rFonts w:ascii="Times New Roman" w:hAnsi="Times New Roman" w:cs="Times New Roman"/>
          <w:sz w:val="24"/>
          <w:szCs w:val="24"/>
        </w:rPr>
        <w:t xml:space="preserve"> </w:t>
      </w:r>
      <w:r w:rsidR="00A772BC" w:rsidRPr="00A772BC">
        <w:rPr>
          <w:rFonts w:ascii="Times New Roman" w:hAnsi="Times New Roman" w:cs="Times New Roman"/>
          <w:sz w:val="24"/>
          <w:szCs w:val="24"/>
        </w:rPr>
        <w:t xml:space="preserve">20 </w:t>
      </w:r>
      <w:r w:rsidR="00227704" w:rsidRPr="00A772BC">
        <w:rPr>
          <w:rFonts w:ascii="Times New Roman" w:hAnsi="Times New Roman" w:cs="Times New Roman"/>
          <w:sz w:val="24"/>
          <w:szCs w:val="24"/>
        </w:rPr>
        <w:t>events x $1,</w:t>
      </w:r>
      <w:r w:rsidR="00A772BC" w:rsidRPr="00A772BC">
        <w:rPr>
          <w:rFonts w:ascii="Times New Roman" w:hAnsi="Times New Roman" w:cs="Times New Roman"/>
          <w:sz w:val="24"/>
          <w:szCs w:val="24"/>
        </w:rPr>
        <w:t>560</w:t>
      </w:r>
      <w:r w:rsidR="00227704" w:rsidRPr="00A772BC">
        <w:rPr>
          <w:rFonts w:ascii="Times New Roman" w:hAnsi="Times New Roman" w:cs="Times New Roman"/>
          <w:sz w:val="24"/>
          <w:szCs w:val="24"/>
        </w:rPr>
        <w:t>.4</w:t>
      </w:r>
      <w:r w:rsidR="00185A01" w:rsidRPr="00A772BC">
        <w:rPr>
          <w:rFonts w:ascii="Times New Roman" w:hAnsi="Times New Roman" w:cs="Times New Roman"/>
          <w:sz w:val="24"/>
          <w:szCs w:val="24"/>
        </w:rPr>
        <w:t>8</w:t>
      </w:r>
      <w:r w:rsidR="00227704" w:rsidRPr="00A772BC">
        <w:rPr>
          <w:rFonts w:ascii="Times New Roman" w:hAnsi="Times New Roman" w:cs="Times New Roman"/>
          <w:sz w:val="24"/>
          <w:szCs w:val="24"/>
        </w:rPr>
        <w:t xml:space="preserve"> = $</w:t>
      </w:r>
      <w:r w:rsidR="00A772BC" w:rsidRPr="00A772BC">
        <w:rPr>
          <w:rFonts w:ascii="Times New Roman" w:hAnsi="Times New Roman" w:cs="Times New Roman"/>
          <w:sz w:val="24"/>
          <w:szCs w:val="24"/>
        </w:rPr>
        <w:t>31</w:t>
      </w:r>
      <w:r w:rsidR="002D0D9B" w:rsidRPr="00A772BC">
        <w:rPr>
          <w:rFonts w:ascii="Times New Roman" w:hAnsi="Times New Roman" w:cs="Times New Roman"/>
          <w:sz w:val="24"/>
          <w:szCs w:val="24"/>
        </w:rPr>
        <w:t>,</w:t>
      </w:r>
      <w:r w:rsidR="00A772BC" w:rsidRPr="00A772BC">
        <w:rPr>
          <w:rFonts w:ascii="Times New Roman" w:hAnsi="Times New Roman" w:cs="Times New Roman"/>
          <w:sz w:val="24"/>
          <w:szCs w:val="24"/>
        </w:rPr>
        <w:t>210</w:t>
      </w:r>
      <w:r w:rsidR="00A772BC" w:rsidRPr="002D0D9B">
        <w:rPr>
          <w:rFonts w:ascii="Times New Roman" w:hAnsi="Times New Roman" w:cs="Times New Roman"/>
          <w:sz w:val="24"/>
          <w:szCs w:val="24"/>
        </w:rPr>
        <w:t xml:space="preserve"> </w:t>
      </w:r>
    </w:p>
    <w:bookmarkEnd w:id="0"/>
    <w:p w:rsidR="006103A9" w:rsidRDefault="006103A9" w:rsidP="00343EF0">
      <w:pPr>
        <w:pStyle w:val="PlainText"/>
        <w:rPr>
          <w:rFonts w:ascii="Times New Roman" w:hAnsi="Times New Roman" w:cs="Times New Roman"/>
          <w:sz w:val="24"/>
          <w:szCs w:val="24"/>
        </w:rPr>
      </w:pPr>
    </w:p>
    <w:p w:rsidR="006103A9" w:rsidRPr="005A3906" w:rsidRDefault="006103A9"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Agency does not anticipate any adverse effect reports to be submitted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this ICR includes an estimate </w:t>
      </w:r>
      <w:r w:rsidR="009416EB" w:rsidRPr="005A3906">
        <w:rPr>
          <w:rFonts w:ascii="Times New Roman" w:hAnsi="Times New Roman" w:cs="Times New Roman"/>
          <w:sz w:val="24"/>
          <w:szCs w:val="24"/>
        </w:rPr>
        <w:t xml:space="preserve">of </w:t>
      </w:r>
      <w:r w:rsidRPr="005A3906">
        <w:rPr>
          <w:rFonts w:ascii="Times New Roman" w:hAnsi="Times New Roman" w:cs="Times New Roman"/>
          <w:sz w:val="24"/>
          <w:szCs w:val="24"/>
        </w:rPr>
        <w:t xml:space="preserve">one such report being </w:t>
      </w:r>
      <w:r w:rsidRPr="00D1405E">
        <w:rPr>
          <w:rFonts w:ascii="Times New Roman" w:hAnsi="Times New Roman" w:cs="Times New Roman"/>
          <w:sz w:val="24"/>
          <w:szCs w:val="24"/>
        </w:rPr>
        <w:t>submitted over the three</w:t>
      </w:r>
      <w:r w:rsidR="00146A98" w:rsidRPr="00D1405E">
        <w:rPr>
          <w:rFonts w:ascii="Times New Roman" w:hAnsi="Times New Roman" w:cs="Times New Roman"/>
          <w:sz w:val="24"/>
          <w:szCs w:val="24"/>
        </w:rPr>
        <w:t>-</w:t>
      </w:r>
      <w:r w:rsidRPr="00D1405E">
        <w:rPr>
          <w:rFonts w:ascii="Times New Roman" w:hAnsi="Times New Roman" w:cs="Times New Roman"/>
          <w:sz w:val="24"/>
          <w:szCs w:val="24"/>
        </w:rPr>
        <w:t>year approval period for this ICR.</w:t>
      </w:r>
      <w:r w:rsidR="00F007E3" w:rsidRPr="00D1405E">
        <w:rPr>
          <w:rFonts w:ascii="Times New Roman" w:hAnsi="Times New Roman" w:cs="Times New Roman"/>
          <w:sz w:val="24"/>
          <w:szCs w:val="24"/>
        </w:rPr>
        <w:t xml:space="preserve"> The per</w:t>
      </w:r>
      <w:r w:rsidR="00146A98" w:rsidRPr="00D1405E">
        <w:rPr>
          <w:rFonts w:ascii="Times New Roman" w:hAnsi="Times New Roman" w:cs="Times New Roman"/>
          <w:sz w:val="24"/>
          <w:szCs w:val="24"/>
        </w:rPr>
        <w:t>-</w:t>
      </w:r>
      <w:r w:rsidR="00F007E3" w:rsidRPr="00D1405E">
        <w:rPr>
          <w:rFonts w:ascii="Times New Roman" w:hAnsi="Times New Roman" w:cs="Times New Roman"/>
          <w:sz w:val="24"/>
          <w:szCs w:val="24"/>
        </w:rPr>
        <w:t xml:space="preserve">submission estimate is </w:t>
      </w:r>
      <w:r w:rsidRPr="00D1405E">
        <w:rPr>
          <w:rFonts w:ascii="Times New Roman" w:hAnsi="Times New Roman" w:cs="Times New Roman"/>
          <w:sz w:val="24"/>
          <w:szCs w:val="24"/>
        </w:rPr>
        <w:t>therefore divided by 3 to</w:t>
      </w:r>
      <w:r w:rsidRPr="005A3906">
        <w:rPr>
          <w:rFonts w:ascii="Times New Roman" w:hAnsi="Times New Roman" w:cs="Times New Roman"/>
          <w:sz w:val="24"/>
          <w:szCs w:val="24"/>
        </w:rPr>
        <w:t xml:space="preserve"> provide an average annual burden and cost to include in the total </w:t>
      </w:r>
      <w:r w:rsidR="00146A98">
        <w:rPr>
          <w:rFonts w:ascii="Times New Roman" w:hAnsi="Times New Roman" w:cs="Times New Roman"/>
          <w:sz w:val="24"/>
          <w:szCs w:val="24"/>
        </w:rPr>
        <w:t xml:space="preserve">annual </w:t>
      </w:r>
      <w:r w:rsidRPr="005A3906">
        <w:rPr>
          <w:rFonts w:ascii="Times New Roman" w:hAnsi="Times New Roman" w:cs="Times New Roman"/>
          <w:sz w:val="24"/>
          <w:szCs w:val="24"/>
        </w:rPr>
        <w:t xml:space="preserve">estimates for this ICR. The total annual average burden and costs for the adverse effects report is calculated as follows: </w:t>
      </w:r>
    </w:p>
    <w:p w:rsidR="003636C3" w:rsidRPr="005A3906" w:rsidRDefault="003636C3" w:rsidP="00F007E3">
      <w:pPr>
        <w:pStyle w:val="PlainText"/>
        <w:ind w:firstLine="720"/>
        <w:rPr>
          <w:rFonts w:ascii="Times New Roman" w:hAnsi="Times New Roman" w:cs="Times New Roman"/>
          <w:sz w:val="24"/>
          <w:szCs w:val="24"/>
        </w:rPr>
      </w:pPr>
      <w:bookmarkStart w:id="1" w:name="OLE_LINK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1639"/>
        <w:gridCol w:w="1456"/>
        <w:gridCol w:w="1456"/>
        <w:gridCol w:w="1092"/>
        <w:gridCol w:w="1092"/>
      </w:tblGrid>
      <w:tr w:rsidR="00356D2F" w:rsidRPr="005A3906" w:rsidTr="00B00A01">
        <w:trPr>
          <w:jc w:val="center"/>
        </w:trPr>
        <w:tc>
          <w:tcPr>
            <w:tcW w:w="9468" w:type="dxa"/>
            <w:gridSpan w:val="6"/>
          </w:tcPr>
          <w:p w:rsidR="00356D2F" w:rsidRPr="001A2A05" w:rsidRDefault="00356D2F" w:rsidP="00343EF0">
            <w:pPr>
              <w:pStyle w:val="PlainText"/>
              <w:rPr>
                <w:rFonts w:ascii="Times New Roman" w:hAnsi="Times New Roman" w:cs="Times New Roman"/>
                <w:sz w:val="24"/>
                <w:szCs w:val="24"/>
              </w:rPr>
            </w:pPr>
            <w:r w:rsidRPr="001A2A05">
              <w:rPr>
                <w:rFonts w:ascii="Times New Roman" w:hAnsi="Times New Roman" w:cs="Times New Roman"/>
                <w:b/>
                <w:sz w:val="24"/>
                <w:szCs w:val="24"/>
              </w:rPr>
              <w:t xml:space="preserve">Table 2 - Average </w:t>
            </w:r>
            <w:r w:rsidR="00146A98" w:rsidRPr="001A2A05">
              <w:rPr>
                <w:rFonts w:ascii="Times New Roman" w:hAnsi="Times New Roman" w:cs="Times New Roman"/>
                <w:b/>
                <w:sz w:val="24"/>
                <w:szCs w:val="24"/>
              </w:rPr>
              <w:t xml:space="preserve">Respondent </w:t>
            </w:r>
            <w:r w:rsidRPr="001A2A05">
              <w:rPr>
                <w:rFonts w:ascii="Times New Roman" w:hAnsi="Times New Roman" w:cs="Times New Roman"/>
                <w:b/>
                <w:sz w:val="24"/>
                <w:szCs w:val="24"/>
              </w:rPr>
              <w:t xml:space="preserve">Burden and Cost Estimates </w:t>
            </w:r>
            <w:r w:rsidR="00A259D0" w:rsidRPr="001A2A05">
              <w:rPr>
                <w:rFonts w:ascii="Times New Roman" w:hAnsi="Times New Roman" w:cs="Times New Roman"/>
                <w:b/>
                <w:sz w:val="24"/>
                <w:szCs w:val="24"/>
              </w:rPr>
              <w:t>per Submission</w:t>
            </w:r>
            <w:r w:rsidR="00A259D0" w:rsidRPr="001A2A05">
              <w:rPr>
                <w:rFonts w:ascii="Times New Roman" w:hAnsi="Times New Roman" w:cs="Times New Roman"/>
                <w:b/>
                <w:color w:val="FF0000"/>
                <w:sz w:val="24"/>
                <w:szCs w:val="24"/>
              </w:rPr>
              <w:t xml:space="preserve"> </w:t>
            </w:r>
            <w:r w:rsidRPr="001A2A05">
              <w:rPr>
                <w:rFonts w:ascii="Times New Roman" w:hAnsi="Times New Roman" w:cs="Times New Roman"/>
                <w:b/>
                <w:sz w:val="24"/>
                <w:szCs w:val="24"/>
              </w:rPr>
              <w:t>for Submitting an Adverse Effects Report for an Exempt Plant-Incorporated Protectant</w:t>
            </w:r>
          </w:p>
        </w:tc>
      </w:tr>
      <w:tr w:rsidR="002E7A74" w:rsidRPr="005A3906" w:rsidTr="00B00A01">
        <w:trPr>
          <w:jc w:val="center"/>
        </w:trPr>
        <w:tc>
          <w:tcPr>
            <w:tcW w:w="2808" w:type="dxa"/>
          </w:tcPr>
          <w:p w:rsidR="002E7A74" w:rsidRPr="001A2A05" w:rsidRDefault="002E7A74" w:rsidP="001A2A05">
            <w:pPr>
              <w:pStyle w:val="PlainText"/>
              <w:jc w:val="center"/>
              <w:rPr>
                <w:rFonts w:ascii="Times New Roman" w:hAnsi="Times New Roman" w:cs="Times New Roman"/>
                <w:b/>
                <w:sz w:val="24"/>
                <w:szCs w:val="24"/>
              </w:rPr>
            </w:pPr>
          </w:p>
        </w:tc>
        <w:tc>
          <w:tcPr>
            <w:tcW w:w="4500" w:type="dxa"/>
            <w:gridSpan w:val="3"/>
          </w:tcPr>
          <w:p w:rsidR="002E7A74" w:rsidRPr="001A2A05" w:rsidRDefault="002E7A74"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Burden and Cost Estimates</w:t>
            </w:r>
          </w:p>
        </w:tc>
        <w:tc>
          <w:tcPr>
            <w:tcW w:w="2160" w:type="dxa"/>
            <w:gridSpan w:val="2"/>
          </w:tcPr>
          <w:p w:rsidR="002E7A74" w:rsidRPr="001A2A05" w:rsidRDefault="002E7A74"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Totals</w:t>
            </w:r>
          </w:p>
        </w:tc>
      </w:tr>
      <w:tr w:rsidR="00A772BC" w:rsidRPr="005A3906" w:rsidTr="00B00A01">
        <w:trPr>
          <w:jc w:val="center"/>
        </w:trPr>
        <w:tc>
          <w:tcPr>
            <w:tcW w:w="2808" w:type="dxa"/>
          </w:tcPr>
          <w:p w:rsidR="00A772BC" w:rsidRPr="001A2A05" w:rsidRDefault="00A772BC"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Activities</w:t>
            </w:r>
          </w:p>
        </w:tc>
        <w:tc>
          <w:tcPr>
            <w:tcW w:w="1620" w:type="dxa"/>
          </w:tcPr>
          <w:p w:rsidR="00A772BC" w:rsidRPr="00A772BC" w:rsidRDefault="00A772BC" w:rsidP="00666E00">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Mgmt.</w:t>
            </w:r>
          </w:p>
          <w:p w:rsidR="00A772BC" w:rsidRPr="00A840DA" w:rsidRDefault="00A772BC" w:rsidP="001A2A05">
            <w:pPr>
              <w:pStyle w:val="PlainText"/>
              <w:jc w:val="center"/>
              <w:rPr>
                <w:rFonts w:ascii="Times New Roman" w:hAnsi="Times New Roman" w:cs="Times New Roman"/>
                <w:b/>
                <w:sz w:val="24"/>
                <w:szCs w:val="24"/>
                <w:highlight w:val="yellow"/>
              </w:rPr>
            </w:pPr>
            <w:r w:rsidRPr="00A772BC">
              <w:rPr>
                <w:rFonts w:ascii="Times New Roman" w:hAnsi="Times New Roman" w:cs="Times New Roman"/>
                <w:b/>
                <w:sz w:val="24"/>
                <w:szCs w:val="24"/>
              </w:rPr>
              <w:t>($117.74/</w:t>
            </w:r>
            <w:proofErr w:type="spellStart"/>
            <w:r w:rsidRPr="00A772BC">
              <w:rPr>
                <w:rFonts w:ascii="Times New Roman" w:hAnsi="Times New Roman" w:cs="Times New Roman"/>
                <w:b/>
                <w:sz w:val="24"/>
                <w:szCs w:val="24"/>
              </w:rPr>
              <w:t>hr</w:t>
            </w:r>
            <w:proofErr w:type="spellEnd"/>
            <w:r w:rsidRPr="00A772BC">
              <w:rPr>
                <w:rFonts w:ascii="Times New Roman" w:hAnsi="Times New Roman" w:cs="Times New Roman"/>
                <w:b/>
                <w:sz w:val="24"/>
                <w:szCs w:val="24"/>
              </w:rPr>
              <w:t>)</w:t>
            </w:r>
          </w:p>
        </w:tc>
        <w:tc>
          <w:tcPr>
            <w:tcW w:w="1440" w:type="dxa"/>
          </w:tcPr>
          <w:p w:rsidR="00A772BC" w:rsidRPr="00A772BC" w:rsidRDefault="00A772BC" w:rsidP="00666E00">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Tech.</w:t>
            </w:r>
          </w:p>
          <w:p w:rsidR="00A772BC" w:rsidRPr="00A840DA" w:rsidRDefault="00A772BC" w:rsidP="001A2A05">
            <w:pPr>
              <w:pStyle w:val="PlainText"/>
              <w:jc w:val="center"/>
              <w:rPr>
                <w:rFonts w:ascii="Times New Roman" w:hAnsi="Times New Roman" w:cs="Times New Roman"/>
                <w:b/>
                <w:sz w:val="24"/>
                <w:szCs w:val="24"/>
                <w:highlight w:val="yellow"/>
              </w:rPr>
            </w:pPr>
            <w:r w:rsidRPr="00A772BC">
              <w:rPr>
                <w:rFonts w:ascii="Times New Roman" w:hAnsi="Times New Roman" w:cs="Times New Roman"/>
                <w:b/>
                <w:sz w:val="24"/>
                <w:szCs w:val="24"/>
              </w:rPr>
              <w:t>($62.58/</w:t>
            </w:r>
            <w:proofErr w:type="spellStart"/>
            <w:r w:rsidRPr="00A772BC">
              <w:rPr>
                <w:rFonts w:ascii="Times New Roman" w:hAnsi="Times New Roman" w:cs="Times New Roman"/>
                <w:b/>
                <w:sz w:val="24"/>
                <w:szCs w:val="24"/>
              </w:rPr>
              <w:t>hr</w:t>
            </w:r>
            <w:proofErr w:type="spellEnd"/>
            <w:r w:rsidRPr="00A772BC">
              <w:rPr>
                <w:rFonts w:ascii="Times New Roman" w:hAnsi="Times New Roman" w:cs="Times New Roman"/>
                <w:b/>
                <w:sz w:val="24"/>
                <w:szCs w:val="24"/>
              </w:rPr>
              <w:t>)</w:t>
            </w:r>
          </w:p>
        </w:tc>
        <w:tc>
          <w:tcPr>
            <w:tcW w:w="1440" w:type="dxa"/>
          </w:tcPr>
          <w:p w:rsidR="00A772BC" w:rsidRPr="00A772BC" w:rsidRDefault="00A772BC" w:rsidP="00666E00">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Clerical</w:t>
            </w:r>
          </w:p>
          <w:p w:rsidR="00A772BC" w:rsidRPr="00A840DA" w:rsidRDefault="00A772BC" w:rsidP="001A2A05">
            <w:pPr>
              <w:pStyle w:val="PlainText"/>
              <w:jc w:val="center"/>
              <w:rPr>
                <w:rFonts w:ascii="Times New Roman" w:hAnsi="Times New Roman" w:cs="Times New Roman"/>
                <w:b/>
                <w:sz w:val="24"/>
                <w:szCs w:val="24"/>
                <w:highlight w:val="yellow"/>
              </w:rPr>
            </w:pPr>
            <w:r w:rsidRPr="00A772BC">
              <w:rPr>
                <w:rFonts w:ascii="Times New Roman" w:hAnsi="Times New Roman" w:cs="Times New Roman"/>
                <w:b/>
                <w:sz w:val="24"/>
                <w:szCs w:val="24"/>
              </w:rPr>
              <w:t>($37.33/</w:t>
            </w:r>
            <w:proofErr w:type="spellStart"/>
            <w:r w:rsidRPr="00A772BC">
              <w:rPr>
                <w:rFonts w:ascii="Times New Roman" w:hAnsi="Times New Roman" w:cs="Times New Roman"/>
                <w:b/>
                <w:sz w:val="24"/>
                <w:szCs w:val="24"/>
              </w:rPr>
              <w:t>hr</w:t>
            </w:r>
            <w:proofErr w:type="spellEnd"/>
            <w:r w:rsidRPr="00A772BC">
              <w:rPr>
                <w:rFonts w:ascii="Times New Roman" w:hAnsi="Times New Roman" w:cs="Times New Roman"/>
                <w:b/>
                <w:sz w:val="24"/>
                <w:szCs w:val="24"/>
              </w:rPr>
              <w:t>)</w:t>
            </w:r>
          </w:p>
        </w:tc>
        <w:tc>
          <w:tcPr>
            <w:tcW w:w="1080" w:type="dxa"/>
          </w:tcPr>
          <w:p w:rsidR="00A772BC" w:rsidRPr="001A2A05" w:rsidRDefault="00A772BC"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Burden (</w:t>
            </w:r>
            <w:proofErr w:type="spellStart"/>
            <w:r w:rsidRPr="001A2A05">
              <w:rPr>
                <w:rFonts w:ascii="Times New Roman" w:hAnsi="Times New Roman" w:cs="Times New Roman"/>
                <w:b/>
                <w:sz w:val="24"/>
                <w:szCs w:val="24"/>
              </w:rPr>
              <w:t>hrs</w:t>
            </w:r>
            <w:proofErr w:type="spellEnd"/>
            <w:r w:rsidRPr="001A2A05">
              <w:rPr>
                <w:rFonts w:ascii="Times New Roman" w:hAnsi="Times New Roman" w:cs="Times New Roman"/>
                <w:b/>
                <w:sz w:val="24"/>
                <w:szCs w:val="24"/>
              </w:rPr>
              <w:t>)</w:t>
            </w:r>
          </w:p>
        </w:tc>
        <w:tc>
          <w:tcPr>
            <w:tcW w:w="1080" w:type="dxa"/>
          </w:tcPr>
          <w:p w:rsidR="00A772BC" w:rsidRPr="001A2A05" w:rsidRDefault="00A772BC"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Costs</w:t>
            </w:r>
          </w:p>
          <w:p w:rsidR="00A772BC" w:rsidRPr="001A2A05" w:rsidRDefault="00A772BC"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w:t>
            </w:r>
          </w:p>
        </w:tc>
      </w:tr>
      <w:tr w:rsidR="00A772BC" w:rsidRPr="005A3906" w:rsidTr="00B00A01">
        <w:trPr>
          <w:jc w:val="center"/>
        </w:trPr>
        <w:tc>
          <w:tcPr>
            <w:tcW w:w="2808" w:type="dxa"/>
          </w:tcPr>
          <w:p w:rsidR="00A772BC" w:rsidRPr="001A2A05" w:rsidRDefault="00A772BC"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Read Regulations</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1.5</w:t>
            </w:r>
          </w:p>
        </w:tc>
        <w:tc>
          <w:tcPr>
            <w:tcW w:w="1080" w:type="dxa"/>
          </w:tcPr>
          <w:p w:rsidR="00A772BC" w:rsidRPr="00A840DA" w:rsidRDefault="00A772BC" w:rsidP="001A2A05">
            <w:pPr>
              <w:jc w:val="right"/>
              <w:rPr>
                <w:highlight w:val="yellow"/>
              </w:rPr>
            </w:pPr>
            <w:r w:rsidRPr="000142AD">
              <w:t xml:space="preserve"> 121.45 </w:t>
            </w:r>
          </w:p>
        </w:tc>
      </w:tr>
      <w:tr w:rsidR="00A772BC" w:rsidRPr="005A3906" w:rsidTr="00B00A01">
        <w:trPr>
          <w:jc w:val="center"/>
        </w:trPr>
        <w:tc>
          <w:tcPr>
            <w:tcW w:w="2808" w:type="dxa"/>
          </w:tcPr>
          <w:p w:rsidR="00A772BC" w:rsidRPr="001A2A05" w:rsidRDefault="00A772BC"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Plan Activities </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w:t>
            </w:r>
          </w:p>
        </w:tc>
        <w:tc>
          <w:tcPr>
            <w:tcW w:w="1080" w:type="dxa"/>
          </w:tcPr>
          <w:p w:rsidR="00A772BC" w:rsidRPr="00A840DA" w:rsidRDefault="00A772BC" w:rsidP="001A2A05">
            <w:pPr>
              <w:jc w:val="right"/>
              <w:rPr>
                <w:highlight w:val="yellow"/>
              </w:rPr>
            </w:pPr>
            <w:r w:rsidRPr="000142AD">
              <w:t xml:space="preserve"> 90.16 </w:t>
            </w:r>
          </w:p>
        </w:tc>
      </w:tr>
      <w:tr w:rsidR="00A772BC" w:rsidRPr="005A3906" w:rsidTr="00B00A01">
        <w:trPr>
          <w:jc w:val="center"/>
        </w:trPr>
        <w:tc>
          <w:tcPr>
            <w:tcW w:w="2808" w:type="dxa"/>
          </w:tcPr>
          <w:p w:rsidR="00A772BC" w:rsidRPr="001A2A05" w:rsidRDefault="00A772BC" w:rsidP="002C3657">
            <w:pPr>
              <w:pStyle w:val="PlainText"/>
              <w:rPr>
                <w:rFonts w:ascii="Times New Roman" w:hAnsi="Times New Roman" w:cs="Times New Roman"/>
                <w:sz w:val="24"/>
                <w:szCs w:val="24"/>
              </w:rPr>
            </w:pPr>
            <w:r w:rsidRPr="001A2A05">
              <w:rPr>
                <w:rFonts w:ascii="Times New Roman" w:hAnsi="Times New Roman" w:cs="Times New Roman"/>
                <w:sz w:val="24"/>
                <w:szCs w:val="24"/>
              </w:rPr>
              <w:t>Gather Information</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 xml:space="preserve">1 </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w:t>
            </w:r>
          </w:p>
        </w:tc>
        <w:tc>
          <w:tcPr>
            <w:tcW w:w="1080" w:type="dxa"/>
          </w:tcPr>
          <w:p w:rsidR="00A772BC" w:rsidRPr="00A840DA" w:rsidRDefault="00A772BC" w:rsidP="001A2A05">
            <w:pPr>
              <w:jc w:val="right"/>
              <w:rPr>
                <w:highlight w:val="yellow"/>
              </w:rPr>
            </w:pPr>
            <w:r w:rsidRPr="000142AD">
              <w:t xml:space="preserve"> 62.58 </w:t>
            </w:r>
          </w:p>
        </w:tc>
      </w:tr>
      <w:tr w:rsidR="00A772BC" w:rsidRPr="005A3906" w:rsidTr="00B00A01">
        <w:trPr>
          <w:jc w:val="center"/>
        </w:trPr>
        <w:tc>
          <w:tcPr>
            <w:tcW w:w="2808" w:type="dxa"/>
          </w:tcPr>
          <w:p w:rsidR="00A772BC" w:rsidRPr="001A2A05" w:rsidRDefault="00A772BC" w:rsidP="002C3657">
            <w:pPr>
              <w:pStyle w:val="PlainText"/>
              <w:rPr>
                <w:rFonts w:ascii="Times New Roman" w:hAnsi="Times New Roman" w:cs="Times New Roman"/>
                <w:sz w:val="24"/>
                <w:szCs w:val="24"/>
              </w:rPr>
            </w:pPr>
            <w:r w:rsidRPr="001A2A05">
              <w:rPr>
                <w:rFonts w:ascii="Times New Roman" w:hAnsi="Times New Roman" w:cs="Times New Roman"/>
                <w:sz w:val="24"/>
                <w:szCs w:val="24"/>
              </w:rPr>
              <w:t>Review Information</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 xml:space="preserve">0.5 </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w:t>
            </w:r>
          </w:p>
        </w:tc>
        <w:tc>
          <w:tcPr>
            <w:tcW w:w="1080" w:type="dxa"/>
          </w:tcPr>
          <w:p w:rsidR="00A772BC" w:rsidRPr="00A840DA" w:rsidRDefault="00A772BC" w:rsidP="001A2A05">
            <w:pPr>
              <w:jc w:val="right"/>
              <w:rPr>
                <w:highlight w:val="yellow"/>
              </w:rPr>
            </w:pPr>
            <w:r w:rsidRPr="000142AD">
              <w:t xml:space="preserve"> 90.16 </w:t>
            </w:r>
          </w:p>
        </w:tc>
      </w:tr>
      <w:tr w:rsidR="00A772BC" w:rsidRPr="005A3906" w:rsidTr="00B00A01">
        <w:trPr>
          <w:jc w:val="center"/>
        </w:trPr>
        <w:tc>
          <w:tcPr>
            <w:tcW w:w="2808" w:type="dxa"/>
          </w:tcPr>
          <w:p w:rsidR="00A772BC" w:rsidRPr="001A2A05" w:rsidRDefault="00A772BC" w:rsidP="002C3657">
            <w:pPr>
              <w:pStyle w:val="PlainText"/>
              <w:rPr>
                <w:rFonts w:ascii="Times New Roman" w:hAnsi="Times New Roman" w:cs="Times New Roman"/>
                <w:sz w:val="24"/>
                <w:szCs w:val="24"/>
              </w:rPr>
            </w:pPr>
            <w:r w:rsidRPr="001A2A05">
              <w:rPr>
                <w:rFonts w:ascii="Times New Roman" w:hAnsi="Times New Roman" w:cs="Times New Roman"/>
                <w:sz w:val="24"/>
                <w:szCs w:val="24"/>
              </w:rPr>
              <w:t>Complete Paperwork</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 xml:space="preserve">1 </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1.5</w:t>
            </w:r>
          </w:p>
        </w:tc>
        <w:tc>
          <w:tcPr>
            <w:tcW w:w="1080" w:type="dxa"/>
          </w:tcPr>
          <w:p w:rsidR="00A772BC" w:rsidRPr="00A840DA" w:rsidRDefault="00A772BC" w:rsidP="001A2A05">
            <w:pPr>
              <w:jc w:val="right"/>
              <w:rPr>
                <w:highlight w:val="yellow"/>
              </w:rPr>
            </w:pPr>
            <w:r w:rsidRPr="000142AD">
              <w:t xml:space="preserve"> 68.62 </w:t>
            </w:r>
          </w:p>
        </w:tc>
      </w:tr>
      <w:tr w:rsidR="00A772BC" w:rsidRPr="005A3906" w:rsidTr="00B00A01">
        <w:trPr>
          <w:jc w:val="center"/>
        </w:trPr>
        <w:tc>
          <w:tcPr>
            <w:tcW w:w="2808" w:type="dxa"/>
          </w:tcPr>
          <w:p w:rsidR="00A772BC" w:rsidRPr="001A2A05" w:rsidRDefault="00A772BC"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Submit Information </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 xml:space="preserve">0.5 </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0.5</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1.0</w:t>
            </w:r>
          </w:p>
        </w:tc>
        <w:tc>
          <w:tcPr>
            <w:tcW w:w="1080" w:type="dxa"/>
          </w:tcPr>
          <w:p w:rsidR="00A772BC" w:rsidRPr="00A840DA" w:rsidRDefault="00A772BC" w:rsidP="001A2A05">
            <w:pPr>
              <w:jc w:val="right"/>
              <w:rPr>
                <w:highlight w:val="yellow"/>
              </w:rPr>
            </w:pPr>
            <w:r w:rsidRPr="000142AD">
              <w:t xml:space="preserve"> 49.96 </w:t>
            </w:r>
          </w:p>
        </w:tc>
      </w:tr>
      <w:tr w:rsidR="00A772BC" w:rsidRPr="005A3906" w:rsidTr="00B00A01">
        <w:trPr>
          <w:jc w:val="center"/>
        </w:trPr>
        <w:tc>
          <w:tcPr>
            <w:tcW w:w="2808" w:type="dxa"/>
          </w:tcPr>
          <w:p w:rsidR="00A772BC" w:rsidRPr="001A2A05" w:rsidRDefault="00A772BC"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Cost for Mailing </w:t>
            </w:r>
          </w:p>
        </w:tc>
        <w:tc>
          <w:tcPr>
            <w:tcW w:w="162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44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1A2A05" w:rsidRDefault="00A772BC" w:rsidP="001A2A05">
            <w:pPr>
              <w:pStyle w:val="PlainText"/>
              <w:jc w:val="right"/>
              <w:rPr>
                <w:rFonts w:ascii="Times New Roman" w:hAnsi="Times New Roman" w:cs="Times New Roman"/>
                <w:sz w:val="24"/>
                <w:szCs w:val="24"/>
              </w:rPr>
            </w:pPr>
            <w:r w:rsidRPr="001A2A05">
              <w:rPr>
                <w:rFonts w:ascii="Times New Roman" w:hAnsi="Times New Roman" w:cs="Times New Roman"/>
                <w:sz w:val="24"/>
                <w:szCs w:val="24"/>
              </w:rPr>
              <w:t>0</w:t>
            </w:r>
          </w:p>
        </w:tc>
        <w:tc>
          <w:tcPr>
            <w:tcW w:w="1080" w:type="dxa"/>
          </w:tcPr>
          <w:p w:rsidR="00A772BC" w:rsidRPr="00A840DA" w:rsidRDefault="00A772BC" w:rsidP="001A2A05">
            <w:pPr>
              <w:jc w:val="right"/>
              <w:rPr>
                <w:highlight w:val="yellow"/>
              </w:rPr>
            </w:pPr>
            <w:r w:rsidRPr="000142AD">
              <w:t xml:space="preserve"> 0.44 </w:t>
            </w:r>
          </w:p>
        </w:tc>
      </w:tr>
      <w:tr w:rsidR="00A772BC" w:rsidRPr="001A2A05" w:rsidTr="00B00A01">
        <w:trPr>
          <w:jc w:val="center"/>
        </w:trPr>
        <w:tc>
          <w:tcPr>
            <w:tcW w:w="2808" w:type="dxa"/>
          </w:tcPr>
          <w:p w:rsidR="00A772BC" w:rsidRPr="008027B8" w:rsidRDefault="00A772BC" w:rsidP="00343EF0">
            <w:pPr>
              <w:pStyle w:val="PlainText"/>
              <w:rPr>
                <w:rFonts w:ascii="Times New Roman" w:hAnsi="Times New Roman" w:cs="Times New Roman"/>
                <w:b/>
                <w:sz w:val="24"/>
                <w:szCs w:val="24"/>
              </w:rPr>
            </w:pPr>
            <w:r w:rsidRPr="008027B8">
              <w:rPr>
                <w:rFonts w:ascii="Times New Roman" w:hAnsi="Times New Roman" w:cs="Times New Roman"/>
                <w:b/>
                <w:sz w:val="24"/>
                <w:szCs w:val="24"/>
              </w:rPr>
              <w:t>Totals</w:t>
            </w:r>
          </w:p>
        </w:tc>
        <w:tc>
          <w:tcPr>
            <w:tcW w:w="162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1.5</w:t>
            </w:r>
          </w:p>
        </w:tc>
        <w:tc>
          <w:tcPr>
            <w:tcW w:w="144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 xml:space="preserve">4 </w:t>
            </w:r>
          </w:p>
        </w:tc>
        <w:tc>
          <w:tcPr>
            <w:tcW w:w="144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1.5</w:t>
            </w:r>
          </w:p>
        </w:tc>
        <w:tc>
          <w:tcPr>
            <w:tcW w:w="1080" w:type="dxa"/>
          </w:tcPr>
          <w:p w:rsidR="00A772BC" w:rsidRPr="008027B8" w:rsidRDefault="00A772BC" w:rsidP="001A2A05">
            <w:pPr>
              <w:pStyle w:val="PlainText"/>
              <w:jc w:val="right"/>
              <w:rPr>
                <w:rFonts w:ascii="Times New Roman" w:hAnsi="Times New Roman" w:cs="Times New Roman"/>
                <w:b/>
                <w:sz w:val="24"/>
                <w:szCs w:val="24"/>
              </w:rPr>
            </w:pPr>
            <w:r w:rsidRPr="008027B8">
              <w:rPr>
                <w:rFonts w:ascii="Times New Roman" w:hAnsi="Times New Roman" w:cs="Times New Roman"/>
                <w:b/>
                <w:sz w:val="24"/>
                <w:szCs w:val="24"/>
              </w:rPr>
              <w:t>7</w:t>
            </w:r>
          </w:p>
        </w:tc>
        <w:tc>
          <w:tcPr>
            <w:tcW w:w="1080" w:type="dxa"/>
          </w:tcPr>
          <w:p w:rsidR="00A772BC" w:rsidRPr="008027B8" w:rsidRDefault="00A772BC" w:rsidP="001A2A05">
            <w:pPr>
              <w:jc w:val="right"/>
              <w:rPr>
                <w:b/>
                <w:highlight w:val="yellow"/>
              </w:rPr>
            </w:pPr>
            <w:r w:rsidRPr="008027B8">
              <w:rPr>
                <w:b/>
              </w:rPr>
              <w:t xml:space="preserve"> 483.37 </w:t>
            </w:r>
          </w:p>
        </w:tc>
      </w:tr>
    </w:tbl>
    <w:p w:rsidR="00A259D0" w:rsidRPr="00DF53E7" w:rsidRDefault="00A259D0" w:rsidP="00CC177A">
      <w:pPr>
        <w:pStyle w:val="PlainText"/>
        <w:tabs>
          <w:tab w:val="left" w:pos="8054"/>
        </w:tabs>
        <w:rPr>
          <w:rFonts w:ascii="Times New Roman" w:hAnsi="Times New Roman"/>
          <w:b/>
          <w:bCs/>
          <w:sz w:val="24"/>
        </w:rPr>
      </w:pPr>
      <w:bookmarkStart w:id="2" w:name="OLE_LINK21"/>
      <w:bookmarkStart w:id="3" w:name="OLE_LINK22"/>
      <w:r w:rsidRPr="0041279D">
        <w:rPr>
          <w:rFonts w:ascii="Times New Roman" w:hAnsi="Times New Roman"/>
          <w:b/>
          <w:bCs/>
          <w:sz w:val="24"/>
        </w:rPr>
        <w:t xml:space="preserve">Assuming a single adverse effects report </w:t>
      </w:r>
      <w:r w:rsidRPr="00DF53E7">
        <w:rPr>
          <w:rFonts w:ascii="Times New Roman" w:hAnsi="Times New Roman"/>
          <w:b/>
          <w:bCs/>
          <w:sz w:val="24"/>
        </w:rPr>
        <w:t>submitted over three year period:</w:t>
      </w:r>
      <w:r w:rsidR="00CC177A" w:rsidRPr="00DF53E7">
        <w:rPr>
          <w:rFonts w:ascii="Times New Roman" w:hAnsi="Times New Roman"/>
          <w:b/>
          <w:bCs/>
          <w:sz w:val="24"/>
        </w:rPr>
        <w:tab/>
      </w:r>
    </w:p>
    <w:bookmarkEnd w:id="2"/>
    <w:bookmarkEnd w:id="3"/>
    <w:p w:rsidR="006103A9" w:rsidRPr="00DF53E7" w:rsidRDefault="006103A9" w:rsidP="00A259D0">
      <w:pPr>
        <w:pStyle w:val="PlainText"/>
        <w:ind w:firstLine="720"/>
        <w:rPr>
          <w:rFonts w:ascii="Times New Roman" w:hAnsi="Times New Roman" w:cs="Times New Roman"/>
          <w:sz w:val="24"/>
          <w:szCs w:val="24"/>
        </w:rPr>
      </w:pPr>
      <w:r w:rsidRPr="00DF53E7">
        <w:rPr>
          <w:rFonts w:ascii="Times New Roman" w:hAnsi="Times New Roman" w:cs="Times New Roman"/>
          <w:b/>
          <w:sz w:val="24"/>
          <w:szCs w:val="24"/>
        </w:rPr>
        <w:t xml:space="preserve">Estimated Total Annual </w:t>
      </w:r>
      <w:r w:rsidR="00146A98" w:rsidRPr="00DF53E7">
        <w:rPr>
          <w:rFonts w:ascii="Times New Roman" w:hAnsi="Times New Roman" w:cs="Times New Roman"/>
          <w:b/>
          <w:sz w:val="24"/>
          <w:szCs w:val="24"/>
        </w:rPr>
        <w:t xml:space="preserve">Respondent </w:t>
      </w:r>
      <w:r w:rsidRPr="00DF53E7">
        <w:rPr>
          <w:rFonts w:ascii="Times New Roman" w:hAnsi="Times New Roman" w:cs="Times New Roman"/>
          <w:b/>
          <w:sz w:val="24"/>
          <w:szCs w:val="24"/>
        </w:rPr>
        <w:t>Burden:</w:t>
      </w:r>
      <w:r w:rsidRPr="00DF53E7">
        <w:rPr>
          <w:rFonts w:ascii="Times New Roman" w:hAnsi="Times New Roman" w:cs="Times New Roman"/>
          <w:sz w:val="24"/>
          <w:szCs w:val="24"/>
        </w:rPr>
        <w:t xml:space="preserve"> (1 event x 7 hours) ÷ 3 = 2.3 hours</w:t>
      </w:r>
    </w:p>
    <w:p w:rsidR="006103A9" w:rsidRPr="005A3906" w:rsidRDefault="006103A9" w:rsidP="00A259D0">
      <w:pPr>
        <w:pStyle w:val="PlainText"/>
        <w:ind w:firstLine="720"/>
        <w:rPr>
          <w:rFonts w:ascii="Times New Roman" w:hAnsi="Times New Roman" w:cs="Times New Roman"/>
          <w:sz w:val="24"/>
          <w:szCs w:val="24"/>
        </w:rPr>
      </w:pPr>
      <w:r w:rsidRPr="00DF53E7">
        <w:rPr>
          <w:rFonts w:ascii="Times New Roman" w:hAnsi="Times New Roman" w:cs="Times New Roman"/>
          <w:b/>
          <w:sz w:val="24"/>
          <w:szCs w:val="24"/>
        </w:rPr>
        <w:t xml:space="preserve">Estimated Total Annual </w:t>
      </w:r>
      <w:r w:rsidR="00146A98" w:rsidRPr="00DF53E7">
        <w:rPr>
          <w:rFonts w:ascii="Times New Roman" w:hAnsi="Times New Roman" w:cs="Times New Roman"/>
          <w:b/>
          <w:sz w:val="24"/>
          <w:szCs w:val="24"/>
        </w:rPr>
        <w:t xml:space="preserve">Respondent </w:t>
      </w:r>
      <w:r w:rsidR="007B7E11" w:rsidRPr="00DF53E7">
        <w:rPr>
          <w:rFonts w:ascii="Times New Roman" w:hAnsi="Times New Roman" w:cs="Times New Roman"/>
          <w:b/>
          <w:sz w:val="24"/>
          <w:szCs w:val="24"/>
        </w:rPr>
        <w:t>Cost:</w:t>
      </w:r>
      <w:r w:rsidR="007B7E11" w:rsidRPr="00DF53E7">
        <w:rPr>
          <w:rFonts w:ascii="Times New Roman" w:hAnsi="Times New Roman" w:cs="Times New Roman"/>
          <w:sz w:val="24"/>
          <w:szCs w:val="24"/>
        </w:rPr>
        <w:t xml:space="preserve"> (1 event x $</w:t>
      </w:r>
      <w:r w:rsidR="00A772BC" w:rsidRPr="00DF53E7">
        <w:rPr>
          <w:rFonts w:ascii="Times New Roman" w:hAnsi="Times New Roman" w:cs="Times New Roman"/>
          <w:noProof/>
          <w:sz w:val="24"/>
          <w:szCs w:val="24"/>
        </w:rPr>
        <w:t>483.37</w:t>
      </w:r>
      <w:r w:rsidR="007B7E11" w:rsidRPr="00DF53E7">
        <w:rPr>
          <w:rFonts w:ascii="Times New Roman" w:hAnsi="Times New Roman" w:cs="Times New Roman"/>
          <w:sz w:val="24"/>
          <w:szCs w:val="24"/>
        </w:rPr>
        <w:t>) ÷ 3 = $</w:t>
      </w:r>
      <w:r w:rsidR="00A772BC" w:rsidRPr="00DF53E7">
        <w:rPr>
          <w:rFonts w:ascii="Times New Roman" w:hAnsi="Times New Roman" w:cs="Times New Roman"/>
          <w:sz w:val="24"/>
          <w:szCs w:val="24"/>
        </w:rPr>
        <w:t>161</w:t>
      </w:r>
    </w:p>
    <w:bookmarkEnd w:id="1"/>
    <w:p w:rsidR="006103A9" w:rsidRPr="005A3906" w:rsidRDefault="006103A9" w:rsidP="00343EF0">
      <w:pPr>
        <w:pStyle w:val="PlainText"/>
        <w:rPr>
          <w:rFonts w:ascii="Times New Roman" w:hAnsi="Times New Roman" w:cs="Times New Roman"/>
          <w:sz w:val="24"/>
          <w:szCs w:val="24"/>
        </w:rPr>
      </w:pPr>
    </w:p>
    <w:p w:rsidR="006103A9" w:rsidRPr="005A3906" w:rsidRDefault="006103A9" w:rsidP="00F007E3">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6(b</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00901943">
        <w:rPr>
          <w:rFonts w:ascii="Times New Roman" w:hAnsi="Times New Roman" w:cs="Times New Roman"/>
          <w:b/>
          <w:sz w:val="24"/>
          <w:szCs w:val="24"/>
        </w:rPr>
        <w:t>Total</w:t>
      </w:r>
      <w:proofErr w:type="gramEnd"/>
      <w:r w:rsidR="00901943">
        <w:rPr>
          <w:rFonts w:ascii="Times New Roman" w:hAnsi="Times New Roman" w:cs="Times New Roman"/>
          <w:b/>
          <w:sz w:val="24"/>
          <w:szCs w:val="24"/>
        </w:rPr>
        <w:t xml:space="preserve"> Annual Respondent Burden and Costs</w:t>
      </w:r>
      <w:r w:rsidRPr="005A3906">
        <w:rPr>
          <w:rFonts w:ascii="Times New Roman" w:hAnsi="Times New Roman" w:cs="Times New Roman"/>
          <w:b/>
          <w:sz w:val="24"/>
          <w:szCs w:val="24"/>
        </w:rPr>
        <w:t xml:space="preserve"> </w:t>
      </w:r>
    </w:p>
    <w:p w:rsidR="006103A9" w:rsidRPr="005A3906" w:rsidRDefault="006103A9" w:rsidP="00343EF0">
      <w:pPr>
        <w:pStyle w:val="PlainText"/>
        <w:rPr>
          <w:rFonts w:ascii="Times New Roman" w:hAnsi="Times New Roman" w:cs="Times New Roman"/>
          <w:sz w:val="24"/>
          <w:szCs w:val="24"/>
        </w:rPr>
      </w:pPr>
    </w:p>
    <w:p w:rsidR="00901943" w:rsidRPr="008E58FB" w:rsidDel="00901943" w:rsidRDefault="009266B8" w:rsidP="00901943">
      <w:pPr>
        <w:numPr>
          <w:ilvl w:val="12"/>
          <w:numId w:val="0"/>
        </w:numPr>
        <w:rPr>
          <w:bCs/>
        </w:rPr>
      </w:pPr>
      <w:r>
        <w:rPr>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20"/>
        <w:gridCol w:w="1260"/>
        <w:gridCol w:w="2160"/>
        <w:gridCol w:w="1530"/>
        <w:gridCol w:w="1098"/>
      </w:tblGrid>
      <w:tr w:rsidR="00901943" w:rsidTr="00901943">
        <w:tc>
          <w:tcPr>
            <w:tcW w:w="9576" w:type="dxa"/>
            <w:gridSpan w:val="6"/>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b/>
                <w:sz w:val="24"/>
                <w:szCs w:val="24"/>
              </w:rPr>
              <w:t xml:space="preserve">Table 3 – Total Annual Respondent Burden/Cost </w:t>
            </w:r>
          </w:p>
        </w:tc>
      </w:tr>
      <w:tr w:rsidR="008027B8" w:rsidTr="00B00A01">
        <w:tc>
          <w:tcPr>
            <w:tcW w:w="1908" w:type="dxa"/>
            <w:vMerge w:val="restart"/>
          </w:tcPr>
          <w:p w:rsidR="008027B8" w:rsidRPr="00901943" w:rsidRDefault="008027B8" w:rsidP="008027B8">
            <w:pPr>
              <w:pStyle w:val="PlainText"/>
              <w:rPr>
                <w:rFonts w:ascii="Times New Roman" w:hAnsi="Times New Roman" w:cs="Times New Roman"/>
                <w:sz w:val="24"/>
                <w:szCs w:val="24"/>
              </w:rPr>
            </w:pPr>
          </w:p>
        </w:tc>
        <w:tc>
          <w:tcPr>
            <w:tcW w:w="2880" w:type="dxa"/>
            <w:gridSpan w:val="2"/>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Per Submission Estimates</w:t>
            </w:r>
          </w:p>
        </w:tc>
        <w:tc>
          <w:tcPr>
            <w:tcW w:w="2160" w:type="dxa"/>
            <w:vMerge w:val="restart"/>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Total Submissions</w:t>
            </w:r>
          </w:p>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Expected each year</w:t>
            </w:r>
          </w:p>
        </w:tc>
        <w:tc>
          <w:tcPr>
            <w:tcW w:w="2628" w:type="dxa"/>
            <w:gridSpan w:val="2"/>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Totals</w:t>
            </w:r>
          </w:p>
        </w:tc>
      </w:tr>
      <w:tr w:rsidR="00B00A01" w:rsidTr="00B00A01">
        <w:tc>
          <w:tcPr>
            <w:tcW w:w="1908" w:type="dxa"/>
            <w:vMerge/>
          </w:tcPr>
          <w:p w:rsidR="008027B8" w:rsidRPr="00901943" w:rsidRDefault="008027B8" w:rsidP="008027B8">
            <w:pPr>
              <w:pStyle w:val="PlainText"/>
              <w:rPr>
                <w:rFonts w:ascii="Times New Roman" w:hAnsi="Times New Roman" w:cs="Times New Roman"/>
                <w:sz w:val="24"/>
                <w:szCs w:val="24"/>
              </w:rPr>
            </w:pPr>
          </w:p>
        </w:tc>
        <w:tc>
          <w:tcPr>
            <w:tcW w:w="1620" w:type="dxa"/>
          </w:tcPr>
          <w:p w:rsidR="008027B8" w:rsidRPr="00A060B3" w:rsidRDefault="008027B8" w:rsidP="00B00A01">
            <w:pPr>
              <w:pStyle w:val="PlainText"/>
              <w:jc w:val="right"/>
              <w:rPr>
                <w:rFonts w:ascii="Times New Roman" w:hAnsi="Times New Roman" w:cs="Times New Roman"/>
                <w:b/>
                <w:sz w:val="24"/>
                <w:szCs w:val="24"/>
              </w:rPr>
            </w:pPr>
            <w:r w:rsidRPr="00A060B3">
              <w:rPr>
                <w:rFonts w:ascii="Times New Roman" w:hAnsi="Times New Roman" w:cs="Times New Roman"/>
                <w:b/>
                <w:sz w:val="24"/>
                <w:szCs w:val="24"/>
              </w:rPr>
              <w:t>Burden (</w:t>
            </w:r>
            <w:proofErr w:type="spellStart"/>
            <w:r w:rsidRPr="00A060B3">
              <w:rPr>
                <w:rFonts w:ascii="Times New Roman" w:hAnsi="Times New Roman" w:cs="Times New Roman"/>
                <w:b/>
                <w:sz w:val="24"/>
                <w:szCs w:val="24"/>
              </w:rPr>
              <w:t>hrs</w:t>
            </w:r>
            <w:proofErr w:type="spellEnd"/>
            <w:r w:rsidRPr="00A060B3">
              <w:rPr>
                <w:rFonts w:ascii="Times New Roman" w:hAnsi="Times New Roman" w:cs="Times New Roman"/>
                <w:b/>
                <w:sz w:val="24"/>
                <w:szCs w:val="24"/>
              </w:rPr>
              <w:t>)</w:t>
            </w:r>
          </w:p>
        </w:tc>
        <w:tc>
          <w:tcPr>
            <w:tcW w:w="1260" w:type="dxa"/>
          </w:tcPr>
          <w:p w:rsidR="008027B8" w:rsidRPr="00A060B3" w:rsidRDefault="008027B8" w:rsidP="00B00A01">
            <w:pPr>
              <w:pStyle w:val="PlainText"/>
              <w:jc w:val="right"/>
              <w:rPr>
                <w:rFonts w:ascii="Times New Roman" w:hAnsi="Times New Roman" w:cs="Times New Roman"/>
                <w:b/>
                <w:sz w:val="24"/>
                <w:szCs w:val="24"/>
              </w:rPr>
            </w:pPr>
            <w:r w:rsidRPr="00A060B3">
              <w:rPr>
                <w:rFonts w:ascii="Times New Roman" w:hAnsi="Times New Roman" w:cs="Times New Roman"/>
                <w:b/>
                <w:sz w:val="24"/>
                <w:szCs w:val="24"/>
              </w:rPr>
              <w:t>Costs($)</w:t>
            </w:r>
          </w:p>
        </w:tc>
        <w:tc>
          <w:tcPr>
            <w:tcW w:w="2160" w:type="dxa"/>
            <w:vMerge/>
          </w:tcPr>
          <w:p w:rsidR="008027B8" w:rsidRPr="00A060B3" w:rsidRDefault="008027B8" w:rsidP="008027B8">
            <w:pPr>
              <w:pStyle w:val="PlainText"/>
              <w:rPr>
                <w:rFonts w:ascii="Times New Roman" w:hAnsi="Times New Roman" w:cs="Times New Roman"/>
                <w:b/>
                <w:sz w:val="24"/>
                <w:szCs w:val="24"/>
              </w:rPr>
            </w:pPr>
          </w:p>
        </w:tc>
        <w:tc>
          <w:tcPr>
            <w:tcW w:w="1530" w:type="dxa"/>
          </w:tcPr>
          <w:p w:rsidR="008027B8" w:rsidRPr="00A060B3" w:rsidRDefault="008027B8" w:rsidP="00B00A01">
            <w:pPr>
              <w:pStyle w:val="PlainText"/>
              <w:jc w:val="right"/>
              <w:rPr>
                <w:rFonts w:ascii="Times New Roman" w:hAnsi="Times New Roman" w:cs="Times New Roman"/>
                <w:b/>
                <w:sz w:val="24"/>
                <w:szCs w:val="24"/>
              </w:rPr>
            </w:pPr>
            <w:r w:rsidRPr="00A060B3">
              <w:rPr>
                <w:rFonts w:ascii="Times New Roman" w:hAnsi="Times New Roman" w:cs="Times New Roman"/>
                <w:b/>
                <w:sz w:val="24"/>
                <w:szCs w:val="24"/>
              </w:rPr>
              <w:t>Burden</w:t>
            </w:r>
            <w:r w:rsidR="00B00A01" w:rsidRPr="00A060B3">
              <w:rPr>
                <w:rFonts w:ascii="Times New Roman" w:hAnsi="Times New Roman" w:cs="Times New Roman"/>
                <w:b/>
                <w:sz w:val="24"/>
                <w:szCs w:val="24"/>
              </w:rPr>
              <w:t xml:space="preserve"> </w:t>
            </w:r>
            <w:r w:rsidRPr="00A060B3">
              <w:rPr>
                <w:rFonts w:ascii="Times New Roman" w:hAnsi="Times New Roman" w:cs="Times New Roman"/>
                <w:b/>
                <w:sz w:val="24"/>
                <w:szCs w:val="24"/>
              </w:rPr>
              <w:t>(</w:t>
            </w:r>
            <w:proofErr w:type="spellStart"/>
            <w:r w:rsidRPr="00A060B3">
              <w:rPr>
                <w:rFonts w:ascii="Times New Roman" w:hAnsi="Times New Roman" w:cs="Times New Roman"/>
                <w:b/>
                <w:sz w:val="24"/>
                <w:szCs w:val="24"/>
              </w:rPr>
              <w:t>hrs</w:t>
            </w:r>
            <w:proofErr w:type="spellEnd"/>
            <w:r w:rsidRPr="00A060B3">
              <w:rPr>
                <w:rFonts w:ascii="Times New Roman" w:hAnsi="Times New Roman" w:cs="Times New Roman"/>
                <w:b/>
                <w:sz w:val="24"/>
                <w:szCs w:val="24"/>
              </w:rPr>
              <w:t>)</w:t>
            </w:r>
          </w:p>
        </w:tc>
        <w:tc>
          <w:tcPr>
            <w:tcW w:w="1098" w:type="dxa"/>
          </w:tcPr>
          <w:p w:rsidR="008027B8" w:rsidRPr="00A060B3" w:rsidRDefault="008027B8" w:rsidP="00B00A01">
            <w:pPr>
              <w:pStyle w:val="PlainText"/>
              <w:jc w:val="right"/>
              <w:rPr>
                <w:rFonts w:ascii="Times New Roman" w:hAnsi="Times New Roman" w:cs="Times New Roman"/>
                <w:b/>
                <w:sz w:val="24"/>
                <w:szCs w:val="24"/>
              </w:rPr>
            </w:pPr>
            <w:r w:rsidRPr="00A060B3">
              <w:rPr>
                <w:rFonts w:ascii="Times New Roman" w:hAnsi="Times New Roman" w:cs="Times New Roman"/>
                <w:b/>
                <w:sz w:val="24"/>
                <w:szCs w:val="24"/>
              </w:rPr>
              <w:t>Costs ($)</w:t>
            </w:r>
          </w:p>
        </w:tc>
      </w:tr>
      <w:tr w:rsidR="00B00A01" w:rsidTr="00B00A01">
        <w:tc>
          <w:tcPr>
            <w:tcW w:w="1908" w:type="dxa"/>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sz w:val="24"/>
                <w:szCs w:val="24"/>
              </w:rPr>
              <w:t xml:space="preserve">CBI </w:t>
            </w:r>
            <w:r w:rsidRPr="00901943">
              <w:rPr>
                <w:rFonts w:ascii="Times New Roman" w:hAnsi="Times New Roman" w:cs="Times New Roman"/>
                <w:sz w:val="24"/>
                <w:szCs w:val="24"/>
              </w:rPr>
              <w:lastRenderedPageBreak/>
              <w:t>Substantiation</w:t>
            </w:r>
          </w:p>
        </w:tc>
        <w:tc>
          <w:tcPr>
            <w:tcW w:w="1620" w:type="dxa"/>
            <w:vAlign w:val="bottom"/>
          </w:tcPr>
          <w:p w:rsidR="00901943" w:rsidRPr="00901943" w:rsidRDefault="00901943" w:rsidP="00B00A01">
            <w:pPr>
              <w:pStyle w:val="PlainText"/>
              <w:jc w:val="right"/>
              <w:rPr>
                <w:rFonts w:ascii="Times New Roman" w:hAnsi="Times New Roman" w:cs="Times New Roman"/>
                <w:sz w:val="24"/>
                <w:szCs w:val="24"/>
              </w:rPr>
            </w:pPr>
            <w:r w:rsidRPr="00901943">
              <w:rPr>
                <w:rFonts w:ascii="Times New Roman" w:hAnsi="Times New Roman" w:cs="Times New Roman"/>
                <w:sz w:val="24"/>
                <w:szCs w:val="24"/>
              </w:rPr>
              <w:lastRenderedPageBreak/>
              <w:t>21.5</w:t>
            </w:r>
          </w:p>
        </w:tc>
        <w:tc>
          <w:tcPr>
            <w:tcW w:w="1260"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1,560</w:t>
            </w:r>
          </w:p>
        </w:tc>
        <w:tc>
          <w:tcPr>
            <w:tcW w:w="2160"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20</w:t>
            </w:r>
          </w:p>
        </w:tc>
        <w:tc>
          <w:tcPr>
            <w:tcW w:w="1530"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430</w:t>
            </w:r>
          </w:p>
        </w:tc>
        <w:tc>
          <w:tcPr>
            <w:tcW w:w="1098"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31,</w:t>
            </w:r>
            <w:r w:rsidR="00901943" w:rsidRPr="00901943">
              <w:rPr>
                <w:rFonts w:ascii="Times New Roman" w:hAnsi="Times New Roman" w:cs="Times New Roman"/>
                <w:sz w:val="24"/>
                <w:szCs w:val="24"/>
              </w:rPr>
              <w:t>21</w:t>
            </w:r>
            <w:r>
              <w:rPr>
                <w:rFonts w:ascii="Times New Roman" w:hAnsi="Times New Roman" w:cs="Times New Roman"/>
                <w:sz w:val="24"/>
                <w:szCs w:val="24"/>
              </w:rPr>
              <w:t>0</w:t>
            </w:r>
          </w:p>
        </w:tc>
      </w:tr>
      <w:tr w:rsidR="00B00A01" w:rsidTr="00B00A01">
        <w:tc>
          <w:tcPr>
            <w:tcW w:w="1908" w:type="dxa"/>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sz w:val="24"/>
                <w:szCs w:val="24"/>
              </w:rPr>
              <w:lastRenderedPageBreak/>
              <w:t>Adverse Effects Reporting</w:t>
            </w:r>
          </w:p>
        </w:tc>
        <w:tc>
          <w:tcPr>
            <w:tcW w:w="1620" w:type="dxa"/>
            <w:vAlign w:val="bottom"/>
          </w:tcPr>
          <w:p w:rsidR="00901943" w:rsidRPr="00901943" w:rsidRDefault="00901943" w:rsidP="00B00A01">
            <w:pPr>
              <w:pStyle w:val="PlainText"/>
              <w:jc w:val="right"/>
              <w:rPr>
                <w:rFonts w:ascii="Times New Roman" w:hAnsi="Times New Roman" w:cs="Times New Roman"/>
                <w:sz w:val="24"/>
                <w:szCs w:val="24"/>
              </w:rPr>
            </w:pPr>
            <w:r w:rsidRPr="00901943">
              <w:rPr>
                <w:rFonts w:ascii="Times New Roman" w:hAnsi="Times New Roman" w:cs="Times New Roman"/>
                <w:sz w:val="24"/>
                <w:szCs w:val="24"/>
              </w:rPr>
              <w:t>7</w:t>
            </w:r>
          </w:p>
        </w:tc>
        <w:tc>
          <w:tcPr>
            <w:tcW w:w="1260"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483</w:t>
            </w:r>
          </w:p>
        </w:tc>
        <w:tc>
          <w:tcPr>
            <w:tcW w:w="2160" w:type="dxa"/>
            <w:vAlign w:val="bottom"/>
          </w:tcPr>
          <w:p w:rsidR="00901943" w:rsidRPr="00901943" w:rsidRDefault="00901943" w:rsidP="00B00A01">
            <w:pPr>
              <w:pStyle w:val="PlainText"/>
              <w:jc w:val="right"/>
              <w:rPr>
                <w:rFonts w:ascii="Times New Roman" w:hAnsi="Times New Roman" w:cs="Times New Roman"/>
                <w:sz w:val="24"/>
                <w:szCs w:val="24"/>
              </w:rPr>
            </w:pPr>
            <w:r w:rsidRPr="00901943">
              <w:rPr>
                <w:rFonts w:ascii="Times New Roman" w:hAnsi="Times New Roman" w:cs="Times New Roman"/>
                <w:sz w:val="24"/>
                <w:szCs w:val="24"/>
              </w:rPr>
              <w:t>1/3</w:t>
            </w:r>
          </w:p>
        </w:tc>
        <w:tc>
          <w:tcPr>
            <w:tcW w:w="1530" w:type="dxa"/>
            <w:vAlign w:val="bottom"/>
          </w:tcPr>
          <w:p w:rsidR="00901943" w:rsidRPr="00901943" w:rsidRDefault="00901943" w:rsidP="00B00A01">
            <w:pPr>
              <w:pStyle w:val="PlainText"/>
              <w:jc w:val="right"/>
              <w:rPr>
                <w:rFonts w:ascii="Times New Roman" w:hAnsi="Times New Roman" w:cs="Times New Roman"/>
                <w:sz w:val="24"/>
                <w:szCs w:val="24"/>
              </w:rPr>
            </w:pPr>
            <w:r w:rsidRPr="00901943">
              <w:rPr>
                <w:rFonts w:ascii="Times New Roman" w:hAnsi="Times New Roman" w:cs="Times New Roman"/>
                <w:sz w:val="24"/>
                <w:szCs w:val="24"/>
              </w:rPr>
              <w:t>2.3</w:t>
            </w:r>
          </w:p>
        </w:tc>
        <w:tc>
          <w:tcPr>
            <w:tcW w:w="1098" w:type="dxa"/>
            <w:vAlign w:val="bottom"/>
          </w:tcPr>
          <w:p w:rsidR="00901943" w:rsidRPr="00901943" w:rsidRDefault="008027B8" w:rsidP="00B00A01">
            <w:pPr>
              <w:pStyle w:val="PlainText"/>
              <w:jc w:val="right"/>
              <w:rPr>
                <w:rFonts w:ascii="Times New Roman" w:hAnsi="Times New Roman" w:cs="Times New Roman"/>
                <w:sz w:val="24"/>
                <w:szCs w:val="24"/>
              </w:rPr>
            </w:pPr>
            <w:r>
              <w:rPr>
                <w:rFonts w:ascii="Times New Roman" w:hAnsi="Times New Roman" w:cs="Times New Roman"/>
                <w:sz w:val="24"/>
                <w:szCs w:val="24"/>
              </w:rPr>
              <w:t>161</w:t>
            </w:r>
          </w:p>
        </w:tc>
      </w:tr>
      <w:tr w:rsidR="00B00A01" w:rsidTr="00B00A01">
        <w:tc>
          <w:tcPr>
            <w:tcW w:w="1908" w:type="dxa"/>
          </w:tcPr>
          <w:p w:rsidR="00901943" w:rsidRPr="00901943" w:rsidRDefault="00901943" w:rsidP="008027B8">
            <w:pPr>
              <w:pStyle w:val="PlainText"/>
              <w:rPr>
                <w:rFonts w:ascii="Times New Roman" w:hAnsi="Times New Roman" w:cs="Times New Roman"/>
                <w:b/>
                <w:sz w:val="24"/>
                <w:szCs w:val="24"/>
              </w:rPr>
            </w:pPr>
            <w:r w:rsidRPr="00901943">
              <w:rPr>
                <w:rFonts w:ascii="Times New Roman" w:hAnsi="Times New Roman" w:cs="Times New Roman"/>
                <w:b/>
                <w:sz w:val="24"/>
                <w:szCs w:val="24"/>
              </w:rPr>
              <w:t>Totals</w:t>
            </w:r>
          </w:p>
        </w:tc>
        <w:tc>
          <w:tcPr>
            <w:tcW w:w="1620" w:type="dxa"/>
          </w:tcPr>
          <w:p w:rsidR="00901943" w:rsidRPr="00901943" w:rsidRDefault="00901943" w:rsidP="00901943">
            <w:pPr>
              <w:pStyle w:val="PlainText"/>
              <w:jc w:val="right"/>
              <w:rPr>
                <w:rFonts w:ascii="Times New Roman" w:hAnsi="Times New Roman" w:cs="Times New Roman"/>
                <w:b/>
                <w:sz w:val="24"/>
                <w:szCs w:val="24"/>
              </w:rPr>
            </w:pPr>
          </w:p>
        </w:tc>
        <w:tc>
          <w:tcPr>
            <w:tcW w:w="1260" w:type="dxa"/>
          </w:tcPr>
          <w:p w:rsidR="00901943" w:rsidRPr="00901943" w:rsidRDefault="00901943" w:rsidP="00901943">
            <w:pPr>
              <w:pStyle w:val="PlainText"/>
              <w:jc w:val="right"/>
              <w:rPr>
                <w:rFonts w:ascii="Times New Roman" w:hAnsi="Times New Roman" w:cs="Times New Roman"/>
                <w:b/>
                <w:sz w:val="24"/>
                <w:szCs w:val="24"/>
              </w:rPr>
            </w:pPr>
          </w:p>
        </w:tc>
        <w:tc>
          <w:tcPr>
            <w:tcW w:w="2160" w:type="dxa"/>
          </w:tcPr>
          <w:p w:rsidR="00901943" w:rsidRPr="00901943" w:rsidRDefault="00901943" w:rsidP="00901943">
            <w:pPr>
              <w:pStyle w:val="PlainText"/>
              <w:jc w:val="right"/>
              <w:rPr>
                <w:rFonts w:ascii="Times New Roman" w:hAnsi="Times New Roman" w:cs="Times New Roman"/>
                <w:b/>
                <w:sz w:val="24"/>
                <w:szCs w:val="24"/>
              </w:rPr>
            </w:pPr>
          </w:p>
        </w:tc>
        <w:tc>
          <w:tcPr>
            <w:tcW w:w="1530" w:type="dxa"/>
          </w:tcPr>
          <w:p w:rsidR="00901943" w:rsidRPr="00901943" w:rsidRDefault="008027B8" w:rsidP="00901943">
            <w:pPr>
              <w:pStyle w:val="PlainText"/>
              <w:jc w:val="right"/>
              <w:rPr>
                <w:rFonts w:ascii="Times New Roman" w:hAnsi="Times New Roman" w:cs="Times New Roman"/>
                <w:b/>
                <w:sz w:val="24"/>
                <w:szCs w:val="24"/>
              </w:rPr>
            </w:pPr>
            <w:r>
              <w:rPr>
                <w:rFonts w:ascii="Times New Roman" w:hAnsi="Times New Roman" w:cs="Times New Roman"/>
                <w:b/>
                <w:sz w:val="24"/>
                <w:szCs w:val="24"/>
              </w:rPr>
              <w:t>432</w:t>
            </w:r>
            <w:r w:rsidR="00901943" w:rsidRPr="00901943">
              <w:rPr>
                <w:rFonts w:ascii="Times New Roman" w:hAnsi="Times New Roman" w:cs="Times New Roman"/>
                <w:b/>
                <w:sz w:val="24"/>
                <w:szCs w:val="24"/>
              </w:rPr>
              <w:t>.3</w:t>
            </w:r>
          </w:p>
        </w:tc>
        <w:tc>
          <w:tcPr>
            <w:tcW w:w="1098" w:type="dxa"/>
          </w:tcPr>
          <w:p w:rsidR="00901943" w:rsidRPr="00901943" w:rsidRDefault="008027B8" w:rsidP="00901943">
            <w:pPr>
              <w:pStyle w:val="PlainText"/>
              <w:jc w:val="right"/>
              <w:rPr>
                <w:rFonts w:ascii="Times New Roman" w:hAnsi="Times New Roman" w:cs="Times New Roman"/>
                <w:b/>
                <w:sz w:val="24"/>
                <w:szCs w:val="24"/>
              </w:rPr>
            </w:pPr>
            <w:r>
              <w:rPr>
                <w:rFonts w:ascii="Times New Roman" w:hAnsi="Times New Roman" w:cs="Times New Roman"/>
                <w:b/>
                <w:sz w:val="24"/>
                <w:szCs w:val="24"/>
              </w:rPr>
              <w:t>31,371</w:t>
            </w:r>
          </w:p>
        </w:tc>
      </w:tr>
    </w:tbl>
    <w:p w:rsidR="009266B8" w:rsidRPr="005A3906" w:rsidRDefault="009266B8" w:rsidP="00901943">
      <w:pPr>
        <w:numPr>
          <w:ilvl w:val="12"/>
          <w:numId w:val="0"/>
        </w:numPr>
      </w:pPr>
    </w:p>
    <w:p w:rsidR="006103A9" w:rsidRPr="005A3906" w:rsidRDefault="006103A9" w:rsidP="00343EF0">
      <w:pPr>
        <w:pStyle w:val="PlainText"/>
        <w:rPr>
          <w:rFonts w:ascii="Times New Roman" w:hAnsi="Times New Roman" w:cs="Times New Roman"/>
          <w:sz w:val="24"/>
          <w:szCs w:val="24"/>
        </w:rPr>
      </w:pPr>
    </w:p>
    <w:p w:rsidR="006103A9" w:rsidRPr="006E17AA" w:rsidRDefault="006103A9" w:rsidP="006E17AA">
      <w:pPr>
        <w:pStyle w:val="PlainText"/>
        <w:ind w:firstLine="720"/>
        <w:rPr>
          <w:rFonts w:ascii="Times New Roman" w:hAnsi="Times New Roman" w:cs="Times New Roman"/>
          <w:b/>
          <w:sz w:val="24"/>
          <w:szCs w:val="24"/>
        </w:rPr>
      </w:pPr>
      <w:r w:rsidRPr="006E17AA">
        <w:rPr>
          <w:rFonts w:ascii="Times New Roman" w:hAnsi="Times New Roman" w:cs="Times New Roman"/>
          <w:b/>
          <w:sz w:val="24"/>
          <w:szCs w:val="24"/>
        </w:rPr>
        <w:t>6(c</w:t>
      </w:r>
      <w:proofErr w:type="gramStart"/>
      <w:r w:rsidRPr="006E17AA">
        <w:rPr>
          <w:rFonts w:ascii="Times New Roman" w:hAnsi="Times New Roman" w:cs="Times New Roman"/>
          <w:b/>
          <w:sz w:val="24"/>
          <w:szCs w:val="24"/>
        </w:rPr>
        <w:t>)</w:t>
      </w:r>
      <w:r w:rsidR="006E17AA">
        <w:rPr>
          <w:rFonts w:ascii="Times New Roman" w:hAnsi="Times New Roman" w:cs="Times New Roman"/>
          <w:b/>
          <w:sz w:val="24"/>
          <w:szCs w:val="24"/>
        </w:rPr>
        <w:t xml:space="preserve"> </w:t>
      </w:r>
      <w:r w:rsidRPr="006E17AA">
        <w:rPr>
          <w:rFonts w:ascii="Times New Roman" w:hAnsi="Times New Roman" w:cs="Times New Roman"/>
          <w:b/>
          <w:sz w:val="24"/>
          <w:szCs w:val="24"/>
        </w:rPr>
        <w:t xml:space="preserve"> Estimating</w:t>
      </w:r>
      <w:proofErr w:type="gramEnd"/>
      <w:r w:rsidRPr="006E17AA">
        <w:rPr>
          <w:rFonts w:ascii="Times New Roman" w:hAnsi="Times New Roman" w:cs="Times New Roman"/>
          <w:b/>
          <w:sz w:val="24"/>
          <w:szCs w:val="24"/>
        </w:rPr>
        <w:t xml:space="preserve"> Agency Burden and Costs </w:t>
      </w:r>
    </w:p>
    <w:p w:rsidR="006103A9" w:rsidRPr="005A3906" w:rsidRDefault="006103A9" w:rsidP="00343EF0">
      <w:pPr>
        <w:pStyle w:val="PlainText"/>
        <w:rPr>
          <w:rFonts w:ascii="Times New Roman" w:hAnsi="Times New Roman" w:cs="Times New Roman"/>
          <w:b/>
          <w:i/>
          <w:sz w:val="24"/>
          <w:szCs w:val="24"/>
        </w:rPr>
      </w:pPr>
    </w:p>
    <w:p w:rsidR="00191E9D" w:rsidRPr="005A3906" w:rsidRDefault="006103A9" w:rsidP="00191E9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Agency will incur burden and costs while performing the various activities necessary to review CBI substantiation submissions and any adverse effects reports submitted for exempted plant-incorporated protectants. These activities are described in Section </w:t>
      </w:r>
      <w:r w:rsidR="00A854CF" w:rsidRPr="005A3906">
        <w:rPr>
          <w:rFonts w:ascii="Times New Roman" w:hAnsi="Times New Roman" w:cs="Times New Roman"/>
          <w:sz w:val="24"/>
          <w:szCs w:val="24"/>
        </w:rPr>
        <w:t>5</w:t>
      </w:r>
      <w:r w:rsidRPr="005A3906">
        <w:rPr>
          <w:rFonts w:ascii="Times New Roman" w:hAnsi="Times New Roman" w:cs="Times New Roman"/>
          <w:sz w:val="24"/>
          <w:szCs w:val="24"/>
        </w:rPr>
        <w:t xml:space="preserve"> of this ICR and may include the tracking and review of submissions, requests for additional information, or consultations with applicants. </w:t>
      </w:r>
      <w:r w:rsidR="002E7A74">
        <w:rPr>
          <w:rFonts w:ascii="Times New Roman" w:hAnsi="Times New Roman" w:cs="Times New Roman"/>
          <w:sz w:val="24"/>
          <w:szCs w:val="24"/>
        </w:rPr>
        <w:t xml:space="preserve"> </w:t>
      </w:r>
      <w:r w:rsidRPr="005A3906">
        <w:rPr>
          <w:rFonts w:ascii="Times New Roman" w:hAnsi="Times New Roman" w:cs="Times New Roman"/>
          <w:sz w:val="24"/>
          <w:szCs w:val="24"/>
        </w:rPr>
        <w:t xml:space="preserve">Tables </w:t>
      </w:r>
      <w:r w:rsidR="00901943">
        <w:rPr>
          <w:rFonts w:ascii="Times New Roman" w:hAnsi="Times New Roman" w:cs="Times New Roman"/>
          <w:sz w:val="24"/>
          <w:szCs w:val="24"/>
        </w:rPr>
        <w:t>4</w:t>
      </w:r>
      <w:r w:rsidRPr="005A3906">
        <w:rPr>
          <w:rFonts w:ascii="Times New Roman" w:hAnsi="Times New Roman" w:cs="Times New Roman"/>
          <w:sz w:val="24"/>
          <w:szCs w:val="24"/>
        </w:rPr>
        <w:t xml:space="preserve"> and </w:t>
      </w:r>
      <w:r w:rsidR="00901943">
        <w:rPr>
          <w:rFonts w:ascii="Times New Roman" w:hAnsi="Times New Roman" w:cs="Times New Roman"/>
          <w:sz w:val="24"/>
          <w:szCs w:val="24"/>
        </w:rPr>
        <w:t>5</w:t>
      </w:r>
      <w:r w:rsidRPr="005A3906">
        <w:rPr>
          <w:rFonts w:ascii="Times New Roman" w:hAnsi="Times New Roman" w:cs="Times New Roman"/>
          <w:sz w:val="24"/>
          <w:szCs w:val="24"/>
        </w:rPr>
        <w:t xml:space="preserve"> provide the average </w:t>
      </w:r>
      <w:r w:rsidR="00191E9D" w:rsidRPr="005A3906">
        <w:rPr>
          <w:rFonts w:ascii="Times New Roman" w:hAnsi="Times New Roman" w:cs="Times New Roman"/>
          <w:sz w:val="24"/>
          <w:szCs w:val="24"/>
        </w:rPr>
        <w:t xml:space="preserve">EPA </w:t>
      </w:r>
      <w:r w:rsidRPr="005A3906">
        <w:rPr>
          <w:rFonts w:ascii="Times New Roman" w:hAnsi="Times New Roman" w:cs="Times New Roman"/>
          <w:sz w:val="24"/>
          <w:szCs w:val="24"/>
        </w:rPr>
        <w:t xml:space="preserve">burden and cost estimates for </w:t>
      </w:r>
      <w:r w:rsidR="00191E9D" w:rsidRPr="005A3906">
        <w:rPr>
          <w:rFonts w:ascii="Times New Roman" w:hAnsi="Times New Roman" w:cs="Times New Roman"/>
          <w:sz w:val="24"/>
          <w:szCs w:val="24"/>
        </w:rPr>
        <w:t>performing these activities.</w:t>
      </w:r>
    </w:p>
    <w:p w:rsidR="006103A9" w:rsidRPr="005A3906" w:rsidRDefault="006103A9" w:rsidP="00343EF0">
      <w:pPr>
        <w:pStyle w:val="PlainText"/>
        <w:rPr>
          <w:rFonts w:ascii="Times New Roman" w:hAnsi="Times New Roman" w:cs="Times New Roman"/>
          <w:sz w:val="24"/>
          <w:szCs w:val="24"/>
        </w:rPr>
      </w:pPr>
      <w:bookmarkStart w:id="4" w:name="OLE_LINK3"/>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424"/>
        <w:gridCol w:w="1343"/>
        <w:gridCol w:w="1013"/>
        <w:gridCol w:w="1260"/>
      </w:tblGrid>
      <w:tr w:rsidR="009A0D96" w:rsidRPr="00A772BC" w:rsidTr="001A2A05">
        <w:tc>
          <w:tcPr>
            <w:tcW w:w="9468" w:type="dxa"/>
            <w:gridSpan w:val="6"/>
          </w:tcPr>
          <w:p w:rsidR="009A0D96" w:rsidRPr="00A772BC" w:rsidRDefault="009D3DD8" w:rsidP="00343EF0">
            <w:pPr>
              <w:pStyle w:val="PlainText"/>
              <w:rPr>
                <w:rFonts w:ascii="Times New Roman" w:hAnsi="Times New Roman" w:cs="Times New Roman"/>
                <w:b/>
                <w:sz w:val="24"/>
                <w:szCs w:val="24"/>
              </w:rPr>
            </w:pPr>
            <w:r w:rsidRPr="00A772BC">
              <w:rPr>
                <w:rFonts w:ascii="Times New Roman" w:hAnsi="Times New Roman" w:cs="Times New Roman"/>
                <w:b/>
                <w:sz w:val="24"/>
                <w:szCs w:val="24"/>
              </w:rPr>
              <w:t xml:space="preserve">Table </w:t>
            </w:r>
            <w:r w:rsidR="00901943">
              <w:rPr>
                <w:rFonts w:ascii="Times New Roman" w:hAnsi="Times New Roman" w:cs="Times New Roman"/>
                <w:b/>
                <w:sz w:val="24"/>
                <w:szCs w:val="24"/>
              </w:rPr>
              <w:t>4</w:t>
            </w:r>
            <w:r w:rsidRPr="00A772BC">
              <w:rPr>
                <w:rFonts w:ascii="Times New Roman" w:hAnsi="Times New Roman" w:cs="Times New Roman"/>
                <w:b/>
                <w:sz w:val="24"/>
                <w:szCs w:val="24"/>
              </w:rPr>
              <w:t xml:space="preserve"> - Average </w:t>
            </w:r>
            <w:r w:rsidR="00901943">
              <w:rPr>
                <w:rFonts w:ascii="Times New Roman" w:hAnsi="Times New Roman" w:cs="Times New Roman"/>
                <w:b/>
                <w:sz w:val="24"/>
                <w:szCs w:val="24"/>
              </w:rPr>
              <w:t xml:space="preserve">Agency </w:t>
            </w:r>
            <w:r w:rsidRPr="00A772BC">
              <w:rPr>
                <w:rFonts w:ascii="Times New Roman" w:hAnsi="Times New Roman" w:cs="Times New Roman"/>
                <w:b/>
                <w:sz w:val="24"/>
                <w:szCs w:val="24"/>
              </w:rPr>
              <w:t xml:space="preserve">Burden and Cost Estimates </w:t>
            </w:r>
            <w:r w:rsidR="00983E7E" w:rsidRPr="00A772BC">
              <w:rPr>
                <w:rFonts w:ascii="Times New Roman" w:hAnsi="Times New Roman" w:cs="Times New Roman"/>
                <w:b/>
                <w:sz w:val="24"/>
                <w:szCs w:val="24"/>
              </w:rPr>
              <w:t>per Submission</w:t>
            </w:r>
            <w:r w:rsidR="00983E7E" w:rsidRPr="00A772BC">
              <w:rPr>
                <w:rFonts w:ascii="Times New Roman" w:hAnsi="Times New Roman" w:cs="Times New Roman"/>
                <w:b/>
                <w:color w:val="FF0000"/>
                <w:sz w:val="24"/>
                <w:szCs w:val="24"/>
              </w:rPr>
              <w:t xml:space="preserve"> </w:t>
            </w:r>
            <w:r w:rsidRPr="00A772BC">
              <w:rPr>
                <w:rFonts w:ascii="Times New Roman" w:hAnsi="Times New Roman" w:cs="Times New Roman"/>
                <w:b/>
                <w:sz w:val="24"/>
                <w:szCs w:val="24"/>
              </w:rPr>
              <w:t xml:space="preserve">for EPA Activities related to CBI Substantiation </w:t>
            </w:r>
          </w:p>
        </w:tc>
      </w:tr>
      <w:tr w:rsidR="00794853" w:rsidRPr="00A772BC" w:rsidTr="001A2A05">
        <w:tc>
          <w:tcPr>
            <w:tcW w:w="2808" w:type="dxa"/>
          </w:tcPr>
          <w:p w:rsidR="00794853" w:rsidRPr="00A772BC" w:rsidRDefault="00794853" w:rsidP="00343EF0">
            <w:pPr>
              <w:pStyle w:val="PlainText"/>
              <w:rPr>
                <w:rFonts w:ascii="Times New Roman" w:hAnsi="Times New Roman" w:cs="Times New Roman"/>
                <w:b/>
                <w:sz w:val="24"/>
                <w:szCs w:val="24"/>
              </w:rPr>
            </w:pPr>
          </w:p>
        </w:tc>
        <w:tc>
          <w:tcPr>
            <w:tcW w:w="4387" w:type="dxa"/>
            <w:gridSpan w:val="3"/>
          </w:tcPr>
          <w:p w:rsidR="00794853" w:rsidRPr="00A772BC" w:rsidRDefault="0079485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 xml:space="preserve">Burden </w:t>
            </w:r>
            <w:r w:rsidR="00901943">
              <w:rPr>
                <w:rFonts w:ascii="Times New Roman" w:hAnsi="Times New Roman" w:cs="Times New Roman"/>
                <w:b/>
                <w:sz w:val="24"/>
                <w:szCs w:val="24"/>
              </w:rPr>
              <w:t>Hours</w:t>
            </w:r>
          </w:p>
        </w:tc>
        <w:tc>
          <w:tcPr>
            <w:tcW w:w="2273" w:type="dxa"/>
            <w:gridSpan w:val="2"/>
          </w:tcPr>
          <w:p w:rsidR="00794853" w:rsidRPr="00A772BC" w:rsidRDefault="00794853"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Total</w:t>
            </w:r>
          </w:p>
        </w:tc>
      </w:tr>
      <w:tr w:rsidR="009D3DD8" w:rsidRPr="00A772BC" w:rsidTr="001A2A05">
        <w:tc>
          <w:tcPr>
            <w:tcW w:w="2808" w:type="dxa"/>
          </w:tcPr>
          <w:p w:rsidR="009D3DD8" w:rsidRPr="00A772BC" w:rsidRDefault="009D3DD8" w:rsidP="00343EF0">
            <w:pPr>
              <w:pStyle w:val="PlainText"/>
              <w:rPr>
                <w:rFonts w:ascii="Times New Roman" w:hAnsi="Times New Roman" w:cs="Times New Roman"/>
                <w:b/>
                <w:sz w:val="24"/>
                <w:szCs w:val="24"/>
              </w:rPr>
            </w:pPr>
            <w:r w:rsidRPr="00A772BC">
              <w:rPr>
                <w:rFonts w:ascii="Times New Roman" w:hAnsi="Times New Roman" w:cs="Times New Roman"/>
                <w:b/>
                <w:sz w:val="24"/>
                <w:szCs w:val="24"/>
              </w:rPr>
              <w:t>Activities</w:t>
            </w:r>
          </w:p>
        </w:tc>
        <w:tc>
          <w:tcPr>
            <w:tcW w:w="1620" w:type="dxa"/>
          </w:tcPr>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Mgmt.</w:t>
            </w:r>
          </w:p>
          <w:p w:rsidR="009D3DD8" w:rsidRPr="00A772BC" w:rsidRDefault="00D24AB5"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r w:rsidR="00A772BC" w:rsidRPr="00A772BC">
              <w:rPr>
                <w:rFonts w:ascii="Times New Roman" w:hAnsi="Times New Roman" w:cs="Times New Roman"/>
                <w:b/>
                <w:sz w:val="24"/>
                <w:szCs w:val="24"/>
              </w:rPr>
              <w:t>120.60</w:t>
            </w:r>
            <w:r w:rsidR="009D3DD8" w:rsidRPr="00A772BC">
              <w:rPr>
                <w:rFonts w:ascii="Times New Roman" w:hAnsi="Times New Roman" w:cs="Times New Roman"/>
                <w:b/>
                <w:sz w:val="24"/>
                <w:szCs w:val="24"/>
              </w:rPr>
              <w:t>/</w:t>
            </w:r>
            <w:proofErr w:type="spellStart"/>
            <w:r w:rsidR="009D3DD8" w:rsidRPr="00A772BC">
              <w:rPr>
                <w:rFonts w:ascii="Times New Roman" w:hAnsi="Times New Roman" w:cs="Times New Roman"/>
                <w:b/>
                <w:sz w:val="24"/>
                <w:szCs w:val="24"/>
              </w:rPr>
              <w:t>hr</w:t>
            </w:r>
            <w:proofErr w:type="spellEnd"/>
            <w:r w:rsidR="009D3DD8" w:rsidRPr="00A772BC">
              <w:rPr>
                <w:rFonts w:ascii="Times New Roman" w:hAnsi="Times New Roman" w:cs="Times New Roman"/>
                <w:b/>
                <w:sz w:val="24"/>
                <w:szCs w:val="24"/>
              </w:rPr>
              <w:t>)</w:t>
            </w:r>
          </w:p>
        </w:tc>
        <w:tc>
          <w:tcPr>
            <w:tcW w:w="1424" w:type="dxa"/>
          </w:tcPr>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Tech.</w:t>
            </w:r>
          </w:p>
          <w:p w:rsidR="009D3DD8" w:rsidRPr="00A772BC" w:rsidRDefault="00D24AB5"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r w:rsidR="00A772BC" w:rsidRPr="00A772BC">
              <w:rPr>
                <w:rFonts w:ascii="Times New Roman" w:hAnsi="Times New Roman" w:cs="Times New Roman"/>
                <w:b/>
                <w:sz w:val="24"/>
                <w:szCs w:val="24"/>
              </w:rPr>
              <w:t>78.24</w:t>
            </w:r>
            <w:r w:rsidR="009D3DD8" w:rsidRPr="00A772BC">
              <w:rPr>
                <w:rFonts w:ascii="Times New Roman" w:hAnsi="Times New Roman" w:cs="Times New Roman"/>
                <w:b/>
                <w:sz w:val="24"/>
                <w:szCs w:val="24"/>
              </w:rPr>
              <w:t>/</w:t>
            </w:r>
            <w:proofErr w:type="spellStart"/>
            <w:r w:rsidR="009D3DD8" w:rsidRPr="00A772BC">
              <w:rPr>
                <w:rFonts w:ascii="Times New Roman" w:hAnsi="Times New Roman" w:cs="Times New Roman"/>
                <w:b/>
                <w:sz w:val="24"/>
                <w:szCs w:val="24"/>
              </w:rPr>
              <w:t>hr</w:t>
            </w:r>
            <w:proofErr w:type="spellEnd"/>
            <w:r w:rsidR="009D3DD8" w:rsidRPr="00A772BC">
              <w:rPr>
                <w:rFonts w:ascii="Times New Roman" w:hAnsi="Times New Roman" w:cs="Times New Roman"/>
                <w:b/>
                <w:sz w:val="24"/>
                <w:szCs w:val="24"/>
              </w:rPr>
              <w:t>)</w:t>
            </w:r>
          </w:p>
        </w:tc>
        <w:tc>
          <w:tcPr>
            <w:tcW w:w="1343" w:type="dxa"/>
          </w:tcPr>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Clerical</w:t>
            </w:r>
          </w:p>
          <w:p w:rsidR="009D3DD8" w:rsidRPr="00A772BC" w:rsidRDefault="00D24AB5" w:rsidP="00A772BC">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r w:rsidR="00A772BC" w:rsidRPr="00A772BC">
              <w:rPr>
                <w:rFonts w:ascii="Times New Roman" w:hAnsi="Times New Roman" w:cs="Times New Roman"/>
                <w:b/>
                <w:sz w:val="24"/>
                <w:szCs w:val="24"/>
              </w:rPr>
              <w:t>44.61</w:t>
            </w:r>
            <w:r w:rsidR="009D3DD8" w:rsidRPr="00A772BC">
              <w:rPr>
                <w:rFonts w:ascii="Times New Roman" w:hAnsi="Times New Roman" w:cs="Times New Roman"/>
                <w:b/>
                <w:sz w:val="24"/>
                <w:szCs w:val="24"/>
              </w:rPr>
              <w:t>/</w:t>
            </w:r>
            <w:proofErr w:type="spellStart"/>
            <w:r w:rsidR="009D3DD8" w:rsidRPr="00A772BC">
              <w:rPr>
                <w:rFonts w:ascii="Times New Roman" w:hAnsi="Times New Roman" w:cs="Times New Roman"/>
                <w:b/>
                <w:sz w:val="24"/>
                <w:szCs w:val="24"/>
              </w:rPr>
              <w:t>hr</w:t>
            </w:r>
            <w:proofErr w:type="spellEnd"/>
            <w:r w:rsidR="009D3DD8" w:rsidRPr="00A772BC">
              <w:rPr>
                <w:rFonts w:ascii="Times New Roman" w:hAnsi="Times New Roman" w:cs="Times New Roman"/>
                <w:b/>
                <w:sz w:val="24"/>
                <w:szCs w:val="24"/>
              </w:rPr>
              <w:t>)</w:t>
            </w:r>
          </w:p>
        </w:tc>
        <w:tc>
          <w:tcPr>
            <w:tcW w:w="1013" w:type="dxa"/>
          </w:tcPr>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Burden (</w:t>
            </w:r>
            <w:proofErr w:type="spellStart"/>
            <w:r w:rsidRPr="00A772BC">
              <w:rPr>
                <w:rFonts w:ascii="Times New Roman" w:hAnsi="Times New Roman" w:cs="Times New Roman"/>
                <w:b/>
                <w:sz w:val="24"/>
                <w:szCs w:val="24"/>
              </w:rPr>
              <w:t>hrs</w:t>
            </w:r>
            <w:proofErr w:type="spellEnd"/>
            <w:r w:rsidRPr="00A772BC">
              <w:rPr>
                <w:rFonts w:ascii="Times New Roman" w:hAnsi="Times New Roman" w:cs="Times New Roman"/>
                <w:b/>
                <w:sz w:val="24"/>
                <w:szCs w:val="24"/>
              </w:rPr>
              <w:t>)</w:t>
            </w:r>
          </w:p>
        </w:tc>
        <w:tc>
          <w:tcPr>
            <w:tcW w:w="1260" w:type="dxa"/>
          </w:tcPr>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Costs</w:t>
            </w:r>
          </w:p>
          <w:p w:rsidR="009D3DD8" w:rsidRPr="00A772BC" w:rsidRDefault="009D3DD8" w:rsidP="001A2A05">
            <w:pPr>
              <w:pStyle w:val="PlainText"/>
              <w:jc w:val="center"/>
              <w:rPr>
                <w:rFonts w:ascii="Times New Roman" w:hAnsi="Times New Roman" w:cs="Times New Roman"/>
                <w:b/>
                <w:sz w:val="24"/>
                <w:szCs w:val="24"/>
              </w:rPr>
            </w:pPr>
            <w:r w:rsidRPr="00A772BC">
              <w:rPr>
                <w:rFonts w:ascii="Times New Roman" w:hAnsi="Times New Roman" w:cs="Times New Roman"/>
                <w:b/>
                <w:sz w:val="24"/>
                <w:szCs w:val="24"/>
              </w:rPr>
              <w:t>($)</w:t>
            </w:r>
          </w:p>
        </w:tc>
      </w:tr>
      <w:tr w:rsidR="00A772BC" w:rsidRPr="00A772BC" w:rsidTr="001A2A05">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 xml:space="preserve">Consult With Registrant </w:t>
            </w:r>
          </w:p>
        </w:tc>
        <w:tc>
          <w:tcPr>
            <w:tcW w:w="1620"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w:t>
            </w:r>
          </w:p>
        </w:tc>
        <w:tc>
          <w:tcPr>
            <w:tcW w:w="1424"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3</w:t>
            </w:r>
          </w:p>
        </w:tc>
        <w:tc>
          <w:tcPr>
            <w:tcW w:w="134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0.5</w:t>
            </w:r>
          </w:p>
        </w:tc>
        <w:tc>
          <w:tcPr>
            <w:tcW w:w="101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4.5</w:t>
            </w:r>
          </w:p>
        </w:tc>
        <w:tc>
          <w:tcPr>
            <w:tcW w:w="1260" w:type="dxa"/>
          </w:tcPr>
          <w:p w:rsidR="00A772BC" w:rsidRPr="00A772BC" w:rsidRDefault="00A772BC" w:rsidP="001A2A05">
            <w:pPr>
              <w:jc w:val="center"/>
            </w:pPr>
            <w:r w:rsidRPr="00A772BC">
              <w:t xml:space="preserve"> 377.63 </w:t>
            </w:r>
          </w:p>
        </w:tc>
      </w:tr>
      <w:tr w:rsidR="00A772BC" w:rsidRPr="00A772BC" w:rsidTr="001A2A05">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Record Submissions</w:t>
            </w:r>
          </w:p>
        </w:tc>
        <w:tc>
          <w:tcPr>
            <w:tcW w:w="1620"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w:t>
            </w:r>
          </w:p>
        </w:tc>
        <w:tc>
          <w:tcPr>
            <w:tcW w:w="1424"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0.5</w:t>
            </w:r>
          </w:p>
        </w:tc>
        <w:tc>
          <w:tcPr>
            <w:tcW w:w="134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w:t>
            </w:r>
          </w:p>
        </w:tc>
        <w:tc>
          <w:tcPr>
            <w:tcW w:w="101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1.5</w:t>
            </w:r>
          </w:p>
        </w:tc>
        <w:tc>
          <w:tcPr>
            <w:tcW w:w="1260" w:type="dxa"/>
          </w:tcPr>
          <w:p w:rsidR="00A772BC" w:rsidRPr="00A772BC" w:rsidRDefault="00A772BC" w:rsidP="001A2A05">
            <w:pPr>
              <w:jc w:val="center"/>
            </w:pPr>
            <w:r w:rsidRPr="00A772BC">
              <w:t xml:space="preserve"> 83.73 </w:t>
            </w:r>
          </w:p>
        </w:tc>
      </w:tr>
      <w:tr w:rsidR="00A772BC" w:rsidRPr="00A772BC" w:rsidTr="001A2A05">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Review Submissions</w:t>
            </w:r>
          </w:p>
        </w:tc>
        <w:tc>
          <w:tcPr>
            <w:tcW w:w="1620"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w:t>
            </w:r>
          </w:p>
        </w:tc>
        <w:tc>
          <w:tcPr>
            <w:tcW w:w="1424"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2</w:t>
            </w:r>
          </w:p>
        </w:tc>
        <w:tc>
          <w:tcPr>
            <w:tcW w:w="134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w:t>
            </w:r>
          </w:p>
        </w:tc>
        <w:tc>
          <w:tcPr>
            <w:tcW w:w="101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3</w:t>
            </w:r>
          </w:p>
        </w:tc>
        <w:tc>
          <w:tcPr>
            <w:tcW w:w="1260" w:type="dxa"/>
          </w:tcPr>
          <w:p w:rsidR="00A772BC" w:rsidRPr="00A772BC" w:rsidRDefault="00A772BC" w:rsidP="001A2A05">
            <w:pPr>
              <w:jc w:val="center"/>
            </w:pPr>
            <w:r w:rsidRPr="00A772BC">
              <w:t xml:space="preserve"> 277.08 </w:t>
            </w:r>
          </w:p>
        </w:tc>
      </w:tr>
      <w:tr w:rsidR="00A772BC" w:rsidRPr="00A772BC" w:rsidTr="001A2A05">
        <w:tc>
          <w:tcPr>
            <w:tcW w:w="2808" w:type="dxa"/>
          </w:tcPr>
          <w:p w:rsidR="00A772BC" w:rsidRPr="00A772BC" w:rsidRDefault="00A772BC" w:rsidP="00343EF0">
            <w:pPr>
              <w:pStyle w:val="PlainText"/>
              <w:rPr>
                <w:rFonts w:ascii="Times New Roman" w:hAnsi="Times New Roman" w:cs="Times New Roman"/>
                <w:sz w:val="24"/>
                <w:szCs w:val="24"/>
              </w:rPr>
            </w:pPr>
            <w:r w:rsidRPr="00A772BC">
              <w:rPr>
                <w:rFonts w:ascii="Times New Roman" w:hAnsi="Times New Roman" w:cs="Times New Roman"/>
                <w:sz w:val="24"/>
                <w:szCs w:val="24"/>
              </w:rPr>
              <w:t>Store the Information</w:t>
            </w:r>
          </w:p>
        </w:tc>
        <w:tc>
          <w:tcPr>
            <w:tcW w:w="1620"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w:t>
            </w:r>
          </w:p>
        </w:tc>
        <w:tc>
          <w:tcPr>
            <w:tcW w:w="1424"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0.5</w:t>
            </w:r>
          </w:p>
        </w:tc>
        <w:tc>
          <w:tcPr>
            <w:tcW w:w="134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w:t>
            </w:r>
          </w:p>
        </w:tc>
        <w:tc>
          <w:tcPr>
            <w:tcW w:w="1013" w:type="dxa"/>
          </w:tcPr>
          <w:p w:rsidR="00A772BC" w:rsidRPr="00A772BC" w:rsidRDefault="00A772BC" w:rsidP="001A2A05">
            <w:pPr>
              <w:pStyle w:val="PlainText"/>
              <w:jc w:val="center"/>
              <w:rPr>
                <w:rFonts w:ascii="Times New Roman" w:hAnsi="Times New Roman" w:cs="Times New Roman"/>
                <w:sz w:val="24"/>
                <w:szCs w:val="24"/>
              </w:rPr>
            </w:pPr>
            <w:r w:rsidRPr="00A772BC">
              <w:rPr>
                <w:rFonts w:ascii="Times New Roman" w:hAnsi="Times New Roman" w:cs="Times New Roman"/>
                <w:sz w:val="24"/>
                <w:szCs w:val="24"/>
              </w:rPr>
              <w:t>1.5</w:t>
            </w:r>
          </w:p>
        </w:tc>
        <w:tc>
          <w:tcPr>
            <w:tcW w:w="1260" w:type="dxa"/>
          </w:tcPr>
          <w:p w:rsidR="00A772BC" w:rsidRPr="00A772BC" w:rsidRDefault="00A772BC" w:rsidP="001A2A05">
            <w:pPr>
              <w:jc w:val="center"/>
            </w:pPr>
            <w:r w:rsidRPr="00A772BC">
              <w:t xml:space="preserve"> 83.73 </w:t>
            </w:r>
          </w:p>
        </w:tc>
      </w:tr>
      <w:tr w:rsidR="00A772BC" w:rsidRPr="00A772BC" w:rsidTr="001A2A05">
        <w:tc>
          <w:tcPr>
            <w:tcW w:w="2808" w:type="dxa"/>
          </w:tcPr>
          <w:p w:rsidR="00A772BC" w:rsidRPr="008027B8" w:rsidRDefault="00A772BC" w:rsidP="00343EF0">
            <w:pPr>
              <w:pStyle w:val="PlainText"/>
              <w:rPr>
                <w:rFonts w:ascii="Times New Roman" w:hAnsi="Times New Roman" w:cs="Times New Roman"/>
                <w:b/>
                <w:sz w:val="24"/>
                <w:szCs w:val="24"/>
              </w:rPr>
            </w:pPr>
            <w:r w:rsidRPr="008027B8">
              <w:rPr>
                <w:rFonts w:ascii="Times New Roman" w:hAnsi="Times New Roman" w:cs="Times New Roman"/>
                <w:b/>
                <w:sz w:val="24"/>
                <w:szCs w:val="24"/>
              </w:rPr>
              <w:t>Totals</w:t>
            </w:r>
          </w:p>
        </w:tc>
        <w:tc>
          <w:tcPr>
            <w:tcW w:w="1620" w:type="dxa"/>
          </w:tcPr>
          <w:p w:rsidR="00A772BC" w:rsidRPr="008027B8" w:rsidRDefault="00A772BC" w:rsidP="001A2A05">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2</w:t>
            </w:r>
          </w:p>
        </w:tc>
        <w:tc>
          <w:tcPr>
            <w:tcW w:w="1424" w:type="dxa"/>
          </w:tcPr>
          <w:p w:rsidR="00A772BC" w:rsidRPr="008027B8" w:rsidRDefault="00A772BC" w:rsidP="001A2A05">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6</w:t>
            </w:r>
          </w:p>
        </w:tc>
        <w:tc>
          <w:tcPr>
            <w:tcW w:w="1343" w:type="dxa"/>
          </w:tcPr>
          <w:p w:rsidR="00A772BC" w:rsidRPr="008027B8" w:rsidRDefault="00A772BC" w:rsidP="001A2A05">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2.5</w:t>
            </w:r>
          </w:p>
        </w:tc>
        <w:tc>
          <w:tcPr>
            <w:tcW w:w="1013" w:type="dxa"/>
          </w:tcPr>
          <w:p w:rsidR="00A772BC" w:rsidRPr="008027B8" w:rsidRDefault="00A772BC" w:rsidP="001A2A05">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10.5</w:t>
            </w:r>
          </w:p>
        </w:tc>
        <w:tc>
          <w:tcPr>
            <w:tcW w:w="1260" w:type="dxa"/>
          </w:tcPr>
          <w:p w:rsidR="00A772BC" w:rsidRPr="008027B8" w:rsidRDefault="00A772BC" w:rsidP="001A2A05">
            <w:pPr>
              <w:jc w:val="center"/>
              <w:rPr>
                <w:b/>
              </w:rPr>
            </w:pPr>
            <w:r w:rsidRPr="008027B8">
              <w:rPr>
                <w:b/>
              </w:rPr>
              <w:t xml:space="preserve"> 822.18 </w:t>
            </w:r>
          </w:p>
        </w:tc>
      </w:tr>
    </w:tbl>
    <w:p w:rsidR="00D31958" w:rsidRPr="00A772BC" w:rsidRDefault="00D31958" w:rsidP="00D31958">
      <w:pPr>
        <w:pStyle w:val="PlainText"/>
        <w:rPr>
          <w:rFonts w:ascii="Times New Roman" w:hAnsi="Times New Roman" w:cs="Times New Roman"/>
          <w:sz w:val="24"/>
          <w:szCs w:val="24"/>
        </w:rPr>
      </w:pPr>
      <w:r w:rsidRPr="00A772BC">
        <w:rPr>
          <w:rFonts w:ascii="Times New Roman" w:hAnsi="Times New Roman" w:cs="Times New Roman"/>
          <w:b/>
          <w:sz w:val="24"/>
          <w:szCs w:val="24"/>
        </w:rPr>
        <w:t>Estimated Total Annual Agency Burden:</w:t>
      </w:r>
      <w:r w:rsidRPr="00A772BC">
        <w:rPr>
          <w:rFonts w:ascii="Times New Roman" w:hAnsi="Times New Roman" w:cs="Times New Roman"/>
          <w:sz w:val="24"/>
          <w:szCs w:val="24"/>
        </w:rPr>
        <w:t xml:space="preserve"> </w:t>
      </w:r>
      <w:r w:rsidR="00A772BC" w:rsidRPr="00A772BC">
        <w:rPr>
          <w:rFonts w:ascii="Times New Roman" w:hAnsi="Times New Roman" w:cs="Times New Roman"/>
          <w:sz w:val="24"/>
          <w:szCs w:val="24"/>
        </w:rPr>
        <w:t>20</w:t>
      </w:r>
      <w:r w:rsidRPr="00A772BC">
        <w:rPr>
          <w:rFonts w:ascii="Times New Roman" w:hAnsi="Times New Roman" w:cs="Times New Roman"/>
          <w:sz w:val="24"/>
          <w:szCs w:val="24"/>
        </w:rPr>
        <w:t xml:space="preserve"> events x 10.5 hours = </w:t>
      </w:r>
      <w:r w:rsidR="00A772BC" w:rsidRPr="00A772BC">
        <w:rPr>
          <w:rFonts w:ascii="Times New Roman" w:hAnsi="Times New Roman" w:cs="Times New Roman"/>
          <w:sz w:val="24"/>
          <w:szCs w:val="24"/>
        </w:rPr>
        <w:t xml:space="preserve">210 </w:t>
      </w:r>
      <w:r w:rsidRPr="00A772BC">
        <w:rPr>
          <w:rFonts w:ascii="Times New Roman" w:hAnsi="Times New Roman" w:cs="Times New Roman"/>
          <w:sz w:val="24"/>
          <w:szCs w:val="24"/>
        </w:rPr>
        <w:t>hours</w:t>
      </w:r>
    </w:p>
    <w:p w:rsidR="00D31958" w:rsidRPr="005A3906" w:rsidRDefault="00D31958" w:rsidP="00D31958">
      <w:pPr>
        <w:pStyle w:val="PlainText"/>
        <w:rPr>
          <w:rFonts w:ascii="Times New Roman" w:hAnsi="Times New Roman" w:cs="Times New Roman"/>
          <w:sz w:val="24"/>
          <w:szCs w:val="24"/>
        </w:rPr>
      </w:pPr>
      <w:r w:rsidRPr="00A772BC">
        <w:rPr>
          <w:rFonts w:ascii="Times New Roman" w:hAnsi="Times New Roman" w:cs="Times New Roman"/>
          <w:b/>
          <w:sz w:val="24"/>
          <w:szCs w:val="24"/>
        </w:rPr>
        <w:t>Estimated Total Annual Agency Cost:</w:t>
      </w:r>
      <w:r w:rsidRPr="00A772BC">
        <w:rPr>
          <w:rFonts w:ascii="Times New Roman" w:hAnsi="Times New Roman" w:cs="Times New Roman"/>
          <w:sz w:val="24"/>
          <w:szCs w:val="24"/>
        </w:rPr>
        <w:t xml:space="preserve"> </w:t>
      </w:r>
      <w:r w:rsidR="00A772BC" w:rsidRPr="00A772BC">
        <w:rPr>
          <w:rFonts w:ascii="Times New Roman" w:hAnsi="Times New Roman" w:cs="Times New Roman"/>
          <w:sz w:val="24"/>
          <w:szCs w:val="24"/>
        </w:rPr>
        <w:t>20</w:t>
      </w:r>
      <w:r w:rsidRPr="00A772BC">
        <w:rPr>
          <w:rFonts w:ascii="Times New Roman" w:hAnsi="Times New Roman" w:cs="Times New Roman"/>
          <w:sz w:val="24"/>
          <w:szCs w:val="24"/>
        </w:rPr>
        <w:t xml:space="preserve"> events x $</w:t>
      </w:r>
      <w:r w:rsidR="00A772BC" w:rsidRPr="00A772BC">
        <w:rPr>
          <w:rFonts w:ascii="Times New Roman" w:hAnsi="Times New Roman" w:cs="Times New Roman"/>
          <w:sz w:val="24"/>
          <w:szCs w:val="24"/>
        </w:rPr>
        <w:t>822.18</w:t>
      </w:r>
      <w:r w:rsidRPr="00A772BC">
        <w:rPr>
          <w:rFonts w:ascii="Times New Roman" w:hAnsi="Times New Roman" w:cs="Times New Roman"/>
          <w:sz w:val="24"/>
          <w:szCs w:val="24"/>
        </w:rPr>
        <w:t xml:space="preserve"> = </w:t>
      </w:r>
      <w:r w:rsidR="00185A01" w:rsidRPr="00A772BC">
        <w:rPr>
          <w:rFonts w:ascii="Times New Roman" w:hAnsi="Times New Roman" w:cs="Times New Roman"/>
          <w:sz w:val="24"/>
          <w:szCs w:val="24"/>
        </w:rPr>
        <w:t>$</w:t>
      </w:r>
      <w:r w:rsidR="00A772BC" w:rsidRPr="00A772BC">
        <w:rPr>
          <w:rFonts w:ascii="Times New Roman" w:hAnsi="Times New Roman" w:cs="Times New Roman"/>
          <w:sz w:val="24"/>
          <w:szCs w:val="24"/>
        </w:rPr>
        <w:t>16,444</w:t>
      </w:r>
    </w:p>
    <w:p w:rsidR="006103A9" w:rsidRPr="005A3906" w:rsidRDefault="006103A9" w:rsidP="00343EF0">
      <w:pPr>
        <w:pStyle w:val="PlainText"/>
        <w:rPr>
          <w:rFonts w:ascii="Times New Roman" w:hAnsi="Times New Roman" w:cs="Times New Roman"/>
          <w:sz w:val="24"/>
          <w:szCs w:val="24"/>
        </w:rPr>
      </w:pPr>
    </w:p>
    <w:bookmarkEnd w:id="4"/>
    <w:p w:rsidR="00D31958" w:rsidRDefault="00D31958" w:rsidP="00983E7E">
      <w:pPr>
        <w:pStyle w:val="PlainText"/>
        <w:rPr>
          <w:rFonts w:ascii="Times New Roman" w:hAnsi="Times New Roman" w:cs="Times New Roman"/>
          <w:sz w:val="24"/>
          <w:szCs w:val="24"/>
        </w:rPr>
      </w:pPr>
    </w:p>
    <w:p w:rsidR="006103A9" w:rsidRPr="005A3906" w:rsidRDefault="006103A9" w:rsidP="00983E7E">
      <w:pPr>
        <w:pStyle w:val="PlainText"/>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710"/>
        <w:gridCol w:w="1509"/>
        <w:gridCol w:w="1883"/>
        <w:gridCol w:w="1100"/>
        <w:gridCol w:w="998"/>
      </w:tblGrid>
      <w:tr w:rsidR="008C1E4B" w:rsidRPr="00DF53E7" w:rsidTr="00A64D48">
        <w:tc>
          <w:tcPr>
            <w:tcW w:w="9828" w:type="dxa"/>
            <w:gridSpan w:val="6"/>
          </w:tcPr>
          <w:p w:rsidR="008C1E4B" w:rsidRPr="00DF53E7" w:rsidRDefault="008C1E4B" w:rsidP="00901943">
            <w:pPr>
              <w:pStyle w:val="PlainText"/>
              <w:rPr>
                <w:rFonts w:ascii="Times New Roman" w:hAnsi="Times New Roman" w:cs="Times New Roman"/>
                <w:b/>
                <w:sz w:val="24"/>
                <w:szCs w:val="24"/>
              </w:rPr>
            </w:pPr>
            <w:bookmarkStart w:id="5" w:name="OLE_LINK4"/>
            <w:r w:rsidRPr="00DF53E7">
              <w:rPr>
                <w:rFonts w:ascii="Times New Roman" w:hAnsi="Times New Roman" w:cs="Times New Roman"/>
                <w:b/>
                <w:sz w:val="24"/>
                <w:szCs w:val="24"/>
              </w:rPr>
              <w:t xml:space="preserve">Table </w:t>
            </w:r>
            <w:r w:rsidR="00901943">
              <w:rPr>
                <w:rFonts w:ascii="Times New Roman" w:hAnsi="Times New Roman" w:cs="Times New Roman"/>
                <w:b/>
                <w:sz w:val="24"/>
                <w:szCs w:val="24"/>
              </w:rPr>
              <w:t>5</w:t>
            </w:r>
            <w:r w:rsidR="00901943" w:rsidRPr="00DF53E7">
              <w:rPr>
                <w:rFonts w:ascii="Times New Roman" w:hAnsi="Times New Roman" w:cs="Times New Roman"/>
                <w:b/>
                <w:sz w:val="24"/>
                <w:szCs w:val="24"/>
              </w:rPr>
              <w:t xml:space="preserve"> </w:t>
            </w:r>
            <w:r w:rsidR="00901943">
              <w:rPr>
                <w:rFonts w:ascii="Times New Roman" w:hAnsi="Times New Roman" w:cs="Times New Roman"/>
                <w:b/>
                <w:sz w:val="24"/>
                <w:szCs w:val="24"/>
              </w:rPr>
              <w:t>–</w:t>
            </w:r>
            <w:r w:rsidRPr="00DF53E7">
              <w:rPr>
                <w:rFonts w:ascii="Times New Roman" w:hAnsi="Times New Roman" w:cs="Times New Roman"/>
                <w:b/>
                <w:sz w:val="24"/>
                <w:szCs w:val="24"/>
              </w:rPr>
              <w:t xml:space="preserve"> Average</w:t>
            </w:r>
            <w:r w:rsidR="00901943">
              <w:rPr>
                <w:rFonts w:ascii="Times New Roman" w:hAnsi="Times New Roman" w:cs="Times New Roman"/>
                <w:b/>
                <w:sz w:val="24"/>
                <w:szCs w:val="24"/>
              </w:rPr>
              <w:t xml:space="preserve"> Agency</w:t>
            </w:r>
            <w:r w:rsidRPr="00DF53E7">
              <w:rPr>
                <w:rFonts w:ascii="Times New Roman" w:hAnsi="Times New Roman" w:cs="Times New Roman"/>
                <w:b/>
                <w:sz w:val="24"/>
                <w:szCs w:val="24"/>
              </w:rPr>
              <w:t xml:space="preserve"> Burden and Cost Estimates </w:t>
            </w:r>
            <w:r w:rsidR="004703AC" w:rsidRPr="00DF53E7">
              <w:rPr>
                <w:rFonts w:ascii="Times New Roman" w:hAnsi="Times New Roman" w:cs="Times New Roman"/>
                <w:b/>
                <w:sz w:val="24"/>
                <w:szCs w:val="24"/>
              </w:rPr>
              <w:t>per Submission</w:t>
            </w:r>
            <w:r w:rsidR="004703AC" w:rsidRPr="00DF53E7">
              <w:rPr>
                <w:rFonts w:ascii="Times New Roman" w:hAnsi="Times New Roman" w:cs="Times New Roman"/>
                <w:b/>
                <w:color w:val="FF0000"/>
                <w:sz w:val="24"/>
                <w:szCs w:val="24"/>
              </w:rPr>
              <w:t xml:space="preserve"> </w:t>
            </w:r>
            <w:r w:rsidRPr="00DF53E7">
              <w:rPr>
                <w:rFonts w:ascii="Times New Roman" w:hAnsi="Times New Roman" w:cs="Times New Roman"/>
                <w:b/>
                <w:sz w:val="24"/>
                <w:szCs w:val="24"/>
              </w:rPr>
              <w:t>for EPA Activities related to an Adverse Effects Report Submitted for an Exempt Plant-Incorporated Protectant</w:t>
            </w:r>
          </w:p>
        </w:tc>
      </w:tr>
      <w:tr w:rsidR="00DF53E7" w:rsidRPr="00DF53E7" w:rsidTr="00A64D48">
        <w:tc>
          <w:tcPr>
            <w:tcW w:w="2628" w:type="dxa"/>
            <w:vMerge w:val="restart"/>
          </w:tcPr>
          <w:p w:rsidR="0073577B" w:rsidRPr="00DF53E7" w:rsidRDefault="0073577B" w:rsidP="0073577B">
            <w:pPr>
              <w:pStyle w:val="PlainText"/>
              <w:rPr>
                <w:rFonts w:ascii="Times New Roman" w:hAnsi="Times New Roman" w:cs="Times New Roman"/>
                <w:b/>
                <w:sz w:val="24"/>
                <w:szCs w:val="24"/>
              </w:rPr>
            </w:pPr>
            <w:r w:rsidRPr="00DF53E7">
              <w:rPr>
                <w:rFonts w:ascii="Times New Roman" w:hAnsi="Times New Roman" w:cs="Times New Roman"/>
                <w:b/>
                <w:sz w:val="24"/>
                <w:szCs w:val="24"/>
              </w:rPr>
              <w:t>Activities</w:t>
            </w:r>
          </w:p>
        </w:tc>
        <w:tc>
          <w:tcPr>
            <w:tcW w:w="5102" w:type="dxa"/>
            <w:gridSpan w:val="3"/>
          </w:tcPr>
          <w:p w:rsidR="0073577B" w:rsidRPr="00DF53E7" w:rsidRDefault="0073577B"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Burden</w:t>
            </w:r>
            <w:r w:rsidR="00901943">
              <w:rPr>
                <w:rFonts w:ascii="Times New Roman" w:hAnsi="Times New Roman" w:cs="Times New Roman"/>
                <w:b/>
                <w:sz w:val="24"/>
                <w:szCs w:val="24"/>
              </w:rPr>
              <w:t xml:space="preserve"> Hours</w:t>
            </w:r>
          </w:p>
        </w:tc>
        <w:tc>
          <w:tcPr>
            <w:tcW w:w="2098" w:type="dxa"/>
            <w:gridSpan w:val="2"/>
          </w:tcPr>
          <w:p w:rsidR="0073577B" w:rsidRPr="00DF53E7" w:rsidRDefault="0073577B"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Totals</w:t>
            </w:r>
          </w:p>
        </w:tc>
      </w:tr>
      <w:tr w:rsidR="00A64D48" w:rsidRPr="00DF53E7" w:rsidTr="00A64D48">
        <w:trPr>
          <w:trHeight w:val="575"/>
        </w:trPr>
        <w:tc>
          <w:tcPr>
            <w:tcW w:w="2628" w:type="dxa"/>
            <w:vMerge/>
          </w:tcPr>
          <w:p w:rsidR="003F4D6C" w:rsidRPr="00DF53E7" w:rsidRDefault="003F4D6C" w:rsidP="00343EF0">
            <w:pPr>
              <w:pStyle w:val="PlainText"/>
              <w:rPr>
                <w:rFonts w:ascii="Times New Roman" w:hAnsi="Times New Roman" w:cs="Times New Roman"/>
                <w:b/>
                <w:sz w:val="24"/>
                <w:szCs w:val="24"/>
              </w:rPr>
            </w:pPr>
          </w:p>
        </w:tc>
        <w:tc>
          <w:tcPr>
            <w:tcW w:w="1710" w:type="dxa"/>
          </w:tcPr>
          <w:p w:rsidR="003F4D6C" w:rsidRPr="00DF53E7" w:rsidRDefault="003F4D6C"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Mgmt.</w:t>
            </w:r>
          </w:p>
          <w:p w:rsidR="003F4D6C" w:rsidRPr="00DF53E7" w:rsidRDefault="003F4D6C" w:rsidP="00A772BC">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w:t>
            </w:r>
            <w:r w:rsidR="00A772BC" w:rsidRPr="00DF53E7">
              <w:rPr>
                <w:rFonts w:ascii="Times New Roman" w:hAnsi="Times New Roman" w:cs="Times New Roman"/>
                <w:b/>
                <w:sz w:val="24"/>
                <w:szCs w:val="24"/>
              </w:rPr>
              <w:t>120.60</w:t>
            </w:r>
            <w:r w:rsidRPr="00DF53E7">
              <w:rPr>
                <w:rFonts w:ascii="Times New Roman" w:hAnsi="Times New Roman" w:cs="Times New Roman"/>
                <w:b/>
                <w:sz w:val="24"/>
                <w:szCs w:val="24"/>
              </w:rPr>
              <w:t>/</w:t>
            </w:r>
            <w:proofErr w:type="spellStart"/>
            <w:r w:rsidRPr="00DF53E7">
              <w:rPr>
                <w:rFonts w:ascii="Times New Roman" w:hAnsi="Times New Roman" w:cs="Times New Roman"/>
                <w:b/>
                <w:sz w:val="24"/>
                <w:szCs w:val="24"/>
              </w:rPr>
              <w:t>hr</w:t>
            </w:r>
            <w:proofErr w:type="spellEnd"/>
            <w:r w:rsidRPr="00DF53E7">
              <w:rPr>
                <w:rFonts w:ascii="Times New Roman" w:hAnsi="Times New Roman" w:cs="Times New Roman"/>
                <w:b/>
                <w:sz w:val="24"/>
                <w:szCs w:val="24"/>
              </w:rPr>
              <w:t>)</w:t>
            </w:r>
          </w:p>
        </w:tc>
        <w:tc>
          <w:tcPr>
            <w:tcW w:w="1509" w:type="dxa"/>
          </w:tcPr>
          <w:p w:rsidR="003F4D6C" w:rsidRPr="00DF53E7" w:rsidRDefault="003F4D6C"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Tech.</w:t>
            </w:r>
          </w:p>
          <w:p w:rsidR="003F4D6C" w:rsidRPr="00DF53E7" w:rsidRDefault="003F4D6C" w:rsidP="00A772BC">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w:t>
            </w:r>
            <w:r w:rsidR="00A772BC" w:rsidRPr="00DF53E7">
              <w:rPr>
                <w:rFonts w:ascii="Times New Roman" w:hAnsi="Times New Roman" w:cs="Times New Roman"/>
                <w:b/>
                <w:sz w:val="24"/>
                <w:szCs w:val="24"/>
              </w:rPr>
              <w:t>78.24</w:t>
            </w:r>
            <w:r w:rsidRPr="00DF53E7">
              <w:rPr>
                <w:rFonts w:ascii="Times New Roman" w:hAnsi="Times New Roman" w:cs="Times New Roman"/>
                <w:b/>
                <w:sz w:val="24"/>
                <w:szCs w:val="24"/>
              </w:rPr>
              <w:t>/</w:t>
            </w:r>
            <w:proofErr w:type="spellStart"/>
            <w:r w:rsidRPr="00DF53E7">
              <w:rPr>
                <w:rFonts w:ascii="Times New Roman" w:hAnsi="Times New Roman" w:cs="Times New Roman"/>
                <w:b/>
                <w:sz w:val="24"/>
                <w:szCs w:val="24"/>
              </w:rPr>
              <w:t>hr</w:t>
            </w:r>
            <w:proofErr w:type="spellEnd"/>
            <w:r w:rsidRPr="00DF53E7">
              <w:rPr>
                <w:rFonts w:ascii="Times New Roman" w:hAnsi="Times New Roman" w:cs="Times New Roman"/>
                <w:b/>
                <w:sz w:val="24"/>
                <w:szCs w:val="24"/>
              </w:rPr>
              <w:t>)</w:t>
            </w:r>
          </w:p>
        </w:tc>
        <w:tc>
          <w:tcPr>
            <w:tcW w:w="1883" w:type="dxa"/>
          </w:tcPr>
          <w:p w:rsidR="003F4D6C" w:rsidRPr="00DF53E7" w:rsidRDefault="003F4D6C"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Clerical</w:t>
            </w:r>
          </w:p>
          <w:p w:rsidR="003F4D6C" w:rsidRPr="00DF53E7" w:rsidRDefault="003F4D6C" w:rsidP="00A772BC">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w:t>
            </w:r>
            <w:r w:rsidR="00A772BC" w:rsidRPr="00DF53E7">
              <w:rPr>
                <w:rFonts w:ascii="Times New Roman" w:hAnsi="Times New Roman" w:cs="Times New Roman"/>
                <w:b/>
                <w:sz w:val="24"/>
                <w:szCs w:val="24"/>
              </w:rPr>
              <w:t>44.61</w:t>
            </w:r>
            <w:r w:rsidRPr="00DF53E7">
              <w:rPr>
                <w:rFonts w:ascii="Times New Roman" w:hAnsi="Times New Roman" w:cs="Times New Roman"/>
                <w:b/>
                <w:sz w:val="24"/>
                <w:szCs w:val="24"/>
              </w:rPr>
              <w:t>/</w:t>
            </w:r>
            <w:proofErr w:type="spellStart"/>
            <w:r w:rsidRPr="00DF53E7">
              <w:rPr>
                <w:rFonts w:ascii="Times New Roman" w:hAnsi="Times New Roman" w:cs="Times New Roman"/>
                <w:b/>
                <w:sz w:val="24"/>
                <w:szCs w:val="24"/>
              </w:rPr>
              <w:t>hr</w:t>
            </w:r>
            <w:proofErr w:type="spellEnd"/>
            <w:r w:rsidRPr="00DF53E7">
              <w:rPr>
                <w:rFonts w:ascii="Times New Roman" w:hAnsi="Times New Roman" w:cs="Times New Roman"/>
                <w:b/>
                <w:sz w:val="24"/>
                <w:szCs w:val="24"/>
              </w:rPr>
              <w:t>)</w:t>
            </w:r>
          </w:p>
        </w:tc>
        <w:tc>
          <w:tcPr>
            <w:tcW w:w="1100" w:type="dxa"/>
          </w:tcPr>
          <w:p w:rsidR="003F4D6C" w:rsidRPr="00DF53E7" w:rsidRDefault="003F4D6C" w:rsidP="001A2A05">
            <w:pPr>
              <w:pStyle w:val="PlainText"/>
              <w:jc w:val="center"/>
              <w:rPr>
                <w:rFonts w:ascii="Times New Roman" w:hAnsi="Times New Roman"/>
                <w:b/>
                <w:sz w:val="24"/>
              </w:rPr>
            </w:pPr>
            <w:r w:rsidRPr="00DF53E7">
              <w:rPr>
                <w:rFonts w:ascii="Times New Roman" w:hAnsi="Times New Roman"/>
                <w:b/>
                <w:sz w:val="24"/>
              </w:rPr>
              <w:t>Burden</w:t>
            </w:r>
          </w:p>
          <w:p w:rsidR="003F4D6C" w:rsidRPr="00DF53E7" w:rsidRDefault="003F4D6C" w:rsidP="001A2A05">
            <w:pPr>
              <w:pStyle w:val="PlainText"/>
              <w:jc w:val="center"/>
              <w:rPr>
                <w:rFonts w:ascii="Times New Roman" w:hAnsi="Times New Roman"/>
                <w:b/>
                <w:sz w:val="24"/>
              </w:rPr>
            </w:pPr>
            <w:r w:rsidRPr="00DF53E7">
              <w:rPr>
                <w:rFonts w:ascii="Times New Roman" w:hAnsi="Times New Roman"/>
                <w:b/>
                <w:sz w:val="24"/>
              </w:rPr>
              <w:t>(</w:t>
            </w:r>
            <w:proofErr w:type="spellStart"/>
            <w:r w:rsidRPr="00DF53E7">
              <w:rPr>
                <w:rFonts w:ascii="Times New Roman" w:hAnsi="Times New Roman"/>
                <w:b/>
                <w:sz w:val="24"/>
              </w:rPr>
              <w:t>hrs</w:t>
            </w:r>
            <w:proofErr w:type="spellEnd"/>
            <w:r w:rsidRPr="00DF53E7">
              <w:rPr>
                <w:rFonts w:ascii="Times New Roman" w:hAnsi="Times New Roman"/>
                <w:b/>
                <w:sz w:val="24"/>
              </w:rPr>
              <w:t>)</w:t>
            </w:r>
          </w:p>
        </w:tc>
        <w:tc>
          <w:tcPr>
            <w:tcW w:w="998" w:type="dxa"/>
          </w:tcPr>
          <w:p w:rsidR="003F4D6C" w:rsidRPr="00DF53E7" w:rsidRDefault="003F4D6C"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Costs</w:t>
            </w:r>
          </w:p>
          <w:p w:rsidR="003F4D6C" w:rsidRPr="00DF53E7" w:rsidRDefault="003F4D6C" w:rsidP="001A2A05">
            <w:pPr>
              <w:pStyle w:val="PlainText"/>
              <w:jc w:val="center"/>
              <w:rPr>
                <w:rFonts w:ascii="Times New Roman" w:hAnsi="Times New Roman" w:cs="Times New Roman"/>
                <w:b/>
                <w:sz w:val="24"/>
                <w:szCs w:val="24"/>
              </w:rPr>
            </w:pPr>
            <w:r w:rsidRPr="00DF53E7">
              <w:rPr>
                <w:rFonts w:ascii="Times New Roman" w:hAnsi="Times New Roman" w:cs="Times New Roman"/>
                <w:b/>
                <w:sz w:val="24"/>
                <w:szCs w:val="24"/>
              </w:rPr>
              <w:t>($)</w:t>
            </w:r>
          </w:p>
        </w:tc>
      </w:tr>
      <w:tr w:rsidR="00A64D48" w:rsidRPr="00DF53E7" w:rsidTr="00A64D48">
        <w:tc>
          <w:tcPr>
            <w:tcW w:w="2628" w:type="dxa"/>
          </w:tcPr>
          <w:p w:rsidR="00A772BC" w:rsidRPr="00DF53E7" w:rsidRDefault="00A772BC" w:rsidP="003F4D6C">
            <w:r w:rsidRPr="00DF53E7">
              <w:t xml:space="preserve">Consult With Registrant </w:t>
            </w:r>
          </w:p>
        </w:tc>
        <w:tc>
          <w:tcPr>
            <w:tcW w:w="171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0.5</w:t>
            </w:r>
          </w:p>
        </w:tc>
        <w:tc>
          <w:tcPr>
            <w:tcW w:w="1509"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w:t>
            </w:r>
          </w:p>
        </w:tc>
        <w:tc>
          <w:tcPr>
            <w:tcW w:w="1883"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0.5</w:t>
            </w:r>
          </w:p>
        </w:tc>
        <w:tc>
          <w:tcPr>
            <w:tcW w:w="110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2</w:t>
            </w:r>
          </w:p>
        </w:tc>
        <w:tc>
          <w:tcPr>
            <w:tcW w:w="998" w:type="dxa"/>
          </w:tcPr>
          <w:p w:rsidR="00A772BC" w:rsidRPr="00DF53E7" w:rsidRDefault="00A772BC" w:rsidP="001A2A05">
            <w:pPr>
              <w:jc w:val="right"/>
            </w:pPr>
            <w:r w:rsidRPr="00DF53E7">
              <w:t xml:space="preserve">$160.85 </w:t>
            </w:r>
          </w:p>
        </w:tc>
      </w:tr>
      <w:tr w:rsidR="00A64D48" w:rsidRPr="00DF53E7" w:rsidTr="00A64D48">
        <w:tc>
          <w:tcPr>
            <w:tcW w:w="2628" w:type="dxa"/>
          </w:tcPr>
          <w:p w:rsidR="00A772BC" w:rsidRPr="00DF53E7" w:rsidRDefault="00A772BC" w:rsidP="00774390">
            <w:pPr>
              <w:pStyle w:val="PlainText"/>
              <w:rPr>
                <w:rFonts w:ascii="Times New Roman" w:hAnsi="Times New Roman" w:cs="Times New Roman"/>
                <w:sz w:val="24"/>
                <w:szCs w:val="24"/>
              </w:rPr>
            </w:pPr>
            <w:r w:rsidRPr="00DF53E7">
              <w:rPr>
                <w:rFonts w:ascii="Times New Roman" w:hAnsi="Times New Roman" w:cs="Times New Roman"/>
                <w:sz w:val="24"/>
                <w:szCs w:val="24"/>
              </w:rPr>
              <w:t>Record Submissions</w:t>
            </w:r>
          </w:p>
        </w:tc>
        <w:tc>
          <w:tcPr>
            <w:tcW w:w="171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w:t>
            </w:r>
          </w:p>
        </w:tc>
        <w:tc>
          <w:tcPr>
            <w:tcW w:w="1509"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0.5</w:t>
            </w:r>
          </w:p>
        </w:tc>
        <w:tc>
          <w:tcPr>
            <w:tcW w:w="1883"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w:t>
            </w:r>
          </w:p>
        </w:tc>
        <w:tc>
          <w:tcPr>
            <w:tcW w:w="110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1.5</w:t>
            </w:r>
          </w:p>
        </w:tc>
        <w:tc>
          <w:tcPr>
            <w:tcW w:w="998" w:type="dxa"/>
          </w:tcPr>
          <w:p w:rsidR="00A772BC" w:rsidRPr="00DF53E7" w:rsidRDefault="00A772BC" w:rsidP="001A2A05">
            <w:pPr>
              <w:jc w:val="right"/>
            </w:pPr>
            <w:r w:rsidRPr="00DF53E7">
              <w:t xml:space="preserve"> $83.73 </w:t>
            </w:r>
          </w:p>
        </w:tc>
      </w:tr>
      <w:tr w:rsidR="00A64D48" w:rsidRPr="00DF53E7" w:rsidTr="00A64D48">
        <w:tc>
          <w:tcPr>
            <w:tcW w:w="2628" w:type="dxa"/>
          </w:tcPr>
          <w:p w:rsidR="00A772BC" w:rsidRPr="00DF53E7" w:rsidRDefault="00A772BC" w:rsidP="00774390">
            <w:pPr>
              <w:pStyle w:val="PlainText"/>
              <w:rPr>
                <w:rFonts w:ascii="Times New Roman" w:hAnsi="Times New Roman" w:cs="Times New Roman"/>
                <w:sz w:val="24"/>
                <w:szCs w:val="24"/>
              </w:rPr>
            </w:pPr>
            <w:r w:rsidRPr="00DF53E7">
              <w:rPr>
                <w:rFonts w:ascii="Times New Roman" w:hAnsi="Times New Roman" w:cs="Times New Roman"/>
                <w:sz w:val="24"/>
                <w:szCs w:val="24"/>
              </w:rPr>
              <w:t>Review Submissions</w:t>
            </w:r>
          </w:p>
        </w:tc>
        <w:tc>
          <w:tcPr>
            <w:tcW w:w="171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w:t>
            </w:r>
          </w:p>
        </w:tc>
        <w:tc>
          <w:tcPr>
            <w:tcW w:w="1509"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w:t>
            </w:r>
          </w:p>
        </w:tc>
        <w:tc>
          <w:tcPr>
            <w:tcW w:w="1883"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w:t>
            </w:r>
          </w:p>
        </w:tc>
        <w:tc>
          <w:tcPr>
            <w:tcW w:w="110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2</w:t>
            </w:r>
          </w:p>
        </w:tc>
        <w:tc>
          <w:tcPr>
            <w:tcW w:w="998" w:type="dxa"/>
          </w:tcPr>
          <w:p w:rsidR="00A772BC" w:rsidRPr="00DF53E7" w:rsidRDefault="00A772BC" w:rsidP="001A2A05">
            <w:pPr>
              <w:jc w:val="right"/>
            </w:pPr>
            <w:r w:rsidRPr="00DF53E7">
              <w:t xml:space="preserve">$198.84 </w:t>
            </w:r>
          </w:p>
        </w:tc>
      </w:tr>
      <w:tr w:rsidR="00A64D48" w:rsidRPr="00DF53E7" w:rsidTr="00A64D48">
        <w:tc>
          <w:tcPr>
            <w:tcW w:w="2628" w:type="dxa"/>
          </w:tcPr>
          <w:p w:rsidR="00A772BC" w:rsidRPr="00DF53E7" w:rsidRDefault="00A772BC" w:rsidP="00774390">
            <w:pPr>
              <w:pStyle w:val="PlainText"/>
              <w:rPr>
                <w:rFonts w:ascii="Times New Roman" w:hAnsi="Times New Roman" w:cs="Times New Roman"/>
                <w:sz w:val="24"/>
                <w:szCs w:val="24"/>
              </w:rPr>
            </w:pPr>
            <w:r w:rsidRPr="00DF53E7">
              <w:rPr>
                <w:rFonts w:ascii="Times New Roman" w:hAnsi="Times New Roman" w:cs="Times New Roman"/>
                <w:sz w:val="24"/>
                <w:szCs w:val="24"/>
              </w:rPr>
              <w:t>Store the Information</w:t>
            </w:r>
          </w:p>
        </w:tc>
        <w:tc>
          <w:tcPr>
            <w:tcW w:w="171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w:t>
            </w:r>
          </w:p>
        </w:tc>
        <w:tc>
          <w:tcPr>
            <w:tcW w:w="1509"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0.5</w:t>
            </w:r>
          </w:p>
        </w:tc>
        <w:tc>
          <w:tcPr>
            <w:tcW w:w="1883"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0.5</w:t>
            </w:r>
          </w:p>
        </w:tc>
        <w:tc>
          <w:tcPr>
            <w:tcW w:w="1100" w:type="dxa"/>
          </w:tcPr>
          <w:p w:rsidR="00A772BC" w:rsidRPr="00DF53E7" w:rsidRDefault="00A772BC" w:rsidP="00A64D48">
            <w:pPr>
              <w:pStyle w:val="PlainText"/>
              <w:jc w:val="center"/>
              <w:rPr>
                <w:rFonts w:ascii="Times New Roman" w:hAnsi="Times New Roman" w:cs="Times New Roman"/>
                <w:sz w:val="24"/>
                <w:szCs w:val="24"/>
              </w:rPr>
            </w:pPr>
            <w:r w:rsidRPr="00DF53E7">
              <w:rPr>
                <w:rFonts w:ascii="Times New Roman" w:hAnsi="Times New Roman" w:cs="Times New Roman"/>
                <w:sz w:val="24"/>
                <w:szCs w:val="24"/>
              </w:rPr>
              <w:t>1</w:t>
            </w:r>
          </w:p>
        </w:tc>
        <w:tc>
          <w:tcPr>
            <w:tcW w:w="998" w:type="dxa"/>
          </w:tcPr>
          <w:p w:rsidR="00A772BC" w:rsidRPr="00DF53E7" w:rsidRDefault="00A772BC" w:rsidP="001A2A05">
            <w:pPr>
              <w:jc w:val="right"/>
            </w:pPr>
            <w:r w:rsidRPr="00DF53E7">
              <w:t xml:space="preserve"> $61.43 </w:t>
            </w:r>
          </w:p>
        </w:tc>
      </w:tr>
      <w:tr w:rsidR="00A772BC" w:rsidRPr="005A3906" w:rsidTr="00A64D48">
        <w:tc>
          <w:tcPr>
            <w:tcW w:w="2628" w:type="dxa"/>
          </w:tcPr>
          <w:p w:rsidR="00A772BC" w:rsidRPr="008027B8" w:rsidRDefault="00A772BC" w:rsidP="00774390">
            <w:pPr>
              <w:pStyle w:val="PlainText"/>
              <w:rPr>
                <w:rFonts w:ascii="Times New Roman" w:hAnsi="Times New Roman" w:cs="Times New Roman"/>
                <w:b/>
                <w:sz w:val="24"/>
                <w:szCs w:val="24"/>
              </w:rPr>
            </w:pPr>
            <w:r w:rsidRPr="008027B8">
              <w:rPr>
                <w:rFonts w:ascii="Times New Roman" w:hAnsi="Times New Roman" w:cs="Times New Roman"/>
                <w:b/>
                <w:sz w:val="24"/>
                <w:szCs w:val="24"/>
              </w:rPr>
              <w:t>Totals</w:t>
            </w:r>
          </w:p>
        </w:tc>
        <w:tc>
          <w:tcPr>
            <w:tcW w:w="1710" w:type="dxa"/>
          </w:tcPr>
          <w:p w:rsidR="00A772BC" w:rsidRPr="008027B8" w:rsidRDefault="00A772BC" w:rsidP="00A64D48">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1.5</w:t>
            </w:r>
          </w:p>
        </w:tc>
        <w:tc>
          <w:tcPr>
            <w:tcW w:w="1509" w:type="dxa"/>
          </w:tcPr>
          <w:p w:rsidR="00A772BC" w:rsidRPr="008027B8" w:rsidRDefault="00A772BC" w:rsidP="00A64D48">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3</w:t>
            </w:r>
          </w:p>
        </w:tc>
        <w:tc>
          <w:tcPr>
            <w:tcW w:w="1883" w:type="dxa"/>
          </w:tcPr>
          <w:p w:rsidR="00A772BC" w:rsidRPr="008027B8" w:rsidRDefault="00A772BC" w:rsidP="00A64D48">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2</w:t>
            </w:r>
          </w:p>
        </w:tc>
        <w:tc>
          <w:tcPr>
            <w:tcW w:w="1100" w:type="dxa"/>
          </w:tcPr>
          <w:p w:rsidR="00A772BC" w:rsidRPr="008027B8" w:rsidRDefault="00A772BC" w:rsidP="00A64D48">
            <w:pPr>
              <w:pStyle w:val="PlainText"/>
              <w:jc w:val="center"/>
              <w:rPr>
                <w:rFonts w:ascii="Times New Roman" w:hAnsi="Times New Roman" w:cs="Times New Roman"/>
                <w:b/>
                <w:sz w:val="24"/>
                <w:szCs w:val="24"/>
              </w:rPr>
            </w:pPr>
            <w:r w:rsidRPr="008027B8">
              <w:rPr>
                <w:rFonts w:ascii="Times New Roman" w:hAnsi="Times New Roman" w:cs="Times New Roman"/>
                <w:b/>
                <w:sz w:val="24"/>
                <w:szCs w:val="24"/>
              </w:rPr>
              <w:t>6.5</w:t>
            </w:r>
          </w:p>
        </w:tc>
        <w:tc>
          <w:tcPr>
            <w:tcW w:w="998" w:type="dxa"/>
          </w:tcPr>
          <w:p w:rsidR="00A772BC" w:rsidRPr="008027B8" w:rsidRDefault="00A772BC" w:rsidP="00A772BC">
            <w:pPr>
              <w:rPr>
                <w:b/>
              </w:rPr>
            </w:pPr>
            <w:r w:rsidRPr="008027B8">
              <w:rPr>
                <w:b/>
              </w:rPr>
              <w:t xml:space="preserve">$504.85 </w:t>
            </w:r>
          </w:p>
        </w:tc>
      </w:tr>
    </w:tbl>
    <w:p w:rsidR="006103A9" w:rsidRPr="005A3906" w:rsidRDefault="006103A9" w:rsidP="00343EF0">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rsidR="006103A9" w:rsidRPr="00A64D48" w:rsidRDefault="006103A9" w:rsidP="001C5FAF">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r w:rsidR="001C5FAF" w:rsidRPr="005A3906">
        <w:rPr>
          <w:rFonts w:ascii="Times New Roman" w:hAnsi="Times New Roman" w:cs="Times New Roman"/>
          <w:sz w:val="24"/>
          <w:szCs w:val="24"/>
        </w:rPr>
        <w:tab/>
      </w:r>
      <w:r w:rsidRPr="005A3906">
        <w:rPr>
          <w:rFonts w:ascii="Times New Roman" w:hAnsi="Times New Roman" w:cs="Times New Roman"/>
          <w:sz w:val="24"/>
          <w:szCs w:val="24"/>
        </w:rPr>
        <w:t xml:space="preserve">Assuming a single adverse effects </w:t>
      </w:r>
      <w:r w:rsidRPr="00A64D48">
        <w:rPr>
          <w:rFonts w:ascii="Times New Roman" w:hAnsi="Times New Roman" w:cs="Times New Roman"/>
          <w:sz w:val="24"/>
          <w:szCs w:val="24"/>
        </w:rPr>
        <w:t xml:space="preserve">report might be submitted over the 3 year approval period for the ICR, the total annual average burden and costs for EPA activities related to the adverse effects report is calculated as follows: </w:t>
      </w:r>
    </w:p>
    <w:p w:rsidR="006103A9" w:rsidRPr="00A64D48" w:rsidRDefault="006103A9" w:rsidP="00343EF0">
      <w:pPr>
        <w:pStyle w:val="PlainText"/>
        <w:rPr>
          <w:rFonts w:ascii="Times New Roman" w:hAnsi="Times New Roman" w:cs="Times New Roman"/>
          <w:sz w:val="24"/>
          <w:szCs w:val="24"/>
        </w:rPr>
      </w:pPr>
    </w:p>
    <w:p w:rsidR="006103A9" w:rsidRPr="00A64D48" w:rsidRDefault="006103A9" w:rsidP="00B03DAD">
      <w:pPr>
        <w:pStyle w:val="PlainText"/>
        <w:ind w:firstLine="720"/>
        <w:rPr>
          <w:rFonts w:ascii="Times New Roman" w:hAnsi="Times New Roman" w:cs="Times New Roman"/>
          <w:sz w:val="24"/>
          <w:szCs w:val="24"/>
        </w:rPr>
      </w:pPr>
      <w:r w:rsidRPr="00A64D48">
        <w:rPr>
          <w:rFonts w:ascii="Times New Roman" w:hAnsi="Times New Roman" w:cs="Times New Roman"/>
          <w:b/>
          <w:sz w:val="24"/>
          <w:szCs w:val="24"/>
        </w:rPr>
        <w:lastRenderedPageBreak/>
        <w:t xml:space="preserve">Estimated Total Annual </w:t>
      </w:r>
      <w:r w:rsidR="006F04B3" w:rsidRPr="00A64D48">
        <w:rPr>
          <w:rFonts w:ascii="Times New Roman" w:hAnsi="Times New Roman" w:cs="Times New Roman"/>
          <w:b/>
          <w:sz w:val="24"/>
          <w:szCs w:val="24"/>
        </w:rPr>
        <w:t xml:space="preserve">Agency </w:t>
      </w:r>
      <w:r w:rsidRPr="00A64D48">
        <w:rPr>
          <w:rFonts w:ascii="Times New Roman" w:hAnsi="Times New Roman" w:cs="Times New Roman"/>
          <w:b/>
          <w:sz w:val="24"/>
          <w:szCs w:val="24"/>
        </w:rPr>
        <w:t>Burden:</w:t>
      </w:r>
      <w:r w:rsidRPr="00A64D48">
        <w:rPr>
          <w:rFonts w:ascii="Times New Roman" w:hAnsi="Times New Roman" w:cs="Times New Roman"/>
          <w:sz w:val="24"/>
          <w:szCs w:val="24"/>
        </w:rPr>
        <w:t xml:space="preserve"> (1 event x 6.5 hours) ÷ 3 = 2.</w:t>
      </w:r>
      <w:r w:rsidR="00191E9D" w:rsidRPr="00A64D48">
        <w:rPr>
          <w:rFonts w:ascii="Times New Roman" w:hAnsi="Times New Roman" w:cs="Times New Roman"/>
          <w:sz w:val="24"/>
          <w:szCs w:val="24"/>
        </w:rPr>
        <w:t>2</w:t>
      </w:r>
      <w:r w:rsidRPr="00A64D48">
        <w:rPr>
          <w:rFonts w:ascii="Times New Roman" w:hAnsi="Times New Roman" w:cs="Times New Roman"/>
          <w:sz w:val="24"/>
          <w:szCs w:val="24"/>
        </w:rPr>
        <w:t xml:space="preserve"> hours</w:t>
      </w:r>
    </w:p>
    <w:p w:rsidR="006103A9" w:rsidRPr="00A64D48" w:rsidRDefault="006103A9" w:rsidP="00B03DAD">
      <w:pPr>
        <w:pStyle w:val="PlainText"/>
        <w:ind w:firstLine="720"/>
        <w:rPr>
          <w:rFonts w:ascii="Times New Roman" w:hAnsi="Times New Roman" w:cs="Times New Roman"/>
          <w:sz w:val="24"/>
          <w:szCs w:val="24"/>
        </w:rPr>
      </w:pPr>
      <w:r w:rsidRPr="00A64D48">
        <w:rPr>
          <w:rFonts w:ascii="Times New Roman" w:hAnsi="Times New Roman" w:cs="Times New Roman"/>
          <w:b/>
          <w:sz w:val="24"/>
          <w:szCs w:val="24"/>
        </w:rPr>
        <w:t xml:space="preserve">Estimated Total Annual </w:t>
      </w:r>
      <w:r w:rsidR="006F04B3" w:rsidRPr="00A64D48">
        <w:rPr>
          <w:rFonts w:ascii="Times New Roman" w:hAnsi="Times New Roman" w:cs="Times New Roman"/>
          <w:b/>
          <w:sz w:val="24"/>
          <w:szCs w:val="24"/>
        </w:rPr>
        <w:t xml:space="preserve">Agency </w:t>
      </w:r>
      <w:r w:rsidRPr="00A64D48">
        <w:rPr>
          <w:rFonts w:ascii="Times New Roman" w:hAnsi="Times New Roman" w:cs="Times New Roman"/>
          <w:b/>
          <w:sz w:val="24"/>
          <w:szCs w:val="24"/>
        </w:rPr>
        <w:t>Co</w:t>
      </w:r>
      <w:r w:rsidR="002A53D6" w:rsidRPr="00A64D48">
        <w:rPr>
          <w:rFonts w:ascii="Times New Roman" w:hAnsi="Times New Roman" w:cs="Times New Roman"/>
          <w:b/>
          <w:sz w:val="24"/>
          <w:szCs w:val="24"/>
        </w:rPr>
        <w:t>st:</w:t>
      </w:r>
      <w:r w:rsidR="002A53D6" w:rsidRPr="00A64D48">
        <w:rPr>
          <w:rFonts w:ascii="Times New Roman" w:hAnsi="Times New Roman" w:cs="Times New Roman"/>
          <w:sz w:val="24"/>
          <w:szCs w:val="24"/>
        </w:rPr>
        <w:t xml:space="preserve"> (1 event x $</w:t>
      </w:r>
      <w:r w:rsidR="00A64D48" w:rsidRPr="00A64D48">
        <w:rPr>
          <w:rFonts w:ascii="Times New Roman" w:hAnsi="Times New Roman" w:cs="Times New Roman"/>
          <w:sz w:val="24"/>
          <w:szCs w:val="24"/>
        </w:rPr>
        <w:t>504.85</w:t>
      </w:r>
      <w:r w:rsidR="002A53D6" w:rsidRPr="00A64D48">
        <w:rPr>
          <w:rFonts w:ascii="Times New Roman" w:hAnsi="Times New Roman" w:cs="Times New Roman"/>
          <w:sz w:val="24"/>
          <w:szCs w:val="24"/>
        </w:rPr>
        <w:t>) ÷ 3 = $</w:t>
      </w:r>
      <w:r w:rsidR="00A64D48" w:rsidRPr="00A64D48">
        <w:rPr>
          <w:rFonts w:ascii="Times New Roman" w:hAnsi="Times New Roman" w:cs="Times New Roman"/>
          <w:sz w:val="24"/>
          <w:szCs w:val="24"/>
        </w:rPr>
        <w:t>168</w:t>
      </w:r>
    </w:p>
    <w:bookmarkEnd w:id="5"/>
    <w:p w:rsidR="006103A9" w:rsidRPr="00A64D48" w:rsidRDefault="006103A9" w:rsidP="00343EF0">
      <w:pPr>
        <w:pStyle w:val="PlainText"/>
        <w:rPr>
          <w:rFonts w:ascii="Times New Roman" w:hAnsi="Times New Roman" w:cs="Times New Roman"/>
          <w:sz w:val="24"/>
          <w:szCs w:val="24"/>
        </w:rPr>
      </w:pPr>
    </w:p>
    <w:p w:rsidR="006103A9" w:rsidRDefault="006103A9" w:rsidP="00287926">
      <w:pPr>
        <w:pStyle w:val="PlainText"/>
        <w:ind w:firstLine="720"/>
        <w:rPr>
          <w:rFonts w:ascii="Times New Roman" w:hAnsi="Times New Roman" w:cs="Times New Roman"/>
          <w:sz w:val="24"/>
          <w:szCs w:val="24"/>
        </w:rPr>
      </w:pPr>
      <w:r w:rsidRPr="00A64D48">
        <w:rPr>
          <w:rFonts w:ascii="Times New Roman" w:hAnsi="Times New Roman" w:cs="Times New Roman"/>
          <w:sz w:val="24"/>
          <w:szCs w:val="24"/>
        </w:rPr>
        <w:t>In addition, the Agency may determine that additional follow</w:t>
      </w:r>
      <w:r w:rsidRPr="005A3906">
        <w:rPr>
          <w:rFonts w:ascii="Times New Roman" w:hAnsi="Times New Roman" w:cs="Times New Roman"/>
          <w:sz w:val="24"/>
          <w:szCs w:val="24"/>
        </w:rPr>
        <w:t xml:space="preserve">-up action is necessary for either type of submission and will be providing necessary guidance for these requirements. </w:t>
      </w:r>
    </w:p>
    <w:p w:rsidR="00901943" w:rsidRDefault="00901943" w:rsidP="00287926">
      <w:pPr>
        <w:pStyle w:val="PlainText"/>
        <w:ind w:firstLine="720"/>
        <w:rPr>
          <w:rFonts w:ascii="Times New Roman" w:hAnsi="Times New Roman" w:cs="Times New Roman"/>
          <w:sz w:val="24"/>
          <w:szCs w:val="24"/>
        </w:rPr>
      </w:pPr>
    </w:p>
    <w:p w:rsidR="00901943" w:rsidRDefault="00901943" w:rsidP="00287926">
      <w:pPr>
        <w:pStyle w:val="PlainText"/>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60"/>
        <w:gridCol w:w="1530"/>
        <w:gridCol w:w="2359"/>
        <w:gridCol w:w="1151"/>
        <w:gridCol w:w="1368"/>
      </w:tblGrid>
      <w:tr w:rsidR="00901943" w:rsidTr="00901943">
        <w:tc>
          <w:tcPr>
            <w:tcW w:w="9576" w:type="dxa"/>
            <w:gridSpan w:val="6"/>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b/>
                <w:sz w:val="24"/>
                <w:szCs w:val="24"/>
              </w:rPr>
              <w:t xml:space="preserve">Table 6 – Total Annual Agency Burden/Cost </w:t>
            </w:r>
          </w:p>
        </w:tc>
      </w:tr>
      <w:tr w:rsidR="008027B8" w:rsidTr="00A060B3">
        <w:tc>
          <w:tcPr>
            <w:tcW w:w="1908" w:type="dxa"/>
            <w:vMerge w:val="restart"/>
          </w:tcPr>
          <w:p w:rsidR="008027B8" w:rsidRPr="00901943" w:rsidRDefault="008027B8" w:rsidP="008027B8">
            <w:pPr>
              <w:pStyle w:val="PlainText"/>
              <w:rPr>
                <w:rFonts w:ascii="Times New Roman" w:hAnsi="Times New Roman" w:cs="Times New Roman"/>
                <w:sz w:val="24"/>
                <w:szCs w:val="24"/>
              </w:rPr>
            </w:pPr>
          </w:p>
        </w:tc>
        <w:tc>
          <w:tcPr>
            <w:tcW w:w="2790" w:type="dxa"/>
            <w:gridSpan w:val="2"/>
          </w:tcPr>
          <w:p w:rsidR="008027B8" w:rsidRPr="00901943" w:rsidRDefault="008027B8" w:rsidP="00901943">
            <w:pPr>
              <w:pStyle w:val="PlainText"/>
              <w:jc w:val="center"/>
              <w:rPr>
                <w:rFonts w:ascii="Times New Roman" w:hAnsi="Times New Roman" w:cs="Times New Roman"/>
                <w:b/>
                <w:sz w:val="24"/>
                <w:szCs w:val="24"/>
              </w:rPr>
            </w:pPr>
            <w:r w:rsidRPr="00901943">
              <w:rPr>
                <w:rFonts w:ascii="Times New Roman" w:hAnsi="Times New Roman" w:cs="Times New Roman"/>
                <w:b/>
                <w:sz w:val="24"/>
                <w:szCs w:val="24"/>
              </w:rPr>
              <w:t>Per Submission Estimates</w:t>
            </w:r>
          </w:p>
        </w:tc>
        <w:tc>
          <w:tcPr>
            <w:tcW w:w="2359" w:type="dxa"/>
            <w:vMerge w:val="restart"/>
          </w:tcPr>
          <w:p w:rsidR="008027B8" w:rsidRPr="00901943" w:rsidRDefault="008027B8" w:rsidP="00901943">
            <w:pPr>
              <w:pStyle w:val="PlainText"/>
              <w:jc w:val="center"/>
              <w:rPr>
                <w:rFonts w:ascii="Times New Roman" w:hAnsi="Times New Roman" w:cs="Times New Roman"/>
                <w:b/>
                <w:sz w:val="24"/>
                <w:szCs w:val="24"/>
              </w:rPr>
            </w:pPr>
            <w:r w:rsidRPr="00901943">
              <w:rPr>
                <w:rFonts w:ascii="Times New Roman" w:hAnsi="Times New Roman" w:cs="Times New Roman"/>
                <w:b/>
                <w:sz w:val="24"/>
                <w:szCs w:val="24"/>
              </w:rPr>
              <w:t>Total Submissions</w:t>
            </w:r>
          </w:p>
          <w:p w:rsidR="008027B8" w:rsidRPr="00901943" w:rsidRDefault="008027B8" w:rsidP="00901943">
            <w:pPr>
              <w:pStyle w:val="PlainText"/>
              <w:jc w:val="center"/>
              <w:rPr>
                <w:rFonts w:ascii="Times New Roman" w:hAnsi="Times New Roman" w:cs="Times New Roman"/>
                <w:b/>
                <w:sz w:val="24"/>
                <w:szCs w:val="24"/>
              </w:rPr>
            </w:pPr>
            <w:r w:rsidRPr="00901943">
              <w:rPr>
                <w:rFonts w:ascii="Times New Roman" w:hAnsi="Times New Roman" w:cs="Times New Roman"/>
                <w:b/>
                <w:sz w:val="24"/>
                <w:szCs w:val="24"/>
              </w:rPr>
              <w:t>Expected each year</w:t>
            </w:r>
          </w:p>
        </w:tc>
        <w:tc>
          <w:tcPr>
            <w:tcW w:w="2519" w:type="dxa"/>
            <w:gridSpan w:val="2"/>
          </w:tcPr>
          <w:p w:rsidR="008027B8" w:rsidRPr="00901943" w:rsidRDefault="008027B8" w:rsidP="00901943">
            <w:pPr>
              <w:pStyle w:val="PlainText"/>
              <w:jc w:val="center"/>
              <w:rPr>
                <w:rFonts w:ascii="Times New Roman" w:hAnsi="Times New Roman" w:cs="Times New Roman"/>
                <w:b/>
                <w:sz w:val="24"/>
                <w:szCs w:val="24"/>
              </w:rPr>
            </w:pPr>
            <w:r w:rsidRPr="00901943">
              <w:rPr>
                <w:rFonts w:ascii="Times New Roman" w:hAnsi="Times New Roman" w:cs="Times New Roman"/>
                <w:b/>
                <w:sz w:val="24"/>
                <w:szCs w:val="24"/>
              </w:rPr>
              <w:t>Totals</w:t>
            </w:r>
          </w:p>
        </w:tc>
      </w:tr>
      <w:tr w:rsidR="008027B8" w:rsidTr="00A060B3">
        <w:tc>
          <w:tcPr>
            <w:tcW w:w="1908" w:type="dxa"/>
            <w:vMerge/>
          </w:tcPr>
          <w:p w:rsidR="008027B8" w:rsidRPr="00901943" w:rsidRDefault="008027B8" w:rsidP="008027B8">
            <w:pPr>
              <w:pStyle w:val="PlainText"/>
              <w:rPr>
                <w:rFonts w:ascii="Times New Roman" w:hAnsi="Times New Roman" w:cs="Times New Roman"/>
                <w:sz w:val="24"/>
                <w:szCs w:val="24"/>
              </w:rPr>
            </w:pPr>
          </w:p>
        </w:tc>
        <w:tc>
          <w:tcPr>
            <w:tcW w:w="1260" w:type="dxa"/>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 xml:space="preserve">Burden </w:t>
            </w:r>
          </w:p>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w:t>
            </w:r>
            <w:proofErr w:type="spellStart"/>
            <w:r w:rsidRPr="00A060B3">
              <w:rPr>
                <w:rFonts w:ascii="Times New Roman" w:hAnsi="Times New Roman" w:cs="Times New Roman"/>
                <w:b/>
                <w:sz w:val="24"/>
                <w:szCs w:val="24"/>
              </w:rPr>
              <w:t>hrs</w:t>
            </w:r>
            <w:proofErr w:type="spellEnd"/>
            <w:r w:rsidRPr="00A060B3">
              <w:rPr>
                <w:rFonts w:ascii="Times New Roman" w:hAnsi="Times New Roman" w:cs="Times New Roman"/>
                <w:b/>
                <w:sz w:val="24"/>
                <w:szCs w:val="24"/>
              </w:rPr>
              <w:t>)</w:t>
            </w:r>
          </w:p>
        </w:tc>
        <w:tc>
          <w:tcPr>
            <w:tcW w:w="1530" w:type="dxa"/>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Costs</w:t>
            </w:r>
          </w:p>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w:t>
            </w:r>
          </w:p>
        </w:tc>
        <w:tc>
          <w:tcPr>
            <w:tcW w:w="2359" w:type="dxa"/>
            <w:vMerge/>
          </w:tcPr>
          <w:p w:rsidR="008027B8" w:rsidRPr="00A060B3" w:rsidRDefault="008027B8" w:rsidP="008027B8">
            <w:pPr>
              <w:pStyle w:val="PlainText"/>
              <w:rPr>
                <w:rFonts w:ascii="Times New Roman" w:hAnsi="Times New Roman" w:cs="Times New Roman"/>
                <w:b/>
                <w:sz w:val="24"/>
                <w:szCs w:val="24"/>
              </w:rPr>
            </w:pPr>
          </w:p>
        </w:tc>
        <w:tc>
          <w:tcPr>
            <w:tcW w:w="1151" w:type="dxa"/>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 xml:space="preserve">Burden </w:t>
            </w:r>
          </w:p>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w:t>
            </w:r>
            <w:proofErr w:type="spellStart"/>
            <w:r w:rsidRPr="00A060B3">
              <w:rPr>
                <w:rFonts w:ascii="Times New Roman" w:hAnsi="Times New Roman" w:cs="Times New Roman"/>
                <w:b/>
                <w:sz w:val="24"/>
                <w:szCs w:val="24"/>
              </w:rPr>
              <w:t>hrs</w:t>
            </w:r>
            <w:proofErr w:type="spellEnd"/>
            <w:r w:rsidRPr="00A060B3">
              <w:rPr>
                <w:rFonts w:ascii="Times New Roman" w:hAnsi="Times New Roman" w:cs="Times New Roman"/>
                <w:b/>
                <w:sz w:val="24"/>
                <w:szCs w:val="24"/>
              </w:rPr>
              <w:t>)</w:t>
            </w:r>
          </w:p>
        </w:tc>
        <w:tc>
          <w:tcPr>
            <w:tcW w:w="1368" w:type="dxa"/>
          </w:tcPr>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 xml:space="preserve">Costs </w:t>
            </w:r>
          </w:p>
          <w:p w:rsidR="008027B8" w:rsidRPr="00A060B3" w:rsidRDefault="008027B8" w:rsidP="00901943">
            <w:pPr>
              <w:pStyle w:val="PlainText"/>
              <w:jc w:val="center"/>
              <w:rPr>
                <w:rFonts w:ascii="Times New Roman" w:hAnsi="Times New Roman" w:cs="Times New Roman"/>
                <w:b/>
                <w:sz w:val="24"/>
                <w:szCs w:val="24"/>
              </w:rPr>
            </w:pPr>
            <w:r w:rsidRPr="00A060B3">
              <w:rPr>
                <w:rFonts w:ascii="Times New Roman" w:hAnsi="Times New Roman" w:cs="Times New Roman"/>
                <w:b/>
                <w:sz w:val="24"/>
                <w:szCs w:val="24"/>
              </w:rPr>
              <w:t>($)</w:t>
            </w:r>
          </w:p>
        </w:tc>
      </w:tr>
      <w:tr w:rsidR="00901943" w:rsidTr="00A060B3">
        <w:tc>
          <w:tcPr>
            <w:tcW w:w="1908" w:type="dxa"/>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sz w:val="24"/>
                <w:szCs w:val="24"/>
              </w:rPr>
              <w:t>CBI Substantiation</w:t>
            </w:r>
          </w:p>
        </w:tc>
        <w:tc>
          <w:tcPr>
            <w:tcW w:w="1260" w:type="dxa"/>
          </w:tcPr>
          <w:p w:rsidR="00901943" w:rsidRPr="00901943" w:rsidRDefault="00901943" w:rsidP="00901943">
            <w:pPr>
              <w:pStyle w:val="PlainText"/>
              <w:jc w:val="right"/>
              <w:rPr>
                <w:rFonts w:ascii="Times New Roman" w:hAnsi="Times New Roman" w:cs="Times New Roman"/>
                <w:sz w:val="24"/>
                <w:szCs w:val="24"/>
              </w:rPr>
            </w:pPr>
            <w:r w:rsidRPr="00901943">
              <w:rPr>
                <w:rFonts w:ascii="Times New Roman" w:hAnsi="Times New Roman" w:cs="Times New Roman"/>
                <w:sz w:val="24"/>
                <w:szCs w:val="24"/>
              </w:rPr>
              <w:t>10.5</w:t>
            </w:r>
          </w:p>
        </w:tc>
        <w:tc>
          <w:tcPr>
            <w:tcW w:w="1530"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822</w:t>
            </w:r>
          </w:p>
        </w:tc>
        <w:tc>
          <w:tcPr>
            <w:tcW w:w="2359"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20</w:t>
            </w:r>
          </w:p>
        </w:tc>
        <w:tc>
          <w:tcPr>
            <w:tcW w:w="1151"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210</w:t>
            </w:r>
          </w:p>
        </w:tc>
        <w:tc>
          <w:tcPr>
            <w:tcW w:w="1368"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16,444</w:t>
            </w:r>
          </w:p>
        </w:tc>
      </w:tr>
      <w:tr w:rsidR="00901943" w:rsidTr="00A060B3">
        <w:tc>
          <w:tcPr>
            <w:tcW w:w="1908" w:type="dxa"/>
          </w:tcPr>
          <w:p w:rsidR="00901943" w:rsidRPr="00901943" w:rsidRDefault="00901943" w:rsidP="008027B8">
            <w:pPr>
              <w:pStyle w:val="PlainText"/>
              <w:rPr>
                <w:rFonts w:ascii="Times New Roman" w:hAnsi="Times New Roman" w:cs="Times New Roman"/>
                <w:sz w:val="24"/>
                <w:szCs w:val="24"/>
              </w:rPr>
            </w:pPr>
            <w:r w:rsidRPr="00901943">
              <w:rPr>
                <w:rFonts w:ascii="Times New Roman" w:hAnsi="Times New Roman" w:cs="Times New Roman"/>
                <w:sz w:val="24"/>
                <w:szCs w:val="24"/>
              </w:rPr>
              <w:t>Adverse Effects Reporting</w:t>
            </w:r>
          </w:p>
        </w:tc>
        <w:tc>
          <w:tcPr>
            <w:tcW w:w="1260" w:type="dxa"/>
          </w:tcPr>
          <w:p w:rsidR="00901943" w:rsidRPr="00901943" w:rsidRDefault="00901943" w:rsidP="00901943">
            <w:pPr>
              <w:pStyle w:val="PlainText"/>
              <w:jc w:val="right"/>
              <w:rPr>
                <w:rFonts w:ascii="Times New Roman" w:hAnsi="Times New Roman" w:cs="Times New Roman"/>
                <w:sz w:val="24"/>
                <w:szCs w:val="24"/>
              </w:rPr>
            </w:pPr>
            <w:r w:rsidRPr="00901943">
              <w:rPr>
                <w:rFonts w:ascii="Times New Roman" w:hAnsi="Times New Roman" w:cs="Times New Roman"/>
                <w:sz w:val="24"/>
                <w:szCs w:val="24"/>
              </w:rPr>
              <w:t>6.5</w:t>
            </w:r>
          </w:p>
        </w:tc>
        <w:tc>
          <w:tcPr>
            <w:tcW w:w="1530"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504</w:t>
            </w:r>
          </w:p>
        </w:tc>
        <w:tc>
          <w:tcPr>
            <w:tcW w:w="2359" w:type="dxa"/>
          </w:tcPr>
          <w:p w:rsidR="00901943" w:rsidRPr="00901943" w:rsidRDefault="00901943" w:rsidP="00901943">
            <w:pPr>
              <w:pStyle w:val="PlainText"/>
              <w:jc w:val="right"/>
              <w:rPr>
                <w:rFonts w:ascii="Times New Roman" w:hAnsi="Times New Roman" w:cs="Times New Roman"/>
                <w:sz w:val="24"/>
                <w:szCs w:val="24"/>
              </w:rPr>
            </w:pPr>
            <w:r w:rsidRPr="00901943">
              <w:rPr>
                <w:rFonts w:ascii="Times New Roman" w:hAnsi="Times New Roman" w:cs="Times New Roman"/>
                <w:sz w:val="24"/>
                <w:szCs w:val="24"/>
              </w:rPr>
              <w:t>1/3</w:t>
            </w:r>
          </w:p>
        </w:tc>
        <w:tc>
          <w:tcPr>
            <w:tcW w:w="1151" w:type="dxa"/>
          </w:tcPr>
          <w:p w:rsidR="00901943" w:rsidRPr="00901943" w:rsidRDefault="00901943" w:rsidP="00901943">
            <w:pPr>
              <w:pStyle w:val="PlainText"/>
              <w:jc w:val="right"/>
              <w:rPr>
                <w:rFonts w:ascii="Times New Roman" w:hAnsi="Times New Roman" w:cs="Times New Roman"/>
                <w:sz w:val="24"/>
                <w:szCs w:val="24"/>
              </w:rPr>
            </w:pPr>
            <w:r w:rsidRPr="00901943">
              <w:rPr>
                <w:rFonts w:ascii="Times New Roman" w:hAnsi="Times New Roman" w:cs="Times New Roman"/>
                <w:sz w:val="24"/>
                <w:szCs w:val="24"/>
              </w:rPr>
              <w:t>2.2</w:t>
            </w:r>
          </w:p>
        </w:tc>
        <w:tc>
          <w:tcPr>
            <w:tcW w:w="1368" w:type="dxa"/>
          </w:tcPr>
          <w:p w:rsidR="00901943" w:rsidRPr="00901943" w:rsidRDefault="008027B8" w:rsidP="00901943">
            <w:pPr>
              <w:pStyle w:val="PlainText"/>
              <w:jc w:val="right"/>
              <w:rPr>
                <w:rFonts w:ascii="Times New Roman" w:hAnsi="Times New Roman" w:cs="Times New Roman"/>
                <w:sz w:val="24"/>
                <w:szCs w:val="24"/>
              </w:rPr>
            </w:pPr>
            <w:r>
              <w:rPr>
                <w:rFonts w:ascii="Times New Roman" w:hAnsi="Times New Roman" w:cs="Times New Roman"/>
                <w:sz w:val="24"/>
                <w:szCs w:val="24"/>
              </w:rPr>
              <w:t>168</w:t>
            </w:r>
          </w:p>
        </w:tc>
      </w:tr>
      <w:tr w:rsidR="00901943" w:rsidTr="00A060B3">
        <w:tc>
          <w:tcPr>
            <w:tcW w:w="1908" w:type="dxa"/>
          </w:tcPr>
          <w:p w:rsidR="00901943" w:rsidRPr="00901943" w:rsidRDefault="00901943" w:rsidP="008027B8">
            <w:pPr>
              <w:pStyle w:val="PlainText"/>
              <w:rPr>
                <w:rFonts w:ascii="Times New Roman" w:hAnsi="Times New Roman" w:cs="Times New Roman"/>
                <w:b/>
                <w:sz w:val="24"/>
                <w:szCs w:val="24"/>
              </w:rPr>
            </w:pPr>
            <w:r w:rsidRPr="00901943">
              <w:rPr>
                <w:rFonts w:ascii="Times New Roman" w:hAnsi="Times New Roman" w:cs="Times New Roman"/>
                <w:b/>
                <w:sz w:val="24"/>
                <w:szCs w:val="24"/>
              </w:rPr>
              <w:t>Totals</w:t>
            </w:r>
          </w:p>
        </w:tc>
        <w:tc>
          <w:tcPr>
            <w:tcW w:w="1260" w:type="dxa"/>
          </w:tcPr>
          <w:p w:rsidR="00901943" w:rsidRPr="00901943" w:rsidRDefault="00901943" w:rsidP="00901943">
            <w:pPr>
              <w:pStyle w:val="PlainText"/>
              <w:jc w:val="right"/>
              <w:rPr>
                <w:rFonts w:ascii="Times New Roman" w:hAnsi="Times New Roman" w:cs="Times New Roman"/>
                <w:b/>
                <w:sz w:val="24"/>
                <w:szCs w:val="24"/>
              </w:rPr>
            </w:pPr>
          </w:p>
        </w:tc>
        <w:tc>
          <w:tcPr>
            <w:tcW w:w="1530" w:type="dxa"/>
          </w:tcPr>
          <w:p w:rsidR="00901943" w:rsidRPr="00901943" w:rsidRDefault="00901943" w:rsidP="00901943">
            <w:pPr>
              <w:pStyle w:val="PlainText"/>
              <w:jc w:val="right"/>
              <w:rPr>
                <w:rFonts w:ascii="Times New Roman" w:hAnsi="Times New Roman" w:cs="Times New Roman"/>
                <w:b/>
                <w:sz w:val="24"/>
                <w:szCs w:val="24"/>
              </w:rPr>
            </w:pPr>
          </w:p>
        </w:tc>
        <w:tc>
          <w:tcPr>
            <w:tcW w:w="2359" w:type="dxa"/>
          </w:tcPr>
          <w:p w:rsidR="00901943" w:rsidRPr="00901943" w:rsidRDefault="00901943" w:rsidP="00901943">
            <w:pPr>
              <w:pStyle w:val="PlainText"/>
              <w:jc w:val="right"/>
              <w:rPr>
                <w:rFonts w:ascii="Times New Roman" w:hAnsi="Times New Roman" w:cs="Times New Roman"/>
                <w:b/>
                <w:sz w:val="24"/>
                <w:szCs w:val="24"/>
              </w:rPr>
            </w:pPr>
          </w:p>
        </w:tc>
        <w:tc>
          <w:tcPr>
            <w:tcW w:w="1151" w:type="dxa"/>
          </w:tcPr>
          <w:p w:rsidR="00901943" w:rsidRPr="00901943" w:rsidRDefault="00EB67E9" w:rsidP="00901943">
            <w:pPr>
              <w:pStyle w:val="PlainText"/>
              <w:jc w:val="right"/>
              <w:rPr>
                <w:rFonts w:ascii="Times New Roman" w:hAnsi="Times New Roman" w:cs="Times New Roman"/>
                <w:b/>
                <w:sz w:val="24"/>
                <w:szCs w:val="24"/>
              </w:rPr>
            </w:pPr>
            <w:r>
              <w:rPr>
                <w:rFonts w:ascii="Times New Roman" w:hAnsi="Times New Roman" w:cs="Times New Roman"/>
                <w:b/>
                <w:sz w:val="24"/>
                <w:szCs w:val="24"/>
              </w:rPr>
              <w:t>212.2</w:t>
            </w:r>
          </w:p>
        </w:tc>
        <w:tc>
          <w:tcPr>
            <w:tcW w:w="1368" w:type="dxa"/>
          </w:tcPr>
          <w:p w:rsidR="00901943" w:rsidRPr="00901943" w:rsidRDefault="00F0305A" w:rsidP="00901943">
            <w:pPr>
              <w:pStyle w:val="PlainText"/>
              <w:jc w:val="right"/>
              <w:rPr>
                <w:rFonts w:ascii="Times New Roman" w:hAnsi="Times New Roman" w:cs="Times New Roman"/>
                <w:b/>
                <w:sz w:val="24"/>
                <w:szCs w:val="24"/>
              </w:rPr>
            </w:pPr>
            <w:r>
              <w:rPr>
                <w:rFonts w:ascii="Times New Roman" w:hAnsi="Times New Roman" w:cs="Times New Roman"/>
                <w:b/>
                <w:sz w:val="24"/>
                <w:szCs w:val="24"/>
              </w:rPr>
              <w:t>16,612</w:t>
            </w:r>
          </w:p>
        </w:tc>
      </w:tr>
    </w:tbl>
    <w:p w:rsidR="00901943" w:rsidRDefault="00901943" w:rsidP="00287926">
      <w:pPr>
        <w:pStyle w:val="PlainText"/>
        <w:ind w:firstLine="720"/>
        <w:rPr>
          <w:rFonts w:ascii="Times New Roman" w:hAnsi="Times New Roman" w:cs="Times New Roman"/>
          <w:sz w:val="24"/>
          <w:szCs w:val="24"/>
        </w:rPr>
      </w:pPr>
    </w:p>
    <w:p w:rsidR="00901943" w:rsidRPr="005A3906" w:rsidRDefault="00901943" w:rsidP="00287926">
      <w:pPr>
        <w:pStyle w:val="PlainText"/>
        <w:ind w:firstLine="720"/>
        <w:rPr>
          <w:rFonts w:ascii="Times New Roman" w:hAnsi="Times New Roman" w:cs="Times New Roman"/>
          <w:sz w:val="24"/>
          <w:szCs w:val="24"/>
        </w:rPr>
      </w:pPr>
    </w:p>
    <w:p w:rsidR="006103A9" w:rsidRDefault="006103A9" w:rsidP="00343EF0">
      <w:pPr>
        <w:pStyle w:val="PlainText"/>
        <w:rPr>
          <w:rFonts w:ascii="Times New Roman" w:hAnsi="Times New Roman" w:cs="Times New Roman"/>
          <w:sz w:val="24"/>
          <w:szCs w:val="24"/>
        </w:rPr>
      </w:pPr>
    </w:p>
    <w:p w:rsidR="006103A9" w:rsidRPr="005A3906" w:rsidRDefault="006103A9" w:rsidP="0033113C">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6(d</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Bot</w:t>
      </w:r>
      <w:r w:rsidR="00191E9D" w:rsidRPr="005A3906">
        <w:rPr>
          <w:rFonts w:ascii="Times New Roman" w:hAnsi="Times New Roman" w:cs="Times New Roman"/>
          <w:b/>
          <w:sz w:val="24"/>
          <w:szCs w:val="24"/>
        </w:rPr>
        <w:t>tom</w:t>
      </w:r>
      <w:proofErr w:type="gramEnd"/>
      <w:r w:rsidR="00191E9D" w:rsidRPr="005A3906">
        <w:rPr>
          <w:rFonts w:ascii="Times New Roman" w:hAnsi="Times New Roman" w:cs="Times New Roman"/>
          <w:b/>
          <w:sz w:val="24"/>
          <w:szCs w:val="24"/>
        </w:rPr>
        <w:t xml:space="preserve"> Line Burden and Cost Table</w:t>
      </w:r>
    </w:p>
    <w:p w:rsidR="006103A9" w:rsidRPr="005A3906" w:rsidRDefault="006103A9" w:rsidP="00343EF0">
      <w:pPr>
        <w:pStyle w:val="PlainText"/>
        <w:rPr>
          <w:rFonts w:ascii="Times New Roman" w:hAnsi="Times New Roman" w:cs="Times New Roman"/>
          <w:sz w:val="24"/>
          <w:szCs w:val="24"/>
        </w:rPr>
      </w:pPr>
      <w:bookmarkStart w:id="6" w:name="OLE_LINK5"/>
    </w:p>
    <w:p w:rsidR="006103A9" w:rsidRPr="005A3906" w:rsidRDefault="006103A9" w:rsidP="0033113C">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following table presents the total estimated annual burden and costs for this ICR: </w:t>
      </w:r>
    </w:p>
    <w:p w:rsidR="006103A9" w:rsidRPr="005A3906" w:rsidRDefault="006103A9" w:rsidP="00343EF0">
      <w:pPr>
        <w:pStyle w:val="PlainText"/>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800"/>
        <w:gridCol w:w="1800"/>
        <w:gridCol w:w="1800"/>
      </w:tblGrid>
      <w:tr w:rsidR="008D4D7D" w:rsidRPr="001A2A05" w:rsidTr="001A2A05">
        <w:tc>
          <w:tcPr>
            <w:tcW w:w="9828" w:type="dxa"/>
            <w:gridSpan w:val="5"/>
          </w:tcPr>
          <w:p w:rsidR="008D4D7D" w:rsidRPr="001A2A05" w:rsidRDefault="008D4D7D" w:rsidP="00343EF0">
            <w:pPr>
              <w:pStyle w:val="PlainText"/>
              <w:rPr>
                <w:rFonts w:ascii="Times New Roman" w:hAnsi="Times New Roman" w:cs="Times New Roman"/>
                <w:b/>
                <w:sz w:val="24"/>
                <w:szCs w:val="24"/>
              </w:rPr>
            </w:pPr>
            <w:r w:rsidRPr="001A2A05">
              <w:rPr>
                <w:rFonts w:ascii="Times New Roman" w:hAnsi="Times New Roman" w:cs="Times New Roman"/>
                <w:b/>
                <w:sz w:val="24"/>
                <w:szCs w:val="24"/>
              </w:rPr>
              <w:t xml:space="preserve">Table </w:t>
            </w:r>
            <w:r w:rsidR="00901943">
              <w:rPr>
                <w:rFonts w:ascii="Times New Roman" w:hAnsi="Times New Roman" w:cs="Times New Roman"/>
                <w:b/>
                <w:sz w:val="24"/>
                <w:szCs w:val="24"/>
              </w:rPr>
              <w:t>7</w:t>
            </w:r>
            <w:r w:rsidRPr="001A2A05">
              <w:rPr>
                <w:rFonts w:ascii="Times New Roman" w:hAnsi="Times New Roman" w:cs="Times New Roman"/>
                <w:b/>
                <w:sz w:val="24"/>
                <w:szCs w:val="24"/>
              </w:rPr>
              <w:t xml:space="preserve"> – Total Annual </w:t>
            </w:r>
            <w:r w:rsidR="00901943">
              <w:rPr>
                <w:rFonts w:ascii="Times New Roman" w:hAnsi="Times New Roman" w:cs="Times New Roman"/>
                <w:b/>
                <w:sz w:val="24"/>
                <w:szCs w:val="24"/>
              </w:rPr>
              <w:t xml:space="preserve">Respondent and Agency </w:t>
            </w:r>
            <w:r w:rsidRPr="001A2A05">
              <w:rPr>
                <w:rFonts w:ascii="Times New Roman" w:hAnsi="Times New Roman" w:cs="Times New Roman"/>
                <w:b/>
                <w:sz w:val="24"/>
                <w:szCs w:val="24"/>
              </w:rPr>
              <w:t>Burden and Cost Estimates</w:t>
            </w:r>
          </w:p>
        </w:tc>
      </w:tr>
      <w:tr w:rsidR="008D4D7D" w:rsidRPr="005A3906" w:rsidTr="001A2A05">
        <w:tc>
          <w:tcPr>
            <w:tcW w:w="2628" w:type="dxa"/>
          </w:tcPr>
          <w:p w:rsidR="008D4D7D" w:rsidRPr="001A2A05" w:rsidRDefault="008D4D7D" w:rsidP="00343EF0">
            <w:pPr>
              <w:pStyle w:val="PlainText"/>
              <w:rPr>
                <w:rFonts w:ascii="Times New Roman" w:hAnsi="Times New Roman" w:cs="Times New Roman"/>
                <w:b/>
                <w:sz w:val="24"/>
                <w:szCs w:val="24"/>
              </w:rPr>
            </w:pPr>
          </w:p>
        </w:tc>
        <w:tc>
          <w:tcPr>
            <w:tcW w:w="3600" w:type="dxa"/>
            <w:gridSpan w:val="2"/>
          </w:tcPr>
          <w:p w:rsidR="008D4D7D" w:rsidRPr="001A2A05" w:rsidRDefault="008D4D7D"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Respondent</w:t>
            </w:r>
          </w:p>
        </w:tc>
        <w:tc>
          <w:tcPr>
            <w:tcW w:w="3600" w:type="dxa"/>
            <w:gridSpan w:val="2"/>
          </w:tcPr>
          <w:p w:rsidR="008D4D7D" w:rsidRPr="001A2A05" w:rsidRDefault="008D4D7D"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Agency</w:t>
            </w:r>
          </w:p>
        </w:tc>
      </w:tr>
      <w:tr w:rsidR="008D4D7D" w:rsidRPr="005A3906" w:rsidTr="001A2A05">
        <w:tc>
          <w:tcPr>
            <w:tcW w:w="2628" w:type="dxa"/>
          </w:tcPr>
          <w:p w:rsidR="008D4D7D" w:rsidRPr="001A2A05" w:rsidRDefault="008D4D7D" w:rsidP="00343EF0">
            <w:pPr>
              <w:pStyle w:val="PlainText"/>
              <w:rPr>
                <w:rFonts w:ascii="Times New Roman" w:hAnsi="Times New Roman" w:cs="Times New Roman"/>
                <w:b/>
                <w:sz w:val="24"/>
                <w:szCs w:val="24"/>
              </w:rPr>
            </w:pPr>
            <w:r w:rsidRPr="001A2A05">
              <w:rPr>
                <w:rFonts w:ascii="Times New Roman" w:hAnsi="Times New Roman" w:cs="Times New Roman"/>
                <w:b/>
                <w:sz w:val="24"/>
                <w:szCs w:val="24"/>
              </w:rPr>
              <w:t>Activities</w:t>
            </w:r>
          </w:p>
        </w:tc>
        <w:tc>
          <w:tcPr>
            <w:tcW w:w="1800" w:type="dxa"/>
          </w:tcPr>
          <w:p w:rsidR="008D4D7D" w:rsidRPr="001A2A05" w:rsidRDefault="008D4D7D" w:rsidP="00343EF0">
            <w:pPr>
              <w:pStyle w:val="PlainText"/>
              <w:rPr>
                <w:rFonts w:ascii="Times New Roman" w:hAnsi="Times New Roman" w:cs="Times New Roman"/>
                <w:b/>
                <w:sz w:val="24"/>
                <w:szCs w:val="24"/>
              </w:rPr>
            </w:pPr>
            <w:r w:rsidRPr="001A2A05">
              <w:rPr>
                <w:rFonts w:ascii="Times New Roman" w:hAnsi="Times New Roman" w:cs="Times New Roman"/>
                <w:b/>
                <w:sz w:val="24"/>
                <w:szCs w:val="24"/>
              </w:rPr>
              <w:t>Burden (</w:t>
            </w:r>
            <w:proofErr w:type="spellStart"/>
            <w:r w:rsidRPr="001A2A05">
              <w:rPr>
                <w:rFonts w:ascii="Times New Roman" w:hAnsi="Times New Roman" w:cs="Times New Roman"/>
                <w:b/>
                <w:sz w:val="24"/>
                <w:szCs w:val="24"/>
              </w:rPr>
              <w:t>hrs</w:t>
            </w:r>
            <w:proofErr w:type="spellEnd"/>
            <w:r w:rsidRPr="001A2A05">
              <w:rPr>
                <w:rFonts w:ascii="Times New Roman" w:hAnsi="Times New Roman" w:cs="Times New Roman"/>
                <w:b/>
                <w:sz w:val="24"/>
                <w:szCs w:val="24"/>
              </w:rPr>
              <w:t xml:space="preserve">) </w:t>
            </w:r>
          </w:p>
        </w:tc>
        <w:tc>
          <w:tcPr>
            <w:tcW w:w="1800" w:type="dxa"/>
          </w:tcPr>
          <w:p w:rsidR="008D4D7D" w:rsidRPr="001A2A05" w:rsidRDefault="008D4D7D"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Costs ($)</w:t>
            </w:r>
          </w:p>
        </w:tc>
        <w:tc>
          <w:tcPr>
            <w:tcW w:w="1800" w:type="dxa"/>
          </w:tcPr>
          <w:p w:rsidR="008D4D7D" w:rsidRPr="001A2A05" w:rsidRDefault="008D4D7D" w:rsidP="00343EF0">
            <w:pPr>
              <w:pStyle w:val="PlainText"/>
              <w:rPr>
                <w:rFonts w:ascii="Times New Roman" w:hAnsi="Times New Roman" w:cs="Times New Roman"/>
                <w:b/>
                <w:sz w:val="24"/>
                <w:szCs w:val="24"/>
              </w:rPr>
            </w:pPr>
            <w:r w:rsidRPr="001A2A05">
              <w:rPr>
                <w:rFonts w:ascii="Times New Roman" w:hAnsi="Times New Roman" w:cs="Times New Roman"/>
                <w:b/>
                <w:sz w:val="24"/>
                <w:szCs w:val="24"/>
              </w:rPr>
              <w:t>Burden (</w:t>
            </w:r>
            <w:proofErr w:type="spellStart"/>
            <w:r w:rsidRPr="001A2A05">
              <w:rPr>
                <w:rFonts w:ascii="Times New Roman" w:hAnsi="Times New Roman" w:cs="Times New Roman"/>
                <w:b/>
                <w:sz w:val="24"/>
                <w:szCs w:val="24"/>
              </w:rPr>
              <w:t>hrs</w:t>
            </w:r>
            <w:proofErr w:type="spellEnd"/>
            <w:r w:rsidRPr="001A2A05">
              <w:rPr>
                <w:rFonts w:ascii="Times New Roman" w:hAnsi="Times New Roman" w:cs="Times New Roman"/>
                <w:b/>
                <w:sz w:val="24"/>
                <w:szCs w:val="24"/>
              </w:rPr>
              <w:t xml:space="preserve">) </w:t>
            </w:r>
          </w:p>
        </w:tc>
        <w:tc>
          <w:tcPr>
            <w:tcW w:w="1800" w:type="dxa"/>
          </w:tcPr>
          <w:p w:rsidR="008D4D7D" w:rsidRPr="001A2A05" w:rsidRDefault="008D4D7D" w:rsidP="001A2A05">
            <w:pPr>
              <w:pStyle w:val="PlainText"/>
              <w:jc w:val="center"/>
              <w:rPr>
                <w:rFonts w:ascii="Times New Roman" w:hAnsi="Times New Roman" w:cs="Times New Roman"/>
                <w:b/>
                <w:sz w:val="24"/>
                <w:szCs w:val="24"/>
              </w:rPr>
            </w:pPr>
            <w:r w:rsidRPr="001A2A05">
              <w:rPr>
                <w:rFonts w:ascii="Times New Roman" w:hAnsi="Times New Roman" w:cs="Times New Roman"/>
                <w:b/>
                <w:sz w:val="24"/>
                <w:szCs w:val="24"/>
              </w:rPr>
              <w:t>Costs ($)</w:t>
            </w:r>
          </w:p>
        </w:tc>
      </w:tr>
      <w:tr w:rsidR="00A64D48" w:rsidRPr="005A3906" w:rsidTr="001A2A05">
        <w:tc>
          <w:tcPr>
            <w:tcW w:w="2628" w:type="dxa"/>
          </w:tcPr>
          <w:p w:rsidR="00A64D48" w:rsidRPr="001A2A05" w:rsidRDefault="00A64D48"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CBI Substantiations</w:t>
            </w:r>
          </w:p>
        </w:tc>
        <w:tc>
          <w:tcPr>
            <w:tcW w:w="1800" w:type="dxa"/>
          </w:tcPr>
          <w:p w:rsidR="00A64D48" w:rsidRPr="00A840DA" w:rsidRDefault="00A64D48" w:rsidP="001A2A05">
            <w:pPr>
              <w:jc w:val="center"/>
              <w:rPr>
                <w:highlight w:val="yellow"/>
              </w:rPr>
            </w:pPr>
            <w:r w:rsidRPr="0067592F">
              <w:t xml:space="preserve"> 430 </w:t>
            </w:r>
          </w:p>
        </w:tc>
        <w:tc>
          <w:tcPr>
            <w:tcW w:w="1800" w:type="dxa"/>
          </w:tcPr>
          <w:p w:rsidR="00A64D48" w:rsidRPr="00A840DA" w:rsidRDefault="00A64D48" w:rsidP="001A2A05">
            <w:pPr>
              <w:jc w:val="center"/>
              <w:rPr>
                <w:highlight w:val="yellow"/>
              </w:rPr>
            </w:pPr>
            <w:r w:rsidRPr="0067592F">
              <w:t xml:space="preserve"> 31,210 </w:t>
            </w:r>
          </w:p>
        </w:tc>
        <w:tc>
          <w:tcPr>
            <w:tcW w:w="1800" w:type="dxa"/>
          </w:tcPr>
          <w:p w:rsidR="00A64D48" w:rsidRPr="00A840DA" w:rsidRDefault="00A64D48" w:rsidP="001A2A05">
            <w:pPr>
              <w:jc w:val="center"/>
              <w:rPr>
                <w:highlight w:val="yellow"/>
              </w:rPr>
            </w:pPr>
            <w:r w:rsidRPr="0067592F">
              <w:t xml:space="preserve"> 210 </w:t>
            </w:r>
          </w:p>
        </w:tc>
        <w:tc>
          <w:tcPr>
            <w:tcW w:w="1800" w:type="dxa"/>
          </w:tcPr>
          <w:p w:rsidR="00A64D48" w:rsidRPr="00A840DA" w:rsidRDefault="00A64D48" w:rsidP="001A2A05">
            <w:pPr>
              <w:jc w:val="center"/>
              <w:rPr>
                <w:highlight w:val="yellow"/>
              </w:rPr>
            </w:pPr>
            <w:r w:rsidRPr="0067592F">
              <w:t xml:space="preserve"> 16,444 </w:t>
            </w:r>
          </w:p>
        </w:tc>
      </w:tr>
      <w:tr w:rsidR="00A64D48" w:rsidRPr="005A3906" w:rsidTr="001A2A05">
        <w:tc>
          <w:tcPr>
            <w:tcW w:w="2628" w:type="dxa"/>
            <w:tcBorders>
              <w:bottom w:val="single" w:sz="12" w:space="0" w:color="auto"/>
            </w:tcBorders>
          </w:tcPr>
          <w:p w:rsidR="00A64D48" w:rsidRPr="001A2A05" w:rsidRDefault="00A64D48"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Adverse Effects Reports</w:t>
            </w:r>
          </w:p>
        </w:tc>
        <w:tc>
          <w:tcPr>
            <w:tcW w:w="1800" w:type="dxa"/>
            <w:tcBorders>
              <w:bottom w:val="single" w:sz="12" w:space="0" w:color="auto"/>
            </w:tcBorders>
          </w:tcPr>
          <w:p w:rsidR="00A64D48" w:rsidRPr="00A840DA" w:rsidRDefault="00A64D48" w:rsidP="001A2A05">
            <w:pPr>
              <w:jc w:val="center"/>
              <w:rPr>
                <w:highlight w:val="yellow"/>
              </w:rPr>
            </w:pPr>
            <w:r w:rsidRPr="0067592F">
              <w:t xml:space="preserve"> 2 </w:t>
            </w:r>
          </w:p>
        </w:tc>
        <w:tc>
          <w:tcPr>
            <w:tcW w:w="1800" w:type="dxa"/>
            <w:tcBorders>
              <w:bottom w:val="single" w:sz="12" w:space="0" w:color="auto"/>
            </w:tcBorders>
          </w:tcPr>
          <w:p w:rsidR="00A64D48" w:rsidRPr="00A840DA" w:rsidRDefault="00A64D48" w:rsidP="001A2A05">
            <w:pPr>
              <w:jc w:val="center"/>
              <w:rPr>
                <w:highlight w:val="yellow"/>
              </w:rPr>
            </w:pPr>
            <w:r w:rsidRPr="0067592F">
              <w:t xml:space="preserve"> 161 </w:t>
            </w:r>
          </w:p>
        </w:tc>
        <w:tc>
          <w:tcPr>
            <w:tcW w:w="1800" w:type="dxa"/>
            <w:tcBorders>
              <w:bottom w:val="single" w:sz="12" w:space="0" w:color="auto"/>
            </w:tcBorders>
          </w:tcPr>
          <w:p w:rsidR="00A64D48" w:rsidRPr="00A840DA" w:rsidRDefault="00A64D48" w:rsidP="001A2A05">
            <w:pPr>
              <w:jc w:val="center"/>
              <w:rPr>
                <w:highlight w:val="yellow"/>
              </w:rPr>
            </w:pPr>
            <w:r w:rsidRPr="0067592F">
              <w:t xml:space="preserve"> 2 </w:t>
            </w:r>
          </w:p>
        </w:tc>
        <w:tc>
          <w:tcPr>
            <w:tcW w:w="1800" w:type="dxa"/>
            <w:tcBorders>
              <w:bottom w:val="single" w:sz="12" w:space="0" w:color="auto"/>
            </w:tcBorders>
          </w:tcPr>
          <w:p w:rsidR="00A64D48" w:rsidRPr="00A840DA" w:rsidRDefault="00A64D48" w:rsidP="001A2A05">
            <w:pPr>
              <w:jc w:val="center"/>
              <w:rPr>
                <w:highlight w:val="yellow"/>
              </w:rPr>
            </w:pPr>
            <w:r w:rsidRPr="0067592F">
              <w:t xml:space="preserve"> 168 </w:t>
            </w:r>
          </w:p>
        </w:tc>
      </w:tr>
      <w:tr w:rsidR="00A64D48" w:rsidRPr="005A3906" w:rsidTr="001A2A05">
        <w:tc>
          <w:tcPr>
            <w:tcW w:w="2628" w:type="dxa"/>
            <w:tcBorders>
              <w:top w:val="single" w:sz="12" w:space="0" w:color="auto"/>
            </w:tcBorders>
          </w:tcPr>
          <w:p w:rsidR="00A64D48" w:rsidRPr="001A2A05" w:rsidRDefault="00A64D48"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Totals</w:t>
            </w:r>
          </w:p>
        </w:tc>
        <w:tc>
          <w:tcPr>
            <w:tcW w:w="1800" w:type="dxa"/>
            <w:tcBorders>
              <w:top w:val="single" w:sz="12" w:space="0" w:color="auto"/>
            </w:tcBorders>
          </w:tcPr>
          <w:p w:rsidR="00A64D48" w:rsidRPr="00A840DA" w:rsidRDefault="00A64D48" w:rsidP="001A2A05">
            <w:pPr>
              <w:jc w:val="center"/>
              <w:rPr>
                <w:highlight w:val="yellow"/>
              </w:rPr>
            </w:pPr>
            <w:r w:rsidRPr="0067592F">
              <w:t xml:space="preserve"> 432 </w:t>
            </w:r>
          </w:p>
        </w:tc>
        <w:tc>
          <w:tcPr>
            <w:tcW w:w="1800" w:type="dxa"/>
            <w:tcBorders>
              <w:top w:val="single" w:sz="12" w:space="0" w:color="auto"/>
            </w:tcBorders>
          </w:tcPr>
          <w:p w:rsidR="00A64D48" w:rsidRPr="00A840DA" w:rsidRDefault="00A64D48" w:rsidP="001A2A05">
            <w:pPr>
              <w:jc w:val="center"/>
              <w:rPr>
                <w:highlight w:val="yellow"/>
              </w:rPr>
            </w:pPr>
            <w:r w:rsidRPr="0067592F">
              <w:t xml:space="preserve"> 31,371 </w:t>
            </w:r>
          </w:p>
        </w:tc>
        <w:tc>
          <w:tcPr>
            <w:tcW w:w="1800" w:type="dxa"/>
            <w:tcBorders>
              <w:top w:val="single" w:sz="12" w:space="0" w:color="auto"/>
            </w:tcBorders>
          </w:tcPr>
          <w:p w:rsidR="00A64D48" w:rsidRPr="00A840DA" w:rsidRDefault="00A64D48" w:rsidP="001A2A05">
            <w:pPr>
              <w:jc w:val="center"/>
              <w:rPr>
                <w:highlight w:val="yellow"/>
              </w:rPr>
            </w:pPr>
            <w:r w:rsidRPr="0067592F">
              <w:t xml:space="preserve"> 212 </w:t>
            </w:r>
          </w:p>
        </w:tc>
        <w:tc>
          <w:tcPr>
            <w:tcW w:w="1800" w:type="dxa"/>
            <w:tcBorders>
              <w:top w:val="single" w:sz="12" w:space="0" w:color="auto"/>
            </w:tcBorders>
          </w:tcPr>
          <w:p w:rsidR="00A64D48" w:rsidRPr="00A840DA" w:rsidRDefault="00A64D48" w:rsidP="001A2A05">
            <w:pPr>
              <w:jc w:val="center"/>
              <w:rPr>
                <w:highlight w:val="yellow"/>
              </w:rPr>
            </w:pPr>
            <w:bookmarkStart w:id="7" w:name="OLE_LINK1"/>
            <w:r w:rsidRPr="0067592F">
              <w:t xml:space="preserve"> 16,612 </w:t>
            </w:r>
            <w:bookmarkEnd w:id="7"/>
          </w:p>
        </w:tc>
      </w:tr>
    </w:tbl>
    <w:p w:rsidR="001C5FAF" w:rsidRPr="005A3906" w:rsidRDefault="00227704" w:rsidP="00343EF0">
      <w:pPr>
        <w:pStyle w:val="PlainText"/>
        <w:rPr>
          <w:rFonts w:ascii="Times New Roman" w:hAnsi="Times New Roman" w:cs="Times New Roman"/>
          <w:sz w:val="24"/>
          <w:szCs w:val="24"/>
        </w:rPr>
      </w:pPr>
      <w:r w:rsidRPr="005A3906">
        <w:rPr>
          <w:rFonts w:ascii="Times New Roman" w:hAnsi="Times New Roman" w:cs="Times New Roman"/>
          <w:sz w:val="24"/>
          <w:szCs w:val="24"/>
        </w:rPr>
        <w:t>Columns and Rows may not add due to rounding</w:t>
      </w:r>
    </w:p>
    <w:bookmarkEnd w:id="6"/>
    <w:p w:rsidR="006103A9" w:rsidRPr="005A3906" w:rsidRDefault="006103A9" w:rsidP="00343EF0">
      <w:pPr>
        <w:pStyle w:val="PlainText"/>
        <w:rPr>
          <w:rFonts w:ascii="Times New Roman" w:hAnsi="Times New Roman" w:cs="Times New Roman"/>
          <w:sz w:val="24"/>
          <w:szCs w:val="24"/>
        </w:rPr>
      </w:pPr>
    </w:p>
    <w:p w:rsidR="006103A9" w:rsidRPr="005A3906" w:rsidRDefault="006103A9" w:rsidP="0033113C">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6(e</w:t>
      </w:r>
      <w:proofErr w:type="gramStart"/>
      <w:r w:rsidRPr="005A3906">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Reasons</w:t>
      </w:r>
      <w:proofErr w:type="gramEnd"/>
      <w:r w:rsidRPr="005A3906">
        <w:rPr>
          <w:rFonts w:ascii="Times New Roman" w:hAnsi="Times New Roman" w:cs="Times New Roman"/>
          <w:b/>
          <w:sz w:val="24"/>
          <w:szCs w:val="24"/>
        </w:rPr>
        <w:t xml:space="preserve"> for Change in Burden </w:t>
      </w:r>
    </w:p>
    <w:p w:rsidR="003636C3" w:rsidRDefault="003636C3" w:rsidP="00343EF0">
      <w:pPr>
        <w:pStyle w:val="PlainText"/>
        <w:rPr>
          <w:rFonts w:ascii="Times New Roman" w:hAnsi="Times New Roman" w:cs="Times New Roman"/>
          <w:sz w:val="24"/>
          <w:szCs w:val="24"/>
        </w:rPr>
      </w:pPr>
    </w:p>
    <w:p w:rsidR="00F72E44" w:rsidRPr="00F72E44" w:rsidRDefault="007323C0" w:rsidP="00F72E44">
      <w:pPr>
        <w:numPr>
          <w:ilvl w:val="12"/>
          <w:numId w:val="0"/>
        </w:numPr>
      </w:pPr>
      <w:r>
        <w:tab/>
      </w:r>
      <w:r w:rsidR="00F72E44" w:rsidRPr="00F72E44">
        <w:t xml:space="preserve">There is increase of 43 hours in the total estimated respondent burden compared with the ICR currently approved by OMB. This increase reflects EPA's </w:t>
      </w:r>
      <w:r w:rsidR="00F72E44" w:rsidRPr="00F72E44">
        <w:rPr>
          <w:bCs/>
        </w:rPr>
        <w:t>updating of burden estimates for this collection based upon historical information on the number of CBI substantiations per year. Based upon revised estimates, the number of CBI substantiations per year has increased from 18 to 20, with a corresponding increase in the associated burden.</w:t>
      </w:r>
      <w:r w:rsidR="00F72E44" w:rsidRPr="00F72E44">
        <w:t xml:space="preserve"> </w:t>
      </w:r>
      <w:r w:rsidR="00F72E44">
        <w:t xml:space="preserve">The </w:t>
      </w:r>
      <w:r w:rsidR="0050437E">
        <w:t xml:space="preserve">estimated </w:t>
      </w:r>
      <w:r w:rsidR="00F72E44">
        <w:t xml:space="preserve">number of adverse effect reporting submissions remains the same. The increase in the expected number of responses is primarily driven by an expected </w:t>
      </w:r>
      <w:r w:rsidR="00F72E44" w:rsidRPr="00DF53E7">
        <w:t>increase in the number of</w:t>
      </w:r>
      <w:r w:rsidR="00F72E44">
        <w:t xml:space="preserve"> </w:t>
      </w:r>
      <w:r w:rsidR="00F72E44" w:rsidRPr="00DF53E7">
        <w:t>applications</w:t>
      </w:r>
      <w:r w:rsidR="00F72E44">
        <w:t xml:space="preserve"> for registration </w:t>
      </w:r>
      <w:r w:rsidR="00F72E44" w:rsidRPr="00DF53E7">
        <w:t>requiring CBI substantiation</w:t>
      </w:r>
      <w:r w:rsidR="00F72E44">
        <w:t xml:space="preserve">. </w:t>
      </w:r>
      <w:r w:rsidR="00F72E44" w:rsidRPr="00F72E44">
        <w:t>This change is an adjustment.</w:t>
      </w:r>
      <w:r w:rsidR="00F72E44" w:rsidRPr="00F72E44">
        <w:rPr>
          <w:b/>
        </w:rPr>
        <w:t xml:space="preserve"> </w:t>
      </w:r>
    </w:p>
    <w:p w:rsidR="007323C0" w:rsidRPr="00DF53E7" w:rsidRDefault="007323C0" w:rsidP="007323C0">
      <w:pPr>
        <w:numPr>
          <w:ilvl w:val="12"/>
          <w:numId w:val="0"/>
        </w:numPr>
      </w:pPr>
    </w:p>
    <w:p w:rsidR="00676462" w:rsidRPr="00DF53E7" w:rsidRDefault="007323C0" w:rsidP="007323C0">
      <w:pPr>
        <w:numPr>
          <w:ilvl w:val="12"/>
          <w:numId w:val="0"/>
        </w:numPr>
      </w:pPr>
      <w:r w:rsidRPr="00DF53E7">
        <w:tab/>
        <w:t xml:space="preserve">The total burden hours per </w:t>
      </w:r>
      <w:r w:rsidR="00901943">
        <w:t>respon</w:t>
      </w:r>
      <w:r w:rsidR="00541B3B">
        <w:t xml:space="preserve">se </w:t>
      </w:r>
      <w:r w:rsidRPr="00DF53E7">
        <w:t xml:space="preserve">has not changed for this ICR renewal. However, because of the increase in CBI substantiations, the </w:t>
      </w:r>
      <w:r w:rsidR="00F4102B" w:rsidRPr="00DF53E7">
        <w:t xml:space="preserve">total </w:t>
      </w:r>
      <w:r w:rsidRPr="00DF53E7">
        <w:t xml:space="preserve">annual burden estimate </w:t>
      </w:r>
      <w:r w:rsidR="00DF53E7" w:rsidRPr="00DF53E7">
        <w:t xml:space="preserve">for registrants </w:t>
      </w:r>
      <w:r w:rsidRPr="00DF53E7">
        <w:lastRenderedPageBreak/>
        <w:t>has i</w:t>
      </w:r>
      <w:r w:rsidR="00676462" w:rsidRPr="00DF53E7">
        <w:t xml:space="preserve">ncreased </w:t>
      </w:r>
      <w:r w:rsidR="00F72E44">
        <w:t xml:space="preserve">by 43 hours </w:t>
      </w:r>
      <w:r w:rsidR="00676462" w:rsidRPr="00DF53E7">
        <w:t>from 3</w:t>
      </w:r>
      <w:r w:rsidR="00A3175B" w:rsidRPr="00DF53E7">
        <w:t>89</w:t>
      </w:r>
      <w:r w:rsidR="00676462" w:rsidRPr="00DF53E7">
        <w:t xml:space="preserve"> to </w:t>
      </w:r>
      <w:r w:rsidR="00A3175B" w:rsidRPr="00DF53E7">
        <w:t>432</w:t>
      </w:r>
      <w:r w:rsidR="00676462" w:rsidRPr="00DF53E7">
        <w:t xml:space="preserve"> h</w:t>
      </w:r>
      <w:r w:rsidR="00F4102B" w:rsidRPr="00DF53E7">
        <w:t>ours</w:t>
      </w:r>
      <w:r w:rsidR="00F72E44">
        <w:t>, with a resultant increase in the</w:t>
      </w:r>
      <w:r w:rsidR="00F4102B" w:rsidRPr="00DF53E7">
        <w:t xml:space="preserve"> annual costs </w:t>
      </w:r>
      <w:r w:rsidR="00DF53E7" w:rsidRPr="00DF53E7">
        <w:t xml:space="preserve">for registrants </w:t>
      </w:r>
      <w:r w:rsidR="00676462" w:rsidRPr="00DF53E7">
        <w:t>from $</w:t>
      </w:r>
      <w:r w:rsidR="00A3175B" w:rsidRPr="00DF53E7">
        <w:t xml:space="preserve">26,875 </w:t>
      </w:r>
      <w:r w:rsidR="00676462" w:rsidRPr="00DF53E7">
        <w:t>to $</w:t>
      </w:r>
      <w:r w:rsidR="00A3175B" w:rsidRPr="00DF53E7">
        <w:t>31,371</w:t>
      </w:r>
      <w:r w:rsidR="00676462" w:rsidRPr="00DF53E7">
        <w:t xml:space="preserve">. </w:t>
      </w:r>
    </w:p>
    <w:p w:rsidR="007323C0" w:rsidRPr="00DF53E7" w:rsidRDefault="007323C0" w:rsidP="00343EF0">
      <w:pPr>
        <w:pStyle w:val="PlainText"/>
        <w:rPr>
          <w:rFonts w:ascii="Times New Roman" w:hAnsi="Times New Roman" w:cs="Times New Roman"/>
          <w:sz w:val="24"/>
          <w:szCs w:val="24"/>
        </w:rPr>
      </w:pPr>
    </w:p>
    <w:p w:rsidR="006103A9" w:rsidRPr="005A3906" w:rsidRDefault="006103A9" w:rsidP="0033113C">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6(f</w:t>
      </w:r>
      <w:proofErr w:type="gramStart"/>
      <w:r w:rsidRPr="00DF53E7">
        <w:rPr>
          <w:rFonts w:ascii="Times New Roman" w:hAnsi="Times New Roman" w:cs="Times New Roman"/>
          <w:b/>
          <w:sz w:val="24"/>
          <w:szCs w:val="24"/>
        </w:rPr>
        <w:t xml:space="preserve">) </w:t>
      </w:r>
      <w:r w:rsidR="006E17AA" w:rsidRPr="00DF53E7">
        <w:rPr>
          <w:rFonts w:ascii="Times New Roman" w:hAnsi="Times New Roman" w:cs="Times New Roman"/>
          <w:b/>
          <w:sz w:val="24"/>
          <w:szCs w:val="24"/>
        </w:rPr>
        <w:t xml:space="preserve"> </w:t>
      </w:r>
      <w:r w:rsidRPr="00DF53E7">
        <w:rPr>
          <w:rFonts w:ascii="Times New Roman" w:hAnsi="Times New Roman" w:cs="Times New Roman"/>
          <w:b/>
          <w:sz w:val="24"/>
          <w:szCs w:val="24"/>
        </w:rPr>
        <w:t>Burden</w:t>
      </w:r>
      <w:proofErr w:type="gramEnd"/>
      <w:r w:rsidRPr="00DF53E7">
        <w:rPr>
          <w:rFonts w:ascii="Times New Roman" w:hAnsi="Times New Roman" w:cs="Times New Roman"/>
          <w:b/>
          <w:sz w:val="24"/>
          <w:szCs w:val="24"/>
        </w:rPr>
        <w:t xml:space="preserve"> Statement</w:t>
      </w:r>
      <w:r w:rsidRPr="005A3906">
        <w:rPr>
          <w:rFonts w:ascii="Times New Roman" w:hAnsi="Times New Roman" w:cs="Times New Roman"/>
          <w:b/>
          <w:sz w:val="24"/>
          <w:szCs w:val="24"/>
        </w:rPr>
        <w:t xml:space="preserve"> </w:t>
      </w:r>
    </w:p>
    <w:p w:rsidR="006103A9" w:rsidRPr="005A3906" w:rsidRDefault="006103A9" w:rsidP="00343EF0">
      <w:pPr>
        <w:pStyle w:val="PlainText"/>
        <w:rPr>
          <w:rFonts w:ascii="Times New Roman" w:hAnsi="Times New Roman" w:cs="Times New Roman"/>
          <w:sz w:val="24"/>
          <w:szCs w:val="24"/>
        </w:rPr>
      </w:pPr>
    </w:p>
    <w:p w:rsidR="004E5A84" w:rsidRDefault="006103A9" w:rsidP="000775F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total annual </w:t>
      </w:r>
      <w:r w:rsidR="00901943">
        <w:rPr>
          <w:rFonts w:ascii="Times New Roman" w:hAnsi="Times New Roman" w:cs="Times New Roman"/>
          <w:sz w:val="24"/>
          <w:szCs w:val="24"/>
        </w:rPr>
        <w:t>“</w:t>
      </w:r>
      <w:r w:rsidRPr="005A3906">
        <w:rPr>
          <w:rFonts w:ascii="Times New Roman" w:hAnsi="Times New Roman" w:cs="Times New Roman"/>
          <w:sz w:val="24"/>
          <w:szCs w:val="24"/>
        </w:rPr>
        <w:t>respondent</w:t>
      </w:r>
      <w:r w:rsidR="00901943">
        <w:rPr>
          <w:rFonts w:ascii="Times New Roman" w:hAnsi="Times New Roman" w:cs="Times New Roman"/>
          <w:sz w:val="24"/>
          <w:szCs w:val="24"/>
        </w:rPr>
        <w:t>” (applicant)</w:t>
      </w:r>
      <w:r w:rsidRPr="005A3906">
        <w:rPr>
          <w:rFonts w:ascii="Times New Roman" w:hAnsi="Times New Roman" w:cs="Times New Roman"/>
          <w:sz w:val="24"/>
          <w:szCs w:val="24"/>
        </w:rPr>
        <w:t xml:space="preserve"> burden for the collection of information in this </w:t>
      </w:r>
      <w:r w:rsidR="00901943">
        <w:rPr>
          <w:rFonts w:ascii="Times New Roman" w:hAnsi="Times New Roman" w:cs="Times New Roman"/>
          <w:sz w:val="24"/>
          <w:szCs w:val="24"/>
        </w:rPr>
        <w:t xml:space="preserve">renewal </w:t>
      </w:r>
      <w:r w:rsidRPr="005A3906">
        <w:rPr>
          <w:rFonts w:ascii="Times New Roman" w:hAnsi="Times New Roman" w:cs="Times New Roman"/>
          <w:sz w:val="24"/>
          <w:szCs w:val="24"/>
        </w:rPr>
        <w:t xml:space="preserve">is estimated to be </w:t>
      </w:r>
      <w:r w:rsidR="00851445">
        <w:rPr>
          <w:rFonts w:ascii="Times New Roman" w:hAnsi="Times New Roman" w:cs="Times New Roman"/>
          <w:sz w:val="24"/>
          <w:szCs w:val="24"/>
        </w:rPr>
        <w:t>432</w:t>
      </w:r>
      <w:r w:rsidR="00E8378E" w:rsidRPr="005A3906">
        <w:rPr>
          <w:rFonts w:ascii="Times New Roman" w:hAnsi="Times New Roman" w:cs="Times New Roman"/>
          <w:sz w:val="24"/>
          <w:szCs w:val="24"/>
        </w:rPr>
        <w:t xml:space="preserve"> </w:t>
      </w:r>
      <w:r w:rsidRPr="005A3906">
        <w:rPr>
          <w:rFonts w:ascii="Times New Roman" w:hAnsi="Times New Roman" w:cs="Times New Roman"/>
          <w:sz w:val="24"/>
          <w:szCs w:val="24"/>
        </w:rPr>
        <w:t xml:space="preserve">hours. The annual respondent burden for the collection of information associated with the substantiation at the time of submission for CBI claims related to a </w:t>
      </w:r>
      <w:r w:rsidR="00090520">
        <w:rPr>
          <w:rFonts w:ascii="Times New Roman" w:hAnsi="Times New Roman" w:cs="Times New Roman"/>
          <w:sz w:val="24"/>
          <w:szCs w:val="24"/>
        </w:rPr>
        <w:t>PIP</w:t>
      </w:r>
      <w:r w:rsidRPr="005A3906">
        <w:rPr>
          <w:rFonts w:ascii="Times New Roman" w:hAnsi="Times New Roman" w:cs="Times New Roman"/>
          <w:sz w:val="24"/>
          <w:szCs w:val="24"/>
        </w:rPr>
        <w:t xml:space="preserve"> registration application is estimated to average 21.5 hours per submission, and the annual respondent burden for the collection of information associated with the reporting of adverse effects for exempted </w:t>
      </w:r>
      <w:r w:rsidR="00090520">
        <w:rPr>
          <w:rFonts w:ascii="Times New Roman" w:hAnsi="Times New Roman" w:cs="Times New Roman"/>
          <w:sz w:val="24"/>
          <w:szCs w:val="24"/>
        </w:rPr>
        <w:t>PIP</w:t>
      </w:r>
      <w:r w:rsidR="0033113C" w:rsidRPr="005A3906">
        <w:rPr>
          <w:rFonts w:ascii="Times New Roman" w:hAnsi="Times New Roman" w:cs="Times New Roman"/>
          <w:sz w:val="24"/>
          <w:szCs w:val="24"/>
        </w:rPr>
        <w:t xml:space="preserve">s is </w:t>
      </w:r>
      <w:r w:rsidRPr="005A3906">
        <w:rPr>
          <w:rFonts w:ascii="Times New Roman" w:hAnsi="Times New Roman" w:cs="Times New Roman"/>
          <w:sz w:val="24"/>
          <w:szCs w:val="24"/>
        </w:rPr>
        <w:t xml:space="preserve">estimated to average 7 hours per submission. </w:t>
      </w:r>
    </w:p>
    <w:p w:rsidR="004E5A84" w:rsidRPr="005A3906" w:rsidRDefault="004E5A84" w:rsidP="000775F1">
      <w:pPr>
        <w:pStyle w:val="PlainText"/>
        <w:ind w:firstLine="720"/>
        <w:rPr>
          <w:rFonts w:ascii="Times New Roman" w:hAnsi="Times New Roman" w:cs="Times New Roman"/>
          <w:sz w:val="24"/>
          <w:szCs w:val="24"/>
        </w:rPr>
      </w:pPr>
    </w:p>
    <w:p w:rsidR="00901943" w:rsidRPr="005A3906" w:rsidRDefault="00901943" w:rsidP="00901943">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“Burden” is </w:t>
      </w:r>
      <w:r w:rsidRPr="005A3906">
        <w:rPr>
          <w:rFonts w:ascii="Times New Roman" w:hAnsi="Times New Roman" w:cs="Times New Roman"/>
          <w:sz w:val="24"/>
          <w:szCs w:val="24"/>
        </w:rPr>
        <w:t>defined</w:t>
      </w:r>
      <w:r>
        <w:rPr>
          <w:rFonts w:ascii="Times New Roman" w:hAnsi="Times New Roman" w:cs="Times New Roman"/>
          <w:sz w:val="24"/>
          <w:szCs w:val="24"/>
        </w:rPr>
        <w:t xml:space="preserve"> in</w:t>
      </w:r>
      <w:r w:rsidRPr="005A3906">
        <w:rPr>
          <w:rFonts w:ascii="Times New Roman" w:hAnsi="Times New Roman" w:cs="Times New Roman"/>
          <w:sz w:val="24"/>
          <w:szCs w:val="24"/>
        </w:rPr>
        <w:t xml:space="preserve"> 5 CFR 1320.3(b</w:t>
      </w:r>
      <w:r>
        <w:rPr>
          <w:rFonts w:ascii="Times New Roman" w:hAnsi="Times New Roman" w:cs="Times New Roman"/>
          <w:sz w:val="24"/>
          <w:szCs w:val="24"/>
        </w:rPr>
        <w:t>). The</w:t>
      </w:r>
      <w:r w:rsidRPr="005A3906">
        <w:rPr>
          <w:rFonts w:ascii="Times New Roman" w:hAnsi="Times New Roman" w:cs="Times New Roman"/>
          <w:sz w:val="24"/>
          <w:szCs w:val="24"/>
        </w:rPr>
        <w:t xml:space="preserve"> Agency may not conduct or sponsor, and a person is not required to respond to, a collection of information </w:t>
      </w:r>
      <w:r>
        <w:rPr>
          <w:rFonts w:ascii="Times New Roman" w:hAnsi="Times New Roman" w:cs="Times New Roman"/>
          <w:sz w:val="24"/>
          <w:szCs w:val="24"/>
        </w:rPr>
        <w:t xml:space="preserve">subject to the PRA </w:t>
      </w:r>
      <w:r w:rsidRPr="005A3906">
        <w:rPr>
          <w:rFonts w:ascii="Times New Roman" w:hAnsi="Times New Roman" w:cs="Times New Roman"/>
          <w:sz w:val="24"/>
          <w:szCs w:val="24"/>
        </w:rPr>
        <w:t xml:space="preserve">unless it displays a currently valid OMB control number. OMB control numbers for </w:t>
      </w:r>
      <w:r>
        <w:rPr>
          <w:rFonts w:ascii="Times New Roman" w:hAnsi="Times New Roman" w:cs="Times New Roman"/>
          <w:sz w:val="24"/>
          <w:szCs w:val="24"/>
        </w:rPr>
        <w:t xml:space="preserve">certain regulations in Title 40, after initial display in the Federal Register, </w:t>
      </w:r>
      <w:r w:rsidRPr="005A3906">
        <w:rPr>
          <w:rFonts w:ascii="Times New Roman" w:hAnsi="Times New Roman" w:cs="Times New Roman"/>
          <w:sz w:val="24"/>
          <w:szCs w:val="24"/>
        </w:rPr>
        <w:t>are listed in 40 CFR part 9</w:t>
      </w:r>
      <w:r>
        <w:rPr>
          <w:rFonts w:ascii="Times New Roman" w:hAnsi="Times New Roman" w:cs="Times New Roman"/>
          <w:sz w:val="24"/>
          <w:szCs w:val="24"/>
        </w:rPr>
        <w:t xml:space="preserve"> a</w:t>
      </w:r>
      <w:r w:rsidRPr="005A3906">
        <w:rPr>
          <w:rFonts w:ascii="Times New Roman" w:hAnsi="Times New Roman" w:cs="Times New Roman"/>
          <w:sz w:val="24"/>
          <w:szCs w:val="24"/>
        </w:rPr>
        <w:t xml:space="preserve">nd </w:t>
      </w:r>
      <w:r>
        <w:rPr>
          <w:rFonts w:ascii="Times New Roman" w:hAnsi="Times New Roman" w:cs="Times New Roman"/>
          <w:sz w:val="24"/>
          <w:szCs w:val="24"/>
        </w:rPr>
        <w:t xml:space="preserve">may appear on the information </w:t>
      </w:r>
      <w:r w:rsidRPr="005A3906">
        <w:rPr>
          <w:rFonts w:ascii="Times New Roman" w:hAnsi="Times New Roman" w:cs="Times New Roman"/>
          <w:sz w:val="24"/>
          <w:szCs w:val="24"/>
        </w:rPr>
        <w:t xml:space="preserve">collection instrument </w:t>
      </w:r>
      <w:r>
        <w:rPr>
          <w:rFonts w:ascii="Times New Roman" w:hAnsi="Times New Roman" w:cs="Times New Roman"/>
          <w:sz w:val="24"/>
          <w:szCs w:val="24"/>
        </w:rPr>
        <w:t>as applicable, i.e., form or instructions, and in the Federal Register</w:t>
      </w:r>
      <w:r w:rsidRPr="005A3906">
        <w:rPr>
          <w:rFonts w:ascii="Times New Roman" w:hAnsi="Times New Roman" w:cs="Times New Roman"/>
          <w:sz w:val="24"/>
          <w:szCs w:val="24"/>
        </w:rPr>
        <w:t xml:space="preserve">. </w:t>
      </w:r>
    </w:p>
    <w:p w:rsidR="00305DF2" w:rsidRPr="005A3906" w:rsidRDefault="00305DF2" w:rsidP="00343EF0">
      <w:pPr>
        <w:pStyle w:val="PlainText"/>
        <w:rPr>
          <w:rFonts w:ascii="Times New Roman" w:hAnsi="Times New Roman" w:cs="Times New Roman"/>
          <w:sz w:val="24"/>
          <w:szCs w:val="24"/>
        </w:rPr>
      </w:pPr>
    </w:p>
    <w:p w:rsidR="00A80F29" w:rsidRPr="005A3906" w:rsidRDefault="004E5A84" w:rsidP="00A80F29">
      <w:pPr>
        <w:pStyle w:val="PlainText"/>
        <w:ind w:firstLine="720"/>
        <w:rPr>
          <w:rFonts w:ascii="Times New Roman" w:hAnsi="Times New Roman" w:cs="Times New Roman"/>
          <w:sz w:val="24"/>
          <w:szCs w:val="24"/>
        </w:rPr>
      </w:pPr>
      <w:r>
        <w:rPr>
          <w:rFonts w:ascii="Times New Roman" w:hAnsi="Times New Roman" w:cs="Times New Roman"/>
          <w:sz w:val="24"/>
          <w:szCs w:val="24"/>
        </w:rPr>
        <w:t>The Agency</w:t>
      </w:r>
      <w:r w:rsidR="00A80F29" w:rsidRPr="005A3906">
        <w:rPr>
          <w:rFonts w:ascii="Times New Roman" w:hAnsi="Times New Roman" w:cs="Times New Roman"/>
          <w:sz w:val="24"/>
          <w:szCs w:val="24"/>
        </w:rPr>
        <w:t xml:space="preserve"> has established a public docket for this ICR under Docket ID No. EPA-HQ-OPP-</w:t>
      </w:r>
      <w:r w:rsidR="001A041B">
        <w:rPr>
          <w:rFonts w:ascii="Times New Roman" w:hAnsi="Times New Roman" w:cs="Times New Roman"/>
          <w:sz w:val="24"/>
          <w:szCs w:val="24"/>
        </w:rPr>
        <w:t>20</w:t>
      </w:r>
      <w:r w:rsidR="00541B3B">
        <w:rPr>
          <w:rFonts w:ascii="Times New Roman" w:hAnsi="Times New Roman" w:cs="Times New Roman"/>
          <w:sz w:val="24"/>
          <w:szCs w:val="24"/>
        </w:rPr>
        <w:t>13</w:t>
      </w:r>
      <w:r w:rsidR="001A041B">
        <w:rPr>
          <w:rFonts w:ascii="Times New Roman" w:hAnsi="Times New Roman" w:cs="Times New Roman"/>
          <w:sz w:val="24"/>
          <w:szCs w:val="24"/>
        </w:rPr>
        <w:t>-</w:t>
      </w:r>
      <w:r w:rsidR="00541B3B">
        <w:rPr>
          <w:rFonts w:ascii="Times New Roman" w:hAnsi="Times New Roman" w:cs="Times New Roman"/>
          <w:sz w:val="24"/>
          <w:szCs w:val="24"/>
        </w:rPr>
        <w:t>0494</w:t>
      </w:r>
      <w:r w:rsidR="00404156">
        <w:rPr>
          <w:rFonts w:ascii="Times New Roman" w:hAnsi="Times New Roman" w:cs="Times New Roman"/>
          <w:sz w:val="24"/>
          <w:szCs w:val="24"/>
        </w:rPr>
        <w:t xml:space="preserve">, </w:t>
      </w:r>
      <w:r w:rsidR="00A32471" w:rsidRPr="00F27E69">
        <w:rPr>
          <w:rFonts w:ascii="Times New Roman" w:hAnsi="Times New Roman"/>
          <w:sz w:val="24"/>
          <w:szCs w:val="24"/>
        </w:rPr>
        <w:t xml:space="preserve">which is available for online viewing at </w:t>
      </w:r>
      <w:hyperlink r:id="rId12" w:history="1">
        <w:r w:rsidR="00DD171F" w:rsidRPr="00472336">
          <w:rPr>
            <w:rStyle w:val="Hyperlink"/>
            <w:rFonts w:ascii="Times New Roman" w:hAnsi="Times New Roman"/>
            <w:sz w:val="24"/>
            <w:szCs w:val="24"/>
          </w:rPr>
          <w:t>http://www.regulations.gov</w:t>
        </w:r>
      </w:hyperlink>
      <w:r w:rsidR="00A32471" w:rsidRPr="00F27E69">
        <w:rPr>
          <w:rFonts w:ascii="Times New Roman" w:hAnsi="Times New Roman"/>
          <w:sz w:val="24"/>
          <w:szCs w:val="24"/>
        </w:rPr>
        <w:t xml:space="preserve">, or in person viewing at the EPA Docket Center-Public Reading Room, </w:t>
      </w:r>
      <w:r w:rsidR="00EB3E18">
        <w:rPr>
          <w:rFonts w:ascii="Times New Roman" w:hAnsi="Times New Roman"/>
          <w:sz w:val="24"/>
          <w:szCs w:val="24"/>
        </w:rPr>
        <w:t xml:space="preserve">William Jefferson Clinton (WJC) West </w:t>
      </w:r>
      <w:r w:rsidR="00A32471" w:rsidRPr="00F27E69">
        <w:rPr>
          <w:rFonts w:ascii="Times New Roman" w:hAnsi="Times New Roman"/>
          <w:sz w:val="24"/>
          <w:szCs w:val="24"/>
        </w:rPr>
        <w:t xml:space="preserve">Building, in Rm. </w:t>
      </w:r>
      <w:bookmarkStart w:id="8" w:name="_GoBack"/>
      <w:bookmarkEnd w:id="8"/>
      <w:r w:rsidR="00A32471" w:rsidRPr="00F27E69">
        <w:rPr>
          <w:rFonts w:ascii="Times New Roman" w:hAnsi="Times New Roman"/>
          <w:sz w:val="24"/>
          <w:szCs w:val="24"/>
        </w:rPr>
        <w:t xml:space="preserve">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  </w:t>
      </w:r>
    </w:p>
    <w:p w:rsidR="00A80F29" w:rsidRPr="005A3906" w:rsidRDefault="00A80F29" w:rsidP="00A80F29">
      <w:pPr>
        <w:pStyle w:val="PlainText"/>
        <w:ind w:firstLine="720"/>
        <w:rPr>
          <w:rFonts w:ascii="Times New Roman" w:hAnsi="Times New Roman" w:cs="Times New Roman"/>
          <w:sz w:val="24"/>
          <w:szCs w:val="24"/>
        </w:rPr>
      </w:pPr>
    </w:p>
    <w:p w:rsidR="00A32471" w:rsidRDefault="00A32471" w:rsidP="00A80F29">
      <w:pPr>
        <w:pStyle w:val="PlainText"/>
        <w:ind w:firstLine="720"/>
        <w:rPr>
          <w:rFonts w:ascii="Times New Roman" w:hAnsi="Times New Roman" w:cs="Times New Roman"/>
          <w:sz w:val="24"/>
          <w:szCs w:val="24"/>
        </w:rPr>
      </w:pPr>
      <w:r w:rsidRPr="00F27E69">
        <w:rPr>
          <w:rFonts w:ascii="Times New Roman" w:hAnsi="Times New Roman"/>
          <w:sz w:val="24"/>
          <w:szCs w:val="24"/>
        </w:rPr>
        <w:t xml:space="preserve">Comments may be submitted to EPA electronically through </w:t>
      </w:r>
      <w:hyperlink r:id="rId13" w:history="1">
        <w:r w:rsidR="00DD171F" w:rsidRPr="00472336">
          <w:rPr>
            <w:rStyle w:val="Hyperlink"/>
            <w:rFonts w:ascii="Times New Roman" w:hAnsi="Times New Roman"/>
            <w:sz w:val="24"/>
            <w:szCs w:val="24"/>
          </w:rPr>
          <w:t>http://www.regulations.gov</w:t>
        </w:r>
      </w:hyperlink>
      <w:r w:rsidR="00DD171F">
        <w:rPr>
          <w:rFonts w:ascii="Times New Roman" w:hAnsi="Times New Roman"/>
          <w:sz w:val="24"/>
          <w:szCs w:val="24"/>
          <w:u w:val="single"/>
        </w:rPr>
        <w:t xml:space="preserve"> </w:t>
      </w:r>
      <w:r w:rsidRPr="00F27E69">
        <w:rPr>
          <w:rFonts w:ascii="Times New Roman" w:hAnsi="Times New Roman"/>
          <w:sz w:val="24"/>
          <w:szCs w:val="24"/>
        </w:rPr>
        <w:t xml:space="preserve">or by mail addressed to Director, Collection Strategies Division, U.S. Environmental Protection Agency (2822T), </w:t>
      </w:r>
      <w:proofErr w:type="gramStart"/>
      <w:r w:rsidRPr="00F27E69">
        <w:rPr>
          <w:rFonts w:ascii="Times New Roman" w:hAnsi="Times New Roman"/>
          <w:sz w:val="24"/>
          <w:szCs w:val="24"/>
        </w:rPr>
        <w:t>1200</w:t>
      </w:r>
      <w:proofErr w:type="gramEnd"/>
      <w:r w:rsidRPr="00F27E69">
        <w:rPr>
          <w:rFonts w:ascii="Times New Roman" w:hAnsi="Times New Roman"/>
          <w:sz w:val="24"/>
          <w:szCs w:val="24"/>
        </w:rPr>
        <w:t xml:space="preserve"> Pennsylvania Ave., NW, Washington, D.C. 20460.  Include Docket ID No. EPA-HQ-OPP-20</w:t>
      </w:r>
      <w:r>
        <w:rPr>
          <w:rFonts w:ascii="Times New Roman" w:hAnsi="Times New Roman"/>
          <w:sz w:val="24"/>
          <w:szCs w:val="24"/>
        </w:rPr>
        <w:t>13</w:t>
      </w:r>
      <w:r w:rsidRPr="00F27E69">
        <w:rPr>
          <w:rFonts w:ascii="Times New Roman" w:hAnsi="Times New Roman"/>
          <w:sz w:val="24"/>
          <w:szCs w:val="24"/>
        </w:rPr>
        <w:t>-0</w:t>
      </w:r>
      <w:r>
        <w:rPr>
          <w:rFonts w:ascii="Times New Roman" w:hAnsi="Times New Roman"/>
          <w:sz w:val="24"/>
          <w:szCs w:val="24"/>
        </w:rPr>
        <w:t>494</w:t>
      </w:r>
      <w:r w:rsidRPr="00F27E69">
        <w:rPr>
          <w:rFonts w:ascii="Times New Roman" w:hAnsi="Times New Roman"/>
          <w:sz w:val="24"/>
          <w:szCs w:val="24"/>
        </w:rPr>
        <w:t xml:space="preserve"> and</w:t>
      </w:r>
      <w:r>
        <w:rPr>
          <w:rFonts w:ascii="Times New Roman" w:hAnsi="Times New Roman"/>
          <w:sz w:val="24"/>
          <w:szCs w:val="24"/>
        </w:rPr>
        <w:t xml:space="preserve"> OMB control number 2070-0142</w:t>
      </w:r>
      <w:r w:rsidRPr="00F27E69">
        <w:rPr>
          <w:rFonts w:ascii="Times New Roman" w:hAnsi="Times New Roman"/>
          <w:sz w:val="24"/>
          <w:szCs w:val="24"/>
        </w:rPr>
        <w:t xml:space="preserve"> in any correspondence</w:t>
      </w:r>
      <w:r>
        <w:rPr>
          <w:rFonts w:ascii="Times New Roman" w:hAnsi="Times New Roman"/>
          <w:sz w:val="24"/>
          <w:szCs w:val="24"/>
        </w:rPr>
        <w:t>.</w:t>
      </w:r>
    </w:p>
    <w:p w:rsidR="00A32471" w:rsidRDefault="00A32471" w:rsidP="0033113C">
      <w:pPr>
        <w:pStyle w:val="PlainText"/>
        <w:jc w:val="center"/>
        <w:rPr>
          <w:rFonts w:ascii="Times New Roman" w:hAnsi="Times New Roman" w:cs="Times New Roman"/>
          <w:b/>
          <w:sz w:val="24"/>
          <w:szCs w:val="24"/>
        </w:rPr>
      </w:pPr>
    </w:p>
    <w:p w:rsidR="00DD171F" w:rsidRDefault="00DD171F" w:rsidP="0033113C">
      <w:pPr>
        <w:pStyle w:val="PlainText"/>
        <w:jc w:val="center"/>
        <w:rPr>
          <w:rFonts w:ascii="Times New Roman" w:hAnsi="Times New Roman" w:cs="Times New Roman"/>
          <w:b/>
          <w:sz w:val="24"/>
          <w:szCs w:val="24"/>
        </w:rPr>
      </w:pPr>
    </w:p>
    <w:p w:rsidR="006103A9" w:rsidRPr="005A3906" w:rsidRDefault="00DD171F" w:rsidP="00DD171F">
      <w:pPr>
        <w:pStyle w:val="PlainText"/>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006103A9" w:rsidRPr="005A3906">
        <w:rPr>
          <w:rFonts w:ascii="Times New Roman" w:hAnsi="Times New Roman" w:cs="Times New Roman"/>
          <w:b/>
          <w:sz w:val="24"/>
          <w:szCs w:val="24"/>
        </w:rPr>
        <w:t>ATTACHMENTS TO THE SUPPORTING STATEMENT</w:t>
      </w:r>
    </w:p>
    <w:p w:rsidR="004E5A84" w:rsidRDefault="004E5A84" w:rsidP="00343EF0">
      <w:pPr>
        <w:pStyle w:val="PlainText"/>
        <w:rPr>
          <w:rFonts w:ascii="Times New Roman" w:hAnsi="Times New Roman" w:cs="Times New Roman"/>
          <w:sz w:val="24"/>
          <w:szCs w:val="24"/>
        </w:rPr>
      </w:pPr>
    </w:p>
    <w:p w:rsidR="006103A9" w:rsidRPr="004E5A84" w:rsidRDefault="004E5A84" w:rsidP="00343EF0">
      <w:pPr>
        <w:pStyle w:val="PlainText"/>
        <w:rPr>
          <w:rFonts w:ascii="Times New Roman" w:hAnsi="Times New Roman" w:cs="Times New Roman"/>
          <w:sz w:val="24"/>
          <w:szCs w:val="24"/>
        </w:rPr>
      </w:pPr>
      <w:r w:rsidRPr="004E5A84">
        <w:rPr>
          <w:rFonts w:ascii="Times New Roman" w:hAnsi="Times New Roman" w:cs="Times New Roman"/>
          <w:sz w:val="24"/>
          <w:szCs w:val="24"/>
        </w:rPr>
        <w:t xml:space="preserve">Attachments to the supporting statement are available in the public docket established for this ICR under docket identification number </w:t>
      </w:r>
      <w:r w:rsidRPr="005A3906">
        <w:rPr>
          <w:rFonts w:ascii="Times New Roman" w:hAnsi="Times New Roman" w:cs="Times New Roman"/>
          <w:sz w:val="24"/>
          <w:szCs w:val="24"/>
        </w:rPr>
        <w:t>EPA-HQ-OPP-</w:t>
      </w:r>
      <w:r w:rsidR="001A041B">
        <w:rPr>
          <w:rFonts w:ascii="Times New Roman" w:hAnsi="Times New Roman" w:cs="Times New Roman"/>
          <w:sz w:val="24"/>
          <w:szCs w:val="24"/>
        </w:rPr>
        <w:t>201</w:t>
      </w:r>
      <w:r w:rsidR="0096174A">
        <w:rPr>
          <w:rFonts w:ascii="Times New Roman" w:hAnsi="Times New Roman" w:cs="Times New Roman"/>
          <w:sz w:val="24"/>
          <w:szCs w:val="24"/>
        </w:rPr>
        <w:t>3</w:t>
      </w:r>
      <w:r w:rsidR="001A041B">
        <w:rPr>
          <w:rFonts w:ascii="Times New Roman" w:hAnsi="Times New Roman" w:cs="Times New Roman"/>
          <w:sz w:val="24"/>
          <w:szCs w:val="24"/>
        </w:rPr>
        <w:t>-0</w:t>
      </w:r>
      <w:r w:rsidR="0096174A">
        <w:rPr>
          <w:rFonts w:ascii="Times New Roman" w:hAnsi="Times New Roman" w:cs="Times New Roman"/>
          <w:sz w:val="24"/>
          <w:szCs w:val="24"/>
        </w:rPr>
        <w:t>494</w:t>
      </w:r>
      <w:r w:rsidRPr="004E5A84">
        <w:rPr>
          <w:rFonts w:ascii="Times New Roman" w:hAnsi="Times New Roman" w:cs="Times New Roman"/>
          <w:sz w:val="24"/>
          <w:szCs w:val="24"/>
        </w:rPr>
        <w:t xml:space="preserve">.  These attachments are available for online viewing at </w:t>
      </w:r>
      <w:hyperlink r:id="rId14" w:history="1">
        <w:r w:rsidR="00DD171F" w:rsidRPr="00472336">
          <w:rPr>
            <w:rStyle w:val="Hyperlink"/>
            <w:rFonts w:ascii="Times New Roman" w:hAnsi="Times New Roman" w:cs="Times New Roman"/>
            <w:sz w:val="24"/>
            <w:szCs w:val="24"/>
          </w:rPr>
          <w:t>http://www.regulations.gov</w:t>
        </w:r>
      </w:hyperlink>
      <w:r w:rsidR="00DD171F">
        <w:rPr>
          <w:rFonts w:ascii="Times New Roman" w:hAnsi="Times New Roman" w:cs="Times New Roman"/>
          <w:sz w:val="24"/>
          <w:szCs w:val="24"/>
        </w:rPr>
        <w:t xml:space="preserve"> </w:t>
      </w:r>
      <w:r w:rsidRPr="004E5A84">
        <w:rPr>
          <w:rFonts w:ascii="Times New Roman" w:hAnsi="Times New Roman" w:cs="Times New Roman"/>
          <w:sz w:val="24"/>
          <w:szCs w:val="24"/>
        </w:rPr>
        <w:t>or otherwise accessed as described in section 6(f) of the supporting statement.</w:t>
      </w:r>
    </w:p>
    <w:p w:rsidR="006103A9" w:rsidRDefault="006103A9" w:rsidP="00343EF0">
      <w:pPr>
        <w:pStyle w:val="PlainText"/>
        <w:rPr>
          <w:rFonts w:ascii="Times New Roman" w:hAnsi="Times New Roman" w:cs="Times New Roman"/>
          <w:sz w:val="24"/>
          <w:szCs w:val="24"/>
        </w:rPr>
      </w:pPr>
    </w:p>
    <w:tbl>
      <w:tblPr>
        <w:tblW w:w="0" w:type="auto"/>
        <w:tblLook w:val="01E0" w:firstRow="1" w:lastRow="1" w:firstColumn="1" w:lastColumn="1" w:noHBand="0" w:noVBand="0"/>
      </w:tblPr>
      <w:tblGrid>
        <w:gridCol w:w="2088"/>
        <w:gridCol w:w="7488"/>
      </w:tblGrid>
      <w:tr w:rsidR="004E5A84" w:rsidRPr="001A2A05" w:rsidTr="009E01AD">
        <w:tc>
          <w:tcPr>
            <w:tcW w:w="2088" w:type="dxa"/>
          </w:tcPr>
          <w:p w:rsidR="004E5A84" w:rsidRPr="001A2A05" w:rsidRDefault="004E5A84" w:rsidP="00F160BA">
            <w:pPr>
              <w:rPr>
                <w:b/>
                <w:bCs/>
              </w:rPr>
            </w:pPr>
            <w:r w:rsidRPr="001A2A05">
              <w:rPr>
                <w:b/>
                <w:bCs/>
              </w:rPr>
              <w:t>Attachment A:</w:t>
            </w:r>
          </w:p>
        </w:tc>
        <w:tc>
          <w:tcPr>
            <w:tcW w:w="7488" w:type="dxa"/>
          </w:tcPr>
          <w:p w:rsidR="004E5A84" w:rsidRDefault="004E5A84" w:rsidP="006407BD">
            <w:r w:rsidRPr="001A2A05">
              <w:rPr>
                <w:b/>
              </w:rPr>
              <w:t xml:space="preserve">40 CFR part 174 </w:t>
            </w:r>
            <w:r w:rsidRPr="001A2A05">
              <w:rPr>
                <w:b/>
                <w:i/>
              </w:rPr>
              <w:t xml:space="preserve">- </w:t>
            </w:r>
            <w:r w:rsidRPr="001A2A05">
              <w:rPr>
                <w:b/>
              </w:rPr>
              <w:t>Procedures And Requirements For Plant- Incorporated Protectants</w:t>
            </w:r>
            <w:r>
              <w:t xml:space="preserve">. </w:t>
            </w:r>
            <w:r w:rsidR="00B00A01">
              <w:t>A</w:t>
            </w:r>
            <w:r w:rsidR="00EE158B">
              <w:t>lso a</w:t>
            </w:r>
            <w:r>
              <w:t xml:space="preserve">vailable online at </w:t>
            </w:r>
            <w:hyperlink r:id="rId15" w:history="1">
              <w:r w:rsidR="008C6E04" w:rsidRPr="008C6E04">
                <w:rPr>
                  <w:rStyle w:val="Hyperlink"/>
                </w:rPr>
                <w:t>http://www.gpo.gov/fdsys/pkg/CFR-2013-title40-vol25/pdf/CFR-2013-title40-vol25-part174.pdf</w:t>
              </w:r>
            </w:hyperlink>
          </w:p>
          <w:p w:rsidR="00B3704C" w:rsidRPr="001A2A05" w:rsidRDefault="00B3704C" w:rsidP="006407BD">
            <w:pPr>
              <w:rPr>
                <w:b/>
                <w:bCs/>
                <w:sz w:val="8"/>
                <w:szCs w:val="8"/>
              </w:rPr>
            </w:pPr>
          </w:p>
        </w:tc>
      </w:tr>
      <w:tr w:rsidR="004E5A84" w:rsidRPr="001A2A05" w:rsidTr="009E01AD">
        <w:tc>
          <w:tcPr>
            <w:tcW w:w="2088" w:type="dxa"/>
          </w:tcPr>
          <w:p w:rsidR="004E5A84" w:rsidRPr="001A2A05" w:rsidRDefault="004E5A84" w:rsidP="00F160BA">
            <w:pPr>
              <w:rPr>
                <w:b/>
                <w:bCs/>
              </w:rPr>
            </w:pPr>
            <w:r w:rsidRPr="001A2A05">
              <w:rPr>
                <w:b/>
                <w:bCs/>
              </w:rPr>
              <w:lastRenderedPageBreak/>
              <w:t>Attachment B</w:t>
            </w:r>
          </w:p>
        </w:tc>
        <w:tc>
          <w:tcPr>
            <w:tcW w:w="7488" w:type="dxa"/>
          </w:tcPr>
          <w:p w:rsidR="008C6E04" w:rsidRDefault="004E5A84" w:rsidP="006407BD">
            <w:r w:rsidRPr="001A2A05">
              <w:rPr>
                <w:b/>
              </w:rPr>
              <w:t xml:space="preserve">7 USC </w:t>
            </w:r>
            <w:proofErr w:type="gramStart"/>
            <w:r w:rsidRPr="001A2A05">
              <w:rPr>
                <w:b/>
              </w:rPr>
              <w:t>136w(</w:t>
            </w:r>
            <w:proofErr w:type="gramEnd"/>
            <w:r w:rsidRPr="001A2A05">
              <w:rPr>
                <w:b/>
              </w:rPr>
              <w:t>b) - FIFRA Section 25(b</w:t>
            </w:r>
            <w:r w:rsidRPr="005A3906">
              <w:t>)</w:t>
            </w:r>
            <w:r>
              <w:t>.</w:t>
            </w:r>
            <w:r w:rsidRPr="005A3906">
              <w:t xml:space="preserve"> </w:t>
            </w:r>
            <w:r w:rsidR="00B00A01">
              <w:t>A</w:t>
            </w:r>
            <w:r>
              <w:t xml:space="preserve">vailable online </w:t>
            </w:r>
            <w:r w:rsidR="008C6E04">
              <w:t>at</w:t>
            </w:r>
          </w:p>
          <w:p w:rsidR="004E5A84" w:rsidRDefault="00765D51" w:rsidP="006407BD">
            <w:hyperlink r:id="rId16" w:history="1">
              <w:r w:rsidR="00E62585" w:rsidRPr="00F13640">
                <w:rPr>
                  <w:rStyle w:val="Hyperlink"/>
                </w:rPr>
                <w:t>http://www.gpo.gov/fdsys/pkg/USCODE-2012-title7/pdf/USCODE-2012-title7-chap6-subchapII-sec136w.pdf</w:t>
              </w:r>
            </w:hyperlink>
          </w:p>
          <w:p w:rsidR="00B3704C" w:rsidRPr="001A2A05" w:rsidRDefault="00B3704C" w:rsidP="006407BD">
            <w:pPr>
              <w:rPr>
                <w:b/>
                <w:bCs/>
                <w:sz w:val="8"/>
                <w:szCs w:val="8"/>
              </w:rPr>
            </w:pPr>
          </w:p>
        </w:tc>
      </w:tr>
      <w:tr w:rsidR="004E5A84" w:rsidRPr="001A2A05" w:rsidTr="009E01AD">
        <w:tc>
          <w:tcPr>
            <w:tcW w:w="2088" w:type="dxa"/>
          </w:tcPr>
          <w:p w:rsidR="004E5A84" w:rsidRPr="001A2A05" w:rsidRDefault="004E5A84" w:rsidP="00F160BA">
            <w:pPr>
              <w:rPr>
                <w:b/>
                <w:bCs/>
              </w:rPr>
            </w:pPr>
            <w:r w:rsidRPr="001A2A05">
              <w:rPr>
                <w:b/>
                <w:bCs/>
              </w:rPr>
              <w:t>Attachment C</w:t>
            </w:r>
            <w:r>
              <w:t>:</w:t>
            </w:r>
          </w:p>
        </w:tc>
        <w:tc>
          <w:tcPr>
            <w:tcW w:w="7488" w:type="dxa"/>
          </w:tcPr>
          <w:p w:rsidR="00EE158B" w:rsidRDefault="004E5A84" w:rsidP="00E62585">
            <w:r w:rsidRPr="001A2A05">
              <w:rPr>
                <w:b/>
              </w:rPr>
              <w:t xml:space="preserve">7 USC </w:t>
            </w:r>
            <w:proofErr w:type="gramStart"/>
            <w:r w:rsidRPr="001A2A05">
              <w:rPr>
                <w:b/>
              </w:rPr>
              <w:t>346a(</w:t>
            </w:r>
            <w:proofErr w:type="gramEnd"/>
            <w:r w:rsidRPr="001A2A05">
              <w:rPr>
                <w:b/>
              </w:rPr>
              <w:t>a) - FFDCA Section 408(a)</w:t>
            </w:r>
            <w:r w:rsidRPr="004E5A84">
              <w:t>.</w:t>
            </w:r>
            <w:r w:rsidRPr="005A3906">
              <w:t xml:space="preserve"> </w:t>
            </w:r>
            <w:r>
              <w:t xml:space="preserve"> </w:t>
            </w:r>
            <w:r w:rsidR="00B00A01">
              <w:t>A</w:t>
            </w:r>
            <w:r w:rsidR="00EE158B">
              <w:t>lso a</w:t>
            </w:r>
            <w:r>
              <w:t>vailable</w:t>
            </w:r>
            <w:r w:rsidRPr="005A3906">
              <w:t xml:space="preserve"> </w:t>
            </w:r>
            <w:r>
              <w:t>online at</w:t>
            </w:r>
          </w:p>
          <w:p w:rsidR="004E5A84" w:rsidRDefault="00765D51" w:rsidP="00E62585">
            <w:hyperlink r:id="rId17" w:history="1">
              <w:r w:rsidR="00E62585" w:rsidRPr="00F13640">
                <w:rPr>
                  <w:rStyle w:val="Hyperlink"/>
                </w:rPr>
                <w:t>http://www.gpo.gov/fdsys/pkg/USCODE-2012-title21/pdf/USCODE-2012-title21-chap9-subchapIV-sec346a.pdf</w:t>
              </w:r>
            </w:hyperlink>
          </w:p>
          <w:p w:rsidR="00B3704C" w:rsidRPr="001A2A05" w:rsidRDefault="00B3704C" w:rsidP="00E62585">
            <w:pPr>
              <w:rPr>
                <w:b/>
                <w:bCs/>
                <w:sz w:val="8"/>
                <w:szCs w:val="8"/>
              </w:rPr>
            </w:pPr>
          </w:p>
        </w:tc>
      </w:tr>
      <w:tr w:rsidR="004E5A84" w:rsidRPr="001A2A05" w:rsidTr="009E01AD">
        <w:tc>
          <w:tcPr>
            <w:tcW w:w="2088" w:type="dxa"/>
          </w:tcPr>
          <w:p w:rsidR="004E5A84" w:rsidRPr="001A2A05" w:rsidRDefault="004E5A84" w:rsidP="00F160BA">
            <w:pPr>
              <w:rPr>
                <w:b/>
                <w:bCs/>
              </w:rPr>
            </w:pPr>
            <w:r w:rsidRPr="001A2A05">
              <w:rPr>
                <w:b/>
              </w:rPr>
              <w:t>Attachment D:</w:t>
            </w:r>
          </w:p>
        </w:tc>
        <w:tc>
          <w:tcPr>
            <w:tcW w:w="7488" w:type="dxa"/>
          </w:tcPr>
          <w:p w:rsidR="00B3704C" w:rsidRPr="00E62585" w:rsidRDefault="003240AE" w:rsidP="00E62585">
            <w:pPr>
              <w:rPr>
                <w:b/>
              </w:rPr>
            </w:pPr>
            <w:r w:rsidRPr="00E62585">
              <w:rPr>
                <w:b/>
              </w:rPr>
              <w:t>Record of Consultations</w:t>
            </w:r>
          </w:p>
          <w:p w:rsidR="004E5A84" w:rsidRPr="001A2A05" w:rsidRDefault="004E5A84" w:rsidP="00E62585">
            <w:pPr>
              <w:rPr>
                <w:b/>
                <w:bCs/>
                <w:sz w:val="8"/>
                <w:szCs w:val="8"/>
              </w:rPr>
            </w:pPr>
          </w:p>
        </w:tc>
      </w:tr>
      <w:tr w:rsidR="004E5A84" w:rsidRPr="001A2A05" w:rsidTr="009E01AD">
        <w:tc>
          <w:tcPr>
            <w:tcW w:w="2088" w:type="dxa"/>
          </w:tcPr>
          <w:p w:rsidR="004E5A84" w:rsidRPr="001A2A05" w:rsidRDefault="00B3704C" w:rsidP="00DD171F">
            <w:pPr>
              <w:spacing w:after="60"/>
              <w:rPr>
                <w:b/>
              </w:rPr>
            </w:pPr>
            <w:r w:rsidRPr="001A2A05">
              <w:rPr>
                <w:b/>
              </w:rPr>
              <w:t>Attachment E:</w:t>
            </w:r>
          </w:p>
        </w:tc>
        <w:tc>
          <w:tcPr>
            <w:tcW w:w="7488" w:type="dxa"/>
          </w:tcPr>
          <w:p w:rsidR="00DD171F" w:rsidRPr="009E01AD" w:rsidRDefault="00784DBE" w:rsidP="00EA625A">
            <w:pPr>
              <w:rPr>
                <w:b/>
                <w:bCs/>
              </w:rPr>
            </w:pPr>
            <w:r w:rsidRPr="001A2A05">
              <w:rPr>
                <w:b/>
                <w:bCs/>
              </w:rPr>
              <w:t>Worksheet</w:t>
            </w:r>
            <w:r w:rsidR="00EA625A">
              <w:rPr>
                <w:b/>
                <w:bCs/>
              </w:rPr>
              <w:t>s</w:t>
            </w:r>
            <w:r w:rsidRPr="001A2A05">
              <w:rPr>
                <w:b/>
                <w:bCs/>
              </w:rPr>
              <w:t xml:space="preserve"> </w:t>
            </w:r>
            <w:r w:rsidR="00EA625A">
              <w:rPr>
                <w:b/>
                <w:bCs/>
              </w:rPr>
              <w:t>Used to</w:t>
            </w:r>
            <w:r w:rsidR="000D3D90">
              <w:rPr>
                <w:b/>
                <w:bCs/>
              </w:rPr>
              <w:t xml:space="preserve"> </w:t>
            </w:r>
            <w:r w:rsidR="00EA625A">
              <w:rPr>
                <w:b/>
                <w:bCs/>
              </w:rPr>
              <w:t xml:space="preserve">Calculate Labor </w:t>
            </w:r>
            <w:r w:rsidRPr="001A2A05">
              <w:rPr>
                <w:b/>
                <w:bCs/>
              </w:rPr>
              <w:t>Costs</w:t>
            </w:r>
          </w:p>
        </w:tc>
      </w:tr>
      <w:tr w:rsidR="009E01AD" w:rsidRPr="001A2A05" w:rsidTr="009E01AD">
        <w:trPr>
          <w:trHeight w:val="666"/>
        </w:trPr>
        <w:tc>
          <w:tcPr>
            <w:tcW w:w="2088" w:type="dxa"/>
          </w:tcPr>
          <w:p w:rsidR="009E01AD" w:rsidRPr="001A2A05" w:rsidRDefault="009E01AD" w:rsidP="00F160BA">
            <w:pPr>
              <w:rPr>
                <w:b/>
              </w:rPr>
            </w:pPr>
            <w:r w:rsidRPr="001A2A05">
              <w:rPr>
                <w:b/>
              </w:rPr>
              <w:t xml:space="preserve">Attachment </w:t>
            </w:r>
            <w:r w:rsidR="00A060B3">
              <w:rPr>
                <w:b/>
              </w:rPr>
              <w:t>F</w:t>
            </w:r>
            <w:r w:rsidRPr="001A2A05">
              <w:rPr>
                <w:b/>
              </w:rPr>
              <w:t>:</w:t>
            </w:r>
          </w:p>
        </w:tc>
        <w:tc>
          <w:tcPr>
            <w:tcW w:w="7488" w:type="dxa"/>
          </w:tcPr>
          <w:p w:rsidR="009E01AD" w:rsidRPr="009E5048" w:rsidRDefault="009E01AD" w:rsidP="009E01AD">
            <w:pPr>
              <w:rPr>
                <w:i/>
              </w:rPr>
            </w:pPr>
            <w:r w:rsidRPr="009E5048">
              <w:rPr>
                <w:i/>
              </w:rPr>
              <w:t>Display Related to OMB Control #2070-0142</w:t>
            </w:r>
          </w:p>
          <w:p w:rsidR="009E01AD" w:rsidRPr="001A2A05" w:rsidRDefault="009E01AD" w:rsidP="00F160BA">
            <w:pPr>
              <w:rPr>
                <w:b/>
              </w:rPr>
            </w:pPr>
          </w:p>
        </w:tc>
      </w:tr>
    </w:tbl>
    <w:p w:rsidR="00EE0A42" w:rsidRDefault="00EE0A42" w:rsidP="00B3704C">
      <w:pPr>
        <w:pStyle w:val="PlainText"/>
      </w:pPr>
    </w:p>
    <w:p w:rsidR="00353AD6" w:rsidRDefault="00353AD6" w:rsidP="00B3704C">
      <w:pPr>
        <w:pStyle w:val="PlainText"/>
      </w:pPr>
    </w:p>
    <w:p w:rsidR="00353AD6" w:rsidRDefault="00353AD6" w:rsidP="00353AD6">
      <w:pPr>
        <w:numPr>
          <w:ilvl w:val="12"/>
          <w:numId w:val="0"/>
        </w:numPr>
        <w:ind w:left="2160" w:hanging="720"/>
        <w:jc w:val="center"/>
      </w:pPr>
    </w:p>
    <w:p w:rsidR="0096158B" w:rsidRPr="001E3A7F" w:rsidRDefault="0096158B" w:rsidP="00EA625A">
      <w:pPr>
        <w:numPr>
          <w:ilvl w:val="12"/>
          <w:numId w:val="0"/>
        </w:numPr>
        <w:ind w:left="2160" w:hanging="720"/>
        <w:jc w:val="center"/>
      </w:pPr>
    </w:p>
    <w:p w:rsidR="0096158B" w:rsidRPr="001E3A7F" w:rsidRDefault="0096158B" w:rsidP="0096158B"/>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96158B" w:rsidRDefault="0096158B" w:rsidP="0096158B">
      <w:pPr>
        <w:numPr>
          <w:ilvl w:val="12"/>
          <w:numId w:val="0"/>
        </w:numPr>
        <w:rPr>
          <w:b/>
        </w:rP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Default="00353AD6" w:rsidP="00353AD6">
      <w:pPr>
        <w:numPr>
          <w:ilvl w:val="12"/>
          <w:numId w:val="0"/>
        </w:numPr>
        <w:ind w:left="2160" w:hanging="720"/>
        <w:jc w:val="center"/>
      </w:pPr>
    </w:p>
    <w:p w:rsidR="00353AD6" w:rsidRPr="001E3A7F" w:rsidRDefault="00353AD6" w:rsidP="003240AE">
      <w:pPr>
        <w:jc w:val="center"/>
        <w:outlineLvl w:val="0"/>
      </w:pPr>
    </w:p>
    <w:p w:rsidR="00353AD6" w:rsidRPr="005A3906" w:rsidRDefault="00353AD6" w:rsidP="00B3704C">
      <w:pPr>
        <w:pStyle w:val="PlainText"/>
      </w:pPr>
    </w:p>
    <w:sectPr w:rsidR="00353AD6" w:rsidRPr="005A3906" w:rsidSect="006E17AA">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51" w:rsidRDefault="00765D51">
      <w:r>
        <w:separator/>
      </w:r>
    </w:p>
  </w:endnote>
  <w:endnote w:type="continuationSeparator" w:id="0">
    <w:p w:rsidR="00765D51" w:rsidRDefault="007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28" w:rsidRDefault="00D45328" w:rsidP="00597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328" w:rsidRDefault="00D45328" w:rsidP="003636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28" w:rsidRDefault="00D45328" w:rsidP="006E17AA">
    <w:pPr>
      <w:pStyle w:val="Footer"/>
      <w:jc w:val="right"/>
    </w:pPr>
    <w:r>
      <w:t xml:space="preserve">Page </w:t>
    </w:r>
    <w:r>
      <w:fldChar w:fldCharType="begin"/>
    </w:r>
    <w:r>
      <w:instrText xml:space="preserve"> PAGE </w:instrText>
    </w:r>
    <w:r>
      <w:fldChar w:fldCharType="separate"/>
    </w:r>
    <w:r w:rsidR="00EB3E18">
      <w:rPr>
        <w:noProof/>
      </w:rPr>
      <w:t>16</w:t>
    </w:r>
    <w:r>
      <w:rPr>
        <w:noProof/>
      </w:rPr>
      <w:fldChar w:fldCharType="end"/>
    </w:r>
    <w:r>
      <w:t xml:space="preserve"> of </w:t>
    </w:r>
    <w:r w:rsidR="00765D51">
      <w:fldChar w:fldCharType="begin"/>
    </w:r>
    <w:r w:rsidR="00765D51">
      <w:instrText xml:space="preserve"> NUMPAGES </w:instrText>
    </w:r>
    <w:r w:rsidR="00765D51">
      <w:fldChar w:fldCharType="separate"/>
    </w:r>
    <w:r w:rsidR="00EB3E18">
      <w:rPr>
        <w:noProof/>
      </w:rPr>
      <w:t>16</w:t>
    </w:r>
    <w:r w:rsidR="00765D5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51" w:rsidRDefault="00765D51">
      <w:r>
        <w:separator/>
      </w:r>
    </w:p>
  </w:footnote>
  <w:footnote w:type="continuationSeparator" w:id="0">
    <w:p w:rsidR="00765D51" w:rsidRDefault="0076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28" w:rsidRDefault="00D45328" w:rsidP="006E17AA">
    <w:pPr>
      <w:pStyle w:val="PlainText"/>
      <w:jc w:val="right"/>
      <w:rPr>
        <w:rFonts w:ascii="Times New Roman" w:hAnsi="Times New Roman" w:cs="Times New Roman"/>
        <w:sz w:val="24"/>
        <w:szCs w:val="24"/>
      </w:rPr>
    </w:pPr>
    <w:r>
      <w:rPr>
        <w:rFonts w:ascii="Times New Roman" w:hAnsi="Times New Roman" w:cs="Times New Roman"/>
        <w:sz w:val="24"/>
        <w:szCs w:val="24"/>
      </w:rPr>
      <w:t>May 9, 2014</w:t>
    </w:r>
  </w:p>
  <w:p w:rsidR="00D45328" w:rsidRPr="005A3906" w:rsidRDefault="00D45328" w:rsidP="006E17AA">
    <w:pPr>
      <w:pStyle w:val="PlainText"/>
      <w:jc w:val="right"/>
      <w:rPr>
        <w:rFonts w:ascii="Times New Roman" w:hAnsi="Times New Roman" w:cs="Times New Roman"/>
        <w:sz w:val="24"/>
        <w:szCs w:val="24"/>
      </w:rPr>
    </w:pPr>
  </w:p>
  <w:p w:rsidR="00D45328" w:rsidRDefault="00D45328" w:rsidP="006E17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8C6839"/>
    <w:multiLevelType w:val="hybridMultilevel"/>
    <w:tmpl w:val="3D043690"/>
    <w:lvl w:ilvl="0" w:tplc="CB481EE4">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F58550C"/>
    <w:multiLevelType w:val="hybridMultilevel"/>
    <w:tmpl w:val="8B887E4C"/>
    <w:lvl w:ilvl="0" w:tplc="13FAA02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4494B5A"/>
    <w:multiLevelType w:val="hybridMultilevel"/>
    <w:tmpl w:val="E6248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3EF0"/>
    <w:rsid w:val="00012742"/>
    <w:rsid w:val="00014DD4"/>
    <w:rsid w:val="00036FC0"/>
    <w:rsid w:val="00042C0D"/>
    <w:rsid w:val="00051E6C"/>
    <w:rsid w:val="00056994"/>
    <w:rsid w:val="00062F7C"/>
    <w:rsid w:val="00064D0E"/>
    <w:rsid w:val="000657D7"/>
    <w:rsid w:val="00074A68"/>
    <w:rsid w:val="000775F1"/>
    <w:rsid w:val="00083653"/>
    <w:rsid w:val="00083713"/>
    <w:rsid w:val="00083D6E"/>
    <w:rsid w:val="000869E4"/>
    <w:rsid w:val="00090520"/>
    <w:rsid w:val="00090FBE"/>
    <w:rsid w:val="000C4FA9"/>
    <w:rsid w:val="000D3D90"/>
    <w:rsid w:val="000D49A5"/>
    <w:rsid w:val="000E1A79"/>
    <w:rsid w:val="000F620B"/>
    <w:rsid w:val="001005CB"/>
    <w:rsid w:val="00100A27"/>
    <w:rsid w:val="00116D70"/>
    <w:rsid w:val="001229DE"/>
    <w:rsid w:val="0013713A"/>
    <w:rsid w:val="00146A98"/>
    <w:rsid w:val="00185A01"/>
    <w:rsid w:val="001902BA"/>
    <w:rsid w:val="00191E9D"/>
    <w:rsid w:val="001A041B"/>
    <w:rsid w:val="001A2A05"/>
    <w:rsid w:val="001A2F34"/>
    <w:rsid w:val="001B04AE"/>
    <w:rsid w:val="001B539F"/>
    <w:rsid w:val="001C5FAF"/>
    <w:rsid w:val="001C7453"/>
    <w:rsid w:val="001E0CBC"/>
    <w:rsid w:val="001E2097"/>
    <w:rsid w:val="0020163B"/>
    <w:rsid w:val="00207F5F"/>
    <w:rsid w:val="002171A5"/>
    <w:rsid w:val="0021752F"/>
    <w:rsid w:val="00227704"/>
    <w:rsid w:val="00233456"/>
    <w:rsid w:val="00240898"/>
    <w:rsid w:val="0026054A"/>
    <w:rsid w:val="00272551"/>
    <w:rsid w:val="00272D40"/>
    <w:rsid w:val="00287926"/>
    <w:rsid w:val="002928D5"/>
    <w:rsid w:val="00297F4C"/>
    <w:rsid w:val="002A53D6"/>
    <w:rsid w:val="002C3657"/>
    <w:rsid w:val="002C7ABF"/>
    <w:rsid w:val="002D0D9B"/>
    <w:rsid w:val="002E1CBF"/>
    <w:rsid w:val="002E2A52"/>
    <w:rsid w:val="002E7A74"/>
    <w:rsid w:val="00305DF2"/>
    <w:rsid w:val="0030611F"/>
    <w:rsid w:val="003107DB"/>
    <w:rsid w:val="003148BD"/>
    <w:rsid w:val="003240AE"/>
    <w:rsid w:val="00325710"/>
    <w:rsid w:val="003270AE"/>
    <w:rsid w:val="0033113C"/>
    <w:rsid w:val="0033196D"/>
    <w:rsid w:val="0033364E"/>
    <w:rsid w:val="00343EF0"/>
    <w:rsid w:val="003508F5"/>
    <w:rsid w:val="00352255"/>
    <w:rsid w:val="00353AD6"/>
    <w:rsid w:val="003548B2"/>
    <w:rsid w:val="00356D2F"/>
    <w:rsid w:val="003636C3"/>
    <w:rsid w:val="003679C0"/>
    <w:rsid w:val="00376B83"/>
    <w:rsid w:val="00384FD2"/>
    <w:rsid w:val="00394298"/>
    <w:rsid w:val="003A24E8"/>
    <w:rsid w:val="003A630B"/>
    <w:rsid w:val="003C7953"/>
    <w:rsid w:val="003E1AD4"/>
    <w:rsid w:val="003F4D6C"/>
    <w:rsid w:val="00403B82"/>
    <w:rsid w:val="00404156"/>
    <w:rsid w:val="0041279D"/>
    <w:rsid w:val="004333E8"/>
    <w:rsid w:val="004365C0"/>
    <w:rsid w:val="004703AC"/>
    <w:rsid w:val="00472EF4"/>
    <w:rsid w:val="004864F7"/>
    <w:rsid w:val="00492325"/>
    <w:rsid w:val="0049237D"/>
    <w:rsid w:val="004A3C68"/>
    <w:rsid w:val="004B0439"/>
    <w:rsid w:val="004B0656"/>
    <w:rsid w:val="004B1811"/>
    <w:rsid w:val="004C2299"/>
    <w:rsid w:val="004D07A6"/>
    <w:rsid w:val="004D0B3A"/>
    <w:rsid w:val="004D1882"/>
    <w:rsid w:val="004D5EAF"/>
    <w:rsid w:val="004D6735"/>
    <w:rsid w:val="004E5A84"/>
    <w:rsid w:val="004F1E55"/>
    <w:rsid w:val="004F2063"/>
    <w:rsid w:val="004F2B99"/>
    <w:rsid w:val="004F3BB8"/>
    <w:rsid w:val="004F4F62"/>
    <w:rsid w:val="0050437E"/>
    <w:rsid w:val="00506CE9"/>
    <w:rsid w:val="0051321B"/>
    <w:rsid w:val="005157A9"/>
    <w:rsid w:val="00520A59"/>
    <w:rsid w:val="00541B3B"/>
    <w:rsid w:val="00544C0D"/>
    <w:rsid w:val="00546C64"/>
    <w:rsid w:val="00561A24"/>
    <w:rsid w:val="00571F50"/>
    <w:rsid w:val="005725AE"/>
    <w:rsid w:val="00587764"/>
    <w:rsid w:val="005972C7"/>
    <w:rsid w:val="005974EF"/>
    <w:rsid w:val="005A3906"/>
    <w:rsid w:val="005C26D1"/>
    <w:rsid w:val="005C776D"/>
    <w:rsid w:val="005D0777"/>
    <w:rsid w:val="005E33E7"/>
    <w:rsid w:val="006103A9"/>
    <w:rsid w:val="0061163C"/>
    <w:rsid w:val="00614FA2"/>
    <w:rsid w:val="00616106"/>
    <w:rsid w:val="00625F9A"/>
    <w:rsid w:val="006368D8"/>
    <w:rsid w:val="00636ACD"/>
    <w:rsid w:val="006407BD"/>
    <w:rsid w:val="00640C12"/>
    <w:rsid w:val="00660CB6"/>
    <w:rsid w:val="00666E00"/>
    <w:rsid w:val="006676A3"/>
    <w:rsid w:val="006746E5"/>
    <w:rsid w:val="00676462"/>
    <w:rsid w:val="00677B7A"/>
    <w:rsid w:val="00681F10"/>
    <w:rsid w:val="006826C2"/>
    <w:rsid w:val="00683AD7"/>
    <w:rsid w:val="006A32E4"/>
    <w:rsid w:val="006B503B"/>
    <w:rsid w:val="006C2A60"/>
    <w:rsid w:val="006E17AA"/>
    <w:rsid w:val="006E512F"/>
    <w:rsid w:val="006E61BE"/>
    <w:rsid w:val="006E65D2"/>
    <w:rsid w:val="006F04B3"/>
    <w:rsid w:val="006F3D5C"/>
    <w:rsid w:val="0070653A"/>
    <w:rsid w:val="00714618"/>
    <w:rsid w:val="00724C58"/>
    <w:rsid w:val="007323C0"/>
    <w:rsid w:val="0073269E"/>
    <w:rsid w:val="00732E71"/>
    <w:rsid w:val="0073577B"/>
    <w:rsid w:val="0073655F"/>
    <w:rsid w:val="00751355"/>
    <w:rsid w:val="00755021"/>
    <w:rsid w:val="00765D51"/>
    <w:rsid w:val="00774390"/>
    <w:rsid w:val="00784DBE"/>
    <w:rsid w:val="00794853"/>
    <w:rsid w:val="007A6071"/>
    <w:rsid w:val="007A636C"/>
    <w:rsid w:val="007B09F0"/>
    <w:rsid w:val="007B7E11"/>
    <w:rsid w:val="007D1E60"/>
    <w:rsid w:val="007D4F50"/>
    <w:rsid w:val="007D6632"/>
    <w:rsid w:val="007F18D0"/>
    <w:rsid w:val="007F2ABF"/>
    <w:rsid w:val="007F6F9E"/>
    <w:rsid w:val="008027B8"/>
    <w:rsid w:val="008058CB"/>
    <w:rsid w:val="008067E3"/>
    <w:rsid w:val="00816F85"/>
    <w:rsid w:val="008227D6"/>
    <w:rsid w:val="008236F6"/>
    <w:rsid w:val="008457FE"/>
    <w:rsid w:val="00851445"/>
    <w:rsid w:val="008567E7"/>
    <w:rsid w:val="00861A28"/>
    <w:rsid w:val="0086494E"/>
    <w:rsid w:val="00873646"/>
    <w:rsid w:val="00886E3C"/>
    <w:rsid w:val="008879DE"/>
    <w:rsid w:val="00892DC7"/>
    <w:rsid w:val="008B1CBB"/>
    <w:rsid w:val="008B473A"/>
    <w:rsid w:val="008C0227"/>
    <w:rsid w:val="008C1E4B"/>
    <w:rsid w:val="008C6E04"/>
    <w:rsid w:val="008D1DAB"/>
    <w:rsid w:val="008D4D7D"/>
    <w:rsid w:val="008E0ED0"/>
    <w:rsid w:val="008E402A"/>
    <w:rsid w:val="008E43CA"/>
    <w:rsid w:val="00901943"/>
    <w:rsid w:val="00904E11"/>
    <w:rsid w:val="0092189E"/>
    <w:rsid w:val="009266B8"/>
    <w:rsid w:val="00932B6B"/>
    <w:rsid w:val="00934CCB"/>
    <w:rsid w:val="00937080"/>
    <w:rsid w:val="009405FD"/>
    <w:rsid w:val="009416EB"/>
    <w:rsid w:val="009446B1"/>
    <w:rsid w:val="0095205C"/>
    <w:rsid w:val="009558E8"/>
    <w:rsid w:val="0095706B"/>
    <w:rsid w:val="00961520"/>
    <w:rsid w:val="0096158B"/>
    <w:rsid w:val="0096174A"/>
    <w:rsid w:val="00961881"/>
    <w:rsid w:val="00961FB8"/>
    <w:rsid w:val="00963E87"/>
    <w:rsid w:val="00975A25"/>
    <w:rsid w:val="0097623C"/>
    <w:rsid w:val="00980198"/>
    <w:rsid w:val="00983E7E"/>
    <w:rsid w:val="009861AF"/>
    <w:rsid w:val="00993C6F"/>
    <w:rsid w:val="009950AB"/>
    <w:rsid w:val="0099669D"/>
    <w:rsid w:val="009A0485"/>
    <w:rsid w:val="009A0D96"/>
    <w:rsid w:val="009D36F9"/>
    <w:rsid w:val="009D3DD8"/>
    <w:rsid w:val="009D75F1"/>
    <w:rsid w:val="009D7825"/>
    <w:rsid w:val="009E01AD"/>
    <w:rsid w:val="009E0C58"/>
    <w:rsid w:val="009E5048"/>
    <w:rsid w:val="009F4968"/>
    <w:rsid w:val="009F78A4"/>
    <w:rsid w:val="00A060B3"/>
    <w:rsid w:val="00A259D0"/>
    <w:rsid w:val="00A27D43"/>
    <w:rsid w:val="00A3175B"/>
    <w:rsid w:val="00A32471"/>
    <w:rsid w:val="00A34712"/>
    <w:rsid w:val="00A3614A"/>
    <w:rsid w:val="00A3624C"/>
    <w:rsid w:val="00A36873"/>
    <w:rsid w:val="00A40425"/>
    <w:rsid w:val="00A5228D"/>
    <w:rsid w:val="00A54DF4"/>
    <w:rsid w:val="00A64D48"/>
    <w:rsid w:val="00A772BC"/>
    <w:rsid w:val="00A80F29"/>
    <w:rsid w:val="00A8367E"/>
    <w:rsid w:val="00A840DA"/>
    <w:rsid w:val="00A854CF"/>
    <w:rsid w:val="00A86D94"/>
    <w:rsid w:val="00A95C64"/>
    <w:rsid w:val="00AA70A1"/>
    <w:rsid w:val="00AC27F4"/>
    <w:rsid w:val="00AD3B27"/>
    <w:rsid w:val="00AF1AD8"/>
    <w:rsid w:val="00B00A01"/>
    <w:rsid w:val="00B03DAD"/>
    <w:rsid w:val="00B14F09"/>
    <w:rsid w:val="00B32F1B"/>
    <w:rsid w:val="00B3704C"/>
    <w:rsid w:val="00B450E4"/>
    <w:rsid w:val="00B50EA2"/>
    <w:rsid w:val="00B54D56"/>
    <w:rsid w:val="00B869CB"/>
    <w:rsid w:val="00B94160"/>
    <w:rsid w:val="00BA680C"/>
    <w:rsid w:val="00BC3848"/>
    <w:rsid w:val="00BC4F84"/>
    <w:rsid w:val="00BE402C"/>
    <w:rsid w:val="00BF7FCC"/>
    <w:rsid w:val="00C03F04"/>
    <w:rsid w:val="00C068BB"/>
    <w:rsid w:val="00C07E74"/>
    <w:rsid w:val="00C11293"/>
    <w:rsid w:val="00C31AD7"/>
    <w:rsid w:val="00C47390"/>
    <w:rsid w:val="00C526BB"/>
    <w:rsid w:val="00C53801"/>
    <w:rsid w:val="00C53EDB"/>
    <w:rsid w:val="00C57141"/>
    <w:rsid w:val="00C61603"/>
    <w:rsid w:val="00C80FD0"/>
    <w:rsid w:val="00CA3BCF"/>
    <w:rsid w:val="00CB14EC"/>
    <w:rsid w:val="00CB18C6"/>
    <w:rsid w:val="00CC177A"/>
    <w:rsid w:val="00CC786C"/>
    <w:rsid w:val="00CD4A9B"/>
    <w:rsid w:val="00CE6BFE"/>
    <w:rsid w:val="00CF00EB"/>
    <w:rsid w:val="00CF24A0"/>
    <w:rsid w:val="00D1405E"/>
    <w:rsid w:val="00D24AB5"/>
    <w:rsid w:val="00D31958"/>
    <w:rsid w:val="00D3215B"/>
    <w:rsid w:val="00D413C0"/>
    <w:rsid w:val="00D45328"/>
    <w:rsid w:val="00D476F6"/>
    <w:rsid w:val="00D70076"/>
    <w:rsid w:val="00D969ED"/>
    <w:rsid w:val="00DA41D7"/>
    <w:rsid w:val="00DB0B32"/>
    <w:rsid w:val="00DB675A"/>
    <w:rsid w:val="00DD171F"/>
    <w:rsid w:val="00DF53E7"/>
    <w:rsid w:val="00E23577"/>
    <w:rsid w:val="00E36CF8"/>
    <w:rsid w:val="00E54D6A"/>
    <w:rsid w:val="00E62585"/>
    <w:rsid w:val="00E643DD"/>
    <w:rsid w:val="00E714BC"/>
    <w:rsid w:val="00E73027"/>
    <w:rsid w:val="00E8378E"/>
    <w:rsid w:val="00E842ED"/>
    <w:rsid w:val="00EA2A54"/>
    <w:rsid w:val="00EA625A"/>
    <w:rsid w:val="00EB1102"/>
    <w:rsid w:val="00EB3E18"/>
    <w:rsid w:val="00EB67E9"/>
    <w:rsid w:val="00EC25B7"/>
    <w:rsid w:val="00ED1D32"/>
    <w:rsid w:val="00EE0A42"/>
    <w:rsid w:val="00EE158B"/>
    <w:rsid w:val="00EE437D"/>
    <w:rsid w:val="00EF08E4"/>
    <w:rsid w:val="00EF2F8C"/>
    <w:rsid w:val="00F007E3"/>
    <w:rsid w:val="00F0305A"/>
    <w:rsid w:val="00F03842"/>
    <w:rsid w:val="00F044FD"/>
    <w:rsid w:val="00F0691F"/>
    <w:rsid w:val="00F143A9"/>
    <w:rsid w:val="00F160BA"/>
    <w:rsid w:val="00F32608"/>
    <w:rsid w:val="00F4102B"/>
    <w:rsid w:val="00F57779"/>
    <w:rsid w:val="00F64078"/>
    <w:rsid w:val="00F72E44"/>
    <w:rsid w:val="00F74650"/>
    <w:rsid w:val="00F8146A"/>
    <w:rsid w:val="00F82B83"/>
    <w:rsid w:val="00F82F28"/>
    <w:rsid w:val="00FB7B1F"/>
    <w:rsid w:val="00FC2F4E"/>
    <w:rsid w:val="00FC3613"/>
    <w:rsid w:val="00FC59DB"/>
    <w:rsid w:val="00FD34F4"/>
    <w:rsid w:val="00FD359E"/>
    <w:rsid w:val="00FD7C85"/>
    <w:rsid w:val="00FE0FA4"/>
    <w:rsid w:val="00FF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69CBA2-BD7E-4E27-B71E-3C3C6B36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EF0"/>
    <w:rPr>
      <w:rFonts w:ascii="Courier New" w:hAnsi="Courier New" w:cs="Courier New"/>
      <w:sz w:val="20"/>
      <w:szCs w:val="20"/>
    </w:rPr>
  </w:style>
  <w:style w:type="character" w:styleId="Hyperlink">
    <w:name w:val="Hyperlink"/>
    <w:basedOn w:val="DefaultParagraphFont"/>
    <w:rsid w:val="00636ACD"/>
    <w:rPr>
      <w:color w:val="0000FF"/>
      <w:u w:val="single"/>
    </w:rPr>
  </w:style>
  <w:style w:type="table" w:styleId="TableGrid">
    <w:name w:val="Table Grid"/>
    <w:basedOn w:val="TableNormal"/>
    <w:rsid w:val="00616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36C3"/>
    <w:pPr>
      <w:tabs>
        <w:tab w:val="center" w:pos="4320"/>
        <w:tab w:val="right" w:pos="8640"/>
      </w:tabs>
    </w:pPr>
  </w:style>
  <w:style w:type="character" w:styleId="PageNumber">
    <w:name w:val="page number"/>
    <w:basedOn w:val="DefaultParagraphFont"/>
    <w:rsid w:val="003636C3"/>
  </w:style>
  <w:style w:type="character" w:styleId="FollowedHyperlink">
    <w:name w:val="FollowedHyperlink"/>
    <w:basedOn w:val="DefaultParagraphFont"/>
    <w:rsid w:val="00352255"/>
    <w:rPr>
      <w:color w:val="800080"/>
      <w:u w:val="single"/>
    </w:rPr>
  </w:style>
  <w:style w:type="paragraph" w:styleId="BalloonText">
    <w:name w:val="Balloon Text"/>
    <w:basedOn w:val="Normal"/>
    <w:semiHidden/>
    <w:rsid w:val="00B32F1B"/>
    <w:rPr>
      <w:rFonts w:ascii="Tahoma" w:hAnsi="Tahoma" w:cs="Tahoma"/>
      <w:sz w:val="16"/>
      <w:szCs w:val="16"/>
    </w:rPr>
  </w:style>
  <w:style w:type="paragraph" w:styleId="Header">
    <w:name w:val="header"/>
    <w:basedOn w:val="Normal"/>
    <w:rsid w:val="006E17AA"/>
    <w:pPr>
      <w:tabs>
        <w:tab w:val="center" w:pos="4320"/>
        <w:tab w:val="right" w:pos="8640"/>
      </w:tabs>
    </w:pPr>
  </w:style>
  <w:style w:type="character" w:styleId="CommentReference">
    <w:name w:val="annotation reference"/>
    <w:basedOn w:val="DefaultParagraphFont"/>
    <w:semiHidden/>
    <w:rsid w:val="00520A59"/>
    <w:rPr>
      <w:sz w:val="16"/>
      <w:szCs w:val="16"/>
    </w:rPr>
  </w:style>
  <w:style w:type="paragraph" w:styleId="CommentText">
    <w:name w:val="annotation text"/>
    <w:basedOn w:val="Normal"/>
    <w:semiHidden/>
    <w:rsid w:val="00520A59"/>
    <w:rPr>
      <w:sz w:val="20"/>
      <w:szCs w:val="20"/>
    </w:rPr>
  </w:style>
  <w:style w:type="paragraph" w:styleId="CommentSubject">
    <w:name w:val="annotation subject"/>
    <w:basedOn w:val="CommentText"/>
    <w:next w:val="CommentText"/>
    <w:semiHidden/>
    <w:rsid w:val="00520A59"/>
    <w:rPr>
      <w:b/>
      <w:bCs/>
    </w:rPr>
  </w:style>
  <w:style w:type="paragraph" w:styleId="Revision">
    <w:name w:val="Revision"/>
    <w:hidden/>
    <w:uiPriority w:val="99"/>
    <w:semiHidden/>
    <w:rsid w:val="009E0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922">
      <w:bodyDiv w:val="1"/>
      <w:marLeft w:val="0"/>
      <w:marRight w:val="0"/>
      <w:marTop w:val="0"/>
      <w:marBottom w:val="0"/>
      <w:divBdr>
        <w:top w:val="none" w:sz="0" w:space="0" w:color="auto"/>
        <w:left w:val="none" w:sz="0" w:space="0" w:color="auto"/>
        <w:bottom w:val="none" w:sz="0" w:space="0" w:color="auto"/>
        <w:right w:val="none" w:sz="0" w:space="0" w:color="auto"/>
      </w:divBdr>
    </w:div>
    <w:div w:id="16324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gulations.gov" TargetMode="External"/><Relationship Id="rId12" Type="http://schemas.openxmlformats.org/officeDocument/2006/relationships/hyperlink" Target="http://www.regulations.gov" TargetMode="External"/><Relationship Id="rId17" Type="http://schemas.openxmlformats.org/officeDocument/2006/relationships/hyperlink" Target="http://www.gpo.gov/fdsys/pkg/USCODE-2012-title21/pdf/USCODE-2012-title21-chap9-subchapIV-sec346a.pdf" TargetMode="External"/><Relationship Id="rId2" Type="http://schemas.openxmlformats.org/officeDocument/2006/relationships/styles" Target="styles.xml"/><Relationship Id="rId16" Type="http://schemas.openxmlformats.org/officeDocument/2006/relationships/hyperlink" Target="http://www.gpo.gov/fdsys/pkg/USCODE-2012-title7/pdf/USCODE-2012-title7-chap6-subchapII-sec136w.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ec.t01.htm" TargetMode="External"/><Relationship Id="rId5" Type="http://schemas.openxmlformats.org/officeDocument/2006/relationships/footnotes" Target="footnotes.xml"/><Relationship Id="rId15" Type="http://schemas.openxmlformats.org/officeDocument/2006/relationships/hyperlink" Target="http://www.gpo.gov/fdsys/pkg/CFR-2013-title40-vol25/pdf/CFR-2013-title40-vol25-part174.pdf" TargetMode="External"/><Relationship Id="rId10" Type="http://schemas.openxmlformats.org/officeDocument/2006/relationships/hyperlink" Target="http://www.bls.gov/oes/current/oes_stru.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hyperlink" Target="http://www.regulation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6538</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September 7, 2006</vt:lpstr>
    </vt:vector>
  </TitlesOfParts>
  <Company>EPA OPP</Company>
  <LinksUpToDate>false</LinksUpToDate>
  <CharactersWithSpaces>43724</CharactersWithSpaces>
  <SharedDoc>false</SharedDoc>
  <HLinks>
    <vt:vector size="54" baseType="variant">
      <vt:variant>
        <vt:i4>4325469</vt:i4>
      </vt:variant>
      <vt:variant>
        <vt:i4>24</vt:i4>
      </vt:variant>
      <vt:variant>
        <vt:i4>0</vt:i4>
      </vt:variant>
      <vt:variant>
        <vt:i4>5</vt:i4>
      </vt:variant>
      <vt:variant>
        <vt:lpwstr>http://www.gpo.gov/fdsys/pkg/USCODE-2012-title21/pdf/USCODE-2012-title21-chap9-subchapIV-sec346a.pdf</vt:lpwstr>
      </vt:variant>
      <vt:variant>
        <vt:lpwstr/>
      </vt:variant>
      <vt:variant>
        <vt:i4>7078000</vt:i4>
      </vt:variant>
      <vt:variant>
        <vt:i4>21</vt:i4>
      </vt:variant>
      <vt:variant>
        <vt:i4>0</vt:i4>
      </vt:variant>
      <vt:variant>
        <vt:i4>5</vt:i4>
      </vt:variant>
      <vt:variant>
        <vt:lpwstr>http://www.gpo.gov/fdsys/pkg/USCODE-2012-title7/pdf/USCODE-2012-title7-chap6-subchapII-sec136w.pdf</vt:lpwstr>
      </vt:variant>
      <vt:variant>
        <vt:lpwstr/>
      </vt:variant>
      <vt:variant>
        <vt:i4>7995431</vt:i4>
      </vt:variant>
      <vt:variant>
        <vt:i4>18</vt:i4>
      </vt:variant>
      <vt:variant>
        <vt:i4>0</vt:i4>
      </vt:variant>
      <vt:variant>
        <vt:i4>5</vt:i4>
      </vt:variant>
      <vt:variant>
        <vt:lpwstr>http://www.gpo.gov/fdsys/pkg/CFR-2013-title40-vol25/pdf/CFR-2013-title40-vol25-part174.pdf</vt:lpwstr>
      </vt:variant>
      <vt:variant>
        <vt:lpwstr/>
      </vt:variant>
      <vt:variant>
        <vt:i4>2818151</vt:i4>
      </vt:variant>
      <vt:variant>
        <vt:i4>15</vt:i4>
      </vt:variant>
      <vt:variant>
        <vt:i4>0</vt:i4>
      </vt:variant>
      <vt:variant>
        <vt:i4>5</vt:i4>
      </vt:variant>
      <vt:variant>
        <vt:lpwstr>http://www.regulations.gov/</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7, 2006</dc:title>
  <dc:creator>rtorla</dc:creator>
  <cp:lastModifiedBy>Clark, Spencer</cp:lastModifiedBy>
  <cp:revision>3</cp:revision>
  <cp:lastPrinted>2010-03-16T21:45:00Z</cp:lastPrinted>
  <dcterms:created xsi:type="dcterms:W3CDTF">2014-06-12T19:36:00Z</dcterms:created>
  <dcterms:modified xsi:type="dcterms:W3CDTF">2014-06-12T19:50:00Z</dcterms:modified>
</cp:coreProperties>
</file>