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63" w:rsidRDefault="00B4159F">
      <w:pPr>
        <w:pStyle w:val="Title"/>
      </w:pPr>
      <w:bookmarkStart w:id="0" w:name="_GoBack"/>
      <w:bookmarkEnd w:id="0"/>
      <w:r>
        <w:t>Supporting Statement for</w:t>
      </w:r>
      <w:r w:rsidR="00AB7063">
        <w:t>:</w:t>
      </w:r>
      <w:r>
        <w:t xml:space="preserve"> </w:t>
      </w:r>
    </w:p>
    <w:p w:rsidR="00AB7063" w:rsidRDefault="00AB7063">
      <w:pPr>
        <w:pStyle w:val="Title"/>
      </w:pPr>
    </w:p>
    <w:tbl>
      <w:tblPr>
        <w:tblStyle w:val="TableGrid"/>
        <w:tblW w:w="0" w:type="auto"/>
        <w:tblLook w:val="04A0" w:firstRow="1" w:lastRow="0" w:firstColumn="1" w:lastColumn="0" w:noHBand="0" w:noVBand="1"/>
      </w:tblPr>
      <w:tblGrid>
        <w:gridCol w:w="2898"/>
        <w:gridCol w:w="6678"/>
      </w:tblGrid>
      <w:tr w:rsidR="00AB7063" w:rsidTr="00AB7063">
        <w:tc>
          <w:tcPr>
            <w:tcW w:w="2898" w:type="dxa"/>
          </w:tcPr>
          <w:p w:rsidR="00AB7063" w:rsidRDefault="00AB7063">
            <w:pPr>
              <w:pStyle w:val="Title"/>
            </w:pPr>
            <w:r>
              <w:t>VA Form 21-0788</w:t>
            </w:r>
          </w:p>
        </w:tc>
        <w:tc>
          <w:tcPr>
            <w:tcW w:w="6678" w:type="dxa"/>
          </w:tcPr>
          <w:p w:rsidR="00AB7063" w:rsidRPr="00AB7063" w:rsidRDefault="00AB7063" w:rsidP="00AB7063">
            <w:pPr>
              <w:tabs>
                <w:tab w:val="left" w:pos="480"/>
                <w:tab w:val="right" w:pos="8640"/>
              </w:tabs>
              <w:ind w:right="684"/>
              <w:rPr>
                <w:rFonts w:ascii="Times New Roman" w:hAnsi="Times New Roman"/>
                <w:sz w:val="24"/>
              </w:rPr>
            </w:pPr>
            <w:r>
              <w:rPr>
                <w:rFonts w:ascii="Times New Roman" w:hAnsi="Times New Roman"/>
                <w:sz w:val="24"/>
              </w:rPr>
              <w:t>Information Regarding Apportionment of Beneficiary’s Award</w:t>
            </w:r>
          </w:p>
        </w:tc>
      </w:tr>
    </w:tbl>
    <w:p w:rsidR="00AB7063" w:rsidRDefault="00AB7063">
      <w:pPr>
        <w:pStyle w:val="Title"/>
      </w:pPr>
    </w:p>
    <w:p w:rsidR="00B4159F" w:rsidRDefault="00AB7063">
      <w:pPr>
        <w:tabs>
          <w:tab w:val="left" w:pos="480"/>
          <w:tab w:val="right" w:pos="8640"/>
        </w:tabs>
        <w:ind w:right="684"/>
        <w:jc w:val="center"/>
        <w:rPr>
          <w:rFonts w:ascii="Times New Roman" w:hAnsi="Times New Roman"/>
          <w:sz w:val="24"/>
        </w:rPr>
      </w:pPr>
      <w:r>
        <w:rPr>
          <w:rFonts w:ascii="Times New Roman" w:hAnsi="Times New Roman"/>
          <w:sz w:val="24"/>
        </w:rPr>
        <w:t xml:space="preserve"> </w:t>
      </w:r>
      <w:r w:rsidR="00B4159F">
        <w:rPr>
          <w:rFonts w:ascii="Times New Roman" w:hAnsi="Times New Roman"/>
          <w:sz w:val="24"/>
        </w:rPr>
        <w:t>(2900-0666)</w:t>
      </w:r>
    </w:p>
    <w:p w:rsidR="00B4159F" w:rsidRDefault="00B4159F">
      <w:pPr>
        <w:tabs>
          <w:tab w:val="left" w:pos="480"/>
          <w:tab w:val="right" w:pos="8640"/>
        </w:tabs>
        <w:ind w:right="684"/>
        <w:jc w:val="center"/>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B4159F" w:rsidRDefault="00B4159F">
      <w:pPr>
        <w:tabs>
          <w:tab w:val="left" w:pos="480"/>
          <w:tab w:val="right" w:pos="8640"/>
        </w:tabs>
        <w:ind w:right="684"/>
        <w:rPr>
          <w:rFonts w:ascii="Times New Roman" w:hAnsi="Times New Roman"/>
          <w:sz w:val="24"/>
        </w:rPr>
      </w:pPr>
    </w:p>
    <w:p w:rsidR="00B4159F" w:rsidRDefault="00B4159F">
      <w:pPr>
        <w:ind w:right="540"/>
        <w:rPr>
          <w:rFonts w:ascii="Times New Roman" w:hAnsi="Times New Roman"/>
          <w:sz w:val="24"/>
        </w:rPr>
      </w:pPr>
      <w:r>
        <w:rPr>
          <w:rFonts w:ascii="Times New Roman" w:hAnsi="Times New Roman"/>
          <w:sz w:val="24"/>
        </w:rPr>
        <w:t xml:space="preserve">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5307 which states that a veteran’s or beneficiary’s compensation and pension benefits may be apportioned for his/her dependents.  Regulatory authority is found in 38 C.F.R. 3.450 through 3.454 and 3.458 through 3.461.  </w:t>
      </w:r>
    </w:p>
    <w:p w:rsidR="00B4159F" w:rsidRDefault="00B4159F">
      <w:pPr>
        <w:ind w:right="540"/>
        <w:rPr>
          <w:rFonts w:ascii="Times New Roman" w:hAnsi="Times New Roman"/>
          <w:sz w:val="24"/>
        </w:rPr>
      </w:pPr>
    </w:p>
    <w:p w:rsidR="00B4159F" w:rsidRDefault="00B4159F">
      <w:pPr>
        <w:pStyle w:val="HTMLPreformatted"/>
        <w:rPr>
          <w:rFonts w:ascii="Times New Roman" w:hAnsi="Times New Roman" w:cs="Times New Roman"/>
          <w:sz w:val="24"/>
        </w:rPr>
      </w:pPr>
      <w:r>
        <w:rPr>
          <w:rFonts w:ascii="Times New Roman" w:hAnsi="Times New Roman" w:cs="Times New Roman"/>
          <w:sz w:val="24"/>
        </w:rPr>
        <w:t>2.  VA Form 21-0788 is used to determine whether benefits may be apportioned under 38 C.F.R. 3.450 (a</w:t>
      </w:r>
      <w:proofErr w:type="gramStart"/>
      <w:r>
        <w:rPr>
          <w:rFonts w:ascii="Times New Roman" w:hAnsi="Times New Roman" w:cs="Times New Roman"/>
          <w:sz w:val="24"/>
        </w:rPr>
        <w:t>)(</w:t>
      </w:r>
      <w:proofErr w:type="gramEnd"/>
      <w:r>
        <w:rPr>
          <w:rFonts w:ascii="Times New Roman" w:hAnsi="Times New Roman" w:cs="Times New Roman"/>
          <w:sz w:val="24"/>
        </w:rPr>
        <w:t xml:space="preserve">1)(i), 3.450(a)(2), and 3.451 and, if so, the amount.  38 C.F.R. 3.450 provides that a portion of a veteran’s benefits may be paid to his/her spouse and children if they are not residing with the veteran and the veteran is not providing reasonable support.  A portion of a surviving spouse’s benefits may be paid to the veteran’s children who are not living with the surviving spouse.  38 C.F.R. 3.451 states that an apportionment must not cause undue hardship on the veteran, and the resources, income, and special needs of the veteran and his/her dependents must be considered in determining the basis for an apportionment.  This form will be completed separately by the veteran and the claimant in order to obtain the information needed to determine whether benefits may be apportioned and the amount payable.  </w:t>
      </w:r>
    </w:p>
    <w:p w:rsidR="00B4159F" w:rsidRDefault="00B4159F">
      <w:pPr>
        <w:pStyle w:val="BodyText2"/>
        <w:rPr>
          <w:rFonts w:ascii="Times New Roman" w:hAnsi="Times New Roman"/>
          <w:sz w:val="24"/>
        </w:rPr>
      </w:pPr>
    </w:p>
    <w:p w:rsidR="00B4159F" w:rsidRPr="00AB7063" w:rsidRDefault="00B4159F">
      <w:pPr>
        <w:pStyle w:val="BodyText2"/>
        <w:rPr>
          <w:rFonts w:ascii="Times New Roman" w:eastAsia="Arial Unicode MS" w:hAnsi="Times New Roman"/>
          <w:sz w:val="24"/>
        </w:rPr>
      </w:pPr>
      <w:r>
        <w:rPr>
          <w:rFonts w:ascii="Times New Roman" w:hAnsi="Times New Roman"/>
          <w:sz w:val="24"/>
        </w:rPr>
        <w:t xml:space="preserve">3.  </w:t>
      </w:r>
      <w:r w:rsidR="00AB7063" w:rsidRPr="00AB7063">
        <w:rPr>
          <w:rFonts w:ascii="Times New Roman" w:eastAsia="Arial Unicode MS" w:hAnsi="Times New Roman"/>
          <w:sz w:val="24"/>
        </w:rPr>
        <w:t>VA Form 21-</w:t>
      </w:r>
      <w:r w:rsidR="00AB7063">
        <w:rPr>
          <w:rFonts w:ascii="Times New Roman" w:eastAsia="Arial Unicode MS" w:hAnsi="Times New Roman"/>
          <w:sz w:val="24"/>
        </w:rPr>
        <w:t>0788</w:t>
      </w:r>
      <w:r w:rsidR="00AB7063" w:rsidRPr="00AB7063">
        <w:rPr>
          <w:rFonts w:ascii="Times New Roman" w:eastAsia="Arial Unicode MS" w:hAnsi="Times New Roman"/>
          <w:sz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r w:rsidRPr="00AB7063">
        <w:rPr>
          <w:rFonts w:ascii="Times New Roman" w:eastAsia="Arial Unicode MS" w:hAnsi="Times New Roman"/>
          <w:sz w:val="24"/>
        </w:rPr>
        <w:t xml:space="preserve"> </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B4159F" w:rsidRDefault="00B4159F">
      <w:pPr>
        <w:tabs>
          <w:tab w:val="left" w:pos="480"/>
          <w:tab w:val="right" w:pos="8640"/>
        </w:tabs>
        <w:ind w:right="684"/>
        <w:rPr>
          <w:rFonts w:ascii="Times New Roman" w:hAnsi="Times New Roman"/>
          <w:sz w:val="24"/>
        </w:rPr>
      </w:pPr>
    </w:p>
    <w:p w:rsidR="00B4159F" w:rsidRDefault="00B4159F">
      <w:pPr>
        <w:rPr>
          <w:rFonts w:ascii="Times New Roman" w:hAnsi="Times New Roman"/>
          <w:sz w:val="24"/>
        </w:rPr>
      </w:pPr>
      <w:r>
        <w:rPr>
          <w:rFonts w:ascii="Times New Roman" w:hAnsi="Times New Roman"/>
          <w:sz w:val="24"/>
        </w:rPr>
        <w:t xml:space="preserve">6.  The form is used to collect the information that is </w:t>
      </w:r>
      <w:proofErr w:type="spellStart"/>
      <w:r>
        <w:rPr>
          <w:rFonts w:ascii="Times New Roman" w:hAnsi="Times New Roman"/>
          <w:sz w:val="24"/>
        </w:rPr>
        <w:t>ecessary</w:t>
      </w:r>
      <w:proofErr w:type="spellEnd"/>
      <w:r>
        <w:rPr>
          <w:rFonts w:ascii="Times New Roman" w:hAnsi="Times New Roman"/>
          <w:sz w:val="24"/>
        </w:rPr>
        <w:t xml:space="preserve"> to determine whether an apportionment may be authorized and the reasonable amount that may be awarded.  Without this </w:t>
      </w:r>
      <w:r>
        <w:rPr>
          <w:rFonts w:ascii="Times New Roman" w:hAnsi="Times New Roman"/>
          <w:sz w:val="24"/>
        </w:rPr>
        <w:lastRenderedPageBreak/>
        <w:t>collection of information, VA would be unable to properly authorize apportionments of compensation and pension benefits.</w:t>
      </w:r>
    </w:p>
    <w:p w:rsidR="00B4159F" w:rsidRDefault="00B4159F">
      <w:pPr>
        <w:rPr>
          <w:rFonts w:ascii="Times New Roman" w:hAnsi="Times New Roman"/>
          <w:sz w:val="24"/>
        </w:rPr>
      </w:pPr>
    </w:p>
    <w:p w:rsidR="00B4159F" w:rsidRDefault="00B4159F">
      <w:pPr>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B4159F" w:rsidRDefault="00B4159F">
      <w:pPr>
        <w:pStyle w:val="NormalWeb"/>
        <w:spacing w:before="0" w:beforeAutospacing="0" w:after="0" w:afterAutospacing="0"/>
        <w:rPr>
          <w:rFonts w:ascii="Times New Roman" w:eastAsia="Times New Roman" w:hAnsi="Times New Roman" w:cs="Times New Roman"/>
          <w:szCs w:val="20"/>
        </w:rPr>
      </w:pPr>
    </w:p>
    <w:p w:rsidR="00F37D73" w:rsidRDefault="00F37D73" w:rsidP="00F37D73">
      <w:pPr>
        <w:pStyle w:val="BodyText"/>
        <w:rPr>
          <w:rFonts w:ascii="Times New Roman" w:hAnsi="Times New Roman"/>
          <w:sz w:val="24"/>
        </w:rPr>
      </w:pPr>
      <w:r>
        <w:rPr>
          <w:rFonts w:ascii="Times New Roman" w:hAnsi="Times New Roman"/>
          <w:sz w:val="24"/>
        </w:rPr>
        <w:t xml:space="preserve">8.  </w:t>
      </w:r>
      <w:r w:rsidR="00AB7063">
        <w:rPr>
          <w:rFonts w:ascii="Times New Roman" w:hAnsi="Times New Roman"/>
          <w:sz w:val="24"/>
        </w:rPr>
        <w:t xml:space="preserve">The Department notice was published in the Federal Register on (insert date), (Volume XX, </w:t>
      </w:r>
      <w:proofErr w:type="gramStart"/>
      <w:r w:rsidR="00AB7063">
        <w:rPr>
          <w:rFonts w:ascii="Times New Roman" w:hAnsi="Times New Roman"/>
          <w:sz w:val="24"/>
        </w:rPr>
        <w:t>No</w:t>
      </w:r>
      <w:proofErr w:type="gramEnd"/>
      <w:r w:rsidR="00AB7063">
        <w:rPr>
          <w:rFonts w:ascii="Times New Roman" w:hAnsi="Times New Roman"/>
          <w:sz w:val="24"/>
        </w:rPr>
        <w:t>. X), (page/pages).   (No or number) comments were received in response to this notice.</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 xml:space="preserve">9.  No payments or gifts to respondents have been made under this collection of </w:t>
      </w:r>
      <w:r w:rsidR="00AB7063">
        <w:rPr>
          <w:rFonts w:ascii="Times New Roman" w:hAnsi="Times New Roman"/>
          <w:sz w:val="24"/>
        </w:rPr>
        <w:t>i</w:t>
      </w:r>
      <w:r>
        <w:rPr>
          <w:rFonts w:ascii="Times New Roman" w:hAnsi="Times New Roman"/>
          <w:sz w:val="24"/>
        </w:rPr>
        <w:t>nformation.</w:t>
      </w:r>
    </w:p>
    <w:p w:rsidR="00B4159F" w:rsidRDefault="00B4159F">
      <w:pPr>
        <w:tabs>
          <w:tab w:val="left" w:pos="480"/>
          <w:tab w:val="right" w:pos="8640"/>
        </w:tabs>
        <w:ind w:right="684"/>
        <w:rPr>
          <w:rFonts w:ascii="Times New Roman" w:hAnsi="Times New Roman"/>
          <w:sz w:val="24"/>
        </w:rPr>
      </w:pPr>
    </w:p>
    <w:p w:rsidR="00D51A17" w:rsidRPr="00924B82" w:rsidRDefault="00D51A17" w:rsidP="00D51A17">
      <w:pPr>
        <w:rPr>
          <w:rFonts w:ascii="Times New Roman" w:hAnsi="Times New Roman"/>
          <w:sz w:val="24"/>
          <w:szCs w:val="24"/>
        </w:rPr>
      </w:pPr>
      <w:r w:rsidRPr="00924B82">
        <w:rPr>
          <w:rFonts w:ascii="Times New Roman" w:hAnsi="Times New Roman"/>
          <w:sz w:val="24"/>
          <w:szCs w:val="24"/>
        </w:rPr>
        <w:t>10.  The records are maintained in the appropriate Privacy Act System of Recor</w:t>
      </w:r>
      <w:r w:rsidR="00AB7063">
        <w:rPr>
          <w:rFonts w:ascii="Times New Roman" w:hAnsi="Times New Roman"/>
          <w:sz w:val="24"/>
          <w:szCs w:val="24"/>
        </w:rPr>
        <w:t>ds identified as 58VA21/22/28, “</w:t>
      </w:r>
      <w:r w:rsidRPr="00924B82">
        <w:rPr>
          <w:rFonts w:ascii="Times New Roman" w:hAnsi="Times New Roman"/>
          <w:sz w:val="24"/>
          <w:szCs w:val="24"/>
        </w:rPr>
        <w:t xml:space="preserve">Compensation, Pension, Education, </w:t>
      </w:r>
      <w:r w:rsidR="00AB7063">
        <w:rPr>
          <w:rFonts w:ascii="Times New Roman" w:hAnsi="Times New Roman"/>
          <w:sz w:val="24"/>
          <w:szCs w:val="24"/>
        </w:rPr>
        <w:t xml:space="preserve">and Rehabilitation Records—VA” </w:t>
      </w:r>
      <w:r w:rsidRPr="00924B82">
        <w:rPr>
          <w:rFonts w:ascii="Times New Roman" w:hAnsi="Times New Roman"/>
          <w:sz w:val="24"/>
          <w:szCs w:val="24"/>
        </w:rPr>
        <w:t>as set forth in Privacy Act Issuances, 1993 compilation found in 74 Fed. Reg. 117 (June 19, 2009).</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w:t>
      </w:r>
      <w:r w:rsidR="00AB7063">
        <w:rPr>
          <w:rFonts w:ascii="Times New Roman" w:hAnsi="Times New Roman"/>
          <w:sz w:val="24"/>
        </w:rPr>
        <w:t xml:space="preserve">: </w:t>
      </w:r>
      <w:r>
        <w:rPr>
          <w:rFonts w:ascii="Times New Roman" w:hAnsi="Times New Roman"/>
          <w:sz w:val="24"/>
        </w:rPr>
        <w:t>25,000.</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proofErr w:type="gramStart"/>
      <w:r>
        <w:rPr>
          <w:rFonts w:ascii="Times New Roman" w:hAnsi="Times New Roman"/>
          <w:sz w:val="24"/>
        </w:rPr>
        <w:t>b.  F</w:t>
      </w:r>
      <w:r w:rsidR="00AB7063">
        <w:rPr>
          <w:rFonts w:ascii="Times New Roman" w:hAnsi="Times New Roman"/>
          <w:sz w:val="24"/>
        </w:rPr>
        <w:t>requency</w:t>
      </w:r>
      <w:proofErr w:type="gramEnd"/>
      <w:r w:rsidR="00AB7063">
        <w:rPr>
          <w:rFonts w:ascii="Times New Roman" w:hAnsi="Times New Roman"/>
          <w:sz w:val="24"/>
        </w:rPr>
        <w:t xml:space="preserve"> of Response is one time</w:t>
      </w:r>
      <w:r>
        <w:rPr>
          <w:rFonts w:ascii="Times New Roman" w:hAnsi="Times New Roman"/>
          <w:sz w:val="24"/>
        </w:rPr>
        <w:t xml:space="preserve">.  </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12,500 hours.</w:t>
      </w:r>
    </w:p>
    <w:p w:rsidR="00B4159F" w:rsidRDefault="00B4159F">
      <w:pPr>
        <w:tabs>
          <w:tab w:val="left" w:pos="480"/>
          <w:tab w:val="right" w:pos="8640"/>
        </w:tabs>
        <w:ind w:right="684"/>
        <w:rPr>
          <w:rFonts w:ascii="Times New Roman" w:hAnsi="Times New Roman"/>
          <w:sz w:val="24"/>
        </w:rPr>
      </w:pPr>
    </w:p>
    <w:p w:rsidR="00B4159F" w:rsidRDefault="00D70060">
      <w:pPr>
        <w:tabs>
          <w:tab w:val="left" w:pos="480"/>
          <w:tab w:val="right" w:pos="8640"/>
        </w:tabs>
        <w:ind w:right="684"/>
        <w:rPr>
          <w:rFonts w:ascii="Times New Roman" w:hAnsi="Times New Roman"/>
          <w:sz w:val="24"/>
        </w:rPr>
      </w:pPr>
      <w:proofErr w:type="gramStart"/>
      <w:r>
        <w:rPr>
          <w:rFonts w:ascii="Times New Roman" w:hAnsi="Times New Roman"/>
          <w:sz w:val="24"/>
        </w:rPr>
        <w:t>d.  E</w:t>
      </w:r>
      <w:r w:rsidR="00B4159F">
        <w:rPr>
          <w:rFonts w:ascii="Times New Roman" w:hAnsi="Times New Roman"/>
          <w:sz w:val="24"/>
        </w:rPr>
        <w:t>stimated</w:t>
      </w:r>
      <w:proofErr w:type="gramEnd"/>
      <w:r w:rsidR="00B4159F">
        <w:rPr>
          <w:rFonts w:ascii="Times New Roman" w:hAnsi="Times New Roman"/>
          <w:sz w:val="24"/>
        </w:rPr>
        <w:t xml:space="preserve"> completion time</w:t>
      </w:r>
      <w:r>
        <w:rPr>
          <w:rFonts w:ascii="Times New Roman" w:hAnsi="Times New Roman"/>
          <w:sz w:val="24"/>
        </w:rPr>
        <w:t>:</w:t>
      </w:r>
      <w:r w:rsidR="00B4159F">
        <w:rPr>
          <w:rFonts w:ascii="Times New Roman" w:hAnsi="Times New Roman"/>
          <w:sz w:val="24"/>
        </w:rPr>
        <w:t xml:space="preserve"> 30 minutes.</w:t>
      </w:r>
    </w:p>
    <w:p w:rsidR="00B4159F" w:rsidRDefault="00B4159F">
      <w:pPr>
        <w:tabs>
          <w:tab w:val="left" w:pos="480"/>
          <w:tab w:val="right" w:pos="8640"/>
        </w:tabs>
        <w:ind w:right="684"/>
        <w:rPr>
          <w:rFonts w:ascii="Times New Roman" w:hAnsi="Times New Roman"/>
          <w:sz w:val="24"/>
        </w:rPr>
      </w:pPr>
    </w:p>
    <w:p w:rsidR="00AB7063" w:rsidRDefault="00B4159F">
      <w:pPr>
        <w:tabs>
          <w:tab w:val="left" w:pos="480"/>
          <w:tab w:val="right" w:pos="8640"/>
        </w:tabs>
        <w:ind w:right="684"/>
        <w:rPr>
          <w:rFonts w:ascii="Times New Roman" w:hAnsi="Times New Roman"/>
          <w:sz w:val="24"/>
        </w:rPr>
      </w:pPr>
      <w:proofErr w:type="gramStart"/>
      <w:r>
        <w:rPr>
          <w:rFonts w:ascii="Times New Roman" w:hAnsi="Times New Roman"/>
          <w:sz w:val="24"/>
        </w:rPr>
        <w:t xml:space="preserve">e.  </w:t>
      </w:r>
      <w:r w:rsidR="00AB7063" w:rsidRPr="00AB7063">
        <w:rPr>
          <w:rFonts w:ascii="Times New Roman" w:hAnsi="Times New Roman"/>
          <w:sz w:val="24"/>
        </w:rPr>
        <w:t>According</w:t>
      </w:r>
      <w:proofErr w:type="gramEnd"/>
      <w:r w:rsidR="00AB7063" w:rsidRPr="00AB7063">
        <w:rPr>
          <w:rFonts w:ascii="Times New Roman" w:hAnsi="Times New Roman"/>
          <w:sz w:val="24"/>
        </w:rPr>
        <w:t xml:space="preserve"> to the U.S. Bureau of Labor Statistics Average Hourly Earnings, the cost to the respondent is $24, making the total cost to the respondents an estimated $</w:t>
      </w:r>
      <w:r w:rsidR="00AB7063">
        <w:rPr>
          <w:rFonts w:ascii="Times New Roman" w:hAnsi="Times New Roman"/>
          <w:sz w:val="24"/>
        </w:rPr>
        <w:t>300,000</w:t>
      </w:r>
      <w:r w:rsidR="00AB7063" w:rsidRPr="00AB7063">
        <w:rPr>
          <w:rFonts w:ascii="Times New Roman" w:hAnsi="Times New Roman"/>
          <w:sz w:val="24"/>
        </w:rPr>
        <w:t xml:space="preserve"> (</w:t>
      </w:r>
      <w:r w:rsidR="00AB7063">
        <w:rPr>
          <w:rFonts w:ascii="Times New Roman" w:hAnsi="Times New Roman"/>
          <w:sz w:val="24"/>
        </w:rPr>
        <w:t>12,500</w:t>
      </w:r>
      <w:r w:rsidR="00AB7063" w:rsidRPr="00AB7063">
        <w:rPr>
          <w:rFonts w:ascii="Times New Roman" w:hAnsi="Times New Roman"/>
          <w:sz w:val="24"/>
        </w:rPr>
        <w:t xml:space="preserve"> burden hours x $24 per hour).</w:t>
      </w:r>
    </w:p>
    <w:p w:rsidR="00AB7063" w:rsidRDefault="00AB7063">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D51A17">
        <w:rPr>
          <w:rFonts w:ascii="Times New Roman" w:hAnsi="Times New Roman"/>
          <w:sz w:val="24"/>
        </w:rPr>
        <w:t>2,129,375</w:t>
      </w:r>
    </w:p>
    <w:p w:rsidR="00B4159F" w:rsidRDefault="00B4159F">
      <w:pPr>
        <w:tabs>
          <w:tab w:val="left" w:pos="480"/>
          <w:tab w:val="right" w:pos="4680"/>
          <w:tab w:val="right" w:pos="8640"/>
        </w:tabs>
        <w:ind w:right="684"/>
        <w:rPr>
          <w:rFonts w:ascii="Times New Roman" w:hAnsi="Times New Roman"/>
          <w:sz w:val="24"/>
        </w:rPr>
      </w:pPr>
    </w:p>
    <w:p w:rsidR="00B4159F" w:rsidRDefault="00B4159F">
      <w:pPr>
        <w:tabs>
          <w:tab w:val="left" w:pos="480"/>
          <w:tab w:val="right" w:pos="4680"/>
          <w:tab w:val="right" w:pos="8640"/>
        </w:tabs>
        <w:ind w:right="684"/>
        <w:rPr>
          <w:rFonts w:ascii="Times New Roman" w:hAnsi="Times New Roman"/>
          <w:sz w:val="24"/>
        </w:rPr>
      </w:pPr>
      <w:r>
        <w:rPr>
          <w:rFonts w:ascii="Times New Roman" w:hAnsi="Times New Roman"/>
          <w:sz w:val="24"/>
        </w:rPr>
        <w:tab/>
        <w:t>(GS-12/5 @ $</w:t>
      </w:r>
      <w:r w:rsidR="00D51A17">
        <w:rPr>
          <w:rFonts w:ascii="Times New Roman" w:hAnsi="Times New Roman"/>
          <w:sz w:val="24"/>
        </w:rPr>
        <w:t>40.66</w:t>
      </w:r>
      <w:r>
        <w:rPr>
          <w:rFonts w:ascii="Times New Roman" w:hAnsi="Times New Roman"/>
          <w:sz w:val="24"/>
        </w:rPr>
        <w:t xml:space="preserve"> x 25,000 x 60/60 minutes =    $</w:t>
      </w:r>
      <w:r w:rsidR="00D51A17">
        <w:rPr>
          <w:rFonts w:ascii="Times New Roman" w:hAnsi="Times New Roman"/>
          <w:sz w:val="24"/>
        </w:rPr>
        <w:t>1,016,500</w:t>
      </w:r>
      <w:r>
        <w:rPr>
          <w:rFonts w:ascii="Times New Roman" w:hAnsi="Times New Roman"/>
          <w:sz w:val="24"/>
        </w:rPr>
        <w:t>)</w:t>
      </w:r>
    </w:p>
    <w:p w:rsidR="00B4159F" w:rsidRDefault="00B4159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D51A17">
        <w:rPr>
          <w:rFonts w:ascii="Times New Roman" w:hAnsi="Times New Roman"/>
          <w:sz w:val="24"/>
        </w:rPr>
        <w:t>28.04</w:t>
      </w:r>
      <w:r>
        <w:rPr>
          <w:rFonts w:ascii="Times New Roman" w:hAnsi="Times New Roman"/>
          <w:sz w:val="24"/>
        </w:rPr>
        <w:t xml:space="preserve"> x 25,000 x 90/60 minutes =      $</w:t>
      </w:r>
      <w:r w:rsidR="00D51A17">
        <w:rPr>
          <w:rFonts w:ascii="Times New Roman" w:hAnsi="Times New Roman"/>
          <w:sz w:val="24"/>
        </w:rPr>
        <w:t>1,051,500</w:t>
      </w:r>
      <w:r>
        <w:rPr>
          <w:rFonts w:ascii="Times New Roman" w:hAnsi="Times New Roman"/>
          <w:sz w:val="24"/>
        </w:rPr>
        <w:t>)</w:t>
      </w:r>
    </w:p>
    <w:p w:rsidR="00B4159F" w:rsidRDefault="00B4159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(GS-3/5 @ $</w:t>
      </w:r>
      <w:r w:rsidR="00D51A17">
        <w:rPr>
          <w:rFonts w:ascii="Times New Roman" w:hAnsi="Times New Roman"/>
          <w:sz w:val="24"/>
        </w:rPr>
        <w:t>14.73</w:t>
      </w:r>
      <w:r>
        <w:rPr>
          <w:rFonts w:ascii="Times New Roman" w:hAnsi="Times New Roman"/>
          <w:sz w:val="24"/>
        </w:rPr>
        <w:t xml:space="preserve"> x 25,000 x 10/60 minutes =      $  </w:t>
      </w:r>
      <w:r w:rsidR="00AB7063">
        <w:rPr>
          <w:rFonts w:ascii="Times New Roman" w:hAnsi="Times New Roman"/>
          <w:sz w:val="24"/>
        </w:rPr>
        <w:t xml:space="preserve">   </w:t>
      </w:r>
      <w:r w:rsidR="00D51A17">
        <w:rPr>
          <w:rFonts w:ascii="Times New Roman" w:hAnsi="Times New Roman"/>
          <w:sz w:val="24"/>
        </w:rPr>
        <w:t>61,375</w:t>
      </w:r>
      <w:r>
        <w:rPr>
          <w:rFonts w:ascii="Times New Roman" w:hAnsi="Times New Roman"/>
          <w:sz w:val="24"/>
        </w:rPr>
        <w:t>)</w:t>
      </w:r>
    </w:p>
    <w:p w:rsidR="00B4159F" w:rsidRDefault="00B4159F">
      <w:pPr>
        <w:tabs>
          <w:tab w:val="left" w:pos="480"/>
          <w:tab w:val="right" w:pos="4680"/>
          <w:tab w:val="right" w:pos="8640"/>
        </w:tabs>
        <w:ind w:right="684"/>
        <w:rPr>
          <w:rFonts w:ascii="Times New Roman" w:hAnsi="Times New Roman"/>
          <w:sz w:val="24"/>
        </w:rPr>
      </w:pPr>
    </w:p>
    <w:p w:rsidR="00B4159F" w:rsidRDefault="00B4159F">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$1,050</w:t>
      </w:r>
    </w:p>
    <w:p w:rsidR="00B4159F" w:rsidRDefault="00B4159F">
      <w:pPr>
        <w:tabs>
          <w:tab w:val="left" w:pos="480"/>
          <w:tab w:val="right" w:pos="6120"/>
          <w:tab w:val="right" w:pos="8640"/>
        </w:tabs>
        <w:ind w:right="684"/>
        <w:rPr>
          <w:rFonts w:ascii="Times New Roman" w:hAnsi="Times New Roman"/>
          <w:sz w:val="24"/>
        </w:rPr>
      </w:pPr>
    </w:p>
    <w:p w:rsidR="00B4159F" w:rsidRDefault="00B4159F">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D51A17">
        <w:rPr>
          <w:rFonts w:ascii="Times New Roman" w:hAnsi="Times New Roman"/>
          <w:sz w:val="24"/>
        </w:rPr>
        <w:t>2,129,375</w:t>
      </w:r>
    </w:p>
    <w:p w:rsidR="00B4159F" w:rsidRDefault="00B4159F">
      <w:pPr>
        <w:tabs>
          <w:tab w:val="left" w:pos="480"/>
          <w:tab w:val="right" w:pos="8640"/>
        </w:tabs>
        <w:ind w:right="684"/>
        <w:rPr>
          <w:rFonts w:ascii="Times New Roman" w:hAnsi="Times New Roman"/>
          <w:sz w:val="24"/>
        </w:rPr>
      </w:pPr>
    </w:p>
    <w:p w:rsidR="00AB7063" w:rsidRPr="0018418A" w:rsidRDefault="00B4159F" w:rsidP="00AB7063">
      <w:pPr>
        <w:pStyle w:val="BodyText"/>
        <w:rPr>
          <w:rFonts w:ascii="Times New Roman" w:hAnsi="Times New Roman"/>
          <w:b/>
          <w:sz w:val="24"/>
          <w:szCs w:val="24"/>
          <w:u w:val="single"/>
        </w:rPr>
      </w:pPr>
      <w:r>
        <w:rPr>
          <w:rFonts w:ascii="Times New Roman" w:hAnsi="Times New Roman"/>
          <w:sz w:val="24"/>
        </w:rPr>
        <w:lastRenderedPageBreak/>
        <w:t xml:space="preserve">15.  </w:t>
      </w:r>
      <w:r w:rsidR="00AB7063" w:rsidRPr="0018418A">
        <w:rPr>
          <w:rFonts w:ascii="Times New Roman" w:hAnsi="Times New Roman"/>
          <w:b/>
          <w:sz w:val="24"/>
          <w:szCs w:val="24"/>
          <w:u w:val="single"/>
        </w:rPr>
        <w:t>Supplemental Statement regarding non-substantive changes made to VA Form 21-</w:t>
      </w:r>
      <w:r w:rsidR="00D70060">
        <w:rPr>
          <w:rFonts w:ascii="Times New Roman" w:hAnsi="Times New Roman"/>
          <w:b/>
          <w:sz w:val="24"/>
          <w:szCs w:val="24"/>
          <w:u w:val="single"/>
        </w:rPr>
        <w:t>0788</w:t>
      </w:r>
      <w:r w:rsidR="00AB7063" w:rsidRPr="0018418A">
        <w:rPr>
          <w:rFonts w:ascii="Times New Roman" w:hAnsi="Times New Roman"/>
          <w:b/>
          <w:sz w:val="24"/>
          <w:szCs w:val="24"/>
          <w:u w:val="single"/>
        </w:rPr>
        <w:t xml:space="preserve">.  </w:t>
      </w:r>
    </w:p>
    <w:p w:rsidR="00AB7063" w:rsidRPr="0018418A" w:rsidRDefault="00AB7063" w:rsidP="00AB7063">
      <w:pPr>
        <w:pStyle w:val="BodyText"/>
        <w:ind w:left="720"/>
        <w:rPr>
          <w:rFonts w:ascii="Times New Roman" w:hAnsi="Times New Roman"/>
          <w:sz w:val="24"/>
          <w:szCs w:val="24"/>
        </w:rPr>
      </w:pPr>
    </w:p>
    <w:p w:rsidR="00AB7063" w:rsidRPr="0018418A" w:rsidRDefault="00AB7063" w:rsidP="00AB7063">
      <w:pPr>
        <w:pStyle w:val="BodyText"/>
        <w:rPr>
          <w:rFonts w:ascii="Times New Roman" w:hAnsi="Times New Roman"/>
          <w:sz w:val="24"/>
          <w:szCs w:val="24"/>
        </w:rPr>
      </w:pPr>
      <w:r w:rsidRPr="0018418A">
        <w:rPr>
          <w:rFonts w:ascii="Times New Roman" w:hAnsi="Times New Roman"/>
          <w:sz w:val="24"/>
          <w:szCs w:val="24"/>
        </w:rPr>
        <w:t xml:space="preserve">On June 26, 2013, the Supreme Court held, in United States v. Windsor, that section 3 of the Defense of Marriage Act (DOMA) violates the Fifth Amendment by discriminating against same-sex couples who are lawfully married under state law.  </w:t>
      </w:r>
    </w:p>
    <w:p w:rsidR="00AB7063" w:rsidRPr="0018418A" w:rsidRDefault="00AB7063" w:rsidP="00AB7063">
      <w:pPr>
        <w:pStyle w:val="BodyText"/>
        <w:ind w:left="720"/>
        <w:rPr>
          <w:rFonts w:ascii="Times New Roman" w:hAnsi="Times New Roman"/>
          <w:sz w:val="24"/>
          <w:szCs w:val="24"/>
        </w:rPr>
      </w:pPr>
    </w:p>
    <w:p w:rsidR="00AB7063" w:rsidRPr="0018418A" w:rsidRDefault="00AB7063" w:rsidP="00AB7063">
      <w:pPr>
        <w:pStyle w:val="BodyText"/>
        <w:rPr>
          <w:rFonts w:ascii="Times New Roman" w:hAnsi="Times New Roman"/>
          <w:sz w:val="24"/>
          <w:szCs w:val="24"/>
        </w:rPr>
      </w:pPr>
      <w:r w:rsidRPr="0018418A">
        <w:rPr>
          <w:rFonts w:ascii="Times New Roman" w:hAnsi="Times New Roman"/>
          <w:sz w:val="24"/>
          <w:szCs w:val="24"/>
        </w:rPr>
        <w:t xml:space="preserve">VBA administers benefits and programs that depend on the definition of the terms “spouse” and “surviving spouse.”  For purposes of VA benefits, </w:t>
      </w:r>
      <w:hyperlink r:id="rId6" w:history="1">
        <w:r w:rsidRPr="0018418A">
          <w:rPr>
            <w:rFonts w:ascii="Times New Roman" w:hAnsi="Times New Roman"/>
            <w:sz w:val="24"/>
            <w:szCs w:val="24"/>
          </w:rPr>
          <w:t>38 U.S.C. § 101(3)</w:t>
        </w:r>
      </w:hyperlink>
      <w:r w:rsidRPr="0018418A">
        <w:rPr>
          <w:rFonts w:ascii="Times New Roman" w:hAnsi="Times New Roman"/>
          <w:sz w:val="24"/>
          <w:szCs w:val="24"/>
        </w:rPr>
        <w:t xml:space="preserve"> and § 101(31)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7" w:history="1">
        <w:r w:rsidRPr="0018418A">
          <w:rPr>
            <w:rFonts w:ascii="Times New Roman" w:hAnsi="Times New Roman"/>
            <w:sz w:val="24"/>
            <w:szCs w:val="24"/>
          </w:rPr>
          <w:t>38 U.S.C. §§ 101(3)</w:t>
        </w:r>
      </w:hyperlink>
      <w:r w:rsidRPr="0018418A">
        <w:rPr>
          <w:rFonts w:ascii="Times New Roman" w:hAnsi="Times New Roman"/>
          <w:sz w:val="24"/>
          <w:szCs w:val="24"/>
        </w:rPr>
        <w:t xml:space="preserve"> and 101(31), to the extent they preclude provision of Veterans’ benefits to same-sex married couples.  Accordingly, VA will no longer enforce the above-mentioned statutory provisions or VBA’s implementing regulation (</w:t>
      </w:r>
      <w:hyperlink r:id="rId8" w:history="1">
        <w:r w:rsidRPr="0018418A">
          <w:rPr>
            <w:rFonts w:ascii="Times New Roman" w:hAnsi="Times New Roman"/>
            <w:sz w:val="24"/>
            <w:szCs w:val="24"/>
          </w:rPr>
          <w:t>38 C.F.R. § 3.50</w:t>
        </w:r>
      </w:hyperlink>
      <w:r w:rsidRPr="0018418A">
        <w:rPr>
          <w:rFonts w:ascii="Times New Roman" w:hAnsi="Times New Roman"/>
          <w:sz w:val="24"/>
          <w:szCs w:val="24"/>
        </w:rP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9" w:history="1">
        <w:r w:rsidRPr="0018418A">
          <w:rPr>
            <w:rFonts w:ascii="Times New Roman" w:hAnsi="Times New Roman"/>
            <w:sz w:val="24"/>
            <w:szCs w:val="24"/>
          </w:rPr>
          <w:t>38 U.S.C. § 103(c)</w:t>
        </w:r>
      </w:hyperlink>
      <w:r w:rsidRPr="0018418A">
        <w:rPr>
          <w:rFonts w:ascii="Times New Roman" w:hAnsi="Times New Roman"/>
          <w:sz w:val="24"/>
          <w:szCs w:val="24"/>
        </w:rPr>
        <w:t>.</w:t>
      </w:r>
    </w:p>
    <w:p w:rsidR="00AB7063" w:rsidRPr="0018418A" w:rsidRDefault="00AB7063" w:rsidP="00AB7063">
      <w:pPr>
        <w:pStyle w:val="BodyText"/>
        <w:ind w:left="720"/>
        <w:rPr>
          <w:rFonts w:ascii="Times New Roman" w:hAnsi="Times New Roman"/>
          <w:sz w:val="24"/>
          <w:szCs w:val="24"/>
        </w:rPr>
      </w:pPr>
    </w:p>
    <w:p w:rsidR="00AB7063" w:rsidRPr="0018418A" w:rsidRDefault="00AB7063" w:rsidP="00AB7063">
      <w:pPr>
        <w:pStyle w:val="BodyText"/>
        <w:rPr>
          <w:rFonts w:ascii="Times New Roman" w:hAnsi="Times New Roman"/>
          <w:sz w:val="24"/>
          <w:szCs w:val="24"/>
        </w:rPr>
      </w:pPr>
      <w:r w:rsidRPr="0018418A">
        <w:rPr>
          <w:rFonts w:ascii="Times New Roman" w:hAnsi="Times New Roman"/>
          <w:sz w:val="24"/>
          <w:szCs w:val="24"/>
        </w:rPr>
        <w:t>Therefore, VA is revising VA Form 21-</w:t>
      </w:r>
      <w:r w:rsidR="00D70060">
        <w:rPr>
          <w:rFonts w:ascii="Times New Roman" w:hAnsi="Times New Roman"/>
          <w:sz w:val="24"/>
          <w:szCs w:val="24"/>
        </w:rPr>
        <w:t>0788</w:t>
      </w:r>
      <w:r w:rsidRPr="0018418A">
        <w:rPr>
          <w:rFonts w:ascii="Times New Roman" w:hAnsi="Times New Roman"/>
          <w:sz w:val="24"/>
          <w:szCs w:val="24"/>
        </w:rPr>
        <w:t xml:space="preserve">, to add the following statute language approved by the White House and Department of Justice, in the instructions section of the form: </w:t>
      </w:r>
    </w:p>
    <w:p w:rsidR="00AB7063" w:rsidRPr="0018418A" w:rsidRDefault="00AB7063" w:rsidP="00AB7063">
      <w:pPr>
        <w:pStyle w:val="BodyText"/>
        <w:ind w:left="720"/>
        <w:rPr>
          <w:rFonts w:ascii="Times New Roman" w:hAnsi="Times New Roman"/>
          <w:sz w:val="24"/>
          <w:szCs w:val="24"/>
        </w:rPr>
      </w:pPr>
    </w:p>
    <w:p w:rsidR="00AB7063" w:rsidRPr="0018418A" w:rsidRDefault="00AB7063" w:rsidP="00AB7063">
      <w:pPr>
        <w:pStyle w:val="BodyText"/>
        <w:ind w:left="720"/>
        <w:rPr>
          <w:rFonts w:ascii="Times New Roman" w:hAnsi="Times New Roman"/>
          <w:sz w:val="24"/>
          <w:szCs w:val="24"/>
        </w:rPr>
      </w:pPr>
      <w:r>
        <w:rPr>
          <w:rFonts w:ascii="Times New Roman" w:hAnsi="Times New Roman"/>
          <w:sz w:val="24"/>
          <w:szCs w:val="24"/>
        </w:rPr>
        <w:t xml:space="preserve">IMPORTANT: </w:t>
      </w:r>
      <w:r w:rsidRPr="0018418A">
        <w:rPr>
          <w:rFonts w:ascii="Times New Roman" w:hAnsi="Times New Roman"/>
          <w:sz w:val="24"/>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10" w:history="1">
        <w:r w:rsidRPr="0018418A">
          <w:rPr>
            <w:rFonts w:ascii="Times New Roman" w:hAnsi="Times New Roman"/>
            <w:sz w:val="24"/>
            <w:u w:val="single"/>
          </w:rPr>
          <w:t>http://www.va.gov/opa/marriage/</w:t>
        </w:r>
      </w:hyperlink>
      <w:r w:rsidRPr="0018418A">
        <w:rPr>
          <w:rFonts w:ascii="Times New Roman" w:hAnsi="Times New Roman"/>
          <w:sz w:val="24"/>
          <w:szCs w:val="24"/>
        </w:rPr>
        <w:t>.</w:t>
      </w:r>
    </w:p>
    <w:p w:rsidR="00AB7063" w:rsidRDefault="00AB7063" w:rsidP="00AB7063">
      <w:pPr>
        <w:ind w:left="720"/>
      </w:pPr>
    </w:p>
    <w:p w:rsidR="00AB7063" w:rsidRDefault="00AB7063" w:rsidP="00AB7063">
      <w:pPr>
        <w:pStyle w:val="BodyText"/>
        <w:rPr>
          <w:rFonts w:ascii="Times New Roman" w:hAnsi="Times New Roman"/>
          <w:sz w:val="24"/>
        </w:rPr>
      </w:pPr>
      <w:r>
        <w:rPr>
          <w:rFonts w:ascii="Times New Roman" w:hAnsi="Times New Roman"/>
          <w:sz w:val="24"/>
        </w:rPr>
        <w:t>We are not seeking approval to omit the expiration date for OMB approval.</w:t>
      </w:r>
    </w:p>
    <w:p w:rsidR="00AB7063" w:rsidRDefault="00AB7063" w:rsidP="00AB7063">
      <w:pPr>
        <w:pStyle w:val="BodyText"/>
        <w:ind w:left="720"/>
        <w:rPr>
          <w:rFonts w:ascii="Times New Roman" w:hAnsi="Times New Roman"/>
          <w:sz w:val="24"/>
        </w:rPr>
      </w:pPr>
    </w:p>
    <w:p w:rsidR="00B4159F" w:rsidRDefault="00AB7063" w:rsidP="00AB7063">
      <w:pPr>
        <w:tabs>
          <w:tab w:val="left" w:pos="480"/>
          <w:tab w:val="right" w:pos="8640"/>
        </w:tabs>
        <w:ind w:right="684"/>
        <w:rPr>
          <w:rFonts w:ascii="Times New Roman" w:hAnsi="Times New Roman"/>
          <w:sz w:val="24"/>
        </w:rPr>
      </w:pPr>
      <w:r>
        <w:rPr>
          <w:rFonts w:ascii="Times New Roman" w:hAnsi="Times New Roman"/>
          <w:sz w:val="24"/>
        </w:rPr>
        <w:t>The expiration date place holder has been added to the forms.</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504"/>
        <w:rPr>
          <w:rFonts w:ascii="Times New Roman" w:hAnsi="Times New Roman"/>
          <w:sz w:val="24"/>
        </w:rPr>
      </w:pPr>
      <w:r>
        <w:rPr>
          <w:rFonts w:ascii="Times New Roman" w:hAnsi="Times New Roman"/>
          <w:sz w:val="24"/>
        </w:rPr>
        <w:t xml:space="preserve">17.  </w:t>
      </w:r>
      <w:r w:rsidR="00D70060" w:rsidRPr="00D70060">
        <w:rPr>
          <w:rFonts w:ascii="Times New Roman" w:hAnsi="Times New Roman"/>
          <w:sz w:val="24"/>
        </w:rPr>
        <w:t>We are not seeking approval to omit the expiration date for OMB approval.</w:t>
      </w:r>
    </w:p>
    <w:p w:rsidR="00B4159F" w:rsidRDefault="00B4159F">
      <w:pPr>
        <w:tabs>
          <w:tab w:val="left" w:pos="480"/>
          <w:tab w:val="right" w:pos="8640"/>
        </w:tabs>
        <w:ind w:right="684"/>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B4159F" w:rsidRDefault="00B4159F">
      <w:pPr>
        <w:autoSpaceDE w:val="0"/>
        <w:autoSpaceDN w:val="0"/>
        <w:adjustRightInd w:val="0"/>
        <w:rPr>
          <w:rFonts w:ascii="Times New Roman" w:hAnsi="Times New Roman"/>
          <w:sz w:val="24"/>
          <w:szCs w:val="24"/>
        </w:rPr>
      </w:pPr>
    </w:p>
    <w:p w:rsidR="00B4159F" w:rsidRDefault="00B4159F">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B4159F" w:rsidRDefault="00B4159F">
      <w:pPr>
        <w:autoSpaceDE w:val="0"/>
        <w:autoSpaceDN w:val="0"/>
        <w:adjustRightInd w:val="0"/>
        <w:rPr>
          <w:rFonts w:ascii="Times New Roman" w:hAnsi="Times New Roman"/>
          <w:sz w:val="24"/>
          <w:szCs w:val="24"/>
        </w:rPr>
      </w:pPr>
    </w:p>
    <w:p w:rsidR="00D70060" w:rsidRPr="00D70060" w:rsidRDefault="00D70060" w:rsidP="00D70060">
      <w:pPr>
        <w:rPr>
          <w:rFonts w:ascii="Times New Roman" w:hAnsi="Times New Roman"/>
          <w:sz w:val="24"/>
        </w:rPr>
      </w:pPr>
      <w:r w:rsidRPr="00D70060">
        <w:rPr>
          <w:rFonts w:ascii="Times New Roman" w:hAnsi="Times New Roman"/>
          <w:sz w:val="24"/>
        </w:rPr>
        <w:t>This collection of information does not employ statistical methods.</w:t>
      </w:r>
    </w:p>
    <w:p w:rsidR="00B4159F" w:rsidRDefault="00B4159F">
      <w:pPr>
        <w:autoSpaceDE w:val="0"/>
        <w:autoSpaceDN w:val="0"/>
        <w:adjustRightInd w:val="0"/>
        <w:rPr>
          <w:rFonts w:ascii="Times New Roman" w:hAnsi="Times New Roman"/>
          <w:sz w:val="24"/>
        </w:rPr>
      </w:pPr>
    </w:p>
    <w:p w:rsidR="00B4159F" w:rsidRDefault="00B4159F">
      <w:pPr>
        <w:tabs>
          <w:tab w:val="left" w:pos="720"/>
          <w:tab w:val="left" w:pos="1440"/>
          <w:tab w:val="left" w:pos="2160"/>
          <w:tab w:val="left" w:pos="2880"/>
          <w:tab w:val="left" w:pos="3600"/>
        </w:tabs>
        <w:jc w:val="both"/>
        <w:rPr>
          <w:rFonts w:ascii="Times New Roman" w:hAnsi="Times New Roman"/>
          <w:sz w:val="24"/>
        </w:rPr>
      </w:pPr>
    </w:p>
    <w:sectPr w:rsidR="00B4159F">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4">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2"/>
  </w:compat>
  <w:rsids>
    <w:rsidRoot w:val="00D51A17"/>
    <w:rsid w:val="00AB7063"/>
    <w:rsid w:val="00B4159F"/>
    <w:rsid w:val="00C02E88"/>
    <w:rsid w:val="00CB19DE"/>
    <w:rsid w:val="00D51A17"/>
    <w:rsid w:val="00D70060"/>
    <w:rsid w:val="00F3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enumbell">
    <w:name w:val="enumbell"/>
    <w:basedOn w:val="DefaultParagraphFont"/>
    <w:rPr>
      <w:b/>
      <w:bCs/>
      <w:sz w:val="20"/>
      <w:szCs w:val="20"/>
    </w:rPr>
  </w:style>
  <w:style w:type="character" w:customStyle="1" w:styleId="highlight">
    <w:name w:val="highlight"/>
    <w:basedOn w:val="DefaultParagraphFont"/>
    <w:rPr>
      <w:b w:val="0"/>
      <w:bCs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table" w:styleId="TableGrid">
    <w:name w:val="Table Grid"/>
    <w:basedOn w:val="TableNormal"/>
    <w:uiPriority w:val="59"/>
    <w:rsid w:val="00AB7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baw.vba.va.gov/bl/21/publicat/Regs/Part3/3_50.htm" TargetMode="External"/><Relationship Id="rId3" Type="http://schemas.microsoft.com/office/2007/relationships/stylesWithEffects" Target="stylesWithEffects.xml"/><Relationship Id="rId7" Type="http://schemas.openxmlformats.org/officeDocument/2006/relationships/hyperlink" Target="http://uscode.house.gov/view.xhtml?req=(title:38%20section:103%20edition:prelim)%20OR%20(granuleid:USC-prelim-title38-section103)&amp;f=treesort&amp;edition=prelim&amp;num=0&amp;jumpTo=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a.gov/opa/marriage/" TargetMode="External"/><Relationship Id="rId4" Type="http://schemas.openxmlformats.org/officeDocument/2006/relationships/settings" Target="settings.xml"/><Relationship Id="rId9" Type="http://schemas.openxmlformats.org/officeDocument/2006/relationships/hyperlink" Target="http://uscode.house.gov/view.xhtml?req=(title:38%20section:103%20edition:prelim)%20OR%20(granuleid:USC-prelim-title38-section103)&amp;f=treesort&amp;edition=prelim&amp;num=0&amp;jumpTo=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7610</CharactersWithSpaces>
  <SharedDoc>false</SharedDoc>
  <HLinks>
    <vt:vector size="30" baseType="variant">
      <vt:variant>
        <vt:i4>7929885</vt:i4>
      </vt:variant>
      <vt:variant>
        <vt:i4>12</vt:i4>
      </vt:variant>
      <vt:variant>
        <vt:i4>0</vt:i4>
      </vt:variant>
      <vt:variant>
        <vt:i4>5</vt:i4>
      </vt:variant>
      <vt:variant>
        <vt:lpwstr>http://assembler.law.cornell.edu/uscode/search/display.html?terms=5307&amp;url=/uscode/html/uscode38/usc_sup_01_38_10_III_20_34.html</vt:lpwstr>
      </vt:variant>
      <vt:variant>
        <vt:lpwstr/>
      </vt:variant>
      <vt:variant>
        <vt:i4>7929880</vt:i4>
      </vt:variant>
      <vt:variant>
        <vt:i4>9</vt:i4>
      </vt:variant>
      <vt:variant>
        <vt:i4>0</vt:i4>
      </vt:variant>
      <vt:variant>
        <vt:i4>5</vt:i4>
      </vt:variant>
      <vt:variant>
        <vt:lpwstr>http://assembler.law.cornell.edu/uscode/search/display.html?terms=5307&amp;url=/uscode/html/uscode38/usc_sup_01_38_10_III_20_31.html</vt:lpwstr>
      </vt:variant>
      <vt:variant>
        <vt:lpwstr/>
      </vt:variant>
      <vt:variant>
        <vt:i4>5701672</vt:i4>
      </vt:variant>
      <vt:variant>
        <vt:i4>6</vt:i4>
      </vt:variant>
      <vt:variant>
        <vt:i4>0</vt:i4>
      </vt:variant>
      <vt:variant>
        <vt:i4>5</vt:i4>
      </vt:variant>
      <vt:variant>
        <vt:lpwstr>http://assembler.law.cornell.edu/uscode/search/display.html?terms=5307&amp;url=/uscode/html/uscode38/usc_sup_01_38_10_IV_20_53.html</vt:lpwstr>
      </vt:variant>
      <vt:variant>
        <vt:lpwstr/>
      </vt:variant>
      <vt:variant>
        <vt:i4>589938</vt:i4>
      </vt:variant>
      <vt:variant>
        <vt:i4>3</vt:i4>
      </vt:variant>
      <vt:variant>
        <vt:i4>0</vt:i4>
      </vt:variant>
      <vt:variant>
        <vt:i4>5</vt:i4>
      </vt:variant>
      <vt:variant>
        <vt:lpwstr>http://assembler.law.cornell.edu/uscode/search/display.html?terms=5307&amp;url=/uscode/html/uscode38/usc_sup_01_38_10_IV.html</vt:lpwstr>
      </vt:variant>
      <vt:variant>
        <vt:lpwstr/>
      </vt:variant>
      <vt:variant>
        <vt:i4>1114228</vt:i4>
      </vt:variant>
      <vt:variant>
        <vt:i4>0</vt:i4>
      </vt:variant>
      <vt:variant>
        <vt:i4>0</vt:i4>
      </vt:variant>
      <vt:variant>
        <vt:i4>5</vt:i4>
      </vt:variant>
      <vt:variant>
        <vt:lpwstr>http://assembler.law.cornell.edu/uscode/search/display.html?terms=5307&amp;url=/uscode/html/uscode38/usc_sup_01_38.html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McCargo, Yvette, VBAVACO</cp:lastModifiedBy>
  <cp:revision>2</cp:revision>
  <cp:lastPrinted>2005-04-06T13:24:00Z</cp:lastPrinted>
  <dcterms:created xsi:type="dcterms:W3CDTF">2014-06-19T21:18:00Z</dcterms:created>
  <dcterms:modified xsi:type="dcterms:W3CDTF">2014-06-19T21:18:00Z</dcterms:modified>
</cp:coreProperties>
</file>