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57562D">
        <w:rPr>
          <w:sz w:val="28"/>
        </w:rPr>
        <w:t>0420-0545</w:t>
      </w:r>
      <w:r>
        <w:rPr>
          <w:sz w:val="28"/>
        </w:rPr>
        <w:t>)</w:t>
      </w:r>
    </w:p>
    <w:p w:rsidR="00E50293" w:rsidRDefault="00CA7B42" w:rsidP="00434E33">
      <w:r>
        <w:rPr>
          <w:b/>
          <w:noProof/>
        </w:rPr>
        <mc:AlternateContent>
          <mc:Choice Requires="wps">
            <w:drawing>
              <wp:anchor distT="0" distB="0" distL="114300" distR="114300" simplePos="0" relativeHeight="251657728" behindDoc="0" locked="0" layoutInCell="0" allowOverlap="1" wp14:anchorId="43580E8A" wp14:editId="2432967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936BEB" w:rsidRDefault="00936BEB" w:rsidP="00936BEB">
      <w:pPr>
        <w:rPr>
          <w:rFonts w:asciiTheme="minorHAnsi" w:hAnsiTheme="minorHAnsi"/>
          <w:color w:val="1F497D" w:themeColor="text2"/>
          <w:sz w:val="22"/>
          <w:szCs w:val="22"/>
        </w:rPr>
      </w:pPr>
    </w:p>
    <w:p w:rsidR="000C0C72" w:rsidRDefault="000C0C72" w:rsidP="00936BEB">
      <w:pPr>
        <w:rPr>
          <w:rFonts w:asciiTheme="minorHAnsi" w:hAnsiTheme="minorHAnsi"/>
          <w:color w:val="1F497D" w:themeColor="text2"/>
          <w:sz w:val="22"/>
          <w:szCs w:val="22"/>
        </w:rPr>
      </w:pPr>
      <w:r>
        <w:rPr>
          <w:rFonts w:asciiTheme="minorHAnsi" w:hAnsiTheme="minorHAnsi"/>
          <w:color w:val="1F497D" w:themeColor="text2"/>
          <w:sz w:val="22"/>
          <w:szCs w:val="22"/>
        </w:rPr>
        <w:t xml:space="preserve">Focus Groups with Parents of Millennials to </w:t>
      </w:r>
      <w:r w:rsidR="00AA495F">
        <w:rPr>
          <w:rFonts w:asciiTheme="minorHAnsi" w:hAnsiTheme="minorHAnsi"/>
          <w:color w:val="1F497D" w:themeColor="text2"/>
          <w:sz w:val="22"/>
          <w:szCs w:val="22"/>
        </w:rPr>
        <w:t>G</w:t>
      </w:r>
      <w:r>
        <w:rPr>
          <w:rFonts w:asciiTheme="minorHAnsi" w:hAnsiTheme="minorHAnsi"/>
          <w:color w:val="1F497D" w:themeColor="text2"/>
          <w:sz w:val="22"/>
          <w:szCs w:val="22"/>
        </w:rPr>
        <w:t xml:space="preserve">ather </w:t>
      </w:r>
      <w:r w:rsidR="00AA495F">
        <w:rPr>
          <w:rFonts w:asciiTheme="minorHAnsi" w:hAnsiTheme="minorHAnsi"/>
          <w:color w:val="1F497D" w:themeColor="text2"/>
          <w:sz w:val="22"/>
          <w:szCs w:val="22"/>
        </w:rPr>
        <w:t>I</w:t>
      </w:r>
      <w:r>
        <w:rPr>
          <w:rFonts w:asciiTheme="minorHAnsi" w:hAnsiTheme="minorHAnsi"/>
          <w:color w:val="1F497D" w:themeColor="text2"/>
          <w:sz w:val="22"/>
          <w:szCs w:val="22"/>
        </w:rPr>
        <w:t>nformation for Peace Corps Recruitment</w:t>
      </w:r>
    </w:p>
    <w:p w:rsidR="00936BEB" w:rsidRPr="009239AA" w:rsidRDefault="00936BEB" w:rsidP="00434E33">
      <w:pPr>
        <w:rPr>
          <w:b/>
        </w:rPr>
      </w:pPr>
    </w:p>
    <w:p w:rsidR="001B0AAA" w:rsidRDefault="00F15956">
      <w:pPr>
        <w:rPr>
          <w:b/>
        </w:rPr>
      </w:pPr>
      <w:r>
        <w:rPr>
          <w:b/>
        </w:rPr>
        <w:t>PURPOSE</w:t>
      </w:r>
      <w:r w:rsidRPr="009239AA">
        <w:rPr>
          <w:b/>
        </w:rPr>
        <w:t>:</w:t>
      </w:r>
      <w:r w:rsidR="00C14CC4" w:rsidRPr="009239AA">
        <w:rPr>
          <w:b/>
        </w:rPr>
        <w:t xml:space="preserve">  </w:t>
      </w:r>
    </w:p>
    <w:p w:rsidR="00F424AD" w:rsidRDefault="00F424AD">
      <w:pPr>
        <w:rPr>
          <w:b/>
        </w:rPr>
      </w:pPr>
    </w:p>
    <w:p w:rsidR="00F424AD" w:rsidRPr="00C16B7F" w:rsidRDefault="00F424AD" w:rsidP="00C16B7F">
      <w:pPr>
        <w:pStyle w:val="ListParagraph"/>
        <w:numPr>
          <w:ilvl w:val="0"/>
          <w:numId w:val="19"/>
        </w:numPr>
        <w:rPr>
          <w:rFonts w:asciiTheme="minorHAnsi" w:hAnsiTheme="minorHAnsi"/>
          <w:color w:val="1F497D" w:themeColor="text2"/>
          <w:sz w:val="22"/>
          <w:szCs w:val="22"/>
        </w:rPr>
      </w:pPr>
      <w:r w:rsidRPr="00C16B7F">
        <w:rPr>
          <w:rFonts w:asciiTheme="minorHAnsi" w:hAnsiTheme="minorHAnsi"/>
          <w:color w:val="1F497D" w:themeColor="text2"/>
          <w:sz w:val="22"/>
          <w:szCs w:val="22"/>
        </w:rPr>
        <w:t xml:space="preserve">To </w:t>
      </w:r>
      <w:r w:rsidR="00F34611">
        <w:rPr>
          <w:rFonts w:asciiTheme="minorHAnsi" w:hAnsiTheme="minorHAnsi"/>
          <w:color w:val="1F497D" w:themeColor="text2"/>
          <w:sz w:val="22"/>
          <w:szCs w:val="22"/>
        </w:rPr>
        <w:t xml:space="preserve">explore perceptions of the Peace Corps and other volunteer organizations among </w:t>
      </w:r>
      <w:r w:rsidR="000C0C72">
        <w:rPr>
          <w:rFonts w:asciiTheme="minorHAnsi" w:hAnsiTheme="minorHAnsi"/>
          <w:color w:val="1F497D" w:themeColor="text2"/>
          <w:sz w:val="22"/>
          <w:szCs w:val="22"/>
        </w:rPr>
        <w:t xml:space="preserve">parents of </w:t>
      </w:r>
      <w:r w:rsidR="00F34611">
        <w:rPr>
          <w:rFonts w:asciiTheme="minorHAnsi" w:hAnsiTheme="minorHAnsi"/>
          <w:color w:val="1F497D" w:themeColor="text2"/>
          <w:sz w:val="22"/>
          <w:szCs w:val="22"/>
        </w:rPr>
        <w:t>the Millenni</w:t>
      </w:r>
      <w:r w:rsidR="000C0C72">
        <w:rPr>
          <w:rFonts w:asciiTheme="minorHAnsi" w:hAnsiTheme="minorHAnsi"/>
          <w:color w:val="1F497D" w:themeColor="text2"/>
          <w:sz w:val="22"/>
          <w:szCs w:val="22"/>
        </w:rPr>
        <w:t>al generation</w:t>
      </w:r>
    </w:p>
    <w:p w:rsidR="00F34611" w:rsidRDefault="00C16B7F" w:rsidP="00C16B7F">
      <w:pPr>
        <w:pStyle w:val="ListParagraph"/>
        <w:numPr>
          <w:ilvl w:val="0"/>
          <w:numId w:val="19"/>
        </w:numPr>
        <w:rPr>
          <w:rFonts w:asciiTheme="minorHAnsi" w:hAnsiTheme="minorHAnsi"/>
          <w:color w:val="1F497D" w:themeColor="text2"/>
          <w:sz w:val="22"/>
          <w:szCs w:val="22"/>
        </w:rPr>
      </w:pPr>
      <w:r w:rsidRPr="00C16B7F">
        <w:rPr>
          <w:rFonts w:asciiTheme="minorHAnsi" w:hAnsiTheme="minorHAnsi"/>
          <w:color w:val="1F497D" w:themeColor="text2"/>
          <w:sz w:val="22"/>
          <w:szCs w:val="22"/>
        </w:rPr>
        <w:t xml:space="preserve">To </w:t>
      </w:r>
      <w:r w:rsidR="00F34611">
        <w:rPr>
          <w:rFonts w:asciiTheme="minorHAnsi" w:hAnsiTheme="minorHAnsi"/>
          <w:color w:val="1F497D" w:themeColor="text2"/>
          <w:sz w:val="22"/>
          <w:szCs w:val="22"/>
        </w:rPr>
        <w:t xml:space="preserve">understand what career options and opportunities </w:t>
      </w:r>
      <w:r w:rsidR="000C0C72">
        <w:rPr>
          <w:rFonts w:asciiTheme="minorHAnsi" w:hAnsiTheme="minorHAnsi"/>
          <w:color w:val="1F497D" w:themeColor="text2"/>
          <w:sz w:val="22"/>
          <w:szCs w:val="22"/>
        </w:rPr>
        <w:t xml:space="preserve">parents view as available to </w:t>
      </w:r>
      <w:r w:rsidR="00CE541F">
        <w:rPr>
          <w:rFonts w:asciiTheme="minorHAnsi" w:hAnsiTheme="minorHAnsi"/>
          <w:color w:val="1F497D" w:themeColor="text2"/>
          <w:sz w:val="22"/>
          <w:szCs w:val="22"/>
        </w:rPr>
        <w:t>their children post-college and to better understand</w:t>
      </w:r>
      <w:r w:rsidR="00F34611">
        <w:rPr>
          <w:rFonts w:asciiTheme="minorHAnsi" w:hAnsiTheme="minorHAnsi"/>
          <w:color w:val="1F497D" w:themeColor="text2"/>
          <w:sz w:val="22"/>
          <w:szCs w:val="22"/>
        </w:rPr>
        <w:t xml:space="preserve"> how the Peace Corps fits into that competitive set</w:t>
      </w:r>
      <w:r w:rsidR="00CE541F">
        <w:rPr>
          <w:rFonts w:asciiTheme="minorHAnsi" w:hAnsiTheme="minorHAnsi"/>
          <w:color w:val="1F497D" w:themeColor="text2"/>
          <w:sz w:val="22"/>
          <w:szCs w:val="22"/>
        </w:rPr>
        <w:t xml:space="preserve"> </w:t>
      </w:r>
    </w:p>
    <w:p w:rsidR="00CE541F" w:rsidRDefault="002B060E" w:rsidP="00C16B7F">
      <w:pPr>
        <w:pStyle w:val="ListParagraph"/>
        <w:numPr>
          <w:ilvl w:val="0"/>
          <w:numId w:val="19"/>
        </w:numPr>
        <w:rPr>
          <w:rFonts w:asciiTheme="minorHAnsi" w:hAnsiTheme="minorHAnsi"/>
          <w:color w:val="1F497D" w:themeColor="text2"/>
          <w:sz w:val="22"/>
          <w:szCs w:val="22"/>
        </w:rPr>
      </w:pPr>
      <w:r>
        <w:rPr>
          <w:rFonts w:asciiTheme="minorHAnsi" w:hAnsiTheme="minorHAnsi"/>
          <w:color w:val="1F497D" w:themeColor="text2"/>
          <w:sz w:val="22"/>
          <w:szCs w:val="22"/>
        </w:rPr>
        <w:t>To e</w:t>
      </w:r>
      <w:r w:rsidR="00CE541F">
        <w:rPr>
          <w:rFonts w:asciiTheme="minorHAnsi" w:hAnsiTheme="minorHAnsi"/>
          <w:color w:val="1F497D" w:themeColor="text2"/>
          <w:sz w:val="22"/>
          <w:szCs w:val="22"/>
        </w:rPr>
        <w:t>xamine the role that parents play in influencing career choices for their Millennial children</w:t>
      </w:r>
    </w:p>
    <w:p w:rsidR="002B060E" w:rsidRPr="002B060E" w:rsidRDefault="00F34611" w:rsidP="002B060E">
      <w:pPr>
        <w:pStyle w:val="ListParagraph"/>
        <w:numPr>
          <w:ilvl w:val="0"/>
          <w:numId w:val="19"/>
        </w:numPr>
        <w:rPr>
          <w:rFonts w:asciiTheme="minorHAnsi" w:hAnsiTheme="minorHAnsi"/>
          <w:color w:val="1F497D" w:themeColor="text2"/>
          <w:sz w:val="22"/>
          <w:szCs w:val="22"/>
        </w:rPr>
      </w:pPr>
      <w:r>
        <w:rPr>
          <w:rFonts w:asciiTheme="minorHAnsi" w:hAnsiTheme="minorHAnsi"/>
          <w:color w:val="1F497D" w:themeColor="text2"/>
          <w:sz w:val="22"/>
          <w:szCs w:val="22"/>
        </w:rPr>
        <w:t>To learn what messages and marketing strategies best resonate with Millennials</w:t>
      </w:r>
      <w:r w:rsidR="00BF04EC">
        <w:rPr>
          <w:rFonts w:asciiTheme="minorHAnsi" w:hAnsiTheme="minorHAnsi"/>
          <w:color w:val="1F497D" w:themeColor="text2"/>
          <w:sz w:val="22"/>
          <w:szCs w:val="22"/>
        </w:rPr>
        <w:t xml:space="preserve"> </w:t>
      </w:r>
      <w:r w:rsidR="00CE541F">
        <w:rPr>
          <w:rFonts w:asciiTheme="minorHAnsi" w:hAnsiTheme="minorHAnsi"/>
          <w:color w:val="1F497D" w:themeColor="text2"/>
          <w:sz w:val="22"/>
          <w:szCs w:val="22"/>
        </w:rPr>
        <w:t xml:space="preserve"> and their Parents </w:t>
      </w:r>
      <w:r w:rsidR="00BF04EC">
        <w:rPr>
          <w:rFonts w:asciiTheme="minorHAnsi" w:hAnsiTheme="minorHAnsi"/>
          <w:color w:val="1F497D" w:themeColor="text2"/>
          <w:sz w:val="22"/>
          <w:szCs w:val="22"/>
        </w:rPr>
        <w:t>and</w:t>
      </w:r>
      <w:r>
        <w:rPr>
          <w:rFonts w:asciiTheme="minorHAnsi" w:hAnsiTheme="minorHAnsi"/>
          <w:color w:val="1F497D" w:themeColor="text2"/>
          <w:sz w:val="22"/>
          <w:szCs w:val="22"/>
        </w:rPr>
        <w:t xml:space="preserve"> </w:t>
      </w:r>
      <w:r w:rsidR="002B060E" w:rsidRPr="002B060E">
        <w:rPr>
          <w:rFonts w:asciiTheme="minorHAnsi" w:hAnsiTheme="minorHAnsi"/>
          <w:color w:val="1F497D" w:themeColor="text2"/>
          <w:sz w:val="22"/>
          <w:szCs w:val="22"/>
        </w:rPr>
        <w:t>could best be utilized by the  Peace Corps for future communications</w:t>
      </w:r>
    </w:p>
    <w:p w:rsidR="006456D9" w:rsidRDefault="006456D9" w:rsidP="00C16B7F">
      <w:pPr>
        <w:pStyle w:val="ListParagraph"/>
        <w:numPr>
          <w:ilvl w:val="0"/>
          <w:numId w:val="19"/>
        </w:numPr>
        <w:rPr>
          <w:rFonts w:asciiTheme="minorHAnsi" w:hAnsiTheme="minorHAnsi"/>
          <w:color w:val="1F497D" w:themeColor="text2"/>
          <w:sz w:val="22"/>
          <w:szCs w:val="22"/>
        </w:rPr>
      </w:pPr>
      <w:r>
        <w:rPr>
          <w:rFonts w:asciiTheme="minorHAnsi" w:hAnsiTheme="minorHAnsi"/>
          <w:color w:val="1F497D" w:themeColor="text2"/>
          <w:sz w:val="22"/>
          <w:szCs w:val="22"/>
        </w:rPr>
        <w:t>To gather reactions to specific recruitment concepts</w:t>
      </w:r>
      <w:r w:rsidR="007574E2">
        <w:rPr>
          <w:rFonts w:asciiTheme="minorHAnsi" w:hAnsiTheme="minorHAnsi"/>
          <w:color w:val="1F497D" w:themeColor="text2"/>
          <w:sz w:val="22"/>
          <w:szCs w:val="22"/>
        </w:rPr>
        <w:t xml:space="preserve"> and phrases</w:t>
      </w:r>
    </w:p>
    <w:p w:rsidR="001B0AAA" w:rsidRDefault="001B0AAA"/>
    <w:p w:rsidR="00936BEB" w:rsidRPr="008F203F" w:rsidRDefault="00936BEB" w:rsidP="00936BEB">
      <w:pPr>
        <w:rPr>
          <w:rFonts w:asciiTheme="minorHAnsi" w:hAnsiTheme="minorHAnsi"/>
          <w:b/>
          <w:color w:val="1F497D" w:themeColor="text2"/>
          <w:sz w:val="22"/>
          <w:szCs w:val="22"/>
        </w:rPr>
      </w:pPr>
      <w:r w:rsidRPr="008F203F">
        <w:rPr>
          <w:rFonts w:asciiTheme="minorHAnsi" w:hAnsiTheme="minorHAnsi"/>
          <w:color w:val="1F497D" w:themeColor="text2"/>
          <w:sz w:val="22"/>
          <w:szCs w:val="22"/>
        </w:rPr>
        <w:t>Th</w:t>
      </w:r>
      <w:r w:rsidR="006456D9">
        <w:rPr>
          <w:rFonts w:asciiTheme="minorHAnsi" w:hAnsiTheme="minorHAnsi"/>
          <w:color w:val="1F497D" w:themeColor="text2"/>
          <w:sz w:val="22"/>
          <w:szCs w:val="22"/>
        </w:rPr>
        <w:t>is</w:t>
      </w:r>
      <w:r w:rsidRPr="008F203F">
        <w:rPr>
          <w:rFonts w:asciiTheme="minorHAnsi" w:hAnsiTheme="minorHAnsi"/>
          <w:color w:val="1F497D" w:themeColor="text2"/>
          <w:sz w:val="22"/>
          <w:szCs w:val="22"/>
        </w:rPr>
        <w:t xml:space="preserve"> </w:t>
      </w:r>
      <w:r w:rsidR="006456D9">
        <w:rPr>
          <w:rFonts w:asciiTheme="minorHAnsi" w:hAnsiTheme="minorHAnsi"/>
          <w:color w:val="1F497D" w:themeColor="text2"/>
          <w:sz w:val="22"/>
          <w:szCs w:val="22"/>
        </w:rPr>
        <w:t xml:space="preserve">qualitative component is part of an ongoing research effort about Millennials and the Peace Corps. </w:t>
      </w:r>
      <w:r w:rsidR="00CE541F">
        <w:rPr>
          <w:rFonts w:asciiTheme="minorHAnsi" w:hAnsiTheme="minorHAnsi"/>
          <w:color w:val="1F497D" w:themeColor="text2"/>
          <w:sz w:val="22"/>
          <w:szCs w:val="22"/>
        </w:rPr>
        <w:t xml:space="preserve">In addition to these focus groups, qualitative research also includes online bulletin boards with Millennials.  </w:t>
      </w:r>
      <w:r w:rsidR="00371176">
        <w:rPr>
          <w:rFonts w:asciiTheme="minorHAnsi" w:hAnsiTheme="minorHAnsi"/>
          <w:color w:val="1F497D" w:themeColor="text2"/>
          <w:sz w:val="22"/>
          <w:szCs w:val="22"/>
        </w:rPr>
        <w:t xml:space="preserve">Formative research preceded qualitative research and included stakeholder interviews, secondary research, social listening, and an omnibus survey. A quantitative survey phase will follow the qualitative project. </w:t>
      </w:r>
      <w:r w:rsidRPr="008F203F">
        <w:rPr>
          <w:rFonts w:asciiTheme="minorHAnsi" w:hAnsiTheme="minorHAnsi"/>
          <w:color w:val="1F497D" w:themeColor="text2"/>
          <w:sz w:val="22"/>
          <w:szCs w:val="22"/>
        </w:rPr>
        <w:t xml:space="preserve">The </w:t>
      </w:r>
      <w:r>
        <w:rPr>
          <w:rFonts w:asciiTheme="minorHAnsi" w:hAnsiTheme="minorHAnsi"/>
          <w:color w:val="1F497D" w:themeColor="text2"/>
          <w:sz w:val="22"/>
          <w:szCs w:val="22"/>
        </w:rPr>
        <w:t>pro</w:t>
      </w:r>
      <w:r w:rsidRPr="008F203F">
        <w:rPr>
          <w:rFonts w:asciiTheme="minorHAnsi" w:hAnsiTheme="minorHAnsi"/>
          <w:color w:val="1F497D" w:themeColor="text2"/>
          <w:sz w:val="22"/>
          <w:szCs w:val="22"/>
        </w:rPr>
        <w:t>ject goal is to understand what messages will most appeal to Millennials to interest them in joining the Peace Corps.</w:t>
      </w:r>
      <w:r>
        <w:rPr>
          <w:rFonts w:asciiTheme="minorHAnsi" w:hAnsiTheme="minorHAnsi"/>
          <w:color w:val="1F497D" w:themeColor="text2"/>
          <w:sz w:val="22"/>
          <w:szCs w:val="22"/>
        </w:rPr>
        <w:t xml:space="preserve"> </w:t>
      </w:r>
    </w:p>
    <w:p w:rsidR="00936BEB" w:rsidRDefault="00936BEB"/>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A67C18" w:rsidRDefault="00BF04EC" w:rsidP="00CE541F">
      <w:pPr>
        <w:pStyle w:val="Header"/>
        <w:tabs>
          <w:tab w:val="clear" w:pos="4320"/>
          <w:tab w:val="clear" w:pos="8640"/>
        </w:tabs>
        <w:rPr>
          <w:rFonts w:asciiTheme="minorHAnsi" w:hAnsiTheme="minorHAnsi"/>
          <w:color w:val="1F497D" w:themeColor="text2"/>
          <w:sz w:val="22"/>
          <w:szCs w:val="22"/>
        </w:rPr>
      </w:pPr>
      <w:r>
        <w:rPr>
          <w:rFonts w:asciiTheme="minorHAnsi" w:hAnsiTheme="minorHAnsi"/>
          <w:color w:val="1F497D" w:themeColor="text2"/>
          <w:sz w:val="22"/>
          <w:szCs w:val="22"/>
        </w:rPr>
        <w:t xml:space="preserve">Parents of </w:t>
      </w:r>
      <w:r w:rsidR="00532DCE">
        <w:rPr>
          <w:rFonts w:asciiTheme="minorHAnsi" w:hAnsiTheme="minorHAnsi"/>
          <w:color w:val="1F497D" w:themeColor="text2"/>
          <w:sz w:val="22"/>
          <w:szCs w:val="22"/>
        </w:rPr>
        <w:t xml:space="preserve">Millennials, aged 15-26, will participate in a set of </w:t>
      </w:r>
      <w:r w:rsidR="00FB3721" w:rsidRPr="00FB3721">
        <w:rPr>
          <w:rFonts w:asciiTheme="minorHAnsi" w:hAnsiTheme="minorHAnsi"/>
          <w:color w:val="1F497D" w:themeColor="text2"/>
          <w:sz w:val="22"/>
          <w:szCs w:val="22"/>
        </w:rPr>
        <w:t>8</w:t>
      </w:r>
      <w:r w:rsidR="00532DCE" w:rsidRPr="00FB3721">
        <w:rPr>
          <w:rFonts w:asciiTheme="minorHAnsi" w:hAnsiTheme="minorHAnsi"/>
          <w:color w:val="1F497D" w:themeColor="text2"/>
          <w:sz w:val="22"/>
          <w:szCs w:val="22"/>
        </w:rPr>
        <w:t xml:space="preserve"> focus groups that will take place in </w:t>
      </w:r>
      <w:r w:rsidR="00FB3721" w:rsidRPr="00FB3721">
        <w:rPr>
          <w:rFonts w:asciiTheme="minorHAnsi" w:hAnsiTheme="minorHAnsi"/>
          <w:color w:val="1F497D" w:themeColor="text2"/>
          <w:sz w:val="22"/>
          <w:szCs w:val="22"/>
        </w:rPr>
        <w:t>4</w:t>
      </w:r>
      <w:r w:rsidR="00532DCE" w:rsidRPr="00FB3721">
        <w:rPr>
          <w:rFonts w:asciiTheme="minorHAnsi" w:hAnsiTheme="minorHAnsi"/>
          <w:color w:val="1F497D" w:themeColor="text2"/>
          <w:sz w:val="22"/>
          <w:szCs w:val="22"/>
        </w:rPr>
        <w:t xml:space="preserve"> geographically dispersed markets</w:t>
      </w:r>
      <w:r w:rsidR="00FB3721" w:rsidRPr="00FB3721">
        <w:rPr>
          <w:rFonts w:asciiTheme="minorHAnsi" w:hAnsiTheme="minorHAnsi"/>
          <w:color w:val="1F497D" w:themeColor="text2"/>
          <w:sz w:val="22"/>
          <w:szCs w:val="22"/>
        </w:rPr>
        <w:t xml:space="preserve">, Baltimore, Dallas, St Louis, </w:t>
      </w:r>
      <w:r w:rsidR="00FB3721">
        <w:rPr>
          <w:rFonts w:asciiTheme="minorHAnsi" w:hAnsiTheme="minorHAnsi"/>
          <w:color w:val="1F497D" w:themeColor="text2"/>
          <w:sz w:val="22"/>
          <w:szCs w:val="22"/>
        </w:rPr>
        <w:t>and Sacramento.</w:t>
      </w:r>
      <w:r w:rsidR="00532DCE">
        <w:rPr>
          <w:rFonts w:asciiTheme="minorHAnsi" w:hAnsiTheme="minorHAnsi"/>
          <w:color w:val="1F497D" w:themeColor="text2"/>
          <w:sz w:val="22"/>
          <w:szCs w:val="22"/>
        </w:rPr>
        <w:t xml:space="preserve">   The children of participating parents must be enrolled in high school or a 4-year college/university, or must be a graduate of a recent </w:t>
      </w:r>
      <w:r w:rsidR="00FC438C">
        <w:rPr>
          <w:rFonts w:asciiTheme="minorHAnsi" w:hAnsiTheme="minorHAnsi"/>
          <w:color w:val="1F497D" w:themeColor="text2"/>
          <w:sz w:val="22"/>
          <w:szCs w:val="22"/>
        </w:rPr>
        <w:t>4-year college/</w:t>
      </w:r>
      <w:r w:rsidR="00532DCE">
        <w:rPr>
          <w:rFonts w:asciiTheme="minorHAnsi" w:hAnsiTheme="minorHAnsi"/>
          <w:color w:val="1F497D" w:themeColor="text2"/>
          <w:sz w:val="22"/>
          <w:szCs w:val="22"/>
        </w:rPr>
        <w:t>univer</w:t>
      </w:r>
      <w:r w:rsidR="00FC438C">
        <w:rPr>
          <w:rFonts w:asciiTheme="minorHAnsi" w:hAnsiTheme="minorHAnsi"/>
          <w:color w:val="1F497D" w:themeColor="text2"/>
          <w:sz w:val="22"/>
          <w:szCs w:val="22"/>
        </w:rPr>
        <w:t xml:space="preserve">sity.  Parents will include a mix of ages, genders, ethnicities, and </w:t>
      </w:r>
      <w:r w:rsidR="00AA495F">
        <w:rPr>
          <w:rFonts w:asciiTheme="minorHAnsi" w:hAnsiTheme="minorHAnsi"/>
          <w:color w:val="1F497D" w:themeColor="text2"/>
          <w:sz w:val="22"/>
          <w:szCs w:val="22"/>
        </w:rPr>
        <w:t>socio-economic groups</w:t>
      </w:r>
      <w:r w:rsidR="00FC438C">
        <w:rPr>
          <w:rFonts w:asciiTheme="minorHAnsi" w:hAnsiTheme="minorHAnsi"/>
          <w:color w:val="1F497D" w:themeColor="text2"/>
          <w:sz w:val="22"/>
          <w:szCs w:val="22"/>
        </w:rPr>
        <w:t>.</w:t>
      </w:r>
      <w:r w:rsidR="00FB3721">
        <w:rPr>
          <w:rFonts w:asciiTheme="minorHAnsi" w:hAnsiTheme="minorHAnsi"/>
          <w:color w:val="1F497D" w:themeColor="text2"/>
          <w:sz w:val="22"/>
          <w:szCs w:val="22"/>
        </w:rPr>
        <w:t xml:space="preserve"> A total of two groups will be conducted in each market with the following compositions:</w:t>
      </w:r>
    </w:p>
    <w:p w:rsidR="00FB3721" w:rsidRDefault="00FB3721" w:rsidP="00FB3721">
      <w:pPr>
        <w:pStyle w:val="Header"/>
        <w:numPr>
          <w:ilvl w:val="0"/>
          <w:numId w:val="25"/>
        </w:numPr>
        <w:tabs>
          <w:tab w:val="clear" w:pos="4320"/>
          <w:tab w:val="clear" w:pos="8640"/>
        </w:tabs>
        <w:rPr>
          <w:rFonts w:asciiTheme="minorHAnsi" w:hAnsiTheme="minorHAnsi"/>
          <w:color w:val="1F497D" w:themeColor="text2"/>
          <w:sz w:val="22"/>
          <w:szCs w:val="22"/>
        </w:rPr>
      </w:pPr>
      <w:r>
        <w:rPr>
          <w:rFonts w:asciiTheme="minorHAnsi" w:hAnsiTheme="minorHAnsi"/>
          <w:color w:val="1F497D" w:themeColor="text2"/>
          <w:sz w:val="22"/>
          <w:szCs w:val="22"/>
        </w:rPr>
        <w:t>Parents of high school and college students (aged 15-22)</w:t>
      </w:r>
    </w:p>
    <w:p w:rsidR="00FB3721" w:rsidRPr="00FC438C" w:rsidRDefault="00FB3721" w:rsidP="00FB3721">
      <w:pPr>
        <w:pStyle w:val="Header"/>
        <w:numPr>
          <w:ilvl w:val="0"/>
          <w:numId w:val="25"/>
        </w:numPr>
        <w:tabs>
          <w:tab w:val="clear" w:pos="4320"/>
          <w:tab w:val="clear" w:pos="8640"/>
        </w:tabs>
        <w:rPr>
          <w:rFonts w:asciiTheme="minorHAnsi" w:hAnsiTheme="minorHAnsi"/>
          <w:color w:val="1F497D" w:themeColor="text2"/>
          <w:sz w:val="22"/>
          <w:szCs w:val="22"/>
        </w:rPr>
      </w:pPr>
      <w:r>
        <w:rPr>
          <w:rFonts w:asciiTheme="minorHAnsi" w:hAnsiTheme="minorHAnsi"/>
          <w:color w:val="1F497D" w:themeColor="text2"/>
          <w:sz w:val="22"/>
          <w:szCs w:val="22"/>
        </w:rPr>
        <w:t>Parents of recent college graduates (aged 23-26)</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434E33" w:rsidRDefault="00935ADA" w:rsidP="00CE541F">
      <w:pPr>
        <w:pStyle w:val="BodyTextIndent"/>
        <w:tabs>
          <w:tab w:val="left" w:pos="360"/>
        </w:tabs>
        <w:ind w:left="0"/>
        <w:rPr>
          <w:bCs/>
          <w:sz w:val="24"/>
        </w:rPr>
      </w:pPr>
      <w:r>
        <w:rPr>
          <w:bCs/>
          <w:sz w:val="24"/>
        </w:rPr>
        <w:t>[</w:t>
      </w:r>
      <w:r w:rsidR="00465EA5" w:rsidRPr="00465EA5">
        <w:rPr>
          <w:rFonts w:ascii="Calibri" w:hAnsi="Calibri" w:cs="Arial"/>
          <w:bCs/>
          <w:color w:val="1F497D" w:themeColor="text2"/>
          <w:sz w:val="22"/>
          <w:szCs w:val="22"/>
        </w:rPr>
        <w:t>X</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4F5F91">
        <w:rPr>
          <w:bCs/>
          <w:sz w:val="24"/>
        </w:rPr>
        <w:t xml:space="preserve"> </w:t>
      </w:r>
    </w:p>
    <w:p w:rsidR="00CE541F" w:rsidRDefault="00CE541F" w:rsidP="00CE541F">
      <w:pPr>
        <w:pStyle w:val="BodyTextIndent"/>
        <w:tabs>
          <w:tab w:val="left" w:pos="360"/>
        </w:tabs>
        <w:ind w:left="0"/>
        <w:rPr>
          <w:bCs/>
          <w:sz w:val="24"/>
        </w:rPr>
      </w:pPr>
    </w:p>
    <w:p w:rsidR="00CE541F" w:rsidRDefault="00CE541F" w:rsidP="00CE541F">
      <w:pPr>
        <w:pStyle w:val="BodyTextIndent"/>
        <w:tabs>
          <w:tab w:val="left" w:pos="360"/>
        </w:tabs>
        <w:ind w:left="0"/>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152F2F" w:rsidRDefault="008101A5" w:rsidP="009C13B9">
      <w:pPr>
        <w:pStyle w:val="ListParagraph"/>
        <w:numPr>
          <w:ilvl w:val="0"/>
          <w:numId w:val="14"/>
        </w:numPr>
      </w:pPr>
      <w:r>
        <w:t>The collection is targeted to the solicitation of opinions from respondents who have experience with the program or may have experience with the program in the future.</w:t>
      </w:r>
    </w:p>
    <w:p w:rsidR="00FB3721" w:rsidRDefault="00FB3721" w:rsidP="009C13B9"/>
    <w:p w:rsidR="00152F2F" w:rsidRDefault="009C13B9" w:rsidP="009C13B9">
      <w:r w:rsidRPr="00000BD8">
        <w:t>Name</w:t>
      </w:r>
    </w:p>
    <w:p w:rsidR="00152F2F" w:rsidRDefault="00152F2F" w:rsidP="009C13B9"/>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D32239" w:rsidRPr="00D32239">
        <w:rPr>
          <w:rFonts w:asciiTheme="minorHAnsi" w:hAnsiTheme="minorHAnsi"/>
          <w:color w:val="1F497D" w:themeColor="text2"/>
          <w:sz w:val="22"/>
          <w:szCs w:val="22"/>
        </w:rPr>
        <w:t>X</w:t>
      </w:r>
      <w:r w:rsidR="009239AA">
        <w:t xml:space="preserve">] Yes  [ ]  No </w:t>
      </w:r>
    </w:p>
    <w:p w:rsidR="00DE065A" w:rsidRDefault="00DE065A" w:rsidP="00DE065A">
      <w:pPr>
        <w:pStyle w:val="ListParagraph"/>
        <w:ind w:left="360"/>
        <w:rPr>
          <w:rFonts w:asciiTheme="minorHAnsi" w:hAnsiTheme="minorHAnsi"/>
          <w:color w:val="1F497D" w:themeColor="text2"/>
          <w:sz w:val="22"/>
          <w:szCs w:val="22"/>
        </w:rPr>
      </w:pPr>
    </w:p>
    <w:p w:rsidR="00DE065A" w:rsidRPr="00FC438C" w:rsidRDefault="00DE065A" w:rsidP="00DE065A">
      <w:pPr>
        <w:pStyle w:val="ListParagraph"/>
        <w:ind w:left="360"/>
        <w:rPr>
          <w:rFonts w:asciiTheme="minorHAnsi" w:hAnsiTheme="minorHAnsi"/>
          <w:color w:val="1F497D" w:themeColor="text2"/>
          <w:sz w:val="22"/>
          <w:szCs w:val="22"/>
        </w:rPr>
      </w:pPr>
      <w:r w:rsidRPr="00FC438C">
        <w:rPr>
          <w:rFonts w:asciiTheme="minorHAnsi" w:hAnsiTheme="minorHAnsi"/>
          <w:color w:val="1F497D" w:themeColor="text2"/>
          <w:sz w:val="22"/>
          <w:szCs w:val="22"/>
        </w:rPr>
        <w:t xml:space="preserve">In order to </w:t>
      </w:r>
      <w:r w:rsidR="00FC438C" w:rsidRPr="00FC438C">
        <w:rPr>
          <w:rFonts w:asciiTheme="minorHAnsi" w:hAnsiTheme="minorHAnsi"/>
          <w:color w:val="1F497D" w:themeColor="text2"/>
          <w:sz w:val="22"/>
          <w:szCs w:val="22"/>
        </w:rPr>
        <w:t>screen for the right types of participants</w:t>
      </w:r>
      <w:r w:rsidR="00DE5722">
        <w:rPr>
          <w:rFonts w:asciiTheme="minorHAnsi" w:hAnsiTheme="minorHAnsi"/>
          <w:color w:val="1F497D" w:themeColor="text2"/>
          <w:sz w:val="22"/>
          <w:szCs w:val="22"/>
        </w:rPr>
        <w:t xml:space="preserve"> and to ensure a good demographic mix</w:t>
      </w:r>
      <w:r w:rsidR="00FC438C" w:rsidRPr="00FC438C">
        <w:rPr>
          <w:rFonts w:asciiTheme="minorHAnsi" w:hAnsiTheme="minorHAnsi"/>
          <w:color w:val="1F497D" w:themeColor="text2"/>
          <w:sz w:val="22"/>
          <w:szCs w:val="22"/>
        </w:rPr>
        <w:t xml:space="preserve">, </w:t>
      </w:r>
      <w:proofErr w:type="spellStart"/>
      <w:r w:rsidRPr="00FC438C">
        <w:rPr>
          <w:rFonts w:asciiTheme="minorHAnsi" w:hAnsiTheme="minorHAnsi"/>
          <w:color w:val="1F497D" w:themeColor="text2"/>
          <w:sz w:val="22"/>
          <w:szCs w:val="22"/>
        </w:rPr>
        <w:t>Ipsos</w:t>
      </w:r>
      <w:proofErr w:type="spellEnd"/>
      <w:r w:rsidRPr="00FC438C">
        <w:rPr>
          <w:rFonts w:asciiTheme="minorHAnsi" w:hAnsiTheme="minorHAnsi"/>
          <w:color w:val="1F497D" w:themeColor="text2"/>
          <w:sz w:val="22"/>
          <w:szCs w:val="22"/>
        </w:rPr>
        <w:t xml:space="preserve"> </w:t>
      </w:r>
      <w:r w:rsidR="00FC438C" w:rsidRPr="00FC438C">
        <w:rPr>
          <w:rFonts w:asciiTheme="minorHAnsi" w:hAnsiTheme="minorHAnsi"/>
          <w:color w:val="1F497D" w:themeColor="text2"/>
          <w:sz w:val="22"/>
          <w:szCs w:val="22"/>
        </w:rPr>
        <w:t>will co</w:t>
      </w:r>
      <w:r w:rsidRPr="00FC438C">
        <w:rPr>
          <w:rFonts w:asciiTheme="minorHAnsi" w:hAnsiTheme="minorHAnsi"/>
          <w:color w:val="1F497D" w:themeColor="text2"/>
          <w:sz w:val="22"/>
          <w:szCs w:val="22"/>
        </w:rPr>
        <w:t xml:space="preserve">llect the following personally identifiable information from </w:t>
      </w:r>
      <w:r w:rsidR="00FC438C" w:rsidRPr="00FC438C">
        <w:rPr>
          <w:rFonts w:asciiTheme="minorHAnsi" w:hAnsiTheme="minorHAnsi"/>
          <w:color w:val="1F497D" w:themeColor="text2"/>
          <w:sz w:val="22"/>
          <w:szCs w:val="22"/>
        </w:rPr>
        <w:t>Parents</w:t>
      </w:r>
      <w:r w:rsidR="00CE541F">
        <w:rPr>
          <w:rFonts w:asciiTheme="minorHAnsi" w:hAnsiTheme="minorHAnsi"/>
          <w:color w:val="1F497D" w:themeColor="text2"/>
          <w:sz w:val="22"/>
          <w:szCs w:val="22"/>
        </w:rPr>
        <w:t>:</w:t>
      </w:r>
    </w:p>
    <w:p w:rsidR="00DE065A" w:rsidRPr="00FC438C" w:rsidRDefault="00DE065A" w:rsidP="00DE065A">
      <w:pPr>
        <w:pStyle w:val="ListParagraph"/>
        <w:ind w:left="360"/>
        <w:rPr>
          <w:rFonts w:asciiTheme="minorHAnsi" w:hAnsiTheme="minorHAnsi"/>
          <w:color w:val="1F497D" w:themeColor="text2"/>
          <w:sz w:val="22"/>
          <w:szCs w:val="22"/>
        </w:rPr>
      </w:pPr>
    </w:p>
    <w:p w:rsidR="00DE065A" w:rsidRPr="00FC438C" w:rsidRDefault="00DE065A"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Gender</w:t>
      </w:r>
    </w:p>
    <w:p w:rsidR="00FC438C" w:rsidRPr="00FC438C" w:rsidRDefault="00FC438C"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 xml:space="preserve">Age </w:t>
      </w:r>
    </w:p>
    <w:p w:rsidR="00DE065A" w:rsidRPr="00FC438C" w:rsidRDefault="00DE065A" w:rsidP="00FC438C">
      <w:pPr>
        <w:pStyle w:val="ListParagraph"/>
        <w:numPr>
          <w:ilvl w:val="0"/>
          <w:numId w:val="24"/>
        </w:numPr>
        <w:rPr>
          <w:rFonts w:asciiTheme="minorHAnsi" w:hAnsiTheme="minorHAnsi"/>
          <w:color w:val="1F497D" w:themeColor="text2"/>
          <w:sz w:val="22"/>
          <w:szCs w:val="22"/>
        </w:rPr>
      </w:pPr>
      <w:r w:rsidRPr="00FC438C">
        <w:rPr>
          <w:rFonts w:asciiTheme="minorHAnsi" w:hAnsiTheme="minorHAnsi"/>
          <w:color w:val="1F497D" w:themeColor="text2"/>
          <w:sz w:val="22"/>
          <w:szCs w:val="22"/>
        </w:rPr>
        <w:t>Race/ethnicity</w:t>
      </w:r>
    </w:p>
    <w:p w:rsidR="00DE065A" w:rsidRDefault="00CE541F" w:rsidP="00FC438C">
      <w:pPr>
        <w:pStyle w:val="ListParagraph"/>
        <w:numPr>
          <w:ilvl w:val="0"/>
          <w:numId w:val="24"/>
        </w:numPr>
        <w:rPr>
          <w:rFonts w:asciiTheme="minorHAnsi" w:hAnsiTheme="minorHAnsi"/>
          <w:color w:val="1F497D" w:themeColor="text2"/>
          <w:sz w:val="22"/>
          <w:szCs w:val="22"/>
        </w:rPr>
      </w:pPr>
      <w:r>
        <w:rPr>
          <w:rFonts w:asciiTheme="minorHAnsi" w:hAnsiTheme="minorHAnsi"/>
          <w:color w:val="1F497D" w:themeColor="text2"/>
          <w:sz w:val="22"/>
          <w:szCs w:val="22"/>
        </w:rPr>
        <w:t>E</w:t>
      </w:r>
      <w:r w:rsidR="00FC438C" w:rsidRPr="00FC438C">
        <w:rPr>
          <w:rFonts w:asciiTheme="minorHAnsi" w:hAnsiTheme="minorHAnsi"/>
          <w:color w:val="1F497D" w:themeColor="text2"/>
          <w:sz w:val="22"/>
          <w:szCs w:val="22"/>
        </w:rPr>
        <w:t>mployment status</w:t>
      </w:r>
    </w:p>
    <w:p w:rsidR="00DE5722" w:rsidRDefault="00DE5722" w:rsidP="00FC438C">
      <w:pPr>
        <w:pStyle w:val="ListParagraph"/>
        <w:numPr>
          <w:ilvl w:val="0"/>
          <w:numId w:val="24"/>
        </w:numPr>
        <w:rPr>
          <w:rFonts w:asciiTheme="minorHAnsi" w:hAnsiTheme="minorHAnsi"/>
          <w:color w:val="1F497D" w:themeColor="text2"/>
          <w:sz w:val="22"/>
          <w:szCs w:val="22"/>
        </w:rPr>
      </w:pPr>
      <w:r>
        <w:rPr>
          <w:rFonts w:asciiTheme="minorHAnsi" w:hAnsiTheme="minorHAnsi"/>
          <w:color w:val="1F497D" w:themeColor="text2"/>
          <w:sz w:val="22"/>
          <w:szCs w:val="22"/>
        </w:rPr>
        <w:t>Household income</w:t>
      </w:r>
    </w:p>
    <w:p w:rsidR="00AE75A8" w:rsidRDefault="00AE75A8" w:rsidP="00FC438C">
      <w:pPr>
        <w:pStyle w:val="ListParagraph"/>
        <w:numPr>
          <w:ilvl w:val="0"/>
          <w:numId w:val="24"/>
        </w:numPr>
        <w:rPr>
          <w:rFonts w:asciiTheme="minorHAnsi" w:hAnsiTheme="minorHAnsi"/>
          <w:color w:val="1F497D" w:themeColor="text2"/>
          <w:sz w:val="22"/>
          <w:szCs w:val="22"/>
        </w:rPr>
      </w:pPr>
      <w:r>
        <w:rPr>
          <w:rFonts w:asciiTheme="minorHAnsi" w:hAnsiTheme="minorHAnsi"/>
          <w:color w:val="1F497D" w:themeColor="text2"/>
          <w:sz w:val="22"/>
          <w:szCs w:val="22"/>
        </w:rPr>
        <w:t>Address</w:t>
      </w:r>
    </w:p>
    <w:p w:rsidR="00CE541F" w:rsidRPr="00FC438C" w:rsidRDefault="00CE541F" w:rsidP="00FC438C">
      <w:pPr>
        <w:pStyle w:val="ListParagraph"/>
        <w:numPr>
          <w:ilvl w:val="0"/>
          <w:numId w:val="24"/>
        </w:numPr>
        <w:rPr>
          <w:rFonts w:asciiTheme="minorHAnsi" w:hAnsiTheme="minorHAnsi"/>
          <w:color w:val="1F497D" w:themeColor="text2"/>
          <w:sz w:val="22"/>
          <w:szCs w:val="22"/>
        </w:rPr>
      </w:pPr>
      <w:r>
        <w:rPr>
          <w:rFonts w:asciiTheme="minorHAnsi" w:hAnsiTheme="minorHAnsi"/>
          <w:color w:val="1F497D" w:themeColor="text2"/>
          <w:sz w:val="22"/>
          <w:szCs w:val="22"/>
        </w:rPr>
        <w:t xml:space="preserve">Name, age, </w:t>
      </w:r>
      <w:r w:rsidR="00FB3721">
        <w:rPr>
          <w:rFonts w:asciiTheme="minorHAnsi" w:hAnsiTheme="minorHAnsi"/>
          <w:color w:val="1F497D" w:themeColor="text2"/>
          <w:sz w:val="22"/>
          <w:szCs w:val="22"/>
        </w:rPr>
        <w:t xml:space="preserve">school level, name of school </w:t>
      </w:r>
      <w:r w:rsidR="00DE5722">
        <w:rPr>
          <w:rFonts w:asciiTheme="minorHAnsi" w:hAnsiTheme="minorHAnsi"/>
          <w:color w:val="1F497D" w:themeColor="text2"/>
          <w:sz w:val="22"/>
          <w:szCs w:val="22"/>
        </w:rPr>
        <w:t xml:space="preserve">and </w:t>
      </w:r>
      <w:r>
        <w:rPr>
          <w:rFonts w:asciiTheme="minorHAnsi" w:hAnsiTheme="minorHAnsi"/>
          <w:color w:val="1F497D" w:themeColor="text2"/>
          <w:sz w:val="22"/>
          <w:szCs w:val="22"/>
        </w:rPr>
        <w:t>gender</w:t>
      </w:r>
      <w:r w:rsidR="00DE5722">
        <w:rPr>
          <w:rFonts w:asciiTheme="minorHAnsi" w:hAnsiTheme="minorHAnsi"/>
          <w:color w:val="1F497D" w:themeColor="text2"/>
          <w:sz w:val="22"/>
          <w:szCs w:val="22"/>
        </w:rPr>
        <w:t xml:space="preserve"> of </w:t>
      </w:r>
      <w:r>
        <w:rPr>
          <w:rFonts w:asciiTheme="minorHAnsi" w:hAnsiTheme="minorHAnsi"/>
          <w:color w:val="1F497D" w:themeColor="text2"/>
          <w:sz w:val="22"/>
          <w:szCs w:val="22"/>
        </w:rPr>
        <w:t>children 15-26</w:t>
      </w:r>
    </w:p>
    <w:p w:rsidR="00DE065A" w:rsidRPr="00FC438C" w:rsidRDefault="00DE065A" w:rsidP="00DE065A">
      <w:pPr>
        <w:pStyle w:val="ListParagraph"/>
        <w:ind w:left="360"/>
        <w:rPr>
          <w:rFonts w:asciiTheme="minorHAnsi" w:hAnsiTheme="minorHAnsi"/>
          <w:color w:val="1F497D" w:themeColor="text2"/>
          <w:sz w:val="22"/>
          <w:szCs w:val="22"/>
        </w:rPr>
      </w:pPr>
    </w:p>
    <w:p w:rsidR="00AE75A8" w:rsidRDefault="00AE75A8" w:rsidP="00DE065A">
      <w:pPr>
        <w:pStyle w:val="ListParagraph"/>
        <w:ind w:left="360"/>
        <w:rPr>
          <w:rFonts w:asciiTheme="minorHAnsi" w:hAnsiTheme="minorHAnsi"/>
          <w:color w:val="1F497D" w:themeColor="text2"/>
          <w:sz w:val="22"/>
          <w:szCs w:val="22"/>
        </w:rPr>
      </w:pPr>
      <w:r w:rsidRPr="00AE75A8">
        <w:rPr>
          <w:rFonts w:asciiTheme="minorHAnsi" w:hAnsiTheme="minorHAnsi"/>
          <w:color w:val="1F497D" w:themeColor="text2"/>
          <w:sz w:val="22"/>
          <w:szCs w:val="22"/>
        </w:rPr>
        <w:t xml:space="preserve">The </w:t>
      </w:r>
      <w:r>
        <w:rPr>
          <w:rFonts w:asciiTheme="minorHAnsi" w:hAnsiTheme="minorHAnsi"/>
          <w:color w:val="1F497D" w:themeColor="text2"/>
          <w:sz w:val="22"/>
          <w:szCs w:val="22"/>
        </w:rPr>
        <w:t xml:space="preserve">name of </w:t>
      </w:r>
      <w:r w:rsidRPr="00AE75A8">
        <w:rPr>
          <w:rFonts w:asciiTheme="minorHAnsi" w:hAnsiTheme="minorHAnsi"/>
          <w:color w:val="1F497D" w:themeColor="text2"/>
          <w:sz w:val="22"/>
          <w:szCs w:val="22"/>
        </w:rPr>
        <w:t xml:space="preserve">school </w:t>
      </w:r>
      <w:r>
        <w:rPr>
          <w:rFonts w:asciiTheme="minorHAnsi" w:hAnsiTheme="minorHAnsi"/>
          <w:color w:val="1F497D" w:themeColor="text2"/>
          <w:sz w:val="22"/>
          <w:szCs w:val="22"/>
        </w:rPr>
        <w:t xml:space="preserve">is requested </w:t>
      </w:r>
      <w:r w:rsidRPr="00AE75A8">
        <w:rPr>
          <w:rFonts w:asciiTheme="minorHAnsi" w:hAnsiTheme="minorHAnsi"/>
          <w:color w:val="1F497D" w:themeColor="text2"/>
          <w:sz w:val="22"/>
          <w:szCs w:val="22"/>
        </w:rPr>
        <w:t>to avoid recruiting more than one parent from the same high school and no more than two parents from the same four-year college. We would prefer that focus group participants not know each other.  We also want opinions from parents whose children attend a diversity of schools.</w:t>
      </w:r>
    </w:p>
    <w:p w:rsidR="00AE75A8" w:rsidRDefault="00AE75A8" w:rsidP="00DE065A">
      <w:pPr>
        <w:pStyle w:val="ListParagraph"/>
        <w:ind w:left="360"/>
        <w:rPr>
          <w:rFonts w:asciiTheme="minorHAnsi" w:hAnsiTheme="minorHAnsi"/>
          <w:color w:val="1F497D" w:themeColor="text2"/>
          <w:sz w:val="22"/>
          <w:szCs w:val="22"/>
        </w:rPr>
      </w:pPr>
    </w:p>
    <w:p w:rsidR="00DE065A" w:rsidRDefault="00FC438C" w:rsidP="00DE065A">
      <w:pPr>
        <w:pStyle w:val="ListParagraph"/>
        <w:ind w:left="360"/>
        <w:rPr>
          <w:rFonts w:asciiTheme="minorHAnsi" w:hAnsiTheme="minorHAnsi"/>
          <w:color w:val="1F497D" w:themeColor="text2"/>
          <w:sz w:val="22"/>
          <w:szCs w:val="22"/>
        </w:rPr>
      </w:pPr>
      <w:r w:rsidRPr="00FC438C">
        <w:rPr>
          <w:rFonts w:asciiTheme="minorHAnsi" w:hAnsiTheme="minorHAnsi"/>
          <w:color w:val="1F497D" w:themeColor="text2"/>
          <w:sz w:val="22"/>
          <w:szCs w:val="22"/>
        </w:rPr>
        <w:t>First names will be used during the discussions.  Some demographic data may be linked to direct quotes if relevant. None of the PII will be</w:t>
      </w:r>
      <w:r w:rsidR="00DE065A" w:rsidRPr="00FC438C">
        <w:rPr>
          <w:rFonts w:asciiTheme="minorHAnsi" w:hAnsiTheme="minorHAnsi"/>
          <w:color w:val="1F497D" w:themeColor="text2"/>
          <w:sz w:val="22"/>
          <w:szCs w:val="22"/>
        </w:rPr>
        <w:t xml:space="preserve"> </w:t>
      </w:r>
      <w:r w:rsidR="0082376F" w:rsidRPr="00FC438C">
        <w:rPr>
          <w:rFonts w:asciiTheme="minorHAnsi" w:hAnsiTheme="minorHAnsi"/>
          <w:color w:val="1F497D" w:themeColor="text2"/>
          <w:sz w:val="22"/>
          <w:szCs w:val="22"/>
        </w:rPr>
        <w:t>used to identify individuals for later contact or sales targeting.</w:t>
      </w:r>
      <w:r w:rsidR="00AE75A8">
        <w:rPr>
          <w:rFonts w:asciiTheme="minorHAnsi" w:hAnsiTheme="minorHAnsi"/>
          <w:color w:val="1F497D" w:themeColor="text2"/>
          <w:sz w:val="22"/>
          <w:szCs w:val="22"/>
        </w:rPr>
        <w:t xml:space="preserve">  </w:t>
      </w:r>
    </w:p>
    <w:p w:rsidR="00AE75A8" w:rsidRPr="00FC438C" w:rsidRDefault="00AE75A8" w:rsidP="00DE065A">
      <w:pPr>
        <w:pStyle w:val="ListParagraph"/>
        <w:ind w:left="360"/>
        <w:rPr>
          <w:rFonts w:asciiTheme="minorHAnsi" w:hAnsiTheme="minorHAnsi"/>
          <w:color w:val="1F497D" w:themeColor="text2"/>
          <w:sz w:val="22"/>
          <w:szCs w:val="22"/>
        </w:rPr>
      </w:pPr>
    </w:p>
    <w:p w:rsidR="00DE065A" w:rsidRPr="00DE065A" w:rsidRDefault="00DE065A" w:rsidP="00DE065A">
      <w:pPr>
        <w:pStyle w:val="ListParagraph"/>
        <w:ind w:left="360"/>
        <w:rPr>
          <w:color w:val="4F81BD" w:themeColor="accent1"/>
        </w:rPr>
      </w:pP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 Yes [ </w:t>
      </w:r>
      <w:r w:rsidR="00D32239" w:rsidRPr="00D32239">
        <w:rPr>
          <w:rFonts w:asciiTheme="minorHAnsi" w:hAnsiTheme="minorHAnsi"/>
          <w:color w:val="1F497D" w:themeColor="text2"/>
          <w:sz w:val="22"/>
          <w:szCs w:val="22"/>
        </w:rPr>
        <w:t>X</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D32239" w:rsidRPr="00FC438C">
        <w:rPr>
          <w:rFonts w:asciiTheme="minorHAnsi" w:hAnsiTheme="minorHAnsi"/>
          <w:color w:val="1F497D" w:themeColor="text2"/>
          <w:sz w:val="22"/>
          <w:szCs w:val="22"/>
        </w:rPr>
        <w:t>X</w:t>
      </w:r>
      <w:r>
        <w:t>] No</w:t>
      </w:r>
    </w:p>
    <w:p w:rsidR="00204878" w:rsidRDefault="00204878"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DE5722" w:rsidRDefault="00C86E91" w:rsidP="00C86E91">
      <w:r>
        <w:t>Is an incentive (e.g., money or reimbursement of expenses, token of appreciation) provided to participants?  [</w:t>
      </w:r>
      <w:proofErr w:type="gramStart"/>
      <w:r w:rsidR="00D32239" w:rsidRPr="008F203F">
        <w:rPr>
          <w:rFonts w:asciiTheme="minorHAnsi" w:hAnsiTheme="minorHAnsi"/>
          <w:color w:val="1F497D" w:themeColor="text2"/>
          <w:sz w:val="22"/>
          <w:szCs w:val="22"/>
        </w:rPr>
        <w:t>X</w:t>
      </w:r>
      <w:r>
        <w:t xml:space="preserve"> ]</w:t>
      </w:r>
      <w:proofErr w:type="gramEnd"/>
      <w:r>
        <w:t xml:space="preserve"> Yes [] No  </w:t>
      </w:r>
      <w:r w:rsidR="00D32239">
        <w:t xml:space="preserve"> </w:t>
      </w:r>
    </w:p>
    <w:p w:rsidR="00DE5722" w:rsidRDefault="00DE5722" w:rsidP="00C86E91"/>
    <w:p w:rsidR="002B060E" w:rsidRPr="002B060E" w:rsidRDefault="002B060E" w:rsidP="002B060E">
      <w:pPr>
        <w:rPr>
          <w:rFonts w:asciiTheme="minorHAnsi" w:hAnsiTheme="minorHAnsi"/>
          <w:color w:val="1F497D" w:themeColor="text2"/>
          <w:sz w:val="22"/>
          <w:szCs w:val="22"/>
        </w:rPr>
      </w:pPr>
      <w:r w:rsidRPr="002B060E">
        <w:rPr>
          <w:rFonts w:asciiTheme="minorHAnsi" w:hAnsiTheme="minorHAnsi"/>
          <w:color w:val="1F497D" w:themeColor="text2"/>
          <w:sz w:val="22"/>
          <w:szCs w:val="22"/>
        </w:rPr>
        <w:t>Participants in the focus groups will be given $100 in appreciation for the two hours + travel time they will spend attending the groups.  We believe this is the minimum amount needed to ensure that participants show up at the appointed time, engage in the discussions, and feel that their input is valued.  This is the standard incentive for focus group participants in the US.</w:t>
      </w:r>
    </w:p>
    <w:p w:rsidR="002B060E" w:rsidRPr="002B060E" w:rsidRDefault="002B060E" w:rsidP="002B060E">
      <w:pPr>
        <w:rPr>
          <w:rFonts w:asciiTheme="minorHAnsi" w:hAnsiTheme="minorHAnsi"/>
          <w:color w:val="1F497D" w:themeColor="text2"/>
          <w:sz w:val="22"/>
          <w:szCs w:val="22"/>
        </w:rPr>
      </w:pPr>
    </w:p>
    <w:p w:rsidR="002B060E" w:rsidRPr="002B060E" w:rsidRDefault="002B060E" w:rsidP="002B060E">
      <w:pPr>
        <w:rPr>
          <w:rFonts w:asciiTheme="minorHAnsi" w:hAnsiTheme="minorHAnsi"/>
          <w:color w:val="1F497D" w:themeColor="text2"/>
          <w:sz w:val="22"/>
          <w:szCs w:val="22"/>
        </w:rPr>
      </w:pPr>
      <w:r w:rsidRPr="002B060E">
        <w:rPr>
          <w:rFonts w:asciiTheme="minorHAnsi" w:hAnsiTheme="minorHAnsi"/>
          <w:color w:val="1F497D" w:themeColor="text2"/>
          <w:sz w:val="22"/>
          <w:szCs w:val="22"/>
        </w:rPr>
        <w:t>There is an evolving body of literature that suggests that using incentives can actually reduce nonresponse bias in some situations by bringing in a more representative set of respondents. [1}</w:t>
      </w:r>
      <w:proofErr w:type="gramStart"/>
      <w:r w:rsidRPr="002B060E">
        <w:rPr>
          <w:rFonts w:asciiTheme="minorHAnsi" w:hAnsiTheme="minorHAnsi"/>
          <w:color w:val="1F497D" w:themeColor="text2"/>
          <w:sz w:val="22"/>
          <w:szCs w:val="22"/>
        </w:rPr>
        <w:t>,[</w:t>
      </w:r>
      <w:proofErr w:type="gramEnd"/>
      <w:r w:rsidRPr="002B060E">
        <w:rPr>
          <w:rFonts w:asciiTheme="minorHAnsi" w:hAnsiTheme="minorHAnsi"/>
          <w:color w:val="1F497D" w:themeColor="text2"/>
          <w:sz w:val="22"/>
          <w:szCs w:val="22"/>
        </w:rPr>
        <w:t>2],[3].  This may be particularly effective in reducing nonresponse due to topic saliency</w:t>
      </w:r>
      <w:proofErr w:type="gramStart"/>
      <w:r w:rsidRPr="002B060E">
        <w:rPr>
          <w:rFonts w:asciiTheme="minorHAnsi" w:hAnsiTheme="minorHAnsi"/>
          <w:color w:val="1F497D" w:themeColor="text2"/>
          <w:sz w:val="22"/>
          <w:szCs w:val="22"/>
        </w:rPr>
        <w:t>.[</w:t>
      </w:r>
      <w:proofErr w:type="gramEnd"/>
      <w:r w:rsidRPr="002B060E">
        <w:rPr>
          <w:rFonts w:asciiTheme="minorHAnsi" w:hAnsiTheme="minorHAnsi"/>
          <w:color w:val="1F497D" w:themeColor="text2"/>
          <w:sz w:val="22"/>
          <w:szCs w:val="22"/>
        </w:rPr>
        <w:t>4]</w:t>
      </w:r>
    </w:p>
    <w:p w:rsidR="002B060E" w:rsidRPr="002B060E" w:rsidRDefault="002B060E" w:rsidP="002B060E">
      <w:pPr>
        <w:rPr>
          <w:rFonts w:asciiTheme="minorHAnsi" w:hAnsiTheme="minorHAnsi"/>
          <w:color w:val="1F497D" w:themeColor="text2"/>
          <w:sz w:val="22"/>
          <w:szCs w:val="22"/>
        </w:rPr>
      </w:pPr>
    </w:p>
    <w:p w:rsidR="002B060E" w:rsidRPr="002B060E" w:rsidRDefault="002B060E" w:rsidP="002B060E">
      <w:pPr>
        <w:ind w:left="720" w:hanging="720"/>
        <w:rPr>
          <w:sz w:val="20"/>
          <w:szCs w:val="20"/>
        </w:rPr>
      </w:pPr>
      <w:r w:rsidRPr="002B060E">
        <w:rPr>
          <w:sz w:val="20"/>
          <w:szCs w:val="20"/>
        </w:rPr>
        <w:t xml:space="preserve">[1] </w:t>
      </w:r>
      <w:proofErr w:type="spellStart"/>
      <w:r w:rsidRPr="002B060E">
        <w:rPr>
          <w:sz w:val="20"/>
          <w:szCs w:val="20"/>
        </w:rPr>
        <w:t>Castiglioni</w:t>
      </w:r>
      <w:proofErr w:type="spellEnd"/>
      <w:r w:rsidRPr="002B060E">
        <w:rPr>
          <w:sz w:val="20"/>
          <w:szCs w:val="20"/>
        </w:rPr>
        <w:t xml:space="preserve">, L., &amp; </w:t>
      </w:r>
      <w:proofErr w:type="spellStart"/>
      <w:r w:rsidRPr="002B060E">
        <w:rPr>
          <w:sz w:val="20"/>
          <w:szCs w:val="20"/>
        </w:rPr>
        <w:t>Pforr</w:t>
      </w:r>
      <w:proofErr w:type="spellEnd"/>
      <w:r w:rsidRPr="002B060E">
        <w:rPr>
          <w:sz w:val="20"/>
          <w:szCs w:val="20"/>
        </w:rPr>
        <w:t>, K. (2007). The effect of incentives in reducing non-response bias in a</w:t>
      </w:r>
    </w:p>
    <w:p w:rsidR="002B060E" w:rsidRPr="002B060E" w:rsidRDefault="002B060E" w:rsidP="002B060E">
      <w:pPr>
        <w:ind w:left="720" w:hanging="720"/>
        <w:rPr>
          <w:i/>
          <w:iCs/>
          <w:sz w:val="20"/>
          <w:szCs w:val="20"/>
        </w:rPr>
      </w:pPr>
      <w:proofErr w:type="gramStart"/>
      <w:r w:rsidRPr="002B060E">
        <w:rPr>
          <w:sz w:val="20"/>
          <w:szCs w:val="20"/>
        </w:rPr>
        <w:t>multi-actor</w:t>
      </w:r>
      <w:proofErr w:type="gramEnd"/>
      <w:r w:rsidRPr="002B060E">
        <w:rPr>
          <w:sz w:val="20"/>
          <w:szCs w:val="20"/>
        </w:rPr>
        <w:t xml:space="preserve"> survey. </w:t>
      </w:r>
      <w:r w:rsidRPr="002B060E">
        <w:rPr>
          <w:i/>
          <w:iCs/>
          <w:sz w:val="20"/>
          <w:szCs w:val="20"/>
        </w:rPr>
        <w:t>Presented at the 2</w:t>
      </w:r>
      <w:r w:rsidRPr="002B060E">
        <w:rPr>
          <w:i/>
          <w:iCs/>
          <w:sz w:val="20"/>
          <w:szCs w:val="20"/>
          <w:vertAlign w:val="superscript"/>
        </w:rPr>
        <w:t>nd</w:t>
      </w:r>
      <w:r w:rsidRPr="002B060E">
        <w:rPr>
          <w:i/>
          <w:iCs/>
          <w:sz w:val="20"/>
          <w:szCs w:val="20"/>
        </w:rPr>
        <w:t xml:space="preserve"> annual European Survey Research Association</w:t>
      </w:r>
    </w:p>
    <w:p w:rsidR="002B060E" w:rsidRPr="002B060E" w:rsidRDefault="002B060E" w:rsidP="002B060E">
      <w:pPr>
        <w:ind w:left="720" w:hanging="720"/>
      </w:pPr>
      <w:r w:rsidRPr="002B060E">
        <w:rPr>
          <w:i/>
          <w:iCs/>
          <w:sz w:val="20"/>
          <w:szCs w:val="20"/>
        </w:rPr>
        <w:t>Conference</w:t>
      </w:r>
      <w:r w:rsidRPr="002B060E">
        <w:rPr>
          <w:sz w:val="20"/>
          <w:szCs w:val="20"/>
        </w:rPr>
        <w:t>, Prague, Czech Republic, June, 2007.</w:t>
      </w:r>
    </w:p>
    <w:p w:rsidR="002B060E" w:rsidRPr="002B060E" w:rsidRDefault="002B060E" w:rsidP="002B060E">
      <w:pPr>
        <w:ind w:left="720" w:hanging="720"/>
        <w:rPr>
          <w:sz w:val="20"/>
          <w:szCs w:val="20"/>
          <w:shd w:val="clear" w:color="auto" w:fill="FFFFFF"/>
        </w:rPr>
      </w:pPr>
      <w:r w:rsidRPr="002B060E">
        <w:rPr>
          <w:sz w:val="20"/>
          <w:szCs w:val="20"/>
        </w:rPr>
        <w:t xml:space="preserve">[2] </w:t>
      </w:r>
      <w:r w:rsidRPr="002B060E">
        <w:rPr>
          <w:sz w:val="20"/>
          <w:szCs w:val="20"/>
          <w:shd w:val="clear" w:color="auto" w:fill="FFFFFF"/>
        </w:rPr>
        <w:t xml:space="preserve">Singer, E. (2002). </w:t>
      </w:r>
      <w:proofErr w:type="gramStart"/>
      <w:r w:rsidRPr="002B060E">
        <w:rPr>
          <w:sz w:val="20"/>
          <w:szCs w:val="20"/>
          <w:shd w:val="clear" w:color="auto" w:fill="FFFFFF"/>
        </w:rPr>
        <w:t>The Use of Incentives to Reduce Nonresponse in Household Surveys.</w:t>
      </w:r>
      <w:proofErr w:type="gramEnd"/>
      <w:r w:rsidRPr="002B060E">
        <w:rPr>
          <w:sz w:val="20"/>
          <w:szCs w:val="20"/>
          <w:shd w:val="clear" w:color="auto" w:fill="FFFFFF"/>
        </w:rPr>
        <w:t xml:space="preserve"> (R. M. </w:t>
      </w:r>
    </w:p>
    <w:p w:rsidR="002B060E" w:rsidRPr="002B060E" w:rsidRDefault="002B060E" w:rsidP="002B060E">
      <w:pPr>
        <w:ind w:left="720" w:hanging="720"/>
        <w:rPr>
          <w:sz w:val="20"/>
          <w:szCs w:val="20"/>
          <w:shd w:val="clear" w:color="auto" w:fill="FFFFFF"/>
        </w:rPr>
      </w:pPr>
      <w:proofErr w:type="gramStart"/>
      <w:r w:rsidRPr="002B060E">
        <w:rPr>
          <w:sz w:val="20"/>
          <w:szCs w:val="20"/>
          <w:shd w:val="clear" w:color="auto" w:fill="FFFFFF"/>
        </w:rPr>
        <w:t xml:space="preserve">Groves, D. A. </w:t>
      </w:r>
      <w:proofErr w:type="spellStart"/>
      <w:r w:rsidRPr="002B060E">
        <w:rPr>
          <w:sz w:val="20"/>
          <w:szCs w:val="20"/>
          <w:shd w:val="clear" w:color="auto" w:fill="FFFFFF"/>
        </w:rPr>
        <w:t>Dillman</w:t>
      </w:r>
      <w:proofErr w:type="spellEnd"/>
      <w:r w:rsidRPr="002B060E">
        <w:rPr>
          <w:sz w:val="20"/>
          <w:szCs w:val="20"/>
          <w:shd w:val="clear" w:color="auto" w:fill="FFFFFF"/>
        </w:rPr>
        <w:t xml:space="preserve">, J. L. </w:t>
      </w:r>
      <w:proofErr w:type="spellStart"/>
      <w:r w:rsidRPr="002B060E">
        <w:rPr>
          <w:sz w:val="20"/>
          <w:szCs w:val="20"/>
          <w:shd w:val="clear" w:color="auto" w:fill="FFFFFF"/>
        </w:rPr>
        <w:t>Eltinge</w:t>
      </w:r>
      <w:proofErr w:type="spellEnd"/>
      <w:r w:rsidRPr="002B060E">
        <w:rPr>
          <w:sz w:val="20"/>
          <w:szCs w:val="20"/>
          <w:shd w:val="clear" w:color="auto" w:fill="FFFFFF"/>
        </w:rPr>
        <w:t>, &amp; R. J. A. Little, Eds.)</w:t>
      </w:r>
      <w:proofErr w:type="gramEnd"/>
      <w:r w:rsidRPr="002B060E">
        <w:rPr>
          <w:sz w:val="20"/>
          <w:szCs w:val="20"/>
          <w:shd w:val="clear" w:color="auto" w:fill="FFFFFF"/>
        </w:rPr>
        <w:t xml:space="preserve"> </w:t>
      </w:r>
      <w:r w:rsidRPr="002B060E">
        <w:rPr>
          <w:i/>
          <w:iCs/>
          <w:sz w:val="20"/>
          <w:szCs w:val="20"/>
          <w:shd w:val="clear" w:color="auto" w:fill="FFFFFF"/>
        </w:rPr>
        <w:t>Survey nonresponse</w:t>
      </w:r>
      <w:r w:rsidRPr="002B060E">
        <w:rPr>
          <w:sz w:val="20"/>
          <w:szCs w:val="20"/>
          <w:shd w:val="clear" w:color="auto" w:fill="FFFFFF"/>
        </w:rPr>
        <w:t xml:space="preserve">, (051), </w:t>
      </w:r>
      <w:proofErr w:type="gramStart"/>
      <w:r w:rsidRPr="002B060E">
        <w:rPr>
          <w:sz w:val="20"/>
          <w:szCs w:val="20"/>
          <w:shd w:val="clear" w:color="auto" w:fill="FFFFFF"/>
        </w:rPr>
        <w:t>163</w:t>
      </w:r>
      <w:proofErr w:type="gramEnd"/>
    </w:p>
    <w:p w:rsidR="002B060E" w:rsidRPr="002B060E" w:rsidRDefault="002B060E" w:rsidP="002B060E">
      <w:pPr>
        <w:ind w:left="720" w:hanging="720"/>
        <w:rPr>
          <w:sz w:val="20"/>
          <w:szCs w:val="20"/>
          <w:shd w:val="clear" w:color="auto" w:fill="FFFFFF"/>
        </w:rPr>
      </w:pPr>
      <w:r w:rsidRPr="002B060E">
        <w:rPr>
          <w:sz w:val="20"/>
          <w:szCs w:val="20"/>
          <w:shd w:val="clear" w:color="auto" w:fill="FFFFFF"/>
        </w:rPr>
        <w:t xml:space="preserve">-178. </w:t>
      </w:r>
      <w:proofErr w:type="gramStart"/>
      <w:r w:rsidRPr="002B060E">
        <w:rPr>
          <w:sz w:val="20"/>
          <w:szCs w:val="20"/>
          <w:shd w:val="clear" w:color="auto" w:fill="FFFFFF"/>
        </w:rPr>
        <w:t>University of Michigan Institute for Social Research.</w:t>
      </w:r>
      <w:proofErr w:type="gramEnd"/>
      <w:r w:rsidRPr="002B060E">
        <w:rPr>
          <w:sz w:val="20"/>
          <w:szCs w:val="20"/>
          <w:shd w:val="clear" w:color="auto" w:fill="FFFFFF"/>
        </w:rPr>
        <w:t xml:space="preserve"> Retrieved from</w:t>
      </w:r>
    </w:p>
    <w:p w:rsidR="002B060E" w:rsidRPr="002B060E" w:rsidRDefault="00AE75A8" w:rsidP="002B060E">
      <w:pPr>
        <w:ind w:left="720" w:hanging="720"/>
      </w:pPr>
      <w:hyperlink r:id="rId9" w:history="1">
        <w:r w:rsidR="002B060E" w:rsidRPr="002B060E">
          <w:rPr>
            <w:color w:val="0000FF"/>
            <w:sz w:val="20"/>
            <w:szCs w:val="20"/>
            <w:u w:val="single"/>
            <w:shd w:val="clear" w:color="auto" w:fill="FFFFFF"/>
          </w:rPr>
          <w:t>http://www.isr.umich.edu/src/smp/Electronic</w:t>
        </w:r>
      </w:hyperlink>
      <w:r w:rsidR="002B060E" w:rsidRPr="002B060E">
        <w:rPr>
          <w:sz w:val="20"/>
          <w:szCs w:val="20"/>
          <w:shd w:val="clear" w:color="auto" w:fill="FFFFFF"/>
        </w:rPr>
        <w:t>.</w:t>
      </w:r>
    </w:p>
    <w:p w:rsidR="002B060E" w:rsidRPr="002B060E" w:rsidRDefault="002B060E" w:rsidP="002B060E">
      <w:pPr>
        <w:ind w:left="720" w:hanging="720"/>
        <w:rPr>
          <w:sz w:val="20"/>
          <w:szCs w:val="20"/>
          <w:shd w:val="clear" w:color="auto" w:fill="FFFFFF"/>
        </w:rPr>
      </w:pPr>
      <w:r w:rsidRPr="002B060E">
        <w:rPr>
          <w:sz w:val="20"/>
          <w:szCs w:val="20"/>
        </w:rPr>
        <w:t xml:space="preserve">[3] </w:t>
      </w:r>
      <w:r w:rsidRPr="002B060E">
        <w:rPr>
          <w:sz w:val="20"/>
          <w:szCs w:val="20"/>
          <w:shd w:val="clear" w:color="auto" w:fill="FFFFFF"/>
        </w:rPr>
        <w:t xml:space="preserve">Singer, E. (2006). </w:t>
      </w:r>
      <w:proofErr w:type="gramStart"/>
      <w:r w:rsidRPr="002B060E">
        <w:rPr>
          <w:sz w:val="20"/>
          <w:szCs w:val="20"/>
          <w:shd w:val="clear" w:color="auto" w:fill="FFFFFF"/>
        </w:rPr>
        <w:t>Nonresponse bias in household surveys.</w:t>
      </w:r>
      <w:proofErr w:type="gramEnd"/>
      <w:r w:rsidRPr="002B060E">
        <w:rPr>
          <w:sz w:val="20"/>
          <w:szCs w:val="20"/>
          <w:shd w:val="clear" w:color="auto" w:fill="FFFFFF"/>
        </w:rPr>
        <w:t xml:space="preserve"> </w:t>
      </w:r>
      <w:r w:rsidRPr="002B060E">
        <w:rPr>
          <w:i/>
          <w:iCs/>
          <w:sz w:val="20"/>
          <w:szCs w:val="20"/>
          <w:shd w:val="clear" w:color="auto" w:fill="FFFFFF"/>
        </w:rPr>
        <w:t xml:space="preserve">Public Opinion Quarterly, </w:t>
      </w:r>
      <w:r w:rsidRPr="002B060E">
        <w:rPr>
          <w:sz w:val="20"/>
          <w:szCs w:val="20"/>
          <w:shd w:val="clear" w:color="auto" w:fill="FFFFFF"/>
        </w:rPr>
        <w:t xml:space="preserve">70(5), </w:t>
      </w:r>
    </w:p>
    <w:p w:rsidR="002B060E" w:rsidRPr="002B060E" w:rsidRDefault="002B060E" w:rsidP="002B060E">
      <w:pPr>
        <w:ind w:left="720" w:hanging="720"/>
      </w:pPr>
      <w:proofErr w:type="gramStart"/>
      <w:r w:rsidRPr="002B060E">
        <w:rPr>
          <w:sz w:val="20"/>
          <w:szCs w:val="20"/>
          <w:shd w:val="clear" w:color="auto" w:fill="FFFFFF"/>
        </w:rPr>
        <w:t>637-645.</w:t>
      </w:r>
      <w:proofErr w:type="gramEnd"/>
    </w:p>
    <w:p w:rsidR="002B060E" w:rsidRPr="002B060E" w:rsidRDefault="002B060E" w:rsidP="002B060E">
      <w:pPr>
        <w:ind w:left="720" w:hanging="720"/>
        <w:rPr>
          <w:sz w:val="20"/>
          <w:szCs w:val="20"/>
          <w:bdr w:val="none" w:sz="0" w:space="0" w:color="auto" w:frame="1"/>
          <w:shd w:val="clear" w:color="auto" w:fill="FFFFFF"/>
        </w:rPr>
      </w:pPr>
      <w:r w:rsidRPr="002B060E">
        <w:rPr>
          <w:sz w:val="20"/>
          <w:szCs w:val="20"/>
        </w:rPr>
        <w:t xml:space="preserve">[4] </w:t>
      </w:r>
      <w:r w:rsidRPr="002B060E">
        <w:rPr>
          <w:sz w:val="20"/>
          <w:szCs w:val="20"/>
          <w:bdr w:val="none" w:sz="0" w:space="0" w:color="auto" w:frame="1"/>
          <w:shd w:val="clear" w:color="auto" w:fill="FFFFFF"/>
        </w:rPr>
        <w:t xml:space="preserve">Groves, R., </w:t>
      </w:r>
      <w:proofErr w:type="spellStart"/>
      <w:r w:rsidRPr="002B060E">
        <w:rPr>
          <w:sz w:val="20"/>
          <w:szCs w:val="20"/>
          <w:bdr w:val="none" w:sz="0" w:space="0" w:color="auto" w:frame="1"/>
          <w:shd w:val="clear" w:color="auto" w:fill="FFFFFF"/>
        </w:rPr>
        <w:t>Couper</w:t>
      </w:r>
      <w:proofErr w:type="spellEnd"/>
      <w:r w:rsidRPr="002B060E">
        <w:rPr>
          <w:sz w:val="20"/>
          <w:szCs w:val="20"/>
          <w:bdr w:val="none" w:sz="0" w:space="0" w:color="auto" w:frame="1"/>
          <w:shd w:val="clear" w:color="auto" w:fill="FFFFFF"/>
        </w:rPr>
        <w:t xml:space="preserve">, M., Presser, S., Singer, E., </w:t>
      </w:r>
      <w:proofErr w:type="spellStart"/>
      <w:r w:rsidRPr="002B060E">
        <w:rPr>
          <w:sz w:val="20"/>
          <w:szCs w:val="20"/>
          <w:bdr w:val="none" w:sz="0" w:space="0" w:color="auto" w:frame="1"/>
          <w:shd w:val="clear" w:color="auto" w:fill="FFFFFF"/>
        </w:rPr>
        <w:t>Tourangeau</w:t>
      </w:r>
      <w:proofErr w:type="spellEnd"/>
      <w:r w:rsidRPr="002B060E">
        <w:rPr>
          <w:sz w:val="20"/>
          <w:szCs w:val="20"/>
          <w:bdr w:val="none" w:sz="0" w:space="0" w:color="auto" w:frame="1"/>
          <w:shd w:val="clear" w:color="auto" w:fill="FFFFFF"/>
        </w:rPr>
        <w:t xml:space="preserve">, R., Acosta, G., &amp; Nelson, L. </w:t>
      </w:r>
    </w:p>
    <w:p w:rsidR="002B060E" w:rsidRPr="002B060E" w:rsidRDefault="002B060E" w:rsidP="002B060E">
      <w:pPr>
        <w:ind w:left="720" w:hanging="720"/>
        <w:rPr>
          <w:sz w:val="20"/>
          <w:szCs w:val="20"/>
          <w:bdr w:val="none" w:sz="0" w:space="0" w:color="auto" w:frame="1"/>
          <w:shd w:val="clear" w:color="auto" w:fill="FFFFFF"/>
        </w:rPr>
      </w:pPr>
      <w:proofErr w:type="gramStart"/>
      <w:r w:rsidRPr="002B060E">
        <w:rPr>
          <w:sz w:val="20"/>
          <w:szCs w:val="20"/>
          <w:bdr w:val="none" w:sz="0" w:space="0" w:color="auto" w:frame="1"/>
          <w:shd w:val="clear" w:color="auto" w:fill="FFFFFF"/>
        </w:rPr>
        <w:t>(2006). Experiments in producing nonresponse bias.</w:t>
      </w:r>
      <w:proofErr w:type="gramEnd"/>
      <w:r w:rsidRPr="002B060E">
        <w:rPr>
          <w:sz w:val="20"/>
          <w:szCs w:val="20"/>
          <w:bdr w:val="none" w:sz="0" w:space="0" w:color="auto" w:frame="1"/>
          <w:shd w:val="clear" w:color="auto" w:fill="FFFFFF"/>
        </w:rPr>
        <w:t xml:space="preserve"> </w:t>
      </w:r>
      <w:r w:rsidRPr="002B060E">
        <w:rPr>
          <w:i/>
          <w:iCs/>
          <w:sz w:val="20"/>
          <w:szCs w:val="20"/>
          <w:bdr w:val="none" w:sz="0" w:space="0" w:color="auto" w:frame="1"/>
          <w:shd w:val="clear" w:color="auto" w:fill="FFFFFF"/>
        </w:rPr>
        <w:t>Public Opinion Quarterly</w:t>
      </w:r>
      <w:r w:rsidRPr="002B060E">
        <w:rPr>
          <w:sz w:val="20"/>
          <w:szCs w:val="20"/>
          <w:bdr w:val="none" w:sz="0" w:space="0" w:color="auto" w:frame="1"/>
          <w:shd w:val="clear" w:color="auto" w:fill="FFFFFF"/>
        </w:rPr>
        <w:t>, 70(5), 720-736.</w:t>
      </w:r>
    </w:p>
    <w:p w:rsidR="002B060E" w:rsidRPr="002B060E" w:rsidRDefault="002B060E" w:rsidP="002B060E">
      <w:pPr>
        <w:rPr>
          <w:rFonts w:asciiTheme="minorHAnsi" w:hAnsiTheme="minorHAnsi"/>
          <w:b/>
          <w:color w:val="1F497D" w:themeColor="text2"/>
          <w:sz w:val="22"/>
          <w:szCs w:val="22"/>
        </w:rPr>
      </w:pPr>
    </w:p>
    <w:p w:rsidR="004D6E14" w:rsidRPr="00D32239" w:rsidRDefault="004D6E14">
      <w:pPr>
        <w:rPr>
          <w:rFonts w:asciiTheme="minorHAnsi" w:hAnsiTheme="minorHAnsi"/>
          <w:b/>
          <w:color w:val="1F497D" w:themeColor="text2"/>
          <w:sz w:val="22"/>
          <w:szCs w:val="22"/>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238"/>
        <w:gridCol w:w="1620"/>
        <w:gridCol w:w="1620"/>
        <w:gridCol w:w="1183"/>
      </w:tblGrid>
      <w:tr w:rsidR="00EF2095" w:rsidTr="008F203F">
        <w:trPr>
          <w:trHeight w:val="274"/>
        </w:trPr>
        <w:tc>
          <w:tcPr>
            <w:tcW w:w="5238" w:type="dxa"/>
          </w:tcPr>
          <w:p w:rsidR="006832D9" w:rsidRPr="00F6240A" w:rsidRDefault="00E40B50" w:rsidP="00C8488C">
            <w:pPr>
              <w:rPr>
                <w:b/>
              </w:rPr>
            </w:pPr>
            <w:r>
              <w:rPr>
                <w:b/>
              </w:rPr>
              <w:t>Category of Respondent</w:t>
            </w:r>
            <w:r w:rsidR="00EF2095">
              <w:rPr>
                <w:b/>
              </w:rPr>
              <w:t xml:space="preserve"> </w:t>
            </w:r>
          </w:p>
        </w:tc>
        <w:tc>
          <w:tcPr>
            <w:tcW w:w="162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rsidR="006832D9" w:rsidRPr="00F6240A" w:rsidRDefault="006832D9" w:rsidP="00843796">
            <w:pPr>
              <w:rPr>
                <w:b/>
              </w:rPr>
            </w:pPr>
            <w:r w:rsidRPr="00F6240A">
              <w:rPr>
                <w:b/>
              </w:rPr>
              <w:t>Participation Time</w:t>
            </w:r>
          </w:p>
        </w:tc>
        <w:tc>
          <w:tcPr>
            <w:tcW w:w="1183" w:type="dxa"/>
          </w:tcPr>
          <w:p w:rsidR="006832D9" w:rsidRPr="00F6240A" w:rsidRDefault="006832D9" w:rsidP="00843796">
            <w:pPr>
              <w:rPr>
                <w:b/>
              </w:rPr>
            </w:pPr>
            <w:r w:rsidRPr="00F6240A">
              <w:rPr>
                <w:b/>
              </w:rPr>
              <w:t>Burden</w:t>
            </w:r>
          </w:p>
        </w:tc>
      </w:tr>
      <w:tr w:rsidR="00EF2095" w:rsidTr="008F203F">
        <w:trPr>
          <w:trHeight w:val="274"/>
        </w:trPr>
        <w:tc>
          <w:tcPr>
            <w:tcW w:w="5238" w:type="dxa"/>
          </w:tcPr>
          <w:p w:rsidR="006832D9" w:rsidRPr="00FB3721" w:rsidRDefault="00204878" w:rsidP="00FB3721">
            <w:pPr>
              <w:rPr>
                <w:rFonts w:asciiTheme="minorHAnsi" w:hAnsiTheme="minorHAnsi"/>
                <w:color w:val="1F497D" w:themeColor="text2"/>
                <w:sz w:val="22"/>
                <w:szCs w:val="22"/>
              </w:rPr>
            </w:pPr>
            <w:r w:rsidRPr="00FB3721">
              <w:rPr>
                <w:rFonts w:asciiTheme="minorHAnsi" w:hAnsiTheme="minorHAnsi"/>
                <w:color w:val="1F497D" w:themeColor="text2"/>
                <w:sz w:val="22"/>
                <w:szCs w:val="22"/>
              </w:rPr>
              <w:t xml:space="preserve">Individuals </w:t>
            </w:r>
            <w:r w:rsidR="0063499C" w:rsidRPr="00FB3721">
              <w:rPr>
                <w:rFonts w:asciiTheme="minorHAnsi" w:hAnsiTheme="minorHAnsi"/>
                <w:color w:val="1F497D" w:themeColor="text2"/>
                <w:sz w:val="22"/>
                <w:szCs w:val="22"/>
              </w:rPr>
              <w:t xml:space="preserve">– </w:t>
            </w:r>
            <w:r w:rsidR="00FB3721" w:rsidRPr="00FB3721">
              <w:rPr>
                <w:rFonts w:asciiTheme="minorHAnsi" w:hAnsiTheme="minorHAnsi"/>
                <w:color w:val="1F497D" w:themeColor="text2"/>
                <w:sz w:val="22"/>
                <w:szCs w:val="22"/>
              </w:rPr>
              <w:t>8</w:t>
            </w:r>
            <w:r w:rsidR="0063499C" w:rsidRPr="00FB3721">
              <w:rPr>
                <w:rFonts w:asciiTheme="minorHAnsi" w:hAnsiTheme="minorHAnsi"/>
                <w:color w:val="1F497D" w:themeColor="text2"/>
                <w:sz w:val="22"/>
                <w:szCs w:val="22"/>
              </w:rPr>
              <w:t xml:space="preserve"> groups</w:t>
            </w:r>
          </w:p>
        </w:tc>
        <w:tc>
          <w:tcPr>
            <w:tcW w:w="1620" w:type="dxa"/>
          </w:tcPr>
          <w:p w:rsidR="006832D9" w:rsidRPr="00FB3721" w:rsidRDefault="00FB3721" w:rsidP="00843796">
            <w:pPr>
              <w:rPr>
                <w:rFonts w:asciiTheme="minorHAnsi" w:hAnsiTheme="minorHAnsi"/>
                <w:color w:val="1F497D" w:themeColor="text2"/>
                <w:sz w:val="22"/>
                <w:szCs w:val="22"/>
              </w:rPr>
            </w:pPr>
            <w:r w:rsidRPr="00FB3721">
              <w:rPr>
                <w:rFonts w:asciiTheme="minorHAnsi" w:hAnsiTheme="minorHAnsi"/>
                <w:color w:val="1F497D" w:themeColor="text2"/>
                <w:sz w:val="22"/>
                <w:szCs w:val="22"/>
              </w:rPr>
              <w:t>48</w:t>
            </w:r>
          </w:p>
        </w:tc>
        <w:tc>
          <w:tcPr>
            <w:tcW w:w="1620" w:type="dxa"/>
          </w:tcPr>
          <w:p w:rsidR="006832D9" w:rsidRPr="00FB3721" w:rsidRDefault="0063499C" w:rsidP="00843796">
            <w:pPr>
              <w:rPr>
                <w:rFonts w:asciiTheme="minorHAnsi" w:hAnsiTheme="minorHAnsi"/>
                <w:color w:val="1F497D" w:themeColor="text2"/>
                <w:sz w:val="22"/>
                <w:szCs w:val="22"/>
              </w:rPr>
            </w:pPr>
            <w:r w:rsidRPr="00FB3721">
              <w:rPr>
                <w:rFonts w:asciiTheme="minorHAnsi" w:hAnsiTheme="minorHAnsi"/>
                <w:color w:val="1F497D" w:themeColor="text2"/>
                <w:sz w:val="22"/>
                <w:szCs w:val="22"/>
              </w:rPr>
              <w:t>120</w:t>
            </w:r>
            <w:r w:rsidR="00BA4E3C">
              <w:rPr>
                <w:rFonts w:asciiTheme="minorHAnsi" w:hAnsiTheme="minorHAnsi"/>
                <w:color w:val="1F497D" w:themeColor="text2"/>
                <w:sz w:val="22"/>
                <w:szCs w:val="22"/>
              </w:rPr>
              <w:t xml:space="preserve"> minutes</w:t>
            </w:r>
          </w:p>
        </w:tc>
        <w:tc>
          <w:tcPr>
            <w:tcW w:w="1183" w:type="dxa"/>
          </w:tcPr>
          <w:p w:rsidR="006832D9" w:rsidRPr="00FB3721" w:rsidRDefault="00FB3721" w:rsidP="00843796">
            <w:pPr>
              <w:rPr>
                <w:rFonts w:asciiTheme="minorHAnsi" w:hAnsiTheme="minorHAnsi"/>
                <w:color w:val="1F497D" w:themeColor="text2"/>
                <w:sz w:val="22"/>
                <w:szCs w:val="22"/>
              </w:rPr>
            </w:pPr>
            <w:r w:rsidRPr="00FB3721">
              <w:rPr>
                <w:rFonts w:asciiTheme="minorHAnsi" w:hAnsiTheme="minorHAnsi"/>
                <w:color w:val="1F497D" w:themeColor="text2"/>
                <w:sz w:val="22"/>
                <w:szCs w:val="22"/>
              </w:rPr>
              <w:t>96</w:t>
            </w:r>
            <w:r w:rsidR="008F203F" w:rsidRPr="00FB3721">
              <w:rPr>
                <w:rFonts w:asciiTheme="minorHAnsi" w:hAnsiTheme="minorHAnsi"/>
                <w:color w:val="1F497D" w:themeColor="text2"/>
                <w:sz w:val="22"/>
                <w:szCs w:val="22"/>
              </w:rPr>
              <w:t xml:space="preserve"> hours</w:t>
            </w:r>
          </w:p>
        </w:tc>
      </w:tr>
      <w:tr w:rsidR="00EF2095" w:rsidTr="008F203F">
        <w:trPr>
          <w:trHeight w:val="274"/>
        </w:trPr>
        <w:tc>
          <w:tcPr>
            <w:tcW w:w="5238" w:type="dxa"/>
          </w:tcPr>
          <w:p w:rsidR="006832D9" w:rsidRPr="00FB3721" w:rsidRDefault="006832D9" w:rsidP="00843796">
            <w:pPr>
              <w:rPr>
                <w:rFonts w:asciiTheme="minorHAnsi" w:hAnsiTheme="minorHAnsi"/>
                <w:color w:val="1F497D" w:themeColor="text2"/>
                <w:sz w:val="22"/>
                <w:szCs w:val="22"/>
              </w:rPr>
            </w:pPr>
          </w:p>
        </w:tc>
        <w:tc>
          <w:tcPr>
            <w:tcW w:w="1620" w:type="dxa"/>
          </w:tcPr>
          <w:p w:rsidR="006832D9" w:rsidRPr="00FB3721" w:rsidRDefault="006832D9" w:rsidP="00843796">
            <w:pPr>
              <w:rPr>
                <w:rFonts w:asciiTheme="minorHAnsi" w:hAnsiTheme="minorHAnsi"/>
                <w:color w:val="1F497D" w:themeColor="text2"/>
                <w:sz w:val="22"/>
                <w:szCs w:val="22"/>
              </w:rPr>
            </w:pPr>
          </w:p>
        </w:tc>
        <w:tc>
          <w:tcPr>
            <w:tcW w:w="1620" w:type="dxa"/>
          </w:tcPr>
          <w:p w:rsidR="006832D9" w:rsidRPr="00FB3721" w:rsidRDefault="006832D9" w:rsidP="00843796">
            <w:pPr>
              <w:rPr>
                <w:rFonts w:asciiTheme="minorHAnsi" w:hAnsiTheme="minorHAnsi"/>
                <w:color w:val="1F497D" w:themeColor="text2"/>
                <w:sz w:val="22"/>
                <w:szCs w:val="22"/>
              </w:rPr>
            </w:pPr>
          </w:p>
        </w:tc>
        <w:tc>
          <w:tcPr>
            <w:tcW w:w="1183" w:type="dxa"/>
          </w:tcPr>
          <w:p w:rsidR="006832D9" w:rsidRPr="00FB3721" w:rsidRDefault="006832D9" w:rsidP="00843796">
            <w:pPr>
              <w:rPr>
                <w:rFonts w:asciiTheme="minorHAnsi" w:hAnsiTheme="minorHAnsi"/>
                <w:color w:val="1F497D" w:themeColor="text2"/>
                <w:sz w:val="22"/>
                <w:szCs w:val="22"/>
              </w:rPr>
            </w:pPr>
          </w:p>
        </w:tc>
      </w:tr>
      <w:tr w:rsidR="00EF2095" w:rsidTr="008F203F">
        <w:trPr>
          <w:trHeight w:val="289"/>
        </w:trPr>
        <w:tc>
          <w:tcPr>
            <w:tcW w:w="5238" w:type="dxa"/>
          </w:tcPr>
          <w:p w:rsidR="006832D9" w:rsidRPr="00F6240A" w:rsidRDefault="006832D9" w:rsidP="00843796">
            <w:pPr>
              <w:rPr>
                <w:b/>
              </w:rPr>
            </w:pPr>
            <w:r>
              <w:rPr>
                <w:b/>
              </w:rPr>
              <w:t>Totals</w:t>
            </w:r>
          </w:p>
        </w:tc>
        <w:tc>
          <w:tcPr>
            <w:tcW w:w="1620" w:type="dxa"/>
          </w:tcPr>
          <w:p w:rsidR="006832D9" w:rsidRPr="00204878" w:rsidRDefault="00FB3721" w:rsidP="00843796">
            <w:pPr>
              <w:rPr>
                <w:rFonts w:asciiTheme="minorHAnsi" w:hAnsiTheme="minorHAnsi"/>
                <w:b/>
                <w:color w:val="1F497D" w:themeColor="text2"/>
                <w:sz w:val="22"/>
                <w:szCs w:val="22"/>
              </w:rPr>
            </w:pPr>
            <w:r>
              <w:rPr>
                <w:rFonts w:asciiTheme="minorHAnsi" w:hAnsiTheme="minorHAnsi"/>
                <w:b/>
                <w:color w:val="1F497D" w:themeColor="text2"/>
                <w:sz w:val="22"/>
                <w:szCs w:val="22"/>
              </w:rPr>
              <w:t>48</w:t>
            </w:r>
          </w:p>
        </w:tc>
        <w:tc>
          <w:tcPr>
            <w:tcW w:w="1620" w:type="dxa"/>
          </w:tcPr>
          <w:p w:rsidR="006832D9" w:rsidRPr="00204878" w:rsidRDefault="00FB3721" w:rsidP="00843796">
            <w:pPr>
              <w:rPr>
                <w:rFonts w:asciiTheme="minorHAnsi" w:hAnsiTheme="minorHAnsi"/>
                <w:color w:val="1F497D" w:themeColor="text2"/>
                <w:sz w:val="22"/>
                <w:szCs w:val="22"/>
              </w:rPr>
            </w:pPr>
            <w:r>
              <w:rPr>
                <w:rFonts w:asciiTheme="minorHAnsi" w:hAnsiTheme="minorHAnsi"/>
                <w:color w:val="1F497D" w:themeColor="text2"/>
                <w:sz w:val="22"/>
                <w:szCs w:val="22"/>
              </w:rPr>
              <w:t>120</w:t>
            </w:r>
            <w:r w:rsidR="00BA4E3C">
              <w:rPr>
                <w:rFonts w:asciiTheme="minorHAnsi" w:hAnsiTheme="minorHAnsi"/>
                <w:color w:val="1F497D" w:themeColor="text2"/>
                <w:sz w:val="22"/>
                <w:szCs w:val="22"/>
              </w:rPr>
              <w:t xml:space="preserve"> minutes</w:t>
            </w:r>
          </w:p>
        </w:tc>
        <w:tc>
          <w:tcPr>
            <w:tcW w:w="1183" w:type="dxa"/>
          </w:tcPr>
          <w:p w:rsidR="006832D9" w:rsidRPr="00204878" w:rsidRDefault="00FB3721" w:rsidP="00843796">
            <w:pPr>
              <w:rPr>
                <w:rFonts w:asciiTheme="minorHAnsi" w:hAnsiTheme="minorHAnsi"/>
                <w:b/>
                <w:color w:val="1F497D" w:themeColor="text2"/>
                <w:sz w:val="22"/>
                <w:szCs w:val="22"/>
              </w:rPr>
            </w:pPr>
            <w:r>
              <w:rPr>
                <w:rFonts w:asciiTheme="minorHAnsi" w:hAnsiTheme="minorHAnsi"/>
                <w:b/>
                <w:color w:val="1F497D" w:themeColor="text2"/>
                <w:sz w:val="22"/>
                <w:szCs w:val="22"/>
              </w:rPr>
              <w:t>96 hours</w:t>
            </w:r>
          </w:p>
        </w:tc>
      </w:tr>
    </w:tbl>
    <w:p w:rsidR="00441434" w:rsidRDefault="00441434" w:rsidP="00F3170F"/>
    <w:p w:rsidR="00ED6492" w:rsidRDefault="001C39F7">
      <w:pPr>
        <w:rPr>
          <w:color w:val="1F497D" w:themeColor="text2"/>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D32239">
        <w:t xml:space="preserve"> to the Federal government is </w:t>
      </w:r>
      <w:r w:rsidR="00DE5722" w:rsidRPr="00FB3721">
        <w:rPr>
          <w:color w:val="1F497D" w:themeColor="text2"/>
        </w:rPr>
        <w:t>~</w:t>
      </w:r>
      <w:r w:rsidR="00000BD8" w:rsidRPr="00FB3721">
        <w:rPr>
          <w:color w:val="1F497D" w:themeColor="text2"/>
        </w:rPr>
        <w:t>$</w:t>
      </w:r>
      <w:r w:rsidR="00FB3721" w:rsidRPr="00FB3721">
        <w:rPr>
          <w:color w:val="1F497D" w:themeColor="text2"/>
        </w:rPr>
        <w:t>69</w:t>
      </w:r>
      <w:r w:rsidR="00DE5722" w:rsidRPr="00FB3721">
        <w:rPr>
          <w:color w:val="1F497D" w:themeColor="text2"/>
        </w:rPr>
        <w:t xml:space="preserve">,000 for </w:t>
      </w:r>
      <w:r w:rsidR="00FB3721" w:rsidRPr="00FB3721">
        <w:rPr>
          <w:color w:val="1F497D" w:themeColor="text2"/>
        </w:rPr>
        <w:t>8 groups</w:t>
      </w:r>
      <w:r w:rsidR="00394B22">
        <w:rPr>
          <w:color w:val="1F497D" w:themeColor="text2"/>
        </w:rPr>
        <w:t>. An approximate cost breakdown is:</w:t>
      </w:r>
    </w:p>
    <w:p w:rsidR="00394B22" w:rsidRDefault="00394B22">
      <w:pPr>
        <w:rPr>
          <w:color w:val="1F497D" w:themeColor="text2"/>
        </w:rPr>
      </w:pPr>
    </w:p>
    <w:tbl>
      <w:tblPr>
        <w:tblStyle w:val="TableGrid"/>
        <w:tblpPr w:leftFromText="180" w:rightFromText="180" w:vertAnchor="text" w:tblpY="1"/>
        <w:tblOverlap w:val="never"/>
        <w:tblW w:w="0" w:type="auto"/>
        <w:tblInd w:w="1908" w:type="dxa"/>
        <w:tblLook w:val="04A0" w:firstRow="1" w:lastRow="0" w:firstColumn="1" w:lastColumn="0" w:noHBand="0" w:noVBand="1"/>
      </w:tblPr>
      <w:tblGrid>
        <w:gridCol w:w="4140"/>
        <w:gridCol w:w="1350"/>
      </w:tblGrid>
      <w:tr w:rsidR="00394B22" w:rsidRPr="00EE07C6" w:rsidTr="00AE75A8">
        <w:tc>
          <w:tcPr>
            <w:tcW w:w="4140" w:type="dxa"/>
          </w:tcPr>
          <w:p w:rsidR="00394B22" w:rsidRPr="0036081D" w:rsidRDefault="00394B22">
            <w:pPr>
              <w:rPr>
                <w:bCs/>
                <w:color w:val="1F497D" w:themeColor="text2"/>
              </w:rPr>
            </w:pPr>
            <w:r w:rsidRPr="0036081D">
              <w:rPr>
                <w:bCs/>
                <w:color w:val="1F497D" w:themeColor="text2"/>
              </w:rPr>
              <w:t>Project Management</w:t>
            </w:r>
          </w:p>
        </w:tc>
        <w:tc>
          <w:tcPr>
            <w:tcW w:w="1350" w:type="dxa"/>
          </w:tcPr>
          <w:p w:rsidR="00394B22" w:rsidRPr="0036081D" w:rsidRDefault="00394B22">
            <w:pPr>
              <w:jc w:val="right"/>
              <w:rPr>
                <w:bCs/>
                <w:color w:val="1F497D" w:themeColor="text2"/>
              </w:rPr>
            </w:pPr>
            <w:r w:rsidRPr="0036081D">
              <w:rPr>
                <w:bCs/>
                <w:color w:val="1F497D" w:themeColor="text2"/>
              </w:rPr>
              <w:t>$</w:t>
            </w:r>
            <w:r w:rsidR="007574E2">
              <w:rPr>
                <w:bCs/>
                <w:color w:val="1F497D" w:themeColor="text2"/>
              </w:rPr>
              <w:t>2,500</w:t>
            </w:r>
          </w:p>
        </w:tc>
      </w:tr>
      <w:tr w:rsidR="00394B22" w:rsidRPr="00EE07C6" w:rsidTr="00AE75A8">
        <w:tc>
          <w:tcPr>
            <w:tcW w:w="4140" w:type="dxa"/>
          </w:tcPr>
          <w:p w:rsidR="00394B22" w:rsidRPr="0036081D" w:rsidRDefault="00394B22">
            <w:pPr>
              <w:rPr>
                <w:bCs/>
                <w:color w:val="1F497D" w:themeColor="text2"/>
              </w:rPr>
            </w:pPr>
            <w:r w:rsidRPr="0036081D">
              <w:rPr>
                <w:bCs/>
                <w:color w:val="1F497D" w:themeColor="text2"/>
              </w:rPr>
              <w:t>Incentives</w:t>
            </w:r>
          </w:p>
        </w:tc>
        <w:tc>
          <w:tcPr>
            <w:tcW w:w="1350" w:type="dxa"/>
          </w:tcPr>
          <w:p w:rsidR="00394B22" w:rsidRPr="0036081D" w:rsidRDefault="00394B22">
            <w:pPr>
              <w:jc w:val="right"/>
              <w:rPr>
                <w:bCs/>
                <w:color w:val="1F497D" w:themeColor="text2"/>
              </w:rPr>
            </w:pPr>
            <w:r w:rsidRPr="0036081D">
              <w:rPr>
                <w:bCs/>
                <w:color w:val="1F497D" w:themeColor="text2"/>
              </w:rPr>
              <w:t>$</w:t>
            </w:r>
            <w:r>
              <w:rPr>
                <w:bCs/>
                <w:color w:val="1F497D" w:themeColor="text2"/>
              </w:rPr>
              <w:t>4,800</w:t>
            </w:r>
          </w:p>
        </w:tc>
      </w:tr>
      <w:tr w:rsidR="00394B22" w:rsidRPr="00EE07C6" w:rsidTr="00AE75A8">
        <w:tc>
          <w:tcPr>
            <w:tcW w:w="4140" w:type="dxa"/>
          </w:tcPr>
          <w:p w:rsidR="00394B22" w:rsidRPr="0036081D" w:rsidRDefault="00394B22">
            <w:pPr>
              <w:rPr>
                <w:bCs/>
                <w:color w:val="1F497D" w:themeColor="text2"/>
              </w:rPr>
            </w:pPr>
            <w:r w:rsidRPr="0036081D">
              <w:rPr>
                <w:bCs/>
                <w:color w:val="1F497D" w:themeColor="text2"/>
              </w:rPr>
              <w:t>Moderation</w:t>
            </w:r>
          </w:p>
        </w:tc>
        <w:tc>
          <w:tcPr>
            <w:tcW w:w="1350" w:type="dxa"/>
          </w:tcPr>
          <w:p w:rsidR="00394B22" w:rsidRPr="0036081D" w:rsidRDefault="00394B22">
            <w:pPr>
              <w:jc w:val="right"/>
              <w:rPr>
                <w:bCs/>
                <w:color w:val="1F497D" w:themeColor="text2"/>
              </w:rPr>
            </w:pPr>
            <w:r w:rsidRPr="0036081D">
              <w:rPr>
                <w:bCs/>
                <w:color w:val="1F497D" w:themeColor="text2"/>
              </w:rPr>
              <w:t>$</w:t>
            </w:r>
            <w:r>
              <w:rPr>
                <w:bCs/>
                <w:color w:val="1F497D" w:themeColor="text2"/>
              </w:rPr>
              <w:t>1</w:t>
            </w:r>
            <w:r w:rsidR="007574E2">
              <w:rPr>
                <w:bCs/>
                <w:color w:val="1F497D" w:themeColor="text2"/>
              </w:rPr>
              <w:t>7</w:t>
            </w:r>
            <w:r>
              <w:rPr>
                <w:bCs/>
                <w:color w:val="1F497D" w:themeColor="text2"/>
              </w:rPr>
              <w:t>,</w:t>
            </w:r>
            <w:r w:rsidR="001B53C8">
              <w:rPr>
                <w:bCs/>
                <w:color w:val="1F497D" w:themeColor="text2"/>
              </w:rPr>
              <w:t>5</w:t>
            </w:r>
            <w:r>
              <w:rPr>
                <w:bCs/>
                <w:color w:val="1F497D" w:themeColor="text2"/>
              </w:rPr>
              <w:t>00</w:t>
            </w:r>
          </w:p>
        </w:tc>
      </w:tr>
      <w:tr w:rsidR="00394B22" w:rsidRPr="00EE07C6" w:rsidTr="00AE75A8">
        <w:tc>
          <w:tcPr>
            <w:tcW w:w="4140" w:type="dxa"/>
          </w:tcPr>
          <w:p w:rsidR="00394B22" w:rsidRPr="0036081D" w:rsidRDefault="00394B22">
            <w:pPr>
              <w:rPr>
                <w:bCs/>
                <w:color w:val="1F497D" w:themeColor="text2"/>
              </w:rPr>
            </w:pPr>
            <w:r w:rsidRPr="0036081D">
              <w:rPr>
                <w:bCs/>
                <w:color w:val="1F497D" w:themeColor="text2"/>
              </w:rPr>
              <w:t>Recruitment</w:t>
            </w:r>
          </w:p>
        </w:tc>
        <w:tc>
          <w:tcPr>
            <w:tcW w:w="1350" w:type="dxa"/>
          </w:tcPr>
          <w:p w:rsidR="00394B22" w:rsidRPr="0036081D" w:rsidRDefault="00394B22">
            <w:pPr>
              <w:jc w:val="right"/>
              <w:rPr>
                <w:bCs/>
                <w:color w:val="1F497D" w:themeColor="text2"/>
              </w:rPr>
            </w:pPr>
            <w:r w:rsidRPr="0036081D">
              <w:rPr>
                <w:bCs/>
                <w:color w:val="1F497D" w:themeColor="text2"/>
              </w:rPr>
              <w:t>$</w:t>
            </w:r>
            <w:r>
              <w:rPr>
                <w:bCs/>
                <w:color w:val="1F497D" w:themeColor="text2"/>
              </w:rPr>
              <w:t>9,880</w:t>
            </w:r>
          </w:p>
        </w:tc>
      </w:tr>
      <w:tr w:rsidR="00394B22" w:rsidRPr="00EE07C6" w:rsidTr="00AE75A8">
        <w:tc>
          <w:tcPr>
            <w:tcW w:w="4140" w:type="dxa"/>
          </w:tcPr>
          <w:p w:rsidR="00394B22" w:rsidRPr="0036081D" w:rsidRDefault="00394B22">
            <w:pPr>
              <w:rPr>
                <w:bCs/>
                <w:color w:val="1F497D" w:themeColor="text2"/>
              </w:rPr>
            </w:pPr>
            <w:r>
              <w:rPr>
                <w:bCs/>
                <w:color w:val="1F497D" w:themeColor="text2"/>
              </w:rPr>
              <w:t>Facility Rental</w:t>
            </w:r>
          </w:p>
        </w:tc>
        <w:tc>
          <w:tcPr>
            <w:tcW w:w="1350" w:type="dxa"/>
          </w:tcPr>
          <w:p w:rsidR="00394B22" w:rsidRPr="0036081D" w:rsidRDefault="00394B22">
            <w:pPr>
              <w:jc w:val="right"/>
              <w:rPr>
                <w:bCs/>
                <w:color w:val="1F497D" w:themeColor="text2"/>
              </w:rPr>
            </w:pPr>
            <w:r w:rsidRPr="0036081D">
              <w:rPr>
                <w:bCs/>
                <w:color w:val="1F497D" w:themeColor="text2"/>
              </w:rPr>
              <w:t>$</w:t>
            </w:r>
            <w:r w:rsidR="001B53C8">
              <w:rPr>
                <w:bCs/>
                <w:color w:val="1F497D" w:themeColor="text2"/>
              </w:rPr>
              <w:t>9,600</w:t>
            </w:r>
          </w:p>
        </w:tc>
      </w:tr>
      <w:tr w:rsidR="00394B22" w:rsidRPr="00EE07C6" w:rsidTr="00AE75A8">
        <w:tc>
          <w:tcPr>
            <w:tcW w:w="4140" w:type="dxa"/>
          </w:tcPr>
          <w:p w:rsidR="00394B22" w:rsidRDefault="001B53C8">
            <w:pPr>
              <w:rPr>
                <w:bCs/>
                <w:color w:val="1F497D" w:themeColor="text2"/>
              </w:rPr>
            </w:pPr>
            <w:r>
              <w:rPr>
                <w:bCs/>
                <w:color w:val="1F497D" w:themeColor="text2"/>
              </w:rPr>
              <w:t>Participant Meals</w:t>
            </w:r>
            <w:r w:rsidR="00394B22">
              <w:rPr>
                <w:bCs/>
                <w:color w:val="1F497D" w:themeColor="text2"/>
              </w:rPr>
              <w:t>/Incidentals</w:t>
            </w:r>
          </w:p>
        </w:tc>
        <w:tc>
          <w:tcPr>
            <w:tcW w:w="1350" w:type="dxa"/>
          </w:tcPr>
          <w:p w:rsidR="00394B22" w:rsidRDefault="00394B22">
            <w:pPr>
              <w:jc w:val="right"/>
              <w:rPr>
                <w:bCs/>
                <w:color w:val="1F497D" w:themeColor="text2"/>
              </w:rPr>
            </w:pPr>
            <w:r>
              <w:rPr>
                <w:bCs/>
                <w:color w:val="1F497D" w:themeColor="text2"/>
              </w:rPr>
              <w:t>$</w:t>
            </w:r>
            <w:r w:rsidR="001B53C8">
              <w:rPr>
                <w:bCs/>
                <w:color w:val="1F497D" w:themeColor="text2"/>
              </w:rPr>
              <w:t>1,800</w:t>
            </w:r>
          </w:p>
        </w:tc>
      </w:tr>
      <w:tr w:rsidR="00394B22" w:rsidRPr="00EE07C6" w:rsidTr="00AE75A8">
        <w:tc>
          <w:tcPr>
            <w:tcW w:w="4140" w:type="dxa"/>
          </w:tcPr>
          <w:p w:rsidR="00394B22" w:rsidRPr="0036081D" w:rsidRDefault="00394B22">
            <w:pPr>
              <w:rPr>
                <w:bCs/>
                <w:color w:val="1F497D" w:themeColor="text2"/>
              </w:rPr>
            </w:pPr>
            <w:r>
              <w:rPr>
                <w:bCs/>
                <w:color w:val="1F497D" w:themeColor="text2"/>
              </w:rPr>
              <w:t>Video and Audiotaping</w:t>
            </w:r>
          </w:p>
        </w:tc>
        <w:tc>
          <w:tcPr>
            <w:tcW w:w="1350" w:type="dxa"/>
          </w:tcPr>
          <w:p w:rsidR="00394B22" w:rsidRPr="0036081D" w:rsidRDefault="00394B22">
            <w:pPr>
              <w:jc w:val="right"/>
              <w:rPr>
                <w:bCs/>
                <w:color w:val="1F497D" w:themeColor="text2"/>
              </w:rPr>
            </w:pPr>
            <w:r>
              <w:rPr>
                <w:bCs/>
                <w:color w:val="1F497D" w:themeColor="text2"/>
              </w:rPr>
              <w:t>$</w:t>
            </w:r>
            <w:r w:rsidR="001B53C8">
              <w:rPr>
                <w:bCs/>
                <w:color w:val="1F497D" w:themeColor="text2"/>
              </w:rPr>
              <w:t>3</w:t>
            </w:r>
            <w:r>
              <w:rPr>
                <w:bCs/>
                <w:color w:val="1F497D" w:themeColor="text2"/>
              </w:rPr>
              <w:t>,400</w:t>
            </w:r>
          </w:p>
        </w:tc>
      </w:tr>
      <w:tr w:rsidR="00394B22" w:rsidRPr="00EE07C6" w:rsidTr="00AE75A8">
        <w:tc>
          <w:tcPr>
            <w:tcW w:w="4140" w:type="dxa"/>
          </w:tcPr>
          <w:p w:rsidR="00394B22" w:rsidRPr="0036081D" w:rsidRDefault="00394B22">
            <w:pPr>
              <w:rPr>
                <w:bCs/>
                <w:color w:val="1F497D" w:themeColor="text2"/>
              </w:rPr>
            </w:pPr>
            <w:r>
              <w:rPr>
                <w:bCs/>
                <w:color w:val="1F497D" w:themeColor="text2"/>
              </w:rPr>
              <w:t>Transcription</w:t>
            </w:r>
          </w:p>
        </w:tc>
        <w:tc>
          <w:tcPr>
            <w:tcW w:w="1350" w:type="dxa"/>
          </w:tcPr>
          <w:p w:rsidR="00394B22" w:rsidRPr="0036081D" w:rsidRDefault="001B53C8">
            <w:pPr>
              <w:jc w:val="right"/>
              <w:rPr>
                <w:bCs/>
                <w:color w:val="1F497D" w:themeColor="text2"/>
              </w:rPr>
            </w:pPr>
            <w:r>
              <w:rPr>
                <w:bCs/>
                <w:color w:val="1F497D" w:themeColor="text2"/>
              </w:rPr>
              <w:t>$</w:t>
            </w:r>
            <w:r w:rsidR="00394B22">
              <w:rPr>
                <w:bCs/>
                <w:color w:val="1F497D" w:themeColor="text2"/>
              </w:rPr>
              <w:t>4,</w:t>
            </w:r>
            <w:r>
              <w:rPr>
                <w:bCs/>
                <w:color w:val="1F497D" w:themeColor="text2"/>
              </w:rPr>
              <w:t>820</w:t>
            </w:r>
          </w:p>
        </w:tc>
      </w:tr>
      <w:tr w:rsidR="00394B22" w:rsidRPr="00EE07C6" w:rsidTr="00AE75A8">
        <w:tc>
          <w:tcPr>
            <w:tcW w:w="4140" w:type="dxa"/>
          </w:tcPr>
          <w:p w:rsidR="00394B22" w:rsidRPr="0036081D" w:rsidRDefault="00394B22">
            <w:pPr>
              <w:rPr>
                <w:bCs/>
                <w:color w:val="1F497D" w:themeColor="text2"/>
              </w:rPr>
            </w:pPr>
            <w:r w:rsidRPr="0036081D">
              <w:rPr>
                <w:bCs/>
                <w:color w:val="1F497D" w:themeColor="text2"/>
              </w:rPr>
              <w:t>Analysis and Reporting</w:t>
            </w:r>
          </w:p>
        </w:tc>
        <w:tc>
          <w:tcPr>
            <w:tcW w:w="1350" w:type="dxa"/>
          </w:tcPr>
          <w:p w:rsidR="00394B22" w:rsidRPr="0036081D" w:rsidRDefault="00394B22">
            <w:pPr>
              <w:jc w:val="right"/>
              <w:rPr>
                <w:bCs/>
                <w:color w:val="1F497D" w:themeColor="text2"/>
              </w:rPr>
            </w:pPr>
            <w:r w:rsidRPr="0036081D">
              <w:rPr>
                <w:bCs/>
                <w:color w:val="1F497D" w:themeColor="text2"/>
              </w:rPr>
              <w:t>$</w:t>
            </w:r>
            <w:r w:rsidR="007574E2">
              <w:rPr>
                <w:bCs/>
                <w:color w:val="1F497D" w:themeColor="text2"/>
              </w:rPr>
              <w:t>7</w:t>
            </w:r>
            <w:r>
              <w:rPr>
                <w:bCs/>
                <w:color w:val="1F497D" w:themeColor="text2"/>
              </w:rPr>
              <w:t>,</w:t>
            </w:r>
            <w:r w:rsidR="007574E2">
              <w:rPr>
                <w:bCs/>
                <w:color w:val="1F497D" w:themeColor="text2"/>
              </w:rPr>
              <w:t>5</w:t>
            </w:r>
            <w:r>
              <w:rPr>
                <w:bCs/>
                <w:color w:val="1F497D" w:themeColor="text2"/>
              </w:rPr>
              <w:t>00</w:t>
            </w:r>
          </w:p>
        </w:tc>
      </w:tr>
      <w:tr w:rsidR="00394B22" w:rsidRPr="00EE07C6" w:rsidTr="00AE75A8">
        <w:tc>
          <w:tcPr>
            <w:tcW w:w="4140" w:type="dxa"/>
          </w:tcPr>
          <w:p w:rsidR="00394B22" w:rsidRPr="0036081D" w:rsidRDefault="00394B22">
            <w:pPr>
              <w:rPr>
                <w:bCs/>
                <w:color w:val="1F497D" w:themeColor="text2"/>
              </w:rPr>
            </w:pPr>
            <w:r>
              <w:rPr>
                <w:bCs/>
                <w:color w:val="1F497D" w:themeColor="text2"/>
              </w:rPr>
              <w:t>Moderator Travel (Reimbursed at Cost)</w:t>
            </w:r>
          </w:p>
        </w:tc>
        <w:tc>
          <w:tcPr>
            <w:tcW w:w="1350" w:type="dxa"/>
          </w:tcPr>
          <w:p w:rsidR="00394B22" w:rsidRPr="0036081D" w:rsidRDefault="00394B22">
            <w:pPr>
              <w:jc w:val="right"/>
              <w:rPr>
                <w:bCs/>
                <w:color w:val="1F497D" w:themeColor="text2"/>
              </w:rPr>
            </w:pPr>
            <w:r>
              <w:rPr>
                <w:bCs/>
                <w:color w:val="1F497D" w:themeColor="text2"/>
              </w:rPr>
              <w:t>$</w:t>
            </w:r>
            <w:r w:rsidR="001B53C8">
              <w:rPr>
                <w:bCs/>
                <w:color w:val="1F497D" w:themeColor="text2"/>
              </w:rPr>
              <w:t>7</w:t>
            </w:r>
            <w:r>
              <w:rPr>
                <w:bCs/>
                <w:color w:val="1F497D" w:themeColor="text2"/>
              </w:rPr>
              <w:t>,200</w:t>
            </w:r>
          </w:p>
        </w:tc>
      </w:tr>
      <w:tr w:rsidR="00394B22" w:rsidRPr="00EE07C6" w:rsidTr="00AE75A8">
        <w:tc>
          <w:tcPr>
            <w:tcW w:w="4140" w:type="dxa"/>
          </w:tcPr>
          <w:p w:rsidR="00394B22" w:rsidRPr="0036081D" w:rsidRDefault="00394B22">
            <w:pPr>
              <w:rPr>
                <w:bCs/>
                <w:color w:val="1F497D" w:themeColor="text2"/>
              </w:rPr>
            </w:pPr>
            <w:r w:rsidRPr="0036081D">
              <w:rPr>
                <w:bCs/>
                <w:color w:val="1F497D" w:themeColor="text2"/>
              </w:rPr>
              <w:t>TOTAL</w:t>
            </w:r>
          </w:p>
        </w:tc>
        <w:tc>
          <w:tcPr>
            <w:tcW w:w="1350" w:type="dxa"/>
          </w:tcPr>
          <w:p w:rsidR="00394B22" w:rsidRPr="0036081D" w:rsidRDefault="00394B22">
            <w:pPr>
              <w:jc w:val="right"/>
              <w:rPr>
                <w:bCs/>
                <w:color w:val="1F497D" w:themeColor="text2"/>
              </w:rPr>
            </w:pPr>
            <w:r w:rsidRPr="0036081D">
              <w:rPr>
                <w:bCs/>
                <w:color w:val="1F497D" w:themeColor="text2"/>
              </w:rPr>
              <w:t>$</w:t>
            </w:r>
            <w:r>
              <w:rPr>
                <w:bCs/>
                <w:color w:val="1F497D" w:themeColor="text2"/>
              </w:rPr>
              <w:t>69,000</w:t>
            </w:r>
          </w:p>
        </w:tc>
      </w:tr>
    </w:tbl>
    <w:p w:rsidR="00394B22" w:rsidRDefault="00BA4E3C" w:rsidP="00394B22">
      <w:pPr>
        <w:rPr>
          <w:b/>
          <w:bCs/>
          <w:u w:val="single"/>
        </w:rPr>
      </w:pPr>
      <w:r>
        <w:rPr>
          <w:b/>
          <w:bCs/>
          <w:u w:val="single"/>
        </w:rPr>
        <w:br w:type="textWrapping" w:clear="all"/>
      </w:r>
    </w:p>
    <w:p w:rsidR="00DE5722" w:rsidRPr="00FB3721" w:rsidRDefault="00DE5722">
      <w:pPr>
        <w:rPr>
          <w:b/>
          <w:bCs/>
          <w:color w:val="1F497D" w:themeColor="text2"/>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F203F" w:rsidRPr="008F203F">
        <w:rPr>
          <w:rFonts w:asciiTheme="minorHAnsi" w:hAnsiTheme="minorHAnsi"/>
          <w:color w:val="1F497D" w:themeColor="text2"/>
          <w:sz w:val="22"/>
          <w:szCs w:val="22"/>
        </w:rPr>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C16B7F" w:rsidRDefault="0063499C" w:rsidP="00A403BB">
      <w:pPr>
        <w:rPr>
          <w:rFonts w:asciiTheme="minorHAnsi" w:hAnsiTheme="minorHAnsi"/>
          <w:color w:val="1F497D" w:themeColor="text2"/>
          <w:sz w:val="22"/>
          <w:szCs w:val="22"/>
        </w:rPr>
      </w:pPr>
      <w:r>
        <w:rPr>
          <w:rFonts w:asciiTheme="minorHAnsi" w:hAnsiTheme="minorHAnsi"/>
          <w:color w:val="1F497D" w:themeColor="text2"/>
          <w:sz w:val="22"/>
          <w:szCs w:val="22"/>
        </w:rPr>
        <w:t>Focus group facilities maintain a database of individuals who agree to participate in group discussions</w:t>
      </w:r>
      <w:r w:rsidR="00936BEB">
        <w:rPr>
          <w:rFonts w:asciiTheme="minorHAnsi" w:hAnsiTheme="minorHAnsi"/>
          <w:color w:val="1F497D" w:themeColor="text2"/>
          <w:sz w:val="22"/>
          <w:szCs w:val="22"/>
        </w:rPr>
        <w:t>.</w:t>
      </w:r>
      <w:r>
        <w:rPr>
          <w:rFonts w:asciiTheme="minorHAnsi" w:hAnsiTheme="minorHAnsi"/>
          <w:color w:val="1F497D" w:themeColor="text2"/>
          <w:sz w:val="22"/>
          <w:szCs w:val="22"/>
        </w:rPr>
        <w:t xml:space="preserve">  Individuals in the right age range will be randomly selected and contacted by telephone. Those who meet the screening criteria will be invited to participate in the group discussions.</w:t>
      </w:r>
    </w:p>
    <w:p w:rsidR="00A403BB" w:rsidRPr="00C16B7F" w:rsidRDefault="00A403BB" w:rsidP="00A403BB">
      <w:pPr>
        <w:rPr>
          <w:rFonts w:asciiTheme="minorHAnsi" w:hAnsiTheme="minorHAnsi"/>
          <w:color w:val="1F497D" w:themeColor="text2"/>
          <w:sz w:val="22"/>
          <w:szCs w:val="22"/>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63499C">
        <w:t xml:space="preserve">  </w:t>
      </w:r>
      <w:r>
        <w:t>] Web-based</w:t>
      </w:r>
      <w:r w:rsidR="001B0AAA">
        <w:t xml:space="preserve"> or other forms of Social Media </w:t>
      </w:r>
    </w:p>
    <w:p w:rsidR="001B0AAA" w:rsidRDefault="00A403BB" w:rsidP="001B0AAA">
      <w:pPr>
        <w:ind w:left="720"/>
      </w:pPr>
      <w:proofErr w:type="gramStart"/>
      <w:r>
        <w:t xml:space="preserve">[ </w:t>
      </w:r>
      <w:r w:rsidR="0063499C" w:rsidRPr="0063499C">
        <w:rPr>
          <w:rFonts w:asciiTheme="minorHAnsi" w:hAnsiTheme="minorHAnsi"/>
          <w:color w:val="1F497D" w:themeColor="text2"/>
          <w:sz w:val="22"/>
          <w:szCs w:val="22"/>
        </w:rPr>
        <w:t>X</w:t>
      </w:r>
      <w:proofErr w:type="gramEnd"/>
      <w:r w:rsidR="001B0AAA">
        <w:t xml:space="preserve"> </w:t>
      </w:r>
      <w:r>
        <w:t>] Telephone</w:t>
      </w:r>
      <w:r>
        <w:tab/>
      </w:r>
    </w:p>
    <w:p w:rsidR="001B0AAA" w:rsidRDefault="00A403BB" w:rsidP="001B0AAA">
      <w:pPr>
        <w:ind w:left="720"/>
      </w:pPr>
      <w:proofErr w:type="gramStart"/>
      <w:r>
        <w:t>[</w:t>
      </w:r>
      <w:r w:rsidR="001B0AAA">
        <w:t xml:space="preserve"> </w:t>
      </w:r>
      <w:r w:rsidR="0063499C" w:rsidRPr="0063499C">
        <w:rPr>
          <w:rFonts w:asciiTheme="minorHAnsi" w:hAnsiTheme="minorHAnsi"/>
          <w:color w:val="1F497D" w:themeColor="text2"/>
          <w:sz w:val="22"/>
          <w:szCs w:val="22"/>
        </w:rPr>
        <w:t>X</w:t>
      </w:r>
      <w:proofErr w:type="gramEnd"/>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AA495F" w:rsidRDefault="00AA495F" w:rsidP="001B0AAA">
      <w:pPr>
        <w:ind w:left="720"/>
      </w:pPr>
    </w:p>
    <w:p w:rsidR="00F24CFC" w:rsidRDefault="00F24CFC" w:rsidP="00F24CFC">
      <w:pPr>
        <w:pStyle w:val="ListParagraph"/>
        <w:numPr>
          <w:ilvl w:val="0"/>
          <w:numId w:val="17"/>
        </w:numPr>
      </w:pPr>
      <w:r>
        <w:t>Will interviewers or facilitators be used?  [</w:t>
      </w:r>
      <w:r w:rsidR="0063499C" w:rsidRPr="00204878">
        <w:rPr>
          <w:rFonts w:asciiTheme="minorHAnsi" w:hAnsiTheme="minorHAnsi"/>
          <w:color w:val="1F497D" w:themeColor="text2"/>
          <w:sz w:val="22"/>
          <w:szCs w:val="22"/>
        </w:rPr>
        <w:t>X</w:t>
      </w:r>
      <w:r>
        <w:t xml:space="preserve"> ] Yes </w:t>
      </w:r>
      <w:r w:rsidRPr="0063499C">
        <w:t>[</w:t>
      </w:r>
      <w:r w:rsidR="0063499C">
        <w:rPr>
          <w:color w:val="1F497D" w:themeColor="text2"/>
        </w:rPr>
        <w:t xml:space="preserve">  </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D32239" w:rsidRDefault="00D32239" w:rsidP="00F24CFC">
      <w:pPr>
        <w:pStyle w:val="Heading2"/>
        <w:tabs>
          <w:tab w:val="left" w:pos="900"/>
        </w:tabs>
        <w:ind w:right="-180"/>
        <w:rPr>
          <w:sz w:val="28"/>
        </w:rPr>
      </w:pPr>
      <w:bookmarkStart w:id="0" w:name="_GoBack"/>
      <w:bookmarkEnd w:id="0"/>
    </w:p>
    <w:sectPr w:rsidR="00D32239"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E75A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A791F"/>
    <w:multiLevelType w:val="hybridMultilevel"/>
    <w:tmpl w:val="DCB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BE48BE"/>
    <w:multiLevelType w:val="hybridMultilevel"/>
    <w:tmpl w:val="CB2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FD1410"/>
    <w:multiLevelType w:val="hybridMultilevel"/>
    <w:tmpl w:val="A354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970CE4"/>
    <w:multiLevelType w:val="hybridMultilevel"/>
    <w:tmpl w:val="5B38DADC"/>
    <w:lvl w:ilvl="0" w:tplc="249E256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A73CE"/>
    <w:multiLevelType w:val="hybridMultilevel"/>
    <w:tmpl w:val="07AC99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138C9"/>
    <w:multiLevelType w:val="hybridMultilevel"/>
    <w:tmpl w:val="755A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26267FE"/>
    <w:multiLevelType w:val="hybridMultilevel"/>
    <w:tmpl w:val="AC0C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4"/>
  </w:num>
  <w:num w:numId="6">
    <w:abstractNumId w:val="1"/>
  </w:num>
  <w:num w:numId="7">
    <w:abstractNumId w:val="12"/>
  </w:num>
  <w:num w:numId="8">
    <w:abstractNumId w:val="19"/>
  </w:num>
  <w:num w:numId="9">
    <w:abstractNumId w:val="13"/>
  </w:num>
  <w:num w:numId="10">
    <w:abstractNumId w:val="2"/>
  </w:num>
  <w:num w:numId="11">
    <w:abstractNumId w:val="9"/>
  </w:num>
  <w:num w:numId="12">
    <w:abstractNumId w:val="10"/>
  </w:num>
  <w:num w:numId="13">
    <w:abstractNumId w:val="0"/>
  </w:num>
  <w:num w:numId="14">
    <w:abstractNumId w:val="21"/>
  </w:num>
  <w:num w:numId="15">
    <w:abstractNumId w:val="18"/>
  </w:num>
  <w:num w:numId="16">
    <w:abstractNumId w:val="16"/>
  </w:num>
  <w:num w:numId="17">
    <w:abstractNumId w:val="5"/>
  </w:num>
  <w:num w:numId="18">
    <w:abstractNumId w:val="7"/>
  </w:num>
  <w:num w:numId="19">
    <w:abstractNumId w:val="6"/>
  </w:num>
  <w:num w:numId="20">
    <w:abstractNumId w:val="15"/>
  </w:num>
  <w:num w:numId="21">
    <w:abstractNumId w:val="20"/>
  </w:num>
  <w:num w:numId="22">
    <w:abstractNumId w:val="11"/>
  </w:num>
  <w:num w:numId="23">
    <w:abstractNumId w:val="17"/>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BD8"/>
    <w:rsid w:val="00023A57"/>
    <w:rsid w:val="00047A64"/>
    <w:rsid w:val="00067329"/>
    <w:rsid w:val="000B2838"/>
    <w:rsid w:val="000C0C72"/>
    <w:rsid w:val="000D44CA"/>
    <w:rsid w:val="000E200B"/>
    <w:rsid w:val="000F68BE"/>
    <w:rsid w:val="00152F2F"/>
    <w:rsid w:val="00187C50"/>
    <w:rsid w:val="001927A4"/>
    <w:rsid w:val="00194AC6"/>
    <w:rsid w:val="001A23B0"/>
    <w:rsid w:val="001A25CC"/>
    <w:rsid w:val="001B0AAA"/>
    <w:rsid w:val="001B53C8"/>
    <w:rsid w:val="001C39F7"/>
    <w:rsid w:val="00204878"/>
    <w:rsid w:val="00237B48"/>
    <w:rsid w:val="0024521E"/>
    <w:rsid w:val="00263C3D"/>
    <w:rsid w:val="00274D0B"/>
    <w:rsid w:val="002B060E"/>
    <w:rsid w:val="002B3C95"/>
    <w:rsid w:val="002D0B92"/>
    <w:rsid w:val="00371176"/>
    <w:rsid w:val="00394B22"/>
    <w:rsid w:val="003D5BBE"/>
    <w:rsid w:val="003E3C61"/>
    <w:rsid w:val="003F1C5B"/>
    <w:rsid w:val="00434E33"/>
    <w:rsid w:val="00441434"/>
    <w:rsid w:val="0045264C"/>
    <w:rsid w:val="00465EA5"/>
    <w:rsid w:val="004876EC"/>
    <w:rsid w:val="004D6E14"/>
    <w:rsid w:val="004F5F91"/>
    <w:rsid w:val="005009B0"/>
    <w:rsid w:val="00532DCE"/>
    <w:rsid w:val="0057562D"/>
    <w:rsid w:val="00594BD6"/>
    <w:rsid w:val="005A1006"/>
    <w:rsid w:val="005E6CD7"/>
    <w:rsid w:val="005E714A"/>
    <w:rsid w:val="006140A0"/>
    <w:rsid w:val="0063499C"/>
    <w:rsid w:val="00636621"/>
    <w:rsid w:val="00642B49"/>
    <w:rsid w:val="006456D9"/>
    <w:rsid w:val="006832D9"/>
    <w:rsid w:val="0069403B"/>
    <w:rsid w:val="006F3DDE"/>
    <w:rsid w:val="00704678"/>
    <w:rsid w:val="007425E7"/>
    <w:rsid w:val="007574E2"/>
    <w:rsid w:val="00790531"/>
    <w:rsid w:val="00802607"/>
    <w:rsid w:val="008101A5"/>
    <w:rsid w:val="00820F64"/>
    <w:rsid w:val="00822664"/>
    <w:rsid w:val="0082376F"/>
    <w:rsid w:val="00843796"/>
    <w:rsid w:val="00895229"/>
    <w:rsid w:val="008A1BC9"/>
    <w:rsid w:val="008D2096"/>
    <w:rsid w:val="008F0203"/>
    <w:rsid w:val="008F203F"/>
    <w:rsid w:val="008F50D4"/>
    <w:rsid w:val="009239AA"/>
    <w:rsid w:val="00935ADA"/>
    <w:rsid w:val="00936BEB"/>
    <w:rsid w:val="00946B6C"/>
    <w:rsid w:val="00955A71"/>
    <w:rsid w:val="0096108F"/>
    <w:rsid w:val="009C13B9"/>
    <w:rsid w:val="009D01A2"/>
    <w:rsid w:val="009F5923"/>
    <w:rsid w:val="00A403BB"/>
    <w:rsid w:val="00A674DF"/>
    <w:rsid w:val="00A67C18"/>
    <w:rsid w:val="00A83AA6"/>
    <w:rsid w:val="00AA495F"/>
    <w:rsid w:val="00AE1809"/>
    <w:rsid w:val="00AE75A8"/>
    <w:rsid w:val="00B80D76"/>
    <w:rsid w:val="00B87C4E"/>
    <w:rsid w:val="00B96DE8"/>
    <w:rsid w:val="00BA2105"/>
    <w:rsid w:val="00BA4E3C"/>
    <w:rsid w:val="00BA7E06"/>
    <w:rsid w:val="00BB43B5"/>
    <w:rsid w:val="00BB6219"/>
    <w:rsid w:val="00BD290F"/>
    <w:rsid w:val="00BF04EC"/>
    <w:rsid w:val="00C14CC4"/>
    <w:rsid w:val="00C16B7F"/>
    <w:rsid w:val="00C33C52"/>
    <w:rsid w:val="00C40D8B"/>
    <w:rsid w:val="00C8407A"/>
    <w:rsid w:val="00C8488C"/>
    <w:rsid w:val="00C86E91"/>
    <w:rsid w:val="00CA2650"/>
    <w:rsid w:val="00CA7B42"/>
    <w:rsid w:val="00CB1078"/>
    <w:rsid w:val="00CC6FAF"/>
    <w:rsid w:val="00CE541F"/>
    <w:rsid w:val="00D24698"/>
    <w:rsid w:val="00D32239"/>
    <w:rsid w:val="00D5057A"/>
    <w:rsid w:val="00D6383F"/>
    <w:rsid w:val="00DB59D0"/>
    <w:rsid w:val="00DC33D3"/>
    <w:rsid w:val="00DE065A"/>
    <w:rsid w:val="00DE443E"/>
    <w:rsid w:val="00DE5722"/>
    <w:rsid w:val="00E26329"/>
    <w:rsid w:val="00E40B50"/>
    <w:rsid w:val="00E50293"/>
    <w:rsid w:val="00E65FFC"/>
    <w:rsid w:val="00E80951"/>
    <w:rsid w:val="00E86CC6"/>
    <w:rsid w:val="00EB56B3"/>
    <w:rsid w:val="00ED6492"/>
    <w:rsid w:val="00EF2095"/>
    <w:rsid w:val="00F06866"/>
    <w:rsid w:val="00F15956"/>
    <w:rsid w:val="00F24CFC"/>
    <w:rsid w:val="00F3170F"/>
    <w:rsid w:val="00F34611"/>
    <w:rsid w:val="00F424AD"/>
    <w:rsid w:val="00F53D44"/>
    <w:rsid w:val="00F976B0"/>
    <w:rsid w:val="00FA6DE7"/>
    <w:rsid w:val="00FB3721"/>
    <w:rsid w:val="00FC0A8E"/>
    <w:rsid w:val="00FC438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2B0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2B0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r.umich.edu/src/smp/Electro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1709-2B27-483D-9833-9F932A12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Cardoso, Ana</cp:lastModifiedBy>
  <cp:revision>2</cp:revision>
  <cp:lastPrinted>2014-07-28T19:01:00Z</cp:lastPrinted>
  <dcterms:created xsi:type="dcterms:W3CDTF">2014-11-03T15:01:00Z</dcterms:created>
  <dcterms:modified xsi:type="dcterms:W3CDTF">2014-11-03T15:01:00Z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