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5E446D" w:rsidRDefault="00B46F2C" w:rsidP="00F06866">
      <w:pPr>
        <w:pStyle w:val="Heading2"/>
        <w:tabs>
          <w:tab w:val="left" w:pos="900"/>
        </w:tabs>
        <w:ind w:right="-180"/>
        <w:rPr>
          <w:sz w:val="22"/>
          <w:szCs w:val="22"/>
        </w:rPr>
      </w:pPr>
      <w:r w:rsidRPr="005E446D">
        <w:rPr>
          <w:sz w:val="22"/>
          <w:szCs w:val="22"/>
        </w:rPr>
        <w:t xml:space="preserve">Request for Approval under the “Generic Clearance for the Collection of Routine Customer Feedback” (OMB Control Number: </w:t>
      </w:r>
      <w:r w:rsidR="00CE118F" w:rsidRPr="005E446D">
        <w:rPr>
          <w:sz w:val="22"/>
          <w:szCs w:val="22"/>
        </w:rPr>
        <w:t>0920-1026</w:t>
      </w:r>
      <w:r w:rsidRPr="005E446D">
        <w:rPr>
          <w:sz w:val="22"/>
          <w:szCs w:val="22"/>
        </w:rPr>
        <w:t>)</w:t>
      </w:r>
    </w:p>
    <w:p w:rsidR="00B46F2C" w:rsidRPr="005E446D" w:rsidRDefault="00E2594A" w:rsidP="00434E33">
      <w:pPr>
        <w:rPr>
          <w:b/>
          <w:sz w:val="22"/>
          <w:szCs w:val="22"/>
        </w:rPr>
      </w:pPr>
      <w:r w:rsidRPr="005E446D">
        <w:rPr>
          <w:noProof/>
          <w:sz w:val="22"/>
          <w:szCs w:val="22"/>
        </w:rPr>
        <mc:AlternateContent>
          <mc:Choice Requires="wps">
            <w:drawing>
              <wp:anchor distT="0" distB="0" distL="114300" distR="114300" simplePos="0" relativeHeight="251658240" behindDoc="0" locked="0" layoutInCell="0" allowOverlap="1" wp14:anchorId="1DD84B4F" wp14:editId="0DCDC6A1">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5E446D">
        <w:rPr>
          <w:b/>
          <w:sz w:val="22"/>
          <w:szCs w:val="22"/>
        </w:rPr>
        <w:t>TITLE OF INFORMATION COLLECTION:</w:t>
      </w:r>
      <w:r w:rsidR="00B46F2C" w:rsidRPr="005E446D">
        <w:rPr>
          <w:sz w:val="22"/>
          <w:szCs w:val="22"/>
        </w:rPr>
        <w:t xml:space="preserve"> </w:t>
      </w:r>
    </w:p>
    <w:p w:rsidR="00DC05F9" w:rsidRPr="005E446D" w:rsidRDefault="00DC05F9" w:rsidP="00DC05F9">
      <w:pPr>
        <w:rPr>
          <w:sz w:val="22"/>
          <w:szCs w:val="22"/>
        </w:rPr>
      </w:pPr>
      <w:r w:rsidRPr="005E446D">
        <w:rPr>
          <w:sz w:val="22"/>
          <w:szCs w:val="22"/>
        </w:rPr>
        <w:t>Management of Fever in Travelers from Ebola Affected and Ebola Non-affected Malaria Endemic Countries</w:t>
      </w:r>
    </w:p>
    <w:p w:rsidR="009D7D27" w:rsidRPr="005E446D" w:rsidRDefault="009D7D27">
      <w:pPr>
        <w:rPr>
          <w:sz w:val="22"/>
          <w:szCs w:val="22"/>
        </w:rPr>
      </w:pPr>
    </w:p>
    <w:p w:rsidR="00B46F2C" w:rsidRPr="005E446D" w:rsidRDefault="00B46F2C" w:rsidP="00840FCA">
      <w:pPr>
        <w:rPr>
          <w:b/>
          <w:sz w:val="22"/>
          <w:szCs w:val="22"/>
        </w:rPr>
      </w:pPr>
      <w:r w:rsidRPr="005E446D">
        <w:rPr>
          <w:b/>
          <w:sz w:val="22"/>
          <w:szCs w:val="22"/>
        </w:rPr>
        <w:t>PURPOSE:</w:t>
      </w:r>
    </w:p>
    <w:p w:rsidR="001D02E9" w:rsidRPr="005E446D" w:rsidRDefault="00F90C5E" w:rsidP="00F90C5E">
      <w:pPr>
        <w:pStyle w:val="Header"/>
        <w:tabs>
          <w:tab w:val="left" w:pos="720"/>
        </w:tabs>
        <w:rPr>
          <w:sz w:val="22"/>
          <w:szCs w:val="22"/>
          <w:lang w:val="en"/>
        </w:rPr>
      </w:pPr>
      <w:r w:rsidRPr="005E446D">
        <w:rPr>
          <w:sz w:val="22"/>
          <w:szCs w:val="22"/>
          <w:lang w:val="en"/>
        </w:rPr>
        <w:t>According to the World Health Organization (WHO) and Ministries of Health update on January 4, 2015 (</w:t>
      </w:r>
      <w:r w:rsidRPr="005E446D">
        <w:rPr>
          <w:i/>
          <w:iCs/>
          <w:sz w:val="22"/>
          <w:szCs w:val="22"/>
          <w:lang w:val="en"/>
        </w:rPr>
        <w:t>1</w:t>
      </w:r>
      <w:r w:rsidRPr="005E446D">
        <w:rPr>
          <w:sz w:val="22"/>
          <w:szCs w:val="22"/>
          <w:lang w:val="en"/>
        </w:rPr>
        <w:t xml:space="preserve">), over 20,700 Ebola cases have been reported in West Africa, primarily from Guinea, Liberia, and Sierra Leone where transmission is widespread and intense. Guinea, Liberia, and Sierra Leone are also countries with high year-round malaria transmission. Each year, approximately 1,500 cases of malaria are diagnosed in the United States; almost all are acquired overseas. More than three quarters of these cases are imported from Africa, and two-thirds of those are typically acquired in West Africa. </w:t>
      </w:r>
    </w:p>
    <w:p w:rsidR="0047032B" w:rsidRPr="005E446D" w:rsidRDefault="0047032B" w:rsidP="00F90C5E">
      <w:pPr>
        <w:pStyle w:val="Header"/>
        <w:tabs>
          <w:tab w:val="left" w:pos="720"/>
        </w:tabs>
        <w:rPr>
          <w:sz w:val="22"/>
          <w:szCs w:val="22"/>
          <w:lang w:val="en"/>
        </w:rPr>
      </w:pPr>
    </w:p>
    <w:p w:rsidR="00CE452A" w:rsidRPr="005E446D" w:rsidRDefault="009D7D27" w:rsidP="00CE452A">
      <w:pPr>
        <w:pStyle w:val="Header"/>
        <w:tabs>
          <w:tab w:val="left" w:pos="720"/>
        </w:tabs>
        <w:rPr>
          <w:sz w:val="22"/>
          <w:szCs w:val="22"/>
        </w:rPr>
      </w:pPr>
      <w:r w:rsidRPr="005E446D">
        <w:rPr>
          <w:sz w:val="22"/>
          <w:szCs w:val="22"/>
        </w:rPr>
        <w:t>On July 9, 2014, CDC activated its Emergency Operations Center (EOC) for the Ebola outbreak response</w:t>
      </w:r>
      <w:r w:rsidR="0047032B" w:rsidRPr="005E446D">
        <w:rPr>
          <w:sz w:val="22"/>
          <w:szCs w:val="22"/>
        </w:rPr>
        <w:t xml:space="preserve">.  </w:t>
      </w:r>
      <w:r w:rsidR="005D2A7C" w:rsidRPr="005E446D">
        <w:rPr>
          <w:sz w:val="22"/>
          <w:szCs w:val="22"/>
        </w:rPr>
        <w:t>As a part of the response,</w:t>
      </w:r>
      <w:r w:rsidR="0047032B" w:rsidRPr="005E446D">
        <w:rPr>
          <w:sz w:val="22"/>
          <w:szCs w:val="22"/>
        </w:rPr>
        <w:t xml:space="preserve"> the EOC</w:t>
      </w:r>
      <w:r w:rsidRPr="005E446D">
        <w:rPr>
          <w:sz w:val="22"/>
          <w:szCs w:val="22"/>
        </w:rPr>
        <w:t xml:space="preserve"> formalized </w:t>
      </w:r>
      <w:r w:rsidR="0047032B" w:rsidRPr="005E446D">
        <w:rPr>
          <w:sz w:val="22"/>
          <w:szCs w:val="22"/>
        </w:rPr>
        <w:t>a</w:t>
      </w:r>
      <w:r w:rsidRPr="005E446D">
        <w:rPr>
          <w:sz w:val="22"/>
          <w:szCs w:val="22"/>
        </w:rPr>
        <w:t xml:space="preserve"> consultation service </w:t>
      </w:r>
      <w:r w:rsidR="0047032B" w:rsidRPr="005E446D">
        <w:rPr>
          <w:sz w:val="22"/>
          <w:szCs w:val="22"/>
        </w:rPr>
        <w:t xml:space="preserve">designed to </w:t>
      </w:r>
      <w:r w:rsidRPr="005E446D">
        <w:rPr>
          <w:sz w:val="22"/>
          <w:szCs w:val="22"/>
        </w:rPr>
        <w:t>assist state and local public health officials and health care providers who must evaluate persons in the United States thought to be at risk for Ebola (</w:t>
      </w:r>
      <w:r w:rsidRPr="005E446D">
        <w:rPr>
          <w:i/>
          <w:sz w:val="22"/>
          <w:szCs w:val="22"/>
        </w:rPr>
        <w:t>2</w:t>
      </w:r>
      <w:r w:rsidRPr="005E446D">
        <w:rPr>
          <w:sz w:val="22"/>
          <w:szCs w:val="22"/>
        </w:rPr>
        <w:t xml:space="preserve">). </w:t>
      </w:r>
      <w:r w:rsidR="0047032B" w:rsidRPr="005E446D">
        <w:rPr>
          <w:sz w:val="22"/>
          <w:szCs w:val="22"/>
        </w:rPr>
        <w:t xml:space="preserve">From </w:t>
      </w:r>
      <w:r w:rsidRPr="005E446D">
        <w:rPr>
          <w:sz w:val="22"/>
          <w:szCs w:val="22"/>
        </w:rPr>
        <w:t>July 9–December 31, 2014, CDC EOC responded to 780 clinical inquiries from public health officials and health care providers from 49 states and the District of Columbia regarding persons thought to be at risk for Ebola. In a recent Morbidity and Mortality Weekly Report (MMWR) describing the clinical inquiries received by CDC, the most common alternate diagnosis was malaria (</w:t>
      </w:r>
      <w:r w:rsidRPr="005E446D">
        <w:rPr>
          <w:i/>
          <w:sz w:val="22"/>
          <w:szCs w:val="22"/>
        </w:rPr>
        <w:t>2</w:t>
      </w:r>
      <w:r w:rsidRPr="005E446D">
        <w:rPr>
          <w:sz w:val="22"/>
          <w:szCs w:val="22"/>
        </w:rPr>
        <w:t xml:space="preserve">). </w:t>
      </w:r>
      <w:r w:rsidR="00CE452A" w:rsidRPr="005E446D">
        <w:rPr>
          <w:sz w:val="22"/>
          <w:szCs w:val="22"/>
        </w:rPr>
        <w:t>Additionally, anecdotal reports from these health departments and health care providers have noted that efforts to establish alternative diagnoses were hampered or delayed because of infection control concerns related to Ebola. For example, laboratory tests to guide diagnosis or management (e.g., malaria tests, complete blood counts, liver function tests, and serum chemistries) were reportedly deferred in the evaluation of some persons with fever and malaise until there were assurances of a negative Ebola virus test result (</w:t>
      </w:r>
      <w:r w:rsidR="00CE452A" w:rsidRPr="005E446D">
        <w:rPr>
          <w:i/>
          <w:sz w:val="22"/>
          <w:szCs w:val="22"/>
        </w:rPr>
        <w:t>2</w:t>
      </w:r>
      <w:r w:rsidR="00CE452A" w:rsidRPr="005E446D">
        <w:rPr>
          <w:sz w:val="22"/>
          <w:szCs w:val="22"/>
        </w:rPr>
        <w:t xml:space="preserve">). </w:t>
      </w:r>
    </w:p>
    <w:p w:rsidR="00537A17" w:rsidRPr="005E446D" w:rsidRDefault="00537A17" w:rsidP="009D7D27">
      <w:pPr>
        <w:pStyle w:val="Header"/>
        <w:tabs>
          <w:tab w:val="left" w:pos="720"/>
        </w:tabs>
        <w:rPr>
          <w:sz w:val="22"/>
          <w:szCs w:val="22"/>
        </w:rPr>
      </w:pPr>
    </w:p>
    <w:p w:rsidR="00537A17" w:rsidRPr="005E446D" w:rsidRDefault="00D06D3B" w:rsidP="009D7D27">
      <w:pPr>
        <w:pStyle w:val="Header"/>
        <w:tabs>
          <w:tab w:val="left" w:pos="720"/>
        </w:tabs>
        <w:rPr>
          <w:sz w:val="22"/>
          <w:szCs w:val="22"/>
        </w:rPr>
      </w:pPr>
      <w:r w:rsidRPr="005E446D">
        <w:rPr>
          <w:sz w:val="22"/>
          <w:szCs w:val="22"/>
          <w:lang w:val="en"/>
        </w:rPr>
        <w:t>This is important because t</w:t>
      </w:r>
      <w:r w:rsidR="00537A17" w:rsidRPr="005E446D">
        <w:rPr>
          <w:sz w:val="22"/>
          <w:szCs w:val="22"/>
          <w:lang w:val="en"/>
        </w:rPr>
        <w:t>he i</w:t>
      </w:r>
      <w:r w:rsidR="00F0507A" w:rsidRPr="005E446D">
        <w:rPr>
          <w:sz w:val="22"/>
          <w:szCs w:val="22"/>
        </w:rPr>
        <w:t>nitial</w:t>
      </w:r>
      <w:r w:rsidR="00537A17" w:rsidRPr="005E446D">
        <w:rPr>
          <w:sz w:val="22"/>
          <w:szCs w:val="22"/>
        </w:rPr>
        <w:t xml:space="preserve"> symptoms</w:t>
      </w:r>
      <w:r w:rsidR="00DC05F9" w:rsidRPr="005E446D">
        <w:rPr>
          <w:sz w:val="22"/>
          <w:szCs w:val="22"/>
        </w:rPr>
        <w:t xml:space="preserve">, </w:t>
      </w:r>
      <w:r w:rsidR="00537A17" w:rsidRPr="005E446D">
        <w:rPr>
          <w:sz w:val="22"/>
          <w:szCs w:val="22"/>
        </w:rPr>
        <w:t>fever and malaise</w:t>
      </w:r>
      <w:r w:rsidR="00DC05F9" w:rsidRPr="005E446D">
        <w:rPr>
          <w:sz w:val="22"/>
          <w:szCs w:val="22"/>
        </w:rPr>
        <w:t xml:space="preserve">, </w:t>
      </w:r>
      <w:r w:rsidR="00537A17" w:rsidRPr="005E446D">
        <w:rPr>
          <w:sz w:val="22"/>
          <w:szCs w:val="22"/>
        </w:rPr>
        <w:t xml:space="preserve">of Ebola and malaria are clinically indistinguishable and immediate laboratory testing for malaria is critical for the initiation of appropriate treatment. Malaria is a medical emergency, and if diagnosis and treatment is delayed, patients can suffer severe outcomes, including death. </w:t>
      </w:r>
      <w:r w:rsidR="005D2A7C" w:rsidRPr="005E446D">
        <w:rPr>
          <w:sz w:val="22"/>
          <w:szCs w:val="22"/>
        </w:rPr>
        <w:t xml:space="preserve">Current </w:t>
      </w:r>
      <w:r w:rsidR="00CE452A" w:rsidRPr="005E446D">
        <w:rPr>
          <w:sz w:val="22"/>
          <w:szCs w:val="22"/>
        </w:rPr>
        <w:t xml:space="preserve">CDC </w:t>
      </w:r>
      <w:r w:rsidR="005D2A7C" w:rsidRPr="005E446D">
        <w:rPr>
          <w:sz w:val="22"/>
          <w:szCs w:val="22"/>
        </w:rPr>
        <w:t>guidance recommends immediate testing</w:t>
      </w:r>
      <w:r w:rsidR="005D2A7C" w:rsidRPr="005E446D" w:rsidDel="005D2A7C">
        <w:rPr>
          <w:sz w:val="22"/>
          <w:szCs w:val="22"/>
        </w:rPr>
        <w:t xml:space="preserve"> </w:t>
      </w:r>
      <w:r w:rsidR="009D7D27" w:rsidRPr="005E446D">
        <w:rPr>
          <w:sz w:val="22"/>
          <w:szCs w:val="22"/>
        </w:rPr>
        <w:t>by blood smear for malaria parasites on all patients with fever and history of travel to a country with malaria regardless of other associated symptoms</w:t>
      </w:r>
      <w:r w:rsidR="00CE452A" w:rsidRPr="005E446D">
        <w:rPr>
          <w:sz w:val="22"/>
          <w:szCs w:val="22"/>
        </w:rPr>
        <w:t xml:space="preserve">. </w:t>
      </w:r>
      <w:r w:rsidR="00537A17" w:rsidRPr="005E446D">
        <w:rPr>
          <w:sz w:val="22"/>
          <w:szCs w:val="22"/>
        </w:rPr>
        <w:t>If the c</w:t>
      </w:r>
      <w:r w:rsidR="00CE452A" w:rsidRPr="005E446D">
        <w:rPr>
          <w:sz w:val="22"/>
          <w:szCs w:val="22"/>
        </w:rPr>
        <w:t>urrent practices</w:t>
      </w:r>
      <w:r w:rsidR="001C19BE" w:rsidRPr="005E446D">
        <w:rPr>
          <w:sz w:val="22"/>
          <w:szCs w:val="22"/>
        </w:rPr>
        <w:t>,</w:t>
      </w:r>
      <w:r w:rsidR="00CE452A" w:rsidRPr="005E446D">
        <w:rPr>
          <w:sz w:val="22"/>
          <w:szCs w:val="22"/>
        </w:rPr>
        <w:t xml:space="preserve"> </w:t>
      </w:r>
      <w:r w:rsidRPr="005E446D">
        <w:rPr>
          <w:sz w:val="22"/>
          <w:szCs w:val="22"/>
        </w:rPr>
        <w:t xml:space="preserve">due to concern about infection control </w:t>
      </w:r>
      <w:r w:rsidR="00F45388" w:rsidRPr="005E446D">
        <w:rPr>
          <w:sz w:val="22"/>
          <w:szCs w:val="22"/>
        </w:rPr>
        <w:t>related to Ebola</w:t>
      </w:r>
      <w:r w:rsidR="001C19BE" w:rsidRPr="005E446D">
        <w:rPr>
          <w:sz w:val="22"/>
          <w:szCs w:val="22"/>
        </w:rPr>
        <w:t>,</w:t>
      </w:r>
      <w:r w:rsidR="00F45388" w:rsidRPr="005E446D">
        <w:rPr>
          <w:sz w:val="22"/>
          <w:szCs w:val="22"/>
        </w:rPr>
        <w:t xml:space="preserve"> </w:t>
      </w:r>
      <w:r w:rsidR="00537A17" w:rsidRPr="005E446D">
        <w:rPr>
          <w:sz w:val="22"/>
          <w:szCs w:val="22"/>
        </w:rPr>
        <w:t xml:space="preserve">noted by health departments and healthcare provider are accurate, </w:t>
      </w:r>
      <w:r w:rsidR="00CE452A" w:rsidRPr="005E446D">
        <w:rPr>
          <w:sz w:val="22"/>
          <w:szCs w:val="22"/>
        </w:rPr>
        <w:t>excess patient morbidity and mortality</w:t>
      </w:r>
      <w:r w:rsidR="00537A17" w:rsidRPr="005E446D">
        <w:rPr>
          <w:sz w:val="22"/>
          <w:szCs w:val="22"/>
        </w:rPr>
        <w:t xml:space="preserve"> is likely</w:t>
      </w:r>
      <w:r w:rsidR="00CE452A" w:rsidRPr="005E446D">
        <w:rPr>
          <w:sz w:val="22"/>
          <w:szCs w:val="22"/>
        </w:rPr>
        <w:t xml:space="preserve">, and if confirmed, immediate intervention is </w:t>
      </w:r>
      <w:r w:rsidR="00537A17" w:rsidRPr="005E446D">
        <w:rPr>
          <w:sz w:val="22"/>
          <w:szCs w:val="22"/>
        </w:rPr>
        <w:t xml:space="preserve">required. </w:t>
      </w:r>
    </w:p>
    <w:p w:rsidR="009D7D27" w:rsidRPr="005E446D" w:rsidRDefault="009D7D27" w:rsidP="009D7D27">
      <w:pPr>
        <w:pStyle w:val="Header"/>
        <w:tabs>
          <w:tab w:val="left" w:pos="720"/>
        </w:tabs>
        <w:rPr>
          <w:sz w:val="22"/>
          <w:szCs w:val="22"/>
        </w:rPr>
      </w:pPr>
      <w:r w:rsidRPr="005E446D">
        <w:rPr>
          <w:sz w:val="22"/>
          <w:szCs w:val="22"/>
        </w:rPr>
        <w:t xml:space="preserve"> </w:t>
      </w:r>
    </w:p>
    <w:p w:rsidR="00BB59C6" w:rsidRPr="005E446D" w:rsidRDefault="001D02E9" w:rsidP="009D7D27">
      <w:pPr>
        <w:pStyle w:val="Header"/>
        <w:tabs>
          <w:tab w:val="left" w:pos="720"/>
        </w:tabs>
        <w:rPr>
          <w:sz w:val="22"/>
          <w:szCs w:val="22"/>
        </w:rPr>
      </w:pPr>
      <w:r w:rsidRPr="005E446D">
        <w:rPr>
          <w:sz w:val="22"/>
          <w:szCs w:val="22"/>
        </w:rPr>
        <w:t xml:space="preserve">CDC seeks </w:t>
      </w:r>
      <w:r w:rsidR="00B41CFF" w:rsidRPr="005E446D">
        <w:rPr>
          <w:sz w:val="22"/>
          <w:szCs w:val="22"/>
        </w:rPr>
        <w:t>a one-time collection of</w:t>
      </w:r>
      <w:r w:rsidR="00CE452A" w:rsidRPr="005E446D">
        <w:rPr>
          <w:sz w:val="22"/>
          <w:szCs w:val="22"/>
        </w:rPr>
        <w:t xml:space="preserve"> </w:t>
      </w:r>
      <w:r w:rsidR="0047032B" w:rsidRPr="005E446D">
        <w:rPr>
          <w:sz w:val="22"/>
          <w:szCs w:val="22"/>
        </w:rPr>
        <w:t>data on the presentation, course, and management of patients with fever returning to the United States from Ebola affected and Ebola non-affected malaria endemic countries</w:t>
      </w:r>
      <w:r w:rsidRPr="005E446D">
        <w:rPr>
          <w:sz w:val="22"/>
          <w:szCs w:val="22"/>
        </w:rPr>
        <w:t xml:space="preserve"> in order to determine if the claims of delay in malaria testing and diagnosis </w:t>
      </w:r>
      <w:r w:rsidR="00D06D3B" w:rsidRPr="005E446D">
        <w:rPr>
          <w:sz w:val="22"/>
          <w:szCs w:val="22"/>
        </w:rPr>
        <w:t xml:space="preserve">in the United States </w:t>
      </w:r>
      <w:r w:rsidRPr="005E446D">
        <w:rPr>
          <w:sz w:val="22"/>
          <w:szCs w:val="22"/>
        </w:rPr>
        <w:t>are accurate</w:t>
      </w:r>
      <w:r w:rsidR="0047032B" w:rsidRPr="005E446D">
        <w:rPr>
          <w:sz w:val="22"/>
          <w:szCs w:val="22"/>
        </w:rPr>
        <w:t>.</w:t>
      </w:r>
      <w:r w:rsidR="00B41CFF" w:rsidRPr="005E446D">
        <w:rPr>
          <w:sz w:val="22"/>
          <w:szCs w:val="22"/>
        </w:rPr>
        <w:t xml:space="preserve"> The </w:t>
      </w:r>
      <w:r w:rsidR="0047032B" w:rsidRPr="005E446D">
        <w:rPr>
          <w:sz w:val="22"/>
          <w:szCs w:val="22"/>
        </w:rPr>
        <w:t xml:space="preserve">data collected will allow CDC to validate these anecdotal reports and </w:t>
      </w:r>
      <w:r w:rsidR="00B41CFF" w:rsidRPr="005E446D">
        <w:rPr>
          <w:sz w:val="22"/>
          <w:szCs w:val="22"/>
        </w:rPr>
        <w:t xml:space="preserve">if confirmed make the necessary and </w:t>
      </w:r>
      <w:r w:rsidR="0047032B" w:rsidRPr="005E446D">
        <w:rPr>
          <w:sz w:val="22"/>
          <w:szCs w:val="22"/>
        </w:rPr>
        <w:t xml:space="preserve">timely </w:t>
      </w:r>
      <w:r w:rsidR="00B41CFF" w:rsidRPr="005E446D">
        <w:rPr>
          <w:sz w:val="22"/>
          <w:szCs w:val="22"/>
        </w:rPr>
        <w:t xml:space="preserve">changes to current CDC </w:t>
      </w:r>
      <w:r w:rsidR="0047032B" w:rsidRPr="005E446D">
        <w:rPr>
          <w:sz w:val="22"/>
          <w:szCs w:val="22"/>
        </w:rPr>
        <w:t>recommendations</w:t>
      </w:r>
      <w:r w:rsidR="00B41CFF" w:rsidRPr="005E446D">
        <w:rPr>
          <w:sz w:val="22"/>
          <w:szCs w:val="22"/>
        </w:rPr>
        <w:t xml:space="preserve"> and guidance including </w:t>
      </w:r>
      <w:r w:rsidR="0047032B" w:rsidRPr="005E446D">
        <w:rPr>
          <w:sz w:val="22"/>
          <w:szCs w:val="22"/>
        </w:rPr>
        <w:t>public health communications</w:t>
      </w:r>
      <w:r w:rsidR="00B41CFF" w:rsidRPr="005E446D">
        <w:rPr>
          <w:sz w:val="22"/>
          <w:szCs w:val="22"/>
        </w:rPr>
        <w:t xml:space="preserve">. </w:t>
      </w:r>
    </w:p>
    <w:p w:rsidR="00D61820" w:rsidRPr="005E446D" w:rsidRDefault="00D61820" w:rsidP="00BB59C6">
      <w:pPr>
        <w:pStyle w:val="Header"/>
        <w:tabs>
          <w:tab w:val="left" w:pos="720"/>
        </w:tabs>
        <w:rPr>
          <w:sz w:val="22"/>
          <w:szCs w:val="22"/>
        </w:rPr>
      </w:pPr>
    </w:p>
    <w:p w:rsidR="00BB59C6" w:rsidRPr="005E446D" w:rsidRDefault="001C19BE" w:rsidP="00BB59C6">
      <w:pPr>
        <w:pStyle w:val="Header"/>
        <w:tabs>
          <w:tab w:val="left" w:pos="720"/>
        </w:tabs>
        <w:rPr>
          <w:sz w:val="22"/>
          <w:szCs w:val="22"/>
        </w:rPr>
      </w:pPr>
      <w:r w:rsidRPr="005E446D">
        <w:rPr>
          <w:sz w:val="22"/>
          <w:szCs w:val="22"/>
        </w:rPr>
        <w:t>Currently, CDC has OMB coverage for domestic malaria cases under The National Malaria Surveillance System (NMSS), National Notifiable Diseases Surveillance System (NNDSS),</w:t>
      </w:r>
      <w:r w:rsidRPr="005E446D">
        <w:rPr>
          <w:rStyle w:val="FootnoteReference"/>
          <w:sz w:val="22"/>
          <w:szCs w:val="22"/>
        </w:rPr>
        <w:footnoteReference w:id="1"/>
      </w:r>
      <w:r w:rsidRPr="005E446D">
        <w:rPr>
          <w:sz w:val="22"/>
          <w:szCs w:val="22"/>
        </w:rPr>
        <w:t xml:space="preserve"> OMB Control No. 0920-0728, expiration date 01/31/2017, however, those case reports do not collect information on dates and times of testing, results and treatment to determine whether delayed diagnosis or treatment </w:t>
      </w:r>
      <w:r w:rsidR="00321BC5" w:rsidRPr="005E446D">
        <w:rPr>
          <w:sz w:val="22"/>
          <w:szCs w:val="22"/>
        </w:rPr>
        <w:t xml:space="preserve">has/is </w:t>
      </w:r>
      <w:r w:rsidRPr="005E446D">
        <w:rPr>
          <w:sz w:val="22"/>
          <w:szCs w:val="22"/>
        </w:rPr>
        <w:t>occurr</w:t>
      </w:r>
      <w:r w:rsidR="00321BC5" w:rsidRPr="005E446D">
        <w:rPr>
          <w:sz w:val="22"/>
          <w:szCs w:val="22"/>
        </w:rPr>
        <w:t xml:space="preserve">ing. </w:t>
      </w:r>
      <w:r w:rsidR="00BB59C6" w:rsidRPr="005E446D">
        <w:rPr>
          <w:sz w:val="22"/>
          <w:szCs w:val="22"/>
        </w:rPr>
        <w:t>The</w:t>
      </w:r>
      <w:r w:rsidR="002824ED" w:rsidRPr="005E446D">
        <w:rPr>
          <w:sz w:val="22"/>
          <w:szCs w:val="22"/>
        </w:rPr>
        <w:t xml:space="preserve"> </w:t>
      </w:r>
      <w:r w:rsidR="00BB59C6" w:rsidRPr="005E446D">
        <w:rPr>
          <w:sz w:val="22"/>
          <w:szCs w:val="22"/>
        </w:rPr>
        <w:t>Clinical Inquiries Database</w:t>
      </w:r>
      <w:r w:rsidR="00BB59C6" w:rsidRPr="005E446D">
        <w:rPr>
          <w:rStyle w:val="FootnoteReference"/>
          <w:sz w:val="22"/>
          <w:szCs w:val="22"/>
        </w:rPr>
        <w:footnoteReference w:id="2"/>
      </w:r>
      <w:r w:rsidR="00DC05F9" w:rsidRPr="005E446D">
        <w:rPr>
          <w:sz w:val="22"/>
          <w:szCs w:val="22"/>
        </w:rPr>
        <w:t xml:space="preserve"> </w:t>
      </w:r>
      <w:r w:rsidR="00BB59C6" w:rsidRPr="005E446D">
        <w:rPr>
          <w:sz w:val="22"/>
          <w:szCs w:val="22"/>
        </w:rPr>
        <w:t xml:space="preserve">contains patient-level information collected during caller inquiries. This database is used to record the caller’s identity in addition to information about the person or patient </w:t>
      </w:r>
      <w:r w:rsidR="00BB59C6" w:rsidRPr="005E446D">
        <w:rPr>
          <w:sz w:val="22"/>
          <w:szCs w:val="22"/>
        </w:rPr>
        <w:lastRenderedPageBreak/>
        <w:t xml:space="preserve">potentially at risk for Ebola, such as travel history or other risk factors, clinical presentation, and subsequent Ebola test results. Because complete clinical data are not systematically collected in the domestic Clinical Inquiries Database, information on certain variables might be incomplete, </w:t>
      </w:r>
      <w:r w:rsidR="00321BC5" w:rsidRPr="005E446D">
        <w:rPr>
          <w:sz w:val="22"/>
          <w:szCs w:val="22"/>
        </w:rPr>
        <w:t>specifically</w:t>
      </w:r>
      <w:r w:rsidR="00BB59C6" w:rsidRPr="005E446D">
        <w:rPr>
          <w:sz w:val="22"/>
          <w:szCs w:val="22"/>
        </w:rPr>
        <w:t xml:space="preserve"> wh</w:t>
      </w:r>
      <w:r w:rsidR="009C362E">
        <w:rPr>
          <w:sz w:val="22"/>
          <w:szCs w:val="22"/>
        </w:rPr>
        <w:t>ether malaria testing occurred.</w:t>
      </w:r>
      <w:r w:rsidR="00BB59C6" w:rsidRPr="005E446D">
        <w:rPr>
          <w:sz w:val="22"/>
          <w:szCs w:val="22"/>
        </w:rPr>
        <w:t xml:space="preserve"> </w:t>
      </w:r>
      <w:r w:rsidR="00321BC5" w:rsidRPr="005E446D">
        <w:rPr>
          <w:sz w:val="22"/>
          <w:szCs w:val="22"/>
        </w:rPr>
        <w:t>In sum, the Clinical Inquiries Database and the NMSS</w:t>
      </w:r>
      <w:r w:rsidR="00D61820" w:rsidRPr="005E446D">
        <w:rPr>
          <w:sz w:val="22"/>
          <w:szCs w:val="22"/>
        </w:rPr>
        <w:t xml:space="preserve"> may </w:t>
      </w:r>
      <w:r w:rsidR="00321BC5" w:rsidRPr="005E446D">
        <w:rPr>
          <w:sz w:val="22"/>
          <w:szCs w:val="22"/>
        </w:rPr>
        <w:t xml:space="preserve">include information needed for this data collection effort. </w:t>
      </w:r>
      <w:r w:rsidR="00D61820" w:rsidRPr="005E446D">
        <w:rPr>
          <w:sz w:val="22"/>
          <w:szCs w:val="22"/>
        </w:rPr>
        <w:t xml:space="preserve">To </w:t>
      </w:r>
      <w:r w:rsidR="00BB59C6" w:rsidRPr="005E446D">
        <w:rPr>
          <w:sz w:val="22"/>
          <w:szCs w:val="22"/>
        </w:rPr>
        <w:t>avoid duplication</w:t>
      </w:r>
      <w:r w:rsidR="00D61820" w:rsidRPr="005E446D">
        <w:rPr>
          <w:sz w:val="22"/>
          <w:szCs w:val="22"/>
        </w:rPr>
        <w:t xml:space="preserve">, </w:t>
      </w:r>
      <w:r w:rsidR="00BB59C6" w:rsidRPr="005E446D">
        <w:rPr>
          <w:sz w:val="22"/>
          <w:szCs w:val="22"/>
        </w:rPr>
        <w:t xml:space="preserve">CDC </w:t>
      </w:r>
      <w:r w:rsidR="003E442B" w:rsidRPr="005E446D">
        <w:rPr>
          <w:sz w:val="22"/>
          <w:szCs w:val="22"/>
        </w:rPr>
        <w:t xml:space="preserve">has dedicated staff who will review each record prior to </w:t>
      </w:r>
      <w:r w:rsidR="00321BC5" w:rsidRPr="005E446D">
        <w:rPr>
          <w:sz w:val="22"/>
          <w:szCs w:val="22"/>
        </w:rPr>
        <w:t>con</w:t>
      </w:r>
      <w:r w:rsidR="00D61820" w:rsidRPr="005E446D">
        <w:rPr>
          <w:sz w:val="22"/>
          <w:szCs w:val="22"/>
        </w:rPr>
        <w:t>tacting this</w:t>
      </w:r>
      <w:r w:rsidR="00321BC5" w:rsidRPr="005E446D">
        <w:rPr>
          <w:sz w:val="22"/>
          <w:szCs w:val="22"/>
        </w:rPr>
        <w:t xml:space="preserve"> respondent pool in order</w:t>
      </w:r>
      <w:r w:rsidR="003E442B" w:rsidRPr="005E446D">
        <w:rPr>
          <w:sz w:val="22"/>
          <w:szCs w:val="22"/>
        </w:rPr>
        <w:t xml:space="preserve"> to identify</w:t>
      </w:r>
      <w:r w:rsidR="00D61820" w:rsidRPr="005E446D">
        <w:rPr>
          <w:sz w:val="22"/>
          <w:szCs w:val="22"/>
        </w:rPr>
        <w:t xml:space="preserve"> already collected </w:t>
      </w:r>
      <w:r w:rsidR="00321BC5" w:rsidRPr="005E446D">
        <w:rPr>
          <w:sz w:val="22"/>
          <w:szCs w:val="22"/>
        </w:rPr>
        <w:t>information</w:t>
      </w:r>
      <w:r w:rsidR="00D61820" w:rsidRPr="005E446D">
        <w:rPr>
          <w:sz w:val="22"/>
          <w:szCs w:val="22"/>
        </w:rPr>
        <w:t xml:space="preserve"> via NMSS or the Clinical Inquiries Database</w:t>
      </w:r>
      <w:r w:rsidR="009C362E">
        <w:rPr>
          <w:sz w:val="22"/>
          <w:szCs w:val="22"/>
        </w:rPr>
        <w:t xml:space="preserve">. </w:t>
      </w:r>
      <w:r w:rsidR="00321BC5" w:rsidRPr="005E446D">
        <w:rPr>
          <w:sz w:val="22"/>
          <w:szCs w:val="22"/>
        </w:rPr>
        <w:t>If information is identified, only t</w:t>
      </w:r>
      <w:r w:rsidR="003E442B" w:rsidRPr="005E446D">
        <w:rPr>
          <w:sz w:val="22"/>
          <w:szCs w:val="22"/>
        </w:rPr>
        <w:t xml:space="preserve">he missing information </w:t>
      </w:r>
      <w:r w:rsidR="00321BC5" w:rsidRPr="005E446D">
        <w:rPr>
          <w:sz w:val="22"/>
          <w:szCs w:val="22"/>
        </w:rPr>
        <w:t xml:space="preserve">will be requested.  </w:t>
      </w:r>
    </w:p>
    <w:p w:rsidR="00BB59C6" w:rsidRPr="005E446D" w:rsidRDefault="00BB59C6" w:rsidP="009D7D27">
      <w:pPr>
        <w:pStyle w:val="Header"/>
        <w:tabs>
          <w:tab w:val="left" w:pos="720"/>
        </w:tabs>
        <w:rPr>
          <w:sz w:val="22"/>
          <w:szCs w:val="22"/>
        </w:rPr>
      </w:pPr>
    </w:p>
    <w:p w:rsidR="00BB59C6" w:rsidRPr="005E446D" w:rsidRDefault="00321BC5" w:rsidP="00FB5AC0">
      <w:pPr>
        <w:rPr>
          <w:sz w:val="22"/>
          <w:szCs w:val="22"/>
        </w:rPr>
      </w:pPr>
      <w:r w:rsidRPr="005E446D">
        <w:rPr>
          <w:sz w:val="22"/>
          <w:szCs w:val="22"/>
        </w:rPr>
        <w:t>Staff from the Malaria Branch and the Domestic Inquiries Team will call state/local health departments and health facilities associated with the patient</w:t>
      </w:r>
      <w:r w:rsidR="00843FF6" w:rsidRPr="005E446D">
        <w:rPr>
          <w:sz w:val="22"/>
          <w:szCs w:val="22"/>
        </w:rPr>
        <w:t xml:space="preserve"> (identified through the Clinical Inquiries Database)</w:t>
      </w:r>
      <w:r w:rsidRPr="005E446D">
        <w:rPr>
          <w:sz w:val="22"/>
          <w:szCs w:val="22"/>
        </w:rPr>
        <w:t xml:space="preserve">, and record the data onto the data collection form. </w:t>
      </w:r>
      <w:r w:rsidR="00FB5AC0" w:rsidRPr="005E446D">
        <w:rPr>
          <w:sz w:val="22"/>
          <w:szCs w:val="22"/>
        </w:rPr>
        <w:t>The CDC will collect the missing information by calling respondents and recording answers on a paper questionnaire. All hard copy materials submitted to CDC are stored in locked cabinets in restricted access areas in buildings that require card key access. The databases will be housed on secure servers with access restricted to only those individuals who are involved in this data collection effort.</w:t>
      </w:r>
    </w:p>
    <w:p w:rsidR="0050031E" w:rsidRPr="005E446D" w:rsidRDefault="0050031E" w:rsidP="00FB5AC0">
      <w:pPr>
        <w:rPr>
          <w:sz w:val="22"/>
          <w:szCs w:val="22"/>
        </w:rPr>
      </w:pPr>
    </w:p>
    <w:p w:rsidR="00811BB9" w:rsidRPr="005E446D" w:rsidRDefault="0050031E" w:rsidP="005E446D">
      <w:pPr>
        <w:rPr>
          <w:sz w:val="22"/>
          <w:szCs w:val="22"/>
        </w:rPr>
      </w:pPr>
      <w:r w:rsidRPr="005E446D">
        <w:rPr>
          <w:sz w:val="22"/>
          <w:szCs w:val="22"/>
        </w:rPr>
        <w:t>Burden to the health department will be greater than the health facilities</w:t>
      </w:r>
      <w:r w:rsidR="00811BB9" w:rsidRPr="005E446D">
        <w:rPr>
          <w:sz w:val="22"/>
          <w:szCs w:val="22"/>
        </w:rPr>
        <w:t xml:space="preserve">. </w:t>
      </w:r>
      <w:r w:rsidR="005E446D">
        <w:rPr>
          <w:sz w:val="22"/>
          <w:szCs w:val="22"/>
        </w:rPr>
        <w:t>All</w:t>
      </w:r>
      <w:r w:rsidR="00811BB9" w:rsidRPr="005E446D">
        <w:rPr>
          <w:sz w:val="22"/>
          <w:szCs w:val="22"/>
        </w:rPr>
        <w:t xml:space="preserve"> respondents will be called </w:t>
      </w:r>
      <w:r w:rsidR="00381437" w:rsidRPr="005E446D">
        <w:rPr>
          <w:sz w:val="22"/>
          <w:szCs w:val="22"/>
        </w:rPr>
        <w:t>using a telephone script (Attachment C)</w:t>
      </w:r>
      <w:r w:rsidR="00157345">
        <w:rPr>
          <w:sz w:val="22"/>
          <w:szCs w:val="22"/>
        </w:rPr>
        <w:t>.</w:t>
      </w:r>
      <w:r w:rsidR="00811BB9" w:rsidRPr="005E446D">
        <w:rPr>
          <w:sz w:val="22"/>
          <w:szCs w:val="22"/>
        </w:rPr>
        <w:t xml:space="preserve"> The health department will be contacted first as it is expected that the health department will be able to provide </w:t>
      </w:r>
      <w:r w:rsidR="005E446D">
        <w:rPr>
          <w:sz w:val="22"/>
          <w:szCs w:val="22"/>
        </w:rPr>
        <w:t xml:space="preserve">the majority of the </w:t>
      </w:r>
      <w:r w:rsidR="00811BB9" w:rsidRPr="005E446D">
        <w:rPr>
          <w:sz w:val="22"/>
          <w:szCs w:val="22"/>
        </w:rPr>
        <w:t xml:space="preserve">answers to </w:t>
      </w:r>
      <w:r w:rsidR="005E446D">
        <w:rPr>
          <w:sz w:val="22"/>
          <w:szCs w:val="22"/>
        </w:rPr>
        <w:t>the questionnaire</w:t>
      </w:r>
      <w:r w:rsidR="009C362E">
        <w:rPr>
          <w:sz w:val="22"/>
          <w:szCs w:val="22"/>
        </w:rPr>
        <w:t>. The Ebola-</w:t>
      </w:r>
      <w:r w:rsidR="00811BB9" w:rsidRPr="005E446D">
        <w:rPr>
          <w:sz w:val="22"/>
          <w:szCs w:val="22"/>
        </w:rPr>
        <w:t xml:space="preserve">Malaria Assessment Form for Health Departments (Attachment A) questionnaire is estimated to take 10 minutes. If the Health Department is not able to provide answers for all the questions, the Health Facility will be contacted next and asked to complete the remainder of the </w:t>
      </w:r>
      <w:r w:rsidR="005E446D">
        <w:rPr>
          <w:sz w:val="22"/>
          <w:szCs w:val="22"/>
        </w:rPr>
        <w:t>questionnaire</w:t>
      </w:r>
      <w:r w:rsidR="00811BB9" w:rsidRPr="005E446D">
        <w:rPr>
          <w:sz w:val="22"/>
          <w:szCs w:val="22"/>
        </w:rPr>
        <w:t xml:space="preserve"> (Attachment B). </w:t>
      </w:r>
    </w:p>
    <w:p w:rsidR="00811BB9" w:rsidRPr="00157345" w:rsidRDefault="00811BB9" w:rsidP="00840FCA">
      <w:pPr>
        <w:pStyle w:val="Header"/>
        <w:tabs>
          <w:tab w:val="clear" w:pos="4320"/>
          <w:tab w:val="clear" w:pos="8640"/>
        </w:tabs>
        <w:rPr>
          <w:sz w:val="22"/>
          <w:szCs w:val="22"/>
        </w:rPr>
      </w:pPr>
    </w:p>
    <w:p w:rsidR="00840FCA" w:rsidRPr="005E446D" w:rsidRDefault="00B46F2C" w:rsidP="00840FCA">
      <w:pPr>
        <w:pStyle w:val="Header"/>
        <w:tabs>
          <w:tab w:val="clear" w:pos="4320"/>
          <w:tab w:val="clear" w:pos="8640"/>
        </w:tabs>
        <w:rPr>
          <w:sz w:val="22"/>
          <w:szCs w:val="22"/>
        </w:rPr>
      </w:pPr>
      <w:r w:rsidRPr="005E446D">
        <w:rPr>
          <w:b/>
          <w:sz w:val="22"/>
          <w:szCs w:val="22"/>
        </w:rPr>
        <w:t>DESCRIPTION OF RESPONDENTS</w:t>
      </w:r>
      <w:r w:rsidRPr="005E446D">
        <w:rPr>
          <w:sz w:val="22"/>
          <w:szCs w:val="22"/>
        </w:rPr>
        <w:t>:</w:t>
      </w:r>
    </w:p>
    <w:p w:rsidR="003B348B" w:rsidRPr="005E446D" w:rsidRDefault="009D7D27" w:rsidP="00811BB9">
      <w:pPr>
        <w:spacing w:after="120"/>
        <w:rPr>
          <w:b/>
          <w:sz w:val="22"/>
          <w:szCs w:val="22"/>
        </w:rPr>
      </w:pPr>
      <w:r w:rsidRPr="005E446D">
        <w:rPr>
          <w:sz w:val="22"/>
          <w:szCs w:val="22"/>
        </w:rPr>
        <w:t xml:space="preserve">The respondents include the state/local health department in 43 jurisdictions including Washington D.C. and New York City, and health facilities (one health facility per patient=221). Data collection will involve contacting the state/local health departments and health facilities with the goal of contacting 100% of eligible health departments and health facilities to obtain information on </w:t>
      </w:r>
      <w:r w:rsidR="00811BB9" w:rsidRPr="005E446D">
        <w:rPr>
          <w:sz w:val="22"/>
          <w:szCs w:val="22"/>
        </w:rPr>
        <w:t xml:space="preserve">the identified </w:t>
      </w:r>
      <w:r w:rsidRPr="005E446D">
        <w:rPr>
          <w:sz w:val="22"/>
          <w:szCs w:val="22"/>
        </w:rPr>
        <w:t xml:space="preserve">patients. </w:t>
      </w:r>
    </w:p>
    <w:p w:rsidR="00B46F2C" w:rsidRPr="005E446D" w:rsidRDefault="00B46F2C">
      <w:pPr>
        <w:rPr>
          <w:b/>
          <w:sz w:val="22"/>
          <w:szCs w:val="22"/>
        </w:rPr>
      </w:pPr>
      <w:r w:rsidRPr="005E446D">
        <w:rPr>
          <w:b/>
          <w:sz w:val="22"/>
          <w:szCs w:val="22"/>
        </w:rPr>
        <w:t>TYPE OF COLLECTION:</w:t>
      </w:r>
      <w:r w:rsidRPr="005E446D">
        <w:rPr>
          <w:sz w:val="22"/>
          <w:szCs w:val="22"/>
        </w:rPr>
        <w:t xml:space="preserve"> (Check one)</w:t>
      </w:r>
    </w:p>
    <w:p w:rsidR="00B46F2C" w:rsidRPr="005E446D" w:rsidRDefault="00B46F2C" w:rsidP="0096108F">
      <w:pPr>
        <w:pStyle w:val="BodyTextIndent"/>
        <w:tabs>
          <w:tab w:val="left" w:pos="360"/>
        </w:tabs>
        <w:ind w:left="0"/>
        <w:rPr>
          <w:bCs/>
          <w:sz w:val="22"/>
          <w:szCs w:val="22"/>
        </w:rPr>
      </w:pPr>
    </w:p>
    <w:p w:rsidR="00B46F2C" w:rsidRPr="005E446D" w:rsidRDefault="00B46F2C" w:rsidP="001D0776">
      <w:pPr>
        <w:pStyle w:val="BodyTextIndent"/>
        <w:tabs>
          <w:tab w:val="left" w:pos="360"/>
        </w:tabs>
        <w:ind w:left="0"/>
        <w:rPr>
          <w:bCs/>
          <w:sz w:val="22"/>
          <w:szCs w:val="22"/>
        </w:rPr>
      </w:pPr>
      <w:r w:rsidRPr="005E446D">
        <w:rPr>
          <w:bCs/>
          <w:sz w:val="22"/>
          <w:szCs w:val="22"/>
        </w:rPr>
        <w:t>[ ] Customer</w:t>
      </w:r>
      <w:r w:rsidR="004766DB" w:rsidRPr="005E446D">
        <w:rPr>
          <w:bCs/>
          <w:sz w:val="22"/>
          <w:szCs w:val="22"/>
        </w:rPr>
        <w:t xml:space="preserve"> Comment Card/Complaint Form </w:t>
      </w:r>
      <w:r w:rsidR="004766DB" w:rsidRPr="005E446D">
        <w:rPr>
          <w:bCs/>
          <w:sz w:val="22"/>
          <w:szCs w:val="22"/>
        </w:rPr>
        <w:tab/>
        <w:t>[</w:t>
      </w:r>
      <w:r w:rsidR="00DD6ADB" w:rsidRPr="005E446D">
        <w:rPr>
          <w:bCs/>
          <w:sz w:val="22"/>
          <w:szCs w:val="22"/>
        </w:rPr>
        <w:t xml:space="preserve"> </w:t>
      </w:r>
      <w:r w:rsidRPr="005E446D">
        <w:rPr>
          <w:bCs/>
          <w:sz w:val="22"/>
          <w:szCs w:val="22"/>
        </w:rPr>
        <w:t xml:space="preserve">] Customer Satisfaction Survey  </w:t>
      </w:r>
    </w:p>
    <w:p w:rsidR="00B46F2C" w:rsidRPr="005E446D" w:rsidRDefault="00B46F2C" w:rsidP="001D0776">
      <w:pPr>
        <w:pStyle w:val="BodyTextIndent"/>
        <w:tabs>
          <w:tab w:val="left" w:pos="360"/>
        </w:tabs>
        <w:ind w:left="0"/>
        <w:rPr>
          <w:bCs/>
          <w:sz w:val="22"/>
          <w:szCs w:val="22"/>
        </w:rPr>
      </w:pPr>
      <w:r w:rsidRPr="005E446D">
        <w:rPr>
          <w:bCs/>
          <w:sz w:val="22"/>
          <w:szCs w:val="22"/>
        </w:rPr>
        <w:t>[ ] Usability Testing (e.g., Website or Software</w:t>
      </w:r>
      <w:r w:rsidRPr="005E446D">
        <w:rPr>
          <w:bCs/>
          <w:sz w:val="22"/>
          <w:szCs w:val="22"/>
        </w:rPr>
        <w:tab/>
        <w:t>[ ] Small Discussion Group</w:t>
      </w:r>
    </w:p>
    <w:p w:rsidR="00720075" w:rsidRPr="005E446D" w:rsidRDefault="00B46F2C" w:rsidP="001D0776">
      <w:pPr>
        <w:pStyle w:val="BodyTextIndent"/>
        <w:tabs>
          <w:tab w:val="left" w:pos="360"/>
        </w:tabs>
        <w:ind w:left="0"/>
        <w:rPr>
          <w:bCs/>
          <w:sz w:val="22"/>
          <w:szCs w:val="22"/>
          <w:u w:val="single"/>
        </w:rPr>
      </w:pPr>
      <w:r w:rsidRPr="005E446D">
        <w:rPr>
          <w:bCs/>
          <w:sz w:val="22"/>
          <w:szCs w:val="22"/>
        </w:rPr>
        <w:t>[</w:t>
      </w:r>
      <w:r w:rsidR="00840FCA" w:rsidRPr="005E446D">
        <w:rPr>
          <w:bCs/>
          <w:sz w:val="22"/>
          <w:szCs w:val="22"/>
        </w:rPr>
        <w:t xml:space="preserve"> </w:t>
      </w:r>
      <w:r w:rsidRPr="005E446D">
        <w:rPr>
          <w:bCs/>
          <w:sz w:val="22"/>
          <w:szCs w:val="22"/>
        </w:rPr>
        <w:t>] Focus Group</w:t>
      </w:r>
      <w:r w:rsidR="001D0776" w:rsidRPr="005E446D">
        <w:rPr>
          <w:bCs/>
          <w:sz w:val="22"/>
          <w:szCs w:val="22"/>
        </w:rPr>
        <w:tab/>
      </w:r>
      <w:r w:rsidR="001D0776" w:rsidRPr="005E446D">
        <w:rPr>
          <w:bCs/>
          <w:sz w:val="22"/>
          <w:szCs w:val="22"/>
        </w:rPr>
        <w:tab/>
      </w:r>
      <w:r w:rsidR="001D0776" w:rsidRPr="005E446D">
        <w:rPr>
          <w:bCs/>
          <w:sz w:val="22"/>
          <w:szCs w:val="22"/>
        </w:rPr>
        <w:tab/>
      </w:r>
      <w:r w:rsidR="001D0776" w:rsidRPr="005E446D">
        <w:rPr>
          <w:bCs/>
          <w:sz w:val="22"/>
          <w:szCs w:val="22"/>
        </w:rPr>
        <w:tab/>
      </w:r>
      <w:r w:rsidR="001D0776" w:rsidRPr="005E446D">
        <w:rPr>
          <w:bCs/>
          <w:sz w:val="22"/>
          <w:szCs w:val="22"/>
        </w:rPr>
        <w:tab/>
        <w:t>[</w:t>
      </w:r>
      <w:r w:rsidR="00DD6ADB" w:rsidRPr="005E446D">
        <w:rPr>
          <w:bCs/>
          <w:sz w:val="22"/>
          <w:szCs w:val="22"/>
        </w:rPr>
        <w:t>X</w:t>
      </w:r>
      <w:r w:rsidR="001D0776" w:rsidRPr="005E446D">
        <w:rPr>
          <w:bCs/>
          <w:sz w:val="22"/>
          <w:szCs w:val="22"/>
        </w:rPr>
        <w:t xml:space="preserve">] </w:t>
      </w:r>
      <w:r w:rsidRPr="005E446D">
        <w:rPr>
          <w:bCs/>
          <w:sz w:val="22"/>
          <w:szCs w:val="22"/>
        </w:rPr>
        <w:t>Other</w:t>
      </w:r>
    </w:p>
    <w:p w:rsidR="00B46F2C" w:rsidRPr="005E446D" w:rsidRDefault="00720075" w:rsidP="00886297">
      <w:pPr>
        <w:pStyle w:val="BodyTextIndent"/>
        <w:tabs>
          <w:tab w:val="left" w:pos="360"/>
        </w:tabs>
        <w:ind w:left="0"/>
        <w:rPr>
          <w:sz w:val="22"/>
          <w:szCs w:val="22"/>
        </w:rPr>
      </w:pPr>
      <w:r w:rsidRPr="005E446D">
        <w:rPr>
          <w:bCs/>
          <w:sz w:val="22"/>
          <w:szCs w:val="22"/>
        </w:rPr>
        <w:tab/>
      </w:r>
      <w:r w:rsidRPr="005E446D">
        <w:rPr>
          <w:bCs/>
          <w:sz w:val="22"/>
          <w:szCs w:val="22"/>
        </w:rPr>
        <w:tab/>
      </w:r>
      <w:r w:rsidRPr="005E446D">
        <w:rPr>
          <w:bCs/>
          <w:sz w:val="22"/>
          <w:szCs w:val="22"/>
        </w:rPr>
        <w:tab/>
      </w:r>
      <w:r w:rsidRPr="005E446D">
        <w:rPr>
          <w:bCs/>
          <w:sz w:val="22"/>
          <w:szCs w:val="22"/>
        </w:rPr>
        <w:tab/>
      </w:r>
      <w:r w:rsidRPr="005E446D">
        <w:rPr>
          <w:bCs/>
          <w:sz w:val="22"/>
          <w:szCs w:val="22"/>
        </w:rPr>
        <w:tab/>
      </w:r>
      <w:r w:rsidRPr="005E446D">
        <w:rPr>
          <w:bCs/>
          <w:sz w:val="22"/>
          <w:szCs w:val="22"/>
        </w:rPr>
        <w:tab/>
      </w:r>
      <w:r w:rsidRPr="005E446D">
        <w:rPr>
          <w:bCs/>
          <w:sz w:val="22"/>
          <w:szCs w:val="22"/>
        </w:rPr>
        <w:tab/>
      </w:r>
      <w:r w:rsidRPr="005E446D">
        <w:rPr>
          <w:bCs/>
          <w:sz w:val="22"/>
          <w:szCs w:val="22"/>
        </w:rPr>
        <w:tab/>
        <w:t xml:space="preserve">                  </w:t>
      </w:r>
    </w:p>
    <w:p w:rsidR="001D0776" w:rsidRPr="005E446D" w:rsidRDefault="001D0776">
      <w:pPr>
        <w:rPr>
          <w:b/>
          <w:sz w:val="22"/>
          <w:szCs w:val="22"/>
        </w:rPr>
      </w:pPr>
    </w:p>
    <w:p w:rsidR="00B46F2C" w:rsidRPr="005E446D" w:rsidRDefault="00B46F2C">
      <w:pPr>
        <w:rPr>
          <w:b/>
          <w:sz w:val="22"/>
          <w:szCs w:val="22"/>
        </w:rPr>
      </w:pPr>
      <w:r w:rsidRPr="005E446D">
        <w:rPr>
          <w:b/>
          <w:sz w:val="22"/>
          <w:szCs w:val="22"/>
        </w:rPr>
        <w:t>CERTIFICATION:</w:t>
      </w:r>
    </w:p>
    <w:p w:rsidR="00B46F2C" w:rsidRPr="005E446D" w:rsidRDefault="00B46F2C">
      <w:pPr>
        <w:rPr>
          <w:sz w:val="22"/>
          <w:szCs w:val="22"/>
        </w:rPr>
      </w:pPr>
    </w:p>
    <w:p w:rsidR="00B46F2C" w:rsidRPr="005E446D" w:rsidRDefault="00B46F2C" w:rsidP="008101A5">
      <w:pPr>
        <w:rPr>
          <w:sz w:val="22"/>
          <w:szCs w:val="22"/>
        </w:rPr>
      </w:pPr>
      <w:r w:rsidRPr="005E446D">
        <w:rPr>
          <w:sz w:val="22"/>
          <w:szCs w:val="22"/>
        </w:rPr>
        <w:t xml:space="preserve">I certify the following to be true: </w:t>
      </w:r>
    </w:p>
    <w:p w:rsidR="00B46F2C" w:rsidRPr="005E446D" w:rsidRDefault="00B46F2C" w:rsidP="008101A5">
      <w:pPr>
        <w:pStyle w:val="ListParagraph"/>
        <w:numPr>
          <w:ilvl w:val="0"/>
          <w:numId w:val="14"/>
        </w:numPr>
        <w:rPr>
          <w:sz w:val="22"/>
          <w:szCs w:val="22"/>
        </w:rPr>
      </w:pPr>
      <w:r w:rsidRPr="005E446D">
        <w:rPr>
          <w:sz w:val="22"/>
          <w:szCs w:val="22"/>
        </w:rPr>
        <w:t xml:space="preserve">The collection is voluntary. </w:t>
      </w:r>
    </w:p>
    <w:p w:rsidR="00B46F2C" w:rsidRPr="005E446D" w:rsidRDefault="00B46F2C" w:rsidP="008101A5">
      <w:pPr>
        <w:pStyle w:val="ListParagraph"/>
        <w:numPr>
          <w:ilvl w:val="0"/>
          <w:numId w:val="14"/>
        </w:numPr>
        <w:rPr>
          <w:sz w:val="22"/>
          <w:szCs w:val="22"/>
        </w:rPr>
      </w:pPr>
      <w:r w:rsidRPr="005E446D">
        <w:rPr>
          <w:sz w:val="22"/>
          <w:szCs w:val="22"/>
        </w:rPr>
        <w:t>The collection is low-burden for respondents and low-cost for the Federal Government.</w:t>
      </w:r>
    </w:p>
    <w:p w:rsidR="00B46F2C" w:rsidRPr="005E446D" w:rsidRDefault="00B46F2C" w:rsidP="008101A5">
      <w:pPr>
        <w:pStyle w:val="ListParagraph"/>
        <w:numPr>
          <w:ilvl w:val="0"/>
          <w:numId w:val="14"/>
        </w:numPr>
        <w:rPr>
          <w:sz w:val="22"/>
          <w:szCs w:val="22"/>
        </w:rPr>
      </w:pPr>
      <w:r w:rsidRPr="005E446D">
        <w:rPr>
          <w:sz w:val="22"/>
          <w:szCs w:val="22"/>
        </w:rPr>
        <w:t xml:space="preserve">The collection is non-controversial and does </w:t>
      </w:r>
      <w:r w:rsidRPr="005E446D">
        <w:rPr>
          <w:sz w:val="22"/>
          <w:szCs w:val="22"/>
          <w:u w:val="single"/>
        </w:rPr>
        <w:t>not</w:t>
      </w:r>
      <w:r w:rsidRPr="005E446D">
        <w:rPr>
          <w:sz w:val="22"/>
          <w:szCs w:val="22"/>
        </w:rPr>
        <w:t xml:space="preserve"> raise issues of concern to other federal agencies.</w:t>
      </w:r>
    </w:p>
    <w:p w:rsidR="00B46F2C" w:rsidRPr="005E446D" w:rsidRDefault="00B46F2C" w:rsidP="008101A5">
      <w:pPr>
        <w:pStyle w:val="ListParagraph"/>
        <w:numPr>
          <w:ilvl w:val="0"/>
          <w:numId w:val="14"/>
        </w:numPr>
        <w:rPr>
          <w:sz w:val="22"/>
          <w:szCs w:val="22"/>
        </w:rPr>
      </w:pPr>
      <w:r w:rsidRPr="005E446D">
        <w:rPr>
          <w:sz w:val="22"/>
          <w:szCs w:val="22"/>
        </w:rPr>
        <w:t xml:space="preserve">The results are </w:t>
      </w:r>
      <w:r w:rsidRPr="005E446D">
        <w:rPr>
          <w:sz w:val="22"/>
          <w:szCs w:val="22"/>
          <w:u w:val="single"/>
        </w:rPr>
        <w:t>not</w:t>
      </w:r>
      <w:r w:rsidRPr="005E446D">
        <w:rPr>
          <w:sz w:val="22"/>
          <w:szCs w:val="22"/>
        </w:rPr>
        <w:t xml:space="preserve"> intended to be disseminated to the public.</w:t>
      </w:r>
      <w:r w:rsidRPr="005E446D">
        <w:rPr>
          <w:sz w:val="22"/>
          <w:szCs w:val="22"/>
        </w:rPr>
        <w:tab/>
      </w:r>
      <w:r w:rsidRPr="005E446D">
        <w:rPr>
          <w:sz w:val="22"/>
          <w:szCs w:val="22"/>
        </w:rPr>
        <w:tab/>
      </w:r>
    </w:p>
    <w:p w:rsidR="00B46F2C" w:rsidRPr="005E446D" w:rsidRDefault="00B46F2C" w:rsidP="008101A5">
      <w:pPr>
        <w:pStyle w:val="ListParagraph"/>
        <w:numPr>
          <w:ilvl w:val="0"/>
          <w:numId w:val="14"/>
        </w:numPr>
        <w:rPr>
          <w:sz w:val="22"/>
          <w:szCs w:val="22"/>
        </w:rPr>
      </w:pPr>
      <w:r w:rsidRPr="005E446D">
        <w:rPr>
          <w:sz w:val="22"/>
          <w:szCs w:val="22"/>
        </w:rPr>
        <w:t xml:space="preserve">Information gathered will not be used for the purpose of </w:t>
      </w:r>
      <w:r w:rsidRPr="005E446D">
        <w:rPr>
          <w:sz w:val="22"/>
          <w:szCs w:val="22"/>
          <w:u w:val="single"/>
        </w:rPr>
        <w:t>substantially</w:t>
      </w:r>
      <w:r w:rsidRPr="005E446D">
        <w:rPr>
          <w:sz w:val="22"/>
          <w:szCs w:val="22"/>
        </w:rPr>
        <w:t xml:space="preserve"> informing </w:t>
      </w:r>
      <w:r w:rsidRPr="005E446D">
        <w:rPr>
          <w:sz w:val="22"/>
          <w:szCs w:val="22"/>
          <w:u w:val="single"/>
        </w:rPr>
        <w:t xml:space="preserve">influential </w:t>
      </w:r>
      <w:r w:rsidRPr="005E446D">
        <w:rPr>
          <w:sz w:val="22"/>
          <w:szCs w:val="22"/>
        </w:rPr>
        <w:t xml:space="preserve">policy decisions. </w:t>
      </w:r>
    </w:p>
    <w:p w:rsidR="00B46F2C" w:rsidRPr="005E446D" w:rsidRDefault="00B46F2C" w:rsidP="008101A5">
      <w:pPr>
        <w:pStyle w:val="ListParagraph"/>
        <w:numPr>
          <w:ilvl w:val="0"/>
          <w:numId w:val="14"/>
        </w:numPr>
        <w:rPr>
          <w:sz w:val="22"/>
          <w:szCs w:val="22"/>
        </w:rPr>
      </w:pPr>
      <w:r w:rsidRPr="005E446D">
        <w:rPr>
          <w:sz w:val="22"/>
          <w:szCs w:val="22"/>
        </w:rPr>
        <w:t>The collection is targeted to the solicitation of opinions from respondents who have experience with the program or may have experience with the program in the future.</w:t>
      </w:r>
    </w:p>
    <w:p w:rsidR="00B46F2C" w:rsidRPr="005E446D" w:rsidRDefault="00B46F2C" w:rsidP="009C13B9">
      <w:pPr>
        <w:rPr>
          <w:sz w:val="22"/>
          <w:szCs w:val="22"/>
        </w:rPr>
      </w:pPr>
    </w:p>
    <w:p w:rsidR="004D3FC2" w:rsidRPr="005E446D" w:rsidRDefault="004D3FC2" w:rsidP="009C13B9">
      <w:pPr>
        <w:rPr>
          <w:sz w:val="22"/>
          <w:szCs w:val="22"/>
        </w:rPr>
      </w:pPr>
    </w:p>
    <w:p w:rsidR="00B46F2C" w:rsidRPr="005E446D" w:rsidRDefault="00CF3DBD" w:rsidP="009C13B9">
      <w:pPr>
        <w:rPr>
          <w:sz w:val="22"/>
          <w:szCs w:val="22"/>
        </w:rPr>
      </w:pPr>
      <w:r w:rsidRPr="005E446D">
        <w:rPr>
          <w:sz w:val="22"/>
          <w:szCs w:val="22"/>
        </w:rPr>
        <w:t xml:space="preserve">Name: </w:t>
      </w:r>
      <w:r w:rsidR="003F0586">
        <w:rPr>
          <w:sz w:val="22"/>
          <w:szCs w:val="22"/>
        </w:rPr>
        <w:t xml:space="preserve">Paul, Arguin; </w:t>
      </w:r>
      <w:r w:rsidR="003F0586" w:rsidRPr="003F0586">
        <w:rPr>
          <w:sz w:val="22"/>
          <w:szCs w:val="22"/>
        </w:rPr>
        <w:t>pma0@cdc.gov</w:t>
      </w:r>
      <w:r w:rsidR="000B5D47" w:rsidRPr="005E446D">
        <w:rPr>
          <w:sz w:val="22"/>
          <w:szCs w:val="22"/>
        </w:rPr>
        <w:t xml:space="preserve"> </w:t>
      </w:r>
    </w:p>
    <w:p w:rsidR="00B46F2C" w:rsidRPr="005E446D" w:rsidRDefault="00B46F2C" w:rsidP="009C13B9">
      <w:pPr>
        <w:pStyle w:val="ListParagraph"/>
        <w:ind w:left="360"/>
        <w:rPr>
          <w:sz w:val="22"/>
          <w:szCs w:val="22"/>
        </w:rPr>
      </w:pPr>
    </w:p>
    <w:p w:rsidR="00FF4080" w:rsidRDefault="00FF4080" w:rsidP="009C13B9">
      <w:pPr>
        <w:rPr>
          <w:sz w:val="22"/>
          <w:szCs w:val="22"/>
        </w:rPr>
      </w:pPr>
    </w:p>
    <w:p w:rsidR="00FF4080" w:rsidRDefault="00FF4080" w:rsidP="009C13B9">
      <w:pPr>
        <w:rPr>
          <w:sz w:val="22"/>
          <w:szCs w:val="22"/>
        </w:rPr>
      </w:pPr>
    </w:p>
    <w:p w:rsidR="00FF4080" w:rsidRDefault="00FF4080" w:rsidP="009C13B9">
      <w:pPr>
        <w:rPr>
          <w:sz w:val="22"/>
          <w:szCs w:val="22"/>
        </w:rPr>
      </w:pPr>
    </w:p>
    <w:p w:rsidR="00FF4080" w:rsidRDefault="00FF4080" w:rsidP="009C13B9">
      <w:pPr>
        <w:rPr>
          <w:sz w:val="22"/>
          <w:szCs w:val="22"/>
        </w:rPr>
      </w:pPr>
    </w:p>
    <w:p w:rsidR="00B46F2C" w:rsidRPr="005E446D" w:rsidRDefault="00B46F2C" w:rsidP="009C13B9">
      <w:pPr>
        <w:rPr>
          <w:sz w:val="22"/>
          <w:szCs w:val="22"/>
        </w:rPr>
      </w:pPr>
      <w:r w:rsidRPr="005E446D">
        <w:rPr>
          <w:sz w:val="22"/>
          <w:szCs w:val="22"/>
        </w:rPr>
        <w:lastRenderedPageBreak/>
        <w:t>To assist review, please provide answers to the following question:</w:t>
      </w:r>
    </w:p>
    <w:p w:rsidR="00B46F2C" w:rsidRPr="005E446D" w:rsidRDefault="00B46F2C" w:rsidP="009C13B9">
      <w:pPr>
        <w:pStyle w:val="ListParagraph"/>
        <w:ind w:left="360"/>
        <w:rPr>
          <w:sz w:val="22"/>
          <w:szCs w:val="22"/>
        </w:rPr>
      </w:pPr>
    </w:p>
    <w:p w:rsidR="00B46F2C" w:rsidRPr="005E446D" w:rsidRDefault="00B46F2C" w:rsidP="00C86E91">
      <w:pPr>
        <w:rPr>
          <w:b/>
          <w:sz w:val="22"/>
          <w:szCs w:val="22"/>
        </w:rPr>
      </w:pPr>
      <w:r w:rsidRPr="005E446D">
        <w:rPr>
          <w:b/>
          <w:sz w:val="22"/>
          <w:szCs w:val="22"/>
        </w:rPr>
        <w:t>Personally Identifiable Information:</w:t>
      </w:r>
    </w:p>
    <w:p w:rsidR="00B46F2C" w:rsidRPr="005E446D" w:rsidRDefault="00B46F2C" w:rsidP="00C86E91">
      <w:pPr>
        <w:pStyle w:val="ListParagraph"/>
        <w:numPr>
          <w:ilvl w:val="0"/>
          <w:numId w:val="18"/>
        </w:numPr>
        <w:rPr>
          <w:sz w:val="22"/>
          <w:szCs w:val="22"/>
        </w:rPr>
      </w:pPr>
      <w:r w:rsidRPr="005E446D">
        <w:rPr>
          <w:sz w:val="22"/>
          <w:szCs w:val="22"/>
        </w:rPr>
        <w:t>Is personally identifiable informatio</w:t>
      </w:r>
      <w:r w:rsidR="006251A1" w:rsidRPr="005E446D">
        <w:rPr>
          <w:sz w:val="22"/>
          <w:szCs w:val="22"/>
        </w:rPr>
        <w:t xml:space="preserve">n (PII) collected?  [X] Yes  [  </w:t>
      </w:r>
      <w:r w:rsidRPr="005E446D">
        <w:rPr>
          <w:sz w:val="22"/>
          <w:szCs w:val="22"/>
        </w:rPr>
        <w:t xml:space="preserve">]  No </w:t>
      </w:r>
    </w:p>
    <w:p w:rsidR="00B46F2C" w:rsidRPr="005E446D" w:rsidRDefault="00B46F2C" w:rsidP="00C86E91">
      <w:pPr>
        <w:pStyle w:val="ListParagraph"/>
        <w:numPr>
          <w:ilvl w:val="0"/>
          <w:numId w:val="18"/>
        </w:numPr>
        <w:rPr>
          <w:sz w:val="22"/>
          <w:szCs w:val="22"/>
        </w:rPr>
      </w:pPr>
      <w:r w:rsidRPr="005E446D">
        <w:rPr>
          <w:sz w:val="22"/>
          <w:szCs w:val="22"/>
        </w:rPr>
        <w:t xml:space="preserve">If </w:t>
      </w:r>
      <w:proofErr w:type="gramStart"/>
      <w:r w:rsidRPr="005E446D">
        <w:rPr>
          <w:sz w:val="22"/>
          <w:szCs w:val="22"/>
        </w:rPr>
        <w:t>Yes</w:t>
      </w:r>
      <w:proofErr w:type="gramEnd"/>
      <w:r w:rsidRPr="005E446D">
        <w:rPr>
          <w:sz w:val="22"/>
          <w:szCs w:val="22"/>
        </w:rPr>
        <w:t>, is the information that will be collected included in records that are subject t</w:t>
      </w:r>
      <w:r w:rsidR="00843970">
        <w:rPr>
          <w:sz w:val="22"/>
          <w:szCs w:val="22"/>
        </w:rPr>
        <w:t>o the Privacy Act of 1974?   [</w:t>
      </w:r>
      <w:r w:rsidRPr="005E446D">
        <w:rPr>
          <w:sz w:val="22"/>
          <w:szCs w:val="22"/>
        </w:rPr>
        <w:t>] Yes [</w:t>
      </w:r>
      <w:r w:rsidR="00843970">
        <w:rPr>
          <w:sz w:val="22"/>
          <w:szCs w:val="22"/>
        </w:rPr>
        <w:t>X</w:t>
      </w:r>
      <w:r w:rsidR="006251A1" w:rsidRPr="005E446D">
        <w:rPr>
          <w:sz w:val="22"/>
          <w:szCs w:val="22"/>
        </w:rPr>
        <w:t xml:space="preserve"> </w:t>
      </w:r>
      <w:r w:rsidRPr="005E446D">
        <w:rPr>
          <w:sz w:val="22"/>
          <w:szCs w:val="22"/>
        </w:rPr>
        <w:t xml:space="preserve">] No  </w:t>
      </w:r>
    </w:p>
    <w:p w:rsidR="00B46F2C" w:rsidRPr="005E446D" w:rsidRDefault="00B46F2C" w:rsidP="00C86E91">
      <w:pPr>
        <w:pStyle w:val="ListParagraph"/>
        <w:numPr>
          <w:ilvl w:val="0"/>
          <w:numId w:val="18"/>
        </w:numPr>
        <w:rPr>
          <w:sz w:val="22"/>
          <w:szCs w:val="22"/>
        </w:rPr>
      </w:pPr>
      <w:r w:rsidRPr="005E446D">
        <w:rPr>
          <w:sz w:val="22"/>
          <w:szCs w:val="22"/>
        </w:rPr>
        <w:t>If Applicable, has a System or Rec</w:t>
      </w:r>
      <w:r w:rsidR="00843970">
        <w:rPr>
          <w:sz w:val="22"/>
          <w:szCs w:val="22"/>
        </w:rPr>
        <w:t>ords Notice been published?  [</w:t>
      </w:r>
      <w:r w:rsidRPr="005E446D">
        <w:rPr>
          <w:sz w:val="22"/>
          <w:szCs w:val="22"/>
        </w:rPr>
        <w:t>] Yes  [  ] No</w:t>
      </w:r>
    </w:p>
    <w:p w:rsidR="00961505" w:rsidRPr="005E446D" w:rsidRDefault="00961505" w:rsidP="00C86E91">
      <w:pPr>
        <w:pStyle w:val="ListParagraph"/>
        <w:ind w:left="0"/>
        <w:rPr>
          <w:b/>
          <w:sz w:val="22"/>
          <w:szCs w:val="22"/>
        </w:rPr>
      </w:pPr>
    </w:p>
    <w:p w:rsidR="00961505" w:rsidRPr="005E446D" w:rsidRDefault="00B46F2C" w:rsidP="00C86E91">
      <w:pPr>
        <w:pStyle w:val="ListParagraph"/>
        <w:ind w:left="0"/>
        <w:rPr>
          <w:b/>
          <w:sz w:val="22"/>
          <w:szCs w:val="22"/>
        </w:rPr>
      </w:pPr>
      <w:r w:rsidRPr="005E446D">
        <w:rPr>
          <w:b/>
          <w:sz w:val="22"/>
          <w:szCs w:val="22"/>
        </w:rPr>
        <w:t>Gifts or Payments:</w:t>
      </w:r>
    </w:p>
    <w:p w:rsidR="00D41DC7" w:rsidRPr="005E446D" w:rsidRDefault="00B46F2C">
      <w:pPr>
        <w:rPr>
          <w:sz w:val="22"/>
          <w:szCs w:val="22"/>
        </w:rPr>
      </w:pPr>
      <w:r w:rsidRPr="005E446D">
        <w:rPr>
          <w:sz w:val="22"/>
          <w:szCs w:val="22"/>
        </w:rPr>
        <w:t>Is an incentive (e.g., money or reimbursement of expenses, token of appreciation) provide</w:t>
      </w:r>
      <w:r w:rsidR="004766DB" w:rsidRPr="005E446D">
        <w:rPr>
          <w:sz w:val="22"/>
          <w:szCs w:val="22"/>
        </w:rPr>
        <w:t xml:space="preserve">d to participants? </w:t>
      </w:r>
      <w:r w:rsidR="009C362E">
        <w:rPr>
          <w:sz w:val="22"/>
          <w:szCs w:val="22"/>
        </w:rPr>
        <w:t xml:space="preserve"> </w:t>
      </w:r>
      <w:r w:rsidR="004766DB" w:rsidRPr="005E446D">
        <w:rPr>
          <w:sz w:val="22"/>
          <w:szCs w:val="22"/>
        </w:rPr>
        <w:t xml:space="preserve"> [  ] Yes [X</w:t>
      </w:r>
      <w:r w:rsidRPr="005E446D">
        <w:rPr>
          <w:sz w:val="22"/>
          <w:szCs w:val="22"/>
        </w:rPr>
        <w:t>] No</w:t>
      </w:r>
    </w:p>
    <w:p w:rsidR="00811BB9" w:rsidRPr="005E446D" w:rsidRDefault="00811BB9" w:rsidP="00C86E91">
      <w:pPr>
        <w:rPr>
          <w:b/>
          <w:sz w:val="22"/>
          <w:szCs w:val="22"/>
        </w:rPr>
      </w:pPr>
    </w:p>
    <w:p w:rsidR="00B46F2C" w:rsidRPr="005E446D" w:rsidRDefault="00B46F2C" w:rsidP="00C86E91">
      <w:pPr>
        <w:rPr>
          <w:i/>
          <w:sz w:val="22"/>
          <w:szCs w:val="22"/>
        </w:rPr>
      </w:pPr>
      <w:r w:rsidRPr="005E446D">
        <w:rPr>
          <w:b/>
          <w:sz w:val="22"/>
          <w:szCs w:val="22"/>
        </w:rPr>
        <w:t>BURDEN HOURS</w:t>
      </w:r>
      <w:r w:rsidRPr="005E446D">
        <w:rPr>
          <w:sz w:val="22"/>
          <w:szCs w:val="22"/>
        </w:rPr>
        <w:t xml:space="preserve"> </w:t>
      </w:r>
    </w:p>
    <w:p w:rsidR="00B46F2C" w:rsidRPr="005E446D" w:rsidRDefault="00B46F2C" w:rsidP="00F3170F">
      <w:pPr>
        <w:keepNext/>
        <w:keepLines/>
        <w:rPr>
          <w:b/>
          <w:sz w:val="22"/>
          <w:szCs w:val="22"/>
        </w:rPr>
      </w:pP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7"/>
        <w:gridCol w:w="2093"/>
        <w:gridCol w:w="1440"/>
        <w:gridCol w:w="1260"/>
        <w:gridCol w:w="1260"/>
        <w:gridCol w:w="1170"/>
      </w:tblGrid>
      <w:tr w:rsidR="006251A1" w:rsidRPr="005E446D" w:rsidTr="006251A1">
        <w:tc>
          <w:tcPr>
            <w:tcW w:w="1867" w:type="dxa"/>
            <w:tcMar>
              <w:top w:w="0" w:type="dxa"/>
              <w:left w:w="108" w:type="dxa"/>
              <w:bottom w:w="0" w:type="dxa"/>
              <w:right w:w="108" w:type="dxa"/>
            </w:tcMar>
            <w:vAlign w:val="center"/>
            <w:hideMark/>
          </w:tcPr>
          <w:p w:rsidR="006251A1" w:rsidRPr="005E446D" w:rsidRDefault="006251A1" w:rsidP="0038561C">
            <w:pPr>
              <w:jc w:val="center"/>
              <w:rPr>
                <w:rFonts w:eastAsiaTheme="minorHAnsi"/>
                <w:sz w:val="22"/>
                <w:szCs w:val="22"/>
              </w:rPr>
            </w:pPr>
            <w:r w:rsidRPr="005E446D">
              <w:rPr>
                <w:sz w:val="22"/>
                <w:szCs w:val="22"/>
              </w:rPr>
              <w:t>Type of Respondent</w:t>
            </w:r>
          </w:p>
        </w:tc>
        <w:tc>
          <w:tcPr>
            <w:tcW w:w="2093" w:type="dxa"/>
            <w:tcMar>
              <w:top w:w="0" w:type="dxa"/>
              <w:left w:w="108" w:type="dxa"/>
              <w:bottom w:w="0" w:type="dxa"/>
              <w:right w:w="108" w:type="dxa"/>
            </w:tcMar>
            <w:vAlign w:val="center"/>
            <w:hideMark/>
          </w:tcPr>
          <w:p w:rsidR="006251A1" w:rsidRPr="005E446D" w:rsidRDefault="006251A1" w:rsidP="0038561C">
            <w:pPr>
              <w:jc w:val="center"/>
              <w:rPr>
                <w:rFonts w:eastAsiaTheme="minorHAnsi"/>
                <w:sz w:val="22"/>
                <w:szCs w:val="22"/>
              </w:rPr>
            </w:pPr>
            <w:r w:rsidRPr="005E446D">
              <w:rPr>
                <w:sz w:val="22"/>
                <w:szCs w:val="22"/>
              </w:rPr>
              <w:t>Form</w:t>
            </w:r>
          </w:p>
          <w:p w:rsidR="006251A1" w:rsidRPr="005E446D" w:rsidRDefault="006251A1" w:rsidP="0038561C">
            <w:pPr>
              <w:jc w:val="center"/>
              <w:rPr>
                <w:rFonts w:eastAsiaTheme="minorHAnsi"/>
                <w:sz w:val="22"/>
                <w:szCs w:val="22"/>
              </w:rPr>
            </w:pPr>
            <w:r w:rsidRPr="005E446D">
              <w:rPr>
                <w:sz w:val="22"/>
                <w:szCs w:val="22"/>
              </w:rPr>
              <w:t>Name</w:t>
            </w:r>
          </w:p>
        </w:tc>
        <w:tc>
          <w:tcPr>
            <w:tcW w:w="1440" w:type="dxa"/>
            <w:tcMar>
              <w:top w:w="0" w:type="dxa"/>
              <w:left w:w="108" w:type="dxa"/>
              <w:bottom w:w="0" w:type="dxa"/>
              <w:right w:w="108" w:type="dxa"/>
            </w:tcMar>
            <w:vAlign w:val="center"/>
            <w:hideMark/>
          </w:tcPr>
          <w:p w:rsidR="006251A1" w:rsidRPr="005E446D" w:rsidRDefault="006251A1" w:rsidP="0038561C">
            <w:pPr>
              <w:jc w:val="center"/>
              <w:rPr>
                <w:rFonts w:eastAsiaTheme="minorHAnsi"/>
                <w:sz w:val="22"/>
                <w:szCs w:val="22"/>
              </w:rPr>
            </w:pPr>
            <w:r w:rsidRPr="005E446D">
              <w:rPr>
                <w:sz w:val="22"/>
                <w:szCs w:val="22"/>
              </w:rPr>
              <w:t>No. of Respondents</w:t>
            </w:r>
          </w:p>
        </w:tc>
        <w:tc>
          <w:tcPr>
            <w:tcW w:w="1260" w:type="dxa"/>
            <w:tcMar>
              <w:top w:w="0" w:type="dxa"/>
              <w:left w:w="108" w:type="dxa"/>
              <w:bottom w:w="0" w:type="dxa"/>
              <w:right w:w="108" w:type="dxa"/>
            </w:tcMar>
            <w:vAlign w:val="center"/>
            <w:hideMark/>
          </w:tcPr>
          <w:p w:rsidR="006251A1" w:rsidRPr="005E446D" w:rsidRDefault="006251A1" w:rsidP="0038561C">
            <w:pPr>
              <w:jc w:val="center"/>
              <w:rPr>
                <w:rFonts w:eastAsiaTheme="minorHAnsi"/>
                <w:sz w:val="22"/>
                <w:szCs w:val="22"/>
              </w:rPr>
            </w:pPr>
            <w:r w:rsidRPr="005E446D">
              <w:rPr>
                <w:sz w:val="22"/>
                <w:szCs w:val="22"/>
              </w:rPr>
              <w:t>No. of Responses per Respondent</w:t>
            </w:r>
          </w:p>
        </w:tc>
        <w:tc>
          <w:tcPr>
            <w:tcW w:w="1260" w:type="dxa"/>
            <w:tcMar>
              <w:top w:w="0" w:type="dxa"/>
              <w:left w:w="108" w:type="dxa"/>
              <w:bottom w:w="0" w:type="dxa"/>
              <w:right w:w="108" w:type="dxa"/>
            </w:tcMar>
            <w:vAlign w:val="center"/>
            <w:hideMark/>
          </w:tcPr>
          <w:p w:rsidR="006251A1" w:rsidRPr="005E446D" w:rsidRDefault="006251A1" w:rsidP="0038561C">
            <w:pPr>
              <w:jc w:val="center"/>
              <w:rPr>
                <w:sz w:val="22"/>
                <w:szCs w:val="22"/>
              </w:rPr>
            </w:pPr>
            <w:r w:rsidRPr="005E446D">
              <w:rPr>
                <w:sz w:val="22"/>
                <w:szCs w:val="22"/>
              </w:rPr>
              <w:t xml:space="preserve">Average Burden per Response </w:t>
            </w:r>
          </w:p>
          <w:p w:rsidR="006251A1" w:rsidRPr="005E446D" w:rsidRDefault="006251A1" w:rsidP="0038561C">
            <w:pPr>
              <w:jc w:val="center"/>
              <w:rPr>
                <w:rFonts w:eastAsiaTheme="minorHAnsi"/>
                <w:sz w:val="22"/>
                <w:szCs w:val="22"/>
              </w:rPr>
            </w:pPr>
            <w:r w:rsidRPr="005E446D">
              <w:rPr>
                <w:sz w:val="22"/>
                <w:szCs w:val="22"/>
              </w:rPr>
              <w:t>(in hours)</w:t>
            </w:r>
          </w:p>
        </w:tc>
        <w:tc>
          <w:tcPr>
            <w:tcW w:w="1170" w:type="dxa"/>
            <w:tcMar>
              <w:top w:w="0" w:type="dxa"/>
              <w:left w:w="108" w:type="dxa"/>
              <w:bottom w:w="0" w:type="dxa"/>
              <w:right w:w="108" w:type="dxa"/>
            </w:tcMar>
            <w:vAlign w:val="center"/>
            <w:hideMark/>
          </w:tcPr>
          <w:p w:rsidR="006251A1" w:rsidRPr="005E446D" w:rsidRDefault="006251A1" w:rsidP="0038561C">
            <w:pPr>
              <w:jc w:val="center"/>
              <w:rPr>
                <w:rFonts w:eastAsiaTheme="minorHAnsi"/>
                <w:sz w:val="22"/>
                <w:szCs w:val="22"/>
              </w:rPr>
            </w:pPr>
            <w:r w:rsidRPr="005E446D">
              <w:rPr>
                <w:sz w:val="22"/>
                <w:szCs w:val="22"/>
              </w:rPr>
              <w:t>Total Burden Hours</w:t>
            </w:r>
          </w:p>
        </w:tc>
      </w:tr>
      <w:tr w:rsidR="006251A1" w:rsidRPr="005E446D" w:rsidTr="006251A1">
        <w:tc>
          <w:tcPr>
            <w:tcW w:w="1867" w:type="dxa"/>
            <w:tcMar>
              <w:top w:w="0" w:type="dxa"/>
              <w:left w:w="108" w:type="dxa"/>
              <w:bottom w:w="0" w:type="dxa"/>
              <w:right w:w="108" w:type="dxa"/>
            </w:tcMar>
            <w:vAlign w:val="center"/>
          </w:tcPr>
          <w:p w:rsidR="006251A1" w:rsidRPr="005E446D" w:rsidRDefault="006251A1" w:rsidP="0038561C">
            <w:pPr>
              <w:rPr>
                <w:sz w:val="22"/>
                <w:szCs w:val="22"/>
              </w:rPr>
            </w:pPr>
            <w:r w:rsidRPr="005E446D">
              <w:rPr>
                <w:sz w:val="22"/>
                <w:szCs w:val="22"/>
              </w:rPr>
              <w:t>State/Local Health Departments</w:t>
            </w:r>
          </w:p>
        </w:tc>
        <w:tc>
          <w:tcPr>
            <w:tcW w:w="2093" w:type="dxa"/>
            <w:tcMar>
              <w:top w:w="0" w:type="dxa"/>
              <w:left w:w="108" w:type="dxa"/>
              <w:bottom w:w="0" w:type="dxa"/>
              <w:right w:w="108" w:type="dxa"/>
            </w:tcMar>
            <w:vAlign w:val="center"/>
          </w:tcPr>
          <w:p w:rsidR="006251A1" w:rsidRPr="005E446D" w:rsidRDefault="006251A1" w:rsidP="0038561C">
            <w:pPr>
              <w:rPr>
                <w:sz w:val="22"/>
                <w:szCs w:val="22"/>
              </w:rPr>
            </w:pPr>
            <w:r w:rsidRPr="005E446D">
              <w:rPr>
                <w:sz w:val="22"/>
                <w:szCs w:val="22"/>
              </w:rPr>
              <w:t>Ebola/Malaria Assessment Data Collection Tool</w:t>
            </w:r>
          </w:p>
        </w:tc>
        <w:tc>
          <w:tcPr>
            <w:tcW w:w="144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color w:val="000000"/>
                <w:sz w:val="22"/>
                <w:szCs w:val="22"/>
              </w:rPr>
              <w:t>43</w:t>
            </w:r>
          </w:p>
        </w:tc>
        <w:tc>
          <w:tcPr>
            <w:tcW w:w="126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6</w:t>
            </w:r>
          </w:p>
        </w:tc>
        <w:tc>
          <w:tcPr>
            <w:tcW w:w="126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10/60</w:t>
            </w:r>
          </w:p>
        </w:tc>
        <w:tc>
          <w:tcPr>
            <w:tcW w:w="117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43</w:t>
            </w:r>
          </w:p>
        </w:tc>
      </w:tr>
      <w:tr w:rsidR="006251A1" w:rsidRPr="005E446D" w:rsidTr="006251A1">
        <w:tc>
          <w:tcPr>
            <w:tcW w:w="1867" w:type="dxa"/>
            <w:tcMar>
              <w:top w:w="0" w:type="dxa"/>
              <w:left w:w="108" w:type="dxa"/>
              <w:bottom w:w="0" w:type="dxa"/>
              <w:right w:w="108" w:type="dxa"/>
            </w:tcMar>
            <w:vAlign w:val="center"/>
          </w:tcPr>
          <w:p w:rsidR="006251A1" w:rsidRPr="005E446D" w:rsidRDefault="006251A1" w:rsidP="0038561C">
            <w:pPr>
              <w:rPr>
                <w:sz w:val="22"/>
                <w:szCs w:val="22"/>
              </w:rPr>
            </w:pPr>
            <w:r w:rsidRPr="005E446D">
              <w:rPr>
                <w:sz w:val="22"/>
                <w:szCs w:val="22"/>
              </w:rPr>
              <w:t>Health facilities</w:t>
            </w:r>
          </w:p>
        </w:tc>
        <w:tc>
          <w:tcPr>
            <w:tcW w:w="2093" w:type="dxa"/>
            <w:tcMar>
              <w:top w:w="0" w:type="dxa"/>
              <w:left w:w="108" w:type="dxa"/>
              <w:bottom w:w="0" w:type="dxa"/>
              <w:right w:w="108" w:type="dxa"/>
            </w:tcMar>
            <w:vAlign w:val="center"/>
          </w:tcPr>
          <w:p w:rsidR="006251A1" w:rsidRPr="005E446D" w:rsidRDefault="006251A1" w:rsidP="0038561C">
            <w:pPr>
              <w:rPr>
                <w:sz w:val="22"/>
                <w:szCs w:val="22"/>
              </w:rPr>
            </w:pPr>
            <w:r w:rsidRPr="005E446D">
              <w:rPr>
                <w:sz w:val="22"/>
                <w:szCs w:val="22"/>
              </w:rPr>
              <w:t>Ebola/Malaria Assessment Data Collection Tool</w:t>
            </w:r>
          </w:p>
        </w:tc>
        <w:tc>
          <w:tcPr>
            <w:tcW w:w="1440" w:type="dxa"/>
            <w:tcMar>
              <w:top w:w="0" w:type="dxa"/>
              <w:left w:w="108" w:type="dxa"/>
              <w:bottom w:w="0" w:type="dxa"/>
              <w:right w:w="108" w:type="dxa"/>
            </w:tcMar>
            <w:vAlign w:val="center"/>
          </w:tcPr>
          <w:p w:rsidR="006251A1" w:rsidRPr="005E446D" w:rsidRDefault="006251A1" w:rsidP="0038561C">
            <w:pPr>
              <w:jc w:val="center"/>
              <w:rPr>
                <w:color w:val="000000"/>
                <w:sz w:val="22"/>
                <w:szCs w:val="22"/>
              </w:rPr>
            </w:pPr>
            <w:r w:rsidRPr="005E446D">
              <w:rPr>
                <w:color w:val="000000"/>
                <w:sz w:val="22"/>
                <w:szCs w:val="22"/>
              </w:rPr>
              <w:t>221</w:t>
            </w:r>
          </w:p>
        </w:tc>
        <w:tc>
          <w:tcPr>
            <w:tcW w:w="126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1</w:t>
            </w:r>
          </w:p>
        </w:tc>
        <w:tc>
          <w:tcPr>
            <w:tcW w:w="126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5/60</w:t>
            </w:r>
          </w:p>
        </w:tc>
        <w:tc>
          <w:tcPr>
            <w:tcW w:w="1170" w:type="dxa"/>
            <w:tcMar>
              <w:top w:w="0" w:type="dxa"/>
              <w:left w:w="108" w:type="dxa"/>
              <w:bottom w:w="0" w:type="dxa"/>
              <w:right w:w="108" w:type="dxa"/>
            </w:tcMar>
            <w:vAlign w:val="center"/>
          </w:tcPr>
          <w:p w:rsidR="006251A1" w:rsidRPr="005E446D" w:rsidRDefault="006251A1" w:rsidP="0038561C">
            <w:pPr>
              <w:jc w:val="center"/>
              <w:rPr>
                <w:sz w:val="22"/>
                <w:szCs w:val="22"/>
              </w:rPr>
            </w:pPr>
            <w:r w:rsidRPr="005E446D">
              <w:rPr>
                <w:sz w:val="22"/>
                <w:szCs w:val="22"/>
              </w:rPr>
              <w:t>18</w:t>
            </w:r>
          </w:p>
        </w:tc>
      </w:tr>
      <w:tr w:rsidR="006251A1" w:rsidRPr="005E446D" w:rsidTr="006251A1">
        <w:tc>
          <w:tcPr>
            <w:tcW w:w="1867" w:type="dxa"/>
            <w:tcBorders>
              <w:bottom w:val="single" w:sz="4" w:space="0" w:color="auto"/>
            </w:tcBorders>
            <w:tcMar>
              <w:top w:w="0" w:type="dxa"/>
              <w:left w:w="108" w:type="dxa"/>
              <w:bottom w:w="0" w:type="dxa"/>
              <w:right w:w="108" w:type="dxa"/>
            </w:tcMar>
          </w:tcPr>
          <w:p w:rsidR="006251A1" w:rsidRPr="005E446D" w:rsidRDefault="006251A1" w:rsidP="0038561C">
            <w:pPr>
              <w:jc w:val="right"/>
              <w:rPr>
                <w:b/>
                <w:sz w:val="22"/>
                <w:szCs w:val="22"/>
              </w:rPr>
            </w:pPr>
            <w:r w:rsidRPr="005E446D">
              <w:rPr>
                <w:sz w:val="22"/>
                <w:szCs w:val="22"/>
              </w:rPr>
              <w:t>Total</w:t>
            </w:r>
          </w:p>
        </w:tc>
        <w:tc>
          <w:tcPr>
            <w:tcW w:w="6053" w:type="dxa"/>
            <w:gridSpan w:val="4"/>
            <w:tcBorders>
              <w:bottom w:val="single" w:sz="4" w:space="0" w:color="auto"/>
            </w:tcBorders>
          </w:tcPr>
          <w:p w:rsidR="006251A1" w:rsidRPr="005E446D" w:rsidRDefault="006251A1" w:rsidP="0038561C">
            <w:pPr>
              <w:jc w:val="center"/>
              <w:rPr>
                <w:sz w:val="22"/>
                <w:szCs w:val="22"/>
              </w:rPr>
            </w:pPr>
          </w:p>
        </w:tc>
        <w:tc>
          <w:tcPr>
            <w:tcW w:w="1170" w:type="dxa"/>
            <w:tcBorders>
              <w:bottom w:val="single" w:sz="4" w:space="0" w:color="auto"/>
            </w:tcBorders>
            <w:vAlign w:val="center"/>
          </w:tcPr>
          <w:p w:rsidR="006251A1" w:rsidRPr="005E446D" w:rsidRDefault="006251A1" w:rsidP="0038561C">
            <w:pPr>
              <w:jc w:val="center"/>
              <w:rPr>
                <w:sz w:val="22"/>
                <w:szCs w:val="22"/>
              </w:rPr>
            </w:pPr>
            <w:r w:rsidRPr="005E446D">
              <w:rPr>
                <w:sz w:val="22"/>
                <w:szCs w:val="22"/>
              </w:rPr>
              <w:t>61</w:t>
            </w:r>
          </w:p>
        </w:tc>
      </w:tr>
      <w:tr w:rsidR="006251A1" w:rsidRPr="005E446D" w:rsidTr="006251A1">
        <w:tc>
          <w:tcPr>
            <w:tcW w:w="9090" w:type="dxa"/>
            <w:gridSpan w:val="6"/>
            <w:tcBorders>
              <w:left w:val="nil"/>
              <w:bottom w:val="nil"/>
              <w:right w:val="nil"/>
            </w:tcBorders>
            <w:tcMar>
              <w:top w:w="0" w:type="dxa"/>
              <w:left w:w="108" w:type="dxa"/>
              <w:bottom w:w="0" w:type="dxa"/>
              <w:right w:w="108" w:type="dxa"/>
            </w:tcMar>
          </w:tcPr>
          <w:p w:rsidR="006251A1" w:rsidRPr="005E446D" w:rsidRDefault="006251A1" w:rsidP="0038561C">
            <w:pPr>
              <w:ind w:left="162" w:hanging="162"/>
              <w:rPr>
                <w:sz w:val="22"/>
                <w:szCs w:val="22"/>
              </w:rPr>
            </w:pPr>
          </w:p>
        </w:tc>
      </w:tr>
    </w:tbl>
    <w:p w:rsidR="00B46F2C" w:rsidRPr="005E446D" w:rsidRDefault="00B46F2C">
      <w:pPr>
        <w:rPr>
          <w:sz w:val="22"/>
          <w:szCs w:val="22"/>
        </w:rPr>
      </w:pPr>
      <w:r w:rsidRPr="005E446D">
        <w:rPr>
          <w:b/>
          <w:sz w:val="22"/>
          <w:szCs w:val="22"/>
        </w:rPr>
        <w:t xml:space="preserve">FEDERAL COST:  </w:t>
      </w:r>
      <w:r w:rsidRPr="005E446D">
        <w:rPr>
          <w:sz w:val="22"/>
          <w:szCs w:val="22"/>
        </w:rPr>
        <w:t>The estimated annual cost to the Fed</w:t>
      </w:r>
      <w:r w:rsidR="00702C8E" w:rsidRPr="005E446D">
        <w:rPr>
          <w:sz w:val="22"/>
          <w:szCs w:val="22"/>
        </w:rPr>
        <w:t xml:space="preserve">eral government is: </w:t>
      </w:r>
    </w:p>
    <w:p w:rsidR="005005F3" w:rsidRPr="005E446D" w:rsidRDefault="00702C8E" w:rsidP="006251A1">
      <w:pPr>
        <w:rPr>
          <w:sz w:val="22"/>
          <w:szCs w:val="22"/>
        </w:rPr>
      </w:pPr>
      <w:r w:rsidRPr="005E446D">
        <w:rPr>
          <w:sz w:val="22"/>
          <w:szCs w:val="22"/>
        </w:rPr>
        <w:t xml:space="preserve">The anticipated cost to the Federal Government is approximately </w:t>
      </w:r>
      <w:r w:rsidR="004F595F" w:rsidRPr="005E446D">
        <w:rPr>
          <w:sz w:val="22"/>
          <w:szCs w:val="22"/>
        </w:rPr>
        <w:t>$</w:t>
      </w:r>
      <w:r w:rsidR="006251A1" w:rsidRPr="005E446D">
        <w:rPr>
          <w:sz w:val="22"/>
          <w:szCs w:val="22"/>
        </w:rPr>
        <w:t>2309.70</w:t>
      </w:r>
      <w:r w:rsidR="007625B9" w:rsidRPr="005E446D">
        <w:rPr>
          <w:sz w:val="22"/>
          <w:szCs w:val="22"/>
        </w:rPr>
        <w:t>.</w:t>
      </w:r>
      <w:r w:rsidR="005005F3" w:rsidRPr="005E446D">
        <w:rPr>
          <w:sz w:val="22"/>
          <w:szCs w:val="22"/>
        </w:rPr>
        <w:t>These costs are comprised of:</w:t>
      </w:r>
    </w:p>
    <w:p w:rsidR="004D3FC2" w:rsidRPr="005E446D" w:rsidRDefault="004D3FC2" w:rsidP="006251A1">
      <w:pPr>
        <w:rPr>
          <w:sz w:val="22"/>
          <w:szCs w:val="22"/>
        </w:rPr>
      </w:pPr>
    </w:p>
    <w:tbl>
      <w:tblPr>
        <w:tblStyle w:val="TableGrid1"/>
        <w:tblW w:w="0" w:type="auto"/>
        <w:tblLook w:val="04A0" w:firstRow="1" w:lastRow="0" w:firstColumn="1" w:lastColumn="0" w:noHBand="0" w:noVBand="1"/>
      </w:tblPr>
      <w:tblGrid>
        <w:gridCol w:w="2718"/>
        <w:gridCol w:w="2046"/>
        <w:gridCol w:w="2046"/>
        <w:gridCol w:w="2046"/>
      </w:tblGrid>
      <w:tr w:rsidR="006251A1" w:rsidRPr="005E446D" w:rsidTr="0038561C">
        <w:tc>
          <w:tcPr>
            <w:tcW w:w="8856" w:type="dxa"/>
            <w:gridSpan w:val="4"/>
          </w:tcPr>
          <w:p w:rsidR="006251A1" w:rsidRPr="005E446D" w:rsidRDefault="006251A1" w:rsidP="0038561C">
            <w:pPr>
              <w:widowControl w:val="0"/>
              <w:rPr>
                <w:rFonts w:ascii="Times New Roman" w:hAnsi="Times New Roman" w:cs="Times New Roman"/>
                <w:sz w:val="22"/>
                <w:szCs w:val="22"/>
              </w:rPr>
            </w:pPr>
            <w:r w:rsidRPr="005E446D">
              <w:rPr>
                <w:rFonts w:ascii="Times New Roman" w:hAnsi="Times New Roman" w:cs="Times New Roman"/>
                <w:sz w:val="22"/>
                <w:szCs w:val="22"/>
              </w:rPr>
              <w:t>Atlanta-based Support Hourly Wage</w:t>
            </w:r>
          </w:p>
        </w:tc>
      </w:tr>
      <w:tr w:rsidR="006251A1" w:rsidRPr="005E446D" w:rsidTr="0038561C">
        <w:tc>
          <w:tcPr>
            <w:tcW w:w="2718" w:type="dxa"/>
            <w:vMerge w:val="restart"/>
            <w:vAlign w:val="center"/>
          </w:tcPr>
          <w:p w:rsidR="006251A1" w:rsidRPr="005E446D" w:rsidRDefault="006251A1" w:rsidP="0038561C">
            <w:pPr>
              <w:widowControl w:val="0"/>
              <w:ind w:firstLine="360"/>
              <w:rPr>
                <w:rFonts w:ascii="Times New Roman" w:hAnsi="Times New Roman" w:cs="Times New Roman"/>
                <w:sz w:val="22"/>
                <w:szCs w:val="22"/>
              </w:rPr>
            </w:pPr>
            <w:r w:rsidRPr="005E446D">
              <w:rPr>
                <w:rFonts w:ascii="Times New Roman" w:hAnsi="Times New Roman" w:cs="Times New Roman"/>
                <w:sz w:val="22"/>
                <w:szCs w:val="22"/>
              </w:rPr>
              <w:t>Design of methods</w:t>
            </w:r>
          </w:p>
        </w:tc>
        <w:tc>
          <w:tcPr>
            <w:tcW w:w="2046" w:type="dxa"/>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1 FTE 10 hours</w:t>
            </w:r>
          </w:p>
        </w:tc>
        <w:tc>
          <w:tcPr>
            <w:tcW w:w="2046" w:type="dxa"/>
            <w:vAlign w:val="center"/>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GS14 $55.41</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$554.10</w:t>
            </w:r>
          </w:p>
        </w:tc>
      </w:tr>
      <w:tr w:rsidR="006251A1" w:rsidRPr="005E446D" w:rsidTr="0038561C">
        <w:tc>
          <w:tcPr>
            <w:tcW w:w="2718" w:type="dxa"/>
            <w:vMerge/>
          </w:tcPr>
          <w:p w:rsidR="006251A1" w:rsidRPr="005E446D" w:rsidRDefault="006251A1" w:rsidP="0038561C">
            <w:pPr>
              <w:widowControl w:val="0"/>
              <w:ind w:firstLine="360"/>
              <w:rPr>
                <w:rFonts w:ascii="Times New Roman" w:hAnsi="Times New Roman" w:cs="Times New Roman"/>
                <w:sz w:val="22"/>
                <w:szCs w:val="22"/>
              </w:rPr>
            </w:pPr>
          </w:p>
        </w:tc>
        <w:tc>
          <w:tcPr>
            <w:tcW w:w="2046" w:type="dxa"/>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1 FTE 10 hours</w:t>
            </w:r>
          </w:p>
        </w:tc>
        <w:tc>
          <w:tcPr>
            <w:tcW w:w="2046" w:type="dxa"/>
            <w:vAlign w:val="center"/>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GS13 $48.06</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$480.60</w:t>
            </w:r>
          </w:p>
        </w:tc>
      </w:tr>
      <w:tr w:rsidR="006251A1" w:rsidRPr="005E446D" w:rsidTr="0038561C">
        <w:tc>
          <w:tcPr>
            <w:tcW w:w="2718" w:type="dxa"/>
          </w:tcPr>
          <w:p w:rsidR="006251A1" w:rsidRPr="005E446D" w:rsidRDefault="006251A1" w:rsidP="0038561C">
            <w:pPr>
              <w:widowControl w:val="0"/>
              <w:ind w:left="360"/>
              <w:rPr>
                <w:rFonts w:ascii="Times New Roman" w:hAnsi="Times New Roman" w:cs="Times New Roman"/>
                <w:sz w:val="22"/>
                <w:szCs w:val="22"/>
              </w:rPr>
            </w:pPr>
            <w:r w:rsidRPr="005E446D">
              <w:rPr>
                <w:rFonts w:ascii="Times New Roman" w:hAnsi="Times New Roman" w:cs="Times New Roman"/>
                <w:sz w:val="22"/>
                <w:szCs w:val="22"/>
              </w:rPr>
              <w:t>Data extraction from Clinical Inquiries Database</w:t>
            </w:r>
          </w:p>
        </w:tc>
        <w:tc>
          <w:tcPr>
            <w:tcW w:w="2046" w:type="dxa"/>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1 FTE 5 hours</w:t>
            </w:r>
          </w:p>
        </w:tc>
        <w:tc>
          <w:tcPr>
            <w:tcW w:w="2046" w:type="dxa"/>
            <w:vAlign w:val="center"/>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GS13 $48.06</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$240.30</w:t>
            </w:r>
          </w:p>
        </w:tc>
      </w:tr>
      <w:tr w:rsidR="006251A1" w:rsidRPr="005E446D" w:rsidTr="0038561C">
        <w:tc>
          <w:tcPr>
            <w:tcW w:w="2718" w:type="dxa"/>
            <w:vMerge w:val="restart"/>
          </w:tcPr>
          <w:p w:rsidR="006251A1" w:rsidRPr="005E446D" w:rsidRDefault="006251A1" w:rsidP="0038561C">
            <w:pPr>
              <w:widowControl w:val="0"/>
              <w:ind w:left="360"/>
              <w:rPr>
                <w:rFonts w:ascii="Times New Roman" w:hAnsi="Times New Roman" w:cs="Times New Roman"/>
                <w:sz w:val="22"/>
                <w:szCs w:val="22"/>
              </w:rPr>
            </w:pPr>
            <w:r w:rsidRPr="005E446D">
              <w:rPr>
                <w:rFonts w:ascii="Times New Roman" w:hAnsi="Times New Roman" w:cs="Times New Roman"/>
                <w:sz w:val="22"/>
                <w:szCs w:val="22"/>
              </w:rPr>
              <w:t>Data aggregation and summary</w:t>
            </w:r>
          </w:p>
        </w:tc>
        <w:tc>
          <w:tcPr>
            <w:tcW w:w="2046" w:type="dxa"/>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1 FTE 10 hours</w:t>
            </w:r>
          </w:p>
        </w:tc>
        <w:tc>
          <w:tcPr>
            <w:tcW w:w="2046" w:type="dxa"/>
            <w:vAlign w:val="center"/>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GS14 $55.41</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$554.10</w:t>
            </w:r>
          </w:p>
        </w:tc>
      </w:tr>
      <w:tr w:rsidR="006251A1" w:rsidRPr="005E446D" w:rsidTr="0038561C">
        <w:tc>
          <w:tcPr>
            <w:tcW w:w="2718" w:type="dxa"/>
            <w:vMerge/>
          </w:tcPr>
          <w:p w:rsidR="006251A1" w:rsidRPr="005E446D" w:rsidRDefault="006251A1" w:rsidP="0038561C">
            <w:pPr>
              <w:widowControl w:val="0"/>
              <w:ind w:left="360"/>
              <w:rPr>
                <w:rFonts w:ascii="Times New Roman" w:hAnsi="Times New Roman" w:cs="Times New Roman"/>
                <w:sz w:val="22"/>
                <w:szCs w:val="22"/>
              </w:rPr>
            </w:pPr>
          </w:p>
        </w:tc>
        <w:tc>
          <w:tcPr>
            <w:tcW w:w="2046" w:type="dxa"/>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1 FTE 10 hours</w:t>
            </w:r>
          </w:p>
        </w:tc>
        <w:tc>
          <w:tcPr>
            <w:tcW w:w="2046" w:type="dxa"/>
            <w:vAlign w:val="center"/>
          </w:tcPr>
          <w:p w:rsidR="006251A1" w:rsidRPr="005E446D" w:rsidRDefault="006251A1" w:rsidP="0038561C">
            <w:pPr>
              <w:widowControl w:val="0"/>
              <w:jc w:val="center"/>
              <w:rPr>
                <w:rFonts w:ascii="Times New Roman" w:hAnsi="Times New Roman" w:cs="Times New Roman"/>
                <w:sz w:val="22"/>
                <w:szCs w:val="22"/>
              </w:rPr>
            </w:pPr>
            <w:r w:rsidRPr="005E446D">
              <w:rPr>
                <w:rFonts w:ascii="Times New Roman" w:hAnsi="Times New Roman" w:cs="Times New Roman"/>
                <w:sz w:val="22"/>
                <w:szCs w:val="22"/>
              </w:rPr>
              <w:t>GS13 $48.06</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$480.60</w:t>
            </w:r>
          </w:p>
        </w:tc>
      </w:tr>
      <w:tr w:rsidR="006251A1" w:rsidRPr="005E446D" w:rsidTr="0038561C">
        <w:tc>
          <w:tcPr>
            <w:tcW w:w="6810" w:type="dxa"/>
            <w:gridSpan w:val="3"/>
          </w:tcPr>
          <w:p w:rsidR="006251A1" w:rsidRPr="005E446D" w:rsidRDefault="006251A1" w:rsidP="0038561C">
            <w:pPr>
              <w:widowControl w:val="0"/>
              <w:jc w:val="right"/>
              <w:rPr>
                <w:rFonts w:ascii="Times New Roman" w:hAnsi="Times New Roman" w:cs="Times New Roman"/>
                <w:sz w:val="22"/>
                <w:szCs w:val="22"/>
              </w:rPr>
            </w:pPr>
            <w:r w:rsidRPr="005E446D">
              <w:rPr>
                <w:rFonts w:ascii="Times New Roman" w:hAnsi="Times New Roman" w:cs="Times New Roman"/>
                <w:sz w:val="22"/>
                <w:szCs w:val="22"/>
              </w:rPr>
              <w:t>Total salary costs</w:t>
            </w:r>
          </w:p>
        </w:tc>
        <w:tc>
          <w:tcPr>
            <w:tcW w:w="2046" w:type="dxa"/>
            <w:vAlign w:val="center"/>
          </w:tcPr>
          <w:p w:rsidR="006251A1" w:rsidRPr="005E446D" w:rsidRDefault="006251A1" w:rsidP="0038561C">
            <w:pPr>
              <w:jc w:val="center"/>
              <w:rPr>
                <w:rFonts w:ascii="Times New Roman" w:hAnsi="Times New Roman" w:cs="Times New Roman"/>
                <w:color w:val="000000"/>
                <w:sz w:val="22"/>
                <w:szCs w:val="22"/>
              </w:rPr>
            </w:pPr>
            <w:r w:rsidRPr="005E446D">
              <w:rPr>
                <w:rFonts w:ascii="Times New Roman" w:hAnsi="Times New Roman" w:cs="Times New Roman"/>
                <w:color w:val="000000"/>
                <w:sz w:val="22"/>
                <w:szCs w:val="22"/>
              </w:rPr>
              <w:t>$2309.70</w:t>
            </w:r>
          </w:p>
        </w:tc>
      </w:tr>
      <w:tr w:rsidR="006251A1" w:rsidRPr="005E446D" w:rsidTr="0038561C">
        <w:tc>
          <w:tcPr>
            <w:tcW w:w="8856" w:type="dxa"/>
            <w:gridSpan w:val="4"/>
          </w:tcPr>
          <w:p w:rsidR="006251A1" w:rsidRPr="005E446D" w:rsidRDefault="00843970" w:rsidP="0038561C">
            <w:pPr>
              <w:widowControl w:val="0"/>
              <w:rPr>
                <w:rFonts w:ascii="Times New Roman" w:hAnsi="Times New Roman" w:cs="Times New Roman"/>
                <w:sz w:val="22"/>
                <w:szCs w:val="22"/>
              </w:rPr>
            </w:pPr>
            <w:hyperlink r:id="rId8" w:history="1">
              <w:r w:rsidR="006251A1" w:rsidRPr="005E446D">
                <w:rPr>
                  <w:rStyle w:val="Hyperlink"/>
                  <w:rFonts w:ascii="Times New Roman" w:hAnsi="Times New Roman" w:cs="Times New Roman"/>
                  <w:sz w:val="22"/>
                  <w:szCs w:val="22"/>
                </w:rPr>
                <w:t>http://www.opm.gov/policy-data-oversight/pay-leave/salaries-wages/salary-tables/pdf/2014/ATL_h.pdf</w:t>
              </w:r>
            </w:hyperlink>
            <w:r w:rsidR="006251A1" w:rsidRPr="005E446D">
              <w:rPr>
                <w:rFonts w:ascii="Times New Roman" w:hAnsi="Times New Roman" w:cs="Times New Roman"/>
                <w:sz w:val="22"/>
                <w:szCs w:val="22"/>
              </w:rPr>
              <w:t xml:space="preserve"> </w:t>
            </w:r>
          </w:p>
        </w:tc>
      </w:tr>
    </w:tbl>
    <w:p w:rsidR="003B348B" w:rsidRPr="005E446D" w:rsidRDefault="003B348B" w:rsidP="00F06866">
      <w:pPr>
        <w:rPr>
          <w:b/>
          <w:bCs/>
          <w:sz w:val="22"/>
          <w:szCs w:val="22"/>
          <w:u w:val="single"/>
        </w:rPr>
      </w:pPr>
    </w:p>
    <w:p w:rsidR="00B46F2C" w:rsidRPr="005E446D" w:rsidRDefault="00B46F2C" w:rsidP="00F06866">
      <w:pPr>
        <w:rPr>
          <w:b/>
          <w:sz w:val="22"/>
          <w:szCs w:val="22"/>
        </w:rPr>
      </w:pPr>
      <w:r w:rsidRPr="005E446D">
        <w:rPr>
          <w:b/>
          <w:bCs/>
          <w:sz w:val="22"/>
          <w:szCs w:val="22"/>
          <w:u w:val="single"/>
        </w:rPr>
        <w:t xml:space="preserve">If you are conducting a focus group, survey, or plan to employ statistical methods, </w:t>
      </w:r>
      <w:r w:rsidR="00F0507A" w:rsidRPr="005E446D">
        <w:rPr>
          <w:b/>
          <w:bCs/>
          <w:sz w:val="22"/>
          <w:szCs w:val="22"/>
          <w:u w:val="single"/>
        </w:rPr>
        <w:t>please provide</w:t>
      </w:r>
      <w:r w:rsidRPr="005E446D">
        <w:rPr>
          <w:b/>
          <w:bCs/>
          <w:sz w:val="22"/>
          <w:szCs w:val="22"/>
          <w:u w:val="single"/>
        </w:rPr>
        <w:t xml:space="preserve"> answers to the following questions:</w:t>
      </w:r>
    </w:p>
    <w:p w:rsidR="00B46F2C" w:rsidRPr="005E446D" w:rsidRDefault="00B46F2C" w:rsidP="00F06866">
      <w:pPr>
        <w:rPr>
          <w:b/>
          <w:sz w:val="22"/>
          <w:szCs w:val="22"/>
        </w:rPr>
      </w:pPr>
    </w:p>
    <w:p w:rsidR="00B46F2C" w:rsidRPr="005E446D" w:rsidRDefault="00B46F2C" w:rsidP="00F06866">
      <w:pPr>
        <w:rPr>
          <w:b/>
          <w:sz w:val="22"/>
          <w:szCs w:val="22"/>
        </w:rPr>
      </w:pPr>
      <w:r w:rsidRPr="005E446D">
        <w:rPr>
          <w:b/>
          <w:sz w:val="22"/>
          <w:szCs w:val="22"/>
        </w:rPr>
        <w:t>The selection of your targeted respondents</w:t>
      </w:r>
    </w:p>
    <w:p w:rsidR="00B46F2C" w:rsidRPr="005E446D" w:rsidRDefault="00B46F2C" w:rsidP="0069403B">
      <w:pPr>
        <w:pStyle w:val="ListParagraph"/>
        <w:numPr>
          <w:ilvl w:val="0"/>
          <w:numId w:val="15"/>
        </w:numPr>
        <w:rPr>
          <w:sz w:val="22"/>
          <w:szCs w:val="22"/>
        </w:rPr>
      </w:pPr>
      <w:r w:rsidRPr="005E446D">
        <w:rPr>
          <w:sz w:val="22"/>
          <w:szCs w:val="22"/>
        </w:rPr>
        <w:t>Do you have a customer list or something similar that defines the universe of potential respondents and do you have a sampling plan for selectin</w:t>
      </w:r>
      <w:r w:rsidR="00136986" w:rsidRPr="005E446D">
        <w:rPr>
          <w:sz w:val="22"/>
          <w:szCs w:val="22"/>
        </w:rPr>
        <w:t>g from this universe?</w:t>
      </w:r>
      <w:r w:rsidR="00136986" w:rsidRPr="005E446D">
        <w:rPr>
          <w:sz w:val="22"/>
          <w:szCs w:val="22"/>
        </w:rPr>
        <w:tab/>
        <w:t>[X</w:t>
      </w:r>
      <w:r w:rsidR="00A931C7" w:rsidRPr="005E446D">
        <w:rPr>
          <w:sz w:val="22"/>
          <w:szCs w:val="22"/>
        </w:rPr>
        <w:t>] Yes</w:t>
      </w:r>
      <w:r w:rsidR="00136986" w:rsidRPr="005E446D">
        <w:rPr>
          <w:sz w:val="22"/>
          <w:szCs w:val="22"/>
        </w:rPr>
        <w:t xml:space="preserve"> </w:t>
      </w:r>
      <w:r w:rsidR="00A931C7" w:rsidRPr="005E446D">
        <w:rPr>
          <w:sz w:val="22"/>
          <w:szCs w:val="22"/>
        </w:rPr>
        <w:t>[</w:t>
      </w:r>
      <w:r w:rsidR="00E52BA1" w:rsidRPr="005E446D">
        <w:rPr>
          <w:sz w:val="22"/>
          <w:szCs w:val="22"/>
        </w:rPr>
        <w:t>] No</w:t>
      </w:r>
    </w:p>
    <w:p w:rsidR="00B46F2C" w:rsidRPr="005E446D" w:rsidRDefault="00B46F2C" w:rsidP="00636621">
      <w:pPr>
        <w:pStyle w:val="ListParagraph"/>
        <w:rPr>
          <w:sz w:val="22"/>
          <w:szCs w:val="22"/>
        </w:rPr>
      </w:pPr>
    </w:p>
    <w:p w:rsidR="00E52BA1" w:rsidRPr="005E446D" w:rsidRDefault="00B46F2C" w:rsidP="00E52BA1">
      <w:pPr>
        <w:rPr>
          <w:sz w:val="22"/>
          <w:szCs w:val="22"/>
        </w:rPr>
      </w:pPr>
      <w:r w:rsidRPr="005E446D">
        <w:rPr>
          <w:sz w:val="22"/>
          <w:szCs w:val="22"/>
        </w:rPr>
        <w:t>If the answer is yes, please provide a description of both below (or attach the sampling plan)?   If the answer is no, please provide a description of how you plan to identify your potential group of respondents and how you will select them?</w:t>
      </w:r>
    </w:p>
    <w:p w:rsidR="006251A1" w:rsidRPr="005E446D" w:rsidRDefault="006251A1" w:rsidP="006251A1">
      <w:pPr>
        <w:pStyle w:val="Header"/>
        <w:tabs>
          <w:tab w:val="left" w:pos="720"/>
        </w:tabs>
        <w:rPr>
          <w:sz w:val="22"/>
          <w:szCs w:val="22"/>
        </w:rPr>
      </w:pPr>
    </w:p>
    <w:p w:rsidR="006251A1" w:rsidRPr="005E446D" w:rsidRDefault="00157345" w:rsidP="006251A1">
      <w:pPr>
        <w:rPr>
          <w:sz w:val="22"/>
          <w:szCs w:val="22"/>
        </w:rPr>
      </w:pPr>
      <w:r>
        <w:rPr>
          <w:sz w:val="22"/>
          <w:szCs w:val="22"/>
        </w:rPr>
        <w:t>As seen in Attachment D, d</w:t>
      </w:r>
      <w:r w:rsidR="006251A1" w:rsidRPr="005E446D">
        <w:rPr>
          <w:sz w:val="22"/>
          <w:szCs w:val="22"/>
        </w:rPr>
        <w:t xml:space="preserve">uring July 9–December 31, 2014, CDC EOC responded to 780 clinical inquiries from public health officials and health care providers from 49 states and the District of Columbia regarding </w:t>
      </w:r>
      <w:r w:rsidR="006251A1" w:rsidRPr="005E446D">
        <w:rPr>
          <w:sz w:val="22"/>
          <w:szCs w:val="22"/>
        </w:rPr>
        <w:lastRenderedPageBreak/>
        <w:t xml:space="preserve">persons thought to be at risk for Ebola. Not all inquiries concerned travel to Ebola affected countries. </w:t>
      </w:r>
      <w:r w:rsidR="00381437" w:rsidRPr="005E446D">
        <w:rPr>
          <w:sz w:val="22"/>
          <w:szCs w:val="22"/>
        </w:rPr>
        <w:t>For this collection, CDC aims to collect data on all patients in the database who had a fever and traveled to a malaria endemic country.</w:t>
      </w:r>
      <w:r>
        <w:rPr>
          <w:sz w:val="22"/>
          <w:szCs w:val="22"/>
        </w:rPr>
        <w:t xml:space="preserve"> O</w:t>
      </w:r>
      <w:r w:rsidR="006251A1" w:rsidRPr="005E446D">
        <w:rPr>
          <w:sz w:val="22"/>
          <w:szCs w:val="22"/>
        </w:rPr>
        <w:t xml:space="preserve">f the 780 inquiries, 108 had fever and reported travel to an Ebola affected country. Additionally, there were 113 inquiries for patients with fever and travel to an Ebola unaffected country that is endemic for malaria. In total, these 221 patients were reported by 43 state/local health departments.  </w:t>
      </w:r>
    </w:p>
    <w:p w:rsidR="006251A1" w:rsidRPr="005E446D" w:rsidRDefault="006251A1" w:rsidP="006251A1">
      <w:pPr>
        <w:rPr>
          <w:sz w:val="22"/>
          <w:szCs w:val="22"/>
        </w:rPr>
      </w:pPr>
    </w:p>
    <w:p w:rsidR="006251A1" w:rsidRPr="005E446D" w:rsidRDefault="006251A1" w:rsidP="006251A1">
      <w:pPr>
        <w:rPr>
          <w:sz w:val="22"/>
          <w:szCs w:val="22"/>
        </w:rPr>
      </w:pPr>
      <w:r w:rsidRPr="005E446D">
        <w:rPr>
          <w:sz w:val="22"/>
          <w:szCs w:val="22"/>
        </w:rPr>
        <w:t>The respondent</w:t>
      </w:r>
      <w:r w:rsidR="00381437" w:rsidRPr="005E446D">
        <w:rPr>
          <w:sz w:val="22"/>
          <w:szCs w:val="22"/>
        </w:rPr>
        <w:t xml:space="preserve"> pool includes </w:t>
      </w:r>
      <w:r w:rsidRPr="005E446D">
        <w:rPr>
          <w:sz w:val="22"/>
          <w:szCs w:val="22"/>
        </w:rPr>
        <w:t xml:space="preserve">two inquiry groups related to these patients: 1) the state/local health departments of the jurisdiction where these patients were treated; and </w:t>
      </w:r>
      <w:r w:rsidR="00381437" w:rsidRPr="005E446D">
        <w:rPr>
          <w:sz w:val="22"/>
          <w:szCs w:val="22"/>
        </w:rPr>
        <w:t xml:space="preserve">if necessary </w:t>
      </w:r>
      <w:r w:rsidRPr="005E446D">
        <w:rPr>
          <w:sz w:val="22"/>
          <w:szCs w:val="22"/>
        </w:rPr>
        <w:t xml:space="preserve">2) the health facilities who provided care for these patients. </w:t>
      </w:r>
    </w:p>
    <w:p w:rsidR="006251A1" w:rsidRPr="005E446D" w:rsidRDefault="006251A1" w:rsidP="00E52BA1">
      <w:pPr>
        <w:rPr>
          <w:sz w:val="22"/>
          <w:szCs w:val="22"/>
        </w:rPr>
      </w:pPr>
    </w:p>
    <w:p w:rsidR="004677E9" w:rsidRPr="005E446D" w:rsidRDefault="004677E9" w:rsidP="00E52BA1">
      <w:pPr>
        <w:rPr>
          <w:sz w:val="22"/>
          <w:szCs w:val="22"/>
        </w:rPr>
      </w:pPr>
    </w:p>
    <w:p w:rsidR="00B46F2C" w:rsidRPr="005E446D" w:rsidRDefault="00B46F2C" w:rsidP="00A403BB">
      <w:pPr>
        <w:rPr>
          <w:b/>
          <w:sz w:val="22"/>
          <w:szCs w:val="22"/>
        </w:rPr>
      </w:pPr>
      <w:r w:rsidRPr="005E446D">
        <w:rPr>
          <w:b/>
          <w:sz w:val="22"/>
          <w:szCs w:val="22"/>
        </w:rPr>
        <w:t>Administration of the Instrument</w:t>
      </w:r>
    </w:p>
    <w:p w:rsidR="00B46F2C" w:rsidRPr="005E446D" w:rsidRDefault="00B46F2C" w:rsidP="00A403BB">
      <w:pPr>
        <w:pStyle w:val="ListParagraph"/>
        <w:numPr>
          <w:ilvl w:val="0"/>
          <w:numId w:val="17"/>
        </w:numPr>
        <w:rPr>
          <w:sz w:val="22"/>
          <w:szCs w:val="22"/>
        </w:rPr>
      </w:pPr>
      <w:r w:rsidRPr="005E446D">
        <w:rPr>
          <w:sz w:val="22"/>
          <w:szCs w:val="22"/>
        </w:rPr>
        <w:t>How will you collect the information? (Check all that apply)</w:t>
      </w:r>
    </w:p>
    <w:p w:rsidR="00B46F2C" w:rsidRPr="005E446D" w:rsidRDefault="00B46F2C" w:rsidP="001B0AAA">
      <w:pPr>
        <w:ind w:left="720"/>
        <w:rPr>
          <w:sz w:val="22"/>
          <w:szCs w:val="22"/>
        </w:rPr>
      </w:pPr>
      <w:r w:rsidRPr="005E446D">
        <w:rPr>
          <w:sz w:val="22"/>
          <w:szCs w:val="22"/>
        </w:rPr>
        <w:t xml:space="preserve">[  ] Web-based or other forms of Social Media </w:t>
      </w:r>
    </w:p>
    <w:p w:rsidR="00B46F2C" w:rsidRPr="005E446D" w:rsidRDefault="004766DB" w:rsidP="001B0AAA">
      <w:pPr>
        <w:ind w:left="720"/>
        <w:rPr>
          <w:sz w:val="22"/>
          <w:szCs w:val="22"/>
        </w:rPr>
      </w:pPr>
      <w:r w:rsidRPr="005E446D">
        <w:rPr>
          <w:sz w:val="22"/>
          <w:szCs w:val="22"/>
        </w:rPr>
        <w:t>[X</w:t>
      </w:r>
      <w:r w:rsidR="00B46F2C" w:rsidRPr="005E446D">
        <w:rPr>
          <w:sz w:val="22"/>
          <w:szCs w:val="22"/>
        </w:rPr>
        <w:t>] Telephone</w:t>
      </w:r>
      <w:r w:rsidR="00B46F2C" w:rsidRPr="005E446D">
        <w:rPr>
          <w:sz w:val="22"/>
          <w:szCs w:val="22"/>
        </w:rPr>
        <w:tab/>
      </w:r>
    </w:p>
    <w:p w:rsidR="00B46F2C" w:rsidRPr="005E446D" w:rsidRDefault="00B46F2C" w:rsidP="001B0AAA">
      <w:pPr>
        <w:ind w:left="720"/>
        <w:rPr>
          <w:sz w:val="22"/>
          <w:szCs w:val="22"/>
        </w:rPr>
      </w:pPr>
      <w:r w:rsidRPr="005E446D">
        <w:rPr>
          <w:sz w:val="22"/>
          <w:szCs w:val="22"/>
        </w:rPr>
        <w:t>[  ] In-person</w:t>
      </w:r>
      <w:r w:rsidRPr="005E446D">
        <w:rPr>
          <w:sz w:val="22"/>
          <w:szCs w:val="22"/>
        </w:rPr>
        <w:tab/>
      </w:r>
    </w:p>
    <w:p w:rsidR="00B46F2C" w:rsidRPr="005E446D" w:rsidRDefault="00B46F2C" w:rsidP="001B0AAA">
      <w:pPr>
        <w:ind w:left="720"/>
        <w:rPr>
          <w:sz w:val="22"/>
          <w:szCs w:val="22"/>
        </w:rPr>
      </w:pPr>
      <w:r w:rsidRPr="005E446D">
        <w:rPr>
          <w:sz w:val="22"/>
          <w:szCs w:val="22"/>
        </w:rPr>
        <w:t xml:space="preserve">[  ] Mail </w:t>
      </w:r>
    </w:p>
    <w:p w:rsidR="00B46F2C" w:rsidRPr="005E446D" w:rsidRDefault="00B46F2C" w:rsidP="001B0AAA">
      <w:pPr>
        <w:ind w:left="720"/>
        <w:rPr>
          <w:sz w:val="22"/>
          <w:szCs w:val="22"/>
        </w:rPr>
      </w:pPr>
      <w:r w:rsidRPr="005E446D">
        <w:rPr>
          <w:sz w:val="22"/>
          <w:szCs w:val="22"/>
        </w:rPr>
        <w:t>[  ] Other, Explain</w:t>
      </w:r>
    </w:p>
    <w:p w:rsidR="00E52BA1" w:rsidRPr="005E446D" w:rsidRDefault="00E52BA1" w:rsidP="001B0AAA">
      <w:pPr>
        <w:ind w:left="720"/>
        <w:rPr>
          <w:sz w:val="22"/>
          <w:szCs w:val="22"/>
        </w:rPr>
      </w:pPr>
    </w:p>
    <w:p w:rsidR="00B46F2C" w:rsidRPr="005E446D" w:rsidRDefault="00B46F2C" w:rsidP="00F24CFC">
      <w:pPr>
        <w:pStyle w:val="ListParagraph"/>
        <w:numPr>
          <w:ilvl w:val="0"/>
          <w:numId w:val="17"/>
        </w:numPr>
        <w:rPr>
          <w:sz w:val="22"/>
          <w:szCs w:val="22"/>
        </w:rPr>
      </w:pPr>
      <w:r w:rsidRPr="005E446D">
        <w:rPr>
          <w:sz w:val="22"/>
          <w:szCs w:val="22"/>
        </w:rPr>
        <w:t>Will interviewe</w:t>
      </w:r>
      <w:r w:rsidR="00961505" w:rsidRPr="005E446D">
        <w:rPr>
          <w:sz w:val="22"/>
          <w:szCs w:val="22"/>
        </w:rPr>
        <w:t>rs or facilitators be used?  [  ] Yes [X</w:t>
      </w:r>
      <w:r w:rsidRPr="005E446D">
        <w:rPr>
          <w:sz w:val="22"/>
          <w:szCs w:val="22"/>
        </w:rPr>
        <w:t>] No</w:t>
      </w:r>
    </w:p>
    <w:p w:rsidR="00B46F2C" w:rsidRPr="005E446D" w:rsidRDefault="00B46F2C" w:rsidP="00F24CFC">
      <w:pPr>
        <w:pStyle w:val="ListParagraph"/>
        <w:ind w:left="360"/>
        <w:rPr>
          <w:sz w:val="22"/>
          <w:szCs w:val="22"/>
        </w:rPr>
      </w:pPr>
      <w:r w:rsidRPr="005E446D">
        <w:rPr>
          <w:sz w:val="22"/>
          <w:szCs w:val="22"/>
        </w:rPr>
        <w:t xml:space="preserve"> </w:t>
      </w:r>
    </w:p>
    <w:p w:rsidR="00E52BA1" w:rsidRPr="005E446D" w:rsidRDefault="00E52BA1" w:rsidP="00E52BA1">
      <w:pPr>
        <w:rPr>
          <w:b/>
          <w:sz w:val="22"/>
          <w:szCs w:val="22"/>
          <w:u w:val="single"/>
        </w:rPr>
      </w:pPr>
      <w:r w:rsidRPr="005E446D">
        <w:rPr>
          <w:b/>
          <w:sz w:val="22"/>
          <w:szCs w:val="22"/>
          <w:u w:val="single"/>
        </w:rPr>
        <w:t>Attachments</w:t>
      </w:r>
    </w:p>
    <w:p w:rsidR="00381437" w:rsidRPr="005E446D" w:rsidRDefault="00381437" w:rsidP="00381437">
      <w:pPr>
        <w:pStyle w:val="Header"/>
        <w:tabs>
          <w:tab w:val="left" w:pos="720"/>
        </w:tabs>
        <w:rPr>
          <w:sz w:val="22"/>
          <w:szCs w:val="22"/>
        </w:rPr>
      </w:pPr>
      <w:r w:rsidRPr="005E446D">
        <w:rPr>
          <w:b/>
          <w:sz w:val="22"/>
          <w:szCs w:val="22"/>
        </w:rPr>
        <w:t xml:space="preserve">Attachment </w:t>
      </w:r>
      <w:proofErr w:type="gramStart"/>
      <w:r w:rsidRPr="005E446D">
        <w:rPr>
          <w:b/>
          <w:sz w:val="22"/>
          <w:szCs w:val="22"/>
        </w:rPr>
        <w:t>A</w:t>
      </w:r>
      <w:proofErr w:type="gramEnd"/>
      <w:r w:rsidR="00157345">
        <w:rPr>
          <w:sz w:val="22"/>
          <w:szCs w:val="22"/>
        </w:rPr>
        <w:t>, Ebola-</w:t>
      </w:r>
      <w:r w:rsidRPr="005E446D">
        <w:rPr>
          <w:sz w:val="22"/>
          <w:szCs w:val="22"/>
        </w:rPr>
        <w:t xml:space="preserve">Malaria Assessment Form for Health Departments </w:t>
      </w:r>
    </w:p>
    <w:p w:rsidR="00381437" w:rsidRPr="005E446D" w:rsidRDefault="00F0507A" w:rsidP="00381437">
      <w:pPr>
        <w:pStyle w:val="Header"/>
        <w:tabs>
          <w:tab w:val="left" w:pos="720"/>
        </w:tabs>
        <w:rPr>
          <w:sz w:val="22"/>
          <w:szCs w:val="22"/>
        </w:rPr>
      </w:pPr>
      <w:r w:rsidRPr="005E446D">
        <w:rPr>
          <w:b/>
          <w:sz w:val="22"/>
          <w:szCs w:val="22"/>
        </w:rPr>
        <w:t>Attachment B</w:t>
      </w:r>
      <w:r w:rsidR="00157345">
        <w:rPr>
          <w:sz w:val="22"/>
          <w:szCs w:val="22"/>
        </w:rPr>
        <w:t>, Ebola-</w:t>
      </w:r>
      <w:r w:rsidRPr="005E446D">
        <w:rPr>
          <w:sz w:val="22"/>
          <w:szCs w:val="22"/>
        </w:rPr>
        <w:t xml:space="preserve">Malaria Assessment Form for Health Facilities </w:t>
      </w:r>
    </w:p>
    <w:p w:rsidR="00381437" w:rsidRPr="005E446D" w:rsidRDefault="00381437" w:rsidP="00381437">
      <w:pPr>
        <w:pStyle w:val="Header"/>
        <w:rPr>
          <w:sz w:val="22"/>
          <w:szCs w:val="22"/>
        </w:rPr>
      </w:pPr>
      <w:r w:rsidRPr="005E446D">
        <w:rPr>
          <w:b/>
          <w:sz w:val="22"/>
          <w:szCs w:val="22"/>
        </w:rPr>
        <w:t>Attachment C</w:t>
      </w:r>
      <w:r w:rsidRPr="005E446D">
        <w:rPr>
          <w:sz w:val="22"/>
          <w:szCs w:val="22"/>
        </w:rPr>
        <w:t>, Telephone Script for Health Departments and Health Facilities</w:t>
      </w:r>
    </w:p>
    <w:p w:rsidR="00381437" w:rsidRPr="005E446D" w:rsidRDefault="00381437" w:rsidP="00381437">
      <w:pPr>
        <w:pStyle w:val="Header"/>
        <w:rPr>
          <w:sz w:val="22"/>
          <w:szCs w:val="22"/>
        </w:rPr>
      </w:pPr>
      <w:r w:rsidRPr="005E446D">
        <w:rPr>
          <w:b/>
          <w:sz w:val="22"/>
          <w:szCs w:val="22"/>
        </w:rPr>
        <w:t>Attachment D</w:t>
      </w:r>
      <w:r w:rsidRPr="005E446D">
        <w:rPr>
          <w:sz w:val="22"/>
          <w:szCs w:val="22"/>
        </w:rPr>
        <w:t xml:space="preserve">, </w:t>
      </w:r>
      <w:r w:rsidR="001F1BF0">
        <w:rPr>
          <w:sz w:val="22"/>
          <w:szCs w:val="22"/>
        </w:rPr>
        <w:t xml:space="preserve">Ebola-Malaria </w:t>
      </w:r>
      <w:r w:rsidR="00157345">
        <w:rPr>
          <w:sz w:val="22"/>
          <w:szCs w:val="22"/>
        </w:rPr>
        <w:t>Flow Diagram</w:t>
      </w:r>
      <w:r w:rsidR="001F1BF0">
        <w:rPr>
          <w:sz w:val="22"/>
          <w:szCs w:val="22"/>
        </w:rPr>
        <w:t xml:space="preserve"> for Population of Interest</w:t>
      </w:r>
    </w:p>
    <w:p w:rsidR="00381437" w:rsidRPr="005E446D" w:rsidRDefault="00381437" w:rsidP="00E52BA1">
      <w:pPr>
        <w:rPr>
          <w:b/>
          <w:sz w:val="22"/>
          <w:szCs w:val="22"/>
          <w:u w:val="single"/>
        </w:rPr>
      </w:pPr>
      <w:bookmarkStart w:id="0" w:name="_GoBack"/>
      <w:bookmarkEnd w:id="0"/>
    </w:p>
    <w:p w:rsidR="00961505" w:rsidRPr="005E446D" w:rsidRDefault="00961505" w:rsidP="00E52BA1">
      <w:pPr>
        <w:rPr>
          <w:sz w:val="22"/>
          <w:szCs w:val="22"/>
        </w:rPr>
      </w:pPr>
    </w:p>
    <w:p w:rsidR="00961505" w:rsidRPr="005E446D" w:rsidRDefault="00961505" w:rsidP="00E52BA1">
      <w:pPr>
        <w:rPr>
          <w:sz w:val="22"/>
          <w:szCs w:val="22"/>
        </w:rPr>
      </w:pPr>
    </w:p>
    <w:p w:rsidR="006F7A07" w:rsidRPr="005E446D" w:rsidRDefault="006F7A07" w:rsidP="00E52BA1">
      <w:pPr>
        <w:rPr>
          <w:sz w:val="22"/>
          <w:szCs w:val="22"/>
        </w:rPr>
      </w:pPr>
    </w:p>
    <w:p w:rsidR="00E52BA1" w:rsidRPr="005E446D" w:rsidRDefault="00E52BA1" w:rsidP="00E52BA1">
      <w:pPr>
        <w:rPr>
          <w:b/>
          <w:bCs/>
          <w:sz w:val="22"/>
          <w:szCs w:val="22"/>
        </w:rPr>
      </w:pPr>
    </w:p>
    <w:sectPr w:rsidR="00E52BA1" w:rsidRPr="005E446D" w:rsidSect="004D3FC2">
      <w:footerReference w:type="default" r:id="rId9"/>
      <w:pgSz w:w="12240" w:h="15840"/>
      <w:pgMar w:top="72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6B" w:rsidRDefault="00B6076B">
      <w:r>
        <w:separator/>
      </w:r>
    </w:p>
  </w:endnote>
  <w:endnote w:type="continuationSeparator" w:id="0">
    <w:p w:rsidR="00B6076B" w:rsidRDefault="00B6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CA" w:rsidRDefault="00840FC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6B" w:rsidRDefault="00B6076B">
      <w:r>
        <w:separator/>
      </w:r>
    </w:p>
  </w:footnote>
  <w:footnote w:type="continuationSeparator" w:id="0">
    <w:p w:rsidR="00B6076B" w:rsidRDefault="00B6076B">
      <w:r>
        <w:continuationSeparator/>
      </w:r>
    </w:p>
  </w:footnote>
  <w:footnote w:id="1">
    <w:p w:rsidR="001C19BE" w:rsidRDefault="001C19BE" w:rsidP="001C19BE">
      <w:pPr>
        <w:pStyle w:val="FootnoteText"/>
      </w:pPr>
      <w:r>
        <w:rPr>
          <w:rStyle w:val="FootnoteReference"/>
        </w:rPr>
        <w:footnoteRef/>
      </w:r>
      <w:r>
        <w:t xml:space="preserve"> The National Malaria Surveillance System (NMSS) played a historic role in tracking malaria elimination efforts in the United States and has been in existence since the early 1950s. Until recently, data collection for NMSS was approved under OMB Control No. 0920-0009 with several other infectious disease surveillance activities. Beginning in 2014, all of the nationally notifiable conditions have been included as part of the National Notifiable Diseases Surveillance System (NNDSS) OMB package for data collection. </w:t>
      </w:r>
    </w:p>
  </w:footnote>
  <w:footnote w:id="2">
    <w:p w:rsidR="00BB59C6" w:rsidRDefault="00BB59C6" w:rsidP="00BB59C6">
      <w:pPr>
        <w:pStyle w:val="FootnoteText"/>
      </w:pPr>
      <w:r>
        <w:rPr>
          <w:rStyle w:val="FootnoteReference"/>
        </w:rPr>
        <w:footnoteRef/>
      </w:r>
      <w:r>
        <w:t xml:space="preserve"> </w:t>
      </w:r>
      <w:r w:rsidR="00DC05F9">
        <w:t>T</w:t>
      </w:r>
      <w:r>
        <w:t>he Clinical Inquiries Database was identified as an information collection in use without an OMB Control Number. CDC is currently undertaking the necessary steps to obtain appropriate OMB Paperwork Reduction Act clearance.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205B55"/>
    <w:multiLevelType w:val="hybridMultilevel"/>
    <w:tmpl w:val="CF36E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2852A5A"/>
    <w:multiLevelType w:val="hybridMultilevel"/>
    <w:tmpl w:val="E558E2A0"/>
    <w:lvl w:ilvl="0" w:tplc="A73418FE">
      <w:start w:val="1"/>
      <w:numFmt w:val="bullet"/>
      <w:lvlText w:val="•"/>
      <w:lvlJc w:val="left"/>
      <w:pPr>
        <w:tabs>
          <w:tab w:val="num" w:pos="720"/>
        </w:tabs>
        <w:ind w:left="720" w:hanging="360"/>
      </w:pPr>
      <w:rPr>
        <w:rFonts w:ascii="Arial" w:hAnsi="Arial" w:cs="Times New Roman" w:hint="default"/>
      </w:rPr>
    </w:lvl>
    <w:lvl w:ilvl="1" w:tplc="2BB4F558">
      <w:start w:val="4281"/>
      <w:numFmt w:val="bullet"/>
      <w:lvlText w:val="•"/>
      <w:lvlJc w:val="left"/>
      <w:pPr>
        <w:tabs>
          <w:tab w:val="num" w:pos="1440"/>
        </w:tabs>
        <w:ind w:left="1440" w:hanging="360"/>
      </w:pPr>
      <w:rPr>
        <w:rFonts w:ascii="Arial" w:hAnsi="Arial" w:cs="Times New Roman" w:hint="default"/>
      </w:rPr>
    </w:lvl>
    <w:lvl w:ilvl="2" w:tplc="BE729FF6">
      <w:start w:val="1"/>
      <w:numFmt w:val="bullet"/>
      <w:lvlText w:val="•"/>
      <w:lvlJc w:val="left"/>
      <w:pPr>
        <w:tabs>
          <w:tab w:val="num" w:pos="2160"/>
        </w:tabs>
        <w:ind w:left="2160" w:hanging="360"/>
      </w:pPr>
      <w:rPr>
        <w:rFonts w:ascii="Arial" w:hAnsi="Arial" w:cs="Times New Roman" w:hint="default"/>
      </w:rPr>
    </w:lvl>
    <w:lvl w:ilvl="3" w:tplc="0B865926">
      <w:start w:val="1"/>
      <w:numFmt w:val="bullet"/>
      <w:lvlText w:val="•"/>
      <w:lvlJc w:val="left"/>
      <w:pPr>
        <w:tabs>
          <w:tab w:val="num" w:pos="2880"/>
        </w:tabs>
        <w:ind w:left="2880" w:hanging="360"/>
      </w:pPr>
      <w:rPr>
        <w:rFonts w:ascii="Arial" w:hAnsi="Arial" w:cs="Times New Roman" w:hint="default"/>
      </w:rPr>
    </w:lvl>
    <w:lvl w:ilvl="4" w:tplc="95BCC334">
      <w:start w:val="1"/>
      <w:numFmt w:val="bullet"/>
      <w:lvlText w:val="•"/>
      <w:lvlJc w:val="left"/>
      <w:pPr>
        <w:tabs>
          <w:tab w:val="num" w:pos="3600"/>
        </w:tabs>
        <w:ind w:left="3600" w:hanging="360"/>
      </w:pPr>
      <w:rPr>
        <w:rFonts w:ascii="Arial" w:hAnsi="Arial" w:cs="Times New Roman" w:hint="default"/>
      </w:rPr>
    </w:lvl>
    <w:lvl w:ilvl="5" w:tplc="49F82608">
      <w:start w:val="1"/>
      <w:numFmt w:val="bullet"/>
      <w:lvlText w:val="•"/>
      <w:lvlJc w:val="left"/>
      <w:pPr>
        <w:tabs>
          <w:tab w:val="num" w:pos="4320"/>
        </w:tabs>
        <w:ind w:left="4320" w:hanging="360"/>
      </w:pPr>
      <w:rPr>
        <w:rFonts w:ascii="Arial" w:hAnsi="Arial" w:cs="Times New Roman" w:hint="default"/>
      </w:rPr>
    </w:lvl>
    <w:lvl w:ilvl="6" w:tplc="48EE4F7C">
      <w:start w:val="1"/>
      <w:numFmt w:val="bullet"/>
      <w:lvlText w:val="•"/>
      <w:lvlJc w:val="left"/>
      <w:pPr>
        <w:tabs>
          <w:tab w:val="num" w:pos="5040"/>
        </w:tabs>
        <w:ind w:left="5040" w:hanging="360"/>
      </w:pPr>
      <w:rPr>
        <w:rFonts w:ascii="Arial" w:hAnsi="Arial" w:cs="Times New Roman" w:hint="default"/>
      </w:rPr>
    </w:lvl>
    <w:lvl w:ilvl="7" w:tplc="C7BAA394">
      <w:start w:val="1"/>
      <w:numFmt w:val="bullet"/>
      <w:lvlText w:val="•"/>
      <w:lvlJc w:val="left"/>
      <w:pPr>
        <w:tabs>
          <w:tab w:val="num" w:pos="5760"/>
        </w:tabs>
        <w:ind w:left="5760" w:hanging="360"/>
      </w:pPr>
      <w:rPr>
        <w:rFonts w:ascii="Arial" w:hAnsi="Arial" w:cs="Times New Roman" w:hint="default"/>
      </w:rPr>
    </w:lvl>
    <w:lvl w:ilvl="8" w:tplc="D8EA0F22">
      <w:start w:val="1"/>
      <w:numFmt w:val="bullet"/>
      <w:lvlText w:val="•"/>
      <w:lvlJc w:val="left"/>
      <w:pPr>
        <w:tabs>
          <w:tab w:val="num" w:pos="6480"/>
        </w:tabs>
        <w:ind w:left="6480" w:hanging="360"/>
      </w:pPr>
      <w:rPr>
        <w:rFonts w:ascii="Arial" w:hAnsi="Arial" w:cs="Times New Roman"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C104D4"/>
    <w:multiLevelType w:val="hybridMultilevel"/>
    <w:tmpl w:val="5E461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474B3"/>
    <w:multiLevelType w:val="hybridMultilevel"/>
    <w:tmpl w:val="7A3A9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FD0EBC"/>
    <w:multiLevelType w:val="hybridMultilevel"/>
    <w:tmpl w:val="F732DD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5D1088"/>
    <w:multiLevelType w:val="hybridMultilevel"/>
    <w:tmpl w:val="92A066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CB11AB"/>
    <w:multiLevelType w:val="hybridMultilevel"/>
    <w:tmpl w:val="1F4AA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2C26A5"/>
    <w:multiLevelType w:val="hybridMultilevel"/>
    <w:tmpl w:val="B3E6ED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3B01A5D"/>
    <w:multiLevelType w:val="hybridMultilevel"/>
    <w:tmpl w:val="10562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D13"/>
    <w:multiLevelType w:val="hybridMultilevel"/>
    <w:tmpl w:val="04465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5233464"/>
    <w:multiLevelType w:val="hybridMultilevel"/>
    <w:tmpl w:val="E1EE0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4">
    <w:nsid w:val="6F461A5A"/>
    <w:multiLevelType w:val="multilevel"/>
    <w:tmpl w:val="F4EEEA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26"/>
  </w:num>
  <w:num w:numId="4">
    <w:abstractNumId w:val="28"/>
  </w:num>
  <w:num w:numId="5">
    <w:abstractNumId w:val="4"/>
  </w:num>
  <w:num w:numId="6">
    <w:abstractNumId w:val="1"/>
  </w:num>
  <w:num w:numId="7">
    <w:abstractNumId w:val="13"/>
  </w:num>
  <w:num w:numId="8">
    <w:abstractNumId w:val="23"/>
  </w:num>
  <w:num w:numId="9">
    <w:abstractNumId w:val="14"/>
  </w:num>
  <w:num w:numId="10">
    <w:abstractNumId w:val="2"/>
  </w:num>
  <w:num w:numId="11">
    <w:abstractNumId w:val="8"/>
  </w:num>
  <w:num w:numId="12">
    <w:abstractNumId w:val="9"/>
  </w:num>
  <w:num w:numId="13">
    <w:abstractNumId w:val="0"/>
  </w:num>
  <w:num w:numId="14">
    <w:abstractNumId w:val="25"/>
  </w:num>
  <w:num w:numId="15">
    <w:abstractNumId w:val="21"/>
  </w:num>
  <w:num w:numId="16">
    <w:abstractNumId w:val="19"/>
  </w:num>
  <w:num w:numId="17">
    <w:abstractNumId w:val="5"/>
  </w:num>
  <w:num w:numId="18">
    <w:abstractNumId w:val="7"/>
  </w:num>
  <w:num w:numId="19">
    <w:abstractNumId w:val="10"/>
  </w:num>
  <w:num w:numId="20">
    <w:abstractNumId w:val="22"/>
  </w:num>
  <w:num w:numId="21">
    <w:abstractNumId w:val="16"/>
  </w:num>
  <w:num w:numId="22">
    <w:abstractNumId w:val="24"/>
  </w:num>
  <w:num w:numId="23">
    <w:abstractNumId w:val="20"/>
  </w:num>
  <w:num w:numId="24">
    <w:abstractNumId w:val="12"/>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1"/>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8CA"/>
    <w:rsid w:val="00023A57"/>
    <w:rsid w:val="0003570B"/>
    <w:rsid w:val="00047A64"/>
    <w:rsid w:val="0005420B"/>
    <w:rsid w:val="00067329"/>
    <w:rsid w:val="000817B5"/>
    <w:rsid w:val="000B2838"/>
    <w:rsid w:val="000B5D47"/>
    <w:rsid w:val="000C46DA"/>
    <w:rsid w:val="000D06C0"/>
    <w:rsid w:val="000D44CA"/>
    <w:rsid w:val="000D6EAF"/>
    <w:rsid w:val="000E200B"/>
    <w:rsid w:val="000E44B7"/>
    <w:rsid w:val="000F68BE"/>
    <w:rsid w:val="001004F5"/>
    <w:rsid w:val="0011643C"/>
    <w:rsid w:val="00125C45"/>
    <w:rsid w:val="00136986"/>
    <w:rsid w:val="00146C17"/>
    <w:rsid w:val="00157345"/>
    <w:rsid w:val="001873C5"/>
    <w:rsid w:val="00191EA6"/>
    <w:rsid w:val="001927A4"/>
    <w:rsid w:val="00194AC6"/>
    <w:rsid w:val="001A23B0"/>
    <w:rsid w:val="001A25CC"/>
    <w:rsid w:val="001A29D4"/>
    <w:rsid w:val="001B0AAA"/>
    <w:rsid w:val="001C19BE"/>
    <w:rsid w:val="001C39F7"/>
    <w:rsid w:val="001D02E9"/>
    <w:rsid w:val="001D0776"/>
    <w:rsid w:val="001F1BF0"/>
    <w:rsid w:val="00235B70"/>
    <w:rsid w:val="002379C6"/>
    <w:rsid w:val="00237B48"/>
    <w:rsid w:val="0024521E"/>
    <w:rsid w:val="00252A28"/>
    <w:rsid w:val="00255620"/>
    <w:rsid w:val="00263C3D"/>
    <w:rsid w:val="00274D0B"/>
    <w:rsid w:val="002767AD"/>
    <w:rsid w:val="002821FF"/>
    <w:rsid w:val="002824ED"/>
    <w:rsid w:val="002A140E"/>
    <w:rsid w:val="002B3C95"/>
    <w:rsid w:val="002C0E34"/>
    <w:rsid w:val="002D0B92"/>
    <w:rsid w:val="002D30E3"/>
    <w:rsid w:val="002D4DE0"/>
    <w:rsid w:val="002D7CCB"/>
    <w:rsid w:val="002F46F8"/>
    <w:rsid w:val="003113DB"/>
    <w:rsid w:val="00312737"/>
    <w:rsid w:val="00321BC5"/>
    <w:rsid w:val="00321E1F"/>
    <w:rsid w:val="00324464"/>
    <w:rsid w:val="0033239D"/>
    <w:rsid w:val="00346E5D"/>
    <w:rsid w:val="00357DE1"/>
    <w:rsid w:val="00360EF8"/>
    <w:rsid w:val="003675DB"/>
    <w:rsid w:val="00381437"/>
    <w:rsid w:val="00391900"/>
    <w:rsid w:val="003A7CF4"/>
    <w:rsid w:val="003B348B"/>
    <w:rsid w:val="003B6118"/>
    <w:rsid w:val="003D5BBE"/>
    <w:rsid w:val="003D7B6F"/>
    <w:rsid w:val="003E3C61"/>
    <w:rsid w:val="003E442B"/>
    <w:rsid w:val="003E7B9C"/>
    <w:rsid w:val="003F0586"/>
    <w:rsid w:val="003F1C5B"/>
    <w:rsid w:val="004023EE"/>
    <w:rsid w:val="0041337D"/>
    <w:rsid w:val="004144CE"/>
    <w:rsid w:val="00420699"/>
    <w:rsid w:val="00427D51"/>
    <w:rsid w:val="00434E33"/>
    <w:rsid w:val="00441434"/>
    <w:rsid w:val="00451B31"/>
    <w:rsid w:val="0045264C"/>
    <w:rsid w:val="004677E9"/>
    <w:rsid w:val="0047032B"/>
    <w:rsid w:val="004766DB"/>
    <w:rsid w:val="004876EC"/>
    <w:rsid w:val="004C3F08"/>
    <w:rsid w:val="004D3FC2"/>
    <w:rsid w:val="004D6E14"/>
    <w:rsid w:val="004F20D7"/>
    <w:rsid w:val="004F595F"/>
    <w:rsid w:val="0050031E"/>
    <w:rsid w:val="005005F3"/>
    <w:rsid w:val="005009B0"/>
    <w:rsid w:val="005033A5"/>
    <w:rsid w:val="00512CA7"/>
    <w:rsid w:val="00522D47"/>
    <w:rsid w:val="0053109F"/>
    <w:rsid w:val="00537A17"/>
    <w:rsid w:val="00565621"/>
    <w:rsid w:val="00576D3E"/>
    <w:rsid w:val="00592B4A"/>
    <w:rsid w:val="00593ECF"/>
    <w:rsid w:val="005A1006"/>
    <w:rsid w:val="005A2298"/>
    <w:rsid w:val="005B0EC6"/>
    <w:rsid w:val="005B7029"/>
    <w:rsid w:val="005C7DD5"/>
    <w:rsid w:val="005D2A7C"/>
    <w:rsid w:val="005E446D"/>
    <w:rsid w:val="005E714A"/>
    <w:rsid w:val="005F29C6"/>
    <w:rsid w:val="005F7A4D"/>
    <w:rsid w:val="006140A0"/>
    <w:rsid w:val="0061754E"/>
    <w:rsid w:val="00620A5C"/>
    <w:rsid w:val="006251A1"/>
    <w:rsid w:val="00635A6E"/>
    <w:rsid w:val="00636621"/>
    <w:rsid w:val="00642B49"/>
    <w:rsid w:val="006832D9"/>
    <w:rsid w:val="00691453"/>
    <w:rsid w:val="0069403B"/>
    <w:rsid w:val="006C3EB7"/>
    <w:rsid w:val="006E094C"/>
    <w:rsid w:val="006E12B5"/>
    <w:rsid w:val="006F3DDE"/>
    <w:rsid w:val="006F3E3A"/>
    <w:rsid w:val="006F573C"/>
    <w:rsid w:val="006F7A07"/>
    <w:rsid w:val="00702C8E"/>
    <w:rsid w:val="00704678"/>
    <w:rsid w:val="00720075"/>
    <w:rsid w:val="0072103A"/>
    <w:rsid w:val="0073155D"/>
    <w:rsid w:val="007425E7"/>
    <w:rsid w:val="00745896"/>
    <w:rsid w:val="007625B9"/>
    <w:rsid w:val="00762961"/>
    <w:rsid w:val="00771192"/>
    <w:rsid w:val="0077410C"/>
    <w:rsid w:val="00786864"/>
    <w:rsid w:val="007B5697"/>
    <w:rsid w:val="00802607"/>
    <w:rsid w:val="00805410"/>
    <w:rsid w:val="008101A5"/>
    <w:rsid w:val="00811BB9"/>
    <w:rsid w:val="00812E0F"/>
    <w:rsid w:val="00822664"/>
    <w:rsid w:val="00840FCA"/>
    <w:rsid w:val="00843796"/>
    <w:rsid w:val="00843970"/>
    <w:rsid w:val="00843FF6"/>
    <w:rsid w:val="0088181A"/>
    <w:rsid w:val="00886297"/>
    <w:rsid w:val="00895229"/>
    <w:rsid w:val="008A7ED2"/>
    <w:rsid w:val="008C0B8C"/>
    <w:rsid w:val="008C2323"/>
    <w:rsid w:val="008D0E00"/>
    <w:rsid w:val="008F0203"/>
    <w:rsid w:val="008F0F43"/>
    <w:rsid w:val="008F50D4"/>
    <w:rsid w:val="008F7655"/>
    <w:rsid w:val="009038A4"/>
    <w:rsid w:val="009239AA"/>
    <w:rsid w:val="00935ADA"/>
    <w:rsid w:val="00946B6C"/>
    <w:rsid w:val="0095598B"/>
    <w:rsid w:val="00955A71"/>
    <w:rsid w:val="0096108F"/>
    <w:rsid w:val="00961505"/>
    <w:rsid w:val="009827DA"/>
    <w:rsid w:val="009C13B9"/>
    <w:rsid w:val="009C362E"/>
    <w:rsid w:val="009C5A4D"/>
    <w:rsid w:val="009C645D"/>
    <w:rsid w:val="009D01A2"/>
    <w:rsid w:val="009D7D27"/>
    <w:rsid w:val="009F194E"/>
    <w:rsid w:val="009F4055"/>
    <w:rsid w:val="009F5923"/>
    <w:rsid w:val="009F5F36"/>
    <w:rsid w:val="00A365C0"/>
    <w:rsid w:val="00A403BB"/>
    <w:rsid w:val="00A674DF"/>
    <w:rsid w:val="00A77217"/>
    <w:rsid w:val="00A83AA6"/>
    <w:rsid w:val="00A931C7"/>
    <w:rsid w:val="00AB6D0F"/>
    <w:rsid w:val="00AE1809"/>
    <w:rsid w:val="00B41CFF"/>
    <w:rsid w:val="00B46F2C"/>
    <w:rsid w:val="00B6076B"/>
    <w:rsid w:val="00B62D1E"/>
    <w:rsid w:val="00B64775"/>
    <w:rsid w:val="00B80D76"/>
    <w:rsid w:val="00B90B80"/>
    <w:rsid w:val="00BA2105"/>
    <w:rsid w:val="00BA7E06"/>
    <w:rsid w:val="00BB43B5"/>
    <w:rsid w:val="00BB59C6"/>
    <w:rsid w:val="00BB6219"/>
    <w:rsid w:val="00BC5C94"/>
    <w:rsid w:val="00BD0C5E"/>
    <w:rsid w:val="00BD290F"/>
    <w:rsid w:val="00BF1743"/>
    <w:rsid w:val="00C043E3"/>
    <w:rsid w:val="00C14CC4"/>
    <w:rsid w:val="00C17F9C"/>
    <w:rsid w:val="00C2725A"/>
    <w:rsid w:val="00C320AB"/>
    <w:rsid w:val="00C33C52"/>
    <w:rsid w:val="00C40D8B"/>
    <w:rsid w:val="00C46BE9"/>
    <w:rsid w:val="00C8407A"/>
    <w:rsid w:val="00C8488C"/>
    <w:rsid w:val="00C86E91"/>
    <w:rsid w:val="00C962BE"/>
    <w:rsid w:val="00CA2650"/>
    <w:rsid w:val="00CB1078"/>
    <w:rsid w:val="00CC6FAF"/>
    <w:rsid w:val="00CD612E"/>
    <w:rsid w:val="00CE118F"/>
    <w:rsid w:val="00CE452A"/>
    <w:rsid w:val="00CF17E1"/>
    <w:rsid w:val="00CF2ABE"/>
    <w:rsid w:val="00CF3DBD"/>
    <w:rsid w:val="00D06D3B"/>
    <w:rsid w:val="00D24698"/>
    <w:rsid w:val="00D41DC7"/>
    <w:rsid w:val="00D46291"/>
    <w:rsid w:val="00D4747F"/>
    <w:rsid w:val="00D51D38"/>
    <w:rsid w:val="00D61820"/>
    <w:rsid w:val="00D6383F"/>
    <w:rsid w:val="00D71221"/>
    <w:rsid w:val="00DB59D0"/>
    <w:rsid w:val="00DC05F9"/>
    <w:rsid w:val="00DC33D3"/>
    <w:rsid w:val="00DD6ADB"/>
    <w:rsid w:val="00E021DC"/>
    <w:rsid w:val="00E2594A"/>
    <w:rsid w:val="00E26329"/>
    <w:rsid w:val="00E27491"/>
    <w:rsid w:val="00E33150"/>
    <w:rsid w:val="00E40B50"/>
    <w:rsid w:val="00E50293"/>
    <w:rsid w:val="00E52BA1"/>
    <w:rsid w:val="00E55E6D"/>
    <w:rsid w:val="00E63D5B"/>
    <w:rsid w:val="00E65FFC"/>
    <w:rsid w:val="00E80951"/>
    <w:rsid w:val="00E854FE"/>
    <w:rsid w:val="00E86CC6"/>
    <w:rsid w:val="00EB56B3"/>
    <w:rsid w:val="00ED0BAD"/>
    <w:rsid w:val="00ED44E7"/>
    <w:rsid w:val="00ED46FA"/>
    <w:rsid w:val="00ED6492"/>
    <w:rsid w:val="00EF2095"/>
    <w:rsid w:val="00EF27E6"/>
    <w:rsid w:val="00EF320D"/>
    <w:rsid w:val="00F0507A"/>
    <w:rsid w:val="00F06866"/>
    <w:rsid w:val="00F10500"/>
    <w:rsid w:val="00F15956"/>
    <w:rsid w:val="00F24CFC"/>
    <w:rsid w:val="00F3128C"/>
    <w:rsid w:val="00F3170F"/>
    <w:rsid w:val="00F4017B"/>
    <w:rsid w:val="00F40229"/>
    <w:rsid w:val="00F429D3"/>
    <w:rsid w:val="00F45388"/>
    <w:rsid w:val="00F66FFB"/>
    <w:rsid w:val="00F90A80"/>
    <w:rsid w:val="00F90C5E"/>
    <w:rsid w:val="00F94702"/>
    <w:rsid w:val="00F9665F"/>
    <w:rsid w:val="00F976B0"/>
    <w:rsid w:val="00FA6DE7"/>
    <w:rsid w:val="00FA7B16"/>
    <w:rsid w:val="00FB113D"/>
    <w:rsid w:val="00FB5AC0"/>
    <w:rsid w:val="00FC0A8E"/>
    <w:rsid w:val="00FC3705"/>
    <w:rsid w:val="00FC5815"/>
    <w:rsid w:val="00FC591F"/>
    <w:rsid w:val="00FD088E"/>
    <w:rsid w:val="00FD1CA3"/>
    <w:rsid w:val="00FD426B"/>
    <w:rsid w:val="00FD66D0"/>
    <w:rsid w:val="00FE2FA6"/>
    <w:rsid w:val="00FE3DF2"/>
    <w:rsid w:val="00F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12E0F"/>
    <w:rPr>
      <w:sz w:val="24"/>
      <w:szCs w:val="24"/>
    </w:rPr>
  </w:style>
  <w:style w:type="paragraph" w:styleId="FootnoteText">
    <w:name w:val="footnote text"/>
    <w:basedOn w:val="Normal"/>
    <w:link w:val="FootnoteTextChar"/>
    <w:uiPriority w:val="99"/>
    <w:unhideWhenUsed/>
    <w:rsid w:val="009D7D27"/>
    <w:rPr>
      <w:sz w:val="20"/>
      <w:szCs w:val="20"/>
    </w:rPr>
  </w:style>
  <w:style w:type="character" w:customStyle="1" w:styleId="FootnoteTextChar">
    <w:name w:val="Footnote Text Char"/>
    <w:basedOn w:val="DefaultParagraphFont"/>
    <w:link w:val="FootnoteText"/>
    <w:uiPriority w:val="99"/>
    <w:rsid w:val="009D7D27"/>
    <w:rPr>
      <w:sz w:val="20"/>
      <w:szCs w:val="20"/>
    </w:rPr>
  </w:style>
  <w:style w:type="character" w:styleId="FootnoteReference">
    <w:name w:val="footnote reference"/>
    <w:basedOn w:val="DefaultParagraphFont"/>
    <w:uiPriority w:val="99"/>
    <w:semiHidden/>
    <w:unhideWhenUsed/>
    <w:rsid w:val="009D7D27"/>
    <w:rPr>
      <w:vertAlign w:val="superscript"/>
    </w:rPr>
  </w:style>
  <w:style w:type="character" w:styleId="Hyperlink">
    <w:name w:val="Hyperlink"/>
    <w:rsid w:val="006251A1"/>
    <w:rPr>
      <w:color w:val="0000FF"/>
      <w:u w:val="single"/>
    </w:rPr>
  </w:style>
  <w:style w:type="table" w:customStyle="1" w:styleId="TableGrid1">
    <w:name w:val="Table Grid1"/>
    <w:basedOn w:val="TableNormal"/>
    <w:next w:val="TableGrid"/>
    <w:uiPriority w:val="59"/>
    <w:rsid w:val="006251A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812E0F"/>
    <w:rPr>
      <w:sz w:val="24"/>
      <w:szCs w:val="24"/>
    </w:rPr>
  </w:style>
  <w:style w:type="paragraph" w:styleId="FootnoteText">
    <w:name w:val="footnote text"/>
    <w:basedOn w:val="Normal"/>
    <w:link w:val="FootnoteTextChar"/>
    <w:uiPriority w:val="99"/>
    <w:unhideWhenUsed/>
    <w:rsid w:val="009D7D27"/>
    <w:rPr>
      <w:sz w:val="20"/>
      <w:szCs w:val="20"/>
    </w:rPr>
  </w:style>
  <w:style w:type="character" w:customStyle="1" w:styleId="FootnoteTextChar">
    <w:name w:val="Footnote Text Char"/>
    <w:basedOn w:val="DefaultParagraphFont"/>
    <w:link w:val="FootnoteText"/>
    <w:uiPriority w:val="99"/>
    <w:rsid w:val="009D7D27"/>
    <w:rPr>
      <w:sz w:val="20"/>
      <w:szCs w:val="20"/>
    </w:rPr>
  </w:style>
  <w:style w:type="character" w:styleId="FootnoteReference">
    <w:name w:val="footnote reference"/>
    <w:basedOn w:val="DefaultParagraphFont"/>
    <w:uiPriority w:val="99"/>
    <w:semiHidden/>
    <w:unhideWhenUsed/>
    <w:rsid w:val="009D7D27"/>
    <w:rPr>
      <w:vertAlign w:val="superscript"/>
    </w:rPr>
  </w:style>
  <w:style w:type="character" w:styleId="Hyperlink">
    <w:name w:val="Hyperlink"/>
    <w:rsid w:val="006251A1"/>
    <w:rPr>
      <w:color w:val="0000FF"/>
      <w:u w:val="single"/>
    </w:rPr>
  </w:style>
  <w:style w:type="table" w:customStyle="1" w:styleId="TableGrid1">
    <w:name w:val="Table Grid1"/>
    <w:basedOn w:val="TableNormal"/>
    <w:next w:val="TableGrid"/>
    <w:uiPriority w:val="59"/>
    <w:rsid w:val="006251A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8072">
      <w:bodyDiv w:val="1"/>
      <w:marLeft w:val="0"/>
      <w:marRight w:val="0"/>
      <w:marTop w:val="0"/>
      <w:marBottom w:val="0"/>
      <w:divBdr>
        <w:top w:val="none" w:sz="0" w:space="0" w:color="auto"/>
        <w:left w:val="none" w:sz="0" w:space="0" w:color="auto"/>
        <w:bottom w:val="none" w:sz="0" w:space="0" w:color="auto"/>
        <w:right w:val="none" w:sz="0" w:space="0" w:color="auto"/>
      </w:divBdr>
    </w:div>
    <w:div w:id="540409870">
      <w:bodyDiv w:val="1"/>
      <w:marLeft w:val="0"/>
      <w:marRight w:val="0"/>
      <w:marTop w:val="0"/>
      <w:marBottom w:val="0"/>
      <w:divBdr>
        <w:top w:val="none" w:sz="0" w:space="0" w:color="auto"/>
        <w:left w:val="none" w:sz="0" w:space="0" w:color="auto"/>
        <w:bottom w:val="none" w:sz="0" w:space="0" w:color="auto"/>
        <w:right w:val="none" w:sz="0" w:space="0" w:color="auto"/>
      </w:divBdr>
    </w:div>
    <w:div w:id="759258332">
      <w:bodyDiv w:val="1"/>
      <w:marLeft w:val="0"/>
      <w:marRight w:val="0"/>
      <w:marTop w:val="0"/>
      <w:marBottom w:val="0"/>
      <w:divBdr>
        <w:top w:val="none" w:sz="0" w:space="0" w:color="auto"/>
        <w:left w:val="none" w:sz="0" w:space="0" w:color="auto"/>
        <w:bottom w:val="none" w:sz="0" w:space="0" w:color="auto"/>
        <w:right w:val="none" w:sz="0" w:space="0" w:color="auto"/>
      </w:divBdr>
    </w:div>
    <w:div w:id="844562984">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1454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policy-data-oversight/pay-leave/salaries-wages/salary-tables/pdf/2014/ATL_h.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2</cp:revision>
  <cp:lastPrinted>2012-08-06T16:52:00Z</cp:lastPrinted>
  <dcterms:created xsi:type="dcterms:W3CDTF">2015-03-05T20:17:00Z</dcterms:created>
  <dcterms:modified xsi:type="dcterms:W3CDTF">2015-03-05T20:17:00Z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