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B21CAE">
        <w:rPr>
          <w:sz w:val="28"/>
        </w:rPr>
        <w:t xml:space="preserve"> 0920-1026</w:t>
      </w:r>
      <w:r>
        <w:rPr>
          <w:sz w:val="28"/>
        </w:rPr>
        <w:t>)</w:t>
      </w:r>
    </w:p>
    <w:p w:rsidR="00B46F2C" w:rsidRPr="00B61D76"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bookmarkStart w:id="0" w:name="Text1"/>
      <w:r w:rsidR="00B21CAE" w:rsidRPr="00B61D76">
        <w:t>Influenza Capacity Platforms during Ebola Response Efforts</w:t>
      </w:r>
      <w:bookmarkEnd w:id="0"/>
      <w:r w:rsidR="00B21CAE" w:rsidRPr="00B61D76">
        <w:t xml:space="preserve"> in Africa</w:t>
      </w:r>
    </w:p>
    <w:p w:rsidR="00B46F2C" w:rsidRDefault="00B46F2C"/>
    <w:p w:rsidR="00493173" w:rsidRDefault="00B46F2C" w:rsidP="007C2F1C">
      <w:pPr>
        <w:spacing w:line="276" w:lineRule="auto"/>
        <w:rPr>
          <w:bCs/>
        </w:rPr>
      </w:pPr>
      <w:r w:rsidRPr="0080482D">
        <w:rPr>
          <w:b/>
        </w:rPr>
        <w:t>PURPOSE:</w:t>
      </w:r>
      <w:r w:rsidR="0080482D">
        <w:rPr>
          <w:b/>
        </w:rPr>
        <w:t xml:space="preserve"> </w:t>
      </w:r>
      <w:r w:rsidR="0080482D" w:rsidRPr="0080482D">
        <w:rPr>
          <w:b/>
          <w:bCs/>
        </w:rPr>
        <w:t xml:space="preserve"> </w:t>
      </w:r>
      <w:r w:rsidR="00B21CAE" w:rsidRPr="007C2F1C">
        <w:rPr>
          <w:bCs/>
        </w:rPr>
        <w:t>Since 200</w:t>
      </w:r>
      <w:r w:rsidR="00B61D76" w:rsidRPr="007C2F1C">
        <w:rPr>
          <w:bCs/>
        </w:rPr>
        <w:t>6</w:t>
      </w:r>
      <w:r w:rsidR="00B21CAE" w:rsidRPr="007C2F1C">
        <w:rPr>
          <w:bCs/>
        </w:rPr>
        <w:t xml:space="preserve">, </w:t>
      </w:r>
      <w:r w:rsidR="00904A5F" w:rsidRPr="007C2F1C">
        <w:rPr>
          <w:bCs/>
        </w:rPr>
        <w:t xml:space="preserve">CDC has provided funding and support for pandemic influenza preparedness and response and capacity building for influenza laboratory and epidemiology </w:t>
      </w:r>
      <w:r w:rsidR="00B21CAE" w:rsidRPr="007C2F1C">
        <w:rPr>
          <w:bCs/>
        </w:rPr>
        <w:t xml:space="preserve">to </w:t>
      </w:r>
      <w:r w:rsidR="00904A5F" w:rsidRPr="007C2F1C">
        <w:rPr>
          <w:bCs/>
        </w:rPr>
        <w:t>countries in Africa.</w:t>
      </w:r>
      <w:r w:rsidR="00B21CAE" w:rsidRPr="007C2F1C">
        <w:rPr>
          <w:bCs/>
        </w:rPr>
        <w:t xml:space="preserve"> CDC</w:t>
      </w:r>
      <w:r w:rsidR="00AD70F6" w:rsidRPr="007C2F1C">
        <w:rPr>
          <w:bCs/>
        </w:rPr>
        <w:t xml:space="preserve"> </w:t>
      </w:r>
      <w:r w:rsidR="00B21CAE" w:rsidRPr="007C2F1C">
        <w:rPr>
          <w:bCs/>
        </w:rPr>
        <w:t>assisted</w:t>
      </w:r>
      <w:r w:rsidR="00AD70F6" w:rsidRPr="007C2F1C">
        <w:rPr>
          <w:bCs/>
        </w:rPr>
        <w:t xml:space="preserve"> </w:t>
      </w:r>
      <w:r w:rsidR="00B13ED3" w:rsidRPr="007C2F1C">
        <w:rPr>
          <w:bCs/>
        </w:rPr>
        <w:t xml:space="preserve">with the </w:t>
      </w:r>
      <w:r w:rsidR="007C2F1C">
        <w:rPr>
          <w:bCs/>
        </w:rPr>
        <w:t>set-</w:t>
      </w:r>
      <w:r w:rsidR="00AD70F6" w:rsidRPr="007C2F1C">
        <w:rPr>
          <w:bCs/>
        </w:rPr>
        <w:t xml:space="preserve">up </w:t>
      </w:r>
      <w:r w:rsidR="00B13ED3" w:rsidRPr="007C2F1C">
        <w:rPr>
          <w:bCs/>
        </w:rPr>
        <w:t xml:space="preserve">of </w:t>
      </w:r>
      <w:r w:rsidR="00AD70F6" w:rsidRPr="007C2F1C">
        <w:rPr>
          <w:bCs/>
        </w:rPr>
        <w:t>sentinel surveillance sites for monitoring severe illness and ci</w:t>
      </w:r>
      <w:r w:rsidR="00FB673F" w:rsidRPr="007C2F1C">
        <w:rPr>
          <w:bCs/>
        </w:rPr>
        <w:t>rculating influenza viruses</w:t>
      </w:r>
      <w:r w:rsidR="00655E90">
        <w:rPr>
          <w:bCs/>
        </w:rPr>
        <w:t>,</w:t>
      </w:r>
      <w:r w:rsidR="00FB673F" w:rsidRPr="007C2F1C">
        <w:rPr>
          <w:bCs/>
        </w:rPr>
        <w:t xml:space="preserve"> as well as </w:t>
      </w:r>
      <w:r w:rsidR="00AD70F6" w:rsidRPr="007C2F1C">
        <w:rPr>
          <w:bCs/>
        </w:rPr>
        <w:t>facilitated the development of laboratory capacity for diagnosis of influenza</w:t>
      </w:r>
      <w:r w:rsidR="00655E90">
        <w:rPr>
          <w:bCs/>
        </w:rPr>
        <w:t>,</w:t>
      </w:r>
      <w:r w:rsidR="00AD70F6" w:rsidRPr="007C2F1C">
        <w:rPr>
          <w:bCs/>
        </w:rPr>
        <w:t xml:space="preserve"> through support for eq</w:t>
      </w:r>
      <w:r w:rsidR="007C2F1C">
        <w:rPr>
          <w:bCs/>
        </w:rPr>
        <w:t>uipment, reagents and training</w:t>
      </w:r>
      <w:r w:rsidR="007A539D">
        <w:rPr>
          <w:bCs/>
        </w:rPr>
        <w:t>.  CDC</w:t>
      </w:r>
      <w:r w:rsidR="007C2F1C">
        <w:rPr>
          <w:bCs/>
        </w:rPr>
        <w:t xml:space="preserve"> collaborated </w:t>
      </w:r>
      <w:r w:rsidR="00AD70F6" w:rsidRPr="007C2F1C">
        <w:rPr>
          <w:bCs/>
        </w:rPr>
        <w:t xml:space="preserve">with the </w:t>
      </w:r>
      <w:r w:rsidR="00B21CAE" w:rsidRPr="007C2F1C">
        <w:rPr>
          <w:bCs/>
        </w:rPr>
        <w:t>World Health Organization (</w:t>
      </w:r>
      <w:r w:rsidR="00AD70F6" w:rsidRPr="007C2F1C">
        <w:rPr>
          <w:bCs/>
        </w:rPr>
        <w:t>WHO</w:t>
      </w:r>
      <w:r w:rsidR="00B21CAE" w:rsidRPr="007C2F1C">
        <w:rPr>
          <w:bCs/>
        </w:rPr>
        <w:t>)</w:t>
      </w:r>
      <w:r w:rsidR="00AD70F6" w:rsidRPr="007C2F1C">
        <w:rPr>
          <w:bCs/>
        </w:rPr>
        <w:t xml:space="preserve"> to support rapid response training for teams to prepare </w:t>
      </w:r>
      <w:r w:rsidR="00B21CAE" w:rsidRPr="007C2F1C">
        <w:rPr>
          <w:bCs/>
        </w:rPr>
        <w:t>response</w:t>
      </w:r>
      <w:r w:rsidR="00AD70F6" w:rsidRPr="007C2F1C">
        <w:rPr>
          <w:bCs/>
        </w:rPr>
        <w:t xml:space="preserve"> to novel influenza viru</w:t>
      </w:r>
      <w:r w:rsidR="00FB673F" w:rsidRPr="007C2F1C">
        <w:rPr>
          <w:bCs/>
        </w:rPr>
        <w:t>ses and potential pandemics. This</w:t>
      </w:r>
      <w:r w:rsidR="00AD70F6" w:rsidRPr="007C2F1C">
        <w:rPr>
          <w:bCs/>
        </w:rPr>
        <w:t xml:space="preserve"> capacity </w:t>
      </w:r>
      <w:r w:rsidR="00FB673F" w:rsidRPr="007C2F1C">
        <w:rPr>
          <w:bCs/>
        </w:rPr>
        <w:t>building</w:t>
      </w:r>
      <w:r w:rsidR="00AD70F6" w:rsidRPr="007C2F1C">
        <w:rPr>
          <w:bCs/>
        </w:rPr>
        <w:t xml:space="preserve"> was instrumental in response to the H1N1 pandemic in 2009. </w:t>
      </w:r>
    </w:p>
    <w:p w:rsidR="00493173" w:rsidRDefault="00493173" w:rsidP="007C2F1C">
      <w:pPr>
        <w:spacing w:line="276" w:lineRule="auto"/>
        <w:rPr>
          <w:bCs/>
        </w:rPr>
      </w:pPr>
    </w:p>
    <w:p w:rsidR="00207DC7" w:rsidRDefault="006D17C9" w:rsidP="007C2F1C">
      <w:pPr>
        <w:autoSpaceDE w:val="0"/>
        <w:autoSpaceDN w:val="0"/>
        <w:adjustRightInd w:val="0"/>
        <w:spacing w:line="276" w:lineRule="auto"/>
        <w:rPr>
          <w:bCs/>
        </w:rPr>
      </w:pPr>
      <w:r w:rsidRPr="007C2F1C">
        <w:rPr>
          <w:bCs/>
        </w:rPr>
        <w:t xml:space="preserve">CDC has learned that some countries have successfully used </w:t>
      </w:r>
      <w:r w:rsidR="00BF6594">
        <w:rPr>
          <w:bCs/>
        </w:rPr>
        <w:t>CDC</w:t>
      </w:r>
      <w:r w:rsidRPr="007C2F1C">
        <w:rPr>
          <w:bCs/>
        </w:rPr>
        <w:t xml:space="preserve"> influenza capacity building </w:t>
      </w:r>
      <w:r w:rsidR="00BF6594">
        <w:rPr>
          <w:bCs/>
        </w:rPr>
        <w:t xml:space="preserve">efforts </w:t>
      </w:r>
      <w:r w:rsidRPr="007C2F1C">
        <w:rPr>
          <w:bCs/>
        </w:rPr>
        <w:t xml:space="preserve">as a platform to assist with the detection and response to other diseases and pathogens. </w:t>
      </w:r>
      <w:r w:rsidR="00AD70F6" w:rsidRPr="007C2F1C">
        <w:rPr>
          <w:bCs/>
        </w:rPr>
        <w:t>Uganda</w:t>
      </w:r>
      <w:r w:rsidR="00B61D76" w:rsidRPr="007C2F1C">
        <w:rPr>
          <w:bCs/>
        </w:rPr>
        <w:t xml:space="preserve">, for example, </w:t>
      </w:r>
      <w:r w:rsidR="00FB673F" w:rsidRPr="007C2F1C">
        <w:rPr>
          <w:bCs/>
        </w:rPr>
        <w:t>used the</w:t>
      </w:r>
      <w:r w:rsidR="00AD70F6" w:rsidRPr="007C2F1C">
        <w:rPr>
          <w:bCs/>
        </w:rPr>
        <w:t xml:space="preserve"> </w:t>
      </w:r>
      <w:r w:rsidR="00B61D76" w:rsidRPr="007C2F1C">
        <w:rPr>
          <w:bCs/>
        </w:rPr>
        <w:t xml:space="preserve">influenza </w:t>
      </w:r>
      <w:r w:rsidR="00F34B92" w:rsidRPr="007C2F1C">
        <w:rPr>
          <w:bCs/>
        </w:rPr>
        <w:t xml:space="preserve">capacity building for </w:t>
      </w:r>
      <w:r w:rsidR="00AD70F6" w:rsidRPr="007C2F1C">
        <w:rPr>
          <w:bCs/>
        </w:rPr>
        <w:t>laboratory, sen</w:t>
      </w:r>
      <w:r w:rsidR="00B61D76" w:rsidRPr="007C2F1C">
        <w:rPr>
          <w:bCs/>
        </w:rPr>
        <w:t>tinel sites and rapid response</w:t>
      </w:r>
      <w:r w:rsidR="00AD70F6" w:rsidRPr="007C2F1C">
        <w:rPr>
          <w:bCs/>
        </w:rPr>
        <w:t xml:space="preserve"> </w:t>
      </w:r>
      <w:r w:rsidR="00FB673F" w:rsidRPr="007C2F1C">
        <w:rPr>
          <w:bCs/>
        </w:rPr>
        <w:t xml:space="preserve">in the </w:t>
      </w:r>
      <w:r w:rsidR="00B61D76" w:rsidRPr="007C2F1C">
        <w:rPr>
          <w:bCs/>
        </w:rPr>
        <w:t xml:space="preserve">2007 </w:t>
      </w:r>
      <w:r w:rsidR="00AD70F6" w:rsidRPr="007C2F1C">
        <w:rPr>
          <w:bCs/>
        </w:rPr>
        <w:t xml:space="preserve">response to </w:t>
      </w:r>
      <w:r w:rsidR="00B61D76" w:rsidRPr="007C2F1C">
        <w:rPr>
          <w:bCs/>
        </w:rPr>
        <w:t>Ebola</w:t>
      </w:r>
      <w:r w:rsidR="00AD70F6" w:rsidRPr="007C2F1C">
        <w:rPr>
          <w:bCs/>
        </w:rPr>
        <w:t>.</w:t>
      </w:r>
      <w:r w:rsidRPr="007C2F1C">
        <w:rPr>
          <w:bCs/>
        </w:rPr>
        <w:t xml:space="preserve"> </w:t>
      </w:r>
      <w:r w:rsidR="00493173">
        <w:rPr>
          <w:bCs/>
        </w:rPr>
        <w:t>CDC has also learned</w:t>
      </w:r>
      <w:r w:rsidR="00170549">
        <w:rPr>
          <w:bCs/>
        </w:rPr>
        <w:t xml:space="preserve"> anecdotally that the PPE purchased for H5N1 and supplied to countries in Africa is now being used widely for the </w:t>
      </w:r>
      <w:r w:rsidR="000825CE">
        <w:rPr>
          <w:bCs/>
        </w:rPr>
        <w:t xml:space="preserve">current </w:t>
      </w:r>
      <w:r w:rsidR="00170549">
        <w:rPr>
          <w:bCs/>
        </w:rPr>
        <w:t>Ebola response</w:t>
      </w:r>
      <w:r w:rsidR="003D6B39">
        <w:rPr>
          <w:bCs/>
        </w:rPr>
        <w:t xml:space="preserve"> and </w:t>
      </w:r>
      <w:r w:rsidR="00170549">
        <w:rPr>
          <w:bCs/>
        </w:rPr>
        <w:t xml:space="preserve"> that the PCR capacity set up for influenza has been instrumental in laboratory capacity to test for Ebola.  </w:t>
      </w:r>
      <w:r w:rsidR="00AD70F6" w:rsidRPr="007C2F1C">
        <w:rPr>
          <w:bCs/>
        </w:rPr>
        <w:t xml:space="preserve"> </w:t>
      </w:r>
      <w:r w:rsidR="00BF6594">
        <w:rPr>
          <w:bCs/>
        </w:rPr>
        <w:t xml:space="preserve"> </w:t>
      </w:r>
    </w:p>
    <w:p w:rsidR="00207DC7" w:rsidRDefault="00207DC7" w:rsidP="007C2F1C">
      <w:pPr>
        <w:autoSpaceDE w:val="0"/>
        <w:autoSpaceDN w:val="0"/>
        <w:adjustRightInd w:val="0"/>
        <w:spacing w:line="276" w:lineRule="auto"/>
        <w:rPr>
          <w:bCs/>
        </w:rPr>
      </w:pPr>
    </w:p>
    <w:p w:rsidR="00B46F2C" w:rsidRPr="007C2F1C" w:rsidRDefault="004563D5" w:rsidP="007C2F1C">
      <w:pPr>
        <w:autoSpaceDE w:val="0"/>
        <w:autoSpaceDN w:val="0"/>
        <w:adjustRightInd w:val="0"/>
        <w:spacing w:line="276" w:lineRule="auto"/>
        <w:rPr>
          <w:bCs/>
        </w:rPr>
      </w:pPr>
      <w:r w:rsidRPr="007C2F1C">
        <w:rPr>
          <w:bCs/>
        </w:rPr>
        <w:t>CDC is seeking feedback from African partners about how</w:t>
      </w:r>
      <w:r w:rsidR="00C52701" w:rsidRPr="007C2F1C">
        <w:rPr>
          <w:bCs/>
        </w:rPr>
        <w:t xml:space="preserve"> on-going</w:t>
      </w:r>
      <w:r w:rsidR="0080482D" w:rsidRPr="007C2F1C">
        <w:rPr>
          <w:bCs/>
        </w:rPr>
        <w:t xml:space="preserve"> influenza capacity-strengthening </w:t>
      </w:r>
      <w:r w:rsidRPr="007C2F1C">
        <w:rPr>
          <w:bCs/>
        </w:rPr>
        <w:t>has</w:t>
      </w:r>
      <w:r w:rsidR="00C52701" w:rsidRPr="007C2F1C">
        <w:rPr>
          <w:bCs/>
        </w:rPr>
        <w:t>, if at all,</w:t>
      </w:r>
      <w:r w:rsidRPr="007C2F1C">
        <w:rPr>
          <w:bCs/>
        </w:rPr>
        <w:t xml:space="preserve"> </w:t>
      </w:r>
      <w:r w:rsidR="0080482D" w:rsidRPr="007C2F1C">
        <w:rPr>
          <w:bCs/>
        </w:rPr>
        <w:t>contributed to regional surveillance &amp; response</w:t>
      </w:r>
      <w:r w:rsidRPr="007C2F1C">
        <w:rPr>
          <w:bCs/>
        </w:rPr>
        <w:t xml:space="preserve"> specific to </w:t>
      </w:r>
      <w:r w:rsidR="00904A5F" w:rsidRPr="007C2F1C">
        <w:rPr>
          <w:bCs/>
        </w:rPr>
        <w:t>Ebola</w:t>
      </w:r>
      <w:r w:rsidRPr="007C2F1C">
        <w:rPr>
          <w:bCs/>
        </w:rPr>
        <w:t xml:space="preserve">.  </w:t>
      </w:r>
      <w:r w:rsidR="00904A5F" w:rsidRPr="007C2F1C">
        <w:rPr>
          <w:bCs/>
        </w:rPr>
        <w:t xml:space="preserve"> </w:t>
      </w:r>
      <w:r w:rsidRPr="007C2F1C">
        <w:rPr>
          <w:bCs/>
        </w:rPr>
        <w:t>This feedback will assist</w:t>
      </w:r>
      <w:r w:rsidR="00452D81" w:rsidRPr="007C2F1C">
        <w:rPr>
          <w:bCs/>
        </w:rPr>
        <w:t xml:space="preserve"> CDC in identifying and </w:t>
      </w:r>
      <w:r w:rsidR="00452D81" w:rsidRPr="007C2F1C">
        <w:t xml:space="preserve">focusing attention on areas where CDC </w:t>
      </w:r>
      <w:r w:rsidR="00207DC7">
        <w:t>can</w:t>
      </w:r>
      <w:r w:rsidR="00207DC7" w:rsidRPr="007C2F1C">
        <w:t xml:space="preserve"> </w:t>
      </w:r>
      <w:r w:rsidR="00452D81" w:rsidRPr="007C2F1C">
        <w:t xml:space="preserve">improve services currently </w:t>
      </w:r>
      <w:r w:rsidR="00B13ED3" w:rsidRPr="007C2F1C">
        <w:t>provided and</w:t>
      </w:r>
      <w:r w:rsidR="00452D81" w:rsidRPr="007C2F1C">
        <w:t xml:space="preserve"> </w:t>
      </w:r>
      <w:r w:rsidR="007C2F1C">
        <w:t>if</w:t>
      </w:r>
      <w:r w:rsidR="00452D81" w:rsidRPr="007C2F1C">
        <w:t xml:space="preserve"> these services</w:t>
      </w:r>
      <w:r w:rsidR="00F34B92" w:rsidRPr="007C2F1C">
        <w:rPr>
          <w:bCs/>
        </w:rPr>
        <w:t xml:space="preserve"> can be broadened to support capacity for Ebola.  </w:t>
      </w:r>
    </w:p>
    <w:p w:rsidR="00B46F2C" w:rsidRPr="007C2F1C" w:rsidRDefault="00B46F2C" w:rsidP="007C2F1C">
      <w:pPr>
        <w:pStyle w:val="Header"/>
        <w:tabs>
          <w:tab w:val="clear" w:pos="4320"/>
          <w:tab w:val="clear" w:pos="8640"/>
        </w:tabs>
        <w:spacing w:line="276" w:lineRule="auto"/>
        <w:rPr>
          <w:b/>
        </w:rPr>
      </w:pPr>
    </w:p>
    <w:p w:rsidR="00840FCA" w:rsidRPr="007C2F1C" w:rsidRDefault="00B46F2C" w:rsidP="007C2F1C">
      <w:pPr>
        <w:pStyle w:val="Header"/>
        <w:tabs>
          <w:tab w:val="clear" w:pos="4320"/>
          <w:tab w:val="clear" w:pos="8640"/>
        </w:tabs>
        <w:spacing w:line="276" w:lineRule="auto"/>
      </w:pPr>
      <w:r w:rsidRPr="00434E33">
        <w:rPr>
          <w:b/>
        </w:rPr>
        <w:t>DESCRIPTION OF RESPONDENTS</w:t>
      </w:r>
      <w:r>
        <w:t>:</w:t>
      </w:r>
      <w:r w:rsidR="0080482D">
        <w:t xml:space="preserve"> </w:t>
      </w:r>
      <w:r w:rsidR="00B61D76" w:rsidRPr="007C2F1C">
        <w:t>As identified below, there are</w:t>
      </w:r>
      <w:r w:rsidR="0080482D" w:rsidRPr="007C2F1C">
        <w:t xml:space="preserve"> 27 </w:t>
      </w:r>
      <w:r w:rsidR="00B61D76" w:rsidRPr="007C2F1C">
        <w:t>respondents</w:t>
      </w:r>
      <w:r w:rsidR="007C2F1C">
        <w:t xml:space="preserve"> total with one respondent </w:t>
      </w:r>
      <w:r w:rsidR="00B61D76" w:rsidRPr="007C2F1C">
        <w:t>per country</w:t>
      </w:r>
      <w:r w:rsidR="007C2F1C">
        <w:t xml:space="preserve">.  The respondent is identified as either </w:t>
      </w:r>
      <w:r w:rsidR="0080482D" w:rsidRPr="007C2F1C">
        <w:t xml:space="preserve">(1) the principal point of contact </w:t>
      </w:r>
      <w:r w:rsidR="009F01FC">
        <w:t xml:space="preserve">in </w:t>
      </w:r>
      <w:r w:rsidR="0080482D" w:rsidRPr="007C2F1C">
        <w:t>cooperative agreement</w:t>
      </w:r>
      <w:r w:rsidR="00904A5F" w:rsidRPr="007C2F1C">
        <w:t xml:space="preserve"> partner countrie</w:t>
      </w:r>
      <w:r w:rsidR="0080482D" w:rsidRPr="007C2F1C">
        <w:t xml:space="preserve">s </w:t>
      </w:r>
      <w:r w:rsidR="00904A5F" w:rsidRPr="007C2F1C">
        <w:t xml:space="preserve">for Influenza Surveillance and Response </w:t>
      </w:r>
      <w:r w:rsidR="0080482D" w:rsidRPr="007C2F1C">
        <w:t xml:space="preserve">with Ministries of Health in Africa </w:t>
      </w:r>
      <w:r w:rsidR="00F7167F" w:rsidRPr="007C2F1C">
        <w:t>or</w:t>
      </w:r>
      <w:r w:rsidR="0080482D" w:rsidRPr="007C2F1C">
        <w:t xml:space="preserve"> (2) the principal point of contact </w:t>
      </w:r>
      <w:r w:rsidR="00F7167F" w:rsidRPr="007C2F1C">
        <w:t xml:space="preserve">in Ministries of Health </w:t>
      </w:r>
      <w:r w:rsidR="0080482D" w:rsidRPr="007C2F1C">
        <w:t xml:space="preserve">for </w:t>
      </w:r>
      <w:r w:rsidR="00904A5F" w:rsidRPr="007C2F1C">
        <w:t xml:space="preserve">partner </w:t>
      </w:r>
      <w:r w:rsidR="0080482D" w:rsidRPr="007C2F1C">
        <w:t xml:space="preserve">countries who receive technical assistance for capacity building for influenza laboratory, epidemiology and response through training, provision of reagents, site visits and assessments.  </w:t>
      </w:r>
      <w:r w:rsidR="007C2F1C">
        <w:t xml:space="preserve">The total time to complete the voluntary survey is </w:t>
      </w:r>
      <w:r w:rsidR="00F7167F" w:rsidRPr="007C2F1C">
        <w:t>5 minute</w:t>
      </w:r>
      <w:r w:rsidR="007C2F1C">
        <w:t xml:space="preserve">s. </w:t>
      </w:r>
      <w:r w:rsidR="00F7167F" w:rsidRPr="007C2F1C">
        <w:t xml:space="preserve"> </w:t>
      </w:r>
    </w:p>
    <w:p w:rsidR="00904A5F" w:rsidRDefault="00904A5F" w:rsidP="00840FCA">
      <w:pPr>
        <w:pStyle w:val="Header"/>
        <w:tabs>
          <w:tab w:val="clear" w:pos="4320"/>
          <w:tab w:val="clear" w:pos="8640"/>
        </w:tabs>
      </w:pPr>
    </w:p>
    <w:tbl>
      <w:tblPr>
        <w:tblStyle w:val="TableGrid"/>
        <w:tblW w:w="0" w:type="auto"/>
        <w:tblLook w:val="04A0" w:firstRow="1" w:lastRow="0" w:firstColumn="1" w:lastColumn="0" w:noHBand="0" w:noVBand="1"/>
      </w:tblPr>
      <w:tblGrid>
        <w:gridCol w:w="4788"/>
        <w:gridCol w:w="4788"/>
      </w:tblGrid>
      <w:tr w:rsidR="00904A5F" w:rsidTr="002E7E9D">
        <w:tc>
          <w:tcPr>
            <w:tcW w:w="4788" w:type="dxa"/>
          </w:tcPr>
          <w:p w:rsidR="00904A5F" w:rsidRPr="00904A5F" w:rsidRDefault="00904A5F" w:rsidP="002E7E9D">
            <w:pPr>
              <w:rPr>
                <w:rFonts w:ascii="Helvetica Neue" w:hAnsi="Helvetica Neue"/>
                <w:b/>
                <w:color w:val="000000"/>
              </w:rPr>
            </w:pPr>
            <w:r w:rsidRPr="00904A5F">
              <w:rPr>
                <w:rFonts w:ascii="Helvetica Neue" w:hAnsi="Helvetica Neue"/>
                <w:b/>
                <w:color w:val="000000"/>
              </w:rPr>
              <w:t xml:space="preserve">Cooperative Agreement </w:t>
            </w:r>
            <w:r>
              <w:rPr>
                <w:rFonts w:ascii="Helvetica Neue" w:hAnsi="Helvetica Neue"/>
                <w:b/>
                <w:color w:val="000000"/>
              </w:rPr>
              <w:t xml:space="preserve">Partner </w:t>
            </w:r>
            <w:r w:rsidRPr="00904A5F">
              <w:rPr>
                <w:rFonts w:ascii="Helvetica Neue" w:hAnsi="Helvetica Neue"/>
                <w:b/>
                <w:color w:val="000000"/>
              </w:rPr>
              <w:t>Countries</w:t>
            </w:r>
          </w:p>
        </w:tc>
        <w:tc>
          <w:tcPr>
            <w:tcW w:w="4788" w:type="dxa"/>
          </w:tcPr>
          <w:p w:rsidR="00904A5F" w:rsidRPr="00904A5F" w:rsidRDefault="00904A5F" w:rsidP="002E7E9D">
            <w:pPr>
              <w:rPr>
                <w:rFonts w:ascii="Helvetica Neue" w:hAnsi="Helvetica Neue"/>
                <w:b/>
                <w:color w:val="000000"/>
              </w:rPr>
            </w:pPr>
            <w:r w:rsidRPr="00904A5F">
              <w:rPr>
                <w:rFonts w:ascii="Helvetica Neue" w:hAnsi="Helvetica Neue"/>
                <w:b/>
                <w:color w:val="000000"/>
              </w:rPr>
              <w:t>Partner Countries</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Nigeria</w:t>
            </w:r>
          </w:p>
        </w:tc>
        <w:tc>
          <w:tcPr>
            <w:tcW w:w="4788" w:type="dxa"/>
          </w:tcPr>
          <w:p w:rsidR="00904A5F" w:rsidRDefault="00904A5F" w:rsidP="002E7E9D">
            <w:pPr>
              <w:rPr>
                <w:rFonts w:ascii="Helvetica Neue" w:hAnsi="Helvetica Neue"/>
                <w:color w:val="000000"/>
              </w:rPr>
            </w:pPr>
            <w:r>
              <w:rPr>
                <w:rFonts w:ascii="Helvetica Neue" w:hAnsi="Helvetica Neue"/>
                <w:color w:val="000000"/>
              </w:rPr>
              <w:t>Burkina Faso</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Ethiopia</w:t>
            </w:r>
          </w:p>
        </w:tc>
        <w:tc>
          <w:tcPr>
            <w:tcW w:w="4788" w:type="dxa"/>
          </w:tcPr>
          <w:p w:rsidR="00904A5F" w:rsidRDefault="00904A5F" w:rsidP="002E7E9D">
            <w:pPr>
              <w:rPr>
                <w:rFonts w:ascii="Helvetica Neue" w:hAnsi="Helvetica Neue"/>
                <w:color w:val="000000"/>
              </w:rPr>
            </w:pPr>
            <w:r>
              <w:rPr>
                <w:rFonts w:ascii="Helvetica Neue" w:hAnsi="Helvetica Neue"/>
                <w:color w:val="000000"/>
              </w:rPr>
              <w:t>Togo</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Tanzania</w:t>
            </w:r>
          </w:p>
        </w:tc>
        <w:tc>
          <w:tcPr>
            <w:tcW w:w="4788" w:type="dxa"/>
          </w:tcPr>
          <w:p w:rsidR="00904A5F" w:rsidRDefault="00904A5F" w:rsidP="002E7E9D">
            <w:pPr>
              <w:rPr>
                <w:rFonts w:ascii="Helvetica Neue" w:hAnsi="Helvetica Neue"/>
                <w:color w:val="000000"/>
              </w:rPr>
            </w:pPr>
            <w:r>
              <w:rPr>
                <w:rFonts w:ascii="Helvetica Neue" w:hAnsi="Helvetica Neue"/>
                <w:color w:val="000000"/>
              </w:rPr>
              <w:t>Niger</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Uganda</w:t>
            </w:r>
          </w:p>
        </w:tc>
        <w:tc>
          <w:tcPr>
            <w:tcW w:w="4788" w:type="dxa"/>
          </w:tcPr>
          <w:p w:rsidR="00904A5F" w:rsidRDefault="00904A5F" w:rsidP="002E7E9D">
            <w:pPr>
              <w:rPr>
                <w:rFonts w:ascii="Helvetica Neue" w:hAnsi="Helvetica Neue"/>
                <w:color w:val="000000"/>
              </w:rPr>
            </w:pPr>
            <w:r>
              <w:rPr>
                <w:rFonts w:ascii="Helvetica Neue" w:hAnsi="Helvetica Neue"/>
                <w:color w:val="000000"/>
              </w:rPr>
              <w:t>Sierra Leone</w:t>
            </w:r>
          </w:p>
        </w:tc>
      </w:tr>
      <w:tr w:rsidR="00904A5F" w:rsidTr="00A61BD4">
        <w:trPr>
          <w:trHeight w:val="251"/>
        </w:trPr>
        <w:tc>
          <w:tcPr>
            <w:tcW w:w="4788" w:type="dxa"/>
          </w:tcPr>
          <w:p w:rsidR="00904A5F" w:rsidRDefault="00904A5F" w:rsidP="002E7E9D">
            <w:pPr>
              <w:rPr>
                <w:rFonts w:ascii="Helvetica Neue" w:hAnsi="Helvetica Neue"/>
                <w:color w:val="000000"/>
              </w:rPr>
            </w:pPr>
            <w:r>
              <w:rPr>
                <w:rFonts w:ascii="Helvetica Neue" w:hAnsi="Helvetica Neue"/>
                <w:color w:val="000000"/>
              </w:rPr>
              <w:t>Rwanda</w:t>
            </w:r>
          </w:p>
        </w:tc>
        <w:tc>
          <w:tcPr>
            <w:tcW w:w="4788" w:type="dxa"/>
          </w:tcPr>
          <w:p w:rsidR="00904A5F" w:rsidRDefault="00904A5F" w:rsidP="002E7E9D">
            <w:pPr>
              <w:rPr>
                <w:rFonts w:ascii="Helvetica Neue" w:hAnsi="Helvetica Neue"/>
                <w:color w:val="000000"/>
              </w:rPr>
            </w:pPr>
            <w:r>
              <w:rPr>
                <w:rFonts w:ascii="Helvetica Neue" w:hAnsi="Helvetica Neue"/>
                <w:color w:val="000000"/>
              </w:rPr>
              <w:t>Mauritania</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Ghana</w:t>
            </w:r>
          </w:p>
        </w:tc>
        <w:tc>
          <w:tcPr>
            <w:tcW w:w="4788" w:type="dxa"/>
          </w:tcPr>
          <w:p w:rsidR="00904A5F" w:rsidRDefault="00904A5F" w:rsidP="002E7E9D">
            <w:pPr>
              <w:rPr>
                <w:rFonts w:ascii="Helvetica Neue" w:hAnsi="Helvetica Neue"/>
                <w:color w:val="000000"/>
              </w:rPr>
            </w:pPr>
            <w:r>
              <w:rPr>
                <w:rFonts w:ascii="Helvetica Neue" w:hAnsi="Helvetica Neue"/>
                <w:color w:val="000000"/>
              </w:rPr>
              <w:t>Cameroon</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lastRenderedPageBreak/>
              <w:t>Mali</w:t>
            </w:r>
          </w:p>
        </w:tc>
        <w:tc>
          <w:tcPr>
            <w:tcW w:w="4788" w:type="dxa"/>
          </w:tcPr>
          <w:p w:rsidR="00904A5F" w:rsidRDefault="00904A5F" w:rsidP="002E7E9D">
            <w:pPr>
              <w:rPr>
                <w:rFonts w:ascii="Helvetica Neue" w:hAnsi="Helvetica Neue"/>
                <w:color w:val="000000"/>
              </w:rPr>
            </w:pPr>
            <w:r>
              <w:rPr>
                <w:rFonts w:ascii="Helvetica Neue" w:hAnsi="Helvetica Neue"/>
                <w:color w:val="000000"/>
              </w:rPr>
              <w:t>Chad</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Cote d’Ivoire</w:t>
            </w:r>
          </w:p>
        </w:tc>
        <w:tc>
          <w:tcPr>
            <w:tcW w:w="4788" w:type="dxa"/>
          </w:tcPr>
          <w:p w:rsidR="00904A5F" w:rsidRDefault="00904A5F" w:rsidP="002E7E9D">
            <w:pPr>
              <w:rPr>
                <w:rFonts w:ascii="Helvetica Neue" w:hAnsi="Helvetica Neue"/>
                <w:color w:val="000000"/>
              </w:rPr>
            </w:pPr>
            <w:r>
              <w:rPr>
                <w:rFonts w:ascii="Helvetica Neue" w:hAnsi="Helvetica Neue"/>
                <w:color w:val="000000"/>
              </w:rPr>
              <w:t>Burundi</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Senegal</w:t>
            </w:r>
          </w:p>
        </w:tc>
        <w:tc>
          <w:tcPr>
            <w:tcW w:w="4788" w:type="dxa"/>
          </w:tcPr>
          <w:p w:rsidR="00904A5F" w:rsidRDefault="00904A5F" w:rsidP="002E7E9D">
            <w:pPr>
              <w:rPr>
                <w:rFonts w:ascii="Helvetica Neue" w:hAnsi="Helvetica Neue"/>
                <w:color w:val="000000"/>
              </w:rPr>
            </w:pPr>
            <w:r>
              <w:rPr>
                <w:rFonts w:ascii="Helvetica Neue" w:hAnsi="Helvetica Neue"/>
                <w:color w:val="000000"/>
              </w:rPr>
              <w:t>Seychelles</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Madagascar</w:t>
            </w:r>
          </w:p>
        </w:tc>
        <w:tc>
          <w:tcPr>
            <w:tcW w:w="4788" w:type="dxa"/>
          </w:tcPr>
          <w:p w:rsidR="00904A5F" w:rsidRDefault="00904A5F" w:rsidP="002E7E9D">
            <w:pPr>
              <w:rPr>
                <w:rFonts w:ascii="Helvetica Neue" w:hAnsi="Helvetica Neue"/>
                <w:color w:val="000000"/>
              </w:rPr>
            </w:pPr>
            <w:r>
              <w:rPr>
                <w:rFonts w:ascii="Helvetica Neue" w:hAnsi="Helvetica Neue"/>
                <w:color w:val="000000"/>
              </w:rPr>
              <w:t>Comoros</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Mozambique</w:t>
            </w:r>
          </w:p>
        </w:tc>
        <w:tc>
          <w:tcPr>
            <w:tcW w:w="4788" w:type="dxa"/>
          </w:tcPr>
          <w:p w:rsidR="00904A5F" w:rsidRDefault="00904A5F" w:rsidP="002E7E9D">
            <w:pPr>
              <w:rPr>
                <w:rFonts w:ascii="Helvetica Neue" w:hAnsi="Helvetica Neue"/>
                <w:color w:val="000000"/>
              </w:rPr>
            </w:pPr>
            <w:r>
              <w:rPr>
                <w:rFonts w:ascii="Helvetica Neue" w:hAnsi="Helvetica Neue"/>
                <w:color w:val="000000"/>
              </w:rPr>
              <w:t>Reunion</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Zambia</w:t>
            </w:r>
          </w:p>
        </w:tc>
        <w:tc>
          <w:tcPr>
            <w:tcW w:w="4788" w:type="dxa"/>
          </w:tcPr>
          <w:p w:rsidR="00904A5F" w:rsidRDefault="00904A5F" w:rsidP="002E7E9D">
            <w:pPr>
              <w:rPr>
                <w:rFonts w:ascii="Helvetica Neue" w:hAnsi="Helvetica Neue"/>
                <w:color w:val="000000"/>
              </w:rPr>
            </w:pPr>
            <w:r>
              <w:rPr>
                <w:rFonts w:ascii="Helvetica Neue" w:hAnsi="Helvetica Neue"/>
                <w:color w:val="000000"/>
              </w:rPr>
              <w:t>Mauritius</w:t>
            </w:r>
          </w:p>
        </w:tc>
      </w:tr>
      <w:tr w:rsidR="00904A5F" w:rsidTr="002E7E9D">
        <w:tc>
          <w:tcPr>
            <w:tcW w:w="4788" w:type="dxa"/>
          </w:tcPr>
          <w:p w:rsidR="00904A5F" w:rsidRDefault="00904A5F" w:rsidP="002E7E9D">
            <w:pPr>
              <w:rPr>
                <w:rFonts w:ascii="Helvetica Neue" w:hAnsi="Helvetica Neue"/>
                <w:color w:val="000000"/>
              </w:rPr>
            </w:pPr>
            <w:r>
              <w:rPr>
                <w:rFonts w:ascii="Helvetica Neue" w:hAnsi="Helvetica Neue"/>
                <w:color w:val="000000"/>
              </w:rPr>
              <w:t>South Africa</w:t>
            </w:r>
          </w:p>
        </w:tc>
        <w:tc>
          <w:tcPr>
            <w:tcW w:w="4788" w:type="dxa"/>
          </w:tcPr>
          <w:p w:rsidR="00904A5F" w:rsidRDefault="00904A5F" w:rsidP="002E7E9D">
            <w:pPr>
              <w:rPr>
                <w:rFonts w:ascii="Helvetica Neue" w:hAnsi="Helvetica Neue"/>
                <w:color w:val="000000"/>
              </w:rPr>
            </w:pPr>
            <w:r>
              <w:rPr>
                <w:rFonts w:ascii="Helvetica Neue" w:hAnsi="Helvetica Neue"/>
                <w:color w:val="000000"/>
              </w:rPr>
              <w:t>Republic of Congo</w:t>
            </w:r>
          </w:p>
        </w:tc>
      </w:tr>
      <w:tr w:rsidR="00904A5F" w:rsidTr="002E7E9D">
        <w:tc>
          <w:tcPr>
            <w:tcW w:w="4788" w:type="dxa"/>
          </w:tcPr>
          <w:p w:rsidR="00904A5F" w:rsidRDefault="00904A5F" w:rsidP="002E7E9D">
            <w:pPr>
              <w:rPr>
                <w:rFonts w:ascii="Helvetica Neue" w:hAnsi="Helvetica Neue"/>
                <w:color w:val="000000"/>
              </w:rPr>
            </w:pPr>
          </w:p>
        </w:tc>
        <w:tc>
          <w:tcPr>
            <w:tcW w:w="4788" w:type="dxa"/>
          </w:tcPr>
          <w:p w:rsidR="00904A5F" w:rsidRDefault="00904A5F" w:rsidP="002E7E9D">
            <w:pPr>
              <w:rPr>
                <w:rFonts w:ascii="Helvetica Neue" w:hAnsi="Helvetica Neue"/>
                <w:color w:val="000000"/>
              </w:rPr>
            </w:pPr>
            <w:r>
              <w:rPr>
                <w:rFonts w:ascii="Helvetica Neue" w:hAnsi="Helvetica Neue"/>
                <w:color w:val="000000"/>
              </w:rPr>
              <w:t>Central African Republic</w:t>
            </w:r>
          </w:p>
        </w:tc>
      </w:tr>
    </w:tbl>
    <w:p w:rsidR="00840FCA" w:rsidRDefault="00840FCA" w:rsidP="00840FCA">
      <w:pPr>
        <w:pStyle w:val="Header"/>
        <w:tabs>
          <w:tab w:val="clear" w:pos="4320"/>
          <w:tab w:val="clear" w:pos="8640"/>
        </w:tabs>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5E26A5">
        <w:rPr>
          <w:bCs/>
          <w:sz w:val="24"/>
        </w:rPr>
        <w:t>X</w:t>
      </w:r>
      <w:r w:rsidR="001D0776" w:rsidRPr="00F06866">
        <w:rPr>
          <w:bCs/>
          <w:sz w:val="24"/>
        </w:rPr>
        <w:t>]</w:t>
      </w:r>
      <w:r w:rsidR="001D0776">
        <w:rPr>
          <w:bCs/>
          <w:sz w:val="24"/>
        </w:rPr>
        <w:t xml:space="preserve"> </w:t>
      </w:r>
      <w:r>
        <w:rPr>
          <w:bCs/>
          <w:sz w:val="24"/>
        </w:rPr>
        <w:t>Other:</w:t>
      </w:r>
      <w:r w:rsidRPr="00F06866">
        <w:rPr>
          <w:bCs/>
          <w:sz w:val="24"/>
          <w:u w:val="single"/>
        </w:rPr>
        <w:t xml:space="preserve"> 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w:t>
      </w:r>
      <w:proofErr w:type="gramStart"/>
      <w:r>
        <w:t>:_</w:t>
      </w:r>
      <w:proofErr w:type="gramEnd"/>
      <w:r>
        <w:t>_</w:t>
      </w:r>
      <w:r w:rsidR="005E26A5">
        <w:t>Ann</w:t>
      </w:r>
      <w:proofErr w:type="spellEnd"/>
      <w:r w:rsidR="005E26A5">
        <w:t xml:space="preserve"> Moen</w:t>
      </w:r>
      <w:r>
        <w:t>_______</w:t>
      </w:r>
      <w:r w:rsidR="00F66FE3">
        <w:t>alc3@cdc.gov</w:t>
      </w:r>
      <w:r>
        <w:t>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w:t>
      </w:r>
      <w:r w:rsidR="005E26A5">
        <w:t>X</w:t>
      </w:r>
      <w:r>
        <w:t xml:space="preserve"> ] Yes  [ ]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E6563E">
        <w:t>x</w:t>
      </w:r>
      <w:r>
        <w:t xml:space="preserve"> ] No  </w:t>
      </w:r>
    </w:p>
    <w:p w:rsidR="00B46F2C" w:rsidRDefault="00B46F2C" w:rsidP="00C86E91">
      <w:pPr>
        <w:pStyle w:val="ListParagraph"/>
        <w:numPr>
          <w:ilvl w:val="0"/>
          <w:numId w:val="18"/>
        </w:numPr>
      </w:pPr>
      <w:r>
        <w:t>If Applicable, has a System or Records Notice been published?  [  ] Yes  [  ] No</w:t>
      </w:r>
    </w:p>
    <w:p w:rsidR="00473D69" w:rsidRDefault="00473D69" w:rsidP="00C86E91">
      <w:pPr>
        <w:pStyle w:val="ListParagraph"/>
        <w:ind w:left="0"/>
        <w:rPr>
          <w:b/>
        </w:rPr>
      </w:pPr>
    </w:p>
    <w:p w:rsidR="00B46F2C" w:rsidRPr="00C86E91" w:rsidRDefault="00B46F2C" w:rsidP="00C86E91">
      <w:pPr>
        <w:pStyle w:val="ListParagraph"/>
        <w:ind w:left="0"/>
        <w:rPr>
          <w:b/>
        </w:rPr>
      </w:pPr>
      <w:r>
        <w:rPr>
          <w:b/>
        </w:rPr>
        <w:t>Gifts or Payments:</w:t>
      </w:r>
    </w:p>
    <w:p w:rsidR="001D0776" w:rsidRDefault="00B46F2C">
      <w:pPr>
        <w:sectPr w:rsidR="001D0776" w:rsidSect="00194AC6">
          <w:headerReference w:type="default" r:id="rId9"/>
          <w:footerReference w:type="default" r:id="rId10"/>
          <w:pgSz w:w="12240" w:h="15840"/>
          <w:pgMar w:top="720" w:right="1440" w:bottom="1440" w:left="1440" w:header="720" w:footer="720" w:gutter="0"/>
          <w:cols w:space="720"/>
          <w:docGrid w:linePitch="360"/>
        </w:sectPr>
      </w:pPr>
      <w:r>
        <w:t>Is an incentive (e.g., money or reimbursement of expenses, token of appreciation) provided to participants?  [  ] Yes [</w:t>
      </w:r>
      <w:proofErr w:type="gramStart"/>
      <w:r w:rsidR="005E26A5">
        <w:t>X</w:t>
      </w:r>
      <w:r>
        <w:t xml:space="preserve"> ]</w:t>
      </w:r>
      <w:proofErr w:type="gramEnd"/>
      <w:r>
        <w:t xml:space="preserve"> No</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1890"/>
        <w:gridCol w:w="1543"/>
      </w:tblGrid>
      <w:tr w:rsidR="00B46F2C" w:rsidTr="00A61BD4">
        <w:trPr>
          <w:trHeight w:val="274"/>
        </w:trPr>
        <w:tc>
          <w:tcPr>
            <w:tcW w:w="4608" w:type="dxa"/>
          </w:tcPr>
          <w:p w:rsidR="00B46F2C" w:rsidRPr="00512CA7" w:rsidRDefault="00B46F2C" w:rsidP="00C8488C">
            <w:pPr>
              <w:rPr>
                <w:b/>
              </w:rPr>
            </w:pPr>
            <w:r w:rsidRPr="00512CA7">
              <w:rPr>
                <w:b/>
              </w:rPr>
              <w:t xml:space="preserve">Category of Respondent </w:t>
            </w:r>
          </w:p>
        </w:tc>
        <w:tc>
          <w:tcPr>
            <w:tcW w:w="1620" w:type="dxa"/>
          </w:tcPr>
          <w:p w:rsidR="00B46F2C" w:rsidRPr="00512CA7" w:rsidRDefault="00B46F2C" w:rsidP="00843796">
            <w:pPr>
              <w:rPr>
                <w:b/>
              </w:rPr>
            </w:pPr>
            <w:r w:rsidRPr="00512CA7">
              <w:rPr>
                <w:b/>
              </w:rPr>
              <w:t>No. of Respondents</w:t>
            </w:r>
          </w:p>
        </w:tc>
        <w:tc>
          <w:tcPr>
            <w:tcW w:w="1890" w:type="dxa"/>
          </w:tcPr>
          <w:p w:rsidR="00B46F2C" w:rsidRPr="00512CA7" w:rsidRDefault="00B46F2C" w:rsidP="00843796">
            <w:pPr>
              <w:rPr>
                <w:b/>
              </w:rPr>
            </w:pPr>
            <w:r w:rsidRPr="00512CA7">
              <w:rPr>
                <w:b/>
              </w:rPr>
              <w:t>Participation Time</w:t>
            </w:r>
          </w:p>
        </w:tc>
        <w:tc>
          <w:tcPr>
            <w:tcW w:w="1543" w:type="dxa"/>
          </w:tcPr>
          <w:p w:rsidR="00B46F2C" w:rsidRPr="00512CA7" w:rsidRDefault="00B46F2C" w:rsidP="00843796">
            <w:pPr>
              <w:rPr>
                <w:b/>
              </w:rPr>
            </w:pPr>
            <w:r w:rsidRPr="00512CA7">
              <w:rPr>
                <w:b/>
              </w:rPr>
              <w:t>Burden</w:t>
            </w:r>
          </w:p>
        </w:tc>
        <w:bookmarkStart w:id="1" w:name="_GoBack"/>
        <w:bookmarkEnd w:id="1"/>
      </w:tr>
      <w:tr w:rsidR="00B46F2C" w:rsidTr="00A61BD4">
        <w:trPr>
          <w:trHeight w:val="274"/>
        </w:trPr>
        <w:tc>
          <w:tcPr>
            <w:tcW w:w="4608" w:type="dxa"/>
          </w:tcPr>
          <w:p w:rsidR="00B46F2C" w:rsidRDefault="00473D69" w:rsidP="00843796">
            <w:r>
              <w:t>Individual</w:t>
            </w:r>
          </w:p>
        </w:tc>
        <w:tc>
          <w:tcPr>
            <w:tcW w:w="1620" w:type="dxa"/>
          </w:tcPr>
          <w:p w:rsidR="00B46F2C" w:rsidRDefault="005E26A5" w:rsidP="00843796">
            <w:r>
              <w:t>27</w:t>
            </w:r>
          </w:p>
        </w:tc>
        <w:tc>
          <w:tcPr>
            <w:tcW w:w="1890" w:type="dxa"/>
          </w:tcPr>
          <w:p w:rsidR="00B46F2C" w:rsidRDefault="005E26A5" w:rsidP="00473D69">
            <w:r>
              <w:t>5</w:t>
            </w:r>
            <w:r w:rsidR="00655E90">
              <w:t>/</w:t>
            </w:r>
            <w:r w:rsidR="00655E90" w:rsidRPr="007903CC">
              <w:t xml:space="preserve">60 </w:t>
            </w:r>
            <w:r w:rsidR="00B10544" w:rsidRPr="007903CC">
              <w:t>hours</w:t>
            </w:r>
          </w:p>
        </w:tc>
        <w:tc>
          <w:tcPr>
            <w:tcW w:w="1543" w:type="dxa"/>
          </w:tcPr>
          <w:p w:rsidR="00B46F2C" w:rsidRPr="007903CC" w:rsidRDefault="005E26A5" w:rsidP="00473D69">
            <w:r w:rsidRPr="007903CC">
              <w:t>2</w:t>
            </w:r>
            <w:r w:rsidR="00B10544" w:rsidRPr="007903CC">
              <w:t xml:space="preserve"> hours</w:t>
            </w:r>
            <w:r w:rsidR="00655E90" w:rsidRPr="007903CC">
              <w:t xml:space="preserve"> </w:t>
            </w:r>
          </w:p>
        </w:tc>
      </w:tr>
      <w:tr w:rsidR="00B46F2C" w:rsidTr="00A61BD4">
        <w:trPr>
          <w:trHeight w:val="274"/>
        </w:trPr>
        <w:tc>
          <w:tcPr>
            <w:tcW w:w="4608" w:type="dxa"/>
          </w:tcPr>
          <w:p w:rsidR="00B46F2C" w:rsidRDefault="00B46F2C" w:rsidP="00843796"/>
        </w:tc>
        <w:tc>
          <w:tcPr>
            <w:tcW w:w="1620" w:type="dxa"/>
          </w:tcPr>
          <w:p w:rsidR="00B46F2C" w:rsidRDefault="00B46F2C" w:rsidP="00843796"/>
        </w:tc>
        <w:tc>
          <w:tcPr>
            <w:tcW w:w="1890" w:type="dxa"/>
          </w:tcPr>
          <w:p w:rsidR="00B46F2C" w:rsidRDefault="00B46F2C" w:rsidP="00843796"/>
        </w:tc>
        <w:tc>
          <w:tcPr>
            <w:tcW w:w="1543" w:type="dxa"/>
          </w:tcPr>
          <w:p w:rsidR="00B46F2C" w:rsidRPr="007903CC" w:rsidRDefault="00B46F2C" w:rsidP="00843796"/>
        </w:tc>
      </w:tr>
      <w:tr w:rsidR="00B46F2C" w:rsidTr="00A61BD4">
        <w:trPr>
          <w:trHeight w:val="289"/>
        </w:trPr>
        <w:tc>
          <w:tcPr>
            <w:tcW w:w="4608" w:type="dxa"/>
          </w:tcPr>
          <w:p w:rsidR="00B46F2C" w:rsidRPr="00512CA7" w:rsidRDefault="00B46F2C" w:rsidP="00843796">
            <w:pPr>
              <w:rPr>
                <w:b/>
              </w:rPr>
            </w:pPr>
            <w:r w:rsidRPr="00512CA7">
              <w:rPr>
                <w:b/>
              </w:rPr>
              <w:t>Totals</w:t>
            </w:r>
          </w:p>
        </w:tc>
        <w:tc>
          <w:tcPr>
            <w:tcW w:w="1620" w:type="dxa"/>
          </w:tcPr>
          <w:p w:rsidR="00B46F2C" w:rsidRPr="00512CA7" w:rsidRDefault="00B46F2C" w:rsidP="00843796">
            <w:pPr>
              <w:rPr>
                <w:b/>
              </w:rPr>
            </w:pPr>
          </w:p>
        </w:tc>
        <w:tc>
          <w:tcPr>
            <w:tcW w:w="1890" w:type="dxa"/>
          </w:tcPr>
          <w:p w:rsidR="00B46F2C" w:rsidRDefault="00B46F2C" w:rsidP="00843796"/>
        </w:tc>
        <w:tc>
          <w:tcPr>
            <w:tcW w:w="1543" w:type="dxa"/>
          </w:tcPr>
          <w:p w:rsidR="00B46F2C" w:rsidRPr="007903CC" w:rsidRDefault="00A4067B" w:rsidP="00843796">
            <w:pPr>
              <w:rPr>
                <w:b/>
              </w:rPr>
            </w:pPr>
            <w:r w:rsidRPr="007903CC">
              <w:rPr>
                <w:b/>
              </w:rPr>
              <w:t>2</w:t>
            </w:r>
            <w:r w:rsidR="00655E90" w:rsidRPr="007903CC">
              <w:rPr>
                <w:b/>
              </w:rPr>
              <w:t xml:space="preserve"> </w:t>
            </w:r>
            <w:r w:rsidR="00B10544" w:rsidRPr="007903CC">
              <w:rPr>
                <w:b/>
              </w:rPr>
              <w:t>hours</w:t>
            </w:r>
          </w:p>
        </w:tc>
      </w:tr>
    </w:tbl>
    <w:p w:rsidR="00B46F2C" w:rsidRDefault="00B46F2C" w:rsidP="00F3170F"/>
    <w:p w:rsidR="00B46F2C" w:rsidRDefault="00B46F2C" w:rsidP="00F3170F"/>
    <w:p w:rsidR="005E26A5" w:rsidRDefault="00B46F2C">
      <w:r>
        <w:rPr>
          <w:b/>
        </w:rPr>
        <w:t xml:space="preserve">FEDERAL COST:  </w:t>
      </w:r>
      <w:r>
        <w:t>The estimated cost</w:t>
      </w:r>
      <w:r w:rsidR="00473D69">
        <w:t xml:space="preserve"> to the Federal government is </w:t>
      </w:r>
      <w:r w:rsidR="00BA3C9E">
        <w:t>$</w:t>
      </w:r>
      <w:r w:rsidR="00473D69">
        <w:t xml:space="preserve">250.00 </w:t>
      </w:r>
    </w:p>
    <w:p w:rsidR="00473D69" w:rsidRPr="005E26A5" w:rsidRDefault="00473D69">
      <w:pPr>
        <w:rPr>
          <w:b/>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473D69"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p>
    <w:p w:rsidR="00B46F2C" w:rsidRDefault="00B46F2C" w:rsidP="00473D69">
      <w:pPr>
        <w:pStyle w:val="ListParagraph"/>
        <w:ind w:left="360"/>
      </w:pPr>
      <w:r>
        <w:tab/>
      </w:r>
      <w:proofErr w:type="gramStart"/>
      <w:r>
        <w:t xml:space="preserve">[ </w:t>
      </w:r>
      <w:r w:rsidR="00473D69">
        <w:t>x</w:t>
      </w:r>
      <w:proofErr w:type="gramEnd"/>
      <w:r>
        <w:t>] Yes</w:t>
      </w:r>
      <w:r>
        <w:tab/>
        <w:t>[]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73D69" w:rsidRDefault="00473D69" w:rsidP="00A403BB">
      <w:r>
        <w:t xml:space="preserve">The respondent is identified as either </w:t>
      </w:r>
      <w:r w:rsidRPr="007C2F1C">
        <w:t xml:space="preserve">(1) the principal point of contact </w:t>
      </w:r>
      <w:r w:rsidR="00BA3C9E">
        <w:t xml:space="preserve">in </w:t>
      </w:r>
      <w:r w:rsidRPr="007C2F1C">
        <w:t xml:space="preserve">cooperative agreement partner countries for Influenza Surveillance and Response with Ministries of Health in Africa or (2) the principal point of contact in Ministries of Health for partner countries who receive technical assistance for capacity building for influenza laboratory, epidemiology and response through training, provision of reagents, site visits and assessments.  </w:t>
      </w:r>
      <w:r w:rsidR="00A4067B">
        <w:t xml:space="preserve">Because the respondent pool is already identified and no other person will respond on behalf of the target country, a sampling plan is not applicable to this data collection. </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Pr="00F66FE3" w:rsidRDefault="00B46F2C" w:rsidP="001B0AAA">
      <w:pPr>
        <w:ind w:left="720"/>
        <w:rPr>
          <w:b/>
        </w:rPr>
      </w:pPr>
      <w:proofErr w:type="gramStart"/>
      <w:r>
        <w:t xml:space="preserve">[ </w:t>
      </w:r>
      <w:r w:rsidR="005E26A5">
        <w:t>X</w:t>
      </w:r>
      <w:proofErr w:type="gramEnd"/>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A4067B" w:rsidRDefault="00A4067B" w:rsidP="001B0AAA">
      <w:pPr>
        <w:ind w:left="720"/>
      </w:pPr>
    </w:p>
    <w:p w:rsidR="00B46F2C" w:rsidRDefault="00B46F2C" w:rsidP="00F24CFC">
      <w:pPr>
        <w:pStyle w:val="ListParagraph"/>
        <w:numPr>
          <w:ilvl w:val="0"/>
          <w:numId w:val="17"/>
        </w:numPr>
      </w:pPr>
      <w:r>
        <w:t>Will interviewers or facilitators be used?  [  ] Yes [</w:t>
      </w:r>
      <w:r w:rsidR="00F66FE3">
        <w:t>X</w:t>
      </w:r>
      <w:r>
        <w:t xml:space="preserve"> ] No</w:t>
      </w:r>
    </w:p>
    <w:p w:rsidR="00B46F2C" w:rsidRDefault="00B46F2C" w:rsidP="00F24CFC">
      <w:pPr>
        <w:pStyle w:val="ListParagraph"/>
        <w:ind w:left="360"/>
      </w:pPr>
    </w:p>
    <w:p w:rsidR="00055001" w:rsidRDefault="00055001" w:rsidP="00F24CFC">
      <w:pPr>
        <w:pStyle w:val="ListParagraph"/>
        <w:ind w:left="360"/>
      </w:pPr>
    </w:p>
    <w:p w:rsidR="00055001" w:rsidRDefault="00055001" w:rsidP="00F24CFC">
      <w:pPr>
        <w:pStyle w:val="ListParagraph"/>
        <w:ind w:left="360"/>
      </w:pPr>
      <w:r>
        <w:t>List of attachments:</w:t>
      </w:r>
    </w:p>
    <w:p w:rsidR="00A4067B" w:rsidRDefault="00A4067B" w:rsidP="00A4067B">
      <w:r>
        <w:t xml:space="preserve">Attachment A: </w:t>
      </w:r>
      <w:r w:rsidRPr="00B61D76">
        <w:t xml:space="preserve">Influenza Capacity Platforms during </w:t>
      </w:r>
      <w:r>
        <w:t xml:space="preserve">Ebola Response Efforts in </w:t>
      </w:r>
      <w:proofErr w:type="spellStart"/>
      <w:r>
        <w:t>Africa_Survey</w:t>
      </w:r>
      <w:proofErr w:type="spellEnd"/>
    </w:p>
    <w:p w:rsidR="00A4067B" w:rsidRDefault="00A4067B" w:rsidP="00A4067B">
      <w:r>
        <w:t xml:space="preserve">Attachment B: Email </w:t>
      </w:r>
      <w:r w:rsidR="002E09BE">
        <w:t xml:space="preserve">Invitation  </w:t>
      </w:r>
    </w:p>
    <w:p w:rsidR="002E09BE" w:rsidRPr="00A4067B" w:rsidRDefault="00A4067B" w:rsidP="00A4067B">
      <w:pPr>
        <w:rPr>
          <w:b/>
        </w:rPr>
      </w:pPr>
      <w:r>
        <w:t>Attachment C: Email Follow-</w:t>
      </w:r>
      <w:r w:rsidR="002E09BE">
        <w:t>up</w:t>
      </w:r>
    </w:p>
    <w:sectPr w:rsidR="002E09BE" w:rsidRPr="00A4067B"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CA" w:rsidRDefault="00840FCA">
      <w:r>
        <w:separator/>
      </w:r>
    </w:p>
  </w:endnote>
  <w:endnote w:type="continuationSeparator" w:id="0">
    <w:p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903C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CA" w:rsidRDefault="00840FCA">
      <w:r>
        <w:separator/>
      </w:r>
    </w:p>
  </w:footnote>
  <w:footnote w:type="continuationSeparator" w:id="0">
    <w:p w:rsidR="00840FCA" w:rsidRDefault="00840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FD772E"/>
    <w:multiLevelType w:val="hybridMultilevel"/>
    <w:tmpl w:val="34365FDC"/>
    <w:lvl w:ilvl="0" w:tplc="3976BA5E">
      <w:start w:val="1"/>
      <w:numFmt w:val="decimal"/>
      <w:lvlText w:val="%1)"/>
      <w:lvlJc w:val="left"/>
      <w:pPr>
        <w:ind w:left="1080" w:hanging="360"/>
      </w:pPr>
      <w:rPr>
        <w:rFonts w:ascii="Calibri" w:hAnsi="Calibri" w:cs="Times New Roman" w:hint="default"/>
        <w:b w:val="0"/>
        <w:color w:val="1F497D"/>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5001"/>
    <w:rsid w:val="00067329"/>
    <w:rsid w:val="000825CE"/>
    <w:rsid w:val="000B2838"/>
    <w:rsid w:val="000D44CA"/>
    <w:rsid w:val="000E200B"/>
    <w:rsid w:val="000F68BE"/>
    <w:rsid w:val="001011F4"/>
    <w:rsid w:val="001325C6"/>
    <w:rsid w:val="00170549"/>
    <w:rsid w:val="00185E9D"/>
    <w:rsid w:val="001927A4"/>
    <w:rsid w:val="00194AC6"/>
    <w:rsid w:val="001A23B0"/>
    <w:rsid w:val="001A25CC"/>
    <w:rsid w:val="001B0AAA"/>
    <w:rsid w:val="001C39F7"/>
    <w:rsid w:val="001D0776"/>
    <w:rsid w:val="002001A2"/>
    <w:rsid w:val="00207DC7"/>
    <w:rsid w:val="00237B48"/>
    <w:rsid w:val="0024521E"/>
    <w:rsid w:val="00252323"/>
    <w:rsid w:val="00263C3D"/>
    <w:rsid w:val="00274D0B"/>
    <w:rsid w:val="002821FF"/>
    <w:rsid w:val="002B3C95"/>
    <w:rsid w:val="002D0B92"/>
    <w:rsid w:val="002E09BE"/>
    <w:rsid w:val="002E39AF"/>
    <w:rsid w:val="003442CC"/>
    <w:rsid w:val="003675DB"/>
    <w:rsid w:val="0038092A"/>
    <w:rsid w:val="003944F9"/>
    <w:rsid w:val="003D5BBE"/>
    <w:rsid w:val="003D6B39"/>
    <w:rsid w:val="003E3C61"/>
    <w:rsid w:val="003F1C5B"/>
    <w:rsid w:val="0041337D"/>
    <w:rsid w:val="00434E33"/>
    <w:rsid w:val="00441434"/>
    <w:rsid w:val="0045264C"/>
    <w:rsid w:val="00452D81"/>
    <w:rsid w:val="004563D5"/>
    <w:rsid w:val="00473D69"/>
    <w:rsid w:val="004876EC"/>
    <w:rsid w:val="00493173"/>
    <w:rsid w:val="004D6E14"/>
    <w:rsid w:val="005009B0"/>
    <w:rsid w:val="00506F95"/>
    <w:rsid w:val="00512CA7"/>
    <w:rsid w:val="005A1006"/>
    <w:rsid w:val="005E26A5"/>
    <w:rsid w:val="005E714A"/>
    <w:rsid w:val="006140A0"/>
    <w:rsid w:val="00635A6E"/>
    <w:rsid w:val="00636621"/>
    <w:rsid w:val="00642B49"/>
    <w:rsid w:val="00655E90"/>
    <w:rsid w:val="006832D9"/>
    <w:rsid w:val="0069403B"/>
    <w:rsid w:val="006D17C9"/>
    <w:rsid w:val="006E12B5"/>
    <w:rsid w:val="006F3DDE"/>
    <w:rsid w:val="00704678"/>
    <w:rsid w:val="007425E7"/>
    <w:rsid w:val="007903CC"/>
    <w:rsid w:val="007A539D"/>
    <w:rsid w:val="007C2F1C"/>
    <w:rsid w:val="00802607"/>
    <w:rsid w:val="0080482D"/>
    <w:rsid w:val="008101A5"/>
    <w:rsid w:val="00822664"/>
    <w:rsid w:val="00840FCA"/>
    <w:rsid w:val="00843796"/>
    <w:rsid w:val="00895229"/>
    <w:rsid w:val="008F0203"/>
    <w:rsid w:val="008F50D4"/>
    <w:rsid w:val="00904A5F"/>
    <w:rsid w:val="009239AA"/>
    <w:rsid w:val="00935ADA"/>
    <w:rsid w:val="00946B6C"/>
    <w:rsid w:val="00955A71"/>
    <w:rsid w:val="0096108F"/>
    <w:rsid w:val="009C13B9"/>
    <w:rsid w:val="009D01A2"/>
    <w:rsid w:val="009F01FC"/>
    <w:rsid w:val="009F4EAA"/>
    <w:rsid w:val="009F5923"/>
    <w:rsid w:val="009F6313"/>
    <w:rsid w:val="00A11A59"/>
    <w:rsid w:val="00A403BB"/>
    <w:rsid w:val="00A4067B"/>
    <w:rsid w:val="00A61BD4"/>
    <w:rsid w:val="00A674DF"/>
    <w:rsid w:val="00A83AA6"/>
    <w:rsid w:val="00AD70F6"/>
    <w:rsid w:val="00AE1809"/>
    <w:rsid w:val="00B10544"/>
    <w:rsid w:val="00B13ED3"/>
    <w:rsid w:val="00B21CAE"/>
    <w:rsid w:val="00B358E5"/>
    <w:rsid w:val="00B46F2C"/>
    <w:rsid w:val="00B61D76"/>
    <w:rsid w:val="00B80D76"/>
    <w:rsid w:val="00BA2105"/>
    <w:rsid w:val="00BA3C9E"/>
    <w:rsid w:val="00BA7E06"/>
    <w:rsid w:val="00BB43B5"/>
    <w:rsid w:val="00BB6219"/>
    <w:rsid w:val="00BD290F"/>
    <w:rsid w:val="00BF6594"/>
    <w:rsid w:val="00C14CC4"/>
    <w:rsid w:val="00C33C52"/>
    <w:rsid w:val="00C40D8B"/>
    <w:rsid w:val="00C52701"/>
    <w:rsid w:val="00C8407A"/>
    <w:rsid w:val="00C8488C"/>
    <w:rsid w:val="00C86E91"/>
    <w:rsid w:val="00CA07B7"/>
    <w:rsid w:val="00CA2650"/>
    <w:rsid w:val="00CB1078"/>
    <w:rsid w:val="00CC6FAF"/>
    <w:rsid w:val="00D24698"/>
    <w:rsid w:val="00D6383F"/>
    <w:rsid w:val="00D71221"/>
    <w:rsid w:val="00DB59D0"/>
    <w:rsid w:val="00DC33D3"/>
    <w:rsid w:val="00DC52C5"/>
    <w:rsid w:val="00E2594A"/>
    <w:rsid w:val="00E26329"/>
    <w:rsid w:val="00E40B50"/>
    <w:rsid w:val="00E50293"/>
    <w:rsid w:val="00E6563E"/>
    <w:rsid w:val="00E65FFC"/>
    <w:rsid w:val="00E80951"/>
    <w:rsid w:val="00E854FE"/>
    <w:rsid w:val="00E86CC6"/>
    <w:rsid w:val="00EB56B3"/>
    <w:rsid w:val="00ED6492"/>
    <w:rsid w:val="00EF2095"/>
    <w:rsid w:val="00F06866"/>
    <w:rsid w:val="00F15956"/>
    <w:rsid w:val="00F16CDB"/>
    <w:rsid w:val="00F24CFC"/>
    <w:rsid w:val="00F3170F"/>
    <w:rsid w:val="00F34B92"/>
    <w:rsid w:val="00F4017B"/>
    <w:rsid w:val="00F66FE3"/>
    <w:rsid w:val="00F67EED"/>
    <w:rsid w:val="00F7167F"/>
    <w:rsid w:val="00F976B0"/>
    <w:rsid w:val="00FA6DE7"/>
    <w:rsid w:val="00FB2D42"/>
    <w:rsid w:val="00FB673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C4D9-A68D-4C8B-B108-D4E419A5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Jeff Zirger</cp:lastModifiedBy>
  <cp:revision>4</cp:revision>
  <cp:lastPrinted>2014-11-10T13:24:00Z</cp:lastPrinted>
  <dcterms:created xsi:type="dcterms:W3CDTF">2014-11-10T14:47:00Z</dcterms:created>
  <dcterms:modified xsi:type="dcterms:W3CDTF">2014-11-10T14:53:00Z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