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118F">
        <w:rPr>
          <w:sz w:val="28"/>
        </w:rPr>
        <w:t>0920-1026</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003127E8" wp14:editId="78D4A03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rsidR="00B46F2C" w:rsidRDefault="004F20D7">
      <w:r>
        <w:t>Key Informant Interviews for Emergency R</w:t>
      </w:r>
      <w:r w:rsidR="004766DB">
        <w:t xml:space="preserve">isk </w:t>
      </w:r>
      <w:r>
        <w:t>Communication I</w:t>
      </w:r>
      <w:r w:rsidR="0061754E">
        <w:t>mprovement</w:t>
      </w:r>
      <w:r w:rsidR="00CE118F">
        <w:t xml:space="preserve"> during the Ebola Response</w:t>
      </w:r>
    </w:p>
    <w:p w:rsidR="004766DB" w:rsidRDefault="004766DB"/>
    <w:p w:rsidR="00B46F2C" w:rsidRDefault="00B46F2C" w:rsidP="00840FCA">
      <w:pPr>
        <w:rPr>
          <w:b/>
        </w:rPr>
      </w:pPr>
      <w:r>
        <w:rPr>
          <w:b/>
        </w:rPr>
        <w:t>PURPOSE</w:t>
      </w:r>
      <w:r w:rsidRPr="009239AA">
        <w:rPr>
          <w:b/>
        </w:rPr>
        <w:t>:</w:t>
      </w:r>
    </w:p>
    <w:p w:rsidR="00B90B80" w:rsidRDefault="00A365C0" w:rsidP="0003570B">
      <w:r w:rsidRPr="004B1AC3">
        <w:t xml:space="preserve">The Office of The Associate Director for Communication (OADC) and the National Center for Immunization and Respiratory Diseases (NCIRD) of the Centers for Disease Control and Prevention (CDC) </w:t>
      </w:r>
      <w:r>
        <w:t xml:space="preserve">is seeking feedback on </w:t>
      </w:r>
      <w:r w:rsidRPr="004B1AC3">
        <w:t xml:space="preserve">the agency’s </w:t>
      </w:r>
      <w:r>
        <w:t xml:space="preserve">process and </w:t>
      </w:r>
      <w:r w:rsidRPr="004B1AC3">
        <w:t>performance with respect t</w:t>
      </w:r>
      <w:r>
        <w:t xml:space="preserve">o risk communication during public health emergencies. </w:t>
      </w:r>
      <w:r w:rsidRPr="004B1AC3">
        <w:t>The pr</w:t>
      </w:r>
      <w:r>
        <w:t xml:space="preserve">imary objective of the data collection is to inform </w:t>
      </w:r>
      <w:r w:rsidRPr="004B1AC3">
        <w:t xml:space="preserve">improvements in </w:t>
      </w:r>
      <w:r>
        <w:t xml:space="preserve">emergency risk communication plans, processes, </w:t>
      </w:r>
      <w:r w:rsidRPr="004B1AC3">
        <w:t>structures</w:t>
      </w:r>
      <w:r>
        <w:t>, and outcomes.</w:t>
      </w:r>
      <w:r w:rsidR="00B90B80">
        <w:t xml:space="preserve"> </w:t>
      </w:r>
    </w:p>
    <w:p w:rsidR="00A365C0" w:rsidRDefault="00A365C0" w:rsidP="0033239D">
      <w:pPr>
        <w:rPr>
          <w:lang w:val="en"/>
        </w:rPr>
      </w:pPr>
    </w:p>
    <w:p w:rsidR="0033239D" w:rsidRDefault="0033239D" w:rsidP="0033239D">
      <w:r>
        <w:rPr>
          <w:lang w:val="en"/>
        </w:rPr>
        <w:t xml:space="preserve">When a public health emergency or disaster occurs, CDC must respond in a timely and effective manner to inform the public, provide actionable public health messages, and support national and international public health emergency response partners. A critical component of CDC's work during a public health emergency is effective crisis and emergency risk communication. In 2003, CDC established a dedicated, state-of-the-art Emergency Operations Center (EOC) to serve as CDC's command center for monitoring and coordinating CDC's emergency response activities to public health threats in the United States and abroad. Since being established, </w:t>
      </w:r>
      <w:r>
        <w:t>CDC’s</w:t>
      </w:r>
      <w:r w:rsidR="007B5697">
        <w:t xml:space="preserve"> EOC</w:t>
      </w:r>
      <w:r>
        <w:t xml:space="preserve"> has responded to more than 50 national and international emergencies with public health implications, including foodborne disease outbreaks, Hurricanes Katrina and Sandy, the H1N1 influenza outbreak, the Haiti cholera outbreak, the global effort to eradicate polio, the multi-state outbreak of fungal meningitis, Middle East Respiratory Syndrome coronavirus, and most recently Ebola.  </w:t>
      </w:r>
    </w:p>
    <w:p w:rsidR="0033239D" w:rsidRDefault="0033239D" w:rsidP="0033239D"/>
    <w:p w:rsidR="0033239D" w:rsidRDefault="0033239D" w:rsidP="0033239D">
      <w:r>
        <w:rPr>
          <w:lang w:val="en"/>
        </w:rPr>
        <w:t xml:space="preserve">During public health emergencies, the EOC stands up </w:t>
      </w:r>
      <w:r w:rsidR="00146765">
        <w:rPr>
          <w:lang w:val="en"/>
        </w:rPr>
        <w:t xml:space="preserve">as </w:t>
      </w:r>
      <w:r>
        <w:rPr>
          <w:lang w:val="en"/>
        </w:rPr>
        <w:t>the Joint Information Center (JIC). The JIC is staffed by trained emergency risk communicators as well as communication personnel from across CDC</w:t>
      </w:r>
      <w:r w:rsidR="00B64775">
        <w:rPr>
          <w:lang w:val="en"/>
        </w:rPr>
        <w:t>.</w:t>
      </w:r>
      <w:r>
        <w:rPr>
          <w:lang w:val="en"/>
        </w:rPr>
        <w:t xml:space="preserve"> The JIC coordinates risk communication strategy to guide the development of messages that are timely, accurate, consistent and actionable; grounded in sound public health and risk-communication science; and written appropriately for the target audience. Ensuring the </w:t>
      </w:r>
      <w:r>
        <w:t xml:space="preserve">organization and processes of the CDC JIC are functioning at </w:t>
      </w:r>
      <w:r>
        <w:rPr>
          <w:lang w:val="en"/>
        </w:rPr>
        <w:t xml:space="preserve">optimal capacity is </w:t>
      </w:r>
      <w:r>
        <w:t>critical to not only the effectiveness of CDC’s emergency response capabilities, but also for sustaining an exemplary model for other public health agencies to follow.</w:t>
      </w:r>
    </w:p>
    <w:p w:rsidR="00B90B80" w:rsidRDefault="00B90B80" w:rsidP="000E44B7"/>
    <w:p w:rsidR="00B64775" w:rsidRDefault="00B90B80" w:rsidP="00B90B80">
      <w:r w:rsidRPr="00644DAD">
        <w:t>In 201</w:t>
      </w:r>
      <w:r w:rsidR="007B5697">
        <w:t>3, the Office of Public Health P</w:t>
      </w:r>
      <w:r w:rsidRPr="00644DAD">
        <w:t xml:space="preserve">reparedness and Response (OPHPR) conducted an assessment of </w:t>
      </w:r>
      <w:r w:rsidR="00ED44E7">
        <w:t xml:space="preserve">the </w:t>
      </w:r>
      <w:r w:rsidRPr="00644DAD">
        <w:t>mission and functions of the OPHPR Communications Office and the Division of Emergency Operations (DEO) Emergency Risk Communication Branch</w:t>
      </w:r>
      <w:r w:rsidR="00CE118F">
        <w:t xml:space="preserve"> (ERCB)</w:t>
      </w:r>
      <w:r w:rsidR="00BD0C5E">
        <w:t>, which houses the core staff for the JIC</w:t>
      </w:r>
      <w:r w:rsidRPr="00644DAD">
        <w:t xml:space="preserve">. </w:t>
      </w:r>
      <w:r w:rsidR="00CE118F">
        <w:t>As a</w:t>
      </w:r>
      <w:r w:rsidR="00CE118F" w:rsidRPr="00644DAD">
        <w:t xml:space="preserve"> </w:t>
      </w:r>
      <w:r w:rsidRPr="00644DAD">
        <w:t>result</w:t>
      </w:r>
      <w:r w:rsidR="00B64775">
        <w:t xml:space="preserve">, </w:t>
      </w:r>
      <w:r w:rsidR="00CE118F">
        <w:t xml:space="preserve">in April of 2014, the JIC </w:t>
      </w:r>
      <w:r w:rsidR="00B64775">
        <w:t xml:space="preserve">underwent </w:t>
      </w:r>
      <w:r w:rsidR="00B64775" w:rsidRPr="00644DAD">
        <w:t>a</w:t>
      </w:r>
      <w:r w:rsidRPr="00644DAD">
        <w:t xml:space="preserve"> reorganization of staff and resources</w:t>
      </w:r>
      <w:r w:rsidR="00B64775">
        <w:t>.</w:t>
      </w:r>
    </w:p>
    <w:p w:rsidR="00B64775" w:rsidRDefault="00B64775" w:rsidP="00B90B80"/>
    <w:p w:rsidR="00B90B80" w:rsidRPr="004B1AC3" w:rsidRDefault="00B64775" w:rsidP="00B90B80">
      <w:r>
        <w:t>T</w:t>
      </w:r>
      <w:r w:rsidRPr="00644DAD">
        <w:t xml:space="preserve">he Ebola </w:t>
      </w:r>
      <w:r w:rsidRPr="005C7DD5">
        <w:t>response has</w:t>
      </w:r>
      <w:r>
        <w:t xml:space="preserve"> been </w:t>
      </w:r>
      <w:r w:rsidRPr="005C7DD5">
        <w:t>the largest r</w:t>
      </w:r>
      <w:r w:rsidRPr="00ED44E7">
        <w:t xml:space="preserve">esponse since this reorganization. </w:t>
      </w:r>
      <w:r w:rsidR="003D7B6F" w:rsidRPr="00ED44E7">
        <w:t xml:space="preserve">This data collection will </w:t>
      </w:r>
      <w:r w:rsidR="009038A4" w:rsidRPr="009038A4">
        <w:t>assess if the</w:t>
      </w:r>
      <w:r w:rsidR="003E7B9C" w:rsidRPr="009F5F36">
        <w:t xml:space="preserve"> realignment </w:t>
      </w:r>
      <w:r w:rsidR="009038A4">
        <w:t xml:space="preserve">effectively </w:t>
      </w:r>
      <w:r w:rsidR="005B0EC6" w:rsidRPr="009F5F36">
        <w:t xml:space="preserve">supports </w:t>
      </w:r>
      <w:r w:rsidR="009038A4">
        <w:t xml:space="preserve">CDC’s emergency response </w:t>
      </w:r>
      <w:r w:rsidR="005B0EC6" w:rsidRPr="009F5F36">
        <w:t>capacity</w:t>
      </w:r>
      <w:r w:rsidR="005B0EC6">
        <w:rPr>
          <w:rFonts w:ascii="Calibri" w:hAnsi="Calibri"/>
        </w:rPr>
        <w:t xml:space="preserve"> </w:t>
      </w:r>
      <w:r w:rsidR="00FD088E">
        <w:rPr>
          <w:rFonts w:ascii="Calibri" w:hAnsi="Calibri"/>
        </w:rPr>
        <w:t xml:space="preserve">and </w:t>
      </w:r>
      <w:r w:rsidR="003D7B6F">
        <w:t>ensure</w:t>
      </w:r>
      <w:r w:rsidR="00146765">
        <w:t>s</w:t>
      </w:r>
      <w:r w:rsidR="003D7B6F">
        <w:t xml:space="preserve"> that </w:t>
      </w:r>
      <w:r w:rsidR="000D6EAF">
        <w:t>CDC</w:t>
      </w:r>
      <w:r w:rsidR="003D7B6F">
        <w:t xml:space="preserve"> is capable of fulfilling its critical mission in emergency risk communication.</w:t>
      </w:r>
    </w:p>
    <w:p w:rsidR="006F3E3A" w:rsidRDefault="006F3E3A" w:rsidP="00E021DC"/>
    <w:p w:rsidR="00E021DC" w:rsidRDefault="00CF3DBD" w:rsidP="00E021DC">
      <w:r>
        <w:t xml:space="preserve">In particular, this data collection will </w:t>
      </w:r>
      <w:r w:rsidR="005F29C6">
        <w:t>assess</w:t>
      </w:r>
      <w:r>
        <w:t xml:space="preserve"> the </w:t>
      </w:r>
      <w:r w:rsidR="0005420B">
        <w:t xml:space="preserve">extent to which the </w:t>
      </w:r>
      <w:r w:rsidR="000D6EAF">
        <w:t>JI</w:t>
      </w:r>
      <w:r w:rsidR="00EF320D">
        <w:t>C</w:t>
      </w:r>
      <w:r w:rsidR="005F29C6">
        <w:t xml:space="preserve"> </w:t>
      </w:r>
      <w:r w:rsidR="005F29C6">
        <w:rPr>
          <w:lang w:val="en"/>
        </w:rPr>
        <w:t>crisis and</w:t>
      </w:r>
      <w:r w:rsidR="00F3128C">
        <w:rPr>
          <w:lang w:val="en"/>
        </w:rPr>
        <w:t xml:space="preserve"> </w:t>
      </w:r>
      <w:r w:rsidR="005F29C6">
        <w:rPr>
          <w:lang w:val="en"/>
        </w:rPr>
        <w:t>emergency risk communication activities</w:t>
      </w:r>
      <w:r w:rsidR="00391900">
        <w:rPr>
          <w:lang w:val="en"/>
        </w:rPr>
        <w:t xml:space="preserve"> </w:t>
      </w:r>
      <w:r w:rsidR="0061754E">
        <w:t>provid</w:t>
      </w:r>
      <w:r w:rsidR="0005420B">
        <w:t>e</w:t>
      </w:r>
      <w:r w:rsidR="0061754E">
        <w:t xml:space="preserve"> guidance and materials </w:t>
      </w:r>
      <w:r w:rsidR="0005420B">
        <w:t xml:space="preserve">for its partners </w:t>
      </w:r>
      <w:r w:rsidR="0061754E">
        <w:t xml:space="preserve">that are timely, </w:t>
      </w:r>
      <w:r w:rsidR="00391900">
        <w:lastRenderedPageBreak/>
        <w:t>accurate, consistent and actionable</w:t>
      </w:r>
      <w:r w:rsidR="0061754E">
        <w:t>.</w:t>
      </w:r>
      <w:r w:rsidR="0053109F">
        <w:t xml:space="preserve"> A </w:t>
      </w:r>
      <w:r w:rsidR="00E021DC">
        <w:t xml:space="preserve">summary </w:t>
      </w:r>
      <w:r w:rsidR="0053109F">
        <w:t xml:space="preserve">of </w:t>
      </w:r>
      <w:r w:rsidR="008F7655">
        <w:t xml:space="preserve">findings </w:t>
      </w:r>
      <w:r w:rsidR="000E44B7">
        <w:t>and recommendations will</w:t>
      </w:r>
      <w:r w:rsidR="00F3128C">
        <w:t xml:space="preserve"> be</w:t>
      </w:r>
      <w:r w:rsidR="000E44B7">
        <w:t xml:space="preserve"> shared with internal stakeholders, and selected recommendations for changes in </w:t>
      </w:r>
      <w:r w:rsidR="00F3128C">
        <w:t>EOC/</w:t>
      </w:r>
      <w:r w:rsidR="000E44B7">
        <w:t xml:space="preserve">JIC operations may be shared with </w:t>
      </w:r>
      <w:r w:rsidR="00F3128C">
        <w:t xml:space="preserve">external </w:t>
      </w:r>
      <w:r w:rsidR="000E44B7">
        <w:t xml:space="preserve">partner organizations. </w:t>
      </w:r>
      <w:r w:rsidR="00E021DC">
        <w:t xml:space="preserve">Any reference to this data will be reinforced by the understanding that the information gathered yields qualitative information and that the collections are not designed or expected to yield statistically reliable results.  Additionally, they will not be used as though the results are generalizable to the population of study. </w:t>
      </w:r>
    </w:p>
    <w:p w:rsidR="00CF3DBD" w:rsidRDefault="00CF3DBD" w:rsidP="00D46291"/>
    <w:p w:rsidR="00522D47" w:rsidRDefault="00522D47" w:rsidP="00840FCA">
      <w:pPr>
        <w:pStyle w:val="Header"/>
        <w:tabs>
          <w:tab w:val="clear" w:pos="4320"/>
          <w:tab w:val="clear" w:pos="8640"/>
        </w:tabs>
      </w:pPr>
    </w:p>
    <w:p w:rsidR="00840FCA" w:rsidRDefault="00B46F2C" w:rsidP="00840FCA">
      <w:pPr>
        <w:pStyle w:val="Header"/>
        <w:tabs>
          <w:tab w:val="clear" w:pos="4320"/>
          <w:tab w:val="clear" w:pos="8640"/>
        </w:tabs>
      </w:pPr>
      <w:r w:rsidRPr="00434E33">
        <w:rPr>
          <w:b/>
        </w:rPr>
        <w:t>DESCRIPTION OF RESPONDENTS</w:t>
      </w:r>
      <w:r>
        <w:t>:</w:t>
      </w:r>
    </w:p>
    <w:p w:rsidR="00F40229" w:rsidRDefault="00252A28" w:rsidP="00D46291">
      <w:pPr>
        <w:spacing w:after="120"/>
      </w:pPr>
      <w:r w:rsidRPr="00252A28">
        <w:t>Respondents</w:t>
      </w:r>
      <w:r>
        <w:t xml:space="preserve"> </w:t>
      </w:r>
      <w:r w:rsidR="00FD66D0">
        <w:t>are</w:t>
      </w:r>
      <w:r w:rsidR="000E44B7">
        <w:t xml:space="preserve"> </w:t>
      </w:r>
      <w:r w:rsidR="00B62D1E">
        <w:t>individuals working in</w:t>
      </w:r>
      <w:r>
        <w:t xml:space="preserve"> </w:t>
      </w:r>
      <w:r w:rsidR="004766DB" w:rsidRPr="00252A28">
        <w:t xml:space="preserve">organizations that </w:t>
      </w:r>
      <w:r w:rsidR="00B62D1E">
        <w:t xml:space="preserve">have </w:t>
      </w:r>
      <w:r w:rsidR="004766DB" w:rsidRPr="00252A28">
        <w:t>partner</w:t>
      </w:r>
      <w:r w:rsidR="00B62D1E">
        <w:t xml:space="preserve">ed with CDC in Ebola </w:t>
      </w:r>
      <w:r w:rsidR="004766DB" w:rsidRPr="00252A28">
        <w:t>emergency risk</w:t>
      </w:r>
      <w:r w:rsidR="004766DB" w:rsidRPr="004766DB">
        <w:t xml:space="preserve"> communication efforts</w:t>
      </w:r>
      <w:r w:rsidR="002D7CCB">
        <w:t xml:space="preserve">. </w:t>
      </w:r>
      <w:r w:rsidR="00E27491">
        <w:t>Based on thei</w:t>
      </w:r>
      <w:r w:rsidR="00ED46FA">
        <w:t xml:space="preserve">r experiences </w:t>
      </w:r>
      <w:r w:rsidR="00E27491">
        <w:t>working with CDC staff, t</w:t>
      </w:r>
      <w:r w:rsidR="00B62D1E">
        <w:t>hese individuals</w:t>
      </w:r>
      <w:r w:rsidR="00FD66D0">
        <w:t xml:space="preserve"> are</w:t>
      </w:r>
      <w:r w:rsidR="000E44B7">
        <w:t xml:space="preserve"> </w:t>
      </w:r>
      <w:r w:rsidR="00B62D1E">
        <w:t>in a position to provide informative feedback regarding the value and utility of the communication support they</w:t>
      </w:r>
      <w:r w:rsidR="00E27491">
        <w:t xml:space="preserve"> have received</w:t>
      </w:r>
      <w:r w:rsidR="00FD66D0">
        <w:t xml:space="preserve"> during the Ebola response</w:t>
      </w:r>
      <w:r w:rsidR="00B62D1E">
        <w:t xml:space="preserve">. </w:t>
      </w:r>
      <w:r w:rsidR="00FD66D0">
        <w:t>Respondents include</w:t>
      </w:r>
      <w:r w:rsidR="002D7CCB">
        <w:t xml:space="preserve"> </w:t>
      </w:r>
      <w:r w:rsidR="00FD66D0">
        <w:t>are</w:t>
      </w:r>
      <w:r w:rsidR="00F40229">
        <w:t xml:space="preserve"> state/local health departments and hospital</w:t>
      </w:r>
      <w:r w:rsidR="00FD66D0">
        <w:t xml:space="preserve"> staff</w:t>
      </w:r>
      <w:r w:rsidR="00F40229">
        <w:t xml:space="preserve"> </w:t>
      </w:r>
      <w:r w:rsidR="002379C6">
        <w:t xml:space="preserve">in </w:t>
      </w:r>
      <w:r w:rsidR="002D7CCB">
        <w:t xml:space="preserve">states affected by the presence of </w:t>
      </w:r>
      <w:r w:rsidR="00F40229">
        <w:t>Ebola cases in the United States</w:t>
      </w:r>
      <w:r w:rsidR="002D7CCB">
        <w:t xml:space="preserve">. </w:t>
      </w:r>
      <w:r w:rsidR="00B62D1E">
        <w:t>Th</w:t>
      </w:r>
      <w:r w:rsidR="00FD66D0">
        <w:t>e identified</w:t>
      </w:r>
      <w:r w:rsidR="00B62D1E">
        <w:t xml:space="preserve"> states </w:t>
      </w:r>
      <w:r w:rsidR="00F40229">
        <w:t>include</w:t>
      </w:r>
      <w:r w:rsidR="005F55FF">
        <w:t xml:space="preserve"> and will be limited to</w:t>
      </w:r>
      <w:r w:rsidR="006F3E3A">
        <w:t>:</w:t>
      </w:r>
      <w:r w:rsidR="00F40229">
        <w:t xml:space="preserve"> </w:t>
      </w:r>
    </w:p>
    <w:p w:rsidR="00F40229" w:rsidRDefault="00F40229" w:rsidP="0053109F">
      <w:pPr>
        <w:pStyle w:val="ListParagraph"/>
        <w:numPr>
          <w:ilvl w:val="0"/>
          <w:numId w:val="26"/>
        </w:numPr>
        <w:spacing w:after="120"/>
      </w:pPr>
      <w:r>
        <w:t>Georgia</w:t>
      </w:r>
    </w:p>
    <w:p w:rsidR="00F40229" w:rsidRDefault="00F40229" w:rsidP="0053109F">
      <w:pPr>
        <w:pStyle w:val="ListParagraph"/>
        <w:numPr>
          <w:ilvl w:val="0"/>
          <w:numId w:val="26"/>
        </w:numPr>
        <w:spacing w:after="120"/>
      </w:pPr>
      <w:r>
        <w:t>Maine</w:t>
      </w:r>
      <w:bookmarkStart w:id="0" w:name="_GoBack"/>
      <w:bookmarkEnd w:id="0"/>
    </w:p>
    <w:p w:rsidR="00F40229" w:rsidRDefault="00F40229" w:rsidP="0053109F">
      <w:pPr>
        <w:pStyle w:val="ListParagraph"/>
        <w:numPr>
          <w:ilvl w:val="0"/>
          <w:numId w:val="26"/>
        </w:numPr>
        <w:spacing w:after="120"/>
      </w:pPr>
      <w:r>
        <w:t>New Jersey</w:t>
      </w:r>
    </w:p>
    <w:p w:rsidR="00F40229" w:rsidRDefault="00F40229" w:rsidP="0053109F">
      <w:pPr>
        <w:pStyle w:val="ListParagraph"/>
        <w:numPr>
          <w:ilvl w:val="0"/>
          <w:numId w:val="26"/>
        </w:numPr>
        <w:spacing w:after="120"/>
      </w:pPr>
      <w:r>
        <w:t>New York</w:t>
      </w:r>
    </w:p>
    <w:p w:rsidR="00F40229" w:rsidRDefault="00F40229" w:rsidP="0053109F">
      <w:pPr>
        <w:pStyle w:val="ListParagraph"/>
        <w:numPr>
          <w:ilvl w:val="0"/>
          <w:numId w:val="26"/>
        </w:numPr>
        <w:spacing w:after="120"/>
      </w:pPr>
      <w:r>
        <w:t>Ohio</w:t>
      </w:r>
    </w:p>
    <w:p w:rsidR="00F40229" w:rsidRDefault="00F40229" w:rsidP="0053109F">
      <w:pPr>
        <w:pStyle w:val="ListParagraph"/>
        <w:numPr>
          <w:ilvl w:val="0"/>
          <w:numId w:val="26"/>
        </w:numPr>
        <w:spacing w:after="120"/>
      </w:pPr>
      <w:r>
        <w:t>Texas</w:t>
      </w:r>
    </w:p>
    <w:p w:rsidR="00F40229" w:rsidRDefault="00FD66D0" w:rsidP="00F40229">
      <w:pPr>
        <w:spacing w:after="120"/>
      </w:pPr>
      <w:r>
        <w:t xml:space="preserve">Additionally, </w:t>
      </w:r>
      <w:r w:rsidR="00F40229">
        <w:t xml:space="preserve">individuals </w:t>
      </w:r>
      <w:r w:rsidR="00F9665F">
        <w:t xml:space="preserve">with communication responsibilities </w:t>
      </w:r>
      <w:r w:rsidR="00F40229">
        <w:t>working in three West African countries affected by the Ebola outbreak</w:t>
      </w:r>
      <w:r>
        <w:t xml:space="preserve"> are included in the respondent universe.  Identified countries </w:t>
      </w:r>
      <w:r w:rsidR="005F55FF">
        <w:t>include and will be limited to</w:t>
      </w:r>
      <w:r>
        <w:t>:</w:t>
      </w:r>
    </w:p>
    <w:p w:rsidR="0073155D" w:rsidRDefault="00F40229" w:rsidP="0053109F">
      <w:pPr>
        <w:pStyle w:val="ListParagraph"/>
        <w:numPr>
          <w:ilvl w:val="0"/>
          <w:numId w:val="27"/>
        </w:numPr>
        <w:spacing w:after="120"/>
      </w:pPr>
      <w:r>
        <w:t>Guinea</w:t>
      </w:r>
    </w:p>
    <w:p w:rsidR="0073155D" w:rsidRDefault="00F40229" w:rsidP="0053109F">
      <w:pPr>
        <w:pStyle w:val="ListParagraph"/>
        <w:numPr>
          <w:ilvl w:val="0"/>
          <w:numId w:val="27"/>
        </w:numPr>
      </w:pPr>
      <w:r>
        <w:t>Liberia</w:t>
      </w:r>
    </w:p>
    <w:p w:rsidR="0073155D" w:rsidRDefault="00F40229" w:rsidP="0053109F">
      <w:pPr>
        <w:pStyle w:val="ListParagraph"/>
        <w:numPr>
          <w:ilvl w:val="0"/>
          <w:numId w:val="27"/>
        </w:numPr>
      </w:pPr>
      <w:r>
        <w:t>Sierra Leone</w:t>
      </w:r>
    </w:p>
    <w:p w:rsidR="00357DE1" w:rsidRDefault="00357DE1" w:rsidP="00D46291">
      <w:pPr>
        <w:spacing w:after="120"/>
      </w:pPr>
    </w:p>
    <w:tbl>
      <w:tblPr>
        <w:tblStyle w:val="TableGrid"/>
        <w:tblW w:w="0" w:type="auto"/>
        <w:jc w:val="center"/>
        <w:tblInd w:w="-342" w:type="dxa"/>
        <w:tblLook w:val="04A0" w:firstRow="1" w:lastRow="0" w:firstColumn="1" w:lastColumn="0" w:noHBand="0" w:noVBand="1"/>
      </w:tblPr>
      <w:tblGrid>
        <w:gridCol w:w="4680"/>
        <w:gridCol w:w="4050"/>
      </w:tblGrid>
      <w:tr w:rsidR="00D41DC7" w:rsidRPr="006C3EB7" w:rsidTr="009C645D">
        <w:trPr>
          <w:jc w:val="center"/>
        </w:trPr>
        <w:tc>
          <w:tcPr>
            <w:tcW w:w="4680" w:type="dxa"/>
            <w:tcBorders>
              <w:top w:val="single" w:sz="4" w:space="0" w:color="auto"/>
              <w:left w:val="nil"/>
              <w:bottom w:val="single" w:sz="4" w:space="0" w:color="auto"/>
              <w:right w:val="nil"/>
            </w:tcBorders>
            <w:shd w:val="clear" w:color="auto" w:fill="auto"/>
            <w:vAlign w:val="center"/>
          </w:tcPr>
          <w:p w:rsidR="00D41DC7" w:rsidRPr="006C3EB7" w:rsidRDefault="00D41DC7" w:rsidP="0053109F">
            <w:pPr>
              <w:pStyle w:val="ListParagraph"/>
              <w:spacing w:line="276" w:lineRule="auto"/>
              <w:ind w:left="0"/>
              <w:rPr>
                <w:b/>
              </w:rPr>
            </w:pPr>
            <w:r>
              <w:rPr>
                <w:b/>
              </w:rPr>
              <w:t>Respondent C</w:t>
            </w:r>
            <w:r w:rsidRPr="006C3EB7">
              <w:rPr>
                <w:b/>
              </w:rPr>
              <w:t>ategory</w:t>
            </w:r>
          </w:p>
        </w:tc>
        <w:tc>
          <w:tcPr>
            <w:tcW w:w="4050" w:type="dxa"/>
            <w:tcBorders>
              <w:top w:val="single" w:sz="4" w:space="0" w:color="auto"/>
              <w:left w:val="nil"/>
              <w:bottom w:val="single" w:sz="4" w:space="0" w:color="auto"/>
              <w:right w:val="nil"/>
            </w:tcBorders>
            <w:shd w:val="clear" w:color="auto" w:fill="auto"/>
            <w:vAlign w:val="center"/>
          </w:tcPr>
          <w:p w:rsidR="00D41DC7" w:rsidRPr="006C3EB7" w:rsidRDefault="00D41DC7" w:rsidP="0053109F">
            <w:pPr>
              <w:pStyle w:val="ListParagraph"/>
              <w:spacing w:line="276" w:lineRule="auto"/>
              <w:ind w:left="0"/>
              <w:jc w:val="center"/>
              <w:rPr>
                <w:b/>
              </w:rPr>
            </w:pPr>
            <w:r>
              <w:rPr>
                <w:b/>
              </w:rPr>
              <w:t>Participant Job Function/capacity</w:t>
            </w:r>
          </w:p>
        </w:tc>
      </w:tr>
      <w:tr w:rsidR="00D41DC7" w:rsidRPr="00252A28" w:rsidTr="009C645D">
        <w:trPr>
          <w:jc w:val="center"/>
        </w:trPr>
        <w:tc>
          <w:tcPr>
            <w:tcW w:w="4680" w:type="dxa"/>
            <w:tcBorders>
              <w:top w:val="single" w:sz="4" w:space="0" w:color="auto"/>
              <w:left w:val="nil"/>
              <w:bottom w:val="nil"/>
              <w:right w:val="nil"/>
            </w:tcBorders>
            <w:shd w:val="clear" w:color="auto" w:fill="DDD9C3" w:themeFill="background2" w:themeFillShade="E6"/>
            <w:vAlign w:val="bottom"/>
          </w:tcPr>
          <w:p w:rsidR="00D41DC7" w:rsidRPr="00252A28" w:rsidRDefault="00D41DC7" w:rsidP="002379C6">
            <w:pPr>
              <w:spacing w:line="276" w:lineRule="auto"/>
            </w:pPr>
            <w:r>
              <w:t xml:space="preserve">Affected </w:t>
            </w:r>
            <w:r w:rsidR="00391900">
              <w:t xml:space="preserve">U.S. </w:t>
            </w:r>
            <w:r>
              <w:t>States</w:t>
            </w:r>
          </w:p>
        </w:tc>
        <w:tc>
          <w:tcPr>
            <w:tcW w:w="4050" w:type="dxa"/>
            <w:tcBorders>
              <w:top w:val="single" w:sz="4" w:space="0" w:color="auto"/>
              <w:left w:val="nil"/>
              <w:bottom w:val="nil"/>
              <w:right w:val="nil"/>
            </w:tcBorders>
            <w:shd w:val="clear" w:color="auto" w:fill="DDD9C3" w:themeFill="background2" w:themeFillShade="E6"/>
            <w:vAlign w:val="bottom"/>
          </w:tcPr>
          <w:p w:rsidR="00D41DC7" w:rsidRDefault="00D41DC7" w:rsidP="0053109F">
            <w:pPr>
              <w:spacing w:line="276" w:lineRule="auto"/>
            </w:pPr>
          </w:p>
        </w:tc>
      </w:tr>
      <w:tr w:rsidR="00D41DC7" w:rsidRPr="00252A28" w:rsidTr="009C645D">
        <w:trPr>
          <w:jc w:val="center"/>
        </w:trPr>
        <w:tc>
          <w:tcPr>
            <w:tcW w:w="4680" w:type="dxa"/>
            <w:tcBorders>
              <w:top w:val="nil"/>
              <w:left w:val="nil"/>
              <w:bottom w:val="nil"/>
              <w:right w:val="nil"/>
            </w:tcBorders>
            <w:shd w:val="clear" w:color="auto" w:fill="auto"/>
            <w:vAlign w:val="bottom"/>
          </w:tcPr>
          <w:p w:rsidR="00D41DC7" w:rsidRPr="00252A28" w:rsidRDefault="00D41DC7" w:rsidP="0053109F">
            <w:pPr>
              <w:spacing w:line="276" w:lineRule="auto"/>
            </w:pPr>
            <w:r>
              <w:t xml:space="preserve">   </w:t>
            </w:r>
            <w:r w:rsidRPr="00252A28">
              <w:t xml:space="preserve">State/local public health </w:t>
            </w:r>
            <w:r>
              <w:t>department</w:t>
            </w:r>
          </w:p>
        </w:tc>
        <w:tc>
          <w:tcPr>
            <w:tcW w:w="4050" w:type="dxa"/>
            <w:tcBorders>
              <w:top w:val="nil"/>
              <w:left w:val="nil"/>
              <w:bottom w:val="nil"/>
              <w:right w:val="nil"/>
            </w:tcBorders>
            <w:shd w:val="clear" w:color="auto" w:fill="auto"/>
            <w:vAlign w:val="bottom"/>
          </w:tcPr>
          <w:p w:rsidR="00D41DC7" w:rsidRPr="00252A28" w:rsidRDefault="00D41DC7" w:rsidP="0053109F">
            <w:r>
              <w:t>Health Commissioners</w:t>
            </w:r>
          </w:p>
        </w:tc>
      </w:tr>
      <w:tr w:rsidR="00D41DC7" w:rsidRPr="00252A28" w:rsidTr="009C645D">
        <w:trPr>
          <w:jc w:val="center"/>
        </w:trPr>
        <w:tc>
          <w:tcPr>
            <w:tcW w:w="4680" w:type="dxa"/>
            <w:tcBorders>
              <w:top w:val="nil"/>
              <w:left w:val="nil"/>
              <w:bottom w:val="nil"/>
              <w:right w:val="nil"/>
            </w:tcBorders>
            <w:shd w:val="clear" w:color="auto" w:fill="auto"/>
            <w:vAlign w:val="bottom"/>
          </w:tcPr>
          <w:p w:rsidR="00D41DC7" w:rsidRPr="00252A28" w:rsidRDefault="00D41DC7" w:rsidP="0053109F">
            <w:pPr>
              <w:spacing w:line="276" w:lineRule="auto"/>
            </w:pPr>
            <w:r>
              <w:t xml:space="preserve">   </w:t>
            </w:r>
            <w:r w:rsidRPr="00252A28">
              <w:t xml:space="preserve">State/local public health </w:t>
            </w:r>
            <w:r>
              <w:t>department</w:t>
            </w:r>
          </w:p>
        </w:tc>
        <w:tc>
          <w:tcPr>
            <w:tcW w:w="4050" w:type="dxa"/>
            <w:tcBorders>
              <w:top w:val="nil"/>
              <w:left w:val="nil"/>
              <w:bottom w:val="nil"/>
              <w:right w:val="nil"/>
            </w:tcBorders>
            <w:shd w:val="clear" w:color="auto" w:fill="auto"/>
            <w:vAlign w:val="bottom"/>
          </w:tcPr>
          <w:p w:rsidR="00D41DC7" w:rsidRPr="00252A28" w:rsidRDefault="00D41DC7" w:rsidP="0053109F">
            <w:r>
              <w:t>Public Information Officers</w:t>
            </w:r>
            <w:r w:rsidDel="00F40229">
              <w:t xml:space="preserve"> </w:t>
            </w:r>
          </w:p>
        </w:tc>
      </w:tr>
      <w:tr w:rsidR="00D41DC7" w:rsidRPr="00252A28" w:rsidTr="009C645D">
        <w:trPr>
          <w:jc w:val="center"/>
        </w:trPr>
        <w:tc>
          <w:tcPr>
            <w:tcW w:w="4680" w:type="dxa"/>
            <w:tcBorders>
              <w:top w:val="nil"/>
              <w:left w:val="nil"/>
              <w:bottom w:val="nil"/>
              <w:right w:val="nil"/>
            </w:tcBorders>
            <w:shd w:val="clear" w:color="auto" w:fill="auto"/>
            <w:vAlign w:val="bottom"/>
          </w:tcPr>
          <w:p w:rsidR="00D41DC7" w:rsidRPr="00252A28" w:rsidRDefault="00D41DC7" w:rsidP="0053109F">
            <w:pPr>
              <w:spacing w:line="276" w:lineRule="auto"/>
            </w:pPr>
            <w:r>
              <w:t xml:space="preserve">   Hospital staff</w:t>
            </w:r>
          </w:p>
        </w:tc>
        <w:tc>
          <w:tcPr>
            <w:tcW w:w="4050" w:type="dxa"/>
            <w:tcBorders>
              <w:top w:val="nil"/>
              <w:left w:val="nil"/>
              <w:bottom w:val="nil"/>
              <w:right w:val="nil"/>
            </w:tcBorders>
            <w:shd w:val="clear" w:color="auto" w:fill="auto"/>
            <w:vAlign w:val="bottom"/>
          </w:tcPr>
          <w:p w:rsidR="00D41DC7" w:rsidRPr="00252A28" w:rsidRDefault="00D41DC7" w:rsidP="0053109F">
            <w:r>
              <w:t>Hospital Administrators</w:t>
            </w:r>
          </w:p>
        </w:tc>
      </w:tr>
      <w:tr w:rsidR="00D41DC7" w:rsidRPr="00252A28" w:rsidTr="009C645D">
        <w:trPr>
          <w:jc w:val="center"/>
        </w:trPr>
        <w:tc>
          <w:tcPr>
            <w:tcW w:w="4680" w:type="dxa"/>
            <w:tcBorders>
              <w:top w:val="nil"/>
              <w:left w:val="nil"/>
              <w:bottom w:val="nil"/>
              <w:right w:val="nil"/>
            </w:tcBorders>
            <w:shd w:val="clear" w:color="auto" w:fill="DDD9C3" w:themeFill="background2" w:themeFillShade="E6"/>
            <w:vAlign w:val="bottom"/>
          </w:tcPr>
          <w:p w:rsidR="00D41DC7" w:rsidRPr="00252A28" w:rsidRDefault="00D41DC7" w:rsidP="00CF17E1">
            <w:r>
              <w:t>West African Countries</w:t>
            </w:r>
          </w:p>
        </w:tc>
        <w:tc>
          <w:tcPr>
            <w:tcW w:w="4050" w:type="dxa"/>
            <w:tcBorders>
              <w:top w:val="nil"/>
              <w:left w:val="nil"/>
              <w:bottom w:val="nil"/>
              <w:right w:val="nil"/>
            </w:tcBorders>
            <w:shd w:val="clear" w:color="auto" w:fill="DDD9C3" w:themeFill="background2" w:themeFillShade="E6"/>
            <w:vAlign w:val="bottom"/>
          </w:tcPr>
          <w:p w:rsidR="00D41DC7" w:rsidRPr="00252A28" w:rsidRDefault="00D41DC7" w:rsidP="0053109F">
            <w:pPr>
              <w:spacing w:line="276" w:lineRule="auto"/>
            </w:pPr>
          </w:p>
        </w:tc>
      </w:tr>
      <w:tr w:rsidR="00D41DC7" w:rsidRPr="00252A28" w:rsidTr="009C645D">
        <w:trPr>
          <w:jc w:val="center"/>
        </w:trPr>
        <w:tc>
          <w:tcPr>
            <w:tcW w:w="4680" w:type="dxa"/>
            <w:tcBorders>
              <w:top w:val="nil"/>
              <w:left w:val="nil"/>
              <w:bottom w:val="nil"/>
              <w:right w:val="nil"/>
            </w:tcBorders>
            <w:shd w:val="clear" w:color="auto" w:fill="auto"/>
            <w:vAlign w:val="bottom"/>
          </w:tcPr>
          <w:p w:rsidR="00D41DC7" w:rsidRDefault="00D41DC7" w:rsidP="0053109F">
            <w:r>
              <w:t xml:space="preserve">   Ministries of Health</w:t>
            </w:r>
          </w:p>
        </w:tc>
        <w:tc>
          <w:tcPr>
            <w:tcW w:w="4050" w:type="dxa"/>
            <w:tcBorders>
              <w:top w:val="nil"/>
              <w:left w:val="nil"/>
              <w:bottom w:val="nil"/>
              <w:right w:val="nil"/>
            </w:tcBorders>
            <w:shd w:val="clear" w:color="auto" w:fill="auto"/>
            <w:vAlign w:val="bottom"/>
          </w:tcPr>
          <w:p w:rsidR="00D41DC7" w:rsidRDefault="00D41DC7" w:rsidP="002379C6">
            <w:pPr>
              <w:spacing w:line="276" w:lineRule="auto"/>
            </w:pPr>
            <w:r>
              <w:t>Public Information Officers</w:t>
            </w:r>
          </w:p>
        </w:tc>
      </w:tr>
      <w:tr w:rsidR="00D41DC7" w:rsidRPr="00252A28" w:rsidTr="009C645D">
        <w:trPr>
          <w:jc w:val="center"/>
        </w:trPr>
        <w:tc>
          <w:tcPr>
            <w:tcW w:w="4680" w:type="dxa"/>
            <w:tcBorders>
              <w:top w:val="nil"/>
              <w:left w:val="nil"/>
              <w:bottom w:val="single" w:sz="4" w:space="0" w:color="auto"/>
              <w:right w:val="nil"/>
            </w:tcBorders>
            <w:shd w:val="clear" w:color="auto" w:fill="auto"/>
            <w:vAlign w:val="bottom"/>
          </w:tcPr>
          <w:p w:rsidR="00D41DC7" w:rsidRDefault="00D41DC7" w:rsidP="00F9665F">
            <w:r>
              <w:t xml:space="preserve">   NGOs (e.g., WHO, UNICEF)</w:t>
            </w:r>
          </w:p>
        </w:tc>
        <w:tc>
          <w:tcPr>
            <w:tcW w:w="4050" w:type="dxa"/>
            <w:tcBorders>
              <w:top w:val="nil"/>
              <w:left w:val="nil"/>
              <w:bottom w:val="single" w:sz="4" w:space="0" w:color="auto"/>
              <w:right w:val="nil"/>
            </w:tcBorders>
            <w:shd w:val="clear" w:color="auto" w:fill="auto"/>
            <w:vAlign w:val="bottom"/>
          </w:tcPr>
          <w:p w:rsidR="00D41DC7" w:rsidRDefault="00D41DC7" w:rsidP="002379C6">
            <w:pPr>
              <w:spacing w:line="276" w:lineRule="auto"/>
            </w:pPr>
            <w:r>
              <w:t>Primary CDC point of contact</w:t>
            </w:r>
          </w:p>
        </w:tc>
      </w:tr>
    </w:tbl>
    <w:p w:rsidR="00252A28" w:rsidRDefault="00252A28">
      <w:pPr>
        <w:rPr>
          <w:b/>
        </w:rPr>
      </w:pPr>
    </w:p>
    <w:p w:rsidR="0073155D" w:rsidRDefault="0073155D">
      <w:pPr>
        <w:rPr>
          <w:b/>
        </w:rPr>
      </w:pPr>
    </w:p>
    <w:p w:rsidR="003B348B" w:rsidRDefault="003B348B">
      <w:pPr>
        <w:rPr>
          <w:b/>
        </w:rPr>
      </w:pPr>
      <w:r>
        <w:rPr>
          <w:b/>
        </w:rPr>
        <w:br w:type="page"/>
      </w:r>
    </w:p>
    <w:p w:rsidR="00B46F2C" w:rsidRPr="00F06866" w:rsidRDefault="00B46F2C">
      <w:pPr>
        <w:rPr>
          <w:b/>
        </w:rPr>
      </w:pPr>
      <w:r>
        <w:rPr>
          <w:b/>
        </w:rPr>
        <w:lastRenderedPageBreak/>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 Customer</w:t>
      </w:r>
      <w:r w:rsidR="004766DB">
        <w:rPr>
          <w:bCs/>
          <w:sz w:val="24"/>
        </w:rPr>
        <w:t xml:space="preserve"> Comment Card/Complaint Form </w:t>
      </w:r>
      <w:r w:rsidR="004766DB">
        <w:rPr>
          <w:bCs/>
          <w:sz w:val="24"/>
        </w:rPr>
        <w:tab/>
        <w:t>[</w:t>
      </w:r>
      <w:r w:rsidR="00DD6ADB">
        <w:rPr>
          <w:bCs/>
          <w:sz w:val="24"/>
        </w:rPr>
        <w:t xml:space="preserve"> </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DD6ADB">
        <w:rPr>
          <w:bCs/>
          <w:sz w:val="24"/>
        </w:rPr>
        <w:t>X</w:t>
      </w:r>
      <w:r w:rsidR="001D0776" w:rsidRPr="00F06866">
        <w:rPr>
          <w:bCs/>
          <w:sz w:val="24"/>
        </w:rPr>
        <w:t>]</w:t>
      </w:r>
      <w:r w:rsidR="001D0776">
        <w:rPr>
          <w:bCs/>
          <w:sz w:val="24"/>
        </w:rPr>
        <w:t xml:space="preserve"> </w:t>
      </w:r>
      <w:r>
        <w:rPr>
          <w:bCs/>
          <w:sz w:val="24"/>
        </w:rPr>
        <w:t>Other:</w:t>
      </w:r>
      <w:r w:rsidR="00DD6ADB">
        <w:rPr>
          <w:bCs/>
          <w:sz w:val="24"/>
          <w:u w:val="single"/>
        </w:rPr>
        <w:t xml:space="preserve"> key informant interviews</w:t>
      </w:r>
    </w:p>
    <w:p w:rsidR="001D0776" w:rsidRDefault="001D0776">
      <w:pPr>
        <w:rPr>
          <w:b/>
        </w:rPr>
      </w:pPr>
    </w:p>
    <w:p w:rsidR="003B348B" w:rsidRDefault="003B348B">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CF3DBD" w:rsidP="009C13B9">
      <w:r>
        <w:t>Name: ______</w:t>
      </w:r>
      <w:r w:rsidR="000F734F">
        <w:t xml:space="preserve">Kris Sheedy; </w:t>
      </w:r>
      <w:r w:rsidR="000F734F" w:rsidRPr="000F734F">
        <w:t>kjs8@cdc.gov</w:t>
      </w:r>
      <w:r>
        <w:t>_____</w:t>
      </w:r>
      <w:r w:rsidR="000B5D47">
        <w:t xml:space="preserve"> </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Pr="00B62D1E" w:rsidRDefault="00B46F2C" w:rsidP="00C86E91">
      <w:pPr>
        <w:pStyle w:val="ListParagraph"/>
        <w:numPr>
          <w:ilvl w:val="0"/>
          <w:numId w:val="18"/>
        </w:numPr>
      </w:pPr>
      <w:r w:rsidRPr="00B62D1E">
        <w:t>Is personally identifiable informatio</w:t>
      </w:r>
      <w:r w:rsidR="004766DB" w:rsidRPr="00B62D1E">
        <w:t>n (PII) collected?  [  ] Yes  [X</w:t>
      </w:r>
      <w:r w:rsidRPr="00B62D1E">
        <w:t xml:space="preserve">]  No </w:t>
      </w:r>
    </w:p>
    <w:p w:rsidR="00B46F2C" w:rsidRPr="00FC3705" w:rsidRDefault="00B46F2C" w:rsidP="00C86E91">
      <w:pPr>
        <w:pStyle w:val="ListParagraph"/>
        <w:numPr>
          <w:ilvl w:val="0"/>
          <w:numId w:val="18"/>
        </w:numPr>
      </w:pPr>
      <w:r w:rsidRPr="00FC3705">
        <w:t xml:space="preserve">If </w:t>
      </w:r>
      <w:proofErr w:type="gramStart"/>
      <w:r w:rsidRPr="00FC3705">
        <w:t>Yes</w:t>
      </w:r>
      <w:proofErr w:type="gramEnd"/>
      <w:r w:rsidRPr="00FC3705">
        <w:t xml:space="preserve">, is the information that will be collected included in records that are subject to the Privacy Act of 1974?   [  ] Yes [ </w:t>
      </w:r>
      <w:r w:rsidR="00E021DC">
        <w:t>X</w:t>
      </w:r>
      <w:r w:rsidRPr="00FC3705">
        <w:t xml:space="preserve">] No  </w:t>
      </w:r>
    </w:p>
    <w:p w:rsidR="00B46F2C" w:rsidRDefault="00B46F2C" w:rsidP="00C86E91">
      <w:pPr>
        <w:pStyle w:val="ListParagraph"/>
        <w:numPr>
          <w:ilvl w:val="0"/>
          <w:numId w:val="18"/>
        </w:numPr>
      </w:pPr>
      <w:r>
        <w:t>If Applicable, has a System or Records Notice been published?  [  ] Yes  [  ] No</w:t>
      </w:r>
    </w:p>
    <w:p w:rsidR="009F4055" w:rsidRDefault="009F4055" w:rsidP="00C86E91">
      <w:pPr>
        <w:pStyle w:val="ListParagraph"/>
        <w:ind w:left="0"/>
        <w:rPr>
          <w:b/>
        </w:rPr>
      </w:pPr>
    </w:p>
    <w:p w:rsidR="00B46F2C" w:rsidRPr="00C86E91" w:rsidRDefault="00B46F2C" w:rsidP="00C86E91">
      <w:pPr>
        <w:pStyle w:val="ListParagraph"/>
        <w:ind w:left="0"/>
        <w:rPr>
          <w:b/>
        </w:rPr>
      </w:pPr>
      <w:r>
        <w:rPr>
          <w:b/>
        </w:rPr>
        <w:t>Gifts or Payments:</w:t>
      </w:r>
    </w:p>
    <w:p w:rsidR="001D0776" w:rsidRDefault="00B46F2C">
      <w:r>
        <w:t>Is an incentive (e.g., money or reimbursement of expenses, token of appreciation) provide</w:t>
      </w:r>
      <w:r w:rsidR="004766DB">
        <w:t>d to participants?  [  ] Yes [X</w:t>
      </w:r>
      <w:r>
        <w:t>] No</w:t>
      </w:r>
    </w:p>
    <w:p w:rsidR="00D41DC7" w:rsidRDefault="00D41DC7"/>
    <w:p w:rsidR="00D41DC7" w:rsidRDefault="00D41DC7"/>
    <w:p w:rsidR="00B46F2C" w:rsidRPr="00702C8E" w:rsidRDefault="00B46F2C" w:rsidP="00C86E91">
      <w:pPr>
        <w:rPr>
          <w:i/>
        </w:rPr>
      </w:pPr>
      <w:r w:rsidRPr="00702C8E">
        <w:rPr>
          <w:b/>
        </w:rPr>
        <w:t>BURDEN HOURS</w:t>
      </w:r>
      <w:r w:rsidRPr="00702C8E">
        <w:t xml:space="preserve"> </w:t>
      </w:r>
    </w:p>
    <w:p w:rsidR="00B46F2C" w:rsidRPr="00702C8E" w:rsidRDefault="00B46F2C" w:rsidP="00F3170F">
      <w:pPr>
        <w:keepNext/>
        <w:keepLines/>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610"/>
        <w:gridCol w:w="2250"/>
        <w:gridCol w:w="1080"/>
      </w:tblGrid>
      <w:tr w:rsidR="00B46F2C" w:rsidRPr="00702C8E" w:rsidTr="00FC3705">
        <w:trPr>
          <w:trHeight w:val="274"/>
        </w:trPr>
        <w:tc>
          <w:tcPr>
            <w:tcW w:w="3528" w:type="dxa"/>
          </w:tcPr>
          <w:p w:rsidR="00B46F2C" w:rsidRPr="00702C8E" w:rsidRDefault="00B46F2C" w:rsidP="00C8488C">
            <w:pPr>
              <w:rPr>
                <w:b/>
              </w:rPr>
            </w:pPr>
            <w:r w:rsidRPr="00702C8E">
              <w:rPr>
                <w:b/>
              </w:rPr>
              <w:t xml:space="preserve">Category of Respondent </w:t>
            </w:r>
          </w:p>
        </w:tc>
        <w:tc>
          <w:tcPr>
            <w:tcW w:w="2610" w:type="dxa"/>
          </w:tcPr>
          <w:p w:rsidR="00B46F2C" w:rsidRPr="00702C8E" w:rsidRDefault="00B46F2C" w:rsidP="004766DB">
            <w:pPr>
              <w:jc w:val="center"/>
              <w:rPr>
                <w:b/>
              </w:rPr>
            </w:pPr>
            <w:r w:rsidRPr="00702C8E">
              <w:rPr>
                <w:b/>
              </w:rPr>
              <w:t>No. of Respondents</w:t>
            </w:r>
          </w:p>
        </w:tc>
        <w:tc>
          <w:tcPr>
            <w:tcW w:w="2250" w:type="dxa"/>
          </w:tcPr>
          <w:p w:rsidR="00B46F2C" w:rsidRPr="00702C8E" w:rsidRDefault="00B46F2C" w:rsidP="004766DB">
            <w:pPr>
              <w:jc w:val="center"/>
              <w:rPr>
                <w:b/>
              </w:rPr>
            </w:pPr>
            <w:r w:rsidRPr="00702C8E">
              <w:rPr>
                <w:b/>
              </w:rPr>
              <w:t>Participation Time</w:t>
            </w:r>
          </w:p>
        </w:tc>
        <w:tc>
          <w:tcPr>
            <w:tcW w:w="1080" w:type="dxa"/>
          </w:tcPr>
          <w:p w:rsidR="00B46F2C" w:rsidRPr="00702C8E" w:rsidRDefault="00B46F2C" w:rsidP="004766DB">
            <w:pPr>
              <w:jc w:val="center"/>
              <w:rPr>
                <w:b/>
              </w:rPr>
            </w:pPr>
            <w:r w:rsidRPr="00702C8E">
              <w:rPr>
                <w:b/>
              </w:rPr>
              <w:t>Burden</w:t>
            </w:r>
          </w:p>
        </w:tc>
      </w:tr>
      <w:tr w:rsidR="00B46F2C" w:rsidRPr="00702C8E" w:rsidTr="00FC3705">
        <w:trPr>
          <w:trHeight w:val="274"/>
        </w:trPr>
        <w:tc>
          <w:tcPr>
            <w:tcW w:w="3528" w:type="dxa"/>
          </w:tcPr>
          <w:p w:rsidR="00B46F2C" w:rsidRPr="00702C8E" w:rsidRDefault="004766DB" w:rsidP="00843796">
            <w:r w:rsidRPr="00702C8E">
              <w:t>State, local, or tribal governments</w:t>
            </w:r>
          </w:p>
        </w:tc>
        <w:tc>
          <w:tcPr>
            <w:tcW w:w="2610" w:type="dxa"/>
          </w:tcPr>
          <w:p w:rsidR="00B46F2C" w:rsidRPr="00702C8E" w:rsidRDefault="0072103A" w:rsidP="004766DB">
            <w:pPr>
              <w:jc w:val="center"/>
            </w:pPr>
            <w:r>
              <w:t>2</w:t>
            </w:r>
            <w:r w:rsidR="00ED46FA">
              <w:t>2</w:t>
            </w:r>
          </w:p>
        </w:tc>
        <w:tc>
          <w:tcPr>
            <w:tcW w:w="2250" w:type="dxa"/>
          </w:tcPr>
          <w:p w:rsidR="00B46F2C" w:rsidRPr="00702C8E" w:rsidRDefault="004766DB" w:rsidP="004766DB">
            <w:pPr>
              <w:jc w:val="center"/>
            </w:pPr>
            <w:r w:rsidRPr="00702C8E">
              <w:t xml:space="preserve">45 </w:t>
            </w:r>
            <w:r w:rsidR="00CF3DBD" w:rsidRPr="00702C8E">
              <w:t>/ 60</w:t>
            </w:r>
          </w:p>
        </w:tc>
        <w:tc>
          <w:tcPr>
            <w:tcW w:w="1080" w:type="dxa"/>
          </w:tcPr>
          <w:p w:rsidR="00B46F2C" w:rsidRPr="00702C8E" w:rsidRDefault="00E021DC" w:rsidP="004766DB">
            <w:pPr>
              <w:jc w:val="center"/>
            </w:pPr>
            <w:r>
              <w:t xml:space="preserve">17 </w:t>
            </w:r>
          </w:p>
        </w:tc>
      </w:tr>
      <w:tr w:rsidR="004766DB" w:rsidRPr="00702C8E" w:rsidTr="00FC3705">
        <w:trPr>
          <w:trHeight w:val="274"/>
        </w:trPr>
        <w:tc>
          <w:tcPr>
            <w:tcW w:w="3528" w:type="dxa"/>
          </w:tcPr>
          <w:p w:rsidR="004766DB" w:rsidRPr="00702C8E" w:rsidRDefault="006E094C" w:rsidP="00843796">
            <w:r w:rsidRPr="00702C8E">
              <w:t>Private sector</w:t>
            </w:r>
          </w:p>
        </w:tc>
        <w:tc>
          <w:tcPr>
            <w:tcW w:w="2610" w:type="dxa"/>
          </w:tcPr>
          <w:p w:rsidR="004766DB" w:rsidRPr="00702C8E" w:rsidRDefault="00ED46FA" w:rsidP="00ED46FA">
            <w:pPr>
              <w:jc w:val="center"/>
            </w:pPr>
            <w:r>
              <w:t>14</w:t>
            </w:r>
          </w:p>
        </w:tc>
        <w:tc>
          <w:tcPr>
            <w:tcW w:w="2250" w:type="dxa"/>
          </w:tcPr>
          <w:p w:rsidR="004766DB" w:rsidRPr="00702C8E" w:rsidRDefault="00CF3DBD" w:rsidP="004766DB">
            <w:pPr>
              <w:jc w:val="center"/>
            </w:pPr>
            <w:r w:rsidRPr="00702C8E">
              <w:t>45 / 60</w:t>
            </w:r>
          </w:p>
        </w:tc>
        <w:tc>
          <w:tcPr>
            <w:tcW w:w="1080" w:type="dxa"/>
          </w:tcPr>
          <w:p w:rsidR="004766DB" w:rsidRPr="00702C8E" w:rsidRDefault="00E021DC" w:rsidP="004766DB">
            <w:pPr>
              <w:jc w:val="center"/>
            </w:pPr>
            <w:r>
              <w:t xml:space="preserve">11 </w:t>
            </w:r>
          </w:p>
        </w:tc>
      </w:tr>
      <w:tr w:rsidR="00B46F2C" w:rsidTr="00FC3705">
        <w:trPr>
          <w:trHeight w:val="289"/>
        </w:trPr>
        <w:tc>
          <w:tcPr>
            <w:tcW w:w="3528" w:type="dxa"/>
          </w:tcPr>
          <w:p w:rsidR="00B46F2C" w:rsidRPr="00702C8E" w:rsidRDefault="00B46F2C" w:rsidP="00843796">
            <w:pPr>
              <w:rPr>
                <w:b/>
              </w:rPr>
            </w:pPr>
            <w:r w:rsidRPr="00702C8E">
              <w:rPr>
                <w:b/>
              </w:rPr>
              <w:t>Totals</w:t>
            </w:r>
          </w:p>
        </w:tc>
        <w:tc>
          <w:tcPr>
            <w:tcW w:w="2610" w:type="dxa"/>
          </w:tcPr>
          <w:p w:rsidR="00B46F2C" w:rsidRPr="00702C8E" w:rsidRDefault="0072103A" w:rsidP="004766DB">
            <w:pPr>
              <w:jc w:val="center"/>
              <w:rPr>
                <w:b/>
              </w:rPr>
            </w:pPr>
            <w:r>
              <w:rPr>
                <w:b/>
              </w:rPr>
              <w:t>36</w:t>
            </w:r>
          </w:p>
        </w:tc>
        <w:tc>
          <w:tcPr>
            <w:tcW w:w="2250" w:type="dxa"/>
          </w:tcPr>
          <w:p w:rsidR="00B46F2C" w:rsidRPr="00702C8E" w:rsidRDefault="00B46F2C" w:rsidP="004766DB">
            <w:pPr>
              <w:jc w:val="center"/>
            </w:pPr>
          </w:p>
        </w:tc>
        <w:tc>
          <w:tcPr>
            <w:tcW w:w="1080" w:type="dxa"/>
          </w:tcPr>
          <w:p w:rsidR="00B46F2C" w:rsidRPr="00512CA7" w:rsidRDefault="00E021DC" w:rsidP="0072103A">
            <w:pPr>
              <w:jc w:val="center"/>
              <w:rPr>
                <w:b/>
              </w:rPr>
            </w:pPr>
            <w:r>
              <w:rPr>
                <w:b/>
              </w:rPr>
              <w:t xml:space="preserve">28 </w:t>
            </w:r>
          </w:p>
        </w:tc>
      </w:tr>
    </w:tbl>
    <w:p w:rsidR="00B46F2C" w:rsidRDefault="00B46F2C" w:rsidP="00F3170F"/>
    <w:p w:rsidR="00B46F2C" w:rsidRDefault="00B46F2C" w:rsidP="00F3170F"/>
    <w:p w:rsidR="00B46F2C" w:rsidRDefault="00B46F2C">
      <w:r>
        <w:rPr>
          <w:b/>
        </w:rPr>
        <w:t xml:space="preserve">FEDERAL COST:  </w:t>
      </w:r>
      <w:r>
        <w:t>The estimated annual cost to the Fed</w:t>
      </w:r>
      <w:r w:rsidR="00702C8E">
        <w:t xml:space="preserve">eral government is: </w:t>
      </w:r>
    </w:p>
    <w:p w:rsidR="005005F3" w:rsidRDefault="00702C8E" w:rsidP="000B5D47">
      <w:pPr>
        <w:spacing w:after="120"/>
      </w:pPr>
      <w:r w:rsidRPr="002C44F0">
        <w:t xml:space="preserve">The anticipated cost to the Federal Government is approximately </w:t>
      </w:r>
      <w:r w:rsidR="004F595F">
        <w:t>$45</w:t>
      </w:r>
      <w:r w:rsidR="007625B9">
        <w:t>00.</w:t>
      </w:r>
      <w:r w:rsidR="005005F3" w:rsidRPr="002C44F0">
        <w:t>These costs are comprised</w:t>
      </w:r>
      <w:r w:rsidR="005005F3">
        <w:t xml:space="preserve"> of:</w:t>
      </w:r>
    </w:p>
    <w:p w:rsidR="005005F3" w:rsidRPr="00702C8E" w:rsidRDefault="005005F3" w:rsidP="005005F3">
      <w:pPr>
        <w:ind w:left="720"/>
        <w:rPr>
          <w:b/>
        </w:rPr>
      </w:pPr>
      <w:r>
        <w:t>.0</w:t>
      </w:r>
      <w:r w:rsidR="007625B9">
        <w:t>2</w:t>
      </w:r>
      <w:r>
        <w:t xml:space="preserve"> FTE for survey management =</w:t>
      </w:r>
      <w:r>
        <w:tab/>
      </w:r>
      <w:r w:rsidR="00255620">
        <w:t>$</w:t>
      </w:r>
      <w:r w:rsidR="007625B9">
        <w:t>2500</w:t>
      </w:r>
    </w:p>
    <w:p w:rsidR="00702C8E" w:rsidRDefault="005005F3" w:rsidP="00702C8E">
      <w:pPr>
        <w:ind w:left="720"/>
      </w:pPr>
      <w:r>
        <w:t>C</w:t>
      </w:r>
      <w:r w:rsidR="00702C8E">
        <w:t>ontract staff labor</w:t>
      </w:r>
      <w:r>
        <w:t xml:space="preserve"> =</w:t>
      </w:r>
      <w:r>
        <w:tab/>
      </w:r>
      <w:r>
        <w:tab/>
      </w:r>
      <w:r>
        <w:tab/>
        <w:t>$</w:t>
      </w:r>
      <w:r w:rsidR="004F595F">
        <w:t>20</w:t>
      </w:r>
      <w:r w:rsidR="007625B9">
        <w:t>00</w:t>
      </w:r>
    </w:p>
    <w:p w:rsidR="005005F3" w:rsidRDefault="005005F3">
      <w:pPr>
        <w:rPr>
          <w:b/>
          <w:bCs/>
          <w:u w:val="single"/>
        </w:rPr>
      </w:pPr>
    </w:p>
    <w:p w:rsidR="003B348B" w:rsidRDefault="003B348B" w:rsidP="00F06866">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w:t>
      </w:r>
      <w:r w:rsidR="00A931C7">
        <w:t>g from this universe?</w:t>
      </w:r>
      <w:r w:rsidR="00A931C7">
        <w:tab/>
        <w:t>[ ] Yes</w:t>
      </w:r>
      <w:r w:rsidR="00A931C7">
        <w:tab/>
        <w:t>[</w:t>
      </w:r>
      <w:r w:rsidR="00E52BA1">
        <w:t>X] No</w:t>
      </w:r>
    </w:p>
    <w:p w:rsidR="00B46F2C" w:rsidRDefault="00B46F2C" w:rsidP="00636621">
      <w:pPr>
        <w:pStyle w:val="ListParagraph"/>
      </w:pPr>
    </w:p>
    <w:p w:rsidR="00E52BA1" w:rsidRDefault="00B46F2C" w:rsidP="00E52BA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52BA1" w:rsidRDefault="00E52BA1" w:rsidP="00E52BA1"/>
    <w:p w:rsidR="009F5F36" w:rsidRPr="00F64427" w:rsidRDefault="00C2725A" w:rsidP="009F5F36">
      <w:r w:rsidRPr="00ED0BAD">
        <w:t>Individual k</w:t>
      </w:r>
      <w:r w:rsidR="00D46291" w:rsidRPr="00ED0BAD">
        <w:t>ey in</w:t>
      </w:r>
      <w:r w:rsidR="0088181A" w:rsidRPr="00ED0BAD">
        <w:t xml:space="preserve">formants </w:t>
      </w:r>
      <w:r w:rsidR="00D46291" w:rsidRPr="00ED0BAD">
        <w:t xml:space="preserve">will be </w:t>
      </w:r>
      <w:r w:rsidR="00D46291" w:rsidRPr="003B348B">
        <w:t>identified by</w:t>
      </w:r>
      <w:r w:rsidRPr="009F5F36">
        <w:t xml:space="preserve"> </w:t>
      </w:r>
      <w:r w:rsidR="009F194E" w:rsidRPr="009F5F36">
        <w:t xml:space="preserve">members </w:t>
      </w:r>
      <w:r w:rsidRPr="009F5F36">
        <w:t>of</w:t>
      </w:r>
      <w:r w:rsidR="00EF320D">
        <w:t xml:space="preserve"> the CDC </w:t>
      </w:r>
      <w:r w:rsidR="00EF320D" w:rsidRPr="000A1CE1">
        <w:t>Emergency and Risk Communication Working Group</w:t>
      </w:r>
      <w:r w:rsidR="009F5F36" w:rsidRPr="00ED0BAD">
        <w:t>. This working group was formed in March, 2014 and is chaired by the O</w:t>
      </w:r>
      <w:r w:rsidR="00EF320D">
        <w:t xml:space="preserve">ffice of the </w:t>
      </w:r>
      <w:r w:rsidR="009F5F36" w:rsidRPr="00ED0BAD">
        <w:t>A</w:t>
      </w:r>
      <w:r w:rsidR="00EF320D">
        <w:t xml:space="preserve">ssociate </w:t>
      </w:r>
      <w:r w:rsidR="009F5F36" w:rsidRPr="00ED0BAD">
        <w:t>D</w:t>
      </w:r>
      <w:r w:rsidR="00EF320D">
        <w:t xml:space="preserve">irector for </w:t>
      </w:r>
      <w:r w:rsidR="009F5F36" w:rsidRPr="00ED0BAD">
        <w:t>C</w:t>
      </w:r>
      <w:r w:rsidR="00EF320D">
        <w:t>ommunication (OADC)</w:t>
      </w:r>
      <w:r w:rsidR="009F5F36" w:rsidRPr="00ED0BAD">
        <w:t xml:space="preserve"> Director. The group includes communication leads from NCEH,</w:t>
      </w:r>
      <w:r w:rsidR="009F5F36">
        <w:t xml:space="preserve"> </w:t>
      </w:r>
      <w:r w:rsidR="009F5F36" w:rsidRPr="00F64427">
        <w:t xml:space="preserve">NCEZID, NCIRD, NCIPC, CGH, one division-level ADCS, </w:t>
      </w:r>
      <w:r w:rsidR="009F5F36">
        <w:t xml:space="preserve">OADC’s </w:t>
      </w:r>
      <w:r w:rsidR="009F5F36" w:rsidRPr="00F64427">
        <w:t>Divisions of Public Affairs and Communication Services, as well as representation from OPHPR A</w:t>
      </w:r>
      <w:r w:rsidR="004677E9">
        <w:t>DC office and ERCB. The group works</w:t>
      </w:r>
      <w:r w:rsidR="004677E9" w:rsidRPr="00F64427">
        <w:t xml:space="preserve"> to determine the optimal process for th</w:t>
      </w:r>
      <w:r w:rsidR="004677E9">
        <w:t>e</w:t>
      </w:r>
      <w:r w:rsidR="004677E9" w:rsidRPr="00F64427">
        <w:t xml:space="preserve"> assessment of  the agency’s functioning ability before/during/after emergency risk communication responses to ensure standards are maintained at or above current quality levels.</w:t>
      </w:r>
    </w:p>
    <w:p w:rsidR="009F5F36" w:rsidRDefault="009F5F36" w:rsidP="009F5F36">
      <w:pPr>
        <w:pStyle w:val="Heading1"/>
        <w:rPr>
          <w:b w:val="0"/>
        </w:rPr>
      </w:pPr>
    </w:p>
    <w:p w:rsidR="004677E9" w:rsidRDefault="004677E9" w:rsidP="004677E9"/>
    <w:p w:rsidR="004677E9" w:rsidRDefault="004677E9" w:rsidP="004677E9">
      <w:pPr>
        <w:spacing w:after="120"/>
      </w:pPr>
      <w:r>
        <w:t xml:space="preserve">The respondents are individuals working in organizations that have partnered with CDC in Ebola emergency risk communication efforts and are in a position to provide informative feedback regarding the value and utility of the communication support they have received during the Ebola response. Respondents will include staff from state/local health departments including but not limited to health commissioners and public information officers as well as hospital staff such as hospital administrators from Georgia, Maine, New Jersey, New York, Ohio and Texas.  Additionally, individuals with communication responsibilities working in three West African countries, Guinea, Liberia and Sierra Leone, affected by the Ebola outbreak are included in the respondent universe.  Those identified from West Africa will include Public Information Officers from Ministries of Health and CDC’s primary points of contact from non-governmental organizations such as World Health Organization and UNICEF. </w:t>
      </w:r>
    </w:p>
    <w:p w:rsidR="004677E9" w:rsidRDefault="004677E9" w:rsidP="004677E9">
      <w:pPr>
        <w:spacing w:after="120"/>
      </w:pPr>
      <w:r>
        <w:t>If additional e</w:t>
      </w:r>
      <w:r w:rsidR="008F0F43">
        <w:t xml:space="preserve">xpertise is needed, the CDC </w:t>
      </w:r>
      <w:r w:rsidR="008F0F43" w:rsidRPr="000A1CE1">
        <w:t>Emergency and Risk Communication Working Group</w:t>
      </w:r>
      <w:r w:rsidR="008F0F43">
        <w:t xml:space="preserve"> </w:t>
      </w:r>
      <w:r>
        <w:t>will identify additional persons to participate</w:t>
      </w:r>
      <w:r w:rsidR="005F55FF">
        <w:t xml:space="preserve"> within the states/countries listed</w:t>
      </w:r>
      <w:r>
        <w:t xml:space="preserve">.    </w:t>
      </w:r>
    </w:p>
    <w:p w:rsidR="004677E9" w:rsidRDefault="004677E9" w:rsidP="00E52BA1"/>
    <w:p w:rsidR="00D46291" w:rsidRDefault="00D46291" w:rsidP="00E52BA1">
      <w:r w:rsidRPr="004B1AC3">
        <w:t>Key informant</w:t>
      </w:r>
      <w:r w:rsidR="00E33150">
        <w:t xml:space="preserve">s will be contacted by </w:t>
      </w:r>
      <w:r w:rsidRPr="004B1AC3">
        <w:t>project staff</w:t>
      </w:r>
      <w:r w:rsidR="00592B4A">
        <w:t xml:space="preserve"> to </w:t>
      </w:r>
      <w:r w:rsidR="009F194E">
        <w:t>request their participation</w:t>
      </w:r>
      <w:r w:rsidR="00F3128C">
        <w:t xml:space="preserve"> in the following three steps:</w:t>
      </w:r>
    </w:p>
    <w:p w:rsidR="00D51D38" w:rsidRDefault="00D51D38" w:rsidP="00E52BA1"/>
    <w:p w:rsidR="00C2725A" w:rsidRDefault="00F3128C" w:rsidP="00FC591F">
      <w:pPr>
        <w:pStyle w:val="ListParagraph"/>
        <w:numPr>
          <w:ilvl w:val="0"/>
          <w:numId w:val="29"/>
        </w:numPr>
      </w:pPr>
      <w:r>
        <w:t>Potential participants will receiv</w:t>
      </w:r>
      <w:r w:rsidR="00C2725A">
        <w:t>e</w:t>
      </w:r>
      <w:r>
        <w:t xml:space="preserve"> an e</w:t>
      </w:r>
      <w:r w:rsidR="00D51D38">
        <w:t xml:space="preserve">mail </w:t>
      </w:r>
      <w:r>
        <w:t xml:space="preserve">invitation </w:t>
      </w:r>
      <w:r w:rsidR="00D51D38">
        <w:t>(see attachment B)</w:t>
      </w:r>
    </w:p>
    <w:p w:rsidR="00C2725A" w:rsidRDefault="00C2725A" w:rsidP="00FC591F">
      <w:pPr>
        <w:pStyle w:val="ListParagraph"/>
        <w:numPr>
          <w:ilvl w:val="0"/>
          <w:numId w:val="29"/>
        </w:numPr>
      </w:pPr>
      <w:r>
        <w:t xml:space="preserve">Individuals that choose to participate will indicate their availability for interviews via a </w:t>
      </w:r>
      <w:r w:rsidR="00D51D38">
        <w:t>doodle poll (s</w:t>
      </w:r>
      <w:r>
        <w:t>ee Attach</w:t>
      </w:r>
      <w:r w:rsidR="00D51D38">
        <w:t>ment C)</w:t>
      </w:r>
    </w:p>
    <w:p w:rsidR="005033A5" w:rsidRPr="004B1AC3" w:rsidRDefault="00C2725A" w:rsidP="00FC591F">
      <w:pPr>
        <w:pStyle w:val="ListParagraph"/>
        <w:numPr>
          <w:ilvl w:val="0"/>
          <w:numId w:val="29"/>
        </w:numPr>
      </w:pPr>
      <w:r>
        <w:t xml:space="preserve">Participants will receive an email </w:t>
      </w:r>
      <w:r w:rsidR="00CE118F">
        <w:t>confirmation with their chosen date and time</w:t>
      </w:r>
      <w:r>
        <w:t xml:space="preserve"> available </w:t>
      </w:r>
      <w:r w:rsidR="00D51D38">
        <w:t>(see attachment D)</w:t>
      </w:r>
      <w:r w:rsidR="005033A5">
        <w:t xml:space="preserve"> as well as an information sheet describing the </w:t>
      </w:r>
      <w:r w:rsidR="009827DA">
        <w:t>interview (see Attachment E)</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4766DB" w:rsidP="001B0AAA">
      <w:pPr>
        <w:ind w:left="720"/>
      </w:pPr>
      <w:r>
        <w:t>[X</w:t>
      </w:r>
      <w:r w:rsidR="00B46F2C">
        <w:t>] Telephone</w:t>
      </w:r>
      <w:r w:rsidR="00B46F2C">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E52BA1" w:rsidRDefault="00E52BA1" w:rsidP="001B0AAA">
      <w:pPr>
        <w:ind w:left="720"/>
      </w:pPr>
    </w:p>
    <w:p w:rsidR="00B46F2C" w:rsidRDefault="00B46F2C" w:rsidP="00F24CFC">
      <w:pPr>
        <w:pStyle w:val="ListParagraph"/>
        <w:numPr>
          <w:ilvl w:val="0"/>
          <w:numId w:val="17"/>
        </w:numPr>
      </w:pPr>
      <w:r>
        <w:t>Will interviewe</w:t>
      </w:r>
      <w:r w:rsidR="004766DB">
        <w:t>rs or facilitators be used?  [X</w:t>
      </w:r>
      <w:r>
        <w:t>] Yes [  ] No</w:t>
      </w:r>
    </w:p>
    <w:p w:rsidR="00B46F2C" w:rsidRDefault="00B46F2C" w:rsidP="00F24CFC">
      <w:pPr>
        <w:pStyle w:val="ListParagraph"/>
        <w:ind w:left="360"/>
      </w:pPr>
      <w:r>
        <w:t xml:space="preserve"> </w:t>
      </w:r>
    </w:p>
    <w:p w:rsidR="00E52BA1" w:rsidRDefault="00E52BA1" w:rsidP="00E52BA1">
      <w:pPr>
        <w:rPr>
          <w:b/>
          <w:u w:val="single"/>
        </w:rPr>
      </w:pPr>
      <w:r w:rsidRPr="00E52BA1">
        <w:rPr>
          <w:b/>
          <w:u w:val="single"/>
        </w:rPr>
        <w:t>Attachments</w:t>
      </w:r>
    </w:p>
    <w:p w:rsidR="00E52BA1" w:rsidRPr="00E52BA1" w:rsidRDefault="00E52BA1" w:rsidP="00E52BA1">
      <w:pPr>
        <w:rPr>
          <w:b/>
          <w:u w:val="single"/>
        </w:rPr>
      </w:pPr>
      <w:r>
        <w:t xml:space="preserve">Attachment A: </w:t>
      </w:r>
      <w:r w:rsidRPr="00E52BA1">
        <w:t>Emergency Risk Communication Evaluation Interview Guide_ External Partners</w:t>
      </w:r>
    </w:p>
    <w:p w:rsidR="00E52BA1" w:rsidRDefault="00E52BA1" w:rsidP="00E52BA1">
      <w:r>
        <w:t xml:space="preserve">Attachment B: </w:t>
      </w:r>
      <w:r w:rsidR="006F7A07" w:rsidRPr="006F7A07">
        <w:t>Participation Email Invitation</w:t>
      </w:r>
    </w:p>
    <w:p w:rsidR="006F7A07" w:rsidRDefault="006F7A07" w:rsidP="00E52BA1">
      <w:r>
        <w:t xml:space="preserve">Attachment C: Interview </w:t>
      </w:r>
      <w:r w:rsidR="00FC591F">
        <w:t>Doodle P</w:t>
      </w:r>
      <w:r>
        <w:t>oll</w:t>
      </w:r>
    </w:p>
    <w:p w:rsidR="006F7A07" w:rsidRDefault="006F7A07" w:rsidP="00E52BA1">
      <w:r>
        <w:t xml:space="preserve">Attachment D: </w:t>
      </w:r>
      <w:r w:rsidRPr="006F7A07">
        <w:t>Confirmation to External Partners</w:t>
      </w:r>
    </w:p>
    <w:p w:rsidR="006F7A07" w:rsidRDefault="006F7A07" w:rsidP="006F7A07">
      <w:r>
        <w:t xml:space="preserve">Attachment E: </w:t>
      </w:r>
      <w:r w:rsidRPr="006F7A07">
        <w:t>External Partner Interview Participant Information Sheet</w:t>
      </w:r>
    </w:p>
    <w:p w:rsidR="006F7A07" w:rsidRPr="00E52BA1" w:rsidRDefault="006F7A07" w:rsidP="00E52BA1"/>
    <w:p w:rsidR="00E52BA1" w:rsidRPr="00E52BA1" w:rsidRDefault="00E52BA1" w:rsidP="00E52BA1">
      <w:pPr>
        <w:rPr>
          <w:b/>
          <w:bCs/>
          <w:sz w:val="28"/>
        </w:rPr>
      </w:pPr>
    </w:p>
    <w:sectPr w:rsidR="00E52BA1" w:rsidRPr="00E52BA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C3" w:rsidRDefault="00AA32C3">
      <w:r>
        <w:separator/>
      </w:r>
    </w:p>
  </w:endnote>
  <w:endnote w:type="continuationSeparator" w:id="0">
    <w:p w:rsidR="00AA32C3" w:rsidRDefault="00AA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C3" w:rsidRDefault="00AA32C3">
      <w:r>
        <w:separator/>
      </w:r>
    </w:p>
  </w:footnote>
  <w:footnote w:type="continuationSeparator" w:id="0">
    <w:p w:rsidR="00AA32C3" w:rsidRDefault="00AA3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205B55"/>
    <w:multiLevelType w:val="hybridMultilevel"/>
    <w:tmpl w:val="CF36E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852A5A"/>
    <w:multiLevelType w:val="hybridMultilevel"/>
    <w:tmpl w:val="E558E2A0"/>
    <w:lvl w:ilvl="0" w:tplc="A73418FE">
      <w:start w:val="1"/>
      <w:numFmt w:val="bullet"/>
      <w:lvlText w:val="•"/>
      <w:lvlJc w:val="left"/>
      <w:pPr>
        <w:tabs>
          <w:tab w:val="num" w:pos="720"/>
        </w:tabs>
        <w:ind w:left="720" w:hanging="360"/>
      </w:pPr>
      <w:rPr>
        <w:rFonts w:ascii="Arial" w:hAnsi="Arial" w:cs="Times New Roman" w:hint="default"/>
      </w:rPr>
    </w:lvl>
    <w:lvl w:ilvl="1" w:tplc="2BB4F558">
      <w:start w:val="4281"/>
      <w:numFmt w:val="bullet"/>
      <w:lvlText w:val="•"/>
      <w:lvlJc w:val="left"/>
      <w:pPr>
        <w:tabs>
          <w:tab w:val="num" w:pos="1440"/>
        </w:tabs>
        <w:ind w:left="1440" w:hanging="360"/>
      </w:pPr>
      <w:rPr>
        <w:rFonts w:ascii="Arial" w:hAnsi="Arial" w:cs="Times New Roman" w:hint="default"/>
      </w:rPr>
    </w:lvl>
    <w:lvl w:ilvl="2" w:tplc="BE729FF6">
      <w:start w:val="1"/>
      <w:numFmt w:val="bullet"/>
      <w:lvlText w:val="•"/>
      <w:lvlJc w:val="left"/>
      <w:pPr>
        <w:tabs>
          <w:tab w:val="num" w:pos="2160"/>
        </w:tabs>
        <w:ind w:left="2160" w:hanging="360"/>
      </w:pPr>
      <w:rPr>
        <w:rFonts w:ascii="Arial" w:hAnsi="Arial" w:cs="Times New Roman" w:hint="default"/>
      </w:rPr>
    </w:lvl>
    <w:lvl w:ilvl="3" w:tplc="0B865926">
      <w:start w:val="1"/>
      <w:numFmt w:val="bullet"/>
      <w:lvlText w:val="•"/>
      <w:lvlJc w:val="left"/>
      <w:pPr>
        <w:tabs>
          <w:tab w:val="num" w:pos="2880"/>
        </w:tabs>
        <w:ind w:left="2880" w:hanging="360"/>
      </w:pPr>
      <w:rPr>
        <w:rFonts w:ascii="Arial" w:hAnsi="Arial" w:cs="Times New Roman" w:hint="default"/>
      </w:rPr>
    </w:lvl>
    <w:lvl w:ilvl="4" w:tplc="95BCC334">
      <w:start w:val="1"/>
      <w:numFmt w:val="bullet"/>
      <w:lvlText w:val="•"/>
      <w:lvlJc w:val="left"/>
      <w:pPr>
        <w:tabs>
          <w:tab w:val="num" w:pos="3600"/>
        </w:tabs>
        <w:ind w:left="3600" w:hanging="360"/>
      </w:pPr>
      <w:rPr>
        <w:rFonts w:ascii="Arial" w:hAnsi="Arial" w:cs="Times New Roman" w:hint="default"/>
      </w:rPr>
    </w:lvl>
    <w:lvl w:ilvl="5" w:tplc="49F82608">
      <w:start w:val="1"/>
      <w:numFmt w:val="bullet"/>
      <w:lvlText w:val="•"/>
      <w:lvlJc w:val="left"/>
      <w:pPr>
        <w:tabs>
          <w:tab w:val="num" w:pos="4320"/>
        </w:tabs>
        <w:ind w:left="4320" w:hanging="360"/>
      </w:pPr>
      <w:rPr>
        <w:rFonts w:ascii="Arial" w:hAnsi="Arial" w:cs="Times New Roman" w:hint="default"/>
      </w:rPr>
    </w:lvl>
    <w:lvl w:ilvl="6" w:tplc="48EE4F7C">
      <w:start w:val="1"/>
      <w:numFmt w:val="bullet"/>
      <w:lvlText w:val="•"/>
      <w:lvlJc w:val="left"/>
      <w:pPr>
        <w:tabs>
          <w:tab w:val="num" w:pos="5040"/>
        </w:tabs>
        <w:ind w:left="5040" w:hanging="360"/>
      </w:pPr>
      <w:rPr>
        <w:rFonts w:ascii="Arial" w:hAnsi="Arial" w:cs="Times New Roman" w:hint="default"/>
      </w:rPr>
    </w:lvl>
    <w:lvl w:ilvl="7" w:tplc="C7BAA394">
      <w:start w:val="1"/>
      <w:numFmt w:val="bullet"/>
      <w:lvlText w:val="•"/>
      <w:lvlJc w:val="left"/>
      <w:pPr>
        <w:tabs>
          <w:tab w:val="num" w:pos="5760"/>
        </w:tabs>
        <w:ind w:left="5760" w:hanging="360"/>
      </w:pPr>
      <w:rPr>
        <w:rFonts w:ascii="Arial" w:hAnsi="Arial" w:cs="Times New Roman" w:hint="default"/>
      </w:rPr>
    </w:lvl>
    <w:lvl w:ilvl="8" w:tplc="D8EA0F22">
      <w:start w:val="1"/>
      <w:numFmt w:val="bullet"/>
      <w:lvlText w:val="•"/>
      <w:lvlJc w:val="left"/>
      <w:pPr>
        <w:tabs>
          <w:tab w:val="num" w:pos="6480"/>
        </w:tabs>
        <w:ind w:left="6480" w:hanging="360"/>
      </w:pPr>
      <w:rPr>
        <w:rFonts w:ascii="Arial" w:hAnsi="Arial" w:cs="Times New Roman"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C104D4"/>
    <w:multiLevelType w:val="hybridMultilevel"/>
    <w:tmpl w:val="5E461D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F474B3"/>
    <w:multiLevelType w:val="hybridMultilevel"/>
    <w:tmpl w:val="7A3A9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D0EBC"/>
    <w:multiLevelType w:val="hybridMultilevel"/>
    <w:tmpl w:val="F732DD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5D1088"/>
    <w:multiLevelType w:val="hybridMultilevel"/>
    <w:tmpl w:val="92A066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CB11AB"/>
    <w:multiLevelType w:val="hybridMultilevel"/>
    <w:tmpl w:val="1F4AA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2C26A5"/>
    <w:multiLevelType w:val="hybridMultilevel"/>
    <w:tmpl w:val="B3E6ED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3B01A5D"/>
    <w:multiLevelType w:val="hybridMultilevel"/>
    <w:tmpl w:val="10562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044656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5233464"/>
    <w:multiLevelType w:val="hybridMultilevel"/>
    <w:tmpl w:val="E1EE0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6F461A5A"/>
    <w:multiLevelType w:val="multilevel"/>
    <w:tmpl w:val="F4EEEA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7"/>
  </w:num>
  <w:num w:numId="3">
    <w:abstractNumId w:val="26"/>
  </w:num>
  <w:num w:numId="4">
    <w:abstractNumId w:val="28"/>
  </w:num>
  <w:num w:numId="5">
    <w:abstractNumId w:val="4"/>
  </w:num>
  <w:num w:numId="6">
    <w:abstractNumId w:val="1"/>
  </w:num>
  <w:num w:numId="7">
    <w:abstractNumId w:val="13"/>
  </w:num>
  <w:num w:numId="8">
    <w:abstractNumId w:val="23"/>
  </w:num>
  <w:num w:numId="9">
    <w:abstractNumId w:val="14"/>
  </w:num>
  <w:num w:numId="10">
    <w:abstractNumId w:val="2"/>
  </w:num>
  <w:num w:numId="11">
    <w:abstractNumId w:val="8"/>
  </w:num>
  <w:num w:numId="12">
    <w:abstractNumId w:val="9"/>
  </w:num>
  <w:num w:numId="13">
    <w:abstractNumId w:val="0"/>
  </w:num>
  <w:num w:numId="14">
    <w:abstractNumId w:val="25"/>
  </w:num>
  <w:num w:numId="15">
    <w:abstractNumId w:val="21"/>
  </w:num>
  <w:num w:numId="16">
    <w:abstractNumId w:val="19"/>
  </w:num>
  <w:num w:numId="17">
    <w:abstractNumId w:val="5"/>
  </w:num>
  <w:num w:numId="18">
    <w:abstractNumId w:val="7"/>
  </w:num>
  <w:num w:numId="19">
    <w:abstractNumId w:val="10"/>
  </w:num>
  <w:num w:numId="20">
    <w:abstractNumId w:val="22"/>
  </w:num>
  <w:num w:numId="21">
    <w:abstractNumId w:val="16"/>
  </w:num>
  <w:num w:numId="22">
    <w:abstractNumId w:val="24"/>
  </w:num>
  <w:num w:numId="23">
    <w:abstractNumId w:val="20"/>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8CA"/>
    <w:rsid w:val="00023A57"/>
    <w:rsid w:val="0003570B"/>
    <w:rsid w:val="00047A64"/>
    <w:rsid w:val="0005420B"/>
    <w:rsid w:val="00067329"/>
    <w:rsid w:val="000817B5"/>
    <w:rsid w:val="000B2838"/>
    <w:rsid w:val="000B5D47"/>
    <w:rsid w:val="000C46DA"/>
    <w:rsid w:val="000D06C0"/>
    <w:rsid w:val="000D44CA"/>
    <w:rsid w:val="000D6EAF"/>
    <w:rsid w:val="000E200B"/>
    <w:rsid w:val="000E44B7"/>
    <w:rsid w:val="000F68BE"/>
    <w:rsid w:val="000F734F"/>
    <w:rsid w:val="001004F5"/>
    <w:rsid w:val="0011643C"/>
    <w:rsid w:val="00125C45"/>
    <w:rsid w:val="001366C4"/>
    <w:rsid w:val="00146765"/>
    <w:rsid w:val="00146C17"/>
    <w:rsid w:val="001775C8"/>
    <w:rsid w:val="001873C5"/>
    <w:rsid w:val="00191EA6"/>
    <w:rsid w:val="001927A4"/>
    <w:rsid w:val="00194AC6"/>
    <w:rsid w:val="001A23B0"/>
    <w:rsid w:val="001A25CC"/>
    <w:rsid w:val="001A29D4"/>
    <w:rsid w:val="001B0AAA"/>
    <w:rsid w:val="001C39F7"/>
    <w:rsid w:val="001D0776"/>
    <w:rsid w:val="00235B70"/>
    <w:rsid w:val="002379C6"/>
    <w:rsid w:val="00237B48"/>
    <w:rsid w:val="0024521E"/>
    <w:rsid w:val="00252A28"/>
    <w:rsid w:val="00255620"/>
    <w:rsid w:val="00263C3D"/>
    <w:rsid w:val="00274D0B"/>
    <w:rsid w:val="002767AD"/>
    <w:rsid w:val="002821FF"/>
    <w:rsid w:val="002A140E"/>
    <w:rsid w:val="002B3C95"/>
    <w:rsid w:val="002C0E34"/>
    <w:rsid w:val="002D0B92"/>
    <w:rsid w:val="002D30E3"/>
    <w:rsid w:val="002D4DE0"/>
    <w:rsid w:val="002D7CCB"/>
    <w:rsid w:val="003113DB"/>
    <w:rsid w:val="00312737"/>
    <w:rsid w:val="00321E1F"/>
    <w:rsid w:val="00324464"/>
    <w:rsid w:val="0033239D"/>
    <w:rsid w:val="00346E5D"/>
    <w:rsid w:val="00357DE1"/>
    <w:rsid w:val="00360EF8"/>
    <w:rsid w:val="003675DB"/>
    <w:rsid w:val="00391900"/>
    <w:rsid w:val="003A7CF4"/>
    <w:rsid w:val="003B348B"/>
    <w:rsid w:val="003B6118"/>
    <w:rsid w:val="003D5BBE"/>
    <w:rsid w:val="003D7B6F"/>
    <w:rsid w:val="003E3C61"/>
    <w:rsid w:val="003E7B9C"/>
    <w:rsid w:val="003F1C5B"/>
    <w:rsid w:val="004023EE"/>
    <w:rsid w:val="0041337D"/>
    <w:rsid w:val="004144CE"/>
    <w:rsid w:val="00420699"/>
    <w:rsid w:val="00427D51"/>
    <w:rsid w:val="00434E33"/>
    <w:rsid w:val="00441434"/>
    <w:rsid w:val="00451B31"/>
    <w:rsid w:val="0045264C"/>
    <w:rsid w:val="004677E9"/>
    <w:rsid w:val="004766DB"/>
    <w:rsid w:val="004876EC"/>
    <w:rsid w:val="004D6E14"/>
    <w:rsid w:val="004F20D7"/>
    <w:rsid w:val="004F595F"/>
    <w:rsid w:val="005005F3"/>
    <w:rsid w:val="005009B0"/>
    <w:rsid w:val="005033A5"/>
    <w:rsid w:val="00512CA7"/>
    <w:rsid w:val="00522D47"/>
    <w:rsid w:val="0053109F"/>
    <w:rsid w:val="00565621"/>
    <w:rsid w:val="00573EA0"/>
    <w:rsid w:val="00576D3E"/>
    <w:rsid w:val="00592B4A"/>
    <w:rsid w:val="00593ECF"/>
    <w:rsid w:val="005A1006"/>
    <w:rsid w:val="005A2298"/>
    <w:rsid w:val="005B0EC6"/>
    <w:rsid w:val="005C7DD5"/>
    <w:rsid w:val="005E714A"/>
    <w:rsid w:val="005F29C6"/>
    <w:rsid w:val="005F55FF"/>
    <w:rsid w:val="005F7A4D"/>
    <w:rsid w:val="006140A0"/>
    <w:rsid w:val="0061754E"/>
    <w:rsid w:val="00620A5C"/>
    <w:rsid w:val="00635A6E"/>
    <w:rsid w:val="00636621"/>
    <w:rsid w:val="00642B49"/>
    <w:rsid w:val="006832D9"/>
    <w:rsid w:val="00691453"/>
    <w:rsid w:val="0069403B"/>
    <w:rsid w:val="006C3EB7"/>
    <w:rsid w:val="006E094C"/>
    <w:rsid w:val="006E12B5"/>
    <w:rsid w:val="006F1721"/>
    <w:rsid w:val="006F3DDE"/>
    <w:rsid w:val="006F3E3A"/>
    <w:rsid w:val="006F573C"/>
    <w:rsid w:val="006F7A07"/>
    <w:rsid w:val="00702C8E"/>
    <w:rsid w:val="00704678"/>
    <w:rsid w:val="0072103A"/>
    <w:rsid w:val="0073155D"/>
    <w:rsid w:val="007425E7"/>
    <w:rsid w:val="007625B9"/>
    <w:rsid w:val="00762961"/>
    <w:rsid w:val="007634F6"/>
    <w:rsid w:val="00771192"/>
    <w:rsid w:val="0077410C"/>
    <w:rsid w:val="00786864"/>
    <w:rsid w:val="007B5697"/>
    <w:rsid w:val="00802607"/>
    <w:rsid w:val="00805410"/>
    <w:rsid w:val="008101A5"/>
    <w:rsid w:val="00812E0F"/>
    <w:rsid w:val="00822664"/>
    <w:rsid w:val="00840FCA"/>
    <w:rsid w:val="00843796"/>
    <w:rsid w:val="0088181A"/>
    <w:rsid w:val="00895229"/>
    <w:rsid w:val="008A7ED2"/>
    <w:rsid w:val="008C0B8C"/>
    <w:rsid w:val="008C2323"/>
    <w:rsid w:val="008D0E00"/>
    <w:rsid w:val="008F0203"/>
    <w:rsid w:val="008F0F43"/>
    <w:rsid w:val="008F50D4"/>
    <w:rsid w:val="008F7655"/>
    <w:rsid w:val="009038A4"/>
    <w:rsid w:val="009239AA"/>
    <w:rsid w:val="00935ADA"/>
    <w:rsid w:val="00936A45"/>
    <w:rsid w:val="00946B6C"/>
    <w:rsid w:val="0095598B"/>
    <w:rsid w:val="00955A71"/>
    <w:rsid w:val="0096108F"/>
    <w:rsid w:val="009827DA"/>
    <w:rsid w:val="009C13B9"/>
    <w:rsid w:val="009C5A4D"/>
    <w:rsid w:val="009C645D"/>
    <w:rsid w:val="009D01A2"/>
    <w:rsid w:val="009F194E"/>
    <w:rsid w:val="009F356F"/>
    <w:rsid w:val="009F4055"/>
    <w:rsid w:val="009F5923"/>
    <w:rsid w:val="009F5F36"/>
    <w:rsid w:val="00A365C0"/>
    <w:rsid w:val="00A403BB"/>
    <w:rsid w:val="00A674DF"/>
    <w:rsid w:val="00A77217"/>
    <w:rsid w:val="00A83AA6"/>
    <w:rsid w:val="00A931C7"/>
    <w:rsid w:val="00AA32C3"/>
    <w:rsid w:val="00AB6D0F"/>
    <w:rsid w:val="00AE1809"/>
    <w:rsid w:val="00B34695"/>
    <w:rsid w:val="00B46F2C"/>
    <w:rsid w:val="00B6076B"/>
    <w:rsid w:val="00B62D1E"/>
    <w:rsid w:val="00B64775"/>
    <w:rsid w:val="00B80D76"/>
    <w:rsid w:val="00B90B80"/>
    <w:rsid w:val="00BA2105"/>
    <w:rsid w:val="00BA7E06"/>
    <w:rsid w:val="00BB43B5"/>
    <w:rsid w:val="00BB6219"/>
    <w:rsid w:val="00BC5C94"/>
    <w:rsid w:val="00BD0C5E"/>
    <w:rsid w:val="00BD290F"/>
    <w:rsid w:val="00BF1743"/>
    <w:rsid w:val="00C043E3"/>
    <w:rsid w:val="00C14CC4"/>
    <w:rsid w:val="00C17F9C"/>
    <w:rsid w:val="00C2725A"/>
    <w:rsid w:val="00C320AB"/>
    <w:rsid w:val="00C33C52"/>
    <w:rsid w:val="00C40D8B"/>
    <w:rsid w:val="00C46BE9"/>
    <w:rsid w:val="00C8407A"/>
    <w:rsid w:val="00C8488C"/>
    <w:rsid w:val="00C86E91"/>
    <w:rsid w:val="00C962BE"/>
    <w:rsid w:val="00CA2650"/>
    <w:rsid w:val="00CB1078"/>
    <w:rsid w:val="00CC6FAF"/>
    <w:rsid w:val="00CD612E"/>
    <w:rsid w:val="00CE118F"/>
    <w:rsid w:val="00CF17E1"/>
    <w:rsid w:val="00CF3DBD"/>
    <w:rsid w:val="00D020F3"/>
    <w:rsid w:val="00D24698"/>
    <w:rsid w:val="00D41DC7"/>
    <w:rsid w:val="00D46291"/>
    <w:rsid w:val="00D4747F"/>
    <w:rsid w:val="00D51D38"/>
    <w:rsid w:val="00D6383F"/>
    <w:rsid w:val="00D71221"/>
    <w:rsid w:val="00DB59D0"/>
    <w:rsid w:val="00DC33D3"/>
    <w:rsid w:val="00DD6ADB"/>
    <w:rsid w:val="00E021DC"/>
    <w:rsid w:val="00E2594A"/>
    <w:rsid w:val="00E26329"/>
    <w:rsid w:val="00E27491"/>
    <w:rsid w:val="00E33150"/>
    <w:rsid w:val="00E40B50"/>
    <w:rsid w:val="00E50293"/>
    <w:rsid w:val="00E52BA1"/>
    <w:rsid w:val="00E55E6D"/>
    <w:rsid w:val="00E63D5B"/>
    <w:rsid w:val="00E65FFC"/>
    <w:rsid w:val="00E80951"/>
    <w:rsid w:val="00E854FE"/>
    <w:rsid w:val="00E86CC6"/>
    <w:rsid w:val="00EB56B3"/>
    <w:rsid w:val="00ED0BAD"/>
    <w:rsid w:val="00ED44E7"/>
    <w:rsid w:val="00ED46FA"/>
    <w:rsid w:val="00ED6492"/>
    <w:rsid w:val="00EF2095"/>
    <w:rsid w:val="00EF27E6"/>
    <w:rsid w:val="00EF320D"/>
    <w:rsid w:val="00F06866"/>
    <w:rsid w:val="00F10500"/>
    <w:rsid w:val="00F15956"/>
    <w:rsid w:val="00F24CFC"/>
    <w:rsid w:val="00F3128C"/>
    <w:rsid w:val="00F3170F"/>
    <w:rsid w:val="00F4017B"/>
    <w:rsid w:val="00F40229"/>
    <w:rsid w:val="00F429D3"/>
    <w:rsid w:val="00F66FFB"/>
    <w:rsid w:val="00F90A80"/>
    <w:rsid w:val="00F94702"/>
    <w:rsid w:val="00F9665F"/>
    <w:rsid w:val="00F976B0"/>
    <w:rsid w:val="00FA6DE7"/>
    <w:rsid w:val="00FB113D"/>
    <w:rsid w:val="00FC0A8E"/>
    <w:rsid w:val="00FC3705"/>
    <w:rsid w:val="00FC5815"/>
    <w:rsid w:val="00FC591F"/>
    <w:rsid w:val="00FD088E"/>
    <w:rsid w:val="00FD1CA3"/>
    <w:rsid w:val="00FD426B"/>
    <w:rsid w:val="00FD66D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12E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12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8072">
      <w:bodyDiv w:val="1"/>
      <w:marLeft w:val="0"/>
      <w:marRight w:val="0"/>
      <w:marTop w:val="0"/>
      <w:marBottom w:val="0"/>
      <w:divBdr>
        <w:top w:val="none" w:sz="0" w:space="0" w:color="auto"/>
        <w:left w:val="none" w:sz="0" w:space="0" w:color="auto"/>
        <w:bottom w:val="none" w:sz="0" w:space="0" w:color="auto"/>
        <w:right w:val="none" w:sz="0" w:space="0" w:color="auto"/>
      </w:divBdr>
    </w:div>
    <w:div w:id="540409870">
      <w:bodyDiv w:val="1"/>
      <w:marLeft w:val="0"/>
      <w:marRight w:val="0"/>
      <w:marTop w:val="0"/>
      <w:marBottom w:val="0"/>
      <w:divBdr>
        <w:top w:val="none" w:sz="0" w:space="0" w:color="auto"/>
        <w:left w:val="none" w:sz="0" w:space="0" w:color="auto"/>
        <w:bottom w:val="none" w:sz="0" w:space="0" w:color="auto"/>
        <w:right w:val="none" w:sz="0" w:space="0" w:color="auto"/>
      </w:divBdr>
    </w:div>
    <w:div w:id="759258332">
      <w:bodyDiv w:val="1"/>
      <w:marLeft w:val="0"/>
      <w:marRight w:val="0"/>
      <w:marTop w:val="0"/>
      <w:marBottom w:val="0"/>
      <w:divBdr>
        <w:top w:val="none" w:sz="0" w:space="0" w:color="auto"/>
        <w:left w:val="none" w:sz="0" w:space="0" w:color="auto"/>
        <w:bottom w:val="none" w:sz="0" w:space="0" w:color="auto"/>
        <w:right w:val="none" w:sz="0" w:space="0" w:color="auto"/>
      </w:divBdr>
    </w:div>
    <w:div w:id="84456298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1454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Jeff Zirger</cp:lastModifiedBy>
  <cp:revision>4</cp:revision>
  <cp:lastPrinted>2012-08-06T16:52:00Z</cp:lastPrinted>
  <dcterms:created xsi:type="dcterms:W3CDTF">2015-01-06T14:53:00Z</dcterms:created>
  <dcterms:modified xsi:type="dcterms:W3CDTF">2015-01-06T18:27:00Z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