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F5C49">
        <w:rPr>
          <w:sz w:val="28"/>
        </w:rPr>
        <w:t>0920</w:t>
      </w:r>
      <w:r>
        <w:rPr>
          <w:sz w:val="28"/>
        </w:rPr>
        <w:t>-</w:t>
      </w:r>
      <w:r w:rsidR="008C05DD">
        <w:rPr>
          <w:sz w:val="28"/>
        </w:rPr>
        <w:t>1027</w:t>
      </w:r>
      <w:r>
        <w:rPr>
          <w:sz w:val="28"/>
        </w:rPr>
        <w:t>)</w:t>
      </w:r>
    </w:p>
    <w:p w:rsidR="008C05DD" w:rsidRDefault="008C05DD" w:rsidP="000F5C49">
      <w:pPr>
        <w:rPr>
          <w:b/>
        </w:rPr>
      </w:pPr>
    </w:p>
    <w:p w:rsidR="000F5C49" w:rsidRPr="009239AA" w:rsidRDefault="00E2594A" w:rsidP="000F5C49">
      <w:pPr>
        <w:rPr>
          <w:b/>
        </w:rPr>
      </w:pPr>
      <w:r>
        <w:rPr>
          <w:noProof/>
        </w:rPr>
        <mc:AlternateContent>
          <mc:Choice Requires="wps">
            <w:drawing>
              <wp:anchor distT="0" distB="0" distL="114300" distR="114300" simplePos="0" relativeHeight="251658240" behindDoc="0" locked="0" layoutInCell="0" allowOverlap="1" wp14:anchorId="44E2E2CF" wp14:editId="4F2409D2">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16F47"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C541E9" w:rsidRPr="00C541E9">
        <w:rPr>
          <w:b/>
        </w:rPr>
        <w:t>Online</w:t>
      </w:r>
      <w:r w:rsidR="00FF0D61">
        <w:rPr>
          <w:b/>
        </w:rPr>
        <w:t xml:space="preserve"> and In</w:t>
      </w:r>
      <w:r w:rsidR="00D640C2">
        <w:rPr>
          <w:b/>
        </w:rPr>
        <w:t>-</w:t>
      </w:r>
      <w:r w:rsidR="00FF0D61">
        <w:rPr>
          <w:b/>
        </w:rPr>
        <w:t>Person</w:t>
      </w:r>
      <w:r w:rsidR="00C541E9">
        <w:t xml:space="preserve"> </w:t>
      </w:r>
      <w:r w:rsidR="000F5C49">
        <w:t>Baseline Usability Testing for the Division of HIV/AIDS Prevention Act Against AIDS Website</w:t>
      </w:r>
      <w:r w:rsidR="000777E7">
        <w:t>—</w:t>
      </w:r>
      <w:bookmarkStart w:id="0" w:name="_GoBack"/>
      <w:bookmarkEnd w:id="0"/>
      <w:r w:rsidR="00FB1BD2">
        <w:fldChar w:fldCharType="begin"/>
      </w:r>
      <w:r w:rsidR="00FB1BD2">
        <w:instrText xml:space="preserve"> HYPERLINK "http://www.cdc.gov/actagainstaids/" </w:instrText>
      </w:r>
      <w:r w:rsidR="00FB1BD2">
        <w:fldChar w:fldCharType="separate"/>
      </w:r>
      <w:r w:rsidR="00FB1BD2">
        <w:fldChar w:fldCharType="end"/>
      </w:r>
      <w:r w:rsidR="0056455B" w:rsidRPr="0056455B">
        <w:rPr>
          <w:rStyle w:val="Hyperlink"/>
          <w:color w:val="auto"/>
          <w:u w:val="none"/>
        </w:rPr>
        <w:t>In</w:t>
      </w:r>
      <w:r w:rsidR="000777E7">
        <w:rPr>
          <w:rStyle w:val="Hyperlink"/>
          <w:color w:val="auto"/>
          <w:u w:val="none"/>
        </w:rPr>
        <w:t xml:space="preserve"> </w:t>
      </w:r>
      <w:r w:rsidR="0056455B" w:rsidRPr="0056455B">
        <w:rPr>
          <w:rStyle w:val="Hyperlink"/>
          <w:color w:val="auto"/>
          <w:u w:val="none"/>
        </w:rPr>
        <w:t>Person</w:t>
      </w:r>
      <w:r w:rsidR="000F5C49">
        <w:t xml:space="preserve">  </w:t>
      </w:r>
    </w:p>
    <w:p w:rsidR="00B46F2C" w:rsidRPr="009239AA" w:rsidRDefault="00B46F2C" w:rsidP="00434E33">
      <w:pPr>
        <w:rPr>
          <w:b/>
        </w:rPr>
      </w:pPr>
    </w:p>
    <w:p w:rsidR="00B46F2C" w:rsidRDefault="00B46F2C" w:rsidP="00840FCA">
      <w:pPr>
        <w:rPr>
          <w:b/>
        </w:rPr>
      </w:pPr>
      <w:r>
        <w:rPr>
          <w:b/>
        </w:rPr>
        <w:t>PURPOSE</w:t>
      </w:r>
      <w:r w:rsidRPr="009239AA">
        <w:rPr>
          <w:b/>
        </w:rPr>
        <w:t>:</w:t>
      </w:r>
    </w:p>
    <w:p w:rsidR="0056455B" w:rsidRDefault="0056455B" w:rsidP="0056455B">
      <w:pPr>
        <w:contextualSpacing/>
        <w:rPr>
          <w:b/>
        </w:rPr>
      </w:pPr>
      <w:r w:rsidRPr="000270A2">
        <w:t xml:space="preserve">The CDC </w:t>
      </w:r>
      <w:r w:rsidRPr="000270A2">
        <w:rPr>
          <w:i/>
        </w:rPr>
        <w:t>Act Against AIDS</w:t>
      </w:r>
      <w:r w:rsidRPr="000270A2">
        <w:t xml:space="preserve"> </w:t>
      </w:r>
      <w:r>
        <w:t xml:space="preserve">(AAA) </w:t>
      </w:r>
      <w:r w:rsidRPr="000270A2">
        <w:t>Website (</w:t>
      </w:r>
      <w:hyperlink r:id="rId8" w:history="1">
        <w:r w:rsidRPr="000270A2">
          <w:rPr>
            <w:rStyle w:val="Hyperlink"/>
          </w:rPr>
          <w:t>www.cdc.gov/actagainstaids</w:t>
        </w:r>
      </w:hyperlink>
      <w:r w:rsidRPr="000270A2">
        <w:t>) has had minor usability testing over the last four years, but no comprehensive usability testing has been done to help guide its current and future developm</w:t>
      </w:r>
      <w:r>
        <w:t xml:space="preserve">ent. The purpose of this collection is to </w:t>
      </w:r>
      <w:r w:rsidR="00FD4EB6">
        <w:t xml:space="preserve">conduct </w:t>
      </w:r>
      <w:r w:rsidR="00FD4EB6" w:rsidRPr="00743362">
        <w:t>comprehensive</w:t>
      </w:r>
      <w:r>
        <w:t xml:space="preserve"> </w:t>
      </w:r>
      <w:r w:rsidRPr="00743362">
        <w:t xml:space="preserve">usability testing of the CDC </w:t>
      </w:r>
      <w:r w:rsidRPr="00743362">
        <w:rPr>
          <w:i/>
        </w:rPr>
        <w:t>Act Against AIDS</w:t>
      </w:r>
      <w:r w:rsidRPr="00743362">
        <w:t xml:space="preserve"> Website (</w:t>
      </w:r>
      <w:hyperlink r:id="rId9" w:history="1">
        <w:r w:rsidRPr="00743362">
          <w:rPr>
            <w:rStyle w:val="Hyperlink"/>
          </w:rPr>
          <w:t>www.cdc.gov/actagainstaids</w:t>
        </w:r>
      </w:hyperlink>
      <w:r w:rsidRPr="00743362">
        <w:t>)</w:t>
      </w:r>
      <w:r>
        <w:t xml:space="preserve"> to </w:t>
      </w:r>
      <w:r w:rsidRPr="004D2537">
        <w:rPr>
          <w:color w:val="000000"/>
        </w:rPr>
        <w:t>find out how this web site can be made more effective and user-friendly</w:t>
      </w:r>
      <w:r>
        <w:t xml:space="preserve"> by soli</w:t>
      </w:r>
      <w:r w:rsidRPr="004C31A8">
        <w:t>cit</w:t>
      </w:r>
      <w:r>
        <w:t xml:space="preserve">ing in-person facilitator directed </w:t>
      </w:r>
      <w:r w:rsidRPr="004C31A8">
        <w:t>feedback</w:t>
      </w:r>
      <w:r>
        <w:t xml:space="preserve"> related to </w:t>
      </w:r>
      <w:r w:rsidRPr="004C31A8">
        <w:t>usability, delivery effectiveness, visual appeal, overall satisfaction, and problems with existing interfaces</w:t>
      </w:r>
      <w:r>
        <w:t xml:space="preserve">, of the CDC </w:t>
      </w:r>
      <w:r w:rsidRPr="00743362">
        <w:rPr>
          <w:i/>
        </w:rPr>
        <w:t>Act Against AIDS</w:t>
      </w:r>
      <w:r w:rsidRPr="00743362">
        <w:t xml:space="preserve"> Website</w:t>
      </w:r>
      <w:r w:rsidRPr="004C31A8">
        <w:t xml:space="preserve">.   Responses will be </w:t>
      </w:r>
      <w:r>
        <w:t>analyzed</w:t>
      </w:r>
      <w:r w:rsidRPr="004C31A8">
        <w:t xml:space="preserve"> to plan and inform efforts to improve or maintain the quality of service to the public.</w:t>
      </w:r>
    </w:p>
    <w:p w:rsidR="00E57FBB" w:rsidRDefault="00E57FBB" w:rsidP="008C05DD">
      <w:pPr>
        <w:contextualSpacing/>
      </w:pPr>
    </w:p>
    <w:p w:rsidR="00E57FBB" w:rsidRPr="00E57FBB" w:rsidRDefault="00E57FBB" w:rsidP="008C05DD">
      <w:pPr>
        <w:contextualSpacing/>
      </w:pPr>
      <w:r w:rsidRPr="00E57FBB">
        <w:t>The feedback from this information collection will provide insights into customer or stakeholder perceptions, experiences, and expectations; provide an early warning of issues with service; or focus attention on areas where changes in navigation, labeling, or infrastructure might improve delivery of information to users of the website. The purpose of easier access to the information and resources is to reduce the number of persons living with HIV (PLWH), get more PLWH into care, and reduce the transmission of HIV.</w:t>
      </w:r>
    </w:p>
    <w:p w:rsidR="00B46F2C" w:rsidRDefault="00B46F2C" w:rsidP="00434E33">
      <w:pPr>
        <w:pStyle w:val="Header"/>
        <w:tabs>
          <w:tab w:val="clear" w:pos="4320"/>
          <w:tab w:val="clear" w:pos="8640"/>
        </w:tabs>
        <w:rPr>
          <w:b/>
        </w:rPr>
      </w:pPr>
    </w:p>
    <w:p w:rsidR="00840FCA" w:rsidRDefault="00B46F2C" w:rsidP="00840FCA">
      <w:pPr>
        <w:pStyle w:val="Header"/>
        <w:tabs>
          <w:tab w:val="clear" w:pos="4320"/>
          <w:tab w:val="clear" w:pos="8640"/>
        </w:tabs>
      </w:pPr>
      <w:r w:rsidRPr="00434E33">
        <w:rPr>
          <w:b/>
        </w:rPr>
        <w:t>DESCRIPTION OF RESPONDENTS</w:t>
      </w:r>
      <w:r>
        <w:t>:</w:t>
      </w:r>
    </w:p>
    <w:p w:rsidR="00FD4EB6" w:rsidRDefault="00E57FBB" w:rsidP="00840FCA">
      <w:pPr>
        <w:pStyle w:val="Header"/>
        <w:tabs>
          <w:tab w:val="clear" w:pos="4320"/>
          <w:tab w:val="clear" w:pos="8640"/>
        </w:tabs>
      </w:pPr>
      <w:r w:rsidRPr="00E57FBB">
        <w:t>The participants will be from the groups known to use the AAA website to include: health care providers, academics, public health professionals, general pu</w:t>
      </w:r>
      <w:r w:rsidR="00D640C2">
        <w:t>blic, and scientists/researchers.</w:t>
      </w:r>
      <w:r w:rsidR="00662952">
        <w:t xml:space="preserve"> They will be solicited by contacting health departments, medical offices, faith groups, academic colleagues, and social/civic groups. </w:t>
      </w:r>
    </w:p>
    <w:p w:rsidR="00FD4EB6" w:rsidRDefault="00FD4EB6" w:rsidP="00840FCA">
      <w:pPr>
        <w:pStyle w:val="Header"/>
        <w:tabs>
          <w:tab w:val="clear" w:pos="4320"/>
          <w:tab w:val="clear" w:pos="8640"/>
        </w:tabs>
      </w:pPr>
    </w:p>
    <w:p w:rsidR="00520D06" w:rsidRDefault="00FD4EB6" w:rsidP="00F956A3">
      <w:pPr>
        <w:pStyle w:val="Header"/>
        <w:tabs>
          <w:tab w:val="clear" w:pos="4320"/>
          <w:tab w:val="clear" w:pos="8640"/>
        </w:tabs>
      </w:pPr>
      <w:r w:rsidRPr="00F06517">
        <w:t>The in-person survey</w:t>
      </w:r>
      <w:r w:rsidR="001F1E98">
        <w:t xml:space="preserve"> (</w:t>
      </w:r>
      <w:r w:rsidR="001F1E98">
        <w:rPr>
          <w:b/>
        </w:rPr>
        <w:t>Attachment 1</w:t>
      </w:r>
      <w:r w:rsidR="001F1E98">
        <w:t>)</w:t>
      </w:r>
      <w:r w:rsidRPr="00F06517">
        <w:t xml:space="preserve"> process includes a facilitator script</w:t>
      </w:r>
      <w:r w:rsidR="00F956A3">
        <w:t xml:space="preserve"> and consent to be recorded</w:t>
      </w:r>
      <w:r w:rsidR="008773D1">
        <w:t xml:space="preserve"> (</w:t>
      </w:r>
      <w:r w:rsidR="008773D1" w:rsidRPr="008773D1">
        <w:rPr>
          <w:b/>
        </w:rPr>
        <w:t>Attachment 2</w:t>
      </w:r>
      <w:r w:rsidR="008773D1">
        <w:t>)</w:t>
      </w:r>
      <w:r w:rsidR="00F956A3">
        <w:t xml:space="preserve">. A </w:t>
      </w:r>
      <w:r w:rsidRPr="00F06517">
        <w:t xml:space="preserve">facilitator will guide the respondents through the survey.  </w:t>
      </w:r>
    </w:p>
    <w:p w:rsidR="00F956A3" w:rsidRDefault="00520D06" w:rsidP="00520D06">
      <w:pPr>
        <w:pStyle w:val="Header"/>
      </w:pPr>
      <w:r>
        <w:t>In-person survey respondents will self-select by responding affirmatively to an electronic request</w:t>
      </w:r>
      <w:r w:rsidR="00662952">
        <w:t xml:space="preserve"> (see attachment 5)</w:t>
      </w:r>
      <w:r>
        <w:t xml:space="preserve"> and will be scheduled to meet with a facilitator to perform the tasks while being observed and encouraged to think aloud. </w:t>
      </w:r>
      <w:r w:rsidR="00F956A3">
        <w:t xml:space="preserve">The In-person survey will be completed by 30 respondents undergoing a guided survey under the guidance of the facilitator using a script for an estimated 60 minutes for a total of 30 burden hours. </w:t>
      </w:r>
    </w:p>
    <w:p w:rsidR="00F956A3" w:rsidRDefault="00F956A3" w:rsidP="00F956A3">
      <w:pPr>
        <w:pStyle w:val="Header"/>
        <w:tabs>
          <w:tab w:val="clear" w:pos="4320"/>
          <w:tab w:val="clear" w:pos="8640"/>
        </w:tabs>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1D0776">
      <w:pPr>
        <w:pStyle w:val="BodyTextIndent"/>
        <w:tabs>
          <w:tab w:val="left" w:pos="360"/>
        </w:tabs>
        <w:ind w:left="0"/>
        <w:rPr>
          <w:bCs/>
          <w:sz w:val="24"/>
        </w:rPr>
      </w:pPr>
      <w:r w:rsidRPr="00F06866">
        <w:rPr>
          <w:bCs/>
          <w:sz w:val="24"/>
        </w:rPr>
        <w:t>[</w:t>
      </w:r>
      <w:r w:rsidR="00B008E7" w:rsidRPr="00B008E7">
        <w:rPr>
          <w:b/>
        </w:rPr>
        <w:t>X</w:t>
      </w:r>
      <w:r w:rsidRPr="00F06866">
        <w:rPr>
          <w:bCs/>
          <w:sz w:val="24"/>
        </w:rPr>
        <w:t>]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D11AA0" w:rsidP="009C13B9">
      <w:r>
        <w:t xml:space="preserve">Name: </w:t>
      </w:r>
      <w:r w:rsidR="001F7765" w:rsidRPr="00D11AA0">
        <w:rPr>
          <w:u w:val="single"/>
        </w:rPr>
        <w:t>Susan H. Carlso</w:t>
      </w:r>
      <w:r>
        <w:rPr>
          <w:u w:val="single"/>
        </w:rPr>
        <w:t xml:space="preserve">n (sqc2)                                </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1F7765">
        <w:t>X</w:t>
      </w:r>
      <w:r>
        <w:t xml:space="preserve"> ]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FF0D61">
        <w:t>x</w:t>
      </w:r>
      <w:r>
        <w:t xml:space="preserve"> ] No  </w:t>
      </w:r>
    </w:p>
    <w:p w:rsidR="00B46F2C" w:rsidRDefault="00B46F2C" w:rsidP="00C86E91">
      <w:pPr>
        <w:pStyle w:val="ListParagraph"/>
        <w:numPr>
          <w:ilvl w:val="0"/>
          <w:numId w:val="18"/>
        </w:numPr>
      </w:pPr>
      <w:r>
        <w:t>If Applicable, has a System or Records Notice been published?  [  ] Yes  [  ] No</w:t>
      </w:r>
      <w:r w:rsidR="00FF0D61">
        <w:t xml:space="preserve"> NA</w:t>
      </w:r>
    </w:p>
    <w:p w:rsidR="00B46F2C" w:rsidRPr="00C86E91" w:rsidRDefault="00B46F2C" w:rsidP="00C86E91">
      <w:pPr>
        <w:pStyle w:val="ListParagraph"/>
        <w:ind w:left="0"/>
        <w:rPr>
          <w:b/>
        </w:rPr>
      </w:pPr>
      <w:r>
        <w:rPr>
          <w:b/>
        </w:rPr>
        <w:t>Gifts or Payments:</w:t>
      </w:r>
    </w:p>
    <w:p w:rsidR="001D0776" w:rsidRDefault="00B46F2C">
      <w:r>
        <w:t xml:space="preserve">Is an incentive (e.g., money or reimbursement of expenses, token of appreciation) provided to participants?  [ </w:t>
      </w:r>
      <w:r w:rsidR="00F06517">
        <w:t>x</w:t>
      </w:r>
      <w:r>
        <w:t xml:space="preserve"> ] Yes [] No</w:t>
      </w:r>
    </w:p>
    <w:p w:rsidR="00F06517" w:rsidRDefault="00F06517" w:rsidP="00F06517"/>
    <w:p w:rsidR="002A198D" w:rsidRDefault="002A198D" w:rsidP="002A198D">
      <w:r>
        <w:t xml:space="preserve">Numerous empirical studies have shown that honoraria can significantly increase response rates (e.g., Abreu &amp; Winters, 1999; Shettle &amp; Mooney, 1999, C. Grady, </w:t>
      </w:r>
      <w:r w:rsidRPr="005647A3">
        <w:rPr>
          <w:i/>
        </w:rPr>
        <w:t>Ethical and Practical Consideration for Paying Research Participants</w:t>
      </w:r>
      <w:r w:rsidRPr="004C6C80">
        <w:t>, 2005).</w:t>
      </w:r>
      <w:r>
        <w:t xml:space="preserve"> We also believe that the small token of appreciation will result in higher data validity as participants become more engaged in the data collection process. Participants will receive their token of appreciation after they complete the posttest survey. </w:t>
      </w:r>
    </w:p>
    <w:p w:rsidR="002A198D" w:rsidRDefault="002A198D" w:rsidP="002A198D"/>
    <w:p w:rsidR="002A198D" w:rsidRDefault="002A198D" w:rsidP="002A198D">
      <w:pPr>
        <w:rPr>
          <w:iCs/>
        </w:rPr>
      </w:pPr>
      <w:r>
        <w:rPr>
          <w:iCs/>
        </w:rPr>
        <w:t xml:space="preserve">We </w:t>
      </w:r>
      <w:r w:rsidR="00FD4EB6">
        <w:rPr>
          <w:iCs/>
        </w:rPr>
        <w:t xml:space="preserve">are also conducting a related online survey and </w:t>
      </w:r>
      <w:r>
        <w:rPr>
          <w:iCs/>
        </w:rPr>
        <w:t xml:space="preserve">believe that the online survey invitation will result in sufficient numbers of participants for this project. Therefore, </w:t>
      </w:r>
      <w:r>
        <w:t>a</w:t>
      </w:r>
      <w:r w:rsidRPr="004C6C80">
        <w:t xml:space="preserve"> token of appreciation of $40.00 will only be provided to the</w:t>
      </w:r>
      <w:r>
        <w:t xml:space="preserve"> 30 </w:t>
      </w:r>
      <w:r w:rsidRPr="005647A3">
        <w:rPr>
          <w:i/>
        </w:rPr>
        <w:t>in-person</w:t>
      </w:r>
      <w:r w:rsidRPr="004C6C80">
        <w:t xml:space="preserve"> participants.  </w:t>
      </w:r>
      <w:r>
        <w:t xml:space="preserve">Because most of the users of the website are professionals, i.e., Academics, Public Health, Health Care, Scientists or Researchers, they are more difficult to recruit due to their major responsibilities. </w:t>
      </w:r>
      <w:r>
        <w:rPr>
          <w:iCs/>
        </w:rPr>
        <w:t xml:space="preserve">To reach these essential representative populations, offering a token of appreciation is justified to increase the cost-effectiveness of the recruitment and to improve response rates and the validity and significance of the data obtained. </w:t>
      </w:r>
      <w:r w:rsidRPr="001A5588">
        <w:rPr>
          <w:iCs/>
        </w:rPr>
        <w:t>Monetary incentives are often used to facilitate survey recruitment and motivate participation among individuals who might otherwise not respond.</w:t>
      </w:r>
    </w:p>
    <w:p w:rsidR="002A198D" w:rsidRDefault="002A198D" w:rsidP="002A198D">
      <w:pPr>
        <w:rPr>
          <w:iCs/>
        </w:rPr>
      </w:pPr>
    </w:p>
    <w:p w:rsidR="002A198D" w:rsidRDefault="002A198D" w:rsidP="002A198D">
      <w:r>
        <w:t>OMB guidance also justifies the use of tokens of appreciation “to improve coverage of specialized respondents, rare groups, or minority populations” and defines specialized respondents as a highly selective group (OMB, 2006).</w:t>
      </w:r>
    </w:p>
    <w:p w:rsidR="0091731C" w:rsidRDefault="0091731C" w:rsidP="00C86E91">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r w:rsidR="007D36BB">
              <w:rPr>
                <w:b/>
              </w:rPr>
              <w:t>/mins.</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FF0D61" w:rsidP="00843796">
            <w:r>
              <w:t>Academic Public Health Professional General Consumer, Scientists/Researcher In-person participants</w:t>
            </w:r>
            <w:r w:rsidR="00B008E7">
              <w:t xml:space="preserve"> with facilitator</w:t>
            </w:r>
          </w:p>
        </w:tc>
        <w:tc>
          <w:tcPr>
            <w:tcW w:w="1530" w:type="dxa"/>
          </w:tcPr>
          <w:p w:rsidR="00B46F2C" w:rsidRDefault="00FF0D61" w:rsidP="00843796">
            <w:r>
              <w:t>30</w:t>
            </w:r>
          </w:p>
        </w:tc>
        <w:tc>
          <w:tcPr>
            <w:tcW w:w="1710" w:type="dxa"/>
          </w:tcPr>
          <w:p w:rsidR="00B46F2C" w:rsidRDefault="00FF0D61" w:rsidP="00843796">
            <w:r>
              <w:t>60</w:t>
            </w:r>
          </w:p>
        </w:tc>
        <w:tc>
          <w:tcPr>
            <w:tcW w:w="1003" w:type="dxa"/>
          </w:tcPr>
          <w:p w:rsidR="00B46F2C" w:rsidRDefault="00FF0D61" w:rsidP="00843796">
            <w:r>
              <w:t>30</w:t>
            </w:r>
          </w:p>
        </w:tc>
      </w:tr>
      <w:tr w:rsidR="00B46F2C" w:rsidTr="00512CA7">
        <w:trPr>
          <w:trHeight w:val="289"/>
        </w:trPr>
        <w:tc>
          <w:tcPr>
            <w:tcW w:w="5418" w:type="dxa"/>
          </w:tcPr>
          <w:p w:rsidR="00B46F2C" w:rsidRPr="00512CA7" w:rsidRDefault="00B46F2C" w:rsidP="00843796">
            <w:pPr>
              <w:rPr>
                <w:b/>
              </w:rPr>
            </w:pPr>
            <w:r w:rsidRPr="00512CA7">
              <w:rPr>
                <w:b/>
              </w:rPr>
              <w:lastRenderedPageBreak/>
              <w:t>Totals</w:t>
            </w:r>
          </w:p>
        </w:tc>
        <w:tc>
          <w:tcPr>
            <w:tcW w:w="1530" w:type="dxa"/>
          </w:tcPr>
          <w:p w:rsidR="00B46F2C" w:rsidRPr="00512CA7" w:rsidRDefault="00FF0D61" w:rsidP="00843796">
            <w:pPr>
              <w:rPr>
                <w:b/>
              </w:rPr>
            </w:pPr>
            <w:r>
              <w:rPr>
                <w:b/>
              </w:rPr>
              <w:t>30</w:t>
            </w:r>
          </w:p>
        </w:tc>
        <w:tc>
          <w:tcPr>
            <w:tcW w:w="1710" w:type="dxa"/>
          </w:tcPr>
          <w:p w:rsidR="00B46F2C" w:rsidRDefault="00B46F2C" w:rsidP="00843796"/>
        </w:tc>
        <w:tc>
          <w:tcPr>
            <w:tcW w:w="1003" w:type="dxa"/>
          </w:tcPr>
          <w:p w:rsidR="00B46F2C" w:rsidRPr="00512CA7" w:rsidRDefault="00FD4EB6" w:rsidP="00843796">
            <w:pPr>
              <w:rPr>
                <w:b/>
              </w:rPr>
            </w:pPr>
            <w:r>
              <w:rPr>
                <w:b/>
              </w:rPr>
              <w:t>30</w:t>
            </w:r>
          </w:p>
        </w:tc>
      </w:tr>
    </w:tbl>
    <w:p w:rsidR="00F06517" w:rsidRDefault="00F06517" w:rsidP="00F3170F"/>
    <w:p w:rsidR="00B46F2C" w:rsidRDefault="00B46F2C">
      <w:pPr>
        <w:rPr>
          <w:b/>
        </w:rPr>
      </w:pPr>
      <w:r>
        <w:rPr>
          <w:b/>
        </w:rPr>
        <w:t xml:space="preserve">FEDERAL COST:  </w:t>
      </w:r>
      <w:r>
        <w:t>The estimated annual cost to the Federal government is</w:t>
      </w:r>
      <w:r w:rsidR="00D11AA0">
        <w:t xml:space="preserve">: </w:t>
      </w:r>
      <w:r w:rsidR="002A198D" w:rsidRPr="00D11AA0">
        <w:rPr>
          <w:u w:val="single"/>
        </w:rPr>
        <w:t>117,778</w:t>
      </w:r>
      <w:r w:rsidR="00D640C2">
        <w:t xml:space="preserve">. </w:t>
      </w:r>
    </w:p>
    <w:p w:rsidR="00B46F2C" w:rsidRDefault="00B46F2C">
      <w:pPr>
        <w:rPr>
          <w:b/>
          <w:bCs/>
          <w:u w:val="single"/>
        </w:rPr>
      </w:pPr>
    </w:p>
    <w:p w:rsidR="0091731C" w:rsidRDefault="0091731C">
      <w:pPr>
        <w:rPr>
          <w:b/>
          <w:bCs/>
          <w:u w:val="single"/>
        </w:rPr>
      </w:pPr>
    </w:p>
    <w:p w:rsidR="00B46F2C" w:rsidRDefault="00B46F2C" w:rsidP="00F06866">
      <w:pPr>
        <w:rPr>
          <w:b/>
        </w:rPr>
      </w:pPr>
      <w:r>
        <w:rPr>
          <w:b/>
          <w:bCs/>
          <w:u w:val="single"/>
        </w:rPr>
        <w:t xml:space="preserve">If you are conducting a focus group, survey, or plan to employ statistical methods, </w:t>
      </w:r>
      <w:r w:rsidR="00D640C2">
        <w:rPr>
          <w:b/>
          <w:bCs/>
          <w:u w:val="single"/>
        </w:rPr>
        <w:t>please provide</w:t>
      </w:r>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w:t>
      </w:r>
      <w:r w:rsidR="001F7765">
        <w:t>x</w:t>
      </w:r>
      <w:r>
        <w:t>] Yes</w:t>
      </w:r>
      <w:r>
        <w:tab/>
        <w:t>[ ] No</w:t>
      </w:r>
    </w:p>
    <w:p w:rsidR="00B46F2C" w:rsidRDefault="00B46F2C" w:rsidP="00636621">
      <w:pPr>
        <w:pStyle w:val="ListParagraph"/>
      </w:pPr>
    </w:p>
    <w:p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 w:rsidR="007D36BB" w:rsidRDefault="007D36BB" w:rsidP="007D36BB">
      <w:r>
        <w:t xml:space="preserve">Inperson respondents will selected from the demographic groups listed above. These respondents come from multiple sources such as </w:t>
      </w:r>
      <w:r w:rsidR="00662952">
        <w:t xml:space="preserve">CDC </w:t>
      </w:r>
      <w:r>
        <w:t>partner organizations, academic colleagues known to the contractor who may have accessed the CDC website as part of their normal course of business and or activities. In-person participants will comprise health care providers, public health professionals, academics, and the general public. The</w:t>
      </w:r>
      <w:r w:rsidR="00AB4A4D">
        <w:t xml:space="preserve"> individuals</w:t>
      </w:r>
      <w:r>
        <w:t xml:space="preserve"> may be frequent or infrequent users of the site.  </w:t>
      </w:r>
    </w:p>
    <w:p w:rsidR="007D36BB" w:rsidRDefault="007D36BB" w:rsidP="00A403BB">
      <w:r>
        <w:t xml:space="preserve"> </w:t>
      </w:r>
    </w:p>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008E7" w:rsidP="001B0AAA">
      <w:pPr>
        <w:ind w:left="720"/>
      </w:pPr>
      <w:r>
        <w:t>[</w:t>
      </w:r>
      <w:r w:rsidR="00B46F2C">
        <w:t xml:space="preserve">] Web-based or other forms of Social Media </w:t>
      </w:r>
    </w:p>
    <w:p w:rsidR="00B46F2C" w:rsidRDefault="00B46F2C" w:rsidP="001B0AAA">
      <w:pPr>
        <w:ind w:left="720"/>
      </w:pPr>
      <w:r>
        <w:t>[  ] Telephone</w:t>
      </w:r>
      <w:r>
        <w:tab/>
      </w:r>
    </w:p>
    <w:p w:rsidR="00B46F2C" w:rsidRDefault="00B008E7" w:rsidP="001B0AAA">
      <w:pPr>
        <w:ind w:left="720"/>
      </w:pPr>
      <w:r>
        <w:t>[</w:t>
      </w:r>
      <w:r w:rsidRPr="00B008E7">
        <w:rPr>
          <w:b/>
        </w:rPr>
        <w:t>X</w:t>
      </w:r>
      <w:r w:rsidR="00B46F2C">
        <w:t>] In-person</w:t>
      </w:r>
      <w:r w:rsidR="00B46F2C">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w:t>
      </w:r>
      <w:r w:rsidR="007D36BB">
        <w:t>rs or facilitators be used?  [ x</w:t>
      </w:r>
      <w:r>
        <w:t>] Yes</w:t>
      </w:r>
      <w:r w:rsidR="00F06517">
        <w:t>, for the in-person surveys only</w:t>
      </w:r>
      <w:r>
        <w:t xml:space="preserve"> [</w:t>
      </w:r>
      <w:r w:rsidR="007D36BB">
        <w:t xml:space="preserve"> </w:t>
      </w:r>
      <w:r>
        <w:t>] No</w:t>
      </w:r>
      <w:r w:rsidR="00F06517">
        <w:t xml:space="preserve"> </w:t>
      </w:r>
    </w:p>
    <w:p w:rsidR="00B46F2C" w:rsidRDefault="00B46F2C" w:rsidP="00F24CFC">
      <w:pPr>
        <w:pStyle w:val="ListParagraph"/>
        <w:ind w:left="360"/>
      </w:pPr>
      <w:r>
        <w:t xml:space="preserve"> </w:t>
      </w:r>
    </w:p>
    <w:sectPr w:rsidR="00B46F2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BD2" w:rsidRDefault="00FB1BD2">
      <w:r>
        <w:separator/>
      </w:r>
    </w:p>
  </w:endnote>
  <w:endnote w:type="continuationSeparator" w:id="0">
    <w:p w:rsidR="00FB1BD2" w:rsidRDefault="00FB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3D1" w:rsidRDefault="008773D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77E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BD2" w:rsidRDefault="00FB1BD2">
      <w:r>
        <w:separator/>
      </w:r>
    </w:p>
  </w:footnote>
  <w:footnote w:type="continuationSeparator" w:id="0">
    <w:p w:rsidR="00FB1BD2" w:rsidRDefault="00FB1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777E7"/>
    <w:rsid w:val="000B0FED"/>
    <w:rsid w:val="000B2838"/>
    <w:rsid w:val="000D44CA"/>
    <w:rsid w:val="000E200B"/>
    <w:rsid w:val="000F5C49"/>
    <w:rsid w:val="000F68BE"/>
    <w:rsid w:val="001927A4"/>
    <w:rsid w:val="00194AC6"/>
    <w:rsid w:val="001A23B0"/>
    <w:rsid w:val="001A25CC"/>
    <w:rsid w:val="001B0AAA"/>
    <w:rsid w:val="001C39F7"/>
    <w:rsid w:val="001D0776"/>
    <w:rsid w:val="001F1E98"/>
    <w:rsid w:val="001F7765"/>
    <w:rsid w:val="00237B48"/>
    <w:rsid w:val="0024521E"/>
    <w:rsid w:val="00263C3D"/>
    <w:rsid w:val="00274D0B"/>
    <w:rsid w:val="002821FF"/>
    <w:rsid w:val="0028709B"/>
    <w:rsid w:val="002A198D"/>
    <w:rsid w:val="002B3C95"/>
    <w:rsid w:val="002D0B92"/>
    <w:rsid w:val="003675DB"/>
    <w:rsid w:val="003D5BBE"/>
    <w:rsid w:val="003E3C61"/>
    <w:rsid w:val="003F1C5B"/>
    <w:rsid w:val="0041337D"/>
    <w:rsid w:val="00434E33"/>
    <w:rsid w:val="00441434"/>
    <w:rsid w:val="0045264C"/>
    <w:rsid w:val="004876EC"/>
    <w:rsid w:val="004D6E14"/>
    <w:rsid w:val="005009B0"/>
    <w:rsid w:val="00512CA7"/>
    <w:rsid w:val="00520D06"/>
    <w:rsid w:val="0056455B"/>
    <w:rsid w:val="005A1006"/>
    <w:rsid w:val="005E714A"/>
    <w:rsid w:val="006140A0"/>
    <w:rsid w:val="00636621"/>
    <w:rsid w:val="00642B49"/>
    <w:rsid w:val="00662952"/>
    <w:rsid w:val="006832D9"/>
    <w:rsid w:val="0069403B"/>
    <w:rsid w:val="006E12B5"/>
    <w:rsid w:val="006F3DDE"/>
    <w:rsid w:val="00704678"/>
    <w:rsid w:val="00705DE8"/>
    <w:rsid w:val="00706A71"/>
    <w:rsid w:val="00737B4D"/>
    <w:rsid w:val="007425E7"/>
    <w:rsid w:val="007D143A"/>
    <w:rsid w:val="007D36BB"/>
    <w:rsid w:val="00802607"/>
    <w:rsid w:val="008101A5"/>
    <w:rsid w:val="00820331"/>
    <w:rsid w:val="00822664"/>
    <w:rsid w:val="00840FCA"/>
    <w:rsid w:val="00843796"/>
    <w:rsid w:val="008773D1"/>
    <w:rsid w:val="00895229"/>
    <w:rsid w:val="008C05DD"/>
    <w:rsid w:val="008E1FD2"/>
    <w:rsid w:val="008F0203"/>
    <w:rsid w:val="008F50D4"/>
    <w:rsid w:val="0091731C"/>
    <w:rsid w:val="009239AA"/>
    <w:rsid w:val="00935ADA"/>
    <w:rsid w:val="00946B6C"/>
    <w:rsid w:val="00952E0B"/>
    <w:rsid w:val="00955A71"/>
    <w:rsid w:val="0096108F"/>
    <w:rsid w:val="009C13B9"/>
    <w:rsid w:val="009D01A2"/>
    <w:rsid w:val="009F5923"/>
    <w:rsid w:val="00A403BB"/>
    <w:rsid w:val="00A674DF"/>
    <w:rsid w:val="00A83AA6"/>
    <w:rsid w:val="00AB4A4D"/>
    <w:rsid w:val="00AE1809"/>
    <w:rsid w:val="00B008E7"/>
    <w:rsid w:val="00B46F2C"/>
    <w:rsid w:val="00B80D76"/>
    <w:rsid w:val="00BA2105"/>
    <w:rsid w:val="00BA7E06"/>
    <w:rsid w:val="00BB43B5"/>
    <w:rsid w:val="00BB6219"/>
    <w:rsid w:val="00BD290F"/>
    <w:rsid w:val="00C14CC4"/>
    <w:rsid w:val="00C33C52"/>
    <w:rsid w:val="00C40D8B"/>
    <w:rsid w:val="00C541E9"/>
    <w:rsid w:val="00C8407A"/>
    <w:rsid w:val="00C8488C"/>
    <w:rsid w:val="00C86E91"/>
    <w:rsid w:val="00CA2650"/>
    <w:rsid w:val="00CB1078"/>
    <w:rsid w:val="00CC6FAF"/>
    <w:rsid w:val="00D11AA0"/>
    <w:rsid w:val="00D24698"/>
    <w:rsid w:val="00D6383F"/>
    <w:rsid w:val="00D640C2"/>
    <w:rsid w:val="00D71221"/>
    <w:rsid w:val="00DB59D0"/>
    <w:rsid w:val="00DC33D3"/>
    <w:rsid w:val="00E2594A"/>
    <w:rsid w:val="00E26329"/>
    <w:rsid w:val="00E40B50"/>
    <w:rsid w:val="00E50293"/>
    <w:rsid w:val="00E57FBB"/>
    <w:rsid w:val="00E65FFC"/>
    <w:rsid w:val="00E80951"/>
    <w:rsid w:val="00E854FE"/>
    <w:rsid w:val="00E86CC6"/>
    <w:rsid w:val="00EB5353"/>
    <w:rsid w:val="00EB56B3"/>
    <w:rsid w:val="00ED6492"/>
    <w:rsid w:val="00EF2095"/>
    <w:rsid w:val="00F06517"/>
    <w:rsid w:val="00F06866"/>
    <w:rsid w:val="00F15956"/>
    <w:rsid w:val="00F24CFC"/>
    <w:rsid w:val="00F3170F"/>
    <w:rsid w:val="00F4017B"/>
    <w:rsid w:val="00F956A3"/>
    <w:rsid w:val="00F976B0"/>
    <w:rsid w:val="00FA6DE7"/>
    <w:rsid w:val="00FB1BD2"/>
    <w:rsid w:val="00FC0A8E"/>
    <w:rsid w:val="00FC368D"/>
    <w:rsid w:val="00FD4EB6"/>
    <w:rsid w:val="00FE2FA6"/>
    <w:rsid w:val="00FE3DF2"/>
    <w:rsid w:val="00FF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9210159-209C-43C9-B62C-1194A1E8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0F5C49"/>
    <w:rPr>
      <w:color w:val="0000FF" w:themeColor="hyperlink"/>
      <w:u w:val="single"/>
    </w:rPr>
  </w:style>
  <w:style w:type="character" w:styleId="FollowedHyperlink">
    <w:name w:val="FollowedHyperlink"/>
    <w:basedOn w:val="DefaultParagraphFont"/>
    <w:uiPriority w:val="99"/>
    <w:semiHidden/>
    <w:unhideWhenUsed/>
    <w:rsid w:val="000F5C49"/>
    <w:rPr>
      <w:color w:val="800080" w:themeColor="followedHyperlink"/>
      <w:u w:val="single"/>
    </w:rPr>
  </w:style>
  <w:style w:type="paragraph" w:styleId="Revision">
    <w:name w:val="Revision"/>
    <w:hidden/>
    <w:uiPriority w:val="99"/>
    <w:semiHidden/>
    <w:rsid w:val="000777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actagainstai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actagainsta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33DCF-A3A0-4CC9-9940-F41FE18E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Carlson, Susan (Sue) (CDC/OID/NCHHSTP)</cp:lastModifiedBy>
  <cp:revision>2</cp:revision>
  <cp:lastPrinted>2012-08-06T16:52:00Z</cp:lastPrinted>
  <dcterms:created xsi:type="dcterms:W3CDTF">2015-11-06T20:29:00Z</dcterms:created>
  <dcterms:modified xsi:type="dcterms:W3CDTF">2015-11-06T20:29:00Z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