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5658D3" w14:textId="119A78A9" w:rsidR="00AE0AF9" w:rsidRPr="00497BE3" w:rsidRDefault="00AE0AF9" w:rsidP="00AE0AF9">
      <w:pPr>
        <w:spacing w:line="276" w:lineRule="auto"/>
        <w:rPr>
          <w:rFonts w:asciiTheme="majorHAnsi" w:hAnsiTheme="majorHAnsi"/>
          <w:b/>
          <w:color w:val="BFBFBF" w:themeColor="background1" w:themeShade="BF"/>
        </w:rPr>
      </w:pPr>
      <w:r w:rsidRPr="00497BE3">
        <w:rPr>
          <w:rFonts w:asciiTheme="majorHAnsi" w:hAnsiTheme="majorHAnsi"/>
          <w:b/>
          <w:color w:val="BFBFBF" w:themeColor="background1" w:themeShade="BF"/>
        </w:rPr>
        <w:t xml:space="preserve">CDC PrEP/PEP Provider </w:t>
      </w:r>
      <w:r w:rsidR="00027048" w:rsidRPr="00497BE3">
        <w:rPr>
          <w:rFonts w:asciiTheme="majorHAnsi" w:hAnsiTheme="majorHAnsi"/>
          <w:b/>
          <w:color w:val="BFBFBF" w:themeColor="background1" w:themeShade="BF"/>
        </w:rPr>
        <w:t xml:space="preserve">materials: </w:t>
      </w:r>
    </w:p>
    <w:p w14:paraId="28E12C63" w14:textId="4556B09B" w:rsidR="00497BE3" w:rsidRPr="00634D05" w:rsidRDefault="00634D05" w:rsidP="00497BE3">
      <w:pPr>
        <w:spacing w:line="276" w:lineRule="auto"/>
        <w:rPr>
          <w:rFonts w:asciiTheme="majorHAnsi" w:hAnsiTheme="majorHAnsi"/>
          <w:b/>
          <w:sz w:val="28"/>
          <w:szCs w:val="28"/>
        </w:rPr>
      </w:pPr>
      <w:r>
        <w:rPr>
          <w:rFonts w:asciiTheme="majorHAnsi" w:hAnsiTheme="majorHAnsi"/>
          <w:b/>
          <w:sz w:val="28"/>
          <w:szCs w:val="28"/>
        </w:rPr>
        <w:t xml:space="preserve">PrEP FAQs  </w:t>
      </w:r>
      <w:r w:rsidR="00497BE3" w:rsidRPr="00634D05">
        <w:rPr>
          <w:rFonts w:asciiTheme="majorHAnsi" w:hAnsiTheme="majorHAnsi"/>
          <w:b/>
          <w:sz w:val="28"/>
          <w:szCs w:val="28"/>
        </w:rPr>
        <w:t xml:space="preserve">  </w:t>
      </w:r>
      <w:r>
        <w:rPr>
          <w:rFonts w:asciiTheme="majorHAnsi" w:hAnsiTheme="majorHAnsi"/>
          <w:b/>
          <w:sz w:val="28"/>
          <w:szCs w:val="28"/>
        </w:rPr>
        <w:t>(</w:t>
      </w:r>
      <w:r w:rsidR="00497BE3" w:rsidRPr="00634D05">
        <w:rPr>
          <w:rFonts w:asciiTheme="majorHAnsi" w:hAnsiTheme="majorHAnsi"/>
          <w:b/>
          <w:sz w:val="28"/>
          <w:szCs w:val="28"/>
        </w:rPr>
        <w:t>#12 in grid</w:t>
      </w:r>
      <w:r>
        <w:rPr>
          <w:rFonts w:asciiTheme="majorHAnsi" w:hAnsiTheme="majorHAnsi"/>
          <w:b/>
          <w:sz w:val="28"/>
          <w:szCs w:val="28"/>
        </w:rPr>
        <w:t>)</w:t>
      </w:r>
      <w:bookmarkStart w:id="0" w:name="_GoBack"/>
      <w:bookmarkEnd w:id="0"/>
    </w:p>
    <w:p w14:paraId="133A7B5F" w14:textId="333F0C8B" w:rsidR="00D34532" w:rsidRPr="008F3A80" w:rsidRDefault="00D34532" w:rsidP="00D34532">
      <w:pPr>
        <w:rPr>
          <w:rFonts w:asciiTheme="majorHAnsi" w:hAnsiTheme="majorHAnsi"/>
          <w:color w:val="3366FF"/>
          <w:sz w:val="16"/>
          <w:szCs w:val="16"/>
        </w:rPr>
      </w:pPr>
      <w:r w:rsidRPr="008F3A80">
        <w:rPr>
          <w:rFonts w:asciiTheme="majorHAnsi" w:hAnsiTheme="majorHAnsi"/>
          <w:color w:val="3366FF"/>
          <w:sz w:val="16"/>
          <w:szCs w:val="16"/>
        </w:rPr>
        <w:t>(Front, page 1)</w:t>
      </w:r>
    </w:p>
    <w:p w14:paraId="459BAD99" w14:textId="5AA62750" w:rsidR="00D34532" w:rsidRPr="008F3A80" w:rsidRDefault="00497BE3" w:rsidP="00AC4FBD">
      <w:pPr>
        <w:spacing w:line="276" w:lineRule="auto"/>
        <w:rPr>
          <w:rFonts w:asciiTheme="majorHAnsi" w:hAnsiTheme="majorHAnsi"/>
          <w:color w:val="3366FF"/>
        </w:rPr>
      </w:pPr>
      <w:r>
        <w:rPr>
          <w:rFonts w:asciiTheme="majorHAnsi" w:hAnsiTheme="majorHAnsi"/>
          <w:color w:val="3366FF"/>
          <w:sz w:val="16"/>
          <w:szCs w:val="16"/>
        </w:rPr>
        <w:t>(Branding element PrEP portion of the logo</w:t>
      </w:r>
      <w:r w:rsidR="00347332" w:rsidRPr="008F3A80">
        <w:rPr>
          <w:rFonts w:asciiTheme="majorHAnsi" w:hAnsiTheme="majorHAnsi"/>
          <w:color w:val="3366FF"/>
          <w:sz w:val="16"/>
          <w:szCs w:val="16"/>
        </w:rPr>
        <w:t>)</w:t>
      </w:r>
    </w:p>
    <w:p w14:paraId="0E0A3F70" w14:textId="77777777" w:rsidR="0062002F" w:rsidRDefault="0062002F" w:rsidP="00D34532">
      <w:pPr>
        <w:spacing w:line="276" w:lineRule="auto"/>
        <w:rPr>
          <w:rFonts w:asciiTheme="majorHAnsi" w:hAnsiTheme="majorHAnsi"/>
        </w:rPr>
      </w:pPr>
    </w:p>
    <w:p w14:paraId="3AB8E158" w14:textId="77777777" w:rsidR="00813111" w:rsidRDefault="002F4C61" w:rsidP="00D34532">
      <w:pPr>
        <w:spacing w:line="276" w:lineRule="auto"/>
        <w:rPr>
          <w:rFonts w:asciiTheme="majorHAnsi" w:hAnsiTheme="majorHAnsi"/>
          <w:sz w:val="16"/>
          <w:szCs w:val="16"/>
        </w:rPr>
      </w:pPr>
      <w:r w:rsidRPr="008F3A80">
        <w:rPr>
          <w:rFonts w:asciiTheme="majorHAnsi" w:hAnsiTheme="majorHAnsi"/>
          <w:color w:val="3366FF"/>
          <w:sz w:val="16"/>
          <w:szCs w:val="16"/>
        </w:rPr>
        <w:t>(headline)</w:t>
      </w:r>
      <w:r>
        <w:rPr>
          <w:rFonts w:asciiTheme="majorHAnsi" w:hAnsiTheme="majorHAnsi"/>
          <w:sz w:val="16"/>
          <w:szCs w:val="16"/>
        </w:rPr>
        <w:t xml:space="preserve">     </w:t>
      </w:r>
    </w:p>
    <w:p w14:paraId="1CFA1395" w14:textId="61A9C84E" w:rsidR="004B7F3D" w:rsidRPr="00596EAC" w:rsidRDefault="004B7F3D" w:rsidP="00D34532">
      <w:pPr>
        <w:spacing w:line="276" w:lineRule="auto"/>
        <w:rPr>
          <w:rFonts w:asciiTheme="majorHAnsi" w:hAnsiTheme="majorHAnsi"/>
          <w:b/>
        </w:rPr>
      </w:pPr>
      <w:r w:rsidRPr="00D34532">
        <w:rPr>
          <w:rFonts w:asciiTheme="majorHAnsi" w:hAnsiTheme="majorHAnsi"/>
          <w:b/>
          <w:sz w:val="32"/>
          <w:szCs w:val="32"/>
        </w:rPr>
        <w:t>P</w:t>
      </w:r>
      <w:r w:rsidR="00C35863" w:rsidRPr="00D34532">
        <w:rPr>
          <w:rFonts w:asciiTheme="majorHAnsi" w:hAnsiTheme="majorHAnsi"/>
          <w:b/>
          <w:sz w:val="32"/>
          <w:szCs w:val="32"/>
        </w:rPr>
        <w:t>r</w:t>
      </w:r>
      <w:r w:rsidRPr="00D34532">
        <w:rPr>
          <w:rFonts w:asciiTheme="majorHAnsi" w:hAnsiTheme="majorHAnsi"/>
          <w:b/>
          <w:sz w:val="32"/>
          <w:szCs w:val="32"/>
        </w:rPr>
        <w:t>EP Provider FAQs</w:t>
      </w:r>
    </w:p>
    <w:p w14:paraId="58DDBA13" w14:textId="77777777" w:rsidR="00813111" w:rsidRDefault="00813111" w:rsidP="00813111">
      <w:pPr>
        <w:spacing w:line="276" w:lineRule="auto"/>
        <w:rPr>
          <w:rFonts w:asciiTheme="majorHAnsi" w:hAnsiTheme="majorHAnsi"/>
          <w:color w:val="3366FF"/>
          <w:sz w:val="16"/>
          <w:szCs w:val="16"/>
        </w:rPr>
      </w:pPr>
    </w:p>
    <w:p w14:paraId="2370FB9A" w14:textId="298369EA" w:rsidR="00C35863" w:rsidRPr="00813111" w:rsidRDefault="00813111" w:rsidP="00813111">
      <w:pPr>
        <w:spacing w:line="276" w:lineRule="auto"/>
        <w:rPr>
          <w:rFonts w:asciiTheme="majorHAnsi" w:hAnsiTheme="majorHAnsi"/>
          <w:sz w:val="16"/>
          <w:szCs w:val="16"/>
        </w:rPr>
      </w:pPr>
      <w:r w:rsidRPr="008F3A80">
        <w:rPr>
          <w:rFonts w:asciiTheme="majorHAnsi" w:hAnsiTheme="majorHAnsi"/>
          <w:color w:val="3366FF"/>
          <w:sz w:val="16"/>
          <w:szCs w:val="16"/>
        </w:rPr>
        <w:t>(</w:t>
      </w:r>
      <w:r>
        <w:rPr>
          <w:rFonts w:asciiTheme="majorHAnsi" w:hAnsiTheme="majorHAnsi"/>
          <w:color w:val="3366FF"/>
          <w:sz w:val="16"/>
          <w:szCs w:val="16"/>
        </w:rPr>
        <w:t>text</w:t>
      </w:r>
      <w:r w:rsidRPr="008F3A80">
        <w:rPr>
          <w:rFonts w:asciiTheme="majorHAnsi" w:hAnsiTheme="majorHAnsi"/>
          <w:color w:val="3366FF"/>
          <w:sz w:val="16"/>
          <w:szCs w:val="16"/>
        </w:rPr>
        <w:t>)</w:t>
      </w:r>
    </w:p>
    <w:p w14:paraId="40710482" w14:textId="77777777" w:rsidR="00C35863" w:rsidRPr="00A6224E" w:rsidRDefault="00C35863" w:rsidP="00C35863">
      <w:pPr>
        <w:widowControl w:val="0"/>
        <w:autoSpaceDE w:val="0"/>
        <w:autoSpaceDN w:val="0"/>
        <w:adjustRightInd w:val="0"/>
        <w:rPr>
          <w:rFonts w:asciiTheme="majorHAnsi" w:hAnsiTheme="majorHAnsi" w:cs="PTSans-Bold"/>
          <w:b/>
          <w:bCs/>
        </w:rPr>
      </w:pPr>
      <w:r w:rsidRPr="00A6224E">
        <w:rPr>
          <w:rFonts w:asciiTheme="majorHAnsi" w:hAnsiTheme="majorHAnsi" w:cs="PTSans-Bold"/>
          <w:b/>
          <w:bCs/>
        </w:rPr>
        <w:t>1. What is PrEP?</w:t>
      </w:r>
    </w:p>
    <w:p w14:paraId="46BD871E" w14:textId="526FC18A" w:rsidR="00C35863" w:rsidRDefault="00C35863" w:rsidP="00CE5A7D">
      <w:pPr>
        <w:widowControl w:val="0"/>
        <w:autoSpaceDE w:val="0"/>
        <w:autoSpaceDN w:val="0"/>
        <w:adjustRightInd w:val="0"/>
        <w:rPr>
          <w:rFonts w:asciiTheme="majorHAnsi" w:hAnsiTheme="majorHAnsi" w:cs="PTSans-Bold"/>
          <w:color w:val="000000"/>
        </w:rPr>
      </w:pPr>
      <w:r w:rsidRPr="00E145D5">
        <w:rPr>
          <w:rFonts w:asciiTheme="majorHAnsi" w:hAnsiTheme="majorHAnsi" w:cs="PTSans-Bold"/>
          <w:b/>
          <w:bCs/>
          <w:color w:val="000000"/>
        </w:rPr>
        <w:t xml:space="preserve">PrEP </w:t>
      </w:r>
      <w:r w:rsidRPr="00E145D5">
        <w:rPr>
          <w:rFonts w:asciiTheme="majorHAnsi" w:hAnsiTheme="majorHAnsi" w:cs="PTSans-Bold"/>
          <w:color w:val="000000"/>
        </w:rPr>
        <w:t xml:space="preserve">is short for </w:t>
      </w:r>
      <w:r w:rsidRPr="00E145D5">
        <w:rPr>
          <w:rFonts w:asciiTheme="majorHAnsi" w:hAnsiTheme="majorHAnsi" w:cs="PTSans-Bold"/>
          <w:b/>
          <w:bCs/>
          <w:color w:val="000000"/>
        </w:rPr>
        <w:t>pre</w:t>
      </w:r>
      <w:r w:rsidRPr="00E145D5">
        <w:rPr>
          <w:rFonts w:asciiTheme="majorHAnsi" w:hAnsiTheme="majorHAnsi" w:cs="PTSans-Bold"/>
          <w:color w:val="000000"/>
        </w:rPr>
        <w:t>-exposure prophylaxis. It is the use of antiretroviral medication to prevent acq</w:t>
      </w:r>
      <w:r>
        <w:rPr>
          <w:rFonts w:asciiTheme="majorHAnsi" w:hAnsiTheme="majorHAnsi" w:cs="PTSans-Bold"/>
          <w:color w:val="000000"/>
        </w:rPr>
        <w:t xml:space="preserve">uisition of HIV infection. PrEP </w:t>
      </w:r>
      <w:r w:rsidRPr="00E145D5">
        <w:rPr>
          <w:rFonts w:asciiTheme="majorHAnsi" w:hAnsiTheme="majorHAnsi" w:cs="PTSans-Bold"/>
          <w:color w:val="000000"/>
        </w:rPr>
        <w:t>is used by HIV uninfected people who are at high risk of being exposed to HIV through sexual contact or injection drug use.</w:t>
      </w:r>
      <w:r>
        <w:rPr>
          <w:rFonts w:asciiTheme="majorHAnsi" w:hAnsiTheme="majorHAnsi" w:cs="PTSans-Bold"/>
          <w:color w:val="000000"/>
        </w:rPr>
        <w:t xml:space="preserve"> </w:t>
      </w:r>
      <w:r w:rsidRPr="00E145D5">
        <w:rPr>
          <w:rFonts w:asciiTheme="majorHAnsi" w:hAnsiTheme="majorHAnsi" w:cs="PTSans-Bold"/>
          <w:color w:val="000000"/>
        </w:rPr>
        <w:t>At present, the only medication with an FDA-approved indica</w:t>
      </w:r>
      <w:r>
        <w:rPr>
          <w:rFonts w:asciiTheme="majorHAnsi" w:hAnsiTheme="majorHAnsi" w:cs="PTSans-Bold"/>
          <w:color w:val="000000"/>
        </w:rPr>
        <w:t xml:space="preserve">tion for PrEP is oral tenofovir </w:t>
      </w:r>
      <w:r w:rsidRPr="00E145D5">
        <w:rPr>
          <w:rFonts w:asciiTheme="majorHAnsi" w:hAnsiTheme="majorHAnsi" w:cs="PTSans-Bold"/>
          <w:color w:val="000000"/>
        </w:rPr>
        <w:t>emtricitabine (TDF-FTC)</w:t>
      </w:r>
      <w:r w:rsidR="00A95357">
        <w:rPr>
          <w:rFonts w:asciiTheme="majorHAnsi" w:hAnsiTheme="majorHAnsi" w:cs="PTSans-Bold"/>
          <w:color w:val="000000"/>
        </w:rPr>
        <w:t>,</w:t>
      </w:r>
      <w:r w:rsidRPr="00E145D5">
        <w:rPr>
          <w:rFonts w:asciiTheme="majorHAnsi" w:hAnsiTheme="majorHAnsi" w:cs="PTSans-Bold"/>
          <w:color w:val="000000"/>
        </w:rPr>
        <w:t xml:space="preserve"> which is</w:t>
      </w:r>
      <w:r>
        <w:rPr>
          <w:rFonts w:asciiTheme="majorHAnsi" w:hAnsiTheme="majorHAnsi" w:cs="PTSans-Bold"/>
          <w:color w:val="000000"/>
        </w:rPr>
        <w:t xml:space="preserve"> </w:t>
      </w:r>
      <w:r w:rsidRPr="00E145D5">
        <w:rPr>
          <w:rFonts w:asciiTheme="majorHAnsi" w:hAnsiTheme="majorHAnsi" w:cs="PTSans-Bold"/>
          <w:color w:val="000000"/>
        </w:rPr>
        <w:t>available as a fixed-dose combination in a tablet</w:t>
      </w:r>
      <w:r w:rsidR="00D7119B">
        <w:rPr>
          <w:rFonts w:asciiTheme="majorHAnsi" w:hAnsiTheme="majorHAnsi" w:cs="PTSans-Bold"/>
          <w:color w:val="000000"/>
        </w:rPr>
        <w:t xml:space="preserve"> called Truvada®.</w:t>
      </w:r>
      <w:r w:rsidRPr="00E145D5">
        <w:rPr>
          <w:rFonts w:asciiTheme="majorHAnsi" w:hAnsiTheme="majorHAnsi" w:cs="PTSans-Bold"/>
          <w:color w:val="000000"/>
        </w:rPr>
        <w:t xml:space="preserve"> This medication is also commonly used in the treatment of HIV.</w:t>
      </w:r>
      <w:r w:rsidR="002B4820">
        <w:rPr>
          <w:rFonts w:asciiTheme="majorHAnsi" w:hAnsiTheme="majorHAnsi" w:cs="PTSans-Bold"/>
          <w:color w:val="000000"/>
        </w:rPr>
        <w:t xml:space="preserve"> </w:t>
      </w:r>
    </w:p>
    <w:p w14:paraId="57FCEBBD" w14:textId="77777777" w:rsidR="00497BE3" w:rsidRPr="00E145D5" w:rsidRDefault="00497BE3" w:rsidP="00054179">
      <w:pPr>
        <w:widowControl w:val="0"/>
        <w:autoSpaceDE w:val="0"/>
        <w:autoSpaceDN w:val="0"/>
        <w:adjustRightInd w:val="0"/>
        <w:rPr>
          <w:rFonts w:asciiTheme="majorHAnsi" w:hAnsiTheme="majorHAnsi" w:cs="PTSans-Bold"/>
          <w:color w:val="000000"/>
        </w:rPr>
      </w:pPr>
    </w:p>
    <w:p w14:paraId="31511A3E" w14:textId="2E735698" w:rsidR="00C35863" w:rsidRDefault="00C35863" w:rsidP="00D7119B">
      <w:pPr>
        <w:widowControl w:val="0"/>
        <w:autoSpaceDE w:val="0"/>
        <w:autoSpaceDN w:val="0"/>
        <w:adjustRightInd w:val="0"/>
        <w:rPr>
          <w:rFonts w:asciiTheme="majorHAnsi" w:hAnsiTheme="majorHAnsi" w:cs="PTSans-Bold"/>
          <w:b/>
          <w:bCs/>
          <w:color w:val="000000"/>
        </w:rPr>
      </w:pPr>
      <w:r w:rsidRPr="00E145D5">
        <w:rPr>
          <w:rFonts w:asciiTheme="majorHAnsi" w:hAnsiTheme="majorHAnsi" w:cs="PTSans-Bold"/>
          <w:b/>
          <w:bCs/>
          <w:color w:val="000000"/>
        </w:rPr>
        <w:t xml:space="preserve">PrEP should be considered part of a </w:t>
      </w:r>
      <w:r w:rsidRPr="00D34532">
        <w:rPr>
          <w:rFonts w:asciiTheme="majorHAnsi" w:hAnsiTheme="majorHAnsi" w:cs="PTSans-Bold"/>
          <w:b/>
          <w:bCs/>
          <w:i/>
        </w:rPr>
        <w:t xml:space="preserve">comprehensive prevention plan </w:t>
      </w:r>
      <w:r w:rsidRPr="00E145D5">
        <w:rPr>
          <w:rFonts w:asciiTheme="majorHAnsi" w:hAnsiTheme="majorHAnsi" w:cs="PTSans-Bold"/>
          <w:b/>
          <w:bCs/>
          <w:color w:val="000000"/>
        </w:rPr>
        <w:t>that includes</w:t>
      </w:r>
      <w:r w:rsidR="004900E5">
        <w:rPr>
          <w:rFonts w:asciiTheme="majorHAnsi" w:hAnsiTheme="majorHAnsi" w:cs="PTSans-Bold"/>
          <w:b/>
          <w:bCs/>
          <w:color w:val="000000"/>
        </w:rPr>
        <w:t xml:space="preserve"> a discussion about adherence, safer sex behaviors</w:t>
      </w:r>
      <w:r w:rsidR="00501D8D">
        <w:rPr>
          <w:rFonts w:asciiTheme="majorHAnsi" w:hAnsiTheme="majorHAnsi" w:cs="PTSans-Bold"/>
          <w:b/>
          <w:bCs/>
          <w:color w:val="000000"/>
        </w:rPr>
        <w:t>,</w:t>
      </w:r>
      <w:r w:rsidR="004900E5">
        <w:rPr>
          <w:rFonts w:asciiTheme="majorHAnsi" w:hAnsiTheme="majorHAnsi" w:cs="PTSans-Bold"/>
          <w:b/>
          <w:bCs/>
          <w:color w:val="000000"/>
        </w:rPr>
        <w:t xml:space="preserve"> and condom use. </w:t>
      </w:r>
    </w:p>
    <w:p w14:paraId="1CEC93AB" w14:textId="77777777" w:rsidR="00497BE3" w:rsidRPr="00D7119B" w:rsidRDefault="00497BE3" w:rsidP="00D7119B">
      <w:pPr>
        <w:widowControl w:val="0"/>
        <w:autoSpaceDE w:val="0"/>
        <w:autoSpaceDN w:val="0"/>
        <w:adjustRightInd w:val="0"/>
        <w:rPr>
          <w:rFonts w:asciiTheme="majorHAnsi" w:hAnsiTheme="majorHAnsi" w:cs="PTSans-Bold"/>
          <w:b/>
          <w:bCs/>
          <w:strike/>
          <w:color w:val="000000"/>
        </w:rPr>
      </w:pPr>
    </w:p>
    <w:p w14:paraId="36606043" w14:textId="77777777" w:rsidR="00813111" w:rsidRPr="00F81D0D" w:rsidRDefault="00813111" w:rsidP="00C35863">
      <w:pPr>
        <w:widowControl w:val="0"/>
        <w:pBdr>
          <w:bottom w:val="single" w:sz="12" w:space="1" w:color="auto"/>
        </w:pBdr>
        <w:autoSpaceDE w:val="0"/>
        <w:autoSpaceDN w:val="0"/>
        <w:adjustRightInd w:val="0"/>
        <w:ind w:right="-360"/>
        <w:rPr>
          <w:rFonts w:asciiTheme="majorHAnsi" w:hAnsiTheme="majorHAnsi" w:cs="PTSans-Bold"/>
          <w:b/>
          <w:bCs/>
          <w:color w:val="000000"/>
          <w:sz w:val="12"/>
          <w:szCs w:val="12"/>
        </w:rPr>
      </w:pPr>
    </w:p>
    <w:p w14:paraId="3F71F5DE" w14:textId="77777777" w:rsidR="00D34532" w:rsidRPr="00F81D0D" w:rsidRDefault="00D34532" w:rsidP="00C35863">
      <w:pPr>
        <w:widowControl w:val="0"/>
        <w:autoSpaceDE w:val="0"/>
        <w:autoSpaceDN w:val="0"/>
        <w:adjustRightInd w:val="0"/>
        <w:ind w:right="-360"/>
        <w:rPr>
          <w:rFonts w:asciiTheme="majorHAnsi" w:hAnsiTheme="majorHAnsi" w:cs="PTSans-Bold"/>
          <w:b/>
          <w:bCs/>
          <w:color w:val="000000"/>
          <w:sz w:val="12"/>
          <w:szCs w:val="12"/>
        </w:rPr>
      </w:pPr>
    </w:p>
    <w:p w14:paraId="0F091FB4" w14:textId="77777777" w:rsidR="00C35863" w:rsidRPr="00A6224E" w:rsidRDefault="00C35863" w:rsidP="00C35863">
      <w:pPr>
        <w:widowControl w:val="0"/>
        <w:autoSpaceDE w:val="0"/>
        <w:autoSpaceDN w:val="0"/>
        <w:adjustRightInd w:val="0"/>
        <w:rPr>
          <w:rFonts w:asciiTheme="majorHAnsi" w:hAnsiTheme="majorHAnsi" w:cs="PTSans-Bold"/>
          <w:b/>
          <w:bCs/>
        </w:rPr>
      </w:pPr>
      <w:r w:rsidRPr="00A6224E">
        <w:rPr>
          <w:rFonts w:asciiTheme="majorHAnsi" w:hAnsiTheme="majorHAnsi" w:cs="PTSans-Bold"/>
          <w:b/>
          <w:bCs/>
        </w:rPr>
        <w:t>2. What are the guidelines for prescribing PrEP?</w:t>
      </w:r>
    </w:p>
    <w:p w14:paraId="6C11F08A" w14:textId="276186FD" w:rsidR="00C35863" w:rsidRPr="00E145D5" w:rsidRDefault="00A95357" w:rsidP="00F81D0D">
      <w:pPr>
        <w:widowControl w:val="0"/>
        <w:autoSpaceDE w:val="0"/>
        <w:autoSpaceDN w:val="0"/>
        <w:adjustRightInd w:val="0"/>
        <w:rPr>
          <w:rFonts w:asciiTheme="majorHAnsi" w:hAnsiTheme="majorHAnsi" w:cs="PTSans-Bold"/>
          <w:color w:val="000000"/>
        </w:rPr>
      </w:pPr>
      <w:r>
        <w:rPr>
          <w:rFonts w:asciiTheme="majorHAnsi" w:hAnsiTheme="majorHAnsi" w:cs="PTSans-Bold"/>
          <w:color w:val="000000"/>
        </w:rPr>
        <w:t>C</w:t>
      </w:r>
      <w:r w:rsidR="00C35863" w:rsidRPr="00E145D5">
        <w:rPr>
          <w:rFonts w:asciiTheme="majorHAnsi" w:hAnsiTheme="majorHAnsi" w:cs="PTSans-Bold"/>
          <w:color w:val="000000"/>
        </w:rPr>
        <w:t>omprehensive guidelines for prescribing PrEP exist</w:t>
      </w:r>
      <w:r w:rsidR="009C2D5C">
        <w:rPr>
          <w:rFonts w:asciiTheme="majorHAnsi" w:hAnsiTheme="majorHAnsi" w:cs="PTSans-Bold"/>
          <w:color w:val="000000"/>
        </w:rPr>
        <w:t>:</w:t>
      </w:r>
      <w:r w:rsidR="00C5611B">
        <w:rPr>
          <w:rFonts w:asciiTheme="majorHAnsi" w:hAnsiTheme="majorHAnsi" w:cs="PTSans-Bold"/>
          <w:color w:val="000000"/>
        </w:rPr>
        <w:t xml:space="preserve"> </w:t>
      </w:r>
    </w:p>
    <w:p w14:paraId="1B1C8146" w14:textId="07ADD5DF" w:rsidR="00C35863" w:rsidRDefault="00C35863" w:rsidP="009C2D5C">
      <w:pPr>
        <w:widowControl w:val="0"/>
        <w:autoSpaceDE w:val="0"/>
        <w:autoSpaceDN w:val="0"/>
        <w:adjustRightInd w:val="0"/>
        <w:ind w:left="720" w:right="-270"/>
        <w:rPr>
          <w:rFonts w:asciiTheme="majorHAnsi" w:hAnsiTheme="majorHAnsi" w:cs="PTSans-Bold"/>
          <w:color w:val="000000"/>
          <w:vertAlign w:val="superscript"/>
        </w:rPr>
      </w:pPr>
      <w:r w:rsidRPr="00A6224E">
        <w:rPr>
          <w:rFonts w:asciiTheme="majorHAnsi" w:hAnsiTheme="majorHAnsi" w:cs="PTSans-Bold"/>
        </w:rPr>
        <w:t>• Centers for Disease Control (CDC) Guidelines</w:t>
      </w:r>
      <w:r w:rsidR="00842DE3">
        <w:rPr>
          <w:rFonts w:asciiTheme="majorHAnsi" w:hAnsiTheme="majorHAnsi" w:cs="PTSans-Bold"/>
        </w:rPr>
        <w:t>,</w:t>
      </w:r>
      <w:r w:rsidR="0062002F">
        <w:rPr>
          <w:rFonts w:asciiTheme="majorHAnsi" w:hAnsiTheme="majorHAnsi" w:cs="PTSans-Bold"/>
          <w:vertAlign w:val="superscript"/>
        </w:rPr>
        <w:t>[1</w:t>
      </w:r>
      <w:r w:rsidRPr="00A6224E">
        <w:rPr>
          <w:rFonts w:asciiTheme="majorHAnsi" w:hAnsiTheme="majorHAnsi" w:cs="PTSans-Bold"/>
          <w:vertAlign w:val="superscript"/>
        </w:rPr>
        <w:t>]</w:t>
      </w:r>
      <w:r w:rsidRPr="00A6224E">
        <w:rPr>
          <w:rFonts w:asciiTheme="majorHAnsi" w:hAnsiTheme="majorHAnsi" w:cs="PTSans-Bold"/>
        </w:rPr>
        <w:t xml:space="preserve"> including a</w:t>
      </w:r>
      <w:r>
        <w:rPr>
          <w:rFonts w:asciiTheme="majorHAnsi" w:hAnsiTheme="majorHAnsi" w:cs="PTSans-Bold"/>
          <w:color w:val="000000"/>
        </w:rPr>
        <w:t xml:space="preserve"> Clinical Providers’ </w:t>
      </w:r>
      <w:r w:rsidRPr="00E145D5">
        <w:rPr>
          <w:rFonts w:asciiTheme="majorHAnsi" w:hAnsiTheme="majorHAnsi" w:cs="PTSans-Bold"/>
          <w:color w:val="000000"/>
        </w:rPr>
        <w:t>Supplement</w:t>
      </w:r>
      <w:r w:rsidR="00702E8C">
        <w:rPr>
          <w:rFonts w:asciiTheme="majorHAnsi" w:hAnsiTheme="majorHAnsi" w:cs="PTSans-Bold"/>
          <w:color w:val="000000"/>
        </w:rPr>
        <w:t xml:space="preserve"> </w:t>
      </w:r>
      <w:r w:rsidR="0062002F">
        <w:rPr>
          <w:rFonts w:asciiTheme="majorHAnsi" w:hAnsiTheme="majorHAnsi" w:cs="PTSans-Bold"/>
          <w:color w:val="000000"/>
          <w:vertAlign w:val="superscript"/>
        </w:rPr>
        <w:t>[2</w:t>
      </w:r>
      <w:r w:rsidRPr="00E145D5">
        <w:rPr>
          <w:rFonts w:asciiTheme="majorHAnsi" w:hAnsiTheme="majorHAnsi" w:cs="PTSans-Bold"/>
          <w:color w:val="000000"/>
          <w:vertAlign w:val="superscript"/>
        </w:rPr>
        <w:t>]</w:t>
      </w:r>
    </w:p>
    <w:p w14:paraId="3D6ADBB7" w14:textId="77777777" w:rsidR="007B7554" w:rsidRDefault="007B7554" w:rsidP="009C2D5C">
      <w:pPr>
        <w:widowControl w:val="0"/>
        <w:autoSpaceDE w:val="0"/>
        <w:autoSpaceDN w:val="0"/>
        <w:adjustRightInd w:val="0"/>
        <w:ind w:left="720" w:right="-270"/>
        <w:rPr>
          <w:rFonts w:asciiTheme="majorHAnsi" w:hAnsiTheme="majorHAnsi" w:cs="PTSans-Bold"/>
          <w:color w:val="000000"/>
          <w:vertAlign w:val="superscript"/>
        </w:rPr>
      </w:pPr>
    </w:p>
    <w:p w14:paraId="2F980CA2" w14:textId="3706AA75" w:rsidR="00C35863" w:rsidRPr="007B7554" w:rsidRDefault="00497BE3" w:rsidP="00F81D0D">
      <w:pPr>
        <w:widowControl w:val="0"/>
        <w:autoSpaceDE w:val="0"/>
        <w:autoSpaceDN w:val="0"/>
        <w:adjustRightInd w:val="0"/>
        <w:ind w:right="-270" w:firstLine="720"/>
        <w:rPr>
          <w:rFonts w:asciiTheme="majorHAnsi" w:hAnsiTheme="majorHAnsi" w:cs="PTSans-Bold"/>
          <w:b/>
          <w:color w:val="000000"/>
        </w:rPr>
      </w:pPr>
      <w:r>
        <w:rPr>
          <w:rFonts w:asciiTheme="majorHAnsi" w:hAnsiTheme="majorHAnsi" w:cs="PTSans-Bold"/>
          <w:b/>
          <w:color w:val="000000"/>
        </w:rPr>
        <w:t xml:space="preserve">   </w:t>
      </w:r>
      <w:r w:rsidR="007B7554" w:rsidRPr="00813111">
        <w:rPr>
          <w:rFonts w:asciiTheme="majorHAnsi" w:hAnsiTheme="majorHAnsi" w:cs="PTSans-Bold"/>
          <w:b/>
          <w:color w:val="000000"/>
        </w:rPr>
        <w:t xml:space="preserve">Both can be found on the CDC website: </w:t>
      </w:r>
      <w:r w:rsidR="007B7554" w:rsidRPr="00813111">
        <w:rPr>
          <w:rFonts w:asciiTheme="majorHAnsi" w:hAnsiTheme="majorHAnsi" w:cs="PTSans-Bold"/>
          <w:b/>
          <w:bCs/>
          <w:color w:val="000000"/>
        </w:rPr>
        <w:t>www.cdc.gov/hiv/risk/prep</w:t>
      </w:r>
    </w:p>
    <w:p w14:paraId="477BDE89" w14:textId="77777777" w:rsidR="007B7554" w:rsidRDefault="007B7554" w:rsidP="00C35863">
      <w:pPr>
        <w:widowControl w:val="0"/>
        <w:autoSpaceDE w:val="0"/>
        <w:autoSpaceDN w:val="0"/>
        <w:adjustRightInd w:val="0"/>
        <w:rPr>
          <w:rFonts w:asciiTheme="majorHAnsi" w:hAnsiTheme="majorHAnsi" w:cs="PTSans-Bold"/>
          <w:b/>
          <w:bCs/>
          <w:color w:val="000000"/>
        </w:rPr>
      </w:pPr>
    </w:p>
    <w:p w14:paraId="139A0BB5" w14:textId="2770E15C" w:rsidR="00F94683" w:rsidRDefault="00C35863" w:rsidP="00F94683">
      <w:pPr>
        <w:widowControl w:val="0"/>
        <w:autoSpaceDE w:val="0"/>
        <w:autoSpaceDN w:val="0"/>
        <w:adjustRightInd w:val="0"/>
        <w:rPr>
          <w:rFonts w:asciiTheme="majorHAnsi" w:hAnsiTheme="majorHAnsi" w:cs="PTSans-Bold"/>
          <w:b/>
          <w:bCs/>
          <w:color w:val="000000"/>
        </w:rPr>
      </w:pPr>
      <w:r w:rsidRPr="00E145D5">
        <w:rPr>
          <w:rFonts w:asciiTheme="majorHAnsi" w:hAnsiTheme="majorHAnsi" w:cs="PTSans-Bold"/>
          <w:color w:val="000000"/>
        </w:rPr>
        <w:t>The Clinical Providers’ Supplement contains additional tools for clinicians providing PrEP, such a</w:t>
      </w:r>
      <w:r>
        <w:rPr>
          <w:rFonts w:asciiTheme="majorHAnsi" w:hAnsiTheme="majorHAnsi" w:cs="PTSans-Bold"/>
          <w:color w:val="000000"/>
        </w:rPr>
        <w:t xml:space="preserve">s a patient/provider checklist, </w:t>
      </w:r>
      <w:r w:rsidRPr="00E145D5">
        <w:rPr>
          <w:rFonts w:asciiTheme="majorHAnsi" w:hAnsiTheme="majorHAnsi" w:cs="PTSans-Bold"/>
          <w:color w:val="000000"/>
        </w:rPr>
        <w:t>patient information sheets, provider information sheets, a risk incidence assessment, supplemental counseling information,</w:t>
      </w:r>
      <w:r w:rsidR="008A41E7">
        <w:rPr>
          <w:rFonts w:asciiTheme="majorHAnsi" w:hAnsiTheme="majorHAnsi" w:cs="PTSans-Bold"/>
          <w:color w:val="000000"/>
        </w:rPr>
        <w:t xml:space="preserve"> </w:t>
      </w:r>
      <w:r w:rsidRPr="00E145D5">
        <w:rPr>
          <w:rFonts w:asciiTheme="majorHAnsi" w:hAnsiTheme="majorHAnsi" w:cs="PTSans-Bold"/>
          <w:color w:val="000000"/>
        </w:rPr>
        <w:t>billing codes</w:t>
      </w:r>
      <w:r w:rsidR="00842DE3">
        <w:rPr>
          <w:rFonts w:asciiTheme="majorHAnsi" w:hAnsiTheme="majorHAnsi" w:cs="PTSans-Bold"/>
          <w:color w:val="000000"/>
        </w:rPr>
        <w:t>,</w:t>
      </w:r>
      <w:r w:rsidRPr="00E145D5">
        <w:rPr>
          <w:rFonts w:asciiTheme="majorHAnsi" w:hAnsiTheme="majorHAnsi" w:cs="PTSans-Bold"/>
          <w:color w:val="000000"/>
        </w:rPr>
        <w:t xml:space="preserve"> and practice qualit</w:t>
      </w:r>
      <w:r w:rsidR="009C2D5C">
        <w:rPr>
          <w:rFonts w:asciiTheme="majorHAnsi" w:hAnsiTheme="majorHAnsi" w:cs="PTSans-Bold"/>
          <w:color w:val="000000"/>
        </w:rPr>
        <w:t xml:space="preserve">y measures. </w:t>
      </w:r>
    </w:p>
    <w:p w14:paraId="2961B3D5" w14:textId="2689E81B" w:rsidR="00C35863" w:rsidRDefault="009C2D5C" w:rsidP="00C35863">
      <w:pPr>
        <w:widowControl w:val="0"/>
        <w:autoSpaceDE w:val="0"/>
        <w:autoSpaceDN w:val="0"/>
        <w:adjustRightInd w:val="0"/>
        <w:rPr>
          <w:rFonts w:asciiTheme="majorHAnsi" w:hAnsiTheme="majorHAnsi" w:cs="PTSans-Bold"/>
          <w:color w:val="000000"/>
        </w:rPr>
      </w:pPr>
      <w:r>
        <w:rPr>
          <w:rFonts w:asciiTheme="majorHAnsi" w:hAnsiTheme="majorHAnsi" w:cs="PTSans-Bold"/>
          <w:color w:val="000000"/>
        </w:rPr>
        <w:t xml:space="preserve">If questions arise or if prescribing assistance is needed, </w:t>
      </w:r>
      <w:r w:rsidR="00C35863" w:rsidRPr="00E145D5">
        <w:rPr>
          <w:rFonts w:asciiTheme="majorHAnsi" w:hAnsiTheme="majorHAnsi" w:cs="PTSans-Bold"/>
          <w:color w:val="000000"/>
        </w:rPr>
        <w:t>clinicians should consult the</w:t>
      </w:r>
      <w:r w:rsidR="00C5611B">
        <w:rPr>
          <w:rFonts w:asciiTheme="majorHAnsi" w:hAnsiTheme="majorHAnsi" w:cs="PTSans-Bold"/>
          <w:color w:val="000000"/>
        </w:rPr>
        <w:t xml:space="preserve"> National Clinicians Consultation Center PrEP Line @ 1-855-448-7737 (</w:t>
      </w:r>
      <w:r w:rsidR="00C5611B" w:rsidRPr="009C2D5C">
        <w:rPr>
          <w:rFonts w:asciiTheme="majorHAnsi" w:hAnsiTheme="majorHAnsi" w:cs="PTSans-Bold"/>
          <w:color w:val="000000"/>
          <w:sz w:val="20"/>
          <w:szCs w:val="20"/>
        </w:rPr>
        <w:t>11</w:t>
      </w:r>
      <w:r>
        <w:rPr>
          <w:rFonts w:asciiTheme="majorHAnsi" w:hAnsiTheme="majorHAnsi" w:cs="PTSans-Bold"/>
          <w:color w:val="000000"/>
          <w:sz w:val="20"/>
          <w:szCs w:val="20"/>
        </w:rPr>
        <w:t xml:space="preserve"> </w:t>
      </w:r>
      <w:r w:rsidR="00C5611B" w:rsidRPr="009C2D5C">
        <w:rPr>
          <w:rFonts w:asciiTheme="majorHAnsi" w:hAnsiTheme="majorHAnsi" w:cs="PTSans-Bold"/>
          <w:color w:val="000000"/>
          <w:sz w:val="20"/>
          <w:szCs w:val="20"/>
        </w:rPr>
        <w:t>A</w:t>
      </w:r>
      <w:r w:rsidRPr="009C2D5C">
        <w:rPr>
          <w:rFonts w:asciiTheme="majorHAnsi" w:hAnsiTheme="majorHAnsi" w:cs="PTSans-Bold"/>
          <w:color w:val="000000"/>
          <w:sz w:val="20"/>
          <w:szCs w:val="20"/>
        </w:rPr>
        <w:t>M</w:t>
      </w:r>
      <w:r w:rsidR="00A40CCD">
        <w:rPr>
          <w:rFonts w:asciiTheme="majorHAnsi" w:hAnsiTheme="majorHAnsi" w:cs="PTSans-Bold"/>
          <w:color w:val="000000"/>
          <w:sz w:val="20"/>
          <w:szCs w:val="20"/>
        </w:rPr>
        <w:t xml:space="preserve"> till </w:t>
      </w:r>
      <w:r w:rsidRPr="009C2D5C">
        <w:rPr>
          <w:rFonts w:asciiTheme="majorHAnsi" w:hAnsiTheme="majorHAnsi" w:cs="PTSans-Bold"/>
          <w:color w:val="000000"/>
          <w:sz w:val="20"/>
          <w:szCs w:val="20"/>
        </w:rPr>
        <w:t>6</w:t>
      </w:r>
      <w:r>
        <w:rPr>
          <w:rFonts w:asciiTheme="majorHAnsi" w:hAnsiTheme="majorHAnsi" w:cs="PTSans-Bold"/>
          <w:color w:val="000000"/>
          <w:sz w:val="20"/>
          <w:szCs w:val="20"/>
        </w:rPr>
        <w:t xml:space="preserve"> </w:t>
      </w:r>
      <w:r w:rsidRPr="009C2D5C">
        <w:rPr>
          <w:rFonts w:asciiTheme="majorHAnsi" w:hAnsiTheme="majorHAnsi" w:cs="PTSans-Bold"/>
          <w:color w:val="000000"/>
          <w:sz w:val="20"/>
          <w:szCs w:val="20"/>
        </w:rPr>
        <w:t>PM EST</w:t>
      </w:r>
      <w:r>
        <w:rPr>
          <w:rFonts w:asciiTheme="majorHAnsi" w:hAnsiTheme="majorHAnsi" w:cs="PTSans-Bold"/>
          <w:color w:val="000000"/>
        </w:rPr>
        <w:t xml:space="preserve">). </w:t>
      </w:r>
    </w:p>
    <w:p w14:paraId="3AE9D113" w14:textId="77777777" w:rsidR="00497BE3" w:rsidRDefault="00497BE3" w:rsidP="00C35863">
      <w:pPr>
        <w:widowControl w:val="0"/>
        <w:autoSpaceDE w:val="0"/>
        <w:autoSpaceDN w:val="0"/>
        <w:adjustRightInd w:val="0"/>
        <w:rPr>
          <w:rFonts w:asciiTheme="majorHAnsi" w:hAnsiTheme="majorHAnsi" w:cs="PTSans-Bold"/>
          <w:color w:val="000000"/>
        </w:rPr>
      </w:pPr>
    </w:p>
    <w:p w14:paraId="613BE969" w14:textId="77777777" w:rsidR="00F81D0D" w:rsidRPr="00F81D0D" w:rsidRDefault="00F81D0D" w:rsidP="00F81D0D">
      <w:pPr>
        <w:widowControl w:val="0"/>
        <w:pBdr>
          <w:bottom w:val="single" w:sz="12" w:space="1" w:color="auto"/>
        </w:pBdr>
        <w:autoSpaceDE w:val="0"/>
        <w:autoSpaceDN w:val="0"/>
        <w:adjustRightInd w:val="0"/>
        <w:ind w:right="-360"/>
        <w:rPr>
          <w:rFonts w:asciiTheme="majorHAnsi" w:hAnsiTheme="majorHAnsi" w:cs="PTSans-Bold"/>
          <w:b/>
          <w:bCs/>
          <w:color w:val="000000"/>
          <w:sz w:val="12"/>
          <w:szCs w:val="12"/>
        </w:rPr>
      </w:pPr>
    </w:p>
    <w:p w14:paraId="3DA1E3FD" w14:textId="77777777" w:rsidR="00F94683" w:rsidRPr="00F81D0D" w:rsidRDefault="00F94683" w:rsidP="00C35863">
      <w:pPr>
        <w:rPr>
          <w:rFonts w:asciiTheme="majorHAnsi" w:hAnsiTheme="majorHAnsi"/>
          <w:sz w:val="12"/>
          <w:szCs w:val="12"/>
        </w:rPr>
      </w:pPr>
    </w:p>
    <w:p w14:paraId="69DF9127" w14:textId="77777777" w:rsidR="0062002F" w:rsidRPr="00D34532" w:rsidRDefault="00C35863" w:rsidP="0062002F">
      <w:pPr>
        <w:widowControl w:val="0"/>
        <w:autoSpaceDE w:val="0"/>
        <w:autoSpaceDN w:val="0"/>
        <w:adjustRightInd w:val="0"/>
        <w:rPr>
          <w:rFonts w:asciiTheme="majorHAnsi" w:hAnsiTheme="majorHAnsi" w:cs="HelveticaNeue-Condensed"/>
          <w:b/>
          <w:bCs/>
        </w:rPr>
      </w:pPr>
      <w:r w:rsidRPr="00D34532">
        <w:rPr>
          <w:rFonts w:asciiTheme="majorHAnsi" w:hAnsiTheme="majorHAnsi" w:cs="PTSans-Bold"/>
          <w:b/>
          <w:bCs/>
        </w:rPr>
        <w:t xml:space="preserve">3. </w:t>
      </w:r>
      <w:r w:rsidR="0062002F" w:rsidRPr="00D34532">
        <w:rPr>
          <w:rFonts w:asciiTheme="majorHAnsi" w:hAnsiTheme="majorHAnsi" w:cs="HelveticaNeue-Condensed"/>
          <w:b/>
          <w:bCs/>
        </w:rPr>
        <w:t>Who can prescribe PrEP?</w:t>
      </w:r>
    </w:p>
    <w:p w14:paraId="40D06873" w14:textId="1A6E02F7" w:rsidR="0062002F" w:rsidRDefault="0062002F" w:rsidP="007244AC">
      <w:pPr>
        <w:widowControl w:val="0"/>
        <w:autoSpaceDE w:val="0"/>
        <w:autoSpaceDN w:val="0"/>
        <w:adjustRightInd w:val="0"/>
        <w:rPr>
          <w:rFonts w:asciiTheme="majorHAnsi" w:hAnsiTheme="majorHAnsi" w:cs="HelveticaNeue-Condensed"/>
          <w:vertAlign w:val="superscript"/>
        </w:rPr>
      </w:pPr>
      <w:r w:rsidRPr="00D34532">
        <w:rPr>
          <w:rFonts w:asciiTheme="majorHAnsi" w:hAnsiTheme="majorHAnsi" w:cs="HelveticaNeue-Condensed"/>
        </w:rPr>
        <w:t>Any licensed prescriber can prescribe TDF-FTC as PrEP.  Specialization in infectious diseases or HIV medicine is not required. In fact, primary care providers who see members of populations at high risk of HIV should consider offering</w:t>
      </w:r>
      <w:r w:rsidR="00F81D0D" w:rsidRPr="00F81D0D">
        <w:rPr>
          <w:rFonts w:asciiTheme="majorHAnsi" w:hAnsiTheme="majorHAnsi" w:cs="HelveticaNeue-Condensed"/>
        </w:rPr>
        <w:t xml:space="preserve"> </w:t>
      </w:r>
      <w:r w:rsidR="00F81D0D" w:rsidRPr="00D34532">
        <w:rPr>
          <w:rFonts w:asciiTheme="majorHAnsi" w:hAnsiTheme="majorHAnsi" w:cs="HelveticaNeue-Condensed"/>
        </w:rPr>
        <w:t>PrEP to all eligible patients</w:t>
      </w:r>
      <w:r w:rsidR="00702E8C">
        <w:rPr>
          <w:rFonts w:asciiTheme="majorHAnsi" w:hAnsiTheme="majorHAnsi" w:cs="HelveticaNeue-Condensed"/>
        </w:rPr>
        <w:t>.</w:t>
      </w:r>
      <w:r w:rsidR="00F81D0D">
        <w:rPr>
          <w:rFonts w:asciiTheme="majorHAnsi" w:hAnsiTheme="majorHAnsi" w:cs="HelveticaNeue-Condensed"/>
          <w:vertAlign w:val="superscript"/>
        </w:rPr>
        <w:t>[3]</w:t>
      </w:r>
    </w:p>
    <w:p w14:paraId="15C61B34" w14:textId="77777777" w:rsidR="00497BE3" w:rsidRDefault="00497BE3" w:rsidP="007244AC">
      <w:pPr>
        <w:widowControl w:val="0"/>
        <w:autoSpaceDE w:val="0"/>
        <w:autoSpaceDN w:val="0"/>
        <w:adjustRightInd w:val="0"/>
        <w:rPr>
          <w:rFonts w:asciiTheme="majorHAnsi" w:hAnsiTheme="majorHAnsi" w:cs="HelveticaNeue-Condensed"/>
          <w:vertAlign w:val="superscript"/>
        </w:rPr>
      </w:pPr>
    </w:p>
    <w:p w14:paraId="0B848B92" w14:textId="77777777" w:rsidR="00F81D0D" w:rsidRPr="00F81D0D" w:rsidRDefault="00F81D0D" w:rsidP="00F81D0D">
      <w:pPr>
        <w:widowControl w:val="0"/>
        <w:pBdr>
          <w:bottom w:val="single" w:sz="12" w:space="1" w:color="auto"/>
        </w:pBdr>
        <w:autoSpaceDE w:val="0"/>
        <w:autoSpaceDN w:val="0"/>
        <w:adjustRightInd w:val="0"/>
        <w:ind w:right="-360"/>
        <w:rPr>
          <w:rFonts w:asciiTheme="majorHAnsi" w:hAnsiTheme="majorHAnsi" w:cs="PTSans-Bold"/>
          <w:b/>
          <w:bCs/>
          <w:color w:val="000000"/>
          <w:sz w:val="12"/>
          <w:szCs w:val="12"/>
        </w:rPr>
      </w:pPr>
    </w:p>
    <w:p w14:paraId="76EB2412" w14:textId="77777777" w:rsidR="00F81D0D" w:rsidRPr="00F81D0D" w:rsidRDefault="00F81D0D" w:rsidP="00F81D0D">
      <w:pPr>
        <w:rPr>
          <w:rFonts w:asciiTheme="majorHAnsi" w:hAnsiTheme="majorHAnsi"/>
          <w:sz w:val="12"/>
          <w:szCs w:val="12"/>
        </w:rPr>
      </w:pPr>
    </w:p>
    <w:p w14:paraId="6BE4601E" w14:textId="77777777" w:rsidR="001B26AB" w:rsidRDefault="001B26AB" w:rsidP="001B26AB">
      <w:pPr>
        <w:rPr>
          <w:rFonts w:asciiTheme="majorHAnsi" w:hAnsiTheme="majorHAnsi" w:cs="HelveticaNeue-Condensed"/>
          <w:b/>
          <w:bCs/>
        </w:rPr>
      </w:pPr>
    </w:p>
    <w:p w14:paraId="6B167926" w14:textId="77777777" w:rsidR="00DC7F2D" w:rsidRDefault="00DC7F2D" w:rsidP="001B26AB">
      <w:pPr>
        <w:rPr>
          <w:rFonts w:asciiTheme="majorHAnsi" w:hAnsiTheme="majorHAnsi" w:cs="HelveticaNeue-Condensed"/>
          <w:b/>
          <w:bCs/>
        </w:rPr>
      </w:pPr>
    </w:p>
    <w:p w14:paraId="5832A775" w14:textId="77777777" w:rsidR="00DC7F2D" w:rsidRDefault="00DC7F2D" w:rsidP="001B26AB">
      <w:pPr>
        <w:rPr>
          <w:rFonts w:asciiTheme="majorHAnsi" w:hAnsiTheme="majorHAnsi" w:cs="HelveticaNeue-Condensed"/>
          <w:b/>
          <w:bCs/>
        </w:rPr>
      </w:pPr>
    </w:p>
    <w:p w14:paraId="71B88A09" w14:textId="35ADE985" w:rsidR="00C35863" w:rsidRPr="001B26AB" w:rsidRDefault="0062002F" w:rsidP="001B26AB">
      <w:pPr>
        <w:rPr>
          <w:rFonts w:asciiTheme="majorHAnsi" w:hAnsiTheme="majorHAnsi" w:cs="HelveticaNeue-Condensed"/>
          <w:b/>
          <w:bCs/>
        </w:rPr>
      </w:pPr>
      <w:r w:rsidRPr="00D34532">
        <w:rPr>
          <w:rFonts w:asciiTheme="majorHAnsi" w:hAnsiTheme="majorHAnsi" w:cs="HelveticaNeue-Condensed"/>
          <w:b/>
          <w:bCs/>
        </w:rPr>
        <w:lastRenderedPageBreak/>
        <w:t xml:space="preserve">4. </w:t>
      </w:r>
      <w:r w:rsidR="00C35863" w:rsidRPr="00D34532">
        <w:rPr>
          <w:rFonts w:asciiTheme="majorHAnsi" w:hAnsiTheme="majorHAnsi" w:cs="PTSans-Bold"/>
          <w:b/>
          <w:bCs/>
        </w:rPr>
        <w:t>To whom should I offer PrEP?</w:t>
      </w:r>
    </w:p>
    <w:p w14:paraId="4F9464FE" w14:textId="6D90BEA3" w:rsidR="00C35863" w:rsidRPr="00E145D5" w:rsidRDefault="00C35863" w:rsidP="00CE5A7D">
      <w:pPr>
        <w:rPr>
          <w:rFonts w:asciiTheme="majorHAnsi" w:hAnsiTheme="majorHAnsi" w:cs="PTSans-Bold"/>
          <w:bCs/>
        </w:rPr>
      </w:pPr>
      <w:r w:rsidRPr="00E145D5">
        <w:rPr>
          <w:rFonts w:asciiTheme="majorHAnsi" w:hAnsiTheme="majorHAnsi" w:cs="PTSans-Bold"/>
          <w:color w:val="000000"/>
        </w:rPr>
        <w:t>Per CDC Guidelines, PrEP may be appropriate for the following populations:</w:t>
      </w:r>
    </w:p>
    <w:p w14:paraId="1F3A0A3A" w14:textId="77777777" w:rsidR="001B26AB" w:rsidRDefault="001B26AB" w:rsidP="00813111">
      <w:pPr>
        <w:spacing w:line="276" w:lineRule="auto"/>
        <w:rPr>
          <w:rFonts w:asciiTheme="majorHAnsi" w:hAnsiTheme="majorHAnsi"/>
          <w:color w:val="3366FF"/>
          <w:sz w:val="16"/>
          <w:szCs w:val="16"/>
        </w:rPr>
      </w:pPr>
    </w:p>
    <w:p w14:paraId="0AF34981" w14:textId="7FB1B3CA" w:rsidR="00C35863" w:rsidRPr="00813111" w:rsidRDefault="00813111" w:rsidP="00813111">
      <w:pPr>
        <w:spacing w:line="276" w:lineRule="auto"/>
        <w:rPr>
          <w:rFonts w:asciiTheme="majorHAnsi" w:hAnsiTheme="majorHAnsi"/>
          <w:sz w:val="16"/>
          <w:szCs w:val="16"/>
        </w:rPr>
      </w:pPr>
      <w:r w:rsidRPr="008F3A80">
        <w:rPr>
          <w:rFonts w:asciiTheme="majorHAnsi" w:hAnsiTheme="majorHAnsi"/>
          <w:color w:val="3366FF"/>
          <w:sz w:val="16"/>
          <w:szCs w:val="16"/>
        </w:rPr>
        <w:t>(</w:t>
      </w:r>
      <w:r>
        <w:rPr>
          <w:rFonts w:asciiTheme="majorHAnsi" w:hAnsiTheme="majorHAnsi"/>
          <w:color w:val="3366FF"/>
          <w:sz w:val="16"/>
          <w:szCs w:val="16"/>
        </w:rPr>
        <w:t>table</w:t>
      </w:r>
      <w:r w:rsidRPr="008F3A80">
        <w:rPr>
          <w:rFonts w:asciiTheme="majorHAnsi" w:hAnsiTheme="majorHAnsi"/>
          <w:color w:val="3366FF"/>
          <w:sz w:val="16"/>
          <w:szCs w:val="16"/>
        </w:rPr>
        <w:t>)</w:t>
      </w:r>
      <w:r>
        <w:rPr>
          <w:rFonts w:asciiTheme="majorHAnsi" w:hAnsiTheme="majorHAnsi"/>
          <w:sz w:val="16"/>
          <w:szCs w:val="16"/>
        </w:rPr>
        <w:t xml:space="preserve">     </w:t>
      </w:r>
    </w:p>
    <w:tbl>
      <w:tblPr>
        <w:tblStyle w:val="TableGrid"/>
        <w:tblW w:w="0" w:type="auto"/>
        <w:tblLook w:val="04A0" w:firstRow="1" w:lastRow="0" w:firstColumn="1" w:lastColumn="0" w:noHBand="0" w:noVBand="1"/>
      </w:tblPr>
      <w:tblGrid>
        <w:gridCol w:w="1548"/>
        <w:gridCol w:w="2520"/>
        <w:gridCol w:w="2574"/>
        <w:gridCol w:w="2376"/>
      </w:tblGrid>
      <w:tr w:rsidR="00C35863" w:rsidRPr="00E145D5" w14:paraId="33977BA2" w14:textId="77777777" w:rsidTr="00F94683">
        <w:tc>
          <w:tcPr>
            <w:tcW w:w="1548" w:type="dxa"/>
          </w:tcPr>
          <w:p w14:paraId="32579C8D" w14:textId="77777777" w:rsidR="00C35863" w:rsidRPr="00E145D5" w:rsidRDefault="00C35863" w:rsidP="00C35863">
            <w:pPr>
              <w:rPr>
                <w:rFonts w:asciiTheme="majorHAnsi" w:hAnsiTheme="majorHAnsi" w:cs="PTSans-Bold"/>
                <w:bCs/>
                <w:sz w:val="22"/>
                <w:szCs w:val="22"/>
              </w:rPr>
            </w:pPr>
          </w:p>
        </w:tc>
        <w:tc>
          <w:tcPr>
            <w:tcW w:w="2520" w:type="dxa"/>
          </w:tcPr>
          <w:p w14:paraId="661D9A06" w14:textId="4A3B2331" w:rsidR="00C35863" w:rsidRPr="00E145D5" w:rsidRDefault="00C35863" w:rsidP="00C35863">
            <w:pPr>
              <w:rPr>
                <w:rFonts w:asciiTheme="majorHAnsi" w:hAnsiTheme="majorHAnsi" w:cs="PTSans-Bold"/>
                <w:bCs/>
                <w:sz w:val="22"/>
                <w:szCs w:val="22"/>
              </w:rPr>
            </w:pPr>
            <w:r w:rsidRPr="00E145D5">
              <w:rPr>
                <w:rFonts w:asciiTheme="majorHAnsi" w:hAnsiTheme="majorHAnsi" w:cs="HelveticaNeue-BoldCond"/>
                <w:b/>
                <w:bCs/>
                <w:sz w:val="22"/>
                <w:szCs w:val="22"/>
              </w:rPr>
              <w:t>Men Who Have Sex with Men</w:t>
            </w:r>
          </w:p>
        </w:tc>
        <w:tc>
          <w:tcPr>
            <w:tcW w:w="2574" w:type="dxa"/>
          </w:tcPr>
          <w:p w14:paraId="18AAB8FD" w14:textId="77777777" w:rsidR="00C35863" w:rsidRPr="00E145D5" w:rsidRDefault="00C35863" w:rsidP="00C35863">
            <w:pPr>
              <w:rPr>
                <w:rFonts w:asciiTheme="majorHAnsi" w:hAnsiTheme="majorHAnsi" w:cs="PTSans-Bold"/>
                <w:bCs/>
                <w:sz w:val="22"/>
                <w:szCs w:val="22"/>
              </w:rPr>
            </w:pPr>
            <w:r w:rsidRPr="00E145D5">
              <w:rPr>
                <w:rFonts w:asciiTheme="majorHAnsi" w:hAnsiTheme="majorHAnsi" w:cs="HelveticaNeue-BoldCond"/>
                <w:b/>
                <w:bCs/>
                <w:sz w:val="22"/>
                <w:szCs w:val="22"/>
              </w:rPr>
              <w:t>Heterosexual Women and Men</w:t>
            </w:r>
          </w:p>
        </w:tc>
        <w:tc>
          <w:tcPr>
            <w:tcW w:w="2376" w:type="dxa"/>
          </w:tcPr>
          <w:p w14:paraId="308240CB" w14:textId="77777777" w:rsidR="00842DE3" w:rsidRDefault="00842DE3" w:rsidP="00C35863">
            <w:pPr>
              <w:rPr>
                <w:rFonts w:asciiTheme="majorHAnsi" w:hAnsiTheme="majorHAnsi" w:cs="HelveticaNeue-BoldCond"/>
                <w:b/>
                <w:bCs/>
                <w:sz w:val="22"/>
                <w:szCs w:val="22"/>
              </w:rPr>
            </w:pPr>
          </w:p>
          <w:p w14:paraId="68878F75" w14:textId="77777777" w:rsidR="00C35863" w:rsidRPr="00E145D5" w:rsidRDefault="00C35863" w:rsidP="00C35863">
            <w:pPr>
              <w:rPr>
                <w:rFonts w:asciiTheme="majorHAnsi" w:hAnsiTheme="majorHAnsi" w:cs="PTSans-Bold"/>
                <w:bCs/>
                <w:sz w:val="22"/>
                <w:szCs w:val="22"/>
              </w:rPr>
            </w:pPr>
            <w:r w:rsidRPr="00E145D5">
              <w:rPr>
                <w:rFonts w:asciiTheme="majorHAnsi" w:hAnsiTheme="majorHAnsi" w:cs="HelveticaNeue-BoldCond"/>
                <w:b/>
                <w:bCs/>
                <w:sz w:val="22"/>
                <w:szCs w:val="22"/>
              </w:rPr>
              <w:t>Injection Drug Users</w:t>
            </w:r>
          </w:p>
        </w:tc>
      </w:tr>
      <w:tr w:rsidR="00C35863" w:rsidRPr="00E145D5" w14:paraId="5088D1F8" w14:textId="77777777" w:rsidTr="00F94683">
        <w:tc>
          <w:tcPr>
            <w:tcW w:w="1548" w:type="dxa"/>
          </w:tcPr>
          <w:p w14:paraId="556EC08E" w14:textId="77777777" w:rsidR="00C35863" w:rsidRPr="00D34532" w:rsidRDefault="00C35863" w:rsidP="00C35863">
            <w:pPr>
              <w:widowControl w:val="0"/>
              <w:autoSpaceDE w:val="0"/>
              <w:autoSpaceDN w:val="0"/>
              <w:adjustRightInd w:val="0"/>
              <w:rPr>
                <w:rFonts w:asciiTheme="majorHAnsi" w:hAnsiTheme="majorHAnsi" w:cs="HelveticaNeue-BoldCond"/>
                <w:b/>
                <w:bCs/>
                <w:sz w:val="22"/>
                <w:szCs w:val="22"/>
              </w:rPr>
            </w:pPr>
            <w:r w:rsidRPr="00D34532">
              <w:rPr>
                <w:rFonts w:asciiTheme="majorHAnsi" w:hAnsiTheme="majorHAnsi" w:cs="HelveticaNeue-BoldCond"/>
                <w:b/>
                <w:bCs/>
                <w:sz w:val="22"/>
                <w:szCs w:val="22"/>
              </w:rPr>
              <w:t>Signs of</w:t>
            </w:r>
          </w:p>
          <w:p w14:paraId="14DDE519" w14:textId="77777777" w:rsidR="00C35863" w:rsidRPr="00D34532" w:rsidRDefault="00C35863" w:rsidP="00C35863">
            <w:pPr>
              <w:widowControl w:val="0"/>
              <w:autoSpaceDE w:val="0"/>
              <w:autoSpaceDN w:val="0"/>
              <w:adjustRightInd w:val="0"/>
              <w:rPr>
                <w:rFonts w:asciiTheme="majorHAnsi" w:hAnsiTheme="majorHAnsi" w:cs="HelveticaNeue-BoldCond"/>
                <w:b/>
                <w:bCs/>
                <w:sz w:val="22"/>
                <w:szCs w:val="22"/>
              </w:rPr>
            </w:pPr>
            <w:r w:rsidRPr="00D34532">
              <w:rPr>
                <w:rFonts w:asciiTheme="majorHAnsi" w:hAnsiTheme="majorHAnsi" w:cs="HelveticaNeue-BoldCond"/>
                <w:b/>
                <w:bCs/>
                <w:sz w:val="22"/>
                <w:szCs w:val="22"/>
              </w:rPr>
              <w:t>substantial</w:t>
            </w:r>
          </w:p>
          <w:p w14:paraId="1FAABDEF" w14:textId="77777777" w:rsidR="00C35863" w:rsidRPr="00D34532" w:rsidRDefault="00C35863" w:rsidP="00C35863">
            <w:pPr>
              <w:rPr>
                <w:rFonts w:asciiTheme="majorHAnsi" w:hAnsiTheme="majorHAnsi" w:cs="PTSans-Bold"/>
                <w:bCs/>
                <w:sz w:val="22"/>
                <w:szCs w:val="22"/>
              </w:rPr>
            </w:pPr>
            <w:r w:rsidRPr="00D34532">
              <w:rPr>
                <w:rFonts w:asciiTheme="majorHAnsi" w:hAnsiTheme="majorHAnsi" w:cs="HelveticaNeue-BoldCond"/>
                <w:b/>
                <w:bCs/>
                <w:sz w:val="22"/>
                <w:szCs w:val="22"/>
              </w:rPr>
              <w:t>HIV risk</w:t>
            </w:r>
          </w:p>
        </w:tc>
        <w:tc>
          <w:tcPr>
            <w:tcW w:w="2520" w:type="dxa"/>
          </w:tcPr>
          <w:p w14:paraId="74454918" w14:textId="77777777" w:rsidR="00C35863" w:rsidRPr="00D34532" w:rsidRDefault="00C35863" w:rsidP="00C35863">
            <w:pPr>
              <w:widowControl w:val="0"/>
              <w:autoSpaceDE w:val="0"/>
              <w:autoSpaceDN w:val="0"/>
              <w:adjustRightInd w:val="0"/>
              <w:rPr>
                <w:rFonts w:asciiTheme="majorHAnsi" w:hAnsiTheme="majorHAnsi" w:cs="HelveticaNeue-Condensed"/>
                <w:sz w:val="18"/>
                <w:szCs w:val="18"/>
              </w:rPr>
            </w:pPr>
            <w:r w:rsidRPr="00D34532">
              <w:rPr>
                <w:rFonts w:asciiTheme="majorHAnsi" w:hAnsiTheme="majorHAnsi" w:cs="HelveticaNeue-Condensed"/>
                <w:sz w:val="18"/>
                <w:szCs w:val="18"/>
              </w:rPr>
              <w:t>• HIV-positive sexual partner</w:t>
            </w:r>
          </w:p>
          <w:p w14:paraId="211224AB" w14:textId="5704A370" w:rsidR="00C35863" w:rsidRPr="00D34532" w:rsidRDefault="00C35863" w:rsidP="00702E8C">
            <w:pPr>
              <w:widowControl w:val="0"/>
              <w:autoSpaceDE w:val="0"/>
              <w:autoSpaceDN w:val="0"/>
              <w:adjustRightInd w:val="0"/>
              <w:rPr>
                <w:rFonts w:asciiTheme="majorHAnsi" w:hAnsiTheme="majorHAnsi" w:cs="HelveticaNeue-Condensed"/>
                <w:sz w:val="18"/>
                <w:szCs w:val="18"/>
              </w:rPr>
            </w:pPr>
            <w:r w:rsidRPr="00D34532">
              <w:rPr>
                <w:rFonts w:asciiTheme="majorHAnsi" w:hAnsiTheme="majorHAnsi" w:cs="HelveticaNeue-Condensed"/>
                <w:sz w:val="18"/>
                <w:szCs w:val="18"/>
              </w:rPr>
              <w:t>• Recent bacterial ST</w:t>
            </w:r>
            <w:r w:rsidR="00702E8C">
              <w:rPr>
                <w:rFonts w:asciiTheme="majorHAnsi" w:hAnsiTheme="majorHAnsi" w:cs="HelveticaNeue-Condensed"/>
                <w:sz w:val="18"/>
                <w:szCs w:val="18"/>
              </w:rPr>
              <w:t>I</w:t>
            </w:r>
          </w:p>
          <w:p w14:paraId="50156CD7" w14:textId="77777777" w:rsidR="00C35863" w:rsidRPr="00D34532" w:rsidRDefault="00C35863" w:rsidP="00C35863">
            <w:pPr>
              <w:widowControl w:val="0"/>
              <w:autoSpaceDE w:val="0"/>
              <w:autoSpaceDN w:val="0"/>
              <w:adjustRightInd w:val="0"/>
              <w:rPr>
                <w:rFonts w:asciiTheme="majorHAnsi" w:hAnsiTheme="majorHAnsi" w:cs="HelveticaNeue-Condensed"/>
                <w:sz w:val="18"/>
                <w:szCs w:val="18"/>
              </w:rPr>
            </w:pPr>
            <w:r w:rsidRPr="00D34532">
              <w:rPr>
                <w:rFonts w:asciiTheme="majorHAnsi" w:hAnsiTheme="majorHAnsi" w:cs="HelveticaNeue-Condensed"/>
                <w:sz w:val="18"/>
                <w:szCs w:val="18"/>
              </w:rPr>
              <w:t>• High number of sex partners</w:t>
            </w:r>
          </w:p>
          <w:p w14:paraId="60FD6133" w14:textId="77777777" w:rsidR="00C35863" w:rsidRPr="00D34532" w:rsidRDefault="00C35863" w:rsidP="00C35863">
            <w:pPr>
              <w:widowControl w:val="0"/>
              <w:autoSpaceDE w:val="0"/>
              <w:autoSpaceDN w:val="0"/>
              <w:adjustRightInd w:val="0"/>
              <w:rPr>
                <w:rFonts w:asciiTheme="majorHAnsi" w:hAnsiTheme="majorHAnsi" w:cs="HelveticaNeue-Condensed"/>
                <w:sz w:val="18"/>
                <w:szCs w:val="18"/>
              </w:rPr>
            </w:pPr>
            <w:r w:rsidRPr="00D34532">
              <w:rPr>
                <w:rFonts w:asciiTheme="majorHAnsi" w:hAnsiTheme="majorHAnsi" w:cs="HelveticaNeue-Condensed"/>
                <w:sz w:val="18"/>
                <w:szCs w:val="18"/>
              </w:rPr>
              <w:t>• History of inconsistent or no</w:t>
            </w:r>
          </w:p>
          <w:p w14:paraId="7386CD59" w14:textId="77777777" w:rsidR="00C35863" w:rsidRPr="00D34532" w:rsidRDefault="00C35863" w:rsidP="00C35863">
            <w:pPr>
              <w:widowControl w:val="0"/>
              <w:autoSpaceDE w:val="0"/>
              <w:autoSpaceDN w:val="0"/>
              <w:adjustRightInd w:val="0"/>
              <w:rPr>
                <w:rFonts w:asciiTheme="majorHAnsi" w:hAnsiTheme="majorHAnsi" w:cs="HelveticaNeue-Condensed"/>
                <w:sz w:val="18"/>
                <w:szCs w:val="18"/>
              </w:rPr>
            </w:pPr>
            <w:r w:rsidRPr="00D34532">
              <w:rPr>
                <w:rFonts w:asciiTheme="majorHAnsi" w:hAnsiTheme="majorHAnsi" w:cs="HelveticaNeue-Condensed"/>
                <w:sz w:val="18"/>
                <w:szCs w:val="18"/>
              </w:rPr>
              <w:t>condom use</w:t>
            </w:r>
          </w:p>
          <w:p w14:paraId="1580B7C9" w14:textId="77777777" w:rsidR="00C35863" w:rsidRPr="00D34532" w:rsidRDefault="00C35863" w:rsidP="00C35863">
            <w:pPr>
              <w:rPr>
                <w:rFonts w:asciiTheme="majorHAnsi" w:hAnsiTheme="majorHAnsi" w:cs="PTSans-Bold"/>
                <w:bCs/>
                <w:sz w:val="18"/>
                <w:szCs w:val="18"/>
              </w:rPr>
            </w:pPr>
            <w:r w:rsidRPr="00D34532">
              <w:rPr>
                <w:rFonts w:asciiTheme="majorHAnsi" w:hAnsiTheme="majorHAnsi" w:cs="HelveticaNeue-Condensed"/>
                <w:sz w:val="18"/>
                <w:szCs w:val="18"/>
              </w:rPr>
              <w:t>• Commercial sex work</w:t>
            </w:r>
          </w:p>
        </w:tc>
        <w:tc>
          <w:tcPr>
            <w:tcW w:w="2574" w:type="dxa"/>
          </w:tcPr>
          <w:p w14:paraId="06175597" w14:textId="77777777" w:rsidR="00C35863" w:rsidRPr="00D34532" w:rsidRDefault="00C35863" w:rsidP="00C35863">
            <w:pPr>
              <w:widowControl w:val="0"/>
              <w:autoSpaceDE w:val="0"/>
              <w:autoSpaceDN w:val="0"/>
              <w:adjustRightInd w:val="0"/>
              <w:rPr>
                <w:rFonts w:asciiTheme="majorHAnsi" w:hAnsiTheme="majorHAnsi" w:cs="HelveticaNeue-Condensed"/>
                <w:sz w:val="18"/>
                <w:szCs w:val="18"/>
              </w:rPr>
            </w:pPr>
            <w:r w:rsidRPr="00D34532">
              <w:rPr>
                <w:rFonts w:asciiTheme="majorHAnsi" w:hAnsiTheme="majorHAnsi" w:cs="HelveticaNeue-Condensed"/>
                <w:sz w:val="18"/>
                <w:szCs w:val="18"/>
              </w:rPr>
              <w:t>• HIV-positive sexual partner</w:t>
            </w:r>
          </w:p>
          <w:p w14:paraId="483B44D7" w14:textId="371F9F63" w:rsidR="00C35863" w:rsidRPr="00D34532" w:rsidRDefault="00C35863" w:rsidP="00702E8C">
            <w:pPr>
              <w:widowControl w:val="0"/>
              <w:autoSpaceDE w:val="0"/>
              <w:autoSpaceDN w:val="0"/>
              <w:adjustRightInd w:val="0"/>
              <w:rPr>
                <w:rFonts w:asciiTheme="majorHAnsi" w:hAnsiTheme="majorHAnsi" w:cs="HelveticaNeue-Condensed"/>
                <w:sz w:val="18"/>
                <w:szCs w:val="18"/>
              </w:rPr>
            </w:pPr>
            <w:r w:rsidRPr="00D34532">
              <w:rPr>
                <w:rFonts w:asciiTheme="majorHAnsi" w:hAnsiTheme="majorHAnsi" w:cs="HelveticaNeue-Condensed"/>
                <w:sz w:val="18"/>
                <w:szCs w:val="18"/>
              </w:rPr>
              <w:t>• Recent bacterial ST</w:t>
            </w:r>
            <w:r w:rsidR="00702E8C">
              <w:rPr>
                <w:rFonts w:asciiTheme="majorHAnsi" w:hAnsiTheme="majorHAnsi" w:cs="HelveticaNeue-Condensed"/>
                <w:sz w:val="18"/>
                <w:szCs w:val="18"/>
              </w:rPr>
              <w:t>I</w:t>
            </w:r>
          </w:p>
          <w:p w14:paraId="24CCD4C8" w14:textId="77777777" w:rsidR="00C35863" w:rsidRPr="00D34532" w:rsidRDefault="00C35863" w:rsidP="00C35863">
            <w:pPr>
              <w:widowControl w:val="0"/>
              <w:autoSpaceDE w:val="0"/>
              <w:autoSpaceDN w:val="0"/>
              <w:adjustRightInd w:val="0"/>
              <w:rPr>
                <w:rFonts w:asciiTheme="majorHAnsi" w:hAnsiTheme="majorHAnsi" w:cs="HelveticaNeue-Condensed"/>
                <w:sz w:val="18"/>
                <w:szCs w:val="18"/>
              </w:rPr>
            </w:pPr>
            <w:r w:rsidRPr="00D34532">
              <w:rPr>
                <w:rFonts w:asciiTheme="majorHAnsi" w:hAnsiTheme="majorHAnsi" w:cs="HelveticaNeue-Condensed"/>
                <w:sz w:val="18"/>
                <w:szCs w:val="18"/>
              </w:rPr>
              <w:t>• High number of sex partners</w:t>
            </w:r>
          </w:p>
          <w:p w14:paraId="610BCCFA" w14:textId="77777777" w:rsidR="00C35863" w:rsidRPr="00D34532" w:rsidRDefault="00C35863" w:rsidP="00C35863">
            <w:pPr>
              <w:widowControl w:val="0"/>
              <w:autoSpaceDE w:val="0"/>
              <w:autoSpaceDN w:val="0"/>
              <w:adjustRightInd w:val="0"/>
              <w:rPr>
                <w:rFonts w:asciiTheme="majorHAnsi" w:hAnsiTheme="majorHAnsi" w:cs="HelveticaNeue-Condensed"/>
                <w:sz w:val="18"/>
                <w:szCs w:val="18"/>
              </w:rPr>
            </w:pPr>
            <w:r w:rsidRPr="00D34532">
              <w:rPr>
                <w:rFonts w:asciiTheme="majorHAnsi" w:hAnsiTheme="majorHAnsi" w:cs="HelveticaNeue-Condensed"/>
                <w:sz w:val="18"/>
                <w:szCs w:val="18"/>
              </w:rPr>
              <w:t>• History of inconsistent or no</w:t>
            </w:r>
          </w:p>
          <w:p w14:paraId="1CC3883C" w14:textId="77777777" w:rsidR="00C35863" w:rsidRPr="00D34532" w:rsidRDefault="00C35863" w:rsidP="00C35863">
            <w:pPr>
              <w:widowControl w:val="0"/>
              <w:autoSpaceDE w:val="0"/>
              <w:autoSpaceDN w:val="0"/>
              <w:adjustRightInd w:val="0"/>
              <w:rPr>
                <w:rFonts w:asciiTheme="majorHAnsi" w:hAnsiTheme="majorHAnsi" w:cs="HelveticaNeue-Condensed"/>
                <w:sz w:val="18"/>
                <w:szCs w:val="18"/>
              </w:rPr>
            </w:pPr>
            <w:r w:rsidRPr="00D34532">
              <w:rPr>
                <w:rFonts w:asciiTheme="majorHAnsi" w:hAnsiTheme="majorHAnsi" w:cs="HelveticaNeue-Condensed"/>
                <w:sz w:val="18"/>
                <w:szCs w:val="18"/>
              </w:rPr>
              <w:t>condom use</w:t>
            </w:r>
          </w:p>
          <w:p w14:paraId="144E317A" w14:textId="77777777" w:rsidR="00C35863" w:rsidRPr="00D34532" w:rsidRDefault="00C35863" w:rsidP="00C35863">
            <w:pPr>
              <w:widowControl w:val="0"/>
              <w:autoSpaceDE w:val="0"/>
              <w:autoSpaceDN w:val="0"/>
              <w:adjustRightInd w:val="0"/>
              <w:rPr>
                <w:rFonts w:asciiTheme="majorHAnsi" w:hAnsiTheme="majorHAnsi" w:cs="HelveticaNeue-Condensed"/>
                <w:sz w:val="18"/>
                <w:szCs w:val="18"/>
              </w:rPr>
            </w:pPr>
            <w:r w:rsidRPr="00D34532">
              <w:rPr>
                <w:rFonts w:asciiTheme="majorHAnsi" w:hAnsiTheme="majorHAnsi" w:cs="HelveticaNeue-Condensed"/>
                <w:sz w:val="18"/>
                <w:szCs w:val="18"/>
              </w:rPr>
              <w:t>• Commercial sex work</w:t>
            </w:r>
          </w:p>
          <w:p w14:paraId="16CCDA55" w14:textId="77777777" w:rsidR="00C35863" w:rsidRPr="00D34532" w:rsidRDefault="00C35863" w:rsidP="00C35863">
            <w:pPr>
              <w:rPr>
                <w:rFonts w:asciiTheme="majorHAnsi" w:hAnsiTheme="majorHAnsi" w:cs="PTSans-Bold"/>
                <w:bCs/>
                <w:sz w:val="18"/>
                <w:szCs w:val="18"/>
              </w:rPr>
            </w:pPr>
            <w:r w:rsidRPr="00D34532">
              <w:rPr>
                <w:rFonts w:asciiTheme="majorHAnsi" w:hAnsiTheme="majorHAnsi" w:cs="HelveticaNeue-Condensed"/>
                <w:sz w:val="18"/>
                <w:szCs w:val="18"/>
              </w:rPr>
              <w:t>• In high-prevalence area or network</w:t>
            </w:r>
          </w:p>
        </w:tc>
        <w:tc>
          <w:tcPr>
            <w:tcW w:w="2376" w:type="dxa"/>
          </w:tcPr>
          <w:p w14:paraId="4BE0AD85" w14:textId="77777777" w:rsidR="00C35863" w:rsidRPr="00D34532" w:rsidRDefault="00C35863" w:rsidP="00C35863">
            <w:pPr>
              <w:widowControl w:val="0"/>
              <w:autoSpaceDE w:val="0"/>
              <w:autoSpaceDN w:val="0"/>
              <w:adjustRightInd w:val="0"/>
              <w:rPr>
                <w:rFonts w:asciiTheme="majorHAnsi" w:hAnsiTheme="majorHAnsi" w:cs="HelveticaNeue-Condensed"/>
                <w:sz w:val="18"/>
                <w:szCs w:val="18"/>
              </w:rPr>
            </w:pPr>
            <w:r w:rsidRPr="00D34532">
              <w:rPr>
                <w:rFonts w:asciiTheme="majorHAnsi" w:hAnsiTheme="majorHAnsi" w:cs="HelveticaNeue-Condensed"/>
                <w:sz w:val="18"/>
                <w:szCs w:val="18"/>
              </w:rPr>
              <w:t>• HIV-positive injecting partners</w:t>
            </w:r>
          </w:p>
          <w:p w14:paraId="056D9B77" w14:textId="77777777" w:rsidR="00C35863" w:rsidRPr="00D34532" w:rsidRDefault="00C35863" w:rsidP="00C35863">
            <w:pPr>
              <w:widowControl w:val="0"/>
              <w:autoSpaceDE w:val="0"/>
              <w:autoSpaceDN w:val="0"/>
              <w:adjustRightInd w:val="0"/>
              <w:rPr>
                <w:rFonts w:asciiTheme="majorHAnsi" w:hAnsiTheme="majorHAnsi" w:cs="HelveticaNeue-Condensed"/>
                <w:sz w:val="18"/>
                <w:szCs w:val="18"/>
              </w:rPr>
            </w:pPr>
            <w:r w:rsidRPr="00D34532">
              <w:rPr>
                <w:rFonts w:asciiTheme="majorHAnsi" w:hAnsiTheme="majorHAnsi" w:cs="HelveticaNeue-Condensed"/>
                <w:sz w:val="18"/>
                <w:szCs w:val="18"/>
              </w:rPr>
              <w:t>• Sharing injection equipment</w:t>
            </w:r>
          </w:p>
          <w:p w14:paraId="58F1D708" w14:textId="77777777" w:rsidR="00C35863" w:rsidRPr="00D34532" w:rsidRDefault="00C35863" w:rsidP="00C35863">
            <w:pPr>
              <w:widowControl w:val="0"/>
              <w:autoSpaceDE w:val="0"/>
              <w:autoSpaceDN w:val="0"/>
              <w:adjustRightInd w:val="0"/>
              <w:rPr>
                <w:rFonts w:asciiTheme="majorHAnsi" w:hAnsiTheme="majorHAnsi" w:cs="HelveticaNeue-Condensed"/>
                <w:sz w:val="18"/>
                <w:szCs w:val="18"/>
              </w:rPr>
            </w:pPr>
            <w:r w:rsidRPr="00D34532">
              <w:rPr>
                <w:rFonts w:asciiTheme="majorHAnsi" w:hAnsiTheme="majorHAnsi" w:cs="HelveticaNeue-Condensed"/>
                <w:sz w:val="18"/>
                <w:szCs w:val="18"/>
              </w:rPr>
              <w:t>• Recent drug treatment</w:t>
            </w:r>
          </w:p>
          <w:p w14:paraId="50D32D97" w14:textId="77777777" w:rsidR="00C35863" w:rsidRPr="00D34532" w:rsidRDefault="00C35863" w:rsidP="00C35863">
            <w:pPr>
              <w:rPr>
                <w:rFonts w:asciiTheme="majorHAnsi" w:hAnsiTheme="majorHAnsi" w:cs="PTSans-Bold"/>
                <w:bCs/>
                <w:sz w:val="18"/>
                <w:szCs w:val="18"/>
              </w:rPr>
            </w:pPr>
            <w:r w:rsidRPr="00D34532">
              <w:rPr>
                <w:rFonts w:asciiTheme="majorHAnsi" w:hAnsiTheme="majorHAnsi" w:cs="HelveticaNeue-Condensed"/>
                <w:sz w:val="18"/>
                <w:szCs w:val="18"/>
              </w:rPr>
              <w:t>(but currently injecting)</w:t>
            </w:r>
          </w:p>
        </w:tc>
      </w:tr>
    </w:tbl>
    <w:p w14:paraId="33483FB5" w14:textId="77777777" w:rsidR="001B26AB" w:rsidRDefault="001B26AB" w:rsidP="00C35863">
      <w:pPr>
        <w:rPr>
          <w:rFonts w:asciiTheme="majorHAnsi" w:hAnsiTheme="majorHAnsi" w:cs="PTSans-Bold"/>
          <w:bCs/>
        </w:rPr>
      </w:pPr>
    </w:p>
    <w:p w14:paraId="52674BFC" w14:textId="533274E7" w:rsidR="00345467" w:rsidRDefault="00AC56C6" w:rsidP="00AC56C6">
      <w:pPr>
        <w:rPr>
          <w:rFonts w:asciiTheme="majorHAnsi" w:hAnsiTheme="majorHAnsi" w:cs="PTSans-Bold"/>
          <w:bCs/>
        </w:rPr>
      </w:pPr>
      <w:r>
        <w:rPr>
          <w:rFonts w:asciiTheme="majorHAnsi" w:hAnsiTheme="majorHAnsi" w:cs="PTSans-Bold"/>
          <w:bCs/>
        </w:rPr>
        <w:t>Within these populations</w:t>
      </w:r>
      <w:r w:rsidR="00842DE3">
        <w:rPr>
          <w:rFonts w:asciiTheme="majorHAnsi" w:hAnsiTheme="majorHAnsi" w:cs="PTSans-Bold"/>
          <w:bCs/>
        </w:rPr>
        <w:t>,</w:t>
      </w:r>
      <w:r>
        <w:rPr>
          <w:rFonts w:asciiTheme="majorHAnsi" w:hAnsiTheme="majorHAnsi" w:cs="PTSans-Bold"/>
          <w:bCs/>
        </w:rPr>
        <w:t xml:space="preserve"> people at</w:t>
      </w:r>
      <w:r w:rsidR="00345467">
        <w:rPr>
          <w:rFonts w:asciiTheme="majorHAnsi" w:hAnsiTheme="majorHAnsi" w:cs="PTSans-Bold"/>
          <w:bCs/>
        </w:rPr>
        <w:t xml:space="preserve"> very high</w:t>
      </w:r>
      <w:r w:rsidR="00842DE3">
        <w:rPr>
          <w:rFonts w:asciiTheme="majorHAnsi" w:hAnsiTheme="majorHAnsi" w:cs="PTSans-Bold"/>
          <w:bCs/>
        </w:rPr>
        <w:t xml:space="preserve"> </w:t>
      </w:r>
      <w:r w:rsidR="00345467">
        <w:rPr>
          <w:rFonts w:asciiTheme="majorHAnsi" w:hAnsiTheme="majorHAnsi" w:cs="PTSans-Bold"/>
          <w:bCs/>
        </w:rPr>
        <w:t>risk include:</w:t>
      </w:r>
    </w:p>
    <w:p w14:paraId="1907AA26" w14:textId="70712D27" w:rsidR="00C35863" w:rsidRDefault="00345467" w:rsidP="00C35863">
      <w:pPr>
        <w:rPr>
          <w:rFonts w:asciiTheme="majorHAnsi" w:hAnsiTheme="majorHAnsi" w:cs="PTSans-Bold"/>
          <w:bCs/>
        </w:rPr>
      </w:pPr>
      <w:r>
        <w:rPr>
          <w:rFonts w:asciiTheme="majorHAnsi" w:hAnsiTheme="majorHAnsi" w:cs="PTSans-Bold"/>
          <w:bCs/>
        </w:rPr>
        <w:t>• 1 in 4 sexually active gay and bisexual adult men without HIV</w:t>
      </w:r>
    </w:p>
    <w:p w14:paraId="40DE29E1" w14:textId="2B7005A3" w:rsidR="00345467" w:rsidRDefault="00345467" w:rsidP="00C35863">
      <w:pPr>
        <w:rPr>
          <w:rFonts w:asciiTheme="majorHAnsi" w:hAnsiTheme="majorHAnsi" w:cs="PTSans-Bold"/>
          <w:bCs/>
        </w:rPr>
      </w:pPr>
      <w:r>
        <w:rPr>
          <w:rFonts w:asciiTheme="majorHAnsi" w:hAnsiTheme="majorHAnsi" w:cs="PTSans-Bold"/>
          <w:bCs/>
        </w:rPr>
        <w:t xml:space="preserve">• 1 in 200 sexually active heterosexual adults without HIV </w:t>
      </w:r>
    </w:p>
    <w:p w14:paraId="7ADA8011" w14:textId="039502A1" w:rsidR="00345467" w:rsidRDefault="00345467" w:rsidP="00C35863">
      <w:pPr>
        <w:rPr>
          <w:rFonts w:asciiTheme="majorHAnsi" w:hAnsiTheme="majorHAnsi" w:cs="PTSans-Bold"/>
          <w:bCs/>
        </w:rPr>
      </w:pPr>
      <w:r>
        <w:rPr>
          <w:rFonts w:asciiTheme="majorHAnsi" w:hAnsiTheme="majorHAnsi" w:cs="PTSans-Bold"/>
          <w:bCs/>
        </w:rPr>
        <w:t>• 1 in 5 adults without HIV who inject drugs</w:t>
      </w:r>
    </w:p>
    <w:p w14:paraId="56173969" w14:textId="6A125F21" w:rsidR="00C35863" w:rsidRPr="00E145D5" w:rsidRDefault="00345467" w:rsidP="00C35863">
      <w:pPr>
        <w:widowControl w:val="0"/>
        <w:autoSpaceDE w:val="0"/>
        <w:autoSpaceDN w:val="0"/>
        <w:adjustRightInd w:val="0"/>
        <w:rPr>
          <w:rFonts w:asciiTheme="majorHAnsi" w:hAnsiTheme="majorHAnsi" w:cs="HelveticaNeue-Condensed"/>
          <w:color w:val="000000"/>
        </w:rPr>
      </w:pPr>
      <w:r>
        <w:rPr>
          <w:rFonts w:asciiTheme="majorHAnsi" w:hAnsiTheme="majorHAnsi" w:cs="HelveticaNeue-Condensed"/>
          <w:color w:val="000000"/>
        </w:rPr>
        <w:br/>
      </w:r>
      <w:r w:rsidR="009C2D5C" w:rsidRPr="009C2D5C">
        <w:rPr>
          <w:rFonts w:asciiTheme="majorHAnsi" w:hAnsiTheme="majorHAnsi" w:cs="HelveticaNeue-Condensed"/>
          <w:color w:val="000000"/>
        </w:rPr>
        <w:t>C</w:t>
      </w:r>
      <w:r w:rsidR="00C35863" w:rsidRPr="009C2D5C">
        <w:rPr>
          <w:rFonts w:asciiTheme="majorHAnsi" w:hAnsiTheme="majorHAnsi" w:cs="HelveticaNeue-Condensed"/>
          <w:color w:val="000000"/>
        </w:rPr>
        <w:t>lin</w:t>
      </w:r>
      <w:r w:rsidR="00C35863" w:rsidRPr="00E145D5">
        <w:rPr>
          <w:rFonts w:asciiTheme="majorHAnsi" w:hAnsiTheme="majorHAnsi" w:cs="HelveticaNeue-Condensed"/>
          <w:color w:val="000000"/>
        </w:rPr>
        <w:t>icians should also discuss PrEP with the following non-HIV-infecte</w:t>
      </w:r>
      <w:r w:rsidR="00C35863">
        <w:rPr>
          <w:rFonts w:asciiTheme="majorHAnsi" w:hAnsiTheme="majorHAnsi" w:cs="HelveticaNeue-Condensed"/>
          <w:color w:val="000000"/>
        </w:rPr>
        <w:t xml:space="preserve">d individuals (other than those </w:t>
      </w:r>
      <w:r w:rsidR="00C35863" w:rsidRPr="00E145D5">
        <w:rPr>
          <w:rFonts w:asciiTheme="majorHAnsi" w:hAnsiTheme="majorHAnsi" w:cs="HelveticaNeue-Condensed"/>
          <w:color w:val="000000"/>
        </w:rPr>
        <w:t>mentioned above):</w:t>
      </w:r>
    </w:p>
    <w:p w14:paraId="54026788" w14:textId="77777777" w:rsidR="00C35863" w:rsidRPr="00D34532" w:rsidRDefault="00C35863" w:rsidP="00C35863">
      <w:pPr>
        <w:widowControl w:val="0"/>
        <w:autoSpaceDE w:val="0"/>
        <w:autoSpaceDN w:val="0"/>
        <w:adjustRightInd w:val="0"/>
        <w:rPr>
          <w:rFonts w:asciiTheme="majorHAnsi" w:hAnsiTheme="majorHAnsi" w:cs="HelveticaNeue-Condensed"/>
        </w:rPr>
      </w:pPr>
      <w:r w:rsidRPr="00D34532">
        <w:rPr>
          <w:rFonts w:asciiTheme="majorHAnsi" w:hAnsiTheme="majorHAnsi" w:cs="HelveticaNeue-Condensed"/>
        </w:rPr>
        <w:t>• Male-to-female and female-to male transgender individuals engaging in high-risk sexual behaviors</w:t>
      </w:r>
    </w:p>
    <w:p w14:paraId="7B4AA5F1" w14:textId="77777777" w:rsidR="00C35863" w:rsidRPr="00D34532" w:rsidRDefault="00C35863" w:rsidP="00C35863">
      <w:pPr>
        <w:widowControl w:val="0"/>
        <w:autoSpaceDE w:val="0"/>
        <w:autoSpaceDN w:val="0"/>
        <w:adjustRightInd w:val="0"/>
        <w:rPr>
          <w:rFonts w:asciiTheme="majorHAnsi" w:hAnsiTheme="majorHAnsi" w:cs="HelveticaNeue-Condensed"/>
        </w:rPr>
      </w:pPr>
      <w:r w:rsidRPr="00D34532">
        <w:rPr>
          <w:rFonts w:asciiTheme="majorHAnsi" w:hAnsiTheme="majorHAnsi" w:cs="HelveticaNeue-Condensed"/>
        </w:rPr>
        <w:t>• People who inject drugs and report any of the following behaviors:</w:t>
      </w:r>
    </w:p>
    <w:p w14:paraId="79CD1113" w14:textId="29FBAB47" w:rsidR="00C35863" w:rsidRPr="0062002F" w:rsidRDefault="00C35863" w:rsidP="00C35863">
      <w:pPr>
        <w:widowControl w:val="0"/>
        <w:autoSpaceDE w:val="0"/>
        <w:autoSpaceDN w:val="0"/>
        <w:adjustRightInd w:val="0"/>
        <w:ind w:left="720"/>
        <w:rPr>
          <w:rFonts w:asciiTheme="majorHAnsi" w:hAnsiTheme="majorHAnsi" w:cs="HelveticaNeue-Condensed"/>
          <w:sz w:val="22"/>
          <w:szCs w:val="22"/>
        </w:rPr>
      </w:pPr>
      <w:r w:rsidRPr="0062002F">
        <w:rPr>
          <w:rFonts w:asciiTheme="majorHAnsi" w:hAnsiTheme="majorHAnsi" w:cs="HelveticaNeue-Condensed"/>
          <w:sz w:val="22"/>
          <w:szCs w:val="22"/>
        </w:rPr>
        <w:t>• Sharing injection equipment (includi</w:t>
      </w:r>
      <w:r w:rsidR="00A40CCD" w:rsidRPr="0062002F">
        <w:rPr>
          <w:rFonts w:asciiTheme="majorHAnsi" w:hAnsiTheme="majorHAnsi" w:cs="HelveticaNeue-Condensed"/>
          <w:sz w:val="22"/>
          <w:szCs w:val="22"/>
        </w:rPr>
        <w:t xml:space="preserve">ng to inject hormones among transgender </w:t>
      </w:r>
      <w:r w:rsidRPr="0062002F">
        <w:rPr>
          <w:rFonts w:asciiTheme="majorHAnsi" w:hAnsiTheme="majorHAnsi" w:cs="HelveticaNeue-Condensed"/>
          <w:sz w:val="22"/>
          <w:szCs w:val="22"/>
        </w:rPr>
        <w:t>individuals)</w:t>
      </w:r>
    </w:p>
    <w:p w14:paraId="4B14EFED" w14:textId="77777777" w:rsidR="00C35863" w:rsidRPr="0062002F" w:rsidRDefault="00C35863" w:rsidP="00C35863">
      <w:pPr>
        <w:widowControl w:val="0"/>
        <w:autoSpaceDE w:val="0"/>
        <w:autoSpaceDN w:val="0"/>
        <w:adjustRightInd w:val="0"/>
        <w:ind w:firstLine="720"/>
        <w:rPr>
          <w:rFonts w:asciiTheme="majorHAnsi" w:hAnsiTheme="majorHAnsi" w:cs="HelveticaNeue-Condensed"/>
          <w:sz w:val="22"/>
          <w:szCs w:val="22"/>
        </w:rPr>
      </w:pPr>
      <w:r w:rsidRPr="0062002F">
        <w:rPr>
          <w:rFonts w:asciiTheme="majorHAnsi" w:hAnsiTheme="majorHAnsi" w:cs="HelveticaNeue-Condensed"/>
          <w:sz w:val="22"/>
          <w:szCs w:val="22"/>
        </w:rPr>
        <w:t>• Injecting one or more times per day, injecting cocaine or methamphetamine</w:t>
      </w:r>
    </w:p>
    <w:p w14:paraId="7D4531D5" w14:textId="77777777" w:rsidR="00C35863" w:rsidRPr="00A40CCD" w:rsidRDefault="00C35863" w:rsidP="00C35863">
      <w:pPr>
        <w:widowControl w:val="0"/>
        <w:autoSpaceDE w:val="0"/>
        <w:autoSpaceDN w:val="0"/>
        <w:adjustRightInd w:val="0"/>
        <w:ind w:firstLine="720"/>
        <w:rPr>
          <w:rFonts w:asciiTheme="majorHAnsi" w:hAnsiTheme="majorHAnsi" w:cs="HelveticaNeue-Condensed"/>
          <w:sz w:val="20"/>
          <w:szCs w:val="20"/>
        </w:rPr>
      </w:pPr>
      <w:r w:rsidRPr="0062002F">
        <w:rPr>
          <w:rFonts w:asciiTheme="majorHAnsi" w:hAnsiTheme="majorHAnsi" w:cs="HelveticaNeue-Condensed"/>
          <w:sz w:val="22"/>
          <w:szCs w:val="22"/>
        </w:rPr>
        <w:t>• Engaging in high-risk sexual behaviors</w:t>
      </w:r>
    </w:p>
    <w:p w14:paraId="6295B74E" w14:textId="77777777" w:rsidR="00C35863" w:rsidRPr="00D34532" w:rsidRDefault="00C35863" w:rsidP="00C35863">
      <w:pPr>
        <w:widowControl w:val="0"/>
        <w:autoSpaceDE w:val="0"/>
        <w:autoSpaceDN w:val="0"/>
        <w:adjustRightInd w:val="0"/>
        <w:rPr>
          <w:rFonts w:asciiTheme="majorHAnsi" w:hAnsiTheme="majorHAnsi" w:cs="HelveticaNeue-Condensed"/>
        </w:rPr>
      </w:pPr>
      <w:r w:rsidRPr="00D34532">
        <w:rPr>
          <w:rFonts w:asciiTheme="majorHAnsi" w:hAnsiTheme="majorHAnsi" w:cs="HelveticaNeue-Condensed"/>
        </w:rPr>
        <w:t>• Individuals who use stimulant drugs associated with high-risk behaviors, such as methamphetamine</w:t>
      </w:r>
    </w:p>
    <w:p w14:paraId="24A62027" w14:textId="71CD5BA0" w:rsidR="00C35863" w:rsidRPr="00D34532" w:rsidRDefault="00C35863" w:rsidP="00C35863">
      <w:pPr>
        <w:widowControl w:val="0"/>
        <w:autoSpaceDE w:val="0"/>
        <w:autoSpaceDN w:val="0"/>
        <w:adjustRightInd w:val="0"/>
        <w:rPr>
          <w:rFonts w:asciiTheme="majorHAnsi" w:hAnsiTheme="majorHAnsi" w:cs="HelveticaNeue-Condensed"/>
        </w:rPr>
      </w:pPr>
      <w:r w:rsidRPr="00D34532">
        <w:rPr>
          <w:rFonts w:asciiTheme="majorHAnsi" w:hAnsiTheme="majorHAnsi" w:cs="HelveticaNeue-Condensed"/>
        </w:rPr>
        <w:t>• Individuals who have been prescribed non-occupatio</w:t>
      </w:r>
      <w:r w:rsidR="002865BD">
        <w:rPr>
          <w:rFonts w:asciiTheme="majorHAnsi" w:hAnsiTheme="majorHAnsi" w:cs="HelveticaNeue-Condensed"/>
        </w:rPr>
        <w:t>nal post-exposure prophylaxis (</w:t>
      </w:r>
      <w:r w:rsidRPr="00D34532">
        <w:rPr>
          <w:rFonts w:asciiTheme="majorHAnsi" w:hAnsiTheme="majorHAnsi" w:cs="HelveticaNeue-Condensed"/>
        </w:rPr>
        <w:t>PEP) and demonstrate continued high-risk behavior</w:t>
      </w:r>
      <w:r w:rsidR="00A40CCD">
        <w:rPr>
          <w:rFonts w:asciiTheme="majorHAnsi" w:hAnsiTheme="majorHAnsi" w:cs="HelveticaNeue-Condensed"/>
        </w:rPr>
        <w:t xml:space="preserve"> or have used multiple courses </w:t>
      </w:r>
      <w:r w:rsidRPr="00D34532">
        <w:rPr>
          <w:rFonts w:asciiTheme="majorHAnsi" w:hAnsiTheme="majorHAnsi" w:cs="HelveticaNeue-Condensed"/>
        </w:rPr>
        <w:t>of PEP</w:t>
      </w:r>
    </w:p>
    <w:p w14:paraId="5042FBFA" w14:textId="77777777" w:rsidR="00C35863" w:rsidRDefault="00C35863" w:rsidP="00C35863">
      <w:pPr>
        <w:rPr>
          <w:rFonts w:asciiTheme="majorHAnsi" w:hAnsiTheme="majorHAnsi" w:cs="PTSans-Bold"/>
          <w:bCs/>
        </w:rPr>
      </w:pPr>
    </w:p>
    <w:p w14:paraId="75B7EE09" w14:textId="59381426" w:rsidR="00813111" w:rsidRDefault="00C35863" w:rsidP="00C35863">
      <w:pPr>
        <w:widowControl w:val="0"/>
        <w:pBdr>
          <w:bottom w:val="single" w:sz="12" w:space="1" w:color="auto"/>
        </w:pBdr>
        <w:autoSpaceDE w:val="0"/>
        <w:autoSpaceDN w:val="0"/>
        <w:adjustRightInd w:val="0"/>
        <w:rPr>
          <w:rFonts w:asciiTheme="majorHAnsi" w:hAnsiTheme="majorHAnsi" w:cs="PTSans-Bold"/>
          <w:color w:val="000000"/>
        </w:rPr>
      </w:pPr>
      <w:r w:rsidRPr="00BF5D11">
        <w:rPr>
          <w:rFonts w:asciiTheme="majorHAnsi" w:hAnsiTheme="majorHAnsi" w:cs="HelveticaNeue-Condensed"/>
          <w:color w:val="000000"/>
        </w:rPr>
        <w:t>Among men wh</w:t>
      </w:r>
      <w:r w:rsidR="0062002F">
        <w:rPr>
          <w:rFonts w:asciiTheme="majorHAnsi" w:hAnsiTheme="majorHAnsi" w:cs="HelveticaNeue-Condensed"/>
          <w:color w:val="000000"/>
        </w:rPr>
        <w:t xml:space="preserve">o have sex with men </w:t>
      </w:r>
      <w:r w:rsidR="0062002F" w:rsidRPr="00702E8C">
        <w:rPr>
          <w:rFonts w:asciiTheme="majorHAnsi" w:hAnsiTheme="majorHAnsi" w:cs="HelveticaNeue-Condensed"/>
          <w:color w:val="000000"/>
        </w:rPr>
        <w:t>(MSM),</w:t>
      </w:r>
      <w:r w:rsidR="0062002F">
        <w:rPr>
          <w:rFonts w:asciiTheme="majorHAnsi" w:hAnsiTheme="majorHAnsi" w:cs="HelveticaNeue-Condensed"/>
          <w:color w:val="000000"/>
        </w:rPr>
        <w:t xml:space="preserve"> high-</w:t>
      </w:r>
      <w:r w:rsidRPr="00BF5D11">
        <w:rPr>
          <w:rFonts w:asciiTheme="majorHAnsi" w:hAnsiTheme="majorHAnsi" w:cs="HelveticaNeue-Condensed"/>
          <w:color w:val="000000"/>
        </w:rPr>
        <w:t>risk behaviors can be quantified using t</w:t>
      </w:r>
      <w:r>
        <w:rPr>
          <w:rFonts w:asciiTheme="majorHAnsi" w:hAnsiTheme="majorHAnsi" w:cs="HelveticaNeue-Condensed"/>
          <w:color w:val="000000"/>
        </w:rPr>
        <w:t xml:space="preserve">he </w:t>
      </w:r>
      <w:r w:rsidR="0062002F">
        <w:rPr>
          <w:rFonts w:asciiTheme="majorHAnsi" w:hAnsiTheme="majorHAnsi" w:cs="HelveticaNeue-Condensed"/>
          <w:color w:val="000000"/>
        </w:rPr>
        <w:br/>
      </w:r>
      <w:r>
        <w:rPr>
          <w:rFonts w:asciiTheme="majorHAnsi" w:hAnsiTheme="majorHAnsi" w:cs="HelveticaNeue-Condensed"/>
          <w:color w:val="000000"/>
        </w:rPr>
        <w:t xml:space="preserve">HIRI-MSM risk index featured </w:t>
      </w:r>
      <w:r w:rsidRPr="00BF5D11">
        <w:rPr>
          <w:rFonts w:asciiTheme="majorHAnsi" w:hAnsiTheme="majorHAnsi" w:cs="HelveticaNeue-Condensed"/>
          <w:color w:val="000000"/>
        </w:rPr>
        <w:t xml:space="preserve">in the national </w:t>
      </w:r>
      <w:r w:rsidRPr="00907543">
        <w:rPr>
          <w:rFonts w:asciiTheme="majorHAnsi" w:hAnsiTheme="majorHAnsi" w:cs="HelveticaNeue-Condensed"/>
          <w:color w:val="000000"/>
        </w:rPr>
        <w:t>guidelines</w:t>
      </w:r>
      <w:r w:rsidR="00842DE3">
        <w:rPr>
          <w:rFonts w:asciiTheme="majorHAnsi" w:hAnsiTheme="majorHAnsi" w:cs="HelveticaNeue-Condensed"/>
          <w:color w:val="000000"/>
        </w:rPr>
        <w:t>.</w:t>
      </w:r>
      <w:r w:rsidR="00EC3E66">
        <w:rPr>
          <w:rFonts w:asciiTheme="majorHAnsi" w:hAnsiTheme="majorHAnsi" w:cs="HelveticaNeue-Condensed"/>
          <w:color w:val="000000"/>
          <w:vertAlign w:val="superscript"/>
        </w:rPr>
        <w:t>[4</w:t>
      </w:r>
      <w:r w:rsidRPr="0062002F">
        <w:rPr>
          <w:rFonts w:asciiTheme="majorHAnsi" w:hAnsiTheme="majorHAnsi" w:cs="HelveticaNeue-Condensed"/>
          <w:color w:val="000000"/>
          <w:vertAlign w:val="superscript"/>
        </w:rPr>
        <w:t>]</w:t>
      </w:r>
      <w:r w:rsidRPr="00C5611B">
        <w:rPr>
          <w:rFonts w:asciiTheme="majorHAnsi" w:hAnsiTheme="majorHAnsi" w:cs="HelveticaNeue-Condensed"/>
          <w:color w:val="000000"/>
        </w:rPr>
        <w:t xml:space="preserve"> (See section 6 of the </w:t>
      </w:r>
      <w:r w:rsidR="00907543">
        <w:rPr>
          <w:rFonts w:asciiTheme="majorHAnsi" w:hAnsiTheme="majorHAnsi" w:cs="HelveticaNeue-Condensed"/>
          <w:color w:val="000000"/>
        </w:rPr>
        <w:t xml:space="preserve">CDC </w:t>
      </w:r>
      <w:r w:rsidRPr="00C5611B">
        <w:rPr>
          <w:rFonts w:asciiTheme="majorHAnsi" w:hAnsiTheme="majorHAnsi" w:cs="HelveticaNeue-Condensed"/>
          <w:color w:val="000000"/>
        </w:rPr>
        <w:t>Clinical Providers’ Supplement that accompanies the national guidelines.) This</w:t>
      </w:r>
      <w:r w:rsidRPr="00BF5D11">
        <w:rPr>
          <w:rFonts w:asciiTheme="majorHAnsi" w:hAnsiTheme="majorHAnsi" w:cs="HelveticaNeue-Condensed"/>
          <w:color w:val="000000"/>
        </w:rPr>
        <w:t xml:space="preserve"> includes a screen for such behaviors as anal sex without a condom, having</w:t>
      </w:r>
      <w:r>
        <w:rPr>
          <w:rFonts w:asciiTheme="majorHAnsi" w:hAnsiTheme="majorHAnsi" w:cs="HelveticaNeue-Condensed"/>
          <w:color w:val="000000"/>
        </w:rPr>
        <w:t xml:space="preserve"> </w:t>
      </w:r>
      <w:r w:rsidRPr="00BF5D11">
        <w:rPr>
          <w:rFonts w:asciiTheme="majorHAnsi" w:hAnsiTheme="majorHAnsi" w:cs="HelveticaNeue-Condensed"/>
          <w:color w:val="000000"/>
        </w:rPr>
        <w:t>HIV-positive partners</w:t>
      </w:r>
      <w:r w:rsidR="00AA67E2">
        <w:rPr>
          <w:rFonts w:asciiTheme="majorHAnsi" w:hAnsiTheme="majorHAnsi" w:cs="HelveticaNeue-Condensed"/>
          <w:color w:val="000000"/>
        </w:rPr>
        <w:t>,</w:t>
      </w:r>
      <w:r w:rsidRPr="00BF5D11">
        <w:rPr>
          <w:rFonts w:asciiTheme="majorHAnsi" w:hAnsiTheme="majorHAnsi" w:cs="HelveticaNeue-Condensed"/>
          <w:color w:val="000000"/>
        </w:rPr>
        <w:t xml:space="preserve"> and use of crystal meth or poppers.</w:t>
      </w:r>
    </w:p>
    <w:p w14:paraId="30A94E46" w14:textId="77777777" w:rsidR="00C35863" w:rsidRPr="00F81D0D" w:rsidRDefault="00C35863" w:rsidP="00C35863">
      <w:pPr>
        <w:widowControl w:val="0"/>
        <w:pBdr>
          <w:bottom w:val="single" w:sz="12" w:space="1" w:color="auto"/>
        </w:pBdr>
        <w:autoSpaceDE w:val="0"/>
        <w:autoSpaceDN w:val="0"/>
        <w:adjustRightInd w:val="0"/>
        <w:rPr>
          <w:rFonts w:asciiTheme="majorHAnsi" w:hAnsiTheme="majorHAnsi" w:cs="HelveticaNeue-Condensed"/>
          <w:color w:val="000000"/>
          <w:sz w:val="12"/>
          <w:szCs w:val="12"/>
        </w:rPr>
      </w:pPr>
    </w:p>
    <w:p w14:paraId="0BF09525" w14:textId="77777777" w:rsidR="00054179" w:rsidRPr="00F81D0D" w:rsidRDefault="00054179" w:rsidP="00C35863">
      <w:pPr>
        <w:widowControl w:val="0"/>
        <w:autoSpaceDE w:val="0"/>
        <w:autoSpaceDN w:val="0"/>
        <w:adjustRightInd w:val="0"/>
        <w:rPr>
          <w:rFonts w:asciiTheme="majorHAnsi" w:hAnsiTheme="majorHAnsi" w:cs="HelveticaNeue-Condensed"/>
          <w:sz w:val="12"/>
          <w:szCs w:val="12"/>
        </w:rPr>
      </w:pPr>
    </w:p>
    <w:p w14:paraId="6BD08F69" w14:textId="35160C74" w:rsidR="00C35863" w:rsidRPr="00D34532" w:rsidRDefault="00C35863" w:rsidP="00C35863">
      <w:pPr>
        <w:widowControl w:val="0"/>
        <w:autoSpaceDE w:val="0"/>
        <w:autoSpaceDN w:val="0"/>
        <w:adjustRightInd w:val="0"/>
        <w:rPr>
          <w:rFonts w:asciiTheme="majorHAnsi" w:hAnsiTheme="majorHAnsi" w:cs="HelveticaNeue-Condensed"/>
          <w:b/>
          <w:bCs/>
        </w:rPr>
      </w:pPr>
      <w:r w:rsidRPr="00D34532">
        <w:rPr>
          <w:rFonts w:asciiTheme="majorHAnsi" w:hAnsiTheme="majorHAnsi" w:cs="HelveticaNeue-Condensed"/>
          <w:b/>
          <w:bCs/>
        </w:rPr>
        <w:t>5. How is TDF-FTC for PrEP prescribed?</w:t>
      </w:r>
    </w:p>
    <w:p w14:paraId="3B1AAB60" w14:textId="29E897AE" w:rsidR="00C35863" w:rsidRDefault="00C35863" w:rsidP="00C35863">
      <w:pPr>
        <w:widowControl w:val="0"/>
        <w:autoSpaceDE w:val="0"/>
        <w:autoSpaceDN w:val="0"/>
        <w:adjustRightInd w:val="0"/>
        <w:rPr>
          <w:rFonts w:asciiTheme="majorHAnsi" w:hAnsiTheme="majorHAnsi" w:cs="HelveticaNeue-Condensed"/>
          <w:color w:val="000000"/>
        </w:rPr>
      </w:pPr>
      <w:r w:rsidRPr="00BF5D11">
        <w:rPr>
          <w:rFonts w:asciiTheme="majorHAnsi" w:hAnsiTheme="majorHAnsi" w:cs="HelveticaNeue-Condensed"/>
          <w:color w:val="000000"/>
        </w:rPr>
        <w:t>TDF-FTC for oral PrEP is taken once daily by mouth.</w:t>
      </w:r>
      <w:r w:rsidR="002B6226">
        <w:rPr>
          <w:rFonts w:asciiTheme="majorHAnsi" w:hAnsiTheme="majorHAnsi" w:cs="HelveticaNeue-Condensed"/>
          <w:color w:val="000000"/>
        </w:rPr>
        <w:t>*</w:t>
      </w:r>
    </w:p>
    <w:p w14:paraId="21330250" w14:textId="77777777" w:rsidR="00C35863" w:rsidRPr="00BF5D11" w:rsidRDefault="00C35863" w:rsidP="00C35863">
      <w:pPr>
        <w:widowControl w:val="0"/>
        <w:autoSpaceDE w:val="0"/>
        <w:autoSpaceDN w:val="0"/>
        <w:adjustRightInd w:val="0"/>
        <w:rPr>
          <w:rFonts w:asciiTheme="majorHAnsi" w:hAnsiTheme="majorHAnsi" w:cs="HelveticaNeue-Condensed"/>
          <w:color w:val="000000"/>
        </w:rPr>
      </w:pPr>
    </w:p>
    <w:p w14:paraId="5BFEF16C" w14:textId="070DB6C5" w:rsidR="002B6226" w:rsidRDefault="00C35863" w:rsidP="00161282">
      <w:pPr>
        <w:widowControl w:val="0"/>
        <w:autoSpaceDE w:val="0"/>
        <w:autoSpaceDN w:val="0"/>
        <w:adjustRightInd w:val="0"/>
        <w:rPr>
          <w:rFonts w:asciiTheme="majorHAnsi" w:hAnsiTheme="majorHAnsi" w:cs="HelveticaNeue-Condensed"/>
          <w:color w:val="000000"/>
        </w:rPr>
      </w:pPr>
      <w:r w:rsidRPr="00BF5D11">
        <w:rPr>
          <w:rFonts w:asciiTheme="majorHAnsi" w:hAnsiTheme="majorHAnsi" w:cs="HelveticaNeue-Condensed"/>
          <w:color w:val="000000"/>
        </w:rPr>
        <w:t xml:space="preserve">PrEP should be discontinued immediately if (1) the patient becomes HIV-infected, (2) the </w:t>
      </w:r>
      <w:r>
        <w:rPr>
          <w:rFonts w:asciiTheme="majorHAnsi" w:hAnsiTheme="majorHAnsi" w:cs="HelveticaNeue-Condensed"/>
          <w:color w:val="000000"/>
        </w:rPr>
        <w:t xml:space="preserve">patient experiences toxicity or </w:t>
      </w:r>
      <w:r w:rsidRPr="00BF5D11">
        <w:rPr>
          <w:rFonts w:asciiTheme="majorHAnsi" w:hAnsiTheme="majorHAnsi" w:cs="HelveticaNeue-Condensed"/>
          <w:color w:val="000000"/>
        </w:rPr>
        <w:t>symptoms that cannot be managed</w:t>
      </w:r>
      <w:r w:rsidR="00AA67E2">
        <w:rPr>
          <w:rFonts w:asciiTheme="majorHAnsi" w:hAnsiTheme="majorHAnsi" w:cs="HelveticaNeue-Condensed"/>
          <w:color w:val="000000"/>
        </w:rPr>
        <w:t>,</w:t>
      </w:r>
      <w:r w:rsidRPr="00BF5D11">
        <w:rPr>
          <w:rFonts w:asciiTheme="majorHAnsi" w:hAnsiTheme="majorHAnsi" w:cs="HelveticaNeue-Condensed"/>
          <w:color w:val="000000"/>
        </w:rPr>
        <w:t xml:space="preserve"> or (3) the patient becomes pregnant. </w:t>
      </w:r>
      <w:r w:rsidR="00AA67E2">
        <w:rPr>
          <w:rFonts w:asciiTheme="majorHAnsi" w:hAnsiTheme="majorHAnsi" w:cs="HelveticaNeue-Condensed"/>
          <w:color w:val="000000"/>
        </w:rPr>
        <w:t>(</w:t>
      </w:r>
      <w:r w:rsidRPr="00BF5D11">
        <w:rPr>
          <w:rFonts w:asciiTheme="majorHAnsi" w:hAnsiTheme="majorHAnsi" w:cs="HelveticaNeue-Condensed"/>
          <w:color w:val="000000"/>
        </w:rPr>
        <w:t>Note that in some cases, PrEP may be restarted for</w:t>
      </w:r>
      <w:r>
        <w:rPr>
          <w:rFonts w:asciiTheme="majorHAnsi" w:hAnsiTheme="majorHAnsi" w:cs="HelveticaNeue-Condensed"/>
          <w:color w:val="000000"/>
        </w:rPr>
        <w:t xml:space="preserve"> </w:t>
      </w:r>
      <w:r w:rsidRPr="00BF5D11">
        <w:rPr>
          <w:rFonts w:asciiTheme="majorHAnsi" w:hAnsiTheme="majorHAnsi" w:cs="HelveticaNeue-Condensed"/>
          <w:color w:val="000000"/>
        </w:rPr>
        <w:t xml:space="preserve">ongoing HIV prevention during pregnancy if the risk of ongoing HIV transmission is sufficiently high </w:t>
      </w:r>
      <w:r w:rsidR="00AA67E2">
        <w:rPr>
          <w:rFonts w:asciiTheme="majorHAnsi" w:hAnsiTheme="majorHAnsi" w:cs="HelveticaNeue-Condensed"/>
          <w:color w:val="000000"/>
        </w:rPr>
        <w:t>[</w:t>
      </w:r>
      <w:r w:rsidRPr="00BF5D11">
        <w:rPr>
          <w:rFonts w:asciiTheme="majorHAnsi" w:hAnsiTheme="majorHAnsi" w:cs="HelveticaNeue-Condensed"/>
          <w:color w:val="000000"/>
        </w:rPr>
        <w:t>such as in a serodiscordant</w:t>
      </w:r>
      <w:r>
        <w:rPr>
          <w:rFonts w:asciiTheme="majorHAnsi" w:hAnsiTheme="majorHAnsi" w:cs="HelveticaNeue-Condensed"/>
          <w:color w:val="000000"/>
        </w:rPr>
        <w:t xml:space="preserve"> </w:t>
      </w:r>
      <w:r w:rsidRPr="00BF5D11">
        <w:rPr>
          <w:rFonts w:asciiTheme="majorHAnsi" w:hAnsiTheme="majorHAnsi" w:cs="HelveticaNeue-Condensed"/>
          <w:color w:val="000000"/>
        </w:rPr>
        <w:t>partnership</w:t>
      </w:r>
      <w:r w:rsidR="00AA67E2">
        <w:rPr>
          <w:rFonts w:asciiTheme="majorHAnsi" w:hAnsiTheme="majorHAnsi" w:cs="HelveticaNeue-Condensed"/>
          <w:color w:val="000000"/>
        </w:rPr>
        <w:t>]</w:t>
      </w:r>
      <w:r w:rsidRPr="00BF5D11">
        <w:rPr>
          <w:rFonts w:asciiTheme="majorHAnsi" w:hAnsiTheme="majorHAnsi" w:cs="HelveticaNeue-Condensed"/>
          <w:color w:val="000000"/>
        </w:rPr>
        <w:t xml:space="preserve"> and because pregnancy itself is associated with an increased risk of HIV acquisition, as discussed in </w:t>
      </w:r>
      <w:r w:rsidRPr="00455C14">
        <w:rPr>
          <w:rFonts w:asciiTheme="majorHAnsi" w:hAnsiTheme="majorHAnsi" w:cs="HelveticaNeue-Condensed"/>
          <w:color w:val="000000" w:themeColor="text1"/>
        </w:rPr>
        <w:t>question 7,</w:t>
      </w:r>
      <w:r>
        <w:rPr>
          <w:rFonts w:asciiTheme="majorHAnsi" w:hAnsiTheme="majorHAnsi" w:cs="HelveticaNeue-Condensed"/>
          <w:color w:val="000000"/>
        </w:rPr>
        <w:t xml:space="preserve"> </w:t>
      </w:r>
      <w:r w:rsidRPr="00BF5D11">
        <w:rPr>
          <w:rFonts w:asciiTheme="majorHAnsi" w:hAnsiTheme="majorHAnsi" w:cs="HelveticaNeue-Condensed"/>
          <w:color w:val="000000"/>
        </w:rPr>
        <w:t>as well.</w:t>
      </w:r>
      <w:r w:rsidR="00AA67E2">
        <w:rPr>
          <w:rFonts w:asciiTheme="majorHAnsi" w:hAnsiTheme="majorHAnsi" w:cs="HelveticaNeue-Condensed"/>
          <w:color w:val="000000"/>
        </w:rPr>
        <w:t>)</w:t>
      </w:r>
      <w:r w:rsidRPr="00BF5D11">
        <w:rPr>
          <w:rFonts w:asciiTheme="majorHAnsi" w:hAnsiTheme="majorHAnsi" w:cs="HelveticaNeue-Condensed"/>
          <w:color w:val="000000"/>
        </w:rPr>
        <w:t xml:space="preserve"> Condoms and supportive counseling, both for adherence and risk reduction, are required. </w:t>
      </w:r>
    </w:p>
    <w:p w14:paraId="07D38864" w14:textId="77777777" w:rsidR="002B6226" w:rsidRDefault="002B6226" w:rsidP="00C35863">
      <w:pPr>
        <w:widowControl w:val="0"/>
        <w:autoSpaceDE w:val="0"/>
        <w:autoSpaceDN w:val="0"/>
        <w:adjustRightInd w:val="0"/>
        <w:rPr>
          <w:rFonts w:asciiTheme="majorHAnsi" w:hAnsiTheme="majorHAnsi" w:cs="HelveticaNeue-Condensed"/>
          <w:color w:val="000000"/>
        </w:rPr>
      </w:pPr>
    </w:p>
    <w:p w14:paraId="01C8EF09" w14:textId="39FE6411" w:rsidR="008F3A80" w:rsidRPr="00813111" w:rsidRDefault="008F3A80" w:rsidP="00C35863">
      <w:pPr>
        <w:widowControl w:val="0"/>
        <w:autoSpaceDE w:val="0"/>
        <w:autoSpaceDN w:val="0"/>
        <w:adjustRightInd w:val="0"/>
        <w:rPr>
          <w:rFonts w:asciiTheme="majorHAnsi" w:hAnsiTheme="majorHAnsi" w:cs="HelveticaNeue-Condensed"/>
          <w:color w:val="3366FF"/>
          <w:sz w:val="16"/>
          <w:szCs w:val="16"/>
        </w:rPr>
      </w:pPr>
      <w:r w:rsidRPr="00813111">
        <w:rPr>
          <w:rFonts w:asciiTheme="majorHAnsi" w:hAnsiTheme="majorHAnsi" w:cs="HelveticaNeue-Condensed"/>
          <w:color w:val="3366FF"/>
          <w:sz w:val="16"/>
          <w:szCs w:val="16"/>
        </w:rPr>
        <w:lastRenderedPageBreak/>
        <w:t>(</w:t>
      </w:r>
      <w:r w:rsidR="00A15E73">
        <w:rPr>
          <w:rFonts w:asciiTheme="majorHAnsi" w:hAnsiTheme="majorHAnsi" w:cs="HelveticaNeue-Condensed"/>
          <w:color w:val="3366FF"/>
          <w:sz w:val="16"/>
          <w:szCs w:val="16"/>
        </w:rPr>
        <w:t xml:space="preserve">small text at </w:t>
      </w:r>
      <w:r w:rsidRPr="00813111">
        <w:rPr>
          <w:rFonts w:asciiTheme="majorHAnsi" w:hAnsiTheme="majorHAnsi" w:cs="HelveticaNeue-Condensed"/>
          <w:color w:val="3366FF"/>
          <w:sz w:val="16"/>
          <w:szCs w:val="16"/>
        </w:rPr>
        <w:t xml:space="preserve">base of page)  </w:t>
      </w:r>
    </w:p>
    <w:p w14:paraId="58189B44" w14:textId="1486CF6A" w:rsidR="00C35863" w:rsidRPr="002B6226" w:rsidRDefault="002B6226" w:rsidP="00C35863">
      <w:pPr>
        <w:widowControl w:val="0"/>
        <w:autoSpaceDE w:val="0"/>
        <w:autoSpaceDN w:val="0"/>
        <w:adjustRightInd w:val="0"/>
        <w:rPr>
          <w:rFonts w:asciiTheme="majorHAnsi" w:hAnsiTheme="majorHAnsi" w:cs="HelveticaNeue-Condensed"/>
          <w:color w:val="000000"/>
          <w:sz w:val="20"/>
          <w:szCs w:val="20"/>
        </w:rPr>
      </w:pPr>
      <w:r w:rsidRPr="002B6226">
        <w:rPr>
          <w:rFonts w:asciiTheme="majorHAnsi" w:hAnsiTheme="majorHAnsi" w:cs="HelveticaNeue-Condensed"/>
          <w:color w:val="000000"/>
          <w:sz w:val="20"/>
          <w:szCs w:val="20"/>
        </w:rPr>
        <w:t>*</w:t>
      </w:r>
      <w:r w:rsidR="00C35863" w:rsidRPr="002B6226">
        <w:rPr>
          <w:rFonts w:asciiTheme="majorHAnsi" w:hAnsiTheme="majorHAnsi" w:cs="HelveticaNeue-Condensed"/>
          <w:color w:val="000000"/>
          <w:sz w:val="20"/>
          <w:szCs w:val="20"/>
        </w:rPr>
        <w:t xml:space="preserve">Full prescribing information is available at </w:t>
      </w:r>
      <w:r w:rsidR="00C35863" w:rsidRPr="002B6226">
        <w:rPr>
          <w:rFonts w:asciiTheme="majorHAnsi" w:hAnsiTheme="majorHAnsi" w:cs="HelveticaNeue-Condensed"/>
          <w:sz w:val="20"/>
          <w:szCs w:val="20"/>
        </w:rPr>
        <w:t>http://www.gilead.com/pdf/truvada_pi.pdf.</w:t>
      </w:r>
    </w:p>
    <w:p w14:paraId="2618FAFD" w14:textId="77777777" w:rsidR="00F81D0D" w:rsidRPr="00F81D0D" w:rsidRDefault="00F81D0D" w:rsidP="00F81D0D">
      <w:pPr>
        <w:pBdr>
          <w:bottom w:val="single" w:sz="12" w:space="1" w:color="auto"/>
        </w:pBdr>
        <w:rPr>
          <w:rFonts w:asciiTheme="majorHAnsi" w:hAnsiTheme="majorHAnsi" w:cs="PTSans-Bold"/>
          <w:bCs/>
          <w:sz w:val="12"/>
          <w:szCs w:val="12"/>
        </w:rPr>
      </w:pPr>
    </w:p>
    <w:p w14:paraId="72D99805" w14:textId="77777777" w:rsidR="00DD080C" w:rsidRPr="00F81D0D" w:rsidRDefault="00DD080C" w:rsidP="00C35863">
      <w:pPr>
        <w:rPr>
          <w:rFonts w:asciiTheme="majorHAnsi" w:hAnsiTheme="majorHAnsi"/>
          <w:sz w:val="12"/>
          <w:szCs w:val="12"/>
        </w:rPr>
      </w:pPr>
    </w:p>
    <w:p w14:paraId="54BBB4F7" w14:textId="77777777" w:rsidR="00C35863" w:rsidRPr="00D34532" w:rsidRDefault="00C35863" w:rsidP="00C35863">
      <w:pPr>
        <w:widowControl w:val="0"/>
        <w:autoSpaceDE w:val="0"/>
        <w:autoSpaceDN w:val="0"/>
        <w:adjustRightInd w:val="0"/>
        <w:rPr>
          <w:rFonts w:asciiTheme="majorHAnsi" w:hAnsiTheme="majorHAnsi" w:cs="HelveticaNeue-Condensed"/>
          <w:b/>
          <w:bCs/>
        </w:rPr>
      </w:pPr>
      <w:r w:rsidRPr="00D34532">
        <w:rPr>
          <w:rFonts w:asciiTheme="majorHAnsi" w:hAnsiTheme="majorHAnsi" w:cs="HelveticaNeue-Condensed"/>
          <w:b/>
          <w:bCs/>
        </w:rPr>
        <w:t>6. What is the evidence base for PrEP?</w:t>
      </w:r>
    </w:p>
    <w:p w14:paraId="5A8D7198" w14:textId="55B399B1" w:rsidR="002D3665" w:rsidRPr="002D3665" w:rsidRDefault="00C35863" w:rsidP="002D3665">
      <w:pPr>
        <w:widowControl w:val="0"/>
        <w:autoSpaceDE w:val="0"/>
        <w:autoSpaceDN w:val="0"/>
        <w:adjustRightInd w:val="0"/>
        <w:rPr>
          <w:rFonts w:asciiTheme="majorHAnsi" w:hAnsiTheme="majorHAnsi" w:cs="HelveticaNeue-Condensed"/>
          <w:color w:val="000000"/>
          <w:sz w:val="18"/>
          <w:szCs w:val="18"/>
        </w:rPr>
      </w:pPr>
      <w:r w:rsidRPr="00BF5D11">
        <w:rPr>
          <w:rFonts w:asciiTheme="majorHAnsi" w:hAnsiTheme="majorHAnsi" w:cs="HelveticaNeue-Condensed"/>
          <w:color w:val="000000"/>
        </w:rPr>
        <w:t>Multiple studies have demonstrated that PrEP is effective:</w:t>
      </w:r>
      <w:r w:rsidR="00B21EF9">
        <w:rPr>
          <w:rFonts w:asciiTheme="majorHAnsi" w:hAnsiTheme="majorHAnsi" w:cs="HelveticaNeue-Condensed"/>
          <w:color w:val="000000"/>
        </w:rPr>
        <w:t xml:space="preserve"> </w:t>
      </w:r>
      <w:r w:rsidR="00B21EF9">
        <w:rPr>
          <w:rFonts w:asciiTheme="majorHAnsi" w:hAnsiTheme="majorHAnsi" w:cs="HelveticaNeue-Condensed"/>
          <w:color w:val="000000"/>
          <w:sz w:val="18"/>
          <w:szCs w:val="18"/>
        </w:rPr>
        <w:t>[p23 CDC Guidelines, Table 4]</w:t>
      </w:r>
      <w:r w:rsidR="002D3665">
        <w:rPr>
          <w:rFonts w:asciiTheme="majorHAnsi" w:hAnsiTheme="majorHAnsi" w:cs="HelveticaNeue-Condensed"/>
          <w:color w:val="000000"/>
          <w:sz w:val="18"/>
          <w:szCs w:val="18"/>
        </w:rPr>
        <w:t xml:space="preserve"> </w:t>
      </w:r>
      <w:r w:rsidR="002D3665" w:rsidRPr="002D3665">
        <w:rPr>
          <w:rFonts w:asciiTheme="majorHAnsi" w:hAnsiTheme="majorHAnsi"/>
        </w:rPr>
        <w:t xml:space="preserve">In all of these studies, HIV transmission risk was lowest for </w:t>
      </w:r>
      <w:r w:rsidR="002D3665" w:rsidRPr="002D3665">
        <w:rPr>
          <w:rStyle w:val="Strong"/>
          <w:rFonts w:asciiTheme="majorHAnsi" w:hAnsiTheme="majorHAnsi"/>
        </w:rPr>
        <w:t>participants who took the pill consistently</w:t>
      </w:r>
      <w:r w:rsidR="002D3665" w:rsidRPr="002D3665">
        <w:rPr>
          <w:rFonts w:asciiTheme="majorHAnsi" w:hAnsiTheme="majorHAnsi"/>
        </w:rPr>
        <w:t>. Specifically:</w:t>
      </w:r>
    </w:p>
    <w:p w14:paraId="7F4BAC08" w14:textId="0D81F8C1" w:rsidR="002D3665" w:rsidRPr="00DC7F2D" w:rsidRDefault="002D3665" w:rsidP="00702E8C">
      <w:pPr>
        <w:numPr>
          <w:ilvl w:val="0"/>
          <w:numId w:val="6"/>
        </w:numPr>
        <w:spacing w:before="100" w:beforeAutospacing="1" w:after="100" w:afterAutospacing="1"/>
        <w:rPr>
          <w:rFonts w:asciiTheme="majorHAnsi" w:eastAsia="Times New Roman" w:hAnsiTheme="majorHAnsi" w:cs="Times New Roman"/>
          <w:color w:val="000000" w:themeColor="text1"/>
        </w:rPr>
      </w:pPr>
      <w:r w:rsidRPr="00DC7F2D">
        <w:rPr>
          <w:rFonts w:asciiTheme="majorHAnsi" w:eastAsia="Times New Roman" w:hAnsiTheme="majorHAnsi" w:cs="Times New Roman"/>
          <w:b/>
          <w:color w:val="000000" w:themeColor="text1"/>
        </w:rPr>
        <w:t>Among gay and bisexual men</w:t>
      </w:r>
      <w:r w:rsidRPr="00DC7F2D">
        <w:rPr>
          <w:rFonts w:asciiTheme="majorHAnsi" w:eastAsia="Times New Roman" w:hAnsiTheme="majorHAnsi" w:cs="Times New Roman"/>
          <w:color w:val="000000" w:themeColor="text1"/>
        </w:rPr>
        <w:t xml:space="preserve">, those who were given PrEP were 44% less likely overall to </w:t>
      </w:r>
      <w:r w:rsidR="00702E8C">
        <w:rPr>
          <w:rFonts w:asciiTheme="majorHAnsi" w:eastAsia="Times New Roman" w:hAnsiTheme="majorHAnsi" w:cs="Times New Roman"/>
          <w:color w:val="000000" w:themeColor="text1"/>
        </w:rPr>
        <w:t>acquire</w:t>
      </w:r>
      <w:r w:rsidRPr="00DC7F2D">
        <w:rPr>
          <w:rFonts w:asciiTheme="majorHAnsi" w:eastAsia="Times New Roman" w:hAnsiTheme="majorHAnsi" w:cs="Times New Roman"/>
          <w:color w:val="000000" w:themeColor="text1"/>
        </w:rPr>
        <w:t xml:space="preserve"> HIV than those who were given a placebo. Among the men with detectable levels of drug in their blood (a measure of compliance), </w:t>
      </w:r>
      <w:r w:rsidRPr="00DC7F2D">
        <w:rPr>
          <w:rFonts w:asciiTheme="majorHAnsi" w:eastAsia="Times New Roman" w:hAnsiTheme="majorHAnsi" w:cs="Times New Roman"/>
          <w:b/>
          <w:color w:val="000000" w:themeColor="text1"/>
        </w:rPr>
        <w:t>PrEP reduced the risk of infection</w:t>
      </w:r>
      <w:r w:rsidRPr="00DC7F2D">
        <w:rPr>
          <w:rFonts w:asciiTheme="majorHAnsi" w:eastAsia="Times New Roman" w:hAnsiTheme="majorHAnsi" w:cs="Times New Roman"/>
          <w:color w:val="000000" w:themeColor="text1"/>
        </w:rPr>
        <w:t xml:space="preserve"> </w:t>
      </w:r>
      <w:r w:rsidRPr="00DC7F2D">
        <w:rPr>
          <w:rFonts w:asciiTheme="majorHAnsi" w:eastAsia="Times New Roman" w:hAnsiTheme="majorHAnsi" w:cs="Times New Roman"/>
          <w:b/>
          <w:color w:val="000000" w:themeColor="text1"/>
        </w:rPr>
        <w:t>by as much as 92%.</w:t>
      </w:r>
      <w:r w:rsidRPr="00DC7F2D">
        <w:rPr>
          <w:rFonts w:asciiTheme="majorHAnsi" w:eastAsia="Times New Roman" w:hAnsiTheme="majorHAnsi" w:cs="Times New Roman"/>
          <w:color w:val="000000" w:themeColor="text1"/>
        </w:rPr>
        <w:t xml:space="preserve"> (</w:t>
      </w:r>
      <w:hyperlink r:id="rId9" w:tgtFrame="_blank" w:tooltip="Link to External Web Site" w:history="1">
        <w:r w:rsidRPr="00DC7F2D">
          <w:rPr>
            <w:rStyle w:val="Hyperlink"/>
            <w:rFonts w:asciiTheme="majorHAnsi" w:eastAsia="Times New Roman" w:hAnsiTheme="majorHAnsi" w:cs="Times New Roman"/>
            <w:color w:val="000000" w:themeColor="text1"/>
          </w:rPr>
          <w:t>iPrEx Study</w:t>
        </w:r>
      </w:hyperlink>
      <w:r w:rsidRPr="00DC7F2D">
        <w:rPr>
          <w:rFonts w:asciiTheme="majorHAnsi" w:eastAsia="Times New Roman" w:hAnsiTheme="majorHAnsi" w:cs="Times New Roman"/>
          <w:color w:val="000000" w:themeColor="text1"/>
        </w:rPr>
        <w:t>)</w:t>
      </w:r>
      <w:r w:rsidR="00702E8C">
        <w:rPr>
          <w:rFonts w:asciiTheme="majorHAnsi" w:eastAsia="Times New Roman" w:hAnsiTheme="majorHAnsi" w:cs="Times New Roman"/>
          <w:color w:val="000000" w:themeColor="text1"/>
          <w:vertAlign w:val="superscript"/>
        </w:rPr>
        <w:t>[</w:t>
      </w:r>
      <w:r w:rsidRPr="00702E8C">
        <w:rPr>
          <w:rFonts w:asciiTheme="majorHAnsi" w:eastAsia="Times New Roman" w:hAnsiTheme="majorHAnsi" w:cs="Times New Roman"/>
          <w:color w:val="000000" w:themeColor="text1"/>
          <w:vertAlign w:val="superscript"/>
        </w:rPr>
        <w:t>6</w:t>
      </w:r>
      <w:r w:rsidR="00702E8C">
        <w:rPr>
          <w:rFonts w:asciiTheme="majorHAnsi" w:eastAsia="Times New Roman" w:hAnsiTheme="majorHAnsi" w:cs="Times New Roman"/>
          <w:color w:val="000000" w:themeColor="text1"/>
          <w:vertAlign w:val="superscript"/>
        </w:rPr>
        <w:t>]</w:t>
      </w:r>
    </w:p>
    <w:p w14:paraId="1513B901" w14:textId="59E2F463" w:rsidR="002D3665" w:rsidRPr="00DC7F2D" w:rsidRDefault="002D3665" w:rsidP="002D3665">
      <w:pPr>
        <w:numPr>
          <w:ilvl w:val="0"/>
          <w:numId w:val="6"/>
        </w:numPr>
        <w:spacing w:before="100" w:beforeAutospacing="1" w:after="100" w:afterAutospacing="1"/>
        <w:rPr>
          <w:rFonts w:asciiTheme="majorHAnsi" w:eastAsia="Times New Roman" w:hAnsiTheme="majorHAnsi" w:cs="Times New Roman"/>
          <w:color w:val="000000" w:themeColor="text1"/>
        </w:rPr>
      </w:pPr>
      <w:r w:rsidRPr="00DC7F2D">
        <w:rPr>
          <w:rFonts w:asciiTheme="majorHAnsi" w:eastAsia="Times New Roman" w:hAnsiTheme="majorHAnsi" w:cs="Times New Roman"/>
          <w:b/>
          <w:color w:val="000000" w:themeColor="text1"/>
        </w:rPr>
        <w:t>Among heterosexually active men and women</w:t>
      </w:r>
      <w:r w:rsidRPr="00DC7F2D">
        <w:rPr>
          <w:rFonts w:asciiTheme="majorHAnsi" w:eastAsia="Times New Roman" w:hAnsiTheme="majorHAnsi" w:cs="Times New Roman"/>
          <w:color w:val="000000" w:themeColor="text1"/>
        </w:rPr>
        <w:t xml:space="preserve">, PrEP </w:t>
      </w:r>
      <w:r w:rsidRPr="00DC7F2D">
        <w:rPr>
          <w:rFonts w:asciiTheme="majorHAnsi" w:eastAsia="Times New Roman" w:hAnsiTheme="majorHAnsi" w:cs="Times New Roman"/>
          <w:b/>
          <w:color w:val="000000" w:themeColor="text1"/>
        </w:rPr>
        <w:t>reduced the risk</w:t>
      </w:r>
      <w:r w:rsidRPr="00DC7F2D">
        <w:rPr>
          <w:rFonts w:asciiTheme="majorHAnsi" w:eastAsia="Times New Roman" w:hAnsiTheme="majorHAnsi" w:cs="Times New Roman"/>
          <w:color w:val="000000" w:themeColor="text1"/>
        </w:rPr>
        <w:t xml:space="preserve"> of getting HIV </w:t>
      </w:r>
      <w:r w:rsidRPr="00DC7F2D">
        <w:rPr>
          <w:rFonts w:asciiTheme="majorHAnsi" w:eastAsia="Times New Roman" w:hAnsiTheme="majorHAnsi" w:cs="Times New Roman"/>
          <w:b/>
          <w:color w:val="000000" w:themeColor="text1"/>
        </w:rPr>
        <w:t>by 62%.</w:t>
      </w:r>
      <w:r w:rsidRPr="00DC7F2D">
        <w:rPr>
          <w:rFonts w:asciiTheme="majorHAnsi" w:eastAsia="Times New Roman" w:hAnsiTheme="majorHAnsi" w:cs="Times New Roman"/>
          <w:color w:val="000000" w:themeColor="text1"/>
        </w:rPr>
        <w:t xml:space="preserve"> Participants who became infected had far less drug in their blood, compared with matched participants who remained uninfected. (</w:t>
      </w:r>
      <w:hyperlink r:id="rId10" w:tgtFrame="_blank" w:tooltip="Link to External Web Site" w:history="1">
        <w:r w:rsidRPr="00DC7F2D">
          <w:rPr>
            <w:rStyle w:val="Hyperlink"/>
            <w:rFonts w:asciiTheme="majorHAnsi" w:eastAsia="Times New Roman" w:hAnsiTheme="majorHAnsi" w:cs="Times New Roman"/>
            <w:color w:val="000000" w:themeColor="text1"/>
          </w:rPr>
          <w:t>TDF2 Study</w:t>
        </w:r>
      </w:hyperlink>
      <w:r w:rsidRPr="00DC7F2D">
        <w:rPr>
          <w:rFonts w:asciiTheme="majorHAnsi" w:eastAsia="Times New Roman" w:hAnsiTheme="majorHAnsi" w:cs="Times New Roman"/>
          <w:color w:val="000000" w:themeColor="text1"/>
        </w:rPr>
        <w:t>)</w:t>
      </w:r>
      <w:r w:rsidR="00702E8C" w:rsidRPr="00702E8C">
        <w:rPr>
          <w:rFonts w:asciiTheme="majorHAnsi" w:eastAsia="Times New Roman" w:hAnsiTheme="majorHAnsi" w:cs="Times New Roman"/>
          <w:color w:val="000000" w:themeColor="text1"/>
          <w:vertAlign w:val="superscript"/>
        </w:rPr>
        <w:t>[</w:t>
      </w:r>
      <w:r w:rsidRPr="00702E8C">
        <w:rPr>
          <w:rFonts w:asciiTheme="majorHAnsi" w:eastAsia="Times New Roman" w:hAnsiTheme="majorHAnsi" w:cs="Times New Roman"/>
          <w:color w:val="000000" w:themeColor="text1"/>
          <w:vertAlign w:val="superscript"/>
        </w:rPr>
        <w:t>8</w:t>
      </w:r>
      <w:r w:rsidR="00702E8C">
        <w:rPr>
          <w:rFonts w:asciiTheme="majorHAnsi" w:eastAsia="Times New Roman" w:hAnsiTheme="majorHAnsi" w:cs="Times New Roman"/>
          <w:color w:val="000000" w:themeColor="text1"/>
          <w:vertAlign w:val="superscript"/>
        </w:rPr>
        <w:t>]</w:t>
      </w:r>
    </w:p>
    <w:p w14:paraId="30AD05D9" w14:textId="722B080A" w:rsidR="002D3665" w:rsidRPr="00DC7F2D" w:rsidRDefault="002D3665" w:rsidP="002D3665">
      <w:pPr>
        <w:numPr>
          <w:ilvl w:val="0"/>
          <w:numId w:val="6"/>
        </w:numPr>
        <w:spacing w:before="100" w:beforeAutospacing="1" w:after="100" w:afterAutospacing="1"/>
        <w:rPr>
          <w:rFonts w:asciiTheme="majorHAnsi" w:eastAsia="Times New Roman" w:hAnsiTheme="majorHAnsi" w:cs="Times New Roman"/>
          <w:color w:val="000000" w:themeColor="text1"/>
        </w:rPr>
      </w:pPr>
      <w:r w:rsidRPr="00DC7F2D">
        <w:rPr>
          <w:rFonts w:asciiTheme="majorHAnsi" w:eastAsia="Times New Roman" w:hAnsiTheme="majorHAnsi" w:cs="Times New Roman"/>
          <w:b/>
          <w:color w:val="000000" w:themeColor="text1"/>
        </w:rPr>
        <w:t>Among</w:t>
      </w:r>
      <w:r w:rsidRPr="00DC7F2D">
        <w:rPr>
          <w:rFonts w:asciiTheme="majorHAnsi" w:eastAsia="Times New Roman" w:hAnsiTheme="majorHAnsi" w:cs="Times New Roman"/>
          <w:color w:val="000000" w:themeColor="text1"/>
        </w:rPr>
        <w:t xml:space="preserve"> </w:t>
      </w:r>
      <w:r w:rsidRPr="00DC7F2D">
        <w:rPr>
          <w:rFonts w:asciiTheme="majorHAnsi" w:eastAsia="Times New Roman" w:hAnsiTheme="majorHAnsi" w:cs="Times New Roman"/>
          <w:b/>
          <w:color w:val="000000" w:themeColor="text1"/>
        </w:rPr>
        <w:t>men and women in HIV discordant couples</w:t>
      </w:r>
      <w:r w:rsidRPr="00DC7F2D">
        <w:rPr>
          <w:rFonts w:asciiTheme="majorHAnsi" w:eastAsia="Times New Roman" w:hAnsiTheme="majorHAnsi" w:cs="Times New Roman"/>
          <w:color w:val="000000" w:themeColor="text1"/>
        </w:rPr>
        <w:t xml:space="preserve">, those who </w:t>
      </w:r>
      <w:r w:rsidRPr="00702E8C">
        <w:rPr>
          <w:rFonts w:asciiTheme="majorHAnsi" w:eastAsia="Times New Roman" w:hAnsiTheme="majorHAnsi" w:cs="Times New Roman"/>
          <w:color w:val="000000" w:themeColor="text1"/>
        </w:rPr>
        <w:t>received PrEP were</w:t>
      </w:r>
      <w:r w:rsidRPr="00DC7F2D">
        <w:rPr>
          <w:rFonts w:asciiTheme="majorHAnsi" w:eastAsia="Times New Roman" w:hAnsiTheme="majorHAnsi" w:cs="Times New Roman"/>
          <w:color w:val="000000" w:themeColor="text1"/>
        </w:rPr>
        <w:t xml:space="preserve"> </w:t>
      </w:r>
      <w:r w:rsidRPr="00702E8C">
        <w:rPr>
          <w:rFonts w:asciiTheme="majorHAnsi" w:eastAsia="Times New Roman" w:hAnsiTheme="majorHAnsi" w:cs="Times New Roman"/>
          <w:color w:val="000000" w:themeColor="text1"/>
        </w:rPr>
        <w:t>75% less likely to become infected</w:t>
      </w:r>
      <w:r w:rsidRPr="00DC7F2D">
        <w:rPr>
          <w:rFonts w:asciiTheme="majorHAnsi" w:eastAsia="Times New Roman" w:hAnsiTheme="majorHAnsi" w:cs="Times New Roman"/>
          <w:color w:val="000000" w:themeColor="text1"/>
        </w:rPr>
        <w:t xml:space="preserve"> than those on placebo. Among those with detectable levels of medicine in their blood, </w:t>
      </w:r>
      <w:r w:rsidRPr="00702E8C">
        <w:rPr>
          <w:rFonts w:asciiTheme="majorHAnsi" w:eastAsia="Times New Roman" w:hAnsiTheme="majorHAnsi" w:cs="Times New Roman"/>
          <w:color w:val="000000" w:themeColor="text1"/>
        </w:rPr>
        <w:t>PrEP reduced the risk of HIV infection</w:t>
      </w:r>
      <w:r w:rsidRPr="00DC7F2D">
        <w:rPr>
          <w:rFonts w:asciiTheme="majorHAnsi" w:eastAsia="Times New Roman" w:hAnsiTheme="majorHAnsi" w:cs="Times New Roman"/>
          <w:color w:val="000000" w:themeColor="text1"/>
        </w:rPr>
        <w:t xml:space="preserve"> </w:t>
      </w:r>
      <w:r w:rsidRPr="00702E8C">
        <w:rPr>
          <w:rFonts w:asciiTheme="majorHAnsi" w:eastAsia="Times New Roman" w:hAnsiTheme="majorHAnsi" w:cs="Times New Roman"/>
          <w:color w:val="000000" w:themeColor="text1"/>
        </w:rPr>
        <w:t>by up to 90%</w:t>
      </w:r>
      <w:r w:rsidRPr="00DC7F2D">
        <w:rPr>
          <w:rFonts w:asciiTheme="majorHAnsi" w:eastAsia="Times New Roman" w:hAnsiTheme="majorHAnsi" w:cs="Times New Roman"/>
          <w:color w:val="000000" w:themeColor="text1"/>
        </w:rPr>
        <w:t>. (</w:t>
      </w:r>
      <w:hyperlink r:id="rId11" w:tgtFrame="_blank" w:tooltip="Link to External Web Site" w:history="1">
        <w:r w:rsidRPr="00DC7F2D">
          <w:rPr>
            <w:rStyle w:val="Hyperlink"/>
            <w:rFonts w:asciiTheme="majorHAnsi" w:eastAsia="Times New Roman" w:hAnsiTheme="majorHAnsi" w:cs="Times New Roman"/>
            <w:color w:val="000000" w:themeColor="text1"/>
          </w:rPr>
          <w:t>Partners PrEP Study</w:t>
        </w:r>
      </w:hyperlink>
      <w:r w:rsidRPr="00DC7F2D">
        <w:rPr>
          <w:rFonts w:asciiTheme="majorHAnsi" w:eastAsia="Times New Roman" w:hAnsiTheme="majorHAnsi" w:cs="Times New Roman"/>
          <w:color w:val="000000" w:themeColor="text1"/>
        </w:rPr>
        <w:t>)</w:t>
      </w:r>
      <w:r w:rsidR="00702E8C" w:rsidRPr="00702E8C">
        <w:rPr>
          <w:rFonts w:asciiTheme="majorHAnsi" w:eastAsia="Times New Roman" w:hAnsiTheme="majorHAnsi" w:cs="Times New Roman"/>
          <w:color w:val="000000" w:themeColor="text1"/>
          <w:vertAlign w:val="superscript"/>
        </w:rPr>
        <w:t xml:space="preserve"> [</w:t>
      </w:r>
      <w:r w:rsidRPr="00702E8C">
        <w:rPr>
          <w:rFonts w:asciiTheme="majorHAnsi" w:eastAsia="Times New Roman" w:hAnsiTheme="majorHAnsi" w:cs="Times New Roman"/>
          <w:color w:val="000000" w:themeColor="text1"/>
          <w:vertAlign w:val="superscript"/>
        </w:rPr>
        <w:t>7</w:t>
      </w:r>
      <w:r w:rsidR="00702E8C">
        <w:rPr>
          <w:rFonts w:asciiTheme="majorHAnsi" w:eastAsia="Times New Roman" w:hAnsiTheme="majorHAnsi" w:cs="Times New Roman"/>
          <w:color w:val="000000" w:themeColor="text1"/>
          <w:vertAlign w:val="superscript"/>
        </w:rPr>
        <w:t>]</w:t>
      </w:r>
    </w:p>
    <w:p w14:paraId="78C62F4B" w14:textId="3AA4D514" w:rsidR="002D3665" w:rsidRDefault="002D3665" w:rsidP="00264131">
      <w:pPr>
        <w:numPr>
          <w:ilvl w:val="0"/>
          <w:numId w:val="6"/>
        </w:numPr>
        <w:spacing w:before="100" w:beforeAutospacing="1" w:after="100" w:afterAutospacing="1"/>
        <w:rPr>
          <w:rFonts w:eastAsia="Times New Roman" w:cs="Times New Roman"/>
        </w:rPr>
      </w:pPr>
      <w:r w:rsidRPr="00DC7F2D">
        <w:rPr>
          <w:rFonts w:asciiTheme="majorHAnsi" w:eastAsia="Times New Roman" w:hAnsiTheme="majorHAnsi" w:cs="Times New Roman"/>
          <w:b/>
          <w:color w:val="000000" w:themeColor="text1"/>
        </w:rPr>
        <w:t>Among injection drug users</w:t>
      </w:r>
      <w:r w:rsidRPr="00DC7F2D">
        <w:rPr>
          <w:rFonts w:asciiTheme="majorHAnsi" w:eastAsia="Times New Roman" w:hAnsiTheme="majorHAnsi" w:cs="Times New Roman"/>
          <w:color w:val="000000" w:themeColor="text1"/>
        </w:rPr>
        <w:t xml:space="preserve">, a once-daily tablet containing tenofovir (one of the two drugs </w:t>
      </w:r>
      <w:r w:rsidR="00245EDD" w:rsidRPr="00DC7F2D">
        <w:rPr>
          <w:rFonts w:asciiTheme="majorHAnsi" w:eastAsia="Times New Roman" w:hAnsiTheme="majorHAnsi" w:cs="Times New Roman"/>
          <w:color w:val="000000" w:themeColor="text1"/>
        </w:rPr>
        <w:t>in PrEP</w:t>
      </w:r>
      <w:r w:rsidRPr="00DC7F2D">
        <w:rPr>
          <w:rFonts w:asciiTheme="majorHAnsi" w:eastAsia="Times New Roman" w:hAnsiTheme="majorHAnsi" w:cs="Times New Roman"/>
          <w:color w:val="000000" w:themeColor="text1"/>
        </w:rPr>
        <w:t xml:space="preserve">) reduced the risk of getting HIV by 49%. For </w:t>
      </w:r>
      <w:r w:rsidR="00245EDD" w:rsidRPr="00DC7F2D">
        <w:rPr>
          <w:rFonts w:asciiTheme="majorHAnsi" w:eastAsia="Times New Roman" w:hAnsiTheme="majorHAnsi" w:cs="Times New Roman"/>
          <w:color w:val="000000" w:themeColor="text1"/>
        </w:rPr>
        <w:t xml:space="preserve">compliant </w:t>
      </w:r>
      <w:r w:rsidRPr="00DC7F2D">
        <w:rPr>
          <w:rFonts w:asciiTheme="majorHAnsi" w:eastAsia="Times New Roman" w:hAnsiTheme="majorHAnsi" w:cs="Times New Roman"/>
          <w:color w:val="000000" w:themeColor="text1"/>
        </w:rPr>
        <w:t xml:space="preserve">participants who had detectable tenofovir in their blood, </w:t>
      </w:r>
      <w:r w:rsidRPr="00DC7F2D">
        <w:rPr>
          <w:rFonts w:asciiTheme="majorHAnsi" w:eastAsia="Times New Roman" w:hAnsiTheme="majorHAnsi" w:cs="Times New Roman"/>
          <w:b/>
          <w:color w:val="000000" w:themeColor="text1"/>
        </w:rPr>
        <w:t>PrEP reduced the risk of infection by 74%.</w:t>
      </w:r>
      <w:r w:rsidRPr="00DC7F2D">
        <w:rPr>
          <w:rFonts w:asciiTheme="majorHAnsi" w:eastAsia="Times New Roman" w:hAnsiTheme="majorHAnsi" w:cs="Times New Roman"/>
          <w:color w:val="000000" w:themeColor="text1"/>
        </w:rPr>
        <w:t xml:space="preserve"> (</w:t>
      </w:r>
      <w:hyperlink r:id="rId12" w:tgtFrame="_blank" w:tooltip="Link to External Web Site" w:history="1">
        <w:r w:rsidRPr="00DC7F2D">
          <w:rPr>
            <w:rStyle w:val="Hyperlink"/>
            <w:rFonts w:asciiTheme="majorHAnsi" w:eastAsia="Times New Roman" w:hAnsiTheme="majorHAnsi" w:cs="Times New Roman"/>
            <w:color w:val="000000" w:themeColor="text1"/>
          </w:rPr>
          <w:t>Bangkok Tenofovir Study</w:t>
        </w:r>
      </w:hyperlink>
      <w:r>
        <w:rPr>
          <w:rFonts w:eastAsia="Times New Roman" w:cs="Times New Roman"/>
        </w:rPr>
        <w:t>)</w:t>
      </w:r>
      <w:r w:rsidR="00702E8C" w:rsidRPr="00702E8C">
        <w:rPr>
          <w:rFonts w:asciiTheme="majorHAnsi" w:eastAsia="Times New Roman" w:hAnsiTheme="majorHAnsi" w:cs="Times New Roman"/>
          <w:color w:val="000000" w:themeColor="text1"/>
          <w:vertAlign w:val="superscript"/>
        </w:rPr>
        <w:t>[</w:t>
      </w:r>
      <w:r w:rsidRPr="00702E8C">
        <w:rPr>
          <w:rFonts w:eastAsia="Times New Roman" w:cs="Times New Roman"/>
          <w:vertAlign w:val="superscript"/>
        </w:rPr>
        <w:t>11</w:t>
      </w:r>
      <w:r w:rsidR="00264131">
        <w:rPr>
          <w:rFonts w:asciiTheme="majorHAnsi" w:eastAsia="Times New Roman" w:hAnsiTheme="majorHAnsi" w:cs="Times New Roman"/>
          <w:color w:val="000000" w:themeColor="text1"/>
          <w:vertAlign w:val="superscript"/>
        </w:rPr>
        <w:t>]</w:t>
      </w:r>
    </w:p>
    <w:p w14:paraId="0AC4240E" w14:textId="1626E6C7" w:rsidR="009D6077" w:rsidRDefault="002D3665" w:rsidP="009D6077">
      <w:pPr>
        <w:pStyle w:val="NormalWeb"/>
        <w:rPr>
          <w:rFonts w:asciiTheme="majorHAnsi" w:hAnsiTheme="majorHAnsi" w:cs="HelveticaNeue-Condensed"/>
          <w:color w:val="000000"/>
          <w:highlight w:val="yellow"/>
        </w:rPr>
      </w:pPr>
      <w:r w:rsidRPr="00245EDD">
        <w:rPr>
          <w:rFonts w:asciiTheme="majorHAnsi" w:hAnsiTheme="majorHAnsi"/>
          <w:sz w:val="24"/>
          <w:szCs w:val="24"/>
        </w:rPr>
        <w:t>None of the studies found any significant safety concerns with use of daily oral PrEP. Some trial participants reported side effects</w:t>
      </w:r>
      <w:r w:rsidR="00973C63">
        <w:rPr>
          <w:rFonts w:asciiTheme="majorHAnsi" w:hAnsiTheme="majorHAnsi"/>
          <w:sz w:val="24"/>
          <w:szCs w:val="24"/>
        </w:rPr>
        <w:t>,</w:t>
      </w:r>
      <w:r w:rsidRPr="00245EDD">
        <w:rPr>
          <w:rFonts w:asciiTheme="majorHAnsi" w:hAnsiTheme="majorHAnsi"/>
          <w:sz w:val="24"/>
          <w:szCs w:val="24"/>
        </w:rPr>
        <w:t xml:space="preserve"> such as an upset stomach or loss of appetite</w:t>
      </w:r>
      <w:r w:rsidR="00973C63">
        <w:rPr>
          <w:rFonts w:asciiTheme="majorHAnsi" w:hAnsiTheme="majorHAnsi"/>
          <w:sz w:val="24"/>
          <w:szCs w:val="24"/>
        </w:rPr>
        <w:t>,</w:t>
      </w:r>
      <w:r w:rsidRPr="00245EDD">
        <w:rPr>
          <w:rFonts w:asciiTheme="majorHAnsi" w:hAnsiTheme="majorHAnsi"/>
          <w:sz w:val="24"/>
          <w:szCs w:val="24"/>
        </w:rPr>
        <w:t xml:space="preserve"> but these were mild and usually resolved in the first month.</w:t>
      </w:r>
    </w:p>
    <w:p w14:paraId="38BB3D35" w14:textId="539199DA" w:rsidR="00C35863" w:rsidRPr="009D6077" w:rsidRDefault="00A5150F" w:rsidP="009D6077">
      <w:pPr>
        <w:pStyle w:val="NormalWeb"/>
        <w:rPr>
          <w:sz w:val="24"/>
          <w:szCs w:val="24"/>
        </w:rPr>
      </w:pPr>
      <w:r>
        <w:rPr>
          <w:rFonts w:asciiTheme="majorHAnsi" w:hAnsiTheme="majorHAnsi" w:cs="HelveticaNeue-Condensed"/>
          <w:color w:val="000000"/>
          <w:sz w:val="24"/>
          <w:szCs w:val="24"/>
        </w:rPr>
        <w:t xml:space="preserve">           </w:t>
      </w:r>
      <w:r w:rsidR="00C35863" w:rsidRPr="009D6077">
        <w:rPr>
          <w:rFonts w:asciiTheme="majorHAnsi" w:hAnsiTheme="majorHAnsi" w:cs="HelveticaNeue-Condensed"/>
          <w:color w:val="000000"/>
          <w:sz w:val="24"/>
          <w:szCs w:val="24"/>
        </w:rPr>
        <w:t xml:space="preserve">Studies among women are discussed in </w:t>
      </w:r>
      <w:r w:rsidR="00C35863" w:rsidRPr="009D6077">
        <w:rPr>
          <w:rFonts w:asciiTheme="majorHAnsi" w:hAnsiTheme="majorHAnsi" w:cs="HelveticaNeue-Condensed"/>
          <w:i/>
          <w:sz w:val="24"/>
          <w:szCs w:val="24"/>
          <w:u w:val="single"/>
        </w:rPr>
        <w:t>questions 7 and 9.</w:t>
      </w:r>
    </w:p>
    <w:p w14:paraId="4E70950F" w14:textId="4F962B1D" w:rsidR="00C35863" w:rsidRPr="00BF5D11" w:rsidRDefault="00C35863" w:rsidP="00C35863">
      <w:pPr>
        <w:widowControl w:val="0"/>
        <w:autoSpaceDE w:val="0"/>
        <w:autoSpaceDN w:val="0"/>
        <w:adjustRightInd w:val="0"/>
        <w:rPr>
          <w:rFonts w:asciiTheme="majorHAnsi" w:hAnsiTheme="majorHAnsi" w:cs="HelveticaNeue-Condensed"/>
          <w:b/>
          <w:bCs/>
          <w:color w:val="000000"/>
        </w:rPr>
      </w:pPr>
      <w:r w:rsidRPr="00BF5D11">
        <w:rPr>
          <w:rFonts w:asciiTheme="majorHAnsi" w:hAnsiTheme="majorHAnsi" w:cs="HelveticaNeue-Condensed"/>
          <w:b/>
          <w:bCs/>
          <w:color w:val="000000"/>
        </w:rPr>
        <w:t>How important is adherence to PrEP?</w:t>
      </w:r>
    </w:p>
    <w:p w14:paraId="50133E69" w14:textId="07D08776" w:rsidR="00C35863" w:rsidRPr="00BF5D11" w:rsidRDefault="00C35863" w:rsidP="00C35863">
      <w:pPr>
        <w:widowControl w:val="0"/>
        <w:autoSpaceDE w:val="0"/>
        <w:autoSpaceDN w:val="0"/>
        <w:adjustRightInd w:val="0"/>
        <w:ind w:right="-450"/>
        <w:rPr>
          <w:rFonts w:asciiTheme="majorHAnsi" w:hAnsiTheme="majorHAnsi" w:cs="HelveticaNeue-Condensed"/>
          <w:color w:val="000000"/>
        </w:rPr>
      </w:pPr>
      <w:r w:rsidRPr="00BF5D11">
        <w:rPr>
          <w:rFonts w:asciiTheme="majorHAnsi" w:hAnsiTheme="majorHAnsi" w:cs="HelveticaNeue-Condensed"/>
          <w:color w:val="000000"/>
        </w:rPr>
        <w:t>In all PrEP clinical trials to date, PrEP effica</w:t>
      </w:r>
      <w:r>
        <w:rPr>
          <w:rFonts w:asciiTheme="majorHAnsi" w:hAnsiTheme="majorHAnsi" w:cs="HelveticaNeue-Condensed"/>
          <w:color w:val="000000"/>
        </w:rPr>
        <w:t xml:space="preserve">cy appears to be </w:t>
      </w:r>
      <w:r w:rsidRPr="00732575">
        <w:rPr>
          <w:rFonts w:asciiTheme="majorHAnsi" w:hAnsiTheme="majorHAnsi" w:cs="HelveticaNeue-Condensed"/>
          <w:color w:val="000000"/>
        </w:rPr>
        <w:t>dependent upon adherence.</w:t>
      </w:r>
      <w:r w:rsidRPr="00732575">
        <w:rPr>
          <w:rFonts w:asciiTheme="majorHAnsi" w:hAnsiTheme="majorHAnsi" w:cs="HelveticaNeue-Condensed"/>
          <w:color w:val="000000"/>
          <w:vertAlign w:val="superscript"/>
        </w:rPr>
        <w:t>[</w:t>
      </w:r>
      <w:r w:rsidRPr="00264131">
        <w:rPr>
          <w:rFonts w:asciiTheme="majorHAnsi" w:hAnsiTheme="majorHAnsi" w:cs="HelveticaNeue-Condensed"/>
          <w:color w:val="000000"/>
          <w:vertAlign w:val="superscript"/>
        </w:rPr>
        <w:t>12,13</w:t>
      </w:r>
      <w:r w:rsidRPr="00732575">
        <w:rPr>
          <w:rFonts w:asciiTheme="majorHAnsi" w:hAnsiTheme="majorHAnsi" w:cs="HelveticaNeue-Condensed"/>
          <w:color w:val="000000"/>
          <w:vertAlign w:val="superscript"/>
        </w:rPr>
        <w:t>]</w:t>
      </w:r>
      <w:r w:rsidRPr="00732575">
        <w:rPr>
          <w:rFonts w:asciiTheme="majorHAnsi" w:hAnsiTheme="majorHAnsi" w:cs="HelveticaNeue-Condensed"/>
          <w:color w:val="000000"/>
        </w:rPr>
        <w:t xml:space="preserve"> According to a dedicated analysis of adherence from all trials to date, PrEP was </w:t>
      </w:r>
      <w:r w:rsidRPr="00264131">
        <w:rPr>
          <w:rFonts w:asciiTheme="majorHAnsi" w:hAnsiTheme="majorHAnsi" w:cs="HelveticaNeue-Condensed"/>
          <w:color w:val="000000"/>
        </w:rPr>
        <w:t>non-effıcacious</w:t>
      </w:r>
      <w:r w:rsidRPr="00732575">
        <w:rPr>
          <w:rFonts w:asciiTheme="majorHAnsi" w:hAnsiTheme="majorHAnsi" w:cs="HelveticaNeue-Condensed"/>
          <w:color w:val="000000"/>
        </w:rPr>
        <w:t xml:space="preserve"> when adherence was low, but when moderate or high adherence was achieved, efficacy was modest or relatively high, respectively</w:t>
      </w:r>
      <w:r w:rsidR="005B1322">
        <w:rPr>
          <w:rFonts w:asciiTheme="majorHAnsi" w:hAnsiTheme="majorHAnsi" w:cs="HelveticaNeue-Condensed"/>
          <w:color w:val="000000"/>
        </w:rPr>
        <w:t>.</w:t>
      </w:r>
      <w:r w:rsidRPr="00732575">
        <w:rPr>
          <w:rFonts w:asciiTheme="majorHAnsi" w:hAnsiTheme="majorHAnsi" w:cs="HelveticaNeue-Condensed"/>
          <w:color w:val="000000"/>
          <w:vertAlign w:val="superscript"/>
        </w:rPr>
        <w:t>[13]</w:t>
      </w:r>
      <w:r w:rsidRPr="00732575">
        <w:rPr>
          <w:rFonts w:asciiTheme="majorHAnsi" w:hAnsiTheme="majorHAnsi" w:cs="HelveticaNeue-Condensed"/>
          <w:color w:val="000000"/>
        </w:rPr>
        <w:t xml:space="preserve"> Among the study subjects with detectable plasma tenofovir levels in iPrEx, Partners PrEP, TDF2, and BTS, efficacy ranged from 74 to 92%</w:t>
      </w:r>
      <w:r w:rsidR="005B1322">
        <w:rPr>
          <w:rFonts w:asciiTheme="majorHAnsi" w:hAnsiTheme="majorHAnsi" w:cs="HelveticaNeue-Condensed"/>
          <w:color w:val="000000"/>
        </w:rPr>
        <w:t>.</w:t>
      </w:r>
      <w:r w:rsidRPr="00264131">
        <w:rPr>
          <w:rFonts w:asciiTheme="majorHAnsi" w:hAnsiTheme="majorHAnsi" w:cs="HelveticaNeue-Condensed"/>
          <w:color w:val="000000"/>
          <w:vertAlign w:val="superscript"/>
        </w:rPr>
        <w:t>[6,7,8,11</w:t>
      </w:r>
      <w:r w:rsidR="008A02DD" w:rsidRPr="00264131">
        <w:rPr>
          <w:rFonts w:asciiTheme="majorHAnsi" w:hAnsiTheme="majorHAnsi" w:cs="HelveticaNeue-Condensed"/>
          <w:color w:val="000000"/>
          <w:vertAlign w:val="superscript"/>
        </w:rPr>
        <w:t>,22</w:t>
      </w:r>
      <w:r w:rsidRPr="00264131">
        <w:rPr>
          <w:rFonts w:asciiTheme="majorHAnsi" w:hAnsiTheme="majorHAnsi" w:cs="HelveticaNeue-Condensed"/>
          <w:color w:val="000000"/>
          <w:vertAlign w:val="superscript"/>
        </w:rPr>
        <w:t>]</w:t>
      </w:r>
    </w:p>
    <w:p w14:paraId="0D4E2A73" w14:textId="77777777" w:rsidR="00C35863" w:rsidRDefault="00C35863" w:rsidP="00C35863">
      <w:pPr>
        <w:widowControl w:val="0"/>
        <w:autoSpaceDE w:val="0"/>
        <w:autoSpaceDN w:val="0"/>
        <w:adjustRightInd w:val="0"/>
        <w:rPr>
          <w:rFonts w:asciiTheme="majorHAnsi" w:hAnsiTheme="majorHAnsi" w:cs="HelveticaNeue-Condensed"/>
          <w:color w:val="000000"/>
        </w:rPr>
      </w:pPr>
    </w:p>
    <w:p w14:paraId="0ABF2B43" w14:textId="65E98099" w:rsidR="00C35863" w:rsidRDefault="00C35863" w:rsidP="00C35863">
      <w:pPr>
        <w:widowControl w:val="0"/>
        <w:autoSpaceDE w:val="0"/>
        <w:autoSpaceDN w:val="0"/>
        <w:adjustRightInd w:val="0"/>
        <w:rPr>
          <w:rFonts w:asciiTheme="majorHAnsi" w:hAnsiTheme="majorHAnsi" w:cs="HelveticaNeue-Condensed"/>
          <w:color w:val="000000"/>
        </w:rPr>
      </w:pPr>
      <w:r w:rsidRPr="00BF5D11">
        <w:rPr>
          <w:rFonts w:asciiTheme="majorHAnsi" w:hAnsiTheme="majorHAnsi" w:cs="HelveticaNeue-Condensed"/>
          <w:color w:val="000000"/>
        </w:rPr>
        <w:t>Adherence to PrEP was also found to be highly associated with reduction of HIV risk in an open-label study (iPrEX OLE)</w:t>
      </w:r>
      <w:r w:rsidR="005B1322">
        <w:rPr>
          <w:rFonts w:asciiTheme="majorHAnsi" w:hAnsiTheme="majorHAnsi" w:cs="HelveticaNeue-Condensed"/>
          <w:color w:val="000000"/>
        </w:rPr>
        <w:t>.</w:t>
      </w:r>
      <w:r w:rsidRPr="00BF5D11">
        <w:rPr>
          <w:rFonts w:asciiTheme="majorHAnsi" w:hAnsiTheme="majorHAnsi" w:cs="HelveticaNeue-Condensed"/>
          <w:color w:val="000000"/>
        </w:rPr>
        <w:t xml:space="preserve"> </w:t>
      </w:r>
      <w:r w:rsidRPr="00B16524">
        <w:rPr>
          <w:rFonts w:asciiTheme="majorHAnsi" w:hAnsiTheme="majorHAnsi" w:cs="HelveticaNeue-Condensed"/>
          <w:color w:val="000000"/>
          <w:vertAlign w:val="superscript"/>
        </w:rPr>
        <w:t>[14]</w:t>
      </w:r>
      <w:r>
        <w:rPr>
          <w:rFonts w:asciiTheme="majorHAnsi" w:hAnsiTheme="majorHAnsi" w:cs="HelveticaNeue-Condensed"/>
          <w:color w:val="000000"/>
        </w:rPr>
        <w:t xml:space="preserve"> T</w:t>
      </w:r>
      <w:r w:rsidRPr="00BF5D11">
        <w:rPr>
          <w:rFonts w:asciiTheme="majorHAnsi" w:hAnsiTheme="majorHAnsi" w:cs="HelveticaNeue-Condensed"/>
          <w:color w:val="000000"/>
        </w:rPr>
        <w:t>here were no HIV infections in participants using four or more tablets per week as detected by dried blood spot. Among</w:t>
      </w:r>
      <w:r>
        <w:rPr>
          <w:rFonts w:asciiTheme="majorHAnsi" w:hAnsiTheme="majorHAnsi" w:cs="HelveticaNeue-Condensed"/>
          <w:color w:val="000000"/>
        </w:rPr>
        <w:t xml:space="preserve"> </w:t>
      </w:r>
      <w:r w:rsidRPr="00BF5D11">
        <w:rPr>
          <w:rFonts w:asciiTheme="majorHAnsi" w:hAnsiTheme="majorHAnsi" w:cs="HelveticaNeue-Condensed"/>
          <w:color w:val="000000"/>
        </w:rPr>
        <w:t>participants with less drug detected, HIV incidence ranged from 4.7 infections per 100 person-years (no drug detected) to</w:t>
      </w:r>
      <w:r>
        <w:rPr>
          <w:rFonts w:asciiTheme="majorHAnsi" w:hAnsiTheme="majorHAnsi" w:cs="HelveticaNeue-Condensed"/>
          <w:color w:val="000000"/>
        </w:rPr>
        <w:t xml:space="preserve"> </w:t>
      </w:r>
      <w:r w:rsidRPr="00BF5D11">
        <w:rPr>
          <w:rFonts w:asciiTheme="majorHAnsi" w:hAnsiTheme="majorHAnsi" w:cs="HelveticaNeue-Condensed"/>
          <w:color w:val="000000"/>
        </w:rPr>
        <w:t>0.6 per 100 person-years (two to three tablets per week).</w:t>
      </w:r>
    </w:p>
    <w:p w14:paraId="071DE9A7" w14:textId="77777777" w:rsidR="00C35863" w:rsidRPr="00F81D0D" w:rsidRDefault="00C35863" w:rsidP="00C35863">
      <w:pPr>
        <w:pBdr>
          <w:bottom w:val="single" w:sz="12" w:space="1" w:color="auto"/>
        </w:pBdr>
        <w:rPr>
          <w:rFonts w:asciiTheme="majorHAnsi" w:hAnsiTheme="majorHAnsi" w:cs="PTSans-Bold"/>
          <w:bCs/>
          <w:sz w:val="12"/>
          <w:szCs w:val="12"/>
        </w:rPr>
      </w:pPr>
    </w:p>
    <w:p w14:paraId="556989EF" w14:textId="77777777" w:rsidR="00E710C9" w:rsidRPr="00F81D0D" w:rsidRDefault="00E710C9" w:rsidP="00C35863">
      <w:pPr>
        <w:rPr>
          <w:rFonts w:asciiTheme="majorHAnsi" w:hAnsiTheme="majorHAnsi" w:cs="PTSans-Bold"/>
          <w:bCs/>
          <w:sz w:val="12"/>
          <w:szCs w:val="12"/>
        </w:rPr>
      </w:pPr>
    </w:p>
    <w:p w14:paraId="15DB68F7" w14:textId="77777777" w:rsidR="00684901" w:rsidRDefault="00684901">
      <w:pPr>
        <w:rPr>
          <w:rFonts w:asciiTheme="majorHAnsi" w:hAnsiTheme="majorHAnsi" w:cs="PTSans-Bold"/>
          <w:b/>
          <w:bCs/>
        </w:rPr>
      </w:pPr>
      <w:r>
        <w:rPr>
          <w:rFonts w:asciiTheme="majorHAnsi" w:hAnsiTheme="majorHAnsi" w:cs="PTSans-Bold"/>
          <w:b/>
          <w:bCs/>
        </w:rPr>
        <w:br w:type="page"/>
      </w:r>
    </w:p>
    <w:p w14:paraId="21995E3F" w14:textId="5D3A04EA" w:rsidR="00C35863" w:rsidRPr="003F2FCC" w:rsidRDefault="00C35863" w:rsidP="00C35863">
      <w:pPr>
        <w:widowControl w:val="0"/>
        <w:autoSpaceDE w:val="0"/>
        <w:autoSpaceDN w:val="0"/>
        <w:adjustRightInd w:val="0"/>
        <w:rPr>
          <w:rFonts w:asciiTheme="majorHAnsi" w:hAnsiTheme="majorHAnsi" w:cs="PTSans-Bold"/>
          <w:b/>
          <w:bCs/>
        </w:rPr>
      </w:pPr>
      <w:r w:rsidRPr="00D34532">
        <w:rPr>
          <w:rFonts w:asciiTheme="majorHAnsi" w:hAnsiTheme="majorHAnsi" w:cs="PTSans-Bold"/>
          <w:b/>
          <w:bCs/>
        </w:rPr>
        <w:lastRenderedPageBreak/>
        <w:t>7. Is PrEP safe</w:t>
      </w:r>
      <w:r w:rsidRPr="003F2FCC">
        <w:rPr>
          <w:rFonts w:asciiTheme="majorHAnsi" w:hAnsiTheme="majorHAnsi" w:cs="PTSans-Bold"/>
          <w:b/>
          <w:bCs/>
        </w:rPr>
        <w:t>?</w:t>
      </w:r>
      <w:r w:rsidR="00C5611B" w:rsidRPr="003F2FCC">
        <w:rPr>
          <w:rFonts w:asciiTheme="majorHAnsi" w:hAnsiTheme="majorHAnsi" w:cs="PTSans-Bold"/>
          <w:b/>
          <w:bCs/>
        </w:rPr>
        <w:t xml:space="preserve"> </w:t>
      </w:r>
    </w:p>
    <w:p w14:paraId="24C030B4" w14:textId="49F75967" w:rsidR="00E710C9" w:rsidRDefault="00C5611B" w:rsidP="00C35863">
      <w:pPr>
        <w:widowControl w:val="0"/>
        <w:autoSpaceDE w:val="0"/>
        <w:autoSpaceDN w:val="0"/>
        <w:adjustRightInd w:val="0"/>
        <w:ind w:right="-270"/>
        <w:rPr>
          <w:rFonts w:asciiTheme="majorHAnsi" w:hAnsiTheme="majorHAnsi" w:cs="PTSans-Bold"/>
          <w:color w:val="000000"/>
        </w:rPr>
      </w:pPr>
      <w:r>
        <w:rPr>
          <w:rFonts w:asciiTheme="majorHAnsi" w:hAnsiTheme="majorHAnsi" w:cs="PTSans-Bold"/>
          <w:color w:val="000000"/>
        </w:rPr>
        <w:t>Yes</w:t>
      </w:r>
      <w:r w:rsidRPr="00EC6FFC">
        <w:rPr>
          <w:rFonts w:asciiTheme="majorHAnsi" w:hAnsiTheme="majorHAnsi" w:cs="PTSans-Bold"/>
          <w:color w:val="000000"/>
        </w:rPr>
        <w:t>, in prevention studies to date, TDF-FTC for PrEP has not caused serious</w:t>
      </w:r>
      <w:r>
        <w:rPr>
          <w:rFonts w:asciiTheme="majorHAnsi" w:hAnsiTheme="majorHAnsi" w:cs="PTSans-Bold"/>
          <w:color w:val="000000"/>
        </w:rPr>
        <w:t xml:space="preserve"> </w:t>
      </w:r>
      <w:r w:rsidRPr="00EC6FFC">
        <w:rPr>
          <w:rFonts w:asciiTheme="majorHAnsi" w:hAnsiTheme="majorHAnsi" w:cs="PTSans-Bold"/>
          <w:color w:val="000000"/>
        </w:rPr>
        <w:t>short-term safety concerns</w:t>
      </w:r>
      <w:r w:rsidR="00FA77E0">
        <w:rPr>
          <w:rFonts w:asciiTheme="majorHAnsi" w:hAnsiTheme="majorHAnsi" w:cs="PTSans-Bold"/>
          <w:color w:val="000000"/>
        </w:rPr>
        <w:t>.</w:t>
      </w:r>
      <w:r w:rsidRPr="00EC6FFC">
        <w:rPr>
          <w:rFonts w:asciiTheme="majorHAnsi" w:hAnsiTheme="majorHAnsi" w:cs="PTSans-Bold"/>
          <w:color w:val="000000"/>
          <w:vertAlign w:val="superscript"/>
        </w:rPr>
        <w:t>[5,15,16</w:t>
      </w:r>
      <w:r w:rsidRPr="00743F95">
        <w:rPr>
          <w:rFonts w:asciiTheme="majorHAnsi" w:hAnsiTheme="majorHAnsi" w:cs="PTSans-Bold"/>
          <w:color w:val="000000"/>
          <w:vertAlign w:val="superscript"/>
        </w:rPr>
        <w:t>]</w:t>
      </w:r>
      <w:r>
        <w:rPr>
          <w:rFonts w:asciiTheme="majorHAnsi" w:hAnsiTheme="majorHAnsi" w:cs="PTSans-Bold"/>
          <w:color w:val="000000"/>
        </w:rPr>
        <w:t xml:space="preserve">. </w:t>
      </w:r>
      <w:r w:rsidR="00C35863" w:rsidRPr="00EC6FFC">
        <w:rPr>
          <w:rFonts w:asciiTheme="majorHAnsi" w:hAnsiTheme="majorHAnsi" w:cs="PTSans-Bold"/>
          <w:color w:val="000000"/>
        </w:rPr>
        <w:t>TDF-FTC has caused renal toxicity and decreased bone mineral density</w:t>
      </w:r>
      <w:r w:rsidR="00E710C9">
        <w:rPr>
          <w:rFonts w:asciiTheme="majorHAnsi" w:hAnsiTheme="majorHAnsi" w:cs="PTSans-Bold"/>
          <w:color w:val="000000"/>
        </w:rPr>
        <w:t>,</w:t>
      </w:r>
      <w:r w:rsidR="00C35863" w:rsidRPr="00EC6FFC">
        <w:rPr>
          <w:rFonts w:asciiTheme="majorHAnsi" w:hAnsiTheme="majorHAnsi" w:cs="PTSans-Bold"/>
          <w:color w:val="000000"/>
        </w:rPr>
        <w:t xml:space="preserve"> when used by HIV-in</w:t>
      </w:r>
      <w:r w:rsidR="00C35863">
        <w:rPr>
          <w:rFonts w:asciiTheme="majorHAnsi" w:hAnsiTheme="majorHAnsi" w:cs="PTSans-Bold"/>
          <w:color w:val="000000"/>
        </w:rPr>
        <w:t>fected people for HIV treatment</w:t>
      </w:r>
      <w:r w:rsidR="00E710C9">
        <w:rPr>
          <w:rFonts w:asciiTheme="majorHAnsi" w:hAnsiTheme="majorHAnsi" w:cs="PTSans-Bold"/>
          <w:color w:val="000000"/>
        </w:rPr>
        <w:t>,</w:t>
      </w:r>
      <w:r w:rsidR="00C35863">
        <w:rPr>
          <w:rFonts w:asciiTheme="majorHAnsi" w:hAnsiTheme="majorHAnsi" w:cs="PTSans-Bold"/>
          <w:color w:val="000000"/>
        </w:rPr>
        <w:t xml:space="preserve"> </w:t>
      </w:r>
      <w:r w:rsidR="00C35863" w:rsidRPr="00EC6FFC">
        <w:rPr>
          <w:rFonts w:asciiTheme="majorHAnsi" w:hAnsiTheme="majorHAnsi" w:cs="PTSans-Bold"/>
          <w:color w:val="000000"/>
        </w:rPr>
        <w:t xml:space="preserve">and administered for months and years. </w:t>
      </w:r>
    </w:p>
    <w:p w14:paraId="6B3B9965" w14:textId="77777777" w:rsidR="00E710C9" w:rsidRDefault="00E710C9" w:rsidP="00C35863">
      <w:pPr>
        <w:widowControl w:val="0"/>
        <w:autoSpaceDE w:val="0"/>
        <w:autoSpaceDN w:val="0"/>
        <w:adjustRightInd w:val="0"/>
        <w:ind w:right="-270"/>
        <w:rPr>
          <w:rFonts w:asciiTheme="majorHAnsi" w:hAnsiTheme="majorHAnsi" w:cs="PTSans-Bold"/>
          <w:color w:val="000000"/>
        </w:rPr>
      </w:pPr>
    </w:p>
    <w:p w14:paraId="13C161AB" w14:textId="404DA26E" w:rsidR="00C35863" w:rsidRPr="00EC6FFC" w:rsidRDefault="00C35863" w:rsidP="00C35863">
      <w:pPr>
        <w:widowControl w:val="0"/>
        <w:autoSpaceDE w:val="0"/>
        <w:autoSpaceDN w:val="0"/>
        <w:adjustRightInd w:val="0"/>
        <w:ind w:right="-270"/>
        <w:rPr>
          <w:rFonts w:asciiTheme="majorHAnsi" w:hAnsiTheme="majorHAnsi" w:cs="PTSans-Bold"/>
          <w:color w:val="000000"/>
        </w:rPr>
      </w:pPr>
      <w:r w:rsidRPr="00EC6FFC">
        <w:rPr>
          <w:rFonts w:asciiTheme="majorHAnsi" w:hAnsiTheme="majorHAnsi" w:cs="PTSans-Bold"/>
          <w:color w:val="000000"/>
        </w:rPr>
        <w:t>PrEP is considered safe for women of childbearing age. Decisions about use during pregnancy must be individualized: while</w:t>
      </w:r>
      <w:r>
        <w:rPr>
          <w:rFonts w:asciiTheme="majorHAnsi" w:hAnsiTheme="majorHAnsi" w:cs="PTSans-Bold"/>
          <w:color w:val="000000"/>
        </w:rPr>
        <w:t xml:space="preserve"> </w:t>
      </w:r>
      <w:r w:rsidRPr="00EC6FFC">
        <w:rPr>
          <w:rFonts w:asciiTheme="majorHAnsi" w:hAnsiTheme="majorHAnsi" w:cs="PTSans-Bold"/>
          <w:color w:val="000000"/>
        </w:rPr>
        <w:t>available data suggest that TDF-FTC does not increase risk of birth defects, there are not enough data to exclude the possibility</w:t>
      </w:r>
      <w:r>
        <w:rPr>
          <w:rFonts w:asciiTheme="majorHAnsi" w:hAnsiTheme="majorHAnsi" w:cs="PTSans-Bold"/>
          <w:color w:val="000000"/>
        </w:rPr>
        <w:t xml:space="preserve"> </w:t>
      </w:r>
      <w:r w:rsidR="002C33FB">
        <w:rPr>
          <w:rFonts w:asciiTheme="majorHAnsi" w:hAnsiTheme="majorHAnsi" w:cs="PTSans-Bold"/>
          <w:color w:val="000000"/>
        </w:rPr>
        <w:t xml:space="preserve">of harm </w:t>
      </w:r>
      <w:r w:rsidRPr="00EC6FFC">
        <w:rPr>
          <w:rFonts w:asciiTheme="majorHAnsi" w:hAnsiTheme="majorHAnsi" w:cs="PTSans-Bold"/>
          <w:color w:val="000000"/>
        </w:rPr>
        <w:t xml:space="preserve">(TDF-FTC: Pregnancy Class </w:t>
      </w:r>
      <w:r w:rsidR="002C33FB" w:rsidRPr="002C33FB">
        <w:rPr>
          <w:rFonts w:asciiTheme="majorHAnsi" w:hAnsiTheme="majorHAnsi" w:cs="PTSans-Bold"/>
          <w:color w:val="000000"/>
        </w:rPr>
        <w:t>B</w:t>
      </w:r>
      <w:r w:rsidRPr="002C33FB">
        <w:rPr>
          <w:rFonts w:asciiTheme="majorHAnsi" w:hAnsiTheme="majorHAnsi" w:cs="PTSans-Bold"/>
          <w:color w:val="000000"/>
        </w:rPr>
        <w:t>)</w:t>
      </w:r>
      <w:r w:rsidR="002C33FB" w:rsidRPr="002C33FB">
        <w:rPr>
          <w:rFonts w:asciiTheme="majorHAnsi" w:hAnsiTheme="majorHAnsi" w:cs="PTSans-Bold"/>
          <w:color w:val="000000"/>
        </w:rPr>
        <w:t>.</w:t>
      </w:r>
      <w:r w:rsidRPr="00EC6FFC">
        <w:rPr>
          <w:rFonts w:asciiTheme="majorHAnsi" w:hAnsiTheme="majorHAnsi" w:cs="PTSans-Bold"/>
          <w:color w:val="000000"/>
        </w:rPr>
        <w:t xml:space="preserve"> PrEP is often used in pregnancy if the risk of ongoing HIV transmission is sufficiently</w:t>
      </w:r>
      <w:r>
        <w:rPr>
          <w:rFonts w:asciiTheme="majorHAnsi" w:hAnsiTheme="majorHAnsi" w:cs="PTSans-Bold"/>
          <w:color w:val="000000"/>
        </w:rPr>
        <w:t xml:space="preserve"> </w:t>
      </w:r>
      <w:r w:rsidRPr="00EC6FFC">
        <w:rPr>
          <w:rFonts w:asciiTheme="majorHAnsi" w:hAnsiTheme="majorHAnsi" w:cs="PTSans-Bold"/>
          <w:color w:val="000000"/>
        </w:rPr>
        <w:t>hi</w:t>
      </w:r>
      <w:r>
        <w:rPr>
          <w:rFonts w:asciiTheme="majorHAnsi" w:hAnsiTheme="majorHAnsi" w:cs="PTSans-Bold"/>
          <w:color w:val="000000"/>
        </w:rPr>
        <w:t xml:space="preserve">gh (such as in a serodiscordant </w:t>
      </w:r>
      <w:r w:rsidRPr="00EC6FFC">
        <w:rPr>
          <w:rFonts w:asciiTheme="majorHAnsi" w:hAnsiTheme="majorHAnsi" w:cs="PTSans-Bold"/>
          <w:color w:val="000000"/>
        </w:rPr>
        <w:t>partnership) and because pregnancy itself is associated with an increased risk of HIV acquisition.</w:t>
      </w:r>
      <w:r w:rsidR="008F3A80">
        <w:rPr>
          <w:rFonts w:asciiTheme="majorHAnsi" w:hAnsiTheme="majorHAnsi" w:cs="PTSans-Bold"/>
          <w:color w:val="000000"/>
        </w:rPr>
        <w:t xml:space="preserve"> </w:t>
      </w:r>
    </w:p>
    <w:p w14:paraId="6368C67A" w14:textId="77777777" w:rsidR="00C35863" w:rsidRDefault="00C35863" w:rsidP="00C35863">
      <w:pPr>
        <w:rPr>
          <w:rFonts w:asciiTheme="majorHAnsi" w:hAnsiTheme="majorHAnsi" w:cs="PTSans-Bold"/>
          <w:bCs/>
        </w:rPr>
      </w:pPr>
    </w:p>
    <w:p w14:paraId="365B6102" w14:textId="503BF289" w:rsidR="00C35863" w:rsidRDefault="00C35863" w:rsidP="00A40CCD">
      <w:pPr>
        <w:widowControl w:val="0"/>
        <w:autoSpaceDE w:val="0"/>
        <w:autoSpaceDN w:val="0"/>
        <w:adjustRightInd w:val="0"/>
        <w:ind w:right="-360"/>
        <w:rPr>
          <w:rFonts w:asciiTheme="majorHAnsi" w:hAnsiTheme="majorHAnsi" w:cs="PTSans-Bold"/>
          <w:color w:val="000000"/>
        </w:rPr>
      </w:pPr>
      <w:r w:rsidRPr="00EC6FFC">
        <w:rPr>
          <w:rFonts w:asciiTheme="majorHAnsi" w:hAnsiTheme="majorHAnsi" w:cs="PTSans-Bold"/>
          <w:color w:val="000000"/>
        </w:rPr>
        <w:t xml:space="preserve">Since TDF-FTC is actively eliminated by the kidneys, it should be </w:t>
      </w:r>
      <w:r w:rsidRPr="00264131">
        <w:rPr>
          <w:rFonts w:asciiTheme="majorHAnsi" w:hAnsiTheme="majorHAnsi" w:cs="PTSans-Bold"/>
          <w:color w:val="000000"/>
        </w:rPr>
        <w:t>co</w:t>
      </w:r>
      <w:r w:rsidR="00E710C9" w:rsidRPr="00264131">
        <w:rPr>
          <w:rFonts w:asciiTheme="majorHAnsi" w:hAnsiTheme="majorHAnsi" w:cs="PTSans-Bold"/>
          <w:color w:val="000000"/>
        </w:rPr>
        <w:t>-</w:t>
      </w:r>
      <w:r w:rsidRPr="00264131">
        <w:rPr>
          <w:rFonts w:asciiTheme="majorHAnsi" w:hAnsiTheme="majorHAnsi" w:cs="PTSans-Bold"/>
          <w:color w:val="000000"/>
        </w:rPr>
        <w:t>administered</w:t>
      </w:r>
      <w:r w:rsidRPr="00EC6FFC">
        <w:rPr>
          <w:rFonts w:asciiTheme="majorHAnsi" w:hAnsiTheme="majorHAnsi" w:cs="PTSans-Bold"/>
          <w:color w:val="000000"/>
        </w:rPr>
        <w:t xml:space="preserve"> with care in patients taking medications</w:t>
      </w:r>
      <w:r>
        <w:rPr>
          <w:rFonts w:asciiTheme="majorHAnsi" w:hAnsiTheme="majorHAnsi" w:cs="PTSans-Bold"/>
          <w:color w:val="000000"/>
        </w:rPr>
        <w:t xml:space="preserve"> </w:t>
      </w:r>
      <w:r w:rsidRPr="00EC6FFC">
        <w:rPr>
          <w:rFonts w:asciiTheme="majorHAnsi" w:hAnsiTheme="majorHAnsi" w:cs="PTSans-Bold"/>
          <w:color w:val="000000"/>
        </w:rPr>
        <w:t xml:space="preserve">that are eliminated by </w:t>
      </w:r>
      <w:r>
        <w:rPr>
          <w:rFonts w:asciiTheme="majorHAnsi" w:hAnsiTheme="majorHAnsi" w:cs="PTSans-Bold"/>
          <w:color w:val="000000"/>
        </w:rPr>
        <w:t>active tubular secretion (e.g.,</w:t>
      </w:r>
      <w:r w:rsidR="00DE5AF9">
        <w:rPr>
          <w:rFonts w:asciiTheme="majorHAnsi" w:hAnsiTheme="majorHAnsi" w:cs="PTSans-Bold"/>
          <w:color w:val="000000"/>
        </w:rPr>
        <w:t xml:space="preserve"> </w:t>
      </w:r>
      <w:r w:rsidRPr="00EC6FFC">
        <w:rPr>
          <w:rFonts w:asciiTheme="majorHAnsi" w:hAnsiTheme="majorHAnsi" w:cs="PTSans-Bold"/>
          <w:color w:val="000000"/>
        </w:rPr>
        <w:t>acyclovir, adefovir dipivoxil, cidofovir, ganciclovir, valacyclovir,</w:t>
      </w:r>
      <w:r>
        <w:rPr>
          <w:rFonts w:asciiTheme="majorHAnsi" w:hAnsiTheme="majorHAnsi" w:cs="PTSans-Bold"/>
          <w:color w:val="000000"/>
        </w:rPr>
        <w:t xml:space="preserve"> </w:t>
      </w:r>
      <w:r w:rsidRPr="00EC6FFC">
        <w:rPr>
          <w:rFonts w:asciiTheme="majorHAnsi" w:hAnsiTheme="majorHAnsi" w:cs="PTSans-Bold"/>
          <w:color w:val="000000"/>
        </w:rPr>
        <w:t>valgancic</w:t>
      </w:r>
      <w:r>
        <w:rPr>
          <w:rFonts w:asciiTheme="majorHAnsi" w:hAnsiTheme="majorHAnsi" w:cs="PTSans-Bold"/>
          <w:color w:val="000000"/>
        </w:rPr>
        <w:t xml:space="preserve">lovir, </w:t>
      </w:r>
      <w:r w:rsidRPr="00EC6FFC">
        <w:rPr>
          <w:rFonts w:asciiTheme="majorHAnsi" w:hAnsiTheme="majorHAnsi" w:cs="PTSans-Bold"/>
          <w:color w:val="000000"/>
        </w:rPr>
        <w:t>aminoglycosides</w:t>
      </w:r>
      <w:r w:rsidR="00DE5AF9">
        <w:rPr>
          <w:rFonts w:asciiTheme="majorHAnsi" w:hAnsiTheme="majorHAnsi" w:cs="PTSans-Bold"/>
          <w:color w:val="000000"/>
        </w:rPr>
        <w:t>,</w:t>
      </w:r>
      <w:r w:rsidRPr="00EC6FFC">
        <w:rPr>
          <w:rFonts w:asciiTheme="majorHAnsi" w:hAnsiTheme="majorHAnsi" w:cs="PTSans-Bold"/>
          <w:color w:val="000000"/>
        </w:rPr>
        <w:t xml:space="preserve"> and high-dose or multiple NSAIDs). Drugs that decrease renal function may also increase</w:t>
      </w:r>
      <w:r w:rsidR="00A40CCD">
        <w:rPr>
          <w:rFonts w:asciiTheme="majorHAnsi" w:hAnsiTheme="majorHAnsi" w:cs="PTSans-Bold"/>
          <w:color w:val="000000"/>
        </w:rPr>
        <w:t xml:space="preserve"> </w:t>
      </w:r>
      <w:r w:rsidRPr="00EC6FFC">
        <w:rPr>
          <w:rFonts w:asciiTheme="majorHAnsi" w:hAnsiTheme="majorHAnsi" w:cs="PTSans-Bold"/>
          <w:color w:val="000000"/>
        </w:rPr>
        <w:t>concentrations of TDF-FTC.</w:t>
      </w:r>
    </w:p>
    <w:p w14:paraId="5F74E307" w14:textId="77777777" w:rsidR="009D6077" w:rsidRDefault="009D6077" w:rsidP="00A40CCD">
      <w:pPr>
        <w:widowControl w:val="0"/>
        <w:autoSpaceDE w:val="0"/>
        <w:autoSpaceDN w:val="0"/>
        <w:adjustRightInd w:val="0"/>
        <w:ind w:right="-360"/>
        <w:rPr>
          <w:rFonts w:asciiTheme="majorHAnsi" w:hAnsiTheme="majorHAnsi" w:cs="PTSans-Bold"/>
          <w:color w:val="000000"/>
        </w:rPr>
      </w:pPr>
    </w:p>
    <w:p w14:paraId="448C51FC" w14:textId="77777777" w:rsidR="00F81D0D" w:rsidRPr="00F81D0D" w:rsidRDefault="00F81D0D" w:rsidP="00F81D0D">
      <w:pPr>
        <w:pBdr>
          <w:bottom w:val="single" w:sz="12" w:space="1" w:color="auto"/>
        </w:pBdr>
        <w:rPr>
          <w:rFonts w:asciiTheme="majorHAnsi" w:hAnsiTheme="majorHAnsi" w:cs="PTSans-Bold"/>
          <w:bCs/>
          <w:sz w:val="12"/>
          <w:szCs w:val="12"/>
        </w:rPr>
      </w:pPr>
    </w:p>
    <w:p w14:paraId="395B500D" w14:textId="77777777" w:rsidR="00F81D0D" w:rsidRPr="00F81D0D" w:rsidRDefault="00F81D0D" w:rsidP="00F81D0D">
      <w:pPr>
        <w:widowControl w:val="0"/>
        <w:autoSpaceDE w:val="0"/>
        <w:autoSpaceDN w:val="0"/>
        <w:adjustRightInd w:val="0"/>
        <w:rPr>
          <w:rFonts w:asciiTheme="majorHAnsi" w:hAnsiTheme="majorHAnsi" w:cs="PTSans-Bold"/>
          <w:b/>
          <w:bCs/>
          <w:sz w:val="12"/>
          <w:szCs w:val="12"/>
        </w:rPr>
      </w:pPr>
    </w:p>
    <w:p w14:paraId="0B5B95E1" w14:textId="31DCC6A9" w:rsidR="00A5150F" w:rsidRDefault="00C35863" w:rsidP="001919D9">
      <w:pPr>
        <w:widowControl w:val="0"/>
        <w:autoSpaceDE w:val="0"/>
        <w:autoSpaceDN w:val="0"/>
        <w:adjustRightInd w:val="0"/>
        <w:rPr>
          <w:rFonts w:asciiTheme="majorHAnsi" w:hAnsiTheme="majorHAnsi" w:cs="PTSans-Bold"/>
          <w:color w:val="000000"/>
        </w:rPr>
      </w:pPr>
      <w:r w:rsidRPr="00D34532">
        <w:rPr>
          <w:rFonts w:asciiTheme="majorHAnsi" w:hAnsiTheme="majorHAnsi" w:cs="PTSans-Bold"/>
          <w:b/>
          <w:bCs/>
        </w:rPr>
        <w:t>8. Who is not eligible for PrEP?</w:t>
      </w:r>
    </w:p>
    <w:p w14:paraId="321A32E4" w14:textId="77777777" w:rsidR="00C35863" w:rsidRDefault="00C35863" w:rsidP="00E710C9">
      <w:pPr>
        <w:widowControl w:val="0"/>
        <w:autoSpaceDE w:val="0"/>
        <w:autoSpaceDN w:val="0"/>
        <w:adjustRightInd w:val="0"/>
        <w:ind w:left="270"/>
        <w:rPr>
          <w:rFonts w:asciiTheme="majorHAnsi" w:hAnsiTheme="majorHAnsi" w:cs="PTSans-Bold"/>
          <w:color w:val="000000"/>
        </w:rPr>
      </w:pPr>
      <w:r w:rsidRPr="00EC6FFC">
        <w:rPr>
          <w:rFonts w:asciiTheme="majorHAnsi" w:hAnsiTheme="majorHAnsi" w:cs="PTSans-Bold"/>
          <w:color w:val="000000"/>
        </w:rPr>
        <w:t xml:space="preserve">1. </w:t>
      </w:r>
      <w:r w:rsidRPr="00EC6FFC">
        <w:rPr>
          <w:rFonts w:asciiTheme="majorHAnsi" w:hAnsiTheme="majorHAnsi" w:cs="PTSans-Bold"/>
          <w:b/>
          <w:bCs/>
          <w:color w:val="000000"/>
        </w:rPr>
        <w:t xml:space="preserve">HIV-positive people. </w:t>
      </w:r>
      <w:r w:rsidRPr="00EC6FFC">
        <w:rPr>
          <w:rFonts w:asciiTheme="majorHAnsi" w:hAnsiTheme="majorHAnsi" w:cs="PTSans-Bold"/>
          <w:color w:val="000000"/>
        </w:rPr>
        <w:t>Individuals must be confirmed as HIV-negative before initiatin</w:t>
      </w:r>
      <w:r>
        <w:rPr>
          <w:rFonts w:asciiTheme="majorHAnsi" w:hAnsiTheme="majorHAnsi" w:cs="PTSans-Bold"/>
          <w:color w:val="000000"/>
        </w:rPr>
        <w:t xml:space="preserve">g </w:t>
      </w:r>
      <w:r w:rsidRPr="00EC6FFC">
        <w:rPr>
          <w:rFonts w:asciiTheme="majorHAnsi" w:hAnsiTheme="majorHAnsi" w:cs="PTSans-Bold"/>
          <w:color w:val="000000"/>
        </w:rPr>
        <w:t>PrEP. Excluding those with acute HIV</w:t>
      </w:r>
      <w:r>
        <w:rPr>
          <w:rFonts w:asciiTheme="majorHAnsi" w:hAnsiTheme="majorHAnsi" w:cs="PTSans-Bold"/>
          <w:color w:val="000000"/>
        </w:rPr>
        <w:t xml:space="preserve"> </w:t>
      </w:r>
      <w:r w:rsidRPr="00EC6FFC">
        <w:rPr>
          <w:rFonts w:asciiTheme="majorHAnsi" w:hAnsiTheme="majorHAnsi" w:cs="PTSans-Bold"/>
          <w:color w:val="000000"/>
        </w:rPr>
        <w:t>infection is critically important, as there is a risk of developing resistant HIV if they are inadvertently started on TDF-FTC as</w:t>
      </w:r>
      <w:r>
        <w:rPr>
          <w:rFonts w:asciiTheme="majorHAnsi" w:hAnsiTheme="majorHAnsi" w:cs="PTSans-Bold"/>
          <w:color w:val="000000"/>
        </w:rPr>
        <w:t xml:space="preserve"> </w:t>
      </w:r>
      <w:r w:rsidRPr="00EC6FFC">
        <w:rPr>
          <w:rFonts w:asciiTheme="majorHAnsi" w:hAnsiTheme="majorHAnsi" w:cs="PTSans-Bold"/>
          <w:color w:val="000000"/>
        </w:rPr>
        <w:t>PrEP. (TDF-FTC is an appropriate component of a regimen to treat HIV, but must be combined with an additional agent from</w:t>
      </w:r>
      <w:r>
        <w:rPr>
          <w:rFonts w:asciiTheme="majorHAnsi" w:hAnsiTheme="majorHAnsi" w:cs="PTSans-Bold"/>
          <w:color w:val="000000"/>
        </w:rPr>
        <w:t xml:space="preserve"> </w:t>
      </w:r>
      <w:r w:rsidRPr="00EC6FFC">
        <w:rPr>
          <w:rFonts w:asciiTheme="majorHAnsi" w:hAnsiTheme="majorHAnsi" w:cs="PTSans-Bold"/>
          <w:color w:val="000000"/>
        </w:rPr>
        <w:t>another class of antiretrovirals to provide effective treatment.)</w:t>
      </w:r>
    </w:p>
    <w:p w14:paraId="321F3377" w14:textId="77777777" w:rsidR="00C35863" w:rsidRPr="00EC6FFC" w:rsidRDefault="00C35863" w:rsidP="00C35863">
      <w:pPr>
        <w:widowControl w:val="0"/>
        <w:autoSpaceDE w:val="0"/>
        <w:autoSpaceDN w:val="0"/>
        <w:adjustRightInd w:val="0"/>
        <w:rPr>
          <w:rFonts w:asciiTheme="majorHAnsi" w:hAnsiTheme="majorHAnsi" w:cs="PTSans-Bold"/>
          <w:color w:val="000000"/>
        </w:rPr>
      </w:pPr>
    </w:p>
    <w:p w14:paraId="72061F83" w14:textId="3B9ED3C8" w:rsidR="00C35863" w:rsidRDefault="00C35863" w:rsidP="00E710C9">
      <w:pPr>
        <w:widowControl w:val="0"/>
        <w:autoSpaceDE w:val="0"/>
        <w:autoSpaceDN w:val="0"/>
        <w:adjustRightInd w:val="0"/>
        <w:ind w:left="270"/>
        <w:rPr>
          <w:rFonts w:asciiTheme="majorHAnsi" w:hAnsiTheme="majorHAnsi" w:cs="PTSans-Bold"/>
          <w:color w:val="000000"/>
        </w:rPr>
      </w:pPr>
      <w:r w:rsidRPr="00EC6FFC">
        <w:rPr>
          <w:rFonts w:asciiTheme="majorHAnsi" w:hAnsiTheme="majorHAnsi" w:cs="PTSans-Bold"/>
          <w:color w:val="000000"/>
        </w:rPr>
        <w:t xml:space="preserve">2. </w:t>
      </w:r>
      <w:r w:rsidRPr="00EC6FFC">
        <w:rPr>
          <w:rFonts w:asciiTheme="majorHAnsi" w:hAnsiTheme="majorHAnsi" w:cs="PTSans-Bold"/>
          <w:b/>
          <w:bCs/>
          <w:color w:val="000000"/>
        </w:rPr>
        <w:t xml:space="preserve">People with renal insufficiency. </w:t>
      </w:r>
      <w:r w:rsidRPr="00EC6FFC">
        <w:rPr>
          <w:rFonts w:asciiTheme="majorHAnsi" w:hAnsiTheme="majorHAnsi" w:cs="PTSans-Bold"/>
          <w:color w:val="000000"/>
        </w:rPr>
        <w:t>Providers sh</w:t>
      </w:r>
      <w:r w:rsidR="00A40CCD">
        <w:rPr>
          <w:rFonts w:asciiTheme="majorHAnsi" w:hAnsiTheme="majorHAnsi" w:cs="PTSans-Bold"/>
          <w:color w:val="000000"/>
        </w:rPr>
        <w:t xml:space="preserve">ould confirm that the patient’s </w:t>
      </w:r>
      <w:r w:rsidRPr="00EC6FFC">
        <w:rPr>
          <w:rFonts w:asciiTheme="majorHAnsi" w:hAnsiTheme="majorHAnsi" w:cs="PTSans-Bold"/>
          <w:color w:val="000000"/>
        </w:rPr>
        <w:t>calculated creatinine clearance is ≥60 mL/minute</w:t>
      </w:r>
      <w:r>
        <w:rPr>
          <w:rFonts w:asciiTheme="majorHAnsi" w:hAnsiTheme="majorHAnsi" w:cs="PTSans-Bold"/>
          <w:color w:val="000000"/>
        </w:rPr>
        <w:t xml:space="preserve"> </w:t>
      </w:r>
      <w:r w:rsidRPr="00EC6FFC">
        <w:rPr>
          <w:rFonts w:asciiTheme="majorHAnsi" w:hAnsiTheme="majorHAnsi" w:cs="PTSans-Bold"/>
          <w:color w:val="000000"/>
        </w:rPr>
        <w:t>(Cockcroft-Gault formula) before initiating PrEP.</w:t>
      </w:r>
    </w:p>
    <w:p w14:paraId="6FF3E923" w14:textId="77777777" w:rsidR="00C35863" w:rsidRPr="00EC6FFC" w:rsidRDefault="00C35863" w:rsidP="00C35863">
      <w:pPr>
        <w:widowControl w:val="0"/>
        <w:autoSpaceDE w:val="0"/>
        <w:autoSpaceDN w:val="0"/>
        <w:adjustRightInd w:val="0"/>
        <w:ind w:left="720"/>
        <w:rPr>
          <w:rFonts w:asciiTheme="majorHAnsi" w:hAnsiTheme="majorHAnsi" w:cs="PTSans-Bold"/>
          <w:color w:val="000000"/>
        </w:rPr>
      </w:pPr>
    </w:p>
    <w:p w14:paraId="7B43C9FD" w14:textId="77777777" w:rsidR="00C35863" w:rsidRDefault="00C35863" w:rsidP="00C35863">
      <w:pPr>
        <w:widowControl w:val="0"/>
        <w:autoSpaceDE w:val="0"/>
        <w:autoSpaceDN w:val="0"/>
        <w:adjustRightInd w:val="0"/>
        <w:rPr>
          <w:rFonts w:asciiTheme="majorHAnsi" w:hAnsiTheme="majorHAnsi" w:cs="PTSans-Bold"/>
          <w:color w:val="000000"/>
        </w:rPr>
      </w:pPr>
      <w:r w:rsidRPr="00EC6FFC">
        <w:rPr>
          <w:rFonts w:asciiTheme="majorHAnsi" w:hAnsiTheme="majorHAnsi" w:cs="PTSans-Bold"/>
          <w:color w:val="000000"/>
        </w:rPr>
        <w:t>Additionally, those who indicate that they are not ready to adhere to daily oral TDF-FTC shoul</w:t>
      </w:r>
      <w:r>
        <w:rPr>
          <w:rFonts w:asciiTheme="majorHAnsi" w:hAnsiTheme="majorHAnsi" w:cs="PTSans-Bold"/>
          <w:color w:val="000000"/>
        </w:rPr>
        <w:t xml:space="preserve">d not be prescribed PrEP (since </w:t>
      </w:r>
      <w:r w:rsidRPr="00EC6FFC">
        <w:rPr>
          <w:rFonts w:asciiTheme="majorHAnsi" w:hAnsiTheme="majorHAnsi" w:cs="PTSans-Bold"/>
          <w:color w:val="000000"/>
        </w:rPr>
        <w:t>efficacy is extremely limited when patients do not adhere, as described above).</w:t>
      </w:r>
    </w:p>
    <w:p w14:paraId="1A27F018" w14:textId="77777777" w:rsidR="009D6077" w:rsidRDefault="009D6077" w:rsidP="00C35863">
      <w:pPr>
        <w:widowControl w:val="0"/>
        <w:autoSpaceDE w:val="0"/>
        <w:autoSpaceDN w:val="0"/>
        <w:adjustRightInd w:val="0"/>
        <w:rPr>
          <w:rFonts w:asciiTheme="majorHAnsi" w:hAnsiTheme="majorHAnsi" w:cs="PTSans-Bold"/>
          <w:color w:val="000000"/>
        </w:rPr>
      </w:pPr>
    </w:p>
    <w:p w14:paraId="72A8ECDD" w14:textId="77777777" w:rsidR="00C35863" w:rsidRPr="00F81D0D" w:rsidRDefault="00C35863" w:rsidP="00C35863">
      <w:pPr>
        <w:widowControl w:val="0"/>
        <w:pBdr>
          <w:bottom w:val="single" w:sz="12" w:space="1" w:color="auto"/>
        </w:pBdr>
        <w:autoSpaceDE w:val="0"/>
        <w:autoSpaceDN w:val="0"/>
        <w:adjustRightInd w:val="0"/>
        <w:rPr>
          <w:rFonts w:asciiTheme="majorHAnsi" w:hAnsiTheme="majorHAnsi" w:cs="PTSans-Bold"/>
          <w:color w:val="000000"/>
          <w:sz w:val="12"/>
          <w:szCs w:val="12"/>
        </w:rPr>
      </w:pPr>
    </w:p>
    <w:p w14:paraId="7A4B647F" w14:textId="77777777" w:rsidR="00F81D0D" w:rsidRPr="00F81D0D" w:rsidRDefault="00F81D0D" w:rsidP="00F81D0D">
      <w:pPr>
        <w:widowControl w:val="0"/>
        <w:autoSpaceDE w:val="0"/>
        <w:autoSpaceDN w:val="0"/>
        <w:adjustRightInd w:val="0"/>
        <w:rPr>
          <w:rFonts w:asciiTheme="majorHAnsi" w:hAnsiTheme="majorHAnsi" w:cs="PTSans-Bold"/>
          <w:b/>
          <w:bCs/>
          <w:sz w:val="12"/>
          <w:szCs w:val="12"/>
        </w:rPr>
      </w:pPr>
    </w:p>
    <w:p w14:paraId="178B2444" w14:textId="266FE341" w:rsidR="009C6CAF" w:rsidRPr="009D7F7C" w:rsidRDefault="00C35863" w:rsidP="00C35863">
      <w:pPr>
        <w:widowControl w:val="0"/>
        <w:autoSpaceDE w:val="0"/>
        <w:autoSpaceDN w:val="0"/>
        <w:adjustRightInd w:val="0"/>
        <w:rPr>
          <w:rFonts w:asciiTheme="majorHAnsi" w:hAnsiTheme="majorHAnsi" w:cs="PTSans-Bold"/>
          <w:b/>
          <w:bCs/>
        </w:rPr>
      </w:pPr>
      <w:r w:rsidRPr="00D34532">
        <w:rPr>
          <w:rFonts w:asciiTheme="majorHAnsi" w:hAnsiTheme="majorHAnsi" w:cs="PTSans-Bold"/>
          <w:b/>
          <w:bCs/>
        </w:rPr>
        <w:t xml:space="preserve">9. </w:t>
      </w:r>
      <w:commentRangeStart w:id="1"/>
      <w:r w:rsidRPr="00D34532">
        <w:rPr>
          <w:rFonts w:asciiTheme="majorHAnsi" w:hAnsiTheme="majorHAnsi" w:cs="PTSans-Bold"/>
          <w:b/>
          <w:bCs/>
        </w:rPr>
        <w:t>Does PrEP work in women?</w:t>
      </w:r>
      <w:commentRangeEnd w:id="1"/>
      <w:r w:rsidR="00000DD5">
        <w:rPr>
          <w:rStyle w:val="CommentReference"/>
        </w:rPr>
        <w:commentReference w:id="1"/>
      </w:r>
    </w:p>
    <w:p w14:paraId="0A8772D9" w14:textId="1B7CE90D" w:rsidR="00C35863" w:rsidRDefault="00C35863" w:rsidP="00264131">
      <w:pPr>
        <w:widowControl w:val="0"/>
        <w:autoSpaceDE w:val="0"/>
        <w:autoSpaceDN w:val="0"/>
        <w:adjustRightInd w:val="0"/>
        <w:rPr>
          <w:rFonts w:asciiTheme="majorHAnsi" w:hAnsiTheme="majorHAnsi" w:cs="PTSans-Bold"/>
          <w:color w:val="000000"/>
        </w:rPr>
      </w:pPr>
      <w:r w:rsidRPr="00EC6FFC">
        <w:rPr>
          <w:rFonts w:asciiTheme="majorHAnsi" w:hAnsiTheme="majorHAnsi" w:cs="PTSans-Bold"/>
          <w:color w:val="000000"/>
        </w:rPr>
        <w:t>Two trials of PrEP in women were stopped early for futility by their respective data safety and monitoring boards</w:t>
      </w:r>
      <w:r w:rsidR="005C01D8">
        <w:rPr>
          <w:rFonts w:asciiTheme="majorHAnsi" w:hAnsiTheme="majorHAnsi" w:cs="PTSans-Bold"/>
          <w:color w:val="000000"/>
        </w:rPr>
        <w:t>.</w:t>
      </w:r>
      <w:commentRangeStart w:id="2"/>
      <w:r w:rsidRPr="00732575">
        <w:rPr>
          <w:rFonts w:asciiTheme="majorHAnsi" w:hAnsiTheme="majorHAnsi" w:cs="PTSans-Bold"/>
          <w:color w:val="000000"/>
          <w:vertAlign w:val="superscript"/>
        </w:rPr>
        <w:t>[9,10]</w:t>
      </w:r>
      <w:commentRangeEnd w:id="2"/>
      <w:r w:rsidR="00161282">
        <w:rPr>
          <w:rStyle w:val="CommentReference"/>
        </w:rPr>
        <w:commentReference w:id="2"/>
      </w:r>
      <w:r>
        <w:rPr>
          <w:rFonts w:asciiTheme="majorHAnsi" w:hAnsiTheme="majorHAnsi" w:cs="PTSans-Bold"/>
          <w:color w:val="000000"/>
        </w:rPr>
        <w:t xml:space="preserve"> </w:t>
      </w:r>
      <w:r w:rsidRPr="00EC6FFC">
        <w:rPr>
          <w:rFonts w:asciiTheme="majorHAnsi" w:hAnsiTheme="majorHAnsi" w:cs="PTSans-Bold"/>
          <w:color w:val="000000"/>
        </w:rPr>
        <w:t>A determination of futility is made when it appears that no evidence of efficacy would be found in the future based on the</w:t>
      </w:r>
      <w:r>
        <w:rPr>
          <w:rFonts w:asciiTheme="majorHAnsi" w:hAnsiTheme="majorHAnsi" w:cs="PTSans-Bold"/>
          <w:color w:val="000000"/>
        </w:rPr>
        <w:t xml:space="preserve"> </w:t>
      </w:r>
      <w:r w:rsidRPr="00EC6FFC">
        <w:rPr>
          <w:rFonts w:asciiTheme="majorHAnsi" w:hAnsiTheme="majorHAnsi" w:cs="PTSans-Bold"/>
          <w:color w:val="000000"/>
        </w:rPr>
        <w:t>results collected up to that point. Although one study’s results h</w:t>
      </w:r>
      <w:r>
        <w:rPr>
          <w:rFonts w:asciiTheme="majorHAnsi" w:hAnsiTheme="majorHAnsi" w:cs="PTSans-Bold"/>
          <w:color w:val="000000"/>
        </w:rPr>
        <w:t xml:space="preserve">ave not yet been published, low </w:t>
      </w:r>
      <w:r w:rsidRPr="00EC6FFC">
        <w:rPr>
          <w:rFonts w:asciiTheme="majorHAnsi" w:hAnsiTheme="majorHAnsi" w:cs="PTSans-Bold"/>
          <w:color w:val="000000"/>
        </w:rPr>
        <w:t>adherence among the</w:t>
      </w:r>
      <w:r>
        <w:rPr>
          <w:rFonts w:asciiTheme="majorHAnsi" w:hAnsiTheme="majorHAnsi" w:cs="PTSans-Bold"/>
          <w:color w:val="000000"/>
        </w:rPr>
        <w:t xml:space="preserve"> </w:t>
      </w:r>
      <w:r w:rsidRPr="00EC6FFC">
        <w:rPr>
          <w:rFonts w:asciiTheme="majorHAnsi" w:hAnsiTheme="majorHAnsi" w:cs="PTSans-Bold"/>
          <w:color w:val="000000"/>
        </w:rPr>
        <w:t>participants was thought to be a substantial factor in the futility finding. Other studies that included both men and women</w:t>
      </w:r>
      <w:r>
        <w:rPr>
          <w:rFonts w:asciiTheme="majorHAnsi" w:hAnsiTheme="majorHAnsi" w:cs="PTSans-Bold"/>
          <w:color w:val="000000"/>
        </w:rPr>
        <w:t xml:space="preserve"> </w:t>
      </w:r>
      <w:r w:rsidRPr="00EC6FFC">
        <w:rPr>
          <w:rFonts w:asciiTheme="majorHAnsi" w:hAnsiTheme="majorHAnsi" w:cs="PTSans-Bold"/>
          <w:color w:val="000000"/>
        </w:rPr>
        <w:t xml:space="preserve">(TDF-2, Partners PrEP) in </w:t>
      </w:r>
      <w:r w:rsidR="00264131">
        <w:rPr>
          <w:rFonts w:asciiTheme="majorHAnsi" w:hAnsiTheme="majorHAnsi" w:cs="PTSans-Bold"/>
          <w:color w:val="000000"/>
        </w:rPr>
        <w:t>whom</w:t>
      </w:r>
      <w:r w:rsidRPr="00EC6FFC">
        <w:rPr>
          <w:rFonts w:asciiTheme="majorHAnsi" w:hAnsiTheme="majorHAnsi" w:cs="PTSans-Bold"/>
          <w:color w:val="000000"/>
        </w:rPr>
        <w:t xml:space="preserve"> higher levels of adherence were achieved did show efficacy among women. Therefore,</w:t>
      </w:r>
      <w:r>
        <w:rPr>
          <w:rFonts w:asciiTheme="majorHAnsi" w:hAnsiTheme="majorHAnsi" w:cs="PTSans-Bold"/>
          <w:color w:val="000000"/>
        </w:rPr>
        <w:t xml:space="preserve"> </w:t>
      </w:r>
      <w:r w:rsidRPr="00EC6FFC">
        <w:rPr>
          <w:rFonts w:asciiTheme="majorHAnsi" w:hAnsiTheme="majorHAnsi" w:cs="PTSans-Bold"/>
          <w:color w:val="000000"/>
        </w:rPr>
        <w:t>curr</w:t>
      </w:r>
      <w:r w:rsidR="00264131">
        <w:rPr>
          <w:rFonts w:asciiTheme="majorHAnsi" w:hAnsiTheme="majorHAnsi" w:cs="PTSans-Bold"/>
          <w:color w:val="000000"/>
        </w:rPr>
        <w:t>ent recommendations include wome</w:t>
      </w:r>
      <w:r w:rsidRPr="00EC6FFC">
        <w:rPr>
          <w:rFonts w:asciiTheme="majorHAnsi" w:hAnsiTheme="majorHAnsi" w:cs="PTSans-Bold"/>
          <w:color w:val="000000"/>
        </w:rPr>
        <w:t>n as candidates for PrEP.</w:t>
      </w:r>
    </w:p>
    <w:p w14:paraId="094DAD67" w14:textId="77777777" w:rsidR="00C35863" w:rsidRPr="00F81D0D" w:rsidRDefault="00C35863" w:rsidP="00C35863">
      <w:pPr>
        <w:widowControl w:val="0"/>
        <w:pBdr>
          <w:bottom w:val="single" w:sz="12" w:space="1" w:color="auto"/>
        </w:pBdr>
        <w:autoSpaceDE w:val="0"/>
        <w:autoSpaceDN w:val="0"/>
        <w:adjustRightInd w:val="0"/>
        <w:rPr>
          <w:rFonts w:asciiTheme="majorHAnsi" w:hAnsiTheme="majorHAnsi" w:cs="PTSans-Bold"/>
          <w:color w:val="000000"/>
          <w:sz w:val="12"/>
          <w:szCs w:val="12"/>
        </w:rPr>
      </w:pPr>
    </w:p>
    <w:p w14:paraId="4014D565" w14:textId="77777777" w:rsidR="00F81D0D" w:rsidRPr="00F81D0D" w:rsidRDefault="00F81D0D" w:rsidP="00F81D0D">
      <w:pPr>
        <w:widowControl w:val="0"/>
        <w:autoSpaceDE w:val="0"/>
        <w:autoSpaceDN w:val="0"/>
        <w:adjustRightInd w:val="0"/>
        <w:rPr>
          <w:rFonts w:asciiTheme="majorHAnsi" w:hAnsiTheme="majorHAnsi" w:cs="PTSans-Bold"/>
          <w:b/>
          <w:bCs/>
          <w:sz w:val="12"/>
          <w:szCs w:val="12"/>
        </w:rPr>
      </w:pPr>
    </w:p>
    <w:p w14:paraId="2D6DEE03" w14:textId="77777777" w:rsidR="009D7F7C" w:rsidRDefault="009D7F7C" w:rsidP="00C35863">
      <w:pPr>
        <w:widowControl w:val="0"/>
        <w:autoSpaceDE w:val="0"/>
        <w:autoSpaceDN w:val="0"/>
        <w:adjustRightInd w:val="0"/>
        <w:rPr>
          <w:rFonts w:asciiTheme="majorHAnsi" w:hAnsiTheme="majorHAnsi" w:cs="PTSans-Bold"/>
          <w:b/>
          <w:bCs/>
        </w:rPr>
      </w:pPr>
    </w:p>
    <w:p w14:paraId="1C21117F" w14:textId="77777777" w:rsidR="00684901" w:rsidRDefault="00684901">
      <w:pPr>
        <w:rPr>
          <w:rFonts w:asciiTheme="majorHAnsi" w:hAnsiTheme="majorHAnsi" w:cs="PTSans-Bold"/>
          <w:b/>
          <w:bCs/>
        </w:rPr>
      </w:pPr>
      <w:r>
        <w:rPr>
          <w:rFonts w:asciiTheme="majorHAnsi" w:hAnsiTheme="majorHAnsi" w:cs="PTSans-Bold"/>
          <w:b/>
          <w:bCs/>
        </w:rPr>
        <w:br w:type="page"/>
      </w:r>
    </w:p>
    <w:p w14:paraId="594387B8" w14:textId="1D568B0C" w:rsidR="00C35863" w:rsidRPr="00D34532" w:rsidRDefault="00C35863" w:rsidP="00C35863">
      <w:pPr>
        <w:widowControl w:val="0"/>
        <w:autoSpaceDE w:val="0"/>
        <w:autoSpaceDN w:val="0"/>
        <w:adjustRightInd w:val="0"/>
        <w:rPr>
          <w:rFonts w:asciiTheme="majorHAnsi" w:hAnsiTheme="majorHAnsi" w:cs="PTSans-Bold"/>
          <w:b/>
          <w:bCs/>
        </w:rPr>
      </w:pPr>
      <w:r w:rsidRPr="00D34532">
        <w:rPr>
          <w:rFonts w:asciiTheme="majorHAnsi" w:hAnsiTheme="majorHAnsi" w:cs="PTSans-Bold"/>
          <w:b/>
          <w:bCs/>
        </w:rPr>
        <w:lastRenderedPageBreak/>
        <w:t>10. What baseline assessment is required for individuals beginning PrEP?</w:t>
      </w:r>
    </w:p>
    <w:p w14:paraId="175228D3" w14:textId="707CCF8E" w:rsidR="00C35863" w:rsidRDefault="00C35863" w:rsidP="00D54F9B">
      <w:pPr>
        <w:widowControl w:val="0"/>
        <w:autoSpaceDE w:val="0"/>
        <w:autoSpaceDN w:val="0"/>
        <w:adjustRightInd w:val="0"/>
        <w:rPr>
          <w:rFonts w:asciiTheme="majorHAnsi" w:hAnsiTheme="majorHAnsi" w:cs="PTSans-Bold"/>
          <w:color w:val="000000"/>
        </w:rPr>
      </w:pPr>
      <w:r w:rsidRPr="00EC6FFC">
        <w:rPr>
          <w:rFonts w:asciiTheme="majorHAnsi" w:hAnsiTheme="majorHAnsi" w:cs="PTSans-Bold"/>
          <w:color w:val="000000"/>
        </w:rPr>
        <w:t xml:space="preserve">The most important aspect of the baseline assessment is </w:t>
      </w:r>
      <w:r w:rsidRPr="00EC6FFC">
        <w:rPr>
          <w:rFonts w:asciiTheme="majorHAnsi" w:hAnsiTheme="majorHAnsi" w:cs="PTSans-Bold"/>
          <w:b/>
          <w:bCs/>
          <w:color w:val="000000"/>
        </w:rPr>
        <w:t>ascertaining that the patient is not already HIV-infected</w:t>
      </w:r>
      <w:r>
        <w:rPr>
          <w:rFonts w:asciiTheme="majorHAnsi" w:hAnsiTheme="majorHAnsi" w:cs="PTSans-Bold"/>
          <w:color w:val="000000"/>
        </w:rPr>
        <w:t xml:space="preserve">. </w:t>
      </w:r>
      <w:r w:rsidRPr="00EC6FFC">
        <w:rPr>
          <w:rFonts w:asciiTheme="majorHAnsi" w:hAnsiTheme="majorHAnsi" w:cs="PTSans-Bold"/>
          <w:color w:val="000000"/>
        </w:rPr>
        <w:t>HIV testing should be conducted immediately prior to starting PrEP, ideally on the same day the prescription is provided.</w:t>
      </w:r>
    </w:p>
    <w:p w14:paraId="7F3375B1" w14:textId="77777777" w:rsidR="00D54F9B" w:rsidRPr="00D54F9B" w:rsidRDefault="00D54F9B" w:rsidP="00D54F9B">
      <w:pPr>
        <w:widowControl w:val="0"/>
        <w:autoSpaceDE w:val="0"/>
        <w:autoSpaceDN w:val="0"/>
        <w:adjustRightInd w:val="0"/>
        <w:rPr>
          <w:rFonts w:asciiTheme="majorHAnsi" w:hAnsiTheme="majorHAnsi" w:cs="PTSans-Bold"/>
          <w:color w:val="000000"/>
        </w:rPr>
      </w:pPr>
    </w:p>
    <w:p w14:paraId="45F4D781" w14:textId="1DDFDFE7" w:rsidR="00C35863" w:rsidRDefault="00C35863" w:rsidP="003F2FCC">
      <w:pPr>
        <w:widowControl w:val="0"/>
        <w:autoSpaceDE w:val="0"/>
        <w:autoSpaceDN w:val="0"/>
        <w:adjustRightInd w:val="0"/>
        <w:rPr>
          <w:rFonts w:asciiTheme="majorHAnsi" w:hAnsiTheme="majorHAnsi" w:cs="PTSans-Bold"/>
          <w:color w:val="000000"/>
        </w:rPr>
      </w:pPr>
      <w:r w:rsidRPr="00177BDA">
        <w:rPr>
          <w:rFonts w:asciiTheme="majorHAnsi" w:hAnsiTheme="majorHAnsi" w:cs="PTSans-Bold"/>
          <w:color w:val="000000"/>
        </w:rPr>
        <w:t>Baseline testing should be conducted with third-generation or fourth-generation HIV tests (for a list of FDA-approved third- and</w:t>
      </w:r>
      <w:r w:rsidRPr="00177BDA">
        <w:rPr>
          <w:rFonts w:asciiTheme="majorHAnsi" w:hAnsiTheme="majorHAnsi" w:cs="PTSans-Bold"/>
        </w:rPr>
        <w:t xml:space="preserve"> fourth-generation tests, go to </w:t>
      </w:r>
      <w:r w:rsidRPr="00177BDA">
        <w:rPr>
          <w:rFonts w:asciiTheme="majorHAnsi" w:hAnsiTheme="majorHAnsi" w:cs="PTSans-Bold"/>
          <w:u w:val="single"/>
        </w:rPr>
        <w:t>http://www.cdc.gov/hiv/testing/ lab</w:t>
      </w:r>
      <w:r w:rsidR="00D448E1" w:rsidRPr="00177BDA">
        <w:rPr>
          <w:rFonts w:asciiTheme="majorHAnsi" w:hAnsiTheme="majorHAnsi" w:cs="PTSans-Bold"/>
          <w:u w:val="single"/>
        </w:rPr>
        <w:t>oratorytests.html</w:t>
      </w:r>
      <w:r w:rsidRPr="00177BDA">
        <w:rPr>
          <w:rFonts w:asciiTheme="majorHAnsi" w:hAnsiTheme="majorHAnsi" w:cs="PTSans-Bold"/>
        </w:rPr>
        <w:t>.)</w:t>
      </w:r>
      <w:r w:rsidRPr="009D6077">
        <w:rPr>
          <w:rFonts w:asciiTheme="majorHAnsi" w:hAnsiTheme="majorHAnsi" w:cs="PTSans-Bold"/>
        </w:rPr>
        <w:t xml:space="preserve"> For patients with </w:t>
      </w:r>
      <w:r w:rsidRPr="009D6077">
        <w:rPr>
          <w:rFonts w:asciiTheme="majorHAnsi" w:hAnsiTheme="majorHAnsi" w:cs="PTSans-Bold"/>
          <w:color w:val="000000"/>
        </w:rPr>
        <w:t>symptoms of acute infection or for those whose antibody test is negative but who have reported</w:t>
      </w:r>
      <w:r w:rsidRPr="009B660D">
        <w:rPr>
          <w:rFonts w:asciiTheme="majorHAnsi" w:hAnsiTheme="majorHAnsi" w:cs="PTSans-Bold"/>
          <w:color w:val="000000"/>
        </w:rPr>
        <w:t xml:space="preserve"> unprotected sex with an HIV-infected partner in the past month, a nucleic acid amplification test (NAAT, viral load) for HIV is preferred.</w:t>
      </w:r>
    </w:p>
    <w:p w14:paraId="5CFC5A2F" w14:textId="77777777" w:rsidR="00C35863" w:rsidRPr="00166A85" w:rsidRDefault="00C35863" w:rsidP="00C35863">
      <w:pPr>
        <w:widowControl w:val="0"/>
        <w:autoSpaceDE w:val="0"/>
        <w:autoSpaceDN w:val="0"/>
        <w:adjustRightInd w:val="0"/>
        <w:rPr>
          <w:rFonts w:asciiTheme="majorHAnsi" w:hAnsiTheme="majorHAnsi" w:cs="PTSans-Bold"/>
          <w:color w:val="000000"/>
        </w:rPr>
      </w:pPr>
    </w:p>
    <w:p w14:paraId="51C96529" w14:textId="500EFA66" w:rsidR="00813111" w:rsidRDefault="00C35863" w:rsidP="00161282">
      <w:pPr>
        <w:widowControl w:val="0"/>
        <w:autoSpaceDE w:val="0"/>
        <w:autoSpaceDN w:val="0"/>
        <w:adjustRightInd w:val="0"/>
        <w:rPr>
          <w:rFonts w:asciiTheme="majorHAnsi" w:hAnsiTheme="majorHAnsi" w:cs="PTSans-Bold"/>
          <w:color w:val="000000"/>
        </w:rPr>
      </w:pPr>
      <w:r w:rsidRPr="00166A85">
        <w:rPr>
          <w:rFonts w:asciiTheme="majorHAnsi" w:hAnsiTheme="majorHAnsi" w:cs="PTSans-Bold"/>
          <w:color w:val="000000"/>
        </w:rPr>
        <w:t>CDC Guidelines recommend the following baseline HIV testing: baseline testing should be conduct</w:t>
      </w:r>
      <w:r>
        <w:rPr>
          <w:rFonts w:asciiTheme="majorHAnsi" w:hAnsiTheme="majorHAnsi" w:cs="PTSans-Bold"/>
          <w:color w:val="000000"/>
        </w:rPr>
        <w:t xml:space="preserve">ed with any HIV test other than </w:t>
      </w:r>
      <w:r w:rsidRPr="00166A85">
        <w:rPr>
          <w:rFonts w:asciiTheme="majorHAnsi" w:hAnsiTheme="majorHAnsi" w:cs="PTSans-Bold"/>
          <w:color w:val="000000"/>
        </w:rPr>
        <w:t>an oral rapid test</w:t>
      </w:r>
      <w:r w:rsidR="00D54F9B">
        <w:rPr>
          <w:rFonts w:asciiTheme="majorHAnsi" w:hAnsiTheme="majorHAnsi" w:cs="PTSans-Bold"/>
          <w:color w:val="000000"/>
        </w:rPr>
        <w:t>,</w:t>
      </w:r>
      <w:r w:rsidRPr="00166A85">
        <w:rPr>
          <w:rFonts w:asciiTheme="majorHAnsi" w:hAnsiTheme="majorHAnsi" w:cs="PTSans-Bold"/>
          <w:color w:val="000000"/>
        </w:rPr>
        <w:t xml:space="preserve"> due to that test’s lower sensitivity. (A whole blood rapid test is acceptable.) </w:t>
      </w:r>
      <w:r w:rsidRPr="00836D5C">
        <w:rPr>
          <w:rFonts w:asciiTheme="majorHAnsi" w:hAnsiTheme="majorHAnsi" w:cs="PTSans-Bold"/>
          <w:b/>
          <w:color w:val="000000"/>
        </w:rPr>
        <w:t xml:space="preserve">For patients with signs/symptoms of acute HIV infection within the prior four weeks, the following options are </w:t>
      </w:r>
      <w:r w:rsidRPr="00813111">
        <w:rPr>
          <w:rFonts w:asciiTheme="majorHAnsi" w:hAnsiTheme="majorHAnsi" w:cs="PTSans-Bold"/>
          <w:b/>
          <w:color w:val="000000"/>
        </w:rPr>
        <w:t>suggested</w:t>
      </w:r>
      <w:r w:rsidR="00813111" w:rsidRPr="00813111">
        <w:rPr>
          <w:rFonts w:asciiTheme="majorHAnsi" w:hAnsiTheme="majorHAnsi" w:cs="PTSans-Bold"/>
          <w:b/>
          <w:color w:val="000000"/>
        </w:rPr>
        <w:t xml:space="preserve"> </w:t>
      </w:r>
      <w:r w:rsidR="00813111" w:rsidRPr="00813111">
        <w:rPr>
          <w:rFonts w:asciiTheme="majorHAnsi" w:hAnsiTheme="majorHAnsi" w:cs="PTSans-Bold"/>
          <w:color w:val="000000"/>
        </w:rPr>
        <w:t>(</w:t>
      </w:r>
      <w:r w:rsidR="009D6077">
        <w:rPr>
          <w:rFonts w:asciiTheme="majorHAnsi" w:hAnsiTheme="majorHAnsi" w:cs="PTSans-Bold"/>
          <w:color w:val="000000"/>
        </w:rPr>
        <w:t xml:space="preserve">also </w:t>
      </w:r>
      <w:r w:rsidR="00813111" w:rsidRPr="00813111">
        <w:rPr>
          <w:rFonts w:asciiTheme="majorHAnsi" w:hAnsiTheme="majorHAnsi" w:cs="PTSans-Bold"/>
          <w:color w:val="000000"/>
        </w:rPr>
        <w:t xml:space="preserve">see </w:t>
      </w:r>
      <w:r w:rsidR="00161282">
        <w:rPr>
          <w:rFonts w:asciiTheme="majorHAnsi" w:hAnsiTheme="majorHAnsi" w:cs="PTSans-Bold"/>
          <w:color w:val="000000"/>
        </w:rPr>
        <w:t>F</w:t>
      </w:r>
      <w:r w:rsidR="00DC7F2D">
        <w:rPr>
          <w:rFonts w:asciiTheme="majorHAnsi" w:hAnsiTheme="majorHAnsi" w:cs="PTSans-Bold"/>
          <w:color w:val="000000"/>
        </w:rPr>
        <w:t>igure</w:t>
      </w:r>
      <w:r w:rsidR="00813111" w:rsidRPr="00813111">
        <w:rPr>
          <w:rFonts w:asciiTheme="majorHAnsi" w:hAnsiTheme="majorHAnsi" w:cs="PTSans-Bold"/>
          <w:color w:val="000000"/>
        </w:rPr>
        <w:t xml:space="preserve"> </w:t>
      </w:r>
      <w:r w:rsidR="00161282">
        <w:rPr>
          <w:rFonts w:asciiTheme="majorHAnsi" w:hAnsiTheme="majorHAnsi" w:cs="PTSans-Bold"/>
          <w:color w:val="000000"/>
        </w:rPr>
        <w:t>1, HIV Status A</w:t>
      </w:r>
      <w:r w:rsidR="00161282" w:rsidRPr="00813111">
        <w:rPr>
          <w:rFonts w:asciiTheme="majorHAnsi" w:hAnsiTheme="majorHAnsi" w:cs="PTSans-Bold"/>
          <w:color w:val="000000"/>
        </w:rPr>
        <w:t>lgorithm</w:t>
      </w:r>
      <w:r w:rsidR="00813111" w:rsidRPr="00813111">
        <w:rPr>
          <w:rFonts w:asciiTheme="majorHAnsi" w:hAnsiTheme="majorHAnsi" w:cs="PTSans-Bold"/>
        </w:rPr>
        <w:t>)</w:t>
      </w:r>
      <w:r w:rsidR="00303DA3" w:rsidRPr="00813111">
        <w:rPr>
          <w:rFonts w:asciiTheme="majorHAnsi" w:hAnsiTheme="majorHAnsi" w:cs="PTSans-Bold"/>
          <w:b/>
          <w:color w:val="000000"/>
        </w:rPr>
        <w:t>:</w:t>
      </w:r>
      <w:r w:rsidRPr="00166A85">
        <w:rPr>
          <w:rFonts w:asciiTheme="majorHAnsi" w:hAnsiTheme="majorHAnsi" w:cs="PTSans-Bold"/>
          <w:color w:val="000000"/>
        </w:rPr>
        <w:t xml:space="preserve"> </w:t>
      </w:r>
    </w:p>
    <w:p w14:paraId="645C6A8F" w14:textId="77777777" w:rsidR="009D6077" w:rsidRDefault="00A15E73" w:rsidP="009D6077">
      <w:pPr>
        <w:widowControl w:val="0"/>
        <w:autoSpaceDE w:val="0"/>
        <w:autoSpaceDN w:val="0"/>
        <w:adjustRightInd w:val="0"/>
        <w:ind w:left="720"/>
        <w:rPr>
          <w:rFonts w:asciiTheme="majorHAnsi" w:hAnsiTheme="majorHAnsi" w:cs="HelveticaNeue-Condensed"/>
          <w:sz w:val="22"/>
          <w:szCs w:val="22"/>
        </w:rPr>
      </w:pPr>
      <w:r>
        <w:rPr>
          <w:rFonts w:asciiTheme="majorHAnsi" w:hAnsiTheme="majorHAnsi" w:cs="PTSans-Bold"/>
          <w:sz w:val="22"/>
          <w:szCs w:val="22"/>
        </w:rPr>
        <w:t xml:space="preserve"> </w:t>
      </w:r>
    </w:p>
    <w:p w14:paraId="4870DADF" w14:textId="22492AFD" w:rsidR="009D6077" w:rsidRPr="00161282" w:rsidRDefault="009D6077" w:rsidP="00161282">
      <w:pPr>
        <w:pStyle w:val="ListParagraph"/>
        <w:widowControl w:val="0"/>
        <w:numPr>
          <w:ilvl w:val="0"/>
          <w:numId w:val="9"/>
        </w:numPr>
        <w:autoSpaceDE w:val="0"/>
        <w:autoSpaceDN w:val="0"/>
        <w:adjustRightInd w:val="0"/>
        <w:rPr>
          <w:rFonts w:asciiTheme="majorHAnsi" w:hAnsiTheme="majorHAnsi" w:cs="HelveticaNeue-Condensed"/>
          <w:sz w:val="22"/>
          <w:szCs w:val="22"/>
        </w:rPr>
      </w:pPr>
      <w:r w:rsidRPr="00161282">
        <w:rPr>
          <w:rFonts w:asciiTheme="majorHAnsi" w:hAnsiTheme="majorHAnsi" w:cs="HelveticaNeue-Condensed"/>
          <w:sz w:val="22"/>
          <w:szCs w:val="22"/>
        </w:rPr>
        <w:t>Retest antibody in one month; defer PrEP decision.</w:t>
      </w:r>
    </w:p>
    <w:p w14:paraId="2C897E92" w14:textId="220549A1" w:rsidR="009D6077" w:rsidRPr="00161282" w:rsidRDefault="009D6077" w:rsidP="00161282">
      <w:pPr>
        <w:pStyle w:val="ListParagraph"/>
        <w:widowControl w:val="0"/>
        <w:numPr>
          <w:ilvl w:val="0"/>
          <w:numId w:val="9"/>
        </w:numPr>
        <w:autoSpaceDE w:val="0"/>
        <w:autoSpaceDN w:val="0"/>
        <w:adjustRightInd w:val="0"/>
        <w:rPr>
          <w:rFonts w:asciiTheme="majorHAnsi" w:hAnsiTheme="majorHAnsi" w:cs="HelveticaNeue-Condensed"/>
          <w:sz w:val="22"/>
          <w:szCs w:val="22"/>
        </w:rPr>
      </w:pPr>
      <w:r w:rsidRPr="00161282">
        <w:rPr>
          <w:rFonts w:asciiTheme="majorHAnsi" w:hAnsiTheme="majorHAnsi" w:cs="HelveticaNeue-Condensed"/>
          <w:sz w:val="22"/>
          <w:szCs w:val="22"/>
        </w:rPr>
        <w:t>Send blood for HIV antibody/antigen assay (i.e., fourth</w:t>
      </w:r>
      <w:r w:rsidR="005D40A1">
        <w:rPr>
          <w:rFonts w:asciiTheme="majorHAnsi" w:hAnsiTheme="majorHAnsi" w:cs="HelveticaNeue-Condensed"/>
          <w:sz w:val="22"/>
          <w:szCs w:val="22"/>
        </w:rPr>
        <w:t>-</w:t>
      </w:r>
      <w:r w:rsidRPr="00161282">
        <w:rPr>
          <w:rFonts w:asciiTheme="majorHAnsi" w:hAnsiTheme="majorHAnsi" w:cs="HelveticaNeue-Condensed"/>
          <w:sz w:val="22"/>
          <w:szCs w:val="22"/>
        </w:rPr>
        <w:t>generation HIV testing). If the patient is negative, it is acceptable to initiate PrEP.</w:t>
      </w:r>
    </w:p>
    <w:p w14:paraId="31C96D8C" w14:textId="2B9AAD5C" w:rsidR="009D6077" w:rsidRPr="00161282" w:rsidRDefault="009D6077" w:rsidP="00161282">
      <w:pPr>
        <w:pStyle w:val="ListParagraph"/>
        <w:widowControl w:val="0"/>
        <w:numPr>
          <w:ilvl w:val="0"/>
          <w:numId w:val="9"/>
        </w:numPr>
        <w:autoSpaceDE w:val="0"/>
        <w:autoSpaceDN w:val="0"/>
        <w:adjustRightInd w:val="0"/>
        <w:rPr>
          <w:rFonts w:asciiTheme="majorHAnsi" w:hAnsiTheme="majorHAnsi" w:cs="HelveticaNeue-Condensed"/>
          <w:sz w:val="22"/>
          <w:szCs w:val="22"/>
        </w:rPr>
      </w:pPr>
      <w:r w:rsidRPr="00161282">
        <w:rPr>
          <w:rFonts w:asciiTheme="majorHAnsi" w:hAnsiTheme="majorHAnsi" w:cs="HelveticaNeue-Condensed"/>
          <w:sz w:val="22"/>
          <w:szCs w:val="22"/>
        </w:rPr>
        <w:t xml:space="preserve">Send blood for HIV-1 viral load (VL) assay. If the patient has VL&lt;50,000 copies/mL, PrEP should be deferred while testing is repeated. If the VL is below the level of detection of the assay, and the patient has no signs/symptoms on that day, it is acceptable to initiate PrEP.  </w:t>
      </w:r>
    </w:p>
    <w:p w14:paraId="56159E37" w14:textId="77777777" w:rsidR="009D6077" w:rsidRDefault="009D6077" w:rsidP="00813111">
      <w:pPr>
        <w:widowControl w:val="0"/>
        <w:autoSpaceDE w:val="0"/>
        <w:autoSpaceDN w:val="0"/>
        <w:adjustRightInd w:val="0"/>
        <w:rPr>
          <w:rFonts w:asciiTheme="majorHAnsi" w:hAnsiTheme="majorHAnsi" w:cs="PTSans-Bold"/>
          <w:sz w:val="22"/>
          <w:szCs w:val="22"/>
        </w:rPr>
      </w:pPr>
    </w:p>
    <w:p w14:paraId="5A079FAC" w14:textId="77777777" w:rsidR="00684901" w:rsidRDefault="00684901">
      <w:pPr>
        <w:rPr>
          <w:rFonts w:asciiTheme="majorHAnsi" w:hAnsiTheme="majorHAnsi" w:cs="PTSans-Bold"/>
          <w:color w:val="3366FF"/>
          <w:sz w:val="18"/>
          <w:szCs w:val="18"/>
        </w:rPr>
      </w:pPr>
      <w:r>
        <w:rPr>
          <w:rFonts w:asciiTheme="majorHAnsi" w:hAnsiTheme="majorHAnsi" w:cs="PTSans-Bold"/>
          <w:color w:val="3366FF"/>
          <w:sz w:val="18"/>
          <w:szCs w:val="18"/>
        </w:rPr>
        <w:br w:type="page"/>
      </w:r>
    </w:p>
    <w:p w14:paraId="27C64492" w14:textId="3BA8E936" w:rsidR="00A15E73" w:rsidRDefault="00A15E73" w:rsidP="00813111">
      <w:pPr>
        <w:widowControl w:val="0"/>
        <w:autoSpaceDE w:val="0"/>
        <w:autoSpaceDN w:val="0"/>
        <w:adjustRightInd w:val="0"/>
        <w:rPr>
          <w:rFonts w:asciiTheme="majorHAnsi" w:hAnsiTheme="majorHAnsi" w:cs="PTSans-Bold"/>
          <w:color w:val="3366FF"/>
          <w:sz w:val="18"/>
          <w:szCs w:val="18"/>
        </w:rPr>
      </w:pPr>
      <w:r w:rsidRPr="00A15E73">
        <w:rPr>
          <w:rFonts w:asciiTheme="majorHAnsi" w:hAnsiTheme="majorHAnsi" w:cs="PTSans-Bold"/>
          <w:color w:val="3366FF"/>
          <w:sz w:val="18"/>
          <w:szCs w:val="18"/>
        </w:rPr>
        <w:lastRenderedPageBreak/>
        <w:t>(</w:t>
      </w:r>
      <w:r w:rsidR="009D6077">
        <w:rPr>
          <w:rFonts w:asciiTheme="majorHAnsi" w:hAnsiTheme="majorHAnsi" w:cs="PTSans-Bold"/>
          <w:color w:val="3366FF"/>
          <w:sz w:val="18"/>
          <w:szCs w:val="18"/>
        </w:rPr>
        <w:t>figure</w:t>
      </w:r>
      <w:r w:rsidRPr="00A15E73">
        <w:rPr>
          <w:rFonts w:asciiTheme="majorHAnsi" w:hAnsiTheme="majorHAnsi" w:cs="PTSans-Bold"/>
          <w:color w:val="3366FF"/>
          <w:sz w:val="18"/>
          <w:szCs w:val="18"/>
        </w:rPr>
        <w:t xml:space="preserve"> title)  </w:t>
      </w:r>
    </w:p>
    <w:p w14:paraId="22AA4B6E" w14:textId="28B216F4" w:rsidR="00A15E73" w:rsidRPr="00DC7F2D" w:rsidRDefault="00A5150F" w:rsidP="00813111">
      <w:pPr>
        <w:widowControl w:val="0"/>
        <w:autoSpaceDE w:val="0"/>
        <w:autoSpaceDN w:val="0"/>
        <w:adjustRightInd w:val="0"/>
        <w:rPr>
          <w:rFonts w:asciiTheme="majorHAnsi" w:hAnsiTheme="majorHAnsi" w:cs="PTSans-Bold"/>
          <w:color w:val="3366FF"/>
          <w:sz w:val="18"/>
          <w:szCs w:val="18"/>
          <w:vertAlign w:val="superscript"/>
        </w:rPr>
      </w:pPr>
      <w:r>
        <w:rPr>
          <w:rFonts w:asciiTheme="majorHAnsi" w:hAnsiTheme="majorHAnsi" w:cs="PTSans-Bold"/>
          <w:color w:val="000000"/>
        </w:rPr>
        <w:t xml:space="preserve">Figure 1.   </w:t>
      </w:r>
      <w:r w:rsidR="00DC7F2D">
        <w:rPr>
          <w:rFonts w:asciiTheme="majorHAnsi" w:hAnsiTheme="majorHAnsi" w:cs="PTSans-Bold"/>
          <w:color w:val="000000"/>
        </w:rPr>
        <w:t>HIV Status A</w:t>
      </w:r>
      <w:r w:rsidR="00DC7F2D" w:rsidRPr="00813111">
        <w:rPr>
          <w:rFonts w:asciiTheme="majorHAnsi" w:hAnsiTheme="majorHAnsi" w:cs="PTSans-Bold"/>
          <w:color w:val="000000"/>
        </w:rPr>
        <w:t>lgorithm</w:t>
      </w:r>
      <w:r w:rsidR="00DC7F2D" w:rsidRPr="00DC7F2D">
        <w:rPr>
          <w:rFonts w:asciiTheme="majorHAnsi" w:hAnsiTheme="majorHAnsi" w:cs="PTSans-Bold"/>
          <w:color w:val="000000"/>
          <w:vertAlign w:val="superscript"/>
        </w:rPr>
        <w:t>[1]</w:t>
      </w:r>
    </w:p>
    <w:p w14:paraId="5E0FC74B" w14:textId="10BD5C0F" w:rsidR="00454B1E" w:rsidRDefault="009D7F7C" w:rsidP="00C35863">
      <w:pPr>
        <w:rPr>
          <w:rFonts w:asciiTheme="majorHAnsi" w:hAnsiTheme="majorHAnsi" w:cs="PTSans-Bold"/>
          <w:bCs/>
        </w:rPr>
      </w:pPr>
      <w:r>
        <w:rPr>
          <w:rFonts w:asciiTheme="majorHAnsi" w:hAnsiTheme="majorHAnsi"/>
          <w:noProof/>
          <w:sz w:val="20"/>
          <w:szCs w:val="20"/>
        </w:rPr>
        <w:drawing>
          <wp:inline distT="0" distB="0" distL="0" distR="0" wp14:anchorId="4B816E6F" wp14:editId="6D2C05AD">
            <wp:extent cx="6000750" cy="4556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3-19 at 9.25.20 AM.png"/>
                    <pic:cNvPicPr/>
                  </pic:nvPicPr>
                  <pic:blipFill>
                    <a:blip r:embed="rId14">
                      <a:extLst>
                        <a:ext uri="{28A0092B-C50C-407E-A947-70E740481C1C}">
                          <a14:useLocalDpi xmlns:a14="http://schemas.microsoft.com/office/drawing/2010/main" val="0"/>
                        </a:ext>
                      </a:extLst>
                    </a:blip>
                    <a:stretch>
                      <a:fillRect/>
                    </a:stretch>
                  </pic:blipFill>
                  <pic:spPr>
                    <a:xfrm>
                      <a:off x="0" y="0"/>
                      <a:ext cx="6000750" cy="4556125"/>
                    </a:xfrm>
                    <a:prstGeom prst="rect">
                      <a:avLst/>
                    </a:prstGeom>
                  </pic:spPr>
                </pic:pic>
              </a:graphicData>
            </a:graphic>
          </wp:inline>
        </w:drawing>
      </w:r>
    </w:p>
    <w:p w14:paraId="5B7E3D5D" w14:textId="77777777" w:rsidR="009D7F7C" w:rsidRDefault="009D7F7C" w:rsidP="00303DA3">
      <w:pPr>
        <w:widowControl w:val="0"/>
        <w:autoSpaceDE w:val="0"/>
        <w:autoSpaceDN w:val="0"/>
        <w:adjustRightInd w:val="0"/>
        <w:ind w:left="720"/>
        <w:rPr>
          <w:rFonts w:asciiTheme="majorHAnsi" w:hAnsiTheme="majorHAnsi" w:cs="HelveticaNeue-Condensed"/>
          <w:sz w:val="22"/>
          <w:szCs w:val="22"/>
        </w:rPr>
      </w:pPr>
    </w:p>
    <w:p w14:paraId="63CDE449" w14:textId="77777777" w:rsidR="00836D5C" w:rsidRDefault="00836D5C" w:rsidP="00C35863">
      <w:pPr>
        <w:widowControl w:val="0"/>
        <w:autoSpaceDE w:val="0"/>
        <w:autoSpaceDN w:val="0"/>
        <w:adjustRightInd w:val="0"/>
        <w:rPr>
          <w:rFonts w:asciiTheme="majorHAnsi" w:hAnsiTheme="majorHAnsi" w:cs="HelveticaNeue-Condensed"/>
        </w:rPr>
      </w:pPr>
    </w:p>
    <w:p w14:paraId="1913DF05" w14:textId="6FB76A5D" w:rsidR="00C35863" w:rsidRDefault="00C35863" w:rsidP="00C35863">
      <w:pPr>
        <w:widowControl w:val="0"/>
        <w:autoSpaceDE w:val="0"/>
        <w:autoSpaceDN w:val="0"/>
        <w:adjustRightInd w:val="0"/>
        <w:rPr>
          <w:rFonts w:asciiTheme="majorHAnsi" w:hAnsiTheme="majorHAnsi" w:cs="HelveticaNeue-Condensed"/>
        </w:rPr>
      </w:pPr>
      <w:r w:rsidRPr="00166A85">
        <w:rPr>
          <w:rFonts w:asciiTheme="majorHAnsi" w:hAnsiTheme="majorHAnsi" w:cs="HelveticaNeue-Condensed"/>
        </w:rPr>
        <w:t>In all other scenarios (VL&gt;50,000, which is consistent with a dia</w:t>
      </w:r>
      <w:r w:rsidR="00813111">
        <w:rPr>
          <w:rFonts w:asciiTheme="majorHAnsi" w:hAnsiTheme="majorHAnsi" w:cs="HelveticaNeue-Condensed"/>
        </w:rPr>
        <w:t>gnosis of HIV infection; signs/</w:t>
      </w:r>
      <w:r w:rsidRPr="00166A85">
        <w:rPr>
          <w:rFonts w:asciiTheme="majorHAnsi" w:hAnsiTheme="majorHAnsi" w:cs="HelveticaNeue-Condensed"/>
        </w:rPr>
        <w:t>symptoms present on day of blood draw, which is concerning for acute HIV infection), PrEP should be deferred.</w:t>
      </w:r>
    </w:p>
    <w:p w14:paraId="2A5F782B" w14:textId="77777777" w:rsidR="00C35863" w:rsidRPr="00166A85" w:rsidRDefault="00C35863" w:rsidP="00C35863">
      <w:pPr>
        <w:widowControl w:val="0"/>
        <w:autoSpaceDE w:val="0"/>
        <w:autoSpaceDN w:val="0"/>
        <w:adjustRightInd w:val="0"/>
        <w:rPr>
          <w:rFonts w:asciiTheme="majorHAnsi" w:hAnsiTheme="majorHAnsi" w:cs="HelveticaNeue-Condensed"/>
        </w:rPr>
      </w:pPr>
    </w:p>
    <w:p w14:paraId="12F32408" w14:textId="72647C85" w:rsidR="00C35863" w:rsidRDefault="00C35863" w:rsidP="00C35863">
      <w:pPr>
        <w:widowControl w:val="0"/>
        <w:autoSpaceDE w:val="0"/>
        <w:autoSpaceDN w:val="0"/>
        <w:adjustRightInd w:val="0"/>
        <w:rPr>
          <w:rFonts w:asciiTheme="majorHAnsi" w:hAnsiTheme="majorHAnsi" w:cs="HelveticaNeue-Condensed"/>
        </w:rPr>
      </w:pPr>
      <w:r w:rsidRPr="00166A85">
        <w:rPr>
          <w:rFonts w:asciiTheme="majorHAnsi" w:hAnsiTheme="majorHAnsi" w:cs="HelveticaNeue-Condensed"/>
        </w:rPr>
        <w:t>Additionally, it is important to screen for hepatitis B virus (HBV) infection prior to starting PrEP</w:t>
      </w:r>
      <w:r>
        <w:rPr>
          <w:rFonts w:asciiTheme="majorHAnsi" w:hAnsiTheme="majorHAnsi" w:cs="HelveticaNeue-Condensed"/>
        </w:rPr>
        <w:t xml:space="preserve">. Those found to be susceptible </w:t>
      </w:r>
      <w:r w:rsidR="009D7F7C">
        <w:rPr>
          <w:rFonts w:asciiTheme="majorHAnsi" w:hAnsiTheme="majorHAnsi" w:cs="HelveticaNeue-Condensed"/>
        </w:rPr>
        <w:t>to HBV (absence of h</w:t>
      </w:r>
      <w:r w:rsidRPr="00166A85">
        <w:rPr>
          <w:rFonts w:asciiTheme="majorHAnsi" w:hAnsiTheme="majorHAnsi" w:cs="HelveticaNeue-Condensed"/>
        </w:rPr>
        <w:t>epatitis</w:t>
      </w:r>
      <w:r>
        <w:rPr>
          <w:rFonts w:asciiTheme="majorHAnsi" w:hAnsiTheme="majorHAnsi" w:cs="HelveticaNeue-Condensed"/>
        </w:rPr>
        <w:t xml:space="preserve"> B surface antibody, or sAb, in </w:t>
      </w:r>
      <w:r w:rsidRPr="00166A85">
        <w:rPr>
          <w:rFonts w:asciiTheme="majorHAnsi" w:hAnsiTheme="majorHAnsi" w:cs="HelveticaNeue-Condensed"/>
        </w:rPr>
        <w:t>serum) should be offered HBV vaccination. If active HBV infection</w:t>
      </w:r>
      <w:r>
        <w:rPr>
          <w:rFonts w:asciiTheme="majorHAnsi" w:hAnsiTheme="majorHAnsi" w:cs="HelveticaNeue-Condensed"/>
        </w:rPr>
        <w:t xml:space="preserve"> </w:t>
      </w:r>
      <w:r w:rsidRPr="00166A85">
        <w:rPr>
          <w:rFonts w:asciiTheme="majorHAnsi" w:hAnsiTheme="majorHAnsi" w:cs="HelveticaNeue-Condensed"/>
        </w:rPr>
        <w:t>is diagnosed, TDF-FTC can be initiated for both HBV treatment and HIV prevention. Later, if TDF-FTC is discontinued for HIV prevention, treatment for active HBV must be continued.</w:t>
      </w:r>
    </w:p>
    <w:p w14:paraId="5A7C25BF" w14:textId="77777777" w:rsidR="009D7F7C" w:rsidRPr="00C35863" w:rsidRDefault="009D7F7C" w:rsidP="00C35863">
      <w:pPr>
        <w:widowControl w:val="0"/>
        <w:autoSpaceDE w:val="0"/>
        <w:autoSpaceDN w:val="0"/>
        <w:adjustRightInd w:val="0"/>
        <w:rPr>
          <w:rFonts w:asciiTheme="majorHAnsi" w:hAnsiTheme="majorHAnsi" w:cs="HelveticaNeue-Condensed"/>
        </w:rPr>
      </w:pPr>
    </w:p>
    <w:p w14:paraId="14B9F823" w14:textId="77777777" w:rsidR="00C35863" w:rsidRPr="00F81D0D" w:rsidRDefault="00C35863" w:rsidP="00C35863">
      <w:pPr>
        <w:pBdr>
          <w:bottom w:val="single" w:sz="12" w:space="1" w:color="auto"/>
        </w:pBdr>
        <w:rPr>
          <w:rFonts w:asciiTheme="majorHAnsi" w:hAnsiTheme="majorHAnsi" w:cs="PTSans-Bold"/>
          <w:bCs/>
          <w:sz w:val="12"/>
          <w:szCs w:val="12"/>
        </w:rPr>
      </w:pPr>
    </w:p>
    <w:p w14:paraId="35B37178" w14:textId="77777777" w:rsidR="00F81D0D" w:rsidRPr="00F81D0D" w:rsidRDefault="00F81D0D" w:rsidP="00F81D0D">
      <w:pPr>
        <w:widowControl w:val="0"/>
        <w:autoSpaceDE w:val="0"/>
        <w:autoSpaceDN w:val="0"/>
        <w:adjustRightInd w:val="0"/>
        <w:rPr>
          <w:rFonts w:asciiTheme="majorHAnsi" w:hAnsiTheme="majorHAnsi" w:cs="PTSans-Bold"/>
          <w:b/>
          <w:bCs/>
          <w:sz w:val="12"/>
          <w:szCs w:val="12"/>
        </w:rPr>
      </w:pPr>
    </w:p>
    <w:p w14:paraId="22DD63E7" w14:textId="743C0B05" w:rsidR="00245EDD" w:rsidRDefault="00C35863" w:rsidP="00C35863">
      <w:pPr>
        <w:widowControl w:val="0"/>
        <w:autoSpaceDE w:val="0"/>
        <w:autoSpaceDN w:val="0"/>
        <w:adjustRightInd w:val="0"/>
        <w:rPr>
          <w:rFonts w:asciiTheme="majorHAnsi" w:hAnsiTheme="majorHAnsi" w:cs="PTSans-Bold"/>
          <w:b/>
          <w:bCs/>
        </w:rPr>
      </w:pPr>
      <w:r w:rsidRPr="00D34532">
        <w:rPr>
          <w:rFonts w:asciiTheme="majorHAnsi" w:hAnsiTheme="majorHAnsi" w:cs="PTSans-Bold"/>
          <w:b/>
          <w:bCs/>
        </w:rPr>
        <w:t>11. What additional support and ongoing assessment are required for patients on PrEP?</w:t>
      </w:r>
    </w:p>
    <w:p w14:paraId="1D40496F" w14:textId="7A8A6A98" w:rsidR="00C35863" w:rsidRPr="00161282" w:rsidRDefault="00C35863" w:rsidP="00C35863">
      <w:pPr>
        <w:widowControl w:val="0"/>
        <w:autoSpaceDE w:val="0"/>
        <w:autoSpaceDN w:val="0"/>
        <w:adjustRightInd w:val="0"/>
        <w:rPr>
          <w:rFonts w:asciiTheme="majorHAnsi" w:hAnsiTheme="majorHAnsi" w:cs="PTSans-Bold"/>
          <w:color w:val="000000"/>
        </w:rPr>
      </w:pPr>
      <w:r w:rsidRPr="00166A85">
        <w:rPr>
          <w:rFonts w:asciiTheme="majorHAnsi" w:hAnsiTheme="majorHAnsi" w:cs="PTSans-Bold"/>
          <w:color w:val="000000"/>
        </w:rPr>
        <w:t>As mentioned above, PrEP should be prescribed as part of a combination prevention plan. Studies of PrEP have involved</w:t>
      </w:r>
      <w:r>
        <w:rPr>
          <w:rFonts w:asciiTheme="majorHAnsi" w:hAnsiTheme="majorHAnsi" w:cs="PTSans-Bold"/>
          <w:color w:val="000000"/>
        </w:rPr>
        <w:t xml:space="preserve"> </w:t>
      </w:r>
      <w:r w:rsidRPr="00166A85">
        <w:rPr>
          <w:rFonts w:asciiTheme="majorHAnsi" w:hAnsiTheme="majorHAnsi" w:cs="PTSans-Bold"/>
          <w:color w:val="000000"/>
        </w:rPr>
        <w:t xml:space="preserve">substantial support, including monthly HIV testing and </w:t>
      </w:r>
      <w:r w:rsidR="004900E5" w:rsidRPr="00161282">
        <w:rPr>
          <w:rFonts w:asciiTheme="majorHAnsi" w:hAnsiTheme="majorHAnsi" w:cs="PTSans-Bold"/>
          <w:color w:val="000000"/>
        </w:rPr>
        <w:t>discussions about adherence, safer sex behaviors</w:t>
      </w:r>
      <w:r w:rsidR="00161282" w:rsidRPr="00161282">
        <w:rPr>
          <w:rFonts w:asciiTheme="majorHAnsi" w:hAnsiTheme="majorHAnsi" w:cs="PTSans-Bold"/>
          <w:color w:val="000000"/>
        </w:rPr>
        <w:t>,</w:t>
      </w:r>
      <w:r w:rsidR="004900E5" w:rsidRPr="00161282">
        <w:rPr>
          <w:rFonts w:asciiTheme="majorHAnsi" w:hAnsiTheme="majorHAnsi" w:cs="PTSans-Bold"/>
          <w:color w:val="000000"/>
        </w:rPr>
        <w:t xml:space="preserve"> and condom use.</w:t>
      </w:r>
    </w:p>
    <w:p w14:paraId="0DE7972F" w14:textId="77777777" w:rsidR="00C35863" w:rsidRDefault="00C35863" w:rsidP="00C35863">
      <w:pPr>
        <w:rPr>
          <w:rFonts w:asciiTheme="majorHAnsi" w:hAnsiTheme="majorHAnsi" w:cs="PTSans-Bold"/>
          <w:bCs/>
        </w:rPr>
      </w:pPr>
    </w:p>
    <w:p w14:paraId="089FB1C1" w14:textId="40C596E8" w:rsidR="00C35863" w:rsidRPr="00166A85" w:rsidRDefault="00C35863" w:rsidP="00C35863">
      <w:pPr>
        <w:rPr>
          <w:rFonts w:asciiTheme="majorHAnsi" w:hAnsiTheme="majorHAnsi" w:cs="PTSans-Bold"/>
          <w:bCs/>
        </w:rPr>
      </w:pPr>
      <w:r w:rsidRPr="00166A85">
        <w:rPr>
          <w:rFonts w:asciiTheme="majorHAnsi" w:hAnsiTheme="majorHAnsi" w:cs="HelveticaNeue-Condensed"/>
        </w:rPr>
        <w:lastRenderedPageBreak/>
        <w:t>At minimum, while patients are on PrEP, CDC Guidelines recommend the following:</w:t>
      </w:r>
    </w:p>
    <w:p w14:paraId="7172FE1F" w14:textId="77777777" w:rsidR="00C35863" w:rsidRDefault="00C35863" w:rsidP="00C35863">
      <w:pPr>
        <w:rPr>
          <w:rFonts w:asciiTheme="majorHAnsi" w:hAnsiTheme="majorHAnsi" w:cs="PTSans-Bold"/>
          <w:bCs/>
        </w:rPr>
      </w:pPr>
    </w:p>
    <w:tbl>
      <w:tblPr>
        <w:tblStyle w:val="TableGrid"/>
        <w:tblW w:w="0" w:type="auto"/>
        <w:tblInd w:w="-162" w:type="dxa"/>
        <w:tblLook w:val="04A0" w:firstRow="1" w:lastRow="0" w:firstColumn="1" w:lastColumn="0" w:noHBand="0" w:noVBand="1"/>
      </w:tblPr>
      <w:tblGrid>
        <w:gridCol w:w="4590"/>
        <w:gridCol w:w="4590"/>
      </w:tblGrid>
      <w:tr w:rsidR="00C35863" w14:paraId="6E7821FF" w14:textId="77777777" w:rsidTr="00D54F9B">
        <w:tc>
          <w:tcPr>
            <w:tcW w:w="4590" w:type="dxa"/>
          </w:tcPr>
          <w:p w14:paraId="638BD043" w14:textId="77777777" w:rsidR="00C35863" w:rsidRDefault="00C35863" w:rsidP="00C35863">
            <w:pPr>
              <w:rPr>
                <w:rFonts w:asciiTheme="majorHAnsi" w:hAnsiTheme="majorHAnsi" w:cs="PTSans-Bold"/>
                <w:bCs/>
              </w:rPr>
            </w:pPr>
            <w:r>
              <w:rPr>
                <w:rFonts w:asciiTheme="majorHAnsi" w:hAnsiTheme="majorHAnsi" w:cs="PTSans-Bold"/>
                <w:bCs/>
              </w:rPr>
              <w:t>Monitoring</w:t>
            </w:r>
          </w:p>
        </w:tc>
        <w:tc>
          <w:tcPr>
            <w:tcW w:w="4590" w:type="dxa"/>
          </w:tcPr>
          <w:p w14:paraId="05C194DA" w14:textId="77777777" w:rsidR="00C35863" w:rsidRDefault="00C35863" w:rsidP="00C35863">
            <w:pPr>
              <w:rPr>
                <w:rFonts w:asciiTheme="majorHAnsi" w:hAnsiTheme="majorHAnsi" w:cs="PTSans-Bold"/>
                <w:bCs/>
              </w:rPr>
            </w:pPr>
            <w:r>
              <w:rPr>
                <w:rFonts w:asciiTheme="majorHAnsi" w:hAnsiTheme="majorHAnsi" w:cs="PTSans-Bold"/>
                <w:bCs/>
              </w:rPr>
              <w:t>Frequency</w:t>
            </w:r>
          </w:p>
        </w:tc>
      </w:tr>
      <w:tr w:rsidR="00C35863" w14:paraId="1D9B08FB" w14:textId="77777777" w:rsidTr="00D54F9B">
        <w:tc>
          <w:tcPr>
            <w:tcW w:w="9180" w:type="dxa"/>
            <w:gridSpan w:val="2"/>
          </w:tcPr>
          <w:p w14:paraId="11BD1353" w14:textId="77777777" w:rsidR="00C35863" w:rsidRPr="00DD3AF1" w:rsidRDefault="00C35863" w:rsidP="00C35863">
            <w:pPr>
              <w:rPr>
                <w:rFonts w:asciiTheme="majorHAnsi" w:hAnsiTheme="majorHAnsi" w:cs="PTSans-Bold"/>
                <w:b/>
                <w:bCs/>
              </w:rPr>
            </w:pPr>
            <w:r w:rsidRPr="00DD3AF1">
              <w:rPr>
                <w:rFonts w:asciiTheme="majorHAnsi" w:hAnsiTheme="majorHAnsi" w:cs="PTSans-Bold"/>
                <w:b/>
                <w:bCs/>
              </w:rPr>
              <w:t>Prevention and medication support</w:t>
            </w:r>
          </w:p>
        </w:tc>
      </w:tr>
      <w:tr w:rsidR="00C35863" w:rsidRPr="00264131" w14:paraId="10A65449" w14:textId="77777777" w:rsidTr="00D54F9B">
        <w:tc>
          <w:tcPr>
            <w:tcW w:w="4590" w:type="dxa"/>
          </w:tcPr>
          <w:p w14:paraId="5FB45701" w14:textId="77777777" w:rsidR="00C35863" w:rsidRPr="00264131" w:rsidRDefault="00C35863" w:rsidP="00C35863">
            <w:pPr>
              <w:rPr>
                <w:rFonts w:asciiTheme="majorHAnsi" w:hAnsiTheme="majorHAnsi" w:cs="PTSans-Bold"/>
                <w:bCs/>
                <w:sz w:val="20"/>
                <w:szCs w:val="20"/>
              </w:rPr>
            </w:pPr>
            <w:r w:rsidRPr="00264131">
              <w:rPr>
                <w:rFonts w:asciiTheme="majorHAnsi" w:hAnsiTheme="majorHAnsi" w:cs="HelveticaNeue-Condensed"/>
                <w:sz w:val="20"/>
                <w:szCs w:val="20"/>
              </w:rPr>
              <w:t>Assess adherence</w:t>
            </w:r>
          </w:p>
        </w:tc>
        <w:tc>
          <w:tcPr>
            <w:tcW w:w="4590" w:type="dxa"/>
            <w:vMerge w:val="restart"/>
          </w:tcPr>
          <w:p w14:paraId="247AA8B1" w14:textId="77777777" w:rsidR="00C35863" w:rsidRPr="00264131" w:rsidRDefault="00C35863" w:rsidP="00C35863">
            <w:pPr>
              <w:rPr>
                <w:rFonts w:asciiTheme="majorHAnsi" w:hAnsiTheme="majorHAnsi" w:cs="PTSans-Bold"/>
                <w:bCs/>
                <w:sz w:val="20"/>
                <w:szCs w:val="20"/>
              </w:rPr>
            </w:pPr>
            <w:r w:rsidRPr="00264131">
              <w:rPr>
                <w:rFonts w:asciiTheme="majorHAnsi" w:hAnsiTheme="majorHAnsi" w:cs="PTSans-Bold"/>
                <w:bCs/>
                <w:sz w:val="20"/>
                <w:szCs w:val="20"/>
              </w:rPr>
              <w:t>At every visit</w:t>
            </w:r>
          </w:p>
        </w:tc>
      </w:tr>
      <w:tr w:rsidR="00C35863" w:rsidRPr="00264131" w14:paraId="46765E92" w14:textId="77777777" w:rsidTr="00D54F9B">
        <w:tc>
          <w:tcPr>
            <w:tcW w:w="4590" w:type="dxa"/>
          </w:tcPr>
          <w:p w14:paraId="57FC4105" w14:textId="77777777" w:rsidR="00C35863" w:rsidRPr="00264131" w:rsidRDefault="00C35863" w:rsidP="00C35863">
            <w:pPr>
              <w:rPr>
                <w:rFonts w:asciiTheme="majorHAnsi" w:hAnsiTheme="majorHAnsi" w:cs="PTSans-Bold"/>
                <w:bCs/>
                <w:sz w:val="20"/>
                <w:szCs w:val="20"/>
              </w:rPr>
            </w:pPr>
            <w:r w:rsidRPr="00264131">
              <w:rPr>
                <w:rFonts w:asciiTheme="majorHAnsi" w:hAnsiTheme="majorHAnsi" w:cs="HelveticaNeue-Condensed"/>
                <w:sz w:val="20"/>
                <w:szCs w:val="20"/>
              </w:rPr>
              <w:t>Provide risk reduction counseling</w:t>
            </w:r>
          </w:p>
        </w:tc>
        <w:tc>
          <w:tcPr>
            <w:tcW w:w="4590" w:type="dxa"/>
            <w:vMerge/>
          </w:tcPr>
          <w:p w14:paraId="0357481E" w14:textId="77777777" w:rsidR="00C35863" w:rsidRPr="00264131" w:rsidRDefault="00C35863" w:rsidP="00C35863">
            <w:pPr>
              <w:rPr>
                <w:rFonts w:asciiTheme="majorHAnsi" w:hAnsiTheme="majorHAnsi" w:cs="PTSans-Bold"/>
                <w:bCs/>
                <w:sz w:val="20"/>
                <w:szCs w:val="20"/>
              </w:rPr>
            </w:pPr>
          </w:p>
        </w:tc>
      </w:tr>
      <w:tr w:rsidR="00C35863" w:rsidRPr="00264131" w14:paraId="62E98AD4" w14:textId="77777777" w:rsidTr="00D54F9B">
        <w:tc>
          <w:tcPr>
            <w:tcW w:w="4590" w:type="dxa"/>
          </w:tcPr>
          <w:p w14:paraId="4616DF4E" w14:textId="77777777" w:rsidR="00C35863" w:rsidRPr="00264131" w:rsidRDefault="00C35863" w:rsidP="00C35863">
            <w:pPr>
              <w:rPr>
                <w:rFonts w:asciiTheme="majorHAnsi" w:hAnsiTheme="majorHAnsi" w:cs="PTSans-Bold"/>
                <w:bCs/>
                <w:sz w:val="20"/>
                <w:szCs w:val="20"/>
              </w:rPr>
            </w:pPr>
            <w:r w:rsidRPr="00264131">
              <w:rPr>
                <w:rFonts w:asciiTheme="majorHAnsi" w:hAnsiTheme="majorHAnsi" w:cs="HelveticaNeue-Condensed"/>
                <w:sz w:val="20"/>
                <w:szCs w:val="20"/>
              </w:rPr>
              <w:t>Offer condoms</w:t>
            </w:r>
          </w:p>
        </w:tc>
        <w:tc>
          <w:tcPr>
            <w:tcW w:w="4590" w:type="dxa"/>
            <w:vMerge/>
          </w:tcPr>
          <w:p w14:paraId="76818C1F" w14:textId="77777777" w:rsidR="00C35863" w:rsidRPr="00264131" w:rsidRDefault="00C35863" w:rsidP="00C35863">
            <w:pPr>
              <w:rPr>
                <w:rFonts w:asciiTheme="majorHAnsi" w:hAnsiTheme="majorHAnsi" w:cs="PTSans-Bold"/>
                <w:bCs/>
                <w:sz w:val="20"/>
                <w:szCs w:val="20"/>
              </w:rPr>
            </w:pPr>
          </w:p>
        </w:tc>
      </w:tr>
      <w:tr w:rsidR="00C35863" w:rsidRPr="00264131" w14:paraId="1739E446" w14:textId="77777777" w:rsidTr="00D54F9B">
        <w:tc>
          <w:tcPr>
            <w:tcW w:w="4590" w:type="dxa"/>
          </w:tcPr>
          <w:p w14:paraId="347FD3BD" w14:textId="77777777" w:rsidR="00C35863" w:rsidRPr="00264131" w:rsidRDefault="00C35863" w:rsidP="00C35863">
            <w:pPr>
              <w:rPr>
                <w:rFonts w:asciiTheme="majorHAnsi" w:hAnsiTheme="majorHAnsi" w:cs="PTSans-Bold"/>
                <w:bCs/>
                <w:sz w:val="20"/>
                <w:szCs w:val="20"/>
              </w:rPr>
            </w:pPr>
            <w:r w:rsidRPr="00264131">
              <w:rPr>
                <w:rFonts w:asciiTheme="majorHAnsi" w:hAnsiTheme="majorHAnsi" w:cs="HelveticaNeue-Condensed"/>
                <w:sz w:val="20"/>
                <w:szCs w:val="20"/>
              </w:rPr>
              <w:t>Manage side effects</w:t>
            </w:r>
          </w:p>
        </w:tc>
        <w:tc>
          <w:tcPr>
            <w:tcW w:w="4590" w:type="dxa"/>
            <w:vMerge/>
          </w:tcPr>
          <w:p w14:paraId="26EAC2A4" w14:textId="77777777" w:rsidR="00C35863" w:rsidRPr="00264131" w:rsidRDefault="00C35863" w:rsidP="00C35863">
            <w:pPr>
              <w:rPr>
                <w:rFonts w:asciiTheme="majorHAnsi" w:hAnsiTheme="majorHAnsi" w:cs="PTSans-Bold"/>
                <w:bCs/>
                <w:sz w:val="20"/>
                <w:szCs w:val="20"/>
              </w:rPr>
            </w:pPr>
          </w:p>
        </w:tc>
      </w:tr>
      <w:tr w:rsidR="00C35863" w14:paraId="7A6CDF79" w14:textId="77777777" w:rsidTr="00D54F9B">
        <w:tc>
          <w:tcPr>
            <w:tcW w:w="9180" w:type="dxa"/>
            <w:gridSpan w:val="2"/>
          </w:tcPr>
          <w:p w14:paraId="22F70AFA" w14:textId="77777777" w:rsidR="00C35863" w:rsidRPr="00DD3AF1" w:rsidRDefault="00C35863" w:rsidP="00C35863">
            <w:pPr>
              <w:rPr>
                <w:rFonts w:asciiTheme="majorHAnsi" w:hAnsiTheme="majorHAnsi" w:cs="PTSans-Bold"/>
                <w:b/>
                <w:bCs/>
              </w:rPr>
            </w:pPr>
            <w:r w:rsidRPr="00DD3AF1">
              <w:rPr>
                <w:rFonts w:asciiTheme="majorHAnsi" w:hAnsiTheme="majorHAnsi" w:cs="PTSans-Bold"/>
                <w:b/>
                <w:bCs/>
              </w:rPr>
              <w:t>Laboratory testing</w:t>
            </w:r>
          </w:p>
        </w:tc>
      </w:tr>
      <w:tr w:rsidR="00C35863" w14:paraId="56E0ABB7" w14:textId="77777777" w:rsidTr="00D54F9B">
        <w:tc>
          <w:tcPr>
            <w:tcW w:w="4590" w:type="dxa"/>
          </w:tcPr>
          <w:p w14:paraId="5319E4DD" w14:textId="7E316F2F" w:rsidR="00C35863" w:rsidRDefault="00C35863" w:rsidP="00C35863">
            <w:pPr>
              <w:rPr>
                <w:rFonts w:asciiTheme="majorHAnsi" w:hAnsiTheme="majorHAnsi" w:cs="HelveticaNeue-Condensed"/>
                <w:sz w:val="20"/>
                <w:szCs w:val="20"/>
              </w:rPr>
            </w:pPr>
            <w:r w:rsidRPr="00A5150F">
              <w:rPr>
                <w:rFonts w:asciiTheme="majorHAnsi" w:hAnsiTheme="majorHAnsi" w:cs="HelveticaNeue-Condensed"/>
                <w:sz w:val="20"/>
                <w:szCs w:val="20"/>
              </w:rPr>
              <w:t>Any testing except oral rapid testing</w:t>
            </w:r>
          </w:p>
          <w:p w14:paraId="78E28CBB" w14:textId="3D335921" w:rsidR="00A5150F" w:rsidRPr="00D34532" w:rsidRDefault="00A5150F" w:rsidP="00161282">
            <w:pPr>
              <w:widowControl w:val="0"/>
              <w:autoSpaceDE w:val="0"/>
              <w:autoSpaceDN w:val="0"/>
              <w:adjustRightInd w:val="0"/>
              <w:rPr>
                <w:rFonts w:asciiTheme="majorHAnsi" w:hAnsiTheme="majorHAnsi" w:cs="PTSans-Bold"/>
                <w:bCs/>
                <w:sz w:val="20"/>
                <w:szCs w:val="20"/>
              </w:rPr>
            </w:pPr>
          </w:p>
        </w:tc>
        <w:tc>
          <w:tcPr>
            <w:tcW w:w="4590" w:type="dxa"/>
          </w:tcPr>
          <w:p w14:paraId="263DDF24" w14:textId="64B7F3FA" w:rsidR="00C35863" w:rsidRPr="00D34532" w:rsidRDefault="00C35863" w:rsidP="00C35863">
            <w:pPr>
              <w:widowControl w:val="0"/>
              <w:autoSpaceDE w:val="0"/>
              <w:autoSpaceDN w:val="0"/>
              <w:adjustRightInd w:val="0"/>
              <w:rPr>
                <w:rFonts w:asciiTheme="majorHAnsi" w:hAnsiTheme="majorHAnsi" w:cs="HelveticaNeue-Condensed"/>
                <w:sz w:val="20"/>
                <w:szCs w:val="20"/>
              </w:rPr>
            </w:pPr>
            <w:r w:rsidRPr="00D34532">
              <w:rPr>
                <w:rFonts w:asciiTheme="majorHAnsi" w:hAnsiTheme="majorHAnsi" w:cs="HelveticaNeue-Condensed"/>
                <w:sz w:val="20"/>
                <w:szCs w:val="20"/>
              </w:rPr>
              <w:t>• Every 3 months</w:t>
            </w:r>
            <w:r w:rsidR="00C86473">
              <w:rPr>
                <w:rFonts w:asciiTheme="majorHAnsi" w:hAnsiTheme="majorHAnsi" w:cs="HelveticaNeue-Condensed"/>
                <w:sz w:val="20"/>
                <w:szCs w:val="20"/>
              </w:rPr>
              <w:t>,</w:t>
            </w:r>
            <w:r w:rsidRPr="00D34532">
              <w:rPr>
                <w:rFonts w:asciiTheme="majorHAnsi" w:hAnsiTheme="majorHAnsi" w:cs="HelveticaNeue-Condensed"/>
                <w:sz w:val="20"/>
                <w:szCs w:val="20"/>
              </w:rPr>
              <w:t xml:space="preserve"> and</w:t>
            </w:r>
          </w:p>
          <w:p w14:paraId="2EA62FA3" w14:textId="77777777" w:rsidR="00C35863" w:rsidRPr="00D34532" w:rsidRDefault="00C35863" w:rsidP="00C35863">
            <w:pPr>
              <w:widowControl w:val="0"/>
              <w:autoSpaceDE w:val="0"/>
              <w:autoSpaceDN w:val="0"/>
              <w:adjustRightInd w:val="0"/>
              <w:rPr>
                <w:rFonts w:asciiTheme="majorHAnsi" w:hAnsiTheme="majorHAnsi" w:cs="HelveticaNeue-Condensed"/>
                <w:sz w:val="20"/>
                <w:szCs w:val="20"/>
              </w:rPr>
            </w:pPr>
            <w:r w:rsidRPr="00D34532">
              <w:rPr>
                <w:rFonts w:asciiTheme="majorHAnsi" w:hAnsiTheme="majorHAnsi" w:cs="HelveticaNeue-Condensed"/>
                <w:sz w:val="20"/>
                <w:szCs w:val="20"/>
              </w:rPr>
              <w:t>• Whenever there are symptoms of acute infection</w:t>
            </w:r>
          </w:p>
          <w:p w14:paraId="387E4599" w14:textId="77777777" w:rsidR="00C35863" w:rsidRPr="00D34532" w:rsidRDefault="00C35863" w:rsidP="00C35863">
            <w:pPr>
              <w:rPr>
                <w:rFonts w:asciiTheme="majorHAnsi" w:hAnsiTheme="majorHAnsi" w:cs="HelveticaNeue-Condensed"/>
                <w:sz w:val="20"/>
                <w:szCs w:val="20"/>
              </w:rPr>
            </w:pPr>
            <w:r w:rsidRPr="00D34532">
              <w:rPr>
                <w:rFonts w:asciiTheme="majorHAnsi" w:hAnsiTheme="majorHAnsi" w:cs="HelveticaNeue-Condensed"/>
                <w:sz w:val="20"/>
                <w:szCs w:val="20"/>
              </w:rPr>
              <w:t>(serologic screening test and HIV RNA test)</w:t>
            </w:r>
          </w:p>
          <w:p w14:paraId="5F40E010" w14:textId="77777777" w:rsidR="00C35863" w:rsidRPr="00D34532" w:rsidRDefault="00C35863" w:rsidP="00C35863">
            <w:pPr>
              <w:rPr>
                <w:rFonts w:asciiTheme="majorHAnsi" w:hAnsiTheme="majorHAnsi" w:cs="PTSans-Bold"/>
                <w:bCs/>
                <w:sz w:val="20"/>
                <w:szCs w:val="20"/>
              </w:rPr>
            </w:pPr>
          </w:p>
        </w:tc>
      </w:tr>
      <w:tr w:rsidR="00C35863" w14:paraId="166FAC0D" w14:textId="77777777" w:rsidTr="00D54F9B">
        <w:trPr>
          <w:trHeight w:val="824"/>
        </w:trPr>
        <w:tc>
          <w:tcPr>
            <w:tcW w:w="4590" w:type="dxa"/>
            <w:vMerge w:val="restart"/>
          </w:tcPr>
          <w:p w14:paraId="04286686" w14:textId="77777777" w:rsidR="00C35863" w:rsidRPr="00D34532" w:rsidRDefault="00C35863" w:rsidP="00C35863">
            <w:pPr>
              <w:widowControl w:val="0"/>
              <w:autoSpaceDE w:val="0"/>
              <w:autoSpaceDN w:val="0"/>
              <w:adjustRightInd w:val="0"/>
              <w:rPr>
                <w:rFonts w:asciiTheme="majorHAnsi" w:hAnsiTheme="majorHAnsi" w:cs="HelveticaNeue-Condensed"/>
                <w:sz w:val="20"/>
                <w:szCs w:val="20"/>
              </w:rPr>
            </w:pPr>
            <w:r w:rsidRPr="00D34532">
              <w:rPr>
                <w:rFonts w:asciiTheme="majorHAnsi" w:hAnsiTheme="majorHAnsi" w:cs="HelveticaNeue-Condensed"/>
                <w:sz w:val="20"/>
                <w:szCs w:val="20"/>
              </w:rPr>
              <w:t xml:space="preserve">Sexually transmitted </w:t>
            </w:r>
            <w:r w:rsidRPr="00264131">
              <w:rPr>
                <w:rFonts w:asciiTheme="majorHAnsi" w:hAnsiTheme="majorHAnsi" w:cs="HelveticaNeue-Condensed"/>
                <w:sz w:val="20"/>
                <w:szCs w:val="20"/>
              </w:rPr>
              <w:t>infection (STI)</w:t>
            </w:r>
            <w:r w:rsidRPr="00D34532">
              <w:rPr>
                <w:rFonts w:asciiTheme="majorHAnsi" w:hAnsiTheme="majorHAnsi" w:cs="HelveticaNeue-Condensed"/>
                <w:sz w:val="20"/>
                <w:szCs w:val="20"/>
              </w:rPr>
              <w:t xml:space="preserve"> symptom screen and testing</w:t>
            </w:r>
          </w:p>
          <w:p w14:paraId="1CF1CA65" w14:textId="13650464" w:rsidR="00C35863" w:rsidRPr="00D34532" w:rsidRDefault="00C35863" w:rsidP="00C35863">
            <w:pPr>
              <w:widowControl w:val="0"/>
              <w:autoSpaceDE w:val="0"/>
              <w:autoSpaceDN w:val="0"/>
              <w:adjustRightInd w:val="0"/>
              <w:rPr>
                <w:rFonts w:asciiTheme="majorHAnsi" w:hAnsiTheme="majorHAnsi" w:cs="HelveticaNeue-Condensed"/>
                <w:sz w:val="20"/>
                <w:szCs w:val="20"/>
              </w:rPr>
            </w:pPr>
            <w:r w:rsidRPr="00D34532">
              <w:rPr>
                <w:rFonts w:asciiTheme="majorHAnsi" w:hAnsiTheme="majorHAnsi" w:cs="HelveticaNeue-Condensed"/>
                <w:sz w:val="20"/>
                <w:szCs w:val="20"/>
              </w:rPr>
              <w:t>• NAAT (nucleic acid amplification test) to screen for gonorrhea and chlamydia, based on exposure site</w:t>
            </w:r>
            <w:r w:rsidR="00C86473">
              <w:rPr>
                <w:rFonts w:asciiTheme="majorHAnsi" w:hAnsiTheme="majorHAnsi" w:cs="HelveticaNeue-Condensed"/>
                <w:sz w:val="20"/>
                <w:szCs w:val="20"/>
              </w:rPr>
              <w:t>)</w:t>
            </w:r>
          </w:p>
          <w:p w14:paraId="02EE4283" w14:textId="77777777" w:rsidR="00C35863" w:rsidRPr="00D34532" w:rsidRDefault="00C35863" w:rsidP="00C35863">
            <w:pPr>
              <w:widowControl w:val="0"/>
              <w:autoSpaceDE w:val="0"/>
              <w:autoSpaceDN w:val="0"/>
              <w:adjustRightInd w:val="0"/>
              <w:rPr>
                <w:rFonts w:asciiTheme="majorHAnsi" w:hAnsiTheme="majorHAnsi" w:cs="HelveticaNeue-Condensed"/>
                <w:sz w:val="20"/>
                <w:szCs w:val="20"/>
              </w:rPr>
            </w:pPr>
            <w:r w:rsidRPr="00D34532">
              <w:rPr>
                <w:rFonts w:asciiTheme="majorHAnsi" w:hAnsiTheme="majorHAnsi" w:cs="HelveticaNeue-Condensed"/>
                <w:sz w:val="20"/>
                <w:szCs w:val="20"/>
              </w:rPr>
              <w:t>• Rapid plasma reagin (RPR)</w:t>
            </w:r>
          </w:p>
          <w:p w14:paraId="097A4973" w14:textId="77777777" w:rsidR="00C35863" w:rsidRPr="00D34532" w:rsidRDefault="00C35863" w:rsidP="00C35863">
            <w:pPr>
              <w:widowControl w:val="0"/>
              <w:autoSpaceDE w:val="0"/>
              <w:autoSpaceDN w:val="0"/>
              <w:adjustRightInd w:val="0"/>
              <w:rPr>
                <w:rFonts w:asciiTheme="majorHAnsi" w:hAnsiTheme="majorHAnsi" w:cs="HelveticaNeue-Condensed"/>
                <w:sz w:val="20"/>
                <w:szCs w:val="20"/>
              </w:rPr>
            </w:pPr>
            <w:r w:rsidRPr="00D34532">
              <w:rPr>
                <w:rFonts w:asciiTheme="majorHAnsi" w:hAnsiTheme="majorHAnsi" w:cs="HelveticaNeue-Condensed"/>
                <w:sz w:val="20"/>
                <w:szCs w:val="20"/>
              </w:rPr>
              <w:t>• Inspection for anogenital lesions</w:t>
            </w:r>
          </w:p>
        </w:tc>
        <w:tc>
          <w:tcPr>
            <w:tcW w:w="4590" w:type="dxa"/>
          </w:tcPr>
          <w:p w14:paraId="33607A8D" w14:textId="77777777" w:rsidR="00C35863" w:rsidRPr="00D34532" w:rsidRDefault="00C35863" w:rsidP="00C35863">
            <w:pPr>
              <w:widowControl w:val="0"/>
              <w:autoSpaceDE w:val="0"/>
              <w:autoSpaceDN w:val="0"/>
              <w:adjustRightInd w:val="0"/>
              <w:rPr>
                <w:rFonts w:asciiTheme="majorHAnsi" w:hAnsiTheme="majorHAnsi" w:cs="HelveticaNeue-Condensed"/>
                <w:sz w:val="20"/>
                <w:szCs w:val="20"/>
              </w:rPr>
            </w:pPr>
            <w:r w:rsidRPr="00D34532">
              <w:rPr>
                <w:rFonts w:asciiTheme="majorHAnsi" w:hAnsiTheme="majorHAnsi" w:cs="HelveticaNeue-Condensed"/>
                <w:sz w:val="20"/>
                <w:szCs w:val="20"/>
              </w:rPr>
              <w:t>Symptom screen:</w:t>
            </w:r>
          </w:p>
          <w:p w14:paraId="174A3F6B" w14:textId="77777777" w:rsidR="00C35863" w:rsidRPr="00D34532" w:rsidRDefault="00C35863" w:rsidP="00C35863">
            <w:pPr>
              <w:rPr>
                <w:rFonts w:asciiTheme="majorHAnsi" w:hAnsiTheme="majorHAnsi" w:cs="PTSans-Bold"/>
                <w:bCs/>
                <w:sz w:val="20"/>
                <w:szCs w:val="20"/>
              </w:rPr>
            </w:pPr>
            <w:r w:rsidRPr="00D34532">
              <w:rPr>
                <w:rFonts w:asciiTheme="majorHAnsi" w:hAnsiTheme="majorHAnsi" w:cs="HelveticaNeue-Condensed"/>
                <w:sz w:val="20"/>
                <w:szCs w:val="20"/>
              </w:rPr>
              <w:t>• At every visit</w:t>
            </w:r>
          </w:p>
        </w:tc>
      </w:tr>
      <w:tr w:rsidR="00C35863" w14:paraId="057D1143" w14:textId="77777777" w:rsidTr="00D54F9B">
        <w:trPr>
          <w:trHeight w:val="824"/>
        </w:trPr>
        <w:tc>
          <w:tcPr>
            <w:tcW w:w="4590" w:type="dxa"/>
            <w:vMerge/>
          </w:tcPr>
          <w:p w14:paraId="55282515" w14:textId="77777777" w:rsidR="00C35863" w:rsidRPr="00D34532" w:rsidRDefault="00C35863" w:rsidP="00C35863">
            <w:pPr>
              <w:widowControl w:val="0"/>
              <w:autoSpaceDE w:val="0"/>
              <w:autoSpaceDN w:val="0"/>
              <w:adjustRightInd w:val="0"/>
              <w:rPr>
                <w:rFonts w:asciiTheme="majorHAnsi" w:hAnsiTheme="majorHAnsi" w:cs="HelveticaNeue-Condensed"/>
                <w:sz w:val="20"/>
                <w:szCs w:val="20"/>
              </w:rPr>
            </w:pPr>
          </w:p>
        </w:tc>
        <w:tc>
          <w:tcPr>
            <w:tcW w:w="4590" w:type="dxa"/>
          </w:tcPr>
          <w:p w14:paraId="00237B39" w14:textId="77777777" w:rsidR="00C35863" w:rsidRPr="00D34532" w:rsidRDefault="00C35863" w:rsidP="00C35863">
            <w:pPr>
              <w:widowControl w:val="0"/>
              <w:autoSpaceDE w:val="0"/>
              <w:autoSpaceDN w:val="0"/>
              <w:adjustRightInd w:val="0"/>
              <w:rPr>
                <w:rFonts w:asciiTheme="majorHAnsi" w:hAnsiTheme="majorHAnsi" w:cs="HelveticaNeue-Condensed"/>
                <w:sz w:val="20"/>
                <w:szCs w:val="20"/>
              </w:rPr>
            </w:pPr>
            <w:r w:rsidRPr="00D34532">
              <w:rPr>
                <w:rFonts w:asciiTheme="majorHAnsi" w:hAnsiTheme="majorHAnsi" w:cs="HelveticaNeue-Condensed"/>
                <w:sz w:val="20"/>
                <w:szCs w:val="20"/>
              </w:rPr>
              <w:t>Testing:</w:t>
            </w:r>
          </w:p>
          <w:p w14:paraId="2DB23E57" w14:textId="1FBDEA91" w:rsidR="00C35863" w:rsidRPr="00D34532" w:rsidRDefault="00C35863" w:rsidP="00C35863">
            <w:pPr>
              <w:widowControl w:val="0"/>
              <w:autoSpaceDE w:val="0"/>
              <w:autoSpaceDN w:val="0"/>
              <w:adjustRightInd w:val="0"/>
              <w:rPr>
                <w:rFonts w:asciiTheme="majorHAnsi" w:hAnsiTheme="majorHAnsi" w:cs="HelveticaNeue-Condensed"/>
                <w:sz w:val="20"/>
                <w:szCs w:val="20"/>
              </w:rPr>
            </w:pPr>
            <w:r w:rsidRPr="00D34532">
              <w:rPr>
                <w:rFonts w:asciiTheme="majorHAnsi" w:hAnsiTheme="majorHAnsi" w:cs="HelveticaNeue-Condensed"/>
                <w:sz w:val="20"/>
                <w:szCs w:val="20"/>
              </w:rPr>
              <w:t>• At least every 6 months, even if asymptomatic (Note: Monogamous</w:t>
            </w:r>
            <w:r w:rsidR="00D54F9B">
              <w:rPr>
                <w:rFonts w:asciiTheme="majorHAnsi" w:hAnsiTheme="majorHAnsi" w:cs="HelveticaNeue-Condensed"/>
                <w:sz w:val="20"/>
                <w:szCs w:val="20"/>
              </w:rPr>
              <w:t xml:space="preserve"> </w:t>
            </w:r>
            <w:r w:rsidRPr="00D34532">
              <w:rPr>
                <w:rFonts w:asciiTheme="majorHAnsi" w:hAnsiTheme="majorHAnsi" w:cs="HelveticaNeue-Condensed"/>
                <w:sz w:val="20"/>
                <w:szCs w:val="20"/>
              </w:rPr>
              <w:t xml:space="preserve">serodiscordant couples may not need </w:t>
            </w:r>
            <w:r w:rsidRPr="00264131">
              <w:rPr>
                <w:rFonts w:asciiTheme="majorHAnsi" w:hAnsiTheme="majorHAnsi" w:cs="HelveticaNeue-Condensed"/>
                <w:sz w:val="20"/>
                <w:szCs w:val="20"/>
              </w:rPr>
              <w:t>STI</w:t>
            </w:r>
            <w:r w:rsidRPr="00D34532">
              <w:rPr>
                <w:rFonts w:asciiTheme="majorHAnsi" w:hAnsiTheme="majorHAnsi" w:cs="HelveticaNeue-Condensed"/>
                <w:sz w:val="20"/>
                <w:szCs w:val="20"/>
              </w:rPr>
              <w:t xml:space="preserve"> screening as frequently)</w:t>
            </w:r>
          </w:p>
          <w:p w14:paraId="2A0E6673" w14:textId="77777777" w:rsidR="00C35863" w:rsidRPr="00D34532" w:rsidRDefault="00C35863" w:rsidP="00C35863">
            <w:pPr>
              <w:widowControl w:val="0"/>
              <w:autoSpaceDE w:val="0"/>
              <w:autoSpaceDN w:val="0"/>
              <w:adjustRightInd w:val="0"/>
              <w:rPr>
                <w:rFonts w:asciiTheme="majorHAnsi" w:hAnsiTheme="majorHAnsi" w:cs="HelveticaNeue-Condensed"/>
                <w:sz w:val="20"/>
                <w:szCs w:val="20"/>
              </w:rPr>
            </w:pPr>
            <w:r w:rsidRPr="00D34532">
              <w:rPr>
                <w:rFonts w:asciiTheme="majorHAnsi" w:hAnsiTheme="majorHAnsi" w:cs="HelveticaNeue-Condensed"/>
                <w:sz w:val="20"/>
                <w:szCs w:val="20"/>
              </w:rPr>
              <w:t>• Whenever symptoms are reported</w:t>
            </w:r>
          </w:p>
        </w:tc>
      </w:tr>
      <w:tr w:rsidR="00C35863" w14:paraId="0035FCD6" w14:textId="77777777" w:rsidTr="00D54F9B">
        <w:trPr>
          <w:trHeight w:val="1172"/>
        </w:trPr>
        <w:tc>
          <w:tcPr>
            <w:tcW w:w="4590" w:type="dxa"/>
          </w:tcPr>
          <w:p w14:paraId="2A0BF5C2" w14:textId="77777777" w:rsidR="00C35863" w:rsidRPr="00D34532" w:rsidRDefault="00C35863" w:rsidP="00C35863">
            <w:pPr>
              <w:rPr>
                <w:rFonts w:asciiTheme="majorHAnsi" w:hAnsiTheme="majorHAnsi" w:cs="PTSans-Bold"/>
                <w:bCs/>
                <w:sz w:val="20"/>
                <w:szCs w:val="20"/>
              </w:rPr>
            </w:pPr>
            <w:r w:rsidRPr="00D34532">
              <w:rPr>
                <w:rFonts w:asciiTheme="majorHAnsi" w:hAnsiTheme="majorHAnsi" w:cs="HelveticaNeue-Condensed"/>
                <w:sz w:val="20"/>
                <w:szCs w:val="20"/>
              </w:rPr>
              <w:t>Hepatitis C Antibody Test</w:t>
            </w:r>
          </w:p>
        </w:tc>
        <w:tc>
          <w:tcPr>
            <w:tcW w:w="4590" w:type="dxa"/>
          </w:tcPr>
          <w:p w14:paraId="27DFD2B8" w14:textId="77777777" w:rsidR="00C35863" w:rsidRPr="00D34532" w:rsidRDefault="00C35863" w:rsidP="00C35863">
            <w:pPr>
              <w:widowControl w:val="0"/>
              <w:autoSpaceDE w:val="0"/>
              <w:autoSpaceDN w:val="0"/>
              <w:adjustRightInd w:val="0"/>
              <w:rPr>
                <w:rFonts w:asciiTheme="majorHAnsi" w:hAnsiTheme="majorHAnsi" w:cs="HelveticaNeue-Condensed"/>
                <w:sz w:val="20"/>
                <w:szCs w:val="20"/>
              </w:rPr>
            </w:pPr>
            <w:r w:rsidRPr="00D34532">
              <w:rPr>
                <w:rFonts w:asciiTheme="majorHAnsi" w:hAnsiTheme="majorHAnsi" w:cs="HelveticaNeue-Condensed"/>
                <w:sz w:val="20"/>
                <w:szCs w:val="20"/>
              </w:rPr>
              <w:t>At least every 12 months for:</w:t>
            </w:r>
          </w:p>
          <w:p w14:paraId="50A39C02" w14:textId="77777777" w:rsidR="00C35863" w:rsidRPr="00D34532" w:rsidRDefault="00C35863" w:rsidP="00C35863">
            <w:pPr>
              <w:widowControl w:val="0"/>
              <w:autoSpaceDE w:val="0"/>
              <w:autoSpaceDN w:val="0"/>
              <w:adjustRightInd w:val="0"/>
              <w:rPr>
                <w:rFonts w:asciiTheme="majorHAnsi" w:hAnsiTheme="majorHAnsi" w:cs="HelveticaNeue-Condensed"/>
                <w:sz w:val="20"/>
                <w:szCs w:val="20"/>
              </w:rPr>
            </w:pPr>
            <w:r w:rsidRPr="00D34532">
              <w:rPr>
                <w:rFonts w:asciiTheme="majorHAnsi" w:hAnsiTheme="majorHAnsi" w:cs="HelveticaNeue-Condensed"/>
                <w:sz w:val="20"/>
                <w:szCs w:val="20"/>
              </w:rPr>
              <w:t>• People who use drugs</w:t>
            </w:r>
          </w:p>
          <w:p w14:paraId="2FA4D74A" w14:textId="5F55D366" w:rsidR="00C35863" w:rsidRPr="00D34532" w:rsidRDefault="00C35863" w:rsidP="00C35863">
            <w:pPr>
              <w:widowControl w:val="0"/>
              <w:autoSpaceDE w:val="0"/>
              <w:autoSpaceDN w:val="0"/>
              <w:adjustRightInd w:val="0"/>
              <w:rPr>
                <w:rFonts w:asciiTheme="majorHAnsi" w:hAnsiTheme="majorHAnsi" w:cs="HelveticaNeue-Condensed"/>
                <w:sz w:val="20"/>
                <w:szCs w:val="20"/>
              </w:rPr>
            </w:pPr>
            <w:r w:rsidRPr="00D34532">
              <w:rPr>
                <w:rFonts w:asciiTheme="majorHAnsi" w:hAnsiTheme="majorHAnsi" w:cs="HelveticaNeue-Condensed"/>
                <w:sz w:val="20"/>
                <w:szCs w:val="20"/>
              </w:rPr>
              <w:t xml:space="preserve">• </w:t>
            </w:r>
            <w:r w:rsidR="00C86473">
              <w:rPr>
                <w:rFonts w:asciiTheme="majorHAnsi" w:hAnsiTheme="majorHAnsi" w:cs="HelveticaNeue-Condensed"/>
                <w:sz w:val="20"/>
                <w:szCs w:val="20"/>
              </w:rPr>
              <w:t>Men who have sex with men</w:t>
            </w:r>
          </w:p>
          <w:p w14:paraId="61E3EE33" w14:textId="7A9BCA7D" w:rsidR="00C35863" w:rsidRPr="00D34532" w:rsidRDefault="00C35863" w:rsidP="00C35863">
            <w:pPr>
              <w:rPr>
                <w:rFonts w:asciiTheme="majorHAnsi" w:hAnsiTheme="majorHAnsi" w:cs="PTSans-Bold"/>
                <w:bCs/>
                <w:sz w:val="20"/>
                <w:szCs w:val="20"/>
              </w:rPr>
            </w:pPr>
            <w:r w:rsidRPr="00D34532">
              <w:rPr>
                <w:rFonts w:asciiTheme="majorHAnsi" w:hAnsiTheme="majorHAnsi" w:cs="HelveticaNeue-Condensed"/>
                <w:sz w:val="20"/>
                <w:szCs w:val="20"/>
              </w:rPr>
              <w:t>• People with multiple sex partners</w:t>
            </w:r>
          </w:p>
        </w:tc>
      </w:tr>
      <w:tr w:rsidR="00C35863" w:rsidRPr="00DD3AF1" w14:paraId="444DE6BC" w14:textId="77777777" w:rsidTr="00D54F9B">
        <w:trPr>
          <w:trHeight w:val="449"/>
        </w:trPr>
        <w:tc>
          <w:tcPr>
            <w:tcW w:w="4590" w:type="dxa"/>
          </w:tcPr>
          <w:p w14:paraId="32315D35" w14:textId="77777777" w:rsidR="00C35863" w:rsidRPr="00D34532" w:rsidRDefault="00C35863" w:rsidP="00C35863">
            <w:pPr>
              <w:rPr>
                <w:rFonts w:asciiTheme="majorHAnsi" w:hAnsiTheme="majorHAnsi" w:cs="HelveticaNeue-Condensed"/>
                <w:sz w:val="20"/>
                <w:szCs w:val="20"/>
              </w:rPr>
            </w:pPr>
            <w:r w:rsidRPr="00D34532">
              <w:rPr>
                <w:rFonts w:asciiTheme="majorHAnsi" w:hAnsiTheme="majorHAnsi" w:cs="HelveticaNeue-Condensed"/>
                <w:sz w:val="20"/>
                <w:szCs w:val="20"/>
              </w:rPr>
              <w:t xml:space="preserve">Serum creatinine and calculated creatinine clearance </w:t>
            </w:r>
          </w:p>
        </w:tc>
        <w:tc>
          <w:tcPr>
            <w:tcW w:w="4590" w:type="dxa"/>
          </w:tcPr>
          <w:p w14:paraId="2AD18E54" w14:textId="77777777" w:rsidR="00C35863" w:rsidRPr="00D34532" w:rsidRDefault="00C35863" w:rsidP="00C35863">
            <w:pPr>
              <w:widowControl w:val="0"/>
              <w:autoSpaceDE w:val="0"/>
              <w:autoSpaceDN w:val="0"/>
              <w:adjustRightInd w:val="0"/>
              <w:rPr>
                <w:rFonts w:asciiTheme="majorHAnsi" w:hAnsiTheme="majorHAnsi" w:cs="HelveticaNeue-Condensed"/>
                <w:sz w:val="20"/>
                <w:szCs w:val="20"/>
              </w:rPr>
            </w:pPr>
            <w:r w:rsidRPr="00D34532">
              <w:rPr>
                <w:rFonts w:asciiTheme="majorHAnsi" w:hAnsiTheme="majorHAnsi" w:cs="HelveticaNeue-Condensed"/>
                <w:sz w:val="20"/>
                <w:szCs w:val="20"/>
              </w:rPr>
              <w:t>At 3 months after initiation, then every 6 months</w:t>
            </w:r>
          </w:p>
        </w:tc>
      </w:tr>
      <w:tr w:rsidR="00C35863" w:rsidRPr="00DD3AF1" w14:paraId="31DF3DE3" w14:textId="77777777" w:rsidTr="00D54F9B">
        <w:trPr>
          <w:trHeight w:val="521"/>
        </w:trPr>
        <w:tc>
          <w:tcPr>
            <w:tcW w:w="4590" w:type="dxa"/>
          </w:tcPr>
          <w:p w14:paraId="7B99994D" w14:textId="77777777" w:rsidR="00C35863" w:rsidRPr="00264131" w:rsidRDefault="00C35863" w:rsidP="00C35863">
            <w:pPr>
              <w:rPr>
                <w:rFonts w:asciiTheme="majorHAnsi" w:hAnsiTheme="majorHAnsi" w:cs="HelveticaNeue-Condensed"/>
                <w:sz w:val="20"/>
                <w:szCs w:val="20"/>
              </w:rPr>
            </w:pPr>
            <w:r w:rsidRPr="00264131">
              <w:rPr>
                <w:rFonts w:asciiTheme="majorHAnsi" w:hAnsiTheme="majorHAnsi" w:cs="HelveticaNeue-Condensed"/>
                <w:sz w:val="20"/>
                <w:szCs w:val="20"/>
              </w:rPr>
              <w:t>Urinalysis</w:t>
            </w:r>
          </w:p>
        </w:tc>
        <w:tc>
          <w:tcPr>
            <w:tcW w:w="4590" w:type="dxa"/>
          </w:tcPr>
          <w:p w14:paraId="4E9B2B76" w14:textId="77777777" w:rsidR="00C35863" w:rsidRPr="00264131" w:rsidRDefault="00C35863" w:rsidP="00C35863">
            <w:pPr>
              <w:widowControl w:val="0"/>
              <w:autoSpaceDE w:val="0"/>
              <w:autoSpaceDN w:val="0"/>
              <w:adjustRightInd w:val="0"/>
              <w:rPr>
                <w:rFonts w:asciiTheme="majorHAnsi" w:hAnsiTheme="majorHAnsi" w:cs="HelveticaNeue-Condensed"/>
                <w:color w:val="000000"/>
                <w:sz w:val="20"/>
                <w:szCs w:val="20"/>
              </w:rPr>
            </w:pPr>
            <w:r w:rsidRPr="00264131">
              <w:rPr>
                <w:rFonts w:asciiTheme="majorHAnsi" w:hAnsiTheme="majorHAnsi" w:cs="HelveticaNeue-Condensed"/>
                <w:sz w:val="20"/>
                <w:szCs w:val="20"/>
              </w:rPr>
              <w:t>Every 12 months</w:t>
            </w:r>
          </w:p>
        </w:tc>
      </w:tr>
      <w:tr w:rsidR="00C35863" w:rsidRPr="00DD3AF1" w14:paraId="2CFA2628" w14:textId="77777777" w:rsidTr="00D54F9B">
        <w:trPr>
          <w:trHeight w:val="440"/>
        </w:trPr>
        <w:tc>
          <w:tcPr>
            <w:tcW w:w="4590" w:type="dxa"/>
          </w:tcPr>
          <w:p w14:paraId="5C55F625" w14:textId="77777777" w:rsidR="00C35863" w:rsidRPr="00264131" w:rsidRDefault="00C35863" w:rsidP="00C35863">
            <w:pPr>
              <w:rPr>
                <w:rFonts w:asciiTheme="majorHAnsi" w:hAnsiTheme="majorHAnsi" w:cs="HelveticaNeue-Condensed"/>
                <w:sz w:val="20"/>
                <w:szCs w:val="20"/>
              </w:rPr>
            </w:pPr>
            <w:r w:rsidRPr="00264131">
              <w:rPr>
                <w:rFonts w:asciiTheme="majorHAnsi" w:hAnsiTheme="majorHAnsi" w:cs="HelveticaNeue-Condensed"/>
                <w:sz w:val="20"/>
                <w:szCs w:val="20"/>
              </w:rPr>
              <w:t>Pregnancy testing</w:t>
            </w:r>
          </w:p>
        </w:tc>
        <w:tc>
          <w:tcPr>
            <w:tcW w:w="4590" w:type="dxa"/>
          </w:tcPr>
          <w:p w14:paraId="68D0CA9F" w14:textId="77777777" w:rsidR="00C35863" w:rsidRPr="00264131" w:rsidRDefault="00C35863" w:rsidP="00C35863">
            <w:pPr>
              <w:widowControl w:val="0"/>
              <w:autoSpaceDE w:val="0"/>
              <w:autoSpaceDN w:val="0"/>
              <w:adjustRightInd w:val="0"/>
              <w:rPr>
                <w:rFonts w:asciiTheme="majorHAnsi" w:hAnsiTheme="majorHAnsi" w:cs="HelveticaNeue-Condensed"/>
                <w:color w:val="000000"/>
                <w:sz w:val="20"/>
                <w:szCs w:val="20"/>
              </w:rPr>
            </w:pPr>
            <w:r w:rsidRPr="00264131">
              <w:rPr>
                <w:rFonts w:asciiTheme="majorHAnsi" w:hAnsiTheme="majorHAnsi" w:cs="HelveticaNeue-Condensed"/>
                <w:sz w:val="20"/>
                <w:szCs w:val="20"/>
              </w:rPr>
              <w:t>Every 3 months</w:t>
            </w:r>
          </w:p>
        </w:tc>
      </w:tr>
    </w:tbl>
    <w:p w14:paraId="7723C693" w14:textId="77777777" w:rsidR="00A5150F" w:rsidRPr="00264131" w:rsidRDefault="00A5150F" w:rsidP="00A5150F">
      <w:pPr>
        <w:pStyle w:val="ListParagraph"/>
        <w:widowControl w:val="0"/>
        <w:autoSpaceDE w:val="0"/>
        <w:autoSpaceDN w:val="0"/>
        <w:adjustRightInd w:val="0"/>
        <w:rPr>
          <w:rFonts w:asciiTheme="majorHAnsi" w:hAnsiTheme="majorHAnsi" w:cs="PTSans-Bold"/>
          <w:sz w:val="20"/>
          <w:szCs w:val="20"/>
        </w:rPr>
      </w:pPr>
    </w:p>
    <w:p w14:paraId="70C25515" w14:textId="2A911CAC" w:rsidR="00EE0698" w:rsidRDefault="00EE0698" w:rsidP="00EE0698">
      <w:pPr>
        <w:widowControl w:val="0"/>
        <w:tabs>
          <w:tab w:val="left" w:pos="7320"/>
          <w:tab w:val="left" w:pos="8170"/>
        </w:tabs>
        <w:autoSpaceDE w:val="0"/>
        <w:autoSpaceDN w:val="0"/>
        <w:adjustRightInd w:val="0"/>
        <w:rPr>
          <w:rFonts w:ascii="Calibri" w:hAnsi="Calibri" w:cs="Calibri"/>
          <w:b/>
          <w:bCs/>
        </w:rPr>
      </w:pPr>
      <w:r>
        <w:rPr>
          <w:rFonts w:ascii="Calibri" w:hAnsi="Calibri" w:cs="Calibri"/>
          <w:b/>
          <w:bCs/>
        </w:rPr>
        <w:t xml:space="preserve">12. Will PrEP be covered by </w:t>
      </w:r>
      <w:r w:rsidR="00684901">
        <w:rPr>
          <w:rFonts w:ascii="Calibri" w:hAnsi="Calibri" w:cs="Calibri"/>
          <w:b/>
          <w:bCs/>
        </w:rPr>
        <w:t>my patients’ health insurance?</w:t>
      </w:r>
    </w:p>
    <w:p w14:paraId="6A470900" w14:textId="09C0FF97" w:rsidR="00EE0698" w:rsidRDefault="00EE0698" w:rsidP="00EE0698">
      <w:pPr>
        <w:widowControl w:val="0"/>
        <w:autoSpaceDE w:val="0"/>
        <w:autoSpaceDN w:val="0"/>
        <w:adjustRightInd w:val="0"/>
        <w:rPr>
          <w:rFonts w:ascii="Calibri" w:hAnsi="Calibri" w:cs="Calibri"/>
        </w:rPr>
      </w:pPr>
      <w:r>
        <w:rPr>
          <w:rFonts w:ascii="Calibri" w:hAnsi="Calibri" w:cs="Calibri"/>
        </w:rPr>
        <w:t>Most insurance plans and state Medicaid programs are covering TDF-FTC as PrEP. Prior authorization may be required.</w:t>
      </w:r>
    </w:p>
    <w:p w14:paraId="4231474D" w14:textId="77777777" w:rsidR="00EE0698" w:rsidRDefault="00EE0698" w:rsidP="00EE0698">
      <w:pPr>
        <w:widowControl w:val="0"/>
        <w:autoSpaceDE w:val="0"/>
        <w:autoSpaceDN w:val="0"/>
        <w:adjustRightInd w:val="0"/>
        <w:rPr>
          <w:rFonts w:ascii="Calibri" w:hAnsi="Calibri" w:cs="Calibri"/>
        </w:rPr>
      </w:pPr>
    </w:p>
    <w:p w14:paraId="778929F0" w14:textId="6A029884" w:rsidR="00EE0698" w:rsidRDefault="00EE0698" w:rsidP="00EE0698">
      <w:pPr>
        <w:widowControl w:val="0"/>
        <w:autoSpaceDE w:val="0"/>
        <w:autoSpaceDN w:val="0"/>
        <w:adjustRightInd w:val="0"/>
        <w:rPr>
          <w:rFonts w:ascii="Calibri" w:hAnsi="Calibri" w:cs="Calibri"/>
        </w:rPr>
      </w:pPr>
      <w:r>
        <w:rPr>
          <w:rFonts w:ascii="Calibri" w:hAnsi="Calibri" w:cs="Calibri"/>
          <w:b/>
          <w:bCs/>
        </w:rPr>
        <w:t xml:space="preserve">Patient assistance program: </w:t>
      </w:r>
      <w:r>
        <w:rPr>
          <w:rFonts w:ascii="Calibri" w:hAnsi="Calibri" w:cs="Calibri"/>
        </w:rPr>
        <w:t>A commerci</w:t>
      </w:r>
      <w:r w:rsidRPr="00EE0698">
        <w:rPr>
          <w:rFonts w:ascii="Calibri" w:hAnsi="Calibri" w:cs="Calibri"/>
        </w:rPr>
        <w:t>al</w:t>
      </w:r>
      <w:r>
        <w:rPr>
          <w:rFonts w:ascii="Calibri" w:hAnsi="Calibri" w:cs="Calibri"/>
        </w:rPr>
        <w:t xml:space="preserve"> medication assistance program* provides free PrEP to people with limited income and no insurance to cover PrEP care. The cost of the medication and some additional screening tests are covered. The paperwork must be signed and submitted by a licensed clinical provider.</w:t>
      </w:r>
    </w:p>
    <w:p w14:paraId="641ADBA3" w14:textId="77777777" w:rsidR="00EE0698" w:rsidRDefault="00EE0698" w:rsidP="00EE0698">
      <w:pPr>
        <w:widowControl w:val="0"/>
        <w:autoSpaceDE w:val="0"/>
        <w:autoSpaceDN w:val="0"/>
        <w:adjustRightInd w:val="0"/>
        <w:rPr>
          <w:rFonts w:ascii="Calibri" w:hAnsi="Calibri" w:cs="Calibri"/>
          <w:b/>
          <w:bCs/>
        </w:rPr>
      </w:pPr>
    </w:p>
    <w:p w14:paraId="7568FB5D" w14:textId="70488538" w:rsidR="00EE0698" w:rsidRDefault="00EE0698" w:rsidP="003D7576">
      <w:pPr>
        <w:widowControl w:val="0"/>
        <w:autoSpaceDE w:val="0"/>
        <w:autoSpaceDN w:val="0"/>
        <w:adjustRightInd w:val="0"/>
        <w:rPr>
          <w:rFonts w:ascii="Calibri" w:hAnsi="Calibri" w:cs="Calibri"/>
        </w:rPr>
      </w:pPr>
      <w:r w:rsidRPr="001919D9">
        <w:rPr>
          <w:rFonts w:ascii="Calibri" w:hAnsi="Calibri" w:cs="Calibri"/>
          <w:b/>
          <w:bCs/>
        </w:rPr>
        <w:t>Co-pay</w:t>
      </w:r>
      <w:r>
        <w:rPr>
          <w:rFonts w:ascii="Calibri" w:hAnsi="Calibri" w:cs="Calibri"/>
          <w:b/>
          <w:bCs/>
        </w:rPr>
        <w:t xml:space="preserve"> assistance program: </w:t>
      </w:r>
      <w:r w:rsidRPr="00A15E73">
        <w:rPr>
          <w:rFonts w:ascii="Calibri" w:hAnsi="Calibri" w:cs="Calibri"/>
        </w:rPr>
        <w:t>Income is not a factor in eligibility</w:t>
      </w:r>
      <w:r w:rsidR="003D7576" w:rsidRPr="003D7576">
        <w:rPr>
          <w:rFonts w:ascii="Calibri" w:hAnsi="Calibri" w:cs="Calibri"/>
        </w:rPr>
        <w:t xml:space="preserve">. </w:t>
      </w:r>
      <w:r>
        <w:rPr>
          <w:rFonts w:ascii="Calibri" w:hAnsi="Calibri" w:cs="Calibri"/>
        </w:rPr>
        <w:t xml:space="preserve">The paperwork must be signed and submitted by a licensed clinical provider. </w:t>
      </w:r>
    </w:p>
    <w:p w14:paraId="787E7F52" w14:textId="77777777" w:rsidR="00A15E73" w:rsidRDefault="00A15E73" w:rsidP="00EE0698">
      <w:pPr>
        <w:widowControl w:val="0"/>
        <w:autoSpaceDE w:val="0"/>
        <w:autoSpaceDN w:val="0"/>
        <w:adjustRightInd w:val="0"/>
        <w:rPr>
          <w:rFonts w:ascii="Calibri" w:hAnsi="Calibri" w:cs="Calibri"/>
        </w:rPr>
      </w:pPr>
    </w:p>
    <w:p w14:paraId="5780285A" w14:textId="4114C7A2" w:rsidR="00EE0698" w:rsidRPr="00A15E73" w:rsidRDefault="003D7576" w:rsidP="00EE0698">
      <w:pPr>
        <w:widowControl w:val="0"/>
        <w:autoSpaceDE w:val="0"/>
        <w:autoSpaceDN w:val="0"/>
        <w:adjustRightInd w:val="0"/>
        <w:rPr>
          <w:rFonts w:asciiTheme="majorHAnsi" w:hAnsiTheme="majorHAnsi" w:cs="HelveticaNeue-Condensed"/>
          <w:color w:val="3366FF"/>
          <w:sz w:val="16"/>
          <w:szCs w:val="16"/>
        </w:rPr>
      </w:pPr>
      <w:r w:rsidRPr="00813111">
        <w:rPr>
          <w:rFonts w:asciiTheme="majorHAnsi" w:hAnsiTheme="majorHAnsi" w:cs="HelveticaNeue-Condensed"/>
          <w:color w:val="3366FF"/>
          <w:sz w:val="16"/>
          <w:szCs w:val="16"/>
        </w:rPr>
        <w:t xml:space="preserve"> </w:t>
      </w:r>
      <w:r w:rsidR="00A15E73" w:rsidRPr="00813111">
        <w:rPr>
          <w:rFonts w:asciiTheme="majorHAnsi" w:hAnsiTheme="majorHAnsi" w:cs="HelveticaNeue-Condensed"/>
          <w:color w:val="3366FF"/>
          <w:sz w:val="16"/>
          <w:szCs w:val="16"/>
        </w:rPr>
        <w:t>(</w:t>
      </w:r>
      <w:r w:rsidR="00A15E73">
        <w:rPr>
          <w:rFonts w:asciiTheme="majorHAnsi" w:hAnsiTheme="majorHAnsi" w:cs="HelveticaNeue-Condensed"/>
          <w:color w:val="3366FF"/>
          <w:sz w:val="16"/>
          <w:szCs w:val="16"/>
        </w:rPr>
        <w:t xml:space="preserve">small text at </w:t>
      </w:r>
      <w:r w:rsidR="00A15E73" w:rsidRPr="00813111">
        <w:rPr>
          <w:rFonts w:asciiTheme="majorHAnsi" w:hAnsiTheme="majorHAnsi" w:cs="HelveticaNeue-Condensed"/>
          <w:color w:val="3366FF"/>
          <w:sz w:val="16"/>
          <w:szCs w:val="16"/>
        </w:rPr>
        <w:t xml:space="preserve">base of page)  </w:t>
      </w:r>
    </w:p>
    <w:p w14:paraId="6A98F16A" w14:textId="77777777" w:rsidR="00EE0698" w:rsidRPr="006B001B" w:rsidRDefault="00EE0698" w:rsidP="00EE0698">
      <w:pPr>
        <w:widowControl w:val="0"/>
        <w:autoSpaceDE w:val="0"/>
        <w:autoSpaceDN w:val="0"/>
        <w:adjustRightInd w:val="0"/>
        <w:rPr>
          <w:rFonts w:ascii="Calibri" w:hAnsi="Calibri" w:cs="Calibri"/>
          <w:sz w:val="20"/>
          <w:szCs w:val="20"/>
        </w:rPr>
      </w:pPr>
      <w:r w:rsidRPr="006B001B">
        <w:rPr>
          <w:rFonts w:ascii="Calibri" w:hAnsi="Calibri" w:cs="Calibri"/>
          <w:sz w:val="20"/>
          <w:szCs w:val="20"/>
        </w:rPr>
        <w:t xml:space="preserve">* The manufacturer of Truvada (Gilead) has established several programs to help cover the cost of PrEP. Providers can assist their patients by applying for assistance (either for help with the Truvada </w:t>
      </w:r>
      <w:r w:rsidRPr="001919D9">
        <w:rPr>
          <w:rFonts w:ascii="Calibri" w:hAnsi="Calibri" w:cs="Calibri"/>
          <w:sz w:val="20"/>
          <w:szCs w:val="20"/>
        </w:rPr>
        <w:t>co-pay</w:t>
      </w:r>
      <w:r w:rsidRPr="006B001B">
        <w:rPr>
          <w:rFonts w:ascii="Calibri" w:hAnsi="Calibri" w:cs="Calibri"/>
          <w:sz w:val="20"/>
          <w:szCs w:val="20"/>
        </w:rPr>
        <w:t xml:space="preserve"> if the patient is insured or for complete </w:t>
      </w:r>
      <w:r w:rsidRPr="006B001B">
        <w:rPr>
          <w:rFonts w:ascii="Calibri" w:hAnsi="Calibri" w:cs="Calibri"/>
          <w:sz w:val="20"/>
          <w:szCs w:val="20"/>
        </w:rPr>
        <w:lastRenderedPageBreak/>
        <w:t xml:space="preserve">coverage of the medication if the patient does not have insurance or needs financial assistance). </w:t>
      </w:r>
    </w:p>
    <w:p w14:paraId="08725EDB" w14:textId="77777777" w:rsidR="00EE0698" w:rsidRPr="006B001B" w:rsidRDefault="00EE0698" w:rsidP="00EE0698">
      <w:pPr>
        <w:widowControl w:val="0"/>
        <w:autoSpaceDE w:val="0"/>
        <w:autoSpaceDN w:val="0"/>
        <w:adjustRightInd w:val="0"/>
        <w:rPr>
          <w:rFonts w:ascii="Calibri" w:hAnsi="Calibri" w:cs="Calibri"/>
          <w:sz w:val="20"/>
          <w:szCs w:val="20"/>
        </w:rPr>
      </w:pPr>
    </w:p>
    <w:p w14:paraId="26ADA7E4" w14:textId="77777777" w:rsidR="00EE0698" w:rsidRPr="006B001B" w:rsidRDefault="00EE0698" w:rsidP="00EE0698">
      <w:pPr>
        <w:widowControl w:val="0"/>
        <w:autoSpaceDE w:val="0"/>
        <w:autoSpaceDN w:val="0"/>
        <w:adjustRightInd w:val="0"/>
        <w:rPr>
          <w:rFonts w:ascii="Calibri" w:hAnsi="Calibri" w:cs="Calibri"/>
          <w:sz w:val="20"/>
          <w:szCs w:val="20"/>
        </w:rPr>
      </w:pPr>
      <w:r w:rsidRPr="006B001B">
        <w:rPr>
          <w:rFonts w:ascii="Calibri" w:hAnsi="Calibri" w:cs="Calibri"/>
          <w:sz w:val="20"/>
          <w:szCs w:val="20"/>
        </w:rPr>
        <w:t>The application form for Gilead’s patient assistance programs is available at</w:t>
      </w:r>
    </w:p>
    <w:p w14:paraId="6F0E8F5F" w14:textId="77777777" w:rsidR="00EE0698" w:rsidRPr="006B001B" w:rsidRDefault="00EE0698" w:rsidP="00EE0698">
      <w:pPr>
        <w:widowControl w:val="0"/>
        <w:autoSpaceDE w:val="0"/>
        <w:autoSpaceDN w:val="0"/>
        <w:adjustRightInd w:val="0"/>
        <w:rPr>
          <w:rFonts w:ascii="Calibri" w:hAnsi="Calibri" w:cs="Calibri"/>
          <w:sz w:val="20"/>
          <w:szCs w:val="20"/>
        </w:rPr>
      </w:pPr>
      <w:r w:rsidRPr="006B001B">
        <w:rPr>
          <w:rFonts w:ascii="Calibri" w:hAnsi="Calibri" w:cs="Calibri"/>
          <w:sz w:val="20"/>
          <w:szCs w:val="20"/>
        </w:rPr>
        <w:t>https://start.truvada.com/Content/pdf/Medication_Assistance_Program.pdf.</w:t>
      </w:r>
    </w:p>
    <w:p w14:paraId="431CC92C" w14:textId="77777777" w:rsidR="00EE0698" w:rsidRDefault="00EE0698" w:rsidP="00C35863">
      <w:pPr>
        <w:rPr>
          <w:rFonts w:asciiTheme="majorHAnsi" w:hAnsiTheme="majorHAnsi" w:cs="PTSans-Bold"/>
          <w:bCs/>
        </w:rPr>
      </w:pPr>
    </w:p>
    <w:p w14:paraId="035645C9" w14:textId="68A06441" w:rsidR="00C35863" w:rsidRPr="00F81D0D" w:rsidRDefault="00C35863" w:rsidP="00C35863">
      <w:pPr>
        <w:widowControl w:val="0"/>
        <w:pBdr>
          <w:bottom w:val="single" w:sz="12" w:space="1" w:color="auto"/>
        </w:pBdr>
        <w:autoSpaceDE w:val="0"/>
        <w:autoSpaceDN w:val="0"/>
        <w:adjustRightInd w:val="0"/>
        <w:rPr>
          <w:rFonts w:asciiTheme="majorHAnsi" w:hAnsiTheme="majorHAnsi" w:cs="PTSans-Bold"/>
          <w:color w:val="000000"/>
          <w:sz w:val="12"/>
          <w:szCs w:val="12"/>
        </w:rPr>
      </w:pPr>
    </w:p>
    <w:p w14:paraId="45A9DA2F" w14:textId="77777777" w:rsidR="00743F95" w:rsidRPr="00F81D0D" w:rsidRDefault="00743F95" w:rsidP="00C35863">
      <w:pPr>
        <w:widowControl w:val="0"/>
        <w:autoSpaceDE w:val="0"/>
        <w:autoSpaceDN w:val="0"/>
        <w:adjustRightInd w:val="0"/>
        <w:rPr>
          <w:rFonts w:asciiTheme="majorHAnsi" w:hAnsiTheme="majorHAnsi" w:cs="PTSans-Bold"/>
          <w:b/>
          <w:bCs/>
          <w:sz w:val="12"/>
          <w:szCs w:val="12"/>
        </w:rPr>
      </w:pPr>
    </w:p>
    <w:p w14:paraId="0BFDE556" w14:textId="77777777" w:rsidR="00C35863" w:rsidRPr="00D34532" w:rsidRDefault="00C35863" w:rsidP="00C35863">
      <w:pPr>
        <w:widowControl w:val="0"/>
        <w:autoSpaceDE w:val="0"/>
        <w:autoSpaceDN w:val="0"/>
        <w:adjustRightInd w:val="0"/>
        <w:rPr>
          <w:rFonts w:asciiTheme="majorHAnsi" w:hAnsiTheme="majorHAnsi" w:cs="PTSans-Bold"/>
          <w:b/>
          <w:bCs/>
        </w:rPr>
      </w:pPr>
      <w:r w:rsidRPr="00D34532">
        <w:rPr>
          <w:rFonts w:asciiTheme="majorHAnsi" w:hAnsiTheme="majorHAnsi" w:cs="PTSans-Bold"/>
          <w:b/>
          <w:bCs/>
        </w:rPr>
        <w:t>13. If I take care of both members of a serodiscordant couple, is it preferable to treat just the HIV-positive partner, just the HIV-negative partner, or both?</w:t>
      </w:r>
    </w:p>
    <w:p w14:paraId="2DE7A737" w14:textId="3CC02D03" w:rsidR="00A40CCD" w:rsidRDefault="009C2D5C" w:rsidP="00C35863">
      <w:pPr>
        <w:widowControl w:val="0"/>
        <w:autoSpaceDE w:val="0"/>
        <w:autoSpaceDN w:val="0"/>
        <w:adjustRightInd w:val="0"/>
        <w:rPr>
          <w:rFonts w:asciiTheme="majorHAnsi" w:hAnsiTheme="majorHAnsi" w:cs="PTSans-Bold"/>
          <w:color w:val="000000"/>
        </w:rPr>
      </w:pPr>
      <w:r>
        <w:rPr>
          <w:rFonts w:asciiTheme="majorHAnsi" w:hAnsiTheme="majorHAnsi" w:cs="PTSans-Bold"/>
          <w:color w:val="000000"/>
        </w:rPr>
        <w:t>E</w:t>
      </w:r>
      <w:r w:rsidR="00C35863" w:rsidRPr="00507D89">
        <w:rPr>
          <w:rFonts w:asciiTheme="majorHAnsi" w:hAnsiTheme="majorHAnsi" w:cs="PTSans-Bold"/>
          <w:color w:val="000000"/>
        </w:rPr>
        <w:t xml:space="preserve">xperts recommend that </w:t>
      </w:r>
      <w:r w:rsidR="00C35863" w:rsidRPr="00507D89">
        <w:rPr>
          <w:rFonts w:asciiTheme="majorHAnsi" w:hAnsiTheme="majorHAnsi" w:cs="PTSans-Bold"/>
          <w:b/>
          <w:bCs/>
          <w:color w:val="000000"/>
        </w:rPr>
        <w:t xml:space="preserve">all </w:t>
      </w:r>
      <w:r w:rsidR="00C35863" w:rsidRPr="00507D89">
        <w:rPr>
          <w:rFonts w:asciiTheme="majorHAnsi" w:hAnsiTheme="majorHAnsi" w:cs="PTSans-Bold"/>
          <w:color w:val="000000"/>
        </w:rPr>
        <w:t>people wit</w:t>
      </w:r>
      <w:r w:rsidR="00C35863">
        <w:rPr>
          <w:rFonts w:asciiTheme="majorHAnsi" w:hAnsiTheme="majorHAnsi" w:cs="PTSans-Bold"/>
          <w:color w:val="000000"/>
        </w:rPr>
        <w:t xml:space="preserve">h HIV be treated, regardless of </w:t>
      </w:r>
      <w:r w:rsidR="00C35863" w:rsidRPr="00507D89">
        <w:rPr>
          <w:rFonts w:asciiTheme="majorHAnsi" w:hAnsiTheme="majorHAnsi" w:cs="PTSans-Bold"/>
          <w:color w:val="000000"/>
        </w:rPr>
        <w:t>clinical status or CD4 cell count</w:t>
      </w:r>
      <w:r w:rsidR="0081590D">
        <w:rPr>
          <w:rFonts w:asciiTheme="majorHAnsi" w:hAnsiTheme="majorHAnsi" w:cs="PTSans-Bold"/>
          <w:color w:val="000000"/>
        </w:rPr>
        <w:t>.</w:t>
      </w:r>
      <w:r w:rsidR="00C35863" w:rsidRPr="001919D9">
        <w:rPr>
          <w:rFonts w:asciiTheme="majorHAnsi" w:hAnsiTheme="majorHAnsi" w:cs="PTSans-Bold"/>
          <w:color w:val="000000"/>
          <w:vertAlign w:val="superscript"/>
        </w:rPr>
        <w:t>[17, 18]</w:t>
      </w:r>
      <w:r w:rsidR="00C35863" w:rsidRPr="00507D89">
        <w:rPr>
          <w:rFonts w:asciiTheme="majorHAnsi" w:hAnsiTheme="majorHAnsi" w:cs="PTSans-Bold"/>
          <w:color w:val="000000"/>
        </w:rPr>
        <w:t xml:space="preserve"> Virologic suppression of the HIV-infected partner protects his or her healt</w:t>
      </w:r>
      <w:r w:rsidR="00A47E4A">
        <w:rPr>
          <w:rFonts w:asciiTheme="majorHAnsi" w:hAnsiTheme="majorHAnsi" w:cs="PTSans-Bold"/>
          <w:color w:val="000000"/>
        </w:rPr>
        <w:t xml:space="preserve">h and the </w:t>
      </w:r>
      <w:r w:rsidR="00C35863" w:rsidRPr="00507D89">
        <w:rPr>
          <w:rFonts w:asciiTheme="majorHAnsi" w:hAnsiTheme="majorHAnsi" w:cs="PTSans-Bold"/>
          <w:color w:val="000000"/>
        </w:rPr>
        <w:t>health of the HIV-uninfected partner</w:t>
      </w:r>
      <w:r w:rsidR="0081590D">
        <w:rPr>
          <w:rFonts w:asciiTheme="majorHAnsi" w:hAnsiTheme="majorHAnsi" w:cs="PTSans-Bold"/>
          <w:color w:val="000000"/>
        </w:rPr>
        <w:t>.</w:t>
      </w:r>
      <w:r w:rsidR="00C35863" w:rsidRPr="001919D9">
        <w:rPr>
          <w:rFonts w:asciiTheme="majorHAnsi" w:hAnsiTheme="majorHAnsi" w:cs="PTSans-Bold"/>
          <w:color w:val="000000"/>
          <w:vertAlign w:val="superscript"/>
        </w:rPr>
        <w:t>[19]</w:t>
      </w:r>
      <w:r w:rsidR="00C35863" w:rsidRPr="00507D89">
        <w:rPr>
          <w:rFonts w:asciiTheme="majorHAnsi" w:hAnsiTheme="majorHAnsi" w:cs="PTSans-Bold"/>
          <w:color w:val="000000"/>
        </w:rPr>
        <w:t xml:space="preserve"> Whether the HIV-negative partner should take PrEP if the po</w:t>
      </w:r>
      <w:r w:rsidR="00C35863">
        <w:rPr>
          <w:rFonts w:asciiTheme="majorHAnsi" w:hAnsiTheme="majorHAnsi" w:cs="PTSans-Bold"/>
          <w:color w:val="000000"/>
        </w:rPr>
        <w:t xml:space="preserve">sitive partner is virologically </w:t>
      </w:r>
      <w:r w:rsidR="00C35863" w:rsidRPr="00507D89">
        <w:rPr>
          <w:rFonts w:asciiTheme="majorHAnsi" w:hAnsiTheme="majorHAnsi" w:cs="PTSans-Bold"/>
          <w:color w:val="000000"/>
        </w:rPr>
        <w:t>suppressed is a matter of substantial debate. This decision must be individualized and may depend on the HIV-positive</w:t>
      </w:r>
      <w:r w:rsidR="00A47E4A">
        <w:rPr>
          <w:rFonts w:asciiTheme="majorHAnsi" w:hAnsiTheme="majorHAnsi" w:cs="PTSans-Bold"/>
          <w:color w:val="000000"/>
        </w:rPr>
        <w:t xml:space="preserve"> </w:t>
      </w:r>
      <w:r w:rsidR="00C35863" w:rsidRPr="00507D89">
        <w:rPr>
          <w:rFonts w:asciiTheme="majorHAnsi" w:hAnsiTheme="majorHAnsi" w:cs="PTSans-Bold"/>
          <w:color w:val="000000"/>
        </w:rPr>
        <w:t>partner’s virologic control, condom use</w:t>
      </w:r>
      <w:r w:rsidR="0081590D">
        <w:rPr>
          <w:rFonts w:asciiTheme="majorHAnsi" w:hAnsiTheme="majorHAnsi" w:cs="PTSans-Bold"/>
          <w:color w:val="000000"/>
        </w:rPr>
        <w:t>,</w:t>
      </w:r>
      <w:r w:rsidR="00C35863" w:rsidRPr="00507D89">
        <w:rPr>
          <w:rFonts w:asciiTheme="majorHAnsi" w:hAnsiTheme="majorHAnsi" w:cs="PTSans-Bold"/>
          <w:color w:val="000000"/>
        </w:rPr>
        <w:t xml:space="preserve"> and other partners that the HIV-negative partner may have.</w:t>
      </w:r>
    </w:p>
    <w:p w14:paraId="2B06A3A7" w14:textId="77777777" w:rsidR="00A40CCD" w:rsidRDefault="00A40CCD" w:rsidP="00C35863">
      <w:pPr>
        <w:widowControl w:val="0"/>
        <w:autoSpaceDE w:val="0"/>
        <w:autoSpaceDN w:val="0"/>
        <w:adjustRightInd w:val="0"/>
        <w:rPr>
          <w:rFonts w:asciiTheme="majorHAnsi" w:hAnsiTheme="majorHAnsi" w:cs="PTSans-Bold"/>
          <w:color w:val="000000"/>
        </w:rPr>
      </w:pPr>
    </w:p>
    <w:p w14:paraId="45AB478F" w14:textId="0005B822" w:rsidR="00C35863" w:rsidRPr="00507D89" w:rsidRDefault="00C35863" w:rsidP="001919D9">
      <w:pPr>
        <w:widowControl w:val="0"/>
        <w:autoSpaceDE w:val="0"/>
        <w:autoSpaceDN w:val="0"/>
        <w:adjustRightInd w:val="0"/>
        <w:rPr>
          <w:rFonts w:asciiTheme="majorHAnsi" w:hAnsiTheme="majorHAnsi" w:cs="PTSans-Bold"/>
          <w:color w:val="000000"/>
        </w:rPr>
      </w:pPr>
      <w:r w:rsidRPr="001919D9">
        <w:rPr>
          <w:rFonts w:asciiTheme="majorHAnsi" w:hAnsiTheme="majorHAnsi" w:cs="PTSans-Bold"/>
          <w:color w:val="000000"/>
        </w:rPr>
        <w:t>Factors</w:t>
      </w:r>
      <w:r w:rsidRPr="00507D89">
        <w:rPr>
          <w:rFonts w:asciiTheme="majorHAnsi" w:hAnsiTheme="majorHAnsi" w:cs="PTSans-Bold"/>
          <w:color w:val="000000"/>
        </w:rPr>
        <w:t xml:space="preserve"> against providing PrEP to the negative partner if the positive partner has an undetectable plasma viral load includerecent large cohort studies suggesti</w:t>
      </w:r>
      <w:r>
        <w:rPr>
          <w:rFonts w:asciiTheme="majorHAnsi" w:hAnsiTheme="majorHAnsi" w:cs="PTSans-Bold"/>
          <w:color w:val="000000"/>
        </w:rPr>
        <w:t>ng that the risk of seroconvers</w:t>
      </w:r>
      <w:r w:rsidRPr="00507D89">
        <w:rPr>
          <w:rFonts w:asciiTheme="majorHAnsi" w:hAnsiTheme="majorHAnsi" w:cs="PTSans-Bold"/>
          <w:color w:val="000000"/>
        </w:rPr>
        <w:t>ion in stable, serodiscordant couples may be negligible</w:t>
      </w:r>
      <w:r w:rsidR="0081590D">
        <w:rPr>
          <w:rFonts w:asciiTheme="majorHAnsi" w:hAnsiTheme="majorHAnsi" w:cs="PTSans-Bold"/>
          <w:color w:val="000000"/>
        </w:rPr>
        <w:t>.</w:t>
      </w:r>
      <w:r w:rsidRPr="00507D89">
        <w:rPr>
          <w:rFonts w:asciiTheme="majorHAnsi" w:hAnsiTheme="majorHAnsi" w:cs="PTSans-Bold"/>
          <w:color w:val="000000"/>
          <w:vertAlign w:val="superscript"/>
        </w:rPr>
        <w:t>[20</w:t>
      </w:r>
      <w:r w:rsidRPr="00857BE1">
        <w:rPr>
          <w:rFonts w:asciiTheme="majorHAnsi" w:hAnsiTheme="majorHAnsi" w:cs="PTSans-Bold"/>
          <w:color w:val="000000"/>
          <w:vertAlign w:val="superscript"/>
        </w:rPr>
        <w:t>]</w:t>
      </w:r>
    </w:p>
    <w:p w14:paraId="1A32362B" w14:textId="77777777" w:rsidR="00A47E4A" w:rsidRDefault="00A47E4A" w:rsidP="00C35863">
      <w:pPr>
        <w:rPr>
          <w:rFonts w:asciiTheme="majorHAnsi" w:hAnsiTheme="majorHAnsi" w:cs="PTSans-Bold"/>
          <w:bCs/>
        </w:rPr>
      </w:pPr>
    </w:p>
    <w:p w14:paraId="1FA6C31B" w14:textId="6D4F6731" w:rsidR="00C35863" w:rsidRDefault="00C35863" w:rsidP="00C35863">
      <w:pPr>
        <w:widowControl w:val="0"/>
        <w:autoSpaceDE w:val="0"/>
        <w:autoSpaceDN w:val="0"/>
        <w:adjustRightInd w:val="0"/>
        <w:rPr>
          <w:rFonts w:asciiTheme="majorHAnsi" w:hAnsiTheme="majorHAnsi" w:cs="PTSans-Bold"/>
          <w:color w:val="000000"/>
        </w:rPr>
      </w:pPr>
      <w:r w:rsidRPr="001919D9">
        <w:rPr>
          <w:rFonts w:asciiTheme="majorHAnsi" w:hAnsiTheme="majorHAnsi" w:cs="PTSans-Bold"/>
          <w:color w:val="000000"/>
        </w:rPr>
        <w:t>Factors</w:t>
      </w:r>
      <w:r w:rsidRPr="00507D89">
        <w:rPr>
          <w:rFonts w:asciiTheme="majorHAnsi" w:hAnsiTheme="majorHAnsi" w:cs="PTSans-Bold"/>
          <w:color w:val="000000"/>
        </w:rPr>
        <w:t xml:space="preserve"> for providing PrEP to the negative partner if the positive partner has an undetectable plasma viral load include the fact</w:t>
      </w:r>
      <w:r>
        <w:rPr>
          <w:rFonts w:asciiTheme="majorHAnsi" w:hAnsiTheme="majorHAnsi" w:cs="PTSans-Bold"/>
          <w:color w:val="000000"/>
        </w:rPr>
        <w:t xml:space="preserve"> </w:t>
      </w:r>
      <w:r w:rsidRPr="00507D89">
        <w:rPr>
          <w:rFonts w:asciiTheme="majorHAnsi" w:hAnsiTheme="majorHAnsi" w:cs="PTSans-Bold"/>
          <w:color w:val="000000"/>
        </w:rPr>
        <w:t>that adherence to antiretroviral therapy can lapse, and that there can be differences between plasma and seminal/vaginal fluid</w:t>
      </w:r>
      <w:r w:rsidR="00C8683A">
        <w:rPr>
          <w:rFonts w:asciiTheme="majorHAnsi" w:hAnsiTheme="majorHAnsi" w:cs="PTSans-Bold"/>
          <w:color w:val="000000"/>
        </w:rPr>
        <w:t xml:space="preserve"> </w:t>
      </w:r>
      <w:r w:rsidRPr="00507D89">
        <w:rPr>
          <w:rFonts w:asciiTheme="majorHAnsi" w:hAnsiTheme="majorHAnsi" w:cs="PTSans-Bold"/>
          <w:color w:val="000000"/>
        </w:rPr>
        <w:t>viral load measurements at any one time</w:t>
      </w:r>
      <w:r w:rsidR="001B47EB">
        <w:rPr>
          <w:rFonts w:asciiTheme="majorHAnsi" w:hAnsiTheme="majorHAnsi" w:cs="PTSans-Bold"/>
          <w:color w:val="000000"/>
        </w:rPr>
        <w:t>.</w:t>
      </w:r>
      <w:r w:rsidRPr="00507D89">
        <w:rPr>
          <w:rFonts w:asciiTheme="majorHAnsi" w:hAnsiTheme="majorHAnsi" w:cs="PTSans-Bold"/>
          <w:color w:val="000000"/>
          <w:vertAlign w:val="superscript"/>
        </w:rPr>
        <w:t>[21]</w:t>
      </w:r>
      <w:r w:rsidRPr="00507D89">
        <w:rPr>
          <w:rFonts w:asciiTheme="majorHAnsi" w:hAnsiTheme="majorHAnsi" w:cs="PTSans-Bold"/>
          <w:color w:val="000000"/>
        </w:rPr>
        <w:t xml:space="preserve"> Additionally, many studies have supported tha</w:t>
      </w:r>
      <w:r>
        <w:rPr>
          <w:rFonts w:asciiTheme="majorHAnsi" w:hAnsiTheme="majorHAnsi" w:cs="PTSans-Bold"/>
          <w:color w:val="000000"/>
        </w:rPr>
        <w:t xml:space="preserve">t much HIV transmission is from </w:t>
      </w:r>
      <w:r w:rsidRPr="00507D89">
        <w:rPr>
          <w:rFonts w:asciiTheme="majorHAnsi" w:hAnsiTheme="majorHAnsi" w:cs="PTSans-Bold"/>
          <w:color w:val="000000"/>
        </w:rPr>
        <w:t>non-main partners</w:t>
      </w:r>
      <w:r w:rsidR="001B47EB">
        <w:rPr>
          <w:rFonts w:asciiTheme="majorHAnsi" w:hAnsiTheme="majorHAnsi" w:cs="PTSans-Bold"/>
          <w:color w:val="000000"/>
        </w:rPr>
        <w:t>.</w:t>
      </w:r>
      <w:r w:rsidRPr="00507D89">
        <w:rPr>
          <w:rFonts w:asciiTheme="majorHAnsi" w:hAnsiTheme="majorHAnsi" w:cs="PTSans-Bold"/>
          <w:color w:val="000000"/>
          <w:vertAlign w:val="superscript"/>
        </w:rPr>
        <w:t>[19</w:t>
      </w:r>
      <w:r w:rsidRPr="00857BE1">
        <w:rPr>
          <w:rFonts w:asciiTheme="majorHAnsi" w:hAnsiTheme="majorHAnsi" w:cs="PTSans-Bold"/>
          <w:color w:val="000000"/>
          <w:vertAlign w:val="superscript"/>
        </w:rPr>
        <w:t>]</w:t>
      </w:r>
    </w:p>
    <w:p w14:paraId="63365C18" w14:textId="77777777" w:rsidR="00EE0698" w:rsidRDefault="00EE0698" w:rsidP="00753335">
      <w:pPr>
        <w:rPr>
          <w:rFonts w:asciiTheme="majorHAnsi" w:hAnsiTheme="majorHAnsi" w:cs="PTSans-Bold"/>
          <w:color w:val="000000"/>
        </w:rPr>
      </w:pPr>
    </w:p>
    <w:p w14:paraId="38C0F9C3" w14:textId="5AF73552" w:rsidR="00A40CCD" w:rsidRPr="00753335" w:rsidRDefault="00C35863" w:rsidP="00753335">
      <w:pPr>
        <w:rPr>
          <w:rFonts w:asciiTheme="majorHAnsi" w:hAnsiTheme="majorHAnsi" w:cs="PTSans-Bold"/>
          <w:bCs/>
        </w:rPr>
      </w:pPr>
      <w:r w:rsidRPr="00507D89">
        <w:rPr>
          <w:rFonts w:asciiTheme="majorHAnsi" w:hAnsiTheme="majorHAnsi" w:cs="PTSans-Bold"/>
          <w:b/>
          <w:bCs/>
          <w:color w:val="000000"/>
        </w:rPr>
        <w:t xml:space="preserve">For more information: </w:t>
      </w:r>
      <w:r w:rsidRPr="00813111">
        <w:rPr>
          <w:rFonts w:asciiTheme="majorHAnsi" w:hAnsiTheme="majorHAnsi" w:cs="PTSans-Bold"/>
          <w:color w:val="000000"/>
        </w:rPr>
        <w:t xml:space="preserve">Go </w:t>
      </w:r>
      <w:r w:rsidRPr="00813111">
        <w:rPr>
          <w:rFonts w:asciiTheme="majorHAnsi" w:hAnsiTheme="majorHAnsi" w:cs="PTSans-Bold"/>
        </w:rPr>
        <w:t xml:space="preserve">to </w:t>
      </w:r>
      <w:r w:rsidR="00753335">
        <w:rPr>
          <w:rFonts w:asciiTheme="majorHAnsi" w:hAnsiTheme="majorHAnsi" w:cs="PTSans-Bold"/>
          <w:bCs/>
        </w:rPr>
        <w:t>www.</w:t>
      </w:r>
      <w:r w:rsidR="00753335" w:rsidRPr="00753335">
        <w:rPr>
          <w:rFonts w:asciiTheme="majorHAnsi" w:hAnsiTheme="majorHAnsi" w:cs="HelveticaNeue-BoldCond"/>
          <w:b/>
        </w:rPr>
        <w:t>cdc.gov/hiv/pdf/guidelines/PrEPguidelines2014.pdf&gt;.</w:t>
      </w:r>
    </w:p>
    <w:p w14:paraId="26B739CD" w14:textId="77777777" w:rsidR="003F2FCC" w:rsidRDefault="003F2FCC">
      <w:pPr>
        <w:rPr>
          <w:rFonts w:asciiTheme="majorHAnsi" w:hAnsiTheme="majorHAnsi" w:cs="PTSans-Bold"/>
          <w:bCs/>
        </w:rPr>
      </w:pPr>
      <w:r>
        <w:rPr>
          <w:rFonts w:asciiTheme="majorHAnsi" w:hAnsiTheme="majorHAnsi" w:cs="PTSans-Bold"/>
          <w:bCs/>
        </w:rPr>
        <w:br w:type="page"/>
      </w:r>
    </w:p>
    <w:p w14:paraId="210BB88A" w14:textId="25D46624" w:rsidR="00C35863" w:rsidRPr="00813111" w:rsidRDefault="006B001B" w:rsidP="006B001B">
      <w:pPr>
        <w:widowControl w:val="0"/>
        <w:autoSpaceDE w:val="0"/>
        <w:autoSpaceDN w:val="0"/>
        <w:adjustRightInd w:val="0"/>
        <w:rPr>
          <w:rFonts w:asciiTheme="majorHAnsi" w:hAnsiTheme="majorHAnsi" w:cs="PTSans-Bold"/>
          <w:color w:val="FF0000"/>
          <w:sz w:val="20"/>
          <w:szCs w:val="20"/>
          <w:highlight w:val="yellow"/>
        </w:rPr>
      </w:pPr>
      <w:r w:rsidRPr="00EE0698">
        <w:rPr>
          <w:rFonts w:asciiTheme="majorHAnsi" w:hAnsiTheme="majorHAnsi" w:cs="PTSans-Bold"/>
          <w:bCs/>
          <w:color w:val="3366FF"/>
          <w:sz w:val="16"/>
          <w:szCs w:val="16"/>
        </w:rPr>
        <w:lastRenderedPageBreak/>
        <w:t xml:space="preserve"> </w:t>
      </w:r>
      <w:r w:rsidR="00DD080C" w:rsidRPr="00EE0698">
        <w:rPr>
          <w:rFonts w:asciiTheme="majorHAnsi" w:hAnsiTheme="majorHAnsi" w:cs="PTSans-Bold"/>
          <w:bCs/>
          <w:color w:val="3366FF"/>
          <w:sz w:val="16"/>
          <w:szCs w:val="16"/>
        </w:rPr>
        <w:t xml:space="preserve">(page 6 (back page </w:t>
      </w:r>
      <w:r w:rsidR="00C35863" w:rsidRPr="00EE0698">
        <w:rPr>
          <w:rFonts w:asciiTheme="majorHAnsi" w:hAnsiTheme="majorHAnsi" w:cs="PTSans-Bold"/>
          <w:bCs/>
          <w:color w:val="3366FF"/>
          <w:sz w:val="16"/>
          <w:szCs w:val="16"/>
        </w:rPr>
        <w:t>)</w:t>
      </w:r>
      <w:r>
        <w:rPr>
          <w:rFonts w:asciiTheme="majorHAnsi" w:hAnsiTheme="majorHAnsi" w:cs="PTSans-Bold"/>
          <w:bCs/>
          <w:color w:val="3366FF"/>
        </w:rPr>
        <w:t xml:space="preserve"> </w:t>
      </w:r>
      <w:r w:rsidR="00D54F9B" w:rsidRPr="006B001B">
        <w:rPr>
          <w:rFonts w:asciiTheme="majorHAnsi" w:hAnsiTheme="majorHAnsi" w:cs="PTSans-Bold"/>
          <w:color w:val="FF0000"/>
          <w:sz w:val="20"/>
          <w:szCs w:val="20"/>
        </w:rPr>
        <w:t>(Refer</w:t>
      </w:r>
      <w:r w:rsidR="000A6A28" w:rsidRPr="006B001B">
        <w:rPr>
          <w:rFonts w:asciiTheme="majorHAnsi" w:hAnsiTheme="majorHAnsi" w:cs="PTSans-Bold"/>
          <w:color w:val="FF0000"/>
          <w:sz w:val="20"/>
          <w:szCs w:val="20"/>
        </w:rPr>
        <w:t>e</w:t>
      </w:r>
      <w:r w:rsidR="00D54F9B" w:rsidRPr="006B001B">
        <w:rPr>
          <w:rFonts w:asciiTheme="majorHAnsi" w:hAnsiTheme="majorHAnsi" w:cs="PTSans-Bold"/>
          <w:color w:val="FF0000"/>
          <w:sz w:val="20"/>
          <w:szCs w:val="20"/>
        </w:rPr>
        <w:t xml:space="preserve">nces </w:t>
      </w:r>
      <w:r w:rsidRPr="006B001B">
        <w:rPr>
          <w:rFonts w:asciiTheme="majorHAnsi" w:hAnsiTheme="majorHAnsi" w:cs="PTSans-Bold"/>
          <w:color w:val="FF0000"/>
          <w:sz w:val="20"/>
          <w:szCs w:val="20"/>
        </w:rPr>
        <w:t>will</w:t>
      </w:r>
      <w:r w:rsidR="00D54F9B" w:rsidRPr="006B001B">
        <w:rPr>
          <w:rFonts w:asciiTheme="majorHAnsi" w:hAnsiTheme="majorHAnsi" w:cs="PTSans-Bold"/>
          <w:color w:val="FF0000"/>
          <w:sz w:val="20"/>
          <w:szCs w:val="20"/>
        </w:rPr>
        <w:t xml:space="preserve"> be checked</w:t>
      </w:r>
      <w:r w:rsidR="00A15E73" w:rsidRPr="006B001B">
        <w:rPr>
          <w:rFonts w:asciiTheme="majorHAnsi" w:hAnsiTheme="majorHAnsi" w:cs="PTSans-Bold"/>
          <w:color w:val="FF0000"/>
          <w:sz w:val="20"/>
          <w:szCs w:val="20"/>
        </w:rPr>
        <w:t xml:space="preserve"> &amp; re-ordered after </w:t>
      </w:r>
      <w:r w:rsidRPr="006B001B">
        <w:rPr>
          <w:rFonts w:asciiTheme="majorHAnsi" w:hAnsiTheme="majorHAnsi" w:cs="PTSans-Bold"/>
          <w:color w:val="FF0000"/>
          <w:sz w:val="20"/>
          <w:szCs w:val="20"/>
        </w:rPr>
        <w:t xml:space="preserve">content and </w:t>
      </w:r>
      <w:r w:rsidR="00A15E73" w:rsidRPr="006B001B">
        <w:rPr>
          <w:rFonts w:asciiTheme="majorHAnsi" w:hAnsiTheme="majorHAnsi" w:cs="PTSans-Bold"/>
          <w:color w:val="FF0000"/>
          <w:sz w:val="20"/>
          <w:szCs w:val="20"/>
        </w:rPr>
        <w:t>overall flow is approved</w:t>
      </w:r>
      <w:r>
        <w:rPr>
          <w:rFonts w:asciiTheme="majorHAnsi" w:hAnsiTheme="majorHAnsi" w:cs="PTSans-Bold"/>
          <w:color w:val="FF0000"/>
          <w:sz w:val="20"/>
          <w:szCs w:val="20"/>
        </w:rPr>
        <w:t>)</w:t>
      </w:r>
    </w:p>
    <w:p w14:paraId="66AB09CC" w14:textId="77777777" w:rsidR="00012254" w:rsidRDefault="00012254" w:rsidP="00C35863">
      <w:pPr>
        <w:widowControl w:val="0"/>
        <w:autoSpaceDE w:val="0"/>
        <w:autoSpaceDN w:val="0"/>
        <w:adjustRightInd w:val="0"/>
        <w:rPr>
          <w:rFonts w:asciiTheme="majorHAnsi" w:hAnsiTheme="majorHAnsi" w:cs="HelveticaNeue-BoldCond"/>
          <w:b/>
          <w:bCs/>
          <w:sz w:val="20"/>
          <w:szCs w:val="20"/>
        </w:rPr>
      </w:pPr>
    </w:p>
    <w:p w14:paraId="59B33E54" w14:textId="77777777" w:rsidR="00C35863" w:rsidRPr="00D34532" w:rsidRDefault="00C35863" w:rsidP="00C35863">
      <w:pPr>
        <w:widowControl w:val="0"/>
        <w:autoSpaceDE w:val="0"/>
        <w:autoSpaceDN w:val="0"/>
        <w:adjustRightInd w:val="0"/>
        <w:rPr>
          <w:rFonts w:asciiTheme="majorHAnsi" w:hAnsiTheme="majorHAnsi" w:cs="HelveticaNeue-BoldCond"/>
          <w:b/>
          <w:bCs/>
          <w:sz w:val="20"/>
          <w:szCs w:val="20"/>
        </w:rPr>
      </w:pPr>
      <w:r w:rsidRPr="00D34532">
        <w:rPr>
          <w:rFonts w:asciiTheme="majorHAnsi" w:hAnsiTheme="majorHAnsi" w:cs="HelveticaNeue-BoldCond"/>
          <w:b/>
          <w:bCs/>
          <w:sz w:val="20"/>
          <w:szCs w:val="20"/>
        </w:rPr>
        <w:t>REFERENCES</w:t>
      </w:r>
    </w:p>
    <w:p w14:paraId="7A762CCB" w14:textId="107251E7" w:rsidR="00C35863" w:rsidRPr="00D34532" w:rsidRDefault="0062002F" w:rsidP="00C35863">
      <w:pPr>
        <w:widowControl w:val="0"/>
        <w:autoSpaceDE w:val="0"/>
        <w:autoSpaceDN w:val="0"/>
        <w:adjustRightInd w:val="0"/>
        <w:rPr>
          <w:rFonts w:asciiTheme="majorHAnsi" w:hAnsiTheme="majorHAnsi" w:cs="HelveticaNeue-BoldCond"/>
          <w:sz w:val="20"/>
          <w:szCs w:val="20"/>
        </w:rPr>
      </w:pPr>
      <w:r>
        <w:rPr>
          <w:rFonts w:asciiTheme="majorHAnsi" w:hAnsiTheme="majorHAnsi" w:cs="HelveticaNeue-BoldCond"/>
          <w:sz w:val="20"/>
          <w:szCs w:val="20"/>
        </w:rPr>
        <w:t>1</w:t>
      </w:r>
      <w:r w:rsidR="00C35863" w:rsidRPr="00D34532">
        <w:rPr>
          <w:rFonts w:asciiTheme="majorHAnsi" w:hAnsiTheme="majorHAnsi" w:cs="HelveticaNeue-BoldCond"/>
          <w:sz w:val="20"/>
          <w:szCs w:val="20"/>
        </w:rPr>
        <w:t>. Centers for Disease Control and Prevention (CDC). A Clinical Practice Guideline.</w:t>
      </w:r>
      <w:r w:rsidR="00A47E4A" w:rsidRPr="00D34532">
        <w:rPr>
          <w:rFonts w:asciiTheme="majorHAnsi" w:hAnsiTheme="majorHAnsi" w:cs="HelveticaNeue-BoldCond"/>
          <w:sz w:val="20"/>
          <w:szCs w:val="20"/>
        </w:rPr>
        <w:t xml:space="preserve"> </w:t>
      </w:r>
      <w:r w:rsidR="00C35863" w:rsidRPr="00D34532">
        <w:rPr>
          <w:rFonts w:asciiTheme="majorHAnsi" w:hAnsiTheme="majorHAnsi" w:cs="HelveticaNeue-BoldCond"/>
          <w:sz w:val="20"/>
          <w:szCs w:val="20"/>
        </w:rPr>
        <w:t xml:space="preserve">Pre-Exposure Prophylaxis for the Prevention of HIV </w:t>
      </w:r>
      <w:r w:rsidR="00A47E4A" w:rsidRPr="00D34532">
        <w:rPr>
          <w:rFonts w:asciiTheme="majorHAnsi" w:hAnsiTheme="majorHAnsi" w:cs="HelveticaNeue-BoldCond"/>
          <w:sz w:val="20"/>
          <w:szCs w:val="20"/>
        </w:rPr>
        <w:t xml:space="preserve">Infection in the United States. </w:t>
      </w:r>
      <w:r w:rsidR="00C35863" w:rsidRPr="00D34532">
        <w:rPr>
          <w:rFonts w:asciiTheme="majorHAnsi" w:hAnsiTheme="majorHAnsi" w:cs="HelveticaNeue-BoldCond"/>
          <w:sz w:val="20"/>
          <w:szCs w:val="20"/>
        </w:rPr>
        <w:t>2014.</w:t>
      </w:r>
      <w:r w:rsidR="00A47E4A" w:rsidRPr="00D34532">
        <w:rPr>
          <w:rFonts w:asciiTheme="majorHAnsi" w:hAnsiTheme="majorHAnsi" w:cs="HelveticaNeue-BoldCond"/>
          <w:sz w:val="20"/>
          <w:szCs w:val="20"/>
        </w:rPr>
        <w:t xml:space="preserve"> </w:t>
      </w:r>
      <w:r w:rsidR="00C35863" w:rsidRPr="00D34532">
        <w:rPr>
          <w:rFonts w:asciiTheme="majorHAnsi" w:hAnsiTheme="majorHAnsi" w:cs="HelveticaNeue-BoldCond"/>
          <w:sz w:val="20"/>
          <w:szCs w:val="20"/>
        </w:rPr>
        <w:t>&lt;http://www.cdc.gov/hiv/pdf/guidelines/PrEPguidelines2014.pdf&gt;.</w:t>
      </w:r>
    </w:p>
    <w:p w14:paraId="22A167CD" w14:textId="77777777" w:rsidR="00C35863" w:rsidRPr="00D34532" w:rsidRDefault="00C35863" w:rsidP="00C35863">
      <w:pPr>
        <w:widowControl w:val="0"/>
        <w:autoSpaceDE w:val="0"/>
        <w:autoSpaceDN w:val="0"/>
        <w:adjustRightInd w:val="0"/>
        <w:rPr>
          <w:rFonts w:asciiTheme="majorHAnsi" w:hAnsiTheme="majorHAnsi" w:cs="HelveticaNeue-BoldCond"/>
          <w:sz w:val="20"/>
          <w:szCs w:val="20"/>
        </w:rPr>
      </w:pPr>
    </w:p>
    <w:p w14:paraId="1580E4D6" w14:textId="43A9AEC8" w:rsidR="00C35863" w:rsidRPr="00D34532" w:rsidRDefault="0062002F" w:rsidP="00C35863">
      <w:pPr>
        <w:widowControl w:val="0"/>
        <w:autoSpaceDE w:val="0"/>
        <w:autoSpaceDN w:val="0"/>
        <w:adjustRightInd w:val="0"/>
        <w:rPr>
          <w:rFonts w:asciiTheme="majorHAnsi" w:hAnsiTheme="majorHAnsi" w:cs="HelveticaNeue-BoldCond"/>
          <w:sz w:val="20"/>
          <w:szCs w:val="20"/>
        </w:rPr>
      </w:pPr>
      <w:r>
        <w:rPr>
          <w:rFonts w:asciiTheme="majorHAnsi" w:hAnsiTheme="majorHAnsi" w:cs="HelveticaNeue-BoldCond"/>
          <w:sz w:val="20"/>
          <w:szCs w:val="20"/>
        </w:rPr>
        <w:t>2</w:t>
      </w:r>
      <w:r w:rsidR="00C35863" w:rsidRPr="00D34532">
        <w:rPr>
          <w:rFonts w:asciiTheme="majorHAnsi" w:hAnsiTheme="majorHAnsi" w:cs="HelveticaNeue-BoldCond"/>
          <w:sz w:val="20"/>
          <w:szCs w:val="20"/>
        </w:rPr>
        <w:t>. Centers for Disease Control and Prevention(CDC). Clinical Provi</w:t>
      </w:r>
      <w:r w:rsidR="00A47E4A" w:rsidRPr="00D34532">
        <w:rPr>
          <w:rFonts w:asciiTheme="majorHAnsi" w:hAnsiTheme="majorHAnsi" w:cs="HelveticaNeue-BoldCond"/>
          <w:sz w:val="20"/>
          <w:szCs w:val="20"/>
        </w:rPr>
        <w:t xml:space="preserve">ders’ Supplement. </w:t>
      </w:r>
      <w:r w:rsidR="00C35863" w:rsidRPr="00D34532">
        <w:rPr>
          <w:rFonts w:asciiTheme="majorHAnsi" w:hAnsiTheme="majorHAnsi" w:cs="HelveticaNeue-BoldCond"/>
          <w:sz w:val="20"/>
          <w:szCs w:val="20"/>
        </w:rPr>
        <w:t>Pre-Exposure Prophylaxis for the Prevention of HIV Infection in the United States. 2014.</w:t>
      </w:r>
      <w:r w:rsidR="00A47E4A" w:rsidRPr="00D34532">
        <w:rPr>
          <w:rFonts w:asciiTheme="majorHAnsi" w:hAnsiTheme="majorHAnsi" w:cs="HelveticaNeue-BoldCond"/>
          <w:sz w:val="20"/>
          <w:szCs w:val="20"/>
        </w:rPr>
        <w:t xml:space="preserve"> </w:t>
      </w:r>
      <w:r w:rsidR="00C35863" w:rsidRPr="00D34532">
        <w:rPr>
          <w:rFonts w:asciiTheme="majorHAnsi" w:hAnsiTheme="majorHAnsi" w:cs="HelveticaNeue-BoldCond"/>
          <w:sz w:val="20"/>
          <w:szCs w:val="20"/>
        </w:rPr>
        <w:t>&lt;http://www.cdc.gov/hiv/pdf/guidelines/PrEPguidelines2014.pdf&gt;.</w:t>
      </w:r>
    </w:p>
    <w:p w14:paraId="0CD7928E" w14:textId="77777777" w:rsidR="00C35863" w:rsidRPr="00507D89" w:rsidRDefault="00C35863" w:rsidP="00C35863">
      <w:pPr>
        <w:widowControl w:val="0"/>
        <w:autoSpaceDE w:val="0"/>
        <w:autoSpaceDN w:val="0"/>
        <w:adjustRightInd w:val="0"/>
        <w:rPr>
          <w:rFonts w:asciiTheme="majorHAnsi" w:hAnsiTheme="majorHAnsi" w:cs="HelveticaNeue-BoldCond"/>
          <w:color w:val="000000"/>
          <w:sz w:val="20"/>
          <w:szCs w:val="20"/>
        </w:rPr>
      </w:pPr>
    </w:p>
    <w:p w14:paraId="6033F854" w14:textId="0B506FE9" w:rsidR="0062002F" w:rsidRDefault="0062002F" w:rsidP="0062002F">
      <w:pPr>
        <w:widowControl w:val="0"/>
        <w:autoSpaceDE w:val="0"/>
        <w:autoSpaceDN w:val="0"/>
        <w:adjustRightInd w:val="0"/>
        <w:rPr>
          <w:rFonts w:asciiTheme="majorHAnsi" w:hAnsiTheme="majorHAnsi" w:cs="HelveticaNeue-BoldCond"/>
          <w:color w:val="000000"/>
          <w:sz w:val="20"/>
          <w:szCs w:val="20"/>
        </w:rPr>
      </w:pPr>
      <w:r>
        <w:rPr>
          <w:rFonts w:asciiTheme="majorHAnsi" w:hAnsiTheme="majorHAnsi" w:cs="HelveticaNeue-BoldCond"/>
          <w:color w:val="000000"/>
          <w:sz w:val="20"/>
          <w:szCs w:val="20"/>
        </w:rPr>
        <w:t>3</w:t>
      </w:r>
      <w:r w:rsidRPr="00507D89">
        <w:rPr>
          <w:rFonts w:asciiTheme="majorHAnsi" w:hAnsiTheme="majorHAnsi" w:cs="HelveticaNeue-BoldCond"/>
          <w:color w:val="000000"/>
          <w:sz w:val="20"/>
          <w:szCs w:val="20"/>
        </w:rPr>
        <w:t>. Krakower D, Mayer KH. What primary care providers</w:t>
      </w:r>
      <w:r>
        <w:rPr>
          <w:rFonts w:asciiTheme="majorHAnsi" w:hAnsiTheme="majorHAnsi" w:cs="HelveticaNeue-BoldCond"/>
          <w:color w:val="000000"/>
          <w:sz w:val="20"/>
          <w:szCs w:val="20"/>
        </w:rPr>
        <w:t xml:space="preserve"> need to know about preexposure </w:t>
      </w:r>
      <w:r w:rsidRPr="00507D89">
        <w:rPr>
          <w:rFonts w:asciiTheme="majorHAnsi" w:hAnsiTheme="majorHAnsi" w:cs="HelveticaNeue-BoldCond"/>
          <w:color w:val="000000"/>
          <w:sz w:val="20"/>
          <w:szCs w:val="20"/>
        </w:rPr>
        <w:t>prophylaxis for HIV prevention: a narrative review. Annals of internal medicine 2012</w:t>
      </w:r>
      <w:r>
        <w:rPr>
          <w:rFonts w:asciiTheme="majorHAnsi" w:hAnsiTheme="majorHAnsi" w:cs="HelveticaNeue-BoldCond"/>
          <w:color w:val="000000"/>
          <w:sz w:val="20"/>
          <w:szCs w:val="20"/>
        </w:rPr>
        <w:t xml:space="preserve"> </w:t>
      </w:r>
      <w:r w:rsidRPr="00507D89">
        <w:rPr>
          <w:rFonts w:asciiTheme="majorHAnsi" w:hAnsiTheme="majorHAnsi" w:cs="HelveticaNeue-BoldCond"/>
          <w:color w:val="000000"/>
          <w:sz w:val="20"/>
          <w:szCs w:val="20"/>
        </w:rPr>
        <w:t>Oct 2;157(7):490-7.</w:t>
      </w:r>
    </w:p>
    <w:p w14:paraId="44CAA0DB" w14:textId="77777777" w:rsidR="0062002F" w:rsidRDefault="0062002F" w:rsidP="00C35863">
      <w:pPr>
        <w:widowControl w:val="0"/>
        <w:autoSpaceDE w:val="0"/>
        <w:autoSpaceDN w:val="0"/>
        <w:adjustRightInd w:val="0"/>
        <w:rPr>
          <w:rFonts w:asciiTheme="majorHAnsi" w:hAnsiTheme="majorHAnsi" w:cs="HelveticaNeue-BoldCond"/>
          <w:color w:val="000000"/>
          <w:sz w:val="20"/>
          <w:szCs w:val="20"/>
        </w:rPr>
      </w:pPr>
    </w:p>
    <w:p w14:paraId="49B717A6" w14:textId="4C7DBB11" w:rsidR="00C35863" w:rsidRPr="00B24E5B" w:rsidRDefault="0062002F" w:rsidP="00C35863">
      <w:pPr>
        <w:widowControl w:val="0"/>
        <w:autoSpaceDE w:val="0"/>
        <w:autoSpaceDN w:val="0"/>
        <w:adjustRightInd w:val="0"/>
        <w:rPr>
          <w:rFonts w:asciiTheme="majorHAnsi" w:hAnsiTheme="majorHAnsi" w:cs="HelveticaNeue-BoldCond"/>
          <w:color w:val="FF0000"/>
          <w:sz w:val="20"/>
          <w:szCs w:val="20"/>
        </w:rPr>
      </w:pPr>
      <w:r>
        <w:rPr>
          <w:rFonts w:asciiTheme="majorHAnsi" w:hAnsiTheme="majorHAnsi" w:cs="HelveticaNeue-BoldCond"/>
          <w:color w:val="000000"/>
          <w:sz w:val="20"/>
          <w:szCs w:val="20"/>
        </w:rPr>
        <w:t>4</w:t>
      </w:r>
      <w:r w:rsidR="00C35863" w:rsidRPr="00507D89">
        <w:rPr>
          <w:rFonts w:asciiTheme="majorHAnsi" w:hAnsiTheme="majorHAnsi" w:cs="HelveticaNeue-BoldCond"/>
          <w:color w:val="000000"/>
          <w:sz w:val="20"/>
          <w:szCs w:val="20"/>
        </w:rPr>
        <w:t>. Smith DK, Pals SL, Herbst JH, Shinde S, Carey JW. Development of a clinical scree</w:t>
      </w:r>
      <w:r w:rsidR="00A47E4A">
        <w:rPr>
          <w:rFonts w:asciiTheme="majorHAnsi" w:hAnsiTheme="majorHAnsi" w:cs="HelveticaNeue-BoldCond"/>
          <w:color w:val="000000"/>
          <w:sz w:val="20"/>
          <w:szCs w:val="20"/>
        </w:rPr>
        <w:t xml:space="preserve">ning </w:t>
      </w:r>
      <w:r w:rsidR="00C35863" w:rsidRPr="00507D89">
        <w:rPr>
          <w:rFonts w:asciiTheme="majorHAnsi" w:hAnsiTheme="majorHAnsi" w:cs="HelveticaNeue-BoldCond"/>
          <w:color w:val="000000"/>
          <w:sz w:val="20"/>
          <w:szCs w:val="20"/>
        </w:rPr>
        <w:t>index predictive of incident HIV infection among men who have sex with men in the</w:t>
      </w:r>
      <w:r w:rsidR="00A47E4A">
        <w:rPr>
          <w:rFonts w:asciiTheme="majorHAnsi" w:hAnsiTheme="majorHAnsi" w:cs="HelveticaNeue-BoldCond"/>
          <w:color w:val="000000"/>
          <w:sz w:val="20"/>
          <w:szCs w:val="20"/>
        </w:rPr>
        <w:t xml:space="preserve"> </w:t>
      </w:r>
      <w:r w:rsidR="00C35863" w:rsidRPr="00507D89">
        <w:rPr>
          <w:rFonts w:asciiTheme="majorHAnsi" w:hAnsiTheme="majorHAnsi" w:cs="HelveticaNeue-BoldCond"/>
          <w:color w:val="000000"/>
          <w:sz w:val="20"/>
          <w:szCs w:val="20"/>
        </w:rPr>
        <w:t>United States. J Acquir Immune Defic Syndr 2012 Aug 1;60(4):421-7</w:t>
      </w:r>
      <w:r w:rsidR="00C35863" w:rsidRPr="00F94683">
        <w:rPr>
          <w:rFonts w:asciiTheme="majorHAnsi" w:hAnsiTheme="majorHAnsi" w:cs="HelveticaNeue-BoldCond"/>
          <w:sz w:val="20"/>
          <w:szCs w:val="20"/>
        </w:rPr>
        <w:t>.</w:t>
      </w:r>
      <w:r w:rsidR="00B24E5B" w:rsidRPr="00F94683">
        <w:rPr>
          <w:rFonts w:asciiTheme="majorHAnsi" w:hAnsiTheme="majorHAnsi" w:cs="HelveticaNeue-BoldCond"/>
          <w:sz w:val="20"/>
          <w:szCs w:val="20"/>
        </w:rPr>
        <w:t xml:space="preserve"> </w:t>
      </w:r>
    </w:p>
    <w:p w14:paraId="7F157CA2" w14:textId="77777777" w:rsidR="00C35863" w:rsidRPr="00507D89" w:rsidRDefault="00C35863" w:rsidP="00C35863">
      <w:pPr>
        <w:widowControl w:val="0"/>
        <w:autoSpaceDE w:val="0"/>
        <w:autoSpaceDN w:val="0"/>
        <w:adjustRightInd w:val="0"/>
        <w:rPr>
          <w:rFonts w:asciiTheme="majorHAnsi" w:hAnsiTheme="majorHAnsi" w:cs="HelveticaNeue-BoldCond"/>
          <w:color w:val="000000"/>
          <w:sz w:val="20"/>
          <w:szCs w:val="20"/>
        </w:rPr>
      </w:pPr>
    </w:p>
    <w:p w14:paraId="410EDF18" w14:textId="0CD6728E" w:rsidR="00037BBD" w:rsidRPr="00A15E73" w:rsidRDefault="0062002F" w:rsidP="006B001B">
      <w:pPr>
        <w:widowControl w:val="0"/>
        <w:autoSpaceDE w:val="0"/>
        <w:autoSpaceDN w:val="0"/>
        <w:adjustRightInd w:val="0"/>
        <w:rPr>
          <w:rFonts w:asciiTheme="majorHAnsi" w:hAnsiTheme="majorHAnsi" w:cs="HelveticaNeue-BoldCond"/>
          <w:strike/>
          <w:sz w:val="20"/>
          <w:szCs w:val="20"/>
        </w:rPr>
      </w:pPr>
      <w:r w:rsidRPr="006B001B">
        <w:rPr>
          <w:rFonts w:asciiTheme="majorHAnsi" w:hAnsiTheme="majorHAnsi" w:cs="HelveticaNeue-BoldCond"/>
          <w:strike/>
          <w:color w:val="000000"/>
          <w:sz w:val="20"/>
          <w:szCs w:val="20"/>
        </w:rPr>
        <w:t>5</w:t>
      </w:r>
      <w:r w:rsidR="00C35863" w:rsidRPr="006B001B">
        <w:rPr>
          <w:rFonts w:asciiTheme="majorHAnsi" w:hAnsiTheme="majorHAnsi" w:cs="HelveticaNeue-BoldCond"/>
          <w:strike/>
          <w:color w:val="000000"/>
          <w:sz w:val="20"/>
          <w:szCs w:val="20"/>
        </w:rPr>
        <w:t xml:space="preserve">. </w:t>
      </w:r>
      <w:r w:rsidR="00037BBD" w:rsidRPr="006B001B">
        <w:rPr>
          <w:rFonts w:asciiTheme="majorHAnsi" w:hAnsiTheme="majorHAnsi" w:cs="HelveticaNeue-BoldCond"/>
          <w:strike/>
          <w:sz w:val="20"/>
          <w:szCs w:val="20"/>
        </w:rPr>
        <w:t>New York State (NYS). Guidance for the Use of Pre-Exposure Prophylaxis (PrEP) to Prevent HIV Transmission. 2014 Jan. &lt;http://www.hivguidelines.org/clinical-guidelines/pre-exposure-prophylaxis/guidance-for-the-use-of-pre-exposure-prophylaxis-prep-toprevent-hiv-transmission/&gt;.</w:t>
      </w:r>
    </w:p>
    <w:p w14:paraId="29D36E55" w14:textId="77777777" w:rsidR="00037BBD" w:rsidRDefault="00037BBD" w:rsidP="00C35863">
      <w:pPr>
        <w:widowControl w:val="0"/>
        <w:autoSpaceDE w:val="0"/>
        <w:autoSpaceDN w:val="0"/>
        <w:adjustRightInd w:val="0"/>
        <w:rPr>
          <w:rFonts w:asciiTheme="majorHAnsi" w:hAnsiTheme="majorHAnsi" w:cs="HelveticaNeue-BoldCond"/>
          <w:color w:val="000000"/>
          <w:sz w:val="20"/>
          <w:szCs w:val="20"/>
        </w:rPr>
      </w:pPr>
    </w:p>
    <w:p w14:paraId="4DE7CEEF" w14:textId="00293642" w:rsidR="00C35863" w:rsidRDefault="00037BBD" w:rsidP="00C35863">
      <w:pPr>
        <w:widowControl w:val="0"/>
        <w:autoSpaceDE w:val="0"/>
        <w:autoSpaceDN w:val="0"/>
        <w:adjustRightInd w:val="0"/>
        <w:rPr>
          <w:rFonts w:asciiTheme="majorHAnsi" w:hAnsiTheme="majorHAnsi" w:cs="HelveticaNeue-BoldCond"/>
          <w:color w:val="000000"/>
          <w:sz w:val="20"/>
          <w:szCs w:val="20"/>
        </w:rPr>
      </w:pPr>
      <w:r>
        <w:rPr>
          <w:rFonts w:asciiTheme="majorHAnsi" w:hAnsiTheme="majorHAnsi" w:cs="HelveticaNeue-BoldCond"/>
          <w:color w:val="000000"/>
          <w:sz w:val="20"/>
          <w:szCs w:val="20"/>
        </w:rPr>
        <w:t xml:space="preserve">6. </w:t>
      </w:r>
      <w:r w:rsidR="00C35863" w:rsidRPr="00507D89">
        <w:rPr>
          <w:rFonts w:asciiTheme="majorHAnsi" w:hAnsiTheme="majorHAnsi" w:cs="HelveticaNeue-BoldCond"/>
          <w:color w:val="000000"/>
          <w:sz w:val="20"/>
          <w:szCs w:val="20"/>
        </w:rPr>
        <w:t>Grant RM, Lama JR, Anderson PL, et al. Pre</w:t>
      </w:r>
      <w:r w:rsidR="00836D5C">
        <w:rPr>
          <w:rFonts w:asciiTheme="majorHAnsi" w:hAnsiTheme="majorHAnsi" w:cs="HelveticaNeue-BoldCond"/>
          <w:color w:val="000000"/>
          <w:sz w:val="20"/>
          <w:szCs w:val="20"/>
        </w:rPr>
        <w:t>-</w:t>
      </w:r>
      <w:r w:rsidR="00C35863" w:rsidRPr="00507D89">
        <w:rPr>
          <w:rFonts w:asciiTheme="majorHAnsi" w:hAnsiTheme="majorHAnsi" w:cs="HelveticaNeue-BoldCond"/>
          <w:color w:val="000000"/>
          <w:sz w:val="20"/>
          <w:szCs w:val="20"/>
        </w:rPr>
        <w:t>ex</w:t>
      </w:r>
      <w:r w:rsidR="00A47E4A">
        <w:rPr>
          <w:rFonts w:asciiTheme="majorHAnsi" w:hAnsiTheme="majorHAnsi" w:cs="HelveticaNeue-BoldCond"/>
          <w:color w:val="000000"/>
          <w:sz w:val="20"/>
          <w:szCs w:val="20"/>
        </w:rPr>
        <w:t xml:space="preserve">posure chemoprophylaxis for HIV </w:t>
      </w:r>
      <w:r w:rsidR="00C35863" w:rsidRPr="00507D89">
        <w:rPr>
          <w:rFonts w:asciiTheme="majorHAnsi" w:hAnsiTheme="majorHAnsi" w:cs="HelveticaNeue-BoldCond"/>
          <w:color w:val="000000"/>
          <w:sz w:val="20"/>
          <w:szCs w:val="20"/>
        </w:rPr>
        <w:t xml:space="preserve">prevention in men who have sex with men. </w:t>
      </w:r>
      <w:r w:rsidR="00857BE1">
        <w:rPr>
          <w:rFonts w:asciiTheme="majorHAnsi" w:hAnsiTheme="majorHAnsi" w:cs="HelveticaNeue-BoldCond"/>
          <w:color w:val="000000"/>
          <w:sz w:val="20"/>
          <w:szCs w:val="20"/>
        </w:rPr>
        <w:t>The New England Journal of M</w:t>
      </w:r>
      <w:r w:rsidR="00857BE1" w:rsidRPr="00507D89">
        <w:rPr>
          <w:rFonts w:asciiTheme="majorHAnsi" w:hAnsiTheme="majorHAnsi" w:cs="HelveticaNeue-BoldCond"/>
          <w:color w:val="000000"/>
          <w:sz w:val="20"/>
          <w:szCs w:val="20"/>
        </w:rPr>
        <w:t xml:space="preserve">edicine </w:t>
      </w:r>
      <w:r w:rsidR="00C35863" w:rsidRPr="00507D89">
        <w:rPr>
          <w:rFonts w:asciiTheme="majorHAnsi" w:hAnsiTheme="majorHAnsi" w:cs="HelveticaNeue-BoldCond"/>
          <w:color w:val="000000"/>
          <w:sz w:val="20"/>
          <w:szCs w:val="20"/>
        </w:rPr>
        <w:t>2010 Dec 30;363(27):2587-99.</w:t>
      </w:r>
    </w:p>
    <w:p w14:paraId="50FA8947" w14:textId="77777777" w:rsidR="00C35863" w:rsidRPr="00507D89" w:rsidRDefault="00C35863" w:rsidP="00C35863">
      <w:pPr>
        <w:widowControl w:val="0"/>
        <w:autoSpaceDE w:val="0"/>
        <w:autoSpaceDN w:val="0"/>
        <w:adjustRightInd w:val="0"/>
        <w:rPr>
          <w:rFonts w:asciiTheme="majorHAnsi" w:hAnsiTheme="majorHAnsi" w:cs="HelveticaNeue-BoldCond"/>
          <w:color w:val="000000"/>
          <w:sz w:val="20"/>
          <w:szCs w:val="20"/>
        </w:rPr>
      </w:pPr>
    </w:p>
    <w:p w14:paraId="1EFC963E" w14:textId="610D718B" w:rsidR="00C35863" w:rsidRDefault="00037BBD" w:rsidP="00C35863">
      <w:pPr>
        <w:widowControl w:val="0"/>
        <w:autoSpaceDE w:val="0"/>
        <w:autoSpaceDN w:val="0"/>
        <w:adjustRightInd w:val="0"/>
        <w:rPr>
          <w:rFonts w:asciiTheme="majorHAnsi" w:hAnsiTheme="majorHAnsi" w:cs="HelveticaNeue-BoldCond"/>
          <w:color w:val="000000"/>
          <w:sz w:val="20"/>
          <w:szCs w:val="20"/>
        </w:rPr>
      </w:pPr>
      <w:r>
        <w:rPr>
          <w:rFonts w:asciiTheme="majorHAnsi" w:hAnsiTheme="majorHAnsi" w:cs="HelveticaNeue-BoldCond"/>
          <w:color w:val="000000"/>
          <w:sz w:val="20"/>
          <w:szCs w:val="20"/>
        </w:rPr>
        <w:t>7</w:t>
      </w:r>
      <w:r w:rsidR="00C35863" w:rsidRPr="00507D89">
        <w:rPr>
          <w:rFonts w:asciiTheme="majorHAnsi" w:hAnsiTheme="majorHAnsi" w:cs="HelveticaNeue-BoldCond"/>
          <w:color w:val="000000"/>
          <w:sz w:val="20"/>
          <w:szCs w:val="20"/>
        </w:rPr>
        <w:t>. Baeten JM, Donnell D, Ndase P, et al. Antiretroviral pr</w:t>
      </w:r>
      <w:r w:rsidR="00A47E4A">
        <w:rPr>
          <w:rFonts w:asciiTheme="majorHAnsi" w:hAnsiTheme="majorHAnsi" w:cs="HelveticaNeue-BoldCond"/>
          <w:color w:val="000000"/>
          <w:sz w:val="20"/>
          <w:szCs w:val="20"/>
        </w:rPr>
        <w:t xml:space="preserve">ophylaxis for HIV prevention in </w:t>
      </w:r>
      <w:r w:rsidR="00C35863" w:rsidRPr="00507D89">
        <w:rPr>
          <w:rFonts w:asciiTheme="majorHAnsi" w:hAnsiTheme="majorHAnsi" w:cs="HelveticaNeue-BoldCond"/>
          <w:color w:val="000000"/>
          <w:sz w:val="20"/>
          <w:szCs w:val="20"/>
        </w:rPr>
        <w:t xml:space="preserve">heterosexual men and </w:t>
      </w:r>
      <w:r w:rsidR="00857BE1">
        <w:rPr>
          <w:rFonts w:asciiTheme="majorHAnsi" w:hAnsiTheme="majorHAnsi" w:cs="HelveticaNeue-BoldCond"/>
          <w:color w:val="000000"/>
          <w:sz w:val="20"/>
          <w:szCs w:val="20"/>
        </w:rPr>
        <w:t>women. The New England Journal of M</w:t>
      </w:r>
      <w:r w:rsidR="00C35863" w:rsidRPr="00507D89">
        <w:rPr>
          <w:rFonts w:asciiTheme="majorHAnsi" w:hAnsiTheme="majorHAnsi" w:cs="HelveticaNeue-BoldCond"/>
          <w:color w:val="000000"/>
          <w:sz w:val="20"/>
          <w:szCs w:val="20"/>
        </w:rPr>
        <w:t>edicine 2012 Aug 2;367(5):399-410.</w:t>
      </w:r>
    </w:p>
    <w:p w14:paraId="5B1C7EEC" w14:textId="77777777" w:rsidR="00C35863" w:rsidRPr="00507D89" w:rsidRDefault="00C35863" w:rsidP="00C35863">
      <w:pPr>
        <w:widowControl w:val="0"/>
        <w:autoSpaceDE w:val="0"/>
        <w:autoSpaceDN w:val="0"/>
        <w:adjustRightInd w:val="0"/>
        <w:rPr>
          <w:rFonts w:asciiTheme="majorHAnsi" w:hAnsiTheme="majorHAnsi" w:cs="HelveticaNeue-BoldCond"/>
          <w:color w:val="000000"/>
          <w:sz w:val="20"/>
          <w:szCs w:val="20"/>
        </w:rPr>
      </w:pPr>
    </w:p>
    <w:p w14:paraId="133BDF83" w14:textId="25130803" w:rsidR="00C35863" w:rsidRDefault="00037BBD" w:rsidP="00C35863">
      <w:pPr>
        <w:widowControl w:val="0"/>
        <w:autoSpaceDE w:val="0"/>
        <w:autoSpaceDN w:val="0"/>
        <w:adjustRightInd w:val="0"/>
        <w:rPr>
          <w:rFonts w:asciiTheme="majorHAnsi" w:hAnsiTheme="majorHAnsi" w:cs="HelveticaNeue-BoldCond"/>
          <w:color w:val="000000"/>
          <w:sz w:val="20"/>
          <w:szCs w:val="20"/>
        </w:rPr>
      </w:pPr>
      <w:r>
        <w:rPr>
          <w:rFonts w:asciiTheme="majorHAnsi" w:hAnsiTheme="majorHAnsi" w:cs="HelveticaNeue-BoldCond"/>
          <w:color w:val="000000"/>
          <w:sz w:val="20"/>
          <w:szCs w:val="20"/>
        </w:rPr>
        <w:t>8</w:t>
      </w:r>
      <w:r w:rsidR="00C35863" w:rsidRPr="00507D89">
        <w:rPr>
          <w:rFonts w:asciiTheme="majorHAnsi" w:hAnsiTheme="majorHAnsi" w:cs="HelveticaNeue-BoldCond"/>
          <w:color w:val="000000"/>
          <w:sz w:val="20"/>
          <w:szCs w:val="20"/>
        </w:rPr>
        <w:t>. Thigpen MC, Kebaabetswe PM, Paxton LA, et al. Antiret</w:t>
      </w:r>
      <w:r w:rsidR="00A47E4A">
        <w:rPr>
          <w:rFonts w:asciiTheme="majorHAnsi" w:hAnsiTheme="majorHAnsi" w:cs="HelveticaNeue-BoldCond"/>
          <w:color w:val="000000"/>
          <w:sz w:val="20"/>
          <w:szCs w:val="20"/>
        </w:rPr>
        <w:t>roviral pre</w:t>
      </w:r>
      <w:r w:rsidR="00857BE1">
        <w:rPr>
          <w:rFonts w:asciiTheme="majorHAnsi" w:hAnsiTheme="majorHAnsi" w:cs="HelveticaNeue-BoldCond"/>
          <w:color w:val="000000"/>
          <w:sz w:val="20"/>
          <w:szCs w:val="20"/>
        </w:rPr>
        <w:t>-</w:t>
      </w:r>
      <w:r w:rsidR="00A47E4A">
        <w:rPr>
          <w:rFonts w:asciiTheme="majorHAnsi" w:hAnsiTheme="majorHAnsi" w:cs="HelveticaNeue-BoldCond"/>
          <w:color w:val="000000"/>
          <w:sz w:val="20"/>
          <w:szCs w:val="20"/>
        </w:rPr>
        <w:t xml:space="preserve">exposure prophylaxis </w:t>
      </w:r>
      <w:r w:rsidR="00C35863" w:rsidRPr="00507D89">
        <w:rPr>
          <w:rFonts w:asciiTheme="majorHAnsi" w:hAnsiTheme="majorHAnsi" w:cs="HelveticaNeue-BoldCond"/>
          <w:color w:val="000000"/>
          <w:sz w:val="20"/>
          <w:szCs w:val="20"/>
        </w:rPr>
        <w:t xml:space="preserve">for heterosexual HIV transmission in Botswana. </w:t>
      </w:r>
      <w:r w:rsidR="00857BE1">
        <w:rPr>
          <w:rFonts w:asciiTheme="majorHAnsi" w:hAnsiTheme="majorHAnsi" w:cs="HelveticaNeue-BoldCond"/>
          <w:color w:val="000000"/>
          <w:sz w:val="20"/>
          <w:szCs w:val="20"/>
        </w:rPr>
        <w:t>The New England Journal of M</w:t>
      </w:r>
      <w:r w:rsidR="00857BE1" w:rsidRPr="00507D89">
        <w:rPr>
          <w:rFonts w:asciiTheme="majorHAnsi" w:hAnsiTheme="majorHAnsi" w:cs="HelveticaNeue-BoldCond"/>
          <w:color w:val="000000"/>
          <w:sz w:val="20"/>
          <w:szCs w:val="20"/>
        </w:rPr>
        <w:t xml:space="preserve">edicine </w:t>
      </w:r>
      <w:r w:rsidR="00C35863" w:rsidRPr="00507D89">
        <w:rPr>
          <w:rFonts w:asciiTheme="majorHAnsi" w:hAnsiTheme="majorHAnsi" w:cs="HelveticaNeue-BoldCond"/>
          <w:color w:val="000000"/>
          <w:sz w:val="20"/>
          <w:szCs w:val="20"/>
        </w:rPr>
        <w:t>2012 Aug 2;367(5):423-34.</w:t>
      </w:r>
    </w:p>
    <w:p w14:paraId="7AFA5A16" w14:textId="77777777" w:rsidR="00C35863" w:rsidRPr="00507D89" w:rsidRDefault="00C35863" w:rsidP="00C35863">
      <w:pPr>
        <w:widowControl w:val="0"/>
        <w:autoSpaceDE w:val="0"/>
        <w:autoSpaceDN w:val="0"/>
        <w:adjustRightInd w:val="0"/>
        <w:rPr>
          <w:rFonts w:asciiTheme="majorHAnsi" w:hAnsiTheme="majorHAnsi" w:cs="HelveticaNeue-BoldCond"/>
          <w:color w:val="000000"/>
          <w:sz w:val="20"/>
          <w:szCs w:val="20"/>
        </w:rPr>
      </w:pPr>
    </w:p>
    <w:p w14:paraId="715EF25A" w14:textId="75981D65" w:rsidR="00C35863" w:rsidRPr="00C8683A" w:rsidRDefault="00037BBD" w:rsidP="00C35863">
      <w:pPr>
        <w:widowControl w:val="0"/>
        <w:autoSpaceDE w:val="0"/>
        <w:autoSpaceDN w:val="0"/>
        <w:adjustRightInd w:val="0"/>
        <w:rPr>
          <w:rFonts w:asciiTheme="majorHAnsi" w:hAnsiTheme="majorHAnsi" w:cs="HelveticaNeue-BoldCond"/>
          <w:color w:val="000000"/>
          <w:sz w:val="20"/>
          <w:szCs w:val="20"/>
        </w:rPr>
      </w:pPr>
      <w:r w:rsidRPr="00C8683A">
        <w:rPr>
          <w:rFonts w:asciiTheme="majorHAnsi" w:hAnsiTheme="majorHAnsi" w:cs="HelveticaNeue-BoldCond"/>
          <w:color w:val="000000"/>
          <w:sz w:val="20"/>
          <w:szCs w:val="20"/>
        </w:rPr>
        <w:t>9</w:t>
      </w:r>
      <w:r w:rsidR="00C35863" w:rsidRPr="00C8683A">
        <w:rPr>
          <w:rFonts w:asciiTheme="majorHAnsi" w:hAnsiTheme="majorHAnsi" w:cs="HelveticaNeue-BoldCond"/>
          <w:color w:val="000000"/>
          <w:sz w:val="20"/>
          <w:szCs w:val="20"/>
        </w:rPr>
        <w:t>. Van Damme L, Corneli A, Ahmed K, et al. Preexposure prophylaxis for HIV infection among</w:t>
      </w:r>
    </w:p>
    <w:p w14:paraId="62846A58" w14:textId="0796D21D" w:rsidR="00C35863" w:rsidRPr="00C8683A" w:rsidRDefault="00C35863" w:rsidP="00C35863">
      <w:pPr>
        <w:widowControl w:val="0"/>
        <w:autoSpaceDE w:val="0"/>
        <w:autoSpaceDN w:val="0"/>
        <w:adjustRightInd w:val="0"/>
        <w:rPr>
          <w:rFonts w:asciiTheme="majorHAnsi" w:hAnsiTheme="majorHAnsi" w:cs="HelveticaNeue-BoldCond"/>
          <w:color w:val="000000"/>
          <w:sz w:val="20"/>
          <w:szCs w:val="20"/>
        </w:rPr>
      </w:pPr>
      <w:r w:rsidRPr="00C8683A">
        <w:rPr>
          <w:rFonts w:asciiTheme="majorHAnsi" w:hAnsiTheme="majorHAnsi" w:cs="HelveticaNeue-BoldCond"/>
          <w:color w:val="000000"/>
          <w:sz w:val="20"/>
          <w:szCs w:val="20"/>
        </w:rPr>
        <w:t xml:space="preserve">African women. </w:t>
      </w:r>
      <w:r w:rsidR="00857BE1" w:rsidRPr="00C8683A">
        <w:rPr>
          <w:rFonts w:asciiTheme="majorHAnsi" w:hAnsiTheme="majorHAnsi" w:cs="HelveticaNeue-BoldCond"/>
          <w:color w:val="000000"/>
          <w:sz w:val="20"/>
          <w:szCs w:val="20"/>
        </w:rPr>
        <w:t xml:space="preserve">The New England Journal of Medicine </w:t>
      </w:r>
      <w:r w:rsidRPr="00C8683A">
        <w:rPr>
          <w:rFonts w:asciiTheme="majorHAnsi" w:hAnsiTheme="majorHAnsi" w:cs="HelveticaNeue-BoldCond"/>
          <w:color w:val="000000"/>
          <w:sz w:val="20"/>
          <w:szCs w:val="20"/>
        </w:rPr>
        <w:t>2012 Aug 2;367(5):411-22.</w:t>
      </w:r>
      <w:r w:rsidR="003B620A" w:rsidRPr="00C8683A">
        <w:rPr>
          <w:rFonts w:asciiTheme="majorHAnsi" w:hAnsiTheme="majorHAnsi" w:cs="HelveticaNeue-BoldCond"/>
          <w:color w:val="000000"/>
          <w:sz w:val="20"/>
          <w:szCs w:val="20"/>
        </w:rPr>
        <w:t xml:space="preserve"> [ref number not incorporated</w:t>
      </w:r>
      <w:r w:rsidR="00836D5C" w:rsidRPr="00C8683A">
        <w:rPr>
          <w:rFonts w:asciiTheme="majorHAnsi" w:hAnsiTheme="majorHAnsi" w:cs="HelveticaNeue-BoldCond"/>
          <w:color w:val="000000"/>
          <w:sz w:val="20"/>
          <w:szCs w:val="20"/>
        </w:rPr>
        <w:t xml:space="preserve"> in sequence]</w:t>
      </w:r>
    </w:p>
    <w:p w14:paraId="0CF0915B" w14:textId="77777777" w:rsidR="00C35863" w:rsidRPr="00C8683A" w:rsidRDefault="00C35863" w:rsidP="00C35863">
      <w:pPr>
        <w:widowControl w:val="0"/>
        <w:autoSpaceDE w:val="0"/>
        <w:autoSpaceDN w:val="0"/>
        <w:adjustRightInd w:val="0"/>
        <w:rPr>
          <w:rFonts w:asciiTheme="majorHAnsi" w:hAnsiTheme="majorHAnsi" w:cs="HelveticaNeue-BoldCond"/>
          <w:color w:val="000000"/>
          <w:sz w:val="20"/>
          <w:szCs w:val="20"/>
        </w:rPr>
      </w:pPr>
    </w:p>
    <w:p w14:paraId="67C5DDA5" w14:textId="67524624" w:rsidR="00C35863" w:rsidRDefault="00037BBD" w:rsidP="00C35863">
      <w:pPr>
        <w:widowControl w:val="0"/>
        <w:autoSpaceDE w:val="0"/>
        <w:autoSpaceDN w:val="0"/>
        <w:adjustRightInd w:val="0"/>
        <w:rPr>
          <w:rFonts w:asciiTheme="majorHAnsi" w:hAnsiTheme="majorHAnsi" w:cs="HelveticaNeue-BoldCond"/>
          <w:color w:val="000000"/>
          <w:sz w:val="20"/>
          <w:szCs w:val="20"/>
        </w:rPr>
      </w:pPr>
      <w:r w:rsidRPr="00C8683A">
        <w:rPr>
          <w:rFonts w:asciiTheme="majorHAnsi" w:hAnsiTheme="majorHAnsi" w:cs="HelveticaNeue-BoldCond"/>
          <w:color w:val="000000"/>
          <w:sz w:val="20"/>
          <w:szCs w:val="20"/>
        </w:rPr>
        <w:t>10</w:t>
      </w:r>
      <w:r w:rsidR="00C35863" w:rsidRPr="00C8683A">
        <w:rPr>
          <w:rFonts w:asciiTheme="majorHAnsi" w:hAnsiTheme="majorHAnsi" w:cs="HelveticaNeue-BoldCond"/>
          <w:color w:val="000000"/>
          <w:sz w:val="20"/>
          <w:szCs w:val="20"/>
        </w:rPr>
        <w:t>. Marrazzo J, Ramjee G, Nair G et al. Pre-exposure prop</w:t>
      </w:r>
      <w:r w:rsidR="00A47E4A" w:rsidRPr="00C8683A">
        <w:rPr>
          <w:rFonts w:asciiTheme="majorHAnsi" w:hAnsiTheme="majorHAnsi" w:cs="HelveticaNeue-BoldCond"/>
          <w:color w:val="000000"/>
          <w:sz w:val="20"/>
          <w:szCs w:val="20"/>
        </w:rPr>
        <w:t xml:space="preserve">hylaxis for HIV in women: daily </w:t>
      </w:r>
      <w:r w:rsidR="00C35863" w:rsidRPr="00C8683A">
        <w:rPr>
          <w:rFonts w:asciiTheme="majorHAnsi" w:hAnsiTheme="majorHAnsi" w:cs="HelveticaNeue-BoldCond"/>
          <w:color w:val="000000"/>
          <w:sz w:val="20"/>
          <w:szCs w:val="20"/>
        </w:rPr>
        <w:t>oral tenofovir, oral tenofovir/emtricitabine, or vaginal tenofovir gel in the VOICE study</w:t>
      </w:r>
      <w:r w:rsidR="00A47E4A" w:rsidRPr="00C8683A">
        <w:rPr>
          <w:rFonts w:asciiTheme="majorHAnsi" w:hAnsiTheme="majorHAnsi" w:cs="HelveticaNeue-BoldCond"/>
          <w:color w:val="000000"/>
          <w:sz w:val="20"/>
          <w:szCs w:val="20"/>
        </w:rPr>
        <w:t xml:space="preserve"> </w:t>
      </w:r>
      <w:r w:rsidR="00C35863" w:rsidRPr="00C8683A">
        <w:rPr>
          <w:rFonts w:asciiTheme="majorHAnsi" w:hAnsiTheme="majorHAnsi" w:cs="HelveticaNeue-BoldCond"/>
          <w:color w:val="000000"/>
          <w:sz w:val="20"/>
          <w:szCs w:val="20"/>
        </w:rPr>
        <w:t>(MTN 003). CROI. Atlanta, GA, 2013.</w:t>
      </w:r>
    </w:p>
    <w:p w14:paraId="2CD4FD00" w14:textId="77777777" w:rsidR="00C35863" w:rsidRPr="00507D89" w:rsidRDefault="00C35863" w:rsidP="00C35863">
      <w:pPr>
        <w:widowControl w:val="0"/>
        <w:autoSpaceDE w:val="0"/>
        <w:autoSpaceDN w:val="0"/>
        <w:adjustRightInd w:val="0"/>
        <w:rPr>
          <w:rFonts w:asciiTheme="majorHAnsi" w:hAnsiTheme="majorHAnsi" w:cs="HelveticaNeue-BoldCond"/>
          <w:color w:val="000000"/>
          <w:sz w:val="20"/>
          <w:szCs w:val="20"/>
        </w:rPr>
      </w:pPr>
    </w:p>
    <w:p w14:paraId="3E1ADDA4" w14:textId="3FC6C876" w:rsidR="00C35863" w:rsidRDefault="00037BBD" w:rsidP="00C35863">
      <w:pPr>
        <w:widowControl w:val="0"/>
        <w:autoSpaceDE w:val="0"/>
        <w:autoSpaceDN w:val="0"/>
        <w:adjustRightInd w:val="0"/>
        <w:rPr>
          <w:rFonts w:asciiTheme="majorHAnsi" w:hAnsiTheme="majorHAnsi" w:cs="HelveticaNeue-BoldCond"/>
          <w:color w:val="000000"/>
          <w:sz w:val="20"/>
          <w:szCs w:val="20"/>
        </w:rPr>
      </w:pPr>
      <w:r>
        <w:rPr>
          <w:rFonts w:asciiTheme="majorHAnsi" w:hAnsiTheme="majorHAnsi" w:cs="HelveticaNeue-BoldCond"/>
          <w:color w:val="000000"/>
          <w:sz w:val="20"/>
          <w:szCs w:val="20"/>
        </w:rPr>
        <w:t>11</w:t>
      </w:r>
      <w:r w:rsidR="00C35863" w:rsidRPr="00507D89">
        <w:rPr>
          <w:rFonts w:asciiTheme="majorHAnsi" w:hAnsiTheme="majorHAnsi" w:cs="HelveticaNeue-BoldCond"/>
          <w:color w:val="000000"/>
          <w:sz w:val="20"/>
          <w:szCs w:val="20"/>
        </w:rPr>
        <w:t>. Choopanya K, Martin M, Suntharasamai P, et al. Ant</w:t>
      </w:r>
      <w:r w:rsidR="00A47E4A">
        <w:rPr>
          <w:rFonts w:asciiTheme="majorHAnsi" w:hAnsiTheme="majorHAnsi" w:cs="HelveticaNeue-BoldCond"/>
          <w:color w:val="000000"/>
          <w:sz w:val="20"/>
          <w:szCs w:val="20"/>
        </w:rPr>
        <w:t xml:space="preserve">iretroviral prophylaxis for HIV </w:t>
      </w:r>
      <w:r w:rsidR="00C35863" w:rsidRPr="00507D89">
        <w:rPr>
          <w:rFonts w:asciiTheme="majorHAnsi" w:hAnsiTheme="majorHAnsi" w:cs="HelveticaNeue-BoldCond"/>
          <w:color w:val="000000"/>
          <w:sz w:val="20"/>
          <w:szCs w:val="20"/>
        </w:rPr>
        <w:t>infection in injecting drug users in Bangkok, Thailand (the Bangkok Tenofovir Study):</w:t>
      </w:r>
      <w:r w:rsidR="00A47E4A">
        <w:rPr>
          <w:rFonts w:asciiTheme="majorHAnsi" w:hAnsiTheme="majorHAnsi" w:cs="HelveticaNeue-BoldCond"/>
          <w:color w:val="000000"/>
          <w:sz w:val="20"/>
          <w:szCs w:val="20"/>
        </w:rPr>
        <w:t xml:space="preserve"> </w:t>
      </w:r>
      <w:r w:rsidR="00C35863" w:rsidRPr="00507D89">
        <w:rPr>
          <w:rFonts w:asciiTheme="majorHAnsi" w:hAnsiTheme="majorHAnsi" w:cs="HelveticaNeue-BoldCond"/>
          <w:color w:val="000000"/>
          <w:sz w:val="20"/>
          <w:szCs w:val="20"/>
        </w:rPr>
        <w:t>a randomised, double-blind, placebo-controlled phase 3 trial. Lancet 2013 Jun</w:t>
      </w:r>
      <w:r w:rsidR="00A47E4A">
        <w:rPr>
          <w:rFonts w:asciiTheme="majorHAnsi" w:hAnsiTheme="majorHAnsi" w:cs="HelveticaNeue-BoldCond"/>
          <w:color w:val="000000"/>
          <w:sz w:val="20"/>
          <w:szCs w:val="20"/>
        </w:rPr>
        <w:t xml:space="preserve"> </w:t>
      </w:r>
      <w:r w:rsidR="00C35863" w:rsidRPr="00507D89">
        <w:rPr>
          <w:rFonts w:asciiTheme="majorHAnsi" w:hAnsiTheme="majorHAnsi" w:cs="HelveticaNeue-BoldCond"/>
          <w:color w:val="000000"/>
          <w:sz w:val="20"/>
          <w:szCs w:val="20"/>
        </w:rPr>
        <w:t>15;381(9883):2083-90.</w:t>
      </w:r>
    </w:p>
    <w:p w14:paraId="27B5B838" w14:textId="77777777" w:rsidR="00C35863" w:rsidRPr="00507D89" w:rsidRDefault="00C35863" w:rsidP="00C35863">
      <w:pPr>
        <w:widowControl w:val="0"/>
        <w:autoSpaceDE w:val="0"/>
        <w:autoSpaceDN w:val="0"/>
        <w:adjustRightInd w:val="0"/>
        <w:rPr>
          <w:rFonts w:asciiTheme="majorHAnsi" w:hAnsiTheme="majorHAnsi" w:cs="HelveticaNeue-BoldCond"/>
          <w:color w:val="000000"/>
          <w:sz w:val="20"/>
          <w:szCs w:val="20"/>
        </w:rPr>
      </w:pPr>
    </w:p>
    <w:p w14:paraId="4095E88F" w14:textId="766F45C4" w:rsidR="00C35863" w:rsidRDefault="00037BBD" w:rsidP="006B001B">
      <w:pPr>
        <w:widowControl w:val="0"/>
        <w:autoSpaceDE w:val="0"/>
        <w:autoSpaceDN w:val="0"/>
        <w:adjustRightInd w:val="0"/>
        <w:rPr>
          <w:rFonts w:asciiTheme="majorHAnsi" w:hAnsiTheme="majorHAnsi" w:cs="HelveticaNeue-BoldCond"/>
          <w:color w:val="000000"/>
          <w:sz w:val="20"/>
          <w:szCs w:val="20"/>
        </w:rPr>
      </w:pPr>
      <w:r>
        <w:rPr>
          <w:rFonts w:asciiTheme="majorHAnsi" w:hAnsiTheme="majorHAnsi" w:cs="HelveticaNeue-BoldCond"/>
          <w:color w:val="000000"/>
          <w:sz w:val="20"/>
          <w:szCs w:val="20"/>
        </w:rPr>
        <w:t>12</w:t>
      </w:r>
      <w:r w:rsidR="00C35863" w:rsidRPr="00507D89">
        <w:rPr>
          <w:rFonts w:asciiTheme="majorHAnsi" w:hAnsiTheme="majorHAnsi" w:cs="HelveticaNeue-BoldCond"/>
          <w:color w:val="000000"/>
          <w:sz w:val="20"/>
          <w:szCs w:val="20"/>
        </w:rPr>
        <w:t>. van der Straten A, Van Damme L, Haberer JE, Bangsberg DR. Unraveling the divergent</w:t>
      </w:r>
      <w:r w:rsidR="006B001B">
        <w:rPr>
          <w:rFonts w:asciiTheme="majorHAnsi" w:hAnsiTheme="majorHAnsi" w:cs="HelveticaNeue-BoldCond"/>
          <w:color w:val="000000"/>
          <w:sz w:val="20"/>
          <w:szCs w:val="20"/>
        </w:rPr>
        <w:t xml:space="preserve"> </w:t>
      </w:r>
      <w:r w:rsidR="00C35863" w:rsidRPr="00507D89">
        <w:rPr>
          <w:rFonts w:asciiTheme="majorHAnsi" w:hAnsiTheme="majorHAnsi" w:cs="HelveticaNeue-BoldCond"/>
          <w:color w:val="000000"/>
          <w:sz w:val="20"/>
          <w:szCs w:val="20"/>
        </w:rPr>
        <w:t>results of pre-exposure prophylaxis trials fo</w:t>
      </w:r>
      <w:r w:rsidR="00A47E4A">
        <w:rPr>
          <w:rFonts w:asciiTheme="majorHAnsi" w:hAnsiTheme="majorHAnsi" w:cs="HelveticaNeue-BoldCond"/>
          <w:color w:val="000000"/>
          <w:sz w:val="20"/>
          <w:szCs w:val="20"/>
        </w:rPr>
        <w:t xml:space="preserve">r HIV prevention. AIDS 2012 Apr </w:t>
      </w:r>
      <w:r w:rsidR="00C35863" w:rsidRPr="00507D89">
        <w:rPr>
          <w:rFonts w:asciiTheme="majorHAnsi" w:hAnsiTheme="majorHAnsi" w:cs="HelveticaNeue-BoldCond"/>
          <w:color w:val="000000"/>
          <w:sz w:val="20"/>
          <w:szCs w:val="20"/>
        </w:rPr>
        <w:t>24;26(7):F13-9.</w:t>
      </w:r>
    </w:p>
    <w:p w14:paraId="52078569" w14:textId="77777777" w:rsidR="00C35863" w:rsidRPr="00507D89" w:rsidRDefault="00C35863" w:rsidP="00C35863">
      <w:pPr>
        <w:widowControl w:val="0"/>
        <w:autoSpaceDE w:val="0"/>
        <w:autoSpaceDN w:val="0"/>
        <w:adjustRightInd w:val="0"/>
        <w:rPr>
          <w:rFonts w:asciiTheme="majorHAnsi" w:hAnsiTheme="majorHAnsi" w:cs="HelveticaNeue-BoldCond"/>
          <w:color w:val="000000"/>
          <w:sz w:val="20"/>
          <w:szCs w:val="20"/>
        </w:rPr>
      </w:pPr>
    </w:p>
    <w:p w14:paraId="0280AB69" w14:textId="105F60E4" w:rsidR="00C35863" w:rsidRDefault="00037BBD" w:rsidP="00C35863">
      <w:pPr>
        <w:widowControl w:val="0"/>
        <w:autoSpaceDE w:val="0"/>
        <w:autoSpaceDN w:val="0"/>
        <w:adjustRightInd w:val="0"/>
        <w:rPr>
          <w:rFonts w:asciiTheme="majorHAnsi" w:hAnsiTheme="majorHAnsi" w:cs="HelveticaNeue-BoldCond"/>
          <w:color w:val="000000"/>
          <w:sz w:val="20"/>
          <w:szCs w:val="20"/>
        </w:rPr>
      </w:pPr>
      <w:r>
        <w:rPr>
          <w:rFonts w:asciiTheme="majorHAnsi" w:hAnsiTheme="majorHAnsi" w:cs="HelveticaNeue-BoldCond"/>
          <w:color w:val="000000"/>
          <w:sz w:val="20"/>
          <w:szCs w:val="20"/>
        </w:rPr>
        <w:t>13</w:t>
      </w:r>
      <w:r w:rsidR="00C35863" w:rsidRPr="00507D89">
        <w:rPr>
          <w:rFonts w:asciiTheme="majorHAnsi" w:hAnsiTheme="majorHAnsi" w:cs="HelveticaNeue-BoldCond"/>
          <w:color w:val="000000"/>
          <w:sz w:val="20"/>
          <w:szCs w:val="20"/>
        </w:rPr>
        <w:t>. Koenig LJ, Lyles C, Smith DK. Adherence to Antiretroviral Medications for HIV Pre-Exposure Prophylaxis: Lessons Learned from Trials and Treatment Studies. American</w:t>
      </w:r>
      <w:r w:rsidR="00A47E4A">
        <w:rPr>
          <w:rFonts w:asciiTheme="majorHAnsi" w:hAnsiTheme="majorHAnsi" w:cs="HelveticaNeue-BoldCond"/>
          <w:color w:val="000000"/>
          <w:sz w:val="20"/>
          <w:szCs w:val="20"/>
        </w:rPr>
        <w:t xml:space="preserve"> </w:t>
      </w:r>
      <w:r w:rsidR="00C35863" w:rsidRPr="00507D89">
        <w:rPr>
          <w:rFonts w:asciiTheme="majorHAnsi" w:hAnsiTheme="majorHAnsi" w:cs="HelveticaNeue-BoldCond"/>
          <w:color w:val="000000"/>
          <w:sz w:val="20"/>
          <w:szCs w:val="20"/>
        </w:rPr>
        <w:t>journal of preventive medicine 2013 Jan;44(1 Suppl 2):S91-8.</w:t>
      </w:r>
    </w:p>
    <w:p w14:paraId="1D3C9C1C" w14:textId="77777777" w:rsidR="00C35863" w:rsidRPr="00507D89" w:rsidRDefault="00C35863" w:rsidP="00C35863">
      <w:pPr>
        <w:widowControl w:val="0"/>
        <w:autoSpaceDE w:val="0"/>
        <w:autoSpaceDN w:val="0"/>
        <w:adjustRightInd w:val="0"/>
        <w:rPr>
          <w:rFonts w:asciiTheme="majorHAnsi" w:hAnsiTheme="majorHAnsi" w:cs="HelveticaNeue-BoldCond"/>
          <w:color w:val="000000"/>
          <w:sz w:val="20"/>
          <w:szCs w:val="20"/>
        </w:rPr>
      </w:pPr>
    </w:p>
    <w:p w14:paraId="0DF01981" w14:textId="54B029B0" w:rsidR="00C35863" w:rsidRDefault="00037BBD" w:rsidP="00C35863">
      <w:pPr>
        <w:widowControl w:val="0"/>
        <w:autoSpaceDE w:val="0"/>
        <w:autoSpaceDN w:val="0"/>
        <w:adjustRightInd w:val="0"/>
        <w:rPr>
          <w:rFonts w:asciiTheme="majorHAnsi" w:hAnsiTheme="majorHAnsi" w:cs="HelveticaNeue-BoldCond"/>
          <w:color w:val="000000"/>
          <w:sz w:val="20"/>
          <w:szCs w:val="20"/>
        </w:rPr>
      </w:pPr>
      <w:r>
        <w:rPr>
          <w:rFonts w:asciiTheme="majorHAnsi" w:hAnsiTheme="majorHAnsi" w:cs="HelveticaNeue-BoldCond"/>
          <w:color w:val="000000"/>
          <w:sz w:val="20"/>
          <w:szCs w:val="20"/>
        </w:rPr>
        <w:t>14</w:t>
      </w:r>
      <w:r w:rsidR="00C35863" w:rsidRPr="00507D89">
        <w:rPr>
          <w:rFonts w:asciiTheme="majorHAnsi" w:hAnsiTheme="majorHAnsi" w:cs="HelveticaNeue-BoldCond"/>
          <w:color w:val="000000"/>
          <w:sz w:val="20"/>
          <w:szCs w:val="20"/>
        </w:rPr>
        <w:t>. Grant RM, Anderson PL, McMahan V, et al. Uptake of pre-exposur</w:t>
      </w:r>
      <w:r w:rsidR="00A47E4A">
        <w:rPr>
          <w:rFonts w:asciiTheme="majorHAnsi" w:hAnsiTheme="majorHAnsi" w:cs="HelveticaNeue-BoldCond"/>
          <w:color w:val="000000"/>
          <w:sz w:val="20"/>
          <w:szCs w:val="20"/>
        </w:rPr>
        <w:t xml:space="preserve">e prophylaxis, sexual </w:t>
      </w:r>
      <w:r w:rsidR="00C35863" w:rsidRPr="00507D89">
        <w:rPr>
          <w:rFonts w:asciiTheme="majorHAnsi" w:hAnsiTheme="majorHAnsi" w:cs="HelveticaNeue-BoldCond"/>
          <w:color w:val="000000"/>
          <w:sz w:val="20"/>
          <w:szCs w:val="20"/>
        </w:rPr>
        <w:t>practices, and HIV incidence in men and transgender women who have sex with men:</w:t>
      </w:r>
      <w:r w:rsidR="00A47E4A">
        <w:rPr>
          <w:rFonts w:asciiTheme="majorHAnsi" w:hAnsiTheme="majorHAnsi" w:cs="HelveticaNeue-BoldCond"/>
          <w:color w:val="000000"/>
          <w:sz w:val="20"/>
          <w:szCs w:val="20"/>
        </w:rPr>
        <w:t xml:space="preserve"> </w:t>
      </w:r>
      <w:r w:rsidR="00C35863" w:rsidRPr="00507D89">
        <w:rPr>
          <w:rFonts w:asciiTheme="majorHAnsi" w:hAnsiTheme="majorHAnsi" w:cs="HelveticaNeue-BoldCond"/>
          <w:color w:val="000000"/>
          <w:sz w:val="20"/>
          <w:szCs w:val="20"/>
        </w:rPr>
        <w:t>a cohort study. The Lancet: Infectious Diseases 2014 Sep; 14(9): 820-829.</w:t>
      </w:r>
    </w:p>
    <w:p w14:paraId="4F0F225C" w14:textId="77777777" w:rsidR="00C35863" w:rsidRPr="00507D89" w:rsidRDefault="00C35863" w:rsidP="00C35863">
      <w:pPr>
        <w:widowControl w:val="0"/>
        <w:autoSpaceDE w:val="0"/>
        <w:autoSpaceDN w:val="0"/>
        <w:adjustRightInd w:val="0"/>
        <w:rPr>
          <w:rFonts w:asciiTheme="majorHAnsi" w:hAnsiTheme="majorHAnsi" w:cs="HelveticaNeue-BoldCond"/>
          <w:color w:val="000000"/>
          <w:sz w:val="20"/>
          <w:szCs w:val="20"/>
        </w:rPr>
      </w:pPr>
    </w:p>
    <w:p w14:paraId="5012C3E2" w14:textId="70ABD07C" w:rsidR="00C35863" w:rsidRDefault="00037BBD" w:rsidP="00C35863">
      <w:pPr>
        <w:widowControl w:val="0"/>
        <w:autoSpaceDE w:val="0"/>
        <w:autoSpaceDN w:val="0"/>
        <w:adjustRightInd w:val="0"/>
        <w:rPr>
          <w:rFonts w:asciiTheme="majorHAnsi" w:hAnsiTheme="majorHAnsi" w:cs="HelveticaNeue-BoldCond"/>
          <w:color w:val="000000"/>
          <w:sz w:val="20"/>
          <w:szCs w:val="20"/>
        </w:rPr>
      </w:pPr>
      <w:r>
        <w:rPr>
          <w:rFonts w:asciiTheme="majorHAnsi" w:hAnsiTheme="majorHAnsi" w:cs="HelveticaNeue-BoldCond"/>
          <w:color w:val="000000"/>
          <w:sz w:val="20"/>
          <w:szCs w:val="20"/>
        </w:rPr>
        <w:t>15</w:t>
      </w:r>
      <w:r w:rsidR="00C35863" w:rsidRPr="00507D89">
        <w:rPr>
          <w:rFonts w:asciiTheme="majorHAnsi" w:hAnsiTheme="majorHAnsi" w:cs="HelveticaNeue-BoldCond"/>
          <w:color w:val="000000"/>
          <w:sz w:val="20"/>
          <w:szCs w:val="20"/>
        </w:rPr>
        <w:t xml:space="preserve">. Grohskopf LA, Chillag KL, Gvetadze R, et al. Randomized trial of clinical </w:t>
      </w:r>
      <w:r w:rsidR="00A47E4A">
        <w:rPr>
          <w:rFonts w:asciiTheme="majorHAnsi" w:hAnsiTheme="majorHAnsi" w:cs="HelveticaNeue-BoldCond"/>
          <w:color w:val="000000"/>
          <w:sz w:val="20"/>
          <w:szCs w:val="20"/>
        </w:rPr>
        <w:t xml:space="preserve">safety of daily </w:t>
      </w:r>
      <w:r w:rsidR="00C35863" w:rsidRPr="00507D89">
        <w:rPr>
          <w:rFonts w:asciiTheme="majorHAnsi" w:hAnsiTheme="majorHAnsi" w:cs="HelveticaNeue-BoldCond"/>
          <w:color w:val="000000"/>
          <w:sz w:val="20"/>
          <w:szCs w:val="20"/>
        </w:rPr>
        <w:t>oral tenofovir disoproxil fumarate among HIV-uninfected men who have sex with men</w:t>
      </w:r>
      <w:r w:rsidR="00A47E4A">
        <w:rPr>
          <w:rFonts w:asciiTheme="majorHAnsi" w:hAnsiTheme="majorHAnsi" w:cs="HelveticaNeue-BoldCond"/>
          <w:color w:val="000000"/>
          <w:sz w:val="20"/>
          <w:szCs w:val="20"/>
        </w:rPr>
        <w:t xml:space="preserve"> </w:t>
      </w:r>
      <w:r w:rsidR="00C35863" w:rsidRPr="00507D89">
        <w:rPr>
          <w:rFonts w:asciiTheme="majorHAnsi" w:hAnsiTheme="majorHAnsi" w:cs="HelveticaNeue-BoldCond"/>
          <w:color w:val="000000"/>
          <w:sz w:val="20"/>
          <w:szCs w:val="20"/>
        </w:rPr>
        <w:t>in the United States. J Acquir Immune Defic Syndr 2013 Sep 1;64(1):79-86.</w:t>
      </w:r>
    </w:p>
    <w:p w14:paraId="7AF1A172" w14:textId="77777777" w:rsidR="00C35863" w:rsidRPr="00507D89" w:rsidRDefault="00C35863" w:rsidP="00C35863">
      <w:pPr>
        <w:widowControl w:val="0"/>
        <w:autoSpaceDE w:val="0"/>
        <w:autoSpaceDN w:val="0"/>
        <w:adjustRightInd w:val="0"/>
        <w:rPr>
          <w:rFonts w:asciiTheme="majorHAnsi" w:hAnsiTheme="majorHAnsi" w:cs="HelveticaNeue-BoldCond"/>
          <w:color w:val="000000"/>
          <w:sz w:val="20"/>
          <w:szCs w:val="20"/>
        </w:rPr>
      </w:pPr>
    </w:p>
    <w:p w14:paraId="3FD89043" w14:textId="24240595" w:rsidR="00C35863" w:rsidRDefault="00037BBD" w:rsidP="00C35863">
      <w:pPr>
        <w:widowControl w:val="0"/>
        <w:autoSpaceDE w:val="0"/>
        <w:autoSpaceDN w:val="0"/>
        <w:adjustRightInd w:val="0"/>
        <w:rPr>
          <w:rFonts w:asciiTheme="majorHAnsi" w:hAnsiTheme="majorHAnsi" w:cs="HelveticaNeue-BoldCond"/>
          <w:color w:val="000000"/>
          <w:sz w:val="20"/>
          <w:szCs w:val="20"/>
        </w:rPr>
      </w:pPr>
      <w:r>
        <w:rPr>
          <w:rFonts w:asciiTheme="majorHAnsi" w:hAnsiTheme="majorHAnsi" w:cs="HelveticaNeue-BoldCond"/>
          <w:color w:val="000000"/>
          <w:sz w:val="20"/>
          <w:szCs w:val="20"/>
        </w:rPr>
        <w:t>16</w:t>
      </w:r>
      <w:r w:rsidR="00C35863" w:rsidRPr="00507D89">
        <w:rPr>
          <w:rFonts w:asciiTheme="majorHAnsi" w:hAnsiTheme="majorHAnsi" w:cs="HelveticaNeue-BoldCond"/>
          <w:color w:val="000000"/>
          <w:sz w:val="20"/>
          <w:szCs w:val="20"/>
        </w:rPr>
        <w:t>. Liu AY, Vittinghoff E, Sellmeyer DE, et al. Bone mineral density in HIV-negativ</w:t>
      </w:r>
      <w:r w:rsidR="00A47E4A">
        <w:rPr>
          <w:rFonts w:asciiTheme="majorHAnsi" w:hAnsiTheme="majorHAnsi" w:cs="HelveticaNeue-BoldCond"/>
          <w:color w:val="000000"/>
          <w:sz w:val="20"/>
          <w:szCs w:val="20"/>
        </w:rPr>
        <w:t xml:space="preserve">e men </w:t>
      </w:r>
      <w:r w:rsidR="00C35863" w:rsidRPr="00507D89">
        <w:rPr>
          <w:rFonts w:asciiTheme="majorHAnsi" w:hAnsiTheme="majorHAnsi" w:cs="HelveticaNeue-BoldCond"/>
          <w:color w:val="000000"/>
          <w:sz w:val="20"/>
          <w:szCs w:val="20"/>
        </w:rPr>
        <w:t>participating in a tenofovir pre-exposure prophylaxis randomized clinical trial in San</w:t>
      </w:r>
      <w:r w:rsidR="00A47E4A">
        <w:rPr>
          <w:rFonts w:asciiTheme="majorHAnsi" w:hAnsiTheme="majorHAnsi" w:cs="HelveticaNeue-BoldCond"/>
          <w:color w:val="000000"/>
          <w:sz w:val="20"/>
          <w:szCs w:val="20"/>
        </w:rPr>
        <w:t xml:space="preserve"> </w:t>
      </w:r>
      <w:r w:rsidR="00C35863" w:rsidRPr="00507D89">
        <w:rPr>
          <w:rFonts w:asciiTheme="majorHAnsi" w:hAnsiTheme="majorHAnsi" w:cs="HelveticaNeue-BoldCond"/>
          <w:color w:val="000000"/>
          <w:sz w:val="20"/>
          <w:szCs w:val="20"/>
        </w:rPr>
        <w:t>Francisco. PloS one 2011;6(8):e23688.</w:t>
      </w:r>
    </w:p>
    <w:p w14:paraId="72232E7B" w14:textId="77777777" w:rsidR="00C35863" w:rsidRPr="00507D89" w:rsidRDefault="00C35863" w:rsidP="00C35863">
      <w:pPr>
        <w:widowControl w:val="0"/>
        <w:autoSpaceDE w:val="0"/>
        <w:autoSpaceDN w:val="0"/>
        <w:adjustRightInd w:val="0"/>
        <w:rPr>
          <w:rFonts w:asciiTheme="majorHAnsi" w:hAnsiTheme="majorHAnsi" w:cs="HelveticaNeue-BoldCond"/>
          <w:color w:val="000000"/>
          <w:sz w:val="20"/>
          <w:szCs w:val="20"/>
        </w:rPr>
      </w:pPr>
    </w:p>
    <w:p w14:paraId="40E920D4" w14:textId="621EE795" w:rsidR="00C35863" w:rsidRDefault="00037BBD" w:rsidP="00C35863">
      <w:pPr>
        <w:widowControl w:val="0"/>
        <w:autoSpaceDE w:val="0"/>
        <w:autoSpaceDN w:val="0"/>
        <w:adjustRightInd w:val="0"/>
        <w:rPr>
          <w:rFonts w:asciiTheme="majorHAnsi" w:hAnsiTheme="majorHAnsi" w:cs="HelveticaNeue-BoldCond"/>
          <w:color w:val="000000"/>
          <w:sz w:val="20"/>
          <w:szCs w:val="20"/>
        </w:rPr>
      </w:pPr>
      <w:r>
        <w:rPr>
          <w:rFonts w:asciiTheme="majorHAnsi" w:hAnsiTheme="majorHAnsi" w:cs="HelveticaNeue-BoldCond"/>
          <w:color w:val="000000"/>
          <w:sz w:val="20"/>
          <w:szCs w:val="20"/>
        </w:rPr>
        <w:t>17</w:t>
      </w:r>
      <w:r w:rsidR="00C35863" w:rsidRPr="00507D89">
        <w:rPr>
          <w:rFonts w:asciiTheme="majorHAnsi" w:hAnsiTheme="majorHAnsi" w:cs="HelveticaNeue-BoldCond"/>
          <w:color w:val="000000"/>
          <w:sz w:val="20"/>
          <w:szCs w:val="20"/>
        </w:rPr>
        <w:t>. Panel on Antiretroviral Guidelines for Adults and Adolesc</w:t>
      </w:r>
      <w:r w:rsidR="00A47E4A">
        <w:rPr>
          <w:rFonts w:asciiTheme="majorHAnsi" w:hAnsiTheme="majorHAnsi" w:cs="HelveticaNeue-BoldCond"/>
          <w:color w:val="000000"/>
          <w:sz w:val="20"/>
          <w:szCs w:val="20"/>
        </w:rPr>
        <w:t xml:space="preserve">ents. Guidelines for the use of </w:t>
      </w:r>
      <w:r w:rsidR="00C35863" w:rsidRPr="00507D89">
        <w:rPr>
          <w:rFonts w:asciiTheme="majorHAnsi" w:hAnsiTheme="majorHAnsi" w:cs="HelveticaNeue-BoldCond"/>
          <w:color w:val="000000"/>
          <w:sz w:val="20"/>
          <w:szCs w:val="20"/>
        </w:rPr>
        <w:t>antiretroviral agents in HIV-1-infected adults and adolescents: Department of Health</w:t>
      </w:r>
      <w:r w:rsidR="00A47E4A">
        <w:rPr>
          <w:rFonts w:asciiTheme="majorHAnsi" w:hAnsiTheme="majorHAnsi" w:cs="HelveticaNeue-BoldCond"/>
          <w:color w:val="000000"/>
          <w:sz w:val="20"/>
          <w:szCs w:val="20"/>
        </w:rPr>
        <w:t xml:space="preserve"> </w:t>
      </w:r>
      <w:r w:rsidR="00C35863" w:rsidRPr="00507D89">
        <w:rPr>
          <w:rFonts w:asciiTheme="majorHAnsi" w:hAnsiTheme="majorHAnsi" w:cs="HelveticaNeue-BoldCond"/>
          <w:color w:val="000000"/>
          <w:sz w:val="20"/>
          <w:szCs w:val="20"/>
        </w:rPr>
        <w:t>and Human Services, 2013.</w:t>
      </w:r>
    </w:p>
    <w:p w14:paraId="4A9D4DFD" w14:textId="77777777" w:rsidR="00C35863" w:rsidRPr="00507D89" w:rsidRDefault="00C35863" w:rsidP="00C35863">
      <w:pPr>
        <w:widowControl w:val="0"/>
        <w:autoSpaceDE w:val="0"/>
        <w:autoSpaceDN w:val="0"/>
        <w:adjustRightInd w:val="0"/>
        <w:rPr>
          <w:rFonts w:asciiTheme="majorHAnsi" w:hAnsiTheme="majorHAnsi" w:cs="HelveticaNeue-BoldCond"/>
          <w:color w:val="000000"/>
          <w:sz w:val="20"/>
          <w:szCs w:val="20"/>
        </w:rPr>
      </w:pPr>
    </w:p>
    <w:p w14:paraId="5112D6D6" w14:textId="31A809EB" w:rsidR="00C35863" w:rsidRDefault="00037BBD" w:rsidP="00C35863">
      <w:pPr>
        <w:widowControl w:val="0"/>
        <w:autoSpaceDE w:val="0"/>
        <w:autoSpaceDN w:val="0"/>
        <w:adjustRightInd w:val="0"/>
        <w:rPr>
          <w:rFonts w:asciiTheme="majorHAnsi" w:hAnsiTheme="majorHAnsi" w:cs="HelveticaNeue-BoldCond"/>
          <w:color w:val="000000"/>
          <w:sz w:val="20"/>
          <w:szCs w:val="20"/>
        </w:rPr>
      </w:pPr>
      <w:r>
        <w:rPr>
          <w:rFonts w:asciiTheme="majorHAnsi" w:hAnsiTheme="majorHAnsi" w:cs="HelveticaNeue-BoldCond"/>
          <w:color w:val="000000"/>
          <w:sz w:val="20"/>
          <w:szCs w:val="20"/>
        </w:rPr>
        <w:t>18</w:t>
      </w:r>
      <w:r w:rsidR="00C35863" w:rsidRPr="00507D89">
        <w:rPr>
          <w:rFonts w:asciiTheme="majorHAnsi" w:hAnsiTheme="majorHAnsi" w:cs="HelveticaNeue-BoldCond"/>
          <w:color w:val="000000"/>
          <w:sz w:val="20"/>
          <w:szCs w:val="20"/>
        </w:rPr>
        <w:t>. Thompson MA, Aberg JA, Hoy JF, et al. Antiretroviral tr</w:t>
      </w:r>
      <w:r w:rsidR="00A47E4A">
        <w:rPr>
          <w:rFonts w:asciiTheme="majorHAnsi" w:hAnsiTheme="majorHAnsi" w:cs="HelveticaNeue-BoldCond"/>
          <w:color w:val="000000"/>
          <w:sz w:val="20"/>
          <w:szCs w:val="20"/>
        </w:rPr>
        <w:t xml:space="preserve">eatment of adult HIV infection: </w:t>
      </w:r>
      <w:r w:rsidR="00C35863" w:rsidRPr="00507D89">
        <w:rPr>
          <w:rFonts w:asciiTheme="majorHAnsi" w:hAnsiTheme="majorHAnsi" w:cs="HelveticaNeue-BoldCond"/>
          <w:color w:val="000000"/>
          <w:sz w:val="20"/>
          <w:szCs w:val="20"/>
        </w:rPr>
        <w:t>2012 recommendations of the International An</w:t>
      </w:r>
      <w:r>
        <w:rPr>
          <w:rFonts w:asciiTheme="majorHAnsi" w:hAnsiTheme="majorHAnsi" w:cs="HelveticaNeue-BoldCond"/>
          <w:color w:val="000000"/>
          <w:sz w:val="20"/>
          <w:szCs w:val="20"/>
        </w:rPr>
        <w:t>tiviral Society-USA panel. JAMA</w:t>
      </w:r>
      <w:r w:rsidR="00C35863" w:rsidRPr="00507D89">
        <w:rPr>
          <w:rFonts w:asciiTheme="majorHAnsi" w:hAnsiTheme="majorHAnsi" w:cs="HelveticaNeue-BoldCond"/>
          <w:color w:val="000000"/>
          <w:sz w:val="20"/>
          <w:szCs w:val="20"/>
        </w:rPr>
        <w:t>: the</w:t>
      </w:r>
      <w:r w:rsidR="00A47E4A">
        <w:rPr>
          <w:rFonts w:asciiTheme="majorHAnsi" w:hAnsiTheme="majorHAnsi" w:cs="HelveticaNeue-BoldCond"/>
          <w:color w:val="000000"/>
          <w:sz w:val="20"/>
          <w:szCs w:val="20"/>
        </w:rPr>
        <w:t xml:space="preserve"> </w:t>
      </w:r>
      <w:r w:rsidR="00C35863" w:rsidRPr="00507D89">
        <w:rPr>
          <w:rFonts w:asciiTheme="majorHAnsi" w:hAnsiTheme="majorHAnsi" w:cs="HelveticaNeue-BoldCond"/>
          <w:color w:val="000000"/>
          <w:sz w:val="20"/>
          <w:szCs w:val="20"/>
        </w:rPr>
        <w:t>journal of the American Medical Association 2012 Jul 25;308(4):387-402.</w:t>
      </w:r>
    </w:p>
    <w:p w14:paraId="5AC8AD07" w14:textId="77777777" w:rsidR="00C35863" w:rsidRPr="00507D89" w:rsidRDefault="00C35863" w:rsidP="00C35863">
      <w:pPr>
        <w:widowControl w:val="0"/>
        <w:autoSpaceDE w:val="0"/>
        <w:autoSpaceDN w:val="0"/>
        <w:adjustRightInd w:val="0"/>
        <w:rPr>
          <w:rFonts w:asciiTheme="majorHAnsi" w:hAnsiTheme="majorHAnsi" w:cs="HelveticaNeue-BoldCond"/>
          <w:color w:val="000000"/>
          <w:sz w:val="20"/>
          <w:szCs w:val="20"/>
        </w:rPr>
      </w:pPr>
    </w:p>
    <w:p w14:paraId="0266BAD6" w14:textId="33DA5DCF" w:rsidR="00C35863" w:rsidRDefault="00037BBD" w:rsidP="00C35863">
      <w:pPr>
        <w:widowControl w:val="0"/>
        <w:autoSpaceDE w:val="0"/>
        <w:autoSpaceDN w:val="0"/>
        <w:adjustRightInd w:val="0"/>
        <w:rPr>
          <w:rFonts w:asciiTheme="majorHAnsi" w:hAnsiTheme="majorHAnsi" w:cs="HelveticaNeue-BoldCond"/>
          <w:color w:val="000000"/>
          <w:sz w:val="20"/>
          <w:szCs w:val="20"/>
        </w:rPr>
      </w:pPr>
      <w:r>
        <w:rPr>
          <w:rFonts w:asciiTheme="majorHAnsi" w:hAnsiTheme="majorHAnsi" w:cs="HelveticaNeue-BoldCond"/>
          <w:color w:val="000000"/>
          <w:sz w:val="20"/>
          <w:szCs w:val="20"/>
        </w:rPr>
        <w:t>19</w:t>
      </w:r>
      <w:r w:rsidR="00C35863" w:rsidRPr="00507D89">
        <w:rPr>
          <w:rFonts w:asciiTheme="majorHAnsi" w:hAnsiTheme="majorHAnsi" w:cs="HelveticaNeue-BoldCond"/>
          <w:color w:val="000000"/>
          <w:sz w:val="20"/>
          <w:szCs w:val="20"/>
        </w:rPr>
        <w:t>. Cohen MS, Chen YQ, McCauley M, et al. Preventio</w:t>
      </w:r>
      <w:r w:rsidR="00A47E4A">
        <w:rPr>
          <w:rFonts w:asciiTheme="majorHAnsi" w:hAnsiTheme="majorHAnsi" w:cs="HelveticaNeue-BoldCond"/>
          <w:color w:val="000000"/>
          <w:sz w:val="20"/>
          <w:szCs w:val="20"/>
        </w:rPr>
        <w:t xml:space="preserve">n of HIV-1 infection with early </w:t>
      </w:r>
      <w:r w:rsidR="00C35863" w:rsidRPr="00507D89">
        <w:rPr>
          <w:rFonts w:asciiTheme="majorHAnsi" w:hAnsiTheme="majorHAnsi" w:cs="HelveticaNeue-BoldCond"/>
          <w:color w:val="000000"/>
          <w:sz w:val="20"/>
          <w:szCs w:val="20"/>
        </w:rPr>
        <w:t>antiretroviral therapy. The New England journal of medicine 2011 Aug 11;365(6):493-505.</w:t>
      </w:r>
    </w:p>
    <w:p w14:paraId="3A1A5CD7" w14:textId="77777777" w:rsidR="00C35863" w:rsidRPr="00507D89" w:rsidRDefault="00C35863" w:rsidP="00C35863">
      <w:pPr>
        <w:widowControl w:val="0"/>
        <w:autoSpaceDE w:val="0"/>
        <w:autoSpaceDN w:val="0"/>
        <w:adjustRightInd w:val="0"/>
        <w:rPr>
          <w:rFonts w:asciiTheme="majorHAnsi" w:hAnsiTheme="majorHAnsi" w:cs="HelveticaNeue-BoldCond"/>
          <w:color w:val="000000"/>
          <w:sz w:val="20"/>
          <w:szCs w:val="20"/>
        </w:rPr>
      </w:pPr>
    </w:p>
    <w:p w14:paraId="60507CA5" w14:textId="4D203A36" w:rsidR="00C35863" w:rsidRDefault="00037BBD" w:rsidP="00C35863">
      <w:pPr>
        <w:widowControl w:val="0"/>
        <w:autoSpaceDE w:val="0"/>
        <w:autoSpaceDN w:val="0"/>
        <w:adjustRightInd w:val="0"/>
        <w:rPr>
          <w:rFonts w:asciiTheme="majorHAnsi" w:hAnsiTheme="majorHAnsi" w:cs="HelveticaNeue-BoldCond"/>
          <w:color w:val="000000"/>
          <w:sz w:val="20"/>
          <w:szCs w:val="20"/>
        </w:rPr>
      </w:pPr>
      <w:r>
        <w:rPr>
          <w:rFonts w:asciiTheme="majorHAnsi" w:hAnsiTheme="majorHAnsi" w:cs="HelveticaNeue-BoldCond"/>
          <w:color w:val="000000"/>
          <w:sz w:val="20"/>
          <w:szCs w:val="20"/>
        </w:rPr>
        <w:t>20</w:t>
      </w:r>
      <w:r w:rsidR="00C35863" w:rsidRPr="00507D89">
        <w:rPr>
          <w:rFonts w:asciiTheme="majorHAnsi" w:hAnsiTheme="majorHAnsi" w:cs="HelveticaNeue-BoldCond"/>
          <w:color w:val="000000"/>
          <w:sz w:val="20"/>
          <w:szCs w:val="20"/>
        </w:rPr>
        <w:t>. Rodger A, Bruun T, Cambiano V et al. HIV Transmiss</w:t>
      </w:r>
      <w:r w:rsidR="00A47E4A">
        <w:rPr>
          <w:rFonts w:asciiTheme="majorHAnsi" w:hAnsiTheme="majorHAnsi" w:cs="HelveticaNeue-BoldCond"/>
          <w:color w:val="000000"/>
          <w:sz w:val="20"/>
          <w:szCs w:val="20"/>
        </w:rPr>
        <w:t xml:space="preserve">ion Risk Through Condomless Sex </w:t>
      </w:r>
      <w:r w:rsidR="00C35863" w:rsidRPr="00507D89">
        <w:rPr>
          <w:rFonts w:asciiTheme="majorHAnsi" w:hAnsiTheme="majorHAnsi" w:cs="HelveticaNeue-BoldCond"/>
          <w:color w:val="000000"/>
          <w:sz w:val="20"/>
          <w:szCs w:val="20"/>
        </w:rPr>
        <w:t>If HIV+ Partner On Suppressive ART: PARTNER Study. CROI. Boston, MA, 2014.</w:t>
      </w:r>
    </w:p>
    <w:p w14:paraId="0ACAA734" w14:textId="77777777" w:rsidR="00C35863" w:rsidRPr="00507D89" w:rsidRDefault="00C35863" w:rsidP="00C35863">
      <w:pPr>
        <w:widowControl w:val="0"/>
        <w:autoSpaceDE w:val="0"/>
        <w:autoSpaceDN w:val="0"/>
        <w:adjustRightInd w:val="0"/>
        <w:rPr>
          <w:rFonts w:asciiTheme="majorHAnsi" w:hAnsiTheme="majorHAnsi" w:cs="HelveticaNeue-BoldCond"/>
          <w:color w:val="000000"/>
          <w:sz w:val="20"/>
          <w:szCs w:val="20"/>
        </w:rPr>
      </w:pPr>
    </w:p>
    <w:p w14:paraId="31519E95" w14:textId="2B212261" w:rsidR="00C35863" w:rsidRPr="00507D89" w:rsidRDefault="00037BBD" w:rsidP="00C35863">
      <w:pPr>
        <w:widowControl w:val="0"/>
        <w:autoSpaceDE w:val="0"/>
        <w:autoSpaceDN w:val="0"/>
        <w:adjustRightInd w:val="0"/>
        <w:rPr>
          <w:rFonts w:asciiTheme="majorHAnsi" w:hAnsiTheme="majorHAnsi" w:cs="HelveticaNeue-BoldCond"/>
          <w:color w:val="000000"/>
          <w:sz w:val="20"/>
          <w:szCs w:val="20"/>
        </w:rPr>
      </w:pPr>
      <w:r>
        <w:rPr>
          <w:rFonts w:asciiTheme="majorHAnsi" w:hAnsiTheme="majorHAnsi" w:cs="HelveticaNeue-BoldCond"/>
          <w:color w:val="000000"/>
          <w:sz w:val="20"/>
          <w:szCs w:val="20"/>
        </w:rPr>
        <w:t>21</w:t>
      </w:r>
      <w:r w:rsidR="00C35863" w:rsidRPr="00507D89">
        <w:rPr>
          <w:rFonts w:asciiTheme="majorHAnsi" w:hAnsiTheme="majorHAnsi" w:cs="HelveticaNeue-BoldCond"/>
          <w:color w:val="000000"/>
          <w:sz w:val="20"/>
          <w:szCs w:val="20"/>
        </w:rPr>
        <w:t>. Gianella S, Smith DM, Vargas MV, et al. Shedding</w:t>
      </w:r>
      <w:r w:rsidR="00A47E4A">
        <w:rPr>
          <w:rFonts w:asciiTheme="majorHAnsi" w:hAnsiTheme="majorHAnsi" w:cs="HelveticaNeue-BoldCond"/>
          <w:color w:val="000000"/>
          <w:sz w:val="20"/>
          <w:szCs w:val="20"/>
        </w:rPr>
        <w:t xml:space="preserve"> of HIV and human herpesviruses </w:t>
      </w:r>
      <w:r w:rsidR="00C35863" w:rsidRPr="00507D89">
        <w:rPr>
          <w:rFonts w:asciiTheme="majorHAnsi" w:hAnsiTheme="majorHAnsi" w:cs="HelveticaNeue-BoldCond"/>
          <w:color w:val="000000"/>
          <w:sz w:val="20"/>
          <w:szCs w:val="20"/>
        </w:rPr>
        <w:t>in the semen of effectively treated HIV-1-infected men who have sex with men. Clin</w:t>
      </w:r>
      <w:r w:rsidR="00A47E4A">
        <w:rPr>
          <w:rFonts w:asciiTheme="majorHAnsi" w:hAnsiTheme="majorHAnsi" w:cs="HelveticaNeue-BoldCond"/>
          <w:color w:val="000000"/>
          <w:sz w:val="20"/>
          <w:szCs w:val="20"/>
        </w:rPr>
        <w:t xml:space="preserve"> </w:t>
      </w:r>
      <w:r w:rsidR="00C35863" w:rsidRPr="00507D89">
        <w:rPr>
          <w:rFonts w:asciiTheme="majorHAnsi" w:hAnsiTheme="majorHAnsi" w:cs="HelveticaNeue-BoldCond"/>
          <w:color w:val="000000"/>
          <w:sz w:val="20"/>
          <w:szCs w:val="20"/>
        </w:rPr>
        <w:t>Infect Dis. 2013 Aug;57(3):441-7.</w:t>
      </w:r>
    </w:p>
    <w:p w14:paraId="7C8E0F50" w14:textId="77777777" w:rsidR="00A47E4A" w:rsidRDefault="00A47E4A" w:rsidP="00C35863">
      <w:pPr>
        <w:rPr>
          <w:rFonts w:asciiTheme="majorHAnsi" w:hAnsiTheme="majorHAnsi" w:cs="PTSans-Bold"/>
          <w:bCs/>
          <w:sz w:val="20"/>
          <w:szCs w:val="20"/>
        </w:rPr>
      </w:pPr>
    </w:p>
    <w:p w14:paraId="6E1A979B" w14:textId="1CE70B71" w:rsidR="00743F95" w:rsidRDefault="00056137" w:rsidP="008A02DD">
      <w:pPr>
        <w:rPr>
          <w:rFonts w:asciiTheme="majorHAnsi" w:hAnsiTheme="majorHAnsi" w:cs="PTSans-Bold"/>
          <w:bCs/>
          <w:sz w:val="20"/>
          <w:szCs w:val="20"/>
        </w:rPr>
      </w:pPr>
      <w:r>
        <w:rPr>
          <w:rFonts w:asciiTheme="majorHAnsi" w:hAnsiTheme="majorHAnsi" w:cs="PTSans-Bold"/>
          <w:bCs/>
          <w:sz w:val="20"/>
          <w:szCs w:val="20"/>
        </w:rPr>
        <w:t xml:space="preserve">22. Volk J, Marcus J, Phengrasamy T, et al. </w:t>
      </w:r>
      <w:r w:rsidRPr="00056137">
        <w:rPr>
          <w:rFonts w:asciiTheme="majorHAnsi" w:hAnsiTheme="majorHAnsi" w:cs="PTSans-Bold"/>
          <w:bCs/>
          <w:sz w:val="20"/>
          <w:szCs w:val="20"/>
        </w:rPr>
        <w:t>No New HIV Infections With Increased Use of HIV Pre-exposure Prophylaxis</w:t>
      </w:r>
      <w:r>
        <w:rPr>
          <w:rFonts w:asciiTheme="majorHAnsi" w:hAnsiTheme="majorHAnsi" w:cs="PTSans-Bold"/>
          <w:bCs/>
          <w:sz w:val="20"/>
          <w:szCs w:val="20"/>
        </w:rPr>
        <w:t xml:space="preserve"> </w:t>
      </w:r>
      <w:r w:rsidRPr="00056137">
        <w:rPr>
          <w:rFonts w:asciiTheme="majorHAnsi" w:hAnsiTheme="majorHAnsi" w:cs="PTSans-Bold"/>
          <w:bCs/>
          <w:sz w:val="20"/>
          <w:szCs w:val="20"/>
        </w:rPr>
        <w:t>in a Clinical Practice Setting</w:t>
      </w:r>
      <w:r>
        <w:rPr>
          <w:rFonts w:asciiTheme="majorHAnsi" w:hAnsiTheme="majorHAnsi" w:cs="PTSans-Bold"/>
          <w:bCs/>
          <w:sz w:val="20"/>
          <w:szCs w:val="20"/>
        </w:rPr>
        <w:t xml:space="preserve">. </w:t>
      </w:r>
      <w:r w:rsidRPr="00056137">
        <w:rPr>
          <w:rFonts w:asciiTheme="majorHAnsi" w:hAnsiTheme="majorHAnsi" w:cs="PTSans-Bold"/>
          <w:bCs/>
          <w:sz w:val="20"/>
          <w:szCs w:val="20"/>
        </w:rPr>
        <w:t xml:space="preserve">Clinical Infectious Diseases (2015) </w:t>
      </w:r>
      <w:r w:rsidR="008A02DD">
        <w:rPr>
          <w:rFonts w:ascii="Verdana" w:hAnsi="Verdana"/>
          <w:color w:val="333300"/>
          <w:sz w:val="17"/>
          <w:szCs w:val="17"/>
          <w:shd w:val="clear" w:color="auto" w:fill="FFFFFF"/>
        </w:rPr>
        <w:t>doi:</w:t>
      </w:r>
      <w:r w:rsidR="008A02DD">
        <w:rPr>
          <w:rStyle w:val="apple-converted-space"/>
          <w:rFonts w:ascii="Verdana" w:hAnsi="Verdana"/>
          <w:color w:val="333300"/>
          <w:sz w:val="17"/>
          <w:szCs w:val="17"/>
          <w:shd w:val="clear" w:color="auto" w:fill="FFFFFF"/>
        </w:rPr>
        <w:t xml:space="preserve"> </w:t>
      </w:r>
      <w:r w:rsidR="008A02DD">
        <w:rPr>
          <w:rStyle w:val="slug-doi"/>
          <w:rFonts w:ascii="Verdana" w:hAnsi="Verdana"/>
          <w:color w:val="333300"/>
          <w:sz w:val="17"/>
          <w:szCs w:val="17"/>
          <w:bdr w:val="none" w:sz="0" w:space="0" w:color="auto" w:frame="1"/>
          <w:shd w:val="clear" w:color="auto" w:fill="FFFFFF"/>
        </w:rPr>
        <w:t>10.1093/cid/civ778</w:t>
      </w:r>
    </w:p>
    <w:p w14:paraId="4E46375A" w14:textId="77777777" w:rsidR="00EE0698" w:rsidRDefault="00EE0698" w:rsidP="00C35863">
      <w:pPr>
        <w:rPr>
          <w:rFonts w:asciiTheme="majorHAnsi" w:hAnsiTheme="majorHAnsi" w:cs="PTSans-Bold"/>
          <w:bCs/>
          <w:sz w:val="20"/>
          <w:szCs w:val="20"/>
        </w:rPr>
      </w:pPr>
    </w:p>
    <w:p w14:paraId="76C648D7" w14:textId="77777777" w:rsidR="00EE0698" w:rsidRDefault="00EE0698" w:rsidP="00C35863">
      <w:pPr>
        <w:rPr>
          <w:rFonts w:asciiTheme="majorHAnsi" w:hAnsiTheme="majorHAnsi" w:cs="PTSans-Bold"/>
          <w:bCs/>
          <w:sz w:val="20"/>
          <w:szCs w:val="20"/>
        </w:rPr>
      </w:pPr>
    </w:p>
    <w:p w14:paraId="2FE55572" w14:textId="77777777" w:rsidR="00EE0698" w:rsidRDefault="00EE0698" w:rsidP="00C35863">
      <w:pPr>
        <w:rPr>
          <w:rFonts w:asciiTheme="majorHAnsi" w:hAnsiTheme="majorHAnsi" w:cs="PTSans-Bold"/>
          <w:bCs/>
          <w:sz w:val="20"/>
          <w:szCs w:val="20"/>
        </w:rPr>
      </w:pPr>
    </w:p>
    <w:p w14:paraId="0D370674" w14:textId="77777777" w:rsidR="00743F95" w:rsidRPr="00507D89" w:rsidRDefault="00743F95" w:rsidP="00C35863">
      <w:pPr>
        <w:rPr>
          <w:rFonts w:asciiTheme="majorHAnsi" w:hAnsiTheme="majorHAnsi" w:cs="PTSans-Bold"/>
          <w:bCs/>
          <w:sz w:val="20"/>
          <w:szCs w:val="20"/>
        </w:rPr>
      </w:pPr>
    </w:p>
    <w:p w14:paraId="658AC859" w14:textId="0221C12F" w:rsidR="00136F91" w:rsidRPr="00743F95" w:rsidRDefault="00A47E4A" w:rsidP="004F25F8">
      <w:pPr>
        <w:pStyle w:val="Default"/>
        <w:rPr>
          <w:rFonts w:cs="Times New Roman"/>
          <w:color w:val="3366FF"/>
          <w:sz w:val="16"/>
          <w:szCs w:val="16"/>
        </w:rPr>
      </w:pPr>
      <w:r w:rsidRPr="00743F95">
        <w:rPr>
          <w:rFonts w:asciiTheme="majorHAnsi" w:hAnsiTheme="majorHAnsi"/>
          <w:b/>
          <w:color w:val="3366FF"/>
          <w:sz w:val="16"/>
          <w:szCs w:val="16"/>
        </w:rPr>
        <w:t xml:space="preserve"> </w:t>
      </w:r>
      <w:r w:rsidR="004E6B98" w:rsidRPr="00743F95">
        <w:rPr>
          <w:rFonts w:asciiTheme="majorHAnsi" w:hAnsiTheme="majorHAnsi"/>
          <w:b/>
          <w:color w:val="3366FF"/>
          <w:sz w:val="16"/>
          <w:szCs w:val="16"/>
        </w:rPr>
        <w:t>[logos]</w:t>
      </w:r>
      <w:r w:rsidR="000523AD" w:rsidRPr="00743F95">
        <w:rPr>
          <w:rFonts w:asciiTheme="majorHAnsi" w:hAnsiTheme="majorHAnsi"/>
          <w:b/>
          <w:color w:val="3366FF"/>
          <w:sz w:val="16"/>
          <w:szCs w:val="16"/>
        </w:rPr>
        <w:t xml:space="preserve">   </w:t>
      </w:r>
      <w:r w:rsidR="00F944A0" w:rsidRPr="00743F95">
        <w:rPr>
          <w:rFonts w:cs="Times New Roman"/>
          <w:color w:val="3366FF"/>
          <w:sz w:val="16"/>
          <w:szCs w:val="16"/>
        </w:rPr>
        <w:t xml:space="preserve"> </w:t>
      </w:r>
      <w:r w:rsidR="00136F91" w:rsidRPr="00743F95">
        <w:rPr>
          <w:rFonts w:cs="Times New Roman"/>
          <w:color w:val="3366FF"/>
          <w:sz w:val="16"/>
          <w:szCs w:val="16"/>
        </w:rPr>
        <w:t xml:space="preserve"> </w:t>
      </w:r>
    </w:p>
    <w:p w14:paraId="4F49CEE9" w14:textId="1834F459" w:rsidR="00136F91" w:rsidRPr="00012254" w:rsidRDefault="00136F91" w:rsidP="004F25F8">
      <w:pPr>
        <w:pStyle w:val="Default"/>
        <w:rPr>
          <w:color w:val="auto"/>
          <w:sz w:val="20"/>
          <w:szCs w:val="20"/>
        </w:rPr>
      </w:pPr>
      <w:r w:rsidRPr="00012254">
        <w:rPr>
          <w:rFonts w:cs="Times New Roman"/>
          <w:color w:val="auto"/>
          <w:sz w:val="20"/>
          <w:szCs w:val="20"/>
        </w:rPr>
        <w:t xml:space="preserve">(1) </w:t>
      </w:r>
      <w:r w:rsidR="00F944A0" w:rsidRPr="00012254">
        <w:rPr>
          <w:color w:val="auto"/>
          <w:sz w:val="20"/>
          <w:szCs w:val="20"/>
        </w:rPr>
        <w:t>Department of Health and Human Services/CDC Control and Prevention badge</w:t>
      </w:r>
    </w:p>
    <w:p w14:paraId="36FE1C64" w14:textId="6499BECC" w:rsidR="00136F91" w:rsidRPr="00012254" w:rsidRDefault="00136F91" w:rsidP="004F25F8">
      <w:pPr>
        <w:pStyle w:val="Default"/>
        <w:rPr>
          <w:color w:val="auto"/>
          <w:sz w:val="20"/>
          <w:szCs w:val="20"/>
        </w:rPr>
      </w:pPr>
      <w:r w:rsidRPr="00012254">
        <w:rPr>
          <w:color w:val="auto"/>
          <w:sz w:val="20"/>
          <w:szCs w:val="20"/>
        </w:rPr>
        <w:t xml:space="preserve">(2) </w:t>
      </w:r>
      <w:r w:rsidR="00F944A0" w:rsidRPr="00012254">
        <w:rPr>
          <w:i/>
          <w:iCs/>
          <w:color w:val="auto"/>
          <w:sz w:val="20"/>
          <w:szCs w:val="20"/>
        </w:rPr>
        <w:t xml:space="preserve">Act Against AIDS </w:t>
      </w:r>
      <w:r w:rsidRPr="00012254">
        <w:rPr>
          <w:color w:val="auto"/>
          <w:sz w:val="20"/>
          <w:szCs w:val="20"/>
        </w:rPr>
        <w:t>logo</w:t>
      </w:r>
    </w:p>
    <w:p w14:paraId="6A0A7747" w14:textId="79398F9E" w:rsidR="004E6B98" w:rsidRPr="00012254" w:rsidRDefault="00136F91" w:rsidP="004F25F8">
      <w:pPr>
        <w:pStyle w:val="Default"/>
        <w:rPr>
          <w:color w:val="auto"/>
          <w:sz w:val="20"/>
          <w:szCs w:val="20"/>
        </w:rPr>
      </w:pPr>
      <w:r w:rsidRPr="00012254">
        <w:rPr>
          <w:color w:val="auto"/>
          <w:sz w:val="20"/>
          <w:szCs w:val="20"/>
        </w:rPr>
        <w:t>(3) PrEP/PEP logo treatment and tag</w:t>
      </w:r>
    </w:p>
    <w:p w14:paraId="3D4C9C8D" w14:textId="77777777" w:rsidR="00005CE9" w:rsidRDefault="00005CE9" w:rsidP="00866764">
      <w:pPr>
        <w:spacing w:line="276" w:lineRule="auto"/>
        <w:rPr>
          <w:rFonts w:asciiTheme="majorHAnsi" w:hAnsiTheme="majorHAnsi"/>
        </w:rPr>
      </w:pPr>
    </w:p>
    <w:p w14:paraId="12FF4E69" w14:textId="77777777" w:rsidR="00743F95" w:rsidRDefault="00136F91" w:rsidP="00AC4FBD">
      <w:pPr>
        <w:spacing w:line="276" w:lineRule="auto"/>
        <w:rPr>
          <w:rFonts w:ascii="Arial" w:hAnsi="Arial" w:cs="Arial"/>
        </w:rPr>
      </w:pPr>
      <w:r w:rsidRPr="00DD080C">
        <w:rPr>
          <w:rFonts w:ascii="Arial" w:hAnsi="Arial" w:cs="Arial"/>
          <w:color w:val="3366FF"/>
          <w:sz w:val="16"/>
          <w:szCs w:val="16"/>
        </w:rPr>
        <w:t>(footer text)</w:t>
      </w:r>
      <w:r w:rsidRPr="00136F91">
        <w:rPr>
          <w:rFonts w:ascii="Arial" w:hAnsi="Arial" w:cs="Arial"/>
        </w:rPr>
        <w:t xml:space="preserve"> </w:t>
      </w:r>
    </w:p>
    <w:p w14:paraId="73566D98" w14:textId="4E30C167" w:rsidR="009D2A2E" w:rsidRPr="00EE0698" w:rsidRDefault="00136F91" w:rsidP="00056137">
      <w:pPr>
        <w:spacing w:line="276" w:lineRule="auto"/>
        <w:rPr>
          <w:rFonts w:ascii="Arial" w:hAnsi="Arial" w:cs="Arial"/>
        </w:rPr>
      </w:pPr>
      <w:r w:rsidRPr="00EE0698">
        <w:rPr>
          <w:rFonts w:ascii="Arial" w:hAnsi="Arial" w:cs="Arial"/>
          <w:sz w:val="20"/>
          <w:szCs w:val="20"/>
        </w:rPr>
        <w:t>Content reused with permission from the New York City Department of Health</w:t>
      </w:r>
    </w:p>
    <w:p w14:paraId="6CDFDE44" w14:textId="46EBD8FF" w:rsidR="00404A24" w:rsidRPr="001919D9" w:rsidRDefault="00136F91" w:rsidP="00005CE9">
      <w:pPr>
        <w:spacing w:line="276" w:lineRule="auto"/>
        <w:rPr>
          <w:rFonts w:asciiTheme="majorHAnsi" w:hAnsiTheme="majorHAnsi"/>
          <w:sz w:val="20"/>
          <w:szCs w:val="20"/>
        </w:rPr>
      </w:pPr>
      <w:r w:rsidRPr="00EE0698">
        <w:rPr>
          <w:rFonts w:asciiTheme="majorHAnsi" w:hAnsiTheme="majorHAnsi"/>
          <w:sz w:val="20"/>
          <w:szCs w:val="20"/>
        </w:rPr>
        <w:t>Doc code # &amp; date (CDC to supply #’s)</w:t>
      </w:r>
    </w:p>
    <w:sectPr w:rsidR="00404A24" w:rsidRPr="001919D9" w:rsidSect="00813111">
      <w:headerReference w:type="default" r:id="rId15"/>
      <w:footerReference w:type="even" r:id="rId16"/>
      <w:footerReference w:type="default" r:id="rId17"/>
      <w:pgSz w:w="12240" w:h="15840"/>
      <w:pgMar w:top="2070" w:right="900" w:bottom="720" w:left="126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Kemp Rinderle, Jeffrey (CDC/OID/NCHHSTP)" w:date="2016-04-01T16:44:00Z" w:initials="KRJ(">
    <w:p w14:paraId="0304CF68" w14:textId="128CE7E7" w:rsidR="00FE2101" w:rsidRDefault="00FE2101">
      <w:pPr>
        <w:pStyle w:val="CommentText"/>
      </w:pPr>
      <w:r>
        <w:rPr>
          <w:rStyle w:val="CommentReference"/>
        </w:rPr>
        <w:annotationRef/>
      </w:r>
      <w:r>
        <w:t>Let’s find more recent data on PrEP among women</w:t>
      </w:r>
    </w:p>
  </w:comment>
  <w:comment w:id="2" w:author="kgray" w:date="2016-04-06T10:38:00Z" w:initials="kg">
    <w:p w14:paraId="2B37CBF8" w14:textId="716052F7" w:rsidR="00161282" w:rsidRDefault="00161282">
      <w:pPr>
        <w:pStyle w:val="CommentText"/>
      </w:pPr>
      <w:r>
        <w:rPr>
          <w:rStyle w:val="CommentReference"/>
        </w:rPr>
        <w:annotationRef/>
      </w:r>
      <w:r>
        <w:t>Newer studies not found. Can CDC recommend?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D448D7" w15:done="0"/>
  <w15:commentEx w15:paraId="01F5DC37" w15:done="0"/>
  <w15:commentEx w15:paraId="58375335" w15:done="0"/>
  <w15:commentEx w15:paraId="3F3943D4" w15:done="0"/>
  <w15:commentEx w15:paraId="35F2DFBF" w15:done="0"/>
  <w15:commentEx w15:paraId="1BE2A7A9" w15:done="0"/>
  <w15:commentEx w15:paraId="55BF3ABC" w15:done="0"/>
  <w15:commentEx w15:paraId="7540C67A" w15:done="0"/>
  <w15:commentEx w15:paraId="11F47EE8" w15:done="0"/>
  <w15:commentEx w15:paraId="20C80493" w15:done="0"/>
  <w15:commentEx w15:paraId="5125A908" w15:done="0"/>
  <w15:commentEx w15:paraId="6D701DA8" w15:done="0"/>
  <w15:commentEx w15:paraId="41220112" w15:done="0"/>
  <w15:commentEx w15:paraId="73C5E4B1" w15:done="0"/>
  <w15:commentEx w15:paraId="270C6CF0" w15:done="0"/>
  <w15:commentEx w15:paraId="1DFE1A03" w15:done="0"/>
  <w15:commentEx w15:paraId="718D42D4" w15:done="0"/>
  <w15:commentEx w15:paraId="436BD8A5" w15:done="0"/>
  <w15:commentEx w15:paraId="42742CCE" w15:done="0"/>
  <w15:commentEx w15:paraId="0304CF68" w15:done="0"/>
  <w15:commentEx w15:paraId="07B36E98" w15:done="0"/>
  <w15:commentEx w15:paraId="2B37CBF8" w15:done="0"/>
  <w15:commentEx w15:paraId="4D414E80" w15:done="0"/>
  <w15:commentEx w15:paraId="6442DF64" w15:done="0"/>
  <w15:commentEx w15:paraId="0017B410" w15:done="0"/>
  <w15:commentEx w15:paraId="6020A731" w15:done="0"/>
  <w15:commentEx w15:paraId="71C24534" w15:done="0"/>
  <w15:commentEx w15:paraId="64DA38DC" w15:done="0"/>
  <w15:commentEx w15:paraId="7015EAB0" w15:done="0"/>
  <w15:commentEx w15:paraId="5BA088FF" w15:done="0"/>
  <w15:commentEx w15:paraId="014255FE" w15:done="0"/>
  <w15:commentEx w15:paraId="1A87DE50" w15:done="0"/>
  <w15:commentEx w15:paraId="1EC0D98A" w15:done="0"/>
  <w15:commentEx w15:paraId="37F88893" w15:done="0"/>
  <w15:commentEx w15:paraId="5FFC5A14" w15:done="0"/>
  <w15:commentEx w15:paraId="16938182" w15:done="0"/>
  <w15:commentEx w15:paraId="73149100" w15:done="0"/>
  <w15:commentEx w15:paraId="5C23920D" w15:done="0"/>
  <w15:commentEx w15:paraId="2374AAF1" w15:paraIdParent="5C23920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1D7E5B" w14:textId="77777777" w:rsidR="00FE2101" w:rsidRDefault="00FE2101" w:rsidP="007E174A">
      <w:r>
        <w:separator/>
      </w:r>
    </w:p>
  </w:endnote>
  <w:endnote w:type="continuationSeparator" w:id="0">
    <w:p w14:paraId="7E9D3E1B" w14:textId="77777777" w:rsidR="00FE2101" w:rsidRDefault="00FE2101" w:rsidP="007E1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TSans-Bold">
    <w:altName w:val="Cambria"/>
    <w:panose1 w:val="00000000000000000000"/>
    <w:charset w:val="4D"/>
    <w:family w:val="swiss"/>
    <w:notTrueType/>
    <w:pitch w:val="default"/>
    <w:sig w:usb0="00000003" w:usb1="00000000" w:usb2="00000000" w:usb3="00000000" w:csb0="00000001" w:csb1="00000000"/>
  </w:font>
  <w:font w:name="HelveticaNeue-Condensed">
    <w:altName w:val="Cambria"/>
    <w:panose1 w:val="00000000000000000000"/>
    <w:charset w:val="4D"/>
    <w:family w:val="swiss"/>
    <w:notTrueType/>
    <w:pitch w:val="default"/>
    <w:sig w:usb0="00000003" w:usb1="00000000" w:usb2="00000000" w:usb3="00000000" w:csb0="00000001" w:csb1="00000000"/>
  </w:font>
  <w:font w:name="HelveticaNeue-BoldCond">
    <w:altName w:val="Cambria"/>
    <w:panose1 w:val="00000000000000000000"/>
    <w:charset w:val="4D"/>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351BC" w14:textId="77777777" w:rsidR="00FE2101" w:rsidRDefault="00FE2101" w:rsidP="002058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25D2C3" w14:textId="77777777" w:rsidR="00FE2101" w:rsidRDefault="00FE2101" w:rsidP="00404A2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A3D66" w14:textId="77777777" w:rsidR="00FE2101" w:rsidRDefault="00FE2101" w:rsidP="002058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4D05">
      <w:rPr>
        <w:rStyle w:val="PageNumber"/>
        <w:noProof/>
      </w:rPr>
      <w:t>1</w:t>
    </w:r>
    <w:r>
      <w:rPr>
        <w:rStyle w:val="PageNumber"/>
      </w:rPr>
      <w:fldChar w:fldCharType="end"/>
    </w:r>
  </w:p>
  <w:p w14:paraId="6B1E6374" w14:textId="77777777" w:rsidR="00FE2101" w:rsidRDefault="00FE2101" w:rsidP="00404A2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8F351F" w14:textId="77777777" w:rsidR="00FE2101" w:rsidRDefault="00FE2101" w:rsidP="007E174A">
      <w:r>
        <w:separator/>
      </w:r>
    </w:p>
  </w:footnote>
  <w:footnote w:type="continuationSeparator" w:id="0">
    <w:p w14:paraId="714DD458" w14:textId="77777777" w:rsidR="00FE2101" w:rsidRDefault="00FE2101" w:rsidP="007E17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BF377" w14:textId="37972D44" w:rsidR="00FE2101" w:rsidRPr="009A0D3C" w:rsidRDefault="00FE2101" w:rsidP="003F2FCC">
    <w:pPr>
      <w:pStyle w:val="Header"/>
      <w:ind w:left="-810"/>
      <w:rPr>
        <w:rFonts w:ascii="Arial" w:hAnsi="Arial" w:cs="Arial"/>
      </w:rPr>
    </w:pPr>
    <w:r w:rsidRPr="009A0D3C">
      <w:rPr>
        <w:noProof/>
      </w:rPr>
      <w:drawing>
        <wp:inline distT="0" distB="0" distL="0" distR="0" wp14:anchorId="1BBC6409" wp14:editId="49DB8279">
          <wp:extent cx="1938020" cy="4920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 BRx logo final BLACK v1 (4-21-14).png"/>
                  <pic:cNvPicPr/>
                </pic:nvPicPr>
                <pic:blipFill>
                  <a:blip r:embed="rId1">
                    <a:extLst>
                      <a:ext uri="{28A0092B-C50C-407E-A947-70E740481C1C}">
                        <a14:useLocalDpi xmlns:a14="http://schemas.microsoft.com/office/drawing/2010/main" val="0"/>
                      </a:ext>
                    </a:extLst>
                  </a:blip>
                  <a:stretch>
                    <a:fillRect/>
                  </a:stretch>
                </pic:blipFill>
                <pic:spPr>
                  <a:xfrm>
                    <a:off x="0" y="0"/>
                    <a:ext cx="1938089" cy="492053"/>
                  </a:xfrm>
                  <a:prstGeom prst="rect">
                    <a:avLst/>
                  </a:prstGeom>
                </pic:spPr>
              </pic:pic>
            </a:graphicData>
          </a:graphic>
        </wp:inline>
      </w:drawing>
    </w:r>
    <w:r w:rsidRPr="009A0D3C">
      <w:t xml:space="preserve">                                                                               </w:t>
    </w:r>
    <w:r w:rsidRPr="009A0D3C">
      <w:rPr>
        <w:rFonts w:ascii="Arial" w:hAnsi="Arial" w:cs="Arial"/>
      </w:rPr>
      <w:t>MS v2</w:t>
    </w:r>
    <w:r>
      <w:rPr>
        <w:rFonts w:ascii="Arial" w:hAnsi="Arial" w:cs="Arial"/>
      </w:rPr>
      <w:t>.3</w:t>
    </w:r>
    <w:r w:rsidRPr="009A0D3C">
      <w:rPr>
        <w:rFonts w:ascii="Arial" w:hAnsi="Arial" w:cs="Arial"/>
      </w:rPr>
      <w:t xml:space="preserve">     </w:t>
    </w:r>
    <w:r w:rsidR="006B001B">
      <w:rPr>
        <w:rFonts w:ascii="Arial" w:hAnsi="Arial" w:cs="Arial"/>
      </w:rPr>
      <w:t>4</w:t>
    </w:r>
    <w:r w:rsidRPr="009A0D3C">
      <w:rPr>
        <w:rFonts w:ascii="Arial" w:hAnsi="Arial" w:cs="Arial"/>
      </w:rPr>
      <w:t>.5.16</w:t>
    </w:r>
  </w:p>
  <w:p w14:paraId="47D09C70" w14:textId="77777777" w:rsidR="00FE2101" w:rsidRDefault="00FE2101" w:rsidP="007E174A">
    <w:pPr>
      <w:pStyle w:val="Header"/>
      <w:ind w:left="-8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D30F2"/>
    <w:multiLevelType w:val="hybridMultilevel"/>
    <w:tmpl w:val="C840F2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D62E37"/>
    <w:multiLevelType w:val="hybridMultilevel"/>
    <w:tmpl w:val="E844FF18"/>
    <w:lvl w:ilvl="0" w:tplc="0409000F">
      <w:start w:val="1"/>
      <w:numFmt w:val="decimal"/>
      <w:lvlText w:val="%1."/>
      <w:lvlJc w:val="left"/>
      <w:pPr>
        <w:ind w:left="60" w:hanging="360"/>
      </w:pPr>
      <w:rPr>
        <w:rFonts w:hint="default"/>
      </w:rPr>
    </w:lvl>
    <w:lvl w:ilvl="1" w:tplc="04090003" w:tentative="1">
      <w:start w:val="1"/>
      <w:numFmt w:val="bullet"/>
      <w:lvlText w:val="o"/>
      <w:lvlJc w:val="left"/>
      <w:pPr>
        <w:ind w:left="780" w:hanging="360"/>
      </w:pPr>
      <w:rPr>
        <w:rFonts w:ascii="Courier New" w:hAnsi="Courier New" w:hint="default"/>
      </w:rPr>
    </w:lvl>
    <w:lvl w:ilvl="2" w:tplc="04090005" w:tentative="1">
      <w:start w:val="1"/>
      <w:numFmt w:val="bullet"/>
      <w:lvlText w:val=""/>
      <w:lvlJc w:val="left"/>
      <w:pPr>
        <w:ind w:left="1500" w:hanging="360"/>
      </w:pPr>
      <w:rPr>
        <w:rFonts w:ascii="Wingdings" w:hAnsi="Wingdings" w:hint="default"/>
      </w:rPr>
    </w:lvl>
    <w:lvl w:ilvl="3" w:tplc="04090001" w:tentative="1">
      <w:start w:val="1"/>
      <w:numFmt w:val="bullet"/>
      <w:lvlText w:val=""/>
      <w:lvlJc w:val="left"/>
      <w:pPr>
        <w:ind w:left="2220" w:hanging="360"/>
      </w:pPr>
      <w:rPr>
        <w:rFonts w:ascii="Symbol" w:hAnsi="Symbol" w:hint="default"/>
      </w:rPr>
    </w:lvl>
    <w:lvl w:ilvl="4" w:tplc="04090003" w:tentative="1">
      <w:start w:val="1"/>
      <w:numFmt w:val="bullet"/>
      <w:lvlText w:val="o"/>
      <w:lvlJc w:val="left"/>
      <w:pPr>
        <w:ind w:left="2940" w:hanging="360"/>
      </w:pPr>
      <w:rPr>
        <w:rFonts w:ascii="Courier New" w:hAnsi="Courier New" w:hint="default"/>
      </w:rPr>
    </w:lvl>
    <w:lvl w:ilvl="5" w:tplc="04090005" w:tentative="1">
      <w:start w:val="1"/>
      <w:numFmt w:val="bullet"/>
      <w:lvlText w:val=""/>
      <w:lvlJc w:val="left"/>
      <w:pPr>
        <w:ind w:left="3660" w:hanging="360"/>
      </w:pPr>
      <w:rPr>
        <w:rFonts w:ascii="Wingdings" w:hAnsi="Wingdings" w:hint="default"/>
      </w:rPr>
    </w:lvl>
    <w:lvl w:ilvl="6" w:tplc="04090001" w:tentative="1">
      <w:start w:val="1"/>
      <w:numFmt w:val="bullet"/>
      <w:lvlText w:val=""/>
      <w:lvlJc w:val="left"/>
      <w:pPr>
        <w:ind w:left="4380" w:hanging="360"/>
      </w:pPr>
      <w:rPr>
        <w:rFonts w:ascii="Symbol" w:hAnsi="Symbol" w:hint="default"/>
      </w:rPr>
    </w:lvl>
    <w:lvl w:ilvl="7" w:tplc="04090003" w:tentative="1">
      <w:start w:val="1"/>
      <w:numFmt w:val="bullet"/>
      <w:lvlText w:val="o"/>
      <w:lvlJc w:val="left"/>
      <w:pPr>
        <w:ind w:left="5100" w:hanging="360"/>
      </w:pPr>
      <w:rPr>
        <w:rFonts w:ascii="Courier New" w:hAnsi="Courier New" w:hint="default"/>
      </w:rPr>
    </w:lvl>
    <w:lvl w:ilvl="8" w:tplc="04090005" w:tentative="1">
      <w:start w:val="1"/>
      <w:numFmt w:val="bullet"/>
      <w:lvlText w:val=""/>
      <w:lvlJc w:val="left"/>
      <w:pPr>
        <w:ind w:left="5820" w:hanging="360"/>
      </w:pPr>
      <w:rPr>
        <w:rFonts w:ascii="Wingdings" w:hAnsi="Wingdings" w:hint="default"/>
      </w:rPr>
    </w:lvl>
  </w:abstractNum>
  <w:abstractNum w:abstractNumId="2">
    <w:nsid w:val="2B0340DE"/>
    <w:multiLevelType w:val="hybridMultilevel"/>
    <w:tmpl w:val="C840F2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DC1AAB"/>
    <w:multiLevelType w:val="hybridMultilevel"/>
    <w:tmpl w:val="8A906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CE39A2"/>
    <w:multiLevelType w:val="hybridMultilevel"/>
    <w:tmpl w:val="908A95E6"/>
    <w:lvl w:ilvl="0" w:tplc="D2E65DC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3147D24"/>
    <w:multiLevelType w:val="hybridMultilevel"/>
    <w:tmpl w:val="3912BE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2603F65"/>
    <w:multiLevelType w:val="multilevel"/>
    <w:tmpl w:val="8F42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DE1011"/>
    <w:multiLevelType w:val="hybridMultilevel"/>
    <w:tmpl w:val="D0DAE136"/>
    <w:lvl w:ilvl="0" w:tplc="58FADBE0">
      <w:start w:val="1"/>
      <w:numFmt w:val="decimal"/>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8">
    <w:nsid w:val="6C02455F"/>
    <w:multiLevelType w:val="hybridMultilevel"/>
    <w:tmpl w:val="A11C4F5C"/>
    <w:lvl w:ilvl="0" w:tplc="273A20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10B13FE"/>
    <w:multiLevelType w:val="hybridMultilevel"/>
    <w:tmpl w:val="675C9F7A"/>
    <w:lvl w:ilvl="0" w:tplc="04090001">
      <w:start w:val="1"/>
      <w:numFmt w:val="bullet"/>
      <w:lvlText w:val=""/>
      <w:lvlJc w:val="left"/>
      <w:pPr>
        <w:ind w:left="60" w:hanging="360"/>
      </w:pPr>
      <w:rPr>
        <w:rFonts w:ascii="Symbol" w:hAnsi="Symbol" w:hint="default"/>
      </w:rPr>
    </w:lvl>
    <w:lvl w:ilvl="1" w:tplc="04090003" w:tentative="1">
      <w:start w:val="1"/>
      <w:numFmt w:val="bullet"/>
      <w:lvlText w:val="o"/>
      <w:lvlJc w:val="left"/>
      <w:pPr>
        <w:ind w:left="780" w:hanging="360"/>
      </w:pPr>
      <w:rPr>
        <w:rFonts w:ascii="Courier New" w:hAnsi="Courier New" w:hint="default"/>
      </w:rPr>
    </w:lvl>
    <w:lvl w:ilvl="2" w:tplc="04090005" w:tentative="1">
      <w:start w:val="1"/>
      <w:numFmt w:val="bullet"/>
      <w:lvlText w:val=""/>
      <w:lvlJc w:val="left"/>
      <w:pPr>
        <w:ind w:left="1500" w:hanging="360"/>
      </w:pPr>
      <w:rPr>
        <w:rFonts w:ascii="Wingdings" w:hAnsi="Wingdings" w:hint="default"/>
      </w:rPr>
    </w:lvl>
    <w:lvl w:ilvl="3" w:tplc="04090001" w:tentative="1">
      <w:start w:val="1"/>
      <w:numFmt w:val="bullet"/>
      <w:lvlText w:val=""/>
      <w:lvlJc w:val="left"/>
      <w:pPr>
        <w:ind w:left="2220" w:hanging="360"/>
      </w:pPr>
      <w:rPr>
        <w:rFonts w:ascii="Symbol" w:hAnsi="Symbol" w:hint="default"/>
      </w:rPr>
    </w:lvl>
    <w:lvl w:ilvl="4" w:tplc="04090003" w:tentative="1">
      <w:start w:val="1"/>
      <w:numFmt w:val="bullet"/>
      <w:lvlText w:val="o"/>
      <w:lvlJc w:val="left"/>
      <w:pPr>
        <w:ind w:left="2940" w:hanging="360"/>
      </w:pPr>
      <w:rPr>
        <w:rFonts w:ascii="Courier New" w:hAnsi="Courier New" w:hint="default"/>
      </w:rPr>
    </w:lvl>
    <w:lvl w:ilvl="5" w:tplc="04090005" w:tentative="1">
      <w:start w:val="1"/>
      <w:numFmt w:val="bullet"/>
      <w:lvlText w:val=""/>
      <w:lvlJc w:val="left"/>
      <w:pPr>
        <w:ind w:left="3660" w:hanging="360"/>
      </w:pPr>
      <w:rPr>
        <w:rFonts w:ascii="Wingdings" w:hAnsi="Wingdings" w:hint="default"/>
      </w:rPr>
    </w:lvl>
    <w:lvl w:ilvl="6" w:tplc="04090001" w:tentative="1">
      <w:start w:val="1"/>
      <w:numFmt w:val="bullet"/>
      <w:lvlText w:val=""/>
      <w:lvlJc w:val="left"/>
      <w:pPr>
        <w:ind w:left="4380" w:hanging="360"/>
      </w:pPr>
      <w:rPr>
        <w:rFonts w:ascii="Symbol" w:hAnsi="Symbol" w:hint="default"/>
      </w:rPr>
    </w:lvl>
    <w:lvl w:ilvl="7" w:tplc="04090003" w:tentative="1">
      <w:start w:val="1"/>
      <w:numFmt w:val="bullet"/>
      <w:lvlText w:val="o"/>
      <w:lvlJc w:val="left"/>
      <w:pPr>
        <w:ind w:left="5100" w:hanging="360"/>
      </w:pPr>
      <w:rPr>
        <w:rFonts w:ascii="Courier New" w:hAnsi="Courier New" w:hint="default"/>
      </w:rPr>
    </w:lvl>
    <w:lvl w:ilvl="8" w:tplc="04090005" w:tentative="1">
      <w:start w:val="1"/>
      <w:numFmt w:val="bullet"/>
      <w:lvlText w:val=""/>
      <w:lvlJc w:val="left"/>
      <w:pPr>
        <w:ind w:left="5820" w:hanging="360"/>
      </w:pPr>
      <w:rPr>
        <w:rFonts w:ascii="Wingdings" w:hAnsi="Wingdings" w:hint="default"/>
      </w:rPr>
    </w:lvl>
  </w:abstractNum>
  <w:num w:numId="1">
    <w:abstractNumId w:val="9"/>
  </w:num>
  <w:num w:numId="2">
    <w:abstractNumId w:val="1"/>
  </w:num>
  <w:num w:numId="3">
    <w:abstractNumId w:val="5"/>
  </w:num>
  <w:num w:numId="4">
    <w:abstractNumId w:val="3"/>
  </w:num>
  <w:num w:numId="5">
    <w:abstractNumId w:val="7"/>
  </w:num>
  <w:num w:numId="6">
    <w:abstractNumId w:val="6"/>
  </w:num>
  <w:num w:numId="7">
    <w:abstractNumId w:val="2"/>
  </w:num>
  <w:num w:numId="8">
    <w:abstractNumId w:val="0"/>
  </w:num>
  <w:num w:numId="9">
    <w:abstractNumId w:val="4"/>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vey, Jeff">
    <w15:presenceInfo w15:providerId="AD" w15:userId="S-1-5-21-2101533902-423532799-1776743176-3610"/>
  </w15:person>
  <w15:person w15:author="Kemp Rinderle, Jeffrey (CDC/OID/NCHHSTP)">
    <w15:presenceInfo w15:providerId="AD" w15:userId="S-1-5-21-1207783550-2075000910-922709458-5582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FBD"/>
    <w:rsid w:val="00000DD5"/>
    <w:rsid w:val="00005CE9"/>
    <w:rsid w:val="00012254"/>
    <w:rsid w:val="00027048"/>
    <w:rsid w:val="00037BBD"/>
    <w:rsid w:val="000523AD"/>
    <w:rsid w:val="00054179"/>
    <w:rsid w:val="00056137"/>
    <w:rsid w:val="000878D5"/>
    <w:rsid w:val="00091C86"/>
    <w:rsid w:val="000A6A28"/>
    <w:rsid w:val="000D6259"/>
    <w:rsid w:val="000E61BF"/>
    <w:rsid w:val="001127A9"/>
    <w:rsid w:val="00133D93"/>
    <w:rsid w:val="00136F91"/>
    <w:rsid w:val="00161282"/>
    <w:rsid w:val="0016695C"/>
    <w:rsid w:val="00177BDA"/>
    <w:rsid w:val="001919D9"/>
    <w:rsid w:val="001B26AB"/>
    <w:rsid w:val="001B47EB"/>
    <w:rsid w:val="001C1FAB"/>
    <w:rsid w:val="002058C7"/>
    <w:rsid w:val="00245EDD"/>
    <w:rsid w:val="00264131"/>
    <w:rsid w:val="002840B6"/>
    <w:rsid w:val="002865BD"/>
    <w:rsid w:val="00286837"/>
    <w:rsid w:val="002A6CA0"/>
    <w:rsid w:val="002B4820"/>
    <w:rsid w:val="002B6226"/>
    <w:rsid w:val="002B7AB8"/>
    <w:rsid w:val="002C33FB"/>
    <w:rsid w:val="002D3665"/>
    <w:rsid w:val="002F4C61"/>
    <w:rsid w:val="002F7B4E"/>
    <w:rsid w:val="00303DA3"/>
    <w:rsid w:val="00345467"/>
    <w:rsid w:val="00347332"/>
    <w:rsid w:val="003A078E"/>
    <w:rsid w:val="003B620A"/>
    <w:rsid w:val="003D7576"/>
    <w:rsid w:val="003F2FCC"/>
    <w:rsid w:val="003F73BE"/>
    <w:rsid w:val="00404A24"/>
    <w:rsid w:val="00424F1B"/>
    <w:rsid w:val="00453DE6"/>
    <w:rsid w:val="00454B1E"/>
    <w:rsid w:val="004900E5"/>
    <w:rsid w:val="00497BE3"/>
    <w:rsid w:val="004B7F3D"/>
    <w:rsid w:val="004E6B98"/>
    <w:rsid w:val="004F25F8"/>
    <w:rsid w:val="00501D8D"/>
    <w:rsid w:val="00531582"/>
    <w:rsid w:val="0058080F"/>
    <w:rsid w:val="005B1322"/>
    <w:rsid w:val="005C01D8"/>
    <w:rsid w:val="005D40A1"/>
    <w:rsid w:val="0062002F"/>
    <w:rsid w:val="00624A4E"/>
    <w:rsid w:val="00630363"/>
    <w:rsid w:val="006327DE"/>
    <w:rsid w:val="00634D05"/>
    <w:rsid w:val="00651158"/>
    <w:rsid w:val="00667416"/>
    <w:rsid w:val="00684901"/>
    <w:rsid w:val="006923B2"/>
    <w:rsid w:val="006B001B"/>
    <w:rsid w:val="006B65B2"/>
    <w:rsid w:val="006D1F46"/>
    <w:rsid w:val="006E6900"/>
    <w:rsid w:val="00702E8C"/>
    <w:rsid w:val="00710348"/>
    <w:rsid w:val="007244AC"/>
    <w:rsid w:val="00732575"/>
    <w:rsid w:val="007329CE"/>
    <w:rsid w:val="00743F95"/>
    <w:rsid w:val="00753335"/>
    <w:rsid w:val="0078323D"/>
    <w:rsid w:val="007A246F"/>
    <w:rsid w:val="007B7554"/>
    <w:rsid w:val="007D4CB5"/>
    <w:rsid w:val="007E174A"/>
    <w:rsid w:val="007E1FEE"/>
    <w:rsid w:val="00813111"/>
    <w:rsid w:val="0081590D"/>
    <w:rsid w:val="00836D5C"/>
    <w:rsid w:val="00842DE3"/>
    <w:rsid w:val="00857BE1"/>
    <w:rsid w:val="00861AD2"/>
    <w:rsid w:val="00866764"/>
    <w:rsid w:val="008A02DD"/>
    <w:rsid w:val="008A41E7"/>
    <w:rsid w:val="008E248A"/>
    <w:rsid w:val="008F3A80"/>
    <w:rsid w:val="00907543"/>
    <w:rsid w:val="009222A3"/>
    <w:rsid w:val="00951EDA"/>
    <w:rsid w:val="0096723F"/>
    <w:rsid w:val="00973C63"/>
    <w:rsid w:val="009800DC"/>
    <w:rsid w:val="00985084"/>
    <w:rsid w:val="00985DB9"/>
    <w:rsid w:val="009935D7"/>
    <w:rsid w:val="009A0D3C"/>
    <w:rsid w:val="009B660D"/>
    <w:rsid w:val="009C04AC"/>
    <w:rsid w:val="009C2D5C"/>
    <w:rsid w:val="009C6CAF"/>
    <w:rsid w:val="009D2A2E"/>
    <w:rsid w:val="009D6077"/>
    <w:rsid w:val="009D7F7C"/>
    <w:rsid w:val="00A15E73"/>
    <w:rsid w:val="00A40CCD"/>
    <w:rsid w:val="00A47E4A"/>
    <w:rsid w:val="00A5150F"/>
    <w:rsid w:val="00A6224E"/>
    <w:rsid w:val="00A8393E"/>
    <w:rsid w:val="00A95357"/>
    <w:rsid w:val="00AA14F1"/>
    <w:rsid w:val="00AA67E2"/>
    <w:rsid w:val="00AC00BD"/>
    <w:rsid w:val="00AC4FBD"/>
    <w:rsid w:val="00AC56C6"/>
    <w:rsid w:val="00AE0AF9"/>
    <w:rsid w:val="00AE3050"/>
    <w:rsid w:val="00B0517E"/>
    <w:rsid w:val="00B160B4"/>
    <w:rsid w:val="00B21EF9"/>
    <w:rsid w:val="00B24E5B"/>
    <w:rsid w:val="00B337DE"/>
    <w:rsid w:val="00B409D2"/>
    <w:rsid w:val="00B450E8"/>
    <w:rsid w:val="00BA4536"/>
    <w:rsid w:val="00BE2F04"/>
    <w:rsid w:val="00C330CB"/>
    <w:rsid w:val="00C35863"/>
    <w:rsid w:val="00C5611B"/>
    <w:rsid w:val="00C85772"/>
    <w:rsid w:val="00C86473"/>
    <w:rsid w:val="00C8683A"/>
    <w:rsid w:val="00CC14D2"/>
    <w:rsid w:val="00CE5A7D"/>
    <w:rsid w:val="00D34532"/>
    <w:rsid w:val="00D368D0"/>
    <w:rsid w:val="00D448E1"/>
    <w:rsid w:val="00D54F9B"/>
    <w:rsid w:val="00D7119B"/>
    <w:rsid w:val="00DC7F2D"/>
    <w:rsid w:val="00DD080C"/>
    <w:rsid w:val="00DD3080"/>
    <w:rsid w:val="00DE5AF9"/>
    <w:rsid w:val="00E348B0"/>
    <w:rsid w:val="00E710C9"/>
    <w:rsid w:val="00EB1656"/>
    <w:rsid w:val="00EC3E66"/>
    <w:rsid w:val="00EC6E3A"/>
    <w:rsid w:val="00ED031F"/>
    <w:rsid w:val="00ED4789"/>
    <w:rsid w:val="00EE0698"/>
    <w:rsid w:val="00F00A3F"/>
    <w:rsid w:val="00F2560D"/>
    <w:rsid w:val="00F25A64"/>
    <w:rsid w:val="00F72463"/>
    <w:rsid w:val="00F81D0D"/>
    <w:rsid w:val="00F93FA8"/>
    <w:rsid w:val="00F944A0"/>
    <w:rsid w:val="00F94683"/>
    <w:rsid w:val="00FA77E0"/>
    <w:rsid w:val="00FB5D11"/>
    <w:rsid w:val="00FE21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1EEA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74A"/>
    <w:pPr>
      <w:tabs>
        <w:tab w:val="center" w:pos="4320"/>
        <w:tab w:val="right" w:pos="8640"/>
      </w:tabs>
    </w:pPr>
  </w:style>
  <w:style w:type="character" w:customStyle="1" w:styleId="HeaderChar">
    <w:name w:val="Header Char"/>
    <w:basedOn w:val="DefaultParagraphFont"/>
    <w:link w:val="Header"/>
    <w:uiPriority w:val="99"/>
    <w:rsid w:val="007E174A"/>
  </w:style>
  <w:style w:type="paragraph" w:styleId="Footer">
    <w:name w:val="footer"/>
    <w:basedOn w:val="Normal"/>
    <w:link w:val="FooterChar"/>
    <w:uiPriority w:val="99"/>
    <w:unhideWhenUsed/>
    <w:rsid w:val="007E174A"/>
    <w:pPr>
      <w:tabs>
        <w:tab w:val="center" w:pos="4320"/>
        <w:tab w:val="right" w:pos="8640"/>
      </w:tabs>
    </w:pPr>
  </w:style>
  <w:style w:type="character" w:customStyle="1" w:styleId="FooterChar">
    <w:name w:val="Footer Char"/>
    <w:basedOn w:val="DefaultParagraphFont"/>
    <w:link w:val="Footer"/>
    <w:uiPriority w:val="99"/>
    <w:rsid w:val="007E174A"/>
  </w:style>
  <w:style w:type="paragraph" w:styleId="BalloonText">
    <w:name w:val="Balloon Text"/>
    <w:basedOn w:val="Normal"/>
    <w:link w:val="BalloonTextChar"/>
    <w:uiPriority w:val="99"/>
    <w:semiHidden/>
    <w:unhideWhenUsed/>
    <w:rsid w:val="007E17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174A"/>
    <w:rPr>
      <w:rFonts w:ascii="Lucida Grande" w:hAnsi="Lucida Grande" w:cs="Lucida Grande"/>
      <w:sz w:val="18"/>
      <w:szCs w:val="18"/>
    </w:rPr>
  </w:style>
  <w:style w:type="paragraph" w:styleId="ListParagraph">
    <w:name w:val="List Paragraph"/>
    <w:basedOn w:val="Normal"/>
    <w:uiPriority w:val="34"/>
    <w:qFormat/>
    <w:rsid w:val="00710348"/>
    <w:pPr>
      <w:ind w:left="720"/>
      <w:contextualSpacing/>
    </w:pPr>
  </w:style>
  <w:style w:type="character" w:styleId="PageNumber">
    <w:name w:val="page number"/>
    <w:basedOn w:val="DefaultParagraphFont"/>
    <w:uiPriority w:val="99"/>
    <w:semiHidden/>
    <w:unhideWhenUsed/>
    <w:rsid w:val="00404A24"/>
  </w:style>
  <w:style w:type="paragraph" w:customStyle="1" w:styleId="Default">
    <w:name w:val="Default"/>
    <w:rsid w:val="00F944A0"/>
    <w:pPr>
      <w:widowControl w:val="0"/>
      <w:autoSpaceDE w:val="0"/>
      <w:autoSpaceDN w:val="0"/>
      <w:adjustRightInd w:val="0"/>
    </w:pPr>
    <w:rPr>
      <w:rFonts w:ascii="Arial Narrow" w:hAnsi="Arial Narrow" w:cs="Arial Narrow"/>
      <w:color w:val="000000"/>
    </w:rPr>
  </w:style>
  <w:style w:type="character" w:styleId="Hyperlink">
    <w:name w:val="Hyperlink"/>
    <w:basedOn w:val="DefaultParagraphFont"/>
    <w:uiPriority w:val="99"/>
    <w:unhideWhenUsed/>
    <w:rsid w:val="004B7F3D"/>
    <w:rPr>
      <w:color w:val="0000FF" w:themeColor="hyperlink"/>
      <w:u w:val="single"/>
    </w:rPr>
  </w:style>
  <w:style w:type="table" w:styleId="TableGrid">
    <w:name w:val="Table Grid"/>
    <w:basedOn w:val="TableNormal"/>
    <w:uiPriority w:val="59"/>
    <w:rsid w:val="00C35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50E8"/>
    <w:rPr>
      <w:sz w:val="16"/>
      <w:szCs w:val="16"/>
    </w:rPr>
  </w:style>
  <w:style w:type="paragraph" w:styleId="CommentText">
    <w:name w:val="annotation text"/>
    <w:basedOn w:val="Normal"/>
    <w:link w:val="CommentTextChar"/>
    <w:uiPriority w:val="99"/>
    <w:semiHidden/>
    <w:unhideWhenUsed/>
    <w:rsid w:val="00B450E8"/>
    <w:rPr>
      <w:sz w:val="20"/>
      <w:szCs w:val="20"/>
    </w:rPr>
  </w:style>
  <w:style w:type="character" w:customStyle="1" w:styleId="CommentTextChar">
    <w:name w:val="Comment Text Char"/>
    <w:basedOn w:val="DefaultParagraphFont"/>
    <w:link w:val="CommentText"/>
    <w:uiPriority w:val="99"/>
    <w:semiHidden/>
    <w:rsid w:val="00B450E8"/>
    <w:rPr>
      <w:sz w:val="20"/>
      <w:szCs w:val="20"/>
    </w:rPr>
  </w:style>
  <w:style w:type="paragraph" w:styleId="CommentSubject">
    <w:name w:val="annotation subject"/>
    <w:basedOn w:val="CommentText"/>
    <w:next w:val="CommentText"/>
    <w:link w:val="CommentSubjectChar"/>
    <w:uiPriority w:val="99"/>
    <w:semiHidden/>
    <w:unhideWhenUsed/>
    <w:rsid w:val="00B450E8"/>
    <w:rPr>
      <w:b/>
      <w:bCs/>
    </w:rPr>
  </w:style>
  <w:style w:type="character" w:customStyle="1" w:styleId="CommentSubjectChar">
    <w:name w:val="Comment Subject Char"/>
    <w:basedOn w:val="CommentTextChar"/>
    <w:link w:val="CommentSubject"/>
    <w:uiPriority w:val="99"/>
    <w:semiHidden/>
    <w:rsid w:val="00B450E8"/>
    <w:rPr>
      <w:b/>
      <w:bCs/>
      <w:sz w:val="20"/>
      <w:szCs w:val="20"/>
    </w:rPr>
  </w:style>
  <w:style w:type="paragraph" w:styleId="NormalWeb">
    <w:name w:val="Normal (Web)"/>
    <w:basedOn w:val="Normal"/>
    <w:uiPriority w:val="99"/>
    <w:unhideWhenUsed/>
    <w:rsid w:val="002D3665"/>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2D3665"/>
    <w:rPr>
      <w:b/>
      <w:bCs/>
    </w:rPr>
  </w:style>
  <w:style w:type="paragraph" w:styleId="Revision">
    <w:name w:val="Revision"/>
    <w:hidden/>
    <w:uiPriority w:val="99"/>
    <w:semiHidden/>
    <w:rsid w:val="00EE0698"/>
  </w:style>
  <w:style w:type="character" w:customStyle="1" w:styleId="apple-converted-space">
    <w:name w:val="apple-converted-space"/>
    <w:basedOn w:val="DefaultParagraphFont"/>
    <w:rsid w:val="008A02DD"/>
  </w:style>
  <w:style w:type="character" w:customStyle="1" w:styleId="slug-doi">
    <w:name w:val="slug-doi"/>
    <w:basedOn w:val="DefaultParagraphFont"/>
    <w:rsid w:val="008A02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74A"/>
    <w:pPr>
      <w:tabs>
        <w:tab w:val="center" w:pos="4320"/>
        <w:tab w:val="right" w:pos="8640"/>
      </w:tabs>
    </w:pPr>
  </w:style>
  <w:style w:type="character" w:customStyle="1" w:styleId="HeaderChar">
    <w:name w:val="Header Char"/>
    <w:basedOn w:val="DefaultParagraphFont"/>
    <w:link w:val="Header"/>
    <w:uiPriority w:val="99"/>
    <w:rsid w:val="007E174A"/>
  </w:style>
  <w:style w:type="paragraph" w:styleId="Footer">
    <w:name w:val="footer"/>
    <w:basedOn w:val="Normal"/>
    <w:link w:val="FooterChar"/>
    <w:uiPriority w:val="99"/>
    <w:unhideWhenUsed/>
    <w:rsid w:val="007E174A"/>
    <w:pPr>
      <w:tabs>
        <w:tab w:val="center" w:pos="4320"/>
        <w:tab w:val="right" w:pos="8640"/>
      </w:tabs>
    </w:pPr>
  </w:style>
  <w:style w:type="character" w:customStyle="1" w:styleId="FooterChar">
    <w:name w:val="Footer Char"/>
    <w:basedOn w:val="DefaultParagraphFont"/>
    <w:link w:val="Footer"/>
    <w:uiPriority w:val="99"/>
    <w:rsid w:val="007E174A"/>
  </w:style>
  <w:style w:type="paragraph" w:styleId="BalloonText">
    <w:name w:val="Balloon Text"/>
    <w:basedOn w:val="Normal"/>
    <w:link w:val="BalloonTextChar"/>
    <w:uiPriority w:val="99"/>
    <w:semiHidden/>
    <w:unhideWhenUsed/>
    <w:rsid w:val="007E17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174A"/>
    <w:rPr>
      <w:rFonts w:ascii="Lucida Grande" w:hAnsi="Lucida Grande" w:cs="Lucida Grande"/>
      <w:sz w:val="18"/>
      <w:szCs w:val="18"/>
    </w:rPr>
  </w:style>
  <w:style w:type="paragraph" w:styleId="ListParagraph">
    <w:name w:val="List Paragraph"/>
    <w:basedOn w:val="Normal"/>
    <w:uiPriority w:val="34"/>
    <w:qFormat/>
    <w:rsid w:val="00710348"/>
    <w:pPr>
      <w:ind w:left="720"/>
      <w:contextualSpacing/>
    </w:pPr>
  </w:style>
  <w:style w:type="character" w:styleId="PageNumber">
    <w:name w:val="page number"/>
    <w:basedOn w:val="DefaultParagraphFont"/>
    <w:uiPriority w:val="99"/>
    <w:semiHidden/>
    <w:unhideWhenUsed/>
    <w:rsid w:val="00404A24"/>
  </w:style>
  <w:style w:type="paragraph" w:customStyle="1" w:styleId="Default">
    <w:name w:val="Default"/>
    <w:rsid w:val="00F944A0"/>
    <w:pPr>
      <w:widowControl w:val="0"/>
      <w:autoSpaceDE w:val="0"/>
      <w:autoSpaceDN w:val="0"/>
      <w:adjustRightInd w:val="0"/>
    </w:pPr>
    <w:rPr>
      <w:rFonts w:ascii="Arial Narrow" w:hAnsi="Arial Narrow" w:cs="Arial Narrow"/>
      <w:color w:val="000000"/>
    </w:rPr>
  </w:style>
  <w:style w:type="character" w:styleId="Hyperlink">
    <w:name w:val="Hyperlink"/>
    <w:basedOn w:val="DefaultParagraphFont"/>
    <w:uiPriority w:val="99"/>
    <w:unhideWhenUsed/>
    <w:rsid w:val="004B7F3D"/>
    <w:rPr>
      <w:color w:val="0000FF" w:themeColor="hyperlink"/>
      <w:u w:val="single"/>
    </w:rPr>
  </w:style>
  <w:style w:type="table" w:styleId="TableGrid">
    <w:name w:val="Table Grid"/>
    <w:basedOn w:val="TableNormal"/>
    <w:uiPriority w:val="59"/>
    <w:rsid w:val="00C35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50E8"/>
    <w:rPr>
      <w:sz w:val="16"/>
      <w:szCs w:val="16"/>
    </w:rPr>
  </w:style>
  <w:style w:type="paragraph" w:styleId="CommentText">
    <w:name w:val="annotation text"/>
    <w:basedOn w:val="Normal"/>
    <w:link w:val="CommentTextChar"/>
    <w:uiPriority w:val="99"/>
    <w:semiHidden/>
    <w:unhideWhenUsed/>
    <w:rsid w:val="00B450E8"/>
    <w:rPr>
      <w:sz w:val="20"/>
      <w:szCs w:val="20"/>
    </w:rPr>
  </w:style>
  <w:style w:type="character" w:customStyle="1" w:styleId="CommentTextChar">
    <w:name w:val="Comment Text Char"/>
    <w:basedOn w:val="DefaultParagraphFont"/>
    <w:link w:val="CommentText"/>
    <w:uiPriority w:val="99"/>
    <w:semiHidden/>
    <w:rsid w:val="00B450E8"/>
    <w:rPr>
      <w:sz w:val="20"/>
      <w:szCs w:val="20"/>
    </w:rPr>
  </w:style>
  <w:style w:type="paragraph" w:styleId="CommentSubject">
    <w:name w:val="annotation subject"/>
    <w:basedOn w:val="CommentText"/>
    <w:next w:val="CommentText"/>
    <w:link w:val="CommentSubjectChar"/>
    <w:uiPriority w:val="99"/>
    <w:semiHidden/>
    <w:unhideWhenUsed/>
    <w:rsid w:val="00B450E8"/>
    <w:rPr>
      <w:b/>
      <w:bCs/>
    </w:rPr>
  </w:style>
  <w:style w:type="character" w:customStyle="1" w:styleId="CommentSubjectChar">
    <w:name w:val="Comment Subject Char"/>
    <w:basedOn w:val="CommentTextChar"/>
    <w:link w:val="CommentSubject"/>
    <w:uiPriority w:val="99"/>
    <w:semiHidden/>
    <w:rsid w:val="00B450E8"/>
    <w:rPr>
      <w:b/>
      <w:bCs/>
      <w:sz w:val="20"/>
      <w:szCs w:val="20"/>
    </w:rPr>
  </w:style>
  <w:style w:type="paragraph" w:styleId="NormalWeb">
    <w:name w:val="Normal (Web)"/>
    <w:basedOn w:val="Normal"/>
    <w:uiPriority w:val="99"/>
    <w:unhideWhenUsed/>
    <w:rsid w:val="002D3665"/>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2D3665"/>
    <w:rPr>
      <w:b/>
      <w:bCs/>
    </w:rPr>
  </w:style>
  <w:style w:type="paragraph" w:styleId="Revision">
    <w:name w:val="Revision"/>
    <w:hidden/>
    <w:uiPriority w:val="99"/>
    <w:semiHidden/>
    <w:rsid w:val="00EE0698"/>
  </w:style>
  <w:style w:type="character" w:customStyle="1" w:styleId="apple-converted-space">
    <w:name w:val="apple-converted-space"/>
    <w:basedOn w:val="DefaultParagraphFont"/>
    <w:rsid w:val="008A02DD"/>
  </w:style>
  <w:style w:type="character" w:customStyle="1" w:styleId="slug-doi">
    <w:name w:val="slug-doi"/>
    <w:basedOn w:val="DefaultParagraphFont"/>
    <w:rsid w:val="008A0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263120">
      <w:bodyDiv w:val="1"/>
      <w:marLeft w:val="0"/>
      <w:marRight w:val="0"/>
      <w:marTop w:val="0"/>
      <w:marBottom w:val="0"/>
      <w:divBdr>
        <w:top w:val="none" w:sz="0" w:space="0" w:color="auto"/>
        <w:left w:val="none" w:sz="0" w:space="0" w:color="auto"/>
        <w:bottom w:val="none" w:sz="0" w:space="0" w:color="auto"/>
        <w:right w:val="none" w:sz="0" w:space="0" w:color="auto"/>
      </w:divBdr>
    </w:div>
    <w:div w:id="17653437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sciencedirect.com/science/article/pii/S014067361361127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pmc/articles/PMC3770474/"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nejm.org/doi/full/10.1056/NEJMoa1110711"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nejm.org/doi/full/10.1056/NEJMoa1011205"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C355D-2A48-4978-9687-CA4D11CC2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3318</Words>
  <Characters>18918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Huber Ensign LLC</Company>
  <LinksUpToDate>false</LinksUpToDate>
  <CharactersWithSpaces>22192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Huber</dc:creator>
  <cp:lastModifiedBy>kgray</cp:lastModifiedBy>
  <cp:revision>3</cp:revision>
  <cp:lastPrinted>2016-04-04T00:31:00Z</cp:lastPrinted>
  <dcterms:created xsi:type="dcterms:W3CDTF">2016-04-08T15:02:00Z</dcterms:created>
  <dcterms:modified xsi:type="dcterms:W3CDTF">2016-04-08T16:47:00Z</dcterms:modified>
</cp:coreProperties>
</file>