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8E" w:rsidRPr="00324CD3" w:rsidRDefault="00E4413C" w:rsidP="0088198E">
      <w:pPr>
        <w:jc w:val="center"/>
        <w:rPr>
          <w:rFonts w:asciiTheme="minorHAnsi" w:hAnsiTheme="minorHAnsi"/>
          <w:b/>
          <w:sz w:val="22"/>
          <w:szCs w:val="22"/>
        </w:rPr>
      </w:pPr>
      <w:r w:rsidRPr="00324CD3">
        <w:rPr>
          <w:rFonts w:asciiTheme="minorHAnsi" w:hAnsiTheme="minorHAnsi"/>
          <w:b/>
          <w:sz w:val="22"/>
          <w:szCs w:val="22"/>
        </w:rPr>
        <w:t>OMB Change Request</w:t>
      </w:r>
      <w:r w:rsidR="0088198E" w:rsidRPr="00324CD3">
        <w:rPr>
          <w:rFonts w:asciiTheme="minorHAnsi" w:hAnsiTheme="minorHAnsi"/>
          <w:b/>
          <w:sz w:val="22"/>
          <w:szCs w:val="22"/>
        </w:rPr>
        <w:t xml:space="preserve">: </w:t>
      </w:r>
      <w:r w:rsidR="0088198E" w:rsidRPr="00324CD3">
        <w:rPr>
          <w:rFonts w:asciiTheme="minorHAnsi" w:hAnsiTheme="minorHAnsi"/>
          <w:b/>
          <w:bCs/>
          <w:sz w:val="22"/>
          <w:szCs w:val="22"/>
        </w:rPr>
        <w:t>The National Violent Death Reporting System</w:t>
      </w:r>
      <w:r w:rsidR="003B6E0F" w:rsidRPr="00324CD3">
        <w:rPr>
          <w:rFonts w:asciiTheme="minorHAnsi" w:hAnsiTheme="minorHAnsi"/>
          <w:b/>
          <w:bCs/>
          <w:sz w:val="22"/>
          <w:szCs w:val="22"/>
        </w:rPr>
        <w:t xml:space="preserve"> (NVDRS)</w:t>
      </w:r>
    </w:p>
    <w:p w:rsidR="00403CB6" w:rsidRPr="00324CD3" w:rsidRDefault="005C49BD" w:rsidP="00E4413C">
      <w:pPr>
        <w:jc w:val="center"/>
        <w:rPr>
          <w:rFonts w:asciiTheme="minorHAnsi" w:hAnsiTheme="minorHAnsi"/>
          <w:b/>
          <w:sz w:val="22"/>
          <w:szCs w:val="22"/>
        </w:rPr>
      </w:pPr>
      <w:r w:rsidRPr="00324CD3">
        <w:rPr>
          <w:rFonts w:asciiTheme="minorHAnsi" w:hAnsiTheme="minorHAnsi"/>
          <w:b/>
          <w:sz w:val="22"/>
          <w:szCs w:val="22"/>
        </w:rPr>
        <w:t xml:space="preserve"> OMB No. 09200-0607</w:t>
      </w:r>
      <w:r w:rsidR="00252FF3" w:rsidRPr="00324CD3">
        <w:rPr>
          <w:rFonts w:asciiTheme="minorHAnsi" w:hAnsiTheme="minorHAnsi"/>
          <w:b/>
          <w:sz w:val="22"/>
          <w:szCs w:val="22"/>
        </w:rPr>
        <w:t xml:space="preserve"> exp. Date</w:t>
      </w:r>
      <w:r w:rsidR="00E605AD">
        <w:rPr>
          <w:rFonts w:asciiTheme="minorHAnsi" w:hAnsiTheme="minorHAnsi"/>
          <w:b/>
          <w:sz w:val="22"/>
          <w:szCs w:val="22"/>
        </w:rPr>
        <w:t xml:space="preserve"> 12/31/2015</w:t>
      </w:r>
    </w:p>
    <w:p w:rsidR="005C49BD" w:rsidRPr="00324CD3" w:rsidRDefault="005C49BD" w:rsidP="00E4413C">
      <w:pPr>
        <w:jc w:val="center"/>
        <w:rPr>
          <w:rFonts w:asciiTheme="minorHAnsi" w:hAnsiTheme="minorHAnsi"/>
          <w:sz w:val="22"/>
          <w:szCs w:val="22"/>
        </w:rPr>
      </w:pPr>
    </w:p>
    <w:p w:rsidR="00AE0E10" w:rsidRPr="00324CD3" w:rsidRDefault="003D4B31" w:rsidP="00935380">
      <w:pPr>
        <w:rPr>
          <w:rFonts w:asciiTheme="minorHAnsi" w:hAnsiTheme="minorHAnsi"/>
          <w:b/>
          <w:sz w:val="22"/>
          <w:szCs w:val="22"/>
        </w:rPr>
      </w:pPr>
      <w:r w:rsidRPr="00324CD3">
        <w:rPr>
          <w:rFonts w:asciiTheme="minorHAnsi" w:hAnsiTheme="minorHAnsi"/>
          <w:b/>
          <w:sz w:val="22"/>
          <w:szCs w:val="22"/>
        </w:rPr>
        <w:t>Justification</w:t>
      </w:r>
    </w:p>
    <w:p w:rsidR="007B75B1" w:rsidRPr="00324CD3" w:rsidRDefault="005829C1" w:rsidP="00935380">
      <w:pPr>
        <w:rPr>
          <w:rFonts w:asciiTheme="minorHAnsi" w:hAnsiTheme="minorHAnsi" w:cs="Arial"/>
          <w:sz w:val="22"/>
          <w:szCs w:val="22"/>
        </w:rPr>
      </w:pPr>
      <w:r w:rsidRPr="00324CD3">
        <w:rPr>
          <w:rFonts w:asciiTheme="minorHAnsi" w:hAnsiTheme="minorHAnsi"/>
          <w:sz w:val="22"/>
          <w:szCs w:val="22"/>
        </w:rPr>
        <w:t xml:space="preserve">The proposed changes will </w:t>
      </w:r>
      <w:r w:rsidR="00583604" w:rsidRPr="00324CD3">
        <w:rPr>
          <w:rFonts w:asciiTheme="minorHAnsi" w:hAnsiTheme="minorHAnsi"/>
          <w:sz w:val="22"/>
          <w:szCs w:val="22"/>
        </w:rPr>
        <w:t>enhance the security, reliability</w:t>
      </w:r>
      <w:r w:rsidR="003B6E0F" w:rsidRPr="00324CD3">
        <w:rPr>
          <w:rFonts w:asciiTheme="minorHAnsi" w:hAnsiTheme="minorHAnsi"/>
          <w:sz w:val="22"/>
          <w:szCs w:val="22"/>
        </w:rPr>
        <w:t>, scalability and quality of NVDRS by</w:t>
      </w:r>
      <w:r w:rsidR="00CA6992" w:rsidRPr="00324CD3">
        <w:rPr>
          <w:rFonts w:asciiTheme="minorHAnsi" w:hAnsiTheme="minorHAnsi"/>
          <w:sz w:val="22"/>
          <w:szCs w:val="22"/>
        </w:rPr>
        <w:t>:</w:t>
      </w:r>
      <w:r w:rsidR="003B6E0F" w:rsidRPr="00324CD3">
        <w:rPr>
          <w:rFonts w:asciiTheme="minorHAnsi" w:hAnsiTheme="minorHAnsi"/>
          <w:sz w:val="22"/>
          <w:szCs w:val="22"/>
        </w:rPr>
        <w:t xml:space="preserve"> 1) replacing</w:t>
      </w:r>
      <w:r w:rsidR="007B58ED" w:rsidRPr="00324CD3">
        <w:rPr>
          <w:rFonts w:asciiTheme="minorHAnsi" w:hAnsiTheme="minorHAnsi"/>
          <w:sz w:val="22"/>
          <w:szCs w:val="22"/>
        </w:rPr>
        <w:t xml:space="preserve"> the </w:t>
      </w:r>
      <w:r w:rsidR="007B75B1" w:rsidRPr="00324CD3">
        <w:rPr>
          <w:rFonts w:asciiTheme="minorHAnsi" w:hAnsiTheme="minorHAnsi"/>
          <w:sz w:val="22"/>
          <w:szCs w:val="22"/>
        </w:rPr>
        <w:t xml:space="preserve">current </w:t>
      </w:r>
      <w:r w:rsidR="007B58ED" w:rsidRPr="00324CD3">
        <w:rPr>
          <w:rFonts w:asciiTheme="minorHAnsi" w:hAnsiTheme="minorHAnsi"/>
          <w:sz w:val="22"/>
          <w:szCs w:val="22"/>
        </w:rPr>
        <w:t xml:space="preserve">distributed software system </w:t>
      </w:r>
      <w:r w:rsidR="00B42582" w:rsidRPr="00324CD3">
        <w:rPr>
          <w:rFonts w:asciiTheme="minorHAnsi" w:hAnsiTheme="minorHAnsi"/>
          <w:sz w:val="22"/>
          <w:szCs w:val="22"/>
        </w:rPr>
        <w:t>operated by</w:t>
      </w:r>
      <w:r w:rsidR="007B75B1" w:rsidRPr="00324CD3">
        <w:rPr>
          <w:rFonts w:asciiTheme="minorHAnsi" w:hAnsiTheme="minorHAnsi"/>
          <w:sz w:val="22"/>
          <w:szCs w:val="22"/>
        </w:rPr>
        <w:t xml:space="preserve"> </w:t>
      </w:r>
      <w:r w:rsidR="001B6390" w:rsidRPr="00324CD3">
        <w:rPr>
          <w:rFonts w:asciiTheme="minorHAnsi" w:hAnsiTheme="minorHAnsi"/>
          <w:sz w:val="22"/>
          <w:szCs w:val="22"/>
        </w:rPr>
        <w:t xml:space="preserve">funded </w:t>
      </w:r>
      <w:r w:rsidR="007B75B1" w:rsidRPr="00324CD3">
        <w:rPr>
          <w:rFonts w:asciiTheme="minorHAnsi" w:hAnsiTheme="minorHAnsi"/>
          <w:sz w:val="22"/>
          <w:szCs w:val="22"/>
        </w:rPr>
        <w:t xml:space="preserve">states </w:t>
      </w:r>
      <w:r w:rsidR="007B58ED" w:rsidRPr="00324CD3">
        <w:rPr>
          <w:rFonts w:asciiTheme="minorHAnsi" w:hAnsiTheme="minorHAnsi"/>
          <w:sz w:val="22"/>
          <w:szCs w:val="22"/>
        </w:rPr>
        <w:t>wit</w:t>
      </w:r>
      <w:r w:rsidR="00E54F3E" w:rsidRPr="00324CD3">
        <w:rPr>
          <w:rFonts w:asciiTheme="minorHAnsi" w:hAnsiTheme="minorHAnsi"/>
          <w:sz w:val="22"/>
          <w:szCs w:val="22"/>
        </w:rPr>
        <w:t>h a Center for Disea</w:t>
      </w:r>
      <w:r w:rsidRPr="00324CD3">
        <w:rPr>
          <w:rFonts w:asciiTheme="minorHAnsi" w:hAnsiTheme="minorHAnsi"/>
          <w:sz w:val="22"/>
          <w:szCs w:val="22"/>
        </w:rPr>
        <w:t xml:space="preserve">se Control and Prevention (CDC) </w:t>
      </w:r>
      <w:r w:rsidR="00252FF3" w:rsidRPr="00324CD3">
        <w:rPr>
          <w:rFonts w:asciiTheme="minorHAnsi" w:hAnsiTheme="minorHAnsi"/>
          <w:sz w:val="22"/>
          <w:szCs w:val="22"/>
        </w:rPr>
        <w:t xml:space="preserve">maintained </w:t>
      </w:r>
      <w:r w:rsidR="001B6390" w:rsidRPr="00324CD3">
        <w:rPr>
          <w:rFonts w:asciiTheme="minorHAnsi" w:hAnsiTheme="minorHAnsi"/>
          <w:sz w:val="22"/>
          <w:szCs w:val="22"/>
        </w:rPr>
        <w:t xml:space="preserve">server </w:t>
      </w:r>
      <w:r w:rsidR="007B58ED" w:rsidRPr="00324CD3">
        <w:rPr>
          <w:rFonts w:asciiTheme="minorHAnsi" w:hAnsiTheme="minorHAnsi"/>
          <w:sz w:val="22"/>
          <w:szCs w:val="22"/>
        </w:rPr>
        <w:t>accessed via the web</w:t>
      </w:r>
      <w:r w:rsidR="00294416" w:rsidRPr="00324CD3">
        <w:rPr>
          <w:rFonts w:asciiTheme="minorHAnsi" w:hAnsiTheme="minorHAnsi"/>
          <w:sz w:val="22"/>
          <w:szCs w:val="22"/>
        </w:rPr>
        <w:t>, 2) streamlining data abstraction</w:t>
      </w:r>
      <w:r w:rsidR="00E605AD">
        <w:rPr>
          <w:rFonts w:asciiTheme="minorHAnsi" w:hAnsiTheme="minorHAnsi"/>
          <w:sz w:val="22"/>
          <w:szCs w:val="22"/>
        </w:rPr>
        <w:t xml:space="preserve"> </w:t>
      </w:r>
      <w:r w:rsidR="00C77978">
        <w:rPr>
          <w:rFonts w:asciiTheme="minorHAnsi" w:hAnsiTheme="minorHAnsi"/>
          <w:sz w:val="22"/>
          <w:szCs w:val="22"/>
        </w:rPr>
        <w:t xml:space="preserve">and 3) adding </w:t>
      </w:r>
      <w:r w:rsidR="003B6E0F" w:rsidRPr="00324CD3">
        <w:rPr>
          <w:rFonts w:asciiTheme="minorHAnsi" w:hAnsiTheme="minorHAnsi"/>
          <w:sz w:val="22"/>
          <w:szCs w:val="22"/>
        </w:rPr>
        <w:t>a small number of data elements</w:t>
      </w:r>
      <w:r w:rsidRPr="00324CD3">
        <w:rPr>
          <w:rFonts w:asciiTheme="minorHAnsi" w:hAnsiTheme="minorHAnsi"/>
          <w:sz w:val="22"/>
          <w:szCs w:val="22"/>
        </w:rPr>
        <w:t xml:space="preserve"> identified by state users or CDC scientists</w:t>
      </w:r>
      <w:r w:rsidR="007B75B1" w:rsidRPr="00324CD3">
        <w:rPr>
          <w:rFonts w:asciiTheme="minorHAnsi" w:hAnsiTheme="minorHAnsi"/>
          <w:sz w:val="22"/>
          <w:szCs w:val="22"/>
        </w:rPr>
        <w:t xml:space="preserve">. </w:t>
      </w:r>
      <w:r w:rsidR="009226B2" w:rsidRPr="001D7B00">
        <w:rPr>
          <w:rFonts w:asciiTheme="minorHAnsi" w:hAnsiTheme="minorHAnsi"/>
          <w:b/>
          <w:sz w:val="22"/>
          <w:szCs w:val="22"/>
        </w:rPr>
        <w:t>The changes focus on how information is entered, but does not modify the data sources or variables substantially.</w:t>
      </w:r>
    </w:p>
    <w:p w:rsidR="007B75B1" w:rsidRPr="00324CD3" w:rsidRDefault="007B75B1" w:rsidP="007B75B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CD3">
        <w:rPr>
          <w:i/>
          <w:sz w:val="22"/>
          <w:szCs w:val="22"/>
          <w:u w:val="single"/>
        </w:rPr>
        <w:t>Security</w:t>
      </w:r>
      <w:r w:rsidRPr="00324CD3">
        <w:rPr>
          <w:i/>
          <w:sz w:val="22"/>
          <w:szCs w:val="22"/>
        </w:rPr>
        <w:t>:</w:t>
      </w:r>
      <w:r w:rsidR="001C73D9" w:rsidRPr="00324CD3">
        <w:rPr>
          <w:sz w:val="22"/>
          <w:szCs w:val="22"/>
        </w:rPr>
        <w:t xml:space="preserve"> The new web system will comply with</w:t>
      </w:r>
      <w:r w:rsidRPr="00324CD3">
        <w:rPr>
          <w:sz w:val="22"/>
          <w:szCs w:val="22"/>
        </w:rPr>
        <w:t xml:space="preserve"> </w:t>
      </w:r>
      <w:r w:rsidR="001C73D9" w:rsidRPr="00324CD3">
        <w:rPr>
          <w:sz w:val="22"/>
          <w:szCs w:val="22"/>
        </w:rPr>
        <w:t xml:space="preserve">national </w:t>
      </w:r>
      <w:r w:rsidR="007C5903" w:rsidRPr="00324CD3">
        <w:rPr>
          <w:sz w:val="22"/>
          <w:szCs w:val="22"/>
        </w:rPr>
        <w:t>security s</w:t>
      </w:r>
      <w:r w:rsidR="001C73D9" w:rsidRPr="00324CD3">
        <w:rPr>
          <w:sz w:val="22"/>
          <w:szCs w:val="22"/>
        </w:rPr>
        <w:t xml:space="preserve">tandards (i.e., NIST 800-53A standard). In contrast, current </w:t>
      </w:r>
      <w:r w:rsidRPr="00324CD3">
        <w:rPr>
          <w:sz w:val="22"/>
          <w:szCs w:val="22"/>
        </w:rPr>
        <w:t xml:space="preserve">state-owned </w:t>
      </w:r>
      <w:r w:rsidR="001B6390" w:rsidRPr="00324CD3">
        <w:rPr>
          <w:sz w:val="22"/>
          <w:szCs w:val="22"/>
        </w:rPr>
        <w:t>servers</w:t>
      </w:r>
      <w:r w:rsidR="001C73D9" w:rsidRPr="00324CD3">
        <w:rPr>
          <w:sz w:val="22"/>
          <w:szCs w:val="22"/>
        </w:rPr>
        <w:t xml:space="preserve"> have not been evaluated for compliance.</w:t>
      </w:r>
      <w:r w:rsidR="00995100" w:rsidRPr="00324CD3">
        <w:rPr>
          <w:sz w:val="22"/>
          <w:szCs w:val="22"/>
        </w:rPr>
        <w:t xml:space="preserve"> Compliance ensures effective</w:t>
      </w:r>
      <w:r w:rsidRPr="00324CD3">
        <w:rPr>
          <w:sz w:val="22"/>
          <w:szCs w:val="22"/>
        </w:rPr>
        <w:t xml:space="preserve"> identity verification, access control, </w:t>
      </w:r>
      <w:r w:rsidR="00995100" w:rsidRPr="00324CD3">
        <w:rPr>
          <w:sz w:val="22"/>
          <w:szCs w:val="22"/>
        </w:rPr>
        <w:t xml:space="preserve">vulnerability scanning </w:t>
      </w:r>
      <w:r w:rsidRPr="00324CD3">
        <w:rPr>
          <w:sz w:val="22"/>
          <w:szCs w:val="22"/>
        </w:rPr>
        <w:t>and backup and disaster recovery.</w:t>
      </w:r>
      <w:r w:rsidR="00C77978">
        <w:rPr>
          <w:sz w:val="22"/>
          <w:szCs w:val="22"/>
        </w:rPr>
        <w:t xml:space="preserve"> Variables with person identifying information (e.g., victim’s last name) that previously were just collected at the state </w:t>
      </w:r>
      <w:r w:rsidR="00660EEC">
        <w:rPr>
          <w:sz w:val="22"/>
          <w:szCs w:val="22"/>
        </w:rPr>
        <w:t>level</w:t>
      </w:r>
      <w:r w:rsidR="008231DB">
        <w:rPr>
          <w:sz w:val="22"/>
          <w:szCs w:val="22"/>
        </w:rPr>
        <w:t>, but not received nationally,</w:t>
      </w:r>
      <w:r w:rsidR="00660EEC">
        <w:rPr>
          <w:sz w:val="22"/>
          <w:szCs w:val="22"/>
        </w:rPr>
        <w:t xml:space="preserve"> </w:t>
      </w:r>
      <w:r w:rsidR="00C77978">
        <w:rPr>
          <w:sz w:val="22"/>
          <w:szCs w:val="22"/>
        </w:rPr>
        <w:t xml:space="preserve">will not be collected in the </w:t>
      </w:r>
      <w:r w:rsidR="00660EEC">
        <w:rPr>
          <w:sz w:val="22"/>
          <w:szCs w:val="22"/>
        </w:rPr>
        <w:t xml:space="preserve">national </w:t>
      </w:r>
      <w:r w:rsidR="00C77978">
        <w:rPr>
          <w:sz w:val="22"/>
          <w:szCs w:val="22"/>
        </w:rPr>
        <w:t>web system to protect confidentiality.</w:t>
      </w:r>
    </w:p>
    <w:p w:rsidR="007B75B1" w:rsidRPr="00324CD3" w:rsidRDefault="007B75B1" w:rsidP="0092737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CD3">
        <w:rPr>
          <w:i/>
          <w:sz w:val="22"/>
          <w:szCs w:val="22"/>
          <w:u w:val="single"/>
        </w:rPr>
        <w:t>Reliability:</w:t>
      </w:r>
      <w:r w:rsidR="00B42582" w:rsidRPr="00324CD3">
        <w:rPr>
          <w:sz w:val="22"/>
          <w:szCs w:val="22"/>
        </w:rPr>
        <w:t xml:space="preserve"> </w:t>
      </w:r>
      <w:r w:rsidR="008231DB">
        <w:rPr>
          <w:sz w:val="22"/>
          <w:szCs w:val="22"/>
        </w:rPr>
        <w:t xml:space="preserve">The </w:t>
      </w:r>
      <w:r w:rsidR="00B42582" w:rsidRPr="00324CD3">
        <w:rPr>
          <w:sz w:val="22"/>
          <w:szCs w:val="22"/>
        </w:rPr>
        <w:t xml:space="preserve">CDC-owned web platform enhances </w:t>
      </w:r>
      <w:r w:rsidR="004C3402" w:rsidRPr="00324CD3">
        <w:rPr>
          <w:sz w:val="22"/>
          <w:szCs w:val="22"/>
        </w:rPr>
        <w:t xml:space="preserve">database stability and </w:t>
      </w:r>
      <w:r w:rsidR="00B42582" w:rsidRPr="00324CD3">
        <w:rPr>
          <w:sz w:val="22"/>
          <w:szCs w:val="22"/>
        </w:rPr>
        <w:t>reliability by</w:t>
      </w:r>
      <w:r w:rsidR="004C3402" w:rsidRPr="00324CD3">
        <w:rPr>
          <w:sz w:val="22"/>
          <w:szCs w:val="22"/>
        </w:rPr>
        <w:t xml:space="preserve"> replacing varying state maintenance</w:t>
      </w:r>
      <w:r w:rsidR="00366419" w:rsidRPr="00324CD3">
        <w:rPr>
          <w:sz w:val="22"/>
          <w:szCs w:val="22"/>
        </w:rPr>
        <w:t xml:space="preserve"> </w:t>
      </w:r>
      <w:r w:rsidR="00660EEC">
        <w:rPr>
          <w:sz w:val="22"/>
          <w:szCs w:val="22"/>
        </w:rPr>
        <w:t xml:space="preserve">and use </w:t>
      </w:r>
      <w:r w:rsidR="00366419" w:rsidRPr="00324CD3">
        <w:rPr>
          <w:sz w:val="22"/>
          <w:szCs w:val="22"/>
        </w:rPr>
        <w:t xml:space="preserve">policies </w:t>
      </w:r>
      <w:r w:rsidR="004C3402" w:rsidRPr="00324CD3">
        <w:rPr>
          <w:sz w:val="22"/>
          <w:szCs w:val="22"/>
        </w:rPr>
        <w:t xml:space="preserve">with </w:t>
      </w:r>
      <w:r w:rsidR="00660EEC">
        <w:rPr>
          <w:sz w:val="22"/>
          <w:szCs w:val="22"/>
        </w:rPr>
        <w:t xml:space="preserve">a </w:t>
      </w:r>
      <w:r w:rsidR="004C3402" w:rsidRPr="00324CD3">
        <w:rPr>
          <w:sz w:val="22"/>
          <w:szCs w:val="22"/>
        </w:rPr>
        <w:t xml:space="preserve">centralized </w:t>
      </w:r>
      <w:r w:rsidR="00995100" w:rsidRPr="00324CD3">
        <w:rPr>
          <w:sz w:val="22"/>
          <w:szCs w:val="22"/>
        </w:rPr>
        <w:t xml:space="preserve">backup </w:t>
      </w:r>
      <w:r w:rsidR="004C3402" w:rsidRPr="00324CD3">
        <w:rPr>
          <w:sz w:val="22"/>
          <w:szCs w:val="22"/>
        </w:rPr>
        <w:t xml:space="preserve">system, centralized </w:t>
      </w:r>
      <w:r w:rsidRPr="00324CD3">
        <w:rPr>
          <w:sz w:val="22"/>
          <w:szCs w:val="22"/>
        </w:rPr>
        <w:t xml:space="preserve">software </w:t>
      </w:r>
      <w:r w:rsidR="00666BB1" w:rsidRPr="00324CD3">
        <w:rPr>
          <w:sz w:val="22"/>
          <w:szCs w:val="22"/>
        </w:rPr>
        <w:t>mai</w:t>
      </w:r>
      <w:r w:rsidR="004C3402" w:rsidRPr="00324CD3">
        <w:rPr>
          <w:sz w:val="22"/>
          <w:szCs w:val="22"/>
        </w:rPr>
        <w:t>ntenance and simultaneous implementation of updates across states.</w:t>
      </w:r>
    </w:p>
    <w:p w:rsidR="00927378" w:rsidRPr="00324CD3" w:rsidRDefault="00927378" w:rsidP="0092737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CD3">
        <w:rPr>
          <w:i/>
          <w:sz w:val="22"/>
          <w:szCs w:val="22"/>
          <w:u w:val="single"/>
        </w:rPr>
        <w:t>Scalability</w:t>
      </w:r>
      <w:r w:rsidRPr="00324CD3">
        <w:rPr>
          <w:i/>
          <w:sz w:val="22"/>
          <w:szCs w:val="22"/>
        </w:rPr>
        <w:t>:</w:t>
      </w:r>
      <w:r w:rsidR="00BB7EBF" w:rsidRPr="00324CD3">
        <w:rPr>
          <w:i/>
          <w:sz w:val="22"/>
          <w:szCs w:val="22"/>
        </w:rPr>
        <w:t xml:space="preserve"> </w:t>
      </w:r>
      <w:r w:rsidR="00BB7EBF" w:rsidRPr="00324CD3">
        <w:rPr>
          <w:sz w:val="22"/>
          <w:szCs w:val="22"/>
        </w:rPr>
        <w:t xml:space="preserve">The current system requires extensive </w:t>
      </w:r>
      <w:r w:rsidR="00366419" w:rsidRPr="00324CD3">
        <w:rPr>
          <w:sz w:val="22"/>
          <w:szCs w:val="22"/>
        </w:rPr>
        <w:t xml:space="preserve">technical </w:t>
      </w:r>
      <w:r w:rsidR="00BB7EBF" w:rsidRPr="00324CD3">
        <w:rPr>
          <w:sz w:val="22"/>
          <w:szCs w:val="22"/>
        </w:rPr>
        <w:t>support, including a site visit, to install</w:t>
      </w:r>
      <w:r w:rsidR="00EE3192">
        <w:rPr>
          <w:sz w:val="22"/>
          <w:szCs w:val="22"/>
        </w:rPr>
        <w:t xml:space="preserve">, upgrade </w:t>
      </w:r>
      <w:r w:rsidR="00BB7EBF" w:rsidRPr="00324CD3">
        <w:rPr>
          <w:sz w:val="22"/>
          <w:szCs w:val="22"/>
        </w:rPr>
        <w:t>and maintain</w:t>
      </w:r>
      <w:r w:rsidR="00EE3192">
        <w:rPr>
          <w:sz w:val="22"/>
          <w:szCs w:val="22"/>
        </w:rPr>
        <w:t xml:space="preserve"> software</w:t>
      </w:r>
      <w:r w:rsidR="00BB7EBF" w:rsidRPr="00324CD3">
        <w:rPr>
          <w:sz w:val="22"/>
          <w:szCs w:val="22"/>
        </w:rPr>
        <w:t>. The proposed</w:t>
      </w:r>
      <w:r w:rsidR="004029D6">
        <w:rPr>
          <w:sz w:val="22"/>
          <w:szCs w:val="22"/>
        </w:rPr>
        <w:t xml:space="preserve"> web </w:t>
      </w:r>
      <w:r w:rsidR="006146B3" w:rsidRPr="00324CD3">
        <w:rPr>
          <w:sz w:val="22"/>
          <w:szCs w:val="22"/>
        </w:rPr>
        <w:t xml:space="preserve">system can cheaply, quickly and securely </w:t>
      </w:r>
      <w:r w:rsidR="00366419" w:rsidRPr="00324CD3">
        <w:rPr>
          <w:sz w:val="22"/>
          <w:szCs w:val="22"/>
        </w:rPr>
        <w:t xml:space="preserve">add </w:t>
      </w:r>
      <w:r w:rsidR="006146B3" w:rsidRPr="00324CD3">
        <w:rPr>
          <w:sz w:val="22"/>
          <w:szCs w:val="22"/>
        </w:rPr>
        <w:t>n</w:t>
      </w:r>
      <w:r w:rsidR="00170F80" w:rsidRPr="00324CD3">
        <w:rPr>
          <w:sz w:val="22"/>
          <w:szCs w:val="22"/>
        </w:rPr>
        <w:t xml:space="preserve">ew </w:t>
      </w:r>
      <w:r w:rsidR="00BB7EBF" w:rsidRPr="00324CD3">
        <w:rPr>
          <w:sz w:val="22"/>
          <w:szCs w:val="22"/>
        </w:rPr>
        <w:t>user</w:t>
      </w:r>
      <w:r w:rsidR="003D4B31" w:rsidRPr="00324CD3">
        <w:rPr>
          <w:sz w:val="22"/>
          <w:szCs w:val="22"/>
        </w:rPr>
        <w:t>s</w:t>
      </w:r>
      <w:r w:rsidR="00660EEC">
        <w:rPr>
          <w:sz w:val="22"/>
          <w:szCs w:val="22"/>
        </w:rPr>
        <w:t xml:space="preserve"> if they have web access</w:t>
      </w:r>
      <w:r w:rsidR="00BB7EBF" w:rsidRPr="00324CD3">
        <w:rPr>
          <w:sz w:val="22"/>
          <w:szCs w:val="22"/>
        </w:rPr>
        <w:t>.</w:t>
      </w:r>
      <w:r w:rsidR="006146B3" w:rsidRPr="00324CD3">
        <w:rPr>
          <w:sz w:val="22"/>
          <w:szCs w:val="22"/>
        </w:rPr>
        <w:t xml:space="preserve"> Also, </w:t>
      </w:r>
      <w:r w:rsidR="00366419" w:rsidRPr="00324CD3">
        <w:rPr>
          <w:sz w:val="22"/>
          <w:szCs w:val="22"/>
        </w:rPr>
        <w:t xml:space="preserve">the new system enhances the capacity of funded states </w:t>
      </w:r>
      <w:r w:rsidR="003D4B31" w:rsidRPr="00324CD3">
        <w:rPr>
          <w:sz w:val="22"/>
          <w:szCs w:val="22"/>
        </w:rPr>
        <w:t>to enter information from multiple locations in a secure fashion.</w:t>
      </w:r>
      <w:r w:rsidR="00BB7EBF" w:rsidRPr="00324CD3">
        <w:rPr>
          <w:sz w:val="22"/>
          <w:szCs w:val="22"/>
        </w:rPr>
        <w:t xml:space="preserve"> </w:t>
      </w:r>
    </w:p>
    <w:p w:rsidR="00C877F7" w:rsidRPr="00324CD3" w:rsidRDefault="00C877F7" w:rsidP="0092737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24CD3">
        <w:rPr>
          <w:i/>
          <w:sz w:val="22"/>
          <w:szCs w:val="22"/>
          <w:u w:val="single"/>
        </w:rPr>
        <w:t>Efficiency:</w:t>
      </w:r>
      <w:r w:rsidR="00366419" w:rsidRPr="00324CD3">
        <w:rPr>
          <w:sz w:val="22"/>
          <w:szCs w:val="22"/>
        </w:rPr>
        <w:t xml:space="preserve"> The current system enters the same variable three times</w:t>
      </w:r>
      <w:r w:rsidR="004029D6">
        <w:rPr>
          <w:sz w:val="22"/>
          <w:szCs w:val="22"/>
        </w:rPr>
        <w:t xml:space="preserve">, once </w:t>
      </w:r>
      <w:r w:rsidR="00440E59">
        <w:rPr>
          <w:sz w:val="22"/>
          <w:szCs w:val="22"/>
        </w:rPr>
        <w:t xml:space="preserve">from </w:t>
      </w:r>
      <w:r w:rsidR="006146B3" w:rsidRPr="00324CD3">
        <w:rPr>
          <w:sz w:val="22"/>
          <w:szCs w:val="22"/>
        </w:rPr>
        <w:t>each source</w:t>
      </w:r>
      <w:r w:rsidRPr="00324CD3">
        <w:rPr>
          <w:sz w:val="22"/>
          <w:szCs w:val="22"/>
        </w:rPr>
        <w:t xml:space="preserve"> (e.g., death certificate, coroner/medical examiner reports and law enforcement reports</w:t>
      </w:r>
      <w:r w:rsidR="006146B3" w:rsidRPr="00324CD3">
        <w:rPr>
          <w:sz w:val="22"/>
          <w:szCs w:val="22"/>
        </w:rPr>
        <w:t>). Analyses found</w:t>
      </w:r>
      <w:r w:rsidRPr="00324CD3">
        <w:rPr>
          <w:sz w:val="22"/>
          <w:szCs w:val="22"/>
        </w:rPr>
        <w:t xml:space="preserve"> high agreem</w:t>
      </w:r>
      <w:r w:rsidR="006146B3" w:rsidRPr="00324CD3">
        <w:rPr>
          <w:sz w:val="22"/>
          <w:szCs w:val="22"/>
        </w:rPr>
        <w:t>e</w:t>
      </w:r>
      <w:r w:rsidR="004029D6">
        <w:rPr>
          <w:sz w:val="22"/>
          <w:szCs w:val="22"/>
        </w:rPr>
        <w:t>nt among sources (e.g., same race/ethnicity</w:t>
      </w:r>
      <w:r w:rsidR="006146B3" w:rsidRPr="00324CD3">
        <w:rPr>
          <w:sz w:val="22"/>
          <w:szCs w:val="22"/>
        </w:rPr>
        <w:t xml:space="preserve"> reported by three sources)</w:t>
      </w:r>
      <w:r w:rsidRPr="00324CD3">
        <w:rPr>
          <w:sz w:val="22"/>
          <w:szCs w:val="22"/>
        </w:rPr>
        <w:t xml:space="preserve">. Consequently, </w:t>
      </w:r>
      <w:r w:rsidR="006052AC" w:rsidRPr="00324CD3">
        <w:rPr>
          <w:sz w:val="22"/>
          <w:szCs w:val="22"/>
        </w:rPr>
        <w:t>each variable will only be entered once and states will reconcil</w:t>
      </w:r>
      <w:r w:rsidR="006146B3" w:rsidRPr="00324CD3">
        <w:rPr>
          <w:sz w:val="22"/>
          <w:szCs w:val="22"/>
        </w:rPr>
        <w:t>e inconsistencies</w:t>
      </w:r>
      <w:r w:rsidR="00EB3D3E">
        <w:rPr>
          <w:sz w:val="22"/>
          <w:szCs w:val="22"/>
        </w:rPr>
        <w:t xml:space="preserve"> across data sources</w:t>
      </w:r>
      <w:r w:rsidRPr="00324CD3">
        <w:rPr>
          <w:sz w:val="22"/>
          <w:szCs w:val="22"/>
        </w:rPr>
        <w:t>.</w:t>
      </w:r>
      <w:r w:rsidR="00D27EE3" w:rsidRPr="00324CD3">
        <w:rPr>
          <w:sz w:val="22"/>
          <w:szCs w:val="22"/>
        </w:rPr>
        <w:t xml:space="preserve"> Also, variables that were not available in documents (i.e., </w:t>
      </w:r>
      <w:r w:rsidR="00660CC2" w:rsidRPr="00324CD3">
        <w:rPr>
          <w:sz w:val="22"/>
          <w:szCs w:val="22"/>
        </w:rPr>
        <w:t xml:space="preserve">rarely or </w:t>
      </w:r>
      <w:r w:rsidR="00D27EE3" w:rsidRPr="00324CD3">
        <w:rPr>
          <w:sz w:val="22"/>
          <w:szCs w:val="22"/>
        </w:rPr>
        <w:t>never coded) were dropped.</w:t>
      </w:r>
    </w:p>
    <w:p w:rsidR="00927378" w:rsidRPr="00324CD3" w:rsidRDefault="00927378" w:rsidP="00927378">
      <w:pPr>
        <w:pStyle w:val="ListParagraph"/>
        <w:numPr>
          <w:ilvl w:val="0"/>
          <w:numId w:val="4"/>
        </w:numPr>
        <w:rPr>
          <w:i/>
          <w:sz w:val="22"/>
          <w:szCs w:val="22"/>
        </w:rPr>
      </w:pPr>
      <w:r w:rsidRPr="00324CD3">
        <w:rPr>
          <w:i/>
          <w:sz w:val="22"/>
          <w:szCs w:val="22"/>
          <w:u w:val="single"/>
        </w:rPr>
        <w:t>Quality:</w:t>
      </w:r>
      <w:r w:rsidR="003D4B31" w:rsidRPr="00324CD3">
        <w:rPr>
          <w:i/>
          <w:sz w:val="22"/>
          <w:szCs w:val="22"/>
        </w:rPr>
        <w:t xml:space="preserve"> </w:t>
      </w:r>
      <w:r w:rsidR="00C877F7" w:rsidRPr="00324CD3">
        <w:rPr>
          <w:sz w:val="22"/>
          <w:szCs w:val="22"/>
        </w:rPr>
        <w:t>Data quality</w:t>
      </w:r>
      <w:r w:rsidR="00EB4598" w:rsidRPr="00324CD3">
        <w:rPr>
          <w:sz w:val="22"/>
          <w:szCs w:val="22"/>
        </w:rPr>
        <w:t xml:space="preserve"> will be </w:t>
      </w:r>
      <w:r w:rsidR="002D6D62" w:rsidRPr="00324CD3">
        <w:rPr>
          <w:sz w:val="22"/>
          <w:szCs w:val="22"/>
        </w:rPr>
        <w:t>improved in the following ways: 1) the web interface is easier to learn for first</w:t>
      </w:r>
      <w:r w:rsidR="006A7C36" w:rsidRPr="00324CD3">
        <w:rPr>
          <w:sz w:val="22"/>
          <w:szCs w:val="22"/>
        </w:rPr>
        <w:t>-time users</w:t>
      </w:r>
      <w:r w:rsidR="002D6D62" w:rsidRPr="00324CD3">
        <w:rPr>
          <w:sz w:val="22"/>
          <w:szCs w:val="22"/>
        </w:rPr>
        <w:t>, 2) the strategy for collecting information on crises precipitating violent deaths (e.g., received an eviction notice on the day of th</w:t>
      </w:r>
      <w:r w:rsidR="006A7C36" w:rsidRPr="00324CD3">
        <w:rPr>
          <w:sz w:val="22"/>
          <w:szCs w:val="22"/>
        </w:rPr>
        <w:t>e suicide) now</w:t>
      </w:r>
      <w:r w:rsidR="00D27EE3" w:rsidRPr="00324CD3">
        <w:rPr>
          <w:sz w:val="22"/>
          <w:szCs w:val="22"/>
        </w:rPr>
        <w:t xml:space="preserve"> include</w:t>
      </w:r>
      <w:r w:rsidR="006A7C36" w:rsidRPr="00324CD3">
        <w:rPr>
          <w:sz w:val="22"/>
          <w:szCs w:val="22"/>
        </w:rPr>
        <w:t>s</w:t>
      </w:r>
      <w:r w:rsidR="00D27EE3" w:rsidRPr="00324CD3">
        <w:rPr>
          <w:sz w:val="22"/>
          <w:szCs w:val="22"/>
        </w:rPr>
        <w:t xml:space="preserve"> </w:t>
      </w:r>
      <w:r w:rsidR="002D6D62" w:rsidRPr="00324CD3">
        <w:rPr>
          <w:sz w:val="22"/>
          <w:szCs w:val="22"/>
        </w:rPr>
        <w:t>check box</w:t>
      </w:r>
      <w:r w:rsidR="00D27EE3" w:rsidRPr="00324CD3">
        <w:rPr>
          <w:sz w:val="22"/>
          <w:szCs w:val="22"/>
        </w:rPr>
        <w:t>es</w:t>
      </w:r>
      <w:r w:rsidR="002D6D62" w:rsidRPr="00324CD3">
        <w:rPr>
          <w:sz w:val="22"/>
          <w:szCs w:val="22"/>
        </w:rPr>
        <w:t xml:space="preserve"> versus the current</w:t>
      </w:r>
      <w:r w:rsidR="006A7C36" w:rsidRPr="00324CD3">
        <w:rPr>
          <w:sz w:val="22"/>
          <w:szCs w:val="22"/>
        </w:rPr>
        <w:t xml:space="preserve"> approach of writing down each crisis </w:t>
      </w:r>
      <w:r w:rsidR="005B7B1B" w:rsidRPr="00324CD3">
        <w:rPr>
          <w:sz w:val="22"/>
          <w:szCs w:val="22"/>
        </w:rPr>
        <w:t>(e.g.,</w:t>
      </w:r>
      <w:r w:rsidR="006A7C36" w:rsidRPr="00324CD3">
        <w:rPr>
          <w:sz w:val="22"/>
          <w:szCs w:val="22"/>
        </w:rPr>
        <w:t xml:space="preserve"> change is</w:t>
      </w:r>
      <w:r w:rsidR="005B7B1B" w:rsidRPr="00324CD3">
        <w:rPr>
          <w:sz w:val="22"/>
          <w:szCs w:val="22"/>
        </w:rPr>
        <w:t xml:space="preserve"> equivalent to a wording change in a survey),</w:t>
      </w:r>
      <w:r w:rsidR="00EB3D3E">
        <w:rPr>
          <w:sz w:val="22"/>
          <w:szCs w:val="22"/>
        </w:rPr>
        <w:t xml:space="preserve"> 3) toxicology information</w:t>
      </w:r>
      <w:r w:rsidR="004029D6">
        <w:rPr>
          <w:sz w:val="22"/>
          <w:szCs w:val="22"/>
        </w:rPr>
        <w:t xml:space="preserve"> is enhanced by using a more comprehensive </w:t>
      </w:r>
      <w:r w:rsidR="00582CB5">
        <w:rPr>
          <w:sz w:val="22"/>
          <w:szCs w:val="22"/>
        </w:rPr>
        <w:t>standardized substance list and capturing more categories</w:t>
      </w:r>
      <w:r w:rsidR="004029D6">
        <w:rPr>
          <w:sz w:val="22"/>
          <w:szCs w:val="22"/>
        </w:rPr>
        <w:t xml:space="preserve"> of drugs</w:t>
      </w:r>
      <w:r w:rsidR="00EB3D3E">
        <w:rPr>
          <w:sz w:val="22"/>
          <w:szCs w:val="22"/>
        </w:rPr>
        <w:t xml:space="preserve">, </w:t>
      </w:r>
      <w:r w:rsidR="005B7B1B" w:rsidRPr="00324CD3">
        <w:rPr>
          <w:sz w:val="22"/>
          <w:szCs w:val="22"/>
        </w:rPr>
        <w:t xml:space="preserve"> </w:t>
      </w:r>
      <w:r w:rsidR="004029D6">
        <w:rPr>
          <w:sz w:val="22"/>
          <w:szCs w:val="22"/>
        </w:rPr>
        <w:t xml:space="preserve">and </w:t>
      </w:r>
      <w:r w:rsidR="00EB3D3E">
        <w:rPr>
          <w:sz w:val="22"/>
          <w:szCs w:val="22"/>
        </w:rPr>
        <w:t>4</w:t>
      </w:r>
      <w:r w:rsidR="005B7B1B" w:rsidRPr="00324CD3">
        <w:rPr>
          <w:sz w:val="22"/>
          <w:szCs w:val="22"/>
        </w:rPr>
        <w:t>) the web import function enhances the abil</w:t>
      </w:r>
      <w:r w:rsidR="006A7C36" w:rsidRPr="00324CD3">
        <w:rPr>
          <w:sz w:val="22"/>
          <w:szCs w:val="22"/>
        </w:rPr>
        <w:t xml:space="preserve">ity of states to import </w:t>
      </w:r>
      <w:r w:rsidR="00BF477B" w:rsidRPr="00324CD3">
        <w:rPr>
          <w:sz w:val="22"/>
          <w:szCs w:val="22"/>
        </w:rPr>
        <w:t xml:space="preserve">electronic </w:t>
      </w:r>
      <w:r w:rsidR="006A7C36" w:rsidRPr="00324CD3">
        <w:rPr>
          <w:sz w:val="22"/>
          <w:szCs w:val="22"/>
        </w:rPr>
        <w:t>data</w:t>
      </w:r>
      <w:r w:rsidR="00BF477B" w:rsidRPr="00324CD3">
        <w:rPr>
          <w:sz w:val="22"/>
          <w:szCs w:val="22"/>
        </w:rPr>
        <w:t xml:space="preserve"> </w:t>
      </w:r>
      <w:r w:rsidR="004029D6">
        <w:rPr>
          <w:sz w:val="22"/>
          <w:szCs w:val="22"/>
        </w:rPr>
        <w:t xml:space="preserve">easily and </w:t>
      </w:r>
      <w:r w:rsidR="00BF477B" w:rsidRPr="00324CD3">
        <w:rPr>
          <w:sz w:val="22"/>
          <w:szCs w:val="22"/>
        </w:rPr>
        <w:t>correctly.</w:t>
      </w:r>
      <w:r w:rsidR="002D6D62" w:rsidRPr="00324CD3">
        <w:rPr>
          <w:sz w:val="22"/>
          <w:szCs w:val="22"/>
        </w:rPr>
        <w:t xml:space="preserve"> </w:t>
      </w:r>
    </w:p>
    <w:p w:rsidR="007B75B1" w:rsidRPr="00324CD3" w:rsidRDefault="007B75B1" w:rsidP="00935380">
      <w:pPr>
        <w:rPr>
          <w:rFonts w:asciiTheme="minorHAnsi" w:hAnsiTheme="minorHAnsi" w:cs="Arial"/>
          <w:sz w:val="22"/>
          <w:szCs w:val="22"/>
        </w:rPr>
      </w:pPr>
    </w:p>
    <w:p w:rsidR="00583604" w:rsidRPr="00324CD3" w:rsidRDefault="00583604" w:rsidP="00583604">
      <w:pPr>
        <w:rPr>
          <w:rFonts w:asciiTheme="minorHAnsi" w:hAnsiTheme="minorHAnsi"/>
          <w:b/>
          <w:sz w:val="22"/>
          <w:szCs w:val="22"/>
        </w:rPr>
      </w:pPr>
      <w:r w:rsidRPr="00324CD3">
        <w:rPr>
          <w:rFonts w:asciiTheme="minorHAnsi" w:hAnsiTheme="minorHAnsi"/>
          <w:b/>
          <w:sz w:val="22"/>
          <w:szCs w:val="22"/>
        </w:rPr>
        <w:t>Project Descripti</w:t>
      </w:r>
      <w:r w:rsidR="003D4B31" w:rsidRPr="00324CD3">
        <w:rPr>
          <w:rFonts w:asciiTheme="minorHAnsi" w:hAnsiTheme="minorHAnsi"/>
          <w:b/>
          <w:sz w:val="22"/>
          <w:szCs w:val="22"/>
        </w:rPr>
        <w:t>on</w:t>
      </w:r>
    </w:p>
    <w:p w:rsidR="00583604" w:rsidRPr="00324CD3" w:rsidRDefault="00583604" w:rsidP="00583604">
      <w:pPr>
        <w:rPr>
          <w:rFonts w:asciiTheme="minorHAnsi" w:hAnsiTheme="minorHAnsi" w:cs="Arial"/>
          <w:sz w:val="22"/>
          <w:szCs w:val="22"/>
        </w:rPr>
      </w:pPr>
      <w:r w:rsidRPr="00324CD3">
        <w:rPr>
          <w:rFonts w:asciiTheme="minorHAnsi" w:hAnsiTheme="minorHAnsi"/>
          <w:sz w:val="22"/>
          <w:szCs w:val="22"/>
        </w:rPr>
        <w:t>Violence is a major public health problem with 16,671 homicides and 38,364 suicides occurring in 2010. A k</w:t>
      </w:r>
      <w:r w:rsidRPr="00324CD3">
        <w:rPr>
          <w:rFonts w:asciiTheme="minorHAnsi" w:hAnsiTheme="minorHAnsi" w:cs="Arial"/>
          <w:sz w:val="22"/>
          <w:szCs w:val="22"/>
        </w:rPr>
        <w:t xml:space="preserve">ey to preventing violent deaths is to understand and target their circumstances (the “who”, “when”, “where”, and “how”). </w:t>
      </w:r>
      <w:r w:rsidRPr="00324CD3">
        <w:rPr>
          <w:rFonts w:asciiTheme="minorHAnsi" w:hAnsiTheme="minorHAnsi"/>
          <w:sz w:val="22"/>
          <w:szCs w:val="22"/>
        </w:rPr>
        <w:t>Receiving initial OMB approval in November 2004</w:t>
      </w:r>
      <w:r w:rsidRPr="00324CD3">
        <w:rPr>
          <w:rFonts w:asciiTheme="minorHAnsi" w:hAnsiTheme="minorHAnsi" w:cs="Arial"/>
          <w:sz w:val="22"/>
          <w:szCs w:val="22"/>
        </w:rPr>
        <w:t xml:space="preserve">, NVDRS addresses this need by funding state health departments to </w:t>
      </w:r>
      <w:r w:rsidR="00BF477B" w:rsidRPr="00324CD3">
        <w:rPr>
          <w:rFonts w:asciiTheme="minorHAnsi" w:hAnsiTheme="minorHAnsi" w:cs="Arial"/>
          <w:sz w:val="22"/>
          <w:szCs w:val="22"/>
        </w:rPr>
        <w:t xml:space="preserve">combine information from three </w:t>
      </w:r>
      <w:r w:rsidRPr="00324CD3">
        <w:rPr>
          <w:rFonts w:asciiTheme="minorHAnsi" w:hAnsiTheme="minorHAnsi" w:cs="Arial"/>
          <w:sz w:val="22"/>
          <w:szCs w:val="22"/>
        </w:rPr>
        <w:t>primary data sources</w:t>
      </w:r>
      <w:r w:rsidRPr="00324CD3">
        <w:rPr>
          <w:rFonts w:asciiTheme="minorHAnsi" w:eastAsiaTheme="minorEastAsia" w:hAnsiTheme="minorHAnsi" w:cs="Arial"/>
          <w:sz w:val="22"/>
          <w:szCs w:val="22"/>
        </w:rPr>
        <w:t>, death</w:t>
      </w:r>
      <w:r w:rsidR="00BF477B" w:rsidRPr="00324CD3">
        <w:rPr>
          <w:rFonts w:asciiTheme="minorHAnsi" w:eastAsiaTheme="minorEastAsia" w:hAnsiTheme="minorHAnsi" w:cs="Arial"/>
          <w:sz w:val="22"/>
          <w:szCs w:val="22"/>
        </w:rPr>
        <w:t xml:space="preserve"> certificates, coroner or </w:t>
      </w:r>
      <w:r w:rsidRPr="00324CD3">
        <w:rPr>
          <w:rFonts w:asciiTheme="minorHAnsi" w:eastAsiaTheme="minorEastAsia" w:hAnsiTheme="minorHAnsi" w:cs="Arial"/>
          <w:sz w:val="22"/>
          <w:szCs w:val="22"/>
        </w:rPr>
        <w:t>medical examiner reports</w:t>
      </w:r>
      <w:r w:rsidR="00BF477B" w:rsidRPr="00324CD3">
        <w:rPr>
          <w:rFonts w:asciiTheme="minorHAnsi" w:eastAsiaTheme="minorEastAsia" w:hAnsiTheme="minorHAnsi" w:cs="Arial"/>
          <w:sz w:val="22"/>
          <w:szCs w:val="22"/>
        </w:rPr>
        <w:t xml:space="preserve"> (i.e., some states have coroner systems and other have medical examiner or combined systems)</w:t>
      </w:r>
      <w:r w:rsidRPr="00324CD3">
        <w:rPr>
          <w:rFonts w:asciiTheme="minorHAnsi" w:eastAsiaTheme="minorEastAsia" w:hAnsiTheme="minorHAnsi" w:cs="Arial"/>
          <w:sz w:val="22"/>
          <w:szCs w:val="22"/>
        </w:rPr>
        <w:t xml:space="preserve"> and law enforcement reports, into a single description of </w:t>
      </w:r>
      <w:r w:rsidR="00BF477B" w:rsidRPr="00324CD3">
        <w:rPr>
          <w:rFonts w:asciiTheme="minorHAnsi" w:eastAsiaTheme="minorEastAsia" w:hAnsiTheme="minorHAnsi" w:cs="Arial"/>
          <w:sz w:val="22"/>
          <w:szCs w:val="22"/>
        </w:rPr>
        <w:t>violent deaths</w:t>
      </w:r>
      <w:r w:rsidRPr="00324CD3">
        <w:rPr>
          <w:rFonts w:asciiTheme="minorHAnsi" w:eastAsiaTheme="minorEastAsia" w:hAnsiTheme="minorHAnsi" w:cs="Arial"/>
          <w:sz w:val="22"/>
          <w:szCs w:val="22"/>
        </w:rPr>
        <w:t xml:space="preserve">. </w:t>
      </w:r>
      <w:r w:rsidRPr="00324CD3">
        <w:rPr>
          <w:rFonts w:asciiTheme="minorHAnsi" w:hAnsiTheme="minorHAnsi"/>
          <w:sz w:val="22"/>
          <w:szCs w:val="22"/>
        </w:rPr>
        <w:t xml:space="preserve">Currently, NVDRS employs a distributed software system that allows standardized </w:t>
      </w:r>
      <w:r w:rsidR="00BF477B" w:rsidRPr="00324CD3">
        <w:rPr>
          <w:rFonts w:asciiTheme="minorHAnsi" w:hAnsiTheme="minorHAnsi"/>
          <w:sz w:val="22"/>
          <w:szCs w:val="22"/>
        </w:rPr>
        <w:t xml:space="preserve">coding and </w:t>
      </w:r>
      <w:r w:rsidRPr="00324CD3">
        <w:rPr>
          <w:rFonts w:asciiTheme="minorHAnsi" w:hAnsiTheme="minorHAnsi"/>
          <w:sz w:val="22"/>
          <w:szCs w:val="22"/>
        </w:rPr>
        <w:t>data entry in each state health department, but requires each s</w:t>
      </w:r>
      <w:r w:rsidR="005B7B1B" w:rsidRPr="00324CD3">
        <w:rPr>
          <w:rFonts w:asciiTheme="minorHAnsi" w:hAnsiTheme="minorHAnsi"/>
          <w:sz w:val="22"/>
          <w:szCs w:val="22"/>
        </w:rPr>
        <w:t xml:space="preserve">tate to own and operate a </w:t>
      </w:r>
      <w:r w:rsidRPr="00324CD3">
        <w:rPr>
          <w:rFonts w:asciiTheme="minorHAnsi" w:hAnsiTheme="minorHAnsi"/>
          <w:sz w:val="22"/>
          <w:szCs w:val="22"/>
        </w:rPr>
        <w:t xml:space="preserve">server. </w:t>
      </w:r>
    </w:p>
    <w:p w:rsidR="00EB3D3E" w:rsidRDefault="00EB3D3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FC30D8" w:rsidRPr="00324CD3" w:rsidRDefault="00FC30D8" w:rsidP="00FC30D8">
      <w:pPr>
        <w:rPr>
          <w:rFonts w:asciiTheme="minorHAnsi" w:hAnsiTheme="minorHAnsi"/>
          <w:b/>
          <w:sz w:val="22"/>
          <w:szCs w:val="22"/>
        </w:rPr>
      </w:pPr>
    </w:p>
    <w:p w:rsidR="00FC30D8" w:rsidRPr="00324CD3" w:rsidRDefault="00FC30D8" w:rsidP="00FC30D8">
      <w:pPr>
        <w:rPr>
          <w:rFonts w:asciiTheme="minorHAnsi" w:hAnsiTheme="minorHAnsi"/>
          <w:b/>
          <w:sz w:val="22"/>
          <w:szCs w:val="22"/>
        </w:rPr>
      </w:pPr>
      <w:r w:rsidRPr="00324CD3">
        <w:rPr>
          <w:rFonts w:asciiTheme="minorHAnsi" w:hAnsiTheme="minorHAnsi"/>
          <w:b/>
          <w:sz w:val="22"/>
          <w:szCs w:val="22"/>
        </w:rPr>
        <w:t>Proposed Changes</w:t>
      </w:r>
    </w:p>
    <w:p w:rsidR="00FC30D8" w:rsidRPr="00324CD3" w:rsidRDefault="00FC30D8" w:rsidP="00FC30D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24CD3">
        <w:rPr>
          <w:sz w:val="22"/>
          <w:szCs w:val="22"/>
        </w:rPr>
        <w:t xml:space="preserve">Data will be collected through a single CDC-owned served </w:t>
      </w:r>
      <w:r w:rsidR="005B7B1B" w:rsidRPr="00324CD3">
        <w:rPr>
          <w:sz w:val="22"/>
          <w:szCs w:val="22"/>
        </w:rPr>
        <w:t>accessed via the web</w:t>
      </w:r>
      <w:r w:rsidRPr="00324CD3">
        <w:rPr>
          <w:sz w:val="22"/>
          <w:szCs w:val="22"/>
        </w:rPr>
        <w:t>.</w:t>
      </w:r>
    </w:p>
    <w:p w:rsidR="00E11F9F" w:rsidRPr="00324CD3" w:rsidRDefault="00FC30D8" w:rsidP="00E11F9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24CD3">
        <w:rPr>
          <w:sz w:val="22"/>
          <w:szCs w:val="22"/>
        </w:rPr>
        <w:t xml:space="preserve">Data </w:t>
      </w:r>
      <w:r w:rsidR="005D1710" w:rsidRPr="00324CD3">
        <w:rPr>
          <w:sz w:val="22"/>
          <w:szCs w:val="22"/>
        </w:rPr>
        <w:t>abstraction will be</w:t>
      </w:r>
      <w:r w:rsidR="00E11F9F" w:rsidRPr="00324CD3">
        <w:rPr>
          <w:sz w:val="22"/>
          <w:szCs w:val="22"/>
        </w:rPr>
        <w:t xml:space="preserve"> streamlined to improve efficiency and accuracy.</w:t>
      </w:r>
    </w:p>
    <w:p w:rsidR="004029D6" w:rsidRDefault="00E11F9F" w:rsidP="004029D6">
      <w:pPr>
        <w:pStyle w:val="ListParagraph"/>
        <w:numPr>
          <w:ilvl w:val="1"/>
          <w:numId w:val="1"/>
        </w:numPr>
        <w:tabs>
          <w:tab w:val="left" w:pos="990"/>
        </w:tabs>
        <w:ind w:left="720"/>
        <w:rPr>
          <w:sz w:val="22"/>
          <w:szCs w:val="22"/>
        </w:rPr>
      </w:pPr>
      <w:r w:rsidRPr="00324CD3">
        <w:rPr>
          <w:sz w:val="22"/>
          <w:szCs w:val="22"/>
        </w:rPr>
        <w:t xml:space="preserve">State abstractors will </w:t>
      </w:r>
      <w:r w:rsidR="001F75AC">
        <w:rPr>
          <w:sz w:val="22"/>
          <w:szCs w:val="22"/>
        </w:rPr>
        <w:t xml:space="preserve">enter most variables </w:t>
      </w:r>
      <w:r w:rsidR="005D1710" w:rsidRPr="00324CD3">
        <w:rPr>
          <w:sz w:val="22"/>
          <w:szCs w:val="22"/>
        </w:rPr>
        <w:t xml:space="preserve">once </w:t>
      </w:r>
      <w:r w:rsidR="00FC30D8" w:rsidRPr="00324CD3">
        <w:rPr>
          <w:sz w:val="22"/>
          <w:szCs w:val="22"/>
        </w:rPr>
        <w:t>instead of enterin</w:t>
      </w:r>
      <w:r w:rsidR="005D1710" w:rsidRPr="00324CD3">
        <w:rPr>
          <w:sz w:val="22"/>
          <w:szCs w:val="22"/>
        </w:rPr>
        <w:t xml:space="preserve">g variables three times </w:t>
      </w:r>
      <w:r w:rsidR="002E264B">
        <w:rPr>
          <w:sz w:val="22"/>
          <w:szCs w:val="22"/>
        </w:rPr>
        <w:t xml:space="preserve">or once for each </w:t>
      </w:r>
      <w:r w:rsidR="00FC30D8" w:rsidRPr="00324CD3">
        <w:rPr>
          <w:sz w:val="22"/>
          <w:szCs w:val="22"/>
        </w:rPr>
        <w:t xml:space="preserve">data source (i.e., law enforcement, coroner/medical examiner, and death certificate). </w:t>
      </w:r>
    </w:p>
    <w:p w:rsidR="004029D6" w:rsidRDefault="00FC30D8" w:rsidP="004029D6">
      <w:pPr>
        <w:pStyle w:val="ListParagraph"/>
        <w:numPr>
          <w:ilvl w:val="1"/>
          <w:numId w:val="1"/>
        </w:numPr>
        <w:tabs>
          <w:tab w:val="left" w:pos="990"/>
        </w:tabs>
        <w:ind w:left="720"/>
        <w:rPr>
          <w:sz w:val="22"/>
          <w:szCs w:val="22"/>
        </w:rPr>
      </w:pPr>
      <w:r w:rsidRPr="004029D6">
        <w:rPr>
          <w:sz w:val="22"/>
          <w:szCs w:val="22"/>
        </w:rPr>
        <w:t>Variables which were not available in the documents (e.g., abstractors n</w:t>
      </w:r>
      <w:r w:rsidR="005D1710" w:rsidRPr="004029D6">
        <w:rPr>
          <w:sz w:val="22"/>
          <w:szCs w:val="22"/>
        </w:rPr>
        <w:t>ever coded these variables)</w:t>
      </w:r>
      <w:r w:rsidR="00BD3E33" w:rsidRPr="004029D6">
        <w:rPr>
          <w:sz w:val="22"/>
          <w:szCs w:val="22"/>
        </w:rPr>
        <w:t xml:space="preserve"> and person</w:t>
      </w:r>
      <w:r w:rsidR="007A005A">
        <w:rPr>
          <w:sz w:val="22"/>
          <w:szCs w:val="22"/>
        </w:rPr>
        <w:t>al</w:t>
      </w:r>
      <w:r w:rsidR="00BD3E33" w:rsidRPr="004029D6">
        <w:rPr>
          <w:sz w:val="22"/>
          <w:szCs w:val="22"/>
        </w:rPr>
        <w:t xml:space="preserve"> identifying information</w:t>
      </w:r>
      <w:r w:rsidR="005D1710" w:rsidRPr="004029D6">
        <w:rPr>
          <w:sz w:val="22"/>
          <w:szCs w:val="22"/>
        </w:rPr>
        <w:t xml:space="preserve"> will be</w:t>
      </w:r>
      <w:r w:rsidRPr="004029D6">
        <w:rPr>
          <w:sz w:val="22"/>
          <w:szCs w:val="22"/>
        </w:rPr>
        <w:t xml:space="preserve"> dropped</w:t>
      </w:r>
      <w:r w:rsidR="009226B2" w:rsidRPr="004029D6">
        <w:rPr>
          <w:sz w:val="22"/>
          <w:szCs w:val="22"/>
        </w:rPr>
        <w:t xml:space="preserve"> (See Attachment </w:t>
      </w:r>
      <w:r w:rsidR="00FF259F" w:rsidRPr="004029D6">
        <w:rPr>
          <w:sz w:val="22"/>
          <w:szCs w:val="22"/>
        </w:rPr>
        <w:t>1 for variables impacted</w:t>
      </w:r>
      <w:r w:rsidR="004C72BB" w:rsidRPr="004029D6">
        <w:rPr>
          <w:sz w:val="22"/>
          <w:szCs w:val="22"/>
        </w:rPr>
        <w:t>).</w:t>
      </w:r>
    </w:p>
    <w:p w:rsidR="004029D6" w:rsidRDefault="005D1710" w:rsidP="004029D6">
      <w:pPr>
        <w:pStyle w:val="ListParagraph"/>
        <w:numPr>
          <w:ilvl w:val="1"/>
          <w:numId w:val="1"/>
        </w:numPr>
        <w:tabs>
          <w:tab w:val="left" w:pos="990"/>
        </w:tabs>
        <w:ind w:left="720"/>
        <w:rPr>
          <w:sz w:val="22"/>
          <w:szCs w:val="22"/>
        </w:rPr>
      </w:pPr>
      <w:r w:rsidRPr="004029D6">
        <w:rPr>
          <w:sz w:val="22"/>
          <w:szCs w:val="22"/>
        </w:rPr>
        <w:t>Checkboxes will be used to determine if a violent death involved a crisis (e.g., a suicide occurred on the day the decedent was</w:t>
      </w:r>
      <w:r w:rsidR="001F75AC" w:rsidRPr="004029D6">
        <w:rPr>
          <w:sz w:val="22"/>
          <w:szCs w:val="22"/>
        </w:rPr>
        <w:t xml:space="preserve"> to be evicted) instead of </w:t>
      </w:r>
      <w:r w:rsidRPr="004029D6">
        <w:rPr>
          <w:sz w:val="22"/>
          <w:szCs w:val="22"/>
        </w:rPr>
        <w:t>havi</w:t>
      </w:r>
      <w:r w:rsidR="001F75AC" w:rsidRPr="004029D6">
        <w:rPr>
          <w:sz w:val="22"/>
          <w:szCs w:val="22"/>
        </w:rPr>
        <w:t>ng the abstractor write down each</w:t>
      </w:r>
      <w:r w:rsidRPr="004029D6">
        <w:rPr>
          <w:sz w:val="22"/>
          <w:szCs w:val="22"/>
        </w:rPr>
        <w:t xml:space="preserve"> crisis</w:t>
      </w:r>
      <w:r w:rsidR="004C72BB" w:rsidRPr="004029D6">
        <w:rPr>
          <w:sz w:val="22"/>
          <w:szCs w:val="22"/>
        </w:rPr>
        <w:t>. Similar to a question wording change, t</w:t>
      </w:r>
      <w:r w:rsidR="00FC30D8" w:rsidRPr="004029D6">
        <w:rPr>
          <w:sz w:val="22"/>
          <w:szCs w:val="22"/>
        </w:rPr>
        <w:t>he same information is being c</w:t>
      </w:r>
      <w:r w:rsidR="004C72BB" w:rsidRPr="004029D6">
        <w:rPr>
          <w:sz w:val="22"/>
          <w:szCs w:val="22"/>
        </w:rPr>
        <w:t>ollected in a more a</w:t>
      </w:r>
      <w:r w:rsidR="009226B2" w:rsidRPr="004029D6">
        <w:rPr>
          <w:sz w:val="22"/>
          <w:szCs w:val="22"/>
        </w:rPr>
        <w:t xml:space="preserve">ccurate manner (See Attachment </w:t>
      </w:r>
      <w:r w:rsidR="00FF259F" w:rsidRPr="004029D6">
        <w:rPr>
          <w:sz w:val="22"/>
          <w:szCs w:val="22"/>
        </w:rPr>
        <w:t>1 for variable impacted</w:t>
      </w:r>
      <w:r w:rsidR="004C72BB" w:rsidRPr="004029D6">
        <w:rPr>
          <w:sz w:val="22"/>
          <w:szCs w:val="22"/>
        </w:rPr>
        <w:t>).</w:t>
      </w:r>
    </w:p>
    <w:p w:rsidR="006052AC" w:rsidRDefault="009226B2" w:rsidP="004029D6">
      <w:pPr>
        <w:pStyle w:val="ListParagraph"/>
        <w:numPr>
          <w:ilvl w:val="1"/>
          <w:numId w:val="1"/>
        </w:numPr>
        <w:tabs>
          <w:tab w:val="left" w:pos="990"/>
        </w:tabs>
        <w:ind w:left="720"/>
        <w:rPr>
          <w:sz w:val="22"/>
          <w:szCs w:val="22"/>
        </w:rPr>
      </w:pPr>
      <w:r w:rsidRPr="004029D6">
        <w:rPr>
          <w:sz w:val="22"/>
          <w:szCs w:val="22"/>
        </w:rPr>
        <w:t xml:space="preserve">A few new variables </w:t>
      </w:r>
      <w:r w:rsidR="004C72BB" w:rsidRPr="004029D6">
        <w:rPr>
          <w:sz w:val="22"/>
          <w:szCs w:val="22"/>
        </w:rPr>
        <w:t>were added or renamed</w:t>
      </w:r>
      <w:r w:rsidR="006052AC" w:rsidRPr="004029D6">
        <w:rPr>
          <w:sz w:val="22"/>
          <w:szCs w:val="22"/>
        </w:rPr>
        <w:t xml:space="preserve"> </w:t>
      </w:r>
      <w:r w:rsidR="007A005A">
        <w:rPr>
          <w:sz w:val="22"/>
          <w:szCs w:val="22"/>
        </w:rPr>
        <w:t xml:space="preserve">in </w:t>
      </w:r>
      <w:r w:rsidR="006052AC" w:rsidRPr="004029D6">
        <w:rPr>
          <w:sz w:val="22"/>
          <w:szCs w:val="22"/>
        </w:rPr>
        <w:t>response to state abstractor requ</w:t>
      </w:r>
      <w:r w:rsidR="004C72BB" w:rsidRPr="004029D6">
        <w:rPr>
          <w:sz w:val="22"/>
          <w:szCs w:val="22"/>
        </w:rPr>
        <w:t xml:space="preserve">ests or </w:t>
      </w:r>
      <w:r w:rsidRPr="004029D6">
        <w:rPr>
          <w:sz w:val="22"/>
          <w:szCs w:val="22"/>
        </w:rPr>
        <w:t xml:space="preserve">CDC scientists (See Attachment </w:t>
      </w:r>
      <w:r w:rsidR="00FF259F" w:rsidRPr="004029D6">
        <w:rPr>
          <w:sz w:val="22"/>
          <w:szCs w:val="22"/>
        </w:rPr>
        <w:t>1 for variables impacted</w:t>
      </w:r>
      <w:r w:rsidR="004C72BB" w:rsidRPr="004029D6">
        <w:rPr>
          <w:sz w:val="22"/>
          <w:szCs w:val="22"/>
        </w:rPr>
        <w:t>).</w:t>
      </w:r>
    </w:p>
    <w:p w:rsidR="007A005A" w:rsidRPr="004029D6" w:rsidRDefault="007A005A" w:rsidP="004029D6">
      <w:pPr>
        <w:pStyle w:val="ListParagraph"/>
        <w:numPr>
          <w:ilvl w:val="1"/>
          <w:numId w:val="1"/>
        </w:numPr>
        <w:tabs>
          <w:tab w:val="left" w:pos="990"/>
        </w:tabs>
        <w:ind w:left="720"/>
        <w:rPr>
          <w:sz w:val="22"/>
          <w:szCs w:val="22"/>
        </w:rPr>
      </w:pPr>
      <w:r>
        <w:rPr>
          <w:sz w:val="22"/>
          <w:szCs w:val="22"/>
        </w:rPr>
        <w:t>Collection of toxicology information was enhanced by expanding the list of substances and collecting information on more classes o</w:t>
      </w:r>
      <w:r w:rsidR="005F2696">
        <w:rPr>
          <w:sz w:val="22"/>
          <w:szCs w:val="22"/>
        </w:rPr>
        <w:t xml:space="preserve">f drugs (e.g., benzodiazepines </w:t>
      </w:r>
      <w:r>
        <w:rPr>
          <w:sz w:val="22"/>
          <w:szCs w:val="22"/>
        </w:rPr>
        <w:t>and muscle relaxants).</w:t>
      </w:r>
    </w:p>
    <w:p w:rsidR="0088198E" w:rsidRPr="00E9530C" w:rsidRDefault="0088198E" w:rsidP="005C49BD">
      <w:pPr>
        <w:rPr>
          <w:rFonts w:asciiTheme="minorHAnsi" w:hAnsiTheme="minorHAnsi"/>
          <w:b/>
          <w:sz w:val="10"/>
          <w:szCs w:val="10"/>
        </w:rPr>
      </w:pPr>
    </w:p>
    <w:p w:rsidR="006052AC" w:rsidRPr="00324CD3" w:rsidRDefault="00E65DBE" w:rsidP="006052A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Change to Burden and/or Cost</w:t>
      </w:r>
    </w:p>
    <w:p w:rsidR="009226B2" w:rsidRPr="00324CD3" w:rsidRDefault="00294416">
      <w:pPr>
        <w:rPr>
          <w:rFonts w:asciiTheme="minorHAnsi" w:hAnsiTheme="minorHAnsi"/>
          <w:sz w:val="22"/>
          <w:szCs w:val="22"/>
        </w:rPr>
      </w:pPr>
      <w:r w:rsidRPr="00324CD3">
        <w:rPr>
          <w:rFonts w:asciiTheme="minorHAnsi" w:hAnsiTheme="minorHAnsi"/>
          <w:sz w:val="22"/>
          <w:szCs w:val="22"/>
        </w:rPr>
        <w:t>This n</w:t>
      </w:r>
      <w:r w:rsidR="004B1AEE" w:rsidRPr="00324CD3">
        <w:rPr>
          <w:rFonts w:asciiTheme="minorHAnsi" w:hAnsiTheme="minorHAnsi"/>
          <w:sz w:val="22"/>
          <w:szCs w:val="22"/>
        </w:rPr>
        <w:t>on-substantive change requests does not change the currently approved burden and/or cost</w:t>
      </w:r>
      <w:r w:rsidR="001F75AC">
        <w:rPr>
          <w:rFonts w:asciiTheme="minorHAnsi" w:hAnsiTheme="minorHAnsi"/>
          <w:sz w:val="22"/>
          <w:szCs w:val="22"/>
        </w:rPr>
        <w:t xml:space="preserve"> (See Table 1)</w:t>
      </w:r>
      <w:r w:rsidR="004B1AEE" w:rsidRPr="00324CD3">
        <w:rPr>
          <w:rFonts w:asciiTheme="minorHAnsi" w:hAnsiTheme="minorHAnsi"/>
          <w:sz w:val="22"/>
          <w:szCs w:val="22"/>
        </w:rPr>
        <w:t xml:space="preserve">. </w:t>
      </w:r>
      <w:r w:rsidR="001F75AC">
        <w:rPr>
          <w:rFonts w:asciiTheme="minorHAnsi" w:hAnsiTheme="minorHAnsi"/>
          <w:sz w:val="22"/>
          <w:szCs w:val="22"/>
        </w:rPr>
        <w:t>For the two burden estimates, we</w:t>
      </w:r>
      <w:r w:rsidR="009226B2" w:rsidRPr="00324CD3">
        <w:rPr>
          <w:rFonts w:asciiTheme="minorHAnsi" w:hAnsiTheme="minorHAnsi"/>
          <w:sz w:val="22"/>
          <w:szCs w:val="22"/>
        </w:rPr>
        <w:t xml:space="preserve"> explain why the changes will not impact burden.</w:t>
      </w:r>
    </w:p>
    <w:p w:rsidR="009226B2" w:rsidRPr="00257073" w:rsidRDefault="00324CD3" w:rsidP="00324CD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324CD3">
        <w:rPr>
          <w:i/>
          <w:sz w:val="22"/>
          <w:szCs w:val="22"/>
          <w:u w:val="single"/>
        </w:rPr>
        <w:t>Funded State Health Departments</w:t>
      </w:r>
      <w:r w:rsidR="00E9530C">
        <w:rPr>
          <w:sz w:val="22"/>
          <w:szCs w:val="22"/>
        </w:rPr>
        <w:t xml:space="preserve"> – In the current request</w:t>
      </w:r>
      <w:r>
        <w:rPr>
          <w:sz w:val="22"/>
          <w:szCs w:val="22"/>
        </w:rPr>
        <w:t xml:space="preserve">, </w:t>
      </w:r>
      <w:r w:rsidR="00E9530C">
        <w:rPr>
          <w:sz w:val="22"/>
          <w:szCs w:val="22"/>
        </w:rPr>
        <w:t>27</w:t>
      </w:r>
      <w:r w:rsidR="00257073">
        <w:rPr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 w:rsidRPr="00324CD3">
        <w:rPr>
          <w:sz w:val="22"/>
          <w:szCs w:val="22"/>
        </w:rPr>
        <w:t>ealth dep</w:t>
      </w:r>
      <w:r w:rsidR="0095721A">
        <w:rPr>
          <w:sz w:val="22"/>
          <w:szCs w:val="22"/>
        </w:rPr>
        <w:t xml:space="preserve">artments </w:t>
      </w:r>
      <w:r w:rsidR="00E9530C">
        <w:rPr>
          <w:sz w:val="22"/>
          <w:szCs w:val="22"/>
        </w:rPr>
        <w:t xml:space="preserve">are estimated to </w:t>
      </w:r>
      <w:r w:rsidR="0095721A">
        <w:rPr>
          <w:sz w:val="22"/>
          <w:szCs w:val="22"/>
        </w:rPr>
        <w:t>incur an average of 2.0</w:t>
      </w:r>
      <w:r w:rsidRPr="00324CD3">
        <w:rPr>
          <w:sz w:val="22"/>
          <w:szCs w:val="22"/>
        </w:rPr>
        <w:t xml:space="preserve"> hours per death in identifying the deaths from death certificates, co</w:t>
      </w:r>
      <w:r w:rsidR="0037564F">
        <w:rPr>
          <w:sz w:val="22"/>
          <w:szCs w:val="22"/>
        </w:rPr>
        <w:t xml:space="preserve">ntacting the law enforcement, coroners </w:t>
      </w:r>
      <w:r w:rsidRPr="00324CD3">
        <w:rPr>
          <w:sz w:val="22"/>
          <w:szCs w:val="22"/>
        </w:rPr>
        <w:t>and medical examiners to get copies of or to view the relevant records, abstracting all the records, various data processing tasks, various administrative tasks, data utilization, training, communications, etc.</w:t>
      </w:r>
      <w:r w:rsidR="00A56877">
        <w:rPr>
          <w:sz w:val="22"/>
          <w:szCs w:val="22"/>
        </w:rPr>
        <w:t xml:space="preserve"> </w:t>
      </w:r>
      <w:r w:rsidR="0095721A">
        <w:rPr>
          <w:sz w:val="22"/>
          <w:szCs w:val="22"/>
        </w:rPr>
        <w:t>The average number of violent deaths is 1,000. Thus, the</w:t>
      </w:r>
      <w:r w:rsidR="0095721A" w:rsidRPr="00A44D5F">
        <w:rPr>
          <w:sz w:val="22"/>
          <w:szCs w:val="22"/>
        </w:rPr>
        <w:t xml:space="preserve"> cost can </w:t>
      </w:r>
      <w:r w:rsidR="00E9530C">
        <w:rPr>
          <w:sz w:val="22"/>
          <w:szCs w:val="22"/>
        </w:rPr>
        <w:t>be estimated as 2,000 hours x 27</w:t>
      </w:r>
      <w:r w:rsidR="00A87100">
        <w:rPr>
          <w:sz w:val="22"/>
          <w:szCs w:val="22"/>
        </w:rPr>
        <w:t xml:space="preserve"> states x $15/hour = $810</w:t>
      </w:r>
      <w:r w:rsidR="0095721A" w:rsidRPr="00A44D5F">
        <w:rPr>
          <w:sz w:val="22"/>
          <w:szCs w:val="22"/>
        </w:rPr>
        <w:t xml:space="preserve">,000.  </w:t>
      </w:r>
      <w:r w:rsidR="00FF259F">
        <w:rPr>
          <w:sz w:val="22"/>
          <w:szCs w:val="22"/>
        </w:rPr>
        <w:t xml:space="preserve">The vast majority of time involves securing and reviewing the records. This process remains the same. While data entry using the </w:t>
      </w:r>
      <w:r w:rsidR="00A56877">
        <w:rPr>
          <w:sz w:val="22"/>
          <w:szCs w:val="22"/>
        </w:rPr>
        <w:t>web system will be more efficie</w:t>
      </w:r>
      <w:r w:rsidR="00FF259F">
        <w:rPr>
          <w:sz w:val="22"/>
          <w:szCs w:val="22"/>
        </w:rPr>
        <w:t xml:space="preserve">nt than the current system due to fewer variables </w:t>
      </w:r>
      <w:r w:rsidR="00A56877">
        <w:rPr>
          <w:sz w:val="22"/>
          <w:szCs w:val="22"/>
        </w:rPr>
        <w:t xml:space="preserve">and </w:t>
      </w:r>
      <w:r w:rsidR="00FF259F">
        <w:rPr>
          <w:sz w:val="22"/>
          <w:szCs w:val="22"/>
        </w:rPr>
        <w:t xml:space="preserve">an improved </w:t>
      </w:r>
      <w:r w:rsidR="00A56877">
        <w:rPr>
          <w:sz w:val="22"/>
          <w:szCs w:val="22"/>
        </w:rPr>
        <w:t>import, saving and navig</w:t>
      </w:r>
      <w:r w:rsidR="00FF259F">
        <w:rPr>
          <w:sz w:val="22"/>
          <w:szCs w:val="22"/>
        </w:rPr>
        <w:t>ation with a web system is slower than the desktop</w:t>
      </w:r>
      <w:r w:rsidR="00A56877">
        <w:rPr>
          <w:sz w:val="22"/>
          <w:szCs w:val="22"/>
        </w:rPr>
        <w:t xml:space="preserve">. This will result </w:t>
      </w:r>
      <w:r w:rsidR="00A56877" w:rsidRPr="00257073">
        <w:rPr>
          <w:sz w:val="22"/>
          <w:szCs w:val="22"/>
        </w:rPr>
        <w:t>i</w:t>
      </w:r>
      <w:r w:rsidR="00A44D5F" w:rsidRPr="00257073">
        <w:rPr>
          <w:sz w:val="22"/>
          <w:szCs w:val="22"/>
        </w:rPr>
        <w:t>n the burden and cost estimates remaining the same</w:t>
      </w:r>
      <w:r w:rsidR="0095721A" w:rsidRPr="00257073">
        <w:rPr>
          <w:sz w:val="22"/>
          <w:szCs w:val="22"/>
        </w:rPr>
        <w:t xml:space="preserve"> (See below)</w:t>
      </w:r>
      <w:r w:rsidR="00A44D5F" w:rsidRPr="00257073">
        <w:rPr>
          <w:sz w:val="22"/>
          <w:szCs w:val="22"/>
        </w:rPr>
        <w:t xml:space="preserve">. </w:t>
      </w:r>
    </w:p>
    <w:p w:rsidR="00A56877" w:rsidRPr="00257073" w:rsidRDefault="00A56877" w:rsidP="00324CD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57073">
        <w:rPr>
          <w:i/>
          <w:sz w:val="22"/>
          <w:szCs w:val="22"/>
          <w:u w:val="single"/>
        </w:rPr>
        <w:t xml:space="preserve">Public Agencies </w:t>
      </w:r>
      <w:r w:rsidRPr="00257073">
        <w:rPr>
          <w:sz w:val="22"/>
          <w:szCs w:val="22"/>
        </w:rPr>
        <w:t>– States using the web sy</w:t>
      </w:r>
      <w:r w:rsidR="00FF259F" w:rsidRPr="00257073">
        <w:rPr>
          <w:sz w:val="22"/>
          <w:szCs w:val="22"/>
        </w:rPr>
        <w:t xml:space="preserve">stem will request the same </w:t>
      </w:r>
      <w:r w:rsidRPr="00257073">
        <w:rPr>
          <w:sz w:val="22"/>
          <w:szCs w:val="22"/>
        </w:rPr>
        <w:t xml:space="preserve">information from </w:t>
      </w:r>
      <w:r w:rsidR="0037564F" w:rsidRPr="00257073">
        <w:rPr>
          <w:sz w:val="22"/>
          <w:szCs w:val="22"/>
        </w:rPr>
        <w:t xml:space="preserve">the </w:t>
      </w:r>
      <w:r w:rsidR="00FF259F" w:rsidRPr="00257073">
        <w:rPr>
          <w:sz w:val="22"/>
          <w:szCs w:val="22"/>
        </w:rPr>
        <w:t xml:space="preserve">same </w:t>
      </w:r>
      <w:r w:rsidRPr="00257073">
        <w:rPr>
          <w:sz w:val="22"/>
          <w:szCs w:val="22"/>
        </w:rPr>
        <w:t>public agencies that they are currently requesting</w:t>
      </w:r>
      <w:r w:rsidR="00257073">
        <w:rPr>
          <w:sz w:val="22"/>
          <w:szCs w:val="22"/>
        </w:rPr>
        <w:t xml:space="preserve"> resulting in no burden or cost changes</w:t>
      </w:r>
      <w:r w:rsidRPr="00257073">
        <w:rPr>
          <w:sz w:val="22"/>
          <w:szCs w:val="22"/>
        </w:rPr>
        <w:t>.</w:t>
      </w:r>
      <w:r w:rsidR="00257073" w:rsidRPr="00257073">
        <w:rPr>
          <w:sz w:val="22"/>
          <w:szCs w:val="22"/>
        </w:rPr>
        <w:t xml:space="preserve"> Public Agencies who retrieve and </w:t>
      </w:r>
      <w:proofErr w:type="spellStart"/>
      <w:r w:rsidR="00257073" w:rsidRPr="00257073">
        <w:rPr>
          <w:sz w:val="22"/>
          <w:szCs w:val="22"/>
        </w:rPr>
        <w:t>refile</w:t>
      </w:r>
      <w:proofErr w:type="spellEnd"/>
      <w:r w:rsidR="00257073" w:rsidRPr="00257073">
        <w:rPr>
          <w:sz w:val="22"/>
          <w:szCs w:val="22"/>
        </w:rPr>
        <w:t xml:space="preserve"> records es</w:t>
      </w:r>
      <w:r w:rsidR="00A87100">
        <w:rPr>
          <w:sz w:val="22"/>
          <w:szCs w:val="22"/>
        </w:rPr>
        <w:t>timate costs at [</w:t>
      </w:r>
      <w:proofErr w:type="gramStart"/>
      <w:r w:rsidR="00A87100">
        <w:rPr>
          <w:sz w:val="22"/>
          <w:szCs w:val="22"/>
        </w:rPr>
        <w:t>500  hours</w:t>
      </w:r>
      <w:proofErr w:type="gramEnd"/>
      <w:r w:rsidR="00A87100">
        <w:rPr>
          <w:sz w:val="22"/>
          <w:szCs w:val="22"/>
        </w:rPr>
        <w:t xml:space="preserve"> x 27</w:t>
      </w:r>
      <w:r w:rsidR="00257073" w:rsidRPr="00257073">
        <w:rPr>
          <w:sz w:val="22"/>
          <w:szCs w:val="22"/>
        </w:rPr>
        <w:t xml:space="preserve"> states x $15/hour] = $</w:t>
      </w:r>
      <w:r w:rsidR="00A87100">
        <w:rPr>
          <w:sz w:val="22"/>
          <w:szCs w:val="22"/>
        </w:rPr>
        <w:t>202,500</w:t>
      </w:r>
      <w:r w:rsidR="00257073">
        <w:rPr>
          <w:sz w:val="22"/>
          <w:szCs w:val="22"/>
        </w:rPr>
        <w:t xml:space="preserve"> (See below)</w:t>
      </w:r>
      <w:r w:rsidR="00257073" w:rsidRPr="00257073">
        <w:rPr>
          <w:sz w:val="22"/>
          <w:szCs w:val="22"/>
        </w:rPr>
        <w:t xml:space="preserve">.  </w:t>
      </w:r>
    </w:p>
    <w:p w:rsidR="0095721A" w:rsidRPr="0095721A" w:rsidRDefault="0095721A" w:rsidP="0095721A">
      <w:pPr>
        <w:rPr>
          <w:rFonts w:asciiTheme="minorHAnsi" w:hAnsiTheme="minorHAnsi"/>
          <w:b/>
          <w:bCs/>
          <w:sz w:val="22"/>
          <w:szCs w:val="22"/>
        </w:rPr>
      </w:pPr>
      <w:r w:rsidRPr="0095721A">
        <w:rPr>
          <w:rFonts w:asciiTheme="minorHAnsi" w:hAnsiTheme="minorHAnsi"/>
          <w:b/>
          <w:sz w:val="22"/>
          <w:szCs w:val="22"/>
        </w:rPr>
        <w:t>Estimated Annualized Respondent Burden</w:t>
      </w:r>
      <w:r w:rsidRPr="0095721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5721A">
        <w:rPr>
          <w:rFonts w:asciiTheme="minorHAnsi" w:hAnsiTheme="minorHAnsi"/>
          <w:b/>
          <w:sz w:val="22"/>
          <w:szCs w:val="22"/>
        </w:rPr>
        <w:t>Hours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37"/>
        <w:gridCol w:w="1443"/>
        <w:gridCol w:w="1770"/>
        <w:gridCol w:w="1710"/>
        <w:gridCol w:w="1080"/>
      </w:tblGrid>
      <w:tr w:rsidR="001D7B00" w:rsidRPr="0095721A" w:rsidTr="00257073">
        <w:tc>
          <w:tcPr>
            <w:tcW w:w="1668" w:type="dxa"/>
            <w:shd w:val="clear" w:color="auto" w:fill="D9D9D9" w:themeFill="background1" w:themeFillShade="D9"/>
          </w:tcPr>
          <w:p w:rsidR="001D7B00" w:rsidRPr="0095721A" w:rsidRDefault="001D7B00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Type of Respondent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1D7B00" w:rsidRPr="0095721A" w:rsidRDefault="001D7B00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Form Name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1D7B00" w:rsidRPr="0095721A" w:rsidRDefault="001D7B00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No. of Respondents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:rsidR="001D7B00" w:rsidRPr="0095721A" w:rsidRDefault="001D7B00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No. Responses per Respondent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1D7B00" w:rsidRPr="0095721A" w:rsidRDefault="001D7B00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Average Burden per Response</w:t>
            </w:r>
          </w:p>
          <w:p w:rsidR="001D7B00" w:rsidRPr="0095721A" w:rsidRDefault="001D7B00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(in hours)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D7B00" w:rsidRPr="0095721A" w:rsidRDefault="001D7B00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Total Burden Hours</w:t>
            </w:r>
          </w:p>
        </w:tc>
      </w:tr>
      <w:tr w:rsidR="008F7BC2" w:rsidRPr="0095721A" w:rsidTr="00257073">
        <w:tc>
          <w:tcPr>
            <w:tcW w:w="1668" w:type="dxa"/>
            <w:shd w:val="clear" w:color="auto" w:fill="auto"/>
          </w:tcPr>
          <w:p w:rsidR="008F7BC2" w:rsidRPr="0095721A" w:rsidRDefault="008F7BC2" w:rsidP="008F7BC2">
            <w:pPr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State Health Departments</w:t>
            </w:r>
          </w:p>
        </w:tc>
        <w:tc>
          <w:tcPr>
            <w:tcW w:w="1437" w:type="dxa"/>
            <w:shd w:val="clear" w:color="auto" w:fill="auto"/>
          </w:tcPr>
          <w:p w:rsidR="008F7BC2" w:rsidRPr="0095721A" w:rsidRDefault="008F7BC2" w:rsidP="008F7BC2">
            <w:pPr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Completion of case abstraction</w:t>
            </w:r>
          </w:p>
        </w:tc>
        <w:tc>
          <w:tcPr>
            <w:tcW w:w="1443" w:type="dxa"/>
            <w:shd w:val="clear" w:color="auto" w:fill="auto"/>
          </w:tcPr>
          <w:p w:rsidR="008F7BC2" w:rsidRPr="00324CD3" w:rsidRDefault="008F7BC2" w:rsidP="008F7BC2">
            <w:pPr>
              <w:jc w:val="right"/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 w:rsidRPr="00324CD3">
              <w:rPr>
                <w:rFonts w:asciiTheme="minorHAnsi" w:hAnsiTheme="minorHAnsi" w:cs="Helvetica"/>
                <w:sz w:val="22"/>
                <w:szCs w:val="22"/>
              </w:rPr>
              <w:t>27</w:t>
            </w:r>
          </w:p>
        </w:tc>
        <w:tc>
          <w:tcPr>
            <w:tcW w:w="1770" w:type="dxa"/>
            <w:shd w:val="clear" w:color="auto" w:fill="auto"/>
          </w:tcPr>
          <w:p w:rsidR="008F7BC2" w:rsidRPr="00324CD3" w:rsidRDefault="008F7BC2" w:rsidP="008F7BC2">
            <w:pPr>
              <w:jc w:val="right"/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 w:rsidRPr="00324CD3">
              <w:rPr>
                <w:rFonts w:asciiTheme="minorHAnsi" w:hAnsiTheme="minorHAnsi" w:cs="Courier New"/>
                <w:bCs/>
                <w:sz w:val="22"/>
                <w:szCs w:val="22"/>
              </w:rPr>
              <w:t>1,000</w:t>
            </w:r>
          </w:p>
        </w:tc>
        <w:tc>
          <w:tcPr>
            <w:tcW w:w="1710" w:type="dxa"/>
            <w:shd w:val="clear" w:color="auto" w:fill="auto"/>
          </w:tcPr>
          <w:p w:rsidR="008F7BC2" w:rsidRPr="00324CD3" w:rsidRDefault="008F7BC2" w:rsidP="008F7BC2">
            <w:pPr>
              <w:jc w:val="right"/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2.0</w:t>
            </w:r>
          </w:p>
        </w:tc>
        <w:tc>
          <w:tcPr>
            <w:tcW w:w="1080" w:type="dxa"/>
            <w:shd w:val="clear" w:color="auto" w:fill="auto"/>
          </w:tcPr>
          <w:p w:rsidR="008F7BC2" w:rsidRPr="00324CD3" w:rsidRDefault="008F7BC2" w:rsidP="008F7BC2">
            <w:pPr>
              <w:jc w:val="right"/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bCs/>
                <w:sz w:val="22"/>
                <w:szCs w:val="22"/>
              </w:rPr>
              <w:t>54,000</w:t>
            </w:r>
          </w:p>
        </w:tc>
      </w:tr>
      <w:tr w:rsidR="008F7BC2" w:rsidRPr="0095721A" w:rsidTr="00257073">
        <w:tc>
          <w:tcPr>
            <w:tcW w:w="1668" w:type="dxa"/>
            <w:shd w:val="clear" w:color="auto" w:fill="auto"/>
          </w:tcPr>
          <w:p w:rsidR="008F7BC2" w:rsidRPr="0095721A" w:rsidRDefault="008F7BC2" w:rsidP="008F7BC2">
            <w:pPr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Public Agencies</w:t>
            </w:r>
          </w:p>
        </w:tc>
        <w:tc>
          <w:tcPr>
            <w:tcW w:w="1437" w:type="dxa"/>
            <w:shd w:val="clear" w:color="auto" w:fill="auto"/>
          </w:tcPr>
          <w:p w:rsidR="008F7BC2" w:rsidRPr="0095721A" w:rsidRDefault="008F7BC2" w:rsidP="008F7BC2">
            <w:pPr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 xml:space="preserve">Retrieving and </w:t>
            </w:r>
            <w:proofErr w:type="spellStart"/>
            <w:r w:rsidRPr="0095721A">
              <w:rPr>
                <w:rFonts w:asciiTheme="minorHAnsi" w:hAnsiTheme="minorHAnsi"/>
                <w:sz w:val="22"/>
                <w:szCs w:val="22"/>
              </w:rPr>
              <w:t>refile</w:t>
            </w:r>
            <w:proofErr w:type="spellEnd"/>
            <w:r w:rsidRPr="0095721A">
              <w:rPr>
                <w:rFonts w:asciiTheme="minorHAnsi" w:hAnsiTheme="minorHAnsi"/>
                <w:sz w:val="22"/>
                <w:szCs w:val="22"/>
              </w:rPr>
              <w:t xml:space="preserve"> records</w:t>
            </w:r>
          </w:p>
        </w:tc>
        <w:tc>
          <w:tcPr>
            <w:tcW w:w="1443" w:type="dxa"/>
            <w:shd w:val="clear" w:color="auto" w:fill="auto"/>
          </w:tcPr>
          <w:p w:rsidR="008F7BC2" w:rsidRPr="00324CD3" w:rsidRDefault="008F7BC2" w:rsidP="008F7BC2">
            <w:pPr>
              <w:jc w:val="right"/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 w:rsidRPr="00324CD3">
              <w:rPr>
                <w:rFonts w:asciiTheme="minorHAnsi" w:hAnsiTheme="minorHAnsi" w:cs="Courier New"/>
                <w:sz w:val="22"/>
                <w:szCs w:val="22"/>
              </w:rPr>
              <w:t>27</w:t>
            </w:r>
          </w:p>
        </w:tc>
        <w:tc>
          <w:tcPr>
            <w:tcW w:w="1770" w:type="dxa"/>
            <w:shd w:val="clear" w:color="auto" w:fill="auto"/>
          </w:tcPr>
          <w:p w:rsidR="008F7BC2" w:rsidRPr="00324CD3" w:rsidRDefault="008F7BC2" w:rsidP="008F7BC2">
            <w:pPr>
              <w:jc w:val="right"/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 w:rsidRPr="00324CD3">
              <w:rPr>
                <w:rFonts w:asciiTheme="minorHAnsi" w:hAnsiTheme="minorHAnsi" w:cs="Courier New"/>
                <w:sz w:val="22"/>
                <w:szCs w:val="22"/>
              </w:rPr>
              <w:t>1,000</w:t>
            </w:r>
          </w:p>
        </w:tc>
        <w:tc>
          <w:tcPr>
            <w:tcW w:w="1710" w:type="dxa"/>
            <w:shd w:val="clear" w:color="auto" w:fill="auto"/>
          </w:tcPr>
          <w:p w:rsidR="008F7BC2" w:rsidRPr="00324CD3" w:rsidRDefault="008F7BC2" w:rsidP="008F7BC2">
            <w:pPr>
              <w:jc w:val="right"/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  <w:r w:rsidRPr="00324CD3">
              <w:rPr>
                <w:rFonts w:asciiTheme="minorHAnsi" w:hAnsiTheme="minorHAnsi" w:cs="Courier New"/>
                <w:sz w:val="22"/>
                <w:szCs w:val="22"/>
              </w:rPr>
              <w:t>.5</w:t>
            </w:r>
          </w:p>
        </w:tc>
        <w:tc>
          <w:tcPr>
            <w:tcW w:w="1080" w:type="dxa"/>
            <w:shd w:val="clear" w:color="auto" w:fill="auto"/>
          </w:tcPr>
          <w:p w:rsidR="008F7BC2" w:rsidRPr="00324CD3" w:rsidRDefault="008F7BC2" w:rsidP="008F7BC2">
            <w:pPr>
              <w:jc w:val="right"/>
              <w:rPr>
                <w:rFonts w:asciiTheme="minorHAnsi" w:hAnsiTheme="minorHAnsi" w:cs="Courier New"/>
                <w:bCs/>
                <w:sz w:val="22"/>
                <w:szCs w:val="22"/>
              </w:rPr>
            </w:pPr>
            <w:r w:rsidRPr="00324CD3">
              <w:rPr>
                <w:rFonts w:asciiTheme="minorHAnsi" w:hAnsiTheme="minorHAnsi" w:cs="Courier New"/>
                <w:sz w:val="22"/>
                <w:szCs w:val="22"/>
              </w:rPr>
              <w:t>13,500</w:t>
            </w:r>
          </w:p>
        </w:tc>
      </w:tr>
      <w:tr w:rsidR="001D7B00" w:rsidRPr="0095721A" w:rsidTr="00257073">
        <w:tc>
          <w:tcPr>
            <w:tcW w:w="1668" w:type="dxa"/>
            <w:shd w:val="clear" w:color="auto" w:fill="auto"/>
          </w:tcPr>
          <w:p w:rsidR="001D7B00" w:rsidRPr="0095721A" w:rsidRDefault="001D7B00" w:rsidP="001D7B00">
            <w:pPr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  <w:tc>
          <w:tcPr>
            <w:tcW w:w="6360" w:type="dxa"/>
            <w:gridSpan w:val="4"/>
            <w:shd w:val="clear" w:color="auto" w:fill="auto"/>
          </w:tcPr>
          <w:p w:rsidR="001D7B00" w:rsidRPr="0095721A" w:rsidRDefault="001D7B00" w:rsidP="00076E8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D7B00" w:rsidRPr="0095721A" w:rsidRDefault="00076E88" w:rsidP="00076E8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67,500</w:t>
            </w:r>
          </w:p>
        </w:tc>
      </w:tr>
    </w:tbl>
    <w:p w:rsidR="001D7B00" w:rsidRPr="00A44D5F" w:rsidRDefault="001D7B00" w:rsidP="001D7B00">
      <w:pPr>
        <w:rPr>
          <w:rFonts w:asciiTheme="minorHAnsi" w:hAnsiTheme="minorHAnsi"/>
          <w:sz w:val="22"/>
          <w:szCs w:val="22"/>
        </w:rPr>
      </w:pPr>
    </w:p>
    <w:p w:rsidR="00A44D5F" w:rsidRPr="00A44D5F" w:rsidRDefault="00A44D5F" w:rsidP="00A44D5F">
      <w:pPr>
        <w:rPr>
          <w:rFonts w:asciiTheme="minorHAnsi" w:hAnsiTheme="minorHAnsi"/>
          <w:sz w:val="22"/>
          <w:szCs w:val="22"/>
        </w:rPr>
      </w:pPr>
      <w:r w:rsidRPr="00A44D5F">
        <w:rPr>
          <w:rFonts w:asciiTheme="minorHAnsi" w:hAnsiTheme="minorHAnsi"/>
          <w:b/>
          <w:bCs/>
          <w:sz w:val="22"/>
          <w:szCs w:val="22"/>
        </w:rPr>
        <w:t>Estimated Annualized Respondent Burden Costs: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443"/>
        <w:gridCol w:w="1440"/>
        <w:gridCol w:w="1560"/>
        <w:gridCol w:w="1558"/>
        <w:gridCol w:w="1440"/>
        <w:gridCol w:w="1319"/>
      </w:tblGrid>
      <w:tr w:rsidR="00A44D5F" w:rsidRPr="00A44D5F" w:rsidTr="00220B42">
        <w:tc>
          <w:tcPr>
            <w:tcW w:w="1667" w:type="dxa"/>
            <w:shd w:val="clear" w:color="auto" w:fill="D9D9D9" w:themeFill="background1" w:themeFillShade="D9"/>
          </w:tcPr>
          <w:p w:rsidR="00A44D5F" w:rsidRPr="0095721A" w:rsidRDefault="00A44D5F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Type of Respondent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A44D5F" w:rsidRPr="0095721A" w:rsidRDefault="00A44D5F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No. of Respondents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44D5F" w:rsidRPr="0095721A" w:rsidRDefault="00A44D5F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No. Responses per Respondent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44D5F" w:rsidRPr="0095721A" w:rsidRDefault="00A44D5F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Average Burden per Response</w:t>
            </w:r>
          </w:p>
          <w:p w:rsidR="00A44D5F" w:rsidRPr="0095721A" w:rsidRDefault="00A44D5F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(in hours)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A44D5F" w:rsidRPr="0095721A" w:rsidRDefault="00A44D5F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Total Burden Hours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A44D5F" w:rsidRPr="0095721A" w:rsidRDefault="00A44D5F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Hourly Wage Rate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="00A44D5F" w:rsidRPr="0095721A" w:rsidRDefault="00A44D5F" w:rsidP="009572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721A">
              <w:rPr>
                <w:rFonts w:asciiTheme="minorHAnsi" w:hAnsiTheme="minorHAnsi"/>
                <w:b/>
                <w:sz w:val="22"/>
                <w:szCs w:val="22"/>
              </w:rPr>
              <w:t>Total Respondent Cost</w:t>
            </w:r>
          </w:p>
        </w:tc>
      </w:tr>
      <w:tr w:rsidR="00A44D5F" w:rsidRPr="00A44D5F" w:rsidTr="00220B42">
        <w:tc>
          <w:tcPr>
            <w:tcW w:w="1667" w:type="dxa"/>
            <w:shd w:val="clear" w:color="auto" w:fill="auto"/>
          </w:tcPr>
          <w:p w:rsidR="00A44D5F" w:rsidRPr="0095721A" w:rsidRDefault="00A44D5F" w:rsidP="00A44D5F">
            <w:pPr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State Health Departments</w:t>
            </w:r>
          </w:p>
        </w:tc>
        <w:tc>
          <w:tcPr>
            <w:tcW w:w="1443" w:type="dxa"/>
            <w:shd w:val="clear" w:color="auto" w:fill="auto"/>
          </w:tcPr>
          <w:p w:rsidR="00A44D5F" w:rsidRPr="0095721A" w:rsidRDefault="00076E88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A44D5F" w:rsidRPr="0095721A" w:rsidRDefault="00A44D5F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1000</w:t>
            </w:r>
          </w:p>
        </w:tc>
        <w:tc>
          <w:tcPr>
            <w:tcW w:w="1560" w:type="dxa"/>
            <w:shd w:val="clear" w:color="auto" w:fill="auto"/>
          </w:tcPr>
          <w:p w:rsidR="00A44D5F" w:rsidRPr="0095721A" w:rsidRDefault="00A44D5F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2.0</w:t>
            </w:r>
          </w:p>
        </w:tc>
        <w:tc>
          <w:tcPr>
            <w:tcW w:w="1558" w:type="dxa"/>
            <w:shd w:val="clear" w:color="auto" w:fill="auto"/>
          </w:tcPr>
          <w:p w:rsidR="00A44D5F" w:rsidRPr="0095721A" w:rsidRDefault="00220B42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54,000</w:t>
            </w:r>
          </w:p>
        </w:tc>
        <w:tc>
          <w:tcPr>
            <w:tcW w:w="1440" w:type="dxa"/>
          </w:tcPr>
          <w:p w:rsidR="00A44D5F" w:rsidRPr="0095721A" w:rsidRDefault="00A44D5F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$15</w:t>
            </w:r>
          </w:p>
        </w:tc>
        <w:tc>
          <w:tcPr>
            <w:tcW w:w="1319" w:type="dxa"/>
            <w:shd w:val="clear" w:color="auto" w:fill="auto"/>
          </w:tcPr>
          <w:p w:rsidR="00A44D5F" w:rsidRPr="0095721A" w:rsidRDefault="00220B42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$810</w:t>
            </w:r>
            <w:r w:rsidR="00A44D5F" w:rsidRPr="0095721A">
              <w:rPr>
                <w:rFonts w:asciiTheme="minorHAnsi" w:hAnsiTheme="minorHAnsi"/>
                <w:sz w:val="22"/>
                <w:szCs w:val="22"/>
              </w:rPr>
              <w:t>,000</w:t>
            </w:r>
          </w:p>
        </w:tc>
      </w:tr>
      <w:tr w:rsidR="00A44D5F" w:rsidRPr="00A44D5F" w:rsidTr="00220B42">
        <w:tc>
          <w:tcPr>
            <w:tcW w:w="1667" w:type="dxa"/>
            <w:shd w:val="clear" w:color="auto" w:fill="auto"/>
          </w:tcPr>
          <w:p w:rsidR="00A44D5F" w:rsidRPr="0095721A" w:rsidRDefault="00A44D5F" w:rsidP="00A44D5F">
            <w:pPr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Public Agencies</w:t>
            </w:r>
          </w:p>
        </w:tc>
        <w:tc>
          <w:tcPr>
            <w:tcW w:w="1443" w:type="dxa"/>
            <w:shd w:val="clear" w:color="auto" w:fill="auto"/>
          </w:tcPr>
          <w:p w:rsidR="00A44D5F" w:rsidRPr="0095721A" w:rsidRDefault="00076E88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A44D5F" w:rsidRPr="0095721A" w:rsidRDefault="00A44D5F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1000</w:t>
            </w:r>
          </w:p>
        </w:tc>
        <w:tc>
          <w:tcPr>
            <w:tcW w:w="1560" w:type="dxa"/>
            <w:shd w:val="clear" w:color="auto" w:fill="auto"/>
          </w:tcPr>
          <w:p w:rsidR="00A44D5F" w:rsidRPr="0095721A" w:rsidRDefault="00A44D5F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30/60</w:t>
            </w:r>
          </w:p>
        </w:tc>
        <w:tc>
          <w:tcPr>
            <w:tcW w:w="1558" w:type="dxa"/>
            <w:shd w:val="clear" w:color="auto" w:fill="auto"/>
          </w:tcPr>
          <w:p w:rsidR="00A44D5F" w:rsidRPr="0095721A" w:rsidRDefault="00220B42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13,500</w:t>
            </w:r>
          </w:p>
        </w:tc>
        <w:tc>
          <w:tcPr>
            <w:tcW w:w="1440" w:type="dxa"/>
          </w:tcPr>
          <w:p w:rsidR="00A44D5F" w:rsidRPr="0095721A" w:rsidRDefault="00A44D5F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$15</w:t>
            </w:r>
          </w:p>
        </w:tc>
        <w:tc>
          <w:tcPr>
            <w:tcW w:w="1319" w:type="dxa"/>
            <w:shd w:val="clear" w:color="auto" w:fill="auto"/>
          </w:tcPr>
          <w:p w:rsidR="00A44D5F" w:rsidRPr="0095721A" w:rsidRDefault="00220B42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$202,500</w:t>
            </w:r>
          </w:p>
        </w:tc>
      </w:tr>
      <w:tr w:rsidR="00A44D5F" w:rsidRPr="00A44D5F" w:rsidTr="00220B42">
        <w:tc>
          <w:tcPr>
            <w:tcW w:w="1667" w:type="dxa"/>
            <w:shd w:val="clear" w:color="auto" w:fill="auto"/>
          </w:tcPr>
          <w:p w:rsidR="00A44D5F" w:rsidRPr="0095721A" w:rsidRDefault="00A44D5F" w:rsidP="00A44D5F">
            <w:pPr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  <w:tc>
          <w:tcPr>
            <w:tcW w:w="6001" w:type="dxa"/>
            <w:gridSpan w:val="4"/>
            <w:shd w:val="clear" w:color="auto" w:fill="auto"/>
          </w:tcPr>
          <w:p w:rsidR="00A44D5F" w:rsidRPr="0095721A" w:rsidRDefault="00A44D5F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A44D5F" w:rsidRPr="0095721A" w:rsidRDefault="00A44D5F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9" w:type="dxa"/>
            <w:shd w:val="clear" w:color="auto" w:fill="auto"/>
          </w:tcPr>
          <w:p w:rsidR="00A44D5F" w:rsidRPr="0095721A" w:rsidRDefault="00A44D5F" w:rsidP="00220B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95721A">
              <w:rPr>
                <w:rFonts w:asciiTheme="minorHAnsi" w:hAnsiTheme="minorHAnsi"/>
                <w:sz w:val="22"/>
                <w:szCs w:val="22"/>
              </w:rPr>
              <w:t>$</w:t>
            </w:r>
            <w:r w:rsidR="00220B42">
              <w:rPr>
                <w:rFonts w:asciiTheme="minorHAnsi" w:hAnsiTheme="minorHAnsi"/>
                <w:sz w:val="22"/>
                <w:szCs w:val="22"/>
              </w:rPr>
              <w:t>1,012,500</w:t>
            </w:r>
          </w:p>
        </w:tc>
      </w:tr>
    </w:tbl>
    <w:p w:rsidR="00A44D5F" w:rsidRPr="00A44D5F" w:rsidRDefault="00A44D5F" w:rsidP="00A44D5F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44D5F" w:rsidRPr="00A44D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FB" w:rsidRDefault="00D247FB" w:rsidP="00D27EE3">
      <w:r>
        <w:separator/>
      </w:r>
    </w:p>
  </w:endnote>
  <w:endnote w:type="continuationSeparator" w:id="0">
    <w:p w:rsidR="00D247FB" w:rsidRDefault="00D247FB" w:rsidP="00D2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093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7FB" w:rsidRDefault="00D24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6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47FB" w:rsidRDefault="00D24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FB" w:rsidRDefault="00D247FB" w:rsidP="00D27EE3">
      <w:r>
        <w:separator/>
      </w:r>
    </w:p>
  </w:footnote>
  <w:footnote w:type="continuationSeparator" w:id="0">
    <w:p w:rsidR="00D247FB" w:rsidRDefault="00D247FB" w:rsidP="00D2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6071"/>
    <w:multiLevelType w:val="hybridMultilevel"/>
    <w:tmpl w:val="B14EA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646B58"/>
    <w:multiLevelType w:val="hybridMultilevel"/>
    <w:tmpl w:val="55FAAF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169B5"/>
    <w:multiLevelType w:val="hybridMultilevel"/>
    <w:tmpl w:val="F12E214C"/>
    <w:lvl w:ilvl="0" w:tplc="ADAC369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243452"/>
    <w:multiLevelType w:val="hybridMultilevel"/>
    <w:tmpl w:val="5AE8DE66"/>
    <w:lvl w:ilvl="0" w:tplc="5D68C0E4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F331889"/>
    <w:multiLevelType w:val="hybridMultilevel"/>
    <w:tmpl w:val="07FCC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3C"/>
    <w:rsid w:val="0002683E"/>
    <w:rsid w:val="0003606E"/>
    <w:rsid w:val="000707D7"/>
    <w:rsid w:val="00070B4A"/>
    <w:rsid w:val="00076E88"/>
    <w:rsid w:val="000B0C97"/>
    <w:rsid w:val="000B2FD4"/>
    <w:rsid w:val="000D59FE"/>
    <w:rsid w:val="000E794C"/>
    <w:rsid w:val="0012477C"/>
    <w:rsid w:val="00152CCE"/>
    <w:rsid w:val="00170F80"/>
    <w:rsid w:val="00177E6F"/>
    <w:rsid w:val="001B6390"/>
    <w:rsid w:val="001C73D9"/>
    <w:rsid w:val="001D7B00"/>
    <w:rsid w:val="001E5DB8"/>
    <w:rsid w:val="001F1FC4"/>
    <w:rsid w:val="001F75AC"/>
    <w:rsid w:val="00220B42"/>
    <w:rsid w:val="00226FB7"/>
    <w:rsid w:val="00252FF3"/>
    <w:rsid w:val="00257073"/>
    <w:rsid w:val="00294416"/>
    <w:rsid w:val="002B4FC9"/>
    <w:rsid w:val="002D6D62"/>
    <w:rsid w:val="002E264B"/>
    <w:rsid w:val="00324CD3"/>
    <w:rsid w:val="00366419"/>
    <w:rsid w:val="003668E7"/>
    <w:rsid w:val="0037564F"/>
    <w:rsid w:val="003B6E0F"/>
    <w:rsid w:val="003D4B31"/>
    <w:rsid w:val="003F43B7"/>
    <w:rsid w:val="004029D6"/>
    <w:rsid w:val="00403CB6"/>
    <w:rsid w:val="004253D9"/>
    <w:rsid w:val="0044084B"/>
    <w:rsid w:val="00440E59"/>
    <w:rsid w:val="00484D9A"/>
    <w:rsid w:val="004B0F37"/>
    <w:rsid w:val="004B1AEE"/>
    <w:rsid w:val="004C3402"/>
    <w:rsid w:val="004C72BB"/>
    <w:rsid w:val="0051159A"/>
    <w:rsid w:val="0052656A"/>
    <w:rsid w:val="00531681"/>
    <w:rsid w:val="00537ABE"/>
    <w:rsid w:val="005829C1"/>
    <w:rsid w:val="00582CB5"/>
    <w:rsid w:val="00583604"/>
    <w:rsid w:val="005B5260"/>
    <w:rsid w:val="005B7B1B"/>
    <w:rsid w:val="005C49BD"/>
    <w:rsid w:val="005D1710"/>
    <w:rsid w:val="005D6ADB"/>
    <w:rsid w:val="005E0EF0"/>
    <w:rsid w:val="005F2696"/>
    <w:rsid w:val="006052AC"/>
    <w:rsid w:val="006146B3"/>
    <w:rsid w:val="00645815"/>
    <w:rsid w:val="00660CC2"/>
    <w:rsid w:val="00660EEC"/>
    <w:rsid w:val="00666BB1"/>
    <w:rsid w:val="0067584C"/>
    <w:rsid w:val="006821E0"/>
    <w:rsid w:val="006A6F6F"/>
    <w:rsid w:val="006A7C36"/>
    <w:rsid w:val="00757A04"/>
    <w:rsid w:val="0076732A"/>
    <w:rsid w:val="00796CA2"/>
    <w:rsid w:val="007A005A"/>
    <w:rsid w:val="007A4C4B"/>
    <w:rsid w:val="007B58ED"/>
    <w:rsid w:val="007B6648"/>
    <w:rsid w:val="007B75B1"/>
    <w:rsid w:val="007C5903"/>
    <w:rsid w:val="008231DB"/>
    <w:rsid w:val="00850523"/>
    <w:rsid w:val="00876134"/>
    <w:rsid w:val="0088198E"/>
    <w:rsid w:val="00891F8D"/>
    <w:rsid w:val="008A5C55"/>
    <w:rsid w:val="008B526C"/>
    <w:rsid w:val="008F7BC2"/>
    <w:rsid w:val="009226B2"/>
    <w:rsid w:val="00927378"/>
    <w:rsid w:val="009325C5"/>
    <w:rsid w:val="00935380"/>
    <w:rsid w:val="009360A3"/>
    <w:rsid w:val="0095721A"/>
    <w:rsid w:val="009616F9"/>
    <w:rsid w:val="00995100"/>
    <w:rsid w:val="009A69A0"/>
    <w:rsid w:val="009B300A"/>
    <w:rsid w:val="00A349D5"/>
    <w:rsid w:val="00A44D5F"/>
    <w:rsid w:val="00A56877"/>
    <w:rsid w:val="00A67238"/>
    <w:rsid w:val="00A87100"/>
    <w:rsid w:val="00A9147E"/>
    <w:rsid w:val="00AA371D"/>
    <w:rsid w:val="00AD5985"/>
    <w:rsid w:val="00AE0E10"/>
    <w:rsid w:val="00B40E9C"/>
    <w:rsid w:val="00B42582"/>
    <w:rsid w:val="00B64BFC"/>
    <w:rsid w:val="00B7487C"/>
    <w:rsid w:val="00BA49B0"/>
    <w:rsid w:val="00BB15EE"/>
    <w:rsid w:val="00BB7EBF"/>
    <w:rsid w:val="00BD3E33"/>
    <w:rsid w:val="00BF477B"/>
    <w:rsid w:val="00C32014"/>
    <w:rsid w:val="00C522DF"/>
    <w:rsid w:val="00C77978"/>
    <w:rsid w:val="00C80897"/>
    <w:rsid w:val="00C834BD"/>
    <w:rsid w:val="00C86D3B"/>
    <w:rsid w:val="00C877F7"/>
    <w:rsid w:val="00C95BD0"/>
    <w:rsid w:val="00CA6992"/>
    <w:rsid w:val="00CC7605"/>
    <w:rsid w:val="00CD685B"/>
    <w:rsid w:val="00CE3541"/>
    <w:rsid w:val="00D247FB"/>
    <w:rsid w:val="00D27EE3"/>
    <w:rsid w:val="00D27EED"/>
    <w:rsid w:val="00DE4039"/>
    <w:rsid w:val="00DF629F"/>
    <w:rsid w:val="00E04DCB"/>
    <w:rsid w:val="00E0743B"/>
    <w:rsid w:val="00E11F9F"/>
    <w:rsid w:val="00E4413C"/>
    <w:rsid w:val="00E447E8"/>
    <w:rsid w:val="00E53378"/>
    <w:rsid w:val="00E54F3E"/>
    <w:rsid w:val="00E605AD"/>
    <w:rsid w:val="00E65DBE"/>
    <w:rsid w:val="00E9530C"/>
    <w:rsid w:val="00EB2CBF"/>
    <w:rsid w:val="00EB3D3E"/>
    <w:rsid w:val="00EB4598"/>
    <w:rsid w:val="00EC161B"/>
    <w:rsid w:val="00EE3192"/>
    <w:rsid w:val="00F657C1"/>
    <w:rsid w:val="00F915EE"/>
    <w:rsid w:val="00FB75A8"/>
    <w:rsid w:val="00FC30D8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522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0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05AD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52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22DF"/>
    <w:pPr>
      <w:tabs>
        <w:tab w:val="right" w:leader="dot" w:pos="9350"/>
      </w:tabs>
      <w:spacing w:after="100"/>
    </w:pPr>
    <w:rPr>
      <w:rFonts w:asciiTheme="minorHAnsi" w:hAnsiTheme="minorHAnsi" w:cstheme="minorHAnsi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22D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22DF"/>
    <w:pPr>
      <w:spacing w:after="100"/>
      <w:ind w:left="480"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C522DF"/>
    <w:rPr>
      <w:b/>
      <w:bCs/>
    </w:rPr>
  </w:style>
  <w:style w:type="character" w:styleId="Emphasis">
    <w:name w:val="Emphasis"/>
    <w:basedOn w:val="DefaultParagraphFont"/>
    <w:uiPriority w:val="20"/>
    <w:qFormat/>
    <w:rsid w:val="00C522DF"/>
    <w:rPr>
      <w:i/>
      <w:iCs/>
    </w:rPr>
  </w:style>
  <w:style w:type="paragraph" w:styleId="NoSpacing">
    <w:name w:val="No Spacing"/>
    <w:uiPriority w:val="1"/>
    <w:qFormat/>
    <w:rsid w:val="00C522D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522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C522DF"/>
    <w:pPr>
      <w:spacing w:line="276" w:lineRule="auto"/>
      <w:outlineLvl w:val="9"/>
    </w:pPr>
  </w:style>
  <w:style w:type="paragraph" w:styleId="NormalWeb">
    <w:name w:val="Normal (Web)"/>
    <w:basedOn w:val="Normal"/>
    <w:uiPriority w:val="99"/>
    <w:semiHidden/>
    <w:unhideWhenUsed/>
    <w:rsid w:val="005C49BD"/>
    <w:pPr>
      <w:spacing w:after="135" w:line="270" w:lineRule="atLeast"/>
    </w:pPr>
    <w:rPr>
      <w:rFonts w:ascii="Helvetica" w:hAnsi="Helvetica" w:cs="Helvetica"/>
      <w:sz w:val="20"/>
      <w:szCs w:val="20"/>
    </w:rPr>
  </w:style>
  <w:style w:type="paragraph" w:styleId="BodyText">
    <w:name w:val="Body Text"/>
    <w:basedOn w:val="Normal"/>
    <w:link w:val="BodyTextChar"/>
    <w:rsid w:val="000707D7"/>
    <w:pPr>
      <w:widowControl w:val="0"/>
      <w:autoSpaceDE w:val="0"/>
      <w:autoSpaceDN w:val="0"/>
      <w:adjustRightInd w:val="0"/>
      <w:spacing w:line="480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707D7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0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5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5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E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EE3"/>
    <w:rPr>
      <w:sz w:val="24"/>
      <w:szCs w:val="24"/>
    </w:rPr>
  </w:style>
  <w:style w:type="paragraph" w:customStyle="1" w:styleId="CharChar1CharCharCharCharCharCharChar">
    <w:name w:val="Char Char1 Char Char Char Char Char Char Char"/>
    <w:basedOn w:val="Normal"/>
    <w:semiHidden/>
    <w:rsid w:val="00324CD3"/>
    <w:pPr>
      <w:widowControl w:val="0"/>
      <w:adjustRightInd w:val="0"/>
      <w:spacing w:before="60" w:line="240" w:lineRule="exact"/>
      <w:jc w:val="both"/>
      <w:textAlignment w:val="baseline"/>
    </w:pPr>
    <w:rPr>
      <w:rFonts w:ascii="Verdana" w:hAnsi="Verdana"/>
      <w:bCs/>
      <w:color w:val="FF00FF"/>
      <w:sz w:val="22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605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E605AD"/>
    <w:rPr>
      <w:rFonts w:ascii="Cambria" w:hAnsi="Cambria" w:cs="Cambria"/>
      <w:color w:val="243F60"/>
      <w:sz w:val="24"/>
      <w:szCs w:val="24"/>
    </w:rPr>
  </w:style>
  <w:style w:type="table" w:styleId="TableGrid">
    <w:name w:val="Table Grid"/>
    <w:basedOn w:val="TableNormal"/>
    <w:uiPriority w:val="59"/>
    <w:rsid w:val="00E605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B0C9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522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0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05AD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52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522DF"/>
    <w:pPr>
      <w:tabs>
        <w:tab w:val="right" w:leader="dot" w:pos="9350"/>
      </w:tabs>
      <w:spacing w:after="100"/>
    </w:pPr>
    <w:rPr>
      <w:rFonts w:asciiTheme="minorHAnsi" w:hAnsiTheme="minorHAnsi" w:cstheme="minorHAnsi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22D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22DF"/>
    <w:pPr>
      <w:spacing w:after="100"/>
      <w:ind w:left="480"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C522DF"/>
    <w:rPr>
      <w:b/>
      <w:bCs/>
    </w:rPr>
  </w:style>
  <w:style w:type="character" w:styleId="Emphasis">
    <w:name w:val="Emphasis"/>
    <w:basedOn w:val="DefaultParagraphFont"/>
    <w:uiPriority w:val="20"/>
    <w:qFormat/>
    <w:rsid w:val="00C522DF"/>
    <w:rPr>
      <w:i/>
      <w:iCs/>
    </w:rPr>
  </w:style>
  <w:style w:type="paragraph" w:styleId="NoSpacing">
    <w:name w:val="No Spacing"/>
    <w:uiPriority w:val="1"/>
    <w:qFormat/>
    <w:rsid w:val="00C522D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522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C522DF"/>
    <w:pPr>
      <w:spacing w:line="276" w:lineRule="auto"/>
      <w:outlineLvl w:val="9"/>
    </w:pPr>
  </w:style>
  <w:style w:type="paragraph" w:styleId="NormalWeb">
    <w:name w:val="Normal (Web)"/>
    <w:basedOn w:val="Normal"/>
    <w:uiPriority w:val="99"/>
    <w:semiHidden/>
    <w:unhideWhenUsed/>
    <w:rsid w:val="005C49BD"/>
    <w:pPr>
      <w:spacing w:after="135" w:line="270" w:lineRule="atLeast"/>
    </w:pPr>
    <w:rPr>
      <w:rFonts w:ascii="Helvetica" w:hAnsi="Helvetica" w:cs="Helvetica"/>
      <w:sz w:val="20"/>
      <w:szCs w:val="20"/>
    </w:rPr>
  </w:style>
  <w:style w:type="paragraph" w:styleId="BodyText">
    <w:name w:val="Body Text"/>
    <w:basedOn w:val="Normal"/>
    <w:link w:val="BodyTextChar"/>
    <w:rsid w:val="000707D7"/>
    <w:pPr>
      <w:widowControl w:val="0"/>
      <w:autoSpaceDE w:val="0"/>
      <w:autoSpaceDN w:val="0"/>
      <w:adjustRightInd w:val="0"/>
      <w:spacing w:line="480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707D7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0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5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5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5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E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EE3"/>
    <w:rPr>
      <w:sz w:val="24"/>
      <w:szCs w:val="24"/>
    </w:rPr>
  </w:style>
  <w:style w:type="paragraph" w:customStyle="1" w:styleId="CharChar1CharCharCharCharCharCharChar">
    <w:name w:val="Char Char1 Char Char Char Char Char Char Char"/>
    <w:basedOn w:val="Normal"/>
    <w:semiHidden/>
    <w:rsid w:val="00324CD3"/>
    <w:pPr>
      <w:widowControl w:val="0"/>
      <w:adjustRightInd w:val="0"/>
      <w:spacing w:before="60" w:line="240" w:lineRule="exact"/>
      <w:jc w:val="both"/>
      <w:textAlignment w:val="baseline"/>
    </w:pPr>
    <w:rPr>
      <w:rFonts w:ascii="Verdana" w:hAnsi="Verdana"/>
      <w:bCs/>
      <w:color w:val="FF00FF"/>
      <w:sz w:val="22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605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E605AD"/>
    <w:rPr>
      <w:rFonts w:ascii="Cambria" w:hAnsi="Cambria" w:cs="Cambria"/>
      <w:color w:val="243F60"/>
      <w:sz w:val="24"/>
      <w:szCs w:val="24"/>
    </w:rPr>
  </w:style>
  <w:style w:type="table" w:styleId="TableGrid">
    <w:name w:val="Table Grid"/>
    <w:basedOn w:val="TableNormal"/>
    <w:uiPriority w:val="59"/>
    <w:rsid w:val="00E605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B0C9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76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01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797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87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Gladden, Matthew R. (CDC/ONDIEH/NCIPC)</dc:creator>
  <cp:lastModifiedBy>CDC User</cp:lastModifiedBy>
  <cp:revision>6</cp:revision>
  <cp:lastPrinted>2013-05-21T20:19:00Z</cp:lastPrinted>
  <dcterms:created xsi:type="dcterms:W3CDTF">2013-06-05T18:33:00Z</dcterms:created>
  <dcterms:modified xsi:type="dcterms:W3CDTF">2013-06-05T19:59:00Z</dcterms:modified>
</cp:coreProperties>
</file>