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B4AE0" w14:textId="77777777" w:rsidR="003A2AF7" w:rsidRPr="009D3114" w:rsidRDefault="00062ACC" w:rsidP="006774F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44"/>
          <w:szCs w:val="44"/>
        </w:rPr>
      </w:pPr>
      <w:r w:rsidRPr="009D3114">
        <w:rPr>
          <w:rFonts w:ascii="Times New Roman" w:hAnsi="Times New Roman"/>
          <w:b/>
          <w:color w:val="000000" w:themeColor="text1"/>
          <w:sz w:val="44"/>
          <w:szCs w:val="44"/>
        </w:rPr>
        <w:t>National Survey on Drug Use and Health</w:t>
      </w:r>
      <w:r w:rsidR="009D308C" w:rsidRPr="009D3114">
        <w:rPr>
          <w:rFonts w:ascii="Times New Roman" w:hAnsi="Times New Roman"/>
          <w:b/>
          <w:color w:val="000000" w:themeColor="text1"/>
          <w:sz w:val="44"/>
          <w:szCs w:val="44"/>
        </w:rPr>
        <w:t xml:space="preserve">: </w:t>
      </w:r>
    </w:p>
    <w:p w14:paraId="78E45561" w14:textId="6D7F7A87" w:rsidR="009D308C" w:rsidRPr="009D3114" w:rsidRDefault="00EA750F" w:rsidP="00CD219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44"/>
          <w:szCs w:val="44"/>
        </w:rPr>
      </w:pPr>
      <w:r>
        <w:rPr>
          <w:rFonts w:ascii="Times New Roman" w:hAnsi="Times New Roman"/>
          <w:b/>
          <w:color w:val="000000" w:themeColor="text1"/>
          <w:sz w:val="44"/>
          <w:szCs w:val="44"/>
        </w:rPr>
        <w:t>DSM</w:t>
      </w:r>
      <w:r w:rsidR="006C659E">
        <w:rPr>
          <w:rFonts w:ascii="Times New Roman" w:hAnsi="Times New Roman"/>
          <w:b/>
          <w:color w:val="000000" w:themeColor="text1"/>
          <w:sz w:val="44"/>
          <w:szCs w:val="44"/>
        </w:rPr>
        <w:t>-</w:t>
      </w:r>
      <w:r>
        <w:rPr>
          <w:rFonts w:ascii="Times New Roman" w:hAnsi="Times New Roman"/>
          <w:b/>
          <w:color w:val="000000" w:themeColor="text1"/>
          <w:sz w:val="44"/>
          <w:szCs w:val="44"/>
        </w:rPr>
        <w:t>5</w:t>
      </w:r>
      <w:r w:rsidR="004309EB" w:rsidRPr="009D3114">
        <w:rPr>
          <w:rFonts w:ascii="Times New Roman" w:hAnsi="Times New Roman"/>
          <w:b/>
          <w:color w:val="000000" w:themeColor="text1"/>
          <w:sz w:val="44"/>
          <w:szCs w:val="44"/>
        </w:rPr>
        <w:t xml:space="preserve"> </w:t>
      </w:r>
      <w:r w:rsidR="0013596F">
        <w:rPr>
          <w:rFonts w:ascii="Times New Roman" w:hAnsi="Times New Roman"/>
          <w:b/>
          <w:color w:val="000000" w:themeColor="text1"/>
          <w:sz w:val="44"/>
          <w:szCs w:val="44"/>
        </w:rPr>
        <w:t>Cognitive Interviews</w:t>
      </w:r>
    </w:p>
    <w:p w14:paraId="6AAC5A8E" w14:textId="77777777" w:rsidR="00062ACC" w:rsidRPr="009D3114" w:rsidRDefault="00062ACC" w:rsidP="006774F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ind w:left="630"/>
        <w:jc w:val="center"/>
        <w:rPr>
          <w:rFonts w:ascii="Times New Roman" w:hAnsi="Times New Roman"/>
          <w:b/>
          <w:color w:val="000000" w:themeColor="text1"/>
          <w:sz w:val="48"/>
          <w:szCs w:val="48"/>
        </w:rPr>
      </w:pPr>
      <w:r w:rsidRPr="009D3114">
        <w:rPr>
          <w:rFonts w:ascii="Times New Roman" w:hAnsi="Times New Roman"/>
          <w:b/>
          <w:color w:val="000000" w:themeColor="text1"/>
          <w:sz w:val="48"/>
          <w:szCs w:val="48"/>
        </w:rPr>
        <w:t>SUPPORTING</w:t>
      </w:r>
      <w:r w:rsidRPr="009D3114">
        <w:rPr>
          <w:rFonts w:ascii="Times New Roman" w:hAnsi="Times New Roman"/>
          <w:b/>
          <w:color w:val="000000" w:themeColor="text1"/>
          <w:sz w:val="36"/>
          <w:szCs w:val="36"/>
        </w:rPr>
        <w:t xml:space="preserve"> </w:t>
      </w:r>
      <w:r w:rsidRPr="009D3114">
        <w:rPr>
          <w:rFonts w:ascii="Times New Roman" w:hAnsi="Times New Roman"/>
          <w:b/>
          <w:color w:val="000000" w:themeColor="text1"/>
          <w:sz w:val="48"/>
          <w:szCs w:val="48"/>
        </w:rPr>
        <w:t>STATEMENT</w:t>
      </w:r>
    </w:p>
    <w:p w14:paraId="711ADE36" w14:textId="77777777" w:rsidR="00062ACC" w:rsidRPr="009D3114" w:rsidRDefault="00062ACC" w:rsidP="006774F7">
      <w:pPr>
        <w:pStyle w:val="HeadingA"/>
        <w:tabs>
          <w:tab w:val="clear" w:pos="0"/>
        </w:tabs>
        <w:ind w:left="630"/>
        <w:rPr>
          <w:rFonts w:ascii="Times New Roman" w:hAnsi="Times New Roman" w:cs="Times New Roman"/>
        </w:rPr>
      </w:pPr>
      <w:r w:rsidRPr="009D3114">
        <w:rPr>
          <w:rFonts w:ascii="Times New Roman" w:hAnsi="Times New Roman" w:cs="Times New Roman"/>
        </w:rPr>
        <w:t>A.</w:t>
      </w:r>
      <w:r w:rsidRPr="009D3114">
        <w:rPr>
          <w:rFonts w:ascii="Times New Roman" w:hAnsi="Times New Roman" w:cs="Times New Roman"/>
        </w:rPr>
        <w:tab/>
        <w:t>JUSTIFICATION</w:t>
      </w:r>
    </w:p>
    <w:p w14:paraId="2ECBBBA6"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w:t>
      </w:r>
      <w:r w:rsidRPr="009D3114">
        <w:rPr>
          <w:rFonts w:ascii="Times New Roman" w:hAnsi="Times New Roman" w:cs="Times New Roman"/>
        </w:rPr>
        <w:tab/>
      </w:r>
      <w:r w:rsidRPr="009D3114">
        <w:rPr>
          <w:rFonts w:ascii="Times New Roman" w:hAnsi="Times New Roman" w:cs="Times New Roman"/>
          <w:u w:val="single"/>
        </w:rPr>
        <w:t>Circumstances of Information Collection</w:t>
      </w:r>
    </w:p>
    <w:p w14:paraId="58EA96DC" w14:textId="6F0DE395" w:rsidR="00B84E99" w:rsidRDefault="00B84E99" w:rsidP="009A6D02">
      <w:pPr>
        <w:pStyle w:val="BodyText"/>
        <w:ind w:left="630"/>
        <w:rPr>
          <w:rFonts w:ascii="Times New Roman" w:hAnsi="Times New Roman" w:cs="Times New Roman"/>
          <w:color w:val="000000"/>
        </w:rPr>
      </w:pPr>
      <w:r w:rsidRPr="009D3114">
        <w:rPr>
          <w:rFonts w:ascii="Times New Roman" w:hAnsi="Times New Roman" w:cs="Times New Roman"/>
          <w:color w:val="000000"/>
        </w:rPr>
        <w:t xml:space="preserve">The Substance Abuse and Mental Health Services Administration (SAMHSA) is requesting OMB </w:t>
      </w:r>
      <w:r w:rsidRPr="0039790C">
        <w:rPr>
          <w:rFonts w:ascii="Times New Roman" w:hAnsi="Times New Roman" w:cs="Times New Roman"/>
          <w:color w:val="000000"/>
        </w:rPr>
        <w:t xml:space="preserve">approval to conduct </w:t>
      </w:r>
      <w:r>
        <w:rPr>
          <w:rFonts w:ascii="Times New Roman" w:hAnsi="Times New Roman" w:cs="Times New Roman"/>
          <w:color w:val="000000"/>
        </w:rPr>
        <w:t>51</w:t>
      </w:r>
      <w:r w:rsidRPr="0039790C">
        <w:rPr>
          <w:rFonts w:ascii="Times New Roman" w:hAnsi="Times New Roman" w:cs="Times New Roman"/>
          <w:color w:val="000000"/>
        </w:rPr>
        <w:t xml:space="preserve"> </w:t>
      </w:r>
      <w:r w:rsidR="00485C78">
        <w:rPr>
          <w:rFonts w:ascii="Times New Roman" w:hAnsi="Times New Roman" w:cs="Times New Roman"/>
          <w:color w:val="000000"/>
        </w:rPr>
        <w:t xml:space="preserve">cognitive </w:t>
      </w:r>
      <w:r w:rsidRPr="0039790C">
        <w:rPr>
          <w:rFonts w:ascii="Times New Roman" w:hAnsi="Times New Roman" w:cs="Times New Roman"/>
          <w:color w:val="000000"/>
        </w:rPr>
        <w:t xml:space="preserve">interviews </w:t>
      </w:r>
      <w:r w:rsidR="009A6D02">
        <w:t xml:space="preserve">to test questions designed to produce prevalence estimates of </w:t>
      </w:r>
      <w:r w:rsidR="00D95859">
        <w:t>substance use disorders (SUD)</w:t>
      </w:r>
      <w:r w:rsidR="009A6D02">
        <w:t xml:space="preserve"> based on the Diagnostic and Statistical Manual of Mental Disorders, Fifth Edition (DSM-5) for the National Survey on Drug Use and Health (NSDUH)</w:t>
      </w:r>
      <w:r w:rsidRPr="00B84E99">
        <w:rPr>
          <w:rFonts w:ascii="Times New Roman" w:hAnsi="Times New Roman" w:cs="Times New Roman"/>
          <w:i/>
          <w:color w:val="000000"/>
        </w:rPr>
        <w:t xml:space="preserve">. </w:t>
      </w:r>
      <w:r w:rsidR="00485C78">
        <w:rPr>
          <w:rFonts w:ascii="Times New Roman" w:hAnsi="Times New Roman" w:cs="Times New Roman"/>
          <w:color w:val="000000"/>
        </w:rPr>
        <w:t xml:space="preserve">This DSM-5 </w:t>
      </w:r>
      <w:r w:rsidR="00E42B74">
        <w:rPr>
          <w:rFonts w:ascii="Times New Roman" w:hAnsi="Times New Roman" w:cs="Times New Roman"/>
          <w:color w:val="000000"/>
        </w:rPr>
        <w:t>c</w:t>
      </w:r>
      <w:r w:rsidR="00485C78">
        <w:rPr>
          <w:rFonts w:ascii="Times New Roman" w:hAnsi="Times New Roman" w:cs="Times New Roman"/>
          <w:color w:val="000000"/>
        </w:rPr>
        <w:t xml:space="preserve">ognitive </w:t>
      </w:r>
      <w:r w:rsidR="00E42B74">
        <w:rPr>
          <w:rFonts w:ascii="Times New Roman" w:hAnsi="Times New Roman" w:cs="Times New Roman"/>
          <w:color w:val="000000"/>
        </w:rPr>
        <w:t>i</w:t>
      </w:r>
      <w:r w:rsidR="00485C78">
        <w:rPr>
          <w:rFonts w:ascii="Times New Roman" w:hAnsi="Times New Roman" w:cs="Times New Roman"/>
          <w:color w:val="000000"/>
        </w:rPr>
        <w:t>nterview package is submitted under the NSDUH Methodological Field Tests generic OMB clearance (OMB No. 0930-0290).</w:t>
      </w:r>
    </w:p>
    <w:p w14:paraId="3AAA61AB" w14:textId="5C07550A" w:rsidR="00B84E99" w:rsidRPr="009D3114" w:rsidRDefault="00B84E99" w:rsidP="006774F7">
      <w:pPr>
        <w:pStyle w:val="BodyText"/>
        <w:ind w:left="630"/>
        <w:rPr>
          <w:rFonts w:ascii="Times New Roman" w:hAnsi="Times New Roman" w:cs="Times New Roman"/>
        </w:rPr>
      </w:pPr>
      <w:r>
        <w:rPr>
          <w:rFonts w:ascii="Times New Roman" w:hAnsi="Times New Roman" w:cs="Times New Roman"/>
          <w:color w:val="000000"/>
        </w:rPr>
        <w:t>NSDUH</w:t>
      </w:r>
      <w:r w:rsidRPr="009D3114">
        <w:rPr>
          <w:rFonts w:ascii="Times New Roman" w:hAnsi="Times New Roman" w:cs="Times New Roman"/>
          <w:color w:val="000000"/>
        </w:rPr>
        <w:t xml:space="preserve"> is sponsored by SAMHSA’s Center for Behavioral Health Statistics and Quality (CBHSQ) and approved under OMB No. 0930-0110. The data collection is a national survey of the U.S. civilian, non-institutionalized population aged 12 </w:t>
      </w:r>
      <w:r w:rsidR="006C659E">
        <w:rPr>
          <w:rFonts w:ascii="Times New Roman" w:hAnsi="Times New Roman" w:cs="Times New Roman"/>
          <w:color w:val="000000"/>
        </w:rPr>
        <w:t>and</w:t>
      </w:r>
      <w:r w:rsidRPr="009D3114">
        <w:rPr>
          <w:rFonts w:ascii="Times New Roman" w:hAnsi="Times New Roman" w:cs="Times New Roman"/>
          <w:color w:val="000000"/>
        </w:rPr>
        <w:t xml:space="preserve"> older. </w:t>
      </w:r>
      <w:r w:rsidRPr="009D3114">
        <w:rPr>
          <w:rFonts w:ascii="Times New Roman" w:hAnsi="Times New Roman" w:cs="Times New Roman"/>
        </w:rPr>
        <w:t xml:space="preserve">This survey is paramount in meeting a critical objective of SAMHSA’s mission—to maintain current data on the incidence and prevalence of substance use and mental health problems in the United States. NSDUH has been conducted on a periodic basis from 1971 to </w:t>
      </w:r>
      <w:r>
        <w:rPr>
          <w:rFonts w:ascii="Times New Roman" w:hAnsi="Times New Roman" w:cs="Times New Roman"/>
        </w:rPr>
        <w:t>1988, and annually since 1990.</w:t>
      </w:r>
    </w:p>
    <w:p w14:paraId="3571BE9B" w14:textId="77777777" w:rsidR="00B84E99" w:rsidRPr="009D3114" w:rsidRDefault="00B84E99" w:rsidP="006774F7">
      <w:pPr>
        <w:pStyle w:val="BodyText"/>
        <w:ind w:left="630"/>
        <w:rPr>
          <w:rFonts w:ascii="Times New Roman" w:hAnsi="Times New Roman" w:cs="Times New Roman"/>
        </w:rPr>
      </w:pPr>
      <w:r w:rsidRPr="009D3114">
        <w:rPr>
          <w:rFonts w:ascii="Times New Roman" w:hAnsi="Times New Roman" w:cs="Times New Roman"/>
        </w:rPr>
        <w:t>NSDUH is authorized by Section 505 of the Public Health Service Act (42 USC 290aa4 – Data Collection). Section 505 specifically authorizes annual data collection for monitoring the incidence and prevalence of illicit substance use and mental health problems, as well as the abuse of licit substances in the U.S. population.</w:t>
      </w:r>
    </w:p>
    <w:p w14:paraId="67A9FFD8" w14:textId="6640DD51" w:rsidR="00B84E99" w:rsidRDefault="00B84E99" w:rsidP="009A6D02">
      <w:pPr>
        <w:spacing w:after="240"/>
        <w:ind w:left="630"/>
        <w:rPr>
          <w:rFonts w:ascii="Times New Roman" w:hAnsi="Times New Roman"/>
        </w:rPr>
      </w:pPr>
      <w:r>
        <w:rPr>
          <w:rFonts w:ascii="Times New Roman" w:hAnsi="Times New Roman"/>
        </w:rPr>
        <w:t xml:space="preserve">The </w:t>
      </w:r>
      <w:r w:rsidRPr="00B84E99">
        <w:rPr>
          <w:rFonts w:ascii="Times New Roman Italic" w:hAnsi="Times New Roman Italic"/>
          <w:i/>
        </w:rPr>
        <w:t>DSM</w:t>
      </w:r>
      <w:r>
        <w:rPr>
          <w:rFonts w:ascii="Times New Roman" w:hAnsi="Times New Roman"/>
        </w:rPr>
        <w:t xml:space="preserve"> is the manual used by clinicians and researchers to diagnose and classify mental disorders</w:t>
      </w:r>
      <w:r w:rsidR="009A6D02">
        <w:rPr>
          <w:rFonts w:ascii="Times New Roman" w:hAnsi="Times New Roman"/>
        </w:rPr>
        <w:t>,</w:t>
      </w:r>
      <w:r>
        <w:rPr>
          <w:rFonts w:ascii="Times New Roman" w:hAnsi="Times New Roman"/>
        </w:rPr>
        <w:t xml:space="preserve"> including </w:t>
      </w:r>
      <w:r w:rsidR="009A6D02">
        <w:rPr>
          <w:rFonts w:ascii="Times New Roman" w:hAnsi="Times New Roman"/>
        </w:rPr>
        <w:t>SUD</w:t>
      </w:r>
      <w:r>
        <w:rPr>
          <w:rFonts w:ascii="Times New Roman" w:hAnsi="Times New Roman"/>
        </w:rPr>
        <w:t xml:space="preserve">. The American Psychiatric Association (APA) published the </w:t>
      </w:r>
      <w:r>
        <w:rPr>
          <w:rFonts w:ascii="Times New Roman Italic" w:hAnsi="Times New Roman Italic"/>
        </w:rPr>
        <w:t>DSM-5</w:t>
      </w:r>
      <w:r>
        <w:rPr>
          <w:rFonts w:ascii="Times New Roman" w:hAnsi="Times New Roman"/>
        </w:rPr>
        <w:t xml:space="preserve"> in 2013, culminating in a 14-year revision process.  </w:t>
      </w:r>
    </w:p>
    <w:p w14:paraId="1A4F9BFC" w14:textId="5E681162" w:rsidR="006A606C" w:rsidRDefault="00146DE3" w:rsidP="006A606C">
      <w:pPr>
        <w:spacing w:after="240"/>
        <w:ind w:left="630"/>
        <w:rPr>
          <w:rFonts w:ascii="Times New Roman" w:hAnsi="Times New Roman"/>
        </w:rPr>
      </w:pPr>
      <w:r>
        <w:rPr>
          <w:rFonts w:ascii="Times New Roman" w:hAnsi="Times New Roman"/>
        </w:rPr>
        <w:t xml:space="preserve">Since 2000, </w:t>
      </w:r>
      <w:r w:rsidR="00485C78">
        <w:rPr>
          <w:rFonts w:ascii="Times New Roman" w:hAnsi="Times New Roman"/>
        </w:rPr>
        <w:t>NSDUH</w:t>
      </w:r>
      <w:r>
        <w:rPr>
          <w:rFonts w:ascii="Times New Roman" w:hAnsi="Times New Roman"/>
        </w:rPr>
        <w:t xml:space="preserve"> has included an assessment of DSM-I</w:t>
      </w:r>
      <w:r w:rsidR="00485C78">
        <w:rPr>
          <w:rFonts w:ascii="Times New Roman" w:hAnsi="Times New Roman"/>
        </w:rPr>
        <w:t>V-</w:t>
      </w:r>
      <w:r>
        <w:rPr>
          <w:rFonts w:ascii="Times New Roman" w:hAnsi="Times New Roman"/>
        </w:rPr>
        <w:t xml:space="preserve">based </w:t>
      </w:r>
      <w:r w:rsidR="009A6D02">
        <w:rPr>
          <w:rFonts w:ascii="Times New Roman" w:hAnsi="Times New Roman"/>
        </w:rPr>
        <w:t>SUD</w:t>
      </w:r>
      <w:r>
        <w:rPr>
          <w:rFonts w:ascii="Times New Roman" w:hAnsi="Times New Roman"/>
        </w:rPr>
        <w:t xml:space="preserve"> as part of its </w:t>
      </w:r>
      <w:r w:rsidR="00485C78">
        <w:rPr>
          <w:rFonts w:ascii="Times New Roman" w:hAnsi="Times New Roman"/>
        </w:rPr>
        <w:t>data collection</w:t>
      </w:r>
      <w:r>
        <w:rPr>
          <w:rFonts w:ascii="Times New Roman" w:hAnsi="Times New Roman"/>
        </w:rPr>
        <w:t xml:space="preserve">. </w:t>
      </w:r>
      <w:r w:rsidR="006A606C">
        <w:rPr>
          <w:rFonts w:ascii="Times New Roman" w:hAnsi="Times New Roman"/>
        </w:rPr>
        <w:t>In order to continue producing current mental health data, CBHSQ plans to examine the potential impact of the newly</w:t>
      </w:r>
      <w:r w:rsidR="00C1377D">
        <w:rPr>
          <w:rFonts w:ascii="Times New Roman" w:hAnsi="Times New Roman"/>
        </w:rPr>
        <w:t>-</w:t>
      </w:r>
      <w:r w:rsidR="006A606C">
        <w:rPr>
          <w:rFonts w:ascii="Times New Roman" w:hAnsi="Times New Roman"/>
        </w:rPr>
        <w:t xml:space="preserve">released </w:t>
      </w:r>
      <w:r w:rsidR="006A606C">
        <w:rPr>
          <w:rFonts w:ascii="Times New Roman Italic" w:hAnsi="Times New Roman Italic"/>
        </w:rPr>
        <w:t>DSM-5</w:t>
      </w:r>
      <w:r w:rsidR="006A606C">
        <w:rPr>
          <w:rFonts w:ascii="Times New Roman" w:hAnsi="Times New Roman"/>
        </w:rPr>
        <w:t xml:space="preserve"> (APA, 2013) on the NSDUH assessments of </w:t>
      </w:r>
      <w:r w:rsidR="009A6D02">
        <w:rPr>
          <w:rFonts w:ascii="Times New Roman" w:hAnsi="Times New Roman"/>
        </w:rPr>
        <w:t>SUD</w:t>
      </w:r>
      <w:r w:rsidR="006A606C">
        <w:rPr>
          <w:rFonts w:ascii="Times New Roman" w:hAnsi="Times New Roman"/>
        </w:rPr>
        <w:t xml:space="preserve"> and to identify changes to the NSDUH </w:t>
      </w:r>
      <w:r w:rsidR="00F30A25">
        <w:rPr>
          <w:rFonts w:ascii="Times New Roman" w:hAnsi="Times New Roman"/>
        </w:rPr>
        <w:t xml:space="preserve">questionnaire </w:t>
      </w:r>
      <w:r w:rsidR="006A606C">
        <w:rPr>
          <w:rFonts w:ascii="Times New Roman" w:hAnsi="Times New Roman"/>
        </w:rPr>
        <w:t xml:space="preserve">that would be needed to produce </w:t>
      </w:r>
      <w:r w:rsidR="009A6D02">
        <w:rPr>
          <w:rFonts w:ascii="Times New Roman" w:hAnsi="Times New Roman"/>
        </w:rPr>
        <w:t>SUD</w:t>
      </w:r>
      <w:r w:rsidR="006A606C">
        <w:rPr>
          <w:rFonts w:ascii="Times New Roman" w:hAnsi="Times New Roman"/>
        </w:rPr>
        <w:t xml:space="preserve"> estimates that are aligned with the DSM-5 definitions. </w:t>
      </w:r>
    </w:p>
    <w:p w14:paraId="73B0C4E1" w14:textId="15F032B1" w:rsidR="00423390" w:rsidRDefault="00423390" w:rsidP="009A6D02">
      <w:pPr>
        <w:spacing w:after="240"/>
        <w:ind w:left="630"/>
        <w:rPr>
          <w:rFonts w:ascii="Times New Roman" w:hAnsi="Times New Roman"/>
        </w:rPr>
      </w:pPr>
      <w:r>
        <w:rPr>
          <w:rFonts w:ascii="Times New Roman" w:hAnsi="Times New Roman"/>
        </w:rPr>
        <w:t xml:space="preserve">In an earlier phase of this project, CBHSQ </w:t>
      </w:r>
      <w:r w:rsidR="00F30A25">
        <w:rPr>
          <w:rFonts w:ascii="Times New Roman" w:hAnsi="Times New Roman"/>
        </w:rPr>
        <w:t xml:space="preserve">drafted an </w:t>
      </w:r>
      <w:r>
        <w:rPr>
          <w:rFonts w:ascii="Times New Roman" w:hAnsi="Times New Roman"/>
        </w:rPr>
        <w:t xml:space="preserve">updated </w:t>
      </w:r>
      <w:r w:rsidR="00F30A25">
        <w:rPr>
          <w:rFonts w:ascii="Times New Roman" w:hAnsi="Times New Roman"/>
        </w:rPr>
        <w:t>SUD</w:t>
      </w:r>
      <w:r>
        <w:rPr>
          <w:rFonts w:ascii="Times New Roman" w:hAnsi="Times New Roman"/>
        </w:rPr>
        <w:t xml:space="preserve"> module that assesses </w:t>
      </w:r>
      <w:r w:rsidR="009A6D02">
        <w:rPr>
          <w:rFonts w:ascii="Times New Roman" w:hAnsi="Times New Roman"/>
        </w:rPr>
        <w:t>SUD</w:t>
      </w:r>
      <w:r>
        <w:rPr>
          <w:rFonts w:ascii="Times New Roman" w:hAnsi="Times New Roman"/>
        </w:rPr>
        <w:t xml:space="preserve"> align</w:t>
      </w:r>
      <w:r w:rsidR="00F30A25">
        <w:rPr>
          <w:rFonts w:ascii="Times New Roman" w:hAnsi="Times New Roman"/>
        </w:rPr>
        <w:t>ed to</w:t>
      </w:r>
      <w:r>
        <w:rPr>
          <w:rFonts w:ascii="Times New Roman" w:hAnsi="Times New Roman"/>
        </w:rPr>
        <w:t xml:space="preserve"> the new DSM-5 definitions</w:t>
      </w:r>
      <w:r w:rsidR="00112657">
        <w:rPr>
          <w:rFonts w:ascii="Times New Roman" w:hAnsi="Times New Roman"/>
        </w:rPr>
        <w:t xml:space="preserve"> and it </w:t>
      </w:r>
      <w:r>
        <w:rPr>
          <w:rFonts w:ascii="Times New Roman" w:hAnsi="Times New Roman"/>
        </w:rPr>
        <w:t xml:space="preserve">was reviewed by three substantive experts in mental health as well as two survey methodologists. The goal of </w:t>
      </w:r>
      <w:r w:rsidR="006C14E4">
        <w:rPr>
          <w:rFonts w:ascii="Times New Roman" w:hAnsi="Times New Roman"/>
        </w:rPr>
        <w:t xml:space="preserve">the </w:t>
      </w:r>
      <w:r w:rsidR="00112657">
        <w:rPr>
          <w:rFonts w:ascii="Times New Roman" w:hAnsi="Times New Roman"/>
        </w:rPr>
        <w:t xml:space="preserve">expert </w:t>
      </w:r>
      <w:r>
        <w:rPr>
          <w:rFonts w:ascii="Times New Roman" w:hAnsi="Times New Roman"/>
        </w:rPr>
        <w:t xml:space="preserve">review was to ensure the survey questions addressed the DSM-5 criteria, and </w:t>
      </w:r>
      <w:r w:rsidR="006C659E">
        <w:rPr>
          <w:rFonts w:ascii="Times New Roman" w:hAnsi="Times New Roman"/>
        </w:rPr>
        <w:t xml:space="preserve">that they </w:t>
      </w:r>
      <w:r>
        <w:rPr>
          <w:rFonts w:ascii="Times New Roman" w:hAnsi="Times New Roman"/>
        </w:rPr>
        <w:t xml:space="preserve">would be easily and accurately answered by respondents. </w:t>
      </w:r>
      <w:r w:rsidR="00F30A25">
        <w:rPr>
          <w:rFonts w:ascii="Times New Roman" w:hAnsi="Times New Roman"/>
        </w:rPr>
        <w:t xml:space="preserve">After the expert review, the proposed revised and new items were </w:t>
      </w:r>
      <w:r w:rsidR="009A6D02">
        <w:rPr>
          <w:rFonts w:ascii="Times New Roman" w:hAnsi="Times New Roman"/>
        </w:rPr>
        <w:t>updated</w:t>
      </w:r>
      <w:r w:rsidR="00F30A25">
        <w:rPr>
          <w:rFonts w:ascii="Times New Roman" w:hAnsi="Times New Roman"/>
        </w:rPr>
        <w:t xml:space="preserve"> to incorporate the reviewers’ feedback. </w:t>
      </w:r>
    </w:p>
    <w:p w14:paraId="3FFF2F57" w14:textId="28E2C9A3" w:rsidR="00A13F62" w:rsidRDefault="00423390" w:rsidP="00423390">
      <w:pPr>
        <w:spacing w:after="240"/>
        <w:ind w:left="630"/>
        <w:rPr>
          <w:rFonts w:ascii="Times New Roman" w:hAnsi="Times New Roman"/>
        </w:rPr>
      </w:pPr>
      <w:r>
        <w:rPr>
          <w:rFonts w:ascii="Times New Roman" w:hAnsi="Times New Roman"/>
        </w:rPr>
        <w:lastRenderedPageBreak/>
        <w:t xml:space="preserve">The </w:t>
      </w:r>
      <w:r w:rsidR="00B825B7">
        <w:rPr>
          <w:rFonts w:ascii="Times New Roman" w:hAnsi="Times New Roman"/>
        </w:rPr>
        <w:t>next</w:t>
      </w:r>
      <w:r>
        <w:rPr>
          <w:rFonts w:ascii="Times New Roman" w:hAnsi="Times New Roman"/>
        </w:rPr>
        <w:t xml:space="preserve"> phase of this project consists of conducting cognitive interviews t</w:t>
      </w:r>
      <w:r w:rsidR="00A13F62">
        <w:rPr>
          <w:rFonts w:ascii="Times New Roman" w:hAnsi="Times New Roman"/>
        </w:rPr>
        <w:t xml:space="preserve">o </w:t>
      </w:r>
      <w:r>
        <w:rPr>
          <w:rFonts w:ascii="Times New Roman" w:hAnsi="Times New Roman"/>
        </w:rPr>
        <w:t xml:space="preserve">further </w:t>
      </w:r>
      <w:r w:rsidR="00A13F62">
        <w:rPr>
          <w:rFonts w:ascii="Times New Roman" w:hAnsi="Times New Roman"/>
        </w:rPr>
        <w:t>assess the</w:t>
      </w:r>
      <w:r>
        <w:rPr>
          <w:rFonts w:ascii="Times New Roman" w:hAnsi="Times New Roman"/>
        </w:rPr>
        <w:t xml:space="preserve"> revised</w:t>
      </w:r>
      <w:r w:rsidR="00A13F62">
        <w:rPr>
          <w:rFonts w:ascii="Times New Roman" w:hAnsi="Times New Roman"/>
        </w:rPr>
        <w:t xml:space="preserve"> </w:t>
      </w:r>
      <w:r w:rsidR="009A6D02">
        <w:rPr>
          <w:rFonts w:ascii="Times New Roman" w:hAnsi="Times New Roman"/>
        </w:rPr>
        <w:t>SUD</w:t>
      </w:r>
      <w:r w:rsidR="00A13F62">
        <w:rPr>
          <w:rFonts w:ascii="Times New Roman" w:hAnsi="Times New Roman"/>
        </w:rPr>
        <w:t xml:space="preserve"> questions</w:t>
      </w:r>
      <w:r>
        <w:rPr>
          <w:rFonts w:ascii="Times New Roman" w:hAnsi="Times New Roman"/>
        </w:rPr>
        <w:t>. The</w:t>
      </w:r>
      <w:r w:rsidR="00A13F62">
        <w:rPr>
          <w:rFonts w:ascii="Times New Roman" w:hAnsi="Times New Roman"/>
        </w:rPr>
        <w:t xml:space="preserve"> cognitive interviews will be conducted with individuals who have used substances such as </w:t>
      </w:r>
      <w:r w:rsidR="0015631E">
        <w:rPr>
          <w:rFonts w:ascii="Times New Roman" w:hAnsi="Times New Roman"/>
        </w:rPr>
        <w:t xml:space="preserve">alcohol, </w:t>
      </w:r>
      <w:r w:rsidR="00A13F62">
        <w:rPr>
          <w:rFonts w:ascii="Times New Roman" w:hAnsi="Times New Roman"/>
        </w:rPr>
        <w:t xml:space="preserve">marijuana, cocaine, </w:t>
      </w:r>
      <w:r w:rsidR="005538CB">
        <w:rPr>
          <w:rFonts w:ascii="Times New Roman" w:hAnsi="Times New Roman"/>
        </w:rPr>
        <w:t xml:space="preserve">and/or </w:t>
      </w:r>
      <w:r w:rsidR="00A13F62">
        <w:rPr>
          <w:rFonts w:ascii="Times New Roman" w:hAnsi="Times New Roman"/>
        </w:rPr>
        <w:t xml:space="preserve">heroin in the past 12 months. Since the NSDUH is designed to produce </w:t>
      </w:r>
      <w:r w:rsidR="009A6D02">
        <w:rPr>
          <w:rFonts w:ascii="Times New Roman" w:hAnsi="Times New Roman"/>
        </w:rPr>
        <w:t>SUD</w:t>
      </w:r>
      <w:r w:rsidR="00A13F62">
        <w:rPr>
          <w:rFonts w:ascii="Times New Roman" w:hAnsi="Times New Roman"/>
        </w:rPr>
        <w:t xml:space="preserve"> estimates for the civilian population aged 12 and older, cognitive interviews </w:t>
      </w:r>
      <w:r w:rsidR="00C1377D">
        <w:rPr>
          <w:rFonts w:ascii="Times New Roman" w:hAnsi="Times New Roman"/>
        </w:rPr>
        <w:t xml:space="preserve">will be conducted </w:t>
      </w:r>
      <w:r w:rsidR="00A13F62">
        <w:rPr>
          <w:rFonts w:ascii="Times New Roman" w:hAnsi="Times New Roman"/>
        </w:rPr>
        <w:t>with both adolescent</w:t>
      </w:r>
      <w:r w:rsidR="0015631E">
        <w:rPr>
          <w:rFonts w:ascii="Times New Roman" w:hAnsi="Times New Roman"/>
        </w:rPr>
        <w:t>s (age</w:t>
      </w:r>
      <w:r w:rsidR="003D6044">
        <w:rPr>
          <w:rFonts w:ascii="Times New Roman" w:hAnsi="Times New Roman"/>
        </w:rPr>
        <w:t>d</w:t>
      </w:r>
      <w:r w:rsidR="0015631E">
        <w:rPr>
          <w:rFonts w:ascii="Times New Roman" w:hAnsi="Times New Roman"/>
        </w:rPr>
        <w:t xml:space="preserve"> 12 to 17) and adults (age</w:t>
      </w:r>
      <w:r w:rsidR="003D6044">
        <w:rPr>
          <w:rFonts w:ascii="Times New Roman" w:hAnsi="Times New Roman"/>
        </w:rPr>
        <w:t>d</w:t>
      </w:r>
      <w:r w:rsidR="0015631E">
        <w:rPr>
          <w:rFonts w:ascii="Times New Roman" w:hAnsi="Times New Roman"/>
        </w:rPr>
        <w:t xml:space="preserve"> 18 and older)</w:t>
      </w:r>
      <w:r w:rsidR="00A13F62">
        <w:rPr>
          <w:rFonts w:ascii="Times New Roman" w:hAnsi="Times New Roman"/>
        </w:rPr>
        <w:t>. In addition</w:t>
      </w:r>
      <w:r w:rsidR="0015631E">
        <w:rPr>
          <w:rFonts w:ascii="Times New Roman" w:hAnsi="Times New Roman"/>
        </w:rPr>
        <w:t>,</w:t>
      </w:r>
      <w:r w:rsidR="00A13F62">
        <w:rPr>
          <w:rFonts w:ascii="Times New Roman" w:hAnsi="Times New Roman"/>
        </w:rPr>
        <w:t xml:space="preserve"> </w:t>
      </w:r>
      <w:r w:rsidR="00112657">
        <w:rPr>
          <w:rFonts w:ascii="Times New Roman" w:hAnsi="Times New Roman"/>
        </w:rPr>
        <w:t>the</w:t>
      </w:r>
      <w:r w:rsidR="00EC1656">
        <w:rPr>
          <w:rFonts w:ascii="Times New Roman" w:hAnsi="Times New Roman"/>
        </w:rPr>
        <w:t xml:space="preserve"> </w:t>
      </w:r>
      <w:r w:rsidR="00A13F62">
        <w:rPr>
          <w:rFonts w:ascii="Times New Roman" w:hAnsi="Times New Roman"/>
        </w:rPr>
        <w:t xml:space="preserve">revised </w:t>
      </w:r>
      <w:r w:rsidR="00112657">
        <w:rPr>
          <w:rFonts w:ascii="Times New Roman" w:hAnsi="Times New Roman"/>
        </w:rPr>
        <w:t xml:space="preserve">and possibly new </w:t>
      </w:r>
      <w:r w:rsidR="00A13F62">
        <w:rPr>
          <w:rFonts w:ascii="Times New Roman" w:hAnsi="Times New Roman"/>
        </w:rPr>
        <w:t xml:space="preserve">survey questions </w:t>
      </w:r>
      <w:r w:rsidR="00C1377D">
        <w:rPr>
          <w:rFonts w:ascii="Times New Roman" w:hAnsi="Times New Roman"/>
        </w:rPr>
        <w:t xml:space="preserve">will be assessed </w:t>
      </w:r>
      <w:r w:rsidR="00A13F62">
        <w:rPr>
          <w:rFonts w:ascii="Times New Roman" w:hAnsi="Times New Roman"/>
        </w:rPr>
        <w:t xml:space="preserve">in both English and Spanish. </w:t>
      </w:r>
    </w:p>
    <w:p w14:paraId="2391A026" w14:textId="22FDEB40" w:rsidR="00146DE3" w:rsidRDefault="00485C78" w:rsidP="0015631E">
      <w:pPr>
        <w:spacing w:after="240"/>
        <w:ind w:left="630"/>
        <w:rPr>
          <w:rFonts w:ascii="Times New Roman" w:hAnsi="Times New Roman"/>
        </w:rPr>
      </w:pPr>
      <w:r>
        <w:rPr>
          <w:rFonts w:ascii="Times New Roman" w:hAnsi="Times New Roman"/>
        </w:rPr>
        <w:t xml:space="preserve">The findings from the 51 </w:t>
      </w:r>
      <w:r w:rsidR="0013596F">
        <w:rPr>
          <w:rFonts w:ascii="Times New Roman" w:hAnsi="Times New Roman"/>
        </w:rPr>
        <w:t xml:space="preserve">DSM-5 </w:t>
      </w:r>
      <w:r>
        <w:rPr>
          <w:rFonts w:ascii="Times New Roman" w:hAnsi="Times New Roman"/>
        </w:rPr>
        <w:t xml:space="preserve">cognitive interviews will be </w:t>
      </w:r>
      <w:r w:rsidR="006A080C">
        <w:rPr>
          <w:rFonts w:ascii="Times New Roman" w:hAnsi="Times New Roman"/>
        </w:rPr>
        <w:t xml:space="preserve">delivered </w:t>
      </w:r>
      <w:r>
        <w:rPr>
          <w:rFonts w:ascii="Times New Roman" w:hAnsi="Times New Roman"/>
        </w:rPr>
        <w:t xml:space="preserve">by </w:t>
      </w:r>
      <w:r w:rsidR="008F02A5">
        <w:rPr>
          <w:rFonts w:ascii="Times New Roman" w:hAnsi="Times New Roman"/>
        </w:rPr>
        <w:t>December 21, 2015</w:t>
      </w:r>
      <w:r w:rsidR="0015631E" w:rsidRPr="003B4A2D">
        <w:rPr>
          <w:rFonts w:ascii="Times New Roman" w:hAnsi="Times New Roman"/>
        </w:rPr>
        <w:t xml:space="preserve"> </w:t>
      </w:r>
      <w:r w:rsidRPr="003B4A2D">
        <w:rPr>
          <w:rFonts w:ascii="Times New Roman" w:hAnsi="Times New Roman"/>
        </w:rPr>
        <w:t>to assist CBHSQ in a determination of specific changes</w:t>
      </w:r>
      <w:r w:rsidR="00112657">
        <w:rPr>
          <w:rFonts w:ascii="Times New Roman" w:hAnsi="Times New Roman"/>
        </w:rPr>
        <w:t xml:space="preserve"> for the 2017 NSDUH questionnaire.</w:t>
      </w:r>
    </w:p>
    <w:p w14:paraId="00B8B91A" w14:textId="77777777" w:rsidR="00062ACC" w:rsidRPr="009D3114" w:rsidRDefault="000E3F35" w:rsidP="006774F7">
      <w:pPr>
        <w:pStyle w:val="Heading1"/>
        <w:tabs>
          <w:tab w:val="clear" w:pos="0"/>
        </w:tabs>
        <w:ind w:left="630"/>
        <w:rPr>
          <w:rFonts w:ascii="Times New Roman" w:hAnsi="Times New Roman" w:cs="Times New Roman"/>
        </w:rPr>
      </w:pPr>
      <w:r w:rsidRPr="009D3114">
        <w:rPr>
          <w:rFonts w:ascii="Times New Roman" w:hAnsi="Times New Roman" w:cs="Times New Roman"/>
        </w:rPr>
        <w:t>2</w:t>
      </w:r>
      <w:r w:rsidR="00AA6609">
        <w:rPr>
          <w:rFonts w:ascii="Times New Roman" w:hAnsi="Times New Roman" w:cs="Times New Roman"/>
        </w:rPr>
        <w:t xml:space="preserve">. </w:t>
      </w:r>
      <w:r w:rsidRPr="009D3114">
        <w:rPr>
          <w:rFonts w:ascii="Times New Roman" w:hAnsi="Times New Roman" w:cs="Times New Roman"/>
        </w:rPr>
        <w:tab/>
      </w:r>
      <w:r w:rsidR="00062ACC" w:rsidRPr="009D3114">
        <w:rPr>
          <w:rFonts w:ascii="Times New Roman" w:hAnsi="Times New Roman" w:cs="Times New Roman"/>
          <w:u w:val="single"/>
        </w:rPr>
        <w:t>Purpose and Use of Information</w:t>
      </w:r>
    </w:p>
    <w:p w14:paraId="49A1CEAC" w14:textId="0236C1B5" w:rsidR="00234CEE" w:rsidRDefault="00234CEE" w:rsidP="009A6D02">
      <w:pPr>
        <w:spacing w:after="240"/>
        <w:ind w:left="630"/>
        <w:rPr>
          <w:rFonts w:ascii="Times New Roman" w:hAnsi="Times New Roman"/>
        </w:rPr>
      </w:pPr>
      <w:r>
        <w:rPr>
          <w:rFonts w:ascii="Times New Roman" w:hAnsi="Times New Roman"/>
        </w:rPr>
        <w:t xml:space="preserve">The purpose of </w:t>
      </w:r>
      <w:r w:rsidR="00E42B74">
        <w:rPr>
          <w:rFonts w:ascii="Times New Roman" w:hAnsi="Times New Roman"/>
        </w:rPr>
        <w:t>the DSM-5 cognitive i</w:t>
      </w:r>
      <w:r w:rsidR="0013596F">
        <w:rPr>
          <w:rFonts w:ascii="Times New Roman" w:hAnsi="Times New Roman"/>
        </w:rPr>
        <w:t>nterviews</w:t>
      </w:r>
      <w:r>
        <w:rPr>
          <w:rFonts w:ascii="Times New Roman" w:hAnsi="Times New Roman"/>
        </w:rPr>
        <w:t xml:space="preserve"> is to </w:t>
      </w:r>
      <w:r w:rsidR="00485E9A">
        <w:rPr>
          <w:rFonts w:ascii="Times New Roman" w:hAnsi="Times New Roman"/>
        </w:rPr>
        <w:t xml:space="preserve">collect and </w:t>
      </w:r>
      <w:r>
        <w:rPr>
          <w:rFonts w:ascii="Times New Roman" w:hAnsi="Times New Roman"/>
        </w:rPr>
        <w:t xml:space="preserve">analyze qualitative data to evaluate how well potential NSDUH respondents understand the concepts and language of the </w:t>
      </w:r>
      <w:r w:rsidR="0015631E">
        <w:rPr>
          <w:rFonts w:ascii="Times New Roman" w:hAnsi="Times New Roman"/>
        </w:rPr>
        <w:t xml:space="preserve">new and revised </w:t>
      </w:r>
      <w:r w:rsidR="009A6D02">
        <w:rPr>
          <w:rFonts w:ascii="Times New Roman" w:hAnsi="Times New Roman"/>
        </w:rPr>
        <w:t>SUD</w:t>
      </w:r>
      <w:r w:rsidR="0015631E">
        <w:rPr>
          <w:rFonts w:ascii="Times New Roman" w:hAnsi="Times New Roman"/>
        </w:rPr>
        <w:t xml:space="preserve"> </w:t>
      </w:r>
      <w:r>
        <w:rPr>
          <w:rFonts w:ascii="Times New Roman" w:hAnsi="Times New Roman"/>
        </w:rPr>
        <w:t>questions, whether they find them difficult to answer, and whether they are able to provide accurate reports of their substance use</w:t>
      </w:r>
      <w:r w:rsidR="00F30A25">
        <w:rPr>
          <w:rFonts w:ascii="Times New Roman" w:hAnsi="Times New Roman"/>
        </w:rPr>
        <w:t xml:space="preserve"> behaviors</w:t>
      </w:r>
      <w:r w:rsidRPr="005750B4">
        <w:rPr>
          <w:rFonts w:ascii="Times New Roman" w:hAnsi="Times New Roman"/>
        </w:rPr>
        <w:t xml:space="preserve">.  </w:t>
      </w:r>
    </w:p>
    <w:p w14:paraId="28A940DF" w14:textId="6E2BDD1C" w:rsidR="0015631E" w:rsidRDefault="00512C9D" w:rsidP="0015631E">
      <w:pPr>
        <w:widowControl/>
        <w:tabs>
          <w:tab w:val="left" w:pos="634"/>
        </w:tabs>
        <w:ind w:left="630" w:hanging="634"/>
      </w:pPr>
      <w:r>
        <w:tab/>
      </w:r>
      <w:r>
        <w:tab/>
        <w:t>A total of 51 participants (12 English</w:t>
      </w:r>
      <w:r w:rsidR="00C1377D">
        <w:t>-</w:t>
      </w:r>
      <w:r>
        <w:t xml:space="preserve">speaking adolescents, 27 English-speaking adults, and 12 Spanish-speaking adults) will be interviewed in this study. It is expected that approximately 150 screenings with potential participants will be completed to obtain the 51 </w:t>
      </w:r>
      <w:r w:rsidR="006774F7">
        <w:t>study participants.</w:t>
      </w:r>
      <w:r w:rsidR="0015631E">
        <w:t xml:space="preserve"> </w:t>
      </w:r>
    </w:p>
    <w:p w14:paraId="2E251D2B" w14:textId="77777777" w:rsidR="0015631E" w:rsidRDefault="0015631E" w:rsidP="0015631E">
      <w:pPr>
        <w:widowControl/>
        <w:tabs>
          <w:tab w:val="left" w:pos="634"/>
        </w:tabs>
        <w:ind w:left="630" w:hanging="634"/>
      </w:pPr>
      <w:r>
        <w:tab/>
      </w:r>
    </w:p>
    <w:p w14:paraId="26FCDD5C" w14:textId="5EFD1239" w:rsidR="00512C9D" w:rsidRDefault="0015631E" w:rsidP="00834889">
      <w:pPr>
        <w:widowControl/>
        <w:tabs>
          <w:tab w:val="left" w:pos="634"/>
        </w:tabs>
        <w:ind w:left="630" w:hanging="634"/>
      </w:pPr>
      <w:r>
        <w:tab/>
        <w:t xml:space="preserve">The new and revised </w:t>
      </w:r>
      <w:r w:rsidR="00C1377D">
        <w:t xml:space="preserve">NSDUH </w:t>
      </w:r>
      <w:r>
        <w:t xml:space="preserve">survey questions </w:t>
      </w:r>
      <w:r w:rsidR="00C1377D">
        <w:t xml:space="preserve">for use in these cognitive interviews </w:t>
      </w:r>
      <w:r>
        <w:t xml:space="preserve">focus on </w:t>
      </w:r>
      <w:r w:rsidR="002B7265">
        <w:t xml:space="preserve">dependence and </w:t>
      </w:r>
      <w:r>
        <w:t>withdrawal from</w:t>
      </w:r>
      <w:r w:rsidR="009A6D02">
        <w:t xml:space="preserve"> the following</w:t>
      </w:r>
      <w:r>
        <w:t xml:space="preserve"> substances</w:t>
      </w:r>
      <w:r w:rsidR="00490ABA">
        <w:t>:</w:t>
      </w:r>
      <w:r>
        <w:t xml:space="preserve"> alcohol, marijuana, cocaine, heroin, </w:t>
      </w:r>
      <w:r w:rsidR="009A6D02">
        <w:t xml:space="preserve">methamphetamine, </w:t>
      </w:r>
      <w:r>
        <w:t>and prescription drugs. As a result, all cognitive interview participants will be past</w:t>
      </w:r>
      <w:r w:rsidR="00C1377D">
        <w:t xml:space="preserve"> </w:t>
      </w:r>
      <w:r>
        <w:t>12</w:t>
      </w:r>
      <w:r w:rsidR="00C1377D">
        <w:t xml:space="preserve"> </w:t>
      </w:r>
      <w:r>
        <w:t>month users</w:t>
      </w:r>
      <w:r w:rsidR="006C659E">
        <w:t xml:space="preserve"> of these substances</w:t>
      </w:r>
      <w:r>
        <w:t>. A majority of the participants will be past</w:t>
      </w:r>
      <w:r w:rsidR="00C1377D">
        <w:t xml:space="preserve"> </w:t>
      </w:r>
      <w:r>
        <w:t xml:space="preserve">year marijuana users </w:t>
      </w:r>
      <w:r w:rsidR="00C1377D">
        <w:t>in order to adequately assess</w:t>
      </w:r>
      <w:r>
        <w:t xml:space="preserve"> the marijuana withdrawal questions</w:t>
      </w:r>
      <w:r w:rsidR="00C1377D">
        <w:t xml:space="preserve"> that</w:t>
      </w:r>
      <w:r>
        <w:t xml:space="preserve"> are </w:t>
      </w:r>
      <w:r w:rsidR="00C1377D">
        <w:t xml:space="preserve">entirely </w:t>
      </w:r>
      <w:r>
        <w:t>new</w:t>
      </w:r>
      <w:r w:rsidR="00C1377D">
        <w:t xml:space="preserve"> to NSDUH</w:t>
      </w:r>
      <w:r>
        <w:t xml:space="preserve">. </w:t>
      </w:r>
      <w:r w:rsidR="00490ABA">
        <w:t xml:space="preserve">The remaining participants will be past year users of alcohol, cocaine, heroin, methamphetamine, prescription drugs, or a combination of those substances. </w:t>
      </w:r>
      <w:r>
        <w:t>The questions about withdrawal from the</w:t>
      </w:r>
      <w:r w:rsidR="00490ABA">
        <w:t>se</w:t>
      </w:r>
      <w:r>
        <w:t xml:space="preserve"> substances are not new</w:t>
      </w:r>
      <w:r w:rsidR="00C1377D">
        <w:t xml:space="preserve"> to the NSDUH questionnaire</w:t>
      </w:r>
      <w:r>
        <w:t xml:space="preserve">, but are being revised. </w:t>
      </w:r>
      <w:r w:rsidR="002B7265">
        <w:t xml:space="preserve">New questions on craving will be added for all substances. </w:t>
      </w:r>
    </w:p>
    <w:p w14:paraId="2A596E40" w14:textId="77777777" w:rsidR="00512C9D" w:rsidRDefault="00512C9D" w:rsidP="006774F7">
      <w:pPr>
        <w:widowControl/>
        <w:tabs>
          <w:tab w:val="left" w:pos="634"/>
        </w:tabs>
        <w:ind w:left="630" w:hanging="634"/>
        <w:rPr>
          <w:rFonts w:ascii="Times New Roman" w:hAnsi="Times New Roman"/>
        </w:rPr>
      </w:pPr>
    </w:p>
    <w:p w14:paraId="5F82671D" w14:textId="7B2FF4AC" w:rsidR="00EE674A" w:rsidRDefault="00E028B4" w:rsidP="006774F7">
      <w:pPr>
        <w:spacing w:after="240"/>
        <w:ind w:left="630"/>
        <w:rPr>
          <w:rFonts w:ascii="Times New Roman" w:hAnsi="Times New Roman"/>
        </w:rPr>
      </w:pPr>
      <w:r>
        <w:rPr>
          <w:rFonts w:ascii="Times New Roman" w:hAnsi="Times New Roman"/>
        </w:rPr>
        <w:t>As explained in Section A.1, t</w:t>
      </w:r>
      <w:r w:rsidR="00C1377D">
        <w:rPr>
          <w:rFonts w:ascii="Times New Roman" w:hAnsi="Times New Roman"/>
        </w:rPr>
        <w:t>h</w:t>
      </w:r>
      <w:r w:rsidR="00234CEE">
        <w:rPr>
          <w:rFonts w:ascii="Times New Roman" w:hAnsi="Times New Roman"/>
        </w:rPr>
        <w:t xml:space="preserve">e findings from the cognitive interviews will be used to </w:t>
      </w:r>
      <w:r w:rsidR="005F35E1">
        <w:rPr>
          <w:rFonts w:ascii="Times New Roman" w:hAnsi="Times New Roman"/>
        </w:rPr>
        <w:t xml:space="preserve">revise the </w:t>
      </w:r>
      <w:r w:rsidR="00234CEE">
        <w:rPr>
          <w:rFonts w:ascii="Times New Roman" w:hAnsi="Times New Roman"/>
        </w:rPr>
        <w:t>survey q</w:t>
      </w:r>
      <w:r w:rsidR="009B258C">
        <w:rPr>
          <w:rFonts w:ascii="Times New Roman" w:hAnsi="Times New Roman"/>
        </w:rPr>
        <w:t>uestions that will be included i</w:t>
      </w:r>
      <w:r w:rsidR="00234CEE">
        <w:rPr>
          <w:rFonts w:ascii="Times New Roman" w:hAnsi="Times New Roman"/>
        </w:rPr>
        <w:t>n the 2017 NSDUH</w:t>
      </w:r>
      <w:r w:rsidR="00277559">
        <w:rPr>
          <w:rFonts w:ascii="Times New Roman" w:hAnsi="Times New Roman"/>
        </w:rPr>
        <w:t xml:space="preserve"> to produce estimates of </w:t>
      </w:r>
      <w:r w:rsidR="009A6D02">
        <w:rPr>
          <w:rFonts w:ascii="Times New Roman" w:hAnsi="Times New Roman"/>
        </w:rPr>
        <w:t>SUD</w:t>
      </w:r>
      <w:r w:rsidR="00277559">
        <w:rPr>
          <w:rFonts w:ascii="Times New Roman" w:hAnsi="Times New Roman"/>
        </w:rPr>
        <w:t xml:space="preserve"> based on the DSM-5.</w:t>
      </w:r>
    </w:p>
    <w:p w14:paraId="28BAA58B"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3.</w:t>
      </w:r>
      <w:r w:rsidRPr="009D3114">
        <w:rPr>
          <w:rFonts w:ascii="Times New Roman" w:hAnsi="Times New Roman" w:cs="Times New Roman"/>
        </w:rPr>
        <w:tab/>
      </w:r>
      <w:r w:rsidRPr="009D3114">
        <w:rPr>
          <w:rFonts w:ascii="Times New Roman" w:hAnsi="Times New Roman" w:cs="Times New Roman"/>
          <w:u w:val="single"/>
        </w:rPr>
        <w:t>Use of Information Technology</w:t>
      </w:r>
    </w:p>
    <w:p w14:paraId="3AC1F05A" w14:textId="51318C10" w:rsidR="00A0548E" w:rsidRDefault="00A0548E" w:rsidP="004F30A9">
      <w:pPr>
        <w:pStyle w:val="BodyText"/>
        <w:ind w:left="630"/>
      </w:pPr>
      <w:r>
        <w:t xml:space="preserve">Information technology will be used </w:t>
      </w:r>
      <w:r w:rsidR="00B825B7">
        <w:t>for</w:t>
      </w:r>
      <w:r>
        <w:t xml:space="preserve"> screening potential </w:t>
      </w:r>
      <w:r w:rsidR="00C964A4">
        <w:t xml:space="preserve">adult </w:t>
      </w:r>
      <w:r>
        <w:t>participants</w:t>
      </w:r>
      <w:r w:rsidR="00C964A4">
        <w:t xml:space="preserve"> via the web. </w:t>
      </w:r>
      <w:r>
        <w:t xml:space="preserve"> </w:t>
      </w:r>
      <w:r w:rsidR="00C964A4">
        <w:t>Potential adolescent participants will be screened over the telephone</w:t>
      </w:r>
      <w:r w:rsidR="0085609C">
        <w:t xml:space="preserve"> (once parental consent has been received)</w:t>
      </w:r>
      <w:r w:rsidR="00C964A4">
        <w:t>. Information technology will also be used for both adolescents and adults</w:t>
      </w:r>
      <w:r>
        <w:t xml:space="preserve"> in </w:t>
      </w:r>
      <w:r w:rsidR="008212AC">
        <w:t xml:space="preserve">conducting the </w:t>
      </w:r>
      <w:r>
        <w:t>cognitive interviews</w:t>
      </w:r>
      <w:r w:rsidR="00C964A4">
        <w:t xml:space="preserve"> via </w:t>
      </w:r>
      <w:r w:rsidR="004F30A9">
        <w:t>computer-assisted personal interviewing (CAPI) and audio computer-assisted self-interviewing (ACASI)</w:t>
      </w:r>
      <w:r w:rsidR="00C964A4">
        <w:t>. Details on the use of information technology are</w:t>
      </w:r>
      <w:r>
        <w:t xml:space="preserve"> described below. </w:t>
      </w:r>
    </w:p>
    <w:p w14:paraId="1B6D8F74" w14:textId="6D521538" w:rsidR="00EC2A76" w:rsidRDefault="00A0548E" w:rsidP="00C964A4">
      <w:pPr>
        <w:pStyle w:val="BodyText"/>
        <w:ind w:left="630"/>
      </w:pPr>
      <w:r>
        <w:lastRenderedPageBreak/>
        <w:t>Adult p</w:t>
      </w:r>
      <w:r w:rsidR="003D6044">
        <w:t xml:space="preserve">articipants </w:t>
      </w:r>
      <w:r w:rsidR="00EC2A76">
        <w:t xml:space="preserve">who are recruited using online advertisements, such as those placed on </w:t>
      </w:r>
      <w:r w:rsidR="00EC2A76" w:rsidRPr="003A7C4A">
        <w:t>www.craigslist.com</w:t>
      </w:r>
      <w:r w:rsidR="00EC2A76">
        <w:t>, will complete a web screener that will be used to determine if they are eligible to participate in the study.</w:t>
      </w:r>
      <w:r>
        <w:t xml:space="preserve"> The web screener will be programmed using Survey</w:t>
      </w:r>
      <w:r w:rsidR="003A7C4A">
        <w:t xml:space="preserve"> </w:t>
      </w:r>
      <w:r>
        <w:t>Gizmo or a similar program.</w:t>
      </w:r>
      <w:r w:rsidR="00C964A4">
        <w:t xml:space="preserve"> Survey</w:t>
      </w:r>
      <w:r w:rsidR="0085609C">
        <w:t xml:space="preserve"> </w:t>
      </w:r>
      <w:r w:rsidR="00C964A4">
        <w:t xml:space="preserve">Gizmo allows surveys to be </w:t>
      </w:r>
      <w:r w:rsidR="00046DE1">
        <w:t>accessed by users</w:t>
      </w:r>
      <w:r w:rsidR="00C964A4">
        <w:t xml:space="preserve"> via secure (https) share links</w:t>
      </w:r>
      <w:r w:rsidR="00D3193C">
        <w:t>, which keeps responses secure</w:t>
      </w:r>
      <w:r w:rsidR="00C964A4">
        <w:t xml:space="preserve">. It also has a Project Data Encryption feature that allows projects to encrypt all survey data that </w:t>
      </w:r>
      <w:r w:rsidR="00766339">
        <w:t>are</w:t>
      </w:r>
      <w:r w:rsidR="00C964A4">
        <w:t xml:space="preserve"> received</w:t>
      </w:r>
      <w:r w:rsidR="00766339">
        <w:t>, so those data cannot</w:t>
      </w:r>
      <w:r w:rsidR="00C964A4">
        <w:t xml:space="preserve"> be accessed without a </w:t>
      </w:r>
      <w:r w:rsidR="00766339">
        <w:t>password key</w:t>
      </w:r>
      <w:r w:rsidR="00C964A4">
        <w:t xml:space="preserve">. </w:t>
      </w:r>
    </w:p>
    <w:p w14:paraId="1639A543" w14:textId="5A04E1A9" w:rsidR="00DA1C21" w:rsidRDefault="00DA1C21" w:rsidP="00C964A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0"/>
        <w:rPr>
          <w:rFonts w:ascii="Times New Roman" w:hAnsi="Times New Roman"/>
        </w:rPr>
      </w:pPr>
      <w:r>
        <w:rPr>
          <w:rFonts w:ascii="Times New Roman" w:hAnsi="Times New Roman"/>
        </w:rPr>
        <w:t>D</w:t>
      </w:r>
      <w:r w:rsidRPr="009D3114">
        <w:rPr>
          <w:rFonts w:ascii="Times New Roman" w:hAnsi="Times New Roman"/>
        </w:rPr>
        <w:t xml:space="preserve">uring the </w:t>
      </w:r>
      <w:r>
        <w:rPr>
          <w:rFonts w:ascii="Times New Roman" w:hAnsi="Times New Roman"/>
        </w:rPr>
        <w:t>screening</w:t>
      </w:r>
      <w:r w:rsidRPr="009D3114">
        <w:rPr>
          <w:rFonts w:ascii="Times New Roman" w:hAnsi="Times New Roman"/>
        </w:rPr>
        <w:t xml:space="preserve">, </w:t>
      </w:r>
      <w:r>
        <w:rPr>
          <w:rFonts w:ascii="Times New Roman" w:hAnsi="Times New Roman"/>
        </w:rPr>
        <w:t xml:space="preserve">information will be collected on </w:t>
      </w:r>
      <w:r w:rsidRPr="009D3114">
        <w:rPr>
          <w:rFonts w:ascii="Times New Roman" w:hAnsi="Times New Roman"/>
        </w:rPr>
        <w:t xml:space="preserve">the age, </w:t>
      </w:r>
      <w:r>
        <w:rPr>
          <w:rFonts w:ascii="Times New Roman" w:hAnsi="Times New Roman"/>
        </w:rPr>
        <w:t xml:space="preserve">race/ethnicity, education, </w:t>
      </w:r>
      <w:r w:rsidRPr="009D3114">
        <w:rPr>
          <w:rFonts w:ascii="Times New Roman" w:hAnsi="Times New Roman"/>
        </w:rPr>
        <w:t xml:space="preserve">phone number, city of residence, any significant physical limitations that would preclude participation, </w:t>
      </w:r>
      <w:r>
        <w:rPr>
          <w:rFonts w:ascii="Times New Roman" w:hAnsi="Times New Roman"/>
        </w:rPr>
        <w:t xml:space="preserve">and past substance use. </w:t>
      </w:r>
      <w:r w:rsidRPr="009D3114">
        <w:rPr>
          <w:rFonts w:ascii="Times New Roman" w:hAnsi="Times New Roman"/>
        </w:rPr>
        <w:t xml:space="preserve">The telephone numbers collected will be used to remind the participants about their upcoming appointments </w:t>
      </w:r>
      <w:r>
        <w:rPr>
          <w:rFonts w:ascii="Times New Roman" w:hAnsi="Times New Roman"/>
        </w:rPr>
        <w:t>and</w:t>
      </w:r>
      <w:r w:rsidRPr="009D3114">
        <w:rPr>
          <w:rFonts w:ascii="Times New Roman" w:hAnsi="Times New Roman"/>
        </w:rPr>
        <w:t xml:space="preserve"> to recruit additional participants placed on a “will call” list in the event that </w:t>
      </w:r>
      <w:r w:rsidR="00B825B7">
        <w:rPr>
          <w:rFonts w:ascii="Times New Roman" w:hAnsi="Times New Roman"/>
        </w:rPr>
        <w:t>any of the originally-</w:t>
      </w:r>
      <w:r w:rsidR="002D02D6">
        <w:rPr>
          <w:rFonts w:ascii="Times New Roman" w:hAnsi="Times New Roman"/>
        </w:rPr>
        <w:t>recruited participants are no longer available or do not show for their appointment</w:t>
      </w:r>
      <w:r w:rsidR="00C964A4">
        <w:rPr>
          <w:rFonts w:ascii="Times New Roman" w:hAnsi="Times New Roman"/>
        </w:rPr>
        <w:t>.</w:t>
      </w:r>
    </w:p>
    <w:p w14:paraId="17727BBC" w14:textId="3F34C6ED" w:rsidR="00DA1C21" w:rsidRDefault="00DA1C21" w:rsidP="00DA1C21">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0"/>
      </w:pPr>
      <w:r w:rsidRPr="009D3114">
        <w:rPr>
          <w:rFonts w:ascii="Times New Roman" w:hAnsi="Times New Roman"/>
          <w:color w:val="000000"/>
        </w:rPr>
        <w:t xml:space="preserve">Other electronic files containing </w:t>
      </w:r>
      <w:r>
        <w:rPr>
          <w:rFonts w:ascii="Times New Roman" w:hAnsi="Times New Roman"/>
          <w:color w:val="000000"/>
        </w:rPr>
        <w:t>screening informati</w:t>
      </w:r>
      <w:r w:rsidR="006C4D41">
        <w:rPr>
          <w:rFonts w:ascii="Times New Roman" w:hAnsi="Times New Roman"/>
          <w:color w:val="000000"/>
        </w:rPr>
        <w:t>o</w:t>
      </w:r>
      <w:r>
        <w:rPr>
          <w:rFonts w:ascii="Times New Roman" w:hAnsi="Times New Roman"/>
          <w:color w:val="000000"/>
        </w:rPr>
        <w:t>n</w:t>
      </w:r>
      <w:r w:rsidRPr="009D3114">
        <w:rPr>
          <w:rFonts w:ascii="Times New Roman" w:hAnsi="Times New Roman"/>
          <w:color w:val="000000"/>
        </w:rPr>
        <w:t xml:space="preserve"> will be password protected, with the password set to expire within four weeks after </w:t>
      </w:r>
      <w:r>
        <w:rPr>
          <w:rFonts w:ascii="Times New Roman" w:hAnsi="Times New Roman"/>
          <w:color w:val="000000"/>
        </w:rPr>
        <w:t>the final memo</w:t>
      </w:r>
      <w:r w:rsidRPr="009D3114">
        <w:rPr>
          <w:rFonts w:ascii="Times New Roman" w:hAnsi="Times New Roman"/>
          <w:color w:val="000000"/>
        </w:rPr>
        <w:t xml:space="preserve"> </w:t>
      </w:r>
      <w:r>
        <w:rPr>
          <w:rFonts w:ascii="Times New Roman" w:hAnsi="Times New Roman"/>
          <w:color w:val="000000"/>
        </w:rPr>
        <w:t xml:space="preserve">with the cognitive interview findings </w:t>
      </w:r>
      <w:r w:rsidRPr="009D3114">
        <w:rPr>
          <w:rFonts w:ascii="Times New Roman" w:hAnsi="Times New Roman"/>
          <w:color w:val="000000"/>
        </w:rPr>
        <w:t>is completed</w:t>
      </w:r>
      <w:r>
        <w:rPr>
          <w:rFonts w:ascii="Times New Roman" w:hAnsi="Times New Roman"/>
          <w:color w:val="000000"/>
        </w:rPr>
        <w:t xml:space="preserve"> and approved by CBHSQ</w:t>
      </w:r>
      <w:r w:rsidRPr="009D3114">
        <w:rPr>
          <w:rFonts w:ascii="Times New Roman" w:hAnsi="Times New Roman"/>
          <w:color w:val="000000"/>
        </w:rPr>
        <w:t xml:space="preserve">. Each </w:t>
      </w:r>
      <w:r>
        <w:rPr>
          <w:rFonts w:ascii="Times New Roman" w:hAnsi="Times New Roman"/>
          <w:color w:val="000000"/>
        </w:rPr>
        <w:t>individual screened</w:t>
      </w:r>
      <w:r w:rsidRPr="009D3114">
        <w:rPr>
          <w:rFonts w:ascii="Times New Roman" w:hAnsi="Times New Roman"/>
          <w:color w:val="000000"/>
        </w:rPr>
        <w:t xml:space="preserve"> will be assigned a </w:t>
      </w:r>
      <w:r>
        <w:rPr>
          <w:rFonts w:ascii="Times New Roman" w:hAnsi="Times New Roman"/>
          <w:color w:val="000000"/>
        </w:rPr>
        <w:t xml:space="preserve">unique </w:t>
      </w:r>
      <w:r w:rsidRPr="009D3114">
        <w:rPr>
          <w:rFonts w:ascii="Times New Roman" w:hAnsi="Times New Roman"/>
          <w:color w:val="000000"/>
        </w:rPr>
        <w:t xml:space="preserve">case number so that a </w:t>
      </w:r>
      <w:r>
        <w:rPr>
          <w:rFonts w:ascii="Times New Roman" w:hAnsi="Times New Roman"/>
          <w:color w:val="000000"/>
        </w:rPr>
        <w:t>participant’s</w:t>
      </w:r>
      <w:r w:rsidRPr="009D3114">
        <w:rPr>
          <w:rFonts w:ascii="Times New Roman" w:hAnsi="Times New Roman"/>
          <w:color w:val="000000"/>
        </w:rPr>
        <w:t xml:space="preserve"> name will not be stored with their responses</w:t>
      </w:r>
      <w:r>
        <w:rPr>
          <w:rFonts w:ascii="Times New Roman" w:hAnsi="Times New Roman"/>
          <w:color w:val="000000"/>
        </w:rPr>
        <w:t xml:space="preserve"> to the cognitive interview</w:t>
      </w:r>
      <w:r w:rsidRPr="009D3114">
        <w:rPr>
          <w:rFonts w:ascii="Times New Roman" w:hAnsi="Times New Roman"/>
          <w:color w:val="000000"/>
        </w:rPr>
        <w:t>.</w:t>
      </w:r>
    </w:p>
    <w:p w14:paraId="706BB3D7" w14:textId="0851F6E6" w:rsidR="00C12A25" w:rsidRDefault="00C12A25" w:rsidP="004F30A9">
      <w:pPr>
        <w:pStyle w:val="BodyText"/>
        <w:ind w:left="630"/>
      </w:pPr>
      <w:r>
        <w:t>In all rounds of the DSM-5 cognitive interviews</w:t>
      </w:r>
      <w:r>
        <w:rPr>
          <w:rFonts w:ascii="Times New Roman" w:hAnsi="Times New Roman" w:cs="Times New Roman"/>
        </w:rPr>
        <w:t>, l</w:t>
      </w:r>
      <w:r w:rsidRPr="009D3114">
        <w:rPr>
          <w:rFonts w:ascii="Times New Roman" w:hAnsi="Times New Roman" w:cs="Times New Roman"/>
        </w:rPr>
        <w:t>ight-weight, ultra-book laptop</w:t>
      </w:r>
      <w:r>
        <w:rPr>
          <w:rFonts w:ascii="Times New Roman" w:hAnsi="Times New Roman" w:cs="Times New Roman"/>
        </w:rPr>
        <w:t>s,</w:t>
      </w:r>
      <w:r w:rsidRPr="009D3114">
        <w:rPr>
          <w:rFonts w:ascii="Times New Roman" w:hAnsi="Times New Roman" w:cs="Times New Roman"/>
        </w:rPr>
        <w:t xml:space="preserve"> </w:t>
      </w:r>
      <w:r>
        <w:rPr>
          <w:rFonts w:ascii="Times New Roman" w:hAnsi="Times New Roman" w:cs="Times New Roman"/>
        </w:rPr>
        <w:t xml:space="preserve">identical to those </w:t>
      </w:r>
      <w:r w:rsidR="00277559">
        <w:rPr>
          <w:rFonts w:ascii="Times New Roman" w:hAnsi="Times New Roman" w:cs="Times New Roman"/>
        </w:rPr>
        <w:t>which will be used for</w:t>
      </w:r>
      <w:r>
        <w:rPr>
          <w:rFonts w:ascii="Times New Roman" w:hAnsi="Times New Roman" w:cs="Times New Roman"/>
        </w:rPr>
        <w:t xml:space="preserve"> the </w:t>
      </w:r>
      <w:r w:rsidRPr="009D3114">
        <w:rPr>
          <w:rFonts w:ascii="Times New Roman" w:hAnsi="Times New Roman" w:cs="Times New Roman"/>
        </w:rPr>
        <w:t>2015</w:t>
      </w:r>
      <w:r>
        <w:rPr>
          <w:rFonts w:ascii="Times New Roman" w:hAnsi="Times New Roman" w:cs="Times New Roman"/>
        </w:rPr>
        <w:t xml:space="preserve"> NSDUH</w:t>
      </w:r>
      <w:r w:rsidR="00277559">
        <w:rPr>
          <w:rFonts w:ascii="Times New Roman" w:hAnsi="Times New Roman" w:cs="Times New Roman"/>
        </w:rPr>
        <w:t xml:space="preserve"> </w:t>
      </w:r>
      <w:r>
        <w:rPr>
          <w:rFonts w:ascii="Times New Roman" w:hAnsi="Times New Roman" w:cs="Times New Roman"/>
        </w:rPr>
        <w:t xml:space="preserve">will be used for the cognitive interviews. </w:t>
      </w:r>
      <w:r>
        <w:t xml:space="preserve">The interview will use a combination of </w:t>
      </w:r>
      <w:r w:rsidR="004F30A9">
        <w:t>CAPI and ACASI</w:t>
      </w:r>
      <w:r>
        <w:t xml:space="preserve">. The interview will focus on questions </w:t>
      </w:r>
      <w:r w:rsidR="00277559">
        <w:t>in</w:t>
      </w:r>
      <w:r>
        <w:t xml:space="preserve"> the revised </w:t>
      </w:r>
      <w:r w:rsidR="00277559">
        <w:t xml:space="preserve">SUD </w:t>
      </w:r>
      <w:r>
        <w:t xml:space="preserve">module. </w:t>
      </w:r>
    </w:p>
    <w:p w14:paraId="04D78E93" w14:textId="1BB62183" w:rsidR="00C12A25" w:rsidRDefault="00C12A25" w:rsidP="00C12A25">
      <w:pPr>
        <w:pStyle w:val="BodyText"/>
        <w:ind w:left="630"/>
      </w:pPr>
      <w:r>
        <w:t>The interview will commence after the participant has given his or her consent. The interview will begin with the interviewer asking the participant for demographic information</w:t>
      </w:r>
      <w:r w:rsidR="004F30A9">
        <w:t xml:space="preserve"> such as age</w:t>
      </w:r>
      <w:r>
        <w:t xml:space="preserve"> (to determine how the interview program should route the participant through questions in the interview). After the CAPI portion of the interview, the interviewer will show each respondent how to navigate through the interview program. Participants will then complete a tutorial that teaches participants how to complete the ACASI portion of the survey.</w:t>
      </w:r>
    </w:p>
    <w:p w14:paraId="38B29757" w14:textId="781C4ACE" w:rsidR="008212AC" w:rsidRDefault="008212AC" w:rsidP="00175874">
      <w:pPr>
        <w:pStyle w:val="BodyText"/>
        <w:spacing w:after="0"/>
        <w:ind w:left="630" w:hanging="630"/>
      </w:pPr>
      <w:r>
        <w:tab/>
        <w:t xml:space="preserve">Following the tutorial, participants will </w:t>
      </w:r>
      <w:r w:rsidR="004F30A9">
        <w:t>complete</w:t>
      </w:r>
      <w:r>
        <w:t xml:space="preserve"> </w:t>
      </w:r>
      <w:r w:rsidR="004F30A9">
        <w:t xml:space="preserve">an abridged version of the 2015 </w:t>
      </w:r>
      <w:r>
        <w:t xml:space="preserve">NSDUH core drug screening </w:t>
      </w:r>
      <w:r w:rsidR="004F30A9">
        <w:t xml:space="preserve">modules for </w:t>
      </w:r>
      <w:r>
        <w:t>alcohol, marijuana, cocaine, heroin,</w:t>
      </w:r>
      <w:r w:rsidR="004F30A9">
        <w:t xml:space="preserve"> and</w:t>
      </w:r>
      <w:r>
        <w:t xml:space="preserve"> methamphetamines, as well as </w:t>
      </w:r>
      <w:r w:rsidR="004F30A9">
        <w:t xml:space="preserve">medical and </w:t>
      </w:r>
      <w:r>
        <w:t>nonmedical use of prescription drugs.</w:t>
      </w:r>
      <w:r w:rsidR="004F30A9">
        <w:t xml:space="preserve"> These modules will include the same questions that are in the 2015 NSDUH</w:t>
      </w:r>
      <w:r w:rsidR="00766339">
        <w:t>,</w:t>
      </w:r>
      <w:r w:rsidR="004F30A9">
        <w:t xml:space="preserve"> except some questions not necessary for cognitive testing (age at first use) have been removed. No </w:t>
      </w:r>
      <w:r w:rsidR="00766339">
        <w:t xml:space="preserve">new </w:t>
      </w:r>
      <w:r w:rsidR="004F30A9">
        <w:t>questions were added to these modules</w:t>
      </w:r>
      <w:r w:rsidR="00766339">
        <w:t xml:space="preserve"> for cognitive testing</w:t>
      </w:r>
      <w:r w:rsidR="004F30A9">
        <w:t xml:space="preserve">. </w:t>
      </w:r>
      <w:r>
        <w:t>Answers that participants give to questions about use of substances will determine whether they are asked more detailed questions about substance dependence</w:t>
      </w:r>
      <w:r w:rsidR="00277559">
        <w:t xml:space="preserve"> and withdrawal</w:t>
      </w:r>
      <w:r>
        <w:t xml:space="preserve">. Some of the </w:t>
      </w:r>
      <w:r w:rsidR="00A67C57">
        <w:t>SUD</w:t>
      </w:r>
      <w:r>
        <w:t xml:space="preserve"> questions have been reworded and are being presented in a new format for these interviews. </w:t>
      </w:r>
    </w:p>
    <w:p w14:paraId="3664C976" w14:textId="77777777" w:rsidR="008212AC" w:rsidRDefault="008212AC" w:rsidP="008212AC">
      <w:pPr>
        <w:pStyle w:val="BodyText"/>
        <w:spacing w:after="0"/>
        <w:ind w:left="630" w:hanging="630"/>
      </w:pPr>
    </w:p>
    <w:p w14:paraId="6547AF25" w14:textId="2CD279A9" w:rsidR="004F30A9" w:rsidRDefault="008212AC" w:rsidP="00193258">
      <w:pPr>
        <w:pStyle w:val="BodyText"/>
        <w:ind w:left="630"/>
      </w:pPr>
      <w:r>
        <w:t xml:space="preserve">For </w:t>
      </w:r>
      <w:r w:rsidR="00193258">
        <w:t>all rounds</w:t>
      </w:r>
      <w:r w:rsidR="00C23ACB">
        <w:t>,</w:t>
      </w:r>
      <w:r>
        <w:t xml:space="preserve"> participants will complete </w:t>
      </w:r>
      <w:r w:rsidR="004F30A9">
        <w:t xml:space="preserve">the core drug screening modules via ACASI. For the SUD module, participants will be given the option of having the questions played over the </w:t>
      </w:r>
      <w:r w:rsidR="00766339">
        <w:t xml:space="preserve">computer’s </w:t>
      </w:r>
      <w:r w:rsidR="004F30A9">
        <w:t xml:space="preserve">speakers or turning off the sound and reading the questions aloud. These procedures are required so that the cognitive interviewers can stop the participant after </w:t>
      </w:r>
      <w:r w:rsidR="004F30A9">
        <w:lastRenderedPageBreak/>
        <w:t xml:space="preserve">certain questions to ask cognitive interview probes. Providing the participants the option of hearing the questions or reading them allows the cognitive interview process to more closely mimic an actual interview where participants can turn down the volume and read the questions if desired. </w:t>
      </w:r>
    </w:p>
    <w:p w14:paraId="70A03774" w14:textId="59087103" w:rsidR="00A932F2" w:rsidRPr="009D3114" w:rsidRDefault="00146DE3" w:rsidP="00193258">
      <w:pPr>
        <w:pStyle w:val="BodyText"/>
        <w:ind w:left="630"/>
        <w:rPr>
          <w:rFonts w:ascii="Times New Roman" w:hAnsi="Times New Roman"/>
          <w:color w:val="000000"/>
        </w:rPr>
      </w:pPr>
      <w:r>
        <w:t xml:space="preserve">With participants’ permission, the sessions will be audio recorded so the interviewer can reference the recordings when refining his/her notes. </w:t>
      </w:r>
      <w:r w:rsidR="00A932F2">
        <w:rPr>
          <w:rFonts w:ascii="Times New Roman" w:hAnsi="Times New Roman"/>
          <w:color w:val="000000"/>
        </w:rPr>
        <w:t>The audio of the entire c</w:t>
      </w:r>
      <w:r w:rsidR="00A932F2" w:rsidRPr="009D3114">
        <w:rPr>
          <w:rFonts w:ascii="Times New Roman" w:hAnsi="Times New Roman"/>
          <w:color w:val="000000"/>
        </w:rPr>
        <w:t>ognitive interview sessions will be recorde</w:t>
      </w:r>
      <w:r w:rsidR="00A932F2">
        <w:rPr>
          <w:rFonts w:ascii="Times New Roman" w:hAnsi="Times New Roman"/>
          <w:color w:val="000000"/>
        </w:rPr>
        <w:t xml:space="preserve">d, including the </w:t>
      </w:r>
      <w:r w:rsidR="00A94ED1">
        <w:rPr>
          <w:rFonts w:ascii="Times New Roman" w:hAnsi="Times New Roman"/>
          <w:color w:val="000000"/>
        </w:rPr>
        <w:t xml:space="preserve">interview </w:t>
      </w:r>
      <w:r w:rsidR="00A932F2">
        <w:rPr>
          <w:rFonts w:ascii="Times New Roman" w:hAnsi="Times New Roman"/>
          <w:color w:val="000000"/>
        </w:rPr>
        <w:t>questions and participants’ responses</w:t>
      </w:r>
      <w:r w:rsidR="00A932F2" w:rsidRPr="009D3114">
        <w:rPr>
          <w:rFonts w:ascii="Times New Roman" w:hAnsi="Times New Roman"/>
          <w:color w:val="000000"/>
        </w:rPr>
        <w:t>. The aud</w:t>
      </w:r>
      <w:r w:rsidR="00A932F2">
        <w:rPr>
          <w:rFonts w:ascii="Times New Roman" w:hAnsi="Times New Roman"/>
          <w:color w:val="000000"/>
        </w:rPr>
        <w:t>io will be recorded directly on</w:t>
      </w:r>
      <w:r w:rsidR="00A932F2" w:rsidRPr="009D3114">
        <w:rPr>
          <w:rFonts w:ascii="Times New Roman" w:hAnsi="Times New Roman"/>
          <w:color w:val="000000"/>
        </w:rPr>
        <w:t xml:space="preserve">to interviewer laptops using digital </w:t>
      </w:r>
      <w:r w:rsidR="00A932F2">
        <w:rPr>
          <w:rFonts w:ascii="Times New Roman" w:hAnsi="Times New Roman"/>
          <w:color w:val="000000"/>
        </w:rPr>
        <w:t xml:space="preserve">recording </w:t>
      </w:r>
      <w:r w:rsidR="00A932F2" w:rsidRPr="009D3114">
        <w:rPr>
          <w:rFonts w:ascii="Times New Roman" w:hAnsi="Times New Roman"/>
          <w:color w:val="000000"/>
        </w:rPr>
        <w:t xml:space="preserve">software </w:t>
      </w:r>
      <w:r w:rsidR="00A932F2">
        <w:rPr>
          <w:rFonts w:ascii="Times New Roman" w:hAnsi="Times New Roman"/>
          <w:color w:val="000000"/>
        </w:rPr>
        <w:t>(</w:t>
      </w:r>
      <w:r w:rsidR="00A932F2" w:rsidRPr="009D3114">
        <w:rPr>
          <w:rFonts w:ascii="Times New Roman" w:hAnsi="Times New Roman"/>
          <w:color w:val="000000"/>
        </w:rPr>
        <w:t>such as Audacity</w:t>
      </w:r>
      <w:r w:rsidR="00A932F2">
        <w:rPr>
          <w:rFonts w:ascii="Times New Roman" w:hAnsi="Times New Roman"/>
          <w:color w:val="000000"/>
        </w:rPr>
        <w:t>)</w:t>
      </w:r>
      <w:r w:rsidR="00A932F2" w:rsidRPr="009D3114">
        <w:rPr>
          <w:rFonts w:ascii="Times New Roman" w:hAnsi="Times New Roman"/>
          <w:color w:val="000000"/>
        </w:rPr>
        <w:t xml:space="preserve">. The </w:t>
      </w:r>
      <w:r w:rsidR="00A932F2">
        <w:rPr>
          <w:rFonts w:ascii="Times New Roman" w:hAnsi="Times New Roman"/>
          <w:color w:val="000000"/>
        </w:rPr>
        <w:t xml:space="preserve">digital files of the </w:t>
      </w:r>
      <w:r w:rsidR="00A932F2" w:rsidRPr="009D3114">
        <w:rPr>
          <w:rFonts w:ascii="Times New Roman" w:hAnsi="Times New Roman"/>
          <w:color w:val="000000"/>
        </w:rPr>
        <w:t xml:space="preserve">recordings will be labeled with the respondent case number </w:t>
      </w:r>
      <w:r w:rsidR="00A932F2">
        <w:rPr>
          <w:rFonts w:ascii="Times New Roman" w:hAnsi="Times New Roman"/>
          <w:color w:val="000000"/>
        </w:rPr>
        <w:t>on</w:t>
      </w:r>
      <w:r w:rsidR="00A932F2" w:rsidRPr="009D3114">
        <w:rPr>
          <w:rFonts w:ascii="Times New Roman" w:hAnsi="Times New Roman"/>
          <w:color w:val="000000"/>
        </w:rPr>
        <w:t xml:space="preserve"> laptop</w:t>
      </w:r>
      <w:r w:rsidR="00A932F2">
        <w:rPr>
          <w:rFonts w:ascii="Times New Roman" w:hAnsi="Times New Roman"/>
          <w:color w:val="000000"/>
        </w:rPr>
        <w:t xml:space="preserve">s </w:t>
      </w:r>
      <w:r w:rsidR="00A932F2" w:rsidRPr="009D3114">
        <w:rPr>
          <w:rFonts w:ascii="Times New Roman" w:hAnsi="Times New Roman"/>
          <w:color w:val="000000"/>
        </w:rPr>
        <w:t xml:space="preserve">secured with </w:t>
      </w:r>
      <w:r w:rsidR="00A932F2">
        <w:rPr>
          <w:rFonts w:ascii="Times New Roman" w:hAnsi="Times New Roman"/>
          <w:color w:val="000000"/>
        </w:rPr>
        <w:t>Checkpoint Endpoint disk encryption software</w:t>
      </w:r>
      <w:r w:rsidR="00A932F2" w:rsidRPr="009D3114">
        <w:rPr>
          <w:rFonts w:ascii="Times New Roman" w:hAnsi="Times New Roman"/>
          <w:color w:val="000000"/>
        </w:rPr>
        <w:t xml:space="preserve">. The links between the numeric file names and respondent identities will be kept separately from the audio recordings at all times. The audio files will not be transcribed, and they will not be transferred to any removable media, such as a CD. </w:t>
      </w:r>
    </w:p>
    <w:p w14:paraId="4D7C56E6" w14:textId="63CB8198" w:rsidR="00A932F2" w:rsidRPr="009D3114" w:rsidRDefault="00A932F2" w:rsidP="001932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0"/>
        <w:rPr>
          <w:rFonts w:ascii="Times New Roman" w:hAnsi="Times New Roman"/>
          <w:color w:val="000000"/>
        </w:rPr>
      </w:pPr>
      <w:r w:rsidRPr="009D3114">
        <w:rPr>
          <w:rFonts w:ascii="Times New Roman" w:hAnsi="Times New Roman"/>
          <w:color w:val="000000"/>
        </w:rPr>
        <w:t xml:space="preserve">Cognitive interviewers </w:t>
      </w:r>
      <w:r w:rsidR="00193258">
        <w:rPr>
          <w:rFonts w:ascii="Times New Roman" w:hAnsi="Times New Roman"/>
          <w:color w:val="000000"/>
        </w:rPr>
        <w:t>may</w:t>
      </w:r>
      <w:r w:rsidR="00193258" w:rsidRPr="009D3114">
        <w:rPr>
          <w:rFonts w:ascii="Times New Roman" w:hAnsi="Times New Roman"/>
          <w:color w:val="000000"/>
        </w:rPr>
        <w:t xml:space="preserve"> </w:t>
      </w:r>
      <w:r w:rsidRPr="009D3114">
        <w:rPr>
          <w:rFonts w:ascii="Times New Roman" w:hAnsi="Times New Roman"/>
          <w:color w:val="000000"/>
        </w:rPr>
        <w:t xml:space="preserve">take notes electronically on their </w:t>
      </w:r>
      <w:r>
        <w:rPr>
          <w:rFonts w:ascii="Times New Roman" w:hAnsi="Times New Roman"/>
          <w:color w:val="000000"/>
        </w:rPr>
        <w:t>laptops, which are also secured with Checkpoint Endpoint disk encryption software</w:t>
      </w:r>
      <w:r w:rsidRPr="009D3114">
        <w:rPr>
          <w:rFonts w:ascii="Times New Roman" w:hAnsi="Times New Roman"/>
          <w:color w:val="000000"/>
        </w:rPr>
        <w:t xml:space="preserve">. Thus, </w:t>
      </w:r>
      <w:r>
        <w:rPr>
          <w:rFonts w:ascii="Times New Roman" w:hAnsi="Times New Roman"/>
          <w:color w:val="000000"/>
        </w:rPr>
        <w:t xml:space="preserve">the </w:t>
      </w:r>
      <w:r w:rsidRPr="009D3114">
        <w:rPr>
          <w:rFonts w:ascii="Times New Roman" w:hAnsi="Times New Roman"/>
          <w:color w:val="000000"/>
        </w:rPr>
        <w:t xml:space="preserve">data on the laptops will be encrypted. </w:t>
      </w:r>
      <w:r w:rsidR="00193258">
        <w:rPr>
          <w:rFonts w:ascii="Times New Roman" w:hAnsi="Times New Roman"/>
          <w:color w:val="000000"/>
        </w:rPr>
        <w:t xml:space="preserve">Any hardcopy notes that are </w:t>
      </w:r>
      <w:r w:rsidR="00766339">
        <w:rPr>
          <w:rFonts w:ascii="Times New Roman" w:hAnsi="Times New Roman"/>
          <w:color w:val="000000"/>
        </w:rPr>
        <w:t>then transcribed electronically</w:t>
      </w:r>
      <w:r w:rsidR="00193258">
        <w:rPr>
          <w:rFonts w:ascii="Times New Roman" w:hAnsi="Times New Roman"/>
          <w:color w:val="000000"/>
        </w:rPr>
        <w:t xml:space="preserve"> will be stored </w:t>
      </w:r>
      <w:r w:rsidR="00766339">
        <w:rPr>
          <w:rFonts w:ascii="Times New Roman" w:hAnsi="Times New Roman"/>
          <w:color w:val="000000"/>
        </w:rPr>
        <w:t xml:space="preserve">only </w:t>
      </w:r>
      <w:r w:rsidR="00193258">
        <w:rPr>
          <w:rFonts w:ascii="Times New Roman" w:hAnsi="Times New Roman"/>
          <w:color w:val="000000"/>
        </w:rPr>
        <w:t xml:space="preserve">on interviewers’ laptops. Interviewers will use a </w:t>
      </w:r>
      <w:r w:rsidR="00766339">
        <w:rPr>
          <w:rFonts w:ascii="Times New Roman" w:hAnsi="Times New Roman"/>
          <w:color w:val="000000"/>
        </w:rPr>
        <w:t xml:space="preserve">unique </w:t>
      </w:r>
      <w:r w:rsidR="00193258">
        <w:rPr>
          <w:rFonts w:ascii="Times New Roman" w:hAnsi="Times New Roman"/>
          <w:color w:val="000000"/>
        </w:rPr>
        <w:t xml:space="preserve">case </w:t>
      </w:r>
      <w:r w:rsidR="00766339">
        <w:rPr>
          <w:rFonts w:ascii="Times New Roman" w:hAnsi="Times New Roman"/>
          <w:color w:val="000000"/>
        </w:rPr>
        <w:t xml:space="preserve">number </w:t>
      </w:r>
      <w:r w:rsidR="00193258">
        <w:rPr>
          <w:rFonts w:ascii="Times New Roman" w:hAnsi="Times New Roman"/>
          <w:color w:val="000000"/>
        </w:rPr>
        <w:t xml:space="preserve">rather than the participant’s name on all interview notes. </w:t>
      </w:r>
      <w:r w:rsidRPr="009D3114">
        <w:rPr>
          <w:rFonts w:ascii="Times New Roman" w:hAnsi="Times New Roman"/>
          <w:color w:val="000000"/>
        </w:rPr>
        <w:t xml:space="preserve">Other electronic files containing </w:t>
      </w:r>
      <w:r w:rsidR="00193258">
        <w:rPr>
          <w:rFonts w:ascii="Times New Roman" w:hAnsi="Times New Roman"/>
          <w:color w:val="000000"/>
        </w:rPr>
        <w:t xml:space="preserve">personal </w:t>
      </w:r>
      <w:r w:rsidRPr="009D3114">
        <w:rPr>
          <w:rFonts w:ascii="Times New Roman" w:hAnsi="Times New Roman"/>
          <w:color w:val="000000"/>
        </w:rPr>
        <w:t xml:space="preserve">information such as telephone numbers will be password protected, with the password set to expire within four weeks after </w:t>
      </w:r>
      <w:r>
        <w:rPr>
          <w:rFonts w:ascii="Times New Roman" w:hAnsi="Times New Roman"/>
          <w:color w:val="000000"/>
        </w:rPr>
        <w:t>the final memo</w:t>
      </w:r>
      <w:r w:rsidRPr="009D3114">
        <w:rPr>
          <w:rFonts w:ascii="Times New Roman" w:hAnsi="Times New Roman"/>
          <w:color w:val="000000"/>
        </w:rPr>
        <w:t xml:space="preserve"> </w:t>
      </w:r>
      <w:r>
        <w:rPr>
          <w:rFonts w:ascii="Times New Roman" w:hAnsi="Times New Roman"/>
          <w:color w:val="000000"/>
        </w:rPr>
        <w:t xml:space="preserve">with the cognitive interview findings </w:t>
      </w:r>
      <w:r w:rsidRPr="009D3114">
        <w:rPr>
          <w:rFonts w:ascii="Times New Roman" w:hAnsi="Times New Roman"/>
          <w:color w:val="000000"/>
        </w:rPr>
        <w:t>is completed</w:t>
      </w:r>
      <w:r>
        <w:rPr>
          <w:rFonts w:ascii="Times New Roman" w:hAnsi="Times New Roman"/>
          <w:color w:val="000000"/>
        </w:rPr>
        <w:t xml:space="preserve"> and approved by CBHSQ</w:t>
      </w:r>
      <w:r w:rsidRPr="009D3114">
        <w:rPr>
          <w:rFonts w:ascii="Times New Roman" w:hAnsi="Times New Roman"/>
          <w:color w:val="000000"/>
        </w:rPr>
        <w:t>. Both the electronic files and hardcopies will be destroyed at that time.</w:t>
      </w:r>
    </w:p>
    <w:p w14:paraId="4E671C3E"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4.</w:t>
      </w:r>
      <w:r w:rsidRPr="009D3114">
        <w:rPr>
          <w:rFonts w:ascii="Times New Roman" w:hAnsi="Times New Roman" w:cs="Times New Roman"/>
        </w:rPr>
        <w:tab/>
      </w:r>
      <w:r w:rsidRPr="009D3114">
        <w:rPr>
          <w:rFonts w:ascii="Times New Roman" w:hAnsi="Times New Roman" w:cs="Times New Roman"/>
          <w:u w:val="single"/>
        </w:rPr>
        <w:t>Efforts to Identify Duplication</w:t>
      </w:r>
    </w:p>
    <w:p w14:paraId="64B346C5" w14:textId="2EE80C9C" w:rsidR="00C34A09" w:rsidRPr="009D3114" w:rsidRDefault="00702CC8" w:rsidP="006774F7">
      <w:pPr>
        <w:pStyle w:val="BodyText"/>
        <w:ind w:left="630"/>
        <w:rPr>
          <w:rFonts w:ascii="Times New Roman" w:hAnsi="Times New Roman" w:cs="Times New Roman"/>
        </w:rPr>
      </w:pPr>
      <w:r>
        <w:t>CBHSQ is in contact with all major Federal health survey managers and is aware of no other efforts to assess how potential respondents may react to changes made to the NSDUH questionnaire</w:t>
      </w:r>
      <w:r w:rsidR="005647C2">
        <w:t xml:space="preserve"> based on DSM-5 revisions</w:t>
      </w:r>
      <w:r>
        <w:t>. To date, no duplication of effort has been identified</w:t>
      </w:r>
      <w:r w:rsidR="00A932F2">
        <w:t>.</w:t>
      </w:r>
    </w:p>
    <w:p w14:paraId="4CAEE203"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5.</w:t>
      </w:r>
      <w:r w:rsidRPr="009D3114">
        <w:rPr>
          <w:rFonts w:ascii="Times New Roman" w:hAnsi="Times New Roman" w:cs="Times New Roman"/>
        </w:rPr>
        <w:tab/>
      </w:r>
      <w:r w:rsidRPr="009D3114">
        <w:rPr>
          <w:rFonts w:ascii="Times New Roman" w:hAnsi="Times New Roman" w:cs="Times New Roman"/>
          <w:u w:val="single"/>
        </w:rPr>
        <w:t>Involvement of Small Entities</w:t>
      </w:r>
    </w:p>
    <w:p w14:paraId="6C215CE3" w14:textId="77777777" w:rsidR="00062ACC" w:rsidRPr="009D3114" w:rsidRDefault="00062ACC" w:rsidP="006774F7">
      <w:pPr>
        <w:pStyle w:val="BodyText"/>
        <w:ind w:left="630"/>
        <w:rPr>
          <w:rFonts w:ascii="Times New Roman" w:hAnsi="Times New Roman" w:cs="Times New Roman"/>
        </w:rPr>
      </w:pPr>
      <w:r w:rsidRPr="009D3114">
        <w:rPr>
          <w:rFonts w:ascii="Times New Roman" w:hAnsi="Times New Roman" w:cs="Times New Roman"/>
        </w:rPr>
        <w:t xml:space="preserve">This </w:t>
      </w:r>
      <w:r w:rsidR="00957517" w:rsidRPr="009D3114">
        <w:rPr>
          <w:rFonts w:ascii="Times New Roman" w:hAnsi="Times New Roman" w:cs="Times New Roman"/>
        </w:rPr>
        <w:t>survey</w:t>
      </w:r>
      <w:r w:rsidRPr="009D3114">
        <w:rPr>
          <w:rFonts w:ascii="Times New Roman" w:hAnsi="Times New Roman" w:cs="Times New Roman"/>
        </w:rPr>
        <w:t xml:space="preserve"> does not involve small businesses or other such entities.</w:t>
      </w:r>
      <w:r w:rsidR="00515597" w:rsidRPr="009D3114">
        <w:rPr>
          <w:rFonts w:ascii="Times New Roman" w:hAnsi="Times New Roman" w:cs="Times New Roman"/>
        </w:rPr>
        <w:t xml:space="preserve"> </w:t>
      </w:r>
    </w:p>
    <w:p w14:paraId="56F55B76"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6.</w:t>
      </w:r>
      <w:r w:rsidRPr="009D3114">
        <w:rPr>
          <w:rFonts w:ascii="Times New Roman" w:hAnsi="Times New Roman" w:cs="Times New Roman"/>
        </w:rPr>
        <w:tab/>
      </w:r>
      <w:r w:rsidRPr="009D3114">
        <w:rPr>
          <w:rFonts w:ascii="Times New Roman" w:hAnsi="Times New Roman" w:cs="Times New Roman"/>
          <w:u w:val="single"/>
        </w:rPr>
        <w:t xml:space="preserve">Consequences If Information </w:t>
      </w:r>
      <w:r w:rsidR="00DE5D98" w:rsidRPr="009D3114">
        <w:rPr>
          <w:rFonts w:ascii="Times New Roman" w:hAnsi="Times New Roman" w:cs="Times New Roman"/>
          <w:u w:val="single"/>
        </w:rPr>
        <w:t xml:space="preserve">Is </w:t>
      </w:r>
      <w:r w:rsidRPr="009D3114">
        <w:rPr>
          <w:rFonts w:ascii="Times New Roman" w:hAnsi="Times New Roman" w:cs="Times New Roman"/>
          <w:u w:val="single"/>
        </w:rPr>
        <w:t>Collected Less Frequently</w:t>
      </w:r>
    </w:p>
    <w:p w14:paraId="1DC2A665" w14:textId="1BA657B3" w:rsidR="00A932F2" w:rsidRDefault="00A932F2" w:rsidP="00DA1C21">
      <w:pPr>
        <w:pStyle w:val="BodyText"/>
        <w:ind w:left="630"/>
        <w:rPr>
          <w:rFonts w:ascii="Times New Roman" w:hAnsi="Times New Roman" w:cs="Times New Roman"/>
        </w:rPr>
      </w:pPr>
      <w:r>
        <w:rPr>
          <w:rFonts w:ascii="Times New Roman" w:hAnsi="Times New Roman" w:cs="Times New Roman"/>
        </w:rPr>
        <w:t xml:space="preserve">The changes to the NSDUH survey based on the findings of these cognitive interviews will </w:t>
      </w:r>
      <w:r w:rsidR="00DA1C21">
        <w:rPr>
          <w:rFonts w:ascii="Times New Roman" w:hAnsi="Times New Roman" w:cs="Times New Roman"/>
        </w:rPr>
        <w:t>be implemented</w:t>
      </w:r>
      <w:r>
        <w:rPr>
          <w:rFonts w:ascii="Times New Roman" w:hAnsi="Times New Roman" w:cs="Times New Roman"/>
        </w:rPr>
        <w:t xml:space="preserve"> in January 2017</w:t>
      </w:r>
      <w:r w:rsidR="00DA1C21">
        <w:rPr>
          <w:rFonts w:ascii="Times New Roman" w:hAnsi="Times New Roman" w:cs="Times New Roman"/>
        </w:rPr>
        <w:t xml:space="preserve"> when data collection begins</w:t>
      </w:r>
      <w:r>
        <w:rPr>
          <w:rFonts w:ascii="Times New Roman" w:hAnsi="Times New Roman" w:cs="Times New Roman"/>
        </w:rPr>
        <w:t xml:space="preserve">. In order to meet this deadline, collection and reporting of the DSM-5 interview results </w:t>
      </w:r>
      <w:r w:rsidR="001217AC">
        <w:rPr>
          <w:rFonts w:ascii="Times New Roman" w:hAnsi="Times New Roman" w:cs="Times New Roman"/>
        </w:rPr>
        <w:t>must</w:t>
      </w:r>
      <w:r>
        <w:rPr>
          <w:rFonts w:ascii="Times New Roman" w:hAnsi="Times New Roman" w:cs="Times New Roman"/>
        </w:rPr>
        <w:t xml:space="preserve"> conclude by </w:t>
      </w:r>
      <w:r w:rsidR="002B7278">
        <w:rPr>
          <w:rFonts w:ascii="Times New Roman" w:hAnsi="Times New Roman" w:cs="Times New Roman"/>
        </w:rPr>
        <w:t>December 2015</w:t>
      </w:r>
      <w:r w:rsidR="00BF52EB">
        <w:rPr>
          <w:rFonts w:ascii="Times New Roman" w:hAnsi="Times New Roman" w:cs="Times New Roman"/>
        </w:rPr>
        <w:t xml:space="preserve"> so that the new questions can be included in the 2017 NSDUH OMB package</w:t>
      </w:r>
      <w:r>
        <w:rPr>
          <w:rFonts w:ascii="Times New Roman" w:hAnsi="Times New Roman" w:cs="Times New Roman"/>
        </w:rPr>
        <w:t xml:space="preserve">. This project is a one-time collection and will not be repeated. </w:t>
      </w:r>
    </w:p>
    <w:p w14:paraId="7E1C01E0" w14:textId="7B485C91"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7.</w:t>
      </w:r>
      <w:r w:rsidRPr="009D3114">
        <w:rPr>
          <w:rFonts w:ascii="Times New Roman" w:hAnsi="Times New Roman" w:cs="Times New Roman"/>
        </w:rPr>
        <w:tab/>
      </w:r>
      <w:r w:rsidRPr="009D3114">
        <w:rPr>
          <w:rFonts w:ascii="Times New Roman" w:hAnsi="Times New Roman" w:cs="Times New Roman"/>
          <w:u w:val="single"/>
        </w:rPr>
        <w:t xml:space="preserve">Consistency </w:t>
      </w:r>
      <w:r w:rsidR="00320D4D" w:rsidRPr="009D3114">
        <w:rPr>
          <w:rFonts w:ascii="Times New Roman" w:hAnsi="Times New Roman" w:cs="Times New Roman"/>
          <w:u w:val="single"/>
        </w:rPr>
        <w:t>with</w:t>
      </w:r>
      <w:r w:rsidRPr="009D3114">
        <w:rPr>
          <w:rFonts w:ascii="Times New Roman" w:hAnsi="Times New Roman" w:cs="Times New Roman"/>
          <w:u w:val="single"/>
        </w:rPr>
        <w:t xml:space="preserve"> the Guidelines in 5 CFR 1320.5(d)(2)</w:t>
      </w:r>
    </w:p>
    <w:p w14:paraId="1380E0CB" w14:textId="77777777" w:rsidR="00062ACC" w:rsidRPr="00623813" w:rsidRDefault="00062ACC" w:rsidP="006774F7">
      <w:pPr>
        <w:pStyle w:val="BodyText"/>
        <w:ind w:left="630"/>
        <w:rPr>
          <w:rFonts w:ascii="Times New Roman" w:hAnsi="Times New Roman" w:cs="Times New Roman"/>
        </w:rPr>
      </w:pPr>
      <w:r w:rsidRPr="009D3114">
        <w:rPr>
          <w:rFonts w:ascii="Times New Roman" w:hAnsi="Times New Roman" w:cs="Times New Roman"/>
        </w:rPr>
        <w:t>Th</w:t>
      </w:r>
      <w:r w:rsidR="00111962" w:rsidRPr="009D3114">
        <w:rPr>
          <w:rFonts w:ascii="Times New Roman" w:hAnsi="Times New Roman" w:cs="Times New Roman"/>
        </w:rPr>
        <w:t xml:space="preserve">is information </w:t>
      </w:r>
      <w:r w:rsidR="00111962" w:rsidRPr="00623813">
        <w:rPr>
          <w:rFonts w:ascii="Times New Roman" w:hAnsi="Times New Roman" w:cs="Times New Roman"/>
        </w:rPr>
        <w:t xml:space="preserve">collection fully complies with </w:t>
      </w:r>
      <w:r w:rsidRPr="00623813">
        <w:rPr>
          <w:rFonts w:ascii="Times New Roman" w:hAnsi="Times New Roman" w:cs="Times New Roman"/>
        </w:rPr>
        <w:t>5 CFR 1320.5(d)(2).</w:t>
      </w:r>
    </w:p>
    <w:p w14:paraId="28C625E9" w14:textId="6BBB3B4C" w:rsidR="00AC1265" w:rsidRDefault="00062ACC" w:rsidP="00193258">
      <w:pPr>
        <w:pStyle w:val="Heading1"/>
        <w:tabs>
          <w:tab w:val="clear" w:pos="0"/>
        </w:tabs>
        <w:ind w:left="630"/>
        <w:rPr>
          <w:rFonts w:ascii="Times New Roman" w:eastAsiaTheme="minorHAnsi" w:hAnsi="Times New Roman"/>
          <w:b w:val="0"/>
        </w:rPr>
      </w:pPr>
      <w:r w:rsidRPr="00623813">
        <w:rPr>
          <w:rFonts w:ascii="Times New Roman" w:hAnsi="Times New Roman" w:cs="Times New Roman"/>
        </w:rPr>
        <w:t>8.</w:t>
      </w:r>
      <w:r w:rsidRPr="00623813">
        <w:rPr>
          <w:rFonts w:ascii="Times New Roman" w:hAnsi="Times New Roman" w:cs="Times New Roman"/>
        </w:rPr>
        <w:tab/>
      </w:r>
      <w:r w:rsidRPr="00623813">
        <w:rPr>
          <w:rFonts w:ascii="Times New Roman" w:hAnsi="Times New Roman" w:cs="Times New Roman"/>
          <w:u w:val="single"/>
        </w:rPr>
        <w:t>Consultation Outside the Agency</w:t>
      </w:r>
      <w:r w:rsidR="00B40BF2" w:rsidRPr="00623813">
        <w:rPr>
          <w:rFonts w:ascii="Times New Roman" w:eastAsiaTheme="minorHAnsi" w:hAnsi="Times New Roman"/>
        </w:rPr>
        <w:tab/>
      </w:r>
    </w:p>
    <w:p w14:paraId="0520394B" w14:textId="46F93E9F" w:rsidR="00775E90" w:rsidRDefault="00775E90" w:rsidP="00775E90">
      <w:pPr>
        <w:ind w:left="630"/>
      </w:pPr>
      <w:r>
        <w:t xml:space="preserve">External expert reviews were conducted in two phases. The first phase involved a </w:t>
      </w:r>
      <w:r w:rsidR="0085609C">
        <w:t xml:space="preserve">substantive </w:t>
      </w:r>
      <w:r>
        <w:t xml:space="preserve">review by substance abuse experts at the National Institute of Drug Abuse and Dartmouth University. As part of </w:t>
      </w:r>
      <w:r w:rsidR="0085609C">
        <w:t>that</w:t>
      </w:r>
      <w:r>
        <w:t xml:space="preserve"> review, experts were provided with an overview of </w:t>
      </w:r>
      <w:r>
        <w:lastRenderedPageBreak/>
        <w:t>the NSDUH, copies of the DSM-5 criteria for cannabis use disorder</w:t>
      </w:r>
      <w:r w:rsidR="00543A72">
        <w:t>,</w:t>
      </w:r>
      <w:r>
        <w:t xml:space="preserve"> and additional text on substance use disorder measurement in general</w:t>
      </w:r>
      <w:r w:rsidR="00766339">
        <w:t xml:space="preserve">. Experts were also provided </w:t>
      </w:r>
      <w:r w:rsidR="00543A72">
        <w:t xml:space="preserve">a </w:t>
      </w:r>
      <w:r>
        <w:t xml:space="preserve">report that examined diagnostic criteria changes from </w:t>
      </w:r>
      <w:r w:rsidR="00543A72">
        <w:t xml:space="preserve">the </w:t>
      </w:r>
      <w:r>
        <w:t>DSM-IV to DSM-5 and evaluated their impact on the NSDUH</w:t>
      </w:r>
      <w:r w:rsidR="00766339">
        <w:t xml:space="preserve">, as well as </w:t>
      </w:r>
      <w:r>
        <w:t xml:space="preserve">a draft of the revised cannabis use disorder module with the draft items and specific questions regarding how well the substantive experts felt the questions aligned with </w:t>
      </w:r>
      <w:r w:rsidR="00543A72">
        <w:t xml:space="preserve">the </w:t>
      </w:r>
      <w:r>
        <w:t>DSM-5 criteria. The substantive reviewers included:</w:t>
      </w:r>
    </w:p>
    <w:p w14:paraId="5654E1FA" w14:textId="77777777" w:rsidR="00107D2E" w:rsidRPr="00D75A1E" w:rsidRDefault="00107D2E" w:rsidP="00107D2E">
      <w:pPr>
        <w:pStyle w:val="Bullett1"/>
      </w:pPr>
      <w:r>
        <w:t>Maureen Boyle, Ph.D., Branch Chief</w:t>
      </w:r>
      <w:r>
        <w:br/>
      </w:r>
      <w:r>
        <w:rPr>
          <w:rStyle w:val="Title1"/>
        </w:rPr>
        <w:t>Science Policy Branch,</w:t>
      </w:r>
      <w:r w:rsidRPr="00D75A1E">
        <w:t xml:space="preserve"> National Institute on Drug Abuse</w:t>
      </w:r>
      <w:r>
        <w:br/>
        <w:t>(301) 443-6071</w:t>
      </w:r>
    </w:p>
    <w:p w14:paraId="3D60EDC7" w14:textId="77777777" w:rsidR="004450E9" w:rsidRDefault="00193258" w:rsidP="002C29F7">
      <w:pPr>
        <w:pStyle w:val="Bullett1"/>
      </w:pPr>
      <w:r w:rsidRPr="00D75A1E">
        <w:t>Alan J. Budney, Ph.D., Professor</w:t>
      </w:r>
      <w:r w:rsidR="002C29F7">
        <w:br/>
      </w:r>
      <w:r w:rsidRPr="002C29F7">
        <w:rPr>
          <w:color w:val="auto"/>
        </w:rPr>
        <w:t xml:space="preserve">Geisel School of Medicine, </w:t>
      </w:r>
      <w:r w:rsidRPr="00D75A1E">
        <w:t>Dartmouth University</w:t>
      </w:r>
      <w:r w:rsidR="002C29F7">
        <w:br/>
      </w:r>
      <w:r>
        <w:t>(</w:t>
      </w:r>
      <w:r w:rsidRPr="00E87118">
        <w:t>603</w:t>
      </w:r>
      <w:r>
        <w:t xml:space="preserve">) </w:t>
      </w:r>
      <w:r w:rsidRPr="00E87118">
        <w:t>653-1821</w:t>
      </w:r>
    </w:p>
    <w:p w14:paraId="6977B3B8" w14:textId="4A8EB4F2" w:rsidR="00193258" w:rsidRDefault="00193258" w:rsidP="002C29F7">
      <w:pPr>
        <w:pStyle w:val="Bullett1"/>
      </w:pPr>
      <w:r>
        <w:t>Wilson M. Compton, M.D., Deputy Director</w:t>
      </w:r>
      <w:r w:rsidR="002C29F7">
        <w:br/>
      </w:r>
      <w:r w:rsidRPr="005450AB">
        <w:t>National Institute on Drug Abuse</w:t>
      </w:r>
      <w:r w:rsidR="002C29F7">
        <w:br/>
      </w:r>
      <w:r>
        <w:t>(</w:t>
      </w:r>
      <w:r w:rsidRPr="00ED5658">
        <w:t>301</w:t>
      </w:r>
      <w:r>
        <w:t xml:space="preserve">) </w:t>
      </w:r>
      <w:r w:rsidRPr="00ED5658">
        <w:t>443-6480</w:t>
      </w:r>
    </w:p>
    <w:p w14:paraId="37F4A4B9" w14:textId="7FBE2894" w:rsidR="00193258" w:rsidRDefault="00775E90" w:rsidP="002C29F7">
      <w:pPr>
        <w:pStyle w:val="BodyText"/>
      </w:pPr>
      <w:r>
        <w:t xml:space="preserve">Once feedback was </w:t>
      </w:r>
      <w:r w:rsidR="00E310CA">
        <w:t xml:space="preserve">received from </w:t>
      </w:r>
      <w:r>
        <w:t xml:space="preserve">the substantive reviewers, the draft </w:t>
      </w:r>
      <w:r w:rsidR="00E310CA">
        <w:t>questionnaire</w:t>
      </w:r>
      <w:r>
        <w:t xml:space="preserve"> was revised </w:t>
      </w:r>
      <w:r w:rsidR="00E310CA">
        <w:t>prior to the</w:t>
      </w:r>
      <w:r>
        <w:t xml:space="preserve"> second phase of external review</w:t>
      </w:r>
      <w:r w:rsidR="00E310CA">
        <w:t>, which</w:t>
      </w:r>
      <w:r>
        <w:t xml:space="preserve"> focused on methodological concerns</w:t>
      </w:r>
      <w:r w:rsidR="00E310CA">
        <w:t>. For this second review, t</w:t>
      </w:r>
      <w:r>
        <w:t xml:space="preserve">he revised </w:t>
      </w:r>
      <w:r w:rsidR="00E310CA">
        <w:t>questionnaire</w:t>
      </w:r>
      <w:r>
        <w:t xml:space="preserve"> and other materials were sent to external methodologist</w:t>
      </w:r>
      <w:r w:rsidR="00E310CA">
        <w:t>s</w:t>
      </w:r>
      <w:r>
        <w:t xml:space="preserve"> for their </w:t>
      </w:r>
      <w:r w:rsidR="00E310CA">
        <w:t xml:space="preserve">review and </w:t>
      </w:r>
      <w:r>
        <w:t xml:space="preserve">feedback. They were asked </w:t>
      </w:r>
      <w:r w:rsidR="00E310CA">
        <w:t xml:space="preserve">to address </w:t>
      </w:r>
      <w:r>
        <w:t>possible contextual issues, concerns over word choices and respondent comprehension, and skip pattern and question structure. The methodological reviewers included</w:t>
      </w:r>
      <w:r w:rsidR="00193258">
        <w:t>:</w:t>
      </w:r>
    </w:p>
    <w:p w14:paraId="37DC4B75" w14:textId="115D749F" w:rsidR="00193258" w:rsidRPr="002C29F7" w:rsidRDefault="002C29F7" w:rsidP="002C29F7">
      <w:pPr>
        <w:pStyle w:val="Bullett1"/>
        <w:rPr>
          <w:color w:val="000000"/>
          <w:shd w:val="clear" w:color="auto" w:fill="FFFFFF"/>
        </w:rPr>
      </w:pPr>
      <w:r>
        <w:t>Paul C. Beatty, Ph.D., Chief</w:t>
      </w:r>
      <w:r>
        <w:br/>
      </w:r>
      <w:r w:rsidR="00193258">
        <w:t>Center for Survey Measurement, U.S. Census Bureau</w:t>
      </w:r>
      <w:r>
        <w:br/>
      </w:r>
      <w:r w:rsidR="00193258">
        <w:t>(</w:t>
      </w:r>
      <w:r w:rsidR="00193258" w:rsidRPr="002C29F7">
        <w:rPr>
          <w:color w:val="000000"/>
          <w:shd w:val="clear" w:color="auto" w:fill="FFFFFF"/>
        </w:rPr>
        <w:t>301) 763-5001</w:t>
      </w:r>
    </w:p>
    <w:p w14:paraId="1A782652" w14:textId="4CB43E79" w:rsidR="00193258" w:rsidRDefault="00193258" w:rsidP="002C29F7">
      <w:pPr>
        <w:pStyle w:val="Bullett1"/>
      </w:pPr>
      <w:r>
        <w:t>Gordon Willis</w:t>
      </w:r>
      <w:r w:rsidR="002C29F7">
        <w:t>, Ph.D., Cognitive Psychologist</w:t>
      </w:r>
      <w:r w:rsidR="002C29F7">
        <w:br/>
      </w:r>
      <w:r>
        <w:t xml:space="preserve">Office of the Associate Director of the Applied Research Program, </w:t>
      </w:r>
      <w:r w:rsidRPr="002C29F7">
        <w:rPr>
          <w:rFonts w:ascii="Times New Roman" w:hAnsi="Times New Roman"/>
        </w:rPr>
        <w:t>National Cancer Institute</w:t>
      </w:r>
      <w:r w:rsidR="002C29F7">
        <w:rPr>
          <w:rFonts w:ascii="Times New Roman" w:hAnsi="Times New Roman"/>
        </w:rPr>
        <w:br/>
      </w:r>
      <w:r>
        <w:t>(</w:t>
      </w:r>
      <w:r w:rsidRPr="00E87118">
        <w:t>240</w:t>
      </w:r>
      <w:r>
        <w:t xml:space="preserve">) </w:t>
      </w:r>
      <w:r w:rsidRPr="00E87118">
        <w:t>276</w:t>
      </w:r>
      <w:r>
        <w:t>-</w:t>
      </w:r>
      <w:r w:rsidRPr="00E87118">
        <w:t>6788</w:t>
      </w:r>
    </w:p>
    <w:p w14:paraId="27CD0925" w14:textId="56855B4A" w:rsidR="00581E5A" w:rsidRPr="009D3114" w:rsidRDefault="00193258" w:rsidP="00B636F5">
      <w:pPr>
        <w:ind w:left="630"/>
        <w:rPr>
          <w:rFonts w:ascii="Times New Roman" w:hAnsi="Times New Roman"/>
        </w:rPr>
      </w:pPr>
      <w:r>
        <w:t xml:space="preserve">Based on the feedback </w:t>
      </w:r>
      <w:r w:rsidR="002C29F7">
        <w:t xml:space="preserve">provided by </w:t>
      </w:r>
      <w:r>
        <w:t>the methodologists, the items were further revised into their current form.</w:t>
      </w:r>
    </w:p>
    <w:p w14:paraId="7FE4A3E8" w14:textId="77777777" w:rsidR="00581E5A" w:rsidRPr="009D3114" w:rsidRDefault="00581E5A" w:rsidP="006774F7">
      <w:pPr>
        <w:pStyle w:val="Heading1"/>
        <w:tabs>
          <w:tab w:val="clear" w:pos="0"/>
        </w:tabs>
        <w:ind w:left="630"/>
        <w:rPr>
          <w:rFonts w:ascii="Times New Roman" w:hAnsi="Times New Roman" w:cs="Times New Roman"/>
        </w:rPr>
      </w:pPr>
      <w:r w:rsidRPr="009D3114">
        <w:rPr>
          <w:rFonts w:ascii="Times New Roman" w:hAnsi="Times New Roman" w:cs="Times New Roman"/>
        </w:rPr>
        <w:t>9.</w:t>
      </w:r>
      <w:r w:rsidRPr="009D3114">
        <w:rPr>
          <w:rFonts w:ascii="Times New Roman" w:hAnsi="Times New Roman" w:cs="Times New Roman"/>
        </w:rPr>
        <w:tab/>
      </w:r>
      <w:r w:rsidRPr="009D3114">
        <w:rPr>
          <w:rFonts w:ascii="Times New Roman" w:hAnsi="Times New Roman" w:cs="Times New Roman"/>
          <w:u w:val="single"/>
        </w:rPr>
        <w:t>Payment to Respondents</w:t>
      </w:r>
    </w:p>
    <w:p w14:paraId="08F072E8" w14:textId="4A58171E" w:rsidR="003D6044" w:rsidRDefault="00CD6F55" w:rsidP="002C29F7">
      <w:pPr>
        <w:spacing w:after="120"/>
        <w:ind w:left="630"/>
        <w:rPr>
          <w:rFonts w:ascii="Times New Roman" w:hAnsi="Times New Roman"/>
        </w:rPr>
      </w:pPr>
      <w:r>
        <w:rPr>
          <w:rFonts w:ascii="Times New Roman" w:hAnsi="Times New Roman"/>
        </w:rPr>
        <w:t>Both a</w:t>
      </w:r>
      <w:r w:rsidR="000B627D" w:rsidRPr="009D3114">
        <w:rPr>
          <w:rFonts w:ascii="Times New Roman" w:hAnsi="Times New Roman"/>
        </w:rPr>
        <w:t xml:space="preserve">dult (aged 18 </w:t>
      </w:r>
      <w:r w:rsidR="002C29F7">
        <w:rPr>
          <w:rFonts w:ascii="Times New Roman" w:hAnsi="Times New Roman"/>
        </w:rPr>
        <w:t>and</w:t>
      </w:r>
      <w:r w:rsidR="002C29F7" w:rsidRPr="009D3114">
        <w:rPr>
          <w:rFonts w:ascii="Times New Roman" w:hAnsi="Times New Roman"/>
        </w:rPr>
        <w:t xml:space="preserve"> </w:t>
      </w:r>
      <w:r w:rsidR="000B627D" w:rsidRPr="009D3114">
        <w:rPr>
          <w:rFonts w:ascii="Times New Roman" w:hAnsi="Times New Roman"/>
        </w:rPr>
        <w:t xml:space="preserve">older) and youth </w:t>
      </w:r>
      <w:r w:rsidR="00A67C57">
        <w:rPr>
          <w:rFonts w:ascii="Times New Roman" w:hAnsi="Times New Roman"/>
        </w:rPr>
        <w:t xml:space="preserve">(aged 12 to 17) cognitive interview </w:t>
      </w:r>
      <w:r w:rsidR="002C29F7">
        <w:rPr>
          <w:rFonts w:ascii="Times New Roman" w:hAnsi="Times New Roman"/>
        </w:rPr>
        <w:t>participants</w:t>
      </w:r>
      <w:r w:rsidR="002C29F7" w:rsidRPr="009D3114">
        <w:rPr>
          <w:rFonts w:ascii="Times New Roman" w:hAnsi="Times New Roman"/>
        </w:rPr>
        <w:t xml:space="preserve"> </w:t>
      </w:r>
      <w:r w:rsidR="00560890" w:rsidRPr="009D3114">
        <w:rPr>
          <w:rFonts w:ascii="Times New Roman" w:hAnsi="Times New Roman"/>
        </w:rPr>
        <w:t>will be given $</w:t>
      </w:r>
      <w:r w:rsidR="00B321A6">
        <w:rPr>
          <w:rFonts w:ascii="Times New Roman" w:hAnsi="Times New Roman"/>
        </w:rPr>
        <w:t>4</w:t>
      </w:r>
      <w:r w:rsidR="00B321A6" w:rsidRPr="009D3114">
        <w:rPr>
          <w:rFonts w:ascii="Times New Roman" w:hAnsi="Times New Roman"/>
        </w:rPr>
        <w:t xml:space="preserve">0 </w:t>
      </w:r>
      <w:r w:rsidR="00560890" w:rsidRPr="009D3114">
        <w:rPr>
          <w:rFonts w:ascii="Times New Roman" w:hAnsi="Times New Roman"/>
        </w:rPr>
        <w:t xml:space="preserve">cash for </w:t>
      </w:r>
      <w:r w:rsidR="008F7768">
        <w:rPr>
          <w:rFonts w:ascii="Times New Roman" w:hAnsi="Times New Roman"/>
        </w:rPr>
        <w:t xml:space="preserve">completion of the interview. </w:t>
      </w:r>
      <w:r w:rsidR="008F7768" w:rsidRPr="00D41CEE">
        <w:rPr>
          <w:rFonts w:ascii="Times New Roman" w:hAnsi="Times New Roman"/>
        </w:rPr>
        <w:t xml:space="preserve">The interviews </w:t>
      </w:r>
      <w:r w:rsidR="008F7768">
        <w:rPr>
          <w:rFonts w:ascii="Times New Roman" w:hAnsi="Times New Roman"/>
        </w:rPr>
        <w:t>will</w:t>
      </w:r>
      <w:r w:rsidR="008F7768" w:rsidRPr="00D41CEE">
        <w:rPr>
          <w:rFonts w:ascii="Times New Roman" w:hAnsi="Times New Roman"/>
        </w:rPr>
        <w:t xml:space="preserve"> last, on average, 60 minutes. </w:t>
      </w:r>
      <w:r w:rsidR="0013596F">
        <w:rPr>
          <w:rFonts w:ascii="Times New Roman" w:hAnsi="Times New Roman"/>
        </w:rPr>
        <w:t xml:space="preserve">This incentive amount will be sufficient to compensate for the participants’ time and any travel expenses incurred (Willis, 2005). </w:t>
      </w:r>
      <w:r w:rsidR="00304F22">
        <w:rPr>
          <w:rFonts w:ascii="Times New Roman" w:hAnsi="Times New Roman"/>
        </w:rPr>
        <w:t xml:space="preserve">This amount is consistent with the amount requested for other studies of this length. </w:t>
      </w:r>
    </w:p>
    <w:p w14:paraId="017108D3" w14:textId="1CFA4D2E" w:rsidR="00757C08" w:rsidRDefault="0013596F" w:rsidP="006774F7">
      <w:pPr>
        <w:spacing w:after="120"/>
        <w:ind w:left="630"/>
        <w:rPr>
          <w:rFonts w:ascii="Times New Roman" w:hAnsi="Times New Roman"/>
        </w:rPr>
      </w:pPr>
      <w:r>
        <w:rPr>
          <w:rFonts w:ascii="Times New Roman" w:hAnsi="Times New Roman"/>
        </w:rPr>
        <w:t>T</w:t>
      </w:r>
      <w:r w:rsidR="00757C08">
        <w:rPr>
          <w:rFonts w:ascii="Times New Roman" w:hAnsi="Times New Roman"/>
        </w:rPr>
        <w:t xml:space="preserve">his incentive amount </w:t>
      </w:r>
      <w:r>
        <w:rPr>
          <w:rFonts w:ascii="Times New Roman" w:hAnsi="Times New Roman"/>
        </w:rPr>
        <w:t xml:space="preserve">is recommended </w:t>
      </w:r>
      <w:r w:rsidR="00757C08">
        <w:rPr>
          <w:rFonts w:ascii="Times New Roman" w:hAnsi="Times New Roman"/>
        </w:rPr>
        <w:t xml:space="preserve">for adolescents </w:t>
      </w:r>
      <w:r w:rsidR="00B321A6">
        <w:rPr>
          <w:rFonts w:ascii="Times New Roman" w:hAnsi="Times New Roman"/>
        </w:rPr>
        <w:t xml:space="preserve">as well as </w:t>
      </w:r>
      <w:r w:rsidR="00757C08">
        <w:rPr>
          <w:rFonts w:ascii="Times New Roman" w:hAnsi="Times New Roman"/>
        </w:rPr>
        <w:t xml:space="preserve">adults </w:t>
      </w:r>
      <w:r>
        <w:rPr>
          <w:rFonts w:ascii="Times New Roman" w:hAnsi="Times New Roman"/>
        </w:rPr>
        <w:t xml:space="preserve">based on experience recruiting </w:t>
      </w:r>
      <w:r w:rsidR="00304F22">
        <w:rPr>
          <w:rFonts w:ascii="Times New Roman" w:hAnsi="Times New Roman"/>
        </w:rPr>
        <w:t xml:space="preserve">participants from </w:t>
      </w:r>
      <w:r>
        <w:rPr>
          <w:rFonts w:ascii="Times New Roman" w:hAnsi="Times New Roman"/>
        </w:rPr>
        <w:t>a specific</w:t>
      </w:r>
      <w:r w:rsidR="00304F22">
        <w:rPr>
          <w:rFonts w:ascii="Times New Roman" w:hAnsi="Times New Roman"/>
        </w:rPr>
        <w:t xml:space="preserve"> population</w:t>
      </w:r>
      <w:r>
        <w:rPr>
          <w:rFonts w:ascii="Times New Roman" w:hAnsi="Times New Roman"/>
        </w:rPr>
        <w:t xml:space="preserve"> – in this case, </w:t>
      </w:r>
      <w:r w:rsidR="003D6044">
        <w:rPr>
          <w:rFonts w:ascii="Times New Roman" w:hAnsi="Times New Roman"/>
        </w:rPr>
        <w:t xml:space="preserve">adolescent </w:t>
      </w:r>
      <w:r>
        <w:rPr>
          <w:rFonts w:ascii="Times New Roman" w:hAnsi="Times New Roman"/>
        </w:rPr>
        <w:t>drug users.</w:t>
      </w:r>
      <w:r w:rsidR="00757C08">
        <w:rPr>
          <w:rFonts w:ascii="Times New Roman" w:hAnsi="Times New Roman"/>
        </w:rPr>
        <w:t xml:space="preserve"> </w:t>
      </w:r>
      <w:r w:rsidRPr="009D3114">
        <w:rPr>
          <w:rFonts w:ascii="Times New Roman" w:hAnsi="Times New Roman"/>
        </w:rPr>
        <w:t xml:space="preserve">Given the relationship of the schedule for cognitive interviewing to the schedule for fielding the revised NSDUH instrument by January </w:t>
      </w:r>
      <w:r>
        <w:rPr>
          <w:rFonts w:ascii="Times New Roman" w:hAnsi="Times New Roman"/>
        </w:rPr>
        <w:t>2017</w:t>
      </w:r>
      <w:r w:rsidRPr="009D3114">
        <w:rPr>
          <w:rFonts w:ascii="Times New Roman" w:hAnsi="Times New Roman"/>
        </w:rPr>
        <w:t>, significant delays in recruiting participants with a lower incentive amount could adversely affect the timely implementation of these future activities.</w:t>
      </w:r>
    </w:p>
    <w:p w14:paraId="686C3EC6" w14:textId="670854F4" w:rsidR="00560890" w:rsidRPr="009D3114" w:rsidRDefault="00560890" w:rsidP="006774F7">
      <w:pPr>
        <w:widowControl/>
        <w:tabs>
          <w:tab w:val="left" w:pos="720"/>
        </w:tabs>
        <w:spacing w:after="120"/>
        <w:ind w:left="630" w:hanging="630"/>
        <w:rPr>
          <w:rFonts w:ascii="Times New Roman" w:hAnsi="Times New Roman"/>
        </w:rPr>
      </w:pPr>
      <w:r w:rsidRPr="009D3114">
        <w:rPr>
          <w:rFonts w:ascii="Times New Roman" w:hAnsi="Times New Roman"/>
        </w:rPr>
        <w:lastRenderedPageBreak/>
        <w:tab/>
        <w:t xml:space="preserve">The incentive for the </w:t>
      </w:r>
      <w:r w:rsidR="004E0D0F">
        <w:rPr>
          <w:rFonts w:ascii="Times New Roman" w:hAnsi="Times New Roman"/>
        </w:rPr>
        <w:t xml:space="preserve">cognitive </w:t>
      </w:r>
      <w:r w:rsidRPr="009D3114">
        <w:rPr>
          <w:rFonts w:ascii="Times New Roman" w:hAnsi="Times New Roman"/>
        </w:rPr>
        <w:t xml:space="preserve">interview is mentioned in the following materials:  </w:t>
      </w:r>
      <w:r w:rsidR="00EC2A76" w:rsidRPr="00997436">
        <w:t xml:space="preserve">Recruitment Flyers </w:t>
      </w:r>
      <w:r w:rsidR="00AB3ABE">
        <w:t>(</w:t>
      </w:r>
      <w:r w:rsidR="00EC2A76" w:rsidRPr="00997436">
        <w:t>Attachment A</w:t>
      </w:r>
      <w:r w:rsidR="00AB3ABE">
        <w:t>)</w:t>
      </w:r>
      <w:r w:rsidR="00EC2A76" w:rsidRPr="00997436">
        <w:t xml:space="preserve">, </w:t>
      </w:r>
      <w:r w:rsidR="00543ED4">
        <w:t>Web</w:t>
      </w:r>
      <w:r w:rsidR="00543ED4" w:rsidRPr="00997436">
        <w:t xml:space="preserve"> </w:t>
      </w:r>
      <w:r w:rsidR="00AB3ABE">
        <w:t xml:space="preserve">Recruitment </w:t>
      </w:r>
      <w:r w:rsidR="00DE48AC">
        <w:t>Screener</w:t>
      </w:r>
      <w:r w:rsidR="00AB3ABE">
        <w:t xml:space="preserve"> (</w:t>
      </w:r>
      <w:r w:rsidR="00EC2A76" w:rsidRPr="00997436">
        <w:t>Attachment B</w:t>
      </w:r>
      <w:r w:rsidR="00AB3ABE">
        <w:t>)</w:t>
      </w:r>
      <w:r w:rsidR="00EC2A76" w:rsidRPr="00997436">
        <w:t>,</w:t>
      </w:r>
      <w:r w:rsidR="00543ED4">
        <w:t xml:space="preserve"> Telephone </w:t>
      </w:r>
      <w:r w:rsidR="00AB3ABE">
        <w:t>Recruitment Screener (</w:t>
      </w:r>
      <w:r w:rsidR="00543ED4">
        <w:t>Attachment C</w:t>
      </w:r>
      <w:r w:rsidR="00AB3ABE">
        <w:t>)</w:t>
      </w:r>
      <w:r w:rsidR="000F4B0F">
        <w:t>,</w:t>
      </w:r>
      <w:r w:rsidR="00EC2A76" w:rsidRPr="00997436">
        <w:t xml:space="preserve"> Parental </w:t>
      </w:r>
      <w:r w:rsidR="00EC2A76">
        <w:t>Permission Form</w:t>
      </w:r>
      <w:r w:rsidR="00AB3ABE">
        <w:t xml:space="preserve"> (</w:t>
      </w:r>
      <w:r w:rsidR="00EC2A76" w:rsidRPr="00997436">
        <w:t xml:space="preserve">Attachment </w:t>
      </w:r>
      <w:r w:rsidR="00543ED4">
        <w:t>D</w:t>
      </w:r>
      <w:r w:rsidR="00AB3ABE">
        <w:t>)</w:t>
      </w:r>
      <w:r w:rsidR="00EC2A76" w:rsidRPr="00997436">
        <w:t>, Part</w:t>
      </w:r>
      <w:r w:rsidR="00AB3ABE">
        <w:t>icipant Informed Consent Forms (</w:t>
      </w:r>
      <w:r w:rsidR="00EC2A76" w:rsidRPr="00997436">
        <w:t xml:space="preserve">Attachment </w:t>
      </w:r>
      <w:r w:rsidR="00543ED4">
        <w:t>E</w:t>
      </w:r>
      <w:r w:rsidR="00AB3ABE">
        <w:t>)</w:t>
      </w:r>
      <w:r w:rsidR="00EC2A76" w:rsidRPr="00997436">
        <w:t>, Prot</w:t>
      </w:r>
      <w:r w:rsidR="00AB3ABE">
        <w:t>ocol for Cognitive Interviews (</w:t>
      </w:r>
      <w:r w:rsidR="00EC2A76" w:rsidRPr="00997436">
        <w:t xml:space="preserve">Attachment </w:t>
      </w:r>
      <w:r w:rsidR="00543ED4">
        <w:t>F</w:t>
      </w:r>
      <w:r w:rsidR="00AB3ABE">
        <w:t>)</w:t>
      </w:r>
      <w:r w:rsidR="00EC2A76" w:rsidRPr="00997436">
        <w:t xml:space="preserve">, and </w:t>
      </w:r>
      <w:r w:rsidR="00AB3ABE">
        <w:t xml:space="preserve">Cognitive Interview </w:t>
      </w:r>
      <w:r w:rsidR="00EC2A76" w:rsidRPr="00997436">
        <w:t xml:space="preserve">Receipt for </w:t>
      </w:r>
      <w:r w:rsidR="00EC2A76">
        <w:t>Participation</w:t>
      </w:r>
      <w:r w:rsidR="00AB3ABE">
        <w:t xml:space="preserve"> (</w:t>
      </w:r>
      <w:r w:rsidR="00EC2A76" w:rsidRPr="00997436">
        <w:t xml:space="preserve">Attachment </w:t>
      </w:r>
      <w:r w:rsidR="00543ED4">
        <w:t>G</w:t>
      </w:r>
      <w:r w:rsidR="00AB3ABE">
        <w:t>)</w:t>
      </w:r>
      <w:r w:rsidR="00EC2A76" w:rsidRPr="00997436">
        <w:t>.</w:t>
      </w:r>
    </w:p>
    <w:p w14:paraId="1BB10DA5"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10.</w:t>
      </w:r>
      <w:r w:rsidRPr="009D3114">
        <w:rPr>
          <w:rFonts w:ascii="Times New Roman" w:hAnsi="Times New Roman" w:cs="Times New Roman"/>
        </w:rPr>
        <w:tab/>
      </w:r>
      <w:r w:rsidRPr="009D3114">
        <w:rPr>
          <w:rFonts w:ascii="Times New Roman" w:hAnsi="Times New Roman" w:cs="Times New Roman"/>
          <w:u w:val="single"/>
        </w:rPr>
        <w:t>Assurance of Confidentiality</w:t>
      </w:r>
    </w:p>
    <w:p w14:paraId="42FE3459" w14:textId="387009A3" w:rsidR="00E42B74" w:rsidRDefault="00E42B74" w:rsidP="006774F7">
      <w:pPr>
        <w:pStyle w:val="BodyText"/>
        <w:ind w:left="630"/>
        <w:rPr>
          <w:rFonts w:ascii="Times New Roman" w:hAnsi="Times New Roman" w:cs="Times New Roman"/>
        </w:rPr>
      </w:pPr>
      <w:r w:rsidRPr="009D3114">
        <w:rPr>
          <w:rFonts w:ascii="Times New Roman" w:hAnsi="Times New Roman" w:cs="Times New Roman"/>
        </w:rPr>
        <w:t>Concern for the confidentiality and protection of respondents’ rights has always played a central part in the implementation of NSDUH and will continue to be given the utmost emphasis.</w:t>
      </w:r>
    </w:p>
    <w:p w14:paraId="03A53039" w14:textId="7FFF8DFE" w:rsidR="00E42B74" w:rsidRDefault="00E42B74" w:rsidP="006774F7">
      <w:pPr>
        <w:pStyle w:val="BodyText"/>
        <w:ind w:left="630"/>
        <w:rPr>
          <w:rFonts w:ascii="Times New Roman" w:hAnsi="Times New Roman" w:cs="Times New Roman"/>
          <w:color w:val="000000"/>
        </w:rPr>
      </w:pPr>
      <w:r w:rsidRPr="009D3114">
        <w:rPr>
          <w:rFonts w:ascii="Times New Roman" w:hAnsi="Times New Roman" w:cs="Times New Roman"/>
        </w:rPr>
        <w:t xml:space="preserve">The </w:t>
      </w:r>
      <w:r>
        <w:rPr>
          <w:rFonts w:ascii="Times New Roman" w:hAnsi="Times New Roman" w:cs="Times New Roman"/>
        </w:rPr>
        <w:t>Contractor</w:t>
      </w:r>
      <w:r w:rsidRPr="009D3114">
        <w:rPr>
          <w:rFonts w:ascii="Times New Roman" w:hAnsi="Times New Roman" w:cs="Times New Roman"/>
        </w:rPr>
        <w:t xml:space="preserve">’s Institutional Review Board (IRB) was granted a Federalwide Assurance (Attachment </w:t>
      </w:r>
      <w:r w:rsidR="00AB3ABE">
        <w:rPr>
          <w:rFonts w:ascii="Times New Roman" w:hAnsi="Times New Roman" w:cs="Times New Roman"/>
        </w:rPr>
        <w:t>H</w:t>
      </w:r>
      <w:r w:rsidRPr="009D3114">
        <w:rPr>
          <w:rFonts w:ascii="Times New Roman" w:hAnsi="Times New Roman" w:cs="Times New Roman"/>
        </w:rPr>
        <w:t xml:space="preserve">) by the Office for Human Research Protections (OHRP) and HHS </w:t>
      </w:r>
      <w:r w:rsidRPr="009D3114">
        <w:rPr>
          <w:rFonts w:ascii="Times New Roman" w:hAnsi="Times New Roman" w:cs="Times New Roman"/>
          <w:color w:val="000000"/>
        </w:rPr>
        <w:t xml:space="preserve">in compliance with the requirements for the protection of human subjects (45 CFR 46). The </w:t>
      </w:r>
      <w:r>
        <w:rPr>
          <w:rFonts w:ascii="Times New Roman" w:hAnsi="Times New Roman" w:cs="Times New Roman"/>
          <w:color w:val="000000"/>
        </w:rPr>
        <w:t>Contractor</w:t>
      </w:r>
      <w:r w:rsidRPr="009D3114">
        <w:rPr>
          <w:rFonts w:ascii="Times New Roman" w:hAnsi="Times New Roman" w:cs="Times New Roman"/>
          <w:color w:val="000000"/>
        </w:rPr>
        <w:t xml:space="preserve">’s IRB will approve the protocols and consent forms </w:t>
      </w:r>
      <w:r>
        <w:rPr>
          <w:rFonts w:ascii="Times New Roman" w:hAnsi="Times New Roman" w:cs="Times New Roman"/>
          <w:color w:val="000000"/>
        </w:rPr>
        <w:t xml:space="preserve">for these DSM-5 cognitive interviews prior to any respondent contact. </w:t>
      </w:r>
      <w:r w:rsidRPr="009D3114">
        <w:rPr>
          <w:rFonts w:ascii="Times New Roman" w:hAnsi="Times New Roman" w:cs="Times New Roman"/>
          <w:color w:val="000000"/>
        </w:rPr>
        <w:t xml:space="preserve">The IRB’s primary concern is protecting respondents’ rights, one of which is maintaining the confidentiality of respondent information. By obtaining IRB approval for NSDUH procedures and materials, CBHSQ is assured that respondent confidentiality will be maintained. </w:t>
      </w:r>
    </w:p>
    <w:p w14:paraId="3152432C" w14:textId="137E156B" w:rsidR="00E42B74" w:rsidRDefault="00EC2A76" w:rsidP="006774F7">
      <w:pPr>
        <w:pStyle w:val="BodyText"/>
        <w:ind w:left="630"/>
      </w:pPr>
      <w:r>
        <w:t xml:space="preserve">The </w:t>
      </w:r>
      <w:r>
        <w:rPr>
          <w:bCs/>
        </w:rPr>
        <w:t>c</w:t>
      </w:r>
      <w:r w:rsidRPr="00034E65">
        <w:rPr>
          <w:bCs/>
        </w:rPr>
        <w:t xml:space="preserve">ognitive </w:t>
      </w:r>
      <w:r>
        <w:rPr>
          <w:bCs/>
        </w:rPr>
        <w:t>i</w:t>
      </w:r>
      <w:r w:rsidRPr="00034E65">
        <w:rPr>
          <w:bCs/>
        </w:rPr>
        <w:t>nterviews for</w:t>
      </w:r>
      <w:r w:rsidR="00B321A6">
        <w:rPr>
          <w:bCs/>
        </w:rPr>
        <w:t xml:space="preserve"> the</w:t>
      </w:r>
      <w:r>
        <w:rPr>
          <w:bCs/>
        </w:rPr>
        <w:t xml:space="preserve"> DSM-</w:t>
      </w:r>
      <w:r w:rsidR="00EA750F">
        <w:rPr>
          <w:bCs/>
        </w:rPr>
        <w:t>5</w:t>
      </w:r>
      <w:r>
        <w:rPr>
          <w:bCs/>
        </w:rPr>
        <w:t xml:space="preserve"> study </w:t>
      </w:r>
      <w:r>
        <w:t xml:space="preserve">will incorporate several procedures to ensure that respondents’ rights will be protected. The recruitment flyers </w:t>
      </w:r>
      <w:r w:rsidR="00AB3ABE">
        <w:t>(</w:t>
      </w:r>
      <w:r>
        <w:t>Attachment A</w:t>
      </w:r>
      <w:r w:rsidR="00AB3ABE">
        <w:t>)</w:t>
      </w:r>
      <w:r>
        <w:t xml:space="preserve"> will advertise to the participants that “</w:t>
      </w:r>
      <w:r w:rsidRPr="00014704">
        <w:t>All responses will be kept confidential under federal law</w:t>
      </w:r>
      <w:r>
        <w:t xml:space="preserve">”. Also, the recruitment </w:t>
      </w:r>
      <w:r w:rsidR="00DE48AC">
        <w:t>screeners</w:t>
      </w:r>
      <w:r>
        <w:t xml:space="preserve"> </w:t>
      </w:r>
      <w:r w:rsidR="00AB3ABE">
        <w:t>(</w:t>
      </w:r>
      <w:r>
        <w:t>Attachment</w:t>
      </w:r>
      <w:r w:rsidR="00543ED4">
        <w:t>s</w:t>
      </w:r>
      <w:r>
        <w:t xml:space="preserve"> B</w:t>
      </w:r>
      <w:r w:rsidR="00543ED4">
        <w:t xml:space="preserve"> and C</w:t>
      </w:r>
      <w:r w:rsidR="00AB3ABE">
        <w:t>)</w:t>
      </w:r>
      <w:r>
        <w:t xml:space="preserve">, parental permission form </w:t>
      </w:r>
      <w:r w:rsidR="00AB3ABE">
        <w:t>(</w:t>
      </w:r>
      <w:r>
        <w:t xml:space="preserve">Attachment </w:t>
      </w:r>
      <w:r w:rsidR="00543ED4">
        <w:t>D</w:t>
      </w:r>
      <w:r w:rsidR="00AB3ABE">
        <w:t>)</w:t>
      </w:r>
      <w:r>
        <w:t xml:space="preserve">, and the participant informed consent forms </w:t>
      </w:r>
      <w:r w:rsidR="00AB3ABE">
        <w:t>(</w:t>
      </w:r>
      <w:r>
        <w:t xml:space="preserve">Attachment </w:t>
      </w:r>
      <w:r w:rsidR="00543ED4">
        <w:t>E</w:t>
      </w:r>
      <w:r w:rsidR="00AB3ABE">
        <w:t xml:space="preserve">) </w:t>
      </w:r>
      <w:r>
        <w:t xml:space="preserve">all indicate to the participants that the interview will be conducted in private to ensure </w:t>
      </w:r>
      <w:r w:rsidR="00E42B74">
        <w:t xml:space="preserve">the following: </w:t>
      </w:r>
    </w:p>
    <w:p w14:paraId="008CECA2" w14:textId="496F905D" w:rsidR="00E42B74" w:rsidRDefault="00EC2A76" w:rsidP="006774F7">
      <w:pPr>
        <w:pStyle w:val="BodyText"/>
        <w:numPr>
          <w:ilvl w:val="0"/>
          <w:numId w:val="29"/>
        </w:numPr>
        <w:ind w:left="1710"/>
      </w:pPr>
      <w:r>
        <w:t xml:space="preserve">no one else will overhear their answers; </w:t>
      </w:r>
    </w:p>
    <w:p w14:paraId="03880F0B" w14:textId="77777777" w:rsidR="00E42B74" w:rsidRDefault="00EC2A76" w:rsidP="006774F7">
      <w:pPr>
        <w:pStyle w:val="BodyText"/>
        <w:numPr>
          <w:ilvl w:val="0"/>
          <w:numId w:val="29"/>
        </w:numPr>
        <w:ind w:left="1710"/>
      </w:pPr>
      <w:r>
        <w:t xml:space="preserve">all of their answers will be kept private and confidential; </w:t>
      </w:r>
    </w:p>
    <w:p w14:paraId="7AC84BBF" w14:textId="77777777" w:rsidR="00E42B74" w:rsidRDefault="00EC2A76" w:rsidP="006774F7">
      <w:pPr>
        <w:pStyle w:val="BodyText"/>
        <w:numPr>
          <w:ilvl w:val="0"/>
          <w:numId w:val="29"/>
        </w:numPr>
        <w:ind w:left="1710"/>
      </w:pPr>
      <w:r>
        <w:t>information given by the participants will not be shared with any persons outside the project staff;</w:t>
      </w:r>
    </w:p>
    <w:p w14:paraId="2508F3DB" w14:textId="58021188" w:rsidR="00E42B74" w:rsidRDefault="00EC2A76" w:rsidP="006774F7">
      <w:pPr>
        <w:pStyle w:val="BodyText"/>
        <w:numPr>
          <w:ilvl w:val="0"/>
          <w:numId w:val="29"/>
        </w:numPr>
        <w:ind w:left="1710"/>
      </w:pPr>
      <w:r>
        <w:t xml:space="preserve">their name will never be connected with the answers they provide; </w:t>
      </w:r>
    </w:p>
    <w:p w14:paraId="3986BE26" w14:textId="07FA1210" w:rsidR="00E42B74" w:rsidRDefault="00EC2A76" w:rsidP="006774F7">
      <w:pPr>
        <w:pStyle w:val="BodyText"/>
        <w:numPr>
          <w:ilvl w:val="0"/>
          <w:numId w:val="29"/>
        </w:numPr>
        <w:ind w:left="1710"/>
      </w:pPr>
      <w:proofErr w:type="gramStart"/>
      <w:r>
        <w:t>and</w:t>
      </w:r>
      <w:proofErr w:type="gramEnd"/>
      <w:r>
        <w:t xml:space="preserve"> that federal law (</w:t>
      </w:r>
      <w:r w:rsidRPr="0011361E">
        <w:rPr>
          <w:color w:val="auto"/>
        </w:rPr>
        <w:t>CIPSEA</w:t>
      </w:r>
      <w:r w:rsidR="004450E9" w:rsidRPr="0011361E">
        <w:rPr>
          <w:rFonts w:ascii="Times New Roman" w:hAnsi="Times New Roman" w:cs="Times New Roman"/>
          <w:color w:val="auto"/>
        </w:rPr>
        <w:t xml:space="preserve">, </w:t>
      </w:r>
      <w:r w:rsidR="0011361E" w:rsidRPr="0011361E">
        <w:rPr>
          <w:rFonts w:ascii="Times New Roman" w:hAnsi="Times New Roman" w:cs="Times New Roman"/>
          <w:color w:val="auto"/>
          <w:shd w:val="clear" w:color="auto" w:fill="FFFFFF"/>
        </w:rPr>
        <w:t>t</w:t>
      </w:r>
      <w:r w:rsidR="004450E9" w:rsidRPr="0011361E">
        <w:rPr>
          <w:rFonts w:ascii="Times New Roman" w:hAnsi="Times New Roman" w:cs="Times New Roman"/>
          <w:color w:val="auto"/>
          <w:shd w:val="clear" w:color="auto" w:fill="FFFFFF"/>
        </w:rPr>
        <w:t>he</w:t>
      </w:r>
      <w:r w:rsidR="004450E9" w:rsidRPr="0011361E">
        <w:rPr>
          <w:rStyle w:val="apple-converted-space"/>
          <w:rFonts w:ascii="Times New Roman" w:hAnsi="Times New Roman" w:cs="Times New Roman"/>
          <w:color w:val="auto"/>
          <w:shd w:val="clear" w:color="auto" w:fill="FFFFFF"/>
        </w:rPr>
        <w:t> </w:t>
      </w:r>
      <w:r w:rsidR="004450E9" w:rsidRPr="0011361E">
        <w:rPr>
          <w:rStyle w:val="Emphasis"/>
          <w:rFonts w:ascii="Times New Roman" w:hAnsi="Times New Roman" w:cs="Times New Roman"/>
          <w:bCs/>
          <w:i w:val="0"/>
          <w:iCs w:val="0"/>
          <w:color w:val="auto"/>
          <w:shd w:val="clear" w:color="auto" w:fill="FFFFFF"/>
        </w:rPr>
        <w:t>Confidential Information Protection and Statistical Efficiency Act</w:t>
      </w:r>
      <w:r w:rsidRPr="0011361E">
        <w:rPr>
          <w:color w:val="auto"/>
        </w:rPr>
        <w:t xml:space="preserve">) requires </w:t>
      </w:r>
      <w:r>
        <w:t xml:space="preserve">that their answers be kept confidential and used only for statistical purposes. </w:t>
      </w:r>
    </w:p>
    <w:p w14:paraId="72653E77" w14:textId="1EB6CAF5" w:rsidR="00EC2A76" w:rsidRDefault="00EC2A76" w:rsidP="006774F7">
      <w:pPr>
        <w:pStyle w:val="BodyText"/>
        <w:ind w:left="630"/>
      </w:pPr>
      <w:r>
        <w:t>In these same study materials, participants are informed that their responses are voluntary and are assured there will be no penalties if they decide not to respond, either to the information collection as a whole or to any particular question.</w:t>
      </w:r>
    </w:p>
    <w:p w14:paraId="5B737C0B" w14:textId="201D2120" w:rsidR="00E42B74" w:rsidRDefault="00E42B74" w:rsidP="00100C95">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0"/>
        <w:rPr>
          <w:rFonts w:ascii="Times New Roman" w:hAnsi="Times New Roman"/>
        </w:rPr>
      </w:pPr>
      <w:r>
        <w:rPr>
          <w:rFonts w:ascii="Times New Roman" w:hAnsi="Times New Roman"/>
        </w:rPr>
        <w:t>D</w:t>
      </w:r>
      <w:r w:rsidRPr="009D3114">
        <w:rPr>
          <w:rFonts w:ascii="Times New Roman" w:hAnsi="Times New Roman"/>
        </w:rPr>
        <w:t xml:space="preserve">uring the recruitment process, </w:t>
      </w:r>
      <w:r>
        <w:rPr>
          <w:rFonts w:ascii="Times New Roman" w:hAnsi="Times New Roman"/>
        </w:rPr>
        <w:t xml:space="preserve">information will be collected on </w:t>
      </w:r>
      <w:r w:rsidRPr="009D3114">
        <w:rPr>
          <w:rFonts w:ascii="Times New Roman" w:hAnsi="Times New Roman"/>
        </w:rPr>
        <w:t xml:space="preserve">the age, </w:t>
      </w:r>
      <w:r>
        <w:rPr>
          <w:rFonts w:ascii="Times New Roman" w:hAnsi="Times New Roman"/>
        </w:rPr>
        <w:t xml:space="preserve">race/ethnicity, education, </w:t>
      </w:r>
      <w:r w:rsidRPr="009D3114">
        <w:rPr>
          <w:rFonts w:ascii="Times New Roman" w:hAnsi="Times New Roman"/>
        </w:rPr>
        <w:t xml:space="preserve">phone number, city of residence, any significant physical limitations that would preclude participation, </w:t>
      </w:r>
      <w:r w:rsidR="00100C95">
        <w:rPr>
          <w:rFonts w:ascii="Times New Roman" w:hAnsi="Times New Roman"/>
        </w:rPr>
        <w:t>and past substance use</w:t>
      </w:r>
      <w:r>
        <w:rPr>
          <w:rFonts w:ascii="Times New Roman" w:hAnsi="Times New Roman"/>
        </w:rPr>
        <w:t xml:space="preserve">. </w:t>
      </w:r>
      <w:r w:rsidRPr="009D3114">
        <w:rPr>
          <w:rFonts w:ascii="Times New Roman" w:hAnsi="Times New Roman"/>
        </w:rPr>
        <w:t xml:space="preserve">The telephone numbers collected will be used to remind the participants about their upcoming appointments </w:t>
      </w:r>
      <w:r w:rsidR="00A94ED1">
        <w:rPr>
          <w:rFonts w:ascii="Times New Roman" w:hAnsi="Times New Roman"/>
        </w:rPr>
        <w:t>and</w:t>
      </w:r>
      <w:r w:rsidR="00A94ED1" w:rsidRPr="009D3114">
        <w:rPr>
          <w:rFonts w:ascii="Times New Roman" w:hAnsi="Times New Roman"/>
        </w:rPr>
        <w:t xml:space="preserve"> </w:t>
      </w:r>
      <w:r w:rsidRPr="009D3114">
        <w:rPr>
          <w:rFonts w:ascii="Times New Roman" w:hAnsi="Times New Roman"/>
        </w:rPr>
        <w:t xml:space="preserve">to recruit additional participants placed on a “will call” list in the event </w:t>
      </w:r>
      <w:r w:rsidR="004C7013">
        <w:rPr>
          <w:rFonts w:ascii="Times New Roman" w:hAnsi="Times New Roman"/>
        </w:rPr>
        <w:t xml:space="preserve">that </w:t>
      </w:r>
      <w:r w:rsidR="00AB3ABE">
        <w:rPr>
          <w:rFonts w:ascii="Times New Roman" w:hAnsi="Times New Roman"/>
        </w:rPr>
        <w:t>any of the originally-</w:t>
      </w:r>
      <w:r w:rsidR="004C7013">
        <w:rPr>
          <w:rFonts w:ascii="Times New Roman" w:hAnsi="Times New Roman"/>
        </w:rPr>
        <w:lastRenderedPageBreak/>
        <w:t xml:space="preserve">recruited participants are no longer available or do not show for their appointment </w:t>
      </w:r>
      <w:r w:rsidRPr="009D3114">
        <w:rPr>
          <w:rFonts w:ascii="Times New Roman" w:hAnsi="Times New Roman"/>
        </w:rPr>
        <w:t>to be interviewed.</w:t>
      </w:r>
    </w:p>
    <w:p w14:paraId="37F026DD" w14:textId="2B814EA7" w:rsidR="00E42B74" w:rsidRDefault="00E42B74" w:rsidP="006774F7">
      <w:pPr>
        <w:widowControl/>
        <w:tabs>
          <w:tab w:val="left" w:pos="720"/>
        </w:tabs>
        <w:ind w:left="630" w:hanging="634"/>
      </w:pPr>
      <w:r>
        <w:tab/>
        <w:t xml:space="preserve">All internal communication regarding a participant will include only the first name of the participant and time of interview. An example of internal communication would be when the recruiter notifies the interviewer of a scheduled appointment with a participant. </w:t>
      </w:r>
    </w:p>
    <w:p w14:paraId="130FBC16" w14:textId="77777777" w:rsidR="00E42B74" w:rsidRDefault="00E42B74" w:rsidP="006774F7">
      <w:pPr>
        <w:widowControl/>
        <w:tabs>
          <w:tab w:val="left" w:pos="720"/>
        </w:tabs>
        <w:ind w:left="630" w:hanging="634"/>
      </w:pPr>
    </w:p>
    <w:p w14:paraId="5DAF5CA0" w14:textId="7967A97F" w:rsidR="00E42B74" w:rsidRDefault="00E42B74" w:rsidP="006774F7">
      <w:pPr>
        <w:widowControl/>
        <w:tabs>
          <w:tab w:val="left" w:pos="720"/>
        </w:tabs>
        <w:ind w:left="630"/>
      </w:pPr>
      <w:r>
        <w:t xml:space="preserve">All recruitment materials connecting the first name of the participant with his/her last name and other personal information will be locked in a cabinet (if in hardcopy form) or password protected (if in electronic form). Both the electronic files and hardcopies containing identifying information will be destroyed within </w:t>
      </w:r>
      <w:r w:rsidR="006774F7">
        <w:t>four</w:t>
      </w:r>
      <w:r>
        <w:t xml:space="preserve"> weeks after CBHSQ approves the final report. </w:t>
      </w:r>
    </w:p>
    <w:p w14:paraId="1AB31F0F" w14:textId="77777777" w:rsidR="00E42B74" w:rsidRDefault="00E42B74" w:rsidP="006774F7">
      <w:pPr>
        <w:widowControl/>
        <w:tabs>
          <w:tab w:val="left" w:pos="720"/>
        </w:tabs>
        <w:ind w:left="630"/>
      </w:pPr>
    </w:p>
    <w:p w14:paraId="21934DBF" w14:textId="35074785" w:rsidR="00100C95" w:rsidRDefault="00E42B74" w:rsidP="002C29F7">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r>
        <w:rPr>
          <w:rFonts w:ascii="Times New Roman" w:hAnsi="Times New Roman"/>
        </w:rPr>
        <w:t>If selected for the cognitive interview, r</w:t>
      </w:r>
      <w:r w:rsidRPr="004A20C4">
        <w:rPr>
          <w:rFonts w:ascii="Times New Roman" w:hAnsi="Times New Roman"/>
        </w:rPr>
        <w:t xml:space="preserve">ecruiters will schedule a time to conduct one-on-one interview appointments at </w:t>
      </w:r>
      <w:r>
        <w:rPr>
          <w:rFonts w:ascii="Times New Roman" w:hAnsi="Times New Roman"/>
        </w:rPr>
        <w:t xml:space="preserve">the </w:t>
      </w:r>
      <w:r w:rsidR="00100C95">
        <w:rPr>
          <w:rFonts w:ascii="Times New Roman" w:hAnsi="Times New Roman"/>
        </w:rPr>
        <w:t>c</w:t>
      </w:r>
      <w:r>
        <w:rPr>
          <w:rFonts w:ascii="Times New Roman" w:hAnsi="Times New Roman"/>
        </w:rPr>
        <w:t>ontractor’s</w:t>
      </w:r>
      <w:r w:rsidRPr="004A20C4">
        <w:rPr>
          <w:rFonts w:ascii="Times New Roman" w:hAnsi="Times New Roman"/>
        </w:rPr>
        <w:t xml:space="preserve"> cognitive laboratory facilities</w:t>
      </w:r>
      <w:r w:rsidR="00100C95">
        <w:rPr>
          <w:rFonts w:ascii="Times New Roman" w:hAnsi="Times New Roman"/>
        </w:rPr>
        <w:t>, substance use treatment facility or other private</w:t>
      </w:r>
      <w:r w:rsidR="002C29F7">
        <w:rPr>
          <w:rFonts w:ascii="Times New Roman" w:hAnsi="Times New Roman"/>
        </w:rPr>
        <w:t xml:space="preserve"> location such as </w:t>
      </w:r>
      <w:r w:rsidR="00766339">
        <w:rPr>
          <w:rFonts w:ascii="Times New Roman" w:hAnsi="Times New Roman"/>
        </w:rPr>
        <w:t xml:space="preserve">a </w:t>
      </w:r>
      <w:r w:rsidR="002C29F7">
        <w:rPr>
          <w:rFonts w:ascii="Times New Roman" w:hAnsi="Times New Roman"/>
        </w:rPr>
        <w:t>private room in a public library or community center.</w:t>
      </w:r>
    </w:p>
    <w:p w14:paraId="504935A6" w14:textId="77777777" w:rsidR="00100C95" w:rsidRDefault="00100C95" w:rsidP="00100C95">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p>
    <w:p w14:paraId="75C59588" w14:textId="71E48B85" w:rsidR="00100C95" w:rsidRDefault="00100C95" w:rsidP="00100C95">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r>
        <w:rPr>
          <w:rFonts w:ascii="Times New Roman" w:hAnsi="Times New Roman"/>
        </w:rPr>
        <w:t>For interviews conducted with adolescents, p</w:t>
      </w:r>
      <w:r w:rsidR="00E42B74" w:rsidRPr="004A20C4">
        <w:rPr>
          <w:rFonts w:ascii="Times New Roman" w:hAnsi="Times New Roman"/>
        </w:rPr>
        <w:t xml:space="preserve">arents will accompany adolescents to the interview. Upon arrival at the interview, the interviewer will review the consent form and assent form (Attachment </w:t>
      </w:r>
      <w:r w:rsidR="00E42B74">
        <w:rPr>
          <w:rFonts w:ascii="Times New Roman" w:hAnsi="Times New Roman"/>
        </w:rPr>
        <w:t>D, Parental Permission Form</w:t>
      </w:r>
      <w:r w:rsidR="002C29F7">
        <w:rPr>
          <w:rFonts w:ascii="Times New Roman" w:hAnsi="Times New Roman"/>
        </w:rPr>
        <w:t>; Attachment E, Participant Informed Consent</w:t>
      </w:r>
      <w:r w:rsidR="00E42B74" w:rsidRPr="004A20C4">
        <w:rPr>
          <w:rFonts w:ascii="Times New Roman" w:hAnsi="Times New Roman"/>
        </w:rPr>
        <w:t>) with both the adolescent and the guardian and will receive verbal consent.</w:t>
      </w:r>
      <w:r w:rsidR="00E42B74">
        <w:rPr>
          <w:rFonts w:ascii="Times New Roman" w:hAnsi="Times New Roman"/>
        </w:rPr>
        <w:t xml:space="preserve"> </w:t>
      </w:r>
    </w:p>
    <w:p w14:paraId="1B0CACAD" w14:textId="77777777" w:rsidR="00100C95" w:rsidRDefault="00100C95" w:rsidP="00100C95">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p>
    <w:p w14:paraId="2C0770F5" w14:textId="45AFFF7D" w:rsidR="00E42B74" w:rsidRDefault="00100C95" w:rsidP="00100C95">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r>
        <w:rPr>
          <w:rFonts w:ascii="Times New Roman" w:hAnsi="Times New Roman"/>
        </w:rPr>
        <w:t>For interviews conducted with adults</w:t>
      </w:r>
      <w:r w:rsidR="00E42B74">
        <w:rPr>
          <w:rFonts w:ascii="Times New Roman" w:hAnsi="Times New Roman"/>
        </w:rPr>
        <w:t xml:space="preserve">, interviewers will review the consent form (Attachment E, Participant Informed Consent Form) with the participant and collect verbal consent. </w:t>
      </w:r>
      <w:r w:rsidR="00E42B74" w:rsidRPr="004A20C4">
        <w:rPr>
          <w:rFonts w:ascii="Times New Roman" w:hAnsi="Times New Roman"/>
        </w:rPr>
        <w:t>To protect respondent anonymity, the informed consent/assent form will be signed only by the interviewer after receiving verbal consent/assent from the participant.</w:t>
      </w:r>
      <w:r w:rsidR="00E42B74">
        <w:rPr>
          <w:rFonts w:ascii="Times New Roman" w:hAnsi="Times New Roman"/>
        </w:rPr>
        <w:t xml:space="preserve"> Participants will receive a copy of the consent, assent, and parental consent forms.</w:t>
      </w:r>
    </w:p>
    <w:p w14:paraId="781D6731" w14:textId="77777777" w:rsidR="00100C95" w:rsidRPr="004A20C4" w:rsidRDefault="00100C95" w:rsidP="00100C95">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p>
    <w:p w14:paraId="34852D36" w14:textId="77777777" w:rsidR="00E42B74" w:rsidRPr="004A20C4" w:rsidRDefault="00E42B74" w:rsidP="00100C95">
      <w:pPr>
        <w:widowControl/>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34"/>
        <w:contextualSpacing/>
        <w:rPr>
          <w:rFonts w:ascii="Times New Roman" w:hAnsi="Times New Roman"/>
        </w:rPr>
      </w:pPr>
      <w:r w:rsidRPr="004A20C4">
        <w:rPr>
          <w:rFonts w:ascii="Times New Roman" w:hAnsi="Times New Roman"/>
        </w:rPr>
        <w:t xml:space="preserve">Only those respondents who give verbal consent/assent to participate will be interviewed. </w:t>
      </w:r>
      <w:r>
        <w:rPr>
          <w:rFonts w:ascii="Times New Roman" w:hAnsi="Times New Roman"/>
        </w:rPr>
        <w:t>Participants will also be asked to provide consent to have the interview audio recorded. In the event that observers are present, participants will provide consent for observation to take place. If participants decline to have the interview recorded or observed, the interview will still be conducted without any recording or observations.</w:t>
      </w:r>
      <w:r w:rsidRPr="004A20C4" w:rsidDel="006A449B">
        <w:rPr>
          <w:rFonts w:ascii="Times New Roman" w:hAnsi="Times New Roman"/>
        </w:rPr>
        <w:t xml:space="preserve"> </w:t>
      </w:r>
    </w:p>
    <w:p w14:paraId="00323065" w14:textId="4A0D852C" w:rsidR="00757C08" w:rsidRDefault="00757C08" w:rsidP="00100C95">
      <w:pPr>
        <w:widowControl/>
        <w:tabs>
          <w:tab w:val="left" w:pos="634"/>
        </w:tabs>
        <w:ind w:left="634" w:hanging="634"/>
        <w:contextualSpacing/>
      </w:pPr>
    </w:p>
    <w:p w14:paraId="1C2781A6" w14:textId="5CB08582" w:rsidR="00052B54" w:rsidRPr="009D3114" w:rsidRDefault="00512C9D" w:rsidP="006774F7">
      <w:pPr>
        <w:pStyle w:val="BodyText"/>
        <w:ind w:left="630"/>
        <w:rPr>
          <w:rFonts w:ascii="Times New Roman" w:hAnsi="Times New Roman" w:cs="Times New Roman"/>
          <w:color w:val="auto"/>
        </w:rPr>
      </w:pPr>
      <w:r>
        <w:t>D</w:t>
      </w:r>
      <w:r w:rsidR="00EC2A76">
        <w:t>uring the cognitive interviews, the age and gender</w:t>
      </w:r>
      <w:r w:rsidR="00EC2A76" w:rsidRPr="00D56CB9">
        <w:t xml:space="preserve"> </w:t>
      </w:r>
      <w:r w:rsidR="006D63A7">
        <w:t xml:space="preserve">will be collected </w:t>
      </w:r>
      <w:r w:rsidR="00752841">
        <w:t>from</w:t>
      </w:r>
      <w:r w:rsidR="00EC2A76">
        <w:t xml:space="preserve"> all participants but only to inform the </w:t>
      </w:r>
      <w:r w:rsidR="00A94ED1">
        <w:t xml:space="preserve">interview </w:t>
      </w:r>
      <w:r w:rsidR="00EC2A76">
        <w:t xml:space="preserve">program </w:t>
      </w:r>
      <w:r w:rsidR="00A94ED1">
        <w:t xml:space="preserve">on the laptop computer </w:t>
      </w:r>
      <w:r w:rsidR="00EC2A76">
        <w:t>which questions to display and to tailor wording. No links to individual</w:t>
      </w:r>
      <w:r w:rsidR="00FA450E">
        <w:t xml:space="preserve"> participant</w:t>
      </w:r>
      <w:r w:rsidR="00EC2A76">
        <w:t>s will be preserved in the cognitive interview report</w:t>
      </w:r>
      <w:r>
        <w:rPr>
          <w:rFonts w:ascii="Times New Roman" w:hAnsi="Times New Roman" w:cs="Times New Roman"/>
          <w:color w:val="auto"/>
        </w:rPr>
        <w:t>, and p</w:t>
      </w:r>
      <w:r>
        <w:rPr>
          <w:rFonts w:ascii="Times New Roman" w:hAnsi="Times New Roman"/>
        </w:rPr>
        <w:t>ersonal identifying information will not be included in the data or final memo delivered to CBHSQ.</w:t>
      </w:r>
    </w:p>
    <w:p w14:paraId="32A57ECB"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11.</w:t>
      </w:r>
      <w:r w:rsidRPr="009D3114">
        <w:rPr>
          <w:rFonts w:ascii="Times New Roman" w:hAnsi="Times New Roman" w:cs="Times New Roman"/>
        </w:rPr>
        <w:tab/>
      </w:r>
      <w:r w:rsidRPr="009D3114">
        <w:rPr>
          <w:rFonts w:ascii="Times New Roman" w:hAnsi="Times New Roman" w:cs="Times New Roman"/>
          <w:u w:val="single"/>
        </w:rPr>
        <w:t>Questions of a Sensitive Nature</w:t>
      </w:r>
    </w:p>
    <w:p w14:paraId="11FE0226" w14:textId="502627AF" w:rsidR="00757C08" w:rsidRDefault="00757C08" w:rsidP="006F3BD3">
      <w:pPr>
        <w:pStyle w:val="BodyText"/>
        <w:ind w:left="630"/>
        <w:rPr>
          <w:color w:val="000000"/>
        </w:rPr>
      </w:pPr>
      <w:r>
        <w:rPr>
          <w:rFonts w:ascii="Times New Roman" w:hAnsi="Times New Roman" w:cs="Times New Roman"/>
        </w:rPr>
        <w:t xml:space="preserve">Many of the questions to be tested concern topics that are likely to be of a sensitive nature, including </w:t>
      </w:r>
      <w:r w:rsidR="00B50B6C" w:rsidRPr="005B4B1B">
        <w:rPr>
          <w:color w:val="000000"/>
        </w:rPr>
        <w:t>alcohol use by persons under the age of 21, use of illegal drugs</w:t>
      </w:r>
      <w:r w:rsidR="00B50B6C">
        <w:rPr>
          <w:color w:val="000000"/>
        </w:rPr>
        <w:t xml:space="preserve"> by participants of all ages</w:t>
      </w:r>
      <w:r w:rsidR="00100C95">
        <w:rPr>
          <w:color w:val="000000"/>
        </w:rPr>
        <w:t xml:space="preserve">, </w:t>
      </w:r>
      <w:r>
        <w:rPr>
          <w:rFonts w:ascii="Times New Roman" w:hAnsi="Times New Roman" w:cs="Times New Roman"/>
        </w:rPr>
        <w:t xml:space="preserve">and questions about </w:t>
      </w:r>
      <w:r w:rsidR="00304F22">
        <w:rPr>
          <w:rFonts w:ascii="Times New Roman" w:hAnsi="Times New Roman" w:cs="Times New Roman"/>
        </w:rPr>
        <w:t xml:space="preserve">substance use </w:t>
      </w:r>
      <w:r w:rsidR="00752841">
        <w:rPr>
          <w:rFonts w:ascii="Times New Roman" w:hAnsi="Times New Roman" w:cs="Times New Roman"/>
        </w:rPr>
        <w:t xml:space="preserve">dependence and </w:t>
      </w:r>
      <w:r w:rsidR="00304F22">
        <w:rPr>
          <w:rFonts w:ascii="Times New Roman" w:hAnsi="Times New Roman" w:cs="Times New Roman"/>
        </w:rPr>
        <w:t>withdrawal.</w:t>
      </w:r>
      <w:r w:rsidR="00D63EE6">
        <w:rPr>
          <w:rFonts w:ascii="Times New Roman" w:hAnsi="Times New Roman" w:cs="Times New Roman"/>
        </w:rPr>
        <w:t xml:space="preserve"> </w:t>
      </w:r>
      <w:r w:rsidR="00B50B6C" w:rsidRPr="005B4B1B">
        <w:rPr>
          <w:color w:val="000000"/>
        </w:rPr>
        <w:t>Consequently, some of these questions could be di</w:t>
      </w:r>
      <w:r w:rsidR="00B50B6C">
        <w:rPr>
          <w:color w:val="000000"/>
        </w:rPr>
        <w:t>stressing for some respondents.</w:t>
      </w:r>
      <w:r w:rsidR="00D63EE6">
        <w:rPr>
          <w:color w:val="000000"/>
        </w:rPr>
        <w:t xml:space="preserve"> </w:t>
      </w:r>
      <w:r w:rsidR="00D63EE6">
        <w:rPr>
          <w:rFonts w:ascii="Times New Roman" w:hAnsi="Times New Roman" w:cs="Times New Roman"/>
        </w:rPr>
        <w:t xml:space="preserve">The questions that will </w:t>
      </w:r>
      <w:r w:rsidR="00D63EE6">
        <w:rPr>
          <w:rFonts w:ascii="Times New Roman" w:hAnsi="Times New Roman" w:cs="Times New Roman"/>
        </w:rPr>
        <w:lastRenderedPageBreak/>
        <w:t xml:space="preserve">be included in the cognitive interview are provided in Attachment </w:t>
      </w:r>
      <w:r w:rsidR="00AB3ABE">
        <w:rPr>
          <w:rFonts w:ascii="Times New Roman" w:hAnsi="Times New Roman" w:cs="Times New Roman"/>
        </w:rPr>
        <w:t>I</w:t>
      </w:r>
      <w:r w:rsidR="00E725F3">
        <w:rPr>
          <w:rFonts w:ascii="Times New Roman" w:hAnsi="Times New Roman" w:cs="Times New Roman"/>
        </w:rPr>
        <w:t>, Cognitive Interview Study Questions</w:t>
      </w:r>
      <w:r w:rsidR="00D63EE6">
        <w:rPr>
          <w:rFonts w:ascii="Times New Roman" w:hAnsi="Times New Roman" w:cs="Times New Roman"/>
        </w:rPr>
        <w:t>.</w:t>
      </w:r>
      <w:r w:rsidR="002C29F7">
        <w:rPr>
          <w:rFonts w:ascii="Times New Roman" w:hAnsi="Times New Roman" w:cs="Times New Roman"/>
        </w:rPr>
        <w:t xml:space="preserve"> The</w:t>
      </w:r>
      <w:r w:rsidR="006F3BD3">
        <w:rPr>
          <w:rFonts w:ascii="Times New Roman" w:hAnsi="Times New Roman" w:cs="Times New Roman"/>
        </w:rPr>
        <w:t xml:space="preserve"> cognitive interview protocol is provided in Attachment F.</w:t>
      </w:r>
      <w:r w:rsidR="00D63EE6">
        <w:rPr>
          <w:rFonts w:ascii="Times New Roman" w:hAnsi="Times New Roman" w:cs="Times New Roman"/>
        </w:rPr>
        <w:t xml:space="preserve">  </w:t>
      </w:r>
    </w:p>
    <w:p w14:paraId="58A51B75" w14:textId="7775B374" w:rsidR="00B50B6C" w:rsidRPr="008A2418" w:rsidRDefault="00B50B6C" w:rsidP="004508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r>
        <w:rPr>
          <w:color w:val="000000"/>
        </w:rPr>
        <w:t>Measures will be taken to reduce risks to the respondents. For participants interviewed on-site at treatment facilities, a</w:t>
      </w:r>
      <w:r w:rsidRPr="005B4B1B">
        <w:rPr>
          <w:color w:val="000000"/>
        </w:rPr>
        <w:t xml:space="preserve">rrangements will be made with </w:t>
      </w:r>
      <w:r>
        <w:rPr>
          <w:color w:val="000000"/>
        </w:rPr>
        <w:t xml:space="preserve">the programs </w:t>
      </w:r>
      <w:r w:rsidRPr="005B4B1B">
        <w:rPr>
          <w:color w:val="000000"/>
        </w:rPr>
        <w:t xml:space="preserve">to have a counselor on call at the facility during the times when interviews will be conducted, in case any treatment clients participating in the study become </w:t>
      </w:r>
      <w:r>
        <w:rPr>
          <w:color w:val="000000"/>
        </w:rPr>
        <w:t xml:space="preserve">upset by the interview questions </w:t>
      </w:r>
      <w:r w:rsidRPr="005B4B1B">
        <w:rPr>
          <w:color w:val="000000"/>
        </w:rPr>
        <w:t>and want to speak with a counselor.</w:t>
      </w:r>
      <w:r>
        <w:rPr>
          <w:color w:val="000000"/>
        </w:rPr>
        <w:t xml:space="preserve"> </w:t>
      </w:r>
      <w:r w:rsidRPr="008A2418">
        <w:rPr>
          <w:color w:val="000000"/>
        </w:rPr>
        <w:t xml:space="preserve">For </w:t>
      </w:r>
      <w:r>
        <w:rPr>
          <w:color w:val="000000"/>
        </w:rPr>
        <w:t xml:space="preserve">participants </w:t>
      </w:r>
      <w:r w:rsidRPr="008A2418">
        <w:rPr>
          <w:color w:val="000000"/>
        </w:rPr>
        <w:t>bein</w:t>
      </w:r>
      <w:r>
        <w:rPr>
          <w:color w:val="000000"/>
        </w:rPr>
        <w:t>g interviewed at</w:t>
      </w:r>
      <w:r w:rsidR="00450876">
        <w:rPr>
          <w:color w:val="000000"/>
        </w:rPr>
        <w:t xml:space="preserve"> the</w:t>
      </w:r>
      <w:r>
        <w:rPr>
          <w:color w:val="000000"/>
        </w:rPr>
        <w:t xml:space="preserve"> </w:t>
      </w:r>
      <w:r w:rsidR="00450876">
        <w:rPr>
          <w:color w:val="000000"/>
        </w:rPr>
        <w:t xml:space="preserve">Contractor’s </w:t>
      </w:r>
      <w:r>
        <w:rPr>
          <w:color w:val="000000"/>
        </w:rPr>
        <w:t xml:space="preserve">facilities </w:t>
      </w:r>
      <w:r w:rsidRPr="008A2418">
        <w:rPr>
          <w:color w:val="000000"/>
        </w:rPr>
        <w:t xml:space="preserve">who become upset with the questions and would like to speak with someone, referral options include their health care provider (if applicable) and also the Lifeline Network (1-800-273-TALK [8255]). </w:t>
      </w:r>
      <w:r>
        <w:rPr>
          <w:color w:val="000000"/>
        </w:rPr>
        <w:t xml:space="preserve">Participants </w:t>
      </w:r>
      <w:r w:rsidRPr="008A2418">
        <w:rPr>
          <w:color w:val="000000"/>
        </w:rPr>
        <w:t xml:space="preserve">recruited from outside of substance abuse treatment who request information on substance abuse treatment options </w:t>
      </w:r>
      <w:r w:rsidR="00792B00">
        <w:rPr>
          <w:color w:val="000000"/>
        </w:rPr>
        <w:t xml:space="preserve">will be referred to </w:t>
      </w:r>
      <w:r w:rsidRPr="008A2418">
        <w:rPr>
          <w:color w:val="000000"/>
        </w:rPr>
        <w:t>SAMHSA's 24-hour toll-free Treatment Referral Helpline (1-800-662-HELP).</w:t>
      </w:r>
    </w:p>
    <w:p w14:paraId="511B456C" w14:textId="77777777" w:rsidR="00B50B6C" w:rsidRPr="00A63980" w:rsidRDefault="00B50B6C" w:rsidP="006774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p>
    <w:p w14:paraId="1E432BFC" w14:textId="2506E5EA" w:rsidR="00B50B6C" w:rsidRDefault="00B50B6C" w:rsidP="006774F7">
      <w:pPr>
        <w:tabs>
          <w:tab w:val="left" w:pos="634"/>
        </w:tabs>
        <w:ind w:left="630"/>
        <w:rPr>
          <w:color w:val="000000"/>
        </w:rPr>
      </w:pPr>
      <w:r>
        <w:rPr>
          <w:color w:val="000000"/>
        </w:rPr>
        <w:t>In addition, all participants regardless of age will be reminded periodically not to report anything that could identify another person</w:t>
      </w:r>
      <w:r w:rsidR="00CA4FF0">
        <w:rPr>
          <w:color w:val="000000"/>
        </w:rPr>
        <w:t>, such as referencing individuals who sold them or gave them illegal drugs</w:t>
      </w:r>
      <w:r>
        <w:rPr>
          <w:color w:val="000000"/>
        </w:rPr>
        <w:t xml:space="preserve">. At the conclusion of the tutorial prior to the main interview (Attachment </w:t>
      </w:r>
      <w:r w:rsidR="00543ED4">
        <w:rPr>
          <w:color w:val="000000"/>
        </w:rPr>
        <w:t>F</w:t>
      </w:r>
      <w:r w:rsidR="00A94ED1">
        <w:rPr>
          <w:color w:val="000000"/>
        </w:rPr>
        <w:t>, page 1</w:t>
      </w:r>
      <w:r>
        <w:rPr>
          <w:color w:val="000000"/>
        </w:rPr>
        <w:t xml:space="preserve">), </w:t>
      </w:r>
      <w:r>
        <w:t xml:space="preserve">the interviewer will give examples of ways that a participant may talk about another person and examples of ways not to talk about someone. As further protection, the interviewer will interrupt participants who appear ready to report identifying </w:t>
      </w:r>
      <w:r w:rsidR="00B55695">
        <w:t xml:space="preserve">information </w:t>
      </w:r>
      <w:r>
        <w:t xml:space="preserve">about themselves or someone else in </w:t>
      </w:r>
      <w:r w:rsidR="00B55695">
        <w:t>response to a question/</w:t>
      </w:r>
      <w:r>
        <w:t xml:space="preserve">probe. </w:t>
      </w:r>
    </w:p>
    <w:p w14:paraId="11FB1DAB" w14:textId="77777777" w:rsidR="00B50B6C" w:rsidRDefault="00B50B6C" w:rsidP="006774F7">
      <w:pPr>
        <w:widowControl/>
        <w:tabs>
          <w:tab w:val="left" w:pos="634"/>
        </w:tabs>
        <w:ind w:left="630" w:hanging="634"/>
      </w:pPr>
    </w:p>
    <w:p w14:paraId="69ADE8A8" w14:textId="77777777" w:rsidR="00B50B6C" w:rsidRDefault="00B50B6C" w:rsidP="006774F7">
      <w:pPr>
        <w:widowControl/>
        <w:tabs>
          <w:tab w:val="left" w:pos="634"/>
        </w:tabs>
        <w:ind w:left="630" w:hanging="634"/>
      </w:pPr>
      <w:r>
        <w:tab/>
        <w:t>As noted in Section 10, potential participants and the actual participants will be assured at all stages of the recruiting and interviewing process that the information they provide is voluntary and will be handled in a confidential manner. These efforts will be made to help participants feel more comfortable with the interview situation and more at ease with the interviewer.</w:t>
      </w:r>
    </w:p>
    <w:p w14:paraId="4FC3766F" w14:textId="77777777" w:rsidR="00B50B6C" w:rsidRDefault="00B50B6C" w:rsidP="006774F7">
      <w:pPr>
        <w:widowControl/>
        <w:tabs>
          <w:tab w:val="left" w:pos="634"/>
        </w:tabs>
        <w:ind w:left="630" w:hanging="634"/>
      </w:pPr>
    </w:p>
    <w:p w14:paraId="4C03833C" w14:textId="6AC90B92" w:rsidR="005B0773" w:rsidRPr="009D3114" w:rsidRDefault="00B50B6C" w:rsidP="006774F7">
      <w:pPr>
        <w:pStyle w:val="BodyText"/>
        <w:ind w:left="630"/>
        <w:rPr>
          <w:rFonts w:ascii="Times New Roman" w:hAnsi="Times New Roman" w:cs="Times New Roman"/>
        </w:rPr>
      </w:pPr>
      <w:r>
        <w:t xml:space="preserve">Raw data from the screening questionnaires, cognitive interviewing protocols, and audio </w:t>
      </w:r>
      <w:r w:rsidRPr="00221906">
        <w:t>recordings that include sensitive information will be stored in locked cabinets (if in hardcopy form) or password protected (if in electronic form) during the recruiting and interview</w:t>
      </w:r>
      <w:r>
        <w:t xml:space="preserve"> process. None of this information will be retained once the data </w:t>
      </w:r>
      <w:r w:rsidR="003968C8">
        <w:t xml:space="preserve">have </w:t>
      </w:r>
      <w:r>
        <w:t>been extracted and aggregated; nor will the information become part of a system of records containing permanent identifiers that can be used for retrieval.</w:t>
      </w:r>
      <w:r w:rsidR="00515597" w:rsidRPr="009D3114">
        <w:rPr>
          <w:rFonts w:ascii="Times New Roman" w:hAnsi="Times New Roman" w:cs="Times New Roman"/>
        </w:rPr>
        <w:t xml:space="preserve"> </w:t>
      </w:r>
    </w:p>
    <w:p w14:paraId="3DCE6904" w14:textId="77777777" w:rsidR="00062ACC" w:rsidRDefault="00062ACC" w:rsidP="006774F7">
      <w:pPr>
        <w:pStyle w:val="Heading1"/>
        <w:tabs>
          <w:tab w:val="clear" w:pos="0"/>
        </w:tabs>
        <w:ind w:left="630"/>
        <w:rPr>
          <w:rFonts w:ascii="Times New Roman" w:hAnsi="Times New Roman" w:cs="Times New Roman"/>
          <w:u w:val="single"/>
        </w:rPr>
      </w:pPr>
      <w:r w:rsidRPr="009D3114">
        <w:rPr>
          <w:rFonts w:ascii="Times New Roman" w:hAnsi="Times New Roman" w:cs="Times New Roman"/>
        </w:rPr>
        <w:t>12.</w:t>
      </w:r>
      <w:r w:rsidRPr="009D3114">
        <w:rPr>
          <w:rFonts w:ascii="Times New Roman" w:hAnsi="Times New Roman" w:cs="Times New Roman"/>
        </w:rPr>
        <w:tab/>
      </w:r>
      <w:r w:rsidRPr="009D3114">
        <w:rPr>
          <w:rFonts w:ascii="Times New Roman" w:hAnsi="Times New Roman" w:cs="Times New Roman"/>
          <w:u w:val="single"/>
        </w:rPr>
        <w:t>Estimates of Annualized Hour Burden</w:t>
      </w:r>
    </w:p>
    <w:p w14:paraId="329F9E96" w14:textId="3C90C7FD" w:rsidR="00B50B6C" w:rsidRDefault="00B50B6C" w:rsidP="006774F7">
      <w:pPr>
        <w:widowControl/>
        <w:tabs>
          <w:tab w:val="left" w:pos="634"/>
        </w:tabs>
        <w:ind w:left="630" w:hanging="634"/>
      </w:pPr>
      <w:r>
        <w:tab/>
      </w:r>
      <w:r w:rsidR="006116F5">
        <w:t xml:space="preserve">A total of 51 </w:t>
      </w:r>
      <w:r>
        <w:t>participants</w:t>
      </w:r>
      <w:r w:rsidR="006116F5">
        <w:t xml:space="preserve"> (12 English</w:t>
      </w:r>
      <w:r w:rsidR="003968C8">
        <w:t>-</w:t>
      </w:r>
      <w:r w:rsidR="006116F5">
        <w:t>speaking adolescents, 27 English-speaking adults, and 12 Spanish-speaking adults)</w:t>
      </w:r>
      <w:r>
        <w:t xml:space="preserve"> will be interviewed in this study. It is expected that approximately </w:t>
      </w:r>
      <w:r w:rsidR="00B321A6">
        <w:t xml:space="preserve">150 </w:t>
      </w:r>
      <w:r>
        <w:t xml:space="preserve">screenings with potential participants will be completed to obtain the </w:t>
      </w:r>
      <w:r w:rsidR="006116F5">
        <w:t xml:space="preserve">51 </w:t>
      </w:r>
      <w:r>
        <w:t xml:space="preserve">study participants. </w:t>
      </w:r>
    </w:p>
    <w:p w14:paraId="3093BC0E" w14:textId="77777777" w:rsidR="00B50B6C" w:rsidRDefault="00B50B6C" w:rsidP="006774F7">
      <w:pPr>
        <w:widowControl/>
        <w:tabs>
          <w:tab w:val="left" w:pos="634"/>
        </w:tabs>
        <w:ind w:left="630" w:hanging="634"/>
      </w:pPr>
    </w:p>
    <w:p w14:paraId="2EA23D94" w14:textId="77777777" w:rsidR="00B50B6C" w:rsidRDefault="00B50B6C" w:rsidP="006774F7">
      <w:pPr>
        <w:widowControl/>
        <w:tabs>
          <w:tab w:val="left" w:pos="634"/>
        </w:tabs>
        <w:ind w:left="630" w:hanging="634"/>
      </w:pPr>
      <w:r>
        <w:tab/>
        <w:t>Administration of the screening questionnaire during the recruitment process will take an average of 5 minutes per participant. It is estimated that the average amount of time required to conduct each cognitive interview will be approximately 60 minutes.</w:t>
      </w:r>
    </w:p>
    <w:p w14:paraId="21211E19" w14:textId="77777777" w:rsidR="00B50B6C" w:rsidRDefault="00B50B6C" w:rsidP="006774F7">
      <w:pPr>
        <w:widowControl/>
        <w:tabs>
          <w:tab w:val="left" w:pos="634"/>
        </w:tabs>
        <w:ind w:left="630" w:hanging="634"/>
      </w:pPr>
    </w:p>
    <w:p w14:paraId="0E8C7BED" w14:textId="355201F4" w:rsidR="00B50B6C" w:rsidRDefault="00B50B6C" w:rsidP="004B1007">
      <w:pPr>
        <w:widowControl/>
        <w:tabs>
          <w:tab w:val="left" w:pos="634"/>
        </w:tabs>
        <w:ind w:left="630" w:hanging="634"/>
      </w:pPr>
      <w:r>
        <w:lastRenderedPageBreak/>
        <w:tab/>
      </w:r>
      <w:r w:rsidR="00792B00">
        <w:t>T</w:t>
      </w:r>
      <w:r>
        <w:t>he recruitment</w:t>
      </w:r>
      <w:r w:rsidR="00792B00">
        <w:t>,</w:t>
      </w:r>
      <w:r>
        <w:t xml:space="preserve"> cognitive interviewing</w:t>
      </w:r>
      <w:r w:rsidR="00792B00">
        <w:t>, and analysis</w:t>
      </w:r>
      <w:r>
        <w:t xml:space="preserve"> phases for all rounds of interviews for this study will span approximately </w:t>
      </w:r>
      <w:r w:rsidR="004B1007">
        <w:t>1</w:t>
      </w:r>
      <w:r w:rsidR="00792B00">
        <w:t>0</w:t>
      </w:r>
      <w:r w:rsidR="004B1007">
        <w:t xml:space="preserve"> </w:t>
      </w:r>
      <w:r>
        <w:t>months</w:t>
      </w:r>
      <w:r w:rsidR="001E32B7">
        <w:t>, from</w:t>
      </w:r>
      <w:r>
        <w:t xml:space="preserve"> </w:t>
      </w:r>
      <w:r w:rsidR="004B1007" w:rsidRPr="003A7C4A">
        <w:t xml:space="preserve">February </w:t>
      </w:r>
      <w:r w:rsidR="003832A6" w:rsidRPr="003A7C4A">
        <w:t xml:space="preserve">2015 </w:t>
      </w:r>
      <w:r w:rsidRPr="003A7C4A">
        <w:t xml:space="preserve">through </w:t>
      </w:r>
      <w:r w:rsidR="00792B00">
        <w:t xml:space="preserve">December </w:t>
      </w:r>
      <w:r w:rsidR="004B1007">
        <w:t>201</w:t>
      </w:r>
      <w:r w:rsidR="00792B00">
        <w:t>5</w:t>
      </w:r>
      <w:r>
        <w:t xml:space="preserve">. </w:t>
      </w:r>
    </w:p>
    <w:p w14:paraId="3E7AFA94" w14:textId="77777777" w:rsidR="00B50B6C" w:rsidRDefault="00B50B6C" w:rsidP="006774F7">
      <w:pPr>
        <w:widowControl/>
        <w:tabs>
          <w:tab w:val="left" w:pos="634"/>
        </w:tabs>
        <w:ind w:left="630" w:hanging="634"/>
      </w:pPr>
    </w:p>
    <w:p w14:paraId="0EEBE48C" w14:textId="77777777" w:rsidR="00B50B6C" w:rsidRDefault="00B50B6C" w:rsidP="006774F7">
      <w:pPr>
        <w:widowControl/>
        <w:tabs>
          <w:tab w:val="left" w:pos="634"/>
        </w:tabs>
        <w:ind w:left="630" w:hanging="634"/>
      </w:pPr>
      <w:r>
        <w:tab/>
        <w:t xml:space="preserve">The respondent burden for this study is shown in Table 1 below. </w:t>
      </w:r>
      <w:r w:rsidRPr="00F00C88">
        <w:t xml:space="preserve">The hourly wage of </w:t>
      </w:r>
      <w:r w:rsidRPr="00B97225">
        <w:t>$</w:t>
      </w:r>
      <w:r>
        <w:t>14.61</w:t>
      </w:r>
      <w:r w:rsidRPr="00F00C88">
        <w:t xml:space="preserve"> was calculated based on weighted data from the 20</w:t>
      </w:r>
      <w:r>
        <w:t>12</w:t>
      </w:r>
      <w:r w:rsidRPr="00F00C88">
        <w:t xml:space="preserve"> NSDUH respondents’ personal annual income.</w:t>
      </w:r>
    </w:p>
    <w:p w14:paraId="1BF81990" w14:textId="77777777" w:rsidR="003A7C4A" w:rsidRDefault="003A7C4A" w:rsidP="006774F7">
      <w:pPr>
        <w:widowControl/>
        <w:tabs>
          <w:tab w:val="left" w:pos="634"/>
        </w:tabs>
        <w:ind w:left="630" w:hanging="634"/>
      </w:pPr>
    </w:p>
    <w:p w14:paraId="0AAB8E1A" w14:textId="77777777" w:rsidR="00B50B6C" w:rsidRDefault="00B50B6C" w:rsidP="006774F7">
      <w:pPr>
        <w:widowControl/>
        <w:tabs>
          <w:tab w:val="left" w:pos="634"/>
        </w:tabs>
        <w:ind w:left="630" w:hanging="634"/>
      </w:pPr>
    </w:p>
    <w:p w14:paraId="72773A9B" w14:textId="151D5BB0" w:rsidR="00B50B6C" w:rsidRDefault="00D30CEF" w:rsidP="006774F7">
      <w:pPr>
        <w:widowControl/>
        <w:tabs>
          <w:tab w:val="left" w:pos="-720"/>
          <w:tab w:val="left" w:pos="1710"/>
        </w:tabs>
        <w:spacing w:after="120"/>
        <w:ind w:left="630" w:hanging="1080"/>
      </w:pPr>
      <w:r>
        <w:rPr>
          <w:b/>
          <w:bCs/>
        </w:rPr>
        <w:tab/>
        <w:t xml:space="preserve"> </w:t>
      </w:r>
      <w:bookmarkStart w:id="0" w:name="_GoBack"/>
      <w:bookmarkEnd w:id="0"/>
      <w:r w:rsidR="003646D9">
        <w:rPr>
          <w:b/>
          <w:bCs/>
        </w:rPr>
        <w:t>Table 1.</w:t>
      </w:r>
      <w:r w:rsidR="003646D9">
        <w:rPr>
          <w:b/>
          <w:bCs/>
        </w:rPr>
        <w:tab/>
      </w:r>
      <w:r w:rsidR="00B50B6C">
        <w:rPr>
          <w:b/>
          <w:bCs/>
        </w:rPr>
        <w:t>Estimated Burden for Cognitive Interviews for Questionnaire Redesign</w:t>
      </w:r>
    </w:p>
    <w:tbl>
      <w:tblPr>
        <w:tblW w:w="4615" w:type="pct"/>
        <w:tblInd w:w="828" w:type="dxa"/>
        <w:tblLayout w:type="fixed"/>
        <w:tblLook w:val="0000" w:firstRow="0" w:lastRow="0" w:firstColumn="0" w:lastColumn="0" w:noHBand="0" w:noVBand="0"/>
      </w:tblPr>
      <w:tblGrid>
        <w:gridCol w:w="1441"/>
        <w:gridCol w:w="1349"/>
        <w:gridCol w:w="1239"/>
        <w:gridCol w:w="1163"/>
        <w:gridCol w:w="1133"/>
        <w:gridCol w:w="1110"/>
        <w:gridCol w:w="1404"/>
      </w:tblGrid>
      <w:tr w:rsidR="007A4097" w:rsidRPr="00652A96" w14:paraId="0E01294B" w14:textId="77777777" w:rsidTr="003646D9">
        <w:trPr>
          <w:cantSplit/>
          <w:trHeight w:val="960"/>
          <w:tblHeader/>
        </w:trPr>
        <w:tc>
          <w:tcPr>
            <w:tcW w:w="815" w:type="pct"/>
            <w:tcBorders>
              <w:top w:val="single" w:sz="8" w:space="0" w:color="000000"/>
              <w:left w:val="single" w:sz="8" w:space="0" w:color="000000"/>
              <w:bottom w:val="double" w:sz="4" w:space="0" w:color="auto"/>
              <w:right w:val="nil"/>
            </w:tcBorders>
            <w:vAlign w:val="bottom"/>
          </w:tcPr>
          <w:p w14:paraId="6310513B" w14:textId="77777777" w:rsidR="00B50B6C" w:rsidRPr="009D7188" w:rsidRDefault="00B50B6C" w:rsidP="006774F7">
            <w:pPr>
              <w:widowControl/>
              <w:autoSpaceDE/>
              <w:autoSpaceDN/>
              <w:adjustRightInd/>
              <w:ind w:left="-108"/>
              <w:jc w:val="center"/>
              <w:rPr>
                <w:b/>
                <w:sz w:val="20"/>
                <w:szCs w:val="20"/>
              </w:rPr>
            </w:pPr>
            <w:r w:rsidRPr="009D7188">
              <w:rPr>
                <w:b/>
                <w:sz w:val="20"/>
                <w:szCs w:val="20"/>
              </w:rPr>
              <w:t>Activity</w:t>
            </w:r>
          </w:p>
        </w:tc>
        <w:tc>
          <w:tcPr>
            <w:tcW w:w="763" w:type="pct"/>
            <w:tcBorders>
              <w:top w:val="single" w:sz="8" w:space="0" w:color="000000"/>
              <w:left w:val="single" w:sz="8" w:space="0" w:color="000000"/>
              <w:bottom w:val="double" w:sz="4" w:space="0" w:color="auto"/>
              <w:right w:val="nil"/>
            </w:tcBorders>
            <w:vAlign w:val="bottom"/>
          </w:tcPr>
          <w:p w14:paraId="04092745" w14:textId="77777777" w:rsidR="00B50B6C" w:rsidRPr="009D7188" w:rsidRDefault="00B50B6C" w:rsidP="006774F7">
            <w:pPr>
              <w:widowControl/>
              <w:autoSpaceDE/>
              <w:autoSpaceDN/>
              <w:adjustRightInd/>
              <w:ind w:left="-199"/>
              <w:jc w:val="center"/>
              <w:rPr>
                <w:b/>
                <w:sz w:val="20"/>
                <w:szCs w:val="20"/>
              </w:rPr>
            </w:pPr>
            <w:r w:rsidRPr="009D7188">
              <w:rPr>
                <w:b/>
                <w:sz w:val="20"/>
                <w:szCs w:val="20"/>
              </w:rPr>
              <w:t>Number of Respondents</w:t>
            </w:r>
          </w:p>
        </w:tc>
        <w:tc>
          <w:tcPr>
            <w:tcW w:w="701" w:type="pct"/>
            <w:tcBorders>
              <w:top w:val="single" w:sz="8" w:space="0" w:color="000000"/>
              <w:left w:val="single" w:sz="8" w:space="0" w:color="000000"/>
              <w:bottom w:val="double" w:sz="4" w:space="0" w:color="auto"/>
              <w:right w:val="nil"/>
            </w:tcBorders>
            <w:vAlign w:val="bottom"/>
          </w:tcPr>
          <w:p w14:paraId="6E342594" w14:textId="77777777" w:rsidR="00B50B6C" w:rsidRPr="009D7188" w:rsidRDefault="00B50B6C" w:rsidP="006774F7">
            <w:pPr>
              <w:widowControl/>
              <w:autoSpaceDE/>
              <w:autoSpaceDN/>
              <w:adjustRightInd/>
              <w:ind w:left="-108"/>
              <w:jc w:val="center"/>
              <w:rPr>
                <w:b/>
                <w:sz w:val="20"/>
                <w:szCs w:val="20"/>
              </w:rPr>
            </w:pPr>
            <w:r w:rsidRPr="009D7188">
              <w:rPr>
                <w:b/>
                <w:sz w:val="20"/>
                <w:szCs w:val="20"/>
              </w:rPr>
              <w:t>Responses per Respondent</w:t>
            </w:r>
          </w:p>
        </w:tc>
        <w:tc>
          <w:tcPr>
            <w:tcW w:w="658" w:type="pct"/>
            <w:tcBorders>
              <w:top w:val="single" w:sz="8" w:space="0" w:color="000000"/>
              <w:left w:val="single" w:sz="8" w:space="0" w:color="000000"/>
              <w:bottom w:val="double" w:sz="4" w:space="0" w:color="auto"/>
              <w:right w:val="nil"/>
            </w:tcBorders>
            <w:vAlign w:val="bottom"/>
          </w:tcPr>
          <w:p w14:paraId="6192A2B6" w14:textId="77777777" w:rsidR="00B50B6C" w:rsidRDefault="00B50B6C" w:rsidP="006774F7">
            <w:pPr>
              <w:widowControl/>
              <w:autoSpaceDE/>
              <w:autoSpaceDN/>
              <w:adjustRightInd/>
              <w:ind w:left="-108"/>
              <w:jc w:val="center"/>
              <w:rPr>
                <w:b/>
                <w:sz w:val="20"/>
                <w:szCs w:val="20"/>
              </w:rPr>
            </w:pPr>
            <w:r w:rsidRPr="009D7188">
              <w:rPr>
                <w:b/>
                <w:sz w:val="20"/>
                <w:szCs w:val="20"/>
              </w:rPr>
              <w:t>Average Burden per Response</w:t>
            </w:r>
          </w:p>
          <w:p w14:paraId="51791B60" w14:textId="77777777" w:rsidR="00B50B6C" w:rsidRPr="009D7188" w:rsidRDefault="00B50B6C" w:rsidP="006774F7">
            <w:pPr>
              <w:widowControl/>
              <w:autoSpaceDE/>
              <w:autoSpaceDN/>
              <w:adjustRightInd/>
              <w:ind w:left="-108"/>
              <w:jc w:val="center"/>
              <w:rPr>
                <w:b/>
                <w:sz w:val="20"/>
                <w:szCs w:val="20"/>
              </w:rPr>
            </w:pPr>
            <w:r>
              <w:rPr>
                <w:b/>
                <w:sz w:val="20"/>
                <w:szCs w:val="20"/>
              </w:rPr>
              <w:t>(Hours)</w:t>
            </w:r>
          </w:p>
        </w:tc>
        <w:tc>
          <w:tcPr>
            <w:tcW w:w="641" w:type="pct"/>
            <w:tcBorders>
              <w:top w:val="single" w:sz="8" w:space="0" w:color="000000"/>
              <w:left w:val="single" w:sz="8" w:space="0" w:color="000000"/>
              <w:bottom w:val="double" w:sz="4" w:space="0" w:color="auto"/>
              <w:right w:val="single" w:sz="8" w:space="0" w:color="000000"/>
            </w:tcBorders>
            <w:vAlign w:val="bottom"/>
          </w:tcPr>
          <w:p w14:paraId="2E1C03FF" w14:textId="77777777" w:rsidR="00B50B6C" w:rsidRPr="009D7188" w:rsidRDefault="00B50B6C" w:rsidP="006774F7">
            <w:pPr>
              <w:widowControl/>
              <w:autoSpaceDE/>
              <w:autoSpaceDN/>
              <w:adjustRightInd/>
              <w:ind w:left="-108"/>
              <w:jc w:val="center"/>
              <w:rPr>
                <w:b/>
                <w:sz w:val="20"/>
                <w:szCs w:val="20"/>
              </w:rPr>
            </w:pPr>
            <w:r w:rsidRPr="009D7188">
              <w:rPr>
                <w:b/>
                <w:sz w:val="20"/>
                <w:szCs w:val="20"/>
              </w:rPr>
              <w:t>Total Burden (H</w:t>
            </w:r>
            <w:r>
              <w:rPr>
                <w:b/>
                <w:sz w:val="20"/>
                <w:szCs w:val="20"/>
              </w:rPr>
              <w:t>ou</w:t>
            </w:r>
            <w:r w:rsidRPr="009D7188">
              <w:rPr>
                <w:b/>
                <w:sz w:val="20"/>
                <w:szCs w:val="20"/>
              </w:rPr>
              <w:t>rs)</w:t>
            </w:r>
          </w:p>
        </w:tc>
        <w:tc>
          <w:tcPr>
            <w:tcW w:w="628" w:type="pct"/>
            <w:tcBorders>
              <w:top w:val="single" w:sz="8" w:space="0" w:color="000000"/>
              <w:left w:val="nil"/>
              <w:bottom w:val="double" w:sz="4" w:space="0" w:color="auto"/>
              <w:right w:val="single" w:sz="8" w:space="0" w:color="000000"/>
            </w:tcBorders>
            <w:vAlign w:val="bottom"/>
          </w:tcPr>
          <w:p w14:paraId="03D22A7A" w14:textId="77777777" w:rsidR="00B50B6C" w:rsidRPr="009D7188" w:rsidRDefault="00B50B6C" w:rsidP="006774F7">
            <w:pPr>
              <w:widowControl/>
              <w:autoSpaceDE/>
              <w:autoSpaceDN/>
              <w:adjustRightInd/>
              <w:ind w:left="-108"/>
              <w:jc w:val="center"/>
              <w:rPr>
                <w:b/>
                <w:sz w:val="20"/>
                <w:szCs w:val="20"/>
              </w:rPr>
            </w:pPr>
            <w:r w:rsidRPr="009D7188">
              <w:rPr>
                <w:b/>
                <w:sz w:val="20"/>
                <w:szCs w:val="20"/>
              </w:rPr>
              <w:t>Hourly Wage Rate</w:t>
            </w:r>
          </w:p>
        </w:tc>
        <w:tc>
          <w:tcPr>
            <w:tcW w:w="794" w:type="pct"/>
            <w:tcBorders>
              <w:top w:val="single" w:sz="8" w:space="0" w:color="000000"/>
              <w:left w:val="nil"/>
              <w:bottom w:val="double" w:sz="4" w:space="0" w:color="auto"/>
              <w:right w:val="single" w:sz="8" w:space="0" w:color="000000"/>
            </w:tcBorders>
            <w:vAlign w:val="bottom"/>
          </w:tcPr>
          <w:p w14:paraId="30B43FD2" w14:textId="77777777" w:rsidR="00B50B6C" w:rsidRPr="009D7188" w:rsidRDefault="00B50B6C" w:rsidP="006774F7">
            <w:pPr>
              <w:widowControl/>
              <w:autoSpaceDE/>
              <w:autoSpaceDN/>
              <w:adjustRightInd/>
              <w:ind w:left="-199"/>
              <w:jc w:val="center"/>
              <w:rPr>
                <w:b/>
                <w:sz w:val="20"/>
                <w:szCs w:val="20"/>
              </w:rPr>
            </w:pPr>
            <w:r w:rsidRPr="009D7188">
              <w:rPr>
                <w:b/>
                <w:sz w:val="20"/>
                <w:szCs w:val="20"/>
              </w:rPr>
              <w:t>Total Hour Cost</w:t>
            </w:r>
          </w:p>
        </w:tc>
      </w:tr>
      <w:tr w:rsidR="007A4097" w:rsidRPr="00652A96" w14:paraId="3D05E0DC" w14:textId="77777777" w:rsidTr="003646D9">
        <w:trPr>
          <w:cantSplit/>
          <w:trHeight w:val="330"/>
        </w:trPr>
        <w:tc>
          <w:tcPr>
            <w:tcW w:w="815" w:type="pct"/>
            <w:tcBorders>
              <w:top w:val="double" w:sz="4" w:space="0" w:color="auto"/>
              <w:left w:val="single" w:sz="8" w:space="0" w:color="000000"/>
              <w:bottom w:val="single" w:sz="8" w:space="0" w:color="000000"/>
              <w:right w:val="nil"/>
            </w:tcBorders>
            <w:vAlign w:val="bottom"/>
          </w:tcPr>
          <w:p w14:paraId="5D99D918" w14:textId="77777777" w:rsidR="00B50B6C" w:rsidRPr="009D7188" w:rsidRDefault="00B50B6C" w:rsidP="006774F7">
            <w:pPr>
              <w:widowControl/>
              <w:autoSpaceDE/>
              <w:autoSpaceDN/>
              <w:adjustRightInd/>
              <w:ind w:left="-108"/>
              <w:rPr>
                <w:sz w:val="20"/>
                <w:szCs w:val="20"/>
              </w:rPr>
            </w:pPr>
            <w:r w:rsidRPr="009D7188">
              <w:rPr>
                <w:sz w:val="20"/>
                <w:szCs w:val="20"/>
              </w:rPr>
              <w:t>Screening</w:t>
            </w:r>
          </w:p>
        </w:tc>
        <w:tc>
          <w:tcPr>
            <w:tcW w:w="763" w:type="pct"/>
            <w:tcBorders>
              <w:top w:val="double" w:sz="4" w:space="0" w:color="auto"/>
              <w:left w:val="single" w:sz="8" w:space="0" w:color="000000"/>
              <w:bottom w:val="single" w:sz="8" w:space="0" w:color="000000"/>
              <w:right w:val="nil"/>
            </w:tcBorders>
            <w:vAlign w:val="bottom"/>
          </w:tcPr>
          <w:p w14:paraId="722A460E" w14:textId="77777777" w:rsidR="00B50B6C" w:rsidRPr="009D7188" w:rsidRDefault="00B321A6" w:rsidP="006774F7">
            <w:pPr>
              <w:widowControl/>
              <w:autoSpaceDE/>
              <w:autoSpaceDN/>
              <w:adjustRightInd/>
              <w:ind w:left="-199"/>
              <w:jc w:val="right"/>
              <w:rPr>
                <w:sz w:val="20"/>
                <w:szCs w:val="20"/>
              </w:rPr>
            </w:pPr>
            <w:r>
              <w:rPr>
                <w:sz w:val="20"/>
                <w:szCs w:val="20"/>
              </w:rPr>
              <w:t>150</w:t>
            </w:r>
          </w:p>
        </w:tc>
        <w:tc>
          <w:tcPr>
            <w:tcW w:w="701" w:type="pct"/>
            <w:tcBorders>
              <w:top w:val="double" w:sz="4" w:space="0" w:color="auto"/>
              <w:left w:val="single" w:sz="8" w:space="0" w:color="000000"/>
              <w:bottom w:val="single" w:sz="8" w:space="0" w:color="000000"/>
              <w:right w:val="nil"/>
            </w:tcBorders>
            <w:vAlign w:val="bottom"/>
          </w:tcPr>
          <w:p w14:paraId="5ACE8D35" w14:textId="77777777" w:rsidR="00B50B6C" w:rsidRPr="009D7188" w:rsidRDefault="00B50B6C" w:rsidP="006774F7">
            <w:pPr>
              <w:widowControl/>
              <w:autoSpaceDE/>
              <w:autoSpaceDN/>
              <w:adjustRightInd/>
              <w:ind w:left="-199"/>
              <w:jc w:val="right"/>
              <w:rPr>
                <w:sz w:val="20"/>
                <w:szCs w:val="20"/>
              </w:rPr>
            </w:pPr>
            <w:r w:rsidRPr="009D7188">
              <w:rPr>
                <w:sz w:val="20"/>
                <w:szCs w:val="20"/>
              </w:rPr>
              <w:t>1</w:t>
            </w:r>
          </w:p>
        </w:tc>
        <w:tc>
          <w:tcPr>
            <w:tcW w:w="658" w:type="pct"/>
            <w:tcBorders>
              <w:top w:val="double" w:sz="4" w:space="0" w:color="auto"/>
              <w:left w:val="single" w:sz="8" w:space="0" w:color="000000"/>
              <w:bottom w:val="single" w:sz="8" w:space="0" w:color="000000"/>
              <w:right w:val="nil"/>
            </w:tcBorders>
            <w:vAlign w:val="bottom"/>
          </w:tcPr>
          <w:p w14:paraId="410C097D" w14:textId="77777777" w:rsidR="00B50B6C" w:rsidRPr="009D7188" w:rsidRDefault="00B50B6C" w:rsidP="006774F7">
            <w:pPr>
              <w:widowControl/>
              <w:autoSpaceDE/>
              <w:autoSpaceDN/>
              <w:adjustRightInd/>
              <w:ind w:left="-199"/>
              <w:jc w:val="right"/>
              <w:rPr>
                <w:sz w:val="20"/>
                <w:szCs w:val="20"/>
              </w:rPr>
            </w:pPr>
            <w:r w:rsidRPr="009D7188">
              <w:rPr>
                <w:sz w:val="20"/>
                <w:szCs w:val="20"/>
              </w:rPr>
              <w:t>0.083</w:t>
            </w:r>
          </w:p>
        </w:tc>
        <w:tc>
          <w:tcPr>
            <w:tcW w:w="641" w:type="pct"/>
            <w:tcBorders>
              <w:top w:val="double" w:sz="4" w:space="0" w:color="auto"/>
              <w:left w:val="single" w:sz="8" w:space="0" w:color="000000"/>
              <w:bottom w:val="single" w:sz="8" w:space="0" w:color="000000"/>
              <w:right w:val="single" w:sz="8" w:space="0" w:color="000000"/>
            </w:tcBorders>
            <w:vAlign w:val="bottom"/>
          </w:tcPr>
          <w:p w14:paraId="05D4D515" w14:textId="77777777" w:rsidR="00B50B6C" w:rsidRPr="009D7188" w:rsidRDefault="00B321A6" w:rsidP="006774F7">
            <w:pPr>
              <w:widowControl/>
              <w:autoSpaceDE/>
              <w:autoSpaceDN/>
              <w:adjustRightInd/>
              <w:ind w:left="-199"/>
              <w:jc w:val="right"/>
              <w:rPr>
                <w:sz w:val="20"/>
                <w:szCs w:val="20"/>
              </w:rPr>
            </w:pPr>
            <w:r>
              <w:rPr>
                <w:sz w:val="20"/>
                <w:szCs w:val="20"/>
              </w:rPr>
              <w:t>12.45</w:t>
            </w:r>
          </w:p>
        </w:tc>
        <w:tc>
          <w:tcPr>
            <w:tcW w:w="628" w:type="pct"/>
            <w:tcBorders>
              <w:top w:val="double" w:sz="4" w:space="0" w:color="auto"/>
              <w:left w:val="nil"/>
              <w:bottom w:val="single" w:sz="8" w:space="0" w:color="000000"/>
              <w:right w:val="single" w:sz="8" w:space="0" w:color="000000"/>
            </w:tcBorders>
            <w:vAlign w:val="bottom"/>
          </w:tcPr>
          <w:p w14:paraId="50FF43D8" w14:textId="77777777" w:rsidR="00B50B6C" w:rsidRPr="009D7188" w:rsidRDefault="00B50B6C" w:rsidP="006774F7">
            <w:pPr>
              <w:widowControl/>
              <w:autoSpaceDE/>
              <w:autoSpaceDN/>
              <w:adjustRightInd/>
              <w:ind w:left="-199"/>
              <w:jc w:val="right"/>
              <w:rPr>
                <w:sz w:val="20"/>
                <w:szCs w:val="20"/>
              </w:rPr>
            </w:pPr>
            <w:r w:rsidRPr="009D7188">
              <w:rPr>
                <w:sz w:val="20"/>
                <w:szCs w:val="20"/>
              </w:rPr>
              <w:t>$</w:t>
            </w:r>
            <w:r>
              <w:rPr>
                <w:sz w:val="20"/>
                <w:szCs w:val="20"/>
              </w:rPr>
              <w:t>14</w:t>
            </w:r>
            <w:r w:rsidRPr="009D7188">
              <w:rPr>
                <w:sz w:val="20"/>
                <w:szCs w:val="20"/>
              </w:rPr>
              <w:t>.</w:t>
            </w:r>
            <w:r>
              <w:rPr>
                <w:sz w:val="20"/>
                <w:szCs w:val="20"/>
              </w:rPr>
              <w:t>61</w:t>
            </w:r>
            <w:r w:rsidRPr="009D7188">
              <w:rPr>
                <w:sz w:val="20"/>
                <w:szCs w:val="20"/>
              </w:rPr>
              <w:t xml:space="preserve"> </w:t>
            </w:r>
          </w:p>
        </w:tc>
        <w:tc>
          <w:tcPr>
            <w:tcW w:w="794" w:type="pct"/>
            <w:tcBorders>
              <w:top w:val="double" w:sz="4" w:space="0" w:color="auto"/>
              <w:left w:val="nil"/>
              <w:bottom w:val="single" w:sz="8" w:space="0" w:color="000000"/>
              <w:right w:val="single" w:sz="8" w:space="0" w:color="000000"/>
            </w:tcBorders>
            <w:vAlign w:val="bottom"/>
          </w:tcPr>
          <w:p w14:paraId="6BDA9EAA" w14:textId="77777777" w:rsidR="00B50B6C" w:rsidRPr="009D7188" w:rsidRDefault="00B50B6C" w:rsidP="006774F7">
            <w:pPr>
              <w:widowControl/>
              <w:autoSpaceDE/>
              <w:autoSpaceDN/>
              <w:adjustRightInd/>
              <w:ind w:left="-199"/>
              <w:jc w:val="right"/>
              <w:rPr>
                <w:sz w:val="20"/>
                <w:szCs w:val="20"/>
              </w:rPr>
            </w:pPr>
            <w:r w:rsidRPr="009D7188">
              <w:rPr>
                <w:sz w:val="20"/>
                <w:szCs w:val="20"/>
              </w:rPr>
              <w:t>$</w:t>
            </w:r>
            <w:r w:rsidR="00B321A6">
              <w:rPr>
                <w:sz w:val="20"/>
                <w:szCs w:val="20"/>
              </w:rPr>
              <w:t>181.89</w:t>
            </w:r>
            <w:r w:rsidRPr="009D7188">
              <w:rPr>
                <w:sz w:val="20"/>
                <w:szCs w:val="20"/>
              </w:rPr>
              <w:t xml:space="preserve"> </w:t>
            </w:r>
          </w:p>
        </w:tc>
      </w:tr>
      <w:tr w:rsidR="007A4097" w:rsidRPr="00652A96" w14:paraId="59A4A0A2" w14:textId="77777777" w:rsidTr="003646D9">
        <w:trPr>
          <w:cantSplit/>
          <w:trHeight w:val="330"/>
        </w:trPr>
        <w:tc>
          <w:tcPr>
            <w:tcW w:w="815" w:type="pct"/>
            <w:tcBorders>
              <w:top w:val="nil"/>
              <w:left w:val="single" w:sz="8" w:space="0" w:color="000000"/>
              <w:bottom w:val="single" w:sz="8" w:space="0" w:color="000000"/>
              <w:right w:val="nil"/>
            </w:tcBorders>
            <w:vAlign w:val="bottom"/>
          </w:tcPr>
          <w:p w14:paraId="25903090" w14:textId="77777777" w:rsidR="00B50B6C" w:rsidRPr="009D7188" w:rsidRDefault="00B50B6C" w:rsidP="006774F7">
            <w:pPr>
              <w:widowControl/>
              <w:autoSpaceDE/>
              <w:autoSpaceDN/>
              <w:adjustRightInd/>
              <w:ind w:left="-108"/>
              <w:rPr>
                <w:sz w:val="20"/>
                <w:szCs w:val="20"/>
              </w:rPr>
            </w:pPr>
            <w:r>
              <w:rPr>
                <w:sz w:val="20"/>
                <w:szCs w:val="20"/>
              </w:rPr>
              <w:t xml:space="preserve">Full </w:t>
            </w:r>
            <w:r w:rsidRPr="009D7188">
              <w:rPr>
                <w:sz w:val="20"/>
                <w:szCs w:val="20"/>
              </w:rPr>
              <w:t>Cognitive Interviews</w:t>
            </w:r>
          </w:p>
        </w:tc>
        <w:tc>
          <w:tcPr>
            <w:tcW w:w="763" w:type="pct"/>
            <w:tcBorders>
              <w:top w:val="nil"/>
              <w:left w:val="single" w:sz="8" w:space="0" w:color="000000"/>
              <w:bottom w:val="single" w:sz="8" w:space="0" w:color="000000"/>
              <w:right w:val="nil"/>
            </w:tcBorders>
            <w:vAlign w:val="bottom"/>
          </w:tcPr>
          <w:p w14:paraId="27A3D995" w14:textId="77777777" w:rsidR="00B50B6C" w:rsidRPr="009D7188" w:rsidRDefault="00E30659" w:rsidP="006774F7">
            <w:pPr>
              <w:widowControl/>
              <w:autoSpaceDE/>
              <w:autoSpaceDN/>
              <w:adjustRightInd/>
              <w:ind w:left="-199"/>
              <w:jc w:val="right"/>
              <w:rPr>
                <w:sz w:val="20"/>
                <w:szCs w:val="20"/>
              </w:rPr>
            </w:pPr>
            <w:r>
              <w:rPr>
                <w:sz w:val="20"/>
                <w:szCs w:val="20"/>
              </w:rPr>
              <w:t>51</w:t>
            </w:r>
          </w:p>
        </w:tc>
        <w:tc>
          <w:tcPr>
            <w:tcW w:w="701" w:type="pct"/>
            <w:tcBorders>
              <w:top w:val="nil"/>
              <w:left w:val="single" w:sz="8" w:space="0" w:color="000000"/>
              <w:bottom w:val="single" w:sz="8" w:space="0" w:color="000000"/>
              <w:right w:val="nil"/>
            </w:tcBorders>
            <w:vAlign w:val="bottom"/>
          </w:tcPr>
          <w:p w14:paraId="53DEF7BA" w14:textId="77777777" w:rsidR="00B50B6C" w:rsidRPr="009D7188" w:rsidRDefault="00B50B6C" w:rsidP="006774F7">
            <w:pPr>
              <w:widowControl/>
              <w:autoSpaceDE/>
              <w:autoSpaceDN/>
              <w:adjustRightInd/>
              <w:ind w:left="-199"/>
              <w:jc w:val="right"/>
              <w:rPr>
                <w:sz w:val="20"/>
                <w:szCs w:val="20"/>
              </w:rPr>
            </w:pPr>
            <w:r w:rsidRPr="009D7188">
              <w:rPr>
                <w:sz w:val="20"/>
                <w:szCs w:val="20"/>
              </w:rPr>
              <w:t>1</w:t>
            </w:r>
          </w:p>
        </w:tc>
        <w:tc>
          <w:tcPr>
            <w:tcW w:w="658" w:type="pct"/>
            <w:tcBorders>
              <w:top w:val="nil"/>
              <w:left w:val="single" w:sz="8" w:space="0" w:color="000000"/>
              <w:bottom w:val="single" w:sz="8" w:space="0" w:color="000000"/>
              <w:right w:val="nil"/>
            </w:tcBorders>
            <w:vAlign w:val="bottom"/>
          </w:tcPr>
          <w:p w14:paraId="2BD2892B" w14:textId="77777777" w:rsidR="00B50B6C" w:rsidRPr="009D7188" w:rsidRDefault="00B50B6C" w:rsidP="006774F7">
            <w:pPr>
              <w:widowControl/>
              <w:autoSpaceDE/>
              <w:autoSpaceDN/>
              <w:adjustRightInd/>
              <w:ind w:left="-199"/>
              <w:jc w:val="right"/>
              <w:rPr>
                <w:sz w:val="20"/>
                <w:szCs w:val="20"/>
              </w:rPr>
            </w:pPr>
            <w:r>
              <w:rPr>
                <w:sz w:val="20"/>
                <w:szCs w:val="20"/>
              </w:rPr>
              <w:t>1.000</w:t>
            </w:r>
          </w:p>
        </w:tc>
        <w:tc>
          <w:tcPr>
            <w:tcW w:w="641" w:type="pct"/>
            <w:tcBorders>
              <w:top w:val="nil"/>
              <w:left w:val="single" w:sz="8" w:space="0" w:color="000000"/>
              <w:bottom w:val="single" w:sz="8" w:space="0" w:color="000000"/>
              <w:right w:val="single" w:sz="8" w:space="0" w:color="000000"/>
            </w:tcBorders>
            <w:vAlign w:val="bottom"/>
          </w:tcPr>
          <w:p w14:paraId="46E4EDFE" w14:textId="77777777" w:rsidR="00B50B6C" w:rsidRPr="009D7188" w:rsidRDefault="00E30659" w:rsidP="006774F7">
            <w:pPr>
              <w:widowControl/>
              <w:autoSpaceDE/>
              <w:autoSpaceDN/>
              <w:adjustRightInd/>
              <w:ind w:left="-199"/>
              <w:jc w:val="right"/>
              <w:rPr>
                <w:sz w:val="20"/>
                <w:szCs w:val="20"/>
              </w:rPr>
            </w:pPr>
            <w:r>
              <w:rPr>
                <w:sz w:val="20"/>
                <w:szCs w:val="20"/>
              </w:rPr>
              <w:t>51</w:t>
            </w:r>
            <w:r w:rsidR="00B50B6C">
              <w:rPr>
                <w:sz w:val="20"/>
                <w:szCs w:val="20"/>
              </w:rPr>
              <w:t>.00</w:t>
            </w:r>
          </w:p>
        </w:tc>
        <w:tc>
          <w:tcPr>
            <w:tcW w:w="628" w:type="pct"/>
            <w:tcBorders>
              <w:top w:val="nil"/>
              <w:left w:val="nil"/>
              <w:bottom w:val="single" w:sz="8" w:space="0" w:color="000000"/>
              <w:right w:val="single" w:sz="8" w:space="0" w:color="000000"/>
            </w:tcBorders>
            <w:vAlign w:val="bottom"/>
          </w:tcPr>
          <w:p w14:paraId="578B0C07" w14:textId="77777777" w:rsidR="00B50B6C" w:rsidRPr="009D7188" w:rsidRDefault="00B50B6C" w:rsidP="006774F7">
            <w:pPr>
              <w:widowControl/>
              <w:autoSpaceDE/>
              <w:autoSpaceDN/>
              <w:adjustRightInd/>
              <w:ind w:left="-199"/>
              <w:jc w:val="right"/>
              <w:rPr>
                <w:sz w:val="20"/>
                <w:szCs w:val="20"/>
              </w:rPr>
            </w:pPr>
            <w:r w:rsidRPr="009D7188">
              <w:rPr>
                <w:sz w:val="20"/>
                <w:szCs w:val="20"/>
              </w:rPr>
              <w:t>$</w:t>
            </w:r>
            <w:r>
              <w:rPr>
                <w:sz w:val="20"/>
                <w:szCs w:val="20"/>
              </w:rPr>
              <w:t>14</w:t>
            </w:r>
            <w:r w:rsidRPr="009D7188">
              <w:rPr>
                <w:sz w:val="20"/>
                <w:szCs w:val="20"/>
              </w:rPr>
              <w:t>.</w:t>
            </w:r>
            <w:r>
              <w:rPr>
                <w:sz w:val="20"/>
                <w:szCs w:val="20"/>
              </w:rPr>
              <w:t>61</w:t>
            </w:r>
          </w:p>
        </w:tc>
        <w:tc>
          <w:tcPr>
            <w:tcW w:w="794" w:type="pct"/>
            <w:tcBorders>
              <w:top w:val="nil"/>
              <w:left w:val="nil"/>
              <w:bottom w:val="single" w:sz="8" w:space="0" w:color="000000"/>
              <w:right w:val="single" w:sz="8" w:space="0" w:color="000000"/>
            </w:tcBorders>
            <w:vAlign w:val="bottom"/>
          </w:tcPr>
          <w:p w14:paraId="0C5951D2" w14:textId="77777777" w:rsidR="00B50B6C" w:rsidRPr="009D7188" w:rsidRDefault="00B50B6C" w:rsidP="006774F7">
            <w:pPr>
              <w:widowControl/>
              <w:autoSpaceDE/>
              <w:autoSpaceDN/>
              <w:adjustRightInd/>
              <w:ind w:left="-199"/>
              <w:jc w:val="right"/>
              <w:rPr>
                <w:sz w:val="20"/>
                <w:szCs w:val="20"/>
              </w:rPr>
            </w:pPr>
            <w:r w:rsidRPr="009D7188">
              <w:rPr>
                <w:sz w:val="20"/>
                <w:szCs w:val="20"/>
              </w:rPr>
              <w:t>$</w:t>
            </w:r>
            <w:r w:rsidR="00E30659">
              <w:rPr>
                <w:sz w:val="20"/>
                <w:szCs w:val="20"/>
              </w:rPr>
              <w:t>745.11</w:t>
            </w:r>
            <w:r w:rsidRPr="009D7188">
              <w:rPr>
                <w:sz w:val="20"/>
                <w:szCs w:val="20"/>
              </w:rPr>
              <w:t xml:space="preserve"> </w:t>
            </w:r>
          </w:p>
        </w:tc>
      </w:tr>
      <w:tr w:rsidR="007A4097" w:rsidRPr="00652A96" w14:paraId="05B27877" w14:textId="77777777" w:rsidTr="003646D9">
        <w:trPr>
          <w:cantSplit/>
          <w:trHeight w:val="330"/>
        </w:trPr>
        <w:tc>
          <w:tcPr>
            <w:tcW w:w="815" w:type="pct"/>
            <w:tcBorders>
              <w:top w:val="nil"/>
              <w:left w:val="single" w:sz="8" w:space="0" w:color="000000"/>
              <w:bottom w:val="single" w:sz="8" w:space="0" w:color="000000"/>
              <w:right w:val="nil"/>
            </w:tcBorders>
            <w:vAlign w:val="bottom"/>
          </w:tcPr>
          <w:p w14:paraId="1BB33B4C" w14:textId="77777777" w:rsidR="00B50B6C" w:rsidRPr="009D7188" w:rsidRDefault="00B50B6C" w:rsidP="006774F7">
            <w:pPr>
              <w:widowControl/>
              <w:autoSpaceDE/>
              <w:autoSpaceDN/>
              <w:adjustRightInd/>
              <w:ind w:left="-108"/>
              <w:rPr>
                <w:sz w:val="20"/>
                <w:szCs w:val="20"/>
              </w:rPr>
            </w:pPr>
            <w:r w:rsidRPr="009D7188">
              <w:rPr>
                <w:sz w:val="20"/>
                <w:szCs w:val="20"/>
              </w:rPr>
              <w:t>TOTAL</w:t>
            </w:r>
          </w:p>
        </w:tc>
        <w:tc>
          <w:tcPr>
            <w:tcW w:w="763" w:type="pct"/>
            <w:tcBorders>
              <w:top w:val="nil"/>
              <w:left w:val="single" w:sz="8" w:space="0" w:color="000000"/>
              <w:bottom w:val="single" w:sz="8" w:space="0" w:color="000000"/>
              <w:right w:val="nil"/>
            </w:tcBorders>
            <w:vAlign w:val="bottom"/>
          </w:tcPr>
          <w:p w14:paraId="45F6A149" w14:textId="77777777" w:rsidR="00B50B6C" w:rsidRPr="009D7188" w:rsidRDefault="00B321A6" w:rsidP="006774F7">
            <w:pPr>
              <w:widowControl/>
              <w:autoSpaceDE/>
              <w:autoSpaceDN/>
              <w:adjustRightInd/>
              <w:ind w:left="-199"/>
              <w:jc w:val="right"/>
              <w:rPr>
                <w:sz w:val="20"/>
                <w:szCs w:val="20"/>
              </w:rPr>
            </w:pPr>
            <w:r>
              <w:rPr>
                <w:sz w:val="20"/>
                <w:szCs w:val="20"/>
              </w:rPr>
              <w:t>1</w:t>
            </w:r>
            <w:r w:rsidR="00E30659">
              <w:rPr>
                <w:sz w:val="20"/>
                <w:szCs w:val="20"/>
              </w:rPr>
              <w:t>5</w:t>
            </w:r>
            <w:r>
              <w:rPr>
                <w:sz w:val="20"/>
                <w:szCs w:val="20"/>
              </w:rPr>
              <w:t>0</w:t>
            </w:r>
          </w:p>
        </w:tc>
        <w:tc>
          <w:tcPr>
            <w:tcW w:w="701" w:type="pct"/>
            <w:tcBorders>
              <w:top w:val="nil"/>
              <w:left w:val="single" w:sz="8" w:space="0" w:color="000000"/>
              <w:bottom w:val="single" w:sz="8" w:space="0" w:color="000000"/>
              <w:right w:val="nil"/>
            </w:tcBorders>
            <w:vAlign w:val="bottom"/>
          </w:tcPr>
          <w:p w14:paraId="21963CB9" w14:textId="77777777" w:rsidR="00B50B6C" w:rsidRPr="009D7188" w:rsidRDefault="00B50B6C" w:rsidP="006774F7">
            <w:pPr>
              <w:widowControl/>
              <w:autoSpaceDE/>
              <w:autoSpaceDN/>
              <w:adjustRightInd/>
              <w:ind w:left="-199"/>
              <w:jc w:val="right"/>
              <w:rPr>
                <w:sz w:val="20"/>
                <w:szCs w:val="20"/>
              </w:rPr>
            </w:pPr>
            <w:r w:rsidRPr="009D7188">
              <w:rPr>
                <w:sz w:val="20"/>
                <w:szCs w:val="20"/>
              </w:rPr>
              <w:t xml:space="preserve">– </w:t>
            </w:r>
          </w:p>
        </w:tc>
        <w:tc>
          <w:tcPr>
            <w:tcW w:w="658" w:type="pct"/>
            <w:tcBorders>
              <w:top w:val="nil"/>
              <w:left w:val="single" w:sz="8" w:space="0" w:color="000000"/>
              <w:bottom w:val="single" w:sz="8" w:space="0" w:color="000000"/>
              <w:right w:val="nil"/>
            </w:tcBorders>
            <w:vAlign w:val="bottom"/>
          </w:tcPr>
          <w:p w14:paraId="1BA43876" w14:textId="77777777" w:rsidR="00B50B6C" w:rsidRPr="009D7188" w:rsidRDefault="00B50B6C" w:rsidP="006774F7">
            <w:pPr>
              <w:widowControl/>
              <w:autoSpaceDE/>
              <w:autoSpaceDN/>
              <w:adjustRightInd/>
              <w:ind w:left="-199"/>
              <w:jc w:val="right"/>
              <w:rPr>
                <w:sz w:val="20"/>
                <w:szCs w:val="20"/>
              </w:rPr>
            </w:pPr>
            <w:r w:rsidRPr="009D7188">
              <w:rPr>
                <w:sz w:val="20"/>
                <w:szCs w:val="20"/>
              </w:rPr>
              <w:t xml:space="preserve">– </w:t>
            </w:r>
          </w:p>
        </w:tc>
        <w:tc>
          <w:tcPr>
            <w:tcW w:w="641" w:type="pct"/>
            <w:tcBorders>
              <w:top w:val="nil"/>
              <w:left w:val="single" w:sz="8" w:space="0" w:color="000000"/>
              <w:bottom w:val="single" w:sz="8" w:space="0" w:color="000000"/>
              <w:right w:val="nil"/>
            </w:tcBorders>
            <w:vAlign w:val="bottom"/>
          </w:tcPr>
          <w:p w14:paraId="0616C3A3" w14:textId="07F42C80" w:rsidR="00B50B6C" w:rsidRDefault="003968C8" w:rsidP="006774F7">
            <w:pPr>
              <w:widowControl/>
              <w:autoSpaceDE/>
              <w:autoSpaceDN/>
              <w:adjustRightInd/>
              <w:ind w:left="-199"/>
              <w:jc w:val="right"/>
              <w:rPr>
                <w:sz w:val="20"/>
                <w:szCs w:val="20"/>
              </w:rPr>
            </w:pPr>
            <w:r>
              <w:rPr>
                <w:sz w:val="20"/>
                <w:szCs w:val="20"/>
              </w:rPr>
              <w:t>63</w:t>
            </w:r>
            <w:r w:rsidR="00B321A6">
              <w:rPr>
                <w:sz w:val="20"/>
                <w:szCs w:val="20"/>
              </w:rPr>
              <w:t>.45</w:t>
            </w:r>
          </w:p>
        </w:tc>
        <w:tc>
          <w:tcPr>
            <w:tcW w:w="628" w:type="pct"/>
            <w:tcBorders>
              <w:top w:val="nil"/>
              <w:left w:val="single" w:sz="8" w:space="0" w:color="000000"/>
              <w:bottom w:val="single" w:sz="8" w:space="0" w:color="000000"/>
              <w:right w:val="single" w:sz="8" w:space="0" w:color="000000"/>
            </w:tcBorders>
            <w:vAlign w:val="bottom"/>
          </w:tcPr>
          <w:p w14:paraId="325C039B" w14:textId="77777777" w:rsidR="00B50B6C" w:rsidRPr="009D7188" w:rsidRDefault="00B50B6C" w:rsidP="006774F7">
            <w:pPr>
              <w:widowControl/>
              <w:autoSpaceDE/>
              <w:autoSpaceDN/>
              <w:adjustRightInd/>
              <w:ind w:left="-199"/>
              <w:jc w:val="right"/>
              <w:rPr>
                <w:sz w:val="20"/>
                <w:szCs w:val="20"/>
              </w:rPr>
            </w:pPr>
            <w:r w:rsidRPr="009D7188">
              <w:rPr>
                <w:sz w:val="20"/>
                <w:szCs w:val="20"/>
              </w:rPr>
              <w:t xml:space="preserve">– </w:t>
            </w:r>
          </w:p>
        </w:tc>
        <w:tc>
          <w:tcPr>
            <w:tcW w:w="794" w:type="pct"/>
            <w:tcBorders>
              <w:top w:val="nil"/>
              <w:left w:val="nil"/>
              <w:bottom w:val="single" w:sz="8" w:space="0" w:color="000000"/>
              <w:right w:val="single" w:sz="8" w:space="0" w:color="000000"/>
            </w:tcBorders>
            <w:vAlign w:val="bottom"/>
          </w:tcPr>
          <w:p w14:paraId="0F031E6A" w14:textId="77777777" w:rsidR="00B50B6C" w:rsidRPr="009D7188" w:rsidRDefault="00B50B6C" w:rsidP="006774F7">
            <w:pPr>
              <w:widowControl/>
              <w:autoSpaceDE/>
              <w:autoSpaceDN/>
              <w:adjustRightInd/>
              <w:ind w:left="-199"/>
              <w:jc w:val="right"/>
              <w:rPr>
                <w:sz w:val="20"/>
                <w:szCs w:val="20"/>
              </w:rPr>
            </w:pPr>
            <w:r w:rsidRPr="009D7188">
              <w:rPr>
                <w:sz w:val="20"/>
                <w:szCs w:val="20"/>
              </w:rPr>
              <w:t>$</w:t>
            </w:r>
            <w:r w:rsidR="00E30659">
              <w:rPr>
                <w:sz w:val="20"/>
                <w:szCs w:val="20"/>
              </w:rPr>
              <w:t>927.00</w:t>
            </w:r>
          </w:p>
        </w:tc>
      </w:tr>
    </w:tbl>
    <w:p w14:paraId="2AC42A4C" w14:textId="77777777" w:rsidR="00B50B6C" w:rsidRDefault="00B50B6C" w:rsidP="006774F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pPr>
    </w:p>
    <w:p w14:paraId="429780DF"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13.</w:t>
      </w:r>
      <w:r w:rsidRPr="009D3114">
        <w:rPr>
          <w:rFonts w:ascii="Times New Roman" w:hAnsi="Times New Roman" w:cs="Times New Roman"/>
        </w:rPr>
        <w:tab/>
      </w:r>
      <w:r w:rsidRPr="009D3114">
        <w:rPr>
          <w:rFonts w:ascii="Times New Roman" w:hAnsi="Times New Roman" w:cs="Times New Roman"/>
          <w:u w:val="single"/>
        </w:rPr>
        <w:t>Estimates of Annualized Cost Burden to Respondents</w:t>
      </w:r>
    </w:p>
    <w:p w14:paraId="4937CDFE" w14:textId="77777777" w:rsidR="00062ACC" w:rsidRPr="009D3114" w:rsidRDefault="00111962" w:rsidP="006774F7">
      <w:pPr>
        <w:pStyle w:val="BodyText"/>
        <w:ind w:left="630"/>
        <w:rPr>
          <w:rFonts w:ascii="Times New Roman" w:hAnsi="Times New Roman" w:cs="Times New Roman"/>
        </w:rPr>
      </w:pPr>
      <w:r w:rsidRPr="009D3114">
        <w:rPr>
          <w:rFonts w:ascii="Times New Roman" w:hAnsi="Times New Roman" w:cs="Times New Roman"/>
        </w:rPr>
        <w:t>There are n</w:t>
      </w:r>
      <w:r w:rsidR="00F0057B" w:rsidRPr="009D3114">
        <w:rPr>
          <w:rFonts w:ascii="Times New Roman" w:hAnsi="Times New Roman" w:cs="Times New Roman"/>
        </w:rPr>
        <w:t>o</w:t>
      </w:r>
      <w:r w:rsidR="00AA75A1" w:rsidRPr="009D3114">
        <w:rPr>
          <w:rFonts w:ascii="Times New Roman" w:hAnsi="Times New Roman" w:cs="Times New Roman"/>
        </w:rPr>
        <w:t xml:space="preserve"> </w:t>
      </w:r>
      <w:r w:rsidRPr="009D3114">
        <w:rPr>
          <w:rFonts w:ascii="Times New Roman" w:hAnsi="Times New Roman" w:cs="Times New Roman"/>
        </w:rPr>
        <w:t>capital</w:t>
      </w:r>
      <w:r w:rsidR="00F0057B" w:rsidRPr="009D3114">
        <w:rPr>
          <w:rFonts w:ascii="Times New Roman" w:hAnsi="Times New Roman" w:cs="Times New Roman"/>
        </w:rPr>
        <w:t xml:space="preserve">, </w:t>
      </w:r>
      <w:r w:rsidRPr="009D3114">
        <w:rPr>
          <w:rFonts w:ascii="Times New Roman" w:hAnsi="Times New Roman" w:cs="Times New Roman"/>
        </w:rPr>
        <w:t>startup</w:t>
      </w:r>
      <w:r w:rsidR="00F0057B" w:rsidRPr="009D3114">
        <w:rPr>
          <w:rFonts w:ascii="Times New Roman" w:hAnsi="Times New Roman" w:cs="Times New Roman"/>
        </w:rPr>
        <w:t xml:space="preserve">, </w:t>
      </w:r>
      <w:r w:rsidRPr="009D3114">
        <w:rPr>
          <w:rFonts w:ascii="Times New Roman" w:hAnsi="Times New Roman" w:cs="Times New Roman"/>
        </w:rPr>
        <w:t>operation</w:t>
      </w:r>
      <w:r w:rsidR="00F0057B" w:rsidRPr="009D3114">
        <w:rPr>
          <w:rFonts w:ascii="Times New Roman" w:hAnsi="Times New Roman" w:cs="Times New Roman"/>
        </w:rPr>
        <w:t>al, or</w:t>
      </w:r>
      <w:r w:rsidRPr="009D3114">
        <w:rPr>
          <w:rFonts w:ascii="Times New Roman" w:hAnsi="Times New Roman" w:cs="Times New Roman"/>
        </w:rPr>
        <w:t xml:space="preserve"> maintenance costs to r</w:t>
      </w:r>
      <w:r w:rsidR="00062ACC" w:rsidRPr="009D3114">
        <w:rPr>
          <w:rFonts w:ascii="Times New Roman" w:hAnsi="Times New Roman" w:cs="Times New Roman"/>
        </w:rPr>
        <w:t>espondents</w:t>
      </w:r>
      <w:r w:rsidRPr="009D3114">
        <w:rPr>
          <w:rFonts w:ascii="Times New Roman" w:hAnsi="Times New Roman" w:cs="Times New Roman"/>
        </w:rPr>
        <w:t xml:space="preserve">. </w:t>
      </w:r>
    </w:p>
    <w:p w14:paraId="7CE66116"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14.</w:t>
      </w:r>
      <w:r w:rsidRPr="009D3114">
        <w:rPr>
          <w:rFonts w:ascii="Times New Roman" w:hAnsi="Times New Roman" w:cs="Times New Roman"/>
        </w:rPr>
        <w:tab/>
      </w:r>
      <w:r w:rsidRPr="009D3114">
        <w:rPr>
          <w:rFonts w:ascii="Times New Roman" w:hAnsi="Times New Roman" w:cs="Times New Roman"/>
          <w:u w:val="single"/>
        </w:rPr>
        <w:t>Estimates of Annualized Cost to the Government</w:t>
      </w:r>
    </w:p>
    <w:p w14:paraId="2D2784B3" w14:textId="7402E32F" w:rsidR="009750F5" w:rsidRPr="009D3114" w:rsidRDefault="00A43D0D" w:rsidP="004B1007">
      <w:pPr>
        <w:pStyle w:val="BodyText"/>
        <w:ind w:left="630"/>
        <w:rPr>
          <w:rFonts w:ascii="Times New Roman" w:hAnsi="Times New Roman" w:cs="Times New Roman"/>
        </w:rPr>
      </w:pPr>
      <w:r w:rsidRPr="009D3114">
        <w:rPr>
          <w:rFonts w:ascii="Times New Roman" w:hAnsi="Times New Roman" w:cs="Times New Roman"/>
        </w:rPr>
        <w:t xml:space="preserve">Total costs associated with the </w:t>
      </w:r>
      <w:r w:rsidR="006A5463" w:rsidRPr="009D3114">
        <w:rPr>
          <w:rFonts w:ascii="Times New Roman" w:hAnsi="Times New Roman" w:cs="Times New Roman"/>
        </w:rPr>
        <w:t xml:space="preserve">cognitive interviews </w:t>
      </w:r>
      <w:r w:rsidRPr="009D3114">
        <w:rPr>
          <w:rFonts w:ascii="Times New Roman" w:hAnsi="Times New Roman" w:cs="Times New Roman"/>
        </w:rPr>
        <w:t xml:space="preserve">are estimated to be </w:t>
      </w:r>
      <w:r w:rsidR="00CB0C6C" w:rsidRPr="00815C6B">
        <w:rPr>
          <w:rFonts w:ascii="Times New Roman" w:hAnsi="Times New Roman" w:cs="Times New Roman"/>
        </w:rPr>
        <w:t>$</w:t>
      </w:r>
      <w:r w:rsidR="001E5634">
        <w:rPr>
          <w:rFonts w:ascii="Times New Roman" w:hAnsi="Times New Roman" w:cs="Times New Roman"/>
        </w:rPr>
        <w:t>215,886</w:t>
      </w:r>
      <w:r w:rsidR="00DA0EAD" w:rsidRPr="00815C6B">
        <w:rPr>
          <w:rFonts w:ascii="Times New Roman" w:hAnsi="Times New Roman" w:cs="Times New Roman"/>
        </w:rPr>
        <w:t xml:space="preserve"> </w:t>
      </w:r>
      <w:r w:rsidRPr="00815C6B">
        <w:rPr>
          <w:rFonts w:ascii="Times New Roman" w:hAnsi="Times New Roman" w:cs="Times New Roman"/>
        </w:rPr>
        <w:t>ov</w:t>
      </w:r>
      <w:r w:rsidRPr="003A7C4A">
        <w:rPr>
          <w:rFonts w:ascii="Times New Roman" w:hAnsi="Times New Roman" w:cs="Times New Roman"/>
        </w:rPr>
        <w:t xml:space="preserve">er a </w:t>
      </w:r>
      <w:r w:rsidR="004B1007" w:rsidRPr="003A7C4A">
        <w:rPr>
          <w:rFonts w:ascii="Times New Roman" w:hAnsi="Times New Roman" w:cs="Times New Roman"/>
        </w:rPr>
        <w:t>1</w:t>
      </w:r>
      <w:r w:rsidR="00792B00">
        <w:rPr>
          <w:rFonts w:ascii="Times New Roman" w:hAnsi="Times New Roman" w:cs="Times New Roman"/>
        </w:rPr>
        <w:t>0</w:t>
      </w:r>
      <w:r w:rsidRPr="003A7C4A">
        <w:rPr>
          <w:rFonts w:ascii="Times New Roman" w:hAnsi="Times New Roman" w:cs="Times New Roman"/>
        </w:rPr>
        <w:t>-month period.</w:t>
      </w:r>
      <w:r w:rsidR="00515597" w:rsidRPr="003A7C4A">
        <w:rPr>
          <w:rFonts w:ascii="Times New Roman" w:hAnsi="Times New Roman" w:cs="Times New Roman"/>
        </w:rPr>
        <w:t xml:space="preserve"> </w:t>
      </w:r>
      <w:r w:rsidRPr="003A7C4A">
        <w:rPr>
          <w:rFonts w:ascii="Times New Roman" w:hAnsi="Times New Roman" w:cs="Times New Roman"/>
        </w:rPr>
        <w:t xml:space="preserve">Of the total costs, </w:t>
      </w:r>
      <w:r w:rsidR="00AB3FEC" w:rsidRPr="003A7C4A">
        <w:rPr>
          <w:rFonts w:ascii="Times New Roman" w:hAnsi="Times New Roman" w:cs="Times New Roman"/>
        </w:rPr>
        <w:t>$</w:t>
      </w:r>
      <w:r w:rsidR="004B1007" w:rsidRPr="003A7C4A">
        <w:rPr>
          <w:rFonts w:ascii="Times New Roman" w:hAnsi="Times New Roman" w:cs="Times New Roman"/>
        </w:rPr>
        <w:t xml:space="preserve">195,301 </w:t>
      </w:r>
      <w:r w:rsidRPr="003A7C4A">
        <w:rPr>
          <w:rFonts w:ascii="Times New Roman" w:hAnsi="Times New Roman" w:cs="Times New Roman"/>
        </w:rPr>
        <w:t xml:space="preserve">are for contract costs </w:t>
      </w:r>
      <w:r w:rsidR="00DD5248" w:rsidRPr="003A7C4A">
        <w:rPr>
          <w:rFonts w:ascii="Times New Roman" w:hAnsi="Times New Roman" w:cs="Times New Roman"/>
        </w:rPr>
        <w:t>(</w:t>
      </w:r>
      <w:r w:rsidR="003A7C4A">
        <w:rPr>
          <w:rFonts w:ascii="Times New Roman" w:hAnsi="Times New Roman" w:cs="Times New Roman"/>
        </w:rPr>
        <w:t xml:space="preserve">e.g. </w:t>
      </w:r>
      <w:r w:rsidR="0079589E" w:rsidRPr="003A7C4A">
        <w:rPr>
          <w:rFonts w:ascii="Times New Roman" w:hAnsi="Times New Roman" w:cs="Times New Roman"/>
        </w:rPr>
        <w:t>recruiting for</w:t>
      </w:r>
      <w:r w:rsidR="008E74AF">
        <w:rPr>
          <w:rFonts w:ascii="Times New Roman" w:hAnsi="Times New Roman" w:cs="Times New Roman"/>
        </w:rPr>
        <w:t>,</w:t>
      </w:r>
      <w:r w:rsidR="0068782D" w:rsidRPr="003A7C4A">
        <w:rPr>
          <w:rFonts w:ascii="Times New Roman" w:hAnsi="Times New Roman" w:cs="Times New Roman"/>
        </w:rPr>
        <w:t xml:space="preserve"> conducting, analyzing, and reporting on cognitive interviews</w:t>
      </w:r>
      <w:r w:rsidR="00DD5248" w:rsidRPr="003A7C4A">
        <w:rPr>
          <w:rFonts w:ascii="Times New Roman" w:hAnsi="Times New Roman" w:cs="Times New Roman"/>
        </w:rPr>
        <w:t>)</w:t>
      </w:r>
      <w:r w:rsidRPr="003A7C4A">
        <w:rPr>
          <w:rFonts w:ascii="Times New Roman" w:hAnsi="Times New Roman" w:cs="Times New Roman"/>
        </w:rPr>
        <w:t xml:space="preserve">, and approximately </w:t>
      </w:r>
      <w:r w:rsidR="001E5634" w:rsidRPr="006F3BD3">
        <w:rPr>
          <w:color w:val="auto"/>
        </w:rPr>
        <w:t>$20,585</w:t>
      </w:r>
      <w:r w:rsidR="00DA0EAD" w:rsidRPr="006F3BD3">
        <w:rPr>
          <w:rFonts w:ascii="Times New Roman" w:hAnsi="Times New Roman" w:cs="Times New Roman"/>
          <w:color w:val="auto"/>
        </w:rPr>
        <w:t xml:space="preserve"> </w:t>
      </w:r>
      <w:r w:rsidR="00DA0EAD" w:rsidRPr="003A7C4A">
        <w:rPr>
          <w:rFonts w:ascii="Times New Roman" w:hAnsi="Times New Roman" w:cs="Times New Roman"/>
        </w:rPr>
        <w:t>r</w:t>
      </w:r>
      <w:r w:rsidRPr="003A7C4A">
        <w:rPr>
          <w:rFonts w:ascii="Times New Roman" w:hAnsi="Times New Roman" w:cs="Times New Roman"/>
        </w:rPr>
        <w:t xml:space="preserve">epresents </w:t>
      </w:r>
      <w:r w:rsidR="002402C9" w:rsidRPr="003A7C4A">
        <w:rPr>
          <w:rFonts w:ascii="Times New Roman" w:hAnsi="Times New Roman" w:cs="Times New Roman"/>
        </w:rPr>
        <w:t xml:space="preserve">CBHSQ </w:t>
      </w:r>
      <w:r w:rsidRPr="003A7C4A">
        <w:rPr>
          <w:rFonts w:ascii="Times New Roman" w:hAnsi="Times New Roman" w:cs="Times New Roman"/>
        </w:rPr>
        <w:t xml:space="preserve">costs to </w:t>
      </w:r>
      <w:r w:rsidR="004B1007" w:rsidRPr="003A7C4A">
        <w:rPr>
          <w:rFonts w:ascii="Times New Roman" w:hAnsi="Times New Roman" w:cs="Times New Roman"/>
        </w:rPr>
        <w:t>manage</w:t>
      </w:r>
      <w:r w:rsidR="004B1007">
        <w:rPr>
          <w:rFonts w:ascii="Times New Roman" w:hAnsi="Times New Roman" w:cs="Times New Roman"/>
        </w:rPr>
        <w:t xml:space="preserve"> the task</w:t>
      </w:r>
      <w:r w:rsidRPr="00815C6B">
        <w:rPr>
          <w:rFonts w:ascii="Times New Roman" w:hAnsi="Times New Roman" w:cs="Times New Roman"/>
        </w:rPr>
        <w:t>.</w:t>
      </w:r>
      <w:r w:rsidR="00515597" w:rsidRPr="009D3114">
        <w:rPr>
          <w:rFonts w:ascii="Times New Roman" w:hAnsi="Times New Roman" w:cs="Times New Roman"/>
        </w:rPr>
        <w:t xml:space="preserve"> </w:t>
      </w:r>
    </w:p>
    <w:p w14:paraId="601A9CAB"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15.</w:t>
      </w:r>
      <w:r w:rsidR="00515597" w:rsidRPr="009D3114">
        <w:rPr>
          <w:rFonts w:ascii="Times New Roman" w:hAnsi="Times New Roman" w:cs="Times New Roman"/>
        </w:rPr>
        <w:t xml:space="preserve"> </w:t>
      </w:r>
      <w:r w:rsidRPr="009D3114">
        <w:rPr>
          <w:rFonts w:ascii="Times New Roman" w:hAnsi="Times New Roman" w:cs="Times New Roman"/>
        </w:rPr>
        <w:tab/>
      </w:r>
      <w:r w:rsidRPr="009D3114">
        <w:rPr>
          <w:rFonts w:ascii="Times New Roman" w:hAnsi="Times New Roman" w:cs="Times New Roman"/>
          <w:u w:val="single"/>
        </w:rPr>
        <w:t>Changes in Burden</w:t>
      </w:r>
    </w:p>
    <w:p w14:paraId="77F93D8F" w14:textId="6FEB9FDE" w:rsidR="00812A74" w:rsidRPr="009D3114" w:rsidRDefault="004450E9" w:rsidP="00100C95">
      <w:pPr>
        <w:pStyle w:val="BodyText"/>
        <w:ind w:left="630"/>
        <w:rPr>
          <w:rFonts w:ascii="Times New Roman" w:hAnsi="Times New Roman" w:cs="Times New Roman"/>
          <w:color w:val="000000"/>
        </w:rPr>
      </w:pPr>
      <w:r>
        <w:rPr>
          <w:rFonts w:ascii="Times New Roman" w:hAnsi="Times New Roman" w:cs="Times New Roman"/>
        </w:rPr>
        <w:t xml:space="preserve">The total burden hours approved under the Methodological Field Tests was 2,741 hours. CBHSQ has used 77 hours to date.  </w:t>
      </w:r>
      <w:r w:rsidR="006A5463" w:rsidRPr="009D3114">
        <w:rPr>
          <w:rFonts w:ascii="Times New Roman" w:hAnsi="Times New Roman" w:cs="Times New Roman"/>
        </w:rPr>
        <w:t>For t</w:t>
      </w:r>
      <w:r w:rsidR="00835012" w:rsidRPr="009D3114">
        <w:rPr>
          <w:rFonts w:ascii="Times New Roman" w:hAnsi="Times New Roman" w:cs="Times New Roman"/>
        </w:rPr>
        <w:t xml:space="preserve">he </w:t>
      </w:r>
      <w:r w:rsidR="00EA750F">
        <w:rPr>
          <w:rFonts w:ascii="Times New Roman" w:hAnsi="Times New Roman" w:cs="Times New Roman"/>
        </w:rPr>
        <w:t xml:space="preserve">DSM-5 </w:t>
      </w:r>
      <w:r w:rsidR="00FA450E">
        <w:rPr>
          <w:rFonts w:ascii="Times New Roman" w:hAnsi="Times New Roman" w:cs="Times New Roman"/>
        </w:rPr>
        <w:t>cognitive testing</w:t>
      </w:r>
      <w:r w:rsidR="006A5463" w:rsidRPr="009D3114">
        <w:rPr>
          <w:rFonts w:ascii="Times New Roman" w:hAnsi="Times New Roman" w:cs="Times New Roman"/>
        </w:rPr>
        <w:t xml:space="preserve">, SAMHSA </w:t>
      </w:r>
      <w:r w:rsidR="00835012" w:rsidRPr="009D3114">
        <w:rPr>
          <w:rFonts w:ascii="Times New Roman" w:hAnsi="Times New Roman" w:cs="Times New Roman"/>
        </w:rPr>
        <w:t xml:space="preserve">is requesting </w:t>
      </w:r>
      <w:r w:rsidR="003968C8">
        <w:rPr>
          <w:rFonts w:ascii="Times New Roman" w:hAnsi="Times New Roman" w:cs="Times New Roman"/>
        </w:rPr>
        <w:t>63</w:t>
      </w:r>
      <w:r w:rsidR="00100C95">
        <w:rPr>
          <w:rFonts w:ascii="Times New Roman" w:hAnsi="Times New Roman" w:cs="Times New Roman"/>
        </w:rPr>
        <w:t>.45</w:t>
      </w:r>
      <w:r w:rsidR="00C85563" w:rsidRPr="009D3114">
        <w:rPr>
          <w:rFonts w:ascii="Times New Roman" w:hAnsi="Times New Roman" w:cs="Times New Roman"/>
        </w:rPr>
        <w:t xml:space="preserve"> </w:t>
      </w:r>
      <w:r w:rsidR="002A47A0" w:rsidRPr="009D3114">
        <w:rPr>
          <w:rFonts w:ascii="Times New Roman" w:hAnsi="Times New Roman" w:cs="Times New Roman"/>
        </w:rPr>
        <w:t>burden hours</w:t>
      </w:r>
      <w:r>
        <w:rPr>
          <w:rFonts w:ascii="Times New Roman" w:hAnsi="Times New Roman" w:cs="Times New Roman"/>
        </w:rPr>
        <w:t>, leaving a balance of 2,600.55 burden hours.</w:t>
      </w:r>
    </w:p>
    <w:p w14:paraId="2FBB974D"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16.</w:t>
      </w:r>
      <w:r w:rsidR="00515597" w:rsidRPr="009D3114">
        <w:rPr>
          <w:rFonts w:ascii="Times New Roman" w:hAnsi="Times New Roman" w:cs="Times New Roman"/>
        </w:rPr>
        <w:t xml:space="preserve"> </w:t>
      </w:r>
      <w:r w:rsidRPr="009D3114">
        <w:rPr>
          <w:rFonts w:ascii="Times New Roman" w:hAnsi="Times New Roman" w:cs="Times New Roman"/>
        </w:rPr>
        <w:tab/>
      </w:r>
      <w:r w:rsidRPr="009D3114">
        <w:rPr>
          <w:rFonts w:ascii="Times New Roman" w:hAnsi="Times New Roman" w:cs="Times New Roman"/>
          <w:u w:val="single"/>
        </w:rPr>
        <w:t>Time Schedule, Publication and Analysis Plans</w:t>
      </w:r>
    </w:p>
    <w:p w14:paraId="4AA844A8" w14:textId="60F6B0B9" w:rsidR="007A4097" w:rsidRDefault="007A4097" w:rsidP="002E738B">
      <w:pPr>
        <w:widowControl/>
        <w:tabs>
          <w:tab w:val="left" w:pos="634"/>
        </w:tabs>
        <w:ind w:left="630" w:hanging="634"/>
      </w:pPr>
      <w:r>
        <w:tab/>
      </w:r>
      <w:r w:rsidRPr="007B0C33">
        <w:t xml:space="preserve">The </w:t>
      </w:r>
      <w:r w:rsidR="006774F7">
        <w:t xml:space="preserve">DSM-5 </w:t>
      </w:r>
      <w:r>
        <w:rPr>
          <w:bCs/>
        </w:rPr>
        <w:t>c</w:t>
      </w:r>
      <w:r w:rsidRPr="00327566">
        <w:rPr>
          <w:bCs/>
        </w:rPr>
        <w:t xml:space="preserve">ognitive </w:t>
      </w:r>
      <w:r>
        <w:rPr>
          <w:bCs/>
        </w:rPr>
        <w:t>i</w:t>
      </w:r>
      <w:r w:rsidRPr="00327566">
        <w:rPr>
          <w:bCs/>
        </w:rPr>
        <w:t xml:space="preserve">nterviews </w:t>
      </w:r>
      <w:r w:rsidRPr="007B0C33">
        <w:t xml:space="preserve">will be used to </w:t>
      </w:r>
      <w:r w:rsidR="00792B00">
        <w:t>test</w:t>
      </w:r>
      <w:r w:rsidR="00792B00" w:rsidRPr="007B0C33">
        <w:t xml:space="preserve"> </w:t>
      </w:r>
      <w:r w:rsidRPr="007B0C33">
        <w:t>the wording changes</w:t>
      </w:r>
      <w:r>
        <w:t xml:space="preserve"> and question additions</w:t>
      </w:r>
      <w:r w:rsidR="00100C95">
        <w:t xml:space="preserve"> </w:t>
      </w:r>
      <w:r>
        <w:t>that are being considered for the 2017 NSDUH questionnaire</w:t>
      </w:r>
      <w:r w:rsidRPr="007B0C33">
        <w:t xml:space="preserve">. The sample size and design do not allow for statistical inference to be conducted, and therefore, the analyses will be </w:t>
      </w:r>
      <w:r w:rsidR="002775FD">
        <w:t>qualitative</w:t>
      </w:r>
      <w:r w:rsidRPr="007B0C33">
        <w:t xml:space="preserve">. Debriefings with the cognitive interviewers will be conducted to learn from their experiences about </w:t>
      </w:r>
      <w:r>
        <w:t>participants</w:t>
      </w:r>
      <w:r w:rsidRPr="007B0C33">
        <w:t xml:space="preserve">’ reactions </w:t>
      </w:r>
      <w:r>
        <w:t xml:space="preserve">and responses to the survey questions and interviewer probes.  The results will be summarized in a report and used to make recommendations for questions to be </w:t>
      </w:r>
      <w:r w:rsidR="000C751D">
        <w:t xml:space="preserve">revised and/or </w:t>
      </w:r>
      <w:r>
        <w:t xml:space="preserve">included </w:t>
      </w:r>
      <w:r w:rsidR="000C751D">
        <w:t>for</w:t>
      </w:r>
      <w:r>
        <w:t xml:space="preserve"> the 2017 NSDUH.</w:t>
      </w:r>
    </w:p>
    <w:p w14:paraId="345EB926" w14:textId="77777777" w:rsidR="007A4097" w:rsidRPr="007B0C33" w:rsidRDefault="007A4097" w:rsidP="006774F7">
      <w:pPr>
        <w:widowControl/>
        <w:tabs>
          <w:tab w:val="left" w:pos="634"/>
        </w:tabs>
        <w:ind w:left="630" w:hanging="634"/>
      </w:pPr>
    </w:p>
    <w:p w14:paraId="30F1B1A9" w14:textId="39E65182" w:rsidR="007A4097" w:rsidRDefault="007A4097" w:rsidP="006774F7">
      <w:pPr>
        <w:widowControl/>
        <w:tabs>
          <w:tab w:val="left" w:pos="634"/>
        </w:tabs>
        <w:ind w:left="630" w:hanging="634"/>
      </w:pPr>
      <w:r>
        <w:tab/>
        <w:t xml:space="preserve">The schedule for the </w:t>
      </w:r>
      <w:r>
        <w:rPr>
          <w:bCs/>
        </w:rPr>
        <w:t>c</w:t>
      </w:r>
      <w:r w:rsidRPr="00327566">
        <w:rPr>
          <w:bCs/>
        </w:rPr>
        <w:t xml:space="preserve">ognitive </w:t>
      </w:r>
      <w:r>
        <w:rPr>
          <w:bCs/>
        </w:rPr>
        <w:t>i</w:t>
      </w:r>
      <w:r w:rsidRPr="00327566">
        <w:rPr>
          <w:bCs/>
        </w:rPr>
        <w:t xml:space="preserve">nterviews for </w:t>
      </w:r>
      <w:r>
        <w:rPr>
          <w:bCs/>
        </w:rPr>
        <w:t>the NSDUH DSM-</w:t>
      </w:r>
      <w:r w:rsidR="008009E9">
        <w:rPr>
          <w:bCs/>
        </w:rPr>
        <w:t>5</w:t>
      </w:r>
      <w:r>
        <w:rPr>
          <w:bCs/>
        </w:rPr>
        <w:t xml:space="preserve"> Study </w:t>
      </w:r>
      <w:r w:rsidRPr="0044786D">
        <w:t>is</w:t>
      </w:r>
      <w:r>
        <w:t xml:space="preserve"> included in Table 2 below.</w:t>
      </w:r>
    </w:p>
    <w:p w14:paraId="44E160A4" w14:textId="77777777" w:rsidR="00B636F5" w:rsidRDefault="00B636F5" w:rsidP="006774F7">
      <w:pPr>
        <w:widowControl/>
        <w:tabs>
          <w:tab w:val="left" w:pos="634"/>
        </w:tabs>
        <w:ind w:left="630" w:hanging="634"/>
      </w:pPr>
    </w:p>
    <w:p w14:paraId="5DCAE7AA" w14:textId="77777777" w:rsidR="00107D2E" w:rsidRDefault="00107D2E" w:rsidP="006774F7">
      <w:pPr>
        <w:widowControl/>
        <w:tabs>
          <w:tab w:val="left" w:pos="634"/>
        </w:tabs>
        <w:ind w:left="630" w:hanging="634"/>
      </w:pPr>
    </w:p>
    <w:p w14:paraId="4C2651B4" w14:textId="77777777" w:rsidR="00107D2E" w:rsidRDefault="00107D2E" w:rsidP="006774F7">
      <w:pPr>
        <w:widowControl/>
        <w:tabs>
          <w:tab w:val="left" w:pos="634"/>
        </w:tabs>
        <w:ind w:left="630" w:hanging="634"/>
      </w:pPr>
    </w:p>
    <w:p w14:paraId="33B92CAC" w14:textId="77777777" w:rsidR="00CF5A30" w:rsidRDefault="00CF5A30" w:rsidP="006774F7">
      <w:pPr>
        <w:widowControl/>
        <w:tabs>
          <w:tab w:val="left" w:pos="634"/>
        </w:tabs>
        <w:ind w:left="630" w:hanging="634"/>
      </w:pPr>
    </w:p>
    <w:p w14:paraId="75194FBD" w14:textId="77777777" w:rsidR="00107D2E" w:rsidRDefault="00107D2E" w:rsidP="006774F7">
      <w:pPr>
        <w:widowControl/>
        <w:tabs>
          <w:tab w:val="left" w:pos="634"/>
        </w:tabs>
        <w:ind w:left="630" w:hanging="634"/>
      </w:pPr>
    </w:p>
    <w:p w14:paraId="6714EE55" w14:textId="77777777" w:rsidR="00107D2E" w:rsidRDefault="00107D2E" w:rsidP="006774F7">
      <w:pPr>
        <w:widowControl/>
        <w:tabs>
          <w:tab w:val="left" w:pos="634"/>
        </w:tabs>
        <w:ind w:left="630" w:hanging="634"/>
      </w:pPr>
    </w:p>
    <w:p w14:paraId="4339657B" w14:textId="77777777" w:rsidR="007A4097" w:rsidRDefault="007A4097" w:rsidP="006774F7">
      <w:pPr>
        <w:widowControl/>
        <w:tabs>
          <w:tab w:val="left" w:pos="634"/>
        </w:tabs>
        <w:ind w:left="630" w:hanging="634"/>
      </w:pPr>
    </w:p>
    <w:p w14:paraId="0BF6E54C" w14:textId="0B71502C" w:rsidR="007A4097" w:rsidRDefault="00D30CEF" w:rsidP="006774F7">
      <w:pPr>
        <w:widowControl/>
        <w:tabs>
          <w:tab w:val="left" w:pos="-720"/>
          <w:tab w:val="left" w:pos="1710"/>
        </w:tabs>
        <w:spacing w:after="120"/>
        <w:ind w:left="630" w:hanging="1080"/>
      </w:pPr>
      <w:r>
        <w:rPr>
          <w:b/>
          <w:bCs/>
        </w:rPr>
        <w:tab/>
        <w:t xml:space="preserve">  </w:t>
      </w:r>
      <w:proofErr w:type="gramStart"/>
      <w:r w:rsidR="007A4097">
        <w:rPr>
          <w:b/>
          <w:bCs/>
        </w:rPr>
        <w:t>Table 2.</w:t>
      </w:r>
      <w:proofErr w:type="gramEnd"/>
      <w:r w:rsidR="007A4097">
        <w:rPr>
          <w:b/>
          <w:bCs/>
        </w:rPr>
        <w:tab/>
        <w:t xml:space="preserve">Schedule for Cognitive Interviews for Questionnaire Redesign </w:t>
      </w:r>
    </w:p>
    <w:tbl>
      <w:tblPr>
        <w:tblW w:w="7761" w:type="dxa"/>
        <w:jc w:val="center"/>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2289"/>
      </w:tblGrid>
      <w:tr w:rsidR="007A4097" w:rsidRPr="00DE2D33" w14:paraId="7BE63478" w14:textId="77777777" w:rsidTr="003646D9">
        <w:trPr>
          <w:jc w:val="center"/>
        </w:trPr>
        <w:tc>
          <w:tcPr>
            <w:tcW w:w="5472" w:type="dxa"/>
            <w:tcBorders>
              <w:bottom w:val="double" w:sz="4" w:space="0" w:color="auto"/>
            </w:tcBorders>
            <w:shd w:val="clear" w:color="auto" w:fill="E0E0E0"/>
          </w:tcPr>
          <w:p w14:paraId="19C73E46" w14:textId="77777777" w:rsidR="007A4097" w:rsidRPr="00DE2D33" w:rsidRDefault="007A4097" w:rsidP="006774F7">
            <w:pPr>
              <w:widowControl/>
              <w:ind w:left="630"/>
              <w:rPr>
                <w:b/>
                <w:sz w:val="22"/>
                <w:szCs w:val="22"/>
              </w:rPr>
            </w:pPr>
            <w:r w:rsidRPr="00DE2D33">
              <w:rPr>
                <w:b/>
                <w:sz w:val="22"/>
                <w:szCs w:val="22"/>
              </w:rPr>
              <w:t>Subtask</w:t>
            </w:r>
          </w:p>
        </w:tc>
        <w:tc>
          <w:tcPr>
            <w:tcW w:w="2289" w:type="dxa"/>
            <w:tcBorders>
              <w:bottom w:val="double" w:sz="4" w:space="0" w:color="auto"/>
            </w:tcBorders>
            <w:shd w:val="clear" w:color="auto" w:fill="E0E0E0"/>
          </w:tcPr>
          <w:p w14:paraId="0BACB69C" w14:textId="15E1DCD8" w:rsidR="007A4097" w:rsidRPr="00DE2D33" w:rsidRDefault="007A4097" w:rsidP="006774F7">
            <w:pPr>
              <w:widowControl/>
              <w:ind w:left="630"/>
              <w:rPr>
                <w:b/>
                <w:sz w:val="22"/>
                <w:szCs w:val="22"/>
              </w:rPr>
            </w:pPr>
            <w:r w:rsidRPr="00DE2D33">
              <w:rPr>
                <w:b/>
                <w:sz w:val="22"/>
                <w:szCs w:val="22"/>
              </w:rPr>
              <w:t>Date</w:t>
            </w:r>
          </w:p>
        </w:tc>
      </w:tr>
      <w:tr w:rsidR="007A4097" w:rsidRPr="00DE2D33" w14:paraId="2747700D" w14:textId="77777777" w:rsidTr="003646D9">
        <w:trPr>
          <w:jc w:val="center"/>
        </w:trPr>
        <w:tc>
          <w:tcPr>
            <w:tcW w:w="5472" w:type="dxa"/>
            <w:tcBorders>
              <w:top w:val="single" w:sz="4" w:space="0" w:color="auto"/>
              <w:bottom w:val="single" w:sz="4" w:space="0" w:color="auto"/>
            </w:tcBorders>
          </w:tcPr>
          <w:p w14:paraId="4F4DC4F0" w14:textId="77777777" w:rsidR="007A4097" w:rsidRPr="00DE2D33" w:rsidRDefault="007A4097" w:rsidP="006774F7">
            <w:pPr>
              <w:widowControl/>
              <w:ind w:left="630"/>
              <w:rPr>
                <w:sz w:val="22"/>
                <w:szCs w:val="22"/>
              </w:rPr>
            </w:pPr>
            <w:r w:rsidRPr="00DE2D33">
              <w:rPr>
                <w:sz w:val="22"/>
                <w:szCs w:val="22"/>
              </w:rPr>
              <w:t>Recruiting for cognitive interviews begins</w:t>
            </w:r>
          </w:p>
        </w:tc>
        <w:tc>
          <w:tcPr>
            <w:tcW w:w="2289" w:type="dxa"/>
            <w:tcBorders>
              <w:top w:val="single" w:sz="4" w:space="0" w:color="auto"/>
              <w:bottom w:val="single" w:sz="4" w:space="0" w:color="auto"/>
            </w:tcBorders>
          </w:tcPr>
          <w:p w14:paraId="75891715" w14:textId="4D4755EC" w:rsidR="007A4097" w:rsidRPr="00DE2D33" w:rsidRDefault="004B1007" w:rsidP="004B1007">
            <w:pPr>
              <w:widowControl/>
              <w:ind w:left="630"/>
              <w:rPr>
                <w:sz w:val="22"/>
                <w:szCs w:val="22"/>
              </w:rPr>
            </w:pPr>
            <w:r>
              <w:rPr>
                <w:sz w:val="22"/>
                <w:szCs w:val="22"/>
              </w:rPr>
              <w:t>2/16/2015</w:t>
            </w:r>
          </w:p>
        </w:tc>
      </w:tr>
      <w:tr w:rsidR="007A4097" w:rsidRPr="00DE2D33" w14:paraId="2E486462" w14:textId="77777777" w:rsidTr="003646D9">
        <w:trPr>
          <w:jc w:val="center"/>
        </w:trPr>
        <w:tc>
          <w:tcPr>
            <w:tcW w:w="5472" w:type="dxa"/>
            <w:tcBorders>
              <w:top w:val="single" w:sz="4" w:space="0" w:color="auto"/>
              <w:bottom w:val="single" w:sz="4" w:space="0" w:color="auto"/>
            </w:tcBorders>
          </w:tcPr>
          <w:p w14:paraId="7AA25A17" w14:textId="77777777" w:rsidR="007A4097" w:rsidRPr="00DE2D33" w:rsidRDefault="007A4097" w:rsidP="006774F7">
            <w:pPr>
              <w:widowControl/>
              <w:ind w:left="630"/>
              <w:rPr>
                <w:sz w:val="22"/>
                <w:szCs w:val="22"/>
              </w:rPr>
            </w:pPr>
            <w:r w:rsidRPr="00DE2D33">
              <w:rPr>
                <w:sz w:val="22"/>
                <w:szCs w:val="22"/>
              </w:rPr>
              <w:t>Round 1 cognitive interviews begin</w:t>
            </w:r>
          </w:p>
        </w:tc>
        <w:tc>
          <w:tcPr>
            <w:tcW w:w="2289" w:type="dxa"/>
            <w:tcBorders>
              <w:top w:val="single" w:sz="4" w:space="0" w:color="auto"/>
              <w:bottom w:val="single" w:sz="4" w:space="0" w:color="auto"/>
            </w:tcBorders>
          </w:tcPr>
          <w:p w14:paraId="41672D79" w14:textId="432549AD" w:rsidR="007A4097" w:rsidRPr="00DE2D33" w:rsidRDefault="00792B00" w:rsidP="006774F7">
            <w:pPr>
              <w:widowControl/>
              <w:ind w:left="630"/>
              <w:rPr>
                <w:sz w:val="22"/>
                <w:szCs w:val="22"/>
              </w:rPr>
            </w:pPr>
            <w:r>
              <w:rPr>
                <w:sz w:val="22"/>
                <w:szCs w:val="22"/>
              </w:rPr>
              <w:t>2</w:t>
            </w:r>
            <w:r w:rsidR="004B1007">
              <w:rPr>
                <w:sz w:val="22"/>
                <w:szCs w:val="22"/>
              </w:rPr>
              <w:t>/</w:t>
            </w:r>
            <w:r>
              <w:rPr>
                <w:sz w:val="22"/>
                <w:szCs w:val="22"/>
              </w:rPr>
              <w:t>23</w:t>
            </w:r>
            <w:r w:rsidR="004B1007">
              <w:rPr>
                <w:sz w:val="22"/>
                <w:szCs w:val="22"/>
              </w:rPr>
              <w:t>/2015</w:t>
            </w:r>
          </w:p>
        </w:tc>
      </w:tr>
      <w:tr w:rsidR="00212206" w:rsidRPr="00DE2D33" w14:paraId="21DCAD77" w14:textId="77777777" w:rsidTr="003646D9">
        <w:trPr>
          <w:jc w:val="center"/>
        </w:trPr>
        <w:tc>
          <w:tcPr>
            <w:tcW w:w="5472" w:type="dxa"/>
            <w:tcBorders>
              <w:top w:val="single" w:sz="4" w:space="0" w:color="auto"/>
              <w:bottom w:val="single" w:sz="4" w:space="0" w:color="auto"/>
            </w:tcBorders>
          </w:tcPr>
          <w:p w14:paraId="1B39BACA" w14:textId="29F76022" w:rsidR="00212206" w:rsidRPr="00DE2D33" w:rsidRDefault="00212206" w:rsidP="006774F7">
            <w:pPr>
              <w:widowControl/>
              <w:ind w:left="630"/>
              <w:rPr>
                <w:sz w:val="22"/>
                <w:szCs w:val="22"/>
              </w:rPr>
            </w:pPr>
            <w:r>
              <w:rPr>
                <w:sz w:val="22"/>
                <w:szCs w:val="22"/>
              </w:rPr>
              <w:t>Recruiting for Round 2 cognitive interviews begins</w:t>
            </w:r>
          </w:p>
        </w:tc>
        <w:tc>
          <w:tcPr>
            <w:tcW w:w="2289" w:type="dxa"/>
            <w:tcBorders>
              <w:top w:val="single" w:sz="4" w:space="0" w:color="auto"/>
              <w:bottom w:val="single" w:sz="4" w:space="0" w:color="auto"/>
            </w:tcBorders>
          </w:tcPr>
          <w:p w14:paraId="10BF9C52" w14:textId="681A322D" w:rsidR="00212206" w:rsidRDefault="00212206" w:rsidP="006774F7">
            <w:pPr>
              <w:widowControl/>
              <w:ind w:left="630"/>
              <w:rPr>
                <w:sz w:val="22"/>
                <w:szCs w:val="22"/>
              </w:rPr>
            </w:pPr>
            <w:r>
              <w:rPr>
                <w:sz w:val="22"/>
                <w:szCs w:val="22"/>
              </w:rPr>
              <w:t>6/15/2015</w:t>
            </w:r>
          </w:p>
        </w:tc>
      </w:tr>
      <w:tr w:rsidR="007A4097" w:rsidRPr="00DE2D33" w14:paraId="61FB6DC2" w14:textId="77777777" w:rsidTr="003646D9">
        <w:trPr>
          <w:jc w:val="center"/>
        </w:trPr>
        <w:tc>
          <w:tcPr>
            <w:tcW w:w="5472" w:type="dxa"/>
            <w:tcBorders>
              <w:top w:val="single" w:sz="4" w:space="0" w:color="auto"/>
              <w:bottom w:val="single" w:sz="4" w:space="0" w:color="auto"/>
            </w:tcBorders>
          </w:tcPr>
          <w:p w14:paraId="2A3FCCE2" w14:textId="5D6B722F" w:rsidR="007A4097" w:rsidRPr="00DE2D33" w:rsidRDefault="007A4097" w:rsidP="006774F7">
            <w:pPr>
              <w:widowControl/>
              <w:ind w:left="630"/>
              <w:rPr>
                <w:sz w:val="22"/>
                <w:szCs w:val="22"/>
              </w:rPr>
            </w:pPr>
            <w:r w:rsidRPr="00DE2D33">
              <w:rPr>
                <w:sz w:val="22"/>
                <w:szCs w:val="22"/>
              </w:rPr>
              <w:t>Round 2 cognitive interviews begin</w:t>
            </w:r>
          </w:p>
        </w:tc>
        <w:tc>
          <w:tcPr>
            <w:tcW w:w="2289" w:type="dxa"/>
            <w:tcBorders>
              <w:top w:val="single" w:sz="4" w:space="0" w:color="auto"/>
              <w:bottom w:val="single" w:sz="4" w:space="0" w:color="auto"/>
            </w:tcBorders>
          </w:tcPr>
          <w:p w14:paraId="6CA3C64D" w14:textId="6D9909F4" w:rsidR="007A4097" w:rsidRPr="00DE2D33" w:rsidRDefault="00792B00" w:rsidP="006774F7">
            <w:pPr>
              <w:widowControl/>
              <w:ind w:left="630"/>
              <w:rPr>
                <w:sz w:val="22"/>
                <w:szCs w:val="22"/>
              </w:rPr>
            </w:pPr>
            <w:r>
              <w:rPr>
                <w:sz w:val="22"/>
                <w:szCs w:val="22"/>
              </w:rPr>
              <w:t>6</w:t>
            </w:r>
            <w:r w:rsidR="004B1007">
              <w:rPr>
                <w:sz w:val="22"/>
                <w:szCs w:val="22"/>
              </w:rPr>
              <w:t>/</w:t>
            </w:r>
            <w:r w:rsidR="00212206">
              <w:rPr>
                <w:sz w:val="22"/>
                <w:szCs w:val="22"/>
              </w:rPr>
              <w:t>22</w:t>
            </w:r>
            <w:r w:rsidR="004B1007">
              <w:rPr>
                <w:sz w:val="22"/>
                <w:szCs w:val="22"/>
              </w:rPr>
              <w:t>/2015</w:t>
            </w:r>
          </w:p>
        </w:tc>
      </w:tr>
      <w:tr w:rsidR="00212206" w:rsidRPr="00DE2D33" w14:paraId="646BBC12" w14:textId="77777777" w:rsidTr="003646D9">
        <w:trPr>
          <w:jc w:val="center"/>
        </w:trPr>
        <w:tc>
          <w:tcPr>
            <w:tcW w:w="5472" w:type="dxa"/>
            <w:tcBorders>
              <w:top w:val="single" w:sz="4" w:space="0" w:color="auto"/>
              <w:left w:val="single" w:sz="4" w:space="0" w:color="auto"/>
              <w:bottom w:val="single" w:sz="4" w:space="0" w:color="auto"/>
              <w:right w:val="single" w:sz="4" w:space="0" w:color="auto"/>
            </w:tcBorders>
          </w:tcPr>
          <w:p w14:paraId="5198DCDE" w14:textId="36153EE2" w:rsidR="00212206" w:rsidRPr="00DE2D33" w:rsidRDefault="00212206" w:rsidP="00645B77">
            <w:pPr>
              <w:widowControl/>
              <w:ind w:left="630"/>
              <w:rPr>
                <w:sz w:val="22"/>
                <w:szCs w:val="22"/>
              </w:rPr>
            </w:pPr>
            <w:r>
              <w:rPr>
                <w:sz w:val="22"/>
                <w:szCs w:val="22"/>
              </w:rPr>
              <w:t>Recruiting for Round 3 cognitive interviews begins</w:t>
            </w:r>
          </w:p>
        </w:tc>
        <w:tc>
          <w:tcPr>
            <w:tcW w:w="2289" w:type="dxa"/>
            <w:tcBorders>
              <w:top w:val="single" w:sz="4" w:space="0" w:color="auto"/>
              <w:left w:val="single" w:sz="4" w:space="0" w:color="auto"/>
              <w:bottom w:val="single" w:sz="4" w:space="0" w:color="auto"/>
              <w:right w:val="single" w:sz="4" w:space="0" w:color="auto"/>
            </w:tcBorders>
          </w:tcPr>
          <w:p w14:paraId="705E1580" w14:textId="5003CC87" w:rsidR="00212206" w:rsidRDefault="00212206" w:rsidP="00645B77">
            <w:pPr>
              <w:widowControl/>
              <w:ind w:left="630"/>
              <w:rPr>
                <w:sz w:val="22"/>
                <w:szCs w:val="22"/>
              </w:rPr>
            </w:pPr>
            <w:r>
              <w:rPr>
                <w:sz w:val="22"/>
                <w:szCs w:val="22"/>
              </w:rPr>
              <w:t>8/17/2015</w:t>
            </w:r>
          </w:p>
        </w:tc>
      </w:tr>
      <w:tr w:rsidR="007A4097" w:rsidRPr="00DE2D33" w14:paraId="14A1304C" w14:textId="77777777" w:rsidTr="003646D9">
        <w:trPr>
          <w:trHeight w:val="242"/>
          <w:jc w:val="center"/>
        </w:trPr>
        <w:tc>
          <w:tcPr>
            <w:tcW w:w="5472" w:type="dxa"/>
            <w:tcBorders>
              <w:top w:val="single" w:sz="4" w:space="0" w:color="auto"/>
              <w:bottom w:val="single" w:sz="4" w:space="0" w:color="auto"/>
            </w:tcBorders>
          </w:tcPr>
          <w:p w14:paraId="05AE9A00" w14:textId="77777777" w:rsidR="007A4097" w:rsidRPr="00DE2D33" w:rsidRDefault="007A4097" w:rsidP="006774F7">
            <w:pPr>
              <w:widowControl/>
              <w:ind w:left="630"/>
              <w:rPr>
                <w:sz w:val="22"/>
                <w:szCs w:val="22"/>
              </w:rPr>
            </w:pPr>
            <w:r>
              <w:rPr>
                <w:sz w:val="22"/>
                <w:szCs w:val="22"/>
              </w:rPr>
              <w:t>Round 3 cognitive interviews begin</w:t>
            </w:r>
          </w:p>
        </w:tc>
        <w:tc>
          <w:tcPr>
            <w:tcW w:w="2289" w:type="dxa"/>
            <w:tcBorders>
              <w:top w:val="single" w:sz="4" w:space="0" w:color="auto"/>
              <w:bottom w:val="single" w:sz="4" w:space="0" w:color="auto"/>
            </w:tcBorders>
          </w:tcPr>
          <w:p w14:paraId="1656A268" w14:textId="28EBE4EF" w:rsidR="007A4097" w:rsidRPr="00DE2D33" w:rsidRDefault="00792B00" w:rsidP="006774F7">
            <w:pPr>
              <w:widowControl/>
              <w:ind w:left="630"/>
              <w:rPr>
                <w:sz w:val="22"/>
                <w:szCs w:val="22"/>
              </w:rPr>
            </w:pPr>
            <w:r>
              <w:rPr>
                <w:sz w:val="22"/>
                <w:szCs w:val="22"/>
              </w:rPr>
              <w:t>8</w:t>
            </w:r>
            <w:r w:rsidR="004B1007">
              <w:rPr>
                <w:sz w:val="22"/>
                <w:szCs w:val="22"/>
              </w:rPr>
              <w:t>/</w:t>
            </w:r>
            <w:r w:rsidR="00212206">
              <w:rPr>
                <w:sz w:val="22"/>
                <w:szCs w:val="22"/>
              </w:rPr>
              <w:t>24</w:t>
            </w:r>
            <w:r w:rsidR="004B1007">
              <w:rPr>
                <w:sz w:val="22"/>
                <w:szCs w:val="22"/>
              </w:rPr>
              <w:t>/2015</w:t>
            </w:r>
          </w:p>
        </w:tc>
      </w:tr>
      <w:tr w:rsidR="007A4097" w:rsidRPr="00DE2D33" w14:paraId="0622FF2D" w14:textId="77777777" w:rsidTr="003646D9">
        <w:trPr>
          <w:jc w:val="center"/>
        </w:trPr>
        <w:tc>
          <w:tcPr>
            <w:tcW w:w="5472" w:type="dxa"/>
            <w:tcBorders>
              <w:top w:val="single" w:sz="4" w:space="0" w:color="auto"/>
              <w:bottom w:val="single" w:sz="4" w:space="0" w:color="auto"/>
            </w:tcBorders>
          </w:tcPr>
          <w:p w14:paraId="06C69626" w14:textId="77777777" w:rsidR="007A4097" w:rsidRPr="00DE2D33" w:rsidRDefault="007A4097" w:rsidP="006774F7">
            <w:pPr>
              <w:widowControl/>
              <w:ind w:left="630"/>
              <w:rPr>
                <w:sz w:val="22"/>
                <w:szCs w:val="22"/>
              </w:rPr>
            </w:pPr>
            <w:r w:rsidRPr="00DE2D33">
              <w:rPr>
                <w:sz w:val="22"/>
                <w:szCs w:val="22"/>
              </w:rPr>
              <w:t>All cognitive interviews completed</w:t>
            </w:r>
          </w:p>
        </w:tc>
        <w:tc>
          <w:tcPr>
            <w:tcW w:w="2289" w:type="dxa"/>
            <w:tcBorders>
              <w:top w:val="single" w:sz="4" w:space="0" w:color="auto"/>
              <w:bottom w:val="single" w:sz="4" w:space="0" w:color="auto"/>
            </w:tcBorders>
          </w:tcPr>
          <w:p w14:paraId="0B7AEEAC" w14:textId="331A256F" w:rsidR="007A4097" w:rsidRPr="00DE2D33" w:rsidRDefault="00792B00" w:rsidP="006774F7">
            <w:pPr>
              <w:widowControl/>
              <w:ind w:left="630"/>
              <w:rPr>
                <w:sz w:val="22"/>
                <w:szCs w:val="22"/>
              </w:rPr>
            </w:pPr>
            <w:r>
              <w:rPr>
                <w:sz w:val="22"/>
                <w:szCs w:val="22"/>
              </w:rPr>
              <w:t>9</w:t>
            </w:r>
            <w:r w:rsidR="004B1007">
              <w:rPr>
                <w:sz w:val="22"/>
                <w:szCs w:val="22"/>
              </w:rPr>
              <w:t>/</w:t>
            </w:r>
            <w:r>
              <w:rPr>
                <w:sz w:val="22"/>
                <w:szCs w:val="22"/>
              </w:rPr>
              <w:t>1</w:t>
            </w:r>
            <w:r w:rsidR="00212206">
              <w:rPr>
                <w:sz w:val="22"/>
                <w:szCs w:val="22"/>
              </w:rPr>
              <w:t>8</w:t>
            </w:r>
            <w:r w:rsidR="004B1007">
              <w:rPr>
                <w:sz w:val="22"/>
                <w:szCs w:val="22"/>
              </w:rPr>
              <w:t>/2015</w:t>
            </w:r>
          </w:p>
        </w:tc>
      </w:tr>
      <w:tr w:rsidR="007A4097" w:rsidRPr="00DE2D33" w14:paraId="2D99B491" w14:textId="77777777" w:rsidTr="003646D9">
        <w:trPr>
          <w:jc w:val="center"/>
        </w:trPr>
        <w:tc>
          <w:tcPr>
            <w:tcW w:w="5472" w:type="dxa"/>
            <w:tcBorders>
              <w:top w:val="single" w:sz="4" w:space="0" w:color="auto"/>
              <w:bottom w:val="single" w:sz="4" w:space="0" w:color="auto"/>
            </w:tcBorders>
          </w:tcPr>
          <w:p w14:paraId="07A407CA" w14:textId="77777777" w:rsidR="007A4097" w:rsidRPr="00DE2D33" w:rsidRDefault="007A4097" w:rsidP="006774F7">
            <w:pPr>
              <w:widowControl/>
              <w:ind w:left="630"/>
              <w:rPr>
                <w:sz w:val="22"/>
                <w:szCs w:val="22"/>
              </w:rPr>
            </w:pPr>
            <w:r w:rsidRPr="00DE2D33">
              <w:rPr>
                <w:sz w:val="22"/>
                <w:szCs w:val="22"/>
              </w:rPr>
              <w:t>Final cognitive interview report completed</w:t>
            </w:r>
          </w:p>
        </w:tc>
        <w:tc>
          <w:tcPr>
            <w:tcW w:w="2289" w:type="dxa"/>
            <w:tcBorders>
              <w:top w:val="single" w:sz="4" w:space="0" w:color="auto"/>
              <w:bottom w:val="single" w:sz="4" w:space="0" w:color="auto"/>
            </w:tcBorders>
          </w:tcPr>
          <w:p w14:paraId="3ACB8AD4" w14:textId="4B3A8E26" w:rsidR="007A4097" w:rsidRPr="00DE2D33" w:rsidRDefault="004B1007" w:rsidP="006774F7">
            <w:pPr>
              <w:widowControl/>
              <w:ind w:left="630"/>
              <w:rPr>
                <w:sz w:val="22"/>
                <w:szCs w:val="22"/>
              </w:rPr>
            </w:pPr>
            <w:r>
              <w:rPr>
                <w:sz w:val="22"/>
                <w:szCs w:val="22"/>
              </w:rPr>
              <w:t>1</w:t>
            </w:r>
            <w:r w:rsidR="00792B00">
              <w:rPr>
                <w:sz w:val="22"/>
                <w:szCs w:val="22"/>
              </w:rPr>
              <w:t>2</w:t>
            </w:r>
            <w:r>
              <w:rPr>
                <w:sz w:val="22"/>
                <w:szCs w:val="22"/>
              </w:rPr>
              <w:t>/</w:t>
            </w:r>
            <w:r w:rsidR="00E20373">
              <w:rPr>
                <w:sz w:val="22"/>
                <w:szCs w:val="22"/>
              </w:rPr>
              <w:t>21</w:t>
            </w:r>
            <w:r>
              <w:rPr>
                <w:sz w:val="22"/>
                <w:szCs w:val="22"/>
              </w:rPr>
              <w:t>/201</w:t>
            </w:r>
            <w:r w:rsidR="00792B00">
              <w:rPr>
                <w:sz w:val="22"/>
                <w:szCs w:val="22"/>
              </w:rPr>
              <w:t>5</w:t>
            </w:r>
          </w:p>
        </w:tc>
      </w:tr>
    </w:tbl>
    <w:p w14:paraId="7CB0F870" w14:textId="77777777" w:rsidR="007A4097" w:rsidRDefault="007A4097" w:rsidP="006774F7">
      <w:pPr>
        <w:widowControl/>
        <w:ind w:left="630"/>
      </w:pPr>
    </w:p>
    <w:p w14:paraId="2C37D1C1"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17.</w:t>
      </w:r>
      <w:r w:rsidRPr="009D3114">
        <w:rPr>
          <w:rFonts w:ascii="Times New Roman" w:hAnsi="Times New Roman" w:cs="Times New Roman"/>
        </w:rPr>
        <w:tab/>
      </w:r>
      <w:r w:rsidRPr="009D3114">
        <w:rPr>
          <w:rFonts w:ascii="Times New Roman" w:hAnsi="Times New Roman" w:cs="Times New Roman"/>
          <w:u w:val="single"/>
        </w:rPr>
        <w:t>Display of Expiration Date</w:t>
      </w:r>
    </w:p>
    <w:p w14:paraId="7476B6B2" w14:textId="78817561" w:rsidR="008D1144" w:rsidRPr="009D3114" w:rsidRDefault="008D1144" w:rsidP="006774F7">
      <w:pPr>
        <w:pStyle w:val="BodyText"/>
        <w:ind w:left="630"/>
        <w:rPr>
          <w:rFonts w:ascii="Times New Roman" w:hAnsi="Times New Roman" w:cs="Times New Roman"/>
        </w:rPr>
      </w:pPr>
      <w:r w:rsidRPr="009D3114">
        <w:rPr>
          <w:rFonts w:ascii="Times New Roman" w:hAnsi="Times New Roman" w:cs="Times New Roman"/>
        </w:rPr>
        <w:t xml:space="preserve">The OMB expiration date will be displayed on </w:t>
      </w:r>
      <w:r w:rsidR="007A4097">
        <w:rPr>
          <w:rFonts w:ascii="Times New Roman" w:hAnsi="Times New Roman" w:cs="Times New Roman"/>
        </w:rPr>
        <w:t xml:space="preserve">the </w:t>
      </w:r>
      <w:r w:rsidR="007A4097" w:rsidRPr="00997436">
        <w:t xml:space="preserve">Parental </w:t>
      </w:r>
      <w:r w:rsidR="007A4097">
        <w:t>Permission Form</w:t>
      </w:r>
      <w:r w:rsidR="007A4097" w:rsidRPr="00997436">
        <w:t xml:space="preserve"> </w:t>
      </w:r>
      <w:r w:rsidR="00AB3ABE">
        <w:t>(</w:t>
      </w:r>
      <w:r w:rsidR="007A4097" w:rsidRPr="00997436">
        <w:t xml:space="preserve">Attachment </w:t>
      </w:r>
      <w:r w:rsidR="004F7B54">
        <w:t>D</w:t>
      </w:r>
      <w:r w:rsidR="00AB3ABE">
        <w:t>)</w:t>
      </w:r>
      <w:r w:rsidR="003968C8">
        <w:t xml:space="preserve"> and</w:t>
      </w:r>
      <w:r w:rsidR="007A4097" w:rsidRPr="00997436">
        <w:t xml:space="preserve"> Participant Informed Consent Forms </w:t>
      </w:r>
      <w:r w:rsidR="00AB3ABE">
        <w:t>(</w:t>
      </w:r>
      <w:r w:rsidR="007A4097" w:rsidRPr="00997436">
        <w:t xml:space="preserve">Attachment </w:t>
      </w:r>
      <w:r w:rsidR="00543ED4">
        <w:t>E</w:t>
      </w:r>
      <w:r w:rsidR="00AB3ABE">
        <w:t>)</w:t>
      </w:r>
      <w:r w:rsidR="00AA6609">
        <w:rPr>
          <w:rFonts w:ascii="Times New Roman" w:hAnsi="Times New Roman" w:cs="Times New Roman"/>
        </w:rPr>
        <w:t xml:space="preserve">. </w:t>
      </w:r>
    </w:p>
    <w:p w14:paraId="094BC5DA"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18.</w:t>
      </w:r>
      <w:r w:rsidRPr="009D3114">
        <w:rPr>
          <w:rFonts w:ascii="Times New Roman" w:hAnsi="Times New Roman" w:cs="Times New Roman"/>
        </w:rPr>
        <w:tab/>
      </w:r>
      <w:r w:rsidRPr="009D3114">
        <w:rPr>
          <w:rFonts w:ascii="Times New Roman" w:hAnsi="Times New Roman" w:cs="Times New Roman"/>
          <w:u w:val="single"/>
        </w:rPr>
        <w:t>Exceptions to Certification Statement</w:t>
      </w:r>
    </w:p>
    <w:p w14:paraId="3AF1E0FC" w14:textId="77777777" w:rsidR="008D1144" w:rsidRDefault="00062ACC" w:rsidP="006774F7">
      <w:pPr>
        <w:pStyle w:val="BodyText"/>
        <w:ind w:left="630"/>
        <w:rPr>
          <w:rFonts w:ascii="Times New Roman" w:hAnsi="Times New Roman" w:cs="Times New Roman"/>
        </w:rPr>
      </w:pPr>
      <w:r w:rsidRPr="009D3114">
        <w:rPr>
          <w:rFonts w:ascii="Times New Roman" w:hAnsi="Times New Roman" w:cs="Times New Roman"/>
        </w:rPr>
        <w:t>The</w:t>
      </w:r>
      <w:r w:rsidR="00886D4E" w:rsidRPr="009D3114">
        <w:rPr>
          <w:rFonts w:ascii="Times New Roman" w:hAnsi="Times New Roman" w:cs="Times New Roman"/>
        </w:rPr>
        <w:t xml:space="preserve"> certifications are included in this submission</w:t>
      </w:r>
      <w:r w:rsidR="008D1144" w:rsidRPr="009D3114">
        <w:rPr>
          <w:rFonts w:ascii="Times New Roman" w:hAnsi="Times New Roman" w:cs="Times New Roman"/>
        </w:rPr>
        <w:t xml:space="preserve"> and fully comply with 5 CFR 1320.9.</w:t>
      </w:r>
    </w:p>
    <w:p w14:paraId="6C510480" w14:textId="77777777" w:rsidR="002F51DE" w:rsidRPr="009D3114" w:rsidRDefault="002F51DE" w:rsidP="006774F7">
      <w:pPr>
        <w:pStyle w:val="HeadingA"/>
        <w:tabs>
          <w:tab w:val="clear" w:pos="0"/>
        </w:tabs>
        <w:ind w:left="630"/>
        <w:rPr>
          <w:rFonts w:ascii="Times New Roman" w:hAnsi="Times New Roman" w:cs="Times New Roman"/>
        </w:rPr>
      </w:pPr>
      <w:r w:rsidRPr="009D3114">
        <w:rPr>
          <w:rFonts w:ascii="Times New Roman" w:hAnsi="Times New Roman" w:cs="Times New Roman"/>
        </w:rPr>
        <w:t>B.</w:t>
      </w:r>
      <w:r w:rsidRPr="009D3114">
        <w:rPr>
          <w:rFonts w:ascii="Times New Roman" w:hAnsi="Times New Roman" w:cs="Times New Roman"/>
        </w:rPr>
        <w:tab/>
        <w:t>COLLECTIONS OF INFORMATION EMPLOYING STATISTICAL METHODS</w:t>
      </w:r>
    </w:p>
    <w:p w14:paraId="7B26A459" w14:textId="77777777" w:rsidR="002F51DE" w:rsidRPr="009D3114" w:rsidRDefault="002F51DE" w:rsidP="006774F7">
      <w:pPr>
        <w:pStyle w:val="Heading1"/>
        <w:tabs>
          <w:tab w:val="clear" w:pos="0"/>
        </w:tabs>
        <w:ind w:left="630"/>
        <w:rPr>
          <w:rFonts w:ascii="Times New Roman" w:hAnsi="Times New Roman" w:cs="Times New Roman"/>
        </w:rPr>
      </w:pPr>
      <w:r w:rsidRPr="009D3114">
        <w:rPr>
          <w:rFonts w:ascii="Times New Roman" w:hAnsi="Times New Roman" w:cs="Times New Roman"/>
        </w:rPr>
        <w:t>1.</w:t>
      </w:r>
      <w:r w:rsidRPr="009D3114">
        <w:rPr>
          <w:rFonts w:ascii="Times New Roman" w:hAnsi="Times New Roman" w:cs="Times New Roman"/>
        </w:rPr>
        <w:tab/>
      </w:r>
      <w:r w:rsidRPr="009D3114">
        <w:rPr>
          <w:rFonts w:ascii="Times New Roman" w:hAnsi="Times New Roman" w:cs="Times New Roman"/>
          <w:u w:val="single"/>
        </w:rPr>
        <w:t>Respondent Universe and Sampling Methods</w:t>
      </w:r>
    </w:p>
    <w:p w14:paraId="7B457940" w14:textId="77777777" w:rsidR="003E7874" w:rsidRDefault="007A4097" w:rsidP="006774F7">
      <w:pPr>
        <w:pStyle w:val="BodyText"/>
        <w:tabs>
          <w:tab w:val="left" w:pos="634"/>
        </w:tabs>
        <w:spacing w:after="0"/>
        <w:ind w:left="630" w:hanging="634"/>
      </w:pPr>
      <w:r>
        <w:tab/>
      </w:r>
      <w:r w:rsidR="00B55DA4">
        <w:t xml:space="preserve">The Contractor will recruit a total of </w:t>
      </w:r>
      <w:r w:rsidR="006816BC">
        <w:t xml:space="preserve">51 </w:t>
      </w:r>
      <w:r>
        <w:t>participants</w:t>
      </w:r>
      <w:r w:rsidR="001A12C7">
        <w:t xml:space="preserve"> (39 English-speaking and 12 Spanish-speaking)</w:t>
      </w:r>
      <w:r>
        <w:t xml:space="preserve"> </w:t>
      </w:r>
      <w:r w:rsidR="00B55DA4">
        <w:t>from a</w:t>
      </w:r>
      <w:r>
        <w:t xml:space="preserve"> non-probability based</w:t>
      </w:r>
      <w:r w:rsidR="00B55DA4">
        <w:t xml:space="preserve"> sample</w:t>
      </w:r>
      <w:r>
        <w:t xml:space="preserve">. </w:t>
      </w:r>
      <w:r w:rsidR="00B55DA4">
        <w:t xml:space="preserve">The 51 participants </w:t>
      </w:r>
      <w:r>
        <w:t xml:space="preserve">will consist of volunteers who are screened and determined to meet recruitment criteria. </w:t>
      </w:r>
    </w:p>
    <w:p w14:paraId="25A426A7" w14:textId="77777777" w:rsidR="003E7874" w:rsidRDefault="003E7874" w:rsidP="006774F7">
      <w:pPr>
        <w:pStyle w:val="BodyText"/>
        <w:tabs>
          <w:tab w:val="left" w:pos="634"/>
        </w:tabs>
        <w:spacing w:after="0"/>
        <w:ind w:left="630" w:hanging="634"/>
      </w:pPr>
    </w:p>
    <w:p w14:paraId="2953A9E3" w14:textId="3B03F5FA" w:rsidR="003E7874" w:rsidRPr="003E7874" w:rsidRDefault="003E7874" w:rsidP="006774F7">
      <w:pPr>
        <w:pStyle w:val="BodyText"/>
        <w:tabs>
          <w:tab w:val="left" w:pos="634"/>
        </w:tabs>
        <w:spacing w:after="0"/>
        <w:ind w:left="630" w:hanging="634"/>
        <w:rPr>
          <w:b/>
          <w:bCs/>
        </w:rPr>
      </w:pPr>
      <w:r>
        <w:tab/>
      </w:r>
      <w:r w:rsidRPr="003E7874">
        <w:rPr>
          <w:b/>
          <w:bCs/>
        </w:rPr>
        <w:t>English-Speaking Participants</w:t>
      </w:r>
    </w:p>
    <w:p w14:paraId="445E80F0" w14:textId="7E26325D" w:rsidR="003E7874" w:rsidRDefault="003E7874" w:rsidP="003E7874">
      <w:pPr>
        <w:pStyle w:val="BodyText"/>
        <w:tabs>
          <w:tab w:val="left" w:pos="634"/>
        </w:tabs>
        <w:spacing w:after="0"/>
        <w:ind w:left="630" w:hanging="634"/>
      </w:pPr>
      <w:r>
        <w:tab/>
        <w:t xml:space="preserve">A total of 39 cognitive interviews will be conducted with English-speaking participants in each of the following four geographic areas: Research Triangle Park (RTP), NC; Washington, DC; Chicago, IL, and Portland, OR. </w:t>
      </w:r>
      <w:r>
        <w:tab/>
      </w:r>
    </w:p>
    <w:p w14:paraId="2ECCDC58" w14:textId="77777777" w:rsidR="003E7874" w:rsidRDefault="003E7874" w:rsidP="003E7874">
      <w:pPr>
        <w:pStyle w:val="BodyText"/>
        <w:tabs>
          <w:tab w:val="left" w:pos="634"/>
        </w:tabs>
        <w:spacing w:after="0"/>
        <w:ind w:left="630" w:hanging="634"/>
      </w:pPr>
    </w:p>
    <w:p w14:paraId="147BE24C" w14:textId="3B477B01" w:rsidR="007A4097" w:rsidRDefault="003E7874" w:rsidP="003E7874">
      <w:pPr>
        <w:pStyle w:val="BodyText"/>
        <w:tabs>
          <w:tab w:val="left" w:pos="634"/>
        </w:tabs>
        <w:spacing w:after="0"/>
        <w:ind w:left="630" w:hanging="634"/>
      </w:pPr>
      <w:r>
        <w:tab/>
        <w:t xml:space="preserve">The objectives mentioned previously for the cognitive interviewing require the study to include people who match selected characteristics of the target population the NSDUH is trying to reach. Specifically, all participants must meet the criteria for alcohol use, marijuana use, or at least one other substance in the past 12 months. Eligibility targets for adults will seek a majority of marijuana users (67%), so that participants will be routed to the new marijuana withdrawal items during the interview. </w:t>
      </w:r>
      <w:r w:rsidR="007A4097">
        <w:t xml:space="preserve">Table 3 shows the sample targets for </w:t>
      </w:r>
      <w:r w:rsidR="001A12C7">
        <w:t xml:space="preserve">English-speaking participants in </w:t>
      </w:r>
      <w:r w:rsidR="007A4097">
        <w:t>each round of cognitive interviewing.</w:t>
      </w:r>
      <w:r>
        <w:t xml:space="preserve"> </w:t>
      </w:r>
    </w:p>
    <w:p w14:paraId="237D55A2" w14:textId="77777777" w:rsidR="003968C8" w:rsidRDefault="003968C8" w:rsidP="006774F7">
      <w:pPr>
        <w:pStyle w:val="BodyText"/>
        <w:tabs>
          <w:tab w:val="left" w:pos="634"/>
        </w:tabs>
        <w:spacing w:after="0"/>
        <w:ind w:left="630" w:hanging="634"/>
      </w:pPr>
    </w:p>
    <w:p w14:paraId="15455C42" w14:textId="77777777" w:rsidR="00B636F5" w:rsidRDefault="00B636F5" w:rsidP="006774F7">
      <w:pPr>
        <w:widowControl/>
        <w:tabs>
          <w:tab w:val="left" w:pos="-720"/>
          <w:tab w:val="left" w:pos="1710"/>
        </w:tabs>
        <w:spacing w:after="120"/>
        <w:ind w:left="630"/>
        <w:rPr>
          <w:b/>
          <w:bCs/>
        </w:rPr>
      </w:pPr>
    </w:p>
    <w:p w14:paraId="20F0F9F0" w14:textId="77777777" w:rsidR="00B636F5" w:rsidRDefault="00B636F5" w:rsidP="006774F7">
      <w:pPr>
        <w:widowControl/>
        <w:tabs>
          <w:tab w:val="left" w:pos="-720"/>
          <w:tab w:val="left" w:pos="1710"/>
        </w:tabs>
        <w:spacing w:after="120"/>
        <w:ind w:left="630"/>
        <w:rPr>
          <w:b/>
          <w:bCs/>
        </w:rPr>
      </w:pPr>
    </w:p>
    <w:p w14:paraId="57B13B3C" w14:textId="77777777" w:rsidR="00B636F5" w:rsidRDefault="00B636F5" w:rsidP="006774F7">
      <w:pPr>
        <w:widowControl/>
        <w:tabs>
          <w:tab w:val="left" w:pos="-720"/>
          <w:tab w:val="left" w:pos="1710"/>
        </w:tabs>
        <w:spacing w:after="120"/>
        <w:ind w:left="630"/>
        <w:rPr>
          <w:b/>
          <w:bCs/>
        </w:rPr>
      </w:pPr>
    </w:p>
    <w:p w14:paraId="453A5ED6" w14:textId="77777777" w:rsidR="00B636F5" w:rsidRDefault="00B636F5" w:rsidP="006774F7">
      <w:pPr>
        <w:widowControl/>
        <w:tabs>
          <w:tab w:val="left" w:pos="-720"/>
          <w:tab w:val="left" w:pos="1710"/>
        </w:tabs>
        <w:spacing w:after="120"/>
        <w:ind w:left="630"/>
        <w:rPr>
          <w:b/>
          <w:bCs/>
        </w:rPr>
      </w:pPr>
    </w:p>
    <w:p w14:paraId="6B55231D" w14:textId="77777777" w:rsidR="00B636F5" w:rsidRDefault="00B636F5" w:rsidP="006774F7">
      <w:pPr>
        <w:widowControl/>
        <w:tabs>
          <w:tab w:val="left" w:pos="-720"/>
          <w:tab w:val="left" w:pos="1710"/>
        </w:tabs>
        <w:spacing w:after="120"/>
        <w:ind w:left="630"/>
        <w:rPr>
          <w:b/>
          <w:bCs/>
        </w:rPr>
      </w:pPr>
    </w:p>
    <w:p w14:paraId="3C30F48A" w14:textId="77777777" w:rsidR="00B636F5" w:rsidRDefault="00B636F5" w:rsidP="006774F7">
      <w:pPr>
        <w:widowControl/>
        <w:tabs>
          <w:tab w:val="left" w:pos="-720"/>
          <w:tab w:val="left" w:pos="1710"/>
        </w:tabs>
        <w:spacing w:after="120"/>
        <w:ind w:left="630"/>
        <w:rPr>
          <w:b/>
          <w:bCs/>
        </w:rPr>
      </w:pPr>
    </w:p>
    <w:p w14:paraId="377CEA63" w14:textId="25516BFA" w:rsidR="006774F7" w:rsidRDefault="006774F7" w:rsidP="006774F7">
      <w:pPr>
        <w:widowControl/>
        <w:tabs>
          <w:tab w:val="left" w:pos="-720"/>
          <w:tab w:val="left" w:pos="1710"/>
        </w:tabs>
        <w:spacing w:after="120"/>
        <w:ind w:left="630"/>
      </w:pPr>
      <w:r>
        <w:rPr>
          <w:b/>
          <w:bCs/>
        </w:rPr>
        <w:t>Table 3.</w:t>
      </w:r>
      <w:r>
        <w:rPr>
          <w:b/>
          <w:bCs/>
        </w:rPr>
        <w:tab/>
        <w:t>Targeted Sample Sizes per English Cognitive Interview Round by Location and Age Group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1425"/>
        <w:gridCol w:w="1425"/>
        <w:gridCol w:w="1425"/>
        <w:gridCol w:w="1780"/>
      </w:tblGrid>
      <w:tr w:rsidR="006774F7" w14:paraId="30DB2253" w14:textId="77777777" w:rsidTr="006F3BD3">
        <w:trPr>
          <w:tblHeader/>
        </w:trPr>
        <w:tc>
          <w:tcPr>
            <w:tcW w:w="2783" w:type="dxa"/>
            <w:vMerge w:val="restart"/>
            <w:tcBorders>
              <w:top w:val="single" w:sz="12" w:space="0" w:color="auto"/>
              <w:left w:val="single" w:sz="12" w:space="0" w:color="auto"/>
            </w:tcBorders>
            <w:vAlign w:val="bottom"/>
          </w:tcPr>
          <w:p w14:paraId="4E38AAFC" w14:textId="77777777" w:rsidR="006774F7" w:rsidRPr="00DE2D33" w:rsidRDefault="006774F7" w:rsidP="006F3BD3">
            <w:pPr>
              <w:widowControl/>
              <w:rPr>
                <w:b/>
                <w:bCs/>
                <w:sz w:val="20"/>
                <w:szCs w:val="20"/>
              </w:rPr>
            </w:pPr>
            <w:r w:rsidRPr="00DE2D33">
              <w:rPr>
                <w:b/>
                <w:bCs/>
                <w:sz w:val="20"/>
                <w:szCs w:val="20"/>
              </w:rPr>
              <w:t>Group/Recruitment Source</w:t>
            </w:r>
          </w:p>
        </w:tc>
        <w:tc>
          <w:tcPr>
            <w:tcW w:w="4275" w:type="dxa"/>
            <w:gridSpan w:val="3"/>
            <w:tcBorders>
              <w:top w:val="single" w:sz="12" w:space="0" w:color="auto"/>
            </w:tcBorders>
          </w:tcPr>
          <w:p w14:paraId="6F046946" w14:textId="77777777" w:rsidR="006774F7" w:rsidRPr="00DE2D33" w:rsidRDefault="006774F7" w:rsidP="006A606C">
            <w:pPr>
              <w:widowControl/>
              <w:ind w:left="630"/>
              <w:jc w:val="center"/>
              <w:rPr>
                <w:b/>
                <w:bCs/>
                <w:sz w:val="20"/>
                <w:szCs w:val="20"/>
              </w:rPr>
            </w:pPr>
            <w:r w:rsidRPr="00DE2D33">
              <w:rPr>
                <w:b/>
                <w:bCs/>
                <w:sz w:val="20"/>
                <w:szCs w:val="20"/>
              </w:rPr>
              <w:t>Cognitive Interview Round</w:t>
            </w:r>
          </w:p>
        </w:tc>
        <w:tc>
          <w:tcPr>
            <w:tcW w:w="1780" w:type="dxa"/>
            <w:vMerge w:val="restart"/>
            <w:tcBorders>
              <w:top w:val="single" w:sz="12" w:space="0" w:color="auto"/>
              <w:right w:val="single" w:sz="12" w:space="0" w:color="auto"/>
            </w:tcBorders>
            <w:vAlign w:val="bottom"/>
          </w:tcPr>
          <w:p w14:paraId="17479992" w14:textId="77777777" w:rsidR="006774F7" w:rsidRPr="00DE2D33" w:rsidRDefault="006774F7" w:rsidP="006A606C">
            <w:pPr>
              <w:widowControl/>
              <w:ind w:left="630"/>
              <w:jc w:val="center"/>
              <w:rPr>
                <w:b/>
                <w:bCs/>
                <w:sz w:val="20"/>
                <w:szCs w:val="20"/>
              </w:rPr>
            </w:pPr>
            <w:r w:rsidRPr="00DE2D33">
              <w:rPr>
                <w:b/>
                <w:bCs/>
                <w:sz w:val="20"/>
                <w:szCs w:val="20"/>
              </w:rPr>
              <w:t>Total</w:t>
            </w:r>
          </w:p>
        </w:tc>
      </w:tr>
      <w:tr w:rsidR="006774F7" w14:paraId="1CC14750" w14:textId="77777777" w:rsidTr="006F3BD3">
        <w:trPr>
          <w:tblHeader/>
        </w:trPr>
        <w:tc>
          <w:tcPr>
            <w:tcW w:w="2783" w:type="dxa"/>
            <w:vMerge/>
            <w:tcBorders>
              <w:left w:val="single" w:sz="12" w:space="0" w:color="auto"/>
              <w:bottom w:val="single" w:sz="12" w:space="0" w:color="auto"/>
            </w:tcBorders>
          </w:tcPr>
          <w:p w14:paraId="61C08B0A" w14:textId="77777777" w:rsidR="006774F7" w:rsidRPr="00DE2D33" w:rsidRDefault="006774F7" w:rsidP="006F3BD3">
            <w:pPr>
              <w:widowControl/>
              <w:rPr>
                <w:sz w:val="20"/>
                <w:szCs w:val="20"/>
              </w:rPr>
            </w:pPr>
          </w:p>
        </w:tc>
        <w:tc>
          <w:tcPr>
            <w:tcW w:w="1425" w:type="dxa"/>
            <w:tcBorders>
              <w:bottom w:val="single" w:sz="12" w:space="0" w:color="auto"/>
            </w:tcBorders>
          </w:tcPr>
          <w:p w14:paraId="32A2E403" w14:textId="77777777" w:rsidR="006774F7" w:rsidRPr="00DE2D33" w:rsidRDefault="006774F7" w:rsidP="006A606C">
            <w:pPr>
              <w:widowControl/>
              <w:ind w:left="630"/>
              <w:jc w:val="center"/>
              <w:rPr>
                <w:b/>
                <w:bCs/>
                <w:sz w:val="20"/>
                <w:szCs w:val="20"/>
              </w:rPr>
            </w:pPr>
            <w:r w:rsidRPr="00DE2D33">
              <w:rPr>
                <w:b/>
                <w:bCs/>
                <w:sz w:val="20"/>
                <w:szCs w:val="20"/>
              </w:rPr>
              <w:t>Round 1</w:t>
            </w:r>
          </w:p>
        </w:tc>
        <w:tc>
          <w:tcPr>
            <w:tcW w:w="1425" w:type="dxa"/>
            <w:tcBorders>
              <w:bottom w:val="single" w:sz="12" w:space="0" w:color="auto"/>
            </w:tcBorders>
          </w:tcPr>
          <w:p w14:paraId="2E1217B7" w14:textId="77777777" w:rsidR="006774F7" w:rsidRPr="00DE2D33" w:rsidRDefault="006774F7" w:rsidP="006A606C">
            <w:pPr>
              <w:widowControl/>
              <w:ind w:left="630"/>
              <w:jc w:val="center"/>
              <w:rPr>
                <w:b/>
                <w:bCs/>
                <w:sz w:val="20"/>
                <w:szCs w:val="20"/>
              </w:rPr>
            </w:pPr>
            <w:r w:rsidRPr="00DE2D33">
              <w:rPr>
                <w:b/>
                <w:bCs/>
                <w:sz w:val="20"/>
                <w:szCs w:val="20"/>
              </w:rPr>
              <w:t>Round 2</w:t>
            </w:r>
          </w:p>
        </w:tc>
        <w:tc>
          <w:tcPr>
            <w:tcW w:w="1425" w:type="dxa"/>
            <w:tcBorders>
              <w:bottom w:val="single" w:sz="12" w:space="0" w:color="auto"/>
            </w:tcBorders>
          </w:tcPr>
          <w:p w14:paraId="07248C0B" w14:textId="77777777" w:rsidR="006774F7" w:rsidRPr="00DE2D33" w:rsidRDefault="006774F7" w:rsidP="006A606C">
            <w:pPr>
              <w:widowControl/>
              <w:ind w:left="630"/>
              <w:jc w:val="center"/>
              <w:rPr>
                <w:b/>
                <w:bCs/>
                <w:sz w:val="20"/>
                <w:szCs w:val="20"/>
              </w:rPr>
            </w:pPr>
            <w:r>
              <w:rPr>
                <w:b/>
                <w:bCs/>
                <w:sz w:val="20"/>
                <w:szCs w:val="20"/>
              </w:rPr>
              <w:t>Round 3</w:t>
            </w:r>
          </w:p>
        </w:tc>
        <w:tc>
          <w:tcPr>
            <w:tcW w:w="1780" w:type="dxa"/>
            <w:vMerge/>
            <w:tcBorders>
              <w:bottom w:val="single" w:sz="12" w:space="0" w:color="auto"/>
              <w:right w:val="single" w:sz="12" w:space="0" w:color="auto"/>
            </w:tcBorders>
          </w:tcPr>
          <w:p w14:paraId="201D3D31" w14:textId="77777777" w:rsidR="006774F7" w:rsidRPr="00DE2D33" w:rsidRDefault="006774F7" w:rsidP="006A606C">
            <w:pPr>
              <w:widowControl/>
              <w:ind w:left="630"/>
              <w:jc w:val="center"/>
              <w:rPr>
                <w:b/>
                <w:bCs/>
                <w:sz w:val="20"/>
                <w:szCs w:val="20"/>
              </w:rPr>
            </w:pPr>
          </w:p>
        </w:tc>
      </w:tr>
      <w:tr w:rsidR="006774F7" w14:paraId="50A47A69" w14:textId="77777777" w:rsidTr="006F3BD3">
        <w:tc>
          <w:tcPr>
            <w:tcW w:w="2783" w:type="dxa"/>
            <w:tcBorders>
              <w:top w:val="single" w:sz="12" w:space="0" w:color="auto"/>
              <w:left w:val="single" w:sz="12" w:space="0" w:color="auto"/>
              <w:bottom w:val="single" w:sz="12" w:space="0" w:color="auto"/>
            </w:tcBorders>
          </w:tcPr>
          <w:p w14:paraId="3DD9789E" w14:textId="77777777" w:rsidR="006774F7" w:rsidRPr="00DE2D33" w:rsidRDefault="006774F7" w:rsidP="006F3BD3">
            <w:pPr>
              <w:widowControl/>
              <w:rPr>
                <w:b/>
                <w:bCs/>
                <w:sz w:val="20"/>
                <w:szCs w:val="20"/>
              </w:rPr>
            </w:pPr>
            <w:r w:rsidRPr="00292AB6">
              <w:rPr>
                <w:b/>
                <w:bCs/>
                <w:sz w:val="20"/>
                <w:szCs w:val="20"/>
              </w:rPr>
              <w:t>Total</w:t>
            </w:r>
          </w:p>
        </w:tc>
        <w:tc>
          <w:tcPr>
            <w:tcW w:w="1425" w:type="dxa"/>
            <w:tcBorders>
              <w:top w:val="single" w:sz="12" w:space="0" w:color="auto"/>
              <w:bottom w:val="single" w:sz="12" w:space="0" w:color="auto"/>
            </w:tcBorders>
          </w:tcPr>
          <w:p w14:paraId="5AF513D9" w14:textId="77777777" w:rsidR="006774F7" w:rsidRPr="00DE2D33" w:rsidRDefault="006774F7" w:rsidP="006A606C">
            <w:pPr>
              <w:widowControl/>
              <w:ind w:left="630"/>
              <w:jc w:val="center"/>
              <w:rPr>
                <w:sz w:val="20"/>
                <w:szCs w:val="20"/>
              </w:rPr>
            </w:pPr>
            <w:r>
              <w:rPr>
                <w:sz w:val="20"/>
                <w:szCs w:val="20"/>
              </w:rPr>
              <w:t>13</w:t>
            </w:r>
          </w:p>
        </w:tc>
        <w:tc>
          <w:tcPr>
            <w:tcW w:w="1425" w:type="dxa"/>
            <w:tcBorders>
              <w:top w:val="single" w:sz="12" w:space="0" w:color="auto"/>
              <w:bottom w:val="single" w:sz="12" w:space="0" w:color="auto"/>
            </w:tcBorders>
          </w:tcPr>
          <w:p w14:paraId="07074C7E" w14:textId="77777777" w:rsidR="006774F7" w:rsidRPr="00DE2D33" w:rsidRDefault="006774F7" w:rsidP="006A606C">
            <w:pPr>
              <w:widowControl/>
              <w:ind w:left="630"/>
              <w:jc w:val="center"/>
              <w:rPr>
                <w:sz w:val="20"/>
                <w:szCs w:val="20"/>
              </w:rPr>
            </w:pPr>
            <w:r>
              <w:rPr>
                <w:sz w:val="20"/>
                <w:szCs w:val="20"/>
              </w:rPr>
              <w:t>13</w:t>
            </w:r>
          </w:p>
        </w:tc>
        <w:tc>
          <w:tcPr>
            <w:tcW w:w="1425" w:type="dxa"/>
            <w:tcBorders>
              <w:top w:val="single" w:sz="12" w:space="0" w:color="auto"/>
              <w:bottom w:val="single" w:sz="12" w:space="0" w:color="auto"/>
            </w:tcBorders>
          </w:tcPr>
          <w:p w14:paraId="3E0E3D63" w14:textId="77777777" w:rsidR="006774F7" w:rsidRDefault="006774F7" w:rsidP="006A606C">
            <w:pPr>
              <w:widowControl/>
              <w:ind w:left="630"/>
              <w:jc w:val="center"/>
              <w:rPr>
                <w:sz w:val="20"/>
                <w:szCs w:val="20"/>
              </w:rPr>
            </w:pPr>
            <w:r>
              <w:rPr>
                <w:sz w:val="20"/>
                <w:szCs w:val="20"/>
              </w:rPr>
              <w:t>13</w:t>
            </w:r>
          </w:p>
        </w:tc>
        <w:tc>
          <w:tcPr>
            <w:tcW w:w="1780" w:type="dxa"/>
            <w:tcBorders>
              <w:top w:val="single" w:sz="12" w:space="0" w:color="auto"/>
              <w:bottom w:val="single" w:sz="12" w:space="0" w:color="auto"/>
              <w:right w:val="single" w:sz="12" w:space="0" w:color="auto"/>
            </w:tcBorders>
          </w:tcPr>
          <w:p w14:paraId="4355E0F9" w14:textId="77777777" w:rsidR="006774F7" w:rsidRPr="00DE2D33" w:rsidRDefault="006774F7" w:rsidP="006A606C">
            <w:pPr>
              <w:widowControl/>
              <w:ind w:left="630"/>
              <w:jc w:val="center"/>
              <w:rPr>
                <w:sz w:val="20"/>
                <w:szCs w:val="20"/>
              </w:rPr>
            </w:pPr>
            <w:r>
              <w:rPr>
                <w:sz w:val="20"/>
                <w:szCs w:val="20"/>
              </w:rPr>
              <w:t>39</w:t>
            </w:r>
          </w:p>
        </w:tc>
      </w:tr>
      <w:tr w:rsidR="006774F7" w14:paraId="388F28EC" w14:textId="77777777" w:rsidTr="006F3BD3">
        <w:tc>
          <w:tcPr>
            <w:tcW w:w="2783" w:type="dxa"/>
            <w:tcBorders>
              <w:top w:val="single" w:sz="12" w:space="0" w:color="auto"/>
              <w:left w:val="single" w:sz="12" w:space="0" w:color="auto"/>
            </w:tcBorders>
          </w:tcPr>
          <w:p w14:paraId="50F8F2B3" w14:textId="77777777" w:rsidR="006774F7" w:rsidRPr="00DE2D33" w:rsidRDefault="006774F7" w:rsidP="006F3BD3">
            <w:pPr>
              <w:widowControl/>
              <w:rPr>
                <w:b/>
                <w:bCs/>
                <w:sz w:val="20"/>
                <w:szCs w:val="20"/>
              </w:rPr>
            </w:pPr>
            <w:r w:rsidRPr="00DE2D33">
              <w:rPr>
                <w:b/>
                <w:bCs/>
                <w:sz w:val="20"/>
                <w:szCs w:val="20"/>
              </w:rPr>
              <w:t>Location</w:t>
            </w:r>
          </w:p>
        </w:tc>
        <w:tc>
          <w:tcPr>
            <w:tcW w:w="1425" w:type="dxa"/>
            <w:tcBorders>
              <w:top w:val="single" w:sz="12" w:space="0" w:color="auto"/>
            </w:tcBorders>
          </w:tcPr>
          <w:p w14:paraId="79838DB9" w14:textId="77777777" w:rsidR="006774F7" w:rsidRPr="00DE2D33" w:rsidRDefault="006774F7" w:rsidP="006A606C">
            <w:pPr>
              <w:widowControl/>
              <w:ind w:left="630"/>
              <w:jc w:val="center"/>
              <w:rPr>
                <w:sz w:val="20"/>
                <w:szCs w:val="20"/>
              </w:rPr>
            </w:pPr>
          </w:p>
        </w:tc>
        <w:tc>
          <w:tcPr>
            <w:tcW w:w="1425" w:type="dxa"/>
            <w:tcBorders>
              <w:top w:val="single" w:sz="12" w:space="0" w:color="auto"/>
            </w:tcBorders>
          </w:tcPr>
          <w:p w14:paraId="46E0E419" w14:textId="77777777" w:rsidR="006774F7" w:rsidRPr="00DE2D33" w:rsidRDefault="006774F7" w:rsidP="006A606C">
            <w:pPr>
              <w:widowControl/>
              <w:ind w:left="630"/>
              <w:jc w:val="center"/>
              <w:rPr>
                <w:sz w:val="20"/>
                <w:szCs w:val="20"/>
              </w:rPr>
            </w:pPr>
          </w:p>
        </w:tc>
        <w:tc>
          <w:tcPr>
            <w:tcW w:w="1425" w:type="dxa"/>
            <w:tcBorders>
              <w:top w:val="single" w:sz="12" w:space="0" w:color="auto"/>
            </w:tcBorders>
          </w:tcPr>
          <w:p w14:paraId="3C9B7085" w14:textId="77777777" w:rsidR="006774F7" w:rsidRDefault="006774F7" w:rsidP="006A606C">
            <w:pPr>
              <w:widowControl/>
              <w:ind w:left="630"/>
              <w:jc w:val="center"/>
              <w:rPr>
                <w:sz w:val="20"/>
                <w:szCs w:val="20"/>
              </w:rPr>
            </w:pPr>
          </w:p>
        </w:tc>
        <w:tc>
          <w:tcPr>
            <w:tcW w:w="1780" w:type="dxa"/>
            <w:tcBorders>
              <w:top w:val="single" w:sz="12" w:space="0" w:color="auto"/>
              <w:right w:val="single" w:sz="12" w:space="0" w:color="auto"/>
            </w:tcBorders>
          </w:tcPr>
          <w:p w14:paraId="32386533" w14:textId="77777777" w:rsidR="006774F7" w:rsidRPr="00DE2D33" w:rsidRDefault="006774F7" w:rsidP="006A606C">
            <w:pPr>
              <w:widowControl/>
              <w:ind w:left="630"/>
              <w:jc w:val="center"/>
              <w:rPr>
                <w:sz w:val="20"/>
                <w:szCs w:val="20"/>
              </w:rPr>
            </w:pPr>
          </w:p>
        </w:tc>
      </w:tr>
      <w:tr w:rsidR="006774F7" w14:paraId="33287B25" w14:textId="77777777" w:rsidTr="006F3BD3">
        <w:tc>
          <w:tcPr>
            <w:tcW w:w="2783" w:type="dxa"/>
            <w:tcBorders>
              <w:left w:val="single" w:sz="12" w:space="0" w:color="auto"/>
            </w:tcBorders>
          </w:tcPr>
          <w:p w14:paraId="6721C5F1" w14:textId="77777777" w:rsidR="006774F7" w:rsidRPr="00DE2D33" w:rsidRDefault="006774F7" w:rsidP="006F3BD3">
            <w:pPr>
              <w:widowControl/>
              <w:ind w:left="288"/>
              <w:rPr>
                <w:sz w:val="20"/>
                <w:szCs w:val="20"/>
              </w:rPr>
            </w:pPr>
            <w:r w:rsidRPr="00DE2D33">
              <w:rPr>
                <w:sz w:val="20"/>
                <w:szCs w:val="20"/>
              </w:rPr>
              <w:t xml:space="preserve">Research Triangle Park, </w:t>
            </w:r>
            <w:smartTag w:uri="urn:schemas-microsoft-com:office:smarttags" w:element="State">
              <w:r w:rsidRPr="00DE2D33">
                <w:rPr>
                  <w:sz w:val="20"/>
                  <w:szCs w:val="20"/>
                </w:rPr>
                <w:t>NC</w:t>
              </w:r>
            </w:smartTag>
          </w:p>
        </w:tc>
        <w:tc>
          <w:tcPr>
            <w:tcW w:w="1425" w:type="dxa"/>
          </w:tcPr>
          <w:p w14:paraId="15B39116" w14:textId="77777777" w:rsidR="006774F7" w:rsidRPr="00DE2D33" w:rsidRDefault="006774F7" w:rsidP="006A606C">
            <w:pPr>
              <w:widowControl/>
              <w:ind w:left="630"/>
              <w:jc w:val="center"/>
              <w:rPr>
                <w:sz w:val="20"/>
                <w:szCs w:val="20"/>
              </w:rPr>
            </w:pPr>
            <w:r>
              <w:rPr>
                <w:sz w:val="20"/>
                <w:szCs w:val="20"/>
              </w:rPr>
              <w:t>3</w:t>
            </w:r>
          </w:p>
        </w:tc>
        <w:tc>
          <w:tcPr>
            <w:tcW w:w="1425" w:type="dxa"/>
          </w:tcPr>
          <w:p w14:paraId="24D1A700" w14:textId="77777777" w:rsidR="006774F7" w:rsidRPr="00DE2D33" w:rsidRDefault="006774F7" w:rsidP="006A606C">
            <w:pPr>
              <w:widowControl/>
              <w:ind w:left="630"/>
              <w:jc w:val="center"/>
              <w:rPr>
                <w:sz w:val="20"/>
                <w:szCs w:val="20"/>
              </w:rPr>
            </w:pPr>
            <w:r>
              <w:rPr>
                <w:sz w:val="20"/>
                <w:szCs w:val="20"/>
              </w:rPr>
              <w:t>3</w:t>
            </w:r>
          </w:p>
        </w:tc>
        <w:tc>
          <w:tcPr>
            <w:tcW w:w="1425" w:type="dxa"/>
          </w:tcPr>
          <w:p w14:paraId="1A0072B6" w14:textId="77777777" w:rsidR="006774F7" w:rsidRDefault="006774F7" w:rsidP="006A606C">
            <w:pPr>
              <w:widowControl/>
              <w:ind w:left="630"/>
              <w:jc w:val="center"/>
              <w:rPr>
                <w:sz w:val="20"/>
                <w:szCs w:val="20"/>
              </w:rPr>
            </w:pPr>
            <w:r>
              <w:rPr>
                <w:sz w:val="20"/>
                <w:szCs w:val="20"/>
              </w:rPr>
              <w:t>3</w:t>
            </w:r>
          </w:p>
        </w:tc>
        <w:tc>
          <w:tcPr>
            <w:tcW w:w="1780" w:type="dxa"/>
            <w:tcBorders>
              <w:right w:val="single" w:sz="12" w:space="0" w:color="auto"/>
            </w:tcBorders>
          </w:tcPr>
          <w:p w14:paraId="1E3D5D14" w14:textId="77777777" w:rsidR="006774F7" w:rsidRPr="00DE2D33" w:rsidRDefault="006774F7" w:rsidP="006A606C">
            <w:pPr>
              <w:widowControl/>
              <w:ind w:left="630"/>
              <w:jc w:val="center"/>
              <w:rPr>
                <w:sz w:val="20"/>
                <w:szCs w:val="20"/>
              </w:rPr>
            </w:pPr>
            <w:r>
              <w:rPr>
                <w:sz w:val="20"/>
                <w:szCs w:val="20"/>
              </w:rPr>
              <w:t>9</w:t>
            </w:r>
          </w:p>
        </w:tc>
      </w:tr>
      <w:tr w:rsidR="006774F7" w14:paraId="68617C90" w14:textId="77777777" w:rsidTr="006F3BD3">
        <w:tc>
          <w:tcPr>
            <w:tcW w:w="2783" w:type="dxa"/>
            <w:tcBorders>
              <w:left w:val="single" w:sz="12" w:space="0" w:color="auto"/>
            </w:tcBorders>
          </w:tcPr>
          <w:p w14:paraId="3308FABB" w14:textId="77777777" w:rsidR="006774F7" w:rsidRPr="00DE2D33" w:rsidRDefault="006774F7" w:rsidP="006F3BD3">
            <w:pPr>
              <w:widowControl/>
              <w:ind w:left="288"/>
              <w:rPr>
                <w:sz w:val="20"/>
                <w:szCs w:val="20"/>
              </w:rPr>
            </w:pPr>
            <w:r w:rsidRPr="00DE2D33">
              <w:rPr>
                <w:sz w:val="20"/>
                <w:szCs w:val="20"/>
              </w:rPr>
              <w:t xml:space="preserve">Washington, </w:t>
            </w:r>
            <w:smartTag w:uri="urn:schemas-microsoft-com:office:smarttags" w:element="State">
              <w:r w:rsidRPr="00DE2D33">
                <w:rPr>
                  <w:sz w:val="20"/>
                  <w:szCs w:val="20"/>
                </w:rPr>
                <w:t>DC</w:t>
              </w:r>
            </w:smartTag>
          </w:p>
        </w:tc>
        <w:tc>
          <w:tcPr>
            <w:tcW w:w="1425" w:type="dxa"/>
          </w:tcPr>
          <w:p w14:paraId="7A87ABED" w14:textId="77777777" w:rsidR="006774F7" w:rsidRPr="00DE2D33" w:rsidRDefault="006774F7" w:rsidP="006A606C">
            <w:pPr>
              <w:widowControl/>
              <w:ind w:left="630"/>
              <w:jc w:val="center"/>
              <w:rPr>
                <w:sz w:val="20"/>
                <w:szCs w:val="20"/>
              </w:rPr>
            </w:pPr>
            <w:r>
              <w:rPr>
                <w:sz w:val="20"/>
                <w:szCs w:val="20"/>
              </w:rPr>
              <w:t>4</w:t>
            </w:r>
          </w:p>
        </w:tc>
        <w:tc>
          <w:tcPr>
            <w:tcW w:w="1425" w:type="dxa"/>
          </w:tcPr>
          <w:p w14:paraId="41DB94B0" w14:textId="77777777" w:rsidR="006774F7" w:rsidRPr="00DE2D33" w:rsidRDefault="006774F7" w:rsidP="006A606C">
            <w:pPr>
              <w:widowControl/>
              <w:ind w:left="630"/>
              <w:jc w:val="center"/>
              <w:rPr>
                <w:sz w:val="20"/>
                <w:szCs w:val="20"/>
              </w:rPr>
            </w:pPr>
            <w:r>
              <w:rPr>
                <w:sz w:val="20"/>
                <w:szCs w:val="20"/>
              </w:rPr>
              <w:t>3</w:t>
            </w:r>
          </w:p>
        </w:tc>
        <w:tc>
          <w:tcPr>
            <w:tcW w:w="1425" w:type="dxa"/>
          </w:tcPr>
          <w:p w14:paraId="1FE40BDE" w14:textId="77777777" w:rsidR="006774F7" w:rsidRDefault="006774F7" w:rsidP="006A606C">
            <w:pPr>
              <w:widowControl/>
              <w:ind w:left="630"/>
              <w:jc w:val="center"/>
              <w:rPr>
                <w:sz w:val="20"/>
                <w:szCs w:val="20"/>
              </w:rPr>
            </w:pPr>
            <w:r>
              <w:rPr>
                <w:sz w:val="20"/>
                <w:szCs w:val="20"/>
              </w:rPr>
              <w:t>4</w:t>
            </w:r>
          </w:p>
        </w:tc>
        <w:tc>
          <w:tcPr>
            <w:tcW w:w="1780" w:type="dxa"/>
            <w:tcBorders>
              <w:right w:val="single" w:sz="12" w:space="0" w:color="auto"/>
            </w:tcBorders>
          </w:tcPr>
          <w:p w14:paraId="0AA7F4A8" w14:textId="77777777" w:rsidR="006774F7" w:rsidRPr="00DE2D33" w:rsidRDefault="006774F7" w:rsidP="006A606C">
            <w:pPr>
              <w:widowControl/>
              <w:ind w:left="630"/>
              <w:jc w:val="center"/>
              <w:rPr>
                <w:sz w:val="20"/>
                <w:szCs w:val="20"/>
              </w:rPr>
            </w:pPr>
            <w:r>
              <w:rPr>
                <w:sz w:val="20"/>
                <w:szCs w:val="20"/>
              </w:rPr>
              <w:t>11</w:t>
            </w:r>
          </w:p>
        </w:tc>
      </w:tr>
      <w:tr w:rsidR="006774F7" w14:paraId="1541643D" w14:textId="77777777" w:rsidTr="006F3BD3">
        <w:tc>
          <w:tcPr>
            <w:tcW w:w="2783" w:type="dxa"/>
            <w:tcBorders>
              <w:left w:val="single" w:sz="12" w:space="0" w:color="auto"/>
            </w:tcBorders>
          </w:tcPr>
          <w:p w14:paraId="7EF48E9A" w14:textId="77777777" w:rsidR="006774F7" w:rsidRPr="00DE2D33" w:rsidRDefault="006774F7" w:rsidP="006F3BD3">
            <w:pPr>
              <w:widowControl/>
              <w:ind w:left="288"/>
              <w:rPr>
                <w:sz w:val="20"/>
                <w:szCs w:val="20"/>
              </w:rPr>
            </w:pPr>
            <w:r w:rsidRPr="00DE2D33">
              <w:rPr>
                <w:sz w:val="20"/>
                <w:szCs w:val="20"/>
              </w:rPr>
              <w:t>Chicago, IL</w:t>
            </w:r>
          </w:p>
        </w:tc>
        <w:tc>
          <w:tcPr>
            <w:tcW w:w="1425" w:type="dxa"/>
          </w:tcPr>
          <w:p w14:paraId="070FB88A" w14:textId="77777777" w:rsidR="006774F7" w:rsidRDefault="006774F7" w:rsidP="006A606C">
            <w:pPr>
              <w:widowControl/>
              <w:ind w:left="630"/>
              <w:jc w:val="center"/>
              <w:rPr>
                <w:sz w:val="20"/>
                <w:szCs w:val="20"/>
              </w:rPr>
            </w:pPr>
            <w:r>
              <w:rPr>
                <w:sz w:val="20"/>
                <w:szCs w:val="20"/>
              </w:rPr>
              <w:t>3</w:t>
            </w:r>
          </w:p>
        </w:tc>
        <w:tc>
          <w:tcPr>
            <w:tcW w:w="1425" w:type="dxa"/>
          </w:tcPr>
          <w:p w14:paraId="01272CBA" w14:textId="77777777" w:rsidR="006774F7" w:rsidRDefault="006774F7" w:rsidP="006A606C">
            <w:pPr>
              <w:widowControl/>
              <w:ind w:left="630"/>
              <w:jc w:val="center"/>
              <w:rPr>
                <w:sz w:val="20"/>
                <w:szCs w:val="20"/>
              </w:rPr>
            </w:pPr>
            <w:r>
              <w:rPr>
                <w:sz w:val="20"/>
                <w:szCs w:val="20"/>
              </w:rPr>
              <w:t>3</w:t>
            </w:r>
          </w:p>
        </w:tc>
        <w:tc>
          <w:tcPr>
            <w:tcW w:w="1425" w:type="dxa"/>
          </w:tcPr>
          <w:p w14:paraId="56EB7D96" w14:textId="77777777" w:rsidR="006774F7" w:rsidRDefault="006774F7" w:rsidP="006A606C">
            <w:pPr>
              <w:widowControl/>
              <w:ind w:left="630"/>
              <w:jc w:val="center"/>
              <w:rPr>
                <w:sz w:val="20"/>
                <w:szCs w:val="20"/>
              </w:rPr>
            </w:pPr>
            <w:r>
              <w:rPr>
                <w:sz w:val="20"/>
                <w:szCs w:val="20"/>
              </w:rPr>
              <w:t>3</w:t>
            </w:r>
          </w:p>
        </w:tc>
        <w:tc>
          <w:tcPr>
            <w:tcW w:w="1780" w:type="dxa"/>
            <w:tcBorders>
              <w:right w:val="single" w:sz="12" w:space="0" w:color="auto"/>
            </w:tcBorders>
          </w:tcPr>
          <w:p w14:paraId="233DCF2B" w14:textId="77777777" w:rsidR="006774F7" w:rsidRDefault="006774F7" w:rsidP="006A606C">
            <w:pPr>
              <w:widowControl/>
              <w:ind w:left="630"/>
              <w:jc w:val="center"/>
              <w:rPr>
                <w:sz w:val="20"/>
                <w:szCs w:val="20"/>
              </w:rPr>
            </w:pPr>
            <w:r>
              <w:rPr>
                <w:sz w:val="20"/>
                <w:szCs w:val="20"/>
              </w:rPr>
              <w:t>9</w:t>
            </w:r>
          </w:p>
        </w:tc>
      </w:tr>
      <w:tr w:rsidR="006774F7" w14:paraId="6AE78BB5" w14:textId="77777777" w:rsidTr="006F3BD3">
        <w:tc>
          <w:tcPr>
            <w:tcW w:w="2783" w:type="dxa"/>
            <w:tcBorders>
              <w:left w:val="single" w:sz="12" w:space="0" w:color="auto"/>
              <w:bottom w:val="single" w:sz="12" w:space="0" w:color="auto"/>
            </w:tcBorders>
          </w:tcPr>
          <w:p w14:paraId="08AF33CF" w14:textId="77777777" w:rsidR="006774F7" w:rsidRPr="00DE2D33" w:rsidRDefault="006774F7" w:rsidP="006F3BD3">
            <w:pPr>
              <w:widowControl/>
              <w:ind w:left="288"/>
              <w:rPr>
                <w:sz w:val="20"/>
                <w:szCs w:val="20"/>
              </w:rPr>
            </w:pPr>
            <w:r>
              <w:rPr>
                <w:sz w:val="20"/>
                <w:szCs w:val="20"/>
              </w:rPr>
              <w:t>Portland, OR</w:t>
            </w:r>
          </w:p>
        </w:tc>
        <w:tc>
          <w:tcPr>
            <w:tcW w:w="1425" w:type="dxa"/>
            <w:tcBorders>
              <w:bottom w:val="single" w:sz="12" w:space="0" w:color="auto"/>
            </w:tcBorders>
          </w:tcPr>
          <w:p w14:paraId="44632FCA" w14:textId="77777777" w:rsidR="006774F7" w:rsidRPr="00DE2D33" w:rsidRDefault="006774F7" w:rsidP="006A606C">
            <w:pPr>
              <w:widowControl/>
              <w:ind w:left="630"/>
              <w:jc w:val="center"/>
              <w:rPr>
                <w:sz w:val="20"/>
                <w:szCs w:val="20"/>
              </w:rPr>
            </w:pPr>
            <w:r>
              <w:rPr>
                <w:sz w:val="20"/>
                <w:szCs w:val="20"/>
              </w:rPr>
              <w:t>3</w:t>
            </w:r>
          </w:p>
        </w:tc>
        <w:tc>
          <w:tcPr>
            <w:tcW w:w="1425" w:type="dxa"/>
            <w:tcBorders>
              <w:bottom w:val="single" w:sz="12" w:space="0" w:color="auto"/>
            </w:tcBorders>
          </w:tcPr>
          <w:p w14:paraId="2C2D3CF0" w14:textId="77777777" w:rsidR="006774F7" w:rsidRPr="00DE2D33" w:rsidRDefault="006774F7" w:rsidP="006A606C">
            <w:pPr>
              <w:widowControl/>
              <w:ind w:left="630"/>
              <w:jc w:val="center"/>
              <w:rPr>
                <w:sz w:val="20"/>
                <w:szCs w:val="20"/>
              </w:rPr>
            </w:pPr>
            <w:r>
              <w:rPr>
                <w:sz w:val="20"/>
                <w:szCs w:val="20"/>
              </w:rPr>
              <w:t>4</w:t>
            </w:r>
          </w:p>
        </w:tc>
        <w:tc>
          <w:tcPr>
            <w:tcW w:w="1425" w:type="dxa"/>
            <w:tcBorders>
              <w:bottom w:val="single" w:sz="12" w:space="0" w:color="auto"/>
            </w:tcBorders>
          </w:tcPr>
          <w:p w14:paraId="5E8793E2" w14:textId="77777777" w:rsidR="006774F7" w:rsidRDefault="006774F7" w:rsidP="006A606C">
            <w:pPr>
              <w:widowControl/>
              <w:ind w:left="630"/>
              <w:jc w:val="center"/>
              <w:rPr>
                <w:sz w:val="20"/>
                <w:szCs w:val="20"/>
              </w:rPr>
            </w:pPr>
            <w:r>
              <w:rPr>
                <w:sz w:val="20"/>
                <w:szCs w:val="20"/>
              </w:rPr>
              <w:t>3</w:t>
            </w:r>
          </w:p>
        </w:tc>
        <w:tc>
          <w:tcPr>
            <w:tcW w:w="1780" w:type="dxa"/>
            <w:tcBorders>
              <w:bottom w:val="single" w:sz="12" w:space="0" w:color="auto"/>
              <w:right w:val="single" w:sz="12" w:space="0" w:color="auto"/>
            </w:tcBorders>
          </w:tcPr>
          <w:p w14:paraId="124136FF" w14:textId="77777777" w:rsidR="006774F7" w:rsidRPr="00DE2D33" w:rsidRDefault="006774F7" w:rsidP="006A606C">
            <w:pPr>
              <w:widowControl/>
              <w:ind w:left="630"/>
              <w:jc w:val="center"/>
              <w:rPr>
                <w:sz w:val="20"/>
                <w:szCs w:val="20"/>
              </w:rPr>
            </w:pPr>
            <w:r>
              <w:rPr>
                <w:sz w:val="20"/>
                <w:szCs w:val="20"/>
              </w:rPr>
              <w:t>10</w:t>
            </w:r>
          </w:p>
        </w:tc>
      </w:tr>
      <w:tr w:rsidR="006774F7" w14:paraId="30FB2543" w14:textId="77777777" w:rsidTr="006F3BD3">
        <w:tc>
          <w:tcPr>
            <w:tcW w:w="2783" w:type="dxa"/>
            <w:tcBorders>
              <w:top w:val="single" w:sz="12" w:space="0" w:color="auto"/>
              <w:left w:val="single" w:sz="12" w:space="0" w:color="auto"/>
              <w:bottom w:val="single" w:sz="8" w:space="0" w:color="auto"/>
              <w:right w:val="single" w:sz="8" w:space="0" w:color="auto"/>
            </w:tcBorders>
          </w:tcPr>
          <w:p w14:paraId="4FE78C00" w14:textId="77777777" w:rsidR="006774F7" w:rsidRPr="00DE2D33" w:rsidRDefault="006774F7" w:rsidP="006F3BD3">
            <w:pPr>
              <w:widowControl/>
              <w:rPr>
                <w:sz w:val="20"/>
                <w:szCs w:val="20"/>
              </w:rPr>
            </w:pPr>
            <w:r>
              <w:rPr>
                <w:b/>
                <w:bCs/>
                <w:sz w:val="20"/>
                <w:szCs w:val="20"/>
              </w:rPr>
              <w:t>Age</w:t>
            </w:r>
          </w:p>
        </w:tc>
        <w:tc>
          <w:tcPr>
            <w:tcW w:w="1425" w:type="dxa"/>
            <w:tcBorders>
              <w:top w:val="single" w:sz="12" w:space="0" w:color="auto"/>
              <w:left w:val="single" w:sz="8" w:space="0" w:color="auto"/>
              <w:bottom w:val="single" w:sz="8" w:space="0" w:color="auto"/>
              <w:right w:val="single" w:sz="8" w:space="0" w:color="auto"/>
            </w:tcBorders>
          </w:tcPr>
          <w:p w14:paraId="00F2AF8D" w14:textId="77777777" w:rsidR="006774F7" w:rsidRPr="00DE2D33" w:rsidRDefault="006774F7" w:rsidP="006A606C">
            <w:pPr>
              <w:widowControl/>
              <w:ind w:left="630"/>
              <w:jc w:val="center"/>
              <w:rPr>
                <w:sz w:val="20"/>
                <w:szCs w:val="20"/>
              </w:rPr>
            </w:pPr>
          </w:p>
        </w:tc>
        <w:tc>
          <w:tcPr>
            <w:tcW w:w="1425" w:type="dxa"/>
            <w:tcBorders>
              <w:top w:val="single" w:sz="12" w:space="0" w:color="auto"/>
              <w:left w:val="single" w:sz="8" w:space="0" w:color="auto"/>
              <w:bottom w:val="single" w:sz="8" w:space="0" w:color="auto"/>
              <w:right w:val="single" w:sz="8" w:space="0" w:color="auto"/>
            </w:tcBorders>
          </w:tcPr>
          <w:p w14:paraId="794555A3" w14:textId="77777777" w:rsidR="006774F7" w:rsidRPr="00DE2D33" w:rsidRDefault="006774F7" w:rsidP="006A606C">
            <w:pPr>
              <w:widowControl/>
              <w:ind w:left="630"/>
              <w:jc w:val="center"/>
              <w:rPr>
                <w:sz w:val="20"/>
                <w:szCs w:val="20"/>
              </w:rPr>
            </w:pPr>
          </w:p>
        </w:tc>
        <w:tc>
          <w:tcPr>
            <w:tcW w:w="1425" w:type="dxa"/>
            <w:tcBorders>
              <w:top w:val="single" w:sz="12" w:space="0" w:color="auto"/>
              <w:left w:val="single" w:sz="8" w:space="0" w:color="auto"/>
              <w:bottom w:val="single" w:sz="8" w:space="0" w:color="auto"/>
              <w:right w:val="single" w:sz="8" w:space="0" w:color="auto"/>
            </w:tcBorders>
          </w:tcPr>
          <w:p w14:paraId="73F34EDD" w14:textId="77777777" w:rsidR="006774F7" w:rsidRDefault="006774F7" w:rsidP="006A606C">
            <w:pPr>
              <w:widowControl/>
              <w:ind w:left="630"/>
              <w:jc w:val="center"/>
              <w:rPr>
                <w:sz w:val="20"/>
                <w:szCs w:val="20"/>
              </w:rPr>
            </w:pPr>
          </w:p>
        </w:tc>
        <w:tc>
          <w:tcPr>
            <w:tcW w:w="1780" w:type="dxa"/>
            <w:tcBorders>
              <w:top w:val="single" w:sz="12" w:space="0" w:color="auto"/>
              <w:left w:val="single" w:sz="8" w:space="0" w:color="auto"/>
              <w:bottom w:val="single" w:sz="8" w:space="0" w:color="auto"/>
              <w:right w:val="single" w:sz="12" w:space="0" w:color="auto"/>
            </w:tcBorders>
          </w:tcPr>
          <w:p w14:paraId="58257B61" w14:textId="77777777" w:rsidR="006774F7" w:rsidRPr="00DE2D33" w:rsidRDefault="006774F7" w:rsidP="006A606C">
            <w:pPr>
              <w:widowControl/>
              <w:ind w:left="630"/>
              <w:jc w:val="center"/>
              <w:rPr>
                <w:sz w:val="20"/>
                <w:szCs w:val="20"/>
              </w:rPr>
            </w:pPr>
          </w:p>
        </w:tc>
      </w:tr>
      <w:tr w:rsidR="006774F7" w14:paraId="5C2C33E3" w14:textId="77777777" w:rsidTr="006F3BD3">
        <w:tc>
          <w:tcPr>
            <w:tcW w:w="2783" w:type="dxa"/>
            <w:tcBorders>
              <w:top w:val="single" w:sz="8" w:space="0" w:color="auto"/>
              <w:left w:val="single" w:sz="12" w:space="0" w:color="auto"/>
            </w:tcBorders>
          </w:tcPr>
          <w:p w14:paraId="2DD139D5" w14:textId="77777777" w:rsidR="006774F7" w:rsidRPr="00DE2D33" w:rsidRDefault="006774F7" w:rsidP="006F3BD3">
            <w:pPr>
              <w:widowControl/>
              <w:ind w:left="288"/>
              <w:rPr>
                <w:sz w:val="20"/>
                <w:szCs w:val="20"/>
              </w:rPr>
            </w:pPr>
            <w:r>
              <w:rPr>
                <w:sz w:val="20"/>
                <w:szCs w:val="20"/>
              </w:rPr>
              <w:t>12-17</w:t>
            </w:r>
          </w:p>
        </w:tc>
        <w:tc>
          <w:tcPr>
            <w:tcW w:w="1425" w:type="dxa"/>
            <w:tcBorders>
              <w:top w:val="single" w:sz="8" w:space="0" w:color="auto"/>
            </w:tcBorders>
          </w:tcPr>
          <w:p w14:paraId="4EA46696" w14:textId="77777777" w:rsidR="006774F7" w:rsidRPr="00DE2D33" w:rsidRDefault="006774F7" w:rsidP="006A606C">
            <w:pPr>
              <w:widowControl/>
              <w:ind w:left="630"/>
              <w:jc w:val="center"/>
              <w:rPr>
                <w:sz w:val="20"/>
                <w:szCs w:val="20"/>
              </w:rPr>
            </w:pPr>
            <w:r>
              <w:rPr>
                <w:sz w:val="20"/>
                <w:szCs w:val="20"/>
              </w:rPr>
              <w:t>4</w:t>
            </w:r>
          </w:p>
        </w:tc>
        <w:tc>
          <w:tcPr>
            <w:tcW w:w="1425" w:type="dxa"/>
            <w:tcBorders>
              <w:top w:val="single" w:sz="8" w:space="0" w:color="auto"/>
            </w:tcBorders>
          </w:tcPr>
          <w:p w14:paraId="140069E7" w14:textId="77777777" w:rsidR="006774F7" w:rsidRPr="00DE2D33" w:rsidRDefault="006774F7" w:rsidP="006A606C">
            <w:pPr>
              <w:widowControl/>
              <w:ind w:left="630"/>
              <w:jc w:val="center"/>
              <w:rPr>
                <w:sz w:val="20"/>
                <w:szCs w:val="20"/>
              </w:rPr>
            </w:pPr>
            <w:r>
              <w:rPr>
                <w:sz w:val="20"/>
                <w:szCs w:val="20"/>
              </w:rPr>
              <w:t>4</w:t>
            </w:r>
          </w:p>
        </w:tc>
        <w:tc>
          <w:tcPr>
            <w:tcW w:w="1425" w:type="dxa"/>
            <w:tcBorders>
              <w:top w:val="single" w:sz="8" w:space="0" w:color="auto"/>
            </w:tcBorders>
          </w:tcPr>
          <w:p w14:paraId="6EEB7B7C" w14:textId="77777777" w:rsidR="006774F7" w:rsidRDefault="006774F7" w:rsidP="006A606C">
            <w:pPr>
              <w:widowControl/>
              <w:ind w:left="630"/>
              <w:jc w:val="center"/>
              <w:rPr>
                <w:sz w:val="20"/>
                <w:szCs w:val="20"/>
              </w:rPr>
            </w:pPr>
            <w:r>
              <w:rPr>
                <w:sz w:val="20"/>
                <w:szCs w:val="20"/>
              </w:rPr>
              <w:t>4</w:t>
            </w:r>
          </w:p>
        </w:tc>
        <w:tc>
          <w:tcPr>
            <w:tcW w:w="1780" w:type="dxa"/>
            <w:tcBorders>
              <w:top w:val="single" w:sz="8" w:space="0" w:color="auto"/>
              <w:right w:val="single" w:sz="12" w:space="0" w:color="auto"/>
            </w:tcBorders>
          </w:tcPr>
          <w:p w14:paraId="5AED4991" w14:textId="77777777" w:rsidR="006774F7" w:rsidRPr="00DE2D33" w:rsidRDefault="006774F7" w:rsidP="006A606C">
            <w:pPr>
              <w:widowControl/>
              <w:ind w:left="630"/>
              <w:jc w:val="center"/>
              <w:rPr>
                <w:sz w:val="20"/>
                <w:szCs w:val="20"/>
              </w:rPr>
            </w:pPr>
            <w:r>
              <w:rPr>
                <w:sz w:val="20"/>
                <w:szCs w:val="20"/>
              </w:rPr>
              <w:t>12</w:t>
            </w:r>
          </w:p>
        </w:tc>
      </w:tr>
      <w:tr w:rsidR="006774F7" w14:paraId="30B0C8B8" w14:textId="77777777" w:rsidTr="006F3BD3">
        <w:tc>
          <w:tcPr>
            <w:tcW w:w="2783" w:type="dxa"/>
            <w:tcBorders>
              <w:top w:val="single" w:sz="8" w:space="0" w:color="auto"/>
              <w:left w:val="single" w:sz="12" w:space="0" w:color="auto"/>
            </w:tcBorders>
          </w:tcPr>
          <w:p w14:paraId="26CF811B" w14:textId="77777777" w:rsidR="006774F7" w:rsidRPr="00DE2D33" w:rsidRDefault="006774F7" w:rsidP="006F3BD3">
            <w:pPr>
              <w:widowControl/>
              <w:ind w:left="288"/>
              <w:rPr>
                <w:sz w:val="20"/>
                <w:szCs w:val="20"/>
              </w:rPr>
            </w:pPr>
            <w:r>
              <w:rPr>
                <w:sz w:val="20"/>
                <w:szCs w:val="20"/>
              </w:rPr>
              <w:t>18-49</w:t>
            </w:r>
          </w:p>
        </w:tc>
        <w:tc>
          <w:tcPr>
            <w:tcW w:w="1425" w:type="dxa"/>
            <w:tcBorders>
              <w:top w:val="single" w:sz="8" w:space="0" w:color="auto"/>
            </w:tcBorders>
          </w:tcPr>
          <w:p w14:paraId="0198A308" w14:textId="77777777" w:rsidR="006774F7" w:rsidRPr="00DE2D33" w:rsidRDefault="006774F7" w:rsidP="006A606C">
            <w:pPr>
              <w:widowControl/>
              <w:ind w:left="630"/>
              <w:jc w:val="center"/>
              <w:rPr>
                <w:sz w:val="20"/>
                <w:szCs w:val="20"/>
              </w:rPr>
            </w:pPr>
            <w:r>
              <w:rPr>
                <w:sz w:val="20"/>
                <w:szCs w:val="20"/>
              </w:rPr>
              <w:t>4</w:t>
            </w:r>
          </w:p>
        </w:tc>
        <w:tc>
          <w:tcPr>
            <w:tcW w:w="1425" w:type="dxa"/>
            <w:tcBorders>
              <w:top w:val="single" w:sz="8" w:space="0" w:color="auto"/>
            </w:tcBorders>
          </w:tcPr>
          <w:p w14:paraId="57B3228D" w14:textId="77777777" w:rsidR="006774F7" w:rsidRPr="00DE2D33" w:rsidRDefault="006774F7" w:rsidP="006A606C">
            <w:pPr>
              <w:widowControl/>
              <w:ind w:left="630"/>
              <w:jc w:val="center"/>
              <w:rPr>
                <w:sz w:val="20"/>
                <w:szCs w:val="20"/>
              </w:rPr>
            </w:pPr>
            <w:r>
              <w:rPr>
                <w:sz w:val="20"/>
                <w:szCs w:val="20"/>
              </w:rPr>
              <w:t>4</w:t>
            </w:r>
          </w:p>
        </w:tc>
        <w:tc>
          <w:tcPr>
            <w:tcW w:w="1425" w:type="dxa"/>
            <w:tcBorders>
              <w:top w:val="single" w:sz="8" w:space="0" w:color="auto"/>
            </w:tcBorders>
          </w:tcPr>
          <w:p w14:paraId="0E41615B" w14:textId="77777777" w:rsidR="006774F7" w:rsidRDefault="006774F7" w:rsidP="006A606C">
            <w:pPr>
              <w:widowControl/>
              <w:ind w:left="630"/>
              <w:jc w:val="center"/>
              <w:rPr>
                <w:sz w:val="20"/>
                <w:szCs w:val="20"/>
              </w:rPr>
            </w:pPr>
            <w:r>
              <w:rPr>
                <w:sz w:val="20"/>
                <w:szCs w:val="20"/>
              </w:rPr>
              <w:t>4</w:t>
            </w:r>
          </w:p>
        </w:tc>
        <w:tc>
          <w:tcPr>
            <w:tcW w:w="1780" w:type="dxa"/>
            <w:tcBorders>
              <w:top w:val="single" w:sz="8" w:space="0" w:color="auto"/>
              <w:right w:val="single" w:sz="12" w:space="0" w:color="auto"/>
            </w:tcBorders>
          </w:tcPr>
          <w:p w14:paraId="7D408EBC" w14:textId="77777777" w:rsidR="006774F7" w:rsidRPr="00DE2D33" w:rsidRDefault="006774F7" w:rsidP="006A606C">
            <w:pPr>
              <w:widowControl/>
              <w:ind w:left="630"/>
              <w:jc w:val="center"/>
              <w:rPr>
                <w:sz w:val="20"/>
                <w:szCs w:val="20"/>
              </w:rPr>
            </w:pPr>
            <w:r>
              <w:rPr>
                <w:sz w:val="20"/>
                <w:szCs w:val="20"/>
              </w:rPr>
              <w:t>12</w:t>
            </w:r>
          </w:p>
        </w:tc>
      </w:tr>
      <w:tr w:rsidR="006774F7" w14:paraId="7E6B4344" w14:textId="77777777" w:rsidTr="006F3BD3">
        <w:tc>
          <w:tcPr>
            <w:tcW w:w="2783" w:type="dxa"/>
            <w:tcBorders>
              <w:left w:val="single" w:sz="12" w:space="0" w:color="auto"/>
              <w:bottom w:val="single" w:sz="12" w:space="0" w:color="auto"/>
            </w:tcBorders>
          </w:tcPr>
          <w:p w14:paraId="09110F97" w14:textId="77777777" w:rsidR="006774F7" w:rsidRPr="00DE2D33" w:rsidRDefault="006774F7" w:rsidP="006F3BD3">
            <w:pPr>
              <w:widowControl/>
              <w:ind w:left="288"/>
              <w:rPr>
                <w:sz w:val="20"/>
                <w:szCs w:val="20"/>
              </w:rPr>
            </w:pPr>
            <w:r>
              <w:rPr>
                <w:sz w:val="20"/>
                <w:szCs w:val="20"/>
              </w:rPr>
              <w:t>50+</w:t>
            </w:r>
          </w:p>
        </w:tc>
        <w:tc>
          <w:tcPr>
            <w:tcW w:w="1425" w:type="dxa"/>
            <w:tcBorders>
              <w:bottom w:val="single" w:sz="12" w:space="0" w:color="auto"/>
            </w:tcBorders>
          </w:tcPr>
          <w:p w14:paraId="6E8FD80A" w14:textId="77777777" w:rsidR="006774F7" w:rsidRPr="00DE2D33" w:rsidRDefault="006774F7" w:rsidP="006A606C">
            <w:pPr>
              <w:widowControl/>
              <w:ind w:left="630"/>
              <w:jc w:val="center"/>
              <w:rPr>
                <w:sz w:val="20"/>
                <w:szCs w:val="20"/>
              </w:rPr>
            </w:pPr>
            <w:r>
              <w:rPr>
                <w:sz w:val="20"/>
                <w:szCs w:val="20"/>
              </w:rPr>
              <w:t>5</w:t>
            </w:r>
          </w:p>
        </w:tc>
        <w:tc>
          <w:tcPr>
            <w:tcW w:w="1425" w:type="dxa"/>
            <w:tcBorders>
              <w:bottom w:val="single" w:sz="12" w:space="0" w:color="auto"/>
            </w:tcBorders>
          </w:tcPr>
          <w:p w14:paraId="1F5FDCB7" w14:textId="77777777" w:rsidR="006774F7" w:rsidRPr="00DE2D33" w:rsidRDefault="006774F7" w:rsidP="006A606C">
            <w:pPr>
              <w:widowControl/>
              <w:ind w:left="630"/>
              <w:jc w:val="center"/>
              <w:rPr>
                <w:sz w:val="20"/>
                <w:szCs w:val="20"/>
              </w:rPr>
            </w:pPr>
            <w:r>
              <w:rPr>
                <w:sz w:val="20"/>
                <w:szCs w:val="20"/>
              </w:rPr>
              <w:t>5</w:t>
            </w:r>
          </w:p>
        </w:tc>
        <w:tc>
          <w:tcPr>
            <w:tcW w:w="1425" w:type="dxa"/>
            <w:tcBorders>
              <w:bottom w:val="single" w:sz="12" w:space="0" w:color="auto"/>
            </w:tcBorders>
          </w:tcPr>
          <w:p w14:paraId="3BA30D4E" w14:textId="77777777" w:rsidR="006774F7" w:rsidRDefault="006774F7" w:rsidP="006A606C">
            <w:pPr>
              <w:widowControl/>
              <w:ind w:left="630"/>
              <w:jc w:val="center"/>
              <w:rPr>
                <w:sz w:val="20"/>
                <w:szCs w:val="20"/>
              </w:rPr>
            </w:pPr>
            <w:r>
              <w:rPr>
                <w:sz w:val="20"/>
                <w:szCs w:val="20"/>
              </w:rPr>
              <w:t>5</w:t>
            </w:r>
          </w:p>
        </w:tc>
        <w:tc>
          <w:tcPr>
            <w:tcW w:w="1780" w:type="dxa"/>
            <w:tcBorders>
              <w:bottom w:val="single" w:sz="12" w:space="0" w:color="auto"/>
              <w:right w:val="single" w:sz="12" w:space="0" w:color="auto"/>
            </w:tcBorders>
          </w:tcPr>
          <w:p w14:paraId="79424558" w14:textId="77777777" w:rsidR="006774F7" w:rsidRPr="00DE2D33" w:rsidRDefault="006774F7" w:rsidP="006A606C">
            <w:pPr>
              <w:widowControl/>
              <w:ind w:left="630"/>
              <w:jc w:val="center"/>
              <w:rPr>
                <w:sz w:val="20"/>
                <w:szCs w:val="20"/>
              </w:rPr>
            </w:pPr>
            <w:r>
              <w:rPr>
                <w:sz w:val="20"/>
                <w:szCs w:val="20"/>
              </w:rPr>
              <w:t>15</w:t>
            </w:r>
          </w:p>
        </w:tc>
      </w:tr>
      <w:tr w:rsidR="006F3BD3" w14:paraId="5DB49458" w14:textId="77777777" w:rsidTr="006F3BD3">
        <w:tc>
          <w:tcPr>
            <w:tcW w:w="2783" w:type="dxa"/>
            <w:tcBorders>
              <w:top w:val="single" w:sz="12" w:space="0" w:color="auto"/>
              <w:left w:val="single" w:sz="12" w:space="0" w:color="auto"/>
            </w:tcBorders>
          </w:tcPr>
          <w:p w14:paraId="7400831B" w14:textId="2DB771D1" w:rsidR="006F3BD3" w:rsidRDefault="006F3BD3" w:rsidP="006F3BD3">
            <w:pPr>
              <w:widowControl/>
              <w:rPr>
                <w:b/>
                <w:bCs/>
                <w:sz w:val="20"/>
                <w:szCs w:val="20"/>
              </w:rPr>
            </w:pPr>
            <w:r>
              <w:rPr>
                <w:b/>
                <w:bCs/>
                <w:sz w:val="20"/>
                <w:szCs w:val="20"/>
              </w:rPr>
              <w:t xml:space="preserve">Past 12 month substance use </w:t>
            </w:r>
          </w:p>
        </w:tc>
        <w:tc>
          <w:tcPr>
            <w:tcW w:w="1425" w:type="dxa"/>
            <w:tcBorders>
              <w:top w:val="single" w:sz="12" w:space="0" w:color="auto"/>
            </w:tcBorders>
          </w:tcPr>
          <w:p w14:paraId="52B2A94E" w14:textId="77777777" w:rsidR="006F3BD3" w:rsidRPr="00DE2D33" w:rsidRDefault="006F3BD3" w:rsidP="006A606C">
            <w:pPr>
              <w:widowControl/>
              <w:ind w:left="630"/>
              <w:jc w:val="center"/>
              <w:rPr>
                <w:sz w:val="20"/>
                <w:szCs w:val="20"/>
              </w:rPr>
            </w:pPr>
          </w:p>
        </w:tc>
        <w:tc>
          <w:tcPr>
            <w:tcW w:w="1425" w:type="dxa"/>
            <w:tcBorders>
              <w:top w:val="single" w:sz="12" w:space="0" w:color="auto"/>
            </w:tcBorders>
          </w:tcPr>
          <w:p w14:paraId="2B15F0FA" w14:textId="77777777" w:rsidR="006F3BD3" w:rsidRPr="00DE2D33" w:rsidRDefault="006F3BD3" w:rsidP="006A606C">
            <w:pPr>
              <w:widowControl/>
              <w:ind w:left="630"/>
              <w:jc w:val="center"/>
              <w:rPr>
                <w:sz w:val="20"/>
                <w:szCs w:val="20"/>
              </w:rPr>
            </w:pPr>
          </w:p>
        </w:tc>
        <w:tc>
          <w:tcPr>
            <w:tcW w:w="1425" w:type="dxa"/>
            <w:tcBorders>
              <w:top w:val="single" w:sz="12" w:space="0" w:color="auto"/>
            </w:tcBorders>
          </w:tcPr>
          <w:p w14:paraId="03CA5FEB" w14:textId="77777777" w:rsidR="006F3BD3" w:rsidRDefault="006F3BD3" w:rsidP="006A606C">
            <w:pPr>
              <w:widowControl/>
              <w:ind w:left="630"/>
              <w:jc w:val="center"/>
              <w:rPr>
                <w:sz w:val="20"/>
                <w:szCs w:val="20"/>
              </w:rPr>
            </w:pPr>
          </w:p>
        </w:tc>
        <w:tc>
          <w:tcPr>
            <w:tcW w:w="1780" w:type="dxa"/>
            <w:tcBorders>
              <w:top w:val="single" w:sz="12" w:space="0" w:color="auto"/>
              <w:right w:val="single" w:sz="12" w:space="0" w:color="auto"/>
            </w:tcBorders>
          </w:tcPr>
          <w:p w14:paraId="05CE7D96" w14:textId="77777777" w:rsidR="006F3BD3" w:rsidRPr="00DE2D33" w:rsidRDefault="006F3BD3" w:rsidP="006A606C">
            <w:pPr>
              <w:widowControl/>
              <w:ind w:left="630"/>
              <w:jc w:val="center"/>
              <w:rPr>
                <w:sz w:val="20"/>
                <w:szCs w:val="20"/>
              </w:rPr>
            </w:pPr>
          </w:p>
        </w:tc>
      </w:tr>
      <w:tr w:rsidR="006F3BD3" w14:paraId="4EB9A18A" w14:textId="77777777" w:rsidTr="006F3BD3">
        <w:tc>
          <w:tcPr>
            <w:tcW w:w="2783" w:type="dxa"/>
            <w:tcBorders>
              <w:top w:val="single" w:sz="4" w:space="0" w:color="auto"/>
              <w:left w:val="single" w:sz="12" w:space="0" w:color="auto"/>
            </w:tcBorders>
          </w:tcPr>
          <w:p w14:paraId="73ABDE4A" w14:textId="71962967" w:rsidR="006F3BD3" w:rsidRPr="007A4097" w:rsidRDefault="006F3BD3" w:rsidP="006F3BD3">
            <w:pPr>
              <w:widowControl/>
              <w:ind w:left="288"/>
              <w:rPr>
                <w:sz w:val="20"/>
                <w:szCs w:val="20"/>
              </w:rPr>
            </w:pPr>
            <w:r>
              <w:rPr>
                <w:sz w:val="20"/>
                <w:szCs w:val="20"/>
              </w:rPr>
              <w:t>Marijuana</w:t>
            </w:r>
          </w:p>
        </w:tc>
        <w:tc>
          <w:tcPr>
            <w:tcW w:w="1425" w:type="dxa"/>
            <w:tcBorders>
              <w:top w:val="single" w:sz="4" w:space="0" w:color="auto"/>
            </w:tcBorders>
          </w:tcPr>
          <w:p w14:paraId="237BB36C" w14:textId="384403A0" w:rsidR="006F3BD3" w:rsidRPr="00DE2D33" w:rsidRDefault="006F3BD3" w:rsidP="006A606C">
            <w:pPr>
              <w:widowControl/>
              <w:ind w:left="630"/>
              <w:jc w:val="center"/>
              <w:rPr>
                <w:sz w:val="20"/>
                <w:szCs w:val="20"/>
              </w:rPr>
            </w:pPr>
          </w:p>
        </w:tc>
        <w:tc>
          <w:tcPr>
            <w:tcW w:w="1425" w:type="dxa"/>
            <w:tcBorders>
              <w:top w:val="single" w:sz="4" w:space="0" w:color="auto"/>
            </w:tcBorders>
          </w:tcPr>
          <w:p w14:paraId="5B9EF77F" w14:textId="04A49064" w:rsidR="006F3BD3" w:rsidRPr="00DE2D33" w:rsidRDefault="006F3BD3" w:rsidP="006A606C">
            <w:pPr>
              <w:widowControl/>
              <w:ind w:left="630"/>
              <w:jc w:val="center"/>
              <w:rPr>
                <w:sz w:val="20"/>
                <w:szCs w:val="20"/>
              </w:rPr>
            </w:pPr>
          </w:p>
        </w:tc>
        <w:tc>
          <w:tcPr>
            <w:tcW w:w="1425" w:type="dxa"/>
            <w:tcBorders>
              <w:top w:val="single" w:sz="4" w:space="0" w:color="auto"/>
            </w:tcBorders>
          </w:tcPr>
          <w:p w14:paraId="7C89A4FD" w14:textId="560B2558" w:rsidR="006F3BD3" w:rsidRDefault="006F3BD3" w:rsidP="006A606C">
            <w:pPr>
              <w:widowControl/>
              <w:ind w:left="630"/>
              <w:jc w:val="center"/>
              <w:rPr>
                <w:sz w:val="20"/>
                <w:szCs w:val="20"/>
              </w:rPr>
            </w:pPr>
          </w:p>
        </w:tc>
        <w:tc>
          <w:tcPr>
            <w:tcW w:w="1780" w:type="dxa"/>
            <w:tcBorders>
              <w:top w:val="single" w:sz="4" w:space="0" w:color="auto"/>
              <w:right w:val="single" w:sz="12" w:space="0" w:color="auto"/>
            </w:tcBorders>
          </w:tcPr>
          <w:p w14:paraId="478B86A7" w14:textId="33F84210" w:rsidR="006F3BD3" w:rsidRPr="00DE2D33" w:rsidRDefault="006F3BD3" w:rsidP="006A606C">
            <w:pPr>
              <w:widowControl/>
              <w:ind w:left="630"/>
              <w:jc w:val="center"/>
              <w:rPr>
                <w:sz w:val="20"/>
                <w:szCs w:val="20"/>
              </w:rPr>
            </w:pPr>
          </w:p>
        </w:tc>
      </w:tr>
      <w:tr w:rsidR="006F3BD3" w14:paraId="42DAF338" w14:textId="77777777" w:rsidTr="006F3BD3">
        <w:tc>
          <w:tcPr>
            <w:tcW w:w="2783" w:type="dxa"/>
            <w:tcBorders>
              <w:top w:val="single" w:sz="4" w:space="0" w:color="auto"/>
              <w:left w:val="single" w:sz="12" w:space="0" w:color="auto"/>
              <w:bottom w:val="single" w:sz="4" w:space="0" w:color="auto"/>
            </w:tcBorders>
          </w:tcPr>
          <w:p w14:paraId="1AE3337D" w14:textId="28BF4363" w:rsidR="006F3BD3" w:rsidRDefault="006F3BD3" w:rsidP="006F3BD3">
            <w:pPr>
              <w:widowControl/>
              <w:ind w:left="576"/>
              <w:rPr>
                <w:sz w:val="20"/>
                <w:szCs w:val="20"/>
              </w:rPr>
            </w:pPr>
            <w:r>
              <w:rPr>
                <w:sz w:val="20"/>
                <w:szCs w:val="20"/>
              </w:rPr>
              <w:t>12-17</w:t>
            </w:r>
          </w:p>
        </w:tc>
        <w:tc>
          <w:tcPr>
            <w:tcW w:w="1425" w:type="dxa"/>
            <w:tcBorders>
              <w:top w:val="single" w:sz="4" w:space="0" w:color="auto"/>
              <w:bottom w:val="single" w:sz="4" w:space="0" w:color="auto"/>
            </w:tcBorders>
          </w:tcPr>
          <w:p w14:paraId="193B1117" w14:textId="4C890741" w:rsidR="006F3BD3" w:rsidRDefault="006F3BD3" w:rsidP="006A606C">
            <w:pPr>
              <w:widowControl/>
              <w:ind w:left="630"/>
              <w:jc w:val="center"/>
              <w:rPr>
                <w:sz w:val="20"/>
                <w:szCs w:val="20"/>
              </w:rPr>
            </w:pPr>
            <w:r>
              <w:rPr>
                <w:sz w:val="20"/>
                <w:szCs w:val="20"/>
              </w:rPr>
              <w:t>3</w:t>
            </w:r>
          </w:p>
        </w:tc>
        <w:tc>
          <w:tcPr>
            <w:tcW w:w="1425" w:type="dxa"/>
            <w:tcBorders>
              <w:top w:val="single" w:sz="4" w:space="0" w:color="auto"/>
              <w:bottom w:val="single" w:sz="4" w:space="0" w:color="auto"/>
            </w:tcBorders>
          </w:tcPr>
          <w:p w14:paraId="0A0B5F33" w14:textId="3FE81DBB" w:rsidR="006F3BD3" w:rsidRDefault="006F3BD3" w:rsidP="006A606C">
            <w:pPr>
              <w:widowControl/>
              <w:ind w:left="630"/>
              <w:jc w:val="center"/>
              <w:rPr>
                <w:sz w:val="20"/>
                <w:szCs w:val="20"/>
              </w:rPr>
            </w:pPr>
            <w:r>
              <w:rPr>
                <w:sz w:val="20"/>
                <w:szCs w:val="20"/>
              </w:rPr>
              <w:t>3</w:t>
            </w:r>
          </w:p>
        </w:tc>
        <w:tc>
          <w:tcPr>
            <w:tcW w:w="1425" w:type="dxa"/>
            <w:tcBorders>
              <w:top w:val="single" w:sz="4" w:space="0" w:color="auto"/>
              <w:bottom w:val="single" w:sz="4" w:space="0" w:color="auto"/>
            </w:tcBorders>
          </w:tcPr>
          <w:p w14:paraId="714FD1B6" w14:textId="46C975F6" w:rsidR="006F3BD3" w:rsidRDefault="006F3BD3" w:rsidP="006A606C">
            <w:pPr>
              <w:widowControl/>
              <w:ind w:left="630"/>
              <w:jc w:val="center"/>
              <w:rPr>
                <w:sz w:val="20"/>
                <w:szCs w:val="20"/>
              </w:rPr>
            </w:pPr>
            <w:r>
              <w:rPr>
                <w:sz w:val="20"/>
                <w:szCs w:val="20"/>
              </w:rPr>
              <w:t>3</w:t>
            </w:r>
          </w:p>
        </w:tc>
        <w:tc>
          <w:tcPr>
            <w:tcW w:w="1780" w:type="dxa"/>
            <w:tcBorders>
              <w:top w:val="single" w:sz="4" w:space="0" w:color="auto"/>
              <w:bottom w:val="single" w:sz="4" w:space="0" w:color="auto"/>
              <w:right w:val="single" w:sz="12" w:space="0" w:color="auto"/>
            </w:tcBorders>
          </w:tcPr>
          <w:p w14:paraId="1E2D1713" w14:textId="39BF2ED7" w:rsidR="006F3BD3" w:rsidRDefault="006F3BD3" w:rsidP="006A606C">
            <w:pPr>
              <w:widowControl/>
              <w:ind w:left="630"/>
              <w:jc w:val="center"/>
              <w:rPr>
                <w:sz w:val="20"/>
                <w:szCs w:val="20"/>
              </w:rPr>
            </w:pPr>
            <w:r>
              <w:rPr>
                <w:sz w:val="20"/>
                <w:szCs w:val="20"/>
              </w:rPr>
              <w:t>9</w:t>
            </w:r>
          </w:p>
        </w:tc>
      </w:tr>
      <w:tr w:rsidR="006F3BD3" w14:paraId="47A20758" w14:textId="77777777" w:rsidTr="006F3BD3">
        <w:tc>
          <w:tcPr>
            <w:tcW w:w="2783" w:type="dxa"/>
            <w:tcBorders>
              <w:top w:val="single" w:sz="4" w:space="0" w:color="auto"/>
              <w:left w:val="single" w:sz="12" w:space="0" w:color="auto"/>
              <w:bottom w:val="single" w:sz="4" w:space="0" w:color="auto"/>
            </w:tcBorders>
          </w:tcPr>
          <w:p w14:paraId="1114A825" w14:textId="7674CB17" w:rsidR="006F3BD3" w:rsidRDefault="006F3BD3" w:rsidP="006F3BD3">
            <w:pPr>
              <w:widowControl/>
              <w:ind w:left="576"/>
              <w:rPr>
                <w:sz w:val="20"/>
                <w:szCs w:val="20"/>
              </w:rPr>
            </w:pPr>
            <w:r>
              <w:rPr>
                <w:sz w:val="20"/>
                <w:szCs w:val="20"/>
              </w:rPr>
              <w:t>18+</w:t>
            </w:r>
          </w:p>
        </w:tc>
        <w:tc>
          <w:tcPr>
            <w:tcW w:w="1425" w:type="dxa"/>
            <w:tcBorders>
              <w:top w:val="single" w:sz="4" w:space="0" w:color="auto"/>
              <w:bottom w:val="single" w:sz="4" w:space="0" w:color="auto"/>
            </w:tcBorders>
          </w:tcPr>
          <w:p w14:paraId="6083547A" w14:textId="79A01B27" w:rsidR="006F3BD3" w:rsidRDefault="006F3BD3" w:rsidP="006A606C">
            <w:pPr>
              <w:widowControl/>
              <w:ind w:left="630"/>
              <w:jc w:val="center"/>
              <w:rPr>
                <w:sz w:val="20"/>
                <w:szCs w:val="20"/>
              </w:rPr>
            </w:pPr>
            <w:r>
              <w:rPr>
                <w:sz w:val="20"/>
                <w:szCs w:val="20"/>
              </w:rPr>
              <w:t>7</w:t>
            </w:r>
          </w:p>
        </w:tc>
        <w:tc>
          <w:tcPr>
            <w:tcW w:w="1425" w:type="dxa"/>
            <w:tcBorders>
              <w:top w:val="single" w:sz="4" w:space="0" w:color="auto"/>
              <w:bottom w:val="single" w:sz="4" w:space="0" w:color="auto"/>
            </w:tcBorders>
          </w:tcPr>
          <w:p w14:paraId="294CBFA3" w14:textId="0E3E934B" w:rsidR="006F3BD3" w:rsidRDefault="006F3BD3" w:rsidP="006A606C">
            <w:pPr>
              <w:widowControl/>
              <w:ind w:left="630"/>
              <w:jc w:val="center"/>
              <w:rPr>
                <w:sz w:val="20"/>
                <w:szCs w:val="20"/>
              </w:rPr>
            </w:pPr>
            <w:r>
              <w:rPr>
                <w:sz w:val="20"/>
                <w:szCs w:val="20"/>
              </w:rPr>
              <w:t>5</w:t>
            </w:r>
          </w:p>
        </w:tc>
        <w:tc>
          <w:tcPr>
            <w:tcW w:w="1425" w:type="dxa"/>
            <w:tcBorders>
              <w:top w:val="single" w:sz="4" w:space="0" w:color="auto"/>
              <w:bottom w:val="single" w:sz="4" w:space="0" w:color="auto"/>
            </w:tcBorders>
          </w:tcPr>
          <w:p w14:paraId="0060989A" w14:textId="11A55BEC" w:rsidR="006F3BD3" w:rsidRDefault="006F3BD3" w:rsidP="006A606C">
            <w:pPr>
              <w:widowControl/>
              <w:ind w:left="630"/>
              <w:jc w:val="center"/>
              <w:rPr>
                <w:sz w:val="20"/>
                <w:szCs w:val="20"/>
              </w:rPr>
            </w:pPr>
            <w:r>
              <w:rPr>
                <w:sz w:val="20"/>
                <w:szCs w:val="20"/>
              </w:rPr>
              <w:t>5</w:t>
            </w:r>
          </w:p>
        </w:tc>
        <w:tc>
          <w:tcPr>
            <w:tcW w:w="1780" w:type="dxa"/>
            <w:tcBorders>
              <w:top w:val="single" w:sz="4" w:space="0" w:color="auto"/>
              <w:bottom w:val="single" w:sz="4" w:space="0" w:color="auto"/>
              <w:right w:val="single" w:sz="12" w:space="0" w:color="auto"/>
            </w:tcBorders>
          </w:tcPr>
          <w:p w14:paraId="14CAEAE5" w14:textId="0FC41EA4" w:rsidR="006F3BD3" w:rsidRDefault="006F3BD3" w:rsidP="006F3BD3">
            <w:pPr>
              <w:widowControl/>
              <w:ind w:left="630"/>
              <w:jc w:val="center"/>
              <w:rPr>
                <w:sz w:val="20"/>
                <w:szCs w:val="20"/>
              </w:rPr>
            </w:pPr>
            <w:r>
              <w:rPr>
                <w:sz w:val="20"/>
                <w:szCs w:val="20"/>
              </w:rPr>
              <w:t>17</w:t>
            </w:r>
          </w:p>
        </w:tc>
      </w:tr>
      <w:tr w:rsidR="006F3BD3" w14:paraId="5FDC3A2C" w14:textId="77777777" w:rsidTr="006F3BD3">
        <w:tc>
          <w:tcPr>
            <w:tcW w:w="2783" w:type="dxa"/>
            <w:tcBorders>
              <w:top w:val="single" w:sz="4" w:space="0" w:color="auto"/>
              <w:left w:val="single" w:sz="12" w:space="0" w:color="auto"/>
              <w:bottom w:val="single" w:sz="4" w:space="0" w:color="auto"/>
            </w:tcBorders>
          </w:tcPr>
          <w:p w14:paraId="4277020D" w14:textId="71D82C01" w:rsidR="006F3BD3" w:rsidRPr="007A4097" w:rsidRDefault="006F3BD3" w:rsidP="006F3BD3">
            <w:pPr>
              <w:widowControl/>
              <w:ind w:left="288"/>
              <w:rPr>
                <w:sz w:val="20"/>
                <w:szCs w:val="20"/>
              </w:rPr>
            </w:pPr>
            <w:r>
              <w:rPr>
                <w:sz w:val="20"/>
                <w:szCs w:val="20"/>
              </w:rPr>
              <w:t>Other substances</w:t>
            </w:r>
          </w:p>
        </w:tc>
        <w:tc>
          <w:tcPr>
            <w:tcW w:w="1425" w:type="dxa"/>
            <w:tcBorders>
              <w:top w:val="single" w:sz="4" w:space="0" w:color="auto"/>
              <w:bottom w:val="single" w:sz="4" w:space="0" w:color="auto"/>
            </w:tcBorders>
          </w:tcPr>
          <w:p w14:paraId="6A967B2C" w14:textId="5F58A20B" w:rsidR="006F3BD3" w:rsidRPr="00DE2D33" w:rsidRDefault="006F3BD3" w:rsidP="006A606C">
            <w:pPr>
              <w:widowControl/>
              <w:ind w:left="630"/>
              <w:jc w:val="center"/>
              <w:rPr>
                <w:sz w:val="20"/>
                <w:szCs w:val="20"/>
              </w:rPr>
            </w:pPr>
          </w:p>
        </w:tc>
        <w:tc>
          <w:tcPr>
            <w:tcW w:w="1425" w:type="dxa"/>
            <w:tcBorders>
              <w:top w:val="single" w:sz="4" w:space="0" w:color="auto"/>
              <w:bottom w:val="single" w:sz="4" w:space="0" w:color="auto"/>
            </w:tcBorders>
          </w:tcPr>
          <w:p w14:paraId="2A0027A5" w14:textId="004B2F0C" w:rsidR="006F3BD3" w:rsidRPr="00DE2D33" w:rsidRDefault="006F3BD3" w:rsidP="006A606C">
            <w:pPr>
              <w:widowControl/>
              <w:ind w:left="630"/>
              <w:jc w:val="center"/>
              <w:rPr>
                <w:sz w:val="20"/>
                <w:szCs w:val="20"/>
              </w:rPr>
            </w:pPr>
          </w:p>
        </w:tc>
        <w:tc>
          <w:tcPr>
            <w:tcW w:w="1425" w:type="dxa"/>
            <w:tcBorders>
              <w:top w:val="single" w:sz="4" w:space="0" w:color="auto"/>
              <w:bottom w:val="single" w:sz="4" w:space="0" w:color="auto"/>
            </w:tcBorders>
          </w:tcPr>
          <w:p w14:paraId="62FDA48E" w14:textId="4E071205" w:rsidR="006F3BD3" w:rsidRDefault="006F3BD3" w:rsidP="006A606C">
            <w:pPr>
              <w:widowControl/>
              <w:ind w:left="630"/>
              <w:jc w:val="center"/>
              <w:rPr>
                <w:sz w:val="20"/>
                <w:szCs w:val="20"/>
              </w:rPr>
            </w:pPr>
          </w:p>
        </w:tc>
        <w:tc>
          <w:tcPr>
            <w:tcW w:w="1780" w:type="dxa"/>
            <w:tcBorders>
              <w:top w:val="single" w:sz="4" w:space="0" w:color="auto"/>
              <w:bottom w:val="single" w:sz="4" w:space="0" w:color="auto"/>
              <w:right w:val="single" w:sz="12" w:space="0" w:color="auto"/>
            </w:tcBorders>
          </w:tcPr>
          <w:p w14:paraId="379EBD98" w14:textId="70281DAB" w:rsidR="006F3BD3" w:rsidRPr="00DE2D33" w:rsidRDefault="006F3BD3" w:rsidP="006A606C">
            <w:pPr>
              <w:widowControl/>
              <w:ind w:left="630"/>
              <w:jc w:val="center"/>
              <w:rPr>
                <w:sz w:val="20"/>
                <w:szCs w:val="20"/>
              </w:rPr>
            </w:pPr>
          </w:p>
        </w:tc>
      </w:tr>
      <w:tr w:rsidR="006F3BD3" w:rsidRPr="00DE2D33" w14:paraId="70D01821" w14:textId="77777777" w:rsidTr="006F3BD3">
        <w:tc>
          <w:tcPr>
            <w:tcW w:w="2783" w:type="dxa"/>
            <w:tcBorders>
              <w:top w:val="single" w:sz="4" w:space="0" w:color="auto"/>
              <w:left w:val="single" w:sz="12" w:space="0" w:color="auto"/>
              <w:bottom w:val="single" w:sz="4" w:space="0" w:color="auto"/>
              <w:right w:val="single" w:sz="4" w:space="0" w:color="auto"/>
            </w:tcBorders>
          </w:tcPr>
          <w:p w14:paraId="26265F6D" w14:textId="0D1D0592" w:rsidR="006F3BD3" w:rsidRPr="007A4097" w:rsidRDefault="006F3BD3" w:rsidP="006F3BD3">
            <w:pPr>
              <w:widowControl/>
              <w:ind w:left="576"/>
              <w:rPr>
                <w:sz w:val="20"/>
                <w:szCs w:val="20"/>
              </w:rPr>
            </w:pPr>
            <w:r>
              <w:rPr>
                <w:sz w:val="20"/>
                <w:szCs w:val="20"/>
              </w:rPr>
              <w:t>12-17</w:t>
            </w:r>
          </w:p>
        </w:tc>
        <w:tc>
          <w:tcPr>
            <w:tcW w:w="1425" w:type="dxa"/>
            <w:tcBorders>
              <w:top w:val="single" w:sz="4" w:space="0" w:color="auto"/>
              <w:left w:val="single" w:sz="4" w:space="0" w:color="auto"/>
              <w:bottom w:val="single" w:sz="4" w:space="0" w:color="auto"/>
              <w:right w:val="single" w:sz="4" w:space="0" w:color="auto"/>
            </w:tcBorders>
          </w:tcPr>
          <w:p w14:paraId="2927A780" w14:textId="2D6B7866" w:rsidR="006F3BD3" w:rsidRPr="00DE2D33" w:rsidRDefault="006F3BD3" w:rsidP="00D95859">
            <w:pPr>
              <w:widowControl/>
              <w:ind w:left="630"/>
              <w:jc w:val="center"/>
              <w:rPr>
                <w:sz w:val="20"/>
                <w:szCs w:val="20"/>
              </w:rPr>
            </w:pPr>
            <w:r>
              <w:rPr>
                <w:sz w:val="20"/>
                <w:szCs w:val="20"/>
              </w:rPr>
              <w:t>1</w:t>
            </w:r>
          </w:p>
        </w:tc>
        <w:tc>
          <w:tcPr>
            <w:tcW w:w="1425" w:type="dxa"/>
            <w:tcBorders>
              <w:top w:val="single" w:sz="4" w:space="0" w:color="auto"/>
              <w:left w:val="single" w:sz="4" w:space="0" w:color="auto"/>
              <w:bottom w:val="single" w:sz="4" w:space="0" w:color="auto"/>
              <w:right w:val="single" w:sz="4" w:space="0" w:color="auto"/>
            </w:tcBorders>
          </w:tcPr>
          <w:p w14:paraId="7151973D" w14:textId="0EF6AA0A" w:rsidR="006F3BD3" w:rsidRPr="00DE2D33" w:rsidRDefault="006F3BD3" w:rsidP="00D95859">
            <w:pPr>
              <w:widowControl/>
              <w:ind w:left="630"/>
              <w:jc w:val="center"/>
              <w:rPr>
                <w:sz w:val="20"/>
                <w:szCs w:val="20"/>
              </w:rPr>
            </w:pPr>
            <w:r>
              <w:rPr>
                <w:sz w:val="20"/>
                <w:szCs w:val="20"/>
              </w:rPr>
              <w:t>1</w:t>
            </w:r>
          </w:p>
        </w:tc>
        <w:tc>
          <w:tcPr>
            <w:tcW w:w="1425" w:type="dxa"/>
            <w:tcBorders>
              <w:top w:val="single" w:sz="4" w:space="0" w:color="auto"/>
              <w:left w:val="single" w:sz="4" w:space="0" w:color="auto"/>
              <w:bottom w:val="single" w:sz="4" w:space="0" w:color="auto"/>
              <w:right w:val="single" w:sz="4" w:space="0" w:color="auto"/>
            </w:tcBorders>
          </w:tcPr>
          <w:p w14:paraId="6223F2C6" w14:textId="27E5F1F7" w:rsidR="006F3BD3" w:rsidRDefault="006F3BD3" w:rsidP="00D95859">
            <w:pPr>
              <w:widowControl/>
              <w:ind w:left="630"/>
              <w:jc w:val="center"/>
              <w:rPr>
                <w:sz w:val="20"/>
                <w:szCs w:val="20"/>
              </w:rPr>
            </w:pPr>
            <w:r>
              <w:rPr>
                <w:sz w:val="20"/>
                <w:szCs w:val="20"/>
              </w:rPr>
              <w:t>1</w:t>
            </w:r>
          </w:p>
        </w:tc>
        <w:tc>
          <w:tcPr>
            <w:tcW w:w="1780" w:type="dxa"/>
            <w:tcBorders>
              <w:top w:val="single" w:sz="4" w:space="0" w:color="auto"/>
              <w:left w:val="single" w:sz="4" w:space="0" w:color="auto"/>
              <w:bottom w:val="single" w:sz="4" w:space="0" w:color="auto"/>
              <w:right w:val="single" w:sz="12" w:space="0" w:color="auto"/>
            </w:tcBorders>
          </w:tcPr>
          <w:p w14:paraId="18257A43" w14:textId="3B804A47" w:rsidR="006F3BD3" w:rsidRPr="00DE2D33" w:rsidRDefault="006F3BD3" w:rsidP="00D95859">
            <w:pPr>
              <w:widowControl/>
              <w:ind w:left="630"/>
              <w:jc w:val="center"/>
              <w:rPr>
                <w:sz w:val="20"/>
                <w:szCs w:val="20"/>
              </w:rPr>
            </w:pPr>
            <w:r>
              <w:rPr>
                <w:sz w:val="20"/>
                <w:szCs w:val="20"/>
              </w:rPr>
              <w:t>3</w:t>
            </w:r>
          </w:p>
        </w:tc>
      </w:tr>
      <w:tr w:rsidR="006F3BD3" w:rsidRPr="00DE2D33" w14:paraId="687FDC5F" w14:textId="77777777" w:rsidTr="006F3BD3">
        <w:tc>
          <w:tcPr>
            <w:tcW w:w="2783" w:type="dxa"/>
            <w:tcBorders>
              <w:top w:val="single" w:sz="4" w:space="0" w:color="auto"/>
              <w:left w:val="single" w:sz="12" w:space="0" w:color="auto"/>
              <w:bottom w:val="single" w:sz="12" w:space="0" w:color="auto"/>
              <w:right w:val="single" w:sz="4" w:space="0" w:color="auto"/>
            </w:tcBorders>
          </w:tcPr>
          <w:p w14:paraId="7A3AA83D" w14:textId="43AE4C73" w:rsidR="006F3BD3" w:rsidRPr="007A4097" w:rsidRDefault="006F3BD3" w:rsidP="006F3BD3">
            <w:pPr>
              <w:widowControl/>
              <w:ind w:left="576"/>
              <w:rPr>
                <w:sz w:val="20"/>
                <w:szCs w:val="20"/>
              </w:rPr>
            </w:pPr>
            <w:r>
              <w:rPr>
                <w:sz w:val="20"/>
                <w:szCs w:val="20"/>
              </w:rPr>
              <w:t>18+</w:t>
            </w:r>
          </w:p>
        </w:tc>
        <w:tc>
          <w:tcPr>
            <w:tcW w:w="1425" w:type="dxa"/>
            <w:tcBorders>
              <w:top w:val="single" w:sz="4" w:space="0" w:color="auto"/>
              <w:left w:val="single" w:sz="4" w:space="0" w:color="auto"/>
              <w:bottom w:val="single" w:sz="12" w:space="0" w:color="auto"/>
              <w:right w:val="single" w:sz="4" w:space="0" w:color="auto"/>
            </w:tcBorders>
          </w:tcPr>
          <w:p w14:paraId="37552EE9" w14:textId="10B7BCA2" w:rsidR="006F3BD3" w:rsidRPr="00DE2D33" w:rsidRDefault="006F3BD3" w:rsidP="00D95859">
            <w:pPr>
              <w:widowControl/>
              <w:ind w:left="630"/>
              <w:jc w:val="center"/>
              <w:rPr>
                <w:sz w:val="20"/>
                <w:szCs w:val="20"/>
              </w:rPr>
            </w:pPr>
            <w:r>
              <w:rPr>
                <w:sz w:val="20"/>
                <w:szCs w:val="20"/>
              </w:rPr>
              <w:t>2</w:t>
            </w:r>
          </w:p>
        </w:tc>
        <w:tc>
          <w:tcPr>
            <w:tcW w:w="1425" w:type="dxa"/>
            <w:tcBorders>
              <w:top w:val="single" w:sz="4" w:space="0" w:color="auto"/>
              <w:left w:val="single" w:sz="4" w:space="0" w:color="auto"/>
              <w:bottom w:val="single" w:sz="12" w:space="0" w:color="auto"/>
              <w:right w:val="single" w:sz="4" w:space="0" w:color="auto"/>
            </w:tcBorders>
          </w:tcPr>
          <w:p w14:paraId="59F57922" w14:textId="73CC590E" w:rsidR="006F3BD3" w:rsidRPr="00DE2D33" w:rsidRDefault="006F3BD3" w:rsidP="00D95859">
            <w:pPr>
              <w:widowControl/>
              <w:ind w:left="630"/>
              <w:jc w:val="center"/>
              <w:rPr>
                <w:sz w:val="20"/>
                <w:szCs w:val="20"/>
              </w:rPr>
            </w:pPr>
            <w:r>
              <w:rPr>
                <w:sz w:val="20"/>
                <w:szCs w:val="20"/>
              </w:rPr>
              <w:t>4</w:t>
            </w:r>
          </w:p>
        </w:tc>
        <w:tc>
          <w:tcPr>
            <w:tcW w:w="1425" w:type="dxa"/>
            <w:tcBorders>
              <w:top w:val="single" w:sz="4" w:space="0" w:color="auto"/>
              <w:left w:val="single" w:sz="4" w:space="0" w:color="auto"/>
              <w:bottom w:val="single" w:sz="12" w:space="0" w:color="auto"/>
              <w:right w:val="single" w:sz="4" w:space="0" w:color="auto"/>
            </w:tcBorders>
          </w:tcPr>
          <w:p w14:paraId="3934FB0C" w14:textId="018175DC" w:rsidR="006F3BD3" w:rsidRDefault="006F3BD3" w:rsidP="00D95859">
            <w:pPr>
              <w:widowControl/>
              <w:ind w:left="630"/>
              <w:jc w:val="center"/>
              <w:rPr>
                <w:sz w:val="20"/>
                <w:szCs w:val="20"/>
              </w:rPr>
            </w:pPr>
            <w:r>
              <w:rPr>
                <w:sz w:val="20"/>
                <w:szCs w:val="20"/>
              </w:rPr>
              <w:t>4</w:t>
            </w:r>
          </w:p>
        </w:tc>
        <w:tc>
          <w:tcPr>
            <w:tcW w:w="1780" w:type="dxa"/>
            <w:tcBorders>
              <w:top w:val="single" w:sz="4" w:space="0" w:color="auto"/>
              <w:left w:val="single" w:sz="4" w:space="0" w:color="auto"/>
              <w:bottom w:val="single" w:sz="12" w:space="0" w:color="auto"/>
              <w:right w:val="single" w:sz="12" w:space="0" w:color="auto"/>
            </w:tcBorders>
          </w:tcPr>
          <w:p w14:paraId="408FD234" w14:textId="5E93317E" w:rsidR="006F3BD3" w:rsidRPr="00DE2D33" w:rsidRDefault="006F3BD3" w:rsidP="00D95859">
            <w:pPr>
              <w:widowControl/>
              <w:ind w:left="630"/>
              <w:jc w:val="center"/>
              <w:rPr>
                <w:sz w:val="20"/>
                <w:szCs w:val="20"/>
              </w:rPr>
            </w:pPr>
            <w:r>
              <w:rPr>
                <w:sz w:val="20"/>
                <w:szCs w:val="20"/>
              </w:rPr>
              <w:t>10</w:t>
            </w:r>
          </w:p>
        </w:tc>
      </w:tr>
    </w:tbl>
    <w:p w14:paraId="62FE641C" w14:textId="77777777" w:rsidR="00AB3ABE" w:rsidRDefault="006774F7" w:rsidP="006774F7">
      <w:pPr>
        <w:pStyle w:val="BodyText"/>
        <w:tabs>
          <w:tab w:val="left" w:pos="634"/>
        </w:tabs>
        <w:spacing w:after="0"/>
        <w:ind w:left="630" w:hanging="634"/>
      </w:pPr>
      <w:r>
        <w:tab/>
      </w:r>
    </w:p>
    <w:p w14:paraId="4CABAD29" w14:textId="2AE4881D" w:rsidR="005C398B" w:rsidRPr="00242B45" w:rsidRDefault="00AB3ABE" w:rsidP="00242B45">
      <w:pPr>
        <w:pStyle w:val="BodyText"/>
        <w:tabs>
          <w:tab w:val="left" w:pos="634"/>
        </w:tabs>
        <w:spacing w:after="0"/>
        <w:ind w:left="630" w:hanging="634"/>
      </w:pPr>
      <w:r>
        <w:tab/>
      </w:r>
      <w:r w:rsidR="00242B45" w:rsidRPr="00242B45">
        <w:rPr>
          <w:b/>
        </w:rPr>
        <w:t>Youth:</w:t>
      </w:r>
      <w:r w:rsidR="00242B45">
        <w:t xml:space="preserve">  </w:t>
      </w:r>
      <w:r w:rsidR="001A12C7">
        <w:t>English-speaking</w:t>
      </w:r>
      <w:r w:rsidR="00E52C88">
        <w:t xml:space="preserve"> p</w:t>
      </w:r>
      <w:r w:rsidR="007A4097">
        <w:t xml:space="preserve">articipants </w:t>
      </w:r>
      <w:r w:rsidR="005C398B">
        <w:t xml:space="preserve">aged 12 to </w:t>
      </w:r>
      <w:r w:rsidR="00E30659">
        <w:t xml:space="preserve">17 years old </w:t>
      </w:r>
      <w:r w:rsidR="007A4097">
        <w:t>will be recruited from outpatient drug treatment centers in the relevant geographic areas</w:t>
      </w:r>
      <w:r w:rsidR="003968C8">
        <w:t xml:space="preserve"> surrounding Research Triangle Park, NC, Washington, DC, Chicago, IL and Portland, OR</w:t>
      </w:r>
      <w:r w:rsidR="00F65A70">
        <w:t xml:space="preserve">. </w:t>
      </w:r>
      <w:r w:rsidR="00B55DA4">
        <w:t>Contractor</w:t>
      </w:r>
      <w:r w:rsidR="00F65A70">
        <w:t xml:space="preserve"> staff will contact the treatment centers via email, telephone or in person. Staff will explain the purpose of the study and provide any additional details about NSDUH, SAMHSA or the cognitive interviews as requested. </w:t>
      </w:r>
      <w:r w:rsidR="00B55DA4">
        <w:t>Contractor</w:t>
      </w:r>
      <w:r w:rsidR="003832A6">
        <w:t xml:space="preserve"> staff will ask treatment center staff to identify adolescents who meet the eligibility criteria (past 12 month users of alcohol, marijuana or other drugs), and provide these individuals wi</w:t>
      </w:r>
      <w:r>
        <w:t>th a copy of the advertisement (</w:t>
      </w:r>
      <w:r w:rsidR="003832A6">
        <w:t>Attachment A</w:t>
      </w:r>
      <w:r>
        <w:t>)</w:t>
      </w:r>
      <w:r w:rsidR="00722D4E">
        <w:t>, which references the $40 incentive</w:t>
      </w:r>
      <w:r w:rsidR="003832A6">
        <w:t xml:space="preserve">. Interested adolescents can then call the number provided and complete a brief telephone </w:t>
      </w:r>
      <w:r>
        <w:t>screener to verify eligibility (</w:t>
      </w:r>
      <w:r w:rsidR="003832A6">
        <w:t xml:space="preserve">Attachment </w:t>
      </w:r>
      <w:r>
        <w:t>C)</w:t>
      </w:r>
      <w:r w:rsidR="003832A6">
        <w:t>.</w:t>
      </w:r>
      <w:r w:rsidR="002E738B">
        <w:t xml:space="preserve"> Prior to completing the telephone screener with the adolescents, recruiters will obtain consent to complete the screener from a parent or guardian.</w:t>
      </w:r>
      <w:r w:rsidR="00E30659">
        <w:t xml:space="preserve"> </w:t>
      </w:r>
      <w:r w:rsidR="005C398B">
        <w:rPr>
          <w:rFonts w:ascii="Times New Roman" w:hAnsi="Times New Roman"/>
        </w:rPr>
        <w:t>Because adolescents are required to have parental consent to participate, and must have used substances in the past 12 months, all adolescents will be recruited from drug treatment facilities. This will allow us to access a population where parents are aware of the youth’s illicit substance use.</w:t>
      </w:r>
    </w:p>
    <w:p w14:paraId="7CA1AF4E" w14:textId="77777777" w:rsidR="00242B45" w:rsidRDefault="00242B45" w:rsidP="006774F7">
      <w:pPr>
        <w:pStyle w:val="BodyText"/>
        <w:tabs>
          <w:tab w:val="left" w:pos="634"/>
        </w:tabs>
        <w:spacing w:after="0"/>
        <w:ind w:left="630" w:hanging="634"/>
        <w:rPr>
          <w:rFonts w:ascii="Times New Roman" w:hAnsi="Times New Roman"/>
        </w:rPr>
      </w:pPr>
    </w:p>
    <w:p w14:paraId="19F67368" w14:textId="318E8F2C" w:rsidR="00242B45" w:rsidRDefault="00242B45" w:rsidP="00242B45">
      <w:pPr>
        <w:pStyle w:val="BodyText"/>
        <w:tabs>
          <w:tab w:val="left" w:pos="634"/>
        </w:tabs>
        <w:spacing w:after="0"/>
        <w:ind w:left="630"/>
      </w:pPr>
      <w:r>
        <w:lastRenderedPageBreak/>
        <w:t>Contractor staff will also ask if a private room can be provided at the facility to conduct interviews. Adolescents will be required to have a parent or guardian accompany them to the interview.</w:t>
      </w:r>
    </w:p>
    <w:p w14:paraId="711EC97F" w14:textId="77777777" w:rsidR="00E30659" w:rsidRDefault="00E30659" w:rsidP="006774F7">
      <w:pPr>
        <w:pStyle w:val="BodyText"/>
        <w:tabs>
          <w:tab w:val="left" w:pos="634"/>
        </w:tabs>
        <w:spacing w:after="0"/>
        <w:ind w:left="630" w:hanging="634"/>
      </w:pPr>
    </w:p>
    <w:p w14:paraId="4D3429EA" w14:textId="206C2624" w:rsidR="00242B45" w:rsidRDefault="00E30659" w:rsidP="00722D4E">
      <w:pPr>
        <w:pStyle w:val="BodyText"/>
        <w:tabs>
          <w:tab w:val="left" w:pos="634"/>
        </w:tabs>
        <w:spacing w:after="0"/>
        <w:ind w:left="630" w:hanging="634"/>
      </w:pPr>
      <w:r>
        <w:tab/>
      </w:r>
      <w:r w:rsidR="00242B45" w:rsidRPr="00242B45">
        <w:rPr>
          <w:b/>
        </w:rPr>
        <w:t>Adults:</w:t>
      </w:r>
      <w:r w:rsidR="00242B45">
        <w:t xml:space="preserve">  </w:t>
      </w:r>
      <w:r>
        <w:t xml:space="preserve">English-speaking adult participants will be recruited from </w:t>
      </w:r>
      <w:r w:rsidR="00722D4E">
        <w:t xml:space="preserve">a variety of sources including </w:t>
      </w:r>
      <w:r>
        <w:t>outpatient drug treatment centers in the relevant geographic areas</w:t>
      </w:r>
      <w:r w:rsidR="007A4097">
        <w:t xml:space="preserve">, from </w:t>
      </w:r>
      <w:r w:rsidR="002C3826">
        <w:t xml:space="preserve">advertisements posted in </w:t>
      </w:r>
      <w:r w:rsidR="007A4097">
        <w:t>the classified sections of internet sites</w:t>
      </w:r>
      <w:r>
        <w:t>, and from advertisements playing on the radio</w:t>
      </w:r>
      <w:r w:rsidR="0065003C">
        <w:t xml:space="preserve"> </w:t>
      </w:r>
      <w:r w:rsidR="00AB3ABE">
        <w:t>(</w:t>
      </w:r>
      <w:r w:rsidR="0065003C">
        <w:t>Attachment A</w:t>
      </w:r>
      <w:r w:rsidR="00AB3ABE">
        <w:t>)</w:t>
      </w:r>
      <w:r w:rsidR="00722D4E">
        <w:t>. All recruitment advertisements reference the $40 incentive</w:t>
      </w:r>
      <w:r w:rsidR="007A4097">
        <w:t xml:space="preserve">. </w:t>
      </w:r>
      <w:r w:rsidR="00242B45">
        <w:t>Participants who are recruited from outpatient substance abuse treatment programs will be given the option to be interviewed on-site at their program</w:t>
      </w:r>
      <w:r w:rsidR="00722D4E">
        <w:t>,</w:t>
      </w:r>
      <w:r w:rsidR="006A7D1D">
        <w:t xml:space="preserve"> </w:t>
      </w:r>
      <w:r w:rsidR="00242B45">
        <w:t>at a nearby Contractor’s office (in Research Triangle Park, NC; Washington, DC; or Chicago, IL)</w:t>
      </w:r>
      <w:r w:rsidR="00722D4E">
        <w:t>, or in a private location such as a private room in a public library or community center</w:t>
      </w:r>
      <w:r w:rsidR="00242B45">
        <w:t xml:space="preserve">. </w:t>
      </w:r>
    </w:p>
    <w:p w14:paraId="1DC1E344" w14:textId="77777777" w:rsidR="00242B45" w:rsidRDefault="00242B45" w:rsidP="006774F7">
      <w:pPr>
        <w:pStyle w:val="BodyText"/>
        <w:tabs>
          <w:tab w:val="left" w:pos="634"/>
        </w:tabs>
        <w:spacing w:after="0"/>
        <w:ind w:left="630" w:hanging="634"/>
      </w:pPr>
    </w:p>
    <w:p w14:paraId="07914DF3" w14:textId="26FA836B" w:rsidR="00242B45" w:rsidRDefault="007A4097" w:rsidP="00CC7C81">
      <w:pPr>
        <w:pStyle w:val="BodyText"/>
        <w:tabs>
          <w:tab w:val="left" w:pos="634"/>
        </w:tabs>
        <w:spacing w:after="0"/>
        <w:ind w:left="630"/>
      </w:pPr>
      <w:r>
        <w:t>If these methods fail to produce adequate numbers</w:t>
      </w:r>
      <w:r w:rsidR="00E30659">
        <w:t xml:space="preserve"> of adult participants</w:t>
      </w:r>
      <w:r w:rsidR="00722D4E">
        <w:t xml:space="preserve"> as described in Table 3</w:t>
      </w:r>
      <w:r>
        <w:t xml:space="preserve">, </w:t>
      </w:r>
      <w:r w:rsidR="00B55DA4">
        <w:t xml:space="preserve">the Contractor </w:t>
      </w:r>
      <w:r>
        <w:t xml:space="preserve">will place newspaper ads or distribute flyers in other locations (e.g., medical clinics, student unions) after having received appropriate permissions. </w:t>
      </w:r>
      <w:r w:rsidR="00242B45">
        <w:t xml:space="preserve">Participants who are recruited from these </w:t>
      </w:r>
      <w:r w:rsidR="00CC7C81">
        <w:t xml:space="preserve">sources </w:t>
      </w:r>
      <w:r w:rsidR="00242B45">
        <w:t xml:space="preserve">will be interviewed at the Contractor’s offices or a private location </w:t>
      </w:r>
      <w:r w:rsidR="00CC7C81">
        <w:t>such as a private room in a public library or community center.</w:t>
      </w:r>
      <w:r w:rsidR="00242B45">
        <w:t>.</w:t>
      </w:r>
    </w:p>
    <w:p w14:paraId="2A81E73C" w14:textId="77777777" w:rsidR="00242B45" w:rsidRDefault="00242B45" w:rsidP="00242B45">
      <w:pPr>
        <w:pStyle w:val="BodyText"/>
        <w:tabs>
          <w:tab w:val="left" w:pos="634"/>
        </w:tabs>
        <w:spacing w:after="0"/>
        <w:ind w:left="630"/>
      </w:pPr>
    </w:p>
    <w:p w14:paraId="4524F18A" w14:textId="6C6826C9" w:rsidR="002C3826" w:rsidRDefault="007A4097" w:rsidP="00242B45">
      <w:pPr>
        <w:pStyle w:val="BodyText"/>
        <w:tabs>
          <w:tab w:val="left" w:pos="634"/>
        </w:tabs>
        <w:spacing w:after="0"/>
        <w:ind w:left="630"/>
      </w:pPr>
      <w:r>
        <w:t>Individuals who responded to the recruitment in Round 1 or Round 2 but were placed on a waiting list could still be eligible to be interviewed in a subsequent</w:t>
      </w:r>
      <w:r w:rsidR="00D95F52">
        <w:t xml:space="preserve"> round</w:t>
      </w:r>
      <w:r w:rsidR="00CC20D1">
        <w:t>. They will be rescreened to verify they are past 12 month substance users</w:t>
      </w:r>
      <w:r>
        <w:t>.</w:t>
      </w:r>
      <w:r w:rsidR="002C3826" w:rsidRPr="002C3826">
        <w:t xml:space="preserve"> </w:t>
      </w:r>
    </w:p>
    <w:p w14:paraId="1A6702FD" w14:textId="62DAAED1" w:rsidR="003E7874" w:rsidRDefault="003E7874" w:rsidP="006774F7">
      <w:pPr>
        <w:pStyle w:val="BodyText"/>
        <w:tabs>
          <w:tab w:val="left" w:pos="634"/>
        </w:tabs>
        <w:spacing w:after="0"/>
        <w:ind w:left="630" w:hanging="634"/>
      </w:pPr>
    </w:p>
    <w:p w14:paraId="2200539C" w14:textId="47B83D8D" w:rsidR="003E7874" w:rsidRPr="003E7874" w:rsidRDefault="002C3826" w:rsidP="006774F7">
      <w:pPr>
        <w:pStyle w:val="BodyText"/>
        <w:tabs>
          <w:tab w:val="left" w:pos="634"/>
        </w:tabs>
        <w:spacing w:after="0"/>
        <w:ind w:left="630" w:hanging="634"/>
        <w:rPr>
          <w:b/>
          <w:bCs/>
        </w:rPr>
      </w:pPr>
      <w:r>
        <w:tab/>
      </w:r>
      <w:r w:rsidR="003832A6">
        <w:tab/>
      </w:r>
      <w:r w:rsidR="003E7874" w:rsidRPr="003E7874">
        <w:rPr>
          <w:b/>
          <w:bCs/>
        </w:rPr>
        <w:t>Spanish-speaking participants</w:t>
      </w:r>
    </w:p>
    <w:p w14:paraId="09B0B865" w14:textId="1F42626D" w:rsidR="002C3826" w:rsidRDefault="003E7874" w:rsidP="006774F7">
      <w:pPr>
        <w:pStyle w:val="BodyText"/>
        <w:tabs>
          <w:tab w:val="left" w:pos="634"/>
        </w:tabs>
        <w:spacing w:after="0"/>
        <w:ind w:left="630" w:hanging="634"/>
      </w:pPr>
      <w:r>
        <w:tab/>
      </w:r>
      <w:r w:rsidR="001A12C7">
        <w:t xml:space="preserve">Spanish-speaking participants will be recruited from </w:t>
      </w:r>
      <w:r w:rsidR="00696524">
        <w:t xml:space="preserve">outpatient treatment centers and </w:t>
      </w:r>
      <w:r w:rsidR="001A12C7">
        <w:t xml:space="preserve">Hispanic community center organizations and </w:t>
      </w:r>
      <w:r w:rsidR="003968C8">
        <w:t xml:space="preserve">via </w:t>
      </w:r>
      <w:r w:rsidR="001A12C7">
        <w:t>word of mouth. If these methods fail to produce adequate numbers</w:t>
      </w:r>
      <w:r w:rsidR="00696524">
        <w:t xml:space="preserve"> as described in Table 4</w:t>
      </w:r>
      <w:r w:rsidR="001A12C7">
        <w:t xml:space="preserve">, </w:t>
      </w:r>
      <w:r w:rsidR="00B55DA4">
        <w:t xml:space="preserve">the Contractor </w:t>
      </w:r>
      <w:r w:rsidR="001A12C7">
        <w:t>will place newspaper ads or distribute flyers in other locations (e.g., medical clinics, student unions) after having received appropriate permissions.</w:t>
      </w:r>
      <w:r w:rsidR="00CC20D1">
        <w:t xml:space="preserve"> </w:t>
      </w:r>
      <w:r w:rsidR="00046DE1">
        <w:t>These advertisements will reference the $40 incentive for participation.</w:t>
      </w:r>
    </w:p>
    <w:p w14:paraId="5B9EA433" w14:textId="77777777" w:rsidR="002C3826" w:rsidRDefault="002C3826" w:rsidP="006774F7">
      <w:pPr>
        <w:pStyle w:val="BodyText"/>
        <w:tabs>
          <w:tab w:val="left" w:pos="634"/>
        </w:tabs>
        <w:spacing w:after="0"/>
        <w:ind w:left="630" w:hanging="634"/>
      </w:pPr>
    </w:p>
    <w:p w14:paraId="700E2A7E" w14:textId="3B95E036" w:rsidR="002C3826" w:rsidRDefault="002C3826" w:rsidP="00696524">
      <w:pPr>
        <w:pStyle w:val="BodyText"/>
        <w:tabs>
          <w:tab w:val="left" w:pos="634"/>
        </w:tabs>
        <w:spacing w:after="0"/>
        <w:ind w:left="630" w:hanging="634"/>
      </w:pPr>
      <w:r>
        <w:tab/>
        <w:t xml:space="preserve">Interviews with Spanish-speaking participants will only be </w:t>
      </w:r>
      <w:r w:rsidR="005E417A">
        <w:t>recruited for</w:t>
      </w:r>
      <w:r>
        <w:t xml:space="preserve"> Rounds 2 and 3. </w:t>
      </w:r>
      <w:r w:rsidR="00B55DA4">
        <w:t xml:space="preserve">The Contractor </w:t>
      </w:r>
      <w:r>
        <w:t xml:space="preserve">will </w:t>
      </w:r>
      <w:r w:rsidR="00696524">
        <w:t xml:space="preserve">conduct Round 2 interviews in the </w:t>
      </w:r>
      <w:r w:rsidR="003D0319">
        <w:t>Research Triangle Park</w:t>
      </w:r>
      <w:r>
        <w:t>, NC area</w:t>
      </w:r>
      <w:r w:rsidR="00696524">
        <w:t>. Round 3 interviews will be conducted in Chicago, IL</w:t>
      </w:r>
      <w:r>
        <w:t>. If needed, alternate geographic locations such as Miami</w:t>
      </w:r>
      <w:r w:rsidR="003D0319">
        <w:t>, FL</w:t>
      </w:r>
      <w:r>
        <w:t xml:space="preserve"> may be used to recruit </w:t>
      </w:r>
      <w:r w:rsidR="005E417A">
        <w:t>additional Spanish-speaking participants</w:t>
      </w:r>
      <w:r>
        <w:t xml:space="preserve">. Participants will be interviewed at </w:t>
      </w:r>
      <w:r w:rsidR="00B55DA4">
        <w:t xml:space="preserve">the Contractor’s </w:t>
      </w:r>
      <w:r>
        <w:t>offices</w:t>
      </w:r>
      <w:r w:rsidR="00696524">
        <w:t xml:space="preserve"> or a private location such as a private room in a public library or community center</w:t>
      </w:r>
      <w:r w:rsidR="005E417A">
        <w:t>.</w:t>
      </w:r>
      <w:r>
        <w:t xml:space="preserve"> </w:t>
      </w:r>
    </w:p>
    <w:p w14:paraId="6A81082D" w14:textId="77777777" w:rsidR="002C3826" w:rsidRDefault="002C3826" w:rsidP="006774F7">
      <w:pPr>
        <w:pStyle w:val="BodyText"/>
        <w:tabs>
          <w:tab w:val="left" w:pos="634"/>
        </w:tabs>
        <w:spacing w:after="0"/>
        <w:ind w:left="630" w:hanging="634"/>
      </w:pPr>
    </w:p>
    <w:p w14:paraId="73238F78" w14:textId="64ECE591" w:rsidR="002C3826" w:rsidRDefault="002C3826" w:rsidP="006774F7">
      <w:pPr>
        <w:pStyle w:val="BodyText"/>
        <w:tabs>
          <w:tab w:val="left" w:pos="634"/>
        </w:tabs>
        <w:spacing w:after="0"/>
        <w:ind w:left="630" w:hanging="634"/>
      </w:pPr>
      <w:r>
        <w:tab/>
        <w:t>Spanish-speaking participants must meet the criteria for alcohol use, marijuana use, or at least one other substance in the past 12 months. Eligibility targets will seek approximately 50</w:t>
      </w:r>
      <w:r w:rsidR="00B55DA4">
        <w:t xml:space="preserve"> percent</w:t>
      </w:r>
      <w:r>
        <w:t xml:space="preserve"> marijuana users so that participants will be routed to the new marijuana withdrawal items during the interview.</w:t>
      </w:r>
    </w:p>
    <w:p w14:paraId="3643E8BA" w14:textId="77777777" w:rsidR="001A12C7" w:rsidRDefault="001A12C7" w:rsidP="006774F7">
      <w:pPr>
        <w:pStyle w:val="BodyText"/>
        <w:spacing w:after="0"/>
        <w:ind w:left="630"/>
        <w:rPr>
          <w:rFonts w:ascii="Times New Roman" w:hAnsi="Times New Roman"/>
        </w:rPr>
      </w:pPr>
    </w:p>
    <w:p w14:paraId="66440468" w14:textId="77777777" w:rsidR="002C3826" w:rsidRDefault="002C3826" w:rsidP="006774F7">
      <w:pPr>
        <w:pStyle w:val="BodyText"/>
        <w:tabs>
          <w:tab w:val="left" w:pos="634"/>
        </w:tabs>
        <w:spacing w:after="0"/>
        <w:ind w:left="630" w:hanging="634"/>
      </w:pPr>
      <w:r>
        <w:tab/>
        <w:t>Table 4 shows the sample targets for Spanish-speaking participants in each round of cognitive interviewing.</w:t>
      </w:r>
    </w:p>
    <w:p w14:paraId="7AA39BDA" w14:textId="77777777" w:rsidR="00B636F5" w:rsidRDefault="00B636F5" w:rsidP="006774F7">
      <w:pPr>
        <w:pStyle w:val="BodyText"/>
        <w:tabs>
          <w:tab w:val="left" w:pos="634"/>
        </w:tabs>
        <w:spacing w:after="0"/>
        <w:ind w:left="630" w:hanging="634"/>
      </w:pPr>
    </w:p>
    <w:p w14:paraId="719EE677" w14:textId="77777777" w:rsidR="00B636F5" w:rsidRDefault="00B636F5" w:rsidP="006774F7">
      <w:pPr>
        <w:pStyle w:val="BodyText"/>
        <w:tabs>
          <w:tab w:val="left" w:pos="634"/>
        </w:tabs>
        <w:spacing w:after="0"/>
        <w:ind w:left="630" w:hanging="634"/>
      </w:pPr>
    </w:p>
    <w:p w14:paraId="77FC4F33" w14:textId="77777777" w:rsidR="00B636F5" w:rsidRDefault="00B636F5" w:rsidP="006774F7">
      <w:pPr>
        <w:pStyle w:val="BodyText"/>
        <w:tabs>
          <w:tab w:val="left" w:pos="634"/>
        </w:tabs>
        <w:spacing w:after="0"/>
        <w:ind w:left="630" w:hanging="634"/>
      </w:pPr>
    </w:p>
    <w:p w14:paraId="25774DFE" w14:textId="77777777" w:rsidR="00B636F5" w:rsidRDefault="00B636F5" w:rsidP="006774F7">
      <w:pPr>
        <w:pStyle w:val="BodyText"/>
        <w:tabs>
          <w:tab w:val="left" w:pos="634"/>
        </w:tabs>
        <w:spacing w:after="0"/>
        <w:ind w:left="630" w:hanging="634"/>
      </w:pPr>
    </w:p>
    <w:p w14:paraId="6CF7C37E" w14:textId="77777777" w:rsidR="00B636F5" w:rsidRDefault="00B636F5" w:rsidP="006774F7">
      <w:pPr>
        <w:pStyle w:val="BodyText"/>
        <w:tabs>
          <w:tab w:val="left" w:pos="634"/>
        </w:tabs>
        <w:spacing w:after="0"/>
        <w:ind w:left="630" w:hanging="634"/>
      </w:pPr>
    </w:p>
    <w:p w14:paraId="781397C8" w14:textId="77777777" w:rsidR="00B636F5" w:rsidRDefault="00B636F5" w:rsidP="006774F7">
      <w:pPr>
        <w:pStyle w:val="BodyText"/>
        <w:tabs>
          <w:tab w:val="left" w:pos="634"/>
        </w:tabs>
        <w:spacing w:after="0"/>
        <w:ind w:left="630" w:hanging="634"/>
      </w:pPr>
    </w:p>
    <w:p w14:paraId="22B2B9C9" w14:textId="77777777" w:rsidR="00B636F5" w:rsidRDefault="00B636F5" w:rsidP="006774F7">
      <w:pPr>
        <w:pStyle w:val="BodyText"/>
        <w:tabs>
          <w:tab w:val="left" w:pos="634"/>
        </w:tabs>
        <w:spacing w:after="0"/>
        <w:ind w:left="630" w:hanging="634"/>
      </w:pPr>
    </w:p>
    <w:p w14:paraId="3D8E1DAD" w14:textId="77777777" w:rsidR="00B636F5" w:rsidRDefault="00B636F5" w:rsidP="006774F7">
      <w:pPr>
        <w:pStyle w:val="BodyText"/>
        <w:tabs>
          <w:tab w:val="left" w:pos="634"/>
        </w:tabs>
        <w:spacing w:after="0"/>
        <w:ind w:left="630" w:hanging="634"/>
      </w:pPr>
    </w:p>
    <w:p w14:paraId="10153E88" w14:textId="77777777" w:rsidR="00B636F5" w:rsidRDefault="00B636F5" w:rsidP="006774F7">
      <w:pPr>
        <w:pStyle w:val="BodyText"/>
        <w:tabs>
          <w:tab w:val="left" w:pos="634"/>
        </w:tabs>
        <w:spacing w:after="0"/>
        <w:ind w:left="630" w:hanging="634"/>
      </w:pPr>
    </w:p>
    <w:p w14:paraId="5A69E5A4" w14:textId="77777777" w:rsidR="001A12C7" w:rsidRDefault="001A12C7" w:rsidP="006774F7">
      <w:pPr>
        <w:pStyle w:val="BodyText"/>
        <w:tabs>
          <w:tab w:val="left" w:pos="634"/>
        </w:tabs>
        <w:spacing w:after="0"/>
        <w:ind w:left="630" w:hanging="634"/>
      </w:pPr>
    </w:p>
    <w:p w14:paraId="2B9BB8F1" w14:textId="23982198" w:rsidR="001A12C7" w:rsidRDefault="00776174" w:rsidP="006774F7">
      <w:pPr>
        <w:widowControl/>
        <w:tabs>
          <w:tab w:val="left" w:pos="-720"/>
          <w:tab w:val="left" w:pos="1710"/>
        </w:tabs>
        <w:spacing w:after="120"/>
        <w:ind w:left="630" w:hanging="1710"/>
      </w:pPr>
      <w:r>
        <w:rPr>
          <w:b/>
          <w:bCs/>
        </w:rPr>
        <w:tab/>
      </w:r>
      <w:r>
        <w:rPr>
          <w:b/>
          <w:bCs/>
        </w:rPr>
        <w:tab/>
      </w:r>
      <w:r w:rsidR="001A12C7">
        <w:rPr>
          <w:b/>
          <w:bCs/>
        </w:rPr>
        <w:t>Table 4.</w:t>
      </w:r>
      <w:r w:rsidR="001A12C7">
        <w:rPr>
          <w:b/>
          <w:bCs/>
        </w:rPr>
        <w:tab/>
        <w:t xml:space="preserve">Targeted Sample Sizes per </w:t>
      </w:r>
      <w:r w:rsidR="00FA450E">
        <w:rPr>
          <w:b/>
          <w:bCs/>
        </w:rPr>
        <w:t xml:space="preserve">Spanish </w:t>
      </w:r>
      <w:r w:rsidR="001A12C7">
        <w:rPr>
          <w:b/>
          <w:bCs/>
        </w:rPr>
        <w:t>Cognitive Interview Round by Location and Age Group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25"/>
        <w:gridCol w:w="1425"/>
        <w:gridCol w:w="1425"/>
        <w:gridCol w:w="1302"/>
      </w:tblGrid>
      <w:tr w:rsidR="001A12C7" w14:paraId="0C6781AE" w14:textId="77777777" w:rsidTr="00E371B0">
        <w:trPr>
          <w:tblHeader/>
        </w:trPr>
        <w:tc>
          <w:tcPr>
            <w:tcW w:w="3570" w:type="dxa"/>
            <w:vMerge w:val="restart"/>
            <w:tcBorders>
              <w:top w:val="single" w:sz="12" w:space="0" w:color="auto"/>
              <w:left w:val="single" w:sz="12" w:space="0" w:color="auto"/>
            </w:tcBorders>
            <w:vAlign w:val="bottom"/>
          </w:tcPr>
          <w:p w14:paraId="1012D2C4" w14:textId="77777777" w:rsidR="001A12C7" w:rsidRPr="00DE2D33" w:rsidRDefault="001A12C7" w:rsidP="006774F7">
            <w:pPr>
              <w:widowControl/>
              <w:ind w:left="630"/>
              <w:rPr>
                <w:b/>
                <w:bCs/>
                <w:sz w:val="20"/>
                <w:szCs w:val="20"/>
              </w:rPr>
            </w:pPr>
            <w:r w:rsidRPr="00DE2D33">
              <w:rPr>
                <w:b/>
                <w:bCs/>
                <w:sz w:val="20"/>
                <w:szCs w:val="20"/>
              </w:rPr>
              <w:t>Group/Recruitment Source</w:t>
            </w:r>
          </w:p>
        </w:tc>
        <w:tc>
          <w:tcPr>
            <w:tcW w:w="4178" w:type="dxa"/>
            <w:gridSpan w:val="3"/>
            <w:tcBorders>
              <w:top w:val="single" w:sz="12" w:space="0" w:color="auto"/>
            </w:tcBorders>
          </w:tcPr>
          <w:p w14:paraId="3D2C5B2E" w14:textId="77777777" w:rsidR="001A12C7" w:rsidRPr="00DE2D33" w:rsidRDefault="001A12C7" w:rsidP="006774F7">
            <w:pPr>
              <w:widowControl/>
              <w:ind w:left="630"/>
              <w:jc w:val="center"/>
              <w:rPr>
                <w:b/>
                <w:bCs/>
                <w:sz w:val="20"/>
                <w:szCs w:val="20"/>
              </w:rPr>
            </w:pPr>
            <w:r w:rsidRPr="00DE2D33">
              <w:rPr>
                <w:b/>
                <w:bCs/>
                <w:sz w:val="20"/>
                <w:szCs w:val="20"/>
              </w:rPr>
              <w:t>Cognitive Interview Round</w:t>
            </w:r>
          </w:p>
        </w:tc>
        <w:tc>
          <w:tcPr>
            <w:tcW w:w="1090" w:type="dxa"/>
            <w:vMerge w:val="restart"/>
            <w:tcBorders>
              <w:top w:val="single" w:sz="12" w:space="0" w:color="auto"/>
              <w:right w:val="single" w:sz="12" w:space="0" w:color="auto"/>
            </w:tcBorders>
            <w:vAlign w:val="bottom"/>
          </w:tcPr>
          <w:p w14:paraId="69B2D378" w14:textId="77777777" w:rsidR="001A12C7" w:rsidRPr="00DE2D33" w:rsidRDefault="001A12C7" w:rsidP="006774F7">
            <w:pPr>
              <w:widowControl/>
              <w:ind w:left="630"/>
              <w:jc w:val="center"/>
              <w:rPr>
                <w:b/>
                <w:bCs/>
                <w:sz w:val="20"/>
                <w:szCs w:val="20"/>
              </w:rPr>
            </w:pPr>
            <w:r w:rsidRPr="00DE2D33">
              <w:rPr>
                <w:b/>
                <w:bCs/>
                <w:sz w:val="20"/>
                <w:szCs w:val="20"/>
              </w:rPr>
              <w:t>Total</w:t>
            </w:r>
          </w:p>
        </w:tc>
      </w:tr>
      <w:tr w:rsidR="001A12C7" w14:paraId="3BAC3A1A" w14:textId="77777777" w:rsidTr="00E371B0">
        <w:trPr>
          <w:tblHeader/>
        </w:trPr>
        <w:tc>
          <w:tcPr>
            <w:tcW w:w="3570" w:type="dxa"/>
            <w:vMerge/>
            <w:tcBorders>
              <w:left w:val="single" w:sz="12" w:space="0" w:color="auto"/>
              <w:bottom w:val="single" w:sz="12" w:space="0" w:color="auto"/>
            </w:tcBorders>
          </w:tcPr>
          <w:p w14:paraId="79E6B6F1" w14:textId="77777777" w:rsidR="001A12C7" w:rsidRPr="00DE2D33" w:rsidRDefault="001A12C7" w:rsidP="006774F7">
            <w:pPr>
              <w:widowControl/>
              <w:ind w:left="630"/>
              <w:rPr>
                <w:sz w:val="20"/>
                <w:szCs w:val="20"/>
              </w:rPr>
            </w:pPr>
          </w:p>
        </w:tc>
        <w:tc>
          <w:tcPr>
            <w:tcW w:w="1392" w:type="dxa"/>
            <w:tcBorders>
              <w:bottom w:val="single" w:sz="12" w:space="0" w:color="auto"/>
            </w:tcBorders>
          </w:tcPr>
          <w:p w14:paraId="23052760" w14:textId="77777777" w:rsidR="001A12C7" w:rsidRPr="00DE2D33" w:rsidRDefault="001A12C7" w:rsidP="006774F7">
            <w:pPr>
              <w:widowControl/>
              <w:ind w:left="630"/>
              <w:jc w:val="center"/>
              <w:rPr>
                <w:b/>
                <w:bCs/>
                <w:sz w:val="20"/>
                <w:szCs w:val="20"/>
              </w:rPr>
            </w:pPr>
            <w:r w:rsidRPr="00DE2D33">
              <w:rPr>
                <w:b/>
                <w:bCs/>
                <w:sz w:val="20"/>
                <w:szCs w:val="20"/>
              </w:rPr>
              <w:t>Round 1</w:t>
            </w:r>
          </w:p>
        </w:tc>
        <w:tc>
          <w:tcPr>
            <w:tcW w:w="1393" w:type="dxa"/>
            <w:tcBorders>
              <w:bottom w:val="single" w:sz="12" w:space="0" w:color="auto"/>
            </w:tcBorders>
          </w:tcPr>
          <w:p w14:paraId="17C4500A" w14:textId="77777777" w:rsidR="001A12C7" w:rsidRPr="00DE2D33" w:rsidRDefault="001A12C7" w:rsidP="006774F7">
            <w:pPr>
              <w:widowControl/>
              <w:ind w:left="630"/>
              <w:jc w:val="center"/>
              <w:rPr>
                <w:b/>
                <w:bCs/>
                <w:sz w:val="20"/>
                <w:szCs w:val="20"/>
              </w:rPr>
            </w:pPr>
            <w:r w:rsidRPr="00DE2D33">
              <w:rPr>
                <w:b/>
                <w:bCs/>
                <w:sz w:val="20"/>
                <w:szCs w:val="20"/>
              </w:rPr>
              <w:t>Round 2</w:t>
            </w:r>
          </w:p>
        </w:tc>
        <w:tc>
          <w:tcPr>
            <w:tcW w:w="1393" w:type="dxa"/>
            <w:tcBorders>
              <w:bottom w:val="single" w:sz="12" w:space="0" w:color="auto"/>
            </w:tcBorders>
          </w:tcPr>
          <w:p w14:paraId="613F5205" w14:textId="77777777" w:rsidR="001A12C7" w:rsidRPr="00DE2D33" w:rsidRDefault="001A12C7" w:rsidP="006774F7">
            <w:pPr>
              <w:widowControl/>
              <w:ind w:left="630"/>
              <w:jc w:val="center"/>
              <w:rPr>
                <w:b/>
                <w:bCs/>
                <w:sz w:val="20"/>
                <w:szCs w:val="20"/>
              </w:rPr>
            </w:pPr>
            <w:r>
              <w:rPr>
                <w:b/>
                <w:bCs/>
                <w:sz w:val="20"/>
                <w:szCs w:val="20"/>
              </w:rPr>
              <w:t>Round 3</w:t>
            </w:r>
          </w:p>
        </w:tc>
        <w:tc>
          <w:tcPr>
            <w:tcW w:w="1090" w:type="dxa"/>
            <w:vMerge/>
            <w:tcBorders>
              <w:bottom w:val="single" w:sz="12" w:space="0" w:color="auto"/>
              <w:right w:val="single" w:sz="12" w:space="0" w:color="auto"/>
            </w:tcBorders>
          </w:tcPr>
          <w:p w14:paraId="553A611B" w14:textId="77777777" w:rsidR="001A12C7" w:rsidRPr="00DE2D33" w:rsidRDefault="001A12C7" w:rsidP="006774F7">
            <w:pPr>
              <w:widowControl/>
              <w:ind w:left="630"/>
              <w:jc w:val="center"/>
              <w:rPr>
                <w:b/>
                <w:bCs/>
                <w:sz w:val="20"/>
                <w:szCs w:val="20"/>
              </w:rPr>
            </w:pPr>
          </w:p>
        </w:tc>
      </w:tr>
      <w:tr w:rsidR="003832A6" w14:paraId="20663AE1" w14:textId="77777777" w:rsidTr="003832A6">
        <w:tc>
          <w:tcPr>
            <w:tcW w:w="3570" w:type="dxa"/>
            <w:tcBorders>
              <w:top w:val="single" w:sz="12" w:space="0" w:color="auto"/>
              <w:left w:val="single" w:sz="12" w:space="0" w:color="auto"/>
              <w:bottom w:val="single" w:sz="12" w:space="0" w:color="auto"/>
            </w:tcBorders>
          </w:tcPr>
          <w:p w14:paraId="593DC37F" w14:textId="77777777" w:rsidR="003832A6" w:rsidRPr="00DE2D33" w:rsidRDefault="003832A6" w:rsidP="006774F7">
            <w:pPr>
              <w:widowControl/>
              <w:ind w:left="630"/>
              <w:rPr>
                <w:b/>
                <w:bCs/>
                <w:sz w:val="20"/>
                <w:szCs w:val="20"/>
              </w:rPr>
            </w:pPr>
            <w:r w:rsidRPr="00292AB6">
              <w:rPr>
                <w:b/>
                <w:bCs/>
                <w:sz w:val="20"/>
                <w:szCs w:val="20"/>
              </w:rPr>
              <w:t>Total</w:t>
            </w:r>
          </w:p>
        </w:tc>
        <w:tc>
          <w:tcPr>
            <w:tcW w:w="1392" w:type="dxa"/>
            <w:tcBorders>
              <w:top w:val="single" w:sz="12" w:space="0" w:color="auto"/>
              <w:bottom w:val="single" w:sz="12" w:space="0" w:color="auto"/>
            </w:tcBorders>
          </w:tcPr>
          <w:p w14:paraId="3181C6FD" w14:textId="77777777" w:rsidR="003832A6" w:rsidRPr="00DE2D33" w:rsidRDefault="003832A6" w:rsidP="006774F7">
            <w:pPr>
              <w:widowControl/>
              <w:ind w:left="630"/>
              <w:jc w:val="center"/>
              <w:rPr>
                <w:sz w:val="20"/>
                <w:szCs w:val="20"/>
              </w:rPr>
            </w:pPr>
            <w:r>
              <w:rPr>
                <w:sz w:val="20"/>
                <w:szCs w:val="20"/>
              </w:rPr>
              <w:t>0</w:t>
            </w:r>
          </w:p>
        </w:tc>
        <w:tc>
          <w:tcPr>
            <w:tcW w:w="1393" w:type="dxa"/>
            <w:tcBorders>
              <w:top w:val="single" w:sz="12" w:space="0" w:color="auto"/>
              <w:bottom w:val="single" w:sz="12" w:space="0" w:color="auto"/>
            </w:tcBorders>
          </w:tcPr>
          <w:p w14:paraId="5ABBA84F" w14:textId="77777777" w:rsidR="003832A6" w:rsidRPr="00DE2D33" w:rsidRDefault="003832A6" w:rsidP="006774F7">
            <w:pPr>
              <w:widowControl/>
              <w:ind w:left="630"/>
              <w:jc w:val="center"/>
              <w:rPr>
                <w:sz w:val="20"/>
                <w:szCs w:val="20"/>
              </w:rPr>
            </w:pPr>
            <w:r>
              <w:rPr>
                <w:sz w:val="20"/>
                <w:szCs w:val="20"/>
              </w:rPr>
              <w:t>6</w:t>
            </w:r>
          </w:p>
        </w:tc>
        <w:tc>
          <w:tcPr>
            <w:tcW w:w="1393" w:type="dxa"/>
            <w:tcBorders>
              <w:top w:val="single" w:sz="12" w:space="0" w:color="auto"/>
              <w:bottom w:val="single" w:sz="12" w:space="0" w:color="auto"/>
            </w:tcBorders>
          </w:tcPr>
          <w:p w14:paraId="6C34B4B7" w14:textId="77777777" w:rsidR="003832A6" w:rsidRDefault="003832A6" w:rsidP="006774F7">
            <w:pPr>
              <w:widowControl/>
              <w:ind w:left="630"/>
              <w:jc w:val="center"/>
              <w:rPr>
                <w:sz w:val="20"/>
                <w:szCs w:val="20"/>
              </w:rPr>
            </w:pPr>
            <w:r>
              <w:rPr>
                <w:sz w:val="20"/>
                <w:szCs w:val="20"/>
              </w:rPr>
              <w:t>6</w:t>
            </w:r>
          </w:p>
        </w:tc>
        <w:tc>
          <w:tcPr>
            <w:tcW w:w="1090" w:type="dxa"/>
            <w:tcBorders>
              <w:top w:val="single" w:sz="12" w:space="0" w:color="auto"/>
              <w:bottom w:val="single" w:sz="12" w:space="0" w:color="auto"/>
              <w:right w:val="single" w:sz="12" w:space="0" w:color="auto"/>
            </w:tcBorders>
          </w:tcPr>
          <w:p w14:paraId="3D05BE67" w14:textId="3CB1F6A2" w:rsidR="003832A6" w:rsidRPr="00DE2D33" w:rsidRDefault="00A13F62" w:rsidP="006774F7">
            <w:pPr>
              <w:widowControl/>
              <w:ind w:left="630"/>
              <w:jc w:val="center"/>
              <w:rPr>
                <w:sz w:val="20"/>
                <w:szCs w:val="20"/>
              </w:rPr>
            </w:pPr>
            <w:r>
              <w:rPr>
                <w:sz w:val="20"/>
                <w:szCs w:val="20"/>
              </w:rPr>
              <w:t>12</w:t>
            </w:r>
          </w:p>
        </w:tc>
      </w:tr>
      <w:tr w:rsidR="001A12C7" w14:paraId="75743BD3" w14:textId="77777777" w:rsidTr="003832A6">
        <w:tc>
          <w:tcPr>
            <w:tcW w:w="3570" w:type="dxa"/>
            <w:tcBorders>
              <w:top w:val="single" w:sz="12" w:space="0" w:color="auto"/>
              <w:left w:val="single" w:sz="12" w:space="0" w:color="auto"/>
            </w:tcBorders>
          </w:tcPr>
          <w:p w14:paraId="0CED8BD4" w14:textId="77777777" w:rsidR="001A12C7" w:rsidRPr="00DE2D33" w:rsidRDefault="001A12C7" w:rsidP="006774F7">
            <w:pPr>
              <w:widowControl/>
              <w:ind w:left="630"/>
              <w:rPr>
                <w:b/>
                <w:bCs/>
                <w:sz w:val="20"/>
                <w:szCs w:val="20"/>
              </w:rPr>
            </w:pPr>
            <w:r w:rsidRPr="00DE2D33">
              <w:rPr>
                <w:b/>
                <w:bCs/>
                <w:sz w:val="20"/>
                <w:szCs w:val="20"/>
              </w:rPr>
              <w:t>Location</w:t>
            </w:r>
          </w:p>
        </w:tc>
        <w:tc>
          <w:tcPr>
            <w:tcW w:w="1392" w:type="dxa"/>
            <w:tcBorders>
              <w:top w:val="single" w:sz="12" w:space="0" w:color="auto"/>
            </w:tcBorders>
          </w:tcPr>
          <w:p w14:paraId="1019FF70" w14:textId="77777777" w:rsidR="001A12C7" w:rsidRPr="00DE2D33" w:rsidRDefault="001A12C7" w:rsidP="006774F7">
            <w:pPr>
              <w:widowControl/>
              <w:ind w:left="630"/>
              <w:jc w:val="center"/>
              <w:rPr>
                <w:sz w:val="20"/>
                <w:szCs w:val="20"/>
              </w:rPr>
            </w:pPr>
          </w:p>
        </w:tc>
        <w:tc>
          <w:tcPr>
            <w:tcW w:w="1393" w:type="dxa"/>
            <w:tcBorders>
              <w:top w:val="single" w:sz="12" w:space="0" w:color="auto"/>
            </w:tcBorders>
          </w:tcPr>
          <w:p w14:paraId="506920BC" w14:textId="77777777" w:rsidR="001A12C7" w:rsidRPr="00DE2D33" w:rsidRDefault="001A12C7" w:rsidP="006774F7">
            <w:pPr>
              <w:widowControl/>
              <w:ind w:left="630"/>
              <w:jc w:val="center"/>
              <w:rPr>
                <w:sz w:val="20"/>
                <w:szCs w:val="20"/>
              </w:rPr>
            </w:pPr>
          </w:p>
        </w:tc>
        <w:tc>
          <w:tcPr>
            <w:tcW w:w="1393" w:type="dxa"/>
            <w:tcBorders>
              <w:top w:val="single" w:sz="12" w:space="0" w:color="auto"/>
            </w:tcBorders>
          </w:tcPr>
          <w:p w14:paraId="6C19BD36" w14:textId="77777777" w:rsidR="001A12C7" w:rsidRDefault="001A12C7" w:rsidP="006774F7">
            <w:pPr>
              <w:widowControl/>
              <w:ind w:left="630"/>
              <w:jc w:val="center"/>
              <w:rPr>
                <w:sz w:val="20"/>
                <w:szCs w:val="20"/>
              </w:rPr>
            </w:pPr>
          </w:p>
        </w:tc>
        <w:tc>
          <w:tcPr>
            <w:tcW w:w="1090" w:type="dxa"/>
            <w:tcBorders>
              <w:top w:val="single" w:sz="12" w:space="0" w:color="auto"/>
              <w:right w:val="single" w:sz="12" w:space="0" w:color="auto"/>
            </w:tcBorders>
          </w:tcPr>
          <w:p w14:paraId="327CB68E" w14:textId="77777777" w:rsidR="001A12C7" w:rsidRPr="00DE2D33" w:rsidRDefault="001A12C7" w:rsidP="006774F7">
            <w:pPr>
              <w:widowControl/>
              <w:ind w:left="630"/>
              <w:jc w:val="center"/>
              <w:rPr>
                <w:sz w:val="20"/>
                <w:szCs w:val="20"/>
              </w:rPr>
            </w:pPr>
          </w:p>
        </w:tc>
      </w:tr>
      <w:tr w:rsidR="001A12C7" w14:paraId="60B47136" w14:textId="77777777" w:rsidTr="003832A6">
        <w:tc>
          <w:tcPr>
            <w:tcW w:w="3570" w:type="dxa"/>
            <w:tcBorders>
              <w:left w:val="single" w:sz="12" w:space="0" w:color="auto"/>
            </w:tcBorders>
          </w:tcPr>
          <w:p w14:paraId="0728107B" w14:textId="77777777" w:rsidR="001A12C7" w:rsidRPr="00DE2D33" w:rsidRDefault="001A12C7" w:rsidP="006774F7">
            <w:pPr>
              <w:widowControl/>
              <w:ind w:left="630"/>
              <w:rPr>
                <w:sz w:val="20"/>
                <w:szCs w:val="20"/>
              </w:rPr>
            </w:pPr>
            <w:r w:rsidRPr="00DE2D33">
              <w:rPr>
                <w:sz w:val="20"/>
                <w:szCs w:val="20"/>
              </w:rPr>
              <w:t>Research Triangle Park, NC</w:t>
            </w:r>
          </w:p>
        </w:tc>
        <w:tc>
          <w:tcPr>
            <w:tcW w:w="1392" w:type="dxa"/>
          </w:tcPr>
          <w:p w14:paraId="270CF7DB" w14:textId="77777777" w:rsidR="001A12C7" w:rsidRPr="00DE2D33" w:rsidRDefault="001A12C7" w:rsidP="006774F7">
            <w:pPr>
              <w:widowControl/>
              <w:ind w:left="630"/>
              <w:jc w:val="center"/>
              <w:rPr>
                <w:sz w:val="20"/>
                <w:szCs w:val="20"/>
              </w:rPr>
            </w:pPr>
            <w:r>
              <w:rPr>
                <w:sz w:val="20"/>
                <w:szCs w:val="20"/>
              </w:rPr>
              <w:t>0</w:t>
            </w:r>
          </w:p>
        </w:tc>
        <w:tc>
          <w:tcPr>
            <w:tcW w:w="1393" w:type="dxa"/>
          </w:tcPr>
          <w:p w14:paraId="378D56BD" w14:textId="77777777" w:rsidR="001A12C7" w:rsidRPr="00DE2D33" w:rsidRDefault="001A12C7" w:rsidP="006774F7">
            <w:pPr>
              <w:widowControl/>
              <w:ind w:left="630"/>
              <w:jc w:val="center"/>
              <w:rPr>
                <w:sz w:val="20"/>
                <w:szCs w:val="20"/>
              </w:rPr>
            </w:pPr>
            <w:r>
              <w:rPr>
                <w:sz w:val="20"/>
                <w:szCs w:val="20"/>
              </w:rPr>
              <w:t>6</w:t>
            </w:r>
          </w:p>
        </w:tc>
        <w:tc>
          <w:tcPr>
            <w:tcW w:w="1393" w:type="dxa"/>
          </w:tcPr>
          <w:p w14:paraId="444563C1" w14:textId="7FC742C4" w:rsidR="001A12C7" w:rsidRDefault="00696524" w:rsidP="006774F7">
            <w:pPr>
              <w:widowControl/>
              <w:ind w:left="630"/>
              <w:jc w:val="center"/>
              <w:rPr>
                <w:sz w:val="20"/>
                <w:szCs w:val="20"/>
              </w:rPr>
            </w:pPr>
            <w:r>
              <w:rPr>
                <w:sz w:val="20"/>
                <w:szCs w:val="20"/>
              </w:rPr>
              <w:t>0</w:t>
            </w:r>
          </w:p>
        </w:tc>
        <w:tc>
          <w:tcPr>
            <w:tcW w:w="1090" w:type="dxa"/>
            <w:tcBorders>
              <w:right w:val="single" w:sz="12" w:space="0" w:color="auto"/>
            </w:tcBorders>
          </w:tcPr>
          <w:p w14:paraId="3510CDD0" w14:textId="1A596087" w:rsidR="001A12C7" w:rsidRPr="00DE2D33" w:rsidRDefault="00696524" w:rsidP="006774F7">
            <w:pPr>
              <w:widowControl/>
              <w:ind w:left="630"/>
              <w:jc w:val="center"/>
              <w:rPr>
                <w:sz w:val="20"/>
                <w:szCs w:val="20"/>
              </w:rPr>
            </w:pPr>
            <w:r>
              <w:rPr>
                <w:sz w:val="20"/>
                <w:szCs w:val="20"/>
              </w:rPr>
              <w:t>6</w:t>
            </w:r>
          </w:p>
        </w:tc>
      </w:tr>
      <w:tr w:rsidR="00696524" w14:paraId="18C2B5D7" w14:textId="77777777" w:rsidTr="003832A6">
        <w:tc>
          <w:tcPr>
            <w:tcW w:w="3570" w:type="dxa"/>
            <w:tcBorders>
              <w:left w:val="single" w:sz="12" w:space="0" w:color="auto"/>
            </w:tcBorders>
          </w:tcPr>
          <w:p w14:paraId="0E9F5604" w14:textId="00C6B2BB" w:rsidR="00696524" w:rsidRPr="00DE2D33" w:rsidRDefault="00696524" w:rsidP="006774F7">
            <w:pPr>
              <w:widowControl/>
              <w:ind w:left="630"/>
              <w:rPr>
                <w:sz w:val="20"/>
                <w:szCs w:val="20"/>
              </w:rPr>
            </w:pPr>
            <w:r>
              <w:rPr>
                <w:sz w:val="20"/>
                <w:szCs w:val="20"/>
              </w:rPr>
              <w:t>Chicago, IL</w:t>
            </w:r>
          </w:p>
        </w:tc>
        <w:tc>
          <w:tcPr>
            <w:tcW w:w="1392" w:type="dxa"/>
          </w:tcPr>
          <w:p w14:paraId="11B389E2" w14:textId="77777777" w:rsidR="00696524" w:rsidRDefault="00696524" w:rsidP="006774F7">
            <w:pPr>
              <w:widowControl/>
              <w:ind w:left="630"/>
              <w:jc w:val="center"/>
              <w:rPr>
                <w:sz w:val="20"/>
                <w:szCs w:val="20"/>
              </w:rPr>
            </w:pPr>
          </w:p>
        </w:tc>
        <w:tc>
          <w:tcPr>
            <w:tcW w:w="1393" w:type="dxa"/>
          </w:tcPr>
          <w:p w14:paraId="2FBD5FF2" w14:textId="77777777" w:rsidR="00696524" w:rsidRDefault="00696524" w:rsidP="006774F7">
            <w:pPr>
              <w:widowControl/>
              <w:ind w:left="630"/>
              <w:jc w:val="center"/>
              <w:rPr>
                <w:sz w:val="20"/>
                <w:szCs w:val="20"/>
              </w:rPr>
            </w:pPr>
          </w:p>
        </w:tc>
        <w:tc>
          <w:tcPr>
            <w:tcW w:w="1393" w:type="dxa"/>
          </w:tcPr>
          <w:p w14:paraId="0F168D46" w14:textId="1880C895" w:rsidR="00696524" w:rsidRDefault="00696524" w:rsidP="006774F7">
            <w:pPr>
              <w:widowControl/>
              <w:ind w:left="630"/>
              <w:jc w:val="center"/>
              <w:rPr>
                <w:sz w:val="20"/>
                <w:szCs w:val="20"/>
              </w:rPr>
            </w:pPr>
            <w:r>
              <w:rPr>
                <w:sz w:val="20"/>
                <w:szCs w:val="20"/>
              </w:rPr>
              <w:t>6</w:t>
            </w:r>
          </w:p>
        </w:tc>
        <w:tc>
          <w:tcPr>
            <w:tcW w:w="1090" w:type="dxa"/>
            <w:tcBorders>
              <w:right w:val="single" w:sz="12" w:space="0" w:color="auto"/>
            </w:tcBorders>
          </w:tcPr>
          <w:p w14:paraId="6F367F68" w14:textId="79541793" w:rsidR="00696524" w:rsidRDefault="00696524" w:rsidP="006774F7">
            <w:pPr>
              <w:widowControl/>
              <w:ind w:left="630"/>
              <w:jc w:val="center"/>
              <w:rPr>
                <w:sz w:val="20"/>
                <w:szCs w:val="20"/>
              </w:rPr>
            </w:pPr>
            <w:r>
              <w:rPr>
                <w:sz w:val="20"/>
                <w:szCs w:val="20"/>
              </w:rPr>
              <w:t>6</w:t>
            </w:r>
          </w:p>
        </w:tc>
      </w:tr>
      <w:tr w:rsidR="001A12C7" w14:paraId="6568D4FD" w14:textId="77777777" w:rsidTr="003832A6">
        <w:tc>
          <w:tcPr>
            <w:tcW w:w="3570" w:type="dxa"/>
            <w:tcBorders>
              <w:top w:val="single" w:sz="12" w:space="0" w:color="auto"/>
              <w:left w:val="single" w:sz="12" w:space="0" w:color="auto"/>
              <w:bottom w:val="single" w:sz="8" w:space="0" w:color="auto"/>
              <w:right w:val="single" w:sz="8" w:space="0" w:color="auto"/>
            </w:tcBorders>
          </w:tcPr>
          <w:p w14:paraId="05681DDB" w14:textId="77777777" w:rsidR="001A12C7" w:rsidRPr="00DE2D33" w:rsidRDefault="001A12C7" w:rsidP="006774F7">
            <w:pPr>
              <w:widowControl/>
              <w:ind w:left="630"/>
              <w:rPr>
                <w:sz w:val="20"/>
                <w:szCs w:val="20"/>
              </w:rPr>
            </w:pPr>
            <w:r>
              <w:rPr>
                <w:b/>
                <w:bCs/>
                <w:sz w:val="20"/>
                <w:szCs w:val="20"/>
              </w:rPr>
              <w:t>Age</w:t>
            </w:r>
          </w:p>
        </w:tc>
        <w:tc>
          <w:tcPr>
            <w:tcW w:w="1392" w:type="dxa"/>
            <w:tcBorders>
              <w:top w:val="single" w:sz="12" w:space="0" w:color="auto"/>
              <w:left w:val="single" w:sz="8" w:space="0" w:color="auto"/>
              <w:bottom w:val="single" w:sz="8" w:space="0" w:color="auto"/>
              <w:right w:val="single" w:sz="8" w:space="0" w:color="auto"/>
            </w:tcBorders>
          </w:tcPr>
          <w:p w14:paraId="064E09FE" w14:textId="77777777" w:rsidR="001A12C7" w:rsidRPr="00DE2D33" w:rsidRDefault="001A12C7" w:rsidP="006774F7">
            <w:pPr>
              <w:widowControl/>
              <w:ind w:left="630"/>
              <w:jc w:val="center"/>
              <w:rPr>
                <w:sz w:val="20"/>
                <w:szCs w:val="20"/>
              </w:rPr>
            </w:pPr>
          </w:p>
        </w:tc>
        <w:tc>
          <w:tcPr>
            <w:tcW w:w="1393" w:type="dxa"/>
            <w:tcBorders>
              <w:top w:val="single" w:sz="12" w:space="0" w:color="auto"/>
              <w:left w:val="single" w:sz="8" w:space="0" w:color="auto"/>
              <w:bottom w:val="single" w:sz="8" w:space="0" w:color="auto"/>
              <w:right w:val="single" w:sz="8" w:space="0" w:color="auto"/>
            </w:tcBorders>
          </w:tcPr>
          <w:p w14:paraId="7AE207EC" w14:textId="77777777" w:rsidR="001A12C7" w:rsidRPr="00DE2D33" w:rsidRDefault="001A12C7" w:rsidP="006774F7">
            <w:pPr>
              <w:widowControl/>
              <w:ind w:left="630"/>
              <w:jc w:val="center"/>
              <w:rPr>
                <w:sz w:val="20"/>
                <w:szCs w:val="20"/>
              </w:rPr>
            </w:pPr>
          </w:p>
        </w:tc>
        <w:tc>
          <w:tcPr>
            <w:tcW w:w="1393" w:type="dxa"/>
            <w:tcBorders>
              <w:top w:val="single" w:sz="12" w:space="0" w:color="auto"/>
              <w:left w:val="single" w:sz="8" w:space="0" w:color="auto"/>
              <w:bottom w:val="single" w:sz="8" w:space="0" w:color="auto"/>
              <w:right w:val="single" w:sz="8" w:space="0" w:color="auto"/>
            </w:tcBorders>
          </w:tcPr>
          <w:p w14:paraId="4C56E0D8" w14:textId="77777777" w:rsidR="001A12C7" w:rsidRDefault="001A12C7" w:rsidP="006774F7">
            <w:pPr>
              <w:widowControl/>
              <w:ind w:left="630"/>
              <w:jc w:val="center"/>
              <w:rPr>
                <w:sz w:val="20"/>
                <w:szCs w:val="20"/>
              </w:rPr>
            </w:pPr>
          </w:p>
        </w:tc>
        <w:tc>
          <w:tcPr>
            <w:tcW w:w="1090" w:type="dxa"/>
            <w:tcBorders>
              <w:top w:val="single" w:sz="12" w:space="0" w:color="auto"/>
              <w:left w:val="single" w:sz="8" w:space="0" w:color="auto"/>
              <w:bottom w:val="single" w:sz="8" w:space="0" w:color="auto"/>
              <w:right w:val="single" w:sz="12" w:space="0" w:color="auto"/>
            </w:tcBorders>
          </w:tcPr>
          <w:p w14:paraId="3BFC9EE7" w14:textId="77777777" w:rsidR="001A12C7" w:rsidRPr="00DE2D33" w:rsidRDefault="001A12C7" w:rsidP="006774F7">
            <w:pPr>
              <w:widowControl/>
              <w:ind w:left="630"/>
              <w:jc w:val="center"/>
              <w:rPr>
                <w:sz w:val="20"/>
                <w:szCs w:val="20"/>
              </w:rPr>
            </w:pPr>
          </w:p>
        </w:tc>
      </w:tr>
      <w:tr w:rsidR="00FA450E" w14:paraId="12FD7A8E" w14:textId="77777777" w:rsidTr="003832A6">
        <w:tc>
          <w:tcPr>
            <w:tcW w:w="3570" w:type="dxa"/>
            <w:tcBorders>
              <w:top w:val="single" w:sz="8" w:space="0" w:color="auto"/>
              <w:left w:val="single" w:sz="12" w:space="0" w:color="auto"/>
            </w:tcBorders>
          </w:tcPr>
          <w:p w14:paraId="01BFDC49" w14:textId="77777777" w:rsidR="00FA450E" w:rsidRDefault="00FA450E" w:rsidP="006774F7">
            <w:pPr>
              <w:widowControl/>
              <w:ind w:left="630"/>
              <w:rPr>
                <w:sz w:val="20"/>
                <w:szCs w:val="20"/>
              </w:rPr>
            </w:pPr>
            <w:r>
              <w:rPr>
                <w:sz w:val="20"/>
                <w:szCs w:val="20"/>
              </w:rPr>
              <w:t>18-25</w:t>
            </w:r>
          </w:p>
        </w:tc>
        <w:tc>
          <w:tcPr>
            <w:tcW w:w="1392" w:type="dxa"/>
            <w:tcBorders>
              <w:top w:val="single" w:sz="8" w:space="0" w:color="auto"/>
            </w:tcBorders>
          </w:tcPr>
          <w:p w14:paraId="38727EFD" w14:textId="77777777" w:rsidR="00FA450E" w:rsidRDefault="00FA450E" w:rsidP="006774F7">
            <w:pPr>
              <w:widowControl/>
              <w:ind w:left="630"/>
              <w:jc w:val="center"/>
              <w:rPr>
                <w:sz w:val="20"/>
                <w:szCs w:val="20"/>
              </w:rPr>
            </w:pPr>
            <w:r>
              <w:rPr>
                <w:sz w:val="20"/>
                <w:szCs w:val="20"/>
              </w:rPr>
              <w:t>0</w:t>
            </w:r>
          </w:p>
        </w:tc>
        <w:tc>
          <w:tcPr>
            <w:tcW w:w="1393" w:type="dxa"/>
            <w:tcBorders>
              <w:top w:val="single" w:sz="8" w:space="0" w:color="auto"/>
            </w:tcBorders>
          </w:tcPr>
          <w:p w14:paraId="1B7E78AC" w14:textId="77777777" w:rsidR="00FA450E" w:rsidRDefault="00FA450E" w:rsidP="006774F7">
            <w:pPr>
              <w:widowControl/>
              <w:ind w:left="630"/>
              <w:jc w:val="center"/>
              <w:rPr>
                <w:sz w:val="20"/>
                <w:szCs w:val="20"/>
              </w:rPr>
            </w:pPr>
            <w:r>
              <w:rPr>
                <w:sz w:val="20"/>
                <w:szCs w:val="20"/>
              </w:rPr>
              <w:t>2</w:t>
            </w:r>
          </w:p>
        </w:tc>
        <w:tc>
          <w:tcPr>
            <w:tcW w:w="1393" w:type="dxa"/>
            <w:tcBorders>
              <w:top w:val="single" w:sz="8" w:space="0" w:color="auto"/>
            </w:tcBorders>
          </w:tcPr>
          <w:p w14:paraId="5DE810E9" w14:textId="77777777" w:rsidR="00FA450E" w:rsidRDefault="00FA450E" w:rsidP="006774F7">
            <w:pPr>
              <w:widowControl/>
              <w:ind w:left="630"/>
              <w:jc w:val="center"/>
              <w:rPr>
                <w:sz w:val="20"/>
                <w:szCs w:val="20"/>
              </w:rPr>
            </w:pPr>
            <w:r>
              <w:rPr>
                <w:sz w:val="20"/>
                <w:szCs w:val="20"/>
              </w:rPr>
              <w:t>2</w:t>
            </w:r>
          </w:p>
        </w:tc>
        <w:tc>
          <w:tcPr>
            <w:tcW w:w="1090" w:type="dxa"/>
            <w:tcBorders>
              <w:top w:val="single" w:sz="8" w:space="0" w:color="auto"/>
              <w:right w:val="single" w:sz="12" w:space="0" w:color="auto"/>
            </w:tcBorders>
          </w:tcPr>
          <w:p w14:paraId="2ADD9DDA" w14:textId="77777777" w:rsidR="00FA450E" w:rsidRDefault="00FA450E" w:rsidP="006774F7">
            <w:pPr>
              <w:widowControl/>
              <w:ind w:left="630"/>
              <w:jc w:val="center"/>
              <w:rPr>
                <w:sz w:val="20"/>
                <w:szCs w:val="20"/>
              </w:rPr>
            </w:pPr>
            <w:r>
              <w:rPr>
                <w:sz w:val="20"/>
                <w:szCs w:val="20"/>
              </w:rPr>
              <w:t>4</w:t>
            </w:r>
          </w:p>
        </w:tc>
      </w:tr>
      <w:tr w:rsidR="001A12C7" w14:paraId="7F99EED5" w14:textId="77777777" w:rsidTr="003832A6">
        <w:tc>
          <w:tcPr>
            <w:tcW w:w="3570" w:type="dxa"/>
            <w:tcBorders>
              <w:top w:val="single" w:sz="8" w:space="0" w:color="auto"/>
              <w:left w:val="single" w:sz="12" w:space="0" w:color="auto"/>
            </w:tcBorders>
          </w:tcPr>
          <w:p w14:paraId="21536291" w14:textId="77777777" w:rsidR="001A12C7" w:rsidRPr="00DE2D33" w:rsidRDefault="00FA450E" w:rsidP="006774F7">
            <w:pPr>
              <w:widowControl/>
              <w:ind w:left="630"/>
              <w:rPr>
                <w:sz w:val="20"/>
                <w:szCs w:val="20"/>
              </w:rPr>
            </w:pPr>
            <w:r>
              <w:rPr>
                <w:sz w:val="20"/>
                <w:szCs w:val="20"/>
              </w:rPr>
              <w:t>26</w:t>
            </w:r>
            <w:r w:rsidR="001A12C7">
              <w:rPr>
                <w:sz w:val="20"/>
                <w:szCs w:val="20"/>
              </w:rPr>
              <w:t>-49</w:t>
            </w:r>
          </w:p>
        </w:tc>
        <w:tc>
          <w:tcPr>
            <w:tcW w:w="1392" w:type="dxa"/>
            <w:tcBorders>
              <w:top w:val="single" w:sz="8" w:space="0" w:color="auto"/>
            </w:tcBorders>
          </w:tcPr>
          <w:p w14:paraId="16F92B5F" w14:textId="77777777" w:rsidR="001A12C7" w:rsidRPr="00DE2D33" w:rsidRDefault="001A12C7" w:rsidP="006774F7">
            <w:pPr>
              <w:widowControl/>
              <w:ind w:left="630"/>
              <w:jc w:val="center"/>
              <w:rPr>
                <w:sz w:val="20"/>
                <w:szCs w:val="20"/>
              </w:rPr>
            </w:pPr>
            <w:r>
              <w:rPr>
                <w:sz w:val="20"/>
                <w:szCs w:val="20"/>
              </w:rPr>
              <w:t>0</w:t>
            </w:r>
          </w:p>
        </w:tc>
        <w:tc>
          <w:tcPr>
            <w:tcW w:w="1393" w:type="dxa"/>
            <w:tcBorders>
              <w:top w:val="single" w:sz="8" w:space="0" w:color="auto"/>
            </w:tcBorders>
          </w:tcPr>
          <w:p w14:paraId="7001950E" w14:textId="77777777" w:rsidR="001A12C7" w:rsidRPr="00DE2D33" w:rsidRDefault="00FA450E" w:rsidP="006774F7">
            <w:pPr>
              <w:widowControl/>
              <w:ind w:left="630"/>
              <w:jc w:val="center"/>
              <w:rPr>
                <w:sz w:val="20"/>
                <w:szCs w:val="20"/>
              </w:rPr>
            </w:pPr>
            <w:r>
              <w:rPr>
                <w:sz w:val="20"/>
                <w:szCs w:val="20"/>
              </w:rPr>
              <w:t>2</w:t>
            </w:r>
          </w:p>
        </w:tc>
        <w:tc>
          <w:tcPr>
            <w:tcW w:w="1393" w:type="dxa"/>
            <w:tcBorders>
              <w:top w:val="single" w:sz="8" w:space="0" w:color="auto"/>
            </w:tcBorders>
          </w:tcPr>
          <w:p w14:paraId="07C0271C" w14:textId="77777777" w:rsidR="001A12C7" w:rsidRDefault="00FA450E" w:rsidP="006774F7">
            <w:pPr>
              <w:widowControl/>
              <w:ind w:left="630"/>
              <w:jc w:val="center"/>
              <w:rPr>
                <w:sz w:val="20"/>
                <w:szCs w:val="20"/>
              </w:rPr>
            </w:pPr>
            <w:r>
              <w:rPr>
                <w:sz w:val="20"/>
                <w:szCs w:val="20"/>
              </w:rPr>
              <w:t>2</w:t>
            </w:r>
          </w:p>
        </w:tc>
        <w:tc>
          <w:tcPr>
            <w:tcW w:w="1090" w:type="dxa"/>
            <w:tcBorders>
              <w:top w:val="single" w:sz="8" w:space="0" w:color="auto"/>
              <w:right w:val="single" w:sz="12" w:space="0" w:color="auto"/>
            </w:tcBorders>
          </w:tcPr>
          <w:p w14:paraId="71A91BBC" w14:textId="77777777" w:rsidR="001A12C7" w:rsidRPr="00DE2D33" w:rsidRDefault="00FA450E" w:rsidP="006774F7">
            <w:pPr>
              <w:widowControl/>
              <w:ind w:left="630"/>
              <w:jc w:val="center"/>
              <w:rPr>
                <w:sz w:val="20"/>
                <w:szCs w:val="20"/>
              </w:rPr>
            </w:pPr>
            <w:r>
              <w:rPr>
                <w:sz w:val="20"/>
                <w:szCs w:val="20"/>
              </w:rPr>
              <w:t>4</w:t>
            </w:r>
          </w:p>
        </w:tc>
      </w:tr>
      <w:tr w:rsidR="001A12C7" w14:paraId="3E6F1AD3" w14:textId="77777777" w:rsidTr="003832A6">
        <w:tc>
          <w:tcPr>
            <w:tcW w:w="3570" w:type="dxa"/>
            <w:tcBorders>
              <w:left w:val="single" w:sz="12" w:space="0" w:color="auto"/>
              <w:bottom w:val="single" w:sz="12" w:space="0" w:color="auto"/>
            </w:tcBorders>
          </w:tcPr>
          <w:p w14:paraId="4F6C652D" w14:textId="77777777" w:rsidR="001A12C7" w:rsidRPr="00DE2D33" w:rsidRDefault="001A12C7" w:rsidP="006774F7">
            <w:pPr>
              <w:widowControl/>
              <w:ind w:left="630"/>
              <w:rPr>
                <w:sz w:val="20"/>
                <w:szCs w:val="20"/>
              </w:rPr>
            </w:pPr>
            <w:r>
              <w:rPr>
                <w:sz w:val="20"/>
                <w:szCs w:val="20"/>
              </w:rPr>
              <w:t>50+</w:t>
            </w:r>
          </w:p>
        </w:tc>
        <w:tc>
          <w:tcPr>
            <w:tcW w:w="1392" w:type="dxa"/>
            <w:tcBorders>
              <w:bottom w:val="single" w:sz="12" w:space="0" w:color="auto"/>
            </w:tcBorders>
          </w:tcPr>
          <w:p w14:paraId="0C725CAC" w14:textId="77777777" w:rsidR="001A12C7" w:rsidRPr="00DE2D33" w:rsidRDefault="001A12C7" w:rsidP="006774F7">
            <w:pPr>
              <w:widowControl/>
              <w:ind w:left="630"/>
              <w:jc w:val="center"/>
              <w:rPr>
                <w:sz w:val="20"/>
                <w:szCs w:val="20"/>
              </w:rPr>
            </w:pPr>
            <w:r>
              <w:rPr>
                <w:sz w:val="20"/>
                <w:szCs w:val="20"/>
              </w:rPr>
              <w:t>0</w:t>
            </w:r>
          </w:p>
        </w:tc>
        <w:tc>
          <w:tcPr>
            <w:tcW w:w="1393" w:type="dxa"/>
            <w:tcBorders>
              <w:bottom w:val="single" w:sz="12" w:space="0" w:color="auto"/>
            </w:tcBorders>
          </w:tcPr>
          <w:p w14:paraId="1A59E67D" w14:textId="77777777" w:rsidR="001A12C7" w:rsidRPr="00DE2D33" w:rsidRDefault="00FA450E" w:rsidP="006774F7">
            <w:pPr>
              <w:widowControl/>
              <w:ind w:left="630"/>
              <w:jc w:val="center"/>
              <w:rPr>
                <w:sz w:val="20"/>
                <w:szCs w:val="20"/>
              </w:rPr>
            </w:pPr>
            <w:r>
              <w:rPr>
                <w:sz w:val="20"/>
                <w:szCs w:val="20"/>
              </w:rPr>
              <w:t>2</w:t>
            </w:r>
          </w:p>
        </w:tc>
        <w:tc>
          <w:tcPr>
            <w:tcW w:w="1393" w:type="dxa"/>
            <w:tcBorders>
              <w:bottom w:val="single" w:sz="12" w:space="0" w:color="auto"/>
            </w:tcBorders>
          </w:tcPr>
          <w:p w14:paraId="05EBFF23" w14:textId="77777777" w:rsidR="001A12C7" w:rsidRDefault="00FA450E" w:rsidP="006774F7">
            <w:pPr>
              <w:widowControl/>
              <w:ind w:left="630"/>
              <w:jc w:val="center"/>
              <w:rPr>
                <w:sz w:val="20"/>
                <w:szCs w:val="20"/>
              </w:rPr>
            </w:pPr>
            <w:r>
              <w:rPr>
                <w:sz w:val="20"/>
                <w:szCs w:val="20"/>
              </w:rPr>
              <w:t>2</w:t>
            </w:r>
          </w:p>
        </w:tc>
        <w:tc>
          <w:tcPr>
            <w:tcW w:w="1090" w:type="dxa"/>
            <w:tcBorders>
              <w:bottom w:val="single" w:sz="12" w:space="0" w:color="auto"/>
              <w:right w:val="single" w:sz="12" w:space="0" w:color="auto"/>
            </w:tcBorders>
          </w:tcPr>
          <w:p w14:paraId="49A79E42" w14:textId="77777777" w:rsidR="001A12C7" w:rsidRPr="00DE2D33" w:rsidRDefault="00FA450E" w:rsidP="006774F7">
            <w:pPr>
              <w:widowControl/>
              <w:ind w:left="630"/>
              <w:jc w:val="center"/>
              <w:rPr>
                <w:sz w:val="20"/>
                <w:szCs w:val="20"/>
              </w:rPr>
            </w:pPr>
            <w:r>
              <w:rPr>
                <w:sz w:val="20"/>
                <w:szCs w:val="20"/>
              </w:rPr>
              <w:t>4</w:t>
            </w:r>
          </w:p>
        </w:tc>
      </w:tr>
      <w:tr w:rsidR="001A12C7" w14:paraId="07A24520" w14:textId="77777777" w:rsidTr="003832A6">
        <w:tc>
          <w:tcPr>
            <w:tcW w:w="3570" w:type="dxa"/>
            <w:tcBorders>
              <w:top w:val="single" w:sz="12" w:space="0" w:color="auto"/>
              <w:left w:val="single" w:sz="12" w:space="0" w:color="auto"/>
            </w:tcBorders>
          </w:tcPr>
          <w:p w14:paraId="4764EA1E" w14:textId="77777777" w:rsidR="001A12C7" w:rsidRDefault="001A12C7" w:rsidP="006774F7">
            <w:pPr>
              <w:widowControl/>
              <w:ind w:left="630"/>
              <w:rPr>
                <w:b/>
                <w:bCs/>
                <w:sz w:val="20"/>
                <w:szCs w:val="20"/>
              </w:rPr>
            </w:pPr>
            <w:r>
              <w:rPr>
                <w:b/>
                <w:bCs/>
                <w:sz w:val="20"/>
                <w:szCs w:val="20"/>
              </w:rPr>
              <w:t>Past 12 month substance use</w:t>
            </w:r>
          </w:p>
        </w:tc>
        <w:tc>
          <w:tcPr>
            <w:tcW w:w="1392" w:type="dxa"/>
            <w:tcBorders>
              <w:top w:val="single" w:sz="12" w:space="0" w:color="auto"/>
            </w:tcBorders>
          </w:tcPr>
          <w:p w14:paraId="05765619" w14:textId="77777777" w:rsidR="001A12C7" w:rsidRPr="00DE2D33" w:rsidRDefault="001A12C7" w:rsidP="006774F7">
            <w:pPr>
              <w:widowControl/>
              <w:ind w:left="630"/>
              <w:jc w:val="center"/>
              <w:rPr>
                <w:sz w:val="20"/>
                <w:szCs w:val="20"/>
              </w:rPr>
            </w:pPr>
          </w:p>
        </w:tc>
        <w:tc>
          <w:tcPr>
            <w:tcW w:w="1393" w:type="dxa"/>
            <w:tcBorders>
              <w:top w:val="single" w:sz="12" w:space="0" w:color="auto"/>
            </w:tcBorders>
          </w:tcPr>
          <w:p w14:paraId="27D19E5A" w14:textId="77777777" w:rsidR="001A12C7" w:rsidRPr="00DE2D33" w:rsidRDefault="001A12C7" w:rsidP="006774F7">
            <w:pPr>
              <w:widowControl/>
              <w:ind w:left="630"/>
              <w:jc w:val="center"/>
              <w:rPr>
                <w:sz w:val="20"/>
                <w:szCs w:val="20"/>
              </w:rPr>
            </w:pPr>
          </w:p>
        </w:tc>
        <w:tc>
          <w:tcPr>
            <w:tcW w:w="1393" w:type="dxa"/>
            <w:tcBorders>
              <w:top w:val="single" w:sz="12" w:space="0" w:color="auto"/>
            </w:tcBorders>
          </w:tcPr>
          <w:p w14:paraId="2FB4AF0C" w14:textId="77777777" w:rsidR="001A12C7" w:rsidRDefault="001A12C7" w:rsidP="006774F7">
            <w:pPr>
              <w:widowControl/>
              <w:ind w:left="630"/>
              <w:jc w:val="center"/>
              <w:rPr>
                <w:sz w:val="20"/>
                <w:szCs w:val="20"/>
              </w:rPr>
            </w:pPr>
          </w:p>
        </w:tc>
        <w:tc>
          <w:tcPr>
            <w:tcW w:w="1090" w:type="dxa"/>
            <w:tcBorders>
              <w:top w:val="single" w:sz="12" w:space="0" w:color="auto"/>
              <w:right w:val="single" w:sz="12" w:space="0" w:color="auto"/>
            </w:tcBorders>
          </w:tcPr>
          <w:p w14:paraId="41AC3CB8" w14:textId="77777777" w:rsidR="001A12C7" w:rsidRPr="00DE2D33" w:rsidRDefault="001A12C7" w:rsidP="006774F7">
            <w:pPr>
              <w:widowControl/>
              <w:ind w:left="630"/>
              <w:jc w:val="center"/>
              <w:rPr>
                <w:sz w:val="20"/>
                <w:szCs w:val="20"/>
              </w:rPr>
            </w:pPr>
          </w:p>
        </w:tc>
      </w:tr>
      <w:tr w:rsidR="001A12C7" w14:paraId="7264AB2D" w14:textId="77777777" w:rsidTr="003832A6">
        <w:tc>
          <w:tcPr>
            <w:tcW w:w="3570" w:type="dxa"/>
            <w:tcBorders>
              <w:top w:val="single" w:sz="4" w:space="0" w:color="auto"/>
              <w:left w:val="single" w:sz="12" w:space="0" w:color="auto"/>
            </w:tcBorders>
          </w:tcPr>
          <w:p w14:paraId="77428DC6" w14:textId="77777777" w:rsidR="001A12C7" w:rsidRPr="007A4097" w:rsidRDefault="001A12C7" w:rsidP="006774F7">
            <w:pPr>
              <w:widowControl/>
              <w:ind w:left="630"/>
              <w:rPr>
                <w:sz w:val="20"/>
                <w:szCs w:val="20"/>
              </w:rPr>
            </w:pPr>
            <w:r w:rsidRPr="007A4097">
              <w:rPr>
                <w:sz w:val="20"/>
                <w:szCs w:val="20"/>
              </w:rPr>
              <w:t xml:space="preserve">     </w:t>
            </w:r>
            <w:r>
              <w:rPr>
                <w:sz w:val="20"/>
                <w:szCs w:val="20"/>
              </w:rPr>
              <w:t>Marijuana</w:t>
            </w:r>
          </w:p>
        </w:tc>
        <w:tc>
          <w:tcPr>
            <w:tcW w:w="1392" w:type="dxa"/>
            <w:tcBorders>
              <w:top w:val="single" w:sz="4" w:space="0" w:color="auto"/>
            </w:tcBorders>
          </w:tcPr>
          <w:p w14:paraId="4F45EB20" w14:textId="77777777" w:rsidR="001A12C7" w:rsidRPr="00DE2D33" w:rsidRDefault="001A12C7" w:rsidP="006774F7">
            <w:pPr>
              <w:widowControl/>
              <w:ind w:left="630"/>
              <w:jc w:val="center"/>
              <w:rPr>
                <w:sz w:val="20"/>
                <w:szCs w:val="20"/>
              </w:rPr>
            </w:pPr>
            <w:r>
              <w:rPr>
                <w:sz w:val="20"/>
                <w:szCs w:val="20"/>
              </w:rPr>
              <w:t>0</w:t>
            </w:r>
          </w:p>
        </w:tc>
        <w:tc>
          <w:tcPr>
            <w:tcW w:w="1393" w:type="dxa"/>
            <w:tcBorders>
              <w:top w:val="single" w:sz="4" w:space="0" w:color="auto"/>
            </w:tcBorders>
          </w:tcPr>
          <w:p w14:paraId="485A10C1" w14:textId="77777777" w:rsidR="001A12C7" w:rsidRPr="00DE2D33" w:rsidRDefault="001A12C7" w:rsidP="006774F7">
            <w:pPr>
              <w:widowControl/>
              <w:ind w:left="630"/>
              <w:jc w:val="center"/>
              <w:rPr>
                <w:sz w:val="20"/>
                <w:szCs w:val="20"/>
              </w:rPr>
            </w:pPr>
            <w:r>
              <w:rPr>
                <w:sz w:val="20"/>
                <w:szCs w:val="20"/>
              </w:rPr>
              <w:t>3</w:t>
            </w:r>
          </w:p>
        </w:tc>
        <w:tc>
          <w:tcPr>
            <w:tcW w:w="1393" w:type="dxa"/>
            <w:tcBorders>
              <w:top w:val="single" w:sz="4" w:space="0" w:color="auto"/>
            </w:tcBorders>
          </w:tcPr>
          <w:p w14:paraId="424185B1" w14:textId="77777777" w:rsidR="001A12C7" w:rsidRDefault="001A12C7" w:rsidP="006774F7">
            <w:pPr>
              <w:widowControl/>
              <w:ind w:left="630"/>
              <w:jc w:val="center"/>
              <w:rPr>
                <w:sz w:val="20"/>
                <w:szCs w:val="20"/>
              </w:rPr>
            </w:pPr>
            <w:r>
              <w:rPr>
                <w:sz w:val="20"/>
                <w:szCs w:val="20"/>
              </w:rPr>
              <w:t>3</w:t>
            </w:r>
          </w:p>
        </w:tc>
        <w:tc>
          <w:tcPr>
            <w:tcW w:w="1090" w:type="dxa"/>
            <w:tcBorders>
              <w:top w:val="single" w:sz="4" w:space="0" w:color="auto"/>
              <w:right w:val="single" w:sz="12" w:space="0" w:color="auto"/>
            </w:tcBorders>
          </w:tcPr>
          <w:p w14:paraId="66B2BF60" w14:textId="77777777" w:rsidR="001A12C7" w:rsidRPr="00DE2D33" w:rsidRDefault="001A12C7" w:rsidP="006774F7">
            <w:pPr>
              <w:widowControl/>
              <w:ind w:left="630"/>
              <w:jc w:val="center"/>
              <w:rPr>
                <w:sz w:val="20"/>
                <w:szCs w:val="20"/>
              </w:rPr>
            </w:pPr>
            <w:r>
              <w:rPr>
                <w:sz w:val="20"/>
                <w:szCs w:val="20"/>
              </w:rPr>
              <w:t>6</w:t>
            </w:r>
          </w:p>
        </w:tc>
      </w:tr>
      <w:tr w:rsidR="001A12C7" w14:paraId="7D86001D" w14:textId="77777777" w:rsidTr="003832A6">
        <w:tc>
          <w:tcPr>
            <w:tcW w:w="3570" w:type="dxa"/>
            <w:tcBorders>
              <w:top w:val="single" w:sz="4" w:space="0" w:color="auto"/>
              <w:left w:val="single" w:sz="12" w:space="0" w:color="auto"/>
              <w:bottom w:val="single" w:sz="12" w:space="0" w:color="auto"/>
            </w:tcBorders>
          </w:tcPr>
          <w:p w14:paraId="1B07CD5E" w14:textId="77777777" w:rsidR="001A12C7" w:rsidRPr="007A4097" w:rsidRDefault="001A12C7" w:rsidP="006774F7">
            <w:pPr>
              <w:widowControl/>
              <w:ind w:left="630"/>
              <w:rPr>
                <w:sz w:val="20"/>
                <w:szCs w:val="20"/>
              </w:rPr>
            </w:pPr>
            <w:r w:rsidRPr="007A4097">
              <w:rPr>
                <w:sz w:val="20"/>
                <w:szCs w:val="20"/>
              </w:rPr>
              <w:t xml:space="preserve">     </w:t>
            </w:r>
            <w:r>
              <w:rPr>
                <w:sz w:val="20"/>
                <w:szCs w:val="20"/>
              </w:rPr>
              <w:t>Other substance</w:t>
            </w:r>
          </w:p>
        </w:tc>
        <w:tc>
          <w:tcPr>
            <w:tcW w:w="1392" w:type="dxa"/>
            <w:tcBorders>
              <w:top w:val="single" w:sz="4" w:space="0" w:color="auto"/>
              <w:bottom w:val="single" w:sz="12" w:space="0" w:color="auto"/>
            </w:tcBorders>
          </w:tcPr>
          <w:p w14:paraId="155E57E8" w14:textId="77777777" w:rsidR="001A12C7" w:rsidRPr="00DE2D33" w:rsidRDefault="001A12C7" w:rsidP="006774F7">
            <w:pPr>
              <w:widowControl/>
              <w:ind w:left="630"/>
              <w:jc w:val="center"/>
              <w:rPr>
                <w:sz w:val="20"/>
                <w:szCs w:val="20"/>
              </w:rPr>
            </w:pPr>
            <w:r>
              <w:rPr>
                <w:sz w:val="20"/>
                <w:szCs w:val="20"/>
              </w:rPr>
              <w:t>0</w:t>
            </w:r>
          </w:p>
        </w:tc>
        <w:tc>
          <w:tcPr>
            <w:tcW w:w="1393" w:type="dxa"/>
            <w:tcBorders>
              <w:top w:val="single" w:sz="4" w:space="0" w:color="auto"/>
              <w:bottom w:val="single" w:sz="12" w:space="0" w:color="auto"/>
            </w:tcBorders>
          </w:tcPr>
          <w:p w14:paraId="5F5F2111" w14:textId="77777777" w:rsidR="001A12C7" w:rsidRPr="00DE2D33" w:rsidRDefault="001A12C7" w:rsidP="006774F7">
            <w:pPr>
              <w:widowControl/>
              <w:ind w:left="630"/>
              <w:jc w:val="center"/>
              <w:rPr>
                <w:sz w:val="20"/>
                <w:szCs w:val="20"/>
              </w:rPr>
            </w:pPr>
            <w:r>
              <w:rPr>
                <w:sz w:val="20"/>
                <w:szCs w:val="20"/>
              </w:rPr>
              <w:t>3</w:t>
            </w:r>
          </w:p>
        </w:tc>
        <w:tc>
          <w:tcPr>
            <w:tcW w:w="1393" w:type="dxa"/>
            <w:tcBorders>
              <w:top w:val="single" w:sz="4" w:space="0" w:color="auto"/>
              <w:bottom w:val="single" w:sz="12" w:space="0" w:color="auto"/>
            </w:tcBorders>
          </w:tcPr>
          <w:p w14:paraId="5F847572" w14:textId="77777777" w:rsidR="001A12C7" w:rsidRDefault="001A12C7" w:rsidP="006774F7">
            <w:pPr>
              <w:widowControl/>
              <w:ind w:left="630"/>
              <w:jc w:val="center"/>
              <w:rPr>
                <w:sz w:val="20"/>
                <w:szCs w:val="20"/>
              </w:rPr>
            </w:pPr>
            <w:r>
              <w:rPr>
                <w:sz w:val="20"/>
                <w:szCs w:val="20"/>
              </w:rPr>
              <w:t>3</w:t>
            </w:r>
          </w:p>
        </w:tc>
        <w:tc>
          <w:tcPr>
            <w:tcW w:w="1090" w:type="dxa"/>
            <w:tcBorders>
              <w:top w:val="single" w:sz="4" w:space="0" w:color="auto"/>
              <w:bottom w:val="single" w:sz="12" w:space="0" w:color="auto"/>
              <w:right w:val="single" w:sz="12" w:space="0" w:color="auto"/>
            </w:tcBorders>
          </w:tcPr>
          <w:p w14:paraId="779A824F" w14:textId="77777777" w:rsidR="001A12C7" w:rsidRPr="00DE2D33" w:rsidRDefault="001A12C7" w:rsidP="006774F7">
            <w:pPr>
              <w:widowControl/>
              <w:ind w:left="630"/>
              <w:jc w:val="center"/>
              <w:rPr>
                <w:sz w:val="20"/>
                <w:szCs w:val="20"/>
              </w:rPr>
            </w:pPr>
            <w:r>
              <w:rPr>
                <w:sz w:val="20"/>
                <w:szCs w:val="20"/>
              </w:rPr>
              <w:t>6</w:t>
            </w:r>
          </w:p>
        </w:tc>
      </w:tr>
    </w:tbl>
    <w:p w14:paraId="4504CEFF" w14:textId="77777777" w:rsidR="0060594F" w:rsidRPr="009D3114" w:rsidRDefault="001A12C7" w:rsidP="006774F7">
      <w:pPr>
        <w:pStyle w:val="BodyText"/>
        <w:tabs>
          <w:tab w:val="left" w:pos="634"/>
        </w:tabs>
        <w:spacing w:after="0"/>
        <w:ind w:left="630" w:hanging="634"/>
        <w:rPr>
          <w:rFonts w:ascii="Times New Roman" w:hAnsi="Times New Roman"/>
        </w:rPr>
      </w:pPr>
      <w:r>
        <w:tab/>
      </w:r>
    </w:p>
    <w:p w14:paraId="6485EC8B" w14:textId="77777777" w:rsidR="00062ACC" w:rsidRPr="007203B2"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2</w:t>
      </w:r>
      <w:r w:rsidRPr="007203B2">
        <w:rPr>
          <w:rFonts w:ascii="Times New Roman" w:hAnsi="Times New Roman" w:cs="Times New Roman"/>
        </w:rPr>
        <w:t>.</w:t>
      </w:r>
      <w:r w:rsidRPr="007203B2">
        <w:rPr>
          <w:rFonts w:ascii="Times New Roman" w:hAnsi="Times New Roman" w:cs="Times New Roman"/>
        </w:rPr>
        <w:tab/>
      </w:r>
      <w:r w:rsidRPr="007203B2">
        <w:rPr>
          <w:rFonts w:ascii="Times New Roman" w:hAnsi="Times New Roman" w:cs="Times New Roman"/>
          <w:u w:val="single"/>
        </w:rPr>
        <w:t>Information Collection Procedures</w:t>
      </w:r>
    </w:p>
    <w:p w14:paraId="00D07D85" w14:textId="54C6DBA3" w:rsidR="005C398B" w:rsidRDefault="00797B9A" w:rsidP="00A0548E">
      <w:pPr>
        <w:pStyle w:val="BodyText"/>
        <w:spacing w:after="0"/>
        <w:ind w:left="630"/>
      </w:pPr>
      <w:r w:rsidRPr="00797B9A">
        <w:rPr>
          <w:b/>
        </w:rPr>
        <w:t>Recruitment and Screening:</w:t>
      </w:r>
      <w:r>
        <w:t xml:space="preserve">  </w:t>
      </w:r>
      <w:r w:rsidR="00272335">
        <w:t>There will be u</w:t>
      </w:r>
      <w:r w:rsidR="007266DE" w:rsidRPr="007203B2">
        <w:t xml:space="preserve">p to </w:t>
      </w:r>
      <w:r w:rsidR="001A12C7" w:rsidRPr="007203B2">
        <w:t>3</w:t>
      </w:r>
      <w:r w:rsidR="001A12C7">
        <w:t>9</w:t>
      </w:r>
      <w:r w:rsidR="001A12C7" w:rsidRPr="007203B2">
        <w:t xml:space="preserve"> </w:t>
      </w:r>
      <w:r w:rsidR="007266DE" w:rsidRPr="007203B2">
        <w:t xml:space="preserve">adult participants and </w:t>
      </w:r>
      <w:r w:rsidR="001A12C7" w:rsidRPr="007203B2">
        <w:t>1</w:t>
      </w:r>
      <w:r w:rsidR="001A12C7">
        <w:t>2</w:t>
      </w:r>
      <w:r w:rsidR="001A12C7" w:rsidRPr="007203B2">
        <w:t xml:space="preserve"> </w:t>
      </w:r>
      <w:r w:rsidR="007266DE" w:rsidRPr="007203B2">
        <w:t>adolescent</w:t>
      </w:r>
      <w:r w:rsidR="00FC1014">
        <w:t xml:space="preserve"> participants</w:t>
      </w:r>
      <w:r w:rsidR="007266DE">
        <w:t xml:space="preserve"> recruited from advertisements posted in the classified sections of internet sites</w:t>
      </w:r>
      <w:r>
        <w:t>, flyers, and</w:t>
      </w:r>
      <w:r w:rsidR="005C398B">
        <w:t xml:space="preserve"> </w:t>
      </w:r>
      <w:r w:rsidR="007266DE">
        <w:t>through local outpatient drug treatment centers</w:t>
      </w:r>
      <w:r w:rsidR="001A12C7">
        <w:t>, and community organizations</w:t>
      </w:r>
      <w:r w:rsidR="007266DE">
        <w:t xml:space="preserve">. </w:t>
      </w:r>
    </w:p>
    <w:p w14:paraId="596C15CE" w14:textId="77777777" w:rsidR="005C398B" w:rsidRDefault="005C398B" w:rsidP="006774F7">
      <w:pPr>
        <w:pStyle w:val="BodyText"/>
        <w:spacing w:after="0"/>
        <w:ind w:left="630"/>
      </w:pPr>
    </w:p>
    <w:p w14:paraId="228D6C69" w14:textId="338D70CE" w:rsidR="00E16DB9" w:rsidRDefault="007266DE" w:rsidP="00450876">
      <w:pPr>
        <w:pStyle w:val="BodyText"/>
        <w:spacing w:after="0"/>
        <w:ind w:left="630"/>
      </w:pPr>
      <w:r>
        <w:t>Potential</w:t>
      </w:r>
      <w:r w:rsidR="001A12C7">
        <w:t xml:space="preserve"> English-speaking</w:t>
      </w:r>
      <w:r>
        <w:t xml:space="preserve"> adult participants </w:t>
      </w:r>
      <w:r w:rsidR="00D148D0">
        <w:t>recruited from online advertisements will</w:t>
      </w:r>
      <w:r>
        <w:t xml:space="preserve"> complete a web screener</w:t>
      </w:r>
      <w:r w:rsidR="00E244D9">
        <w:t xml:space="preserve"> </w:t>
      </w:r>
      <w:r w:rsidR="00AB3ABE">
        <w:t>(</w:t>
      </w:r>
      <w:r w:rsidR="00E244D9">
        <w:t xml:space="preserve">Attachment </w:t>
      </w:r>
      <w:r w:rsidR="00AB3ABE">
        <w:t>B)</w:t>
      </w:r>
      <w:r w:rsidR="00D148D0">
        <w:t>, and adults recruited from via other means (outpatient treatment center, flyer) will complete a telephone screener</w:t>
      </w:r>
      <w:r>
        <w:t xml:space="preserve"> to determine if they are eligible</w:t>
      </w:r>
      <w:r w:rsidR="00E52C88">
        <w:t>.</w:t>
      </w:r>
      <w:r w:rsidR="001A12C7">
        <w:t xml:space="preserve"> </w:t>
      </w:r>
      <w:r>
        <w:t xml:space="preserve">Potential participants </w:t>
      </w:r>
      <w:r w:rsidR="00E244D9">
        <w:t xml:space="preserve">will be screened for demographic information (age, sex, race/ethnicity, and education), </w:t>
      </w:r>
      <w:r>
        <w:t xml:space="preserve">the presence of any physical limitations that would preclude their effective participation, and </w:t>
      </w:r>
      <w:r w:rsidR="00E244D9">
        <w:t xml:space="preserve">past alcohol, </w:t>
      </w:r>
      <w:r w:rsidR="00DE48AC">
        <w:t>marijuana</w:t>
      </w:r>
      <w:r w:rsidR="00E244D9">
        <w:t xml:space="preserve"> or illegal drug use in the past 12 months</w:t>
      </w:r>
      <w:r>
        <w:t xml:space="preserve">. </w:t>
      </w:r>
      <w:r w:rsidR="00B55DA4">
        <w:t>A</w:t>
      </w:r>
      <w:r w:rsidR="00E52C88">
        <w:t xml:space="preserve"> recruiter will contact eligible adults to schedule a 60-minute interview at the treatment center (for those recruited there)</w:t>
      </w:r>
      <w:r w:rsidR="00776174">
        <w:t>,</w:t>
      </w:r>
      <w:r w:rsidR="003E7874">
        <w:t xml:space="preserve"> </w:t>
      </w:r>
      <w:r w:rsidR="00E52C88">
        <w:t xml:space="preserve">at one of </w:t>
      </w:r>
      <w:r w:rsidR="00B55DA4">
        <w:t xml:space="preserve">the Contractor’s </w:t>
      </w:r>
      <w:r w:rsidR="00E52C88">
        <w:t>private offices</w:t>
      </w:r>
      <w:r w:rsidR="00776174">
        <w:t xml:space="preserve"> </w:t>
      </w:r>
      <w:r w:rsidR="00776174">
        <w:rPr>
          <w:rFonts w:ascii="Times New Roman" w:hAnsi="Times New Roman" w:cs="Times New Roman"/>
        </w:rPr>
        <w:t xml:space="preserve">or another private setting </w:t>
      </w:r>
      <w:r w:rsidR="00450876">
        <w:rPr>
          <w:rFonts w:ascii="Times New Roman" w:hAnsi="Times New Roman" w:cs="Times New Roman"/>
        </w:rPr>
        <w:t>such as a private room in a public library or community center</w:t>
      </w:r>
      <w:r w:rsidR="00E52C88">
        <w:t>.</w:t>
      </w:r>
      <w:r w:rsidR="00D148D0">
        <w:t xml:space="preserve"> Callers will be notified that they will receive $40 for completing the interview. </w:t>
      </w:r>
    </w:p>
    <w:p w14:paraId="2684BEA7" w14:textId="77777777" w:rsidR="00E16DB9" w:rsidRDefault="00E16DB9" w:rsidP="006774F7">
      <w:pPr>
        <w:pStyle w:val="BodyText"/>
        <w:spacing w:after="0"/>
        <w:ind w:left="630"/>
      </w:pPr>
    </w:p>
    <w:p w14:paraId="4D92E396" w14:textId="73A4A015" w:rsidR="00E244D9" w:rsidRDefault="001A12C7" w:rsidP="003E7874">
      <w:pPr>
        <w:pStyle w:val="BodyText"/>
        <w:spacing w:after="0"/>
        <w:ind w:left="630"/>
      </w:pPr>
      <w:r>
        <w:t xml:space="preserve">Spanish-speaking adults </w:t>
      </w:r>
      <w:r w:rsidR="00E16DB9">
        <w:t xml:space="preserve">may either complete </w:t>
      </w:r>
      <w:r w:rsidR="00547A46">
        <w:t xml:space="preserve">the screening </w:t>
      </w:r>
      <w:r w:rsidR="003D0319">
        <w:t>online</w:t>
      </w:r>
      <w:r w:rsidR="00E16DB9">
        <w:t xml:space="preserve"> or </w:t>
      </w:r>
      <w:r w:rsidR="003D0319">
        <w:t>over</w:t>
      </w:r>
      <w:r w:rsidR="00E16DB9">
        <w:t xml:space="preserve"> the telephone</w:t>
      </w:r>
      <w:r>
        <w:t xml:space="preserve">. </w:t>
      </w:r>
      <w:r w:rsidR="00E16DB9">
        <w:t>A</w:t>
      </w:r>
      <w:r w:rsidR="00B55DA4">
        <w:t xml:space="preserve"> </w:t>
      </w:r>
      <w:r w:rsidR="00E16DB9">
        <w:t xml:space="preserve">recruiter will contact eligible participants to schedule a 60-minute interview at </w:t>
      </w:r>
      <w:r w:rsidR="00B55DA4">
        <w:t xml:space="preserve">the </w:t>
      </w:r>
      <w:r w:rsidR="00B55DA4">
        <w:lastRenderedPageBreak/>
        <w:t xml:space="preserve">Contractor’s </w:t>
      </w:r>
      <w:r w:rsidR="00E16DB9">
        <w:t>private offices</w:t>
      </w:r>
      <w:r w:rsidR="00776174">
        <w:t xml:space="preserve">, </w:t>
      </w:r>
      <w:r w:rsidR="00776174">
        <w:rPr>
          <w:rFonts w:ascii="Times New Roman" w:hAnsi="Times New Roman" w:cs="Times New Roman"/>
        </w:rPr>
        <w:t>or at another private setting agreed upon by the cognitive interviewer and participant (such as the participant’s home)</w:t>
      </w:r>
      <w:r w:rsidR="00E16DB9">
        <w:t>.</w:t>
      </w:r>
      <w:r w:rsidR="00D148D0">
        <w:t xml:space="preserve"> Callers will be notified that they will receive $40 for completing the interview.</w:t>
      </w:r>
    </w:p>
    <w:p w14:paraId="1731BFF2" w14:textId="77777777" w:rsidR="00E244D9" w:rsidRDefault="00E244D9" w:rsidP="006774F7">
      <w:pPr>
        <w:pStyle w:val="BodyText"/>
        <w:spacing w:after="0"/>
        <w:ind w:left="630"/>
      </w:pPr>
    </w:p>
    <w:p w14:paraId="6A9D6135" w14:textId="6E51B84B" w:rsidR="00E52C88" w:rsidRDefault="00E52C88" w:rsidP="00450876">
      <w:pPr>
        <w:pStyle w:val="BodyText"/>
        <w:spacing w:after="0"/>
        <w:ind w:left="630"/>
      </w:pPr>
      <w:r w:rsidRPr="00450876">
        <w:t>Potential adolescent participants</w:t>
      </w:r>
      <w:r w:rsidR="00450876">
        <w:t xml:space="preserve"> or adults calling for their adolescent child</w:t>
      </w:r>
      <w:r w:rsidRPr="00450876">
        <w:t xml:space="preserve"> will be directed to call into the study line to verify </w:t>
      </w:r>
      <w:r w:rsidR="001A12C7" w:rsidRPr="00450876">
        <w:t>eligibility rather than complete a web screener</w:t>
      </w:r>
      <w:r w:rsidRPr="00450876">
        <w:t xml:space="preserve">. </w:t>
      </w:r>
      <w:r w:rsidR="00450876">
        <w:t xml:space="preserve">For adolescent callers, the consent of a parent or guardian will be required before the adolescent can be asked any screening questions. </w:t>
      </w:r>
      <w:r w:rsidRPr="00450876">
        <w:t>Potential participants will be screened for demographic information (</w:t>
      </w:r>
      <w:r>
        <w:t>age, sex, race/ethnicity, and education), the presence of any physical limitations that would preclude their effective participation, and confirm that they are in a treatment facility for alcohol or drug use</w:t>
      </w:r>
      <w:r w:rsidR="00AB3ABE">
        <w:t xml:space="preserve"> (using </w:t>
      </w:r>
      <w:r w:rsidR="0014762C">
        <w:t xml:space="preserve">Attachment </w:t>
      </w:r>
      <w:r w:rsidR="00AB3ABE">
        <w:t>C)</w:t>
      </w:r>
      <w:r w:rsidR="0014762C">
        <w:t xml:space="preserve">. </w:t>
      </w:r>
      <w:r>
        <w:t>T</w:t>
      </w:r>
      <w:r w:rsidR="007266DE">
        <w:t>he recruiter will</w:t>
      </w:r>
      <w:r>
        <w:t xml:space="preserve"> inform potential participants that a parent or guardian must accompany the adolescent to the interview to sign the consent form in person</w:t>
      </w:r>
      <w:r w:rsidR="00B252B3">
        <w:t xml:space="preserve"> </w:t>
      </w:r>
      <w:r w:rsidR="007B502A">
        <w:t>prior to the</w:t>
      </w:r>
      <w:r w:rsidR="0081777D">
        <w:t xml:space="preserve"> start of the</w:t>
      </w:r>
      <w:r w:rsidR="007B502A">
        <w:t xml:space="preserve"> interview</w:t>
      </w:r>
      <w:r w:rsidR="007266DE">
        <w:t xml:space="preserve">. </w:t>
      </w:r>
      <w:r>
        <w:t>Eligible adolescent participants will then be scheduled for a 60</w:t>
      </w:r>
      <w:r w:rsidR="003D0319">
        <w:t>-</w:t>
      </w:r>
      <w:r>
        <w:t xml:space="preserve">minute interview to be held at the treatment center or at one of </w:t>
      </w:r>
      <w:r w:rsidR="00B55DA4">
        <w:t xml:space="preserve">the Contractor’s </w:t>
      </w:r>
      <w:r>
        <w:t>private offices.</w:t>
      </w:r>
      <w:r w:rsidR="00D148D0">
        <w:t xml:space="preserve"> Callers will be notified that they will receive $40 for completing the interview.</w:t>
      </w:r>
    </w:p>
    <w:p w14:paraId="32A7143C" w14:textId="77777777" w:rsidR="007266DE" w:rsidRDefault="007266DE" w:rsidP="006774F7">
      <w:pPr>
        <w:pStyle w:val="BodyText"/>
        <w:spacing w:after="0"/>
        <w:ind w:left="630" w:hanging="630"/>
      </w:pPr>
    </w:p>
    <w:p w14:paraId="4EBFFD70" w14:textId="650A67DE" w:rsidR="007266DE" w:rsidRDefault="007266DE" w:rsidP="006774F7">
      <w:pPr>
        <w:pStyle w:val="BodyText"/>
        <w:spacing w:after="0"/>
        <w:ind w:left="630" w:hanging="630"/>
      </w:pPr>
      <w:r>
        <w:tab/>
        <w:t xml:space="preserve">Potential participants who call the </w:t>
      </w:r>
      <w:r w:rsidR="00B55DA4">
        <w:t xml:space="preserve">Contractor’s </w:t>
      </w:r>
      <w:r w:rsidR="003D0319">
        <w:t>designated telephone number</w:t>
      </w:r>
      <w:r>
        <w:t xml:space="preserve"> </w:t>
      </w:r>
      <w:r w:rsidR="00E244D9">
        <w:t xml:space="preserve">or complete the screener </w:t>
      </w:r>
      <w:r w:rsidR="003D0319">
        <w:t xml:space="preserve">online </w:t>
      </w:r>
      <w:r>
        <w:t xml:space="preserve">after the requisite number of participants has been recruited will be placed on a </w:t>
      </w:r>
      <w:r w:rsidR="00797B9A">
        <w:t>wait</w:t>
      </w:r>
      <w:r>
        <w:t xml:space="preserve"> list with their permission, but only for the duration of the interviewing phase. During the interviewing phase, individuals on the “</w:t>
      </w:r>
      <w:r w:rsidR="00797B9A">
        <w:t>wait</w:t>
      </w:r>
      <w:r>
        <w:t xml:space="preserve"> list may be called to ask if they are available, such as if one or more originally scheduled participants did not arrive for a scheduled interview. </w:t>
      </w:r>
      <w:r w:rsidR="00E244D9">
        <w:t>R</w:t>
      </w:r>
      <w:r>
        <w:t>ecruitment and contact information will be kept in locked cabinets and via password protected electronic files and not shared except with those who are assigned to complete the interviews.</w:t>
      </w:r>
    </w:p>
    <w:p w14:paraId="366AA202" w14:textId="77777777" w:rsidR="007266DE" w:rsidRDefault="007266DE" w:rsidP="006774F7">
      <w:pPr>
        <w:pStyle w:val="BodyText"/>
        <w:spacing w:after="0"/>
        <w:ind w:left="630" w:hanging="630"/>
      </w:pPr>
    </w:p>
    <w:p w14:paraId="5B3FAE47" w14:textId="5017F5AE" w:rsidR="00450876" w:rsidRDefault="007266DE" w:rsidP="00450876">
      <w:pPr>
        <w:pStyle w:val="BodyText"/>
        <w:spacing w:after="0"/>
        <w:ind w:left="630" w:hanging="630"/>
      </w:pPr>
      <w:r>
        <w:tab/>
      </w:r>
      <w:r w:rsidR="00797B9A" w:rsidRPr="00797B9A">
        <w:rPr>
          <w:b/>
        </w:rPr>
        <w:t>Interview Process:</w:t>
      </w:r>
      <w:r w:rsidR="00797B9A">
        <w:t xml:space="preserve">  </w:t>
      </w:r>
      <w:r w:rsidR="00450876">
        <w:t xml:space="preserve">Cognitive interviews will be conducted by </w:t>
      </w:r>
      <w:r w:rsidR="00821DB7">
        <w:t xml:space="preserve">Contractor staff who are </w:t>
      </w:r>
      <w:r w:rsidR="00450876">
        <w:t xml:space="preserve">survey methodologists trained in conducting cognitive interviews. Prior to the first round, a cognitive interviewer training will be held to discuss the goals of the project and train interviewers on the procedures </w:t>
      </w:r>
      <w:r w:rsidR="00821DB7">
        <w:t>specific to</w:t>
      </w:r>
      <w:r w:rsidR="00450876">
        <w:t xml:space="preserve"> this study. </w:t>
      </w:r>
    </w:p>
    <w:p w14:paraId="6988E155" w14:textId="77777777" w:rsidR="00450876" w:rsidRDefault="00450876" w:rsidP="006774F7">
      <w:pPr>
        <w:pStyle w:val="BodyText"/>
        <w:spacing w:after="0"/>
        <w:ind w:left="630" w:hanging="630"/>
      </w:pPr>
    </w:p>
    <w:p w14:paraId="33D5E4EB" w14:textId="350DB296" w:rsidR="007266DE" w:rsidRDefault="007266DE" w:rsidP="00450876">
      <w:pPr>
        <w:pStyle w:val="BodyText"/>
        <w:spacing w:after="0"/>
        <w:ind w:left="630"/>
      </w:pPr>
      <w:r>
        <w:t>When each participant arrives for their interview, he or she will be greeted and asked to listen to instructions and informed consent/assent information from the interviewer, and parental</w:t>
      </w:r>
      <w:r w:rsidR="00AB3ABE">
        <w:t xml:space="preserve"> permission when applicable (</w:t>
      </w:r>
      <w:r>
        <w:t xml:space="preserve">Attachments </w:t>
      </w:r>
      <w:r w:rsidR="00543ED4">
        <w:t xml:space="preserve">D </w:t>
      </w:r>
      <w:r>
        <w:t xml:space="preserve">and </w:t>
      </w:r>
      <w:r w:rsidR="00543ED4">
        <w:t>E</w:t>
      </w:r>
      <w:r w:rsidR="00AB3ABE">
        <w:t>)</w:t>
      </w:r>
      <w:r>
        <w:t>. All cognitive interviews will be audio recorded upon consent of each participant and a subset may</w:t>
      </w:r>
      <w:r w:rsidRPr="00876EA5">
        <w:t xml:space="preserve"> be observed by </w:t>
      </w:r>
      <w:r>
        <w:t xml:space="preserve">a </w:t>
      </w:r>
      <w:r w:rsidRPr="00876EA5">
        <w:t xml:space="preserve">staff </w:t>
      </w:r>
      <w:r>
        <w:t>member,</w:t>
      </w:r>
      <w:r w:rsidRPr="00876EA5">
        <w:t xml:space="preserve"> again upon consent of each participant.</w:t>
      </w:r>
      <w:r>
        <w:t xml:space="preserve"> Participants will have the right to decline to be audio recorded and/or observed without being excluded from participation. </w:t>
      </w:r>
    </w:p>
    <w:p w14:paraId="2FBBDC12" w14:textId="77777777" w:rsidR="007266DE" w:rsidRDefault="007266DE" w:rsidP="006774F7">
      <w:pPr>
        <w:pStyle w:val="BodyText"/>
        <w:spacing w:after="0"/>
        <w:ind w:left="630" w:hanging="630"/>
      </w:pPr>
    </w:p>
    <w:p w14:paraId="54F66A11" w14:textId="1BAB8245" w:rsidR="007266DE" w:rsidRDefault="007266DE" w:rsidP="006774F7">
      <w:pPr>
        <w:pStyle w:val="BodyText"/>
        <w:spacing w:after="0"/>
        <w:ind w:left="630" w:hanging="630"/>
      </w:pPr>
      <w:r>
        <w:tab/>
        <w:t xml:space="preserve">Before the interview begins, the participant will be read the Participant Informed Consent </w:t>
      </w:r>
      <w:r w:rsidR="00AB3ABE">
        <w:t>Form (</w:t>
      </w:r>
      <w:r>
        <w:t xml:space="preserve">Attachment </w:t>
      </w:r>
      <w:r w:rsidR="00543ED4">
        <w:t>E</w:t>
      </w:r>
      <w:r w:rsidR="00AB3ABE">
        <w:t>)</w:t>
      </w:r>
      <w:r>
        <w:t xml:space="preserve">.  The interview will commence after the participant has given his or her consent. The interviewer will begin by asking the participant for demographic information (to determine how the </w:t>
      </w:r>
      <w:r w:rsidR="003D0319">
        <w:t xml:space="preserve">interview </w:t>
      </w:r>
      <w:r>
        <w:t xml:space="preserve">program should route the participant through questions in the interview) and then will show each respondent how to navigate through the </w:t>
      </w:r>
      <w:r w:rsidR="003D0319">
        <w:t xml:space="preserve">interview </w:t>
      </w:r>
      <w:r>
        <w:t>program. Participants then will complete a tutorial</w:t>
      </w:r>
      <w:r w:rsidR="00776174">
        <w:t xml:space="preserve"> that teaches participants how to complete the ACASI portion of the survey</w:t>
      </w:r>
      <w:r>
        <w:t xml:space="preserve">. </w:t>
      </w:r>
    </w:p>
    <w:p w14:paraId="0C4FEB9D" w14:textId="77777777" w:rsidR="007266DE" w:rsidRDefault="007266DE" w:rsidP="006774F7">
      <w:pPr>
        <w:pStyle w:val="BodyText"/>
        <w:spacing w:after="0"/>
        <w:ind w:left="630" w:hanging="630"/>
      </w:pPr>
    </w:p>
    <w:p w14:paraId="710EACEA" w14:textId="72E6A283" w:rsidR="007266DE" w:rsidRDefault="007266DE" w:rsidP="00175874">
      <w:pPr>
        <w:pStyle w:val="BodyText"/>
        <w:spacing w:after="0"/>
        <w:ind w:left="630" w:hanging="630"/>
      </w:pPr>
      <w:r>
        <w:lastRenderedPageBreak/>
        <w:tab/>
      </w:r>
      <w:r w:rsidR="00821DB7">
        <w:t xml:space="preserve">Following the tutorial, participants will complete an abridged version of the 2015 NSDUH core drug screening modules for alcohol, marijuana, cocaine, heroin, and methamphetamines, as well as medical and nonmedical use of prescription drugs. These modules will include the same questions that are in the 2015 NSDUH, except some questions not necessary for cognitive testing (age at first use) have been removed. No new questions were added to these modules for cognitive testing. Answers that participants give to questions about use of substances will determine whether they are asked more detailed questions about substance dependence and withdrawal. Some of the SUD questions have been reworded and are being presented in a new format for these interviews. </w:t>
      </w:r>
    </w:p>
    <w:p w14:paraId="78245BA9" w14:textId="77777777" w:rsidR="006274C2" w:rsidRDefault="006274C2" w:rsidP="006274C2">
      <w:pPr>
        <w:pStyle w:val="BodyText"/>
        <w:spacing w:after="0"/>
        <w:ind w:left="630" w:hanging="630"/>
      </w:pPr>
    </w:p>
    <w:p w14:paraId="3988271C" w14:textId="4CFBBEDD" w:rsidR="006274C2" w:rsidRDefault="006274C2" w:rsidP="006274C2">
      <w:pPr>
        <w:pStyle w:val="BodyText"/>
        <w:spacing w:after="0"/>
        <w:ind w:left="630"/>
      </w:pPr>
      <w:r>
        <w:t xml:space="preserve">Cognitive interviews will be iterative with changes made to the questionnaire based on the findings from the previous round. For all rounds, participants will complete the core drug screening modules via ACASI. For the SUD module, participants will be given the option of having the questions played over the </w:t>
      </w:r>
      <w:r w:rsidR="00821DB7">
        <w:t xml:space="preserve">computer’s </w:t>
      </w:r>
      <w:r>
        <w:t xml:space="preserve">speakers or turning off the sound and reading the questions aloud. These procedures are required so the cognitive interviewers can stop the participant after certain questions to ask cognitive interview probes. Providing participants the option of hearing the questions or reading them allows the cognitive interview process to more closely mimic an actual interview where participants can turn down the volume and read the questions if desired. </w:t>
      </w:r>
    </w:p>
    <w:p w14:paraId="37512D1F" w14:textId="77777777" w:rsidR="006274C2" w:rsidRDefault="006274C2" w:rsidP="006274C2">
      <w:pPr>
        <w:pStyle w:val="BodyText"/>
        <w:spacing w:after="0"/>
        <w:ind w:left="630" w:hanging="630"/>
      </w:pPr>
    </w:p>
    <w:p w14:paraId="29E3A61C" w14:textId="54A88CF1" w:rsidR="00B00D0C" w:rsidRDefault="00B00D0C" w:rsidP="006774F7">
      <w:pPr>
        <w:widowControl/>
        <w:tabs>
          <w:tab w:val="left" w:pos="630"/>
        </w:tabs>
        <w:ind w:left="630"/>
      </w:pPr>
      <w:r>
        <w:t>Interviewers will be provided with a series of probes and questions that will further explore the quality of responses and whether these responses are meeting the researchers’ goals. Interviewers are instructed to use the probes as a guideline, but are not required to use all of them, be limited by them, or to read them exactly as written (Beatty 2004). Interviewers may probe based upon the content of the interview and participant responses.</w:t>
      </w:r>
      <w:r w:rsidRPr="00B00D0C">
        <w:t xml:space="preserve"> </w:t>
      </w:r>
      <w:r>
        <w:t>Examples of the types of pre-scripted and spontaneous probes that will be used in cognitive interviewing as recommended by Willis (2005) are found in Attachment F</w:t>
      </w:r>
      <w:r w:rsidR="00645B77">
        <w:t xml:space="preserve"> (with the probes highlighted to differentiate them from them the rest of the questionnaire). </w:t>
      </w:r>
    </w:p>
    <w:p w14:paraId="1D684855" w14:textId="77777777" w:rsidR="00B00D0C" w:rsidRDefault="00B00D0C" w:rsidP="006774F7">
      <w:pPr>
        <w:widowControl/>
        <w:tabs>
          <w:tab w:val="left" w:pos="630"/>
        </w:tabs>
        <w:ind w:left="630"/>
      </w:pPr>
    </w:p>
    <w:p w14:paraId="44AB9548" w14:textId="0307CE54" w:rsidR="00B00D0C" w:rsidRDefault="006274C2" w:rsidP="006274C2">
      <w:pPr>
        <w:widowControl/>
        <w:tabs>
          <w:tab w:val="left" w:pos="630"/>
        </w:tabs>
        <w:ind w:left="630"/>
      </w:pPr>
      <w:r>
        <w:t xml:space="preserve">For Rounds 1 and 2, the cognitive probes will be administered concurrently, that is immediately after the participant answers the survey question. For Round 3, cognitive interview probes will be administered retrospectively after the participant has answered all SUD questions for a particular substance. </w:t>
      </w:r>
      <w:r w:rsidR="00B00D0C">
        <w:t xml:space="preserve">This approach allows the cognitive interview to more closely mimic that of an actual interview, yet still allow for feedback about how participants understand the questions to be collected. </w:t>
      </w:r>
    </w:p>
    <w:p w14:paraId="55B592CE" w14:textId="77777777" w:rsidR="008C2FC3" w:rsidRDefault="008C2FC3" w:rsidP="006774F7">
      <w:pPr>
        <w:widowControl/>
        <w:tabs>
          <w:tab w:val="left" w:pos="630"/>
        </w:tabs>
        <w:ind w:left="630"/>
      </w:pPr>
    </w:p>
    <w:p w14:paraId="6BD5CFDC" w14:textId="6B616238" w:rsidR="0060594F" w:rsidRPr="009D3114" w:rsidRDefault="007266DE" w:rsidP="006774F7">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0"/>
        <w:rPr>
          <w:rFonts w:ascii="Times New Roman" w:hAnsi="Times New Roman"/>
        </w:rPr>
      </w:pPr>
      <w:r>
        <w:t>After the interview, participants will be thanked, given $</w:t>
      </w:r>
      <w:r w:rsidR="0014762C">
        <w:t xml:space="preserve">40 </w:t>
      </w:r>
      <w:r w:rsidR="00E244D9">
        <w:t>cash</w:t>
      </w:r>
      <w:r w:rsidDel="00CA42E6">
        <w:t xml:space="preserve"> </w:t>
      </w:r>
      <w:r>
        <w:t>as appropriate for their time, and will be give</w:t>
      </w:r>
      <w:r w:rsidR="00AB3ABE">
        <w:t>n a participation receipt form (</w:t>
      </w:r>
      <w:r>
        <w:t xml:space="preserve">Attachment </w:t>
      </w:r>
      <w:r w:rsidR="00543ED4">
        <w:t>G</w:t>
      </w:r>
      <w:r w:rsidR="00AB3ABE">
        <w:t>)</w:t>
      </w:r>
      <w:r>
        <w:t>.</w:t>
      </w:r>
      <w:r w:rsidR="007238F4">
        <w:rPr>
          <w:rFonts w:ascii="Times New Roman" w:hAnsi="Times New Roman"/>
        </w:rPr>
        <w:t xml:space="preserve"> </w:t>
      </w:r>
    </w:p>
    <w:p w14:paraId="04941E17"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3.</w:t>
      </w:r>
      <w:r w:rsidRPr="009D3114">
        <w:rPr>
          <w:rFonts w:ascii="Times New Roman" w:hAnsi="Times New Roman" w:cs="Times New Roman"/>
        </w:rPr>
        <w:tab/>
      </w:r>
      <w:r w:rsidRPr="009D3114">
        <w:rPr>
          <w:rFonts w:ascii="Times New Roman" w:hAnsi="Times New Roman" w:cs="Times New Roman"/>
          <w:u w:val="single"/>
        </w:rPr>
        <w:t>Methods to Maximize Response Rates</w:t>
      </w:r>
      <w:r w:rsidRPr="009D3114">
        <w:rPr>
          <w:rFonts w:ascii="Times New Roman" w:hAnsi="Times New Roman" w:cs="Times New Roman"/>
        </w:rPr>
        <w:t xml:space="preserve"> </w:t>
      </w:r>
    </w:p>
    <w:p w14:paraId="415312E0" w14:textId="77777777" w:rsidR="0034280F" w:rsidRPr="009D3114" w:rsidRDefault="0034280F" w:rsidP="006774F7">
      <w:pPr>
        <w:pStyle w:val="BodyText"/>
        <w:ind w:left="630"/>
        <w:rPr>
          <w:rFonts w:ascii="Times New Roman" w:hAnsi="Times New Roman" w:cs="Times New Roman"/>
        </w:rPr>
      </w:pPr>
      <w:r w:rsidRPr="009D3114">
        <w:rPr>
          <w:rFonts w:ascii="Times New Roman" w:hAnsi="Times New Roman" w:cs="Times New Roman"/>
        </w:rPr>
        <w:t>To assure the participation of the recruited cognitive interviewing participants, each selected person will receive a reminder telephone call the day before the interview with directions to the interview location and an opportunity to ask any questions about the purpose or logistics of the study. The $</w:t>
      </w:r>
      <w:r w:rsidR="0014762C">
        <w:rPr>
          <w:rFonts w:ascii="Times New Roman" w:hAnsi="Times New Roman" w:cs="Times New Roman"/>
        </w:rPr>
        <w:t>4</w:t>
      </w:r>
      <w:r w:rsidR="0014762C" w:rsidRPr="009D3114">
        <w:rPr>
          <w:rFonts w:ascii="Times New Roman" w:hAnsi="Times New Roman" w:cs="Times New Roman"/>
        </w:rPr>
        <w:t xml:space="preserve">0 </w:t>
      </w:r>
      <w:r w:rsidRPr="009D3114">
        <w:rPr>
          <w:rFonts w:ascii="Times New Roman" w:hAnsi="Times New Roman" w:cs="Times New Roman"/>
        </w:rPr>
        <w:t>incentive will also help ensure participation.</w:t>
      </w:r>
    </w:p>
    <w:p w14:paraId="2B07EFE5"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lastRenderedPageBreak/>
        <w:t>4.</w:t>
      </w:r>
      <w:r w:rsidRPr="009D3114">
        <w:rPr>
          <w:rFonts w:ascii="Times New Roman" w:hAnsi="Times New Roman" w:cs="Times New Roman"/>
        </w:rPr>
        <w:tab/>
      </w:r>
      <w:r w:rsidRPr="009D3114">
        <w:rPr>
          <w:rFonts w:ascii="Times New Roman" w:hAnsi="Times New Roman" w:cs="Times New Roman"/>
          <w:u w:val="single"/>
        </w:rPr>
        <w:t>Tests of Procedures</w:t>
      </w:r>
    </w:p>
    <w:p w14:paraId="6A8AF9D5" w14:textId="77777777" w:rsidR="0034280F" w:rsidRPr="009D3114" w:rsidRDefault="007203B2" w:rsidP="006774F7">
      <w:pPr>
        <w:pStyle w:val="BodyText"/>
        <w:ind w:left="630"/>
        <w:rPr>
          <w:rFonts w:ascii="Times New Roman" w:hAnsi="Times New Roman" w:cs="Times New Roman"/>
        </w:rPr>
      </w:pPr>
      <w:r>
        <w:t>The activities to be conducted under this approval are in themselves tests of procedures.</w:t>
      </w:r>
      <w:r w:rsidR="0034280F" w:rsidRPr="009D3114">
        <w:rPr>
          <w:rFonts w:ascii="Times New Roman" w:hAnsi="Times New Roman" w:cs="Times New Roman"/>
        </w:rPr>
        <w:t xml:space="preserve"> </w:t>
      </w:r>
    </w:p>
    <w:p w14:paraId="709F51D1" w14:textId="77777777" w:rsidR="00062ACC" w:rsidRPr="009D3114" w:rsidRDefault="00062ACC" w:rsidP="006774F7">
      <w:pPr>
        <w:pStyle w:val="Heading1"/>
        <w:tabs>
          <w:tab w:val="clear" w:pos="0"/>
        </w:tabs>
        <w:ind w:left="630"/>
        <w:rPr>
          <w:rFonts w:ascii="Times New Roman" w:hAnsi="Times New Roman" w:cs="Times New Roman"/>
        </w:rPr>
      </w:pPr>
      <w:r w:rsidRPr="009D3114">
        <w:rPr>
          <w:rFonts w:ascii="Times New Roman" w:hAnsi="Times New Roman" w:cs="Times New Roman"/>
        </w:rPr>
        <w:t>5.</w:t>
      </w:r>
      <w:r w:rsidRPr="009D3114">
        <w:rPr>
          <w:rFonts w:ascii="Times New Roman" w:hAnsi="Times New Roman" w:cs="Times New Roman"/>
        </w:rPr>
        <w:tab/>
      </w:r>
      <w:r w:rsidRPr="009D3114">
        <w:rPr>
          <w:rFonts w:ascii="Times New Roman" w:hAnsi="Times New Roman" w:cs="Times New Roman"/>
          <w:u w:val="single"/>
        </w:rPr>
        <w:t>Statistical Consultants</w:t>
      </w:r>
    </w:p>
    <w:p w14:paraId="2B12BF48" w14:textId="6FA0DA48" w:rsidR="00C91632" w:rsidRPr="009D3114" w:rsidRDefault="00062ACC" w:rsidP="008C2FC3">
      <w:pPr>
        <w:pStyle w:val="BodyText"/>
        <w:ind w:left="630"/>
        <w:rPr>
          <w:rFonts w:ascii="Times New Roman" w:hAnsi="Times New Roman"/>
        </w:rPr>
      </w:pPr>
      <w:r w:rsidRPr="009D3114">
        <w:rPr>
          <w:rFonts w:ascii="Times New Roman" w:hAnsi="Times New Roman" w:cs="Times New Roman"/>
        </w:rPr>
        <w:t>The basic NSDUH design was reviewed by statistical experts, both within and outside SAMHSA.</w:t>
      </w:r>
      <w:r w:rsidR="00515597" w:rsidRPr="009D3114">
        <w:rPr>
          <w:rFonts w:ascii="Times New Roman" w:hAnsi="Times New Roman" w:cs="Times New Roman"/>
        </w:rPr>
        <w:t xml:space="preserve"> </w:t>
      </w:r>
      <w:r w:rsidRPr="009D3114">
        <w:rPr>
          <w:rFonts w:ascii="Times New Roman" w:hAnsi="Times New Roman" w:cs="Times New Roman"/>
        </w:rPr>
        <w:t xml:space="preserve">Statistical experts reviewing </w:t>
      </w:r>
      <w:r w:rsidR="00C679C1" w:rsidRPr="009D3114">
        <w:rPr>
          <w:rFonts w:ascii="Times New Roman" w:hAnsi="Times New Roman" w:cs="Times New Roman"/>
        </w:rPr>
        <w:t>portions of prior NSDUH</w:t>
      </w:r>
      <w:r w:rsidRPr="009D3114">
        <w:rPr>
          <w:rFonts w:ascii="Times New Roman" w:hAnsi="Times New Roman" w:cs="Times New Roman"/>
        </w:rPr>
        <w:t xml:space="preserve"> designs include William Kalsbeek, PhD, University of North Carolina</w:t>
      </w:r>
      <w:r w:rsidR="005373C7" w:rsidRPr="009D3114">
        <w:rPr>
          <w:rFonts w:ascii="Times New Roman" w:hAnsi="Times New Roman" w:cs="Times New Roman"/>
        </w:rPr>
        <w:t>;</w:t>
      </w:r>
      <w:r w:rsidRPr="009D3114">
        <w:rPr>
          <w:rFonts w:ascii="Times New Roman" w:hAnsi="Times New Roman" w:cs="Times New Roman"/>
        </w:rPr>
        <w:t xml:space="preserve"> Robert Groves, PhD, </w:t>
      </w:r>
      <w:r w:rsidR="00DA608A" w:rsidRPr="009D3114">
        <w:rPr>
          <w:rFonts w:ascii="Times New Roman" w:hAnsi="Times New Roman" w:cs="Times New Roman"/>
        </w:rPr>
        <w:t>Georgetown University</w:t>
      </w:r>
      <w:r w:rsidR="005373C7" w:rsidRPr="009D3114">
        <w:rPr>
          <w:rFonts w:ascii="Times New Roman" w:hAnsi="Times New Roman" w:cs="Times New Roman"/>
        </w:rPr>
        <w:t>;</w:t>
      </w:r>
      <w:r w:rsidRPr="009D3114">
        <w:rPr>
          <w:rFonts w:ascii="Times New Roman" w:hAnsi="Times New Roman" w:cs="Times New Roman"/>
        </w:rPr>
        <w:t xml:space="preserve"> and Michael Hidiroglou, PhD, Statistics Canada.</w:t>
      </w:r>
      <w:r w:rsidR="00515597" w:rsidRPr="009D3114">
        <w:rPr>
          <w:rFonts w:ascii="Times New Roman" w:hAnsi="Times New Roman" w:cs="Times New Roman"/>
        </w:rPr>
        <w:t xml:space="preserve"> </w:t>
      </w:r>
      <w:r w:rsidRPr="009D3114">
        <w:rPr>
          <w:rFonts w:ascii="Times New Roman" w:hAnsi="Times New Roman" w:cs="Times New Roman"/>
        </w:rPr>
        <w:t>Monroe Sirken, PhD, National Center for Health Statistics (NCHS)</w:t>
      </w:r>
      <w:r w:rsidR="00A14785">
        <w:rPr>
          <w:rFonts w:ascii="Times New Roman" w:hAnsi="Times New Roman" w:cs="Times New Roman"/>
        </w:rPr>
        <w:t xml:space="preserve"> (retired)</w:t>
      </w:r>
      <w:r w:rsidR="005373C7" w:rsidRPr="009D3114">
        <w:rPr>
          <w:rFonts w:ascii="Times New Roman" w:hAnsi="Times New Roman" w:cs="Times New Roman"/>
        </w:rPr>
        <w:t>;</w:t>
      </w:r>
      <w:r w:rsidRPr="009D3114">
        <w:rPr>
          <w:rFonts w:ascii="Times New Roman" w:hAnsi="Times New Roman" w:cs="Times New Roman"/>
        </w:rPr>
        <w:t xml:space="preserve"> James Massey, PhD, (deceased) also of NCHS</w:t>
      </w:r>
      <w:r w:rsidR="005373C7" w:rsidRPr="009D3114">
        <w:rPr>
          <w:rFonts w:ascii="Times New Roman" w:hAnsi="Times New Roman" w:cs="Times New Roman"/>
        </w:rPr>
        <w:t>;</w:t>
      </w:r>
      <w:r w:rsidRPr="009D3114">
        <w:rPr>
          <w:rFonts w:ascii="Times New Roman" w:hAnsi="Times New Roman" w:cs="Times New Roman"/>
        </w:rPr>
        <w:t xml:space="preserve"> Douglas Wright, </w:t>
      </w:r>
      <w:r w:rsidR="00EB4DC1" w:rsidRPr="009D3114">
        <w:rPr>
          <w:rFonts w:ascii="Times New Roman" w:hAnsi="Times New Roman" w:cs="Times New Roman"/>
        </w:rPr>
        <w:t>CBHSQ</w:t>
      </w:r>
      <w:r w:rsidRPr="009D3114">
        <w:rPr>
          <w:rFonts w:ascii="Times New Roman" w:hAnsi="Times New Roman" w:cs="Times New Roman"/>
        </w:rPr>
        <w:t>, SAMHSA</w:t>
      </w:r>
      <w:r w:rsidR="003558CE" w:rsidRPr="009D3114">
        <w:rPr>
          <w:rFonts w:ascii="Times New Roman" w:hAnsi="Times New Roman" w:cs="Times New Roman"/>
        </w:rPr>
        <w:t xml:space="preserve"> (retired);</w:t>
      </w:r>
      <w:r w:rsidR="00535733" w:rsidRPr="009D3114">
        <w:rPr>
          <w:rFonts w:ascii="Times New Roman" w:hAnsi="Times New Roman" w:cs="Times New Roman"/>
        </w:rPr>
        <w:t xml:space="preserve"> </w:t>
      </w:r>
      <w:r w:rsidR="000D6AE8" w:rsidRPr="009D3114">
        <w:rPr>
          <w:rFonts w:ascii="Times New Roman" w:hAnsi="Times New Roman" w:cs="Times New Roman"/>
        </w:rPr>
        <w:t xml:space="preserve">Joseph Gfroerer, CBHSQ, SAMHSA (retired); </w:t>
      </w:r>
      <w:r w:rsidR="00535733" w:rsidRPr="009D3114">
        <w:rPr>
          <w:rFonts w:ascii="Times New Roman" w:hAnsi="Times New Roman" w:cs="Times New Roman"/>
        </w:rPr>
        <w:t xml:space="preserve">and Arthur Hughes, </w:t>
      </w:r>
      <w:r w:rsidR="00EB4DC1" w:rsidRPr="009D3114">
        <w:rPr>
          <w:rFonts w:ascii="Times New Roman" w:hAnsi="Times New Roman" w:cs="Times New Roman"/>
        </w:rPr>
        <w:t>CBHSQ</w:t>
      </w:r>
      <w:r w:rsidR="00535733" w:rsidRPr="009D3114">
        <w:rPr>
          <w:rFonts w:ascii="Times New Roman" w:hAnsi="Times New Roman" w:cs="Times New Roman"/>
        </w:rPr>
        <w:t>, SAMHSA</w:t>
      </w:r>
      <w:r w:rsidRPr="009D3114">
        <w:rPr>
          <w:rFonts w:ascii="Times New Roman" w:hAnsi="Times New Roman" w:cs="Times New Roman"/>
        </w:rPr>
        <w:t xml:space="preserve"> were consulted on the 1992 and subsequent </w:t>
      </w:r>
      <w:r w:rsidR="00957517" w:rsidRPr="009D3114">
        <w:rPr>
          <w:rFonts w:ascii="Times New Roman" w:hAnsi="Times New Roman" w:cs="Times New Roman"/>
        </w:rPr>
        <w:t>survey</w:t>
      </w:r>
      <w:r w:rsidRPr="009D3114">
        <w:rPr>
          <w:rFonts w:ascii="Times New Roman" w:hAnsi="Times New Roman" w:cs="Times New Roman"/>
        </w:rPr>
        <w:t xml:space="preserve"> designs.</w:t>
      </w:r>
      <w:r w:rsidR="00515597" w:rsidRPr="009D3114">
        <w:rPr>
          <w:rFonts w:ascii="Times New Roman" w:hAnsi="Times New Roman" w:cs="Times New Roman"/>
        </w:rPr>
        <w:t xml:space="preserve"> </w:t>
      </w:r>
      <w:r w:rsidR="00DA608A" w:rsidRPr="009D3114">
        <w:rPr>
          <w:rFonts w:ascii="Times New Roman" w:hAnsi="Times New Roman" w:cs="Times New Roman"/>
        </w:rPr>
        <w:t>Peter Tice</w:t>
      </w:r>
      <w:r w:rsidR="00C0094B" w:rsidRPr="009D3114">
        <w:rPr>
          <w:rFonts w:ascii="Times New Roman" w:hAnsi="Times New Roman" w:cs="Times New Roman"/>
        </w:rPr>
        <w:t xml:space="preserve">, </w:t>
      </w:r>
      <w:r w:rsidR="00EB4DC1" w:rsidRPr="009D3114">
        <w:rPr>
          <w:rFonts w:ascii="Times New Roman" w:hAnsi="Times New Roman" w:cs="Times New Roman"/>
        </w:rPr>
        <w:t>CBHSQ</w:t>
      </w:r>
      <w:r w:rsidR="00C0094B" w:rsidRPr="009D3114">
        <w:rPr>
          <w:rFonts w:ascii="Times New Roman" w:hAnsi="Times New Roman" w:cs="Times New Roman"/>
        </w:rPr>
        <w:t>, SAMHSA is the Government Project Officer, (</w:t>
      </w:r>
      <w:r w:rsidR="00D76C7F" w:rsidRPr="009D3114">
        <w:rPr>
          <w:rFonts w:ascii="Times New Roman" w:hAnsi="Times New Roman" w:cs="Times New Roman"/>
        </w:rPr>
        <w:t>240</w:t>
      </w:r>
      <w:r w:rsidR="00C0094B" w:rsidRPr="009D3114">
        <w:rPr>
          <w:rFonts w:ascii="Times New Roman" w:hAnsi="Times New Roman" w:cs="Times New Roman"/>
        </w:rPr>
        <w:t xml:space="preserve">) </w:t>
      </w:r>
      <w:r w:rsidR="00D76C7F" w:rsidRPr="009D3114">
        <w:rPr>
          <w:rFonts w:ascii="Times New Roman" w:hAnsi="Times New Roman" w:cs="Times New Roman"/>
        </w:rPr>
        <w:t>276</w:t>
      </w:r>
      <w:r w:rsidR="00C0094B" w:rsidRPr="009D3114">
        <w:rPr>
          <w:rFonts w:ascii="Times New Roman" w:hAnsi="Times New Roman" w:cs="Times New Roman"/>
        </w:rPr>
        <w:t>-</w:t>
      </w:r>
      <w:r w:rsidR="00D76C7F" w:rsidRPr="009D3114">
        <w:rPr>
          <w:rFonts w:ascii="Times New Roman" w:hAnsi="Times New Roman" w:cs="Times New Roman"/>
        </w:rPr>
        <w:t>12</w:t>
      </w:r>
      <w:r w:rsidR="00DA608A" w:rsidRPr="009D3114">
        <w:rPr>
          <w:rFonts w:ascii="Times New Roman" w:hAnsi="Times New Roman" w:cs="Times New Roman"/>
        </w:rPr>
        <w:t>5</w:t>
      </w:r>
      <w:r w:rsidR="00535733" w:rsidRPr="009D3114">
        <w:rPr>
          <w:rFonts w:ascii="Times New Roman" w:hAnsi="Times New Roman" w:cs="Times New Roman"/>
        </w:rPr>
        <w:t>4</w:t>
      </w:r>
      <w:r w:rsidR="00C0094B" w:rsidRPr="009D3114">
        <w:rPr>
          <w:rFonts w:ascii="Times New Roman" w:hAnsi="Times New Roman" w:cs="Times New Roman"/>
        </w:rPr>
        <w:t>.</w:t>
      </w:r>
      <w:r w:rsidR="00515597" w:rsidRPr="009D3114">
        <w:rPr>
          <w:rFonts w:ascii="Times New Roman" w:hAnsi="Times New Roman" w:cs="Times New Roman"/>
        </w:rPr>
        <w:t xml:space="preserve"> </w:t>
      </w:r>
      <w:r w:rsidR="005B0DD9" w:rsidRPr="009D3114">
        <w:rPr>
          <w:rFonts w:ascii="Times New Roman" w:hAnsi="Times New Roman" w:cs="Times New Roman"/>
        </w:rPr>
        <w:t>Arthur Hughes</w:t>
      </w:r>
      <w:r w:rsidRPr="009D3114">
        <w:rPr>
          <w:rFonts w:ascii="Times New Roman" w:hAnsi="Times New Roman" w:cs="Times New Roman"/>
        </w:rPr>
        <w:t xml:space="preserve">, </w:t>
      </w:r>
      <w:r w:rsidR="00EB4DC1" w:rsidRPr="009D3114">
        <w:rPr>
          <w:rFonts w:ascii="Times New Roman" w:hAnsi="Times New Roman" w:cs="Times New Roman"/>
        </w:rPr>
        <w:t>CBHSQ</w:t>
      </w:r>
      <w:r w:rsidRPr="009D3114">
        <w:rPr>
          <w:rFonts w:ascii="Times New Roman" w:hAnsi="Times New Roman" w:cs="Times New Roman"/>
        </w:rPr>
        <w:t>, SAMHSA is the primary mathematical statistician responsible for overall project management, (</w:t>
      </w:r>
      <w:r w:rsidR="00D76C7F" w:rsidRPr="009D3114">
        <w:rPr>
          <w:rFonts w:ascii="Times New Roman" w:hAnsi="Times New Roman" w:cs="Times New Roman"/>
        </w:rPr>
        <w:t>240</w:t>
      </w:r>
      <w:r w:rsidRPr="009D3114">
        <w:rPr>
          <w:rFonts w:ascii="Times New Roman" w:hAnsi="Times New Roman" w:cs="Times New Roman"/>
        </w:rPr>
        <w:t xml:space="preserve">) </w:t>
      </w:r>
      <w:r w:rsidR="00D76C7F" w:rsidRPr="009D3114">
        <w:rPr>
          <w:rFonts w:ascii="Times New Roman" w:hAnsi="Times New Roman" w:cs="Times New Roman"/>
        </w:rPr>
        <w:t>276</w:t>
      </w:r>
      <w:r w:rsidRPr="009D3114">
        <w:rPr>
          <w:rFonts w:ascii="Times New Roman" w:hAnsi="Times New Roman" w:cs="Times New Roman"/>
        </w:rPr>
        <w:t>-</w:t>
      </w:r>
      <w:r w:rsidR="00D76C7F" w:rsidRPr="009D3114">
        <w:rPr>
          <w:rFonts w:ascii="Times New Roman" w:hAnsi="Times New Roman" w:cs="Times New Roman"/>
        </w:rPr>
        <w:t>1262</w:t>
      </w:r>
      <w:r w:rsidRPr="009D3114">
        <w:rPr>
          <w:rFonts w:ascii="Times New Roman" w:hAnsi="Times New Roman" w:cs="Times New Roman"/>
        </w:rPr>
        <w:t>.</w:t>
      </w:r>
      <w:r w:rsidR="00515597" w:rsidRPr="009D3114">
        <w:rPr>
          <w:rFonts w:ascii="Times New Roman" w:hAnsi="Times New Roman" w:cs="Times New Roman"/>
        </w:rPr>
        <w:t xml:space="preserve"> </w:t>
      </w:r>
      <w:r w:rsidRPr="009D3114">
        <w:rPr>
          <w:rFonts w:ascii="Times New Roman" w:hAnsi="Times New Roman" w:cs="Times New Roman"/>
        </w:rPr>
        <w:t xml:space="preserve">RTI </w:t>
      </w:r>
      <w:r w:rsidR="00087B38" w:rsidRPr="009D3114">
        <w:rPr>
          <w:rFonts w:ascii="Times New Roman" w:hAnsi="Times New Roman" w:cs="Times New Roman"/>
        </w:rPr>
        <w:t xml:space="preserve">senior </w:t>
      </w:r>
      <w:r w:rsidRPr="009D3114">
        <w:rPr>
          <w:rFonts w:ascii="Times New Roman" w:hAnsi="Times New Roman" w:cs="Times New Roman"/>
        </w:rPr>
        <w:t xml:space="preserve">statisticians contributing to the design are </w:t>
      </w:r>
      <w:r w:rsidR="008C2FC3">
        <w:rPr>
          <w:rFonts w:ascii="Times New Roman" w:hAnsi="Times New Roman" w:cs="Times New Roman"/>
        </w:rPr>
        <w:t xml:space="preserve">Paul Biemer, PhD, </w:t>
      </w:r>
      <w:r w:rsidRPr="009D3114">
        <w:rPr>
          <w:rFonts w:ascii="Times New Roman" w:hAnsi="Times New Roman" w:cs="Times New Roman"/>
        </w:rPr>
        <w:t>James Chromy</w:t>
      </w:r>
      <w:r w:rsidR="003558CE" w:rsidRPr="009D3114">
        <w:rPr>
          <w:rFonts w:ascii="Times New Roman" w:hAnsi="Times New Roman" w:cs="Times New Roman"/>
        </w:rPr>
        <w:t>, PhD,</w:t>
      </w:r>
      <w:r w:rsidRPr="009D3114">
        <w:rPr>
          <w:rFonts w:ascii="Times New Roman" w:hAnsi="Times New Roman" w:cs="Times New Roman"/>
        </w:rPr>
        <w:t xml:space="preserve"> Ralph Folsom</w:t>
      </w:r>
      <w:r w:rsidR="003558CE" w:rsidRPr="009D3114">
        <w:rPr>
          <w:rFonts w:ascii="Times New Roman" w:hAnsi="Times New Roman" w:cs="Times New Roman"/>
        </w:rPr>
        <w:t>, PhD</w:t>
      </w:r>
      <w:r w:rsidR="008C2FC3">
        <w:rPr>
          <w:rFonts w:ascii="Times New Roman" w:hAnsi="Times New Roman" w:cs="Times New Roman"/>
        </w:rPr>
        <w:t>, and Rachel Harter, PhD</w:t>
      </w:r>
      <w:r w:rsidR="00087B38" w:rsidRPr="009D3114">
        <w:rPr>
          <w:rFonts w:ascii="Times New Roman" w:hAnsi="Times New Roman" w:cs="Times New Roman"/>
        </w:rPr>
        <w:t>.</w:t>
      </w:r>
    </w:p>
    <w:p w14:paraId="5F424DDD" w14:textId="77777777" w:rsidR="00062ACC" w:rsidRPr="009D3114" w:rsidRDefault="001A1370" w:rsidP="006774F7">
      <w:pPr>
        <w:pStyle w:val="apptitle"/>
        <w:tabs>
          <w:tab w:val="clear" w:pos="0"/>
        </w:tabs>
        <w:ind w:left="630"/>
        <w:rPr>
          <w:rFonts w:ascii="Times New Roman" w:hAnsi="Times New Roman" w:cs="Times New Roman"/>
        </w:rPr>
      </w:pPr>
      <w:r w:rsidRPr="009D3114">
        <w:rPr>
          <w:rFonts w:ascii="Times New Roman" w:hAnsi="Times New Roman" w:cs="Times New Roman"/>
        </w:rPr>
        <w:lastRenderedPageBreak/>
        <w:t>Attachments</w:t>
      </w:r>
    </w:p>
    <w:p w14:paraId="0DB2080E" w14:textId="77777777" w:rsidR="00071B16" w:rsidRPr="009D3114" w:rsidRDefault="00071B16" w:rsidP="003A7C4A">
      <w:pPr>
        <w:pStyle w:val="BodyText"/>
        <w:tabs>
          <w:tab w:val="left" w:pos="2880"/>
        </w:tabs>
        <w:ind w:left="2520"/>
        <w:rPr>
          <w:rFonts w:ascii="Times New Roman" w:hAnsi="Times New Roman" w:cs="Times New Roman"/>
        </w:rPr>
      </w:pPr>
    </w:p>
    <w:p w14:paraId="01EBC2BA" w14:textId="6694D986" w:rsidR="007203B2" w:rsidRPr="003431D4"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A  </w:t>
      </w:r>
      <w:r w:rsidRPr="003431D4">
        <w:tab/>
        <w:t>Recruitment Flyers</w:t>
      </w:r>
    </w:p>
    <w:p w14:paraId="4C9A118B" w14:textId="77777777" w:rsidR="007203B2" w:rsidRPr="003431D4"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4D9FCF46" w14:textId="7769CF5B" w:rsidR="007203B2"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B  </w:t>
      </w:r>
      <w:r w:rsidRPr="003431D4">
        <w:tab/>
      </w:r>
      <w:r w:rsidR="00543ED4">
        <w:t>Web</w:t>
      </w:r>
      <w:r>
        <w:t xml:space="preserve"> </w:t>
      </w:r>
      <w:r w:rsidRPr="003431D4">
        <w:t xml:space="preserve">Recruitment </w:t>
      </w:r>
      <w:r w:rsidR="007F6BB8">
        <w:t>Screener</w:t>
      </w:r>
    </w:p>
    <w:p w14:paraId="06DF8FBE" w14:textId="77777777" w:rsidR="00543ED4" w:rsidRPr="003431D4" w:rsidRDefault="00543ED4"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499A214C" w14:textId="3144C28E" w:rsidR="007203B2" w:rsidRDefault="00543ED4"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C </w:t>
      </w:r>
      <w:r w:rsidRPr="003431D4">
        <w:tab/>
      </w:r>
      <w:r>
        <w:t>Telephone Recruitment Screener</w:t>
      </w:r>
    </w:p>
    <w:p w14:paraId="38FC4012" w14:textId="77777777" w:rsidR="00543ED4" w:rsidRPr="003431D4" w:rsidRDefault="00543ED4"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4032B5C0" w14:textId="35E89C06" w:rsidR="007203B2" w:rsidRPr="003431D4"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543ED4">
        <w:t>D</w:t>
      </w:r>
      <w:r w:rsidR="00543ED4" w:rsidRPr="003431D4">
        <w:t xml:space="preserve"> </w:t>
      </w:r>
      <w:r w:rsidRPr="003431D4">
        <w:tab/>
        <w:t xml:space="preserve">Parental </w:t>
      </w:r>
      <w:r>
        <w:t>Permission Form</w:t>
      </w:r>
    </w:p>
    <w:p w14:paraId="74735DF7" w14:textId="77777777" w:rsidR="007203B2" w:rsidRPr="003431D4"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08E8B70F" w14:textId="37B6753C" w:rsidR="007203B2" w:rsidRPr="003431D4"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543ED4">
        <w:t>E</w:t>
      </w:r>
      <w:r w:rsidR="00543ED4" w:rsidRPr="003431D4">
        <w:t xml:space="preserve"> </w:t>
      </w:r>
      <w:r w:rsidRPr="003431D4">
        <w:t xml:space="preserve"> </w:t>
      </w:r>
      <w:r w:rsidRPr="003431D4">
        <w:tab/>
        <w:t>Participant Informed Consent</w:t>
      </w:r>
      <w:r>
        <w:t>/Assent</w:t>
      </w:r>
      <w:r w:rsidRPr="003431D4">
        <w:t xml:space="preserve"> Forms</w:t>
      </w:r>
    </w:p>
    <w:p w14:paraId="62C36455" w14:textId="77777777" w:rsidR="007203B2" w:rsidRPr="003431D4"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7CECFF52" w14:textId="6DBC5D94" w:rsidR="007203B2"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543ED4">
        <w:t>F</w:t>
      </w:r>
      <w:r w:rsidR="00543ED4" w:rsidRPr="003431D4">
        <w:t xml:space="preserve"> </w:t>
      </w:r>
      <w:r w:rsidRPr="003431D4">
        <w:tab/>
        <w:t xml:space="preserve">Protocol for Cognitive Interviews </w:t>
      </w:r>
    </w:p>
    <w:p w14:paraId="2B0BE2F4" w14:textId="77777777" w:rsidR="007203B2"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020E6F5B" w14:textId="6E5EEE59" w:rsidR="000B2A52" w:rsidRDefault="007203B2"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543ED4">
        <w:t>G</w:t>
      </w:r>
      <w:r w:rsidR="00543ED4" w:rsidRPr="003431D4">
        <w:t xml:space="preserve"> </w:t>
      </w:r>
      <w:r w:rsidRPr="003431D4">
        <w:tab/>
      </w:r>
      <w:r>
        <w:t xml:space="preserve">Cognitive Interview </w:t>
      </w:r>
      <w:r w:rsidRPr="003431D4">
        <w:t>Receipt for Participation</w:t>
      </w:r>
    </w:p>
    <w:p w14:paraId="12020092" w14:textId="77777777" w:rsidR="00AB3ABE" w:rsidRDefault="00AB3ABE"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14:paraId="71DCAF30" w14:textId="3A39AF96" w:rsidR="00AB3ABE" w:rsidRPr="007203B2" w:rsidRDefault="00AB3ABE"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Attachment H</w:t>
      </w:r>
      <w:r>
        <w:tab/>
        <w:t>Federalwide Assurance</w:t>
      </w:r>
    </w:p>
    <w:p w14:paraId="7ED298D2" w14:textId="77777777" w:rsidR="00062ACC" w:rsidRPr="009D3114" w:rsidRDefault="00062ACC"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color w:val="000000" w:themeColor="text1"/>
        </w:rPr>
      </w:pPr>
    </w:p>
    <w:p w14:paraId="703DBB48" w14:textId="12748A1C" w:rsidR="00C92EAE" w:rsidRPr="009D3114" w:rsidRDefault="00D63EE6" w:rsidP="003A7C4A">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color w:val="000000" w:themeColor="text1"/>
        </w:rPr>
      </w:pPr>
      <w:r w:rsidRPr="003431D4">
        <w:t xml:space="preserve">Attachment </w:t>
      </w:r>
      <w:r w:rsidR="00AB3ABE">
        <w:t>I</w:t>
      </w:r>
      <w:r w:rsidR="00543ED4" w:rsidRPr="003431D4">
        <w:t xml:space="preserve"> </w:t>
      </w:r>
      <w:r w:rsidRPr="003431D4">
        <w:tab/>
      </w:r>
      <w:r>
        <w:t>Cognitive Interview Survey Questions</w:t>
      </w:r>
    </w:p>
    <w:p w14:paraId="0B46A7D4" w14:textId="77777777" w:rsidR="001A7833" w:rsidRPr="009D3114" w:rsidRDefault="001A7833" w:rsidP="003A7C4A">
      <w:pPr>
        <w:widowControl/>
        <w:autoSpaceDE/>
        <w:autoSpaceDN/>
        <w:adjustRightInd/>
        <w:ind w:left="2520"/>
        <w:rPr>
          <w:rFonts w:ascii="Times New Roman" w:hAnsi="Times New Roman"/>
          <w:b/>
          <w:color w:val="000000" w:themeColor="text1"/>
        </w:rPr>
      </w:pPr>
      <w:r w:rsidRPr="009D3114">
        <w:rPr>
          <w:rFonts w:ascii="Times New Roman" w:hAnsi="Times New Roman"/>
          <w:b/>
          <w:color w:val="000000" w:themeColor="text1"/>
        </w:rPr>
        <w:br w:type="page"/>
      </w:r>
    </w:p>
    <w:p w14:paraId="30A12E6F" w14:textId="77777777" w:rsidR="00AE21BB" w:rsidRPr="009D3114" w:rsidRDefault="007306DF" w:rsidP="006774F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28"/>
          <w:szCs w:val="28"/>
        </w:rPr>
      </w:pPr>
      <w:r w:rsidRPr="009D3114">
        <w:rPr>
          <w:rFonts w:ascii="Times New Roman" w:hAnsi="Times New Roman"/>
          <w:b/>
          <w:color w:val="000000" w:themeColor="text1"/>
          <w:sz w:val="28"/>
          <w:szCs w:val="28"/>
        </w:rPr>
        <w:lastRenderedPageBreak/>
        <w:t>R</w:t>
      </w:r>
      <w:r w:rsidR="00AE21BB" w:rsidRPr="009D3114">
        <w:rPr>
          <w:rFonts w:ascii="Times New Roman" w:hAnsi="Times New Roman"/>
          <w:b/>
          <w:color w:val="000000" w:themeColor="text1"/>
          <w:sz w:val="28"/>
          <w:szCs w:val="28"/>
        </w:rPr>
        <w:t>eferences</w:t>
      </w:r>
    </w:p>
    <w:p w14:paraId="327F1791" w14:textId="77777777" w:rsidR="00AE21BB" w:rsidRPr="00675964" w:rsidRDefault="00AE21BB" w:rsidP="006774F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Times New Roman" w:hAnsi="Times New Roman"/>
          <w:b/>
          <w:color w:val="000000" w:themeColor="text1"/>
        </w:rPr>
      </w:pPr>
    </w:p>
    <w:p w14:paraId="127D55FF" w14:textId="168137F8" w:rsidR="00F67419" w:rsidRDefault="00F67419" w:rsidP="006774F7">
      <w:pPr>
        <w:pStyle w:val="BodyText"/>
        <w:ind w:left="630"/>
      </w:pPr>
      <w:r>
        <w:t>American Psychi</w:t>
      </w:r>
      <w:r w:rsidRPr="00A14785">
        <w:t xml:space="preserve">atric Association. (2013). </w:t>
      </w:r>
      <w:r w:rsidRPr="00A14785">
        <w:rPr>
          <w:i/>
          <w:iCs/>
        </w:rPr>
        <w:t>Diagnostic and statistical manual of mental disorders</w:t>
      </w:r>
      <w:r w:rsidR="00A14785" w:rsidRPr="00A14785">
        <w:rPr>
          <w:iCs/>
        </w:rPr>
        <w:t xml:space="preserve"> (5th ed.). Washington, DC: </w:t>
      </w:r>
      <w:r>
        <w:t>Author.</w:t>
      </w:r>
    </w:p>
    <w:p w14:paraId="50B7D4D7" w14:textId="6D58DE37" w:rsidR="007203B2" w:rsidRDefault="007203B2" w:rsidP="006774F7">
      <w:pPr>
        <w:pStyle w:val="BodyText"/>
        <w:ind w:left="630"/>
      </w:pPr>
      <w:r w:rsidRPr="00BA0D97">
        <w:t xml:space="preserve">Beatty, P. (2004). The dynamics of cognitive interviewing. In S. Presser, J. Rothgeb, M. Couper, J. Lessler, E. Martin, J. Martin, and E. Singer (Eds.), Methods for Testing and Evaluating Survey Questionnaires (pp. 45-66). </w:t>
      </w:r>
      <w:smartTag w:uri="urn:schemas-microsoft-com:office:smarttags" w:element="place">
        <w:smartTag w:uri="urn:schemas-microsoft-com:office:smarttags" w:element="State">
          <w:r w:rsidRPr="00BA0D97">
            <w:t>New York</w:t>
          </w:r>
        </w:smartTag>
      </w:smartTag>
      <w:r w:rsidRPr="00BA0D97">
        <w:t>: John Wiley &amp; Sons.</w:t>
      </w:r>
    </w:p>
    <w:p w14:paraId="376D1AAA" w14:textId="77777777" w:rsidR="007203B2" w:rsidRPr="00BA0D97" w:rsidRDefault="007203B2" w:rsidP="006774F7">
      <w:pPr>
        <w:pStyle w:val="BodyText"/>
        <w:ind w:left="630"/>
      </w:pPr>
      <w:r w:rsidRPr="00BA0D97">
        <w:t>Forsyth, B.</w:t>
      </w:r>
      <w:r>
        <w:t xml:space="preserve"> </w:t>
      </w:r>
      <w:r w:rsidRPr="00BA0D97">
        <w:t xml:space="preserve">H. </w:t>
      </w:r>
      <w:r>
        <w:t>&amp;</w:t>
      </w:r>
      <w:r w:rsidRPr="00BA0D97">
        <w:t xml:space="preserve"> Lessler, J.</w:t>
      </w:r>
      <w:r>
        <w:t xml:space="preserve"> </w:t>
      </w:r>
      <w:r w:rsidRPr="00BA0D97">
        <w:t xml:space="preserve">T.  (1991) Cognitive Laboratory Methods:  A Taxonomy.  In Measurement Error in Surveys.  P.P Biemer, </w:t>
      </w:r>
      <w:smartTag w:uri="urn:schemas-microsoft-com:office:smarttags" w:element="place">
        <w:smartTag w:uri="urn:schemas-microsoft-com:office:smarttags" w:element="PlaceName">
          <w:r w:rsidRPr="00BA0D97">
            <w:t>R.M.</w:t>
          </w:r>
        </w:smartTag>
        <w:r w:rsidRPr="00BA0D97">
          <w:t xml:space="preserve"> </w:t>
        </w:r>
        <w:smartTag w:uri="urn:schemas-microsoft-com:office:smarttags" w:element="PlaceType">
          <w:r w:rsidRPr="00BA0D97">
            <w:t>Groves</w:t>
          </w:r>
        </w:smartTag>
      </w:smartTag>
      <w:r w:rsidRPr="00BA0D97">
        <w:t>, L.E. Lyberg, N.A. Mathiowitz</w:t>
      </w:r>
      <w:r>
        <w:t>,</w:t>
      </w:r>
      <w:r w:rsidRPr="00BA0D97">
        <w:t xml:space="preserve"> </w:t>
      </w:r>
      <w:r>
        <w:t>&amp;</w:t>
      </w:r>
      <w:r w:rsidRPr="00BA0D97">
        <w:t xml:space="preserve"> S. Sudman (eds).  </w:t>
      </w:r>
      <w:smartTag w:uri="urn:schemas-microsoft-com:office:smarttags" w:element="State">
        <w:smartTag w:uri="urn:schemas-microsoft-com:office:smarttags" w:element="place">
          <w:r w:rsidRPr="00BA0D97">
            <w:t>New York</w:t>
          </w:r>
        </w:smartTag>
      </w:smartTag>
      <w:r w:rsidRPr="00BA0D97">
        <w:t>, Wiley, 393</w:t>
      </w:r>
      <w:r>
        <w:t>-418.</w:t>
      </w:r>
    </w:p>
    <w:p w14:paraId="6FA4CE70" w14:textId="77777777" w:rsidR="00CC738A" w:rsidRPr="009A4FE0" w:rsidRDefault="00CC738A" w:rsidP="006774F7">
      <w:pPr>
        <w:pStyle w:val="BodyText"/>
        <w:ind w:left="630"/>
      </w:pPr>
      <w:r w:rsidRPr="009A4FE0">
        <w:t xml:space="preserve">Willis, G. B. (2005). </w:t>
      </w:r>
      <w:r w:rsidRPr="003431D4">
        <w:rPr>
          <w:i/>
        </w:rPr>
        <w:t>Cognitive Interviewing: A Tool for Improving Questionnaire Design</w:t>
      </w:r>
      <w:r>
        <w:t xml:space="preserve"> (p. 144)</w:t>
      </w:r>
      <w:r w:rsidRPr="009A4FE0">
        <w:t>. Sage Publi</w:t>
      </w:r>
      <w:r>
        <w:t>cations, Inc.</w:t>
      </w:r>
      <w:r w:rsidRPr="009A4FE0">
        <w:t xml:space="preserve">: </w:t>
      </w:r>
      <w:smartTag w:uri="urn:schemas-microsoft-com:office:smarttags" w:element="place">
        <w:smartTag w:uri="urn:schemas-microsoft-com:office:smarttags" w:element="City">
          <w:r w:rsidRPr="009A4FE0">
            <w:t>Thousand Oaks</w:t>
          </w:r>
        </w:smartTag>
        <w:r w:rsidRPr="009A4FE0">
          <w:t xml:space="preserve">, </w:t>
        </w:r>
        <w:smartTag w:uri="urn:schemas-microsoft-com:office:smarttags" w:element="State">
          <w:r w:rsidRPr="009A4FE0">
            <w:t>CA</w:t>
          </w:r>
        </w:smartTag>
      </w:smartTag>
      <w:r>
        <w:t>.</w:t>
      </w:r>
    </w:p>
    <w:p w14:paraId="209080FF" w14:textId="77777777" w:rsidR="00D04863" w:rsidRPr="009D3114" w:rsidRDefault="00D04863" w:rsidP="006774F7">
      <w:pPr>
        <w:pStyle w:val="ReferenceCitation"/>
        <w:ind w:left="630" w:firstLine="0"/>
      </w:pPr>
    </w:p>
    <w:sectPr w:rsidR="00D04863" w:rsidRPr="009D3114" w:rsidSect="00281A1C">
      <w:footerReference w:type="default" r:id="rId9"/>
      <w:type w:val="nextColumn"/>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E1B58" w14:textId="77777777" w:rsidR="0036012B" w:rsidRDefault="0036012B">
      <w:r>
        <w:separator/>
      </w:r>
    </w:p>
  </w:endnote>
  <w:endnote w:type="continuationSeparator" w:id="0">
    <w:p w14:paraId="6141A804" w14:textId="77777777" w:rsidR="0036012B" w:rsidRDefault="0036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Kabel Bk BT">
    <w:altName w:val="Century Gothic"/>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sig w:usb0="00000003" w:usb1="00000000" w:usb2="00000000" w:usb3="00000000" w:csb0="00000001" w:csb1="00000000"/>
  </w:font>
  <w:font w:name="Times New Roman Italic">
    <w:panose1 w:val="0202050305040509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E216" w14:textId="77777777" w:rsidR="00645B77" w:rsidRPr="00223A54" w:rsidRDefault="00645B77" w:rsidP="00223A54">
    <w:pPr>
      <w:pStyle w:val="Footer"/>
      <w:jc w:val="center"/>
    </w:pPr>
    <w:r>
      <w:fldChar w:fldCharType="begin"/>
    </w:r>
    <w:r>
      <w:instrText xml:space="preserve"> PAGE   \* MERGEFORMAT </w:instrText>
    </w:r>
    <w:r>
      <w:fldChar w:fldCharType="separate"/>
    </w:r>
    <w:r w:rsidR="00D30C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CFB8F" w14:textId="77777777" w:rsidR="0036012B" w:rsidRDefault="0036012B">
      <w:r>
        <w:separator/>
      </w:r>
    </w:p>
  </w:footnote>
  <w:footnote w:type="continuationSeparator" w:id="0">
    <w:p w14:paraId="4C4DE6C9" w14:textId="77777777" w:rsidR="0036012B" w:rsidRDefault="00360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E4227"/>
    <w:multiLevelType w:val="hybridMultilevel"/>
    <w:tmpl w:val="1A2689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C36719"/>
    <w:multiLevelType w:val="hybridMultilevel"/>
    <w:tmpl w:val="0D943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4C3EF5"/>
    <w:multiLevelType w:val="hybridMultilevel"/>
    <w:tmpl w:val="E806C0F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1B5E1D"/>
    <w:multiLevelType w:val="hybridMultilevel"/>
    <w:tmpl w:val="71AC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13">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57C18EC"/>
    <w:multiLevelType w:val="hybridMultilevel"/>
    <w:tmpl w:val="747A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C12BD6"/>
    <w:multiLevelType w:val="hybridMultilevel"/>
    <w:tmpl w:val="D85E2CC6"/>
    <w:lvl w:ilvl="0" w:tplc="CCD23700">
      <w:start w:val="1"/>
      <w:numFmt w:val="decimal"/>
      <w:lvlText w:val="%1."/>
      <w:lvlJc w:val="left"/>
      <w:pPr>
        <w:ind w:left="720" w:hanging="360"/>
      </w:pPr>
      <w:rPr>
        <w:rFonts w:ascii="Times New Roman" w:hAnsi="Times New Roman" w:cs="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748C0"/>
    <w:multiLevelType w:val="hybridMultilevel"/>
    <w:tmpl w:val="59D8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6746C4"/>
    <w:multiLevelType w:val="hybridMultilevel"/>
    <w:tmpl w:val="38683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85B0B40"/>
    <w:multiLevelType w:val="hybridMultilevel"/>
    <w:tmpl w:val="B328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8114E2D"/>
    <w:multiLevelType w:val="hybridMultilevel"/>
    <w:tmpl w:val="D4B6D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ACC2074"/>
    <w:multiLevelType w:val="hybridMultilevel"/>
    <w:tmpl w:val="54C80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8">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30">
    <w:nsid w:val="6712695C"/>
    <w:multiLevelType w:val="hybridMultilevel"/>
    <w:tmpl w:val="6BE6CA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92D3B53"/>
    <w:multiLevelType w:val="hybridMultilevel"/>
    <w:tmpl w:val="2FD8E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536FE9"/>
    <w:multiLevelType w:val="hybridMultilevel"/>
    <w:tmpl w:val="2CC024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2"/>
  </w:num>
  <w:num w:numId="2">
    <w:abstractNumId w:val="27"/>
  </w:num>
  <w:num w:numId="3">
    <w:abstractNumId w:val="29"/>
  </w:num>
  <w:num w:numId="4">
    <w:abstractNumId w:val="10"/>
  </w:num>
  <w:num w:numId="5">
    <w:abstractNumId w:val="24"/>
  </w:num>
  <w:num w:numId="6">
    <w:abstractNumId w:val="7"/>
  </w:num>
  <w:num w:numId="7">
    <w:abstractNumId w:val="23"/>
  </w:num>
  <w:num w:numId="8">
    <w:abstractNumId w:val="4"/>
  </w:num>
  <w:num w:numId="9">
    <w:abstractNumId w:val="28"/>
  </w:num>
  <w:num w:numId="10">
    <w:abstractNumId w:val="15"/>
  </w:num>
  <w:num w:numId="11">
    <w:abstractNumId w:val="5"/>
  </w:num>
  <w:num w:numId="12">
    <w:abstractNumId w:val="16"/>
  </w:num>
  <w:num w:numId="13">
    <w:abstractNumId w:val="14"/>
  </w:num>
  <w:num w:numId="14">
    <w:abstractNumId w:val="32"/>
  </w:num>
  <w:num w:numId="15">
    <w:abstractNumId w:val="22"/>
  </w:num>
  <w:num w:numId="16">
    <w:abstractNumId w:val="13"/>
  </w:num>
  <w:num w:numId="17">
    <w:abstractNumId w:val="25"/>
  </w:num>
  <w:num w:numId="18">
    <w:abstractNumId w:val="19"/>
  </w:num>
  <w:num w:numId="19">
    <w:abstractNumId w:val="26"/>
  </w:num>
  <w:num w:numId="20">
    <w:abstractNumId w:val="11"/>
  </w:num>
  <w:num w:numId="21">
    <w:abstractNumId w:val="9"/>
  </w:num>
  <w:num w:numId="22">
    <w:abstractNumId w:val="31"/>
  </w:num>
  <w:num w:numId="23">
    <w:abstractNumId w:val="17"/>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num>
  <w:num w:numId="28">
    <w:abstractNumId w:val="18"/>
  </w:num>
  <w:num w:numId="29">
    <w:abstractNumId w:val="8"/>
  </w:num>
  <w:num w:numId="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3"/>
    <w:rsid w:val="000007AE"/>
    <w:rsid w:val="00000CB6"/>
    <w:rsid w:val="00001272"/>
    <w:rsid w:val="00001798"/>
    <w:rsid w:val="0000186A"/>
    <w:rsid w:val="000019C0"/>
    <w:rsid w:val="0000332B"/>
    <w:rsid w:val="00003C80"/>
    <w:rsid w:val="0000479B"/>
    <w:rsid w:val="00004D76"/>
    <w:rsid w:val="00006210"/>
    <w:rsid w:val="00006738"/>
    <w:rsid w:val="000067EA"/>
    <w:rsid w:val="00006F38"/>
    <w:rsid w:val="00007DE8"/>
    <w:rsid w:val="0001021B"/>
    <w:rsid w:val="00010620"/>
    <w:rsid w:val="000108D2"/>
    <w:rsid w:val="00010C1A"/>
    <w:rsid w:val="00011996"/>
    <w:rsid w:val="000127C4"/>
    <w:rsid w:val="00012BFF"/>
    <w:rsid w:val="00016933"/>
    <w:rsid w:val="000202C3"/>
    <w:rsid w:val="00020351"/>
    <w:rsid w:val="000204F2"/>
    <w:rsid w:val="00021AF6"/>
    <w:rsid w:val="00022291"/>
    <w:rsid w:val="000225CC"/>
    <w:rsid w:val="000236FC"/>
    <w:rsid w:val="000241BB"/>
    <w:rsid w:val="000264D8"/>
    <w:rsid w:val="0003001B"/>
    <w:rsid w:val="00030618"/>
    <w:rsid w:val="00030B0B"/>
    <w:rsid w:val="000322CF"/>
    <w:rsid w:val="0003419A"/>
    <w:rsid w:val="00035A35"/>
    <w:rsid w:val="000361D2"/>
    <w:rsid w:val="000370B9"/>
    <w:rsid w:val="000370E2"/>
    <w:rsid w:val="000372AA"/>
    <w:rsid w:val="00042269"/>
    <w:rsid w:val="00042BB5"/>
    <w:rsid w:val="00043CD7"/>
    <w:rsid w:val="00044FBA"/>
    <w:rsid w:val="000464AA"/>
    <w:rsid w:val="00046DE1"/>
    <w:rsid w:val="00047410"/>
    <w:rsid w:val="00047CB6"/>
    <w:rsid w:val="000504D0"/>
    <w:rsid w:val="00051C36"/>
    <w:rsid w:val="00052B54"/>
    <w:rsid w:val="00052B7A"/>
    <w:rsid w:val="00053D22"/>
    <w:rsid w:val="00055061"/>
    <w:rsid w:val="00056C40"/>
    <w:rsid w:val="00056DCC"/>
    <w:rsid w:val="000572F2"/>
    <w:rsid w:val="00061569"/>
    <w:rsid w:val="000620D8"/>
    <w:rsid w:val="000620E3"/>
    <w:rsid w:val="00062445"/>
    <w:rsid w:val="0006251B"/>
    <w:rsid w:val="00062ACC"/>
    <w:rsid w:val="00062CC4"/>
    <w:rsid w:val="00063835"/>
    <w:rsid w:val="0006399E"/>
    <w:rsid w:val="00063DF1"/>
    <w:rsid w:val="0006435E"/>
    <w:rsid w:val="00065B7C"/>
    <w:rsid w:val="00066044"/>
    <w:rsid w:val="000665F5"/>
    <w:rsid w:val="00067ACC"/>
    <w:rsid w:val="000703CB"/>
    <w:rsid w:val="00070A84"/>
    <w:rsid w:val="00071597"/>
    <w:rsid w:val="00071B16"/>
    <w:rsid w:val="0007202A"/>
    <w:rsid w:val="000726CF"/>
    <w:rsid w:val="0007395B"/>
    <w:rsid w:val="00073E9E"/>
    <w:rsid w:val="000754A5"/>
    <w:rsid w:val="00077596"/>
    <w:rsid w:val="0008117F"/>
    <w:rsid w:val="000816A9"/>
    <w:rsid w:val="0008217F"/>
    <w:rsid w:val="00084031"/>
    <w:rsid w:val="0008483A"/>
    <w:rsid w:val="00086F32"/>
    <w:rsid w:val="0008729D"/>
    <w:rsid w:val="00087556"/>
    <w:rsid w:val="00087ADC"/>
    <w:rsid w:val="00087B38"/>
    <w:rsid w:val="0009102E"/>
    <w:rsid w:val="00093825"/>
    <w:rsid w:val="000953A6"/>
    <w:rsid w:val="00095CFA"/>
    <w:rsid w:val="0009686E"/>
    <w:rsid w:val="00096B3A"/>
    <w:rsid w:val="0009726E"/>
    <w:rsid w:val="000A0013"/>
    <w:rsid w:val="000A022E"/>
    <w:rsid w:val="000A05C0"/>
    <w:rsid w:val="000A111F"/>
    <w:rsid w:val="000A2444"/>
    <w:rsid w:val="000A2B0F"/>
    <w:rsid w:val="000A2DED"/>
    <w:rsid w:val="000A36C7"/>
    <w:rsid w:val="000A40DC"/>
    <w:rsid w:val="000A527B"/>
    <w:rsid w:val="000A531D"/>
    <w:rsid w:val="000A6B5A"/>
    <w:rsid w:val="000B01F2"/>
    <w:rsid w:val="000B074A"/>
    <w:rsid w:val="000B07F6"/>
    <w:rsid w:val="000B2A52"/>
    <w:rsid w:val="000B2B0C"/>
    <w:rsid w:val="000B30B9"/>
    <w:rsid w:val="000B3CB9"/>
    <w:rsid w:val="000B3FFA"/>
    <w:rsid w:val="000B4912"/>
    <w:rsid w:val="000B49EB"/>
    <w:rsid w:val="000B4B92"/>
    <w:rsid w:val="000B5061"/>
    <w:rsid w:val="000B5776"/>
    <w:rsid w:val="000B627D"/>
    <w:rsid w:val="000B6512"/>
    <w:rsid w:val="000B6D3B"/>
    <w:rsid w:val="000B7D9C"/>
    <w:rsid w:val="000C0E05"/>
    <w:rsid w:val="000C280B"/>
    <w:rsid w:val="000C34CE"/>
    <w:rsid w:val="000C363A"/>
    <w:rsid w:val="000C41DE"/>
    <w:rsid w:val="000C48C3"/>
    <w:rsid w:val="000C5944"/>
    <w:rsid w:val="000C6A32"/>
    <w:rsid w:val="000C751D"/>
    <w:rsid w:val="000D2637"/>
    <w:rsid w:val="000D276D"/>
    <w:rsid w:val="000D3AFD"/>
    <w:rsid w:val="000D4EDE"/>
    <w:rsid w:val="000D643E"/>
    <w:rsid w:val="000D6AE8"/>
    <w:rsid w:val="000E1AFC"/>
    <w:rsid w:val="000E236E"/>
    <w:rsid w:val="000E36B1"/>
    <w:rsid w:val="000E3ADC"/>
    <w:rsid w:val="000E3F35"/>
    <w:rsid w:val="000E5118"/>
    <w:rsid w:val="000E6B48"/>
    <w:rsid w:val="000E6ED3"/>
    <w:rsid w:val="000F0BD7"/>
    <w:rsid w:val="000F13E3"/>
    <w:rsid w:val="000F166D"/>
    <w:rsid w:val="000F3EDB"/>
    <w:rsid w:val="000F4B0F"/>
    <w:rsid w:val="000F4F3A"/>
    <w:rsid w:val="000F5C41"/>
    <w:rsid w:val="000F718C"/>
    <w:rsid w:val="000F7C0D"/>
    <w:rsid w:val="000F7EE4"/>
    <w:rsid w:val="0010020D"/>
    <w:rsid w:val="001005E5"/>
    <w:rsid w:val="00100C95"/>
    <w:rsid w:val="00100DCE"/>
    <w:rsid w:val="001018B8"/>
    <w:rsid w:val="0010297A"/>
    <w:rsid w:val="0010474F"/>
    <w:rsid w:val="0010490A"/>
    <w:rsid w:val="00104EDF"/>
    <w:rsid w:val="001056D9"/>
    <w:rsid w:val="001065E4"/>
    <w:rsid w:val="00107225"/>
    <w:rsid w:val="00107424"/>
    <w:rsid w:val="00107D2E"/>
    <w:rsid w:val="0011000E"/>
    <w:rsid w:val="001105C6"/>
    <w:rsid w:val="00110E5B"/>
    <w:rsid w:val="00111094"/>
    <w:rsid w:val="00111772"/>
    <w:rsid w:val="00111954"/>
    <w:rsid w:val="00111962"/>
    <w:rsid w:val="00112657"/>
    <w:rsid w:val="00113466"/>
    <w:rsid w:val="0011361E"/>
    <w:rsid w:val="00113A5A"/>
    <w:rsid w:val="00116429"/>
    <w:rsid w:val="001217AC"/>
    <w:rsid w:val="001230D1"/>
    <w:rsid w:val="00123486"/>
    <w:rsid w:val="00123937"/>
    <w:rsid w:val="001247AB"/>
    <w:rsid w:val="00124CF3"/>
    <w:rsid w:val="00125B65"/>
    <w:rsid w:val="001269E2"/>
    <w:rsid w:val="00126D40"/>
    <w:rsid w:val="00130B01"/>
    <w:rsid w:val="00130ED3"/>
    <w:rsid w:val="001325FE"/>
    <w:rsid w:val="00132618"/>
    <w:rsid w:val="0013277F"/>
    <w:rsid w:val="0013287F"/>
    <w:rsid w:val="00133D24"/>
    <w:rsid w:val="0013455C"/>
    <w:rsid w:val="0013463B"/>
    <w:rsid w:val="00134DCA"/>
    <w:rsid w:val="00135869"/>
    <w:rsid w:val="0013596F"/>
    <w:rsid w:val="00140DAD"/>
    <w:rsid w:val="00145E87"/>
    <w:rsid w:val="00146232"/>
    <w:rsid w:val="0014666B"/>
    <w:rsid w:val="00146DE3"/>
    <w:rsid w:val="001474DF"/>
    <w:rsid w:val="0014762C"/>
    <w:rsid w:val="00147E5E"/>
    <w:rsid w:val="001504B9"/>
    <w:rsid w:val="001505E2"/>
    <w:rsid w:val="001509C2"/>
    <w:rsid w:val="00152A3A"/>
    <w:rsid w:val="00153FCD"/>
    <w:rsid w:val="0015435E"/>
    <w:rsid w:val="00156168"/>
    <w:rsid w:val="0015621B"/>
    <w:rsid w:val="0015631E"/>
    <w:rsid w:val="001568B6"/>
    <w:rsid w:val="00156A3B"/>
    <w:rsid w:val="00160276"/>
    <w:rsid w:val="00160D3F"/>
    <w:rsid w:val="00162257"/>
    <w:rsid w:val="001638BE"/>
    <w:rsid w:val="00163CF8"/>
    <w:rsid w:val="001644E6"/>
    <w:rsid w:val="00165A46"/>
    <w:rsid w:val="001669E9"/>
    <w:rsid w:val="001673E5"/>
    <w:rsid w:val="0016781A"/>
    <w:rsid w:val="00167BE2"/>
    <w:rsid w:val="001737C2"/>
    <w:rsid w:val="00173ADB"/>
    <w:rsid w:val="00173CF8"/>
    <w:rsid w:val="00173FD1"/>
    <w:rsid w:val="001750B3"/>
    <w:rsid w:val="00175874"/>
    <w:rsid w:val="001802B9"/>
    <w:rsid w:val="00180F64"/>
    <w:rsid w:val="001815C2"/>
    <w:rsid w:val="001829E7"/>
    <w:rsid w:val="00183B12"/>
    <w:rsid w:val="00183E8C"/>
    <w:rsid w:val="00184791"/>
    <w:rsid w:val="00185E54"/>
    <w:rsid w:val="00185E57"/>
    <w:rsid w:val="001861E0"/>
    <w:rsid w:val="0018620C"/>
    <w:rsid w:val="001864EB"/>
    <w:rsid w:val="00186DE7"/>
    <w:rsid w:val="00186E80"/>
    <w:rsid w:val="0018704E"/>
    <w:rsid w:val="001873E3"/>
    <w:rsid w:val="001902AA"/>
    <w:rsid w:val="00190ED4"/>
    <w:rsid w:val="0019156F"/>
    <w:rsid w:val="00191A2B"/>
    <w:rsid w:val="00193258"/>
    <w:rsid w:val="00193876"/>
    <w:rsid w:val="00193AA6"/>
    <w:rsid w:val="0019503A"/>
    <w:rsid w:val="00196032"/>
    <w:rsid w:val="00196768"/>
    <w:rsid w:val="00196C64"/>
    <w:rsid w:val="0019754B"/>
    <w:rsid w:val="001A04DF"/>
    <w:rsid w:val="001A0F2A"/>
    <w:rsid w:val="001A12C7"/>
    <w:rsid w:val="001A1370"/>
    <w:rsid w:val="001A386B"/>
    <w:rsid w:val="001A4C57"/>
    <w:rsid w:val="001A530C"/>
    <w:rsid w:val="001A6ECB"/>
    <w:rsid w:val="001A77C1"/>
    <w:rsid w:val="001A782B"/>
    <w:rsid w:val="001A7833"/>
    <w:rsid w:val="001B1431"/>
    <w:rsid w:val="001B208D"/>
    <w:rsid w:val="001B24F4"/>
    <w:rsid w:val="001B3C0B"/>
    <w:rsid w:val="001B4747"/>
    <w:rsid w:val="001B4AC6"/>
    <w:rsid w:val="001B63E6"/>
    <w:rsid w:val="001B655E"/>
    <w:rsid w:val="001B6818"/>
    <w:rsid w:val="001B75B3"/>
    <w:rsid w:val="001C0C8B"/>
    <w:rsid w:val="001C0CA0"/>
    <w:rsid w:val="001C0F94"/>
    <w:rsid w:val="001C137B"/>
    <w:rsid w:val="001C1446"/>
    <w:rsid w:val="001C25FB"/>
    <w:rsid w:val="001C336B"/>
    <w:rsid w:val="001C49EF"/>
    <w:rsid w:val="001C6004"/>
    <w:rsid w:val="001C6937"/>
    <w:rsid w:val="001C6B71"/>
    <w:rsid w:val="001C725D"/>
    <w:rsid w:val="001D1CCD"/>
    <w:rsid w:val="001D1F3A"/>
    <w:rsid w:val="001D3287"/>
    <w:rsid w:val="001D3401"/>
    <w:rsid w:val="001D60D3"/>
    <w:rsid w:val="001D6176"/>
    <w:rsid w:val="001D6468"/>
    <w:rsid w:val="001D663B"/>
    <w:rsid w:val="001D6AFB"/>
    <w:rsid w:val="001D6F55"/>
    <w:rsid w:val="001D73E3"/>
    <w:rsid w:val="001D76A5"/>
    <w:rsid w:val="001E0DB2"/>
    <w:rsid w:val="001E145D"/>
    <w:rsid w:val="001E32B7"/>
    <w:rsid w:val="001E38E1"/>
    <w:rsid w:val="001E3F12"/>
    <w:rsid w:val="001E4719"/>
    <w:rsid w:val="001E5067"/>
    <w:rsid w:val="001E5634"/>
    <w:rsid w:val="001E5939"/>
    <w:rsid w:val="001E6942"/>
    <w:rsid w:val="001E6C4D"/>
    <w:rsid w:val="001E73C6"/>
    <w:rsid w:val="001F0169"/>
    <w:rsid w:val="001F10AC"/>
    <w:rsid w:val="001F2022"/>
    <w:rsid w:val="001F2721"/>
    <w:rsid w:val="001F54B1"/>
    <w:rsid w:val="001F60F7"/>
    <w:rsid w:val="001F6279"/>
    <w:rsid w:val="001F6309"/>
    <w:rsid w:val="001F66E4"/>
    <w:rsid w:val="001F7A06"/>
    <w:rsid w:val="0020037B"/>
    <w:rsid w:val="00200564"/>
    <w:rsid w:val="00200E97"/>
    <w:rsid w:val="00201C49"/>
    <w:rsid w:val="00203480"/>
    <w:rsid w:val="00203BF4"/>
    <w:rsid w:val="00204481"/>
    <w:rsid w:val="00204E76"/>
    <w:rsid w:val="00205F35"/>
    <w:rsid w:val="002061DD"/>
    <w:rsid w:val="0020629F"/>
    <w:rsid w:val="002067ED"/>
    <w:rsid w:val="00206A0D"/>
    <w:rsid w:val="00206B25"/>
    <w:rsid w:val="002103E7"/>
    <w:rsid w:val="0021131B"/>
    <w:rsid w:val="00212206"/>
    <w:rsid w:val="002143E3"/>
    <w:rsid w:val="00214844"/>
    <w:rsid w:val="00214CF8"/>
    <w:rsid w:val="00214EC0"/>
    <w:rsid w:val="00215802"/>
    <w:rsid w:val="00215842"/>
    <w:rsid w:val="00215BF8"/>
    <w:rsid w:val="002200C0"/>
    <w:rsid w:val="00220C0B"/>
    <w:rsid w:val="00221782"/>
    <w:rsid w:val="00221906"/>
    <w:rsid w:val="00222F0A"/>
    <w:rsid w:val="00223590"/>
    <w:rsid w:val="00223A54"/>
    <w:rsid w:val="00225644"/>
    <w:rsid w:val="0022667A"/>
    <w:rsid w:val="00233803"/>
    <w:rsid w:val="00233DD1"/>
    <w:rsid w:val="0023414F"/>
    <w:rsid w:val="00234CEE"/>
    <w:rsid w:val="002362A2"/>
    <w:rsid w:val="00236B31"/>
    <w:rsid w:val="002402C9"/>
    <w:rsid w:val="00240802"/>
    <w:rsid w:val="0024146E"/>
    <w:rsid w:val="00241540"/>
    <w:rsid w:val="00242187"/>
    <w:rsid w:val="002427EE"/>
    <w:rsid w:val="00242B45"/>
    <w:rsid w:val="00242E57"/>
    <w:rsid w:val="002439F8"/>
    <w:rsid w:val="002439FE"/>
    <w:rsid w:val="00244B36"/>
    <w:rsid w:val="00244C70"/>
    <w:rsid w:val="00245664"/>
    <w:rsid w:val="0024684D"/>
    <w:rsid w:val="0025021B"/>
    <w:rsid w:val="00250C44"/>
    <w:rsid w:val="00250E2B"/>
    <w:rsid w:val="0025165A"/>
    <w:rsid w:val="00251BB2"/>
    <w:rsid w:val="0025219A"/>
    <w:rsid w:val="0025405B"/>
    <w:rsid w:val="002540CE"/>
    <w:rsid w:val="002547B9"/>
    <w:rsid w:val="002551A7"/>
    <w:rsid w:val="00255CC8"/>
    <w:rsid w:val="00261248"/>
    <w:rsid w:val="0026234D"/>
    <w:rsid w:val="00262CC2"/>
    <w:rsid w:val="00262E16"/>
    <w:rsid w:val="00263E9B"/>
    <w:rsid w:val="002641E7"/>
    <w:rsid w:val="002659B4"/>
    <w:rsid w:val="002659E9"/>
    <w:rsid w:val="00265CDA"/>
    <w:rsid w:val="00266FBA"/>
    <w:rsid w:val="002676B2"/>
    <w:rsid w:val="0027067D"/>
    <w:rsid w:val="00270D24"/>
    <w:rsid w:val="00271204"/>
    <w:rsid w:val="00271429"/>
    <w:rsid w:val="0027165D"/>
    <w:rsid w:val="0027172D"/>
    <w:rsid w:val="002722EA"/>
    <w:rsid w:val="00272335"/>
    <w:rsid w:val="0027235D"/>
    <w:rsid w:val="002736A7"/>
    <w:rsid w:val="00273969"/>
    <w:rsid w:val="00273C83"/>
    <w:rsid w:val="002762A9"/>
    <w:rsid w:val="00277559"/>
    <w:rsid w:val="002775FD"/>
    <w:rsid w:val="002817EA"/>
    <w:rsid w:val="00281A1C"/>
    <w:rsid w:val="00283781"/>
    <w:rsid w:val="00283B3D"/>
    <w:rsid w:val="0028456A"/>
    <w:rsid w:val="002851FF"/>
    <w:rsid w:val="0028529B"/>
    <w:rsid w:val="002879D1"/>
    <w:rsid w:val="002902CC"/>
    <w:rsid w:val="00291202"/>
    <w:rsid w:val="00292AB6"/>
    <w:rsid w:val="00292EC2"/>
    <w:rsid w:val="002933BF"/>
    <w:rsid w:val="00294E13"/>
    <w:rsid w:val="0029512A"/>
    <w:rsid w:val="0029769D"/>
    <w:rsid w:val="00297ADF"/>
    <w:rsid w:val="002A08EA"/>
    <w:rsid w:val="002A1698"/>
    <w:rsid w:val="002A2649"/>
    <w:rsid w:val="002A36D3"/>
    <w:rsid w:val="002A47A0"/>
    <w:rsid w:val="002A4C6E"/>
    <w:rsid w:val="002A5255"/>
    <w:rsid w:val="002A6C0F"/>
    <w:rsid w:val="002B01C6"/>
    <w:rsid w:val="002B2327"/>
    <w:rsid w:val="002B2457"/>
    <w:rsid w:val="002B27AE"/>
    <w:rsid w:val="002B2ED6"/>
    <w:rsid w:val="002B33F4"/>
    <w:rsid w:val="002B4929"/>
    <w:rsid w:val="002B4CAD"/>
    <w:rsid w:val="002B7265"/>
    <w:rsid w:val="002B7278"/>
    <w:rsid w:val="002B74AC"/>
    <w:rsid w:val="002B7DD7"/>
    <w:rsid w:val="002B7EE0"/>
    <w:rsid w:val="002C10A4"/>
    <w:rsid w:val="002C29F7"/>
    <w:rsid w:val="002C35D0"/>
    <w:rsid w:val="002C3826"/>
    <w:rsid w:val="002C47FD"/>
    <w:rsid w:val="002C6C91"/>
    <w:rsid w:val="002D02D6"/>
    <w:rsid w:val="002D121B"/>
    <w:rsid w:val="002D1471"/>
    <w:rsid w:val="002D28D8"/>
    <w:rsid w:val="002D2BB2"/>
    <w:rsid w:val="002D3C2E"/>
    <w:rsid w:val="002D3DAB"/>
    <w:rsid w:val="002D4765"/>
    <w:rsid w:val="002D481F"/>
    <w:rsid w:val="002D5C07"/>
    <w:rsid w:val="002D6EA0"/>
    <w:rsid w:val="002D6F41"/>
    <w:rsid w:val="002E12D9"/>
    <w:rsid w:val="002E189B"/>
    <w:rsid w:val="002E253E"/>
    <w:rsid w:val="002E28EA"/>
    <w:rsid w:val="002E4E27"/>
    <w:rsid w:val="002E5BD1"/>
    <w:rsid w:val="002E6CB1"/>
    <w:rsid w:val="002E738B"/>
    <w:rsid w:val="002E7740"/>
    <w:rsid w:val="002E781E"/>
    <w:rsid w:val="002F13CC"/>
    <w:rsid w:val="002F1FCF"/>
    <w:rsid w:val="002F2154"/>
    <w:rsid w:val="002F380B"/>
    <w:rsid w:val="002F4574"/>
    <w:rsid w:val="002F4AD1"/>
    <w:rsid w:val="002F4D79"/>
    <w:rsid w:val="002F50A8"/>
    <w:rsid w:val="002F51DE"/>
    <w:rsid w:val="002F63A0"/>
    <w:rsid w:val="002F64A9"/>
    <w:rsid w:val="002F6C12"/>
    <w:rsid w:val="002F7C83"/>
    <w:rsid w:val="00300B31"/>
    <w:rsid w:val="003018EC"/>
    <w:rsid w:val="00301D0E"/>
    <w:rsid w:val="00302B08"/>
    <w:rsid w:val="00303A18"/>
    <w:rsid w:val="00303EAE"/>
    <w:rsid w:val="00304618"/>
    <w:rsid w:val="003049CA"/>
    <w:rsid w:val="00304F22"/>
    <w:rsid w:val="00305697"/>
    <w:rsid w:val="00305907"/>
    <w:rsid w:val="00306EB5"/>
    <w:rsid w:val="00307067"/>
    <w:rsid w:val="0030766B"/>
    <w:rsid w:val="00307DBD"/>
    <w:rsid w:val="003101E2"/>
    <w:rsid w:val="00311637"/>
    <w:rsid w:val="003121D3"/>
    <w:rsid w:val="00313D1F"/>
    <w:rsid w:val="003140CC"/>
    <w:rsid w:val="00314AF7"/>
    <w:rsid w:val="00314CF7"/>
    <w:rsid w:val="003206A6"/>
    <w:rsid w:val="00320D4D"/>
    <w:rsid w:val="0032141C"/>
    <w:rsid w:val="003223DA"/>
    <w:rsid w:val="003257B7"/>
    <w:rsid w:val="0032641D"/>
    <w:rsid w:val="0032787A"/>
    <w:rsid w:val="003321AC"/>
    <w:rsid w:val="00332377"/>
    <w:rsid w:val="003326B7"/>
    <w:rsid w:val="00332879"/>
    <w:rsid w:val="0033314B"/>
    <w:rsid w:val="00333574"/>
    <w:rsid w:val="00333BFF"/>
    <w:rsid w:val="00334B91"/>
    <w:rsid w:val="003367BE"/>
    <w:rsid w:val="00336A14"/>
    <w:rsid w:val="00336A8D"/>
    <w:rsid w:val="00337B69"/>
    <w:rsid w:val="003401CF"/>
    <w:rsid w:val="00340D04"/>
    <w:rsid w:val="003423F8"/>
    <w:rsid w:val="0034280F"/>
    <w:rsid w:val="0034372D"/>
    <w:rsid w:val="0034586A"/>
    <w:rsid w:val="003470A7"/>
    <w:rsid w:val="0034725D"/>
    <w:rsid w:val="00347774"/>
    <w:rsid w:val="00350CCC"/>
    <w:rsid w:val="0035227D"/>
    <w:rsid w:val="003535D9"/>
    <w:rsid w:val="003544BA"/>
    <w:rsid w:val="003549A4"/>
    <w:rsid w:val="00354ADF"/>
    <w:rsid w:val="003558CE"/>
    <w:rsid w:val="003562C7"/>
    <w:rsid w:val="003566B4"/>
    <w:rsid w:val="00356AFA"/>
    <w:rsid w:val="0036012B"/>
    <w:rsid w:val="00360EA6"/>
    <w:rsid w:val="003624B5"/>
    <w:rsid w:val="003646D9"/>
    <w:rsid w:val="0036705A"/>
    <w:rsid w:val="00367CEC"/>
    <w:rsid w:val="00370A01"/>
    <w:rsid w:val="00370EB4"/>
    <w:rsid w:val="00372349"/>
    <w:rsid w:val="003732C8"/>
    <w:rsid w:val="0037351B"/>
    <w:rsid w:val="00373A91"/>
    <w:rsid w:val="00373D58"/>
    <w:rsid w:val="00375E6C"/>
    <w:rsid w:val="00376638"/>
    <w:rsid w:val="003768ED"/>
    <w:rsid w:val="00376912"/>
    <w:rsid w:val="0037735C"/>
    <w:rsid w:val="00377EE9"/>
    <w:rsid w:val="003812E2"/>
    <w:rsid w:val="0038142B"/>
    <w:rsid w:val="003816D9"/>
    <w:rsid w:val="003832A6"/>
    <w:rsid w:val="00383A5F"/>
    <w:rsid w:val="00383B41"/>
    <w:rsid w:val="003840FE"/>
    <w:rsid w:val="00385142"/>
    <w:rsid w:val="0038588B"/>
    <w:rsid w:val="00385942"/>
    <w:rsid w:val="00385F8D"/>
    <w:rsid w:val="00386AA5"/>
    <w:rsid w:val="00386B2B"/>
    <w:rsid w:val="003877A7"/>
    <w:rsid w:val="0039032E"/>
    <w:rsid w:val="003904F5"/>
    <w:rsid w:val="003910C3"/>
    <w:rsid w:val="003934F9"/>
    <w:rsid w:val="003941F1"/>
    <w:rsid w:val="003943AD"/>
    <w:rsid w:val="00394826"/>
    <w:rsid w:val="003954A0"/>
    <w:rsid w:val="003968C8"/>
    <w:rsid w:val="003973F6"/>
    <w:rsid w:val="0039790C"/>
    <w:rsid w:val="003A0255"/>
    <w:rsid w:val="003A17B6"/>
    <w:rsid w:val="003A2AF7"/>
    <w:rsid w:val="003A2B84"/>
    <w:rsid w:val="003A4CE0"/>
    <w:rsid w:val="003A582B"/>
    <w:rsid w:val="003A7C4A"/>
    <w:rsid w:val="003B0737"/>
    <w:rsid w:val="003B1552"/>
    <w:rsid w:val="003B179E"/>
    <w:rsid w:val="003B2656"/>
    <w:rsid w:val="003B2B60"/>
    <w:rsid w:val="003B361C"/>
    <w:rsid w:val="003B4424"/>
    <w:rsid w:val="003B4A2D"/>
    <w:rsid w:val="003B4F44"/>
    <w:rsid w:val="003B5B3A"/>
    <w:rsid w:val="003B6842"/>
    <w:rsid w:val="003B6962"/>
    <w:rsid w:val="003B6D46"/>
    <w:rsid w:val="003B791E"/>
    <w:rsid w:val="003C0176"/>
    <w:rsid w:val="003C03EE"/>
    <w:rsid w:val="003C07D3"/>
    <w:rsid w:val="003C22E1"/>
    <w:rsid w:val="003C4482"/>
    <w:rsid w:val="003C6627"/>
    <w:rsid w:val="003D0319"/>
    <w:rsid w:val="003D139F"/>
    <w:rsid w:val="003D13B1"/>
    <w:rsid w:val="003D1552"/>
    <w:rsid w:val="003D289A"/>
    <w:rsid w:val="003D3BA9"/>
    <w:rsid w:val="003D3EE4"/>
    <w:rsid w:val="003D43AF"/>
    <w:rsid w:val="003D4600"/>
    <w:rsid w:val="003D4EC5"/>
    <w:rsid w:val="003D6044"/>
    <w:rsid w:val="003D62C4"/>
    <w:rsid w:val="003D6662"/>
    <w:rsid w:val="003E090B"/>
    <w:rsid w:val="003E177E"/>
    <w:rsid w:val="003E1EA7"/>
    <w:rsid w:val="003E23E8"/>
    <w:rsid w:val="003E2AA3"/>
    <w:rsid w:val="003E2DCC"/>
    <w:rsid w:val="003E5DBA"/>
    <w:rsid w:val="003E60BF"/>
    <w:rsid w:val="003E6818"/>
    <w:rsid w:val="003E6820"/>
    <w:rsid w:val="003E6B08"/>
    <w:rsid w:val="003E72A2"/>
    <w:rsid w:val="003E7874"/>
    <w:rsid w:val="003E7E9A"/>
    <w:rsid w:val="003F05EA"/>
    <w:rsid w:val="003F1305"/>
    <w:rsid w:val="003F2179"/>
    <w:rsid w:val="003F24F9"/>
    <w:rsid w:val="003F3885"/>
    <w:rsid w:val="003F3A74"/>
    <w:rsid w:val="003F4436"/>
    <w:rsid w:val="003F50C0"/>
    <w:rsid w:val="003F733A"/>
    <w:rsid w:val="003F7454"/>
    <w:rsid w:val="003F7765"/>
    <w:rsid w:val="004003C6"/>
    <w:rsid w:val="004016C4"/>
    <w:rsid w:val="00401865"/>
    <w:rsid w:val="0040237A"/>
    <w:rsid w:val="004024CC"/>
    <w:rsid w:val="004026F9"/>
    <w:rsid w:val="00402D97"/>
    <w:rsid w:val="00403EF0"/>
    <w:rsid w:val="00404049"/>
    <w:rsid w:val="00404AA7"/>
    <w:rsid w:val="00405333"/>
    <w:rsid w:val="00406070"/>
    <w:rsid w:val="00406F13"/>
    <w:rsid w:val="00407D63"/>
    <w:rsid w:val="00407F77"/>
    <w:rsid w:val="0041060F"/>
    <w:rsid w:val="004108BF"/>
    <w:rsid w:val="00410A5F"/>
    <w:rsid w:val="00410B7A"/>
    <w:rsid w:val="00411A2B"/>
    <w:rsid w:val="004137AF"/>
    <w:rsid w:val="00413BFB"/>
    <w:rsid w:val="00414194"/>
    <w:rsid w:val="0041419F"/>
    <w:rsid w:val="0041508B"/>
    <w:rsid w:val="004164F4"/>
    <w:rsid w:val="00416536"/>
    <w:rsid w:val="00416FB1"/>
    <w:rsid w:val="0041776E"/>
    <w:rsid w:val="00421BF5"/>
    <w:rsid w:val="0042214E"/>
    <w:rsid w:val="0042286A"/>
    <w:rsid w:val="004231BA"/>
    <w:rsid w:val="00423390"/>
    <w:rsid w:val="00423BC6"/>
    <w:rsid w:val="0042488C"/>
    <w:rsid w:val="00424B84"/>
    <w:rsid w:val="00425120"/>
    <w:rsid w:val="004269D5"/>
    <w:rsid w:val="00426BD7"/>
    <w:rsid w:val="00427051"/>
    <w:rsid w:val="004270D1"/>
    <w:rsid w:val="004309EB"/>
    <w:rsid w:val="00431884"/>
    <w:rsid w:val="00432598"/>
    <w:rsid w:val="00433526"/>
    <w:rsid w:val="00433974"/>
    <w:rsid w:val="00434581"/>
    <w:rsid w:val="004350BC"/>
    <w:rsid w:val="00436E52"/>
    <w:rsid w:val="004407CF"/>
    <w:rsid w:val="004436A1"/>
    <w:rsid w:val="00444041"/>
    <w:rsid w:val="004450E9"/>
    <w:rsid w:val="0044648A"/>
    <w:rsid w:val="00447051"/>
    <w:rsid w:val="00450876"/>
    <w:rsid w:val="00451A7A"/>
    <w:rsid w:val="00453AED"/>
    <w:rsid w:val="00453ED0"/>
    <w:rsid w:val="004559A9"/>
    <w:rsid w:val="00456A80"/>
    <w:rsid w:val="00460736"/>
    <w:rsid w:val="0046126F"/>
    <w:rsid w:val="0046197A"/>
    <w:rsid w:val="00461EBF"/>
    <w:rsid w:val="00462C2B"/>
    <w:rsid w:val="00463323"/>
    <w:rsid w:val="004635C4"/>
    <w:rsid w:val="00463ABA"/>
    <w:rsid w:val="00463C66"/>
    <w:rsid w:val="004646C7"/>
    <w:rsid w:val="004662EB"/>
    <w:rsid w:val="00467A34"/>
    <w:rsid w:val="00467DD2"/>
    <w:rsid w:val="00470113"/>
    <w:rsid w:val="00470A6A"/>
    <w:rsid w:val="00470F5E"/>
    <w:rsid w:val="004713D5"/>
    <w:rsid w:val="00471A4E"/>
    <w:rsid w:val="00471DCF"/>
    <w:rsid w:val="00472BAA"/>
    <w:rsid w:val="004739CF"/>
    <w:rsid w:val="00474744"/>
    <w:rsid w:val="00474A63"/>
    <w:rsid w:val="004761E8"/>
    <w:rsid w:val="00476C92"/>
    <w:rsid w:val="004778BD"/>
    <w:rsid w:val="00480D8C"/>
    <w:rsid w:val="00480E0E"/>
    <w:rsid w:val="00482DA0"/>
    <w:rsid w:val="00483380"/>
    <w:rsid w:val="00483F43"/>
    <w:rsid w:val="00484AF0"/>
    <w:rsid w:val="004850F4"/>
    <w:rsid w:val="00485C78"/>
    <w:rsid w:val="00485E41"/>
    <w:rsid w:val="00485E9A"/>
    <w:rsid w:val="0048746E"/>
    <w:rsid w:val="00487523"/>
    <w:rsid w:val="0049040D"/>
    <w:rsid w:val="004907D9"/>
    <w:rsid w:val="00490ABA"/>
    <w:rsid w:val="00491D44"/>
    <w:rsid w:val="00492195"/>
    <w:rsid w:val="00492EB1"/>
    <w:rsid w:val="004930D3"/>
    <w:rsid w:val="00493156"/>
    <w:rsid w:val="004938BA"/>
    <w:rsid w:val="00494292"/>
    <w:rsid w:val="00495620"/>
    <w:rsid w:val="00496333"/>
    <w:rsid w:val="004976C3"/>
    <w:rsid w:val="004978E2"/>
    <w:rsid w:val="00497F10"/>
    <w:rsid w:val="004A0966"/>
    <w:rsid w:val="004A13A2"/>
    <w:rsid w:val="004A14D8"/>
    <w:rsid w:val="004A14FA"/>
    <w:rsid w:val="004A190D"/>
    <w:rsid w:val="004A20C4"/>
    <w:rsid w:val="004A23BD"/>
    <w:rsid w:val="004A2D65"/>
    <w:rsid w:val="004A4E65"/>
    <w:rsid w:val="004A5F1A"/>
    <w:rsid w:val="004A64C8"/>
    <w:rsid w:val="004A650C"/>
    <w:rsid w:val="004B01AD"/>
    <w:rsid w:val="004B0327"/>
    <w:rsid w:val="004B03E1"/>
    <w:rsid w:val="004B0D5D"/>
    <w:rsid w:val="004B1007"/>
    <w:rsid w:val="004B30B5"/>
    <w:rsid w:val="004B39ED"/>
    <w:rsid w:val="004B3BA8"/>
    <w:rsid w:val="004B4034"/>
    <w:rsid w:val="004B58AB"/>
    <w:rsid w:val="004B5F11"/>
    <w:rsid w:val="004B6058"/>
    <w:rsid w:val="004B6BA4"/>
    <w:rsid w:val="004C0066"/>
    <w:rsid w:val="004C0759"/>
    <w:rsid w:val="004C1016"/>
    <w:rsid w:val="004C11DA"/>
    <w:rsid w:val="004C2F45"/>
    <w:rsid w:val="004C31FF"/>
    <w:rsid w:val="004C43D8"/>
    <w:rsid w:val="004C4424"/>
    <w:rsid w:val="004C4B40"/>
    <w:rsid w:val="004C5C83"/>
    <w:rsid w:val="004C63BC"/>
    <w:rsid w:val="004C7013"/>
    <w:rsid w:val="004C7D3E"/>
    <w:rsid w:val="004D0674"/>
    <w:rsid w:val="004D19B6"/>
    <w:rsid w:val="004D3B24"/>
    <w:rsid w:val="004D3F12"/>
    <w:rsid w:val="004D66D0"/>
    <w:rsid w:val="004D7402"/>
    <w:rsid w:val="004D7A36"/>
    <w:rsid w:val="004E0A15"/>
    <w:rsid w:val="004E0D0F"/>
    <w:rsid w:val="004E2968"/>
    <w:rsid w:val="004E2B50"/>
    <w:rsid w:val="004E2B61"/>
    <w:rsid w:val="004E3E56"/>
    <w:rsid w:val="004E43A0"/>
    <w:rsid w:val="004E50F8"/>
    <w:rsid w:val="004E669C"/>
    <w:rsid w:val="004E6D7D"/>
    <w:rsid w:val="004E7AFC"/>
    <w:rsid w:val="004F0339"/>
    <w:rsid w:val="004F070C"/>
    <w:rsid w:val="004F154F"/>
    <w:rsid w:val="004F1EC6"/>
    <w:rsid w:val="004F2C2D"/>
    <w:rsid w:val="004F30A9"/>
    <w:rsid w:val="004F3C35"/>
    <w:rsid w:val="004F6F80"/>
    <w:rsid w:val="004F730F"/>
    <w:rsid w:val="004F749C"/>
    <w:rsid w:val="004F76E1"/>
    <w:rsid w:val="004F7B54"/>
    <w:rsid w:val="004F7F4E"/>
    <w:rsid w:val="005001BA"/>
    <w:rsid w:val="00500376"/>
    <w:rsid w:val="00501200"/>
    <w:rsid w:val="00501478"/>
    <w:rsid w:val="00504D41"/>
    <w:rsid w:val="00504E96"/>
    <w:rsid w:val="00505898"/>
    <w:rsid w:val="00505E9F"/>
    <w:rsid w:val="00506058"/>
    <w:rsid w:val="00506B9E"/>
    <w:rsid w:val="00507380"/>
    <w:rsid w:val="00507A3A"/>
    <w:rsid w:val="00510342"/>
    <w:rsid w:val="00510623"/>
    <w:rsid w:val="005110E0"/>
    <w:rsid w:val="00511AA5"/>
    <w:rsid w:val="00511E26"/>
    <w:rsid w:val="00511EC7"/>
    <w:rsid w:val="00512048"/>
    <w:rsid w:val="00512C9D"/>
    <w:rsid w:val="005136A8"/>
    <w:rsid w:val="00513973"/>
    <w:rsid w:val="00514A64"/>
    <w:rsid w:val="00514DD7"/>
    <w:rsid w:val="005153E8"/>
    <w:rsid w:val="00515597"/>
    <w:rsid w:val="005161EF"/>
    <w:rsid w:val="00516283"/>
    <w:rsid w:val="0052187C"/>
    <w:rsid w:val="00523093"/>
    <w:rsid w:val="00523344"/>
    <w:rsid w:val="005234AD"/>
    <w:rsid w:val="00523B6E"/>
    <w:rsid w:val="0052422D"/>
    <w:rsid w:val="00524306"/>
    <w:rsid w:val="0052623E"/>
    <w:rsid w:val="005305FB"/>
    <w:rsid w:val="005319B4"/>
    <w:rsid w:val="00531E6A"/>
    <w:rsid w:val="00532EF0"/>
    <w:rsid w:val="005336C7"/>
    <w:rsid w:val="00533E72"/>
    <w:rsid w:val="00533F20"/>
    <w:rsid w:val="0053493D"/>
    <w:rsid w:val="0053506F"/>
    <w:rsid w:val="005352FF"/>
    <w:rsid w:val="00535733"/>
    <w:rsid w:val="00535A5C"/>
    <w:rsid w:val="00535F76"/>
    <w:rsid w:val="005367AB"/>
    <w:rsid w:val="005373C7"/>
    <w:rsid w:val="0054069A"/>
    <w:rsid w:val="00541424"/>
    <w:rsid w:val="00542005"/>
    <w:rsid w:val="00542325"/>
    <w:rsid w:val="0054263C"/>
    <w:rsid w:val="005437F1"/>
    <w:rsid w:val="00543A72"/>
    <w:rsid w:val="00543ED4"/>
    <w:rsid w:val="00547A46"/>
    <w:rsid w:val="00547BD2"/>
    <w:rsid w:val="00547F71"/>
    <w:rsid w:val="00550698"/>
    <w:rsid w:val="00551FDE"/>
    <w:rsid w:val="00553234"/>
    <w:rsid w:val="005532FC"/>
    <w:rsid w:val="005538CB"/>
    <w:rsid w:val="00554755"/>
    <w:rsid w:val="00555374"/>
    <w:rsid w:val="00555994"/>
    <w:rsid w:val="00555AB1"/>
    <w:rsid w:val="005579EA"/>
    <w:rsid w:val="00560890"/>
    <w:rsid w:val="0056102F"/>
    <w:rsid w:val="005619A3"/>
    <w:rsid w:val="00561D14"/>
    <w:rsid w:val="005642FD"/>
    <w:rsid w:val="005647C2"/>
    <w:rsid w:val="00564C35"/>
    <w:rsid w:val="00564E17"/>
    <w:rsid w:val="005651A2"/>
    <w:rsid w:val="005652B5"/>
    <w:rsid w:val="00565F41"/>
    <w:rsid w:val="00566811"/>
    <w:rsid w:val="005672EB"/>
    <w:rsid w:val="00570CF2"/>
    <w:rsid w:val="005715C4"/>
    <w:rsid w:val="00571A4A"/>
    <w:rsid w:val="00572448"/>
    <w:rsid w:val="0057302C"/>
    <w:rsid w:val="0057333A"/>
    <w:rsid w:val="00573450"/>
    <w:rsid w:val="0057357B"/>
    <w:rsid w:val="005738CB"/>
    <w:rsid w:val="0057625C"/>
    <w:rsid w:val="00576801"/>
    <w:rsid w:val="00576821"/>
    <w:rsid w:val="00576B6B"/>
    <w:rsid w:val="00577727"/>
    <w:rsid w:val="005815FA"/>
    <w:rsid w:val="005819E3"/>
    <w:rsid w:val="005819F8"/>
    <w:rsid w:val="00581E5A"/>
    <w:rsid w:val="00581F05"/>
    <w:rsid w:val="00582025"/>
    <w:rsid w:val="00582F13"/>
    <w:rsid w:val="00582F2A"/>
    <w:rsid w:val="005839A6"/>
    <w:rsid w:val="00584265"/>
    <w:rsid w:val="00586975"/>
    <w:rsid w:val="00587B16"/>
    <w:rsid w:val="00590946"/>
    <w:rsid w:val="00590C79"/>
    <w:rsid w:val="00596111"/>
    <w:rsid w:val="005962D2"/>
    <w:rsid w:val="005A020B"/>
    <w:rsid w:val="005A0489"/>
    <w:rsid w:val="005A0DAB"/>
    <w:rsid w:val="005A152B"/>
    <w:rsid w:val="005A1809"/>
    <w:rsid w:val="005A2439"/>
    <w:rsid w:val="005A2600"/>
    <w:rsid w:val="005A42F3"/>
    <w:rsid w:val="005A4AA6"/>
    <w:rsid w:val="005A4AD1"/>
    <w:rsid w:val="005A53C2"/>
    <w:rsid w:val="005A5581"/>
    <w:rsid w:val="005A674E"/>
    <w:rsid w:val="005B02C4"/>
    <w:rsid w:val="005B0773"/>
    <w:rsid w:val="005B0BD0"/>
    <w:rsid w:val="005B0DD9"/>
    <w:rsid w:val="005B1CBB"/>
    <w:rsid w:val="005B2C47"/>
    <w:rsid w:val="005B2C5C"/>
    <w:rsid w:val="005B3742"/>
    <w:rsid w:val="005B42D2"/>
    <w:rsid w:val="005B4322"/>
    <w:rsid w:val="005B5104"/>
    <w:rsid w:val="005B5EEE"/>
    <w:rsid w:val="005B6300"/>
    <w:rsid w:val="005B6B56"/>
    <w:rsid w:val="005B740B"/>
    <w:rsid w:val="005B7C93"/>
    <w:rsid w:val="005B7EDF"/>
    <w:rsid w:val="005C0095"/>
    <w:rsid w:val="005C0D1D"/>
    <w:rsid w:val="005C1DDA"/>
    <w:rsid w:val="005C26F2"/>
    <w:rsid w:val="005C2DAE"/>
    <w:rsid w:val="005C398B"/>
    <w:rsid w:val="005C3B91"/>
    <w:rsid w:val="005C498B"/>
    <w:rsid w:val="005C51DD"/>
    <w:rsid w:val="005C5823"/>
    <w:rsid w:val="005C69D7"/>
    <w:rsid w:val="005C6C50"/>
    <w:rsid w:val="005C6FDC"/>
    <w:rsid w:val="005C730B"/>
    <w:rsid w:val="005C7A8A"/>
    <w:rsid w:val="005D163A"/>
    <w:rsid w:val="005D2AB3"/>
    <w:rsid w:val="005D2B05"/>
    <w:rsid w:val="005D3854"/>
    <w:rsid w:val="005D51E1"/>
    <w:rsid w:val="005D5478"/>
    <w:rsid w:val="005D5FA3"/>
    <w:rsid w:val="005D660B"/>
    <w:rsid w:val="005D6980"/>
    <w:rsid w:val="005E00DC"/>
    <w:rsid w:val="005E30FA"/>
    <w:rsid w:val="005E417A"/>
    <w:rsid w:val="005E47C0"/>
    <w:rsid w:val="005E4D94"/>
    <w:rsid w:val="005E51DE"/>
    <w:rsid w:val="005E6B09"/>
    <w:rsid w:val="005F040C"/>
    <w:rsid w:val="005F066B"/>
    <w:rsid w:val="005F06BB"/>
    <w:rsid w:val="005F0BF5"/>
    <w:rsid w:val="005F0E70"/>
    <w:rsid w:val="005F133D"/>
    <w:rsid w:val="005F1C9F"/>
    <w:rsid w:val="005F2146"/>
    <w:rsid w:val="005F27C6"/>
    <w:rsid w:val="005F3249"/>
    <w:rsid w:val="005F3593"/>
    <w:rsid w:val="005F35E1"/>
    <w:rsid w:val="005F3BC0"/>
    <w:rsid w:val="005F41D7"/>
    <w:rsid w:val="005F517E"/>
    <w:rsid w:val="005F77EA"/>
    <w:rsid w:val="005F795C"/>
    <w:rsid w:val="005F7D09"/>
    <w:rsid w:val="005F7E63"/>
    <w:rsid w:val="00602F90"/>
    <w:rsid w:val="00603F62"/>
    <w:rsid w:val="0060594F"/>
    <w:rsid w:val="00606D54"/>
    <w:rsid w:val="00607214"/>
    <w:rsid w:val="006076F3"/>
    <w:rsid w:val="00607712"/>
    <w:rsid w:val="006106A5"/>
    <w:rsid w:val="006116F5"/>
    <w:rsid w:val="0061243E"/>
    <w:rsid w:val="006124D2"/>
    <w:rsid w:val="0061333C"/>
    <w:rsid w:val="006134C4"/>
    <w:rsid w:val="006135EF"/>
    <w:rsid w:val="00613773"/>
    <w:rsid w:val="00613E61"/>
    <w:rsid w:val="00614B7D"/>
    <w:rsid w:val="0061526F"/>
    <w:rsid w:val="0061556A"/>
    <w:rsid w:val="00616A7B"/>
    <w:rsid w:val="00622424"/>
    <w:rsid w:val="0062242C"/>
    <w:rsid w:val="00623813"/>
    <w:rsid w:val="00623951"/>
    <w:rsid w:val="00624455"/>
    <w:rsid w:val="00624665"/>
    <w:rsid w:val="00624D7E"/>
    <w:rsid w:val="0062514F"/>
    <w:rsid w:val="006262CA"/>
    <w:rsid w:val="006274C2"/>
    <w:rsid w:val="006278BB"/>
    <w:rsid w:val="006301CA"/>
    <w:rsid w:val="00630575"/>
    <w:rsid w:val="00632188"/>
    <w:rsid w:val="00632E81"/>
    <w:rsid w:val="00632EE1"/>
    <w:rsid w:val="00633846"/>
    <w:rsid w:val="006352FA"/>
    <w:rsid w:val="006356FC"/>
    <w:rsid w:val="00635879"/>
    <w:rsid w:val="00635926"/>
    <w:rsid w:val="00637910"/>
    <w:rsid w:val="00637D9E"/>
    <w:rsid w:val="00640B05"/>
    <w:rsid w:val="00642788"/>
    <w:rsid w:val="00642F60"/>
    <w:rsid w:val="006440C4"/>
    <w:rsid w:val="00645B77"/>
    <w:rsid w:val="00645CD9"/>
    <w:rsid w:val="00646CC4"/>
    <w:rsid w:val="0065003C"/>
    <w:rsid w:val="006507DF"/>
    <w:rsid w:val="00650C96"/>
    <w:rsid w:val="00650CE8"/>
    <w:rsid w:val="006510DF"/>
    <w:rsid w:val="00651CA7"/>
    <w:rsid w:val="00654107"/>
    <w:rsid w:val="006546C8"/>
    <w:rsid w:val="00656B5C"/>
    <w:rsid w:val="00657199"/>
    <w:rsid w:val="0065751C"/>
    <w:rsid w:val="006605C6"/>
    <w:rsid w:val="00660F72"/>
    <w:rsid w:val="006617B2"/>
    <w:rsid w:val="00661D90"/>
    <w:rsid w:val="0066326A"/>
    <w:rsid w:val="00663A9D"/>
    <w:rsid w:val="00663E44"/>
    <w:rsid w:val="0066497C"/>
    <w:rsid w:val="00664A26"/>
    <w:rsid w:val="00664A3B"/>
    <w:rsid w:val="00664C8B"/>
    <w:rsid w:val="00665D1B"/>
    <w:rsid w:val="00666190"/>
    <w:rsid w:val="0066726B"/>
    <w:rsid w:val="00671F1D"/>
    <w:rsid w:val="00674245"/>
    <w:rsid w:val="00675964"/>
    <w:rsid w:val="00675B90"/>
    <w:rsid w:val="00676181"/>
    <w:rsid w:val="006774F7"/>
    <w:rsid w:val="00680326"/>
    <w:rsid w:val="00680788"/>
    <w:rsid w:val="00681545"/>
    <w:rsid w:val="006816BC"/>
    <w:rsid w:val="00682636"/>
    <w:rsid w:val="00683BFA"/>
    <w:rsid w:val="00683E8B"/>
    <w:rsid w:val="00683F1A"/>
    <w:rsid w:val="0068479B"/>
    <w:rsid w:val="0068593B"/>
    <w:rsid w:val="00686A8F"/>
    <w:rsid w:val="0068782D"/>
    <w:rsid w:val="006915DD"/>
    <w:rsid w:val="0069175F"/>
    <w:rsid w:val="00691761"/>
    <w:rsid w:val="00691C76"/>
    <w:rsid w:val="00691FDB"/>
    <w:rsid w:val="006946BA"/>
    <w:rsid w:val="00694C66"/>
    <w:rsid w:val="00695FE3"/>
    <w:rsid w:val="006962D1"/>
    <w:rsid w:val="00696524"/>
    <w:rsid w:val="0069665F"/>
    <w:rsid w:val="00697305"/>
    <w:rsid w:val="00697C0F"/>
    <w:rsid w:val="006A041E"/>
    <w:rsid w:val="006A051B"/>
    <w:rsid w:val="006A080C"/>
    <w:rsid w:val="006A13F3"/>
    <w:rsid w:val="006A1A0D"/>
    <w:rsid w:val="006A1D4B"/>
    <w:rsid w:val="006A449B"/>
    <w:rsid w:val="006A5463"/>
    <w:rsid w:val="006A580A"/>
    <w:rsid w:val="006A5AFD"/>
    <w:rsid w:val="006A606C"/>
    <w:rsid w:val="006A6B81"/>
    <w:rsid w:val="006A6FD3"/>
    <w:rsid w:val="006A7D1D"/>
    <w:rsid w:val="006A7F20"/>
    <w:rsid w:val="006B00BE"/>
    <w:rsid w:val="006B043E"/>
    <w:rsid w:val="006B25DE"/>
    <w:rsid w:val="006B3EB5"/>
    <w:rsid w:val="006B40CB"/>
    <w:rsid w:val="006B4669"/>
    <w:rsid w:val="006B61D3"/>
    <w:rsid w:val="006B6D6F"/>
    <w:rsid w:val="006B71CD"/>
    <w:rsid w:val="006C060E"/>
    <w:rsid w:val="006C06D8"/>
    <w:rsid w:val="006C14E4"/>
    <w:rsid w:val="006C268D"/>
    <w:rsid w:val="006C2996"/>
    <w:rsid w:val="006C3B76"/>
    <w:rsid w:val="006C4D41"/>
    <w:rsid w:val="006C5B6A"/>
    <w:rsid w:val="006C624A"/>
    <w:rsid w:val="006C659E"/>
    <w:rsid w:val="006C6F96"/>
    <w:rsid w:val="006C736F"/>
    <w:rsid w:val="006D0702"/>
    <w:rsid w:val="006D0DA8"/>
    <w:rsid w:val="006D0F93"/>
    <w:rsid w:val="006D376B"/>
    <w:rsid w:val="006D45F2"/>
    <w:rsid w:val="006D5031"/>
    <w:rsid w:val="006D5A36"/>
    <w:rsid w:val="006D5C31"/>
    <w:rsid w:val="006D6077"/>
    <w:rsid w:val="006D63A7"/>
    <w:rsid w:val="006D7103"/>
    <w:rsid w:val="006D7DAD"/>
    <w:rsid w:val="006E0A10"/>
    <w:rsid w:val="006E185B"/>
    <w:rsid w:val="006E388E"/>
    <w:rsid w:val="006E60A8"/>
    <w:rsid w:val="006E6DFF"/>
    <w:rsid w:val="006E7DD7"/>
    <w:rsid w:val="006F1FEF"/>
    <w:rsid w:val="006F20DD"/>
    <w:rsid w:val="006F29C2"/>
    <w:rsid w:val="006F2D2F"/>
    <w:rsid w:val="006F2EF5"/>
    <w:rsid w:val="006F3BD3"/>
    <w:rsid w:val="006F3DF3"/>
    <w:rsid w:val="006F4DA1"/>
    <w:rsid w:val="006F71E7"/>
    <w:rsid w:val="007012A0"/>
    <w:rsid w:val="007012F1"/>
    <w:rsid w:val="0070194A"/>
    <w:rsid w:val="00701DC4"/>
    <w:rsid w:val="00702CC8"/>
    <w:rsid w:val="00706F0D"/>
    <w:rsid w:val="00707C81"/>
    <w:rsid w:val="00707E0B"/>
    <w:rsid w:val="00710E44"/>
    <w:rsid w:val="00711CB2"/>
    <w:rsid w:val="00711D72"/>
    <w:rsid w:val="0071283F"/>
    <w:rsid w:val="00712BAC"/>
    <w:rsid w:val="007136E8"/>
    <w:rsid w:val="007148B5"/>
    <w:rsid w:val="0071520B"/>
    <w:rsid w:val="007152E4"/>
    <w:rsid w:val="00716591"/>
    <w:rsid w:val="00716EDD"/>
    <w:rsid w:val="00716F21"/>
    <w:rsid w:val="00717EBD"/>
    <w:rsid w:val="00717ED4"/>
    <w:rsid w:val="00720083"/>
    <w:rsid w:val="007203B2"/>
    <w:rsid w:val="00722B4F"/>
    <w:rsid w:val="00722D4E"/>
    <w:rsid w:val="0072308B"/>
    <w:rsid w:val="00723684"/>
    <w:rsid w:val="007238F4"/>
    <w:rsid w:val="00724B9D"/>
    <w:rsid w:val="007266DE"/>
    <w:rsid w:val="00726CFA"/>
    <w:rsid w:val="00727D4E"/>
    <w:rsid w:val="007306DF"/>
    <w:rsid w:val="00731ED8"/>
    <w:rsid w:val="00732066"/>
    <w:rsid w:val="00732BF0"/>
    <w:rsid w:val="00733B35"/>
    <w:rsid w:val="007355F1"/>
    <w:rsid w:val="007362F8"/>
    <w:rsid w:val="00740C06"/>
    <w:rsid w:val="00740F9B"/>
    <w:rsid w:val="0074136A"/>
    <w:rsid w:val="00741582"/>
    <w:rsid w:val="00741C9C"/>
    <w:rsid w:val="007424CB"/>
    <w:rsid w:val="007425BF"/>
    <w:rsid w:val="00743086"/>
    <w:rsid w:val="00743843"/>
    <w:rsid w:val="00743C7A"/>
    <w:rsid w:val="00745F9D"/>
    <w:rsid w:val="00752841"/>
    <w:rsid w:val="00753BFB"/>
    <w:rsid w:val="007544BF"/>
    <w:rsid w:val="00755072"/>
    <w:rsid w:val="007553C9"/>
    <w:rsid w:val="00755F22"/>
    <w:rsid w:val="007566E9"/>
    <w:rsid w:val="00756E91"/>
    <w:rsid w:val="0075716F"/>
    <w:rsid w:val="00757C08"/>
    <w:rsid w:val="00760694"/>
    <w:rsid w:val="007606F6"/>
    <w:rsid w:val="00761376"/>
    <w:rsid w:val="00762109"/>
    <w:rsid w:val="00762670"/>
    <w:rsid w:val="007636D8"/>
    <w:rsid w:val="00763928"/>
    <w:rsid w:val="00764EEF"/>
    <w:rsid w:val="00765017"/>
    <w:rsid w:val="00766339"/>
    <w:rsid w:val="007673B0"/>
    <w:rsid w:val="00771B08"/>
    <w:rsid w:val="00772E84"/>
    <w:rsid w:val="00773C19"/>
    <w:rsid w:val="00773F9F"/>
    <w:rsid w:val="007740AF"/>
    <w:rsid w:val="007747DD"/>
    <w:rsid w:val="00774E5E"/>
    <w:rsid w:val="007757ED"/>
    <w:rsid w:val="00775E90"/>
    <w:rsid w:val="00776174"/>
    <w:rsid w:val="007762A2"/>
    <w:rsid w:val="0077636F"/>
    <w:rsid w:val="0077647A"/>
    <w:rsid w:val="007764A6"/>
    <w:rsid w:val="007765BD"/>
    <w:rsid w:val="00776607"/>
    <w:rsid w:val="00776629"/>
    <w:rsid w:val="007770D8"/>
    <w:rsid w:val="00777369"/>
    <w:rsid w:val="00777F8E"/>
    <w:rsid w:val="0078178B"/>
    <w:rsid w:val="00781E46"/>
    <w:rsid w:val="0078259C"/>
    <w:rsid w:val="00782D77"/>
    <w:rsid w:val="00783904"/>
    <w:rsid w:val="00783B64"/>
    <w:rsid w:val="00784414"/>
    <w:rsid w:val="00785426"/>
    <w:rsid w:val="00785B6A"/>
    <w:rsid w:val="00787457"/>
    <w:rsid w:val="00791C75"/>
    <w:rsid w:val="00792B00"/>
    <w:rsid w:val="007951B9"/>
    <w:rsid w:val="0079589E"/>
    <w:rsid w:val="00795C93"/>
    <w:rsid w:val="0079721A"/>
    <w:rsid w:val="00797B9A"/>
    <w:rsid w:val="00797C85"/>
    <w:rsid w:val="007A031D"/>
    <w:rsid w:val="007A0BC2"/>
    <w:rsid w:val="007A0D2C"/>
    <w:rsid w:val="007A0DFA"/>
    <w:rsid w:val="007A157A"/>
    <w:rsid w:val="007A2A46"/>
    <w:rsid w:val="007A2EC1"/>
    <w:rsid w:val="007A4065"/>
    <w:rsid w:val="007A4097"/>
    <w:rsid w:val="007A51D7"/>
    <w:rsid w:val="007A7DE6"/>
    <w:rsid w:val="007B08E8"/>
    <w:rsid w:val="007B099A"/>
    <w:rsid w:val="007B0D82"/>
    <w:rsid w:val="007B11F6"/>
    <w:rsid w:val="007B16A1"/>
    <w:rsid w:val="007B2F1F"/>
    <w:rsid w:val="007B2F59"/>
    <w:rsid w:val="007B47C2"/>
    <w:rsid w:val="007B492B"/>
    <w:rsid w:val="007B4A2A"/>
    <w:rsid w:val="007B502A"/>
    <w:rsid w:val="007B5A6D"/>
    <w:rsid w:val="007B5FC2"/>
    <w:rsid w:val="007B6CE9"/>
    <w:rsid w:val="007B7CE5"/>
    <w:rsid w:val="007C0581"/>
    <w:rsid w:val="007C0D57"/>
    <w:rsid w:val="007C0DDA"/>
    <w:rsid w:val="007C1170"/>
    <w:rsid w:val="007C1451"/>
    <w:rsid w:val="007C2C91"/>
    <w:rsid w:val="007C37F3"/>
    <w:rsid w:val="007C3858"/>
    <w:rsid w:val="007C4523"/>
    <w:rsid w:val="007C4E98"/>
    <w:rsid w:val="007C4F19"/>
    <w:rsid w:val="007C501B"/>
    <w:rsid w:val="007C7928"/>
    <w:rsid w:val="007D39F1"/>
    <w:rsid w:val="007D4AE1"/>
    <w:rsid w:val="007D52C2"/>
    <w:rsid w:val="007D5320"/>
    <w:rsid w:val="007D548B"/>
    <w:rsid w:val="007D596C"/>
    <w:rsid w:val="007D66A1"/>
    <w:rsid w:val="007D70C4"/>
    <w:rsid w:val="007D7704"/>
    <w:rsid w:val="007E2B6F"/>
    <w:rsid w:val="007E47CA"/>
    <w:rsid w:val="007E4C22"/>
    <w:rsid w:val="007E5249"/>
    <w:rsid w:val="007E5CA9"/>
    <w:rsid w:val="007E67A3"/>
    <w:rsid w:val="007E7009"/>
    <w:rsid w:val="007E7054"/>
    <w:rsid w:val="007F1C86"/>
    <w:rsid w:val="007F22B2"/>
    <w:rsid w:val="007F2F8D"/>
    <w:rsid w:val="007F3E18"/>
    <w:rsid w:val="007F4992"/>
    <w:rsid w:val="007F5051"/>
    <w:rsid w:val="007F5D9A"/>
    <w:rsid w:val="007F62F0"/>
    <w:rsid w:val="007F688B"/>
    <w:rsid w:val="007F696A"/>
    <w:rsid w:val="007F6A7B"/>
    <w:rsid w:val="007F6BB8"/>
    <w:rsid w:val="007F6E2B"/>
    <w:rsid w:val="007F7BC6"/>
    <w:rsid w:val="00800314"/>
    <w:rsid w:val="008009E9"/>
    <w:rsid w:val="00800A11"/>
    <w:rsid w:val="00800FDC"/>
    <w:rsid w:val="0080112D"/>
    <w:rsid w:val="00801272"/>
    <w:rsid w:val="00801EEC"/>
    <w:rsid w:val="00802CD2"/>
    <w:rsid w:val="00802CE5"/>
    <w:rsid w:val="008041CF"/>
    <w:rsid w:val="008043FC"/>
    <w:rsid w:val="00804676"/>
    <w:rsid w:val="00805102"/>
    <w:rsid w:val="00805423"/>
    <w:rsid w:val="008055F4"/>
    <w:rsid w:val="008057BC"/>
    <w:rsid w:val="00805C2F"/>
    <w:rsid w:val="00806B8D"/>
    <w:rsid w:val="00807F84"/>
    <w:rsid w:val="00807FEF"/>
    <w:rsid w:val="008106F4"/>
    <w:rsid w:val="00810D1B"/>
    <w:rsid w:val="008115E9"/>
    <w:rsid w:val="00812A74"/>
    <w:rsid w:val="008133CF"/>
    <w:rsid w:val="00813837"/>
    <w:rsid w:val="0081475E"/>
    <w:rsid w:val="00815721"/>
    <w:rsid w:val="00815C6B"/>
    <w:rsid w:val="0081667F"/>
    <w:rsid w:val="008172EF"/>
    <w:rsid w:val="0081777D"/>
    <w:rsid w:val="00817B95"/>
    <w:rsid w:val="008206A2"/>
    <w:rsid w:val="00820770"/>
    <w:rsid w:val="00820973"/>
    <w:rsid w:val="008212AC"/>
    <w:rsid w:val="0082154F"/>
    <w:rsid w:val="00821623"/>
    <w:rsid w:val="00821624"/>
    <w:rsid w:val="008218B9"/>
    <w:rsid w:val="00821DB7"/>
    <w:rsid w:val="00822907"/>
    <w:rsid w:val="00822FA6"/>
    <w:rsid w:val="00824751"/>
    <w:rsid w:val="008258D5"/>
    <w:rsid w:val="00825E68"/>
    <w:rsid w:val="008261CF"/>
    <w:rsid w:val="00826900"/>
    <w:rsid w:val="008270E0"/>
    <w:rsid w:val="0082790A"/>
    <w:rsid w:val="008300A4"/>
    <w:rsid w:val="008302B1"/>
    <w:rsid w:val="008304C1"/>
    <w:rsid w:val="008316C0"/>
    <w:rsid w:val="008318D0"/>
    <w:rsid w:val="008331A1"/>
    <w:rsid w:val="0083396B"/>
    <w:rsid w:val="00833DB5"/>
    <w:rsid w:val="00833EE5"/>
    <w:rsid w:val="0083400B"/>
    <w:rsid w:val="008346D8"/>
    <w:rsid w:val="00834889"/>
    <w:rsid w:val="00834BD6"/>
    <w:rsid w:val="00835012"/>
    <w:rsid w:val="00836537"/>
    <w:rsid w:val="00836952"/>
    <w:rsid w:val="008415C7"/>
    <w:rsid w:val="00842D05"/>
    <w:rsid w:val="008434A2"/>
    <w:rsid w:val="008451B4"/>
    <w:rsid w:val="008455EA"/>
    <w:rsid w:val="008458D8"/>
    <w:rsid w:val="00845B07"/>
    <w:rsid w:val="008468C9"/>
    <w:rsid w:val="00847200"/>
    <w:rsid w:val="00850321"/>
    <w:rsid w:val="00850F8D"/>
    <w:rsid w:val="008515B9"/>
    <w:rsid w:val="00851762"/>
    <w:rsid w:val="00851959"/>
    <w:rsid w:val="00852075"/>
    <w:rsid w:val="00852346"/>
    <w:rsid w:val="00852A82"/>
    <w:rsid w:val="00852C91"/>
    <w:rsid w:val="00853258"/>
    <w:rsid w:val="008535AB"/>
    <w:rsid w:val="00854692"/>
    <w:rsid w:val="0085477C"/>
    <w:rsid w:val="00854B50"/>
    <w:rsid w:val="00855C02"/>
    <w:rsid w:val="0085609C"/>
    <w:rsid w:val="0086066C"/>
    <w:rsid w:val="00860800"/>
    <w:rsid w:val="008634DD"/>
    <w:rsid w:val="00863706"/>
    <w:rsid w:val="0086431A"/>
    <w:rsid w:val="008647A2"/>
    <w:rsid w:val="00864BBF"/>
    <w:rsid w:val="00865AA8"/>
    <w:rsid w:val="00865D76"/>
    <w:rsid w:val="00865E76"/>
    <w:rsid w:val="008672BD"/>
    <w:rsid w:val="0087052A"/>
    <w:rsid w:val="008707B1"/>
    <w:rsid w:val="00874120"/>
    <w:rsid w:val="00874C48"/>
    <w:rsid w:val="00875DB3"/>
    <w:rsid w:val="00876FE1"/>
    <w:rsid w:val="0088034C"/>
    <w:rsid w:val="0088099A"/>
    <w:rsid w:val="00881C5F"/>
    <w:rsid w:val="00883076"/>
    <w:rsid w:val="00883439"/>
    <w:rsid w:val="00883F22"/>
    <w:rsid w:val="008857BA"/>
    <w:rsid w:val="008864A7"/>
    <w:rsid w:val="008865EB"/>
    <w:rsid w:val="00886D4E"/>
    <w:rsid w:val="00890B68"/>
    <w:rsid w:val="00890B72"/>
    <w:rsid w:val="008914FD"/>
    <w:rsid w:val="00891E33"/>
    <w:rsid w:val="00892338"/>
    <w:rsid w:val="00892FC3"/>
    <w:rsid w:val="00894948"/>
    <w:rsid w:val="00894B0C"/>
    <w:rsid w:val="00894BF4"/>
    <w:rsid w:val="00895112"/>
    <w:rsid w:val="0089516C"/>
    <w:rsid w:val="0089578D"/>
    <w:rsid w:val="00895898"/>
    <w:rsid w:val="00896BCA"/>
    <w:rsid w:val="008A0D3A"/>
    <w:rsid w:val="008A169F"/>
    <w:rsid w:val="008A1C3A"/>
    <w:rsid w:val="008A1EA6"/>
    <w:rsid w:val="008A2674"/>
    <w:rsid w:val="008A5A7B"/>
    <w:rsid w:val="008A69BB"/>
    <w:rsid w:val="008B0444"/>
    <w:rsid w:val="008B05C1"/>
    <w:rsid w:val="008B1726"/>
    <w:rsid w:val="008B284D"/>
    <w:rsid w:val="008B303A"/>
    <w:rsid w:val="008B3A98"/>
    <w:rsid w:val="008B402F"/>
    <w:rsid w:val="008B4034"/>
    <w:rsid w:val="008B5224"/>
    <w:rsid w:val="008B525A"/>
    <w:rsid w:val="008B560A"/>
    <w:rsid w:val="008B7DE0"/>
    <w:rsid w:val="008C0BC3"/>
    <w:rsid w:val="008C20DF"/>
    <w:rsid w:val="008C244A"/>
    <w:rsid w:val="008C2FC3"/>
    <w:rsid w:val="008C3299"/>
    <w:rsid w:val="008C3966"/>
    <w:rsid w:val="008C4A86"/>
    <w:rsid w:val="008C5DC5"/>
    <w:rsid w:val="008C62BA"/>
    <w:rsid w:val="008D0618"/>
    <w:rsid w:val="008D0781"/>
    <w:rsid w:val="008D1144"/>
    <w:rsid w:val="008D128B"/>
    <w:rsid w:val="008D14BE"/>
    <w:rsid w:val="008D1AFF"/>
    <w:rsid w:val="008D23E6"/>
    <w:rsid w:val="008D2943"/>
    <w:rsid w:val="008D3141"/>
    <w:rsid w:val="008D72AD"/>
    <w:rsid w:val="008D773A"/>
    <w:rsid w:val="008E014E"/>
    <w:rsid w:val="008E09D2"/>
    <w:rsid w:val="008E0D3F"/>
    <w:rsid w:val="008E1072"/>
    <w:rsid w:val="008E11F7"/>
    <w:rsid w:val="008E1D2E"/>
    <w:rsid w:val="008E3D25"/>
    <w:rsid w:val="008E5DE8"/>
    <w:rsid w:val="008E6C62"/>
    <w:rsid w:val="008E7242"/>
    <w:rsid w:val="008E74AF"/>
    <w:rsid w:val="008F00AC"/>
    <w:rsid w:val="008F02A5"/>
    <w:rsid w:val="008F05BD"/>
    <w:rsid w:val="008F06D0"/>
    <w:rsid w:val="008F2753"/>
    <w:rsid w:val="008F2770"/>
    <w:rsid w:val="008F2D8C"/>
    <w:rsid w:val="008F30F5"/>
    <w:rsid w:val="008F3298"/>
    <w:rsid w:val="008F332F"/>
    <w:rsid w:val="008F56D7"/>
    <w:rsid w:val="008F7768"/>
    <w:rsid w:val="008F780D"/>
    <w:rsid w:val="009001B0"/>
    <w:rsid w:val="009002A1"/>
    <w:rsid w:val="00902E0E"/>
    <w:rsid w:val="00903D3C"/>
    <w:rsid w:val="0090409D"/>
    <w:rsid w:val="009041BF"/>
    <w:rsid w:val="00904B2F"/>
    <w:rsid w:val="009056FD"/>
    <w:rsid w:val="00906DB5"/>
    <w:rsid w:val="009076FA"/>
    <w:rsid w:val="00910A2A"/>
    <w:rsid w:val="00910C38"/>
    <w:rsid w:val="00911156"/>
    <w:rsid w:val="009113EC"/>
    <w:rsid w:val="00912C95"/>
    <w:rsid w:val="00912D2B"/>
    <w:rsid w:val="0091301B"/>
    <w:rsid w:val="00913C1D"/>
    <w:rsid w:val="00914653"/>
    <w:rsid w:val="0091765B"/>
    <w:rsid w:val="009176E6"/>
    <w:rsid w:val="0091780E"/>
    <w:rsid w:val="00917B00"/>
    <w:rsid w:val="0092074F"/>
    <w:rsid w:val="00920C26"/>
    <w:rsid w:val="00921BF1"/>
    <w:rsid w:val="00924D55"/>
    <w:rsid w:val="00924D57"/>
    <w:rsid w:val="00924E40"/>
    <w:rsid w:val="00925DA6"/>
    <w:rsid w:val="00926F16"/>
    <w:rsid w:val="0092711F"/>
    <w:rsid w:val="00927A3C"/>
    <w:rsid w:val="009305DD"/>
    <w:rsid w:val="00931DDF"/>
    <w:rsid w:val="009351E5"/>
    <w:rsid w:val="0093729D"/>
    <w:rsid w:val="00940A72"/>
    <w:rsid w:val="00941656"/>
    <w:rsid w:val="0094173A"/>
    <w:rsid w:val="009428B7"/>
    <w:rsid w:val="00942BC5"/>
    <w:rsid w:val="0094309C"/>
    <w:rsid w:val="00943BBB"/>
    <w:rsid w:val="00943CA2"/>
    <w:rsid w:val="00944461"/>
    <w:rsid w:val="009444A2"/>
    <w:rsid w:val="0094524E"/>
    <w:rsid w:val="00945C28"/>
    <w:rsid w:val="00945EAC"/>
    <w:rsid w:val="0095151C"/>
    <w:rsid w:val="009521E1"/>
    <w:rsid w:val="0095227C"/>
    <w:rsid w:val="00954077"/>
    <w:rsid w:val="00955CE9"/>
    <w:rsid w:val="00956D12"/>
    <w:rsid w:val="00957517"/>
    <w:rsid w:val="00960875"/>
    <w:rsid w:val="009619B8"/>
    <w:rsid w:val="009623D5"/>
    <w:rsid w:val="009636F5"/>
    <w:rsid w:val="0096383A"/>
    <w:rsid w:val="00963DFB"/>
    <w:rsid w:val="0096445F"/>
    <w:rsid w:val="00966CFD"/>
    <w:rsid w:val="00967EEE"/>
    <w:rsid w:val="009704AE"/>
    <w:rsid w:val="009730D5"/>
    <w:rsid w:val="009743DA"/>
    <w:rsid w:val="00974453"/>
    <w:rsid w:val="00974BA0"/>
    <w:rsid w:val="009750F5"/>
    <w:rsid w:val="00975413"/>
    <w:rsid w:val="00976382"/>
    <w:rsid w:val="00977D7D"/>
    <w:rsid w:val="009810E3"/>
    <w:rsid w:val="00981151"/>
    <w:rsid w:val="00981612"/>
    <w:rsid w:val="00982407"/>
    <w:rsid w:val="00982807"/>
    <w:rsid w:val="00982B5E"/>
    <w:rsid w:val="0098349E"/>
    <w:rsid w:val="009845B3"/>
    <w:rsid w:val="00984AFB"/>
    <w:rsid w:val="00984FC3"/>
    <w:rsid w:val="009860DE"/>
    <w:rsid w:val="0098628B"/>
    <w:rsid w:val="00986817"/>
    <w:rsid w:val="00986F7E"/>
    <w:rsid w:val="00987223"/>
    <w:rsid w:val="00987A86"/>
    <w:rsid w:val="00990CCE"/>
    <w:rsid w:val="00990E19"/>
    <w:rsid w:val="009927C7"/>
    <w:rsid w:val="00994665"/>
    <w:rsid w:val="00994760"/>
    <w:rsid w:val="009948CD"/>
    <w:rsid w:val="00995A18"/>
    <w:rsid w:val="0099633E"/>
    <w:rsid w:val="00996632"/>
    <w:rsid w:val="00996780"/>
    <w:rsid w:val="00997C53"/>
    <w:rsid w:val="009A0B4F"/>
    <w:rsid w:val="009A0FCA"/>
    <w:rsid w:val="009A27F9"/>
    <w:rsid w:val="009A2D6D"/>
    <w:rsid w:val="009A42BE"/>
    <w:rsid w:val="009A46C1"/>
    <w:rsid w:val="009A606A"/>
    <w:rsid w:val="009A6D02"/>
    <w:rsid w:val="009A7F66"/>
    <w:rsid w:val="009B17F4"/>
    <w:rsid w:val="009B18F4"/>
    <w:rsid w:val="009B19FD"/>
    <w:rsid w:val="009B234D"/>
    <w:rsid w:val="009B258C"/>
    <w:rsid w:val="009B342C"/>
    <w:rsid w:val="009B35AE"/>
    <w:rsid w:val="009B475A"/>
    <w:rsid w:val="009B47C2"/>
    <w:rsid w:val="009B649D"/>
    <w:rsid w:val="009B6B44"/>
    <w:rsid w:val="009B6EFB"/>
    <w:rsid w:val="009B74A8"/>
    <w:rsid w:val="009B7EF1"/>
    <w:rsid w:val="009C039A"/>
    <w:rsid w:val="009C1A23"/>
    <w:rsid w:val="009C272C"/>
    <w:rsid w:val="009C2EAD"/>
    <w:rsid w:val="009C356F"/>
    <w:rsid w:val="009C3E0B"/>
    <w:rsid w:val="009C4505"/>
    <w:rsid w:val="009C695C"/>
    <w:rsid w:val="009C69DA"/>
    <w:rsid w:val="009C733E"/>
    <w:rsid w:val="009D0ACE"/>
    <w:rsid w:val="009D0C0E"/>
    <w:rsid w:val="009D1075"/>
    <w:rsid w:val="009D13FF"/>
    <w:rsid w:val="009D1758"/>
    <w:rsid w:val="009D1ED9"/>
    <w:rsid w:val="009D308C"/>
    <w:rsid w:val="009D3114"/>
    <w:rsid w:val="009D3D2D"/>
    <w:rsid w:val="009D44CE"/>
    <w:rsid w:val="009D4A0C"/>
    <w:rsid w:val="009D5132"/>
    <w:rsid w:val="009D54BA"/>
    <w:rsid w:val="009D5854"/>
    <w:rsid w:val="009D639A"/>
    <w:rsid w:val="009D78FC"/>
    <w:rsid w:val="009E08FF"/>
    <w:rsid w:val="009E1B82"/>
    <w:rsid w:val="009E2D20"/>
    <w:rsid w:val="009E2D37"/>
    <w:rsid w:val="009E3B68"/>
    <w:rsid w:val="009E534F"/>
    <w:rsid w:val="009E5977"/>
    <w:rsid w:val="009E5DBC"/>
    <w:rsid w:val="009E7644"/>
    <w:rsid w:val="009E7AF5"/>
    <w:rsid w:val="009E7E51"/>
    <w:rsid w:val="009F364F"/>
    <w:rsid w:val="009F4D85"/>
    <w:rsid w:val="009F59A3"/>
    <w:rsid w:val="009F5A9B"/>
    <w:rsid w:val="009F5AC3"/>
    <w:rsid w:val="009F654A"/>
    <w:rsid w:val="009F6F09"/>
    <w:rsid w:val="00A02F5B"/>
    <w:rsid w:val="00A03582"/>
    <w:rsid w:val="00A03710"/>
    <w:rsid w:val="00A03A49"/>
    <w:rsid w:val="00A03AF2"/>
    <w:rsid w:val="00A04A38"/>
    <w:rsid w:val="00A04F24"/>
    <w:rsid w:val="00A0548E"/>
    <w:rsid w:val="00A05D81"/>
    <w:rsid w:val="00A06253"/>
    <w:rsid w:val="00A06C28"/>
    <w:rsid w:val="00A1010C"/>
    <w:rsid w:val="00A10975"/>
    <w:rsid w:val="00A12664"/>
    <w:rsid w:val="00A12B70"/>
    <w:rsid w:val="00A13113"/>
    <w:rsid w:val="00A13F62"/>
    <w:rsid w:val="00A14785"/>
    <w:rsid w:val="00A14A51"/>
    <w:rsid w:val="00A224E7"/>
    <w:rsid w:val="00A2261A"/>
    <w:rsid w:val="00A2293D"/>
    <w:rsid w:val="00A25451"/>
    <w:rsid w:val="00A307F5"/>
    <w:rsid w:val="00A32921"/>
    <w:rsid w:val="00A33003"/>
    <w:rsid w:val="00A34C88"/>
    <w:rsid w:val="00A34EB1"/>
    <w:rsid w:val="00A3609B"/>
    <w:rsid w:val="00A361D1"/>
    <w:rsid w:val="00A3658D"/>
    <w:rsid w:val="00A36777"/>
    <w:rsid w:val="00A37646"/>
    <w:rsid w:val="00A401E1"/>
    <w:rsid w:val="00A439FD"/>
    <w:rsid w:val="00A43A71"/>
    <w:rsid w:val="00A43D0D"/>
    <w:rsid w:val="00A44170"/>
    <w:rsid w:val="00A4451C"/>
    <w:rsid w:val="00A504CF"/>
    <w:rsid w:val="00A521DE"/>
    <w:rsid w:val="00A52261"/>
    <w:rsid w:val="00A52419"/>
    <w:rsid w:val="00A52B68"/>
    <w:rsid w:val="00A539F9"/>
    <w:rsid w:val="00A54A6A"/>
    <w:rsid w:val="00A55137"/>
    <w:rsid w:val="00A55339"/>
    <w:rsid w:val="00A5590A"/>
    <w:rsid w:val="00A55ADA"/>
    <w:rsid w:val="00A56846"/>
    <w:rsid w:val="00A56E7F"/>
    <w:rsid w:val="00A575D1"/>
    <w:rsid w:val="00A61354"/>
    <w:rsid w:val="00A61722"/>
    <w:rsid w:val="00A61EA8"/>
    <w:rsid w:val="00A62295"/>
    <w:rsid w:val="00A634F4"/>
    <w:rsid w:val="00A649DC"/>
    <w:rsid w:val="00A65AD4"/>
    <w:rsid w:val="00A65BAC"/>
    <w:rsid w:val="00A66F0E"/>
    <w:rsid w:val="00A67C57"/>
    <w:rsid w:val="00A67E46"/>
    <w:rsid w:val="00A70DF1"/>
    <w:rsid w:val="00A710B7"/>
    <w:rsid w:val="00A711CA"/>
    <w:rsid w:val="00A71E1C"/>
    <w:rsid w:val="00A71E8B"/>
    <w:rsid w:val="00A72273"/>
    <w:rsid w:val="00A72795"/>
    <w:rsid w:val="00A7395D"/>
    <w:rsid w:val="00A73F54"/>
    <w:rsid w:val="00A7616D"/>
    <w:rsid w:val="00A7781E"/>
    <w:rsid w:val="00A81E3B"/>
    <w:rsid w:val="00A823F4"/>
    <w:rsid w:val="00A83341"/>
    <w:rsid w:val="00A83540"/>
    <w:rsid w:val="00A8392B"/>
    <w:rsid w:val="00A85A8E"/>
    <w:rsid w:val="00A86B91"/>
    <w:rsid w:val="00A9088A"/>
    <w:rsid w:val="00A91892"/>
    <w:rsid w:val="00A91D71"/>
    <w:rsid w:val="00A92502"/>
    <w:rsid w:val="00A932F2"/>
    <w:rsid w:val="00A9348A"/>
    <w:rsid w:val="00A93FB4"/>
    <w:rsid w:val="00A94ED1"/>
    <w:rsid w:val="00A964E1"/>
    <w:rsid w:val="00A968DC"/>
    <w:rsid w:val="00AA11F2"/>
    <w:rsid w:val="00AA2C59"/>
    <w:rsid w:val="00AA2EF6"/>
    <w:rsid w:val="00AA41C6"/>
    <w:rsid w:val="00AA6609"/>
    <w:rsid w:val="00AA6BF3"/>
    <w:rsid w:val="00AA75A1"/>
    <w:rsid w:val="00AA79F2"/>
    <w:rsid w:val="00AB08FF"/>
    <w:rsid w:val="00AB14C3"/>
    <w:rsid w:val="00AB1C9A"/>
    <w:rsid w:val="00AB2AF3"/>
    <w:rsid w:val="00AB3ABE"/>
    <w:rsid w:val="00AB3FEC"/>
    <w:rsid w:val="00AB431E"/>
    <w:rsid w:val="00AB68C0"/>
    <w:rsid w:val="00AB69A4"/>
    <w:rsid w:val="00AB6AB8"/>
    <w:rsid w:val="00AB6BB9"/>
    <w:rsid w:val="00AB7117"/>
    <w:rsid w:val="00AC076E"/>
    <w:rsid w:val="00AC1265"/>
    <w:rsid w:val="00AC1716"/>
    <w:rsid w:val="00AC24B0"/>
    <w:rsid w:val="00AC28AD"/>
    <w:rsid w:val="00AC3447"/>
    <w:rsid w:val="00AC351A"/>
    <w:rsid w:val="00AC40EA"/>
    <w:rsid w:val="00AC5529"/>
    <w:rsid w:val="00AC5A3C"/>
    <w:rsid w:val="00AC5D4F"/>
    <w:rsid w:val="00AC775F"/>
    <w:rsid w:val="00AC796A"/>
    <w:rsid w:val="00AD19F7"/>
    <w:rsid w:val="00AD2035"/>
    <w:rsid w:val="00AD305A"/>
    <w:rsid w:val="00AD5371"/>
    <w:rsid w:val="00AD7491"/>
    <w:rsid w:val="00AD7832"/>
    <w:rsid w:val="00AE0575"/>
    <w:rsid w:val="00AE1609"/>
    <w:rsid w:val="00AE21BB"/>
    <w:rsid w:val="00AE3763"/>
    <w:rsid w:val="00AE50F4"/>
    <w:rsid w:val="00AE5E2A"/>
    <w:rsid w:val="00AE6DD7"/>
    <w:rsid w:val="00AF07E0"/>
    <w:rsid w:val="00AF1A72"/>
    <w:rsid w:val="00AF21D3"/>
    <w:rsid w:val="00AF2E59"/>
    <w:rsid w:val="00AF34CA"/>
    <w:rsid w:val="00AF35DA"/>
    <w:rsid w:val="00AF4F97"/>
    <w:rsid w:val="00AF5274"/>
    <w:rsid w:val="00AF5A27"/>
    <w:rsid w:val="00AF6331"/>
    <w:rsid w:val="00AF687A"/>
    <w:rsid w:val="00AF6B49"/>
    <w:rsid w:val="00B00D0C"/>
    <w:rsid w:val="00B013C2"/>
    <w:rsid w:val="00B0178E"/>
    <w:rsid w:val="00B034BC"/>
    <w:rsid w:val="00B03764"/>
    <w:rsid w:val="00B046EE"/>
    <w:rsid w:val="00B065C1"/>
    <w:rsid w:val="00B06D48"/>
    <w:rsid w:val="00B07062"/>
    <w:rsid w:val="00B07D1B"/>
    <w:rsid w:val="00B14865"/>
    <w:rsid w:val="00B15754"/>
    <w:rsid w:val="00B20F20"/>
    <w:rsid w:val="00B22C7A"/>
    <w:rsid w:val="00B22E52"/>
    <w:rsid w:val="00B23C4E"/>
    <w:rsid w:val="00B247D4"/>
    <w:rsid w:val="00B252B3"/>
    <w:rsid w:val="00B256A9"/>
    <w:rsid w:val="00B27BAE"/>
    <w:rsid w:val="00B303AC"/>
    <w:rsid w:val="00B31663"/>
    <w:rsid w:val="00B321A6"/>
    <w:rsid w:val="00B32B7C"/>
    <w:rsid w:val="00B34011"/>
    <w:rsid w:val="00B34561"/>
    <w:rsid w:val="00B37ADE"/>
    <w:rsid w:val="00B40BF2"/>
    <w:rsid w:val="00B4108D"/>
    <w:rsid w:val="00B415D5"/>
    <w:rsid w:val="00B416D9"/>
    <w:rsid w:val="00B41CDD"/>
    <w:rsid w:val="00B43180"/>
    <w:rsid w:val="00B43394"/>
    <w:rsid w:val="00B43480"/>
    <w:rsid w:val="00B442DA"/>
    <w:rsid w:val="00B44A28"/>
    <w:rsid w:val="00B45003"/>
    <w:rsid w:val="00B45618"/>
    <w:rsid w:val="00B45D1D"/>
    <w:rsid w:val="00B47BD9"/>
    <w:rsid w:val="00B50AD4"/>
    <w:rsid w:val="00B50B6C"/>
    <w:rsid w:val="00B51A8F"/>
    <w:rsid w:val="00B51E53"/>
    <w:rsid w:val="00B522B0"/>
    <w:rsid w:val="00B52819"/>
    <w:rsid w:val="00B52FB0"/>
    <w:rsid w:val="00B53C6C"/>
    <w:rsid w:val="00B54A34"/>
    <w:rsid w:val="00B55347"/>
    <w:rsid w:val="00B55695"/>
    <w:rsid w:val="00B55DA4"/>
    <w:rsid w:val="00B55DDD"/>
    <w:rsid w:val="00B5789F"/>
    <w:rsid w:val="00B631BF"/>
    <w:rsid w:val="00B636F5"/>
    <w:rsid w:val="00B66515"/>
    <w:rsid w:val="00B67A44"/>
    <w:rsid w:val="00B7267D"/>
    <w:rsid w:val="00B73D2B"/>
    <w:rsid w:val="00B73D6A"/>
    <w:rsid w:val="00B73E61"/>
    <w:rsid w:val="00B74835"/>
    <w:rsid w:val="00B7640F"/>
    <w:rsid w:val="00B76B18"/>
    <w:rsid w:val="00B77739"/>
    <w:rsid w:val="00B777E4"/>
    <w:rsid w:val="00B80CFD"/>
    <w:rsid w:val="00B81FD8"/>
    <w:rsid w:val="00B825B7"/>
    <w:rsid w:val="00B82B00"/>
    <w:rsid w:val="00B84E99"/>
    <w:rsid w:val="00B854F9"/>
    <w:rsid w:val="00B8578A"/>
    <w:rsid w:val="00B858F7"/>
    <w:rsid w:val="00B85922"/>
    <w:rsid w:val="00B85EE4"/>
    <w:rsid w:val="00B8618A"/>
    <w:rsid w:val="00B865A7"/>
    <w:rsid w:val="00B8730F"/>
    <w:rsid w:val="00B87324"/>
    <w:rsid w:val="00B87451"/>
    <w:rsid w:val="00B875EA"/>
    <w:rsid w:val="00B87B78"/>
    <w:rsid w:val="00B9237A"/>
    <w:rsid w:val="00B936F2"/>
    <w:rsid w:val="00B93C41"/>
    <w:rsid w:val="00B9425F"/>
    <w:rsid w:val="00B9569C"/>
    <w:rsid w:val="00BA03C5"/>
    <w:rsid w:val="00BA3F1C"/>
    <w:rsid w:val="00BA4B74"/>
    <w:rsid w:val="00BA5040"/>
    <w:rsid w:val="00BA7EED"/>
    <w:rsid w:val="00BB0AC1"/>
    <w:rsid w:val="00BB1683"/>
    <w:rsid w:val="00BB2AC9"/>
    <w:rsid w:val="00BB2B2B"/>
    <w:rsid w:val="00BB4BAD"/>
    <w:rsid w:val="00BB6179"/>
    <w:rsid w:val="00BB62AE"/>
    <w:rsid w:val="00BB780A"/>
    <w:rsid w:val="00BC0908"/>
    <w:rsid w:val="00BC093D"/>
    <w:rsid w:val="00BC2E86"/>
    <w:rsid w:val="00BC32BF"/>
    <w:rsid w:val="00BC4E43"/>
    <w:rsid w:val="00BC5C37"/>
    <w:rsid w:val="00BC6EC1"/>
    <w:rsid w:val="00BC7699"/>
    <w:rsid w:val="00BC7CDE"/>
    <w:rsid w:val="00BD2C53"/>
    <w:rsid w:val="00BD35BA"/>
    <w:rsid w:val="00BD3610"/>
    <w:rsid w:val="00BD43E1"/>
    <w:rsid w:val="00BD4EAD"/>
    <w:rsid w:val="00BD562B"/>
    <w:rsid w:val="00BD681B"/>
    <w:rsid w:val="00BD7778"/>
    <w:rsid w:val="00BE0095"/>
    <w:rsid w:val="00BE1156"/>
    <w:rsid w:val="00BE12B0"/>
    <w:rsid w:val="00BE239D"/>
    <w:rsid w:val="00BE24D1"/>
    <w:rsid w:val="00BE2FF6"/>
    <w:rsid w:val="00BE32B0"/>
    <w:rsid w:val="00BE4ADF"/>
    <w:rsid w:val="00BE5335"/>
    <w:rsid w:val="00BE5386"/>
    <w:rsid w:val="00BE6ADC"/>
    <w:rsid w:val="00BF07D7"/>
    <w:rsid w:val="00BF1EAB"/>
    <w:rsid w:val="00BF225B"/>
    <w:rsid w:val="00BF24E7"/>
    <w:rsid w:val="00BF27C9"/>
    <w:rsid w:val="00BF2F0B"/>
    <w:rsid w:val="00BF3907"/>
    <w:rsid w:val="00BF4750"/>
    <w:rsid w:val="00BF4B09"/>
    <w:rsid w:val="00BF52EB"/>
    <w:rsid w:val="00BF5F54"/>
    <w:rsid w:val="00BF626A"/>
    <w:rsid w:val="00BF7191"/>
    <w:rsid w:val="00C001AE"/>
    <w:rsid w:val="00C00393"/>
    <w:rsid w:val="00C0094B"/>
    <w:rsid w:val="00C01978"/>
    <w:rsid w:val="00C036E2"/>
    <w:rsid w:val="00C03D86"/>
    <w:rsid w:val="00C04F7F"/>
    <w:rsid w:val="00C0636A"/>
    <w:rsid w:val="00C06414"/>
    <w:rsid w:val="00C0676D"/>
    <w:rsid w:val="00C0738F"/>
    <w:rsid w:val="00C0783B"/>
    <w:rsid w:val="00C07DA6"/>
    <w:rsid w:val="00C11484"/>
    <w:rsid w:val="00C118FC"/>
    <w:rsid w:val="00C125D1"/>
    <w:rsid w:val="00C12A25"/>
    <w:rsid w:val="00C132BA"/>
    <w:rsid w:val="00C1377D"/>
    <w:rsid w:val="00C14273"/>
    <w:rsid w:val="00C16FD2"/>
    <w:rsid w:val="00C17ADC"/>
    <w:rsid w:val="00C219A0"/>
    <w:rsid w:val="00C2261E"/>
    <w:rsid w:val="00C22624"/>
    <w:rsid w:val="00C229D6"/>
    <w:rsid w:val="00C23533"/>
    <w:rsid w:val="00C23ACB"/>
    <w:rsid w:val="00C257A1"/>
    <w:rsid w:val="00C2591D"/>
    <w:rsid w:val="00C27F99"/>
    <w:rsid w:val="00C3070B"/>
    <w:rsid w:val="00C31553"/>
    <w:rsid w:val="00C31B89"/>
    <w:rsid w:val="00C3278B"/>
    <w:rsid w:val="00C33932"/>
    <w:rsid w:val="00C33E51"/>
    <w:rsid w:val="00C343E1"/>
    <w:rsid w:val="00C34A09"/>
    <w:rsid w:val="00C35478"/>
    <w:rsid w:val="00C356C8"/>
    <w:rsid w:val="00C35882"/>
    <w:rsid w:val="00C3593D"/>
    <w:rsid w:val="00C362F7"/>
    <w:rsid w:val="00C37B23"/>
    <w:rsid w:val="00C37CBD"/>
    <w:rsid w:val="00C37DEC"/>
    <w:rsid w:val="00C4006A"/>
    <w:rsid w:val="00C40A41"/>
    <w:rsid w:val="00C4400B"/>
    <w:rsid w:val="00C4726E"/>
    <w:rsid w:val="00C47493"/>
    <w:rsid w:val="00C47BF3"/>
    <w:rsid w:val="00C50B23"/>
    <w:rsid w:val="00C51312"/>
    <w:rsid w:val="00C514D6"/>
    <w:rsid w:val="00C518D3"/>
    <w:rsid w:val="00C53C0D"/>
    <w:rsid w:val="00C54E02"/>
    <w:rsid w:val="00C55817"/>
    <w:rsid w:val="00C56058"/>
    <w:rsid w:val="00C56218"/>
    <w:rsid w:val="00C574F1"/>
    <w:rsid w:val="00C60322"/>
    <w:rsid w:val="00C6042C"/>
    <w:rsid w:val="00C606D0"/>
    <w:rsid w:val="00C61035"/>
    <w:rsid w:val="00C61976"/>
    <w:rsid w:val="00C628AC"/>
    <w:rsid w:val="00C63F08"/>
    <w:rsid w:val="00C64932"/>
    <w:rsid w:val="00C6541A"/>
    <w:rsid w:val="00C659EF"/>
    <w:rsid w:val="00C670E6"/>
    <w:rsid w:val="00C67123"/>
    <w:rsid w:val="00C679C1"/>
    <w:rsid w:val="00C71918"/>
    <w:rsid w:val="00C719E9"/>
    <w:rsid w:val="00C71DC1"/>
    <w:rsid w:val="00C751F1"/>
    <w:rsid w:val="00C75EB4"/>
    <w:rsid w:val="00C77AAF"/>
    <w:rsid w:val="00C801F6"/>
    <w:rsid w:val="00C81B12"/>
    <w:rsid w:val="00C81C2B"/>
    <w:rsid w:val="00C82C94"/>
    <w:rsid w:val="00C839A1"/>
    <w:rsid w:val="00C84028"/>
    <w:rsid w:val="00C8437E"/>
    <w:rsid w:val="00C84ABA"/>
    <w:rsid w:val="00C85563"/>
    <w:rsid w:val="00C85D7F"/>
    <w:rsid w:val="00C87DEB"/>
    <w:rsid w:val="00C87F03"/>
    <w:rsid w:val="00C904AD"/>
    <w:rsid w:val="00C90A50"/>
    <w:rsid w:val="00C91632"/>
    <w:rsid w:val="00C91A76"/>
    <w:rsid w:val="00C92079"/>
    <w:rsid w:val="00C9241F"/>
    <w:rsid w:val="00C92EAE"/>
    <w:rsid w:val="00C93227"/>
    <w:rsid w:val="00C93563"/>
    <w:rsid w:val="00C938CC"/>
    <w:rsid w:val="00C94697"/>
    <w:rsid w:val="00C949A5"/>
    <w:rsid w:val="00C9603D"/>
    <w:rsid w:val="00C964A4"/>
    <w:rsid w:val="00C970A7"/>
    <w:rsid w:val="00C971C4"/>
    <w:rsid w:val="00CA0A65"/>
    <w:rsid w:val="00CA0F92"/>
    <w:rsid w:val="00CA1B31"/>
    <w:rsid w:val="00CA344F"/>
    <w:rsid w:val="00CA4FF0"/>
    <w:rsid w:val="00CA5E82"/>
    <w:rsid w:val="00CA63BF"/>
    <w:rsid w:val="00CB03BC"/>
    <w:rsid w:val="00CB0C6C"/>
    <w:rsid w:val="00CB15F9"/>
    <w:rsid w:val="00CB1C5E"/>
    <w:rsid w:val="00CB341B"/>
    <w:rsid w:val="00CB4D85"/>
    <w:rsid w:val="00CB5F99"/>
    <w:rsid w:val="00CB6262"/>
    <w:rsid w:val="00CB65FE"/>
    <w:rsid w:val="00CB681E"/>
    <w:rsid w:val="00CC20D1"/>
    <w:rsid w:val="00CC280E"/>
    <w:rsid w:val="00CC6C93"/>
    <w:rsid w:val="00CC738A"/>
    <w:rsid w:val="00CC7520"/>
    <w:rsid w:val="00CC7C81"/>
    <w:rsid w:val="00CC7EDE"/>
    <w:rsid w:val="00CD0A22"/>
    <w:rsid w:val="00CD1D83"/>
    <w:rsid w:val="00CD219B"/>
    <w:rsid w:val="00CD3AF4"/>
    <w:rsid w:val="00CD3BA9"/>
    <w:rsid w:val="00CD3CC0"/>
    <w:rsid w:val="00CD3D99"/>
    <w:rsid w:val="00CD3F8D"/>
    <w:rsid w:val="00CD43E1"/>
    <w:rsid w:val="00CD516A"/>
    <w:rsid w:val="00CD5757"/>
    <w:rsid w:val="00CD5BC6"/>
    <w:rsid w:val="00CD6F55"/>
    <w:rsid w:val="00CD7416"/>
    <w:rsid w:val="00CE0D5E"/>
    <w:rsid w:val="00CE17D7"/>
    <w:rsid w:val="00CE184A"/>
    <w:rsid w:val="00CE1CF6"/>
    <w:rsid w:val="00CE2CFB"/>
    <w:rsid w:val="00CE42C2"/>
    <w:rsid w:val="00CE4D65"/>
    <w:rsid w:val="00CE4FA6"/>
    <w:rsid w:val="00CE5AF0"/>
    <w:rsid w:val="00CE5E96"/>
    <w:rsid w:val="00CF104A"/>
    <w:rsid w:val="00CF3551"/>
    <w:rsid w:val="00CF3EDE"/>
    <w:rsid w:val="00CF3F36"/>
    <w:rsid w:val="00CF4C98"/>
    <w:rsid w:val="00CF5544"/>
    <w:rsid w:val="00CF5A30"/>
    <w:rsid w:val="00CF6C58"/>
    <w:rsid w:val="00CF7D2A"/>
    <w:rsid w:val="00D006DD"/>
    <w:rsid w:val="00D042BB"/>
    <w:rsid w:val="00D04863"/>
    <w:rsid w:val="00D04C33"/>
    <w:rsid w:val="00D05C9C"/>
    <w:rsid w:val="00D0620E"/>
    <w:rsid w:val="00D07A87"/>
    <w:rsid w:val="00D07BA2"/>
    <w:rsid w:val="00D07FC9"/>
    <w:rsid w:val="00D10687"/>
    <w:rsid w:val="00D106BA"/>
    <w:rsid w:val="00D107C7"/>
    <w:rsid w:val="00D10ADE"/>
    <w:rsid w:val="00D10DB7"/>
    <w:rsid w:val="00D11C56"/>
    <w:rsid w:val="00D134F4"/>
    <w:rsid w:val="00D137C0"/>
    <w:rsid w:val="00D148D0"/>
    <w:rsid w:val="00D1600D"/>
    <w:rsid w:val="00D16435"/>
    <w:rsid w:val="00D17214"/>
    <w:rsid w:val="00D20237"/>
    <w:rsid w:val="00D21674"/>
    <w:rsid w:val="00D21B2D"/>
    <w:rsid w:val="00D2266E"/>
    <w:rsid w:val="00D23185"/>
    <w:rsid w:val="00D23DBA"/>
    <w:rsid w:val="00D24E1E"/>
    <w:rsid w:val="00D2504E"/>
    <w:rsid w:val="00D3082E"/>
    <w:rsid w:val="00D30CEF"/>
    <w:rsid w:val="00D30E9E"/>
    <w:rsid w:val="00D3193C"/>
    <w:rsid w:val="00D31DDD"/>
    <w:rsid w:val="00D320C5"/>
    <w:rsid w:val="00D33774"/>
    <w:rsid w:val="00D34E57"/>
    <w:rsid w:val="00D35553"/>
    <w:rsid w:val="00D3666B"/>
    <w:rsid w:val="00D37E29"/>
    <w:rsid w:val="00D40310"/>
    <w:rsid w:val="00D41159"/>
    <w:rsid w:val="00D424BC"/>
    <w:rsid w:val="00D425E7"/>
    <w:rsid w:val="00D4282C"/>
    <w:rsid w:val="00D4286D"/>
    <w:rsid w:val="00D43034"/>
    <w:rsid w:val="00D4422B"/>
    <w:rsid w:val="00D44573"/>
    <w:rsid w:val="00D4525A"/>
    <w:rsid w:val="00D4559E"/>
    <w:rsid w:val="00D45BCA"/>
    <w:rsid w:val="00D46FCD"/>
    <w:rsid w:val="00D47636"/>
    <w:rsid w:val="00D516C9"/>
    <w:rsid w:val="00D51B16"/>
    <w:rsid w:val="00D53476"/>
    <w:rsid w:val="00D53EF1"/>
    <w:rsid w:val="00D56712"/>
    <w:rsid w:val="00D57B77"/>
    <w:rsid w:val="00D57DDC"/>
    <w:rsid w:val="00D617E2"/>
    <w:rsid w:val="00D6392D"/>
    <w:rsid w:val="00D63D3E"/>
    <w:rsid w:val="00D63D9B"/>
    <w:rsid w:val="00D63EE6"/>
    <w:rsid w:val="00D65353"/>
    <w:rsid w:val="00D66C2C"/>
    <w:rsid w:val="00D66D3C"/>
    <w:rsid w:val="00D67A13"/>
    <w:rsid w:val="00D7060E"/>
    <w:rsid w:val="00D74125"/>
    <w:rsid w:val="00D741DE"/>
    <w:rsid w:val="00D75653"/>
    <w:rsid w:val="00D76083"/>
    <w:rsid w:val="00D76C7F"/>
    <w:rsid w:val="00D7774D"/>
    <w:rsid w:val="00D80301"/>
    <w:rsid w:val="00D80B5C"/>
    <w:rsid w:val="00D8122C"/>
    <w:rsid w:val="00D814C5"/>
    <w:rsid w:val="00D81607"/>
    <w:rsid w:val="00D835F7"/>
    <w:rsid w:val="00D849C7"/>
    <w:rsid w:val="00D86B5C"/>
    <w:rsid w:val="00D871A3"/>
    <w:rsid w:val="00D90391"/>
    <w:rsid w:val="00D90628"/>
    <w:rsid w:val="00D90D4B"/>
    <w:rsid w:val="00D91F0F"/>
    <w:rsid w:val="00D93857"/>
    <w:rsid w:val="00D94C00"/>
    <w:rsid w:val="00D95814"/>
    <w:rsid w:val="00D95859"/>
    <w:rsid w:val="00D95A46"/>
    <w:rsid w:val="00D95F52"/>
    <w:rsid w:val="00D96553"/>
    <w:rsid w:val="00D967EC"/>
    <w:rsid w:val="00D96E34"/>
    <w:rsid w:val="00DA07E8"/>
    <w:rsid w:val="00DA0EAD"/>
    <w:rsid w:val="00DA180B"/>
    <w:rsid w:val="00DA1C21"/>
    <w:rsid w:val="00DA1E2A"/>
    <w:rsid w:val="00DA1FB4"/>
    <w:rsid w:val="00DA20EB"/>
    <w:rsid w:val="00DA226F"/>
    <w:rsid w:val="00DA46E1"/>
    <w:rsid w:val="00DA560A"/>
    <w:rsid w:val="00DA5742"/>
    <w:rsid w:val="00DA598E"/>
    <w:rsid w:val="00DA608A"/>
    <w:rsid w:val="00DA7DAD"/>
    <w:rsid w:val="00DB00BE"/>
    <w:rsid w:val="00DB0524"/>
    <w:rsid w:val="00DB110B"/>
    <w:rsid w:val="00DB16D7"/>
    <w:rsid w:val="00DB1DE6"/>
    <w:rsid w:val="00DB25FC"/>
    <w:rsid w:val="00DB45E1"/>
    <w:rsid w:val="00DB49C5"/>
    <w:rsid w:val="00DB4DD1"/>
    <w:rsid w:val="00DB516D"/>
    <w:rsid w:val="00DB6AC1"/>
    <w:rsid w:val="00DC0BFD"/>
    <w:rsid w:val="00DC0D8F"/>
    <w:rsid w:val="00DC2748"/>
    <w:rsid w:val="00DC3DED"/>
    <w:rsid w:val="00DC6084"/>
    <w:rsid w:val="00DC68D6"/>
    <w:rsid w:val="00DC7F95"/>
    <w:rsid w:val="00DD01D8"/>
    <w:rsid w:val="00DD21D2"/>
    <w:rsid w:val="00DD2905"/>
    <w:rsid w:val="00DD3B4B"/>
    <w:rsid w:val="00DD3E32"/>
    <w:rsid w:val="00DD5248"/>
    <w:rsid w:val="00DD5513"/>
    <w:rsid w:val="00DD641D"/>
    <w:rsid w:val="00DE05F3"/>
    <w:rsid w:val="00DE0DD8"/>
    <w:rsid w:val="00DE10DA"/>
    <w:rsid w:val="00DE16F6"/>
    <w:rsid w:val="00DE2590"/>
    <w:rsid w:val="00DE2728"/>
    <w:rsid w:val="00DE278E"/>
    <w:rsid w:val="00DE27E0"/>
    <w:rsid w:val="00DE2EAF"/>
    <w:rsid w:val="00DE3E38"/>
    <w:rsid w:val="00DE4613"/>
    <w:rsid w:val="00DE48AC"/>
    <w:rsid w:val="00DE5D98"/>
    <w:rsid w:val="00DE63FF"/>
    <w:rsid w:val="00DE71F9"/>
    <w:rsid w:val="00DF0961"/>
    <w:rsid w:val="00DF2AF6"/>
    <w:rsid w:val="00DF2DFF"/>
    <w:rsid w:val="00DF3401"/>
    <w:rsid w:val="00DF4389"/>
    <w:rsid w:val="00DF498D"/>
    <w:rsid w:val="00DF5813"/>
    <w:rsid w:val="00DF5C97"/>
    <w:rsid w:val="00DF5FF3"/>
    <w:rsid w:val="00DF6FFD"/>
    <w:rsid w:val="00DF71EC"/>
    <w:rsid w:val="00DF76E6"/>
    <w:rsid w:val="00DF7D44"/>
    <w:rsid w:val="00E00A65"/>
    <w:rsid w:val="00E01DFD"/>
    <w:rsid w:val="00E01F8D"/>
    <w:rsid w:val="00E0220F"/>
    <w:rsid w:val="00E023C6"/>
    <w:rsid w:val="00E025F5"/>
    <w:rsid w:val="00E028B4"/>
    <w:rsid w:val="00E02BE8"/>
    <w:rsid w:val="00E02EFF"/>
    <w:rsid w:val="00E0455F"/>
    <w:rsid w:val="00E047CF"/>
    <w:rsid w:val="00E06C13"/>
    <w:rsid w:val="00E07DD0"/>
    <w:rsid w:val="00E11101"/>
    <w:rsid w:val="00E12FD8"/>
    <w:rsid w:val="00E1346D"/>
    <w:rsid w:val="00E1592E"/>
    <w:rsid w:val="00E1600B"/>
    <w:rsid w:val="00E16DB9"/>
    <w:rsid w:val="00E16E9E"/>
    <w:rsid w:val="00E20373"/>
    <w:rsid w:val="00E207D4"/>
    <w:rsid w:val="00E21B83"/>
    <w:rsid w:val="00E24444"/>
    <w:rsid w:val="00E244D9"/>
    <w:rsid w:val="00E24F72"/>
    <w:rsid w:val="00E25A33"/>
    <w:rsid w:val="00E25C6A"/>
    <w:rsid w:val="00E25CFC"/>
    <w:rsid w:val="00E26BAD"/>
    <w:rsid w:val="00E2781C"/>
    <w:rsid w:val="00E279B9"/>
    <w:rsid w:val="00E27A11"/>
    <w:rsid w:val="00E30659"/>
    <w:rsid w:val="00E310C4"/>
    <w:rsid w:val="00E310CA"/>
    <w:rsid w:val="00E314BB"/>
    <w:rsid w:val="00E31D63"/>
    <w:rsid w:val="00E3205E"/>
    <w:rsid w:val="00E32DA4"/>
    <w:rsid w:val="00E350F5"/>
    <w:rsid w:val="00E35194"/>
    <w:rsid w:val="00E35967"/>
    <w:rsid w:val="00E35B07"/>
    <w:rsid w:val="00E35E34"/>
    <w:rsid w:val="00E35E6C"/>
    <w:rsid w:val="00E35EC8"/>
    <w:rsid w:val="00E371B0"/>
    <w:rsid w:val="00E37ADA"/>
    <w:rsid w:val="00E402C0"/>
    <w:rsid w:val="00E408A5"/>
    <w:rsid w:val="00E42232"/>
    <w:rsid w:val="00E42495"/>
    <w:rsid w:val="00E42667"/>
    <w:rsid w:val="00E42B74"/>
    <w:rsid w:val="00E45E7E"/>
    <w:rsid w:val="00E46217"/>
    <w:rsid w:val="00E472B9"/>
    <w:rsid w:val="00E5096B"/>
    <w:rsid w:val="00E51165"/>
    <w:rsid w:val="00E51294"/>
    <w:rsid w:val="00E52C88"/>
    <w:rsid w:val="00E54718"/>
    <w:rsid w:val="00E54848"/>
    <w:rsid w:val="00E54849"/>
    <w:rsid w:val="00E54BBA"/>
    <w:rsid w:val="00E55982"/>
    <w:rsid w:val="00E56056"/>
    <w:rsid w:val="00E57234"/>
    <w:rsid w:val="00E610AD"/>
    <w:rsid w:val="00E61574"/>
    <w:rsid w:val="00E618F1"/>
    <w:rsid w:val="00E62286"/>
    <w:rsid w:val="00E63BF2"/>
    <w:rsid w:val="00E64012"/>
    <w:rsid w:val="00E66776"/>
    <w:rsid w:val="00E67C45"/>
    <w:rsid w:val="00E70E10"/>
    <w:rsid w:val="00E71821"/>
    <w:rsid w:val="00E71837"/>
    <w:rsid w:val="00E7233A"/>
    <w:rsid w:val="00E725F3"/>
    <w:rsid w:val="00E740C0"/>
    <w:rsid w:val="00E74D57"/>
    <w:rsid w:val="00E7511C"/>
    <w:rsid w:val="00E7574F"/>
    <w:rsid w:val="00E803F0"/>
    <w:rsid w:val="00E807A4"/>
    <w:rsid w:val="00E8184E"/>
    <w:rsid w:val="00E81EE7"/>
    <w:rsid w:val="00E823CD"/>
    <w:rsid w:val="00E823E0"/>
    <w:rsid w:val="00E829E8"/>
    <w:rsid w:val="00E83099"/>
    <w:rsid w:val="00E84760"/>
    <w:rsid w:val="00E84A03"/>
    <w:rsid w:val="00E85AA2"/>
    <w:rsid w:val="00E85BA8"/>
    <w:rsid w:val="00E900C4"/>
    <w:rsid w:val="00E90F93"/>
    <w:rsid w:val="00E91D69"/>
    <w:rsid w:val="00E91E78"/>
    <w:rsid w:val="00E92030"/>
    <w:rsid w:val="00E9300F"/>
    <w:rsid w:val="00E932BB"/>
    <w:rsid w:val="00E93939"/>
    <w:rsid w:val="00E948F6"/>
    <w:rsid w:val="00E94BE7"/>
    <w:rsid w:val="00E94FCC"/>
    <w:rsid w:val="00E95121"/>
    <w:rsid w:val="00E951FE"/>
    <w:rsid w:val="00E96213"/>
    <w:rsid w:val="00E96EBE"/>
    <w:rsid w:val="00E979F7"/>
    <w:rsid w:val="00EA066B"/>
    <w:rsid w:val="00EA1935"/>
    <w:rsid w:val="00EA2288"/>
    <w:rsid w:val="00EA2B6B"/>
    <w:rsid w:val="00EA30C8"/>
    <w:rsid w:val="00EA37BD"/>
    <w:rsid w:val="00EA56B9"/>
    <w:rsid w:val="00EA637A"/>
    <w:rsid w:val="00EA74BF"/>
    <w:rsid w:val="00EA750F"/>
    <w:rsid w:val="00EB015A"/>
    <w:rsid w:val="00EB0428"/>
    <w:rsid w:val="00EB0E32"/>
    <w:rsid w:val="00EB10F1"/>
    <w:rsid w:val="00EB36F3"/>
    <w:rsid w:val="00EB4DC1"/>
    <w:rsid w:val="00EB7D9E"/>
    <w:rsid w:val="00EB7DF1"/>
    <w:rsid w:val="00EC1656"/>
    <w:rsid w:val="00EC1DDB"/>
    <w:rsid w:val="00EC2452"/>
    <w:rsid w:val="00EC2A76"/>
    <w:rsid w:val="00EC2B42"/>
    <w:rsid w:val="00EC34F4"/>
    <w:rsid w:val="00EC394A"/>
    <w:rsid w:val="00EC3D5B"/>
    <w:rsid w:val="00EC3E6D"/>
    <w:rsid w:val="00EC478D"/>
    <w:rsid w:val="00EC4FA5"/>
    <w:rsid w:val="00EC609A"/>
    <w:rsid w:val="00EC66B2"/>
    <w:rsid w:val="00EC68FD"/>
    <w:rsid w:val="00EC6E2B"/>
    <w:rsid w:val="00EC72B5"/>
    <w:rsid w:val="00ED0466"/>
    <w:rsid w:val="00ED128C"/>
    <w:rsid w:val="00ED2962"/>
    <w:rsid w:val="00ED2DAD"/>
    <w:rsid w:val="00ED4FE9"/>
    <w:rsid w:val="00ED59C8"/>
    <w:rsid w:val="00ED665A"/>
    <w:rsid w:val="00ED6DF0"/>
    <w:rsid w:val="00EE0E6C"/>
    <w:rsid w:val="00EE14AF"/>
    <w:rsid w:val="00EE2509"/>
    <w:rsid w:val="00EE30F5"/>
    <w:rsid w:val="00EE3499"/>
    <w:rsid w:val="00EE38D2"/>
    <w:rsid w:val="00EE4ADA"/>
    <w:rsid w:val="00EE508A"/>
    <w:rsid w:val="00EE674A"/>
    <w:rsid w:val="00EE7BE8"/>
    <w:rsid w:val="00EF0190"/>
    <w:rsid w:val="00EF024F"/>
    <w:rsid w:val="00EF0A00"/>
    <w:rsid w:val="00EF39E2"/>
    <w:rsid w:val="00EF497D"/>
    <w:rsid w:val="00EF4EF1"/>
    <w:rsid w:val="00EF5743"/>
    <w:rsid w:val="00EF67AC"/>
    <w:rsid w:val="00EF72C9"/>
    <w:rsid w:val="00F0057B"/>
    <w:rsid w:val="00F00C0C"/>
    <w:rsid w:val="00F00D91"/>
    <w:rsid w:val="00F026ED"/>
    <w:rsid w:val="00F0276F"/>
    <w:rsid w:val="00F02BAE"/>
    <w:rsid w:val="00F02E71"/>
    <w:rsid w:val="00F032FC"/>
    <w:rsid w:val="00F039A5"/>
    <w:rsid w:val="00F0431D"/>
    <w:rsid w:val="00F04432"/>
    <w:rsid w:val="00F0507F"/>
    <w:rsid w:val="00F061E8"/>
    <w:rsid w:val="00F06FB0"/>
    <w:rsid w:val="00F07301"/>
    <w:rsid w:val="00F10F83"/>
    <w:rsid w:val="00F11C98"/>
    <w:rsid w:val="00F1308D"/>
    <w:rsid w:val="00F13E41"/>
    <w:rsid w:val="00F140D8"/>
    <w:rsid w:val="00F14CEA"/>
    <w:rsid w:val="00F1742C"/>
    <w:rsid w:val="00F17FBE"/>
    <w:rsid w:val="00F20576"/>
    <w:rsid w:val="00F21545"/>
    <w:rsid w:val="00F22AFE"/>
    <w:rsid w:val="00F23F68"/>
    <w:rsid w:val="00F2412E"/>
    <w:rsid w:val="00F2572F"/>
    <w:rsid w:val="00F25B14"/>
    <w:rsid w:val="00F30A25"/>
    <w:rsid w:val="00F31499"/>
    <w:rsid w:val="00F31E2F"/>
    <w:rsid w:val="00F32238"/>
    <w:rsid w:val="00F32B40"/>
    <w:rsid w:val="00F3329C"/>
    <w:rsid w:val="00F34387"/>
    <w:rsid w:val="00F34DF7"/>
    <w:rsid w:val="00F3690E"/>
    <w:rsid w:val="00F41FF9"/>
    <w:rsid w:val="00F42105"/>
    <w:rsid w:val="00F44BFD"/>
    <w:rsid w:val="00F44DEA"/>
    <w:rsid w:val="00F45B62"/>
    <w:rsid w:val="00F45DAB"/>
    <w:rsid w:val="00F46CF1"/>
    <w:rsid w:val="00F475A3"/>
    <w:rsid w:val="00F50506"/>
    <w:rsid w:val="00F505B5"/>
    <w:rsid w:val="00F51312"/>
    <w:rsid w:val="00F57F82"/>
    <w:rsid w:val="00F61EBA"/>
    <w:rsid w:val="00F62351"/>
    <w:rsid w:val="00F62E76"/>
    <w:rsid w:val="00F644E9"/>
    <w:rsid w:val="00F646C3"/>
    <w:rsid w:val="00F64C4D"/>
    <w:rsid w:val="00F650D1"/>
    <w:rsid w:val="00F65A70"/>
    <w:rsid w:val="00F670B6"/>
    <w:rsid w:val="00F67419"/>
    <w:rsid w:val="00F67491"/>
    <w:rsid w:val="00F67AC8"/>
    <w:rsid w:val="00F70A74"/>
    <w:rsid w:val="00F711F6"/>
    <w:rsid w:val="00F71B20"/>
    <w:rsid w:val="00F71C86"/>
    <w:rsid w:val="00F728D4"/>
    <w:rsid w:val="00F72F2D"/>
    <w:rsid w:val="00F73445"/>
    <w:rsid w:val="00F73A15"/>
    <w:rsid w:val="00F7562A"/>
    <w:rsid w:val="00F76228"/>
    <w:rsid w:val="00F7766C"/>
    <w:rsid w:val="00F77D15"/>
    <w:rsid w:val="00F80303"/>
    <w:rsid w:val="00F8131D"/>
    <w:rsid w:val="00F81B6B"/>
    <w:rsid w:val="00F81BA1"/>
    <w:rsid w:val="00F82182"/>
    <w:rsid w:val="00F82321"/>
    <w:rsid w:val="00F8236D"/>
    <w:rsid w:val="00F8242D"/>
    <w:rsid w:val="00F845C8"/>
    <w:rsid w:val="00F85F0E"/>
    <w:rsid w:val="00F86CDB"/>
    <w:rsid w:val="00F90346"/>
    <w:rsid w:val="00F90536"/>
    <w:rsid w:val="00F90605"/>
    <w:rsid w:val="00F91D5D"/>
    <w:rsid w:val="00F94E15"/>
    <w:rsid w:val="00F9595F"/>
    <w:rsid w:val="00F95E62"/>
    <w:rsid w:val="00F963E1"/>
    <w:rsid w:val="00FA1165"/>
    <w:rsid w:val="00FA3BC4"/>
    <w:rsid w:val="00FA450E"/>
    <w:rsid w:val="00FA61D0"/>
    <w:rsid w:val="00FA6666"/>
    <w:rsid w:val="00FA6A23"/>
    <w:rsid w:val="00FA6C67"/>
    <w:rsid w:val="00FA7C27"/>
    <w:rsid w:val="00FA7E79"/>
    <w:rsid w:val="00FB0428"/>
    <w:rsid w:val="00FB0634"/>
    <w:rsid w:val="00FB0D45"/>
    <w:rsid w:val="00FB260F"/>
    <w:rsid w:val="00FB400D"/>
    <w:rsid w:val="00FB4A75"/>
    <w:rsid w:val="00FB56FF"/>
    <w:rsid w:val="00FB5F28"/>
    <w:rsid w:val="00FB5F32"/>
    <w:rsid w:val="00FB642F"/>
    <w:rsid w:val="00FB662B"/>
    <w:rsid w:val="00FB7AA5"/>
    <w:rsid w:val="00FC0209"/>
    <w:rsid w:val="00FC06F3"/>
    <w:rsid w:val="00FC1014"/>
    <w:rsid w:val="00FC11D7"/>
    <w:rsid w:val="00FC20EA"/>
    <w:rsid w:val="00FC2443"/>
    <w:rsid w:val="00FC2C63"/>
    <w:rsid w:val="00FC3179"/>
    <w:rsid w:val="00FC3D1F"/>
    <w:rsid w:val="00FC53D2"/>
    <w:rsid w:val="00FC5452"/>
    <w:rsid w:val="00FC60B3"/>
    <w:rsid w:val="00FC60C0"/>
    <w:rsid w:val="00FC6364"/>
    <w:rsid w:val="00FC6E7E"/>
    <w:rsid w:val="00FD0369"/>
    <w:rsid w:val="00FD0AE8"/>
    <w:rsid w:val="00FD1AA9"/>
    <w:rsid w:val="00FD229B"/>
    <w:rsid w:val="00FD2A32"/>
    <w:rsid w:val="00FD4B1B"/>
    <w:rsid w:val="00FD550C"/>
    <w:rsid w:val="00FD5A26"/>
    <w:rsid w:val="00FD7E6B"/>
    <w:rsid w:val="00FE02B7"/>
    <w:rsid w:val="00FE0C73"/>
    <w:rsid w:val="00FE21B9"/>
    <w:rsid w:val="00FE2DBF"/>
    <w:rsid w:val="00FE4147"/>
    <w:rsid w:val="00FE4DF0"/>
    <w:rsid w:val="00FE5CE9"/>
    <w:rsid w:val="00FE5E75"/>
    <w:rsid w:val="00FE6974"/>
    <w:rsid w:val="00FE6C4E"/>
    <w:rsid w:val="00FF0141"/>
    <w:rsid w:val="00FF08B9"/>
    <w:rsid w:val="00FF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CD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747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uiPriority w:val="59"/>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 w:type="paragraph" w:customStyle="1" w:styleId="a">
    <w:name w:val=""/>
    <w:rsid w:val="00EC2A76"/>
    <w:pPr>
      <w:autoSpaceDE w:val="0"/>
      <w:autoSpaceDN w:val="0"/>
      <w:adjustRightInd w:val="0"/>
      <w:ind w:left="-1440"/>
    </w:pPr>
    <w:rPr>
      <w:sz w:val="24"/>
      <w:szCs w:val="24"/>
    </w:rPr>
  </w:style>
  <w:style w:type="character" w:customStyle="1" w:styleId="Heading2Char">
    <w:name w:val="Heading 2 Char"/>
    <w:basedOn w:val="DefaultParagraphFont"/>
    <w:link w:val="Heading2"/>
    <w:semiHidden/>
    <w:rsid w:val="00474744"/>
    <w:rPr>
      <w:rFonts w:asciiTheme="majorHAnsi" w:eastAsiaTheme="majorEastAsia" w:hAnsiTheme="majorHAnsi" w:cstheme="majorBidi"/>
      <w:color w:val="365F91" w:themeColor="accent1" w:themeShade="BF"/>
      <w:sz w:val="26"/>
      <w:szCs w:val="26"/>
    </w:rPr>
  </w:style>
  <w:style w:type="character" w:customStyle="1" w:styleId="Title1">
    <w:name w:val="Title1"/>
    <w:basedOn w:val="DefaultParagraphFont"/>
    <w:rsid w:val="000B5061"/>
  </w:style>
  <w:style w:type="character" w:customStyle="1" w:styleId="apple-converted-space">
    <w:name w:val="apple-converted-space"/>
    <w:basedOn w:val="DefaultParagraphFont"/>
    <w:rsid w:val="00445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747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uiPriority w:val="59"/>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 w:type="paragraph" w:customStyle="1" w:styleId="a">
    <w:name w:val=""/>
    <w:rsid w:val="00EC2A76"/>
    <w:pPr>
      <w:autoSpaceDE w:val="0"/>
      <w:autoSpaceDN w:val="0"/>
      <w:adjustRightInd w:val="0"/>
      <w:ind w:left="-1440"/>
    </w:pPr>
    <w:rPr>
      <w:sz w:val="24"/>
      <w:szCs w:val="24"/>
    </w:rPr>
  </w:style>
  <w:style w:type="character" w:customStyle="1" w:styleId="Heading2Char">
    <w:name w:val="Heading 2 Char"/>
    <w:basedOn w:val="DefaultParagraphFont"/>
    <w:link w:val="Heading2"/>
    <w:semiHidden/>
    <w:rsid w:val="00474744"/>
    <w:rPr>
      <w:rFonts w:asciiTheme="majorHAnsi" w:eastAsiaTheme="majorEastAsia" w:hAnsiTheme="majorHAnsi" w:cstheme="majorBidi"/>
      <w:color w:val="365F91" w:themeColor="accent1" w:themeShade="BF"/>
      <w:sz w:val="26"/>
      <w:szCs w:val="26"/>
    </w:rPr>
  </w:style>
  <w:style w:type="character" w:customStyle="1" w:styleId="Title1">
    <w:name w:val="Title1"/>
    <w:basedOn w:val="DefaultParagraphFont"/>
    <w:rsid w:val="000B5061"/>
  </w:style>
  <w:style w:type="character" w:customStyle="1" w:styleId="apple-converted-space">
    <w:name w:val="apple-converted-space"/>
    <w:basedOn w:val="DefaultParagraphFont"/>
    <w:rsid w:val="0044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21794056">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12943344">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09513843">
      <w:bodyDiv w:val="1"/>
      <w:marLeft w:val="0"/>
      <w:marRight w:val="0"/>
      <w:marTop w:val="0"/>
      <w:marBottom w:val="0"/>
      <w:divBdr>
        <w:top w:val="none" w:sz="0" w:space="0" w:color="auto"/>
        <w:left w:val="none" w:sz="0" w:space="0" w:color="auto"/>
        <w:bottom w:val="none" w:sz="0" w:space="0" w:color="auto"/>
        <w:right w:val="none" w:sz="0" w:space="0" w:color="auto"/>
      </w:divBdr>
    </w:div>
    <w:div w:id="635911867">
      <w:bodyDiv w:val="1"/>
      <w:marLeft w:val="0"/>
      <w:marRight w:val="0"/>
      <w:marTop w:val="0"/>
      <w:marBottom w:val="0"/>
      <w:divBdr>
        <w:top w:val="none" w:sz="0" w:space="0" w:color="auto"/>
        <w:left w:val="none" w:sz="0" w:space="0" w:color="auto"/>
        <w:bottom w:val="none" w:sz="0" w:space="0" w:color="auto"/>
        <w:right w:val="none" w:sz="0" w:space="0" w:color="auto"/>
      </w:divBdr>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681006444">
      <w:bodyDiv w:val="1"/>
      <w:marLeft w:val="0"/>
      <w:marRight w:val="0"/>
      <w:marTop w:val="0"/>
      <w:marBottom w:val="0"/>
      <w:divBdr>
        <w:top w:val="none" w:sz="0" w:space="0" w:color="auto"/>
        <w:left w:val="none" w:sz="0" w:space="0" w:color="auto"/>
        <w:bottom w:val="none" w:sz="0" w:space="0" w:color="auto"/>
        <w:right w:val="none" w:sz="0" w:space="0" w:color="auto"/>
      </w:divBdr>
    </w:div>
    <w:div w:id="684676678">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772476207">
      <w:bodyDiv w:val="1"/>
      <w:marLeft w:val="0"/>
      <w:marRight w:val="0"/>
      <w:marTop w:val="0"/>
      <w:marBottom w:val="0"/>
      <w:divBdr>
        <w:top w:val="none" w:sz="0" w:space="0" w:color="auto"/>
        <w:left w:val="none" w:sz="0" w:space="0" w:color="auto"/>
        <w:bottom w:val="none" w:sz="0" w:space="0" w:color="auto"/>
        <w:right w:val="none" w:sz="0" w:space="0" w:color="auto"/>
      </w:divBdr>
    </w:div>
    <w:div w:id="802966090">
      <w:bodyDiv w:val="1"/>
      <w:marLeft w:val="0"/>
      <w:marRight w:val="0"/>
      <w:marTop w:val="0"/>
      <w:marBottom w:val="0"/>
      <w:divBdr>
        <w:top w:val="none" w:sz="0" w:space="0" w:color="auto"/>
        <w:left w:val="none" w:sz="0" w:space="0" w:color="auto"/>
        <w:bottom w:val="none" w:sz="0" w:space="0" w:color="auto"/>
        <w:right w:val="none" w:sz="0" w:space="0" w:color="auto"/>
      </w:divBdr>
    </w:div>
    <w:div w:id="834304017">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3055291">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078476811">
      <w:bodyDiv w:val="1"/>
      <w:marLeft w:val="0"/>
      <w:marRight w:val="0"/>
      <w:marTop w:val="0"/>
      <w:marBottom w:val="0"/>
      <w:divBdr>
        <w:top w:val="none" w:sz="0" w:space="0" w:color="auto"/>
        <w:left w:val="none" w:sz="0" w:space="0" w:color="auto"/>
        <w:bottom w:val="none" w:sz="0" w:space="0" w:color="auto"/>
        <w:right w:val="none" w:sz="0" w:space="0" w:color="auto"/>
      </w:divBdr>
    </w:div>
    <w:div w:id="1084574797">
      <w:bodyDiv w:val="1"/>
      <w:marLeft w:val="0"/>
      <w:marRight w:val="0"/>
      <w:marTop w:val="0"/>
      <w:marBottom w:val="0"/>
      <w:divBdr>
        <w:top w:val="none" w:sz="0" w:space="0" w:color="auto"/>
        <w:left w:val="none" w:sz="0" w:space="0" w:color="auto"/>
        <w:bottom w:val="none" w:sz="0" w:space="0" w:color="auto"/>
        <w:right w:val="none" w:sz="0" w:space="0" w:color="auto"/>
      </w:divBdr>
      <w:divsChild>
        <w:div w:id="1003095409">
          <w:marLeft w:val="0"/>
          <w:marRight w:val="0"/>
          <w:marTop w:val="0"/>
          <w:marBottom w:val="0"/>
          <w:divBdr>
            <w:top w:val="none" w:sz="0" w:space="0" w:color="auto"/>
            <w:left w:val="none" w:sz="0" w:space="0" w:color="auto"/>
            <w:bottom w:val="none" w:sz="0" w:space="0" w:color="auto"/>
            <w:right w:val="none" w:sz="0" w:space="0" w:color="auto"/>
          </w:divBdr>
          <w:divsChild>
            <w:div w:id="1734809393">
              <w:marLeft w:val="0"/>
              <w:marRight w:val="0"/>
              <w:marTop w:val="0"/>
              <w:marBottom w:val="0"/>
              <w:divBdr>
                <w:top w:val="none" w:sz="0" w:space="0" w:color="auto"/>
                <w:left w:val="none" w:sz="0" w:space="0" w:color="auto"/>
                <w:bottom w:val="none" w:sz="0" w:space="0" w:color="auto"/>
                <w:right w:val="none" w:sz="0" w:space="0" w:color="auto"/>
              </w:divBdr>
              <w:divsChild>
                <w:div w:id="1355377003">
                  <w:marLeft w:val="0"/>
                  <w:marRight w:val="0"/>
                  <w:marTop w:val="0"/>
                  <w:marBottom w:val="0"/>
                  <w:divBdr>
                    <w:top w:val="none" w:sz="0" w:space="0" w:color="auto"/>
                    <w:left w:val="none" w:sz="0" w:space="0" w:color="auto"/>
                    <w:bottom w:val="none" w:sz="0" w:space="0" w:color="auto"/>
                    <w:right w:val="none" w:sz="0" w:space="0" w:color="auto"/>
                  </w:divBdr>
                  <w:divsChild>
                    <w:div w:id="354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433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263761439">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584490460">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71446316">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09330414">
      <w:bodyDiv w:val="1"/>
      <w:marLeft w:val="0"/>
      <w:marRight w:val="0"/>
      <w:marTop w:val="0"/>
      <w:marBottom w:val="0"/>
      <w:divBdr>
        <w:top w:val="none" w:sz="0" w:space="0" w:color="auto"/>
        <w:left w:val="none" w:sz="0" w:space="0" w:color="auto"/>
        <w:bottom w:val="none" w:sz="0" w:space="0" w:color="auto"/>
        <w:right w:val="none" w:sz="0" w:space="0" w:color="auto"/>
      </w:divBdr>
      <w:divsChild>
        <w:div w:id="1400639455">
          <w:marLeft w:val="0"/>
          <w:marRight w:val="0"/>
          <w:marTop w:val="0"/>
          <w:marBottom w:val="0"/>
          <w:divBdr>
            <w:top w:val="none" w:sz="0" w:space="0" w:color="auto"/>
            <w:left w:val="none" w:sz="0" w:space="0" w:color="auto"/>
            <w:bottom w:val="none" w:sz="0" w:space="0" w:color="auto"/>
            <w:right w:val="none" w:sz="0" w:space="0" w:color="auto"/>
          </w:divBdr>
          <w:divsChild>
            <w:div w:id="1248344851">
              <w:marLeft w:val="0"/>
              <w:marRight w:val="0"/>
              <w:marTop w:val="0"/>
              <w:marBottom w:val="0"/>
              <w:divBdr>
                <w:top w:val="none" w:sz="0" w:space="0" w:color="auto"/>
                <w:left w:val="none" w:sz="0" w:space="0" w:color="auto"/>
                <w:bottom w:val="none" w:sz="0" w:space="0" w:color="auto"/>
                <w:right w:val="none" w:sz="0" w:space="0" w:color="auto"/>
              </w:divBdr>
              <w:divsChild>
                <w:div w:id="1398748893">
                  <w:marLeft w:val="0"/>
                  <w:marRight w:val="0"/>
                  <w:marTop w:val="0"/>
                  <w:marBottom w:val="0"/>
                  <w:divBdr>
                    <w:top w:val="none" w:sz="0" w:space="0" w:color="auto"/>
                    <w:left w:val="none" w:sz="0" w:space="0" w:color="auto"/>
                    <w:bottom w:val="none" w:sz="0" w:space="0" w:color="auto"/>
                    <w:right w:val="none" w:sz="0" w:space="0" w:color="auto"/>
                  </w:divBdr>
                  <w:divsChild>
                    <w:div w:id="20792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797026418">
      <w:bodyDiv w:val="1"/>
      <w:marLeft w:val="0"/>
      <w:marRight w:val="0"/>
      <w:marTop w:val="0"/>
      <w:marBottom w:val="0"/>
      <w:divBdr>
        <w:top w:val="none" w:sz="0" w:space="0" w:color="auto"/>
        <w:left w:val="none" w:sz="0" w:space="0" w:color="auto"/>
        <w:bottom w:val="none" w:sz="0" w:space="0" w:color="auto"/>
        <w:right w:val="none" w:sz="0" w:space="0" w:color="auto"/>
      </w:divBdr>
    </w:div>
    <w:div w:id="1878732412">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AA2F-BE5C-457C-AE99-0B352978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6573</Words>
  <Characters>37349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43835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Windows User</cp:lastModifiedBy>
  <cp:revision>6</cp:revision>
  <cp:lastPrinted>2014-11-25T17:47:00Z</cp:lastPrinted>
  <dcterms:created xsi:type="dcterms:W3CDTF">2014-12-15T22:20:00Z</dcterms:created>
  <dcterms:modified xsi:type="dcterms:W3CDTF">2014-12-16T13:19:00Z</dcterms:modified>
</cp:coreProperties>
</file>